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footer3.xml" ContentType="application/vnd.openxmlformats-officedocument.wordprocessingml.footer+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0.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1.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2.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3.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5.xml" ContentType="application/vnd.openxmlformats-officedocument.themeOverride+xml"/>
  <Override PartName="/word/footer6.xml" ContentType="application/vnd.openxmlformats-officedocument.wordprocessingml.footer+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6.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7.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8.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9.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0.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1.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24.xml" ContentType="application/vnd.openxmlformats-officedocument.themeOverride+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25.xml" ContentType="application/vnd.openxmlformats-officedocument.themeOverride+xml"/>
  <Override PartName="/word/footer10.xml" ContentType="application/vnd.openxmlformats-officedocument.wordprocessingml.footer+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2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27.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28.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29.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0.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31.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32.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33.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34.xml" ContentType="application/vnd.openxmlformats-officedocument.themeOverride+xml"/>
  <Override PartName="/word/footer13.xml" ContentType="application/vnd.openxmlformats-officedocument.wordprocessingml.footer+xml"/>
  <Override PartName="/word/footer14.xml" ContentType="application/vnd.openxmlformats-officedocument.wordprocessingml.footer+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35.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36.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37.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38.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39.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40.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41.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42.xml" ContentType="application/vnd.openxmlformats-officedocument.themeOverride+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43.xml" ContentType="application/vnd.openxmlformats-officedocument.themeOverride+xml"/>
  <Override PartName="/word/footer18.xml" ContentType="application/vnd.openxmlformats-officedocument.wordprocessingml.footer+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44.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29C2D" w14:textId="77777777" w:rsidR="00993205" w:rsidRPr="00BF6615" w:rsidRDefault="00993205" w:rsidP="007E26B5">
      <w:pPr>
        <w:spacing w:after="0"/>
        <w:ind w:right="-561"/>
        <w:rPr>
          <w:rFonts w:cstheme="minorHAnsi"/>
          <w:b/>
          <w:bCs/>
          <w:color w:val="C00000"/>
          <w:sz w:val="52"/>
          <w:szCs w:val="48"/>
        </w:rPr>
      </w:pPr>
      <w:bookmarkStart w:id="0" w:name="_Hlk194394251"/>
      <w:r w:rsidRPr="00BF6615">
        <w:rPr>
          <w:rFonts w:cstheme="minorHAnsi"/>
          <w:b/>
          <w:bCs/>
          <w:noProof/>
          <w:color w:val="C00000"/>
          <w:sz w:val="52"/>
          <w:szCs w:val="48"/>
          <w:lang w:eastAsia="pl-PL"/>
        </w:rPr>
        <w:drawing>
          <wp:inline distT="0" distB="0" distL="0" distR="0" wp14:anchorId="0C878AC5" wp14:editId="7F5F142F">
            <wp:extent cx="2095941" cy="933450"/>
            <wp:effectExtent l="0" t="0" r="0" b="0"/>
            <wp:docPr id="13304568" name="Obraz 2" descr="Logo: Ministerstwo Cyfry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568" name="Obraz 2" descr="Logo: Ministerstwo Cyfryzacj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6403" cy="960377"/>
                    </a:xfrm>
                    <a:prstGeom prst="rect">
                      <a:avLst/>
                    </a:prstGeom>
                    <a:noFill/>
                  </pic:spPr>
                </pic:pic>
              </a:graphicData>
            </a:graphic>
          </wp:inline>
        </w:drawing>
      </w:r>
    </w:p>
    <w:p w14:paraId="540B1FE5" w14:textId="50AED580" w:rsidR="004A1425" w:rsidRDefault="00A03641" w:rsidP="0089290D">
      <w:pPr>
        <w:spacing w:before="1080"/>
        <w:ind w:right="-561"/>
        <w:rPr>
          <w:rFonts w:cstheme="minorHAnsi"/>
          <w:b/>
          <w:bCs/>
          <w:color w:val="C00000"/>
          <w:sz w:val="52"/>
          <w:szCs w:val="48"/>
        </w:rPr>
      </w:pPr>
      <w:r w:rsidRPr="00BF6615">
        <w:rPr>
          <w:rFonts w:cstheme="minorHAnsi"/>
          <w:b/>
          <w:bCs/>
          <w:color w:val="C00000"/>
          <w:sz w:val="52"/>
          <w:szCs w:val="48"/>
        </w:rPr>
        <w:t xml:space="preserve">Raport </w:t>
      </w:r>
      <w:r w:rsidR="00DF4488" w:rsidRPr="00BF6615">
        <w:rPr>
          <w:rFonts w:cstheme="minorHAnsi"/>
          <w:b/>
          <w:bCs/>
          <w:color w:val="C00000"/>
          <w:sz w:val="52"/>
          <w:szCs w:val="48"/>
        </w:rPr>
        <w:t xml:space="preserve">końcowy </w:t>
      </w:r>
      <w:r w:rsidRPr="00BF6615">
        <w:rPr>
          <w:rFonts w:cstheme="minorHAnsi"/>
          <w:b/>
          <w:bCs/>
          <w:color w:val="C00000"/>
          <w:sz w:val="52"/>
          <w:szCs w:val="48"/>
        </w:rPr>
        <w:t xml:space="preserve">z badania </w:t>
      </w:r>
      <w:r w:rsidR="003E6FFB" w:rsidRPr="00BF6615">
        <w:rPr>
          <w:rFonts w:cstheme="minorHAnsi"/>
          <w:b/>
          <w:bCs/>
          <w:color w:val="C00000"/>
          <w:sz w:val="52"/>
          <w:szCs w:val="48"/>
        </w:rPr>
        <w:t xml:space="preserve">w zakresie potrzeb użytkowników stron internetowych/aplikacji mobilnych </w:t>
      </w:r>
      <w:r w:rsidR="00C92DA1" w:rsidRPr="00BF6615">
        <w:rPr>
          <w:rFonts w:cstheme="minorHAnsi"/>
          <w:b/>
          <w:bCs/>
          <w:color w:val="C00000"/>
          <w:sz w:val="52"/>
          <w:szCs w:val="48"/>
        </w:rPr>
        <w:t>podmiotów publicznych w obszarze dostępności cyfrowej tych stron/aplikacji</w:t>
      </w:r>
    </w:p>
    <w:p w14:paraId="228EB7C0" w14:textId="77777777" w:rsidR="005A6F58" w:rsidRDefault="005A6F58" w:rsidP="005A6F58">
      <w:pPr>
        <w:spacing w:line="259" w:lineRule="auto"/>
        <w:rPr>
          <w:rFonts w:ascii="Calibri" w:eastAsia="Calibri" w:hAnsi="Calibri" w:cs="Calibri"/>
          <w:color w:val="000000"/>
          <w:spacing w:val="-8"/>
          <w:w w:val="111"/>
          <w:kern w:val="2"/>
          <w:sz w:val="28"/>
          <w:szCs w:val="24"/>
          <w:lang w:eastAsia="pl-PL"/>
          <w14:ligatures w14:val="standardContextual"/>
        </w:rPr>
      </w:pPr>
      <w:r w:rsidRPr="005A6F58">
        <w:rPr>
          <w:rFonts w:ascii="Calibri" w:eastAsia="Calibri" w:hAnsi="Calibri" w:cs="Calibri"/>
          <w:color w:val="000000"/>
          <w:w w:val="111"/>
          <w:kern w:val="2"/>
          <w:sz w:val="28"/>
          <w:szCs w:val="24"/>
          <w:lang w:eastAsia="pl-PL"/>
          <w14:ligatures w14:val="standardContextual"/>
        </w:rPr>
        <w:t>Publikacja</w:t>
      </w:r>
      <w:r w:rsidRPr="005A6F58">
        <w:rPr>
          <w:rFonts w:ascii="Calibri" w:eastAsia="Calibri" w:hAnsi="Calibri" w:cs="Calibri"/>
          <w:color w:val="000000"/>
          <w:spacing w:val="-6"/>
          <w:w w:val="111"/>
          <w:kern w:val="2"/>
          <w:sz w:val="28"/>
          <w:szCs w:val="24"/>
          <w:lang w:eastAsia="pl-PL"/>
          <w14:ligatures w14:val="standardContextual"/>
        </w:rPr>
        <w:t xml:space="preserve"> </w:t>
      </w:r>
      <w:r w:rsidRPr="005A6F58">
        <w:rPr>
          <w:rFonts w:ascii="Calibri" w:eastAsia="Calibri" w:hAnsi="Calibri" w:cs="Calibri"/>
          <w:color w:val="000000"/>
          <w:w w:val="111"/>
          <w:kern w:val="2"/>
          <w:sz w:val="28"/>
          <w:szCs w:val="24"/>
          <w:lang w:eastAsia="pl-PL"/>
          <w14:ligatures w14:val="standardContextual"/>
        </w:rPr>
        <w:t>na</w:t>
      </w:r>
      <w:r w:rsidRPr="005A6F58">
        <w:rPr>
          <w:rFonts w:ascii="Calibri" w:eastAsia="Calibri" w:hAnsi="Calibri" w:cs="Calibri"/>
          <w:color w:val="000000"/>
          <w:spacing w:val="-8"/>
          <w:w w:val="111"/>
          <w:kern w:val="2"/>
          <w:sz w:val="28"/>
          <w:szCs w:val="24"/>
          <w:lang w:eastAsia="pl-PL"/>
          <w14:ligatures w14:val="standardContextual"/>
        </w:rPr>
        <w:t xml:space="preserve"> </w:t>
      </w:r>
      <w:r w:rsidRPr="005A6F58">
        <w:rPr>
          <w:rFonts w:ascii="Calibri" w:eastAsia="Calibri" w:hAnsi="Calibri" w:cs="Calibri"/>
          <w:color w:val="000000"/>
          <w:w w:val="111"/>
          <w:kern w:val="2"/>
          <w:sz w:val="28"/>
          <w:szCs w:val="24"/>
          <w:lang w:eastAsia="pl-PL"/>
          <w14:ligatures w14:val="standardContextual"/>
        </w:rPr>
        <w:t>licencji</w:t>
      </w:r>
      <w:r w:rsidRPr="005A6F58">
        <w:rPr>
          <w:rFonts w:ascii="Calibri" w:eastAsia="Calibri" w:hAnsi="Calibri" w:cs="Calibri"/>
          <w:color w:val="000000"/>
          <w:spacing w:val="-6"/>
          <w:w w:val="111"/>
          <w:kern w:val="2"/>
          <w:sz w:val="28"/>
          <w:szCs w:val="24"/>
          <w:lang w:eastAsia="pl-PL"/>
          <w14:ligatures w14:val="standardContextual"/>
        </w:rPr>
        <w:t xml:space="preserve"> </w:t>
      </w:r>
      <w:r w:rsidRPr="005A6F58">
        <w:rPr>
          <w:rFonts w:ascii="Calibri" w:eastAsia="Calibri" w:hAnsi="Calibri" w:cs="Calibri"/>
          <w:color w:val="000000"/>
          <w:w w:val="111"/>
          <w:kern w:val="2"/>
          <w:sz w:val="28"/>
          <w:szCs w:val="24"/>
          <w:lang w:eastAsia="pl-PL"/>
          <w14:ligatures w14:val="standardContextual"/>
        </w:rPr>
        <w:t>Creative</w:t>
      </w:r>
      <w:r w:rsidRPr="005A6F58">
        <w:rPr>
          <w:rFonts w:ascii="Calibri" w:eastAsia="Calibri" w:hAnsi="Calibri" w:cs="Calibri"/>
          <w:color w:val="000000"/>
          <w:spacing w:val="-8"/>
          <w:w w:val="111"/>
          <w:kern w:val="2"/>
          <w:sz w:val="28"/>
          <w:szCs w:val="24"/>
          <w:lang w:eastAsia="pl-PL"/>
          <w14:ligatures w14:val="standardContextual"/>
        </w:rPr>
        <w:t xml:space="preserve"> </w:t>
      </w:r>
      <w:proofErr w:type="spellStart"/>
      <w:r w:rsidRPr="005A6F58">
        <w:rPr>
          <w:rFonts w:ascii="Calibri" w:eastAsia="Calibri" w:hAnsi="Calibri" w:cs="Calibri"/>
          <w:color w:val="000000"/>
          <w:w w:val="111"/>
          <w:kern w:val="2"/>
          <w:sz w:val="28"/>
          <w:szCs w:val="24"/>
          <w:lang w:eastAsia="pl-PL"/>
          <w14:ligatures w14:val="standardContextual"/>
        </w:rPr>
        <w:t>Commons</w:t>
      </w:r>
      <w:proofErr w:type="spellEnd"/>
      <w:r w:rsidRPr="005A6F58">
        <w:rPr>
          <w:rFonts w:ascii="Calibri" w:eastAsia="Calibri" w:hAnsi="Calibri" w:cs="Calibri"/>
          <w:color w:val="000000"/>
          <w:w w:val="111"/>
          <w:kern w:val="2"/>
          <w:sz w:val="28"/>
          <w:szCs w:val="24"/>
          <w:lang w:eastAsia="pl-PL"/>
          <w14:ligatures w14:val="standardContextual"/>
        </w:rPr>
        <w:t>:</w:t>
      </w:r>
      <w:r w:rsidRPr="005A6F58">
        <w:rPr>
          <w:rFonts w:ascii="Calibri" w:eastAsia="Calibri" w:hAnsi="Calibri" w:cs="Calibri"/>
          <w:color w:val="000000"/>
          <w:spacing w:val="-6"/>
          <w:w w:val="111"/>
          <w:kern w:val="2"/>
          <w:sz w:val="28"/>
          <w:szCs w:val="24"/>
          <w:lang w:eastAsia="pl-PL"/>
          <w14:ligatures w14:val="standardContextual"/>
        </w:rPr>
        <w:t xml:space="preserve"> </w:t>
      </w:r>
      <w:r w:rsidRPr="005A6F58">
        <w:rPr>
          <w:rFonts w:ascii="Calibri" w:eastAsia="Calibri" w:hAnsi="Calibri" w:cs="Calibri"/>
          <w:color w:val="000000"/>
          <w:w w:val="111"/>
          <w:kern w:val="2"/>
          <w:sz w:val="28"/>
          <w:szCs w:val="24"/>
          <w:lang w:eastAsia="pl-PL"/>
          <w14:ligatures w14:val="standardContextual"/>
        </w:rPr>
        <w:t>CC</w:t>
      </w:r>
      <w:r w:rsidRPr="005A6F58">
        <w:rPr>
          <w:rFonts w:ascii="Calibri" w:eastAsia="Calibri" w:hAnsi="Calibri" w:cs="Calibri"/>
          <w:color w:val="000000"/>
          <w:spacing w:val="-6"/>
          <w:w w:val="111"/>
          <w:kern w:val="2"/>
          <w:sz w:val="28"/>
          <w:szCs w:val="24"/>
          <w:lang w:eastAsia="pl-PL"/>
          <w14:ligatures w14:val="standardContextual"/>
        </w:rPr>
        <w:t xml:space="preserve"> </w:t>
      </w:r>
      <w:r w:rsidRPr="005A6F58">
        <w:rPr>
          <w:rFonts w:ascii="Calibri" w:eastAsia="Calibri" w:hAnsi="Calibri" w:cs="Calibri"/>
          <w:color w:val="000000"/>
          <w:w w:val="111"/>
          <w:kern w:val="2"/>
          <w:sz w:val="28"/>
          <w:szCs w:val="24"/>
          <w:lang w:eastAsia="pl-PL"/>
          <w14:ligatures w14:val="standardContextual"/>
        </w:rPr>
        <w:t>BY</w:t>
      </w:r>
      <w:r w:rsidRPr="005A6F58">
        <w:rPr>
          <w:rFonts w:ascii="Calibri" w:eastAsia="Calibri" w:hAnsi="Calibri" w:cs="Calibri"/>
          <w:color w:val="000000"/>
          <w:spacing w:val="-6"/>
          <w:w w:val="111"/>
          <w:kern w:val="2"/>
          <w:sz w:val="28"/>
          <w:szCs w:val="24"/>
          <w:lang w:eastAsia="pl-PL"/>
          <w14:ligatures w14:val="standardContextual"/>
        </w:rPr>
        <w:t xml:space="preserve"> </w:t>
      </w:r>
      <w:r w:rsidRPr="005A6F58">
        <w:rPr>
          <w:rFonts w:ascii="Calibri" w:eastAsia="Calibri" w:hAnsi="Calibri" w:cs="Calibri"/>
          <w:color w:val="000000"/>
          <w:w w:val="111"/>
          <w:kern w:val="2"/>
          <w:sz w:val="28"/>
          <w:szCs w:val="24"/>
          <w:lang w:eastAsia="pl-PL"/>
          <w14:ligatures w14:val="standardContextual"/>
        </w:rPr>
        <w:t>4.0</w:t>
      </w:r>
      <w:r w:rsidRPr="005A6F58">
        <w:rPr>
          <w:rFonts w:ascii="Calibri" w:eastAsia="Calibri" w:hAnsi="Calibri" w:cs="Calibri"/>
          <w:color w:val="000000"/>
          <w:spacing w:val="-8"/>
          <w:w w:val="111"/>
          <w:kern w:val="2"/>
          <w:sz w:val="28"/>
          <w:szCs w:val="24"/>
          <w:lang w:eastAsia="pl-PL"/>
          <w14:ligatures w14:val="standardContextual"/>
        </w:rPr>
        <w:t xml:space="preserve"> </w:t>
      </w:r>
    </w:p>
    <w:p w14:paraId="50D60B54" w14:textId="67361369" w:rsidR="005A6F58" w:rsidRPr="0089290D" w:rsidRDefault="005A6F58" w:rsidP="005A6F58">
      <w:pPr>
        <w:spacing w:line="259" w:lineRule="auto"/>
        <w:rPr>
          <w:rFonts w:ascii="Calibri" w:eastAsia="Calibri" w:hAnsi="Calibri" w:cs="Calibri"/>
          <w:color w:val="C00000"/>
          <w:spacing w:val="-8"/>
          <w:w w:val="111"/>
          <w:kern w:val="2"/>
          <w:sz w:val="28"/>
          <w:szCs w:val="24"/>
          <w:lang w:eastAsia="pl-PL"/>
          <w14:ligatures w14:val="standardContextual"/>
        </w:rPr>
      </w:pPr>
      <w:r>
        <w:rPr>
          <w:rFonts w:ascii="Calibri" w:eastAsia="Calibri" w:hAnsi="Calibri" w:cs="Calibri"/>
          <w:color w:val="000000"/>
          <w:spacing w:val="-8"/>
          <w:w w:val="111"/>
          <w:kern w:val="2"/>
          <w:sz w:val="28"/>
          <w:szCs w:val="24"/>
          <w:lang w:eastAsia="pl-PL"/>
          <w14:ligatures w14:val="standardContextual"/>
        </w:rPr>
        <w:t xml:space="preserve">Uznanie autorstwa </w:t>
      </w:r>
      <w:hyperlink r:id="rId9" w:history="1">
        <w:proofErr w:type="spellStart"/>
        <w:r w:rsidRPr="0089290D">
          <w:rPr>
            <w:rStyle w:val="Hipercze"/>
            <w:rFonts w:ascii="Calibri" w:eastAsia="Calibri" w:hAnsi="Calibri" w:cs="Calibri"/>
            <w:color w:val="C00000"/>
            <w:spacing w:val="-8"/>
            <w:w w:val="111"/>
            <w:kern w:val="2"/>
            <w:sz w:val="28"/>
            <w:szCs w:val="24"/>
            <w:lang w:eastAsia="pl-PL"/>
            <w14:ligatures w14:val="standardContextual"/>
          </w:rPr>
          <w:t>Deed</w:t>
        </w:r>
        <w:proofErr w:type="spellEnd"/>
        <w:r w:rsidRPr="0089290D">
          <w:rPr>
            <w:rStyle w:val="Hipercze"/>
            <w:rFonts w:ascii="Calibri" w:eastAsia="Calibri" w:hAnsi="Calibri" w:cs="Calibri"/>
            <w:color w:val="C00000"/>
            <w:spacing w:val="-8"/>
            <w:w w:val="111"/>
            <w:kern w:val="2"/>
            <w:sz w:val="28"/>
            <w:szCs w:val="24"/>
            <w:lang w:eastAsia="pl-PL"/>
            <w14:ligatures w14:val="standardContextual"/>
          </w:rPr>
          <w:t xml:space="preserve"> – Uznanie autorstwa 4.0</w:t>
        </w:r>
      </w:hyperlink>
    </w:p>
    <w:p w14:paraId="50487652" w14:textId="38C31104" w:rsidR="005A6F58" w:rsidRPr="0089290D" w:rsidRDefault="005A6F58" w:rsidP="0089290D">
      <w:pPr>
        <w:spacing w:line="259" w:lineRule="auto"/>
        <w:rPr>
          <w:rFonts w:ascii="Calibri" w:eastAsia="Calibri" w:hAnsi="Calibri" w:cs="Calibri"/>
          <w:color w:val="C00000"/>
          <w:spacing w:val="-8"/>
          <w:w w:val="111"/>
          <w:kern w:val="2"/>
          <w:sz w:val="28"/>
          <w:szCs w:val="24"/>
          <w:lang w:eastAsia="pl-PL"/>
          <w14:ligatures w14:val="standardContextual"/>
        </w:rPr>
      </w:pPr>
      <w:hyperlink r:id="rId10" w:history="1">
        <w:r w:rsidRPr="0089290D">
          <w:rPr>
            <w:rStyle w:val="Hipercze"/>
            <w:rFonts w:ascii="Calibri" w:eastAsia="Calibri" w:hAnsi="Calibri" w:cs="Calibri"/>
            <w:color w:val="C00000"/>
            <w:spacing w:val="-8"/>
            <w:w w:val="111"/>
            <w:kern w:val="2"/>
            <w:sz w:val="28"/>
            <w:szCs w:val="24"/>
            <w:lang w:eastAsia="pl-PL"/>
            <w14:ligatures w14:val="standardContextual"/>
          </w:rPr>
          <w:t xml:space="preserve">Międzynarodowa – Creative </w:t>
        </w:r>
        <w:proofErr w:type="spellStart"/>
        <w:r w:rsidRPr="0089290D">
          <w:rPr>
            <w:rStyle w:val="Hipercze"/>
            <w:rFonts w:ascii="Calibri" w:eastAsia="Calibri" w:hAnsi="Calibri" w:cs="Calibri"/>
            <w:color w:val="C00000"/>
            <w:spacing w:val="-8"/>
            <w:w w:val="111"/>
            <w:kern w:val="2"/>
            <w:sz w:val="28"/>
            <w:szCs w:val="24"/>
            <w:lang w:eastAsia="pl-PL"/>
            <w14:ligatures w14:val="standardContextual"/>
          </w:rPr>
          <w:t>Commons</w:t>
        </w:r>
        <w:proofErr w:type="spellEnd"/>
      </w:hyperlink>
    </w:p>
    <w:p w14:paraId="2AC9E6B9" w14:textId="5662EF66" w:rsidR="005957AB" w:rsidRPr="00BF6615" w:rsidRDefault="003E6FFB" w:rsidP="007E26B5">
      <w:pPr>
        <w:spacing w:before="2040" w:after="480"/>
        <w:ind w:right="-561"/>
        <w:rPr>
          <w:rFonts w:cstheme="minorHAnsi"/>
          <w:b/>
          <w:bCs/>
          <w:color w:val="C00000"/>
          <w:sz w:val="32"/>
          <w:szCs w:val="28"/>
        </w:rPr>
      </w:pPr>
      <w:r w:rsidRPr="00BF6615">
        <w:rPr>
          <w:rFonts w:cstheme="minorHAnsi"/>
          <w:b/>
          <w:bCs/>
          <w:color w:val="C00000"/>
          <w:sz w:val="32"/>
          <w:szCs w:val="28"/>
        </w:rPr>
        <w:t>Warszawa / Wrocław / Rzeszów</w:t>
      </w:r>
      <w:r w:rsidR="008D03CE" w:rsidRPr="00BF6615">
        <w:rPr>
          <w:rFonts w:cstheme="minorHAnsi"/>
          <w:b/>
          <w:bCs/>
          <w:color w:val="C00000"/>
          <w:sz w:val="32"/>
          <w:szCs w:val="28"/>
        </w:rPr>
        <w:t xml:space="preserve">, </w:t>
      </w:r>
      <w:r w:rsidR="00A9492A" w:rsidRPr="00BF6615">
        <w:rPr>
          <w:rFonts w:cstheme="minorHAnsi"/>
          <w:b/>
          <w:bCs/>
          <w:color w:val="C00000"/>
          <w:sz w:val="32"/>
          <w:szCs w:val="28"/>
        </w:rPr>
        <w:t>lipiec</w:t>
      </w:r>
      <w:r w:rsidRPr="00BF6615">
        <w:rPr>
          <w:rFonts w:cstheme="minorHAnsi"/>
          <w:b/>
          <w:bCs/>
          <w:color w:val="C00000"/>
          <w:sz w:val="32"/>
          <w:szCs w:val="28"/>
        </w:rPr>
        <w:t xml:space="preserve"> </w:t>
      </w:r>
      <w:r w:rsidR="008D03CE" w:rsidRPr="00BF6615">
        <w:rPr>
          <w:rFonts w:cstheme="minorHAnsi"/>
          <w:b/>
          <w:bCs/>
          <w:color w:val="C00000"/>
          <w:sz w:val="32"/>
          <w:szCs w:val="28"/>
        </w:rPr>
        <w:t>202</w:t>
      </w:r>
      <w:r w:rsidRPr="00BF6615">
        <w:rPr>
          <w:rFonts w:cstheme="minorHAnsi"/>
          <w:b/>
          <w:bCs/>
          <w:color w:val="C00000"/>
          <w:sz w:val="32"/>
          <w:szCs w:val="28"/>
        </w:rPr>
        <w:t>5</w:t>
      </w:r>
      <w:r w:rsidR="008D03CE" w:rsidRPr="00BF6615">
        <w:rPr>
          <w:rFonts w:cstheme="minorHAnsi"/>
          <w:b/>
          <w:bCs/>
          <w:color w:val="C00000"/>
          <w:sz w:val="32"/>
          <w:szCs w:val="28"/>
        </w:rPr>
        <w:t xml:space="preserve"> r.</w:t>
      </w:r>
    </w:p>
    <w:p w14:paraId="6F2B0C85" w14:textId="41551F97" w:rsidR="00777C86" w:rsidRPr="00BF6615" w:rsidRDefault="00A537F0" w:rsidP="007E26B5">
      <w:pPr>
        <w:spacing w:before="1560" w:after="720"/>
        <w:ind w:right="-561"/>
        <w:rPr>
          <w:rFonts w:cstheme="minorHAnsi"/>
          <w:b/>
          <w:bCs/>
          <w:color w:val="C00000"/>
          <w:sz w:val="32"/>
          <w:szCs w:val="28"/>
        </w:rPr>
      </w:pPr>
      <w:r w:rsidRPr="00BF6615">
        <w:rPr>
          <w:rFonts w:cstheme="minorHAnsi"/>
          <w:b/>
          <w:bCs/>
          <w:noProof/>
          <w:color w:val="C00000"/>
          <w:sz w:val="32"/>
          <w:szCs w:val="28"/>
          <w:lang w:eastAsia="pl-PL"/>
        </w:rPr>
        <w:drawing>
          <wp:inline distT="0" distB="0" distL="0" distR="0" wp14:anchorId="79A9C974" wp14:editId="4512D502">
            <wp:extent cx="5943600" cy="665480"/>
            <wp:effectExtent l="0" t="0" r="0" b="1270"/>
            <wp:docPr id="494017138" name="Obraz 3" descr="Pasek logo: &#10;- Fundusze Europejskie dla Rozwoju Społecznego&#10;- Rzeczpospolita Polska&#10;-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17138" name="Obraz 3" descr="Pasek logo: &#10;- Fundusze Europejskie dla Rozwoju Społecznego&#10;- Rzeczpospolita Polska&#10;- Dofinansowane przez Unię Europejską"/>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65480"/>
                    </a:xfrm>
                    <a:prstGeom prst="rect">
                      <a:avLst/>
                    </a:prstGeom>
                  </pic:spPr>
                </pic:pic>
              </a:graphicData>
            </a:graphic>
          </wp:inline>
        </w:drawing>
      </w:r>
    </w:p>
    <w:p w14:paraId="6E0F082D" w14:textId="4C4766B3" w:rsidR="007D7D9D" w:rsidRPr="00BF6615" w:rsidRDefault="00DA099B" w:rsidP="007E26B5">
      <w:pPr>
        <w:pageBreakBefore/>
        <w:rPr>
          <w:rFonts w:cstheme="minorHAnsi"/>
        </w:rPr>
      </w:pPr>
      <w:r w:rsidRPr="00BF6615">
        <w:rPr>
          <w:rFonts w:cstheme="minorHAnsi"/>
        </w:rPr>
        <w:lastRenderedPageBreak/>
        <w:t>R</w:t>
      </w:r>
      <w:r w:rsidR="002B72D7" w:rsidRPr="00BF6615">
        <w:rPr>
          <w:rFonts w:cstheme="minorHAnsi"/>
        </w:rPr>
        <w:t xml:space="preserve">aport powstał na zlecenie </w:t>
      </w:r>
      <w:r w:rsidR="009C1B71" w:rsidRPr="00BF6615">
        <w:rPr>
          <w:rFonts w:cstheme="minorHAnsi"/>
        </w:rPr>
        <w:t xml:space="preserve">Ministerstwa </w:t>
      </w:r>
      <w:r w:rsidR="007D7D9D" w:rsidRPr="00BF6615">
        <w:rPr>
          <w:rFonts w:cstheme="minorHAnsi"/>
        </w:rPr>
        <w:t xml:space="preserve">Cyfryzacji w ramach projektu pt.: </w:t>
      </w:r>
      <w:r w:rsidR="007D7D9D" w:rsidRPr="00BF6615">
        <w:rPr>
          <w:rFonts w:cstheme="minorHAnsi"/>
          <w:i/>
          <w:iCs/>
        </w:rPr>
        <w:t>Sieć dostępności cyfrowej – wsparcie systemowego wdrażania dostępności cyfrowej w podmiotach publicznych</w:t>
      </w:r>
      <w:r w:rsidR="007D7D9D" w:rsidRPr="00BF6615">
        <w:rPr>
          <w:rFonts w:cstheme="minorHAnsi"/>
        </w:rPr>
        <w:t xml:space="preserve"> realizowanego w ramach Programu Fundusze Europejskie dla Rozwoju Społecznego 2021</w:t>
      </w:r>
      <w:r w:rsidR="00A2713E" w:rsidRPr="00BF6615">
        <w:rPr>
          <w:rFonts w:cstheme="minorHAnsi"/>
        </w:rPr>
        <w:t xml:space="preserve"> -</w:t>
      </w:r>
      <w:r w:rsidR="007D7D9D" w:rsidRPr="00BF6615">
        <w:rPr>
          <w:rFonts w:cstheme="minorHAnsi"/>
        </w:rPr>
        <w:t>2027.</w:t>
      </w:r>
    </w:p>
    <w:p w14:paraId="535A1044" w14:textId="31B09237" w:rsidR="001011C3" w:rsidRPr="00BF6615" w:rsidRDefault="00D83A27" w:rsidP="007E26B5">
      <w:pPr>
        <w:spacing w:before="360" w:after="240"/>
        <w:rPr>
          <w:rFonts w:cstheme="minorHAnsi"/>
          <w:b/>
          <w:bCs/>
          <w:color w:val="C00000"/>
        </w:rPr>
      </w:pPr>
      <w:r w:rsidRPr="00BF6615">
        <w:rPr>
          <w:rFonts w:cstheme="minorHAnsi"/>
          <w:b/>
          <w:bCs/>
          <w:color w:val="C00000"/>
        </w:rPr>
        <w:t>Autorka wiodąca</w:t>
      </w:r>
      <w:r w:rsidR="00F84CD5" w:rsidRPr="00BF6615">
        <w:rPr>
          <w:rFonts w:cstheme="minorHAnsi"/>
          <w:b/>
          <w:bCs/>
          <w:color w:val="C00000"/>
        </w:rPr>
        <w:t>, redakcja merytoryczna</w:t>
      </w:r>
    </w:p>
    <w:p w14:paraId="77BDB5FE" w14:textId="77777777" w:rsidR="007D7D9D" w:rsidRPr="00BF6615" w:rsidRDefault="004C2269" w:rsidP="007E26B5">
      <w:pPr>
        <w:tabs>
          <w:tab w:val="left" w:pos="4678"/>
        </w:tabs>
        <w:spacing w:after="0"/>
        <w:rPr>
          <w:rFonts w:cstheme="minorHAnsi"/>
        </w:rPr>
      </w:pPr>
      <w:r w:rsidRPr="00BF6615">
        <w:rPr>
          <w:rFonts w:cstheme="minorHAnsi"/>
        </w:rPr>
        <w:t>Agata Gawska</w:t>
      </w:r>
    </w:p>
    <w:p w14:paraId="76ED9D1B" w14:textId="3AC24E14" w:rsidR="00F84CD5" w:rsidRPr="00BF6615" w:rsidRDefault="00F84CD5" w:rsidP="007E26B5">
      <w:pPr>
        <w:spacing w:before="360" w:after="240"/>
        <w:rPr>
          <w:rFonts w:cstheme="minorHAnsi"/>
          <w:b/>
          <w:bCs/>
          <w:color w:val="C00000"/>
        </w:rPr>
      </w:pPr>
      <w:r w:rsidRPr="00BF6615">
        <w:rPr>
          <w:rFonts w:cstheme="minorHAnsi"/>
          <w:b/>
          <w:bCs/>
          <w:color w:val="C00000"/>
        </w:rPr>
        <w:t>Współautorzy</w:t>
      </w:r>
    </w:p>
    <w:p w14:paraId="62CA1420" w14:textId="77777777" w:rsidR="00751264" w:rsidRPr="00BF6615" w:rsidRDefault="00751264" w:rsidP="007E26B5">
      <w:pPr>
        <w:tabs>
          <w:tab w:val="left" w:pos="4678"/>
        </w:tabs>
        <w:spacing w:after="0"/>
        <w:rPr>
          <w:rFonts w:cstheme="minorHAnsi"/>
        </w:rPr>
      </w:pPr>
      <w:r w:rsidRPr="00BF6615">
        <w:rPr>
          <w:rFonts w:cstheme="minorHAnsi"/>
        </w:rPr>
        <w:t xml:space="preserve">Bartłomiej Marcin </w:t>
      </w:r>
      <w:proofErr w:type="spellStart"/>
      <w:r w:rsidRPr="00BF6615">
        <w:rPr>
          <w:rFonts w:cstheme="minorHAnsi"/>
        </w:rPr>
        <w:t>Kazubski</w:t>
      </w:r>
      <w:proofErr w:type="spellEnd"/>
    </w:p>
    <w:p w14:paraId="3ECBD3FC" w14:textId="0EED1A4D" w:rsidR="00902FF8" w:rsidRPr="00BF6615" w:rsidRDefault="00902FF8" w:rsidP="007E26B5">
      <w:pPr>
        <w:tabs>
          <w:tab w:val="left" w:pos="4678"/>
        </w:tabs>
        <w:spacing w:after="0"/>
        <w:rPr>
          <w:rFonts w:cstheme="minorHAnsi"/>
        </w:rPr>
      </w:pPr>
      <w:r w:rsidRPr="00BF6615">
        <w:rPr>
          <w:rFonts w:cstheme="minorHAnsi"/>
        </w:rPr>
        <w:t>Magdalena Marciniak</w:t>
      </w:r>
      <w:r w:rsidR="00A2713E" w:rsidRPr="00BF6615">
        <w:rPr>
          <w:rFonts w:cstheme="minorHAnsi"/>
        </w:rPr>
        <w:t xml:space="preserve"> -</w:t>
      </w:r>
      <w:r w:rsidRPr="00BF6615">
        <w:rPr>
          <w:rFonts w:cstheme="minorHAnsi"/>
        </w:rPr>
        <w:t>Piotrowska</w:t>
      </w:r>
    </w:p>
    <w:p w14:paraId="66E3DFF6" w14:textId="36AFD018" w:rsidR="002B72D7" w:rsidRPr="00BF6615" w:rsidRDefault="007D7D9D" w:rsidP="007E26B5">
      <w:pPr>
        <w:tabs>
          <w:tab w:val="left" w:pos="4678"/>
        </w:tabs>
        <w:spacing w:after="0"/>
        <w:rPr>
          <w:rFonts w:cstheme="minorHAnsi"/>
        </w:rPr>
      </w:pPr>
      <w:r w:rsidRPr="00BF6615">
        <w:rPr>
          <w:rFonts w:cstheme="minorHAnsi"/>
        </w:rPr>
        <w:t>Maciej Piotrowski</w:t>
      </w:r>
    </w:p>
    <w:p w14:paraId="2F0C9063" w14:textId="48620487" w:rsidR="00F84CD5" w:rsidRPr="00BF6615" w:rsidRDefault="00F84CD5" w:rsidP="007E26B5">
      <w:pPr>
        <w:spacing w:before="360" w:after="240"/>
        <w:rPr>
          <w:rFonts w:cstheme="minorHAnsi"/>
          <w:b/>
          <w:bCs/>
          <w:color w:val="C00000"/>
        </w:rPr>
      </w:pPr>
      <w:r w:rsidRPr="00BF6615">
        <w:rPr>
          <w:rFonts w:cstheme="minorHAnsi"/>
          <w:b/>
          <w:bCs/>
          <w:color w:val="C00000"/>
        </w:rPr>
        <w:t>Zespół badawczy</w:t>
      </w:r>
    </w:p>
    <w:p w14:paraId="66A75C8D" w14:textId="77777777" w:rsidR="009D34F1" w:rsidRPr="00BF6615" w:rsidRDefault="009D34F1" w:rsidP="007E26B5">
      <w:pPr>
        <w:tabs>
          <w:tab w:val="left" w:pos="4678"/>
        </w:tabs>
        <w:spacing w:after="0"/>
        <w:rPr>
          <w:rFonts w:cstheme="minorHAnsi"/>
        </w:rPr>
      </w:pPr>
      <w:r w:rsidRPr="00BF6615">
        <w:rPr>
          <w:rFonts w:cstheme="minorHAnsi"/>
        </w:rPr>
        <w:t xml:space="preserve">Jakub </w:t>
      </w:r>
      <w:proofErr w:type="spellStart"/>
      <w:r w:rsidRPr="00BF6615">
        <w:rPr>
          <w:rFonts w:cstheme="minorHAnsi"/>
        </w:rPr>
        <w:t>Durlik</w:t>
      </w:r>
      <w:proofErr w:type="spellEnd"/>
    </w:p>
    <w:p w14:paraId="7819D2DE" w14:textId="541C8F04" w:rsidR="00F84CD5" w:rsidRPr="00BF6615" w:rsidRDefault="00F84CD5" w:rsidP="007E26B5">
      <w:pPr>
        <w:tabs>
          <w:tab w:val="left" w:pos="4678"/>
        </w:tabs>
        <w:spacing w:after="0"/>
        <w:rPr>
          <w:rFonts w:cstheme="minorHAnsi"/>
        </w:rPr>
      </w:pPr>
      <w:r w:rsidRPr="00BF6615">
        <w:rPr>
          <w:rFonts w:cstheme="minorHAnsi"/>
        </w:rPr>
        <w:t>Agata Gawska</w:t>
      </w:r>
    </w:p>
    <w:p w14:paraId="6CA169BE" w14:textId="4CB9D1BA" w:rsidR="00650D56" w:rsidRPr="00BF6615" w:rsidRDefault="00650D56" w:rsidP="007E26B5">
      <w:pPr>
        <w:tabs>
          <w:tab w:val="left" w:pos="4678"/>
        </w:tabs>
        <w:spacing w:after="0"/>
        <w:rPr>
          <w:rFonts w:cstheme="minorHAnsi"/>
        </w:rPr>
      </w:pPr>
      <w:r w:rsidRPr="00BF6615">
        <w:rPr>
          <w:rFonts w:cstheme="minorHAnsi"/>
        </w:rPr>
        <w:t>Grzegorz Jokiel</w:t>
      </w:r>
    </w:p>
    <w:p w14:paraId="3847C51D" w14:textId="77777777" w:rsidR="009D34F1" w:rsidRPr="00BF6615" w:rsidRDefault="009D34F1" w:rsidP="007E26B5">
      <w:pPr>
        <w:tabs>
          <w:tab w:val="left" w:pos="4678"/>
        </w:tabs>
        <w:spacing w:after="0"/>
        <w:rPr>
          <w:rFonts w:cstheme="minorHAnsi"/>
        </w:rPr>
      </w:pPr>
      <w:r w:rsidRPr="00BF6615">
        <w:rPr>
          <w:rFonts w:cstheme="minorHAnsi"/>
        </w:rPr>
        <w:t xml:space="preserve">Bartłomiej Marcin </w:t>
      </w:r>
      <w:proofErr w:type="spellStart"/>
      <w:r w:rsidRPr="00BF6615">
        <w:rPr>
          <w:rFonts w:cstheme="minorHAnsi"/>
        </w:rPr>
        <w:t>Kazubski</w:t>
      </w:r>
      <w:proofErr w:type="spellEnd"/>
    </w:p>
    <w:p w14:paraId="3461A853" w14:textId="35DFC5C1" w:rsidR="009D34F1" w:rsidRPr="00BF6615" w:rsidRDefault="009D34F1" w:rsidP="007E26B5">
      <w:pPr>
        <w:tabs>
          <w:tab w:val="left" w:pos="4678"/>
        </w:tabs>
        <w:spacing w:after="0"/>
        <w:rPr>
          <w:rFonts w:cstheme="minorHAnsi"/>
        </w:rPr>
      </w:pPr>
      <w:r w:rsidRPr="00BF6615">
        <w:rPr>
          <w:rFonts w:cstheme="minorHAnsi"/>
        </w:rPr>
        <w:t>Magdalena Marciniak</w:t>
      </w:r>
      <w:r w:rsidR="00A2713E" w:rsidRPr="00BF6615">
        <w:rPr>
          <w:rFonts w:cstheme="minorHAnsi"/>
        </w:rPr>
        <w:t xml:space="preserve"> -</w:t>
      </w:r>
      <w:r w:rsidRPr="00BF6615">
        <w:rPr>
          <w:rFonts w:cstheme="minorHAnsi"/>
        </w:rPr>
        <w:t>Piotrowska</w:t>
      </w:r>
    </w:p>
    <w:p w14:paraId="21835A3C" w14:textId="77777777" w:rsidR="009D34F1" w:rsidRPr="00BF6615" w:rsidRDefault="009D34F1" w:rsidP="007E26B5">
      <w:pPr>
        <w:tabs>
          <w:tab w:val="left" w:pos="4678"/>
        </w:tabs>
        <w:spacing w:after="0"/>
        <w:rPr>
          <w:rFonts w:cstheme="minorHAnsi"/>
        </w:rPr>
      </w:pPr>
      <w:r w:rsidRPr="00BF6615">
        <w:rPr>
          <w:rFonts w:cstheme="minorHAnsi"/>
        </w:rPr>
        <w:t>Maciej Piotrowski</w:t>
      </w:r>
    </w:p>
    <w:p w14:paraId="4517F761" w14:textId="47C189B9" w:rsidR="002B72D7" w:rsidRPr="00BF6615" w:rsidRDefault="002B72D7" w:rsidP="007E26B5">
      <w:pPr>
        <w:spacing w:before="360" w:after="240"/>
        <w:rPr>
          <w:rFonts w:cstheme="minorHAnsi"/>
          <w:b/>
          <w:bCs/>
          <w:color w:val="C00000"/>
        </w:rPr>
      </w:pPr>
      <w:r w:rsidRPr="00BF6615">
        <w:rPr>
          <w:rFonts w:cstheme="minorHAnsi"/>
          <w:b/>
          <w:bCs/>
          <w:color w:val="C00000"/>
        </w:rPr>
        <w:t>Realizacja</w:t>
      </w:r>
      <w:r w:rsidR="00235C58" w:rsidRPr="00BF6615">
        <w:rPr>
          <w:rFonts w:cstheme="minorHAnsi"/>
          <w:b/>
          <w:bCs/>
          <w:color w:val="C00000"/>
        </w:rPr>
        <w:tab/>
      </w:r>
    </w:p>
    <w:p w14:paraId="1B1610ED" w14:textId="77A01AB5" w:rsidR="005114D0" w:rsidRPr="00BF6615" w:rsidRDefault="002B72D7" w:rsidP="007E26B5">
      <w:pPr>
        <w:tabs>
          <w:tab w:val="left" w:pos="4678"/>
        </w:tabs>
        <w:spacing w:after="0"/>
        <w:rPr>
          <w:rFonts w:cstheme="minorHAnsi"/>
        </w:rPr>
      </w:pPr>
      <w:r w:rsidRPr="00BF6615">
        <w:rPr>
          <w:rFonts w:cstheme="minorHAnsi"/>
        </w:rPr>
        <w:t xml:space="preserve">Innoreg Sp. z o.o. </w:t>
      </w:r>
      <w:r w:rsidR="005114D0" w:rsidRPr="00BF6615">
        <w:rPr>
          <w:rFonts w:cstheme="minorHAnsi"/>
        </w:rPr>
        <w:tab/>
      </w:r>
      <w:r w:rsidR="0002788D" w:rsidRPr="00BF6615">
        <w:rPr>
          <w:rFonts w:cstheme="minorHAnsi"/>
        </w:rPr>
        <w:t>Grupa Badawcza DSC Sp. z o.o.</w:t>
      </w:r>
    </w:p>
    <w:p w14:paraId="40F75EE2" w14:textId="187C1EF2" w:rsidR="002B72D7" w:rsidRPr="00BF6615" w:rsidRDefault="002B72D7" w:rsidP="007E26B5">
      <w:pPr>
        <w:tabs>
          <w:tab w:val="left" w:pos="4678"/>
        </w:tabs>
        <w:spacing w:after="0"/>
        <w:rPr>
          <w:rFonts w:cstheme="minorHAnsi"/>
        </w:rPr>
      </w:pPr>
      <w:r w:rsidRPr="00BF6615">
        <w:rPr>
          <w:rFonts w:cstheme="minorHAnsi"/>
        </w:rPr>
        <w:t xml:space="preserve">ul. J. Kukuczki 124 </w:t>
      </w:r>
      <w:r w:rsidRPr="00BF6615">
        <w:rPr>
          <w:rFonts w:cstheme="minorHAnsi"/>
        </w:rPr>
        <w:tab/>
      </w:r>
      <w:r w:rsidR="0002788D" w:rsidRPr="00BF6615">
        <w:rPr>
          <w:rFonts w:cstheme="minorHAnsi"/>
        </w:rPr>
        <w:t xml:space="preserve">ul. </w:t>
      </w:r>
      <w:r w:rsidR="00381CF4" w:rsidRPr="00BF6615">
        <w:rPr>
          <w:rFonts w:cstheme="minorHAnsi"/>
        </w:rPr>
        <w:t>Aleksandra Ostrowskiego 30</w:t>
      </w:r>
    </w:p>
    <w:p w14:paraId="6CFFDE3D" w14:textId="2540A889" w:rsidR="002B72D7" w:rsidRPr="00BF6615" w:rsidRDefault="002B72D7" w:rsidP="007E26B5">
      <w:pPr>
        <w:tabs>
          <w:tab w:val="left" w:pos="4678"/>
        </w:tabs>
        <w:spacing w:after="0"/>
        <w:rPr>
          <w:rFonts w:cstheme="minorHAnsi"/>
        </w:rPr>
      </w:pPr>
      <w:r w:rsidRPr="00BF6615">
        <w:rPr>
          <w:rFonts w:cstheme="minorHAnsi"/>
        </w:rPr>
        <w:t>35–330 Rzeszów</w:t>
      </w:r>
      <w:r w:rsidRPr="00BF6615">
        <w:rPr>
          <w:rFonts w:cstheme="minorHAnsi"/>
        </w:rPr>
        <w:tab/>
      </w:r>
      <w:r w:rsidR="00381CF4" w:rsidRPr="00BF6615">
        <w:rPr>
          <w:rFonts w:cstheme="minorHAnsi"/>
        </w:rPr>
        <w:t>53</w:t>
      </w:r>
      <w:r w:rsidR="00A2713E" w:rsidRPr="00BF6615">
        <w:rPr>
          <w:rFonts w:cstheme="minorHAnsi"/>
        </w:rPr>
        <w:t xml:space="preserve"> -</w:t>
      </w:r>
      <w:r w:rsidR="00381CF4" w:rsidRPr="00BF6615">
        <w:rPr>
          <w:rFonts w:cstheme="minorHAnsi"/>
        </w:rPr>
        <w:t>238 Wrocław</w:t>
      </w:r>
    </w:p>
    <w:p w14:paraId="2EFDB7B5" w14:textId="3AFE1F4E" w:rsidR="002B72D7" w:rsidRPr="00BF6615" w:rsidRDefault="002B72D7" w:rsidP="007E26B5">
      <w:pPr>
        <w:tabs>
          <w:tab w:val="left" w:pos="4678"/>
        </w:tabs>
        <w:spacing w:after="0"/>
        <w:rPr>
          <w:rFonts w:cstheme="minorHAnsi"/>
        </w:rPr>
      </w:pPr>
      <w:r w:rsidRPr="00BF6615">
        <w:rPr>
          <w:rFonts w:cstheme="minorHAnsi"/>
        </w:rPr>
        <w:t xml:space="preserve">E–mail: </w:t>
      </w:r>
      <w:r w:rsidRPr="00BF6615">
        <w:rPr>
          <w:rFonts w:cstheme="minorHAnsi"/>
          <w:color w:val="C00000"/>
        </w:rPr>
        <w:t xml:space="preserve">biuro@innoreg.pl </w:t>
      </w:r>
      <w:r w:rsidRPr="00BF6615">
        <w:rPr>
          <w:rFonts w:cstheme="minorHAnsi"/>
        </w:rPr>
        <w:tab/>
        <w:t xml:space="preserve">E–mail: </w:t>
      </w:r>
      <w:proofErr w:type="spellStart"/>
      <w:r w:rsidR="00567DFA" w:rsidRPr="00BF6615">
        <w:rPr>
          <w:rFonts w:cstheme="minorHAnsi"/>
          <w:color w:val="C00000"/>
        </w:rPr>
        <w:t>b.kazubski@grupa</w:t>
      </w:r>
      <w:proofErr w:type="spellEnd"/>
      <w:r w:rsidR="00A2713E" w:rsidRPr="00BF6615">
        <w:rPr>
          <w:rFonts w:cstheme="minorHAnsi"/>
          <w:color w:val="C00000"/>
        </w:rPr>
        <w:t xml:space="preserve"> -</w:t>
      </w:r>
      <w:r w:rsidR="00567DFA" w:rsidRPr="00BF6615">
        <w:rPr>
          <w:rFonts w:cstheme="minorHAnsi"/>
          <w:color w:val="C00000"/>
        </w:rPr>
        <w:t>dsc.eu</w:t>
      </w:r>
    </w:p>
    <w:p w14:paraId="68CFBAEA" w14:textId="27EE5CFE" w:rsidR="004B0100" w:rsidRPr="00BF6615" w:rsidRDefault="002B72D7" w:rsidP="007E26B5">
      <w:pPr>
        <w:tabs>
          <w:tab w:val="left" w:pos="4678"/>
        </w:tabs>
        <w:spacing w:after="0"/>
        <w:rPr>
          <w:rFonts w:cstheme="minorHAnsi"/>
          <w:color w:val="C00000"/>
        </w:rPr>
      </w:pPr>
      <w:r w:rsidRPr="00BF6615">
        <w:rPr>
          <w:rFonts w:cstheme="minorHAnsi"/>
        </w:rPr>
        <w:t xml:space="preserve">WWW: </w:t>
      </w:r>
      <w:r w:rsidRPr="00BF6615">
        <w:rPr>
          <w:rFonts w:cstheme="minorHAnsi"/>
          <w:color w:val="C00000"/>
        </w:rPr>
        <w:t xml:space="preserve">www.innoreg.pl </w:t>
      </w:r>
      <w:r w:rsidRPr="00BF6615">
        <w:rPr>
          <w:rFonts w:cstheme="minorHAnsi"/>
          <w:color w:val="C00000"/>
        </w:rPr>
        <w:tab/>
      </w:r>
      <w:r w:rsidRPr="00BF6615">
        <w:rPr>
          <w:rFonts w:cstheme="minorHAnsi"/>
        </w:rPr>
        <w:t xml:space="preserve">WWW: </w:t>
      </w:r>
      <w:r w:rsidR="0074058B" w:rsidRPr="00BF6615">
        <w:rPr>
          <w:rFonts w:cstheme="minorHAnsi"/>
          <w:color w:val="C00000"/>
        </w:rPr>
        <w:t>www.</w:t>
      </w:r>
      <w:r w:rsidR="00EF08BC" w:rsidRPr="00BF6615">
        <w:rPr>
          <w:rFonts w:cstheme="minorHAnsi"/>
          <w:color w:val="C00000"/>
        </w:rPr>
        <w:t>grupa</w:t>
      </w:r>
      <w:r w:rsidR="00A2713E" w:rsidRPr="00BF6615">
        <w:rPr>
          <w:rFonts w:cstheme="minorHAnsi"/>
          <w:color w:val="C00000"/>
        </w:rPr>
        <w:t xml:space="preserve"> -</w:t>
      </w:r>
      <w:r w:rsidR="00EF08BC" w:rsidRPr="00BF6615">
        <w:rPr>
          <w:rFonts w:cstheme="minorHAnsi"/>
          <w:color w:val="C00000"/>
        </w:rPr>
        <w:t>dsc.eu</w:t>
      </w:r>
      <w:r w:rsidR="00A32CD7" w:rsidRPr="00BF6615">
        <w:rPr>
          <w:rFonts w:cstheme="minorHAnsi"/>
          <w:color w:val="C00000"/>
        </w:rPr>
        <w:t xml:space="preserve"> </w:t>
      </w:r>
    </w:p>
    <w:p w14:paraId="0ADF83C2" w14:textId="77777777" w:rsidR="002471B7" w:rsidRPr="00BF6615" w:rsidRDefault="002471B7" w:rsidP="007E26B5">
      <w:pPr>
        <w:tabs>
          <w:tab w:val="left" w:pos="4678"/>
        </w:tabs>
        <w:spacing w:after="0"/>
        <w:rPr>
          <w:rFonts w:cstheme="minorHAnsi"/>
          <w:color w:val="C00000"/>
        </w:rPr>
      </w:pPr>
    </w:p>
    <w:p w14:paraId="7F004839" w14:textId="77777777" w:rsidR="002471B7" w:rsidRPr="00BF6615" w:rsidRDefault="002471B7" w:rsidP="007E26B5">
      <w:pPr>
        <w:spacing w:after="160"/>
        <w:rPr>
          <w:rFonts w:cstheme="minorHAnsi"/>
          <w:b/>
          <w:color w:val="C00000"/>
          <w:sz w:val="52"/>
          <w:szCs w:val="48"/>
        </w:rPr>
      </w:pPr>
      <w:r w:rsidRPr="00BF6615">
        <w:rPr>
          <w:rFonts w:cstheme="minorHAnsi"/>
          <w:b/>
          <w:color w:val="C00000"/>
          <w:sz w:val="52"/>
          <w:szCs w:val="48"/>
        </w:rPr>
        <w:br w:type="page"/>
      </w:r>
    </w:p>
    <w:p w14:paraId="1F6559EF" w14:textId="1410CA63" w:rsidR="00352609" w:rsidRPr="00BF6615" w:rsidRDefault="00C76E5C" w:rsidP="00C565B4">
      <w:pPr>
        <w:pageBreakBefore/>
      </w:pPr>
      <w:bookmarkStart w:id="1" w:name="_Toc187133449"/>
      <w:bookmarkStart w:id="2" w:name="_Toc188482364"/>
      <w:r w:rsidRPr="00BF6615">
        <w:rPr>
          <w:rFonts w:cstheme="minorHAnsi"/>
          <w:b/>
          <w:bCs/>
          <w:color w:val="C00000"/>
          <w:sz w:val="36"/>
          <w:szCs w:val="32"/>
        </w:rPr>
        <w:lastRenderedPageBreak/>
        <w:t>Spis treści</w:t>
      </w:r>
    </w:p>
    <w:sdt>
      <w:sdtPr>
        <w:rPr>
          <w:rFonts w:asciiTheme="minorHAnsi" w:eastAsiaTheme="minorEastAsia" w:hAnsiTheme="minorHAnsi" w:cstheme="minorBidi"/>
          <w:color w:val="auto"/>
          <w:sz w:val="24"/>
          <w:szCs w:val="24"/>
          <w:lang w:val="pl-PL"/>
        </w:rPr>
        <w:id w:val="1752002045"/>
        <w:docPartObj>
          <w:docPartGallery w:val="Table of Contents"/>
          <w:docPartUnique/>
        </w:docPartObj>
      </w:sdtPr>
      <w:sdtEndPr>
        <w:rPr>
          <w:b/>
          <w:bCs/>
        </w:rPr>
      </w:sdtEndPr>
      <w:sdtContent>
        <w:p w14:paraId="7E01CEF7" w14:textId="75452645" w:rsidR="00086D29" w:rsidRPr="00BF6615" w:rsidRDefault="00086D29" w:rsidP="007E26B5">
          <w:pPr>
            <w:pStyle w:val="Nagwekspisutreci"/>
            <w:spacing w:line="276" w:lineRule="auto"/>
            <w:rPr>
              <w:rFonts w:asciiTheme="minorHAnsi" w:hAnsiTheme="minorHAnsi" w:cstheme="minorHAnsi"/>
            </w:rPr>
          </w:pPr>
        </w:p>
        <w:p w14:paraId="05938698" w14:textId="33D86209" w:rsidR="00C565B4" w:rsidRDefault="00352609" w:rsidP="00C565B4">
          <w:pPr>
            <w:pStyle w:val="Spistreci1"/>
            <w:rPr>
              <w:rFonts w:eastAsiaTheme="minorEastAsia"/>
              <w:b w:val="0"/>
              <w:bCs w:val="0"/>
              <w:color w:val="auto"/>
              <w:kern w:val="2"/>
              <w:szCs w:val="24"/>
              <w:lang w:val="en-US"/>
              <w14:ligatures w14:val="standardContextual"/>
            </w:rPr>
          </w:pPr>
          <w:r>
            <w:rPr>
              <w:rFonts w:cstheme="minorHAnsi"/>
              <w:b w:val="0"/>
              <w:bCs w:val="0"/>
            </w:rPr>
            <w:fldChar w:fldCharType="begin"/>
          </w:r>
          <w:r>
            <w:rPr>
              <w:rFonts w:cstheme="minorHAnsi"/>
              <w:b w:val="0"/>
              <w:bCs w:val="0"/>
            </w:rPr>
            <w:instrText xml:space="preserve"> TOC \o "1-3" \h \z \u </w:instrText>
          </w:r>
          <w:r>
            <w:rPr>
              <w:rFonts w:cstheme="minorHAnsi"/>
              <w:b w:val="0"/>
              <w:bCs w:val="0"/>
            </w:rPr>
            <w:fldChar w:fldCharType="separate"/>
          </w:r>
          <w:hyperlink w:anchor="_Toc204179209" w:history="1">
            <w:r w:rsidR="00C565B4" w:rsidRPr="0065301F">
              <w:rPr>
                <w:rStyle w:val="Hipercze"/>
              </w:rPr>
              <w:t>I.</w:t>
            </w:r>
            <w:r w:rsidR="00C565B4">
              <w:rPr>
                <w:rFonts w:eastAsiaTheme="minorEastAsia"/>
                <w:b w:val="0"/>
                <w:bCs w:val="0"/>
                <w:color w:val="auto"/>
                <w:kern w:val="2"/>
                <w:szCs w:val="24"/>
                <w:lang w:val="en-US"/>
                <w14:ligatures w14:val="standardContextual"/>
              </w:rPr>
              <w:tab/>
            </w:r>
            <w:r w:rsidR="00C565B4" w:rsidRPr="0065301F">
              <w:rPr>
                <w:rStyle w:val="Hipercze"/>
              </w:rPr>
              <w:t>Wprowadzenie do badań</w:t>
            </w:r>
            <w:r w:rsidR="00C565B4">
              <w:rPr>
                <w:webHidden/>
              </w:rPr>
              <w:tab/>
            </w:r>
            <w:r w:rsidR="00C565B4">
              <w:rPr>
                <w:webHidden/>
              </w:rPr>
              <w:fldChar w:fldCharType="begin"/>
            </w:r>
            <w:r w:rsidR="00C565B4">
              <w:rPr>
                <w:webHidden/>
              </w:rPr>
              <w:instrText xml:space="preserve"> PAGEREF _Toc204179209 \h </w:instrText>
            </w:r>
            <w:r w:rsidR="00C565B4">
              <w:rPr>
                <w:webHidden/>
              </w:rPr>
            </w:r>
            <w:r w:rsidR="00C565B4">
              <w:rPr>
                <w:webHidden/>
              </w:rPr>
              <w:fldChar w:fldCharType="separate"/>
            </w:r>
            <w:r w:rsidR="0089290D">
              <w:rPr>
                <w:webHidden/>
              </w:rPr>
              <w:t>5</w:t>
            </w:r>
            <w:r w:rsidR="00C565B4">
              <w:rPr>
                <w:webHidden/>
              </w:rPr>
              <w:fldChar w:fldCharType="end"/>
            </w:r>
          </w:hyperlink>
        </w:p>
        <w:p w14:paraId="079F18BE" w14:textId="131145AB"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10" w:history="1">
            <w:r w:rsidRPr="0065301F">
              <w:rPr>
                <w:rStyle w:val="Hipercze"/>
              </w:rPr>
              <w:t>1.</w:t>
            </w:r>
            <w:r>
              <w:rPr>
                <w:rFonts w:eastAsiaTheme="minorEastAsia"/>
                <w:b w:val="0"/>
                <w:bCs w:val="0"/>
                <w:color w:val="auto"/>
                <w:kern w:val="2"/>
                <w:szCs w:val="24"/>
                <w:lang w:val="en-US"/>
                <w14:ligatures w14:val="standardContextual"/>
              </w:rPr>
              <w:tab/>
            </w:r>
            <w:r w:rsidRPr="0065301F">
              <w:rPr>
                <w:rStyle w:val="Hipercze"/>
              </w:rPr>
              <w:t>Abstrakt</w:t>
            </w:r>
            <w:r>
              <w:rPr>
                <w:webHidden/>
              </w:rPr>
              <w:tab/>
            </w:r>
            <w:r>
              <w:rPr>
                <w:webHidden/>
              </w:rPr>
              <w:fldChar w:fldCharType="begin"/>
            </w:r>
            <w:r>
              <w:rPr>
                <w:webHidden/>
              </w:rPr>
              <w:instrText xml:space="preserve"> PAGEREF _Toc204179210 \h </w:instrText>
            </w:r>
            <w:r>
              <w:rPr>
                <w:webHidden/>
              </w:rPr>
            </w:r>
            <w:r>
              <w:rPr>
                <w:webHidden/>
              </w:rPr>
              <w:fldChar w:fldCharType="separate"/>
            </w:r>
            <w:r w:rsidR="0089290D">
              <w:rPr>
                <w:webHidden/>
              </w:rPr>
              <w:t>5</w:t>
            </w:r>
            <w:r>
              <w:rPr>
                <w:webHidden/>
              </w:rPr>
              <w:fldChar w:fldCharType="end"/>
            </w:r>
          </w:hyperlink>
        </w:p>
        <w:p w14:paraId="7D84D8DF" w14:textId="0E38037A"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11" w:history="1">
            <w:r w:rsidRPr="0065301F">
              <w:rPr>
                <w:rStyle w:val="Hipercze"/>
              </w:rPr>
              <w:t>2.</w:t>
            </w:r>
            <w:r>
              <w:rPr>
                <w:rFonts w:eastAsiaTheme="minorEastAsia"/>
                <w:b w:val="0"/>
                <w:bCs w:val="0"/>
                <w:color w:val="auto"/>
                <w:kern w:val="2"/>
                <w:szCs w:val="24"/>
                <w:lang w:val="en-US"/>
                <w14:ligatures w14:val="standardContextual"/>
              </w:rPr>
              <w:tab/>
            </w:r>
            <w:r w:rsidRPr="0065301F">
              <w:rPr>
                <w:rStyle w:val="Hipercze"/>
              </w:rPr>
              <w:t>Kontekst badania</w:t>
            </w:r>
            <w:r>
              <w:rPr>
                <w:webHidden/>
              </w:rPr>
              <w:tab/>
            </w:r>
            <w:r>
              <w:rPr>
                <w:webHidden/>
              </w:rPr>
              <w:fldChar w:fldCharType="begin"/>
            </w:r>
            <w:r>
              <w:rPr>
                <w:webHidden/>
              </w:rPr>
              <w:instrText xml:space="preserve"> PAGEREF _Toc204179211 \h </w:instrText>
            </w:r>
            <w:r>
              <w:rPr>
                <w:webHidden/>
              </w:rPr>
            </w:r>
            <w:r>
              <w:rPr>
                <w:webHidden/>
              </w:rPr>
              <w:fldChar w:fldCharType="separate"/>
            </w:r>
            <w:r w:rsidR="0089290D">
              <w:rPr>
                <w:webHidden/>
              </w:rPr>
              <w:t>8</w:t>
            </w:r>
            <w:r>
              <w:rPr>
                <w:webHidden/>
              </w:rPr>
              <w:fldChar w:fldCharType="end"/>
            </w:r>
          </w:hyperlink>
        </w:p>
        <w:p w14:paraId="6C80EC3B" w14:textId="5C134421"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12" w:history="1">
            <w:r w:rsidRPr="0065301F">
              <w:rPr>
                <w:rStyle w:val="Hipercze"/>
              </w:rPr>
              <w:t>3.</w:t>
            </w:r>
            <w:r>
              <w:rPr>
                <w:rFonts w:eastAsiaTheme="minorEastAsia"/>
                <w:b w:val="0"/>
                <w:bCs w:val="0"/>
                <w:color w:val="auto"/>
                <w:kern w:val="2"/>
                <w:szCs w:val="24"/>
                <w:lang w:val="en-US"/>
                <w14:ligatures w14:val="standardContextual"/>
              </w:rPr>
              <w:tab/>
            </w:r>
            <w:r w:rsidRPr="0065301F">
              <w:rPr>
                <w:rStyle w:val="Hipercze"/>
              </w:rPr>
              <w:t>Informacje wstępne</w:t>
            </w:r>
            <w:r>
              <w:rPr>
                <w:webHidden/>
              </w:rPr>
              <w:tab/>
            </w:r>
            <w:r>
              <w:rPr>
                <w:webHidden/>
              </w:rPr>
              <w:fldChar w:fldCharType="begin"/>
            </w:r>
            <w:r>
              <w:rPr>
                <w:webHidden/>
              </w:rPr>
              <w:instrText xml:space="preserve"> PAGEREF _Toc204179212 \h </w:instrText>
            </w:r>
            <w:r>
              <w:rPr>
                <w:webHidden/>
              </w:rPr>
            </w:r>
            <w:r>
              <w:rPr>
                <w:webHidden/>
              </w:rPr>
              <w:fldChar w:fldCharType="separate"/>
            </w:r>
            <w:r w:rsidR="0089290D">
              <w:rPr>
                <w:webHidden/>
              </w:rPr>
              <w:t>20</w:t>
            </w:r>
            <w:r>
              <w:rPr>
                <w:webHidden/>
              </w:rPr>
              <w:fldChar w:fldCharType="end"/>
            </w:r>
          </w:hyperlink>
        </w:p>
        <w:p w14:paraId="28F38B19" w14:textId="331FCC25"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13" w:history="1">
            <w:r w:rsidRPr="0065301F">
              <w:rPr>
                <w:rStyle w:val="Hipercze"/>
              </w:rPr>
              <w:t>4.</w:t>
            </w:r>
            <w:r>
              <w:rPr>
                <w:rFonts w:eastAsiaTheme="minorEastAsia"/>
                <w:b w:val="0"/>
                <w:bCs w:val="0"/>
                <w:color w:val="auto"/>
                <w:kern w:val="2"/>
                <w:szCs w:val="24"/>
                <w:lang w:val="en-US"/>
                <w14:ligatures w14:val="standardContextual"/>
              </w:rPr>
              <w:tab/>
            </w:r>
            <w:r w:rsidRPr="0065301F">
              <w:rPr>
                <w:rStyle w:val="Hipercze"/>
              </w:rPr>
              <w:t>Schemat badań</w:t>
            </w:r>
            <w:r>
              <w:rPr>
                <w:webHidden/>
              </w:rPr>
              <w:tab/>
            </w:r>
            <w:r>
              <w:rPr>
                <w:webHidden/>
              </w:rPr>
              <w:fldChar w:fldCharType="begin"/>
            </w:r>
            <w:r>
              <w:rPr>
                <w:webHidden/>
              </w:rPr>
              <w:instrText xml:space="preserve"> PAGEREF _Toc204179213 \h </w:instrText>
            </w:r>
            <w:r>
              <w:rPr>
                <w:webHidden/>
              </w:rPr>
            </w:r>
            <w:r>
              <w:rPr>
                <w:webHidden/>
              </w:rPr>
              <w:fldChar w:fldCharType="separate"/>
            </w:r>
            <w:r w:rsidR="0089290D">
              <w:rPr>
                <w:webHidden/>
              </w:rPr>
              <w:t>22</w:t>
            </w:r>
            <w:r>
              <w:rPr>
                <w:webHidden/>
              </w:rPr>
              <w:fldChar w:fldCharType="end"/>
            </w:r>
          </w:hyperlink>
        </w:p>
        <w:p w14:paraId="222BF4B5" w14:textId="1F617369" w:rsidR="00C565B4" w:rsidRDefault="00C565B4" w:rsidP="00C565B4">
          <w:pPr>
            <w:pStyle w:val="Spistreci1"/>
            <w:rPr>
              <w:rFonts w:eastAsiaTheme="minorEastAsia"/>
              <w:b w:val="0"/>
              <w:bCs w:val="0"/>
              <w:color w:val="auto"/>
              <w:kern w:val="2"/>
              <w:szCs w:val="24"/>
              <w:lang w:val="en-US"/>
              <w14:ligatures w14:val="standardContextual"/>
            </w:rPr>
          </w:pPr>
          <w:hyperlink w:anchor="_Toc204179214" w:history="1">
            <w:r w:rsidRPr="0065301F">
              <w:rPr>
                <w:rStyle w:val="Hipercze"/>
              </w:rPr>
              <w:t>II.</w:t>
            </w:r>
            <w:r>
              <w:rPr>
                <w:rFonts w:eastAsiaTheme="minorEastAsia"/>
                <w:b w:val="0"/>
                <w:bCs w:val="0"/>
                <w:color w:val="auto"/>
                <w:kern w:val="2"/>
                <w:szCs w:val="24"/>
                <w:lang w:val="en-US"/>
                <w14:ligatures w14:val="standardContextual"/>
              </w:rPr>
              <w:tab/>
            </w:r>
            <w:r w:rsidRPr="0065301F">
              <w:rPr>
                <w:rStyle w:val="Hipercze"/>
              </w:rPr>
              <w:t>Badanie jakościowe</w:t>
            </w:r>
            <w:r>
              <w:rPr>
                <w:webHidden/>
              </w:rPr>
              <w:tab/>
            </w:r>
            <w:r>
              <w:rPr>
                <w:webHidden/>
              </w:rPr>
              <w:fldChar w:fldCharType="begin"/>
            </w:r>
            <w:r>
              <w:rPr>
                <w:webHidden/>
              </w:rPr>
              <w:instrText xml:space="preserve"> PAGEREF _Toc204179214 \h </w:instrText>
            </w:r>
            <w:r>
              <w:rPr>
                <w:webHidden/>
              </w:rPr>
            </w:r>
            <w:r>
              <w:rPr>
                <w:webHidden/>
              </w:rPr>
              <w:fldChar w:fldCharType="separate"/>
            </w:r>
            <w:r w:rsidR="0089290D">
              <w:rPr>
                <w:webHidden/>
              </w:rPr>
              <w:t>24</w:t>
            </w:r>
            <w:r>
              <w:rPr>
                <w:webHidden/>
              </w:rPr>
              <w:fldChar w:fldCharType="end"/>
            </w:r>
          </w:hyperlink>
        </w:p>
        <w:p w14:paraId="0B578731" w14:textId="18FE11B9"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15" w:history="1">
            <w:r w:rsidRPr="0065301F">
              <w:rPr>
                <w:rStyle w:val="Hipercze"/>
              </w:rPr>
              <w:t>5.</w:t>
            </w:r>
            <w:r>
              <w:rPr>
                <w:rFonts w:eastAsiaTheme="minorEastAsia"/>
                <w:b w:val="0"/>
                <w:bCs w:val="0"/>
                <w:color w:val="auto"/>
                <w:kern w:val="2"/>
                <w:szCs w:val="24"/>
                <w:lang w:val="en-US"/>
                <w14:ligatures w14:val="standardContextual"/>
              </w:rPr>
              <w:tab/>
            </w:r>
            <w:r w:rsidRPr="0065301F">
              <w:rPr>
                <w:rStyle w:val="Hipercze"/>
              </w:rPr>
              <w:t>Opis metod i zastosowanych technik wraz z uzasadnieniem</w:t>
            </w:r>
            <w:r>
              <w:rPr>
                <w:webHidden/>
              </w:rPr>
              <w:tab/>
            </w:r>
            <w:r>
              <w:rPr>
                <w:webHidden/>
              </w:rPr>
              <w:fldChar w:fldCharType="begin"/>
            </w:r>
            <w:r>
              <w:rPr>
                <w:webHidden/>
              </w:rPr>
              <w:instrText xml:space="preserve"> PAGEREF _Toc204179215 \h </w:instrText>
            </w:r>
            <w:r>
              <w:rPr>
                <w:webHidden/>
              </w:rPr>
            </w:r>
            <w:r>
              <w:rPr>
                <w:webHidden/>
              </w:rPr>
              <w:fldChar w:fldCharType="separate"/>
            </w:r>
            <w:r w:rsidR="0089290D">
              <w:rPr>
                <w:webHidden/>
              </w:rPr>
              <w:t>24</w:t>
            </w:r>
            <w:r>
              <w:rPr>
                <w:webHidden/>
              </w:rPr>
              <w:fldChar w:fldCharType="end"/>
            </w:r>
          </w:hyperlink>
        </w:p>
        <w:p w14:paraId="37EA288F" w14:textId="2820AE61" w:rsidR="00C565B4" w:rsidRDefault="00C565B4" w:rsidP="00B271C3">
          <w:pPr>
            <w:pStyle w:val="Spistreci3"/>
            <w:contextualSpacing/>
            <w:rPr>
              <w:rFonts w:eastAsiaTheme="minorEastAsia"/>
              <w:noProof/>
              <w:kern w:val="2"/>
              <w:szCs w:val="24"/>
              <w:lang w:val="en-US"/>
              <w14:ligatures w14:val="standardContextual"/>
            </w:rPr>
          </w:pPr>
          <w:hyperlink w:anchor="_Toc204179216" w:history="1">
            <w:r w:rsidRPr="0065301F">
              <w:rPr>
                <w:rStyle w:val="Hipercze"/>
                <w:rFonts w:eastAsia="Verdana"/>
                <w:noProof/>
              </w:rPr>
              <w:t>5.1.</w:t>
            </w:r>
            <w:r>
              <w:rPr>
                <w:rFonts w:eastAsiaTheme="minorEastAsia"/>
                <w:noProof/>
                <w:kern w:val="2"/>
                <w:szCs w:val="24"/>
                <w:lang w:val="en-US"/>
                <w14:ligatures w14:val="standardContextual"/>
              </w:rPr>
              <w:tab/>
            </w:r>
            <w:r w:rsidRPr="0065301F">
              <w:rPr>
                <w:rStyle w:val="Hipercze"/>
                <w:noProof/>
              </w:rPr>
              <w:t>Testy i obserwacja użytkownika podczas testów stron i aplikacji podmiotów publicznych</w:t>
            </w:r>
            <w:r>
              <w:rPr>
                <w:noProof/>
                <w:webHidden/>
              </w:rPr>
              <w:tab/>
            </w:r>
            <w:r>
              <w:rPr>
                <w:noProof/>
                <w:webHidden/>
              </w:rPr>
              <w:fldChar w:fldCharType="begin"/>
            </w:r>
            <w:r>
              <w:rPr>
                <w:noProof/>
                <w:webHidden/>
              </w:rPr>
              <w:instrText xml:space="preserve"> PAGEREF _Toc204179216 \h </w:instrText>
            </w:r>
            <w:r>
              <w:rPr>
                <w:noProof/>
                <w:webHidden/>
              </w:rPr>
            </w:r>
            <w:r>
              <w:rPr>
                <w:noProof/>
                <w:webHidden/>
              </w:rPr>
              <w:fldChar w:fldCharType="separate"/>
            </w:r>
            <w:r w:rsidR="0089290D">
              <w:rPr>
                <w:noProof/>
                <w:webHidden/>
              </w:rPr>
              <w:t>24</w:t>
            </w:r>
            <w:r>
              <w:rPr>
                <w:noProof/>
                <w:webHidden/>
              </w:rPr>
              <w:fldChar w:fldCharType="end"/>
            </w:r>
          </w:hyperlink>
        </w:p>
        <w:p w14:paraId="2D22D3E9" w14:textId="0FFA3A40" w:rsidR="00C565B4" w:rsidRDefault="00C565B4" w:rsidP="00B271C3">
          <w:pPr>
            <w:pStyle w:val="Spistreci3"/>
            <w:contextualSpacing/>
            <w:rPr>
              <w:rFonts w:eastAsiaTheme="minorEastAsia"/>
              <w:noProof/>
              <w:kern w:val="2"/>
              <w:szCs w:val="24"/>
              <w:lang w:val="en-US"/>
              <w14:ligatures w14:val="standardContextual"/>
            </w:rPr>
          </w:pPr>
          <w:hyperlink w:anchor="_Toc204179217" w:history="1">
            <w:r w:rsidRPr="0065301F">
              <w:rPr>
                <w:rStyle w:val="Hipercze"/>
                <w:noProof/>
              </w:rPr>
              <w:t>5.2.</w:t>
            </w:r>
            <w:r>
              <w:rPr>
                <w:rFonts w:eastAsiaTheme="minorEastAsia"/>
                <w:noProof/>
                <w:kern w:val="2"/>
                <w:szCs w:val="24"/>
                <w:lang w:val="en-US"/>
                <w14:ligatures w14:val="standardContextual"/>
              </w:rPr>
              <w:tab/>
            </w:r>
            <w:r w:rsidRPr="0065301F">
              <w:rPr>
                <w:rStyle w:val="Hipercze"/>
                <w:noProof/>
              </w:rPr>
              <w:t>Pogłębione wywiady indywidualne (IDI)</w:t>
            </w:r>
            <w:r>
              <w:rPr>
                <w:noProof/>
                <w:webHidden/>
              </w:rPr>
              <w:tab/>
            </w:r>
            <w:r>
              <w:rPr>
                <w:noProof/>
                <w:webHidden/>
              </w:rPr>
              <w:fldChar w:fldCharType="begin"/>
            </w:r>
            <w:r>
              <w:rPr>
                <w:noProof/>
                <w:webHidden/>
              </w:rPr>
              <w:instrText xml:space="preserve"> PAGEREF _Toc204179217 \h </w:instrText>
            </w:r>
            <w:r>
              <w:rPr>
                <w:noProof/>
                <w:webHidden/>
              </w:rPr>
            </w:r>
            <w:r>
              <w:rPr>
                <w:noProof/>
                <w:webHidden/>
              </w:rPr>
              <w:fldChar w:fldCharType="separate"/>
            </w:r>
            <w:r w:rsidR="0089290D">
              <w:rPr>
                <w:noProof/>
                <w:webHidden/>
              </w:rPr>
              <w:t>25</w:t>
            </w:r>
            <w:r>
              <w:rPr>
                <w:noProof/>
                <w:webHidden/>
              </w:rPr>
              <w:fldChar w:fldCharType="end"/>
            </w:r>
          </w:hyperlink>
        </w:p>
        <w:p w14:paraId="2C2862F1" w14:textId="0772131C"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18" w:history="1">
            <w:r w:rsidRPr="0065301F">
              <w:rPr>
                <w:rStyle w:val="Hipercze"/>
              </w:rPr>
              <w:t>6.</w:t>
            </w:r>
            <w:r>
              <w:rPr>
                <w:rFonts w:eastAsiaTheme="minorEastAsia"/>
                <w:b w:val="0"/>
                <w:bCs w:val="0"/>
                <w:color w:val="auto"/>
                <w:kern w:val="2"/>
                <w:szCs w:val="24"/>
                <w:lang w:val="en-US"/>
                <w14:ligatures w14:val="standardContextual"/>
              </w:rPr>
              <w:tab/>
            </w:r>
            <w:r w:rsidRPr="0065301F">
              <w:rPr>
                <w:rStyle w:val="Hipercze"/>
              </w:rPr>
              <w:t>Opis próby i procedury jej doboru, kontroli doboru próby, przebiegu realizacji badania</w:t>
            </w:r>
            <w:r>
              <w:rPr>
                <w:webHidden/>
              </w:rPr>
              <w:tab/>
            </w:r>
            <w:r>
              <w:rPr>
                <w:webHidden/>
              </w:rPr>
              <w:fldChar w:fldCharType="begin"/>
            </w:r>
            <w:r>
              <w:rPr>
                <w:webHidden/>
              </w:rPr>
              <w:instrText xml:space="preserve"> PAGEREF _Toc204179218 \h </w:instrText>
            </w:r>
            <w:r>
              <w:rPr>
                <w:webHidden/>
              </w:rPr>
            </w:r>
            <w:r>
              <w:rPr>
                <w:webHidden/>
              </w:rPr>
              <w:fldChar w:fldCharType="separate"/>
            </w:r>
            <w:r w:rsidR="0089290D">
              <w:rPr>
                <w:webHidden/>
              </w:rPr>
              <w:t>27</w:t>
            </w:r>
            <w:r>
              <w:rPr>
                <w:webHidden/>
              </w:rPr>
              <w:fldChar w:fldCharType="end"/>
            </w:r>
          </w:hyperlink>
        </w:p>
        <w:p w14:paraId="24689477" w14:textId="0DD8CCD1" w:rsidR="00C565B4" w:rsidRDefault="00C565B4" w:rsidP="00B271C3">
          <w:pPr>
            <w:pStyle w:val="Spistreci3"/>
            <w:contextualSpacing/>
            <w:rPr>
              <w:rFonts w:eastAsiaTheme="minorEastAsia"/>
              <w:noProof/>
              <w:kern w:val="2"/>
              <w:szCs w:val="24"/>
              <w:lang w:val="en-US"/>
              <w14:ligatures w14:val="standardContextual"/>
            </w:rPr>
          </w:pPr>
          <w:hyperlink w:anchor="_Toc204179220" w:history="1">
            <w:r w:rsidRPr="0065301F">
              <w:rPr>
                <w:rStyle w:val="Hipercze"/>
                <w:noProof/>
              </w:rPr>
              <w:t>6.1.</w:t>
            </w:r>
            <w:r>
              <w:rPr>
                <w:rFonts w:eastAsiaTheme="minorEastAsia"/>
                <w:noProof/>
                <w:kern w:val="2"/>
                <w:szCs w:val="24"/>
                <w:lang w:val="en-US"/>
                <w14:ligatures w14:val="standardContextual"/>
              </w:rPr>
              <w:tab/>
            </w:r>
            <w:r w:rsidRPr="0065301F">
              <w:rPr>
                <w:rStyle w:val="Hipercze"/>
                <w:noProof/>
              </w:rPr>
              <w:t>Opis próby i procedury jej doboru</w:t>
            </w:r>
            <w:r>
              <w:rPr>
                <w:noProof/>
                <w:webHidden/>
              </w:rPr>
              <w:tab/>
            </w:r>
            <w:r>
              <w:rPr>
                <w:noProof/>
                <w:webHidden/>
              </w:rPr>
              <w:fldChar w:fldCharType="begin"/>
            </w:r>
            <w:r>
              <w:rPr>
                <w:noProof/>
                <w:webHidden/>
              </w:rPr>
              <w:instrText xml:space="preserve"> PAGEREF _Toc204179220 \h </w:instrText>
            </w:r>
            <w:r>
              <w:rPr>
                <w:noProof/>
                <w:webHidden/>
              </w:rPr>
            </w:r>
            <w:r>
              <w:rPr>
                <w:noProof/>
                <w:webHidden/>
              </w:rPr>
              <w:fldChar w:fldCharType="separate"/>
            </w:r>
            <w:r w:rsidR="0089290D">
              <w:rPr>
                <w:noProof/>
                <w:webHidden/>
              </w:rPr>
              <w:t>27</w:t>
            </w:r>
            <w:r>
              <w:rPr>
                <w:noProof/>
                <w:webHidden/>
              </w:rPr>
              <w:fldChar w:fldCharType="end"/>
            </w:r>
          </w:hyperlink>
        </w:p>
        <w:p w14:paraId="5B1455B2" w14:textId="2D10DB7B" w:rsidR="00C565B4" w:rsidRDefault="00C565B4" w:rsidP="00B271C3">
          <w:pPr>
            <w:pStyle w:val="Spistreci3"/>
            <w:contextualSpacing/>
            <w:rPr>
              <w:rFonts w:eastAsiaTheme="minorEastAsia"/>
              <w:noProof/>
              <w:kern w:val="2"/>
              <w:szCs w:val="24"/>
              <w:lang w:val="en-US"/>
              <w14:ligatures w14:val="standardContextual"/>
            </w:rPr>
          </w:pPr>
          <w:hyperlink w:anchor="_Toc204179221" w:history="1">
            <w:r w:rsidRPr="0065301F">
              <w:rPr>
                <w:rStyle w:val="Hipercze"/>
                <w:noProof/>
              </w:rPr>
              <w:t>6.2.</w:t>
            </w:r>
            <w:r>
              <w:rPr>
                <w:rFonts w:eastAsiaTheme="minorEastAsia"/>
                <w:noProof/>
                <w:kern w:val="2"/>
                <w:szCs w:val="24"/>
                <w:lang w:val="en-US"/>
                <w14:ligatures w14:val="standardContextual"/>
              </w:rPr>
              <w:tab/>
            </w:r>
            <w:r w:rsidRPr="0065301F">
              <w:rPr>
                <w:rStyle w:val="Hipercze"/>
                <w:noProof/>
              </w:rPr>
              <w:t>Kontrola doboru próby</w:t>
            </w:r>
            <w:r>
              <w:rPr>
                <w:noProof/>
                <w:webHidden/>
              </w:rPr>
              <w:tab/>
            </w:r>
            <w:r>
              <w:rPr>
                <w:noProof/>
                <w:webHidden/>
              </w:rPr>
              <w:fldChar w:fldCharType="begin"/>
            </w:r>
            <w:r>
              <w:rPr>
                <w:noProof/>
                <w:webHidden/>
              </w:rPr>
              <w:instrText xml:space="preserve"> PAGEREF _Toc204179221 \h </w:instrText>
            </w:r>
            <w:r>
              <w:rPr>
                <w:noProof/>
                <w:webHidden/>
              </w:rPr>
            </w:r>
            <w:r>
              <w:rPr>
                <w:noProof/>
                <w:webHidden/>
              </w:rPr>
              <w:fldChar w:fldCharType="separate"/>
            </w:r>
            <w:r w:rsidR="0089290D">
              <w:rPr>
                <w:noProof/>
                <w:webHidden/>
              </w:rPr>
              <w:t>28</w:t>
            </w:r>
            <w:r>
              <w:rPr>
                <w:noProof/>
                <w:webHidden/>
              </w:rPr>
              <w:fldChar w:fldCharType="end"/>
            </w:r>
          </w:hyperlink>
        </w:p>
        <w:p w14:paraId="36287DE8" w14:textId="13F45E32" w:rsidR="00C565B4" w:rsidRDefault="00C565B4" w:rsidP="00B271C3">
          <w:pPr>
            <w:pStyle w:val="Spistreci3"/>
            <w:contextualSpacing/>
            <w:rPr>
              <w:rFonts w:eastAsiaTheme="minorEastAsia"/>
              <w:noProof/>
              <w:kern w:val="2"/>
              <w:szCs w:val="24"/>
              <w:lang w:val="en-US"/>
              <w14:ligatures w14:val="standardContextual"/>
            </w:rPr>
          </w:pPr>
          <w:hyperlink w:anchor="_Toc204179222" w:history="1">
            <w:r w:rsidRPr="0065301F">
              <w:rPr>
                <w:rStyle w:val="Hipercze"/>
                <w:noProof/>
              </w:rPr>
              <w:t>6.3.</w:t>
            </w:r>
            <w:r>
              <w:rPr>
                <w:rFonts w:eastAsiaTheme="minorEastAsia"/>
                <w:noProof/>
                <w:kern w:val="2"/>
                <w:szCs w:val="24"/>
                <w:lang w:val="en-US"/>
                <w14:ligatures w14:val="standardContextual"/>
              </w:rPr>
              <w:tab/>
            </w:r>
            <w:r w:rsidRPr="0065301F">
              <w:rPr>
                <w:rStyle w:val="Hipercze"/>
                <w:noProof/>
              </w:rPr>
              <w:t>Przebieg realizacji badania</w:t>
            </w:r>
            <w:r>
              <w:rPr>
                <w:noProof/>
                <w:webHidden/>
              </w:rPr>
              <w:tab/>
            </w:r>
            <w:r>
              <w:rPr>
                <w:noProof/>
                <w:webHidden/>
              </w:rPr>
              <w:fldChar w:fldCharType="begin"/>
            </w:r>
            <w:r>
              <w:rPr>
                <w:noProof/>
                <w:webHidden/>
              </w:rPr>
              <w:instrText xml:space="preserve"> PAGEREF _Toc204179222 \h </w:instrText>
            </w:r>
            <w:r>
              <w:rPr>
                <w:noProof/>
                <w:webHidden/>
              </w:rPr>
            </w:r>
            <w:r>
              <w:rPr>
                <w:noProof/>
                <w:webHidden/>
              </w:rPr>
              <w:fldChar w:fldCharType="separate"/>
            </w:r>
            <w:r w:rsidR="0089290D">
              <w:rPr>
                <w:noProof/>
                <w:webHidden/>
              </w:rPr>
              <w:t>29</w:t>
            </w:r>
            <w:r>
              <w:rPr>
                <w:noProof/>
                <w:webHidden/>
              </w:rPr>
              <w:fldChar w:fldCharType="end"/>
            </w:r>
          </w:hyperlink>
        </w:p>
        <w:p w14:paraId="4A730ADE" w14:textId="574BEC9B" w:rsidR="00C565B4" w:rsidRDefault="00C565B4" w:rsidP="00B271C3">
          <w:pPr>
            <w:pStyle w:val="Spistreci3"/>
            <w:contextualSpacing/>
            <w:rPr>
              <w:rFonts w:eastAsiaTheme="minorEastAsia"/>
              <w:noProof/>
              <w:kern w:val="2"/>
              <w:szCs w:val="24"/>
              <w:lang w:val="en-US"/>
              <w14:ligatures w14:val="standardContextual"/>
            </w:rPr>
          </w:pPr>
          <w:hyperlink w:anchor="_Toc204179223" w:history="1">
            <w:r w:rsidRPr="0065301F">
              <w:rPr>
                <w:rStyle w:val="Hipercze"/>
                <w:noProof/>
              </w:rPr>
              <w:t>6.4.</w:t>
            </w:r>
            <w:r>
              <w:rPr>
                <w:rFonts w:eastAsiaTheme="minorEastAsia"/>
                <w:noProof/>
                <w:kern w:val="2"/>
                <w:szCs w:val="24"/>
                <w:lang w:val="en-US"/>
                <w14:ligatures w14:val="standardContextual"/>
              </w:rPr>
              <w:tab/>
            </w:r>
            <w:r w:rsidRPr="0065301F">
              <w:rPr>
                <w:rStyle w:val="Hipercze"/>
                <w:noProof/>
              </w:rPr>
              <w:t>Dostępność procesu badawczego</w:t>
            </w:r>
            <w:r>
              <w:rPr>
                <w:noProof/>
                <w:webHidden/>
              </w:rPr>
              <w:tab/>
            </w:r>
            <w:r>
              <w:rPr>
                <w:noProof/>
                <w:webHidden/>
              </w:rPr>
              <w:fldChar w:fldCharType="begin"/>
            </w:r>
            <w:r>
              <w:rPr>
                <w:noProof/>
                <w:webHidden/>
              </w:rPr>
              <w:instrText xml:space="preserve"> PAGEREF _Toc204179223 \h </w:instrText>
            </w:r>
            <w:r>
              <w:rPr>
                <w:noProof/>
                <w:webHidden/>
              </w:rPr>
            </w:r>
            <w:r>
              <w:rPr>
                <w:noProof/>
                <w:webHidden/>
              </w:rPr>
              <w:fldChar w:fldCharType="separate"/>
            </w:r>
            <w:r w:rsidR="0089290D">
              <w:rPr>
                <w:noProof/>
                <w:webHidden/>
              </w:rPr>
              <w:t>30</w:t>
            </w:r>
            <w:r>
              <w:rPr>
                <w:noProof/>
                <w:webHidden/>
              </w:rPr>
              <w:fldChar w:fldCharType="end"/>
            </w:r>
          </w:hyperlink>
        </w:p>
        <w:p w14:paraId="3A74BB78" w14:textId="5C437E0A"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24" w:history="1">
            <w:r w:rsidRPr="0065301F">
              <w:rPr>
                <w:rStyle w:val="Hipercze"/>
              </w:rPr>
              <w:t>7.</w:t>
            </w:r>
            <w:r>
              <w:rPr>
                <w:rFonts w:eastAsiaTheme="minorEastAsia"/>
                <w:b w:val="0"/>
                <w:bCs w:val="0"/>
                <w:color w:val="auto"/>
                <w:kern w:val="2"/>
                <w:szCs w:val="24"/>
                <w:lang w:val="en-US"/>
                <w14:ligatures w14:val="standardContextual"/>
              </w:rPr>
              <w:tab/>
            </w:r>
            <w:r w:rsidRPr="0065301F">
              <w:rPr>
                <w:rStyle w:val="Hipercze"/>
              </w:rPr>
              <w:t>Wyniki z badania jakościowego IDI w podziale na grupy badane</w:t>
            </w:r>
            <w:r>
              <w:rPr>
                <w:webHidden/>
              </w:rPr>
              <w:tab/>
            </w:r>
            <w:r>
              <w:rPr>
                <w:webHidden/>
              </w:rPr>
              <w:fldChar w:fldCharType="begin"/>
            </w:r>
            <w:r>
              <w:rPr>
                <w:webHidden/>
              </w:rPr>
              <w:instrText xml:space="preserve"> PAGEREF _Toc204179224 \h </w:instrText>
            </w:r>
            <w:r>
              <w:rPr>
                <w:webHidden/>
              </w:rPr>
            </w:r>
            <w:r>
              <w:rPr>
                <w:webHidden/>
              </w:rPr>
              <w:fldChar w:fldCharType="separate"/>
            </w:r>
            <w:r w:rsidR="0089290D">
              <w:rPr>
                <w:webHidden/>
              </w:rPr>
              <w:t>31</w:t>
            </w:r>
            <w:r>
              <w:rPr>
                <w:webHidden/>
              </w:rPr>
              <w:fldChar w:fldCharType="end"/>
            </w:r>
          </w:hyperlink>
        </w:p>
        <w:p w14:paraId="2B48B5C0" w14:textId="401B3947" w:rsidR="00C565B4" w:rsidRDefault="00C565B4" w:rsidP="00B271C3">
          <w:pPr>
            <w:pStyle w:val="Spistreci3"/>
            <w:contextualSpacing/>
            <w:rPr>
              <w:rFonts w:eastAsiaTheme="minorEastAsia"/>
              <w:noProof/>
              <w:kern w:val="2"/>
              <w:szCs w:val="24"/>
              <w:lang w:val="en-US"/>
              <w14:ligatures w14:val="standardContextual"/>
            </w:rPr>
          </w:pPr>
          <w:hyperlink w:anchor="_Toc204179225" w:history="1">
            <w:r w:rsidRPr="0065301F">
              <w:rPr>
                <w:rStyle w:val="Hipercze"/>
                <w:noProof/>
              </w:rPr>
              <w:t>7.1.</w:t>
            </w:r>
            <w:r>
              <w:rPr>
                <w:rFonts w:eastAsiaTheme="minorEastAsia"/>
                <w:noProof/>
                <w:kern w:val="2"/>
                <w:szCs w:val="24"/>
                <w:lang w:val="en-US"/>
                <w14:ligatures w14:val="standardContextual"/>
              </w:rPr>
              <w:tab/>
            </w:r>
            <w:r w:rsidRPr="0065301F">
              <w:rPr>
                <w:rStyle w:val="Hipercze"/>
                <w:noProof/>
              </w:rPr>
              <w:t>Osoby ociemniałe lub niewidome</w:t>
            </w:r>
            <w:r>
              <w:rPr>
                <w:noProof/>
                <w:webHidden/>
              </w:rPr>
              <w:tab/>
            </w:r>
            <w:r>
              <w:rPr>
                <w:noProof/>
                <w:webHidden/>
              </w:rPr>
              <w:fldChar w:fldCharType="begin"/>
            </w:r>
            <w:r>
              <w:rPr>
                <w:noProof/>
                <w:webHidden/>
              </w:rPr>
              <w:instrText xml:space="preserve"> PAGEREF _Toc204179225 \h </w:instrText>
            </w:r>
            <w:r>
              <w:rPr>
                <w:noProof/>
                <w:webHidden/>
              </w:rPr>
            </w:r>
            <w:r>
              <w:rPr>
                <w:noProof/>
                <w:webHidden/>
              </w:rPr>
              <w:fldChar w:fldCharType="separate"/>
            </w:r>
            <w:r w:rsidR="0089290D">
              <w:rPr>
                <w:noProof/>
                <w:webHidden/>
              </w:rPr>
              <w:t>31</w:t>
            </w:r>
            <w:r>
              <w:rPr>
                <w:noProof/>
                <w:webHidden/>
              </w:rPr>
              <w:fldChar w:fldCharType="end"/>
            </w:r>
          </w:hyperlink>
        </w:p>
        <w:p w14:paraId="1F714159" w14:textId="6981AB0C" w:rsidR="00C565B4" w:rsidRDefault="00C565B4" w:rsidP="00B271C3">
          <w:pPr>
            <w:pStyle w:val="Spistreci3"/>
            <w:contextualSpacing/>
            <w:rPr>
              <w:rFonts w:eastAsiaTheme="minorEastAsia"/>
              <w:noProof/>
              <w:kern w:val="2"/>
              <w:szCs w:val="24"/>
              <w:lang w:val="en-US"/>
              <w14:ligatures w14:val="standardContextual"/>
            </w:rPr>
          </w:pPr>
          <w:hyperlink w:anchor="_Toc204179226" w:history="1">
            <w:r w:rsidRPr="0065301F">
              <w:rPr>
                <w:rStyle w:val="Hipercze"/>
                <w:noProof/>
              </w:rPr>
              <w:t>7.2.</w:t>
            </w:r>
            <w:r>
              <w:rPr>
                <w:rFonts w:eastAsiaTheme="minorEastAsia"/>
                <w:noProof/>
                <w:kern w:val="2"/>
                <w:szCs w:val="24"/>
                <w:lang w:val="en-US"/>
                <w14:ligatures w14:val="standardContextual"/>
              </w:rPr>
              <w:tab/>
            </w:r>
            <w:r w:rsidRPr="0065301F">
              <w:rPr>
                <w:rStyle w:val="Hipercze"/>
                <w:noProof/>
              </w:rPr>
              <w:t>Osoby słabowidzące</w:t>
            </w:r>
            <w:r>
              <w:rPr>
                <w:noProof/>
                <w:webHidden/>
              </w:rPr>
              <w:tab/>
            </w:r>
            <w:r>
              <w:rPr>
                <w:noProof/>
                <w:webHidden/>
              </w:rPr>
              <w:fldChar w:fldCharType="begin"/>
            </w:r>
            <w:r>
              <w:rPr>
                <w:noProof/>
                <w:webHidden/>
              </w:rPr>
              <w:instrText xml:space="preserve"> PAGEREF _Toc204179226 \h </w:instrText>
            </w:r>
            <w:r>
              <w:rPr>
                <w:noProof/>
                <w:webHidden/>
              </w:rPr>
            </w:r>
            <w:r>
              <w:rPr>
                <w:noProof/>
                <w:webHidden/>
              </w:rPr>
              <w:fldChar w:fldCharType="separate"/>
            </w:r>
            <w:r w:rsidR="0089290D">
              <w:rPr>
                <w:noProof/>
                <w:webHidden/>
              </w:rPr>
              <w:t>34</w:t>
            </w:r>
            <w:r>
              <w:rPr>
                <w:noProof/>
                <w:webHidden/>
              </w:rPr>
              <w:fldChar w:fldCharType="end"/>
            </w:r>
          </w:hyperlink>
        </w:p>
        <w:p w14:paraId="56E4A875" w14:textId="59BDF428" w:rsidR="00C565B4" w:rsidRDefault="00C565B4" w:rsidP="00B271C3">
          <w:pPr>
            <w:pStyle w:val="Spistreci3"/>
            <w:contextualSpacing/>
            <w:rPr>
              <w:rFonts w:eastAsiaTheme="minorEastAsia"/>
              <w:noProof/>
              <w:kern w:val="2"/>
              <w:szCs w:val="24"/>
              <w:lang w:val="en-US"/>
              <w14:ligatures w14:val="standardContextual"/>
            </w:rPr>
          </w:pPr>
          <w:hyperlink w:anchor="_Toc204179227" w:history="1">
            <w:r w:rsidRPr="0065301F">
              <w:rPr>
                <w:rStyle w:val="Hipercze"/>
                <w:noProof/>
              </w:rPr>
              <w:t>7.3.</w:t>
            </w:r>
            <w:r>
              <w:rPr>
                <w:rFonts w:eastAsiaTheme="minorEastAsia"/>
                <w:noProof/>
                <w:kern w:val="2"/>
                <w:szCs w:val="24"/>
                <w:lang w:val="en-US"/>
                <w14:ligatures w14:val="standardContextual"/>
              </w:rPr>
              <w:tab/>
            </w:r>
            <w:r w:rsidRPr="0065301F">
              <w:rPr>
                <w:rStyle w:val="Hipercze"/>
                <w:noProof/>
              </w:rPr>
              <w:t>Osoby słabosłyszące lub niesłyszące</w:t>
            </w:r>
            <w:r>
              <w:rPr>
                <w:noProof/>
                <w:webHidden/>
              </w:rPr>
              <w:tab/>
            </w:r>
            <w:r>
              <w:rPr>
                <w:noProof/>
                <w:webHidden/>
              </w:rPr>
              <w:fldChar w:fldCharType="begin"/>
            </w:r>
            <w:r>
              <w:rPr>
                <w:noProof/>
                <w:webHidden/>
              </w:rPr>
              <w:instrText xml:space="preserve"> PAGEREF _Toc204179227 \h </w:instrText>
            </w:r>
            <w:r>
              <w:rPr>
                <w:noProof/>
                <w:webHidden/>
              </w:rPr>
            </w:r>
            <w:r>
              <w:rPr>
                <w:noProof/>
                <w:webHidden/>
              </w:rPr>
              <w:fldChar w:fldCharType="separate"/>
            </w:r>
            <w:r w:rsidR="0089290D">
              <w:rPr>
                <w:noProof/>
                <w:webHidden/>
              </w:rPr>
              <w:t>38</w:t>
            </w:r>
            <w:r>
              <w:rPr>
                <w:noProof/>
                <w:webHidden/>
              </w:rPr>
              <w:fldChar w:fldCharType="end"/>
            </w:r>
          </w:hyperlink>
        </w:p>
        <w:p w14:paraId="1D1F6207" w14:textId="1B1128D5" w:rsidR="00C565B4" w:rsidRDefault="00C565B4" w:rsidP="00B271C3">
          <w:pPr>
            <w:pStyle w:val="Spistreci3"/>
            <w:contextualSpacing/>
            <w:rPr>
              <w:rFonts w:eastAsiaTheme="minorEastAsia"/>
              <w:noProof/>
              <w:kern w:val="2"/>
              <w:szCs w:val="24"/>
              <w:lang w:val="en-US"/>
              <w14:ligatures w14:val="standardContextual"/>
            </w:rPr>
          </w:pPr>
          <w:hyperlink w:anchor="_Toc204179228" w:history="1">
            <w:r w:rsidRPr="0065301F">
              <w:rPr>
                <w:rStyle w:val="Hipercze"/>
                <w:noProof/>
              </w:rPr>
              <w:t>7.4.</w:t>
            </w:r>
            <w:r>
              <w:rPr>
                <w:rFonts w:eastAsiaTheme="minorEastAsia"/>
                <w:noProof/>
                <w:kern w:val="2"/>
                <w:szCs w:val="24"/>
                <w:lang w:val="en-US"/>
                <w14:ligatures w14:val="standardContextual"/>
              </w:rPr>
              <w:tab/>
            </w:r>
            <w:r w:rsidRPr="0065301F">
              <w:rPr>
                <w:rStyle w:val="Hipercze"/>
                <w:noProof/>
              </w:rPr>
              <w:t>Osoby z dysfunkcją narządu ruchu</w:t>
            </w:r>
            <w:r>
              <w:rPr>
                <w:noProof/>
                <w:webHidden/>
              </w:rPr>
              <w:tab/>
            </w:r>
            <w:r>
              <w:rPr>
                <w:noProof/>
                <w:webHidden/>
              </w:rPr>
              <w:fldChar w:fldCharType="begin"/>
            </w:r>
            <w:r>
              <w:rPr>
                <w:noProof/>
                <w:webHidden/>
              </w:rPr>
              <w:instrText xml:space="preserve"> PAGEREF _Toc204179228 \h </w:instrText>
            </w:r>
            <w:r>
              <w:rPr>
                <w:noProof/>
                <w:webHidden/>
              </w:rPr>
            </w:r>
            <w:r>
              <w:rPr>
                <w:noProof/>
                <w:webHidden/>
              </w:rPr>
              <w:fldChar w:fldCharType="separate"/>
            </w:r>
            <w:r w:rsidR="0089290D">
              <w:rPr>
                <w:noProof/>
                <w:webHidden/>
              </w:rPr>
              <w:t>41</w:t>
            </w:r>
            <w:r>
              <w:rPr>
                <w:noProof/>
                <w:webHidden/>
              </w:rPr>
              <w:fldChar w:fldCharType="end"/>
            </w:r>
          </w:hyperlink>
        </w:p>
        <w:p w14:paraId="580071FF" w14:textId="02E75DCF" w:rsidR="00C565B4" w:rsidRDefault="00C565B4" w:rsidP="00B271C3">
          <w:pPr>
            <w:pStyle w:val="Spistreci3"/>
            <w:contextualSpacing/>
            <w:rPr>
              <w:rFonts w:eastAsiaTheme="minorEastAsia"/>
              <w:noProof/>
              <w:kern w:val="2"/>
              <w:szCs w:val="24"/>
              <w:lang w:val="en-US"/>
              <w14:ligatures w14:val="standardContextual"/>
            </w:rPr>
          </w:pPr>
          <w:hyperlink w:anchor="_Toc204179229" w:history="1">
            <w:r w:rsidRPr="0065301F">
              <w:rPr>
                <w:rStyle w:val="Hipercze"/>
                <w:noProof/>
              </w:rPr>
              <w:t>7.5.</w:t>
            </w:r>
            <w:r>
              <w:rPr>
                <w:rFonts w:eastAsiaTheme="minorEastAsia"/>
                <w:noProof/>
                <w:kern w:val="2"/>
                <w:szCs w:val="24"/>
                <w:lang w:val="en-US"/>
                <w14:ligatures w14:val="standardContextual"/>
              </w:rPr>
              <w:tab/>
            </w:r>
            <w:r w:rsidRPr="0065301F">
              <w:rPr>
                <w:rStyle w:val="Hipercze"/>
                <w:noProof/>
              </w:rPr>
              <w:t>Osoby z niepełnosprawnością intelektualną i ograniczeniami poznawczymi</w:t>
            </w:r>
            <w:r>
              <w:rPr>
                <w:noProof/>
                <w:webHidden/>
              </w:rPr>
              <w:tab/>
            </w:r>
            <w:r>
              <w:rPr>
                <w:noProof/>
                <w:webHidden/>
              </w:rPr>
              <w:fldChar w:fldCharType="begin"/>
            </w:r>
            <w:r>
              <w:rPr>
                <w:noProof/>
                <w:webHidden/>
              </w:rPr>
              <w:instrText xml:space="preserve"> PAGEREF _Toc204179229 \h </w:instrText>
            </w:r>
            <w:r>
              <w:rPr>
                <w:noProof/>
                <w:webHidden/>
              </w:rPr>
            </w:r>
            <w:r>
              <w:rPr>
                <w:noProof/>
                <w:webHidden/>
              </w:rPr>
              <w:fldChar w:fldCharType="separate"/>
            </w:r>
            <w:r w:rsidR="0089290D">
              <w:rPr>
                <w:noProof/>
                <w:webHidden/>
              </w:rPr>
              <w:t>43</w:t>
            </w:r>
            <w:r>
              <w:rPr>
                <w:noProof/>
                <w:webHidden/>
              </w:rPr>
              <w:fldChar w:fldCharType="end"/>
            </w:r>
          </w:hyperlink>
        </w:p>
        <w:p w14:paraId="24221A1B" w14:textId="37B42FB6" w:rsidR="00C565B4" w:rsidRDefault="00C565B4" w:rsidP="00B271C3">
          <w:pPr>
            <w:pStyle w:val="Spistreci3"/>
            <w:contextualSpacing/>
            <w:rPr>
              <w:rFonts w:eastAsiaTheme="minorEastAsia"/>
              <w:noProof/>
              <w:kern w:val="2"/>
              <w:szCs w:val="24"/>
              <w:lang w:val="en-US"/>
              <w14:ligatures w14:val="standardContextual"/>
            </w:rPr>
          </w:pPr>
          <w:hyperlink w:anchor="_Toc204179230" w:history="1">
            <w:r w:rsidRPr="0065301F">
              <w:rPr>
                <w:rStyle w:val="Hipercze"/>
                <w:noProof/>
              </w:rPr>
              <w:t>7.6.</w:t>
            </w:r>
            <w:r>
              <w:rPr>
                <w:rFonts w:eastAsiaTheme="minorEastAsia"/>
                <w:noProof/>
                <w:kern w:val="2"/>
                <w:szCs w:val="24"/>
                <w:lang w:val="en-US"/>
                <w14:ligatures w14:val="standardContextual"/>
              </w:rPr>
              <w:tab/>
            </w:r>
            <w:r w:rsidRPr="0065301F">
              <w:rPr>
                <w:rStyle w:val="Hipercze"/>
                <w:noProof/>
              </w:rPr>
              <w:t>Osoby, które ukończyły 60 rok życia</w:t>
            </w:r>
            <w:r>
              <w:rPr>
                <w:noProof/>
                <w:webHidden/>
              </w:rPr>
              <w:tab/>
            </w:r>
            <w:r>
              <w:rPr>
                <w:noProof/>
                <w:webHidden/>
              </w:rPr>
              <w:fldChar w:fldCharType="begin"/>
            </w:r>
            <w:r>
              <w:rPr>
                <w:noProof/>
                <w:webHidden/>
              </w:rPr>
              <w:instrText xml:space="preserve"> PAGEREF _Toc204179230 \h </w:instrText>
            </w:r>
            <w:r>
              <w:rPr>
                <w:noProof/>
                <w:webHidden/>
              </w:rPr>
            </w:r>
            <w:r>
              <w:rPr>
                <w:noProof/>
                <w:webHidden/>
              </w:rPr>
              <w:fldChar w:fldCharType="separate"/>
            </w:r>
            <w:r w:rsidR="0089290D">
              <w:rPr>
                <w:noProof/>
                <w:webHidden/>
              </w:rPr>
              <w:t>46</w:t>
            </w:r>
            <w:r>
              <w:rPr>
                <w:noProof/>
                <w:webHidden/>
              </w:rPr>
              <w:fldChar w:fldCharType="end"/>
            </w:r>
          </w:hyperlink>
        </w:p>
        <w:p w14:paraId="4B5048D0" w14:textId="30267F88"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31" w:history="1">
            <w:r w:rsidRPr="0065301F">
              <w:rPr>
                <w:rStyle w:val="Hipercze"/>
              </w:rPr>
              <w:t>8.</w:t>
            </w:r>
            <w:r>
              <w:rPr>
                <w:rFonts w:eastAsiaTheme="minorEastAsia"/>
                <w:b w:val="0"/>
                <w:bCs w:val="0"/>
                <w:color w:val="auto"/>
                <w:kern w:val="2"/>
                <w:szCs w:val="24"/>
                <w:lang w:val="en-US"/>
                <w14:ligatures w14:val="standardContextual"/>
              </w:rPr>
              <w:tab/>
            </w:r>
            <w:r w:rsidRPr="0065301F">
              <w:rPr>
                <w:rStyle w:val="Hipercze"/>
              </w:rPr>
              <w:t>Wyniki z testów użytkowników przeprowadzone z wykorzystaniem stron i aplikacji podmiotów publicznych w podziale na grupy badane</w:t>
            </w:r>
            <w:r>
              <w:rPr>
                <w:webHidden/>
              </w:rPr>
              <w:tab/>
            </w:r>
            <w:r>
              <w:rPr>
                <w:webHidden/>
              </w:rPr>
              <w:fldChar w:fldCharType="begin"/>
            </w:r>
            <w:r>
              <w:rPr>
                <w:webHidden/>
              </w:rPr>
              <w:instrText xml:space="preserve"> PAGEREF _Toc204179231 \h </w:instrText>
            </w:r>
            <w:r>
              <w:rPr>
                <w:webHidden/>
              </w:rPr>
            </w:r>
            <w:r>
              <w:rPr>
                <w:webHidden/>
              </w:rPr>
              <w:fldChar w:fldCharType="separate"/>
            </w:r>
            <w:r w:rsidR="0089290D">
              <w:rPr>
                <w:webHidden/>
              </w:rPr>
              <w:t>49</w:t>
            </w:r>
            <w:r>
              <w:rPr>
                <w:webHidden/>
              </w:rPr>
              <w:fldChar w:fldCharType="end"/>
            </w:r>
          </w:hyperlink>
        </w:p>
        <w:p w14:paraId="62062695" w14:textId="532B74DB" w:rsidR="00C565B4" w:rsidRDefault="00C565B4" w:rsidP="00B271C3">
          <w:pPr>
            <w:pStyle w:val="Spistreci3"/>
            <w:contextualSpacing/>
            <w:rPr>
              <w:rFonts w:eastAsiaTheme="minorEastAsia"/>
              <w:noProof/>
              <w:kern w:val="2"/>
              <w:szCs w:val="24"/>
              <w:lang w:val="en-US"/>
              <w14:ligatures w14:val="standardContextual"/>
            </w:rPr>
          </w:pPr>
          <w:hyperlink w:anchor="_Toc204179232" w:history="1">
            <w:r w:rsidRPr="0065301F">
              <w:rPr>
                <w:rStyle w:val="Hipercze"/>
                <w:noProof/>
              </w:rPr>
              <w:t>8.1.</w:t>
            </w:r>
            <w:r>
              <w:rPr>
                <w:rFonts w:eastAsiaTheme="minorEastAsia"/>
                <w:noProof/>
                <w:kern w:val="2"/>
                <w:szCs w:val="24"/>
                <w:lang w:val="en-US"/>
                <w14:ligatures w14:val="standardContextual"/>
              </w:rPr>
              <w:tab/>
            </w:r>
            <w:r w:rsidRPr="0065301F">
              <w:rPr>
                <w:rStyle w:val="Hipercze"/>
                <w:noProof/>
              </w:rPr>
              <w:t>Osoby ociemniałe lub niewidome</w:t>
            </w:r>
            <w:r>
              <w:rPr>
                <w:noProof/>
                <w:webHidden/>
              </w:rPr>
              <w:tab/>
            </w:r>
            <w:r>
              <w:rPr>
                <w:noProof/>
                <w:webHidden/>
              </w:rPr>
              <w:fldChar w:fldCharType="begin"/>
            </w:r>
            <w:r>
              <w:rPr>
                <w:noProof/>
                <w:webHidden/>
              </w:rPr>
              <w:instrText xml:space="preserve"> PAGEREF _Toc204179232 \h </w:instrText>
            </w:r>
            <w:r>
              <w:rPr>
                <w:noProof/>
                <w:webHidden/>
              </w:rPr>
            </w:r>
            <w:r>
              <w:rPr>
                <w:noProof/>
                <w:webHidden/>
              </w:rPr>
              <w:fldChar w:fldCharType="separate"/>
            </w:r>
            <w:r w:rsidR="0089290D">
              <w:rPr>
                <w:noProof/>
                <w:webHidden/>
              </w:rPr>
              <w:t>49</w:t>
            </w:r>
            <w:r>
              <w:rPr>
                <w:noProof/>
                <w:webHidden/>
              </w:rPr>
              <w:fldChar w:fldCharType="end"/>
            </w:r>
          </w:hyperlink>
        </w:p>
        <w:p w14:paraId="210305DC" w14:textId="23D9F22E" w:rsidR="00C565B4" w:rsidRDefault="00C565B4" w:rsidP="00B271C3">
          <w:pPr>
            <w:pStyle w:val="Spistreci3"/>
            <w:contextualSpacing/>
            <w:rPr>
              <w:rFonts w:eastAsiaTheme="minorEastAsia"/>
              <w:noProof/>
              <w:kern w:val="2"/>
              <w:szCs w:val="24"/>
              <w:lang w:val="en-US"/>
              <w14:ligatures w14:val="standardContextual"/>
            </w:rPr>
          </w:pPr>
          <w:hyperlink w:anchor="_Toc204179233" w:history="1">
            <w:r w:rsidRPr="0065301F">
              <w:rPr>
                <w:rStyle w:val="Hipercze"/>
                <w:noProof/>
              </w:rPr>
              <w:t>8.2.</w:t>
            </w:r>
            <w:r>
              <w:rPr>
                <w:rFonts w:eastAsiaTheme="minorEastAsia"/>
                <w:noProof/>
                <w:kern w:val="2"/>
                <w:szCs w:val="24"/>
                <w:lang w:val="en-US"/>
                <w14:ligatures w14:val="standardContextual"/>
              </w:rPr>
              <w:tab/>
            </w:r>
            <w:r w:rsidRPr="0065301F">
              <w:rPr>
                <w:rStyle w:val="Hipercze"/>
                <w:noProof/>
              </w:rPr>
              <w:t>Osoby słabowidzące</w:t>
            </w:r>
            <w:r>
              <w:rPr>
                <w:noProof/>
                <w:webHidden/>
              </w:rPr>
              <w:tab/>
            </w:r>
            <w:r>
              <w:rPr>
                <w:noProof/>
                <w:webHidden/>
              </w:rPr>
              <w:fldChar w:fldCharType="begin"/>
            </w:r>
            <w:r>
              <w:rPr>
                <w:noProof/>
                <w:webHidden/>
              </w:rPr>
              <w:instrText xml:space="preserve"> PAGEREF _Toc204179233 \h </w:instrText>
            </w:r>
            <w:r>
              <w:rPr>
                <w:noProof/>
                <w:webHidden/>
              </w:rPr>
            </w:r>
            <w:r>
              <w:rPr>
                <w:noProof/>
                <w:webHidden/>
              </w:rPr>
              <w:fldChar w:fldCharType="separate"/>
            </w:r>
            <w:r w:rsidR="0089290D">
              <w:rPr>
                <w:noProof/>
                <w:webHidden/>
              </w:rPr>
              <w:t>58</w:t>
            </w:r>
            <w:r>
              <w:rPr>
                <w:noProof/>
                <w:webHidden/>
              </w:rPr>
              <w:fldChar w:fldCharType="end"/>
            </w:r>
          </w:hyperlink>
        </w:p>
        <w:p w14:paraId="0C0499B3" w14:textId="473140C0" w:rsidR="00C565B4" w:rsidRDefault="00C565B4" w:rsidP="00B271C3">
          <w:pPr>
            <w:pStyle w:val="Spistreci3"/>
            <w:contextualSpacing/>
            <w:rPr>
              <w:rFonts w:eastAsiaTheme="minorEastAsia"/>
              <w:noProof/>
              <w:kern w:val="2"/>
              <w:szCs w:val="24"/>
              <w:lang w:val="en-US"/>
              <w14:ligatures w14:val="standardContextual"/>
            </w:rPr>
          </w:pPr>
          <w:hyperlink w:anchor="_Toc204179234" w:history="1">
            <w:r w:rsidRPr="0065301F">
              <w:rPr>
                <w:rStyle w:val="Hipercze"/>
                <w:noProof/>
              </w:rPr>
              <w:t>8.3.</w:t>
            </w:r>
            <w:r>
              <w:rPr>
                <w:rFonts w:eastAsiaTheme="minorEastAsia"/>
                <w:noProof/>
                <w:kern w:val="2"/>
                <w:szCs w:val="24"/>
                <w:lang w:val="en-US"/>
                <w14:ligatures w14:val="standardContextual"/>
              </w:rPr>
              <w:tab/>
            </w:r>
            <w:r w:rsidRPr="0065301F">
              <w:rPr>
                <w:rStyle w:val="Hipercze"/>
                <w:noProof/>
              </w:rPr>
              <w:t>Osoby słabosłyszące lub niesłyszące</w:t>
            </w:r>
            <w:r>
              <w:rPr>
                <w:noProof/>
                <w:webHidden/>
              </w:rPr>
              <w:tab/>
            </w:r>
            <w:r>
              <w:rPr>
                <w:noProof/>
                <w:webHidden/>
              </w:rPr>
              <w:fldChar w:fldCharType="begin"/>
            </w:r>
            <w:r>
              <w:rPr>
                <w:noProof/>
                <w:webHidden/>
              </w:rPr>
              <w:instrText xml:space="preserve"> PAGEREF _Toc204179234 \h </w:instrText>
            </w:r>
            <w:r>
              <w:rPr>
                <w:noProof/>
                <w:webHidden/>
              </w:rPr>
            </w:r>
            <w:r>
              <w:rPr>
                <w:noProof/>
                <w:webHidden/>
              </w:rPr>
              <w:fldChar w:fldCharType="separate"/>
            </w:r>
            <w:r w:rsidR="0089290D">
              <w:rPr>
                <w:noProof/>
                <w:webHidden/>
              </w:rPr>
              <w:t>66</w:t>
            </w:r>
            <w:r>
              <w:rPr>
                <w:noProof/>
                <w:webHidden/>
              </w:rPr>
              <w:fldChar w:fldCharType="end"/>
            </w:r>
          </w:hyperlink>
        </w:p>
        <w:p w14:paraId="27891429" w14:textId="01D39262" w:rsidR="00C565B4" w:rsidRDefault="00C565B4" w:rsidP="00B271C3">
          <w:pPr>
            <w:pStyle w:val="Spistreci3"/>
            <w:contextualSpacing/>
            <w:rPr>
              <w:rFonts w:eastAsiaTheme="minorEastAsia"/>
              <w:noProof/>
              <w:kern w:val="2"/>
              <w:szCs w:val="24"/>
              <w:lang w:val="en-US"/>
              <w14:ligatures w14:val="standardContextual"/>
            </w:rPr>
          </w:pPr>
          <w:hyperlink w:anchor="_Toc204179235" w:history="1">
            <w:r w:rsidRPr="0065301F">
              <w:rPr>
                <w:rStyle w:val="Hipercze"/>
                <w:noProof/>
              </w:rPr>
              <w:t>8.4.</w:t>
            </w:r>
            <w:r>
              <w:rPr>
                <w:rFonts w:eastAsiaTheme="minorEastAsia"/>
                <w:noProof/>
                <w:kern w:val="2"/>
                <w:szCs w:val="24"/>
                <w:lang w:val="en-US"/>
                <w14:ligatures w14:val="standardContextual"/>
              </w:rPr>
              <w:tab/>
            </w:r>
            <w:r w:rsidRPr="0065301F">
              <w:rPr>
                <w:rStyle w:val="Hipercze"/>
                <w:noProof/>
              </w:rPr>
              <w:t>Osoby z dysfunkcją narządu ruchu</w:t>
            </w:r>
            <w:r>
              <w:rPr>
                <w:noProof/>
                <w:webHidden/>
              </w:rPr>
              <w:tab/>
            </w:r>
            <w:r>
              <w:rPr>
                <w:noProof/>
                <w:webHidden/>
              </w:rPr>
              <w:fldChar w:fldCharType="begin"/>
            </w:r>
            <w:r>
              <w:rPr>
                <w:noProof/>
                <w:webHidden/>
              </w:rPr>
              <w:instrText xml:space="preserve"> PAGEREF _Toc204179235 \h </w:instrText>
            </w:r>
            <w:r>
              <w:rPr>
                <w:noProof/>
                <w:webHidden/>
              </w:rPr>
            </w:r>
            <w:r>
              <w:rPr>
                <w:noProof/>
                <w:webHidden/>
              </w:rPr>
              <w:fldChar w:fldCharType="separate"/>
            </w:r>
            <w:r w:rsidR="0089290D">
              <w:rPr>
                <w:noProof/>
                <w:webHidden/>
              </w:rPr>
              <w:t>73</w:t>
            </w:r>
            <w:r>
              <w:rPr>
                <w:noProof/>
                <w:webHidden/>
              </w:rPr>
              <w:fldChar w:fldCharType="end"/>
            </w:r>
          </w:hyperlink>
        </w:p>
        <w:p w14:paraId="50D74235" w14:textId="549AA6B5" w:rsidR="00C565B4" w:rsidRDefault="00C565B4" w:rsidP="00B271C3">
          <w:pPr>
            <w:pStyle w:val="Spistreci3"/>
            <w:contextualSpacing/>
            <w:rPr>
              <w:rFonts w:eastAsiaTheme="minorEastAsia"/>
              <w:noProof/>
              <w:kern w:val="2"/>
              <w:szCs w:val="24"/>
              <w:lang w:val="en-US"/>
              <w14:ligatures w14:val="standardContextual"/>
            </w:rPr>
          </w:pPr>
          <w:hyperlink w:anchor="_Toc204179236" w:history="1">
            <w:r w:rsidRPr="0065301F">
              <w:rPr>
                <w:rStyle w:val="Hipercze"/>
                <w:noProof/>
              </w:rPr>
              <w:t>8.5.</w:t>
            </w:r>
            <w:r>
              <w:rPr>
                <w:rFonts w:eastAsiaTheme="minorEastAsia"/>
                <w:noProof/>
                <w:kern w:val="2"/>
                <w:szCs w:val="24"/>
                <w:lang w:val="en-US"/>
                <w14:ligatures w14:val="standardContextual"/>
              </w:rPr>
              <w:tab/>
            </w:r>
            <w:r w:rsidRPr="0065301F">
              <w:rPr>
                <w:rStyle w:val="Hipercze"/>
                <w:noProof/>
              </w:rPr>
              <w:t>Osoby z niepełnosprawnością intelektualną i ograniczeniami poznawczymi</w:t>
            </w:r>
            <w:r>
              <w:rPr>
                <w:noProof/>
                <w:webHidden/>
              </w:rPr>
              <w:tab/>
            </w:r>
            <w:r>
              <w:rPr>
                <w:noProof/>
                <w:webHidden/>
              </w:rPr>
              <w:fldChar w:fldCharType="begin"/>
            </w:r>
            <w:r>
              <w:rPr>
                <w:noProof/>
                <w:webHidden/>
              </w:rPr>
              <w:instrText xml:space="preserve"> PAGEREF _Toc204179236 \h </w:instrText>
            </w:r>
            <w:r>
              <w:rPr>
                <w:noProof/>
                <w:webHidden/>
              </w:rPr>
            </w:r>
            <w:r>
              <w:rPr>
                <w:noProof/>
                <w:webHidden/>
              </w:rPr>
              <w:fldChar w:fldCharType="separate"/>
            </w:r>
            <w:r w:rsidR="0089290D">
              <w:rPr>
                <w:noProof/>
                <w:webHidden/>
              </w:rPr>
              <w:t>81</w:t>
            </w:r>
            <w:r>
              <w:rPr>
                <w:noProof/>
                <w:webHidden/>
              </w:rPr>
              <w:fldChar w:fldCharType="end"/>
            </w:r>
          </w:hyperlink>
        </w:p>
        <w:p w14:paraId="6D13D8DF" w14:textId="101142CA" w:rsidR="00C565B4" w:rsidRDefault="00C565B4" w:rsidP="00B271C3">
          <w:pPr>
            <w:pStyle w:val="Spistreci3"/>
            <w:contextualSpacing/>
            <w:rPr>
              <w:rFonts w:eastAsiaTheme="minorEastAsia"/>
              <w:noProof/>
              <w:kern w:val="2"/>
              <w:szCs w:val="24"/>
              <w:lang w:val="en-US"/>
              <w14:ligatures w14:val="standardContextual"/>
            </w:rPr>
          </w:pPr>
          <w:hyperlink w:anchor="_Toc204179237" w:history="1">
            <w:r w:rsidRPr="0065301F">
              <w:rPr>
                <w:rStyle w:val="Hipercze"/>
                <w:noProof/>
              </w:rPr>
              <w:t>8.6.</w:t>
            </w:r>
            <w:r>
              <w:rPr>
                <w:rFonts w:eastAsiaTheme="minorEastAsia"/>
                <w:noProof/>
                <w:kern w:val="2"/>
                <w:szCs w:val="24"/>
                <w:lang w:val="en-US"/>
                <w14:ligatures w14:val="standardContextual"/>
              </w:rPr>
              <w:tab/>
            </w:r>
            <w:r w:rsidRPr="0065301F">
              <w:rPr>
                <w:rStyle w:val="Hipercze"/>
                <w:noProof/>
              </w:rPr>
              <w:t>Osoby, które ukończyły 60 rok życia</w:t>
            </w:r>
            <w:r>
              <w:rPr>
                <w:noProof/>
                <w:webHidden/>
              </w:rPr>
              <w:tab/>
            </w:r>
            <w:r>
              <w:rPr>
                <w:noProof/>
                <w:webHidden/>
              </w:rPr>
              <w:fldChar w:fldCharType="begin"/>
            </w:r>
            <w:r>
              <w:rPr>
                <w:noProof/>
                <w:webHidden/>
              </w:rPr>
              <w:instrText xml:space="preserve"> PAGEREF _Toc204179237 \h </w:instrText>
            </w:r>
            <w:r>
              <w:rPr>
                <w:noProof/>
                <w:webHidden/>
              </w:rPr>
            </w:r>
            <w:r>
              <w:rPr>
                <w:noProof/>
                <w:webHidden/>
              </w:rPr>
              <w:fldChar w:fldCharType="separate"/>
            </w:r>
            <w:r w:rsidR="0089290D">
              <w:rPr>
                <w:noProof/>
                <w:webHidden/>
              </w:rPr>
              <w:t>88</w:t>
            </w:r>
            <w:r>
              <w:rPr>
                <w:noProof/>
                <w:webHidden/>
              </w:rPr>
              <w:fldChar w:fldCharType="end"/>
            </w:r>
          </w:hyperlink>
        </w:p>
        <w:p w14:paraId="2D73D940" w14:textId="37EE0E07"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38" w:history="1">
            <w:r w:rsidRPr="0065301F">
              <w:rPr>
                <w:rStyle w:val="Hipercze"/>
              </w:rPr>
              <w:t>9.</w:t>
            </w:r>
            <w:r>
              <w:rPr>
                <w:rFonts w:eastAsiaTheme="minorEastAsia"/>
                <w:b w:val="0"/>
                <w:bCs w:val="0"/>
                <w:color w:val="auto"/>
                <w:kern w:val="2"/>
                <w:szCs w:val="24"/>
                <w:lang w:val="en-US"/>
                <w14:ligatures w14:val="standardContextual"/>
              </w:rPr>
              <w:tab/>
            </w:r>
            <w:r w:rsidRPr="0065301F">
              <w:rPr>
                <w:rStyle w:val="Hipercze"/>
              </w:rPr>
              <w:t>Hierarchia potrzeb cyfrowych użytkowników</w:t>
            </w:r>
            <w:r>
              <w:rPr>
                <w:webHidden/>
              </w:rPr>
              <w:tab/>
            </w:r>
            <w:r>
              <w:rPr>
                <w:webHidden/>
              </w:rPr>
              <w:fldChar w:fldCharType="begin"/>
            </w:r>
            <w:r>
              <w:rPr>
                <w:webHidden/>
              </w:rPr>
              <w:instrText xml:space="preserve"> PAGEREF _Toc204179238 \h </w:instrText>
            </w:r>
            <w:r>
              <w:rPr>
                <w:webHidden/>
              </w:rPr>
            </w:r>
            <w:r>
              <w:rPr>
                <w:webHidden/>
              </w:rPr>
              <w:fldChar w:fldCharType="separate"/>
            </w:r>
            <w:r w:rsidR="0089290D">
              <w:rPr>
                <w:webHidden/>
              </w:rPr>
              <w:t>95</w:t>
            </w:r>
            <w:r>
              <w:rPr>
                <w:webHidden/>
              </w:rPr>
              <w:fldChar w:fldCharType="end"/>
            </w:r>
          </w:hyperlink>
        </w:p>
        <w:p w14:paraId="50623800" w14:textId="71C1C26A"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39" w:history="1">
            <w:r w:rsidRPr="0065301F">
              <w:rPr>
                <w:rStyle w:val="Hipercze"/>
              </w:rPr>
              <w:t>10.</w:t>
            </w:r>
            <w:r>
              <w:rPr>
                <w:rFonts w:eastAsiaTheme="minorEastAsia"/>
                <w:b w:val="0"/>
                <w:bCs w:val="0"/>
                <w:color w:val="auto"/>
                <w:kern w:val="2"/>
                <w:szCs w:val="24"/>
                <w:lang w:val="en-US"/>
                <w14:ligatures w14:val="standardContextual"/>
              </w:rPr>
              <w:tab/>
            </w:r>
            <w:r w:rsidRPr="0065301F">
              <w:rPr>
                <w:rStyle w:val="Hipercze"/>
              </w:rPr>
              <w:t>Podsumowanie badania jakościowego</w:t>
            </w:r>
            <w:r>
              <w:rPr>
                <w:webHidden/>
              </w:rPr>
              <w:tab/>
            </w:r>
            <w:r>
              <w:rPr>
                <w:webHidden/>
              </w:rPr>
              <w:fldChar w:fldCharType="begin"/>
            </w:r>
            <w:r>
              <w:rPr>
                <w:webHidden/>
              </w:rPr>
              <w:instrText xml:space="preserve"> PAGEREF _Toc204179239 \h </w:instrText>
            </w:r>
            <w:r>
              <w:rPr>
                <w:webHidden/>
              </w:rPr>
            </w:r>
            <w:r>
              <w:rPr>
                <w:webHidden/>
              </w:rPr>
              <w:fldChar w:fldCharType="separate"/>
            </w:r>
            <w:r w:rsidR="0089290D">
              <w:rPr>
                <w:webHidden/>
              </w:rPr>
              <w:t>97</w:t>
            </w:r>
            <w:r>
              <w:rPr>
                <w:webHidden/>
              </w:rPr>
              <w:fldChar w:fldCharType="end"/>
            </w:r>
          </w:hyperlink>
        </w:p>
        <w:p w14:paraId="630B4A57" w14:textId="628E7B22" w:rsidR="00C565B4" w:rsidRDefault="00C565B4" w:rsidP="00B271C3">
          <w:pPr>
            <w:pStyle w:val="Spistreci3"/>
            <w:contextualSpacing/>
            <w:rPr>
              <w:rFonts w:eastAsiaTheme="minorEastAsia"/>
              <w:noProof/>
              <w:kern w:val="2"/>
              <w:szCs w:val="24"/>
              <w:lang w:val="en-US"/>
              <w14:ligatures w14:val="standardContextual"/>
            </w:rPr>
          </w:pPr>
          <w:hyperlink w:anchor="_Toc204179240" w:history="1">
            <w:r w:rsidRPr="0065301F">
              <w:rPr>
                <w:rStyle w:val="Hipercze"/>
                <w:noProof/>
              </w:rPr>
              <w:t>10.1.</w:t>
            </w:r>
            <w:r>
              <w:rPr>
                <w:rFonts w:eastAsiaTheme="minorEastAsia"/>
                <w:noProof/>
                <w:kern w:val="2"/>
                <w:szCs w:val="24"/>
                <w:lang w:val="en-US"/>
                <w14:ligatures w14:val="standardContextual"/>
              </w:rPr>
              <w:tab/>
            </w:r>
            <w:r w:rsidRPr="0065301F">
              <w:rPr>
                <w:rStyle w:val="Hipercze"/>
                <w:noProof/>
              </w:rPr>
              <w:t>Podsumowanie ogólne</w:t>
            </w:r>
            <w:r>
              <w:rPr>
                <w:noProof/>
                <w:webHidden/>
              </w:rPr>
              <w:tab/>
            </w:r>
            <w:r>
              <w:rPr>
                <w:noProof/>
                <w:webHidden/>
              </w:rPr>
              <w:fldChar w:fldCharType="begin"/>
            </w:r>
            <w:r>
              <w:rPr>
                <w:noProof/>
                <w:webHidden/>
              </w:rPr>
              <w:instrText xml:space="preserve"> PAGEREF _Toc204179240 \h </w:instrText>
            </w:r>
            <w:r>
              <w:rPr>
                <w:noProof/>
                <w:webHidden/>
              </w:rPr>
            </w:r>
            <w:r>
              <w:rPr>
                <w:noProof/>
                <w:webHidden/>
              </w:rPr>
              <w:fldChar w:fldCharType="separate"/>
            </w:r>
            <w:r w:rsidR="0089290D">
              <w:rPr>
                <w:noProof/>
                <w:webHidden/>
              </w:rPr>
              <w:t>97</w:t>
            </w:r>
            <w:r>
              <w:rPr>
                <w:noProof/>
                <w:webHidden/>
              </w:rPr>
              <w:fldChar w:fldCharType="end"/>
            </w:r>
          </w:hyperlink>
        </w:p>
        <w:p w14:paraId="432FCC7D" w14:textId="4CF9958F" w:rsidR="00C565B4" w:rsidRDefault="00C565B4" w:rsidP="00B271C3">
          <w:pPr>
            <w:pStyle w:val="Spistreci3"/>
            <w:contextualSpacing/>
            <w:rPr>
              <w:rFonts w:eastAsiaTheme="minorEastAsia"/>
              <w:noProof/>
              <w:kern w:val="2"/>
              <w:szCs w:val="24"/>
              <w:lang w:val="en-US"/>
              <w14:ligatures w14:val="standardContextual"/>
            </w:rPr>
          </w:pPr>
          <w:hyperlink w:anchor="_Toc204179241" w:history="1">
            <w:r w:rsidRPr="0065301F">
              <w:rPr>
                <w:rStyle w:val="Hipercze"/>
                <w:noProof/>
              </w:rPr>
              <w:t>10.2.</w:t>
            </w:r>
            <w:r>
              <w:rPr>
                <w:rFonts w:eastAsiaTheme="minorEastAsia"/>
                <w:noProof/>
                <w:kern w:val="2"/>
                <w:szCs w:val="24"/>
                <w:lang w:val="en-US"/>
                <w14:ligatures w14:val="standardContextual"/>
              </w:rPr>
              <w:tab/>
            </w:r>
            <w:r w:rsidRPr="0065301F">
              <w:rPr>
                <w:rStyle w:val="Hipercze"/>
                <w:noProof/>
              </w:rPr>
              <w:t>Szczegółowe podsumowanie badania</w:t>
            </w:r>
            <w:r>
              <w:rPr>
                <w:noProof/>
                <w:webHidden/>
              </w:rPr>
              <w:tab/>
            </w:r>
            <w:r>
              <w:rPr>
                <w:noProof/>
                <w:webHidden/>
              </w:rPr>
              <w:fldChar w:fldCharType="begin"/>
            </w:r>
            <w:r>
              <w:rPr>
                <w:noProof/>
                <w:webHidden/>
              </w:rPr>
              <w:instrText xml:space="preserve"> PAGEREF _Toc204179241 \h </w:instrText>
            </w:r>
            <w:r>
              <w:rPr>
                <w:noProof/>
                <w:webHidden/>
              </w:rPr>
            </w:r>
            <w:r>
              <w:rPr>
                <w:noProof/>
                <w:webHidden/>
              </w:rPr>
              <w:fldChar w:fldCharType="separate"/>
            </w:r>
            <w:r w:rsidR="0089290D">
              <w:rPr>
                <w:noProof/>
                <w:webHidden/>
              </w:rPr>
              <w:t>99</w:t>
            </w:r>
            <w:r>
              <w:rPr>
                <w:noProof/>
                <w:webHidden/>
              </w:rPr>
              <w:fldChar w:fldCharType="end"/>
            </w:r>
          </w:hyperlink>
        </w:p>
        <w:p w14:paraId="1BC4ABEF" w14:textId="64083254"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42" w:history="1">
            <w:r w:rsidRPr="0065301F">
              <w:rPr>
                <w:rStyle w:val="Hipercze"/>
              </w:rPr>
              <w:t>11.</w:t>
            </w:r>
            <w:r>
              <w:rPr>
                <w:rFonts w:eastAsiaTheme="minorEastAsia"/>
                <w:b w:val="0"/>
                <w:bCs w:val="0"/>
                <w:color w:val="auto"/>
                <w:kern w:val="2"/>
                <w:szCs w:val="24"/>
                <w:lang w:val="en-US"/>
                <w14:ligatures w14:val="standardContextual"/>
              </w:rPr>
              <w:tab/>
            </w:r>
            <w:r w:rsidRPr="0065301F">
              <w:rPr>
                <w:rStyle w:val="Hipercze"/>
              </w:rPr>
              <w:t>Wnioski z badania jakościowego</w:t>
            </w:r>
            <w:r>
              <w:rPr>
                <w:webHidden/>
              </w:rPr>
              <w:tab/>
            </w:r>
            <w:r>
              <w:rPr>
                <w:webHidden/>
              </w:rPr>
              <w:fldChar w:fldCharType="begin"/>
            </w:r>
            <w:r>
              <w:rPr>
                <w:webHidden/>
              </w:rPr>
              <w:instrText xml:space="preserve"> PAGEREF _Toc204179242 \h </w:instrText>
            </w:r>
            <w:r>
              <w:rPr>
                <w:webHidden/>
              </w:rPr>
            </w:r>
            <w:r>
              <w:rPr>
                <w:webHidden/>
              </w:rPr>
              <w:fldChar w:fldCharType="separate"/>
            </w:r>
            <w:r w:rsidR="0089290D">
              <w:rPr>
                <w:webHidden/>
              </w:rPr>
              <w:t>121</w:t>
            </w:r>
            <w:r>
              <w:rPr>
                <w:webHidden/>
              </w:rPr>
              <w:fldChar w:fldCharType="end"/>
            </w:r>
          </w:hyperlink>
        </w:p>
        <w:p w14:paraId="63049F1A" w14:textId="1081A2C1"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43" w:history="1">
            <w:r w:rsidRPr="0065301F">
              <w:rPr>
                <w:rStyle w:val="Hipercze"/>
              </w:rPr>
              <w:t>12.</w:t>
            </w:r>
            <w:r>
              <w:rPr>
                <w:rFonts w:eastAsiaTheme="minorEastAsia"/>
                <w:b w:val="0"/>
                <w:bCs w:val="0"/>
                <w:color w:val="auto"/>
                <w:kern w:val="2"/>
                <w:szCs w:val="24"/>
                <w:lang w:val="en-US"/>
                <w14:ligatures w14:val="standardContextual"/>
              </w:rPr>
              <w:tab/>
            </w:r>
            <w:r w:rsidRPr="0065301F">
              <w:rPr>
                <w:rStyle w:val="Hipercze"/>
              </w:rPr>
              <w:t>Wnioski z badania jakościowego w podziale na poszczególne grupy badane</w:t>
            </w:r>
            <w:r>
              <w:rPr>
                <w:webHidden/>
              </w:rPr>
              <w:tab/>
            </w:r>
            <w:r>
              <w:rPr>
                <w:webHidden/>
              </w:rPr>
              <w:fldChar w:fldCharType="begin"/>
            </w:r>
            <w:r>
              <w:rPr>
                <w:webHidden/>
              </w:rPr>
              <w:instrText xml:space="preserve"> PAGEREF _Toc204179243 \h </w:instrText>
            </w:r>
            <w:r>
              <w:rPr>
                <w:webHidden/>
              </w:rPr>
            </w:r>
            <w:r>
              <w:rPr>
                <w:webHidden/>
              </w:rPr>
              <w:fldChar w:fldCharType="separate"/>
            </w:r>
            <w:r w:rsidR="0089290D">
              <w:rPr>
                <w:webHidden/>
              </w:rPr>
              <w:t>123</w:t>
            </w:r>
            <w:r>
              <w:rPr>
                <w:webHidden/>
              </w:rPr>
              <w:fldChar w:fldCharType="end"/>
            </w:r>
          </w:hyperlink>
        </w:p>
        <w:p w14:paraId="435899E3" w14:textId="77CE1C7D" w:rsidR="00C565B4" w:rsidRDefault="00C565B4" w:rsidP="00C565B4">
          <w:pPr>
            <w:pStyle w:val="Spistreci1"/>
            <w:rPr>
              <w:rFonts w:eastAsiaTheme="minorEastAsia"/>
              <w:b w:val="0"/>
              <w:bCs w:val="0"/>
              <w:color w:val="auto"/>
              <w:kern w:val="2"/>
              <w:szCs w:val="24"/>
              <w:lang w:val="en-US"/>
              <w14:ligatures w14:val="standardContextual"/>
            </w:rPr>
          </w:pPr>
          <w:hyperlink w:anchor="_Toc204179244" w:history="1">
            <w:r w:rsidRPr="0065301F">
              <w:rPr>
                <w:rStyle w:val="Hipercze"/>
              </w:rPr>
              <w:t>III.</w:t>
            </w:r>
            <w:r>
              <w:rPr>
                <w:rFonts w:eastAsiaTheme="minorEastAsia"/>
                <w:b w:val="0"/>
                <w:bCs w:val="0"/>
                <w:color w:val="auto"/>
                <w:kern w:val="2"/>
                <w:szCs w:val="24"/>
                <w:lang w:val="en-US"/>
                <w14:ligatures w14:val="standardContextual"/>
              </w:rPr>
              <w:tab/>
            </w:r>
            <w:r w:rsidRPr="0065301F">
              <w:rPr>
                <w:rStyle w:val="Hipercze"/>
              </w:rPr>
              <w:t>Badanie ilościowe</w:t>
            </w:r>
            <w:r>
              <w:rPr>
                <w:webHidden/>
              </w:rPr>
              <w:tab/>
            </w:r>
            <w:r>
              <w:rPr>
                <w:webHidden/>
              </w:rPr>
              <w:fldChar w:fldCharType="begin"/>
            </w:r>
            <w:r>
              <w:rPr>
                <w:webHidden/>
              </w:rPr>
              <w:instrText xml:space="preserve"> PAGEREF _Toc204179244 \h </w:instrText>
            </w:r>
            <w:r>
              <w:rPr>
                <w:webHidden/>
              </w:rPr>
            </w:r>
            <w:r>
              <w:rPr>
                <w:webHidden/>
              </w:rPr>
              <w:fldChar w:fldCharType="separate"/>
            </w:r>
            <w:r w:rsidR="0089290D">
              <w:rPr>
                <w:webHidden/>
              </w:rPr>
              <w:t>125</w:t>
            </w:r>
            <w:r>
              <w:rPr>
                <w:webHidden/>
              </w:rPr>
              <w:fldChar w:fldCharType="end"/>
            </w:r>
          </w:hyperlink>
        </w:p>
        <w:p w14:paraId="39147374" w14:textId="6865A91D"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45" w:history="1">
            <w:r w:rsidRPr="0065301F">
              <w:rPr>
                <w:rStyle w:val="Hipercze"/>
              </w:rPr>
              <w:t>13.</w:t>
            </w:r>
            <w:r>
              <w:rPr>
                <w:rFonts w:eastAsiaTheme="minorEastAsia"/>
                <w:b w:val="0"/>
                <w:bCs w:val="0"/>
                <w:color w:val="auto"/>
                <w:kern w:val="2"/>
                <w:szCs w:val="24"/>
                <w:lang w:val="en-US"/>
                <w14:ligatures w14:val="standardContextual"/>
              </w:rPr>
              <w:tab/>
            </w:r>
            <w:r w:rsidRPr="0065301F">
              <w:rPr>
                <w:rStyle w:val="Hipercze"/>
              </w:rPr>
              <w:t>Opis metod i zastosowanych technik badawczych wraz z uzasadnieniem</w:t>
            </w:r>
            <w:r>
              <w:rPr>
                <w:webHidden/>
              </w:rPr>
              <w:tab/>
            </w:r>
            <w:r>
              <w:rPr>
                <w:webHidden/>
              </w:rPr>
              <w:fldChar w:fldCharType="begin"/>
            </w:r>
            <w:r>
              <w:rPr>
                <w:webHidden/>
              </w:rPr>
              <w:instrText xml:space="preserve"> PAGEREF _Toc204179245 \h </w:instrText>
            </w:r>
            <w:r>
              <w:rPr>
                <w:webHidden/>
              </w:rPr>
            </w:r>
            <w:r>
              <w:rPr>
                <w:webHidden/>
              </w:rPr>
              <w:fldChar w:fldCharType="separate"/>
            </w:r>
            <w:r w:rsidR="0089290D">
              <w:rPr>
                <w:webHidden/>
              </w:rPr>
              <w:t>125</w:t>
            </w:r>
            <w:r>
              <w:rPr>
                <w:webHidden/>
              </w:rPr>
              <w:fldChar w:fldCharType="end"/>
            </w:r>
          </w:hyperlink>
        </w:p>
        <w:p w14:paraId="609E08BF" w14:textId="74B67D81" w:rsidR="00C565B4" w:rsidRDefault="00C565B4" w:rsidP="00B271C3">
          <w:pPr>
            <w:pStyle w:val="Spistreci3"/>
            <w:contextualSpacing/>
            <w:rPr>
              <w:rFonts w:eastAsiaTheme="minorEastAsia"/>
              <w:noProof/>
              <w:kern w:val="2"/>
              <w:szCs w:val="24"/>
              <w:lang w:val="en-US"/>
              <w14:ligatures w14:val="standardContextual"/>
            </w:rPr>
          </w:pPr>
          <w:hyperlink w:anchor="_Toc204179246" w:history="1">
            <w:r w:rsidRPr="0065301F">
              <w:rPr>
                <w:rStyle w:val="Hipercze"/>
                <w:rFonts w:ascii="Aptos" w:hAnsi="Aptos"/>
                <w:noProof/>
              </w:rPr>
              <w:t>13.1.</w:t>
            </w:r>
            <w:r>
              <w:rPr>
                <w:rFonts w:eastAsiaTheme="minorEastAsia"/>
                <w:noProof/>
                <w:kern w:val="2"/>
                <w:szCs w:val="24"/>
                <w:lang w:val="en-US"/>
                <w14:ligatures w14:val="standardContextual"/>
              </w:rPr>
              <w:tab/>
            </w:r>
            <w:r w:rsidRPr="0065301F">
              <w:rPr>
                <w:rStyle w:val="Hipercze"/>
                <w:noProof/>
              </w:rPr>
              <w:t>Wywiady bezpośrednie (CAPI, CATI, CAWI, PAPI)</w:t>
            </w:r>
            <w:r>
              <w:rPr>
                <w:noProof/>
                <w:webHidden/>
              </w:rPr>
              <w:tab/>
            </w:r>
            <w:r>
              <w:rPr>
                <w:noProof/>
                <w:webHidden/>
              </w:rPr>
              <w:fldChar w:fldCharType="begin"/>
            </w:r>
            <w:r>
              <w:rPr>
                <w:noProof/>
                <w:webHidden/>
              </w:rPr>
              <w:instrText xml:space="preserve"> PAGEREF _Toc204179246 \h </w:instrText>
            </w:r>
            <w:r>
              <w:rPr>
                <w:noProof/>
                <w:webHidden/>
              </w:rPr>
            </w:r>
            <w:r>
              <w:rPr>
                <w:noProof/>
                <w:webHidden/>
              </w:rPr>
              <w:fldChar w:fldCharType="separate"/>
            </w:r>
            <w:r w:rsidR="0089290D">
              <w:rPr>
                <w:noProof/>
                <w:webHidden/>
              </w:rPr>
              <w:t>125</w:t>
            </w:r>
            <w:r>
              <w:rPr>
                <w:noProof/>
                <w:webHidden/>
              </w:rPr>
              <w:fldChar w:fldCharType="end"/>
            </w:r>
          </w:hyperlink>
        </w:p>
        <w:p w14:paraId="29C27EE6" w14:textId="61DA8A22"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47" w:history="1">
            <w:r w:rsidRPr="0065301F">
              <w:rPr>
                <w:rStyle w:val="Hipercze"/>
              </w:rPr>
              <w:t>14.</w:t>
            </w:r>
            <w:r>
              <w:rPr>
                <w:rFonts w:eastAsiaTheme="minorEastAsia"/>
                <w:b w:val="0"/>
                <w:bCs w:val="0"/>
                <w:color w:val="auto"/>
                <w:kern w:val="2"/>
                <w:szCs w:val="24"/>
                <w:lang w:val="en-US"/>
                <w14:ligatures w14:val="standardContextual"/>
              </w:rPr>
              <w:tab/>
            </w:r>
            <w:r w:rsidRPr="0065301F">
              <w:rPr>
                <w:rStyle w:val="Hipercze"/>
              </w:rPr>
              <w:t>Opis próby, procedury jej doboru wraz z uzasadnieniem, kontroli doboru próby i skuteczności doboru</w:t>
            </w:r>
            <w:r>
              <w:rPr>
                <w:webHidden/>
              </w:rPr>
              <w:tab/>
            </w:r>
            <w:r>
              <w:rPr>
                <w:webHidden/>
              </w:rPr>
              <w:fldChar w:fldCharType="begin"/>
            </w:r>
            <w:r>
              <w:rPr>
                <w:webHidden/>
              </w:rPr>
              <w:instrText xml:space="preserve"> PAGEREF _Toc204179247 \h </w:instrText>
            </w:r>
            <w:r>
              <w:rPr>
                <w:webHidden/>
              </w:rPr>
            </w:r>
            <w:r>
              <w:rPr>
                <w:webHidden/>
              </w:rPr>
              <w:fldChar w:fldCharType="separate"/>
            </w:r>
            <w:r w:rsidR="0089290D">
              <w:rPr>
                <w:webHidden/>
              </w:rPr>
              <w:t>126</w:t>
            </w:r>
            <w:r>
              <w:rPr>
                <w:webHidden/>
              </w:rPr>
              <w:fldChar w:fldCharType="end"/>
            </w:r>
          </w:hyperlink>
        </w:p>
        <w:p w14:paraId="258B0C88" w14:textId="6FA3B0B9"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91" w:history="1">
            <w:r w:rsidRPr="0065301F">
              <w:rPr>
                <w:rStyle w:val="Hipercze"/>
              </w:rPr>
              <w:t>15.</w:t>
            </w:r>
            <w:r>
              <w:rPr>
                <w:rFonts w:eastAsiaTheme="minorEastAsia"/>
                <w:b w:val="0"/>
                <w:bCs w:val="0"/>
                <w:color w:val="auto"/>
                <w:kern w:val="2"/>
                <w:szCs w:val="24"/>
                <w:lang w:val="en-US"/>
                <w14:ligatures w14:val="standardContextual"/>
              </w:rPr>
              <w:tab/>
            </w:r>
            <w:r w:rsidRPr="0065301F">
              <w:rPr>
                <w:rStyle w:val="Hipercze"/>
              </w:rPr>
              <w:t>Przebieg realizacji badania</w:t>
            </w:r>
            <w:r>
              <w:rPr>
                <w:webHidden/>
              </w:rPr>
              <w:tab/>
            </w:r>
            <w:r>
              <w:rPr>
                <w:webHidden/>
              </w:rPr>
              <w:fldChar w:fldCharType="begin"/>
            </w:r>
            <w:r>
              <w:rPr>
                <w:webHidden/>
              </w:rPr>
              <w:instrText xml:space="preserve"> PAGEREF _Toc204179291 \h </w:instrText>
            </w:r>
            <w:r>
              <w:rPr>
                <w:webHidden/>
              </w:rPr>
            </w:r>
            <w:r>
              <w:rPr>
                <w:webHidden/>
              </w:rPr>
              <w:fldChar w:fldCharType="separate"/>
            </w:r>
            <w:r w:rsidR="0089290D">
              <w:rPr>
                <w:webHidden/>
              </w:rPr>
              <w:t>130</w:t>
            </w:r>
            <w:r>
              <w:rPr>
                <w:webHidden/>
              </w:rPr>
              <w:fldChar w:fldCharType="end"/>
            </w:r>
          </w:hyperlink>
        </w:p>
        <w:p w14:paraId="626C821D" w14:textId="2E7FEFFF"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92" w:history="1">
            <w:r w:rsidRPr="0065301F">
              <w:rPr>
                <w:rStyle w:val="Hipercze"/>
              </w:rPr>
              <w:t>16.</w:t>
            </w:r>
            <w:r>
              <w:rPr>
                <w:rFonts w:eastAsiaTheme="minorEastAsia"/>
                <w:b w:val="0"/>
                <w:bCs w:val="0"/>
                <w:color w:val="auto"/>
                <w:kern w:val="2"/>
                <w:szCs w:val="24"/>
                <w:lang w:val="en-US"/>
                <w14:ligatures w14:val="standardContextual"/>
              </w:rPr>
              <w:tab/>
            </w:r>
            <w:r w:rsidRPr="0065301F">
              <w:rPr>
                <w:rStyle w:val="Hipercze"/>
              </w:rPr>
              <w:t>Opis przeprowadzonych analiz wraz z uzasadnieniem</w:t>
            </w:r>
            <w:r>
              <w:rPr>
                <w:webHidden/>
              </w:rPr>
              <w:tab/>
            </w:r>
            <w:r>
              <w:rPr>
                <w:webHidden/>
              </w:rPr>
              <w:fldChar w:fldCharType="begin"/>
            </w:r>
            <w:r>
              <w:rPr>
                <w:webHidden/>
              </w:rPr>
              <w:instrText xml:space="preserve"> PAGEREF _Toc204179292 \h </w:instrText>
            </w:r>
            <w:r>
              <w:rPr>
                <w:webHidden/>
              </w:rPr>
            </w:r>
            <w:r>
              <w:rPr>
                <w:webHidden/>
              </w:rPr>
              <w:fldChar w:fldCharType="separate"/>
            </w:r>
            <w:r w:rsidR="0089290D">
              <w:rPr>
                <w:webHidden/>
              </w:rPr>
              <w:t>132</w:t>
            </w:r>
            <w:r>
              <w:rPr>
                <w:webHidden/>
              </w:rPr>
              <w:fldChar w:fldCharType="end"/>
            </w:r>
          </w:hyperlink>
        </w:p>
        <w:p w14:paraId="77C88206" w14:textId="1FEAD13A"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93" w:history="1">
            <w:r w:rsidRPr="0065301F">
              <w:rPr>
                <w:rStyle w:val="Hipercze"/>
              </w:rPr>
              <w:t>17.</w:t>
            </w:r>
            <w:r>
              <w:rPr>
                <w:rFonts w:eastAsiaTheme="minorEastAsia"/>
                <w:b w:val="0"/>
                <w:bCs w:val="0"/>
                <w:color w:val="auto"/>
                <w:kern w:val="2"/>
                <w:szCs w:val="24"/>
                <w:lang w:val="en-US"/>
                <w14:ligatures w14:val="standardContextual"/>
              </w:rPr>
              <w:tab/>
            </w:r>
            <w:r w:rsidRPr="0065301F">
              <w:rPr>
                <w:rStyle w:val="Hipercze"/>
              </w:rPr>
              <w:t>Wyniki badania ilościowego</w:t>
            </w:r>
            <w:r>
              <w:rPr>
                <w:webHidden/>
              </w:rPr>
              <w:tab/>
            </w:r>
            <w:r>
              <w:rPr>
                <w:webHidden/>
              </w:rPr>
              <w:fldChar w:fldCharType="begin"/>
            </w:r>
            <w:r>
              <w:rPr>
                <w:webHidden/>
              </w:rPr>
              <w:instrText xml:space="preserve"> PAGEREF _Toc204179293 \h </w:instrText>
            </w:r>
            <w:r>
              <w:rPr>
                <w:webHidden/>
              </w:rPr>
            </w:r>
            <w:r>
              <w:rPr>
                <w:webHidden/>
              </w:rPr>
              <w:fldChar w:fldCharType="separate"/>
            </w:r>
            <w:r w:rsidR="0089290D">
              <w:rPr>
                <w:webHidden/>
              </w:rPr>
              <w:t>138</w:t>
            </w:r>
            <w:r>
              <w:rPr>
                <w:webHidden/>
              </w:rPr>
              <w:fldChar w:fldCharType="end"/>
            </w:r>
          </w:hyperlink>
        </w:p>
        <w:p w14:paraId="62312B2B" w14:textId="6A5EEF5A" w:rsidR="00C565B4" w:rsidRDefault="00C565B4" w:rsidP="00B271C3">
          <w:pPr>
            <w:pStyle w:val="Spistreci3"/>
            <w:contextualSpacing/>
            <w:rPr>
              <w:rFonts w:eastAsiaTheme="minorEastAsia"/>
              <w:noProof/>
              <w:kern w:val="2"/>
              <w:szCs w:val="24"/>
              <w:lang w:val="en-US"/>
              <w14:ligatures w14:val="standardContextual"/>
            </w:rPr>
          </w:pPr>
          <w:hyperlink w:anchor="_Toc204179294" w:history="1">
            <w:r w:rsidRPr="0065301F">
              <w:rPr>
                <w:rStyle w:val="Hipercze"/>
                <w:noProof/>
              </w:rPr>
              <w:t>17.1.</w:t>
            </w:r>
            <w:r>
              <w:rPr>
                <w:rFonts w:eastAsiaTheme="minorEastAsia"/>
                <w:noProof/>
                <w:kern w:val="2"/>
                <w:szCs w:val="24"/>
                <w:lang w:val="en-US"/>
                <w14:ligatures w14:val="standardContextual"/>
              </w:rPr>
              <w:tab/>
            </w:r>
            <w:r w:rsidRPr="0065301F">
              <w:rPr>
                <w:rStyle w:val="Hipercze"/>
                <w:noProof/>
              </w:rPr>
              <w:t>Pełna grupa badana</w:t>
            </w:r>
            <w:r>
              <w:rPr>
                <w:noProof/>
                <w:webHidden/>
              </w:rPr>
              <w:tab/>
            </w:r>
            <w:r>
              <w:rPr>
                <w:noProof/>
                <w:webHidden/>
              </w:rPr>
              <w:fldChar w:fldCharType="begin"/>
            </w:r>
            <w:r>
              <w:rPr>
                <w:noProof/>
                <w:webHidden/>
              </w:rPr>
              <w:instrText xml:space="preserve"> PAGEREF _Toc204179294 \h </w:instrText>
            </w:r>
            <w:r>
              <w:rPr>
                <w:noProof/>
                <w:webHidden/>
              </w:rPr>
            </w:r>
            <w:r>
              <w:rPr>
                <w:noProof/>
                <w:webHidden/>
              </w:rPr>
              <w:fldChar w:fldCharType="separate"/>
            </w:r>
            <w:r w:rsidR="0089290D">
              <w:rPr>
                <w:noProof/>
                <w:webHidden/>
              </w:rPr>
              <w:t>138</w:t>
            </w:r>
            <w:r>
              <w:rPr>
                <w:noProof/>
                <w:webHidden/>
              </w:rPr>
              <w:fldChar w:fldCharType="end"/>
            </w:r>
          </w:hyperlink>
        </w:p>
        <w:p w14:paraId="13520EBA" w14:textId="642566CC" w:rsidR="00C565B4" w:rsidRDefault="00C565B4" w:rsidP="00B271C3">
          <w:pPr>
            <w:pStyle w:val="Spistreci3"/>
            <w:contextualSpacing/>
            <w:rPr>
              <w:rFonts w:eastAsiaTheme="minorEastAsia"/>
              <w:noProof/>
              <w:kern w:val="2"/>
              <w:szCs w:val="24"/>
              <w:lang w:val="en-US"/>
              <w14:ligatures w14:val="standardContextual"/>
            </w:rPr>
          </w:pPr>
          <w:hyperlink w:anchor="_Toc204179295" w:history="1">
            <w:r w:rsidRPr="0065301F">
              <w:rPr>
                <w:rStyle w:val="Hipercze"/>
                <w:noProof/>
              </w:rPr>
              <w:t>17.2.</w:t>
            </w:r>
            <w:r>
              <w:rPr>
                <w:rFonts w:eastAsiaTheme="minorEastAsia"/>
                <w:noProof/>
                <w:kern w:val="2"/>
                <w:szCs w:val="24"/>
                <w:lang w:val="en-US"/>
                <w14:ligatures w14:val="standardContextual"/>
              </w:rPr>
              <w:tab/>
            </w:r>
            <w:r w:rsidRPr="0065301F">
              <w:rPr>
                <w:rStyle w:val="Hipercze"/>
                <w:noProof/>
              </w:rPr>
              <w:t>Obywatele – osoby bez niepełnosprawności w wieku 18-59 lat</w:t>
            </w:r>
            <w:r>
              <w:rPr>
                <w:noProof/>
                <w:webHidden/>
              </w:rPr>
              <w:tab/>
            </w:r>
            <w:r>
              <w:rPr>
                <w:noProof/>
                <w:webHidden/>
              </w:rPr>
              <w:fldChar w:fldCharType="begin"/>
            </w:r>
            <w:r>
              <w:rPr>
                <w:noProof/>
                <w:webHidden/>
              </w:rPr>
              <w:instrText xml:space="preserve"> PAGEREF _Toc204179295 \h </w:instrText>
            </w:r>
            <w:r>
              <w:rPr>
                <w:noProof/>
                <w:webHidden/>
              </w:rPr>
            </w:r>
            <w:r>
              <w:rPr>
                <w:noProof/>
                <w:webHidden/>
              </w:rPr>
              <w:fldChar w:fldCharType="separate"/>
            </w:r>
            <w:r w:rsidR="0089290D">
              <w:rPr>
                <w:noProof/>
                <w:webHidden/>
              </w:rPr>
              <w:t>163</w:t>
            </w:r>
            <w:r>
              <w:rPr>
                <w:noProof/>
                <w:webHidden/>
              </w:rPr>
              <w:fldChar w:fldCharType="end"/>
            </w:r>
          </w:hyperlink>
        </w:p>
        <w:p w14:paraId="4E0BC3F2" w14:textId="265A1C3E" w:rsidR="00C565B4" w:rsidRDefault="00C565B4" w:rsidP="00B271C3">
          <w:pPr>
            <w:pStyle w:val="Spistreci3"/>
            <w:contextualSpacing/>
            <w:rPr>
              <w:rFonts w:eastAsiaTheme="minorEastAsia"/>
              <w:noProof/>
              <w:kern w:val="2"/>
              <w:szCs w:val="24"/>
              <w:lang w:val="en-US"/>
              <w14:ligatures w14:val="standardContextual"/>
            </w:rPr>
          </w:pPr>
          <w:hyperlink w:anchor="_Toc204179296" w:history="1">
            <w:r w:rsidRPr="0065301F">
              <w:rPr>
                <w:rStyle w:val="Hipercze"/>
                <w:noProof/>
              </w:rPr>
              <w:t>17.3.</w:t>
            </w:r>
            <w:r>
              <w:rPr>
                <w:rFonts w:eastAsiaTheme="minorEastAsia"/>
                <w:noProof/>
                <w:kern w:val="2"/>
                <w:szCs w:val="24"/>
                <w:lang w:val="en-US"/>
                <w14:ligatures w14:val="standardContextual"/>
              </w:rPr>
              <w:tab/>
            </w:r>
            <w:r w:rsidRPr="0065301F">
              <w:rPr>
                <w:rStyle w:val="Hipercze"/>
                <w:noProof/>
              </w:rPr>
              <w:t>Osoby z niepełnosprawnościami</w:t>
            </w:r>
            <w:r>
              <w:rPr>
                <w:noProof/>
                <w:webHidden/>
              </w:rPr>
              <w:tab/>
            </w:r>
            <w:r>
              <w:rPr>
                <w:noProof/>
                <w:webHidden/>
              </w:rPr>
              <w:fldChar w:fldCharType="begin"/>
            </w:r>
            <w:r>
              <w:rPr>
                <w:noProof/>
                <w:webHidden/>
              </w:rPr>
              <w:instrText xml:space="preserve"> PAGEREF _Toc204179296 \h </w:instrText>
            </w:r>
            <w:r>
              <w:rPr>
                <w:noProof/>
                <w:webHidden/>
              </w:rPr>
            </w:r>
            <w:r>
              <w:rPr>
                <w:noProof/>
                <w:webHidden/>
              </w:rPr>
              <w:fldChar w:fldCharType="separate"/>
            </w:r>
            <w:r w:rsidR="0089290D">
              <w:rPr>
                <w:noProof/>
                <w:webHidden/>
              </w:rPr>
              <w:t>187</w:t>
            </w:r>
            <w:r>
              <w:rPr>
                <w:noProof/>
                <w:webHidden/>
              </w:rPr>
              <w:fldChar w:fldCharType="end"/>
            </w:r>
          </w:hyperlink>
        </w:p>
        <w:p w14:paraId="3468F49B" w14:textId="56FA22B9" w:rsidR="00C565B4" w:rsidRDefault="00C565B4" w:rsidP="00B271C3">
          <w:pPr>
            <w:pStyle w:val="Spistreci3"/>
            <w:contextualSpacing/>
            <w:rPr>
              <w:rFonts w:eastAsiaTheme="minorEastAsia"/>
              <w:noProof/>
              <w:kern w:val="2"/>
              <w:szCs w:val="24"/>
              <w:lang w:val="en-US"/>
              <w14:ligatures w14:val="standardContextual"/>
            </w:rPr>
          </w:pPr>
          <w:hyperlink w:anchor="_Toc204179297" w:history="1">
            <w:r w:rsidRPr="0065301F">
              <w:rPr>
                <w:rStyle w:val="Hipercze"/>
                <w:noProof/>
              </w:rPr>
              <w:t>17.4.</w:t>
            </w:r>
            <w:r>
              <w:rPr>
                <w:rFonts w:eastAsiaTheme="minorEastAsia"/>
                <w:noProof/>
                <w:kern w:val="2"/>
                <w:szCs w:val="24"/>
                <w:lang w:val="en-US"/>
                <w14:ligatures w14:val="standardContextual"/>
              </w:rPr>
              <w:tab/>
            </w:r>
            <w:r w:rsidRPr="0065301F">
              <w:rPr>
                <w:rStyle w:val="Hipercze"/>
                <w:noProof/>
              </w:rPr>
              <w:t>Osoby 60+</w:t>
            </w:r>
            <w:r>
              <w:rPr>
                <w:noProof/>
                <w:webHidden/>
              </w:rPr>
              <w:tab/>
            </w:r>
            <w:r>
              <w:rPr>
                <w:noProof/>
                <w:webHidden/>
              </w:rPr>
              <w:fldChar w:fldCharType="begin"/>
            </w:r>
            <w:r>
              <w:rPr>
                <w:noProof/>
                <w:webHidden/>
              </w:rPr>
              <w:instrText xml:space="preserve"> PAGEREF _Toc204179297 \h </w:instrText>
            </w:r>
            <w:r>
              <w:rPr>
                <w:noProof/>
                <w:webHidden/>
              </w:rPr>
            </w:r>
            <w:r>
              <w:rPr>
                <w:noProof/>
                <w:webHidden/>
              </w:rPr>
              <w:fldChar w:fldCharType="separate"/>
            </w:r>
            <w:r w:rsidR="0089290D">
              <w:rPr>
                <w:noProof/>
                <w:webHidden/>
              </w:rPr>
              <w:t>214</w:t>
            </w:r>
            <w:r>
              <w:rPr>
                <w:noProof/>
                <w:webHidden/>
              </w:rPr>
              <w:fldChar w:fldCharType="end"/>
            </w:r>
          </w:hyperlink>
        </w:p>
        <w:p w14:paraId="397CA20B" w14:textId="170F39AB"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298" w:history="1">
            <w:r w:rsidRPr="0065301F">
              <w:rPr>
                <w:rStyle w:val="Hipercze"/>
              </w:rPr>
              <w:t>18.</w:t>
            </w:r>
            <w:r>
              <w:rPr>
                <w:rFonts w:eastAsiaTheme="minorEastAsia"/>
                <w:b w:val="0"/>
                <w:bCs w:val="0"/>
                <w:color w:val="auto"/>
                <w:kern w:val="2"/>
                <w:szCs w:val="24"/>
                <w:lang w:val="en-US"/>
                <w14:ligatures w14:val="standardContextual"/>
              </w:rPr>
              <w:tab/>
            </w:r>
            <w:r w:rsidRPr="0065301F">
              <w:rPr>
                <w:rStyle w:val="Hipercze"/>
              </w:rPr>
              <w:t>Wnioski z badania ilościowego</w:t>
            </w:r>
            <w:r>
              <w:rPr>
                <w:webHidden/>
              </w:rPr>
              <w:tab/>
            </w:r>
            <w:r>
              <w:rPr>
                <w:webHidden/>
              </w:rPr>
              <w:fldChar w:fldCharType="begin"/>
            </w:r>
            <w:r>
              <w:rPr>
                <w:webHidden/>
              </w:rPr>
              <w:instrText xml:space="preserve"> PAGEREF _Toc204179298 \h </w:instrText>
            </w:r>
            <w:r>
              <w:rPr>
                <w:webHidden/>
              </w:rPr>
            </w:r>
            <w:r>
              <w:rPr>
                <w:webHidden/>
              </w:rPr>
              <w:fldChar w:fldCharType="separate"/>
            </w:r>
            <w:r w:rsidR="0089290D">
              <w:rPr>
                <w:webHidden/>
              </w:rPr>
              <w:t>238</w:t>
            </w:r>
            <w:r>
              <w:rPr>
                <w:webHidden/>
              </w:rPr>
              <w:fldChar w:fldCharType="end"/>
            </w:r>
          </w:hyperlink>
        </w:p>
        <w:p w14:paraId="7D6161A0" w14:textId="1402F853" w:rsidR="00C565B4" w:rsidRDefault="00C565B4" w:rsidP="00C565B4">
          <w:pPr>
            <w:pStyle w:val="Spistreci1"/>
            <w:rPr>
              <w:rFonts w:eastAsiaTheme="minorEastAsia"/>
              <w:b w:val="0"/>
              <w:bCs w:val="0"/>
              <w:color w:val="auto"/>
              <w:kern w:val="2"/>
              <w:szCs w:val="24"/>
              <w:lang w:val="en-US"/>
              <w14:ligatures w14:val="standardContextual"/>
            </w:rPr>
          </w:pPr>
          <w:hyperlink w:anchor="_Toc204179299" w:history="1">
            <w:r w:rsidRPr="0065301F">
              <w:rPr>
                <w:rStyle w:val="Hipercze"/>
              </w:rPr>
              <w:t>IV.</w:t>
            </w:r>
            <w:r>
              <w:rPr>
                <w:rFonts w:eastAsiaTheme="minorEastAsia"/>
                <w:b w:val="0"/>
                <w:bCs w:val="0"/>
                <w:color w:val="auto"/>
                <w:kern w:val="2"/>
                <w:szCs w:val="24"/>
                <w:lang w:val="en-US"/>
                <w14:ligatures w14:val="standardContextual"/>
              </w:rPr>
              <w:tab/>
            </w:r>
            <w:r w:rsidRPr="0065301F">
              <w:rPr>
                <w:rStyle w:val="Hipercze"/>
              </w:rPr>
              <w:t>Wnioski i rekomendacje z badania</w:t>
            </w:r>
            <w:r>
              <w:rPr>
                <w:webHidden/>
              </w:rPr>
              <w:tab/>
            </w:r>
            <w:r>
              <w:rPr>
                <w:webHidden/>
              </w:rPr>
              <w:fldChar w:fldCharType="begin"/>
            </w:r>
            <w:r>
              <w:rPr>
                <w:webHidden/>
              </w:rPr>
              <w:instrText xml:space="preserve"> PAGEREF _Toc204179299 \h </w:instrText>
            </w:r>
            <w:r>
              <w:rPr>
                <w:webHidden/>
              </w:rPr>
            </w:r>
            <w:r>
              <w:rPr>
                <w:webHidden/>
              </w:rPr>
              <w:fldChar w:fldCharType="separate"/>
            </w:r>
            <w:r w:rsidR="0089290D">
              <w:rPr>
                <w:webHidden/>
              </w:rPr>
              <w:t>259</w:t>
            </w:r>
            <w:r>
              <w:rPr>
                <w:webHidden/>
              </w:rPr>
              <w:fldChar w:fldCharType="end"/>
            </w:r>
          </w:hyperlink>
        </w:p>
        <w:p w14:paraId="1BEB2AF7" w14:textId="71FC8543"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300" w:history="1">
            <w:r w:rsidRPr="0065301F">
              <w:rPr>
                <w:rStyle w:val="Hipercze"/>
              </w:rPr>
              <w:t>19.</w:t>
            </w:r>
            <w:r>
              <w:rPr>
                <w:rFonts w:eastAsiaTheme="minorEastAsia"/>
                <w:b w:val="0"/>
                <w:bCs w:val="0"/>
                <w:color w:val="auto"/>
                <w:kern w:val="2"/>
                <w:szCs w:val="24"/>
                <w:lang w:val="en-US"/>
                <w14:ligatures w14:val="standardContextual"/>
              </w:rPr>
              <w:tab/>
            </w:r>
            <w:r w:rsidRPr="0065301F">
              <w:rPr>
                <w:rStyle w:val="Hipercze"/>
              </w:rPr>
              <w:t>Weryfikacja hipotez badawczych</w:t>
            </w:r>
            <w:r>
              <w:rPr>
                <w:webHidden/>
              </w:rPr>
              <w:tab/>
            </w:r>
            <w:r>
              <w:rPr>
                <w:webHidden/>
              </w:rPr>
              <w:fldChar w:fldCharType="begin"/>
            </w:r>
            <w:r>
              <w:rPr>
                <w:webHidden/>
              </w:rPr>
              <w:instrText xml:space="preserve"> PAGEREF _Toc204179300 \h </w:instrText>
            </w:r>
            <w:r>
              <w:rPr>
                <w:webHidden/>
              </w:rPr>
            </w:r>
            <w:r>
              <w:rPr>
                <w:webHidden/>
              </w:rPr>
              <w:fldChar w:fldCharType="separate"/>
            </w:r>
            <w:r w:rsidR="0089290D">
              <w:rPr>
                <w:webHidden/>
              </w:rPr>
              <w:t>259</w:t>
            </w:r>
            <w:r>
              <w:rPr>
                <w:webHidden/>
              </w:rPr>
              <w:fldChar w:fldCharType="end"/>
            </w:r>
          </w:hyperlink>
        </w:p>
        <w:p w14:paraId="27DC18AE" w14:textId="2F006575"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301" w:history="1">
            <w:r w:rsidRPr="0065301F">
              <w:rPr>
                <w:rStyle w:val="Hipercze"/>
              </w:rPr>
              <w:t>20.</w:t>
            </w:r>
            <w:r>
              <w:rPr>
                <w:rFonts w:eastAsiaTheme="minorEastAsia"/>
                <w:b w:val="0"/>
                <w:bCs w:val="0"/>
                <w:color w:val="auto"/>
                <w:kern w:val="2"/>
                <w:szCs w:val="24"/>
                <w:lang w:val="en-US"/>
                <w14:ligatures w14:val="standardContextual"/>
              </w:rPr>
              <w:tab/>
            </w:r>
            <w:r w:rsidRPr="0065301F">
              <w:rPr>
                <w:rStyle w:val="Hipercze"/>
              </w:rPr>
              <w:t>Wnioski z badania</w:t>
            </w:r>
            <w:r>
              <w:rPr>
                <w:webHidden/>
              </w:rPr>
              <w:tab/>
            </w:r>
            <w:r>
              <w:rPr>
                <w:webHidden/>
              </w:rPr>
              <w:fldChar w:fldCharType="begin"/>
            </w:r>
            <w:r>
              <w:rPr>
                <w:webHidden/>
              </w:rPr>
              <w:instrText xml:space="preserve"> PAGEREF _Toc204179301 \h </w:instrText>
            </w:r>
            <w:r>
              <w:rPr>
                <w:webHidden/>
              </w:rPr>
            </w:r>
            <w:r>
              <w:rPr>
                <w:webHidden/>
              </w:rPr>
              <w:fldChar w:fldCharType="separate"/>
            </w:r>
            <w:r w:rsidR="0089290D">
              <w:rPr>
                <w:webHidden/>
              </w:rPr>
              <w:t>262</w:t>
            </w:r>
            <w:r>
              <w:rPr>
                <w:webHidden/>
              </w:rPr>
              <w:fldChar w:fldCharType="end"/>
            </w:r>
          </w:hyperlink>
        </w:p>
        <w:p w14:paraId="41AB819C" w14:textId="1F9A307D"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302" w:history="1">
            <w:r w:rsidRPr="0065301F">
              <w:rPr>
                <w:rStyle w:val="Hipercze"/>
              </w:rPr>
              <w:t>21.</w:t>
            </w:r>
            <w:r>
              <w:rPr>
                <w:rFonts w:eastAsiaTheme="minorEastAsia"/>
                <w:b w:val="0"/>
                <w:bCs w:val="0"/>
                <w:color w:val="auto"/>
                <w:kern w:val="2"/>
                <w:szCs w:val="24"/>
                <w:lang w:val="en-US"/>
                <w14:ligatures w14:val="standardContextual"/>
              </w:rPr>
              <w:tab/>
            </w:r>
            <w:r w:rsidRPr="0065301F">
              <w:rPr>
                <w:rStyle w:val="Hipercze"/>
              </w:rPr>
              <w:t>Rekomendacje z badania</w:t>
            </w:r>
            <w:r>
              <w:rPr>
                <w:webHidden/>
              </w:rPr>
              <w:tab/>
            </w:r>
            <w:r>
              <w:rPr>
                <w:webHidden/>
              </w:rPr>
              <w:fldChar w:fldCharType="begin"/>
            </w:r>
            <w:r>
              <w:rPr>
                <w:webHidden/>
              </w:rPr>
              <w:instrText xml:space="preserve"> PAGEREF _Toc204179302 \h </w:instrText>
            </w:r>
            <w:r>
              <w:rPr>
                <w:webHidden/>
              </w:rPr>
            </w:r>
            <w:r>
              <w:rPr>
                <w:webHidden/>
              </w:rPr>
              <w:fldChar w:fldCharType="separate"/>
            </w:r>
            <w:r w:rsidR="0089290D">
              <w:rPr>
                <w:webHidden/>
              </w:rPr>
              <w:t>267</w:t>
            </w:r>
            <w:r>
              <w:rPr>
                <w:webHidden/>
              </w:rPr>
              <w:fldChar w:fldCharType="end"/>
            </w:r>
          </w:hyperlink>
        </w:p>
        <w:p w14:paraId="6B981290" w14:textId="4A160B77" w:rsidR="00C565B4" w:rsidRDefault="00C565B4" w:rsidP="00C565B4">
          <w:pPr>
            <w:pStyle w:val="Spistreci1"/>
            <w:rPr>
              <w:rFonts w:eastAsiaTheme="minorEastAsia"/>
              <w:b w:val="0"/>
              <w:bCs w:val="0"/>
              <w:color w:val="auto"/>
              <w:kern w:val="2"/>
              <w:szCs w:val="24"/>
              <w:lang w:val="en-US"/>
              <w14:ligatures w14:val="standardContextual"/>
            </w:rPr>
          </w:pPr>
          <w:hyperlink w:anchor="_Toc204179303" w:history="1">
            <w:r w:rsidRPr="0065301F">
              <w:rPr>
                <w:rStyle w:val="Hipercze"/>
              </w:rPr>
              <w:t>V.</w:t>
            </w:r>
            <w:r>
              <w:rPr>
                <w:rFonts w:eastAsiaTheme="minorEastAsia"/>
                <w:b w:val="0"/>
                <w:bCs w:val="0"/>
                <w:color w:val="auto"/>
                <w:kern w:val="2"/>
                <w:szCs w:val="24"/>
                <w:lang w:val="en-US"/>
                <w14:ligatures w14:val="standardContextual"/>
              </w:rPr>
              <w:tab/>
            </w:r>
            <w:r w:rsidRPr="0065301F">
              <w:rPr>
                <w:rStyle w:val="Hipercze"/>
              </w:rPr>
              <w:t>Spis tabel i wykresów</w:t>
            </w:r>
            <w:r>
              <w:rPr>
                <w:webHidden/>
              </w:rPr>
              <w:tab/>
            </w:r>
            <w:r>
              <w:rPr>
                <w:webHidden/>
              </w:rPr>
              <w:fldChar w:fldCharType="begin"/>
            </w:r>
            <w:r>
              <w:rPr>
                <w:webHidden/>
              </w:rPr>
              <w:instrText xml:space="preserve"> PAGEREF _Toc204179303 \h </w:instrText>
            </w:r>
            <w:r>
              <w:rPr>
                <w:webHidden/>
              </w:rPr>
            </w:r>
            <w:r>
              <w:rPr>
                <w:webHidden/>
              </w:rPr>
              <w:fldChar w:fldCharType="separate"/>
            </w:r>
            <w:r w:rsidR="0089290D">
              <w:rPr>
                <w:webHidden/>
              </w:rPr>
              <w:t>272</w:t>
            </w:r>
            <w:r>
              <w:rPr>
                <w:webHidden/>
              </w:rPr>
              <w:fldChar w:fldCharType="end"/>
            </w:r>
          </w:hyperlink>
        </w:p>
        <w:p w14:paraId="440D16CC" w14:textId="4F313393"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304" w:history="1">
            <w:r w:rsidRPr="0065301F">
              <w:rPr>
                <w:rStyle w:val="Hipercze"/>
              </w:rPr>
              <w:t>22.</w:t>
            </w:r>
            <w:r>
              <w:rPr>
                <w:rFonts w:eastAsiaTheme="minorEastAsia"/>
                <w:b w:val="0"/>
                <w:bCs w:val="0"/>
                <w:color w:val="auto"/>
                <w:kern w:val="2"/>
                <w:szCs w:val="24"/>
                <w:lang w:val="en-US"/>
                <w14:ligatures w14:val="standardContextual"/>
              </w:rPr>
              <w:tab/>
            </w:r>
            <w:r w:rsidRPr="0065301F">
              <w:rPr>
                <w:rStyle w:val="Hipercze"/>
              </w:rPr>
              <w:t>Spis tabel</w:t>
            </w:r>
            <w:r>
              <w:rPr>
                <w:webHidden/>
              </w:rPr>
              <w:tab/>
            </w:r>
            <w:r>
              <w:rPr>
                <w:webHidden/>
              </w:rPr>
              <w:fldChar w:fldCharType="begin"/>
            </w:r>
            <w:r>
              <w:rPr>
                <w:webHidden/>
              </w:rPr>
              <w:instrText xml:space="preserve"> PAGEREF _Toc204179304 \h </w:instrText>
            </w:r>
            <w:r>
              <w:rPr>
                <w:webHidden/>
              </w:rPr>
            </w:r>
            <w:r>
              <w:rPr>
                <w:webHidden/>
              </w:rPr>
              <w:fldChar w:fldCharType="separate"/>
            </w:r>
            <w:r w:rsidR="0089290D">
              <w:rPr>
                <w:webHidden/>
              </w:rPr>
              <w:t>272</w:t>
            </w:r>
            <w:r>
              <w:rPr>
                <w:webHidden/>
              </w:rPr>
              <w:fldChar w:fldCharType="end"/>
            </w:r>
          </w:hyperlink>
        </w:p>
        <w:p w14:paraId="45306CF2" w14:textId="531D6A44"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305" w:history="1">
            <w:r w:rsidRPr="0065301F">
              <w:rPr>
                <w:rStyle w:val="Hipercze"/>
              </w:rPr>
              <w:t>23.</w:t>
            </w:r>
            <w:r>
              <w:rPr>
                <w:rFonts w:eastAsiaTheme="minorEastAsia"/>
                <w:b w:val="0"/>
                <w:bCs w:val="0"/>
                <w:color w:val="auto"/>
                <w:kern w:val="2"/>
                <w:szCs w:val="24"/>
                <w:lang w:val="en-US"/>
                <w14:ligatures w14:val="standardContextual"/>
              </w:rPr>
              <w:tab/>
            </w:r>
            <w:r w:rsidRPr="0065301F">
              <w:rPr>
                <w:rStyle w:val="Hipercze"/>
              </w:rPr>
              <w:t>Spis wykresów</w:t>
            </w:r>
            <w:r>
              <w:rPr>
                <w:webHidden/>
              </w:rPr>
              <w:tab/>
            </w:r>
            <w:r>
              <w:rPr>
                <w:webHidden/>
              </w:rPr>
              <w:fldChar w:fldCharType="begin"/>
            </w:r>
            <w:r>
              <w:rPr>
                <w:webHidden/>
              </w:rPr>
              <w:instrText xml:space="preserve"> PAGEREF _Toc204179305 \h </w:instrText>
            </w:r>
            <w:r>
              <w:rPr>
                <w:webHidden/>
              </w:rPr>
            </w:r>
            <w:r>
              <w:rPr>
                <w:webHidden/>
              </w:rPr>
              <w:fldChar w:fldCharType="separate"/>
            </w:r>
            <w:r w:rsidR="0089290D">
              <w:rPr>
                <w:webHidden/>
              </w:rPr>
              <w:t>274</w:t>
            </w:r>
            <w:r>
              <w:rPr>
                <w:webHidden/>
              </w:rPr>
              <w:fldChar w:fldCharType="end"/>
            </w:r>
          </w:hyperlink>
        </w:p>
        <w:p w14:paraId="6DD05BC6" w14:textId="3118BC91" w:rsidR="00C565B4" w:rsidRDefault="00C565B4" w:rsidP="00C565B4">
          <w:pPr>
            <w:pStyle w:val="Spistreci1"/>
            <w:rPr>
              <w:rFonts w:eastAsiaTheme="minorEastAsia"/>
              <w:b w:val="0"/>
              <w:bCs w:val="0"/>
              <w:color w:val="auto"/>
              <w:kern w:val="2"/>
              <w:szCs w:val="24"/>
              <w:lang w:val="en-US"/>
              <w14:ligatures w14:val="standardContextual"/>
            </w:rPr>
          </w:pPr>
          <w:hyperlink w:anchor="_Toc204179306" w:history="1">
            <w:r w:rsidRPr="0065301F">
              <w:rPr>
                <w:rStyle w:val="Hipercze"/>
              </w:rPr>
              <w:t>VI.</w:t>
            </w:r>
            <w:r>
              <w:rPr>
                <w:rFonts w:eastAsiaTheme="minorEastAsia"/>
                <w:b w:val="0"/>
                <w:bCs w:val="0"/>
                <w:color w:val="auto"/>
                <w:kern w:val="2"/>
                <w:szCs w:val="24"/>
                <w:lang w:val="en-US"/>
                <w14:ligatures w14:val="standardContextual"/>
              </w:rPr>
              <w:tab/>
            </w:r>
            <w:r w:rsidRPr="0065301F">
              <w:rPr>
                <w:rStyle w:val="Hipercze"/>
              </w:rPr>
              <w:t>Załączniki</w:t>
            </w:r>
            <w:r>
              <w:rPr>
                <w:webHidden/>
              </w:rPr>
              <w:tab/>
            </w:r>
            <w:r>
              <w:rPr>
                <w:webHidden/>
              </w:rPr>
              <w:fldChar w:fldCharType="begin"/>
            </w:r>
            <w:r>
              <w:rPr>
                <w:webHidden/>
              </w:rPr>
              <w:instrText xml:space="preserve"> PAGEREF _Toc204179306 \h </w:instrText>
            </w:r>
            <w:r>
              <w:rPr>
                <w:webHidden/>
              </w:rPr>
            </w:r>
            <w:r>
              <w:rPr>
                <w:webHidden/>
              </w:rPr>
              <w:fldChar w:fldCharType="separate"/>
            </w:r>
            <w:r w:rsidR="0089290D">
              <w:rPr>
                <w:webHidden/>
              </w:rPr>
              <w:t>278</w:t>
            </w:r>
            <w:r>
              <w:rPr>
                <w:webHidden/>
              </w:rPr>
              <w:fldChar w:fldCharType="end"/>
            </w:r>
          </w:hyperlink>
        </w:p>
        <w:p w14:paraId="6D5DAF4A" w14:textId="2BE1F12F" w:rsidR="00C565B4" w:rsidRDefault="00C565B4" w:rsidP="00B271C3">
          <w:pPr>
            <w:pStyle w:val="Spistreci2"/>
            <w:contextualSpacing/>
            <w:rPr>
              <w:rFonts w:eastAsiaTheme="minorEastAsia"/>
              <w:b w:val="0"/>
              <w:bCs w:val="0"/>
              <w:color w:val="auto"/>
              <w:kern w:val="2"/>
              <w:szCs w:val="24"/>
              <w:lang w:val="en-US"/>
              <w14:ligatures w14:val="standardContextual"/>
            </w:rPr>
          </w:pPr>
          <w:hyperlink w:anchor="_Toc204179307" w:history="1">
            <w:r w:rsidRPr="0065301F">
              <w:rPr>
                <w:rStyle w:val="Hipercze"/>
              </w:rPr>
              <w:t>24.</w:t>
            </w:r>
            <w:r>
              <w:rPr>
                <w:rFonts w:eastAsiaTheme="minorEastAsia"/>
                <w:b w:val="0"/>
                <w:bCs w:val="0"/>
                <w:color w:val="auto"/>
                <w:kern w:val="2"/>
                <w:szCs w:val="24"/>
                <w:lang w:val="en-US"/>
                <w14:ligatures w14:val="standardContextual"/>
              </w:rPr>
              <w:tab/>
            </w:r>
            <w:r w:rsidRPr="0065301F">
              <w:rPr>
                <w:rStyle w:val="Hipercze"/>
              </w:rPr>
              <w:t>Narzędzia badawcze</w:t>
            </w:r>
            <w:r>
              <w:rPr>
                <w:webHidden/>
              </w:rPr>
              <w:tab/>
            </w:r>
            <w:r>
              <w:rPr>
                <w:webHidden/>
              </w:rPr>
              <w:fldChar w:fldCharType="begin"/>
            </w:r>
            <w:r>
              <w:rPr>
                <w:webHidden/>
              </w:rPr>
              <w:instrText xml:space="preserve"> PAGEREF _Toc204179307 \h </w:instrText>
            </w:r>
            <w:r>
              <w:rPr>
                <w:webHidden/>
              </w:rPr>
            </w:r>
            <w:r>
              <w:rPr>
                <w:webHidden/>
              </w:rPr>
              <w:fldChar w:fldCharType="separate"/>
            </w:r>
            <w:r w:rsidR="0089290D">
              <w:rPr>
                <w:webHidden/>
              </w:rPr>
              <w:t>278</w:t>
            </w:r>
            <w:r>
              <w:rPr>
                <w:webHidden/>
              </w:rPr>
              <w:fldChar w:fldCharType="end"/>
            </w:r>
          </w:hyperlink>
        </w:p>
        <w:p w14:paraId="3E1AAD88" w14:textId="5307BC61" w:rsidR="00C565B4" w:rsidRDefault="00C565B4" w:rsidP="00B271C3">
          <w:pPr>
            <w:pStyle w:val="Spistreci3"/>
            <w:contextualSpacing/>
            <w:rPr>
              <w:rFonts w:eastAsiaTheme="minorEastAsia"/>
              <w:noProof/>
              <w:kern w:val="2"/>
              <w:szCs w:val="24"/>
              <w:lang w:val="en-US"/>
              <w14:ligatures w14:val="standardContextual"/>
            </w:rPr>
          </w:pPr>
          <w:hyperlink w:anchor="_Toc204179308" w:history="1">
            <w:r w:rsidRPr="0065301F">
              <w:rPr>
                <w:rStyle w:val="Hipercze"/>
                <w:noProof/>
              </w:rPr>
              <w:t>24.1.</w:t>
            </w:r>
            <w:r>
              <w:rPr>
                <w:rFonts w:eastAsiaTheme="minorEastAsia"/>
                <w:noProof/>
                <w:kern w:val="2"/>
                <w:szCs w:val="24"/>
                <w:lang w:val="en-US"/>
                <w14:ligatures w14:val="standardContextual"/>
              </w:rPr>
              <w:tab/>
            </w:r>
            <w:r w:rsidRPr="0065301F">
              <w:rPr>
                <w:rStyle w:val="Hipercze"/>
                <w:noProof/>
              </w:rPr>
              <w:t>Arkusz obserwacji użytkownika</w:t>
            </w:r>
            <w:r>
              <w:rPr>
                <w:noProof/>
                <w:webHidden/>
              </w:rPr>
              <w:tab/>
            </w:r>
            <w:r>
              <w:rPr>
                <w:noProof/>
                <w:webHidden/>
              </w:rPr>
              <w:fldChar w:fldCharType="begin"/>
            </w:r>
            <w:r>
              <w:rPr>
                <w:noProof/>
                <w:webHidden/>
              </w:rPr>
              <w:instrText xml:space="preserve"> PAGEREF _Toc204179308 \h </w:instrText>
            </w:r>
            <w:r>
              <w:rPr>
                <w:noProof/>
                <w:webHidden/>
              </w:rPr>
            </w:r>
            <w:r>
              <w:rPr>
                <w:noProof/>
                <w:webHidden/>
              </w:rPr>
              <w:fldChar w:fldCharType="separate"/>
            </w:r>
            <w:r w:rsidR="0089290D">
              <w:rPr>
                <w:noProof/>
                <w:webHidden/>
              </w:rPr>
              <w:t>278</w:t>
            </w:r>
            <w:r>
              <w:rPr>
                <w:noProof/>
                <w:webHidden/>
              </w:rPr>
              <w:fldChar w:fldCharType="end"/>
            </w:r>
          </w:hyperlink>
        </w:p>
        <w:p w14:paraId="208019CB" w14:textId="276334AC" w:rsidR="00C565B4" w:rsidRDefault="00C565B4" w:rsidP="00B271C3">
          <w:pPr>
            <w:pStyle w:val="Spistreci3"/>
            <w:contextualSpacing/>
            <w:rPr>
              <w:rFonts w:eastAsiaTheme="minorEastAsia"/>
              <w:noProof/>
              <w:kern w:val="2"/>
              <w:szCs w:val="24"/>
              <w:lang w:val="en-US"/>
              <w14:ligatures w14:val="standardContextual"/>
            </w:rPr>
          </w:pPr>
          <w:hyperlink w:anchor="_Toc204179309" w:history="1">
            <w:r w:rsidRPr="0065301F">
              <w:rPr>
                <w:rStyle w:val="Hipercze"/>
                <w:noProof/>
              </w:rPr>
              <w:t>24.2.</w:t>
            </w:r>
            <w:r>
              <w:rPr>
                <w:rFonts w:eastAsiaTheme="minorEastAsia"/>
                <w:noProof/>
                <w:kern w:val="2"/>
                <w:szCs w:val="24"/>
                <w:lang w:val="en-US"/>
                <w14:ligatures w14:val="standardContextual"/>
              </w:rPr>
              <w:tab/>
            </w:r>
            <w:r w:rsidRPr="0065301F">
              <w:rPr>
                <w:rStyle w:val="Hipercze"/>
                <w:noProof/>
              </w:rPr>
              <w:t>Scenariusz pogłębionego wywiadu indywidualnego</w:t>
            </w:r>
            <w:r>
              <w:rPr>
                <w:noProof/>
                <w:webHidden/>
              </w:rPr>
              <w:tab/>
            </w:r>
            <w:r>
              <w:rPr>
                <w:noProof/>
                <w:webHidden/>
              </w:rPr>
              <w:fldChar w:fldCharType="begin"/>
            </w:r>
            <w:r>
              <w:rPr>
                <w:noProof/>
                <w:webHidden/>
              </w:rPr>
              <w:instrText xml:space="preserve"> PAGEREF _Toc204179309 \h </w:instrText>
            </w:r>
            <w:r>
              <w:rPr>
                <w:noProof/>
                <w:webHidden/>
              </w:rPr>
            </w:r>
            <w:r>
              <w:rPr>
                <w:noProof/>
                <w:webHidden/>
              </w:rPr>
              <w:fldChar w:fldCharType="separate"/>
            </w:r>
            <w:r w:rsidR="0089290D">
              <w:rPr>
                <w:noProof/>
                <w:webHidden/>
              </w:rPr>
              <w:t>278</w:t>
            </w:r>
            <w:r>
              <w:rPr>
                <w:noProof/>
                <w:webHidden/>
              </w:rPr>
              <w:fldChar w:fldCharType="end"/>
            </w:r>
          </w:hyperlink>
        </w:p>
        <w:p w14:paraId="6D6A3CFC" w14:textId="41A644A6" w:rsidR="00C565B4" w:rsidRDefault="00C565B4" w:rsidP="00B271C3">
          <w:pPr>
            <w:pStyle w:val="Spistreci3"/>
            <w:contextualSpacing/>
            <w:rPr>
              <w:rFonts w:eastAsiaTheme="minorEastAsia"/>
              <w:noProof/>
              <w:kern w:val="2"/>
              <w:szCs w:val="24"/>
              <w:lang w:val="en-US"/>
              <w14:ligatures w14:val="standardContextual"/>
            </w:rPr>
          </w:pPr>
          <w:hyperlink w:anchor="_Toc204179310" w:history="1">
            <w:r w:rsidRPr="0065301F">
              <w:rPr>
                <w:rStyle w:val="Hipercze"/>
                <w:noProof/>
              </w:rPr>
              <w:t>24.3.</w:t>
            </w:r>
            <w:r>
              <w:rPr>
                <w:rFonts w:eastAsiaTheme="minorEastAsia"/>
                <w:noProof/>
                <w:kern w:val="2"/>
                <w:szCs w:val="24"/>
                <w:lang w:val="en-US"/>
                <w14:ligatures w14:val="standardContextual"/>
              </w:rPr>
              <w:tab/>
            </w:r>
            <w:r w:rsidRPr="0065301F">
              <w:rPr>
                <w:rStyle w:val="Hipercze"/>
                <w:noProof/>
              </w:rPr>
              <w:t>Kwestionariusz wywiadu bezpośredniego</w:t>
            </w:r>
            <w:r>
              <w:rPr>
                <w:noProof/>
                <w:webHidden/>
              </w:rPr>
              <w:tab/>
            </w:r>
            <w:r>
              <w:rPr>
                <w:noProof/>
                <w:webHidden/>
              </w:rPr>
              <w:fldChar w:fldCharType="begin"/>
            </w:r>
            <w:r>
              <w:rPr>
                <w:noProof/>
                <w:webHidden/>
              </w:rPr>
              <w:instrText xml:space="preserve"> PAGEREF _Toc204179310 \h </w:instrText>
            </w:r>
            <w:r>
              <w:rPr>
                <w:noProof/>
                <w:webHidden/>
              </w:rPr>
            </w:r>
            <w:r>
              <w:rPr>
                <w:noProof/>
                <w:webHidden/>
              </w:rPr>
              <w:fldChar w:fldCharType="separate"/>
            </w:r>
            <w:r w:rsidR="0089290D">
              <w:rPr>
                <w:noProof/>
                <w:webHidden/>
              </w:rPr>
              <w:t>278</w:t>
            </w:r>
            <w:r>
              <w:rPr>
                <w:noProof/>
                <w:webHidden/>
              </w:rPr>
              <w:fldChar w:fldCharType="end"/>
            </w:r>
          </w:hyperlink>
        </w:p>
        <w:p w14:paraId="1FB29140" w14:textId="12F99B5C" w:rsidR="00C565B4" w:rsidRDefault="00C565B4" w:rsidP="00B271C3">
          <w:pPr>
            <w:pStyle w:val="Spistreci3"/>
            <w:contextualSpacing/>
            <w:rPr>
              <w:rFonts w:eastAsiaTheme="minorEastAsia"/>
              <w:noProof/>
              <w:kern w:val="2"/>
              <w:szCs w:val="24"/>
              <w:lang w:val="en-US"/>
              <w14:ligatures w14:val="standardContextual"/>
            </w:rPr>
          </w:pPr>
          <w:hyperlink w:anchor="_Toc204179311" w:history="1">
            <w:r w:rsidRPr="0065301F">
              <w:rPr>
                <w:rStyle w:val="Hipercze"/>
                <w:noProof/>
              </w:rPr>
              <w:t>24.4.</w:t>
            </w:r>
            <w:r>
              <w:rPr>
                <w:rFonts w:eastAsiaTheme="minorEastAsia"/>
                <w:noProof/>
                <w:kern w:val="2"/>
                <w:szCs w:val="24"/>
                <w:lang w:val="en-US"/>
                <w14:ligatures w14:val="standardContextual"/>
              </w:rPr>
              <w:tab/>
            </w:r>
            <w:r w:rsidRPr="0065301F">
              <w:rPr>
                <w:rStyle w:val="Hipercze"/>
                <w:noProof/>
              </w:rPr>
              <w:t>Scenariusze testów</w:t>
            </w:r>
            <w:r>
              <w:rPr>
                <w:noProof/>
                <w:webHidden/>
              </w:rPr>
              <w:tab/>
            </w:r>
            <w:r>
              <w:rPr>
                <w:noProof/>
                <w:webHidden/>
              </w:rPr>
              <w:fldChar w:fldCharType="begin"/>
            </w:r>
            <w:r>
              <w:rPr>
                <w:noProof/>
                <w:webHidden/>
              </w:rPr>
              <w:instrText xml:space="preserve"> PAGEREF _Toc204179311 \h </w:instrText>
            </w:r>
            <w:r>
              <w:rPr>
                <w:noProof/>
                <w:webHidden/>
              </w:rPr>
            </w:r>
            <w:r>
              <w:rPr>
                <w:noProof/>
                <w:webHidden/>
              </w:rPr>
              <w:fldChar w:fldCharType="separate"/>
            </w:r>
            <w:r w:rsidR="0089290D">
              <w:rPr>
                <w:noProof/>
                <w:webHidden/>
              </w:rPr>
              <w:t>278</w:t>
            </w:r>
            <w:r>
              <w:rPr>
                <w:noProof/>
                <w:webHidden/>
              </w:rPr>
              <w:fldChar w:fldCharType="end"/>
            </w:r>
          </w:hyperlink>
        </w:p>
        <w:p w14:paraId="6E07B165" w14:textId="34763924" w:rsidR="002471B7" w:rsidRPr="00BF6615" w:rsidRDefault="00352609" w:rsidP="00C565B4">
          <w:pPr>
            <w:contextualSpacing/>
            <w:rPr>
              <w:rFonts w:cstheme="minorHAnsi"/>
            </w:rPr>
          </w:pPr>
          <w:r>
            <w:rPr>
              <w:rFonts w:cstheme="minorHAnsi"/>
              <w:b/>
              <w:bCs/>
              <w:noProof/>
              <w:color w:val="B61928"/>
            </w:rPr>
            <w:fldChar w:fldCharType="end"/>
          </w:r>
        </w:p>
      </w:sdtContent>
    </w:sdt>
    <w:p w14:paraId="1D5407B2" w14:textId="3A9844DB" w:rsidR="008A3F4F" w:rsidRPr="00BF6615" w:rsidRDefault="008A3F4F" w:rsidP="007E26B5">
      <w:pPr>
        <w:pStyle w:val="Nagwek1"/>
      </w:pPr>
      <w:bookmarkStart w:id="3" w:name="_Toc204179209"/>
      <w:r w:rsidRPr="00BF6615">
        <w:lastRenderedPageBreak/>
        <w:t>W</w:t>
      </w:r>
      <w:r w:rsidR="000B7E8E" w:rsidRPr="00BF6615">
        <w:t>prowadzenie do badań</w:t>
      </w:r>
      <w:bookmarkEnd w:id="3"/>
    </w:p>
    <w:p w14:paraId="135EC370" w14:textId="77777777" w:rsidR="00770A59" w:rsidRDefault="00770A59" w:rsidP="007E26B5">
      <w:pPr>
        <w:pStyle w:val="Nagwek2"/>
        <w:rPr>
          <w:szCs w:val="36"/>
        </w:rPr>
      </w:pPr>
      <w:bookmarkStart w:id="4" w:name="_Toc204179210"/>
      <w:r>
        <w:t>Abstrakt</w:t>
      </w:r>
      <w:bookmarkEnd w:id="4"/>
    </w:p>
    <w:p w14:paraId="357C563C" w14:textId="2E87753E" w:rsidR="00770A59" w:rsidRDefault="00770A59" w:rsidP="007E26B5">
      <w:r>
        <w:t>Badanie miało na celu ocenę dostępności cyfrowej stron internetowych i aplikacji mobilnych podmiotów publicznych z uwzględnieniem zgodności ze standardami oraz rzeczywistych doświadczeń użytkowników. Zastosowano podejście mieszane z triangulacją</w:t>
      </w:r>
      <w:r w:rsidR="00CF1334">
        <w:rPr>
          <w:rStyle w:val="Odwoanieprzypisudolnego"/>
        </w:rPr>
        <w:footnoteReference w:id="2"/>
      </w:r>
      <w:r>
        <w:t xml:space="preserve"> metodologiczną, łączącą techniki ilościowe i jakościowe w celu uzyskania wszechstronnych wniosków.</w:t>
      </w:r>
    </w:p>
    <w:p w14:paraId="7E051EA0" w14:textId="36BFF2E2" w:rsidR="00770A59" w:rsidRDefault="00770A59" w:rsidP="007E26B5">
      <w:r>
        <w:t xml:space="preserve">Metody ilościowe objęły </w:t>
      </w:r>
      <w:r w:rsidR="0048172D">
        <w:t>badanie ankietowe na grupie 306 osób w podziale na kategorie: obywatele wieku 18-59 lat, osoby z niepełnosprawnościami w wieku 18-59 lat, osoby powyżej 60 roku życia</w:t>
      </w:r>
      <w:r>
        <w:t xml:space="preserve">. Metody jakościowe obejmowały </w:t>
      </w:r>
      <w:r w:rsidR="0048172D">
        <w:t xml:space="preserve">desk research, </w:t>
      </w:r>
      <w:r>
        <w:t xml:space="preserve">sesje testów użyteczności oraz wywiady </w:t>
      </w:r>
      <w:r w:rsidR="00AD657E">
        <w:t xml:space="preserve">indywidualne </w:t>
      </w:r>
      <w:r>
        <w:t xml:space="preserve">z udziałem kluczowych grup użytkowników – osób </w:t>
      </w:r>
      <w:r w:rsidR="00F047E5">
        <w:t>z </w:t>
      </w:r>
      <w:r>
        <w:t xml:space="preserve">różnymi niepełnosprawnościami </w:t>
      </w:r>
      <w:r w:rsidR="00AD657E">
        <w:t>or</w:t>
      </w:r>
      <w:r w:rsidR="00ED4B53">
        <w:t>a</w:t>
      </w:r>
      <w:r w:rsidR="00AD657E">
        <w:t xml:space="preserve">z osób 60+, </w:t>
      </w:r>
      <w:r>
        <w:t xml:space="preserve">co pozwoliło pogłębić analizę ich doświadczeń; tak zróżnicowana struktura uczestników umożliwiła porównanie potrzeb </w:t>
      </w:r>
      <w:r w:rsidR="00F047E5">
        <w:t>i </w:t>
      </w:r>
      <w:r>
        <w:t>trudności napotykanych przez te grupy w korzystaniu z e-usług publicznych. Zakres tematyczny badania objął ocenę użyteczności, stopnia spełnienia wymagań dostępności, sposobów korzystania z technologii wspomagających przez użytkowników, analizę obecności i treści deklaracji dostępności na stronach oraz ogólną satysfakcję i problemy napotykane przez użytkowników w kontaktach z serwisami.</w:t>
      </w:r>
    </w:p>
    <w:p w14:paraId="2574D05F" w14:textId="44B563E1" w:rsidR="00770A59" w:rsidRDefault="00770A59" w:rsidP="007E26B5">
      <w:r>
        <w:t>Wyniki analizy</w:t>
      </w:r>
      <w:r w:rsidR="00896D31">
        <w:t xml:space="preserve"> części ilościowej</w:t>
      </w:r>
      <w:r>
        <w:t xml:space="preserve"> ujawniły istotne braki w zapewnianiu dostępności cyfrowej badanych serwisów publicznych. Stwierdzono, że </w:t>
      </w:r>
      <w:r w:rsidR="009B4A00">
        <w:t xml:space="preserve">każda </w:t>
      </w:r>
      <w:r>
        <w:t xml:space="preserve">z </w:t>
      </w:r>
      <w:r w:rsidR="009B4A00">
        <w:t xml:space="preserve">grup badanych napotyka na bariery w korzystaniu ze stron i aplikacji podmiotów publicznych. </w:t>
      </w:r>
      <w:r>
        <w:t xml:space="preserve">Najczęstsze problemy </w:t>
      </w:r>
      <w:r w:rsidR="002E6B54">
        <w:t xml:space="preserve">dotyczyły trudnego języka, jakim pisane są teksty, </w:t>
      </w:r>
      <w:r w:rsidR="00E15751">
        <w:t xml:space="preserve">trudności w intuicyjnej nawigacji czy to na stronach czy w aplikacjach, </w:t>
      </w:r>
      <w:r w:rsidR="002751A2">
        <w:t xml:space="preserve">braku dostępnych formularzy, lub złych komunikatów o błędach oraz </w:t>
      </w:r>
      <w:r w:rsidR="00E15751">
        <w:t>szczegółowych braków w zakresie „specjalistycznej” dostępności jak tłumaczenie PJM.</w:t>
      </w:r>
      <w:r w:rsidR="002751A2">
        <w:t xml:space="preserve"> </w:t>
      </w:r>
      <w:r>
        <w:t>Zauważono przy tym, że obowiązkowe deklaracje dostępności publikowane na stronach często mają charakter czysto formalny – niekiedy są niekompletne lub nieaktualne – co wskazuje na rozbieżność między deklarowanym a faktycznym stanem dostępności.</w:t>
      </w:r>
    </w:p>
    <w:p w14:paraId="0D6A83E3" w14:textId="11BD27C1" w:rsidR="00770A59" w:rsidRDefault="00770A59" w:rsidP="007E26B5">
      <w:r>
        <w:t>Część jakościowa badania dostarczyła pogłębionego kontekstu do zidentyfikowanych problemów z perspektywy użytkowników. Użytkownicy z niepełnosprawnościami zgłaszali liczne bariery, takie jak niedostępność treści dla czytników ekranu, trudności w nawigacji po złożonych interfejsach bez wskazówek wizualnych</w:t>
      </w:r>
      <w:r w:rsidR="00ED4B53">
        <w:t>,</w:t>
      </w:r>
      <w:r>
        <w:t xml:space="preserve"> czy niemożność wykonania niektórych zadań z powodu braku obsługi klawiatury lub nieobecności napisów. Na przykład uczestnicy niewidomi napotykali na problem nieopisanych przycisków i grafik, podczas gdy osoby niesłyszące wskazywały na brak napisów lub transkrypcji w materiałach multimedialnych.</w:t>
      </w:r>
    </w:p>
    <w:p w14:paraId="4A5257DB" w14:textId="0C410C68" w:rsidR="00770A59" w:rsidRDefault="00770A59" w:rsidP="007E26B5">
      <w:r>
        <w:lastRenderedPageBreak/>
        <w:t xml:space="preserve">Osoby z niepełnosprawnością ruchową zwracały uwagę na trudności z obsługą elementów wymagających precyzyjnego kliknięcia (np. bardzo małych przycisków) oraz brak alternatyw dla operacji typu „przeciągnij i upuść”. Osoby starsze (60+) uczestniczące w badaniu </w:t>
      </w:r>
      <w:r w:rsidR="00F047E5">
        <w:t>– z </w:t>
      </w:r>
      <w:r>
        <w:t xml:space="preserve">których wiele nie postrzega siebie jako osób z niepełnosprawnościami, choć doświadczają związanych z wiekiem pogorszeń wzroku czy motoryki – odczuwały frustrację z powodu małego rozmiaru czcionek, niskiego kontrastu oraz nieintuicyjnych układów stron niedostosowanych do ich potrzeb. Część seniorów nie znała zaawansowanych technologii wspomagających (np. programów odczytu ekranu), polegając raczej na prostych funkcjach powiększania tekstu w przeglądarce, co okazywało się niewystarczające na słabo zaprojektowanych stronach. Mimo braku formalnych ograniczeń sprawności, również użytkownicy bez niepełnosprawności napotykali problemy z użytecznością – np. trudności ze znalezieniem informacji czy realizacją usług na przeładowanych lub nieintuicyjnych witrynach – co wskazuje, że braki dostępności mogą w pewnym stopniu utrudniać korzystanie wszystkim odbiorcom. Zaobserwowano przy tym, że wdrożenie funkcji zwiększających dostępność (jak tryb wysokiego kontrastu, opcje powiększenia tekstu czy pełna kompatybilność ze </w:t>
      </w:r>
      <w:proofErr w:type="spellStart"/>
      <w:r>
        <w:t>screen</w:t>
      </w:r>
      <w:proofErr w:type="spellEnd"/>
      <w:r>
        <w:t xml:space="preserve"> </w:t>
      </w:r>
      <w:proofErr w:type="spellStart"/>
      <w:r>
        <w:t>readerami</w:t>
      </w:r>
      <w:proofErr w:type="spellEnd"/>
      <w:r>
        <w:t xml:space="preserve">) przynosiło korzyści szerokiemu gronu odbiorców, </w:t>
      </w:r>
      <w:r w:rsidR="00F047E5">
        <w:t>w </w:t>
      </w:r>
      <w:r>
        <w:t>tym osobom bez niepełnosprawności i seniorom.</w:t>
      </w:r>
    </w:p>
    <w:p w14:paraId="540155D5" w14:textId="796547A6" w:rsidR="00770A59" w:rsidRDefault="00770A59" w:rsidP="007E26B5">
      <w:r>
        <w:t xml:space="preserve">Triangulacja metod pozwoliła na wzajemne potwierdzenie wyników: dane ilościowe dotyczące błędów dostępności znajdowały odzwierciedlenie w problemach wskazywanych jakościowo przez użytkowników, co wzmacnia wiarygodność wniosków. Obie części badania zgodnie wykazały, że </w:t>
      </w:r>
      <w:r w:rsidRPr="005D5EAC">
        <w:rPr>
          <w:b/>
          <w:bCs/>
        </w:rPr>
        <w:t xml:space="preserve">cyfrowe usługi publiczne nie zapewniają w wystarczającym stopniu </w:t>
      </w:r>
      <w:proofErr w:type="spellStart"/>
      <w:r w:rsidRPr="005D5EAC">
        <w:rPr>
          <w:b/>
          <w:bCs/>
        </w:rPr>
        <w:t>inkluzywności</w:t>
      </w:r>
      <w:proofErr w:type="spellEnd"/>
      <w:r w:rsidRPr="005D5EAC">
        <w:rPr>
          <w:b/>
          <w:bCs/>
        </w:rPr>
        <w:t xml:space="preserve"> i przyjazności dla wszystkich użytkowników</w:t>
      </w:r>
      <w:r>
        <w:t xml:space="preserve">. Spójność uzyskanych dowodów pokazała, że brak zgodności z wytycznymi przekłada się na realne negatywne doświadczenia użytkowników – szczególnie osób z niepełnosprawnościami i seniorów – w korzystaniu </w:t>
      </w:r>
      <w:r w:rsidR="00F047E5">
        <w:br/>
        <w:t>z </w:t>
      </w:r>
      <w:r>
        <w:t xml:space="preserve">e-usług. Z kolei nieliczne zaobserwowane przykłady dobrych praktyk (choć stanowiły mniejszość) pokazały, że </w:t>
      </w:r>
      <w:r w:rsidRPr="005209D0">
        <w:rPr>
          <w:b/>
          <w:bCs/>
        </w:rPr>
        <w:t>przestrzeganie wymagań dostępności skutkuje istotną poprawą użyteczności i zadowolenia użytkowników o zróżnicowanych potrzebach</w:t>
      </w:r>
      <w:r>
        <w:t xml:space="preserve">. Kluczowe rezultaty badania obejmują katalog najczęstszych problemów dostępności, określenie ich wpływu na wykonywanie typowych czynności przez użytkowników oraz wskazanie luk </w:t>
      </w:r>
      <w:r w:rsidR="00F047E5">
        <w:t>w </w:t>
      </w:r>
      <w:r>
        <w:t xml:space="preserve">świadomości i wdrażaniu dostępności cyfrowej w sektorze publicznym (np. pomijanie wsparcia dla technologii asystujących czy traktowanie deklaracji dostępności </w:t>
      </w:r>
      <w:r w:rsidR="00F047E5">
        <w:t>jedynie </w:t>
      </w:r>
      <w:r>
        <w:t>formalnie).</w:t>
      </w:r>
    </w:p>
    <w:p w14:paraId="5246AE16" w14:textId="3B3A6A8A" w:rsidR="00770A59" w:rsidRDefault="00770A59" w:rsidP="007E26B5">
      <w:r>
        <w:t xml:space="preserve">Podsumowując, jakość dostępności cyfrowej stron internetowych i aplikacji mobilnych podmiotów publicznych okazała się niewystarczająca i nierówna, co podważa realizację zasady równego dostępu obywateli do e-usług. Ujawnione uchybienia zarówno w zakresie formalnej zgodności technicznej, jak i subiektywnego doświadczenia użytkowników wskazują na </w:t>
      </w:r>
      <w:r w:rsidRPr="005209D0">
        <w:rPr>
          <w:b/>
          <w:bCs/>
        </w:rPr>
        <w:t>pilną potrzebę wdrożenia usprawnień w praktykach projektowania, egzekwowaniu przepisów oraz ciągłym monitorowaniu dostępności</w:t>
      </w:r>
      <w:r>
        <w:t xml:space="preserve">. W oparciu o wyniki sformułowano rekomendacje działań naprawczych, m.in. bardziej rygorystyczne egzekwowanie obowiązujących standardów dostępności, regularne audyty i testy z udziałem osób </w:t>
      </w:r>
      <w:r w:rsidR="00F047E5">
        <w:t>z </w:t>
      </w:r>
      <w:r>
        <w:t xml:space="preserve">niepełnosprawnościami i seniorów na etapie projektowania i utrzymania serwisów oraz lepsze szkolenia z projektowania uniwersalnego dla pracowników sektora publicznego </w:t>
      </w:r>
      <w:r w:rsidR="00F047E5">
        <w:lastRenderedPageBreak/>
        <w:t>i </w:t>
      </w:r>
      <w:r>
        <w:t xml:space="preserve">wykonawców. Podkreślono także konieczność usprawnienia i traktowania deklaracji dostępności nie tylko jako formalności, lecz jako narzędzia transparentności i rozliczalności – poprzez ich bieżące aktualizowanie oraz aktywne usuwanie zgłoszonych barier przez podmioty publiczne. Realizacja takich działań i promowanie kultury dostępności powinny przełożyć się na wyraźną poprawę użyteczności cyfrowych usług publicznych dla wszystkich grup odbiorców oraz zapewnić zgodność zarówno z wymogami prawnymi, jak </w:t>
      </w:r>
      <w:r w:rsidR="00F047E5">
        <w:t>i </w:t>
      </w:r>
      <w:r>
        <w:t xml:space="preserve">oczekiwaniami obywateli. Ostatecznie, uzyskane wyniki stanowią popartą empirycznie podstawę dla decydentów i praktyków do intensyfikacji starań na rzecz pełnej dostępności cyfrowej oraz rozwijania </w:t>
      </w:r>
      <w:proofErr w:type="spellStart"/>
      <w:r>
        <w:t>inkluzywnych</w:t>
      </w:r>
      <w:proofErr w:type="spellEnd"/>
      <w:r>
        <w:t xml:space="preserve"> e-usług administracji publicznej.</w:t>
      </w:r>
    </w:p>
    <w:p w14:paraId="44DAA354" w14:textId="77777777" w:rsidR="00071722" w:rsidRPr="00071722" w:rsidRDefault="00071722" w:rsidP="007E26B5"/>
    <w:p w14:paraId="67B40992" w14:textId="77777777" w:rsidR="00C1691E" w:rsidRPr="00BF6615" w:rsidRDefault="00C1691E" w:rsidP="007E26B5">
      <w:pPr>
        <w:spacing w:after="160" w:line="259" w:lineRule="auto"/>
        <w:rPr>
          <w:rFonts w:eastAsiaTheme="majorEastAsia" w:cstheme="minorHAnsi"/>
          <w:b/>
          <w:bCs/>
          <w:color w:val="C00000"/>
          <w:sz w:val="36"/>
          <w:szCs w:val="28"/>
        </w:rPr>
      </w:pPr>
      <w:r w:rsidRPr="00BF6615">
        <w:br w:type="page"/>
      </w:r>
    </w:p>
    <w:p w14:paraId="18FA0DD9" w14:textId="2D81CD77" w:rsidR="002471B7" w:rsidRPr="00BF6615" w:rsidRDefault="002471B7" w:rsidP="007E26B5">
      <w:pPr>
        <w:pStyle w:val="Nagwek2"/>
      </w:pPr>
      <w:bookmarkStart w:id="5" w:name="_Toc204179211"/>
      <w:r w:rsidRPr="00BF6615">
        <w:lastRenderedPageBreak/>
        <w:t>Kontekst badania</w:t>
      </w:r>
      <w:bookmarkEnd w:id="5"/>
    </w:p>
    <w:p w14:paraId="7E82BDD7" w14:textId="77777777" w:rsidR="00C1691E" w:rsidRPr="00BF6615" w:rsidRDefault="00C1691E" w:rsidP="007E26B5">
      <w:pPr>
        <w:rPr>
          <w:rFonts w:cstheme="minorHAnsi"/>
        </w:rPr>
      </w:pPr>
      <w:r w:rsidRPr="00BF6615">
        <w:rPr>
          <w:rFonts w:cstheme="minorHAnsi"/>
        </w:rPr>
        <w:t>Dostępność to kwestia poszanowania godności innych osób, a jej brak oznacza dyskryminację. Dostępność jest warunkiem podstawowym i zarazem koniecznym do realizacji praw człowieka wszystkich osób, a zwłaszcza osób z niepełnosprawnościami i innych osób ze szczególnymi potrzebami, w tym osób starszych. </w:t>
      </w:r>
    </w:p>
    <w:p w14:paraId="78B9E32E" w14:textId="77777777" w:rsidR="00C1691E" w:rsidRPr="00BF6615" w:rsidRDefault="00C1691E" w:rsidP="007E26B5">
      <w:pPr>
        <w:rPr>
          <w:rFonts w:cstheme="minorHAnsi"/>
        </w:rPr>
      </w:pPr>
      <w:r w:rsidRPr="00BF6615">
        <w:rPr>
          <w:rFonts w:cstheme="minorHAnsi"/>
        </w:rPr>
        <w:t>Kwestia dostępności wskazywana jest w najważniejszych aktach polskiego prawa – m.in. Konstytucja</w:t>
      </w:r>
      <w:r w:rsidRPr="00BF6615">
        <w:rPr>
          <w:rStyle w:val="Odwoanieprzypisudolnego"/>
          <w:rFonts w:cstheme="minorHAnsi"/>
        </w:rPr>
        <w:footnoteReference w:id="3"/>
      </w:r>
      <w:r w:rsidRPr="00BF6615">
        <w:rPr>
          <w:rFonts w:cstheme="minorHAnsi"/>
        </w:rPr>
        <w:t>, która w art. 32 wskazuje: „1. Wszyscy są wobec prawa równi. Wszyscy mają prawo do równego traktowania przez władze publiczne. 2. Nikt nie może być dyskryminowany w życiu politycznym, społecznym lub gospodarczym z jakiejkolwiek przyczyny”.</w:t>
      </w:r>
    </w:p>
    <w:p w14:paraId="0E4D4224" w14:textId="3620A413" w:rsidR="00C1691E" w:rsidRPr="00BF6615" w:rsidRDefault="00C1691E" w:rsidP="007E26B5">
      <w:pPr>
        <w:rPr>
          <w:rFonts w:cstheme="minorHAnsi"/>
        </w:rPr>
      </w:pPr>
      <w:r w:rsidRPr="00BF6615">
        <w:rPr>
          <w:rFonts w:cstheme="minorHAnsi"/>
        </w:rPr>
        <w:t>Jednocześnie ratyfikowana przez Polskę Konwencja ONZ o prawach osób z niepełnosprawnościami</w:t>
      </w:r>
      <w:r w:rsidRPr="00BF6615">
        <w:rPr>
          <w:rStyle w:val="Odwoanieprzypisudolnego"/>
          <w:rFonts w:cstheme="minorHAnsi"/>
        </w:rPr>
        <w:footnoteReference w:id="4"/>
      </w:r>
      <w:r w:rsidRPr="00BF6615">
        <w:rPr>
          <w:rFonts w:cstheme="minorHAnsi"/>
        </w:rPr>
        <w:t xml:space="preserve"> wskazuje w art.9 Dostępność: 1. Aby umożliwić osobom z niepełnosprawnościami niezależne życie i pełny udział we wszystkich sferach życia, Państwa Strony podejmą odpowiednie środki w celu zapewnienia im, na zasadzie równości z innymi osobami, dostępu do środowiska fizycznego, środków transportu, informacji i komunikacji, w tym technologii i systemów informacyjno-komunikacyjnych, a także do innych urządzeń i usług, powszechnie dostępnych lub powszechnie zapewnianych, zarówno na obszarach miejskich, jak i wiejskich. (</w:t>
      </w:r>
      <w:r w:rsidR="00D024E8">
        <w:rPr>
          <w:rFonts w:cstheme="minorHAnsi"/>
        </w:rPr>
        <w:t>.</w:t>
      </w:r>
      <w:r w:rsidRPr="00BF6615">
        <w:rPr>
          <w:rFonts w:cstheme="minorHAnsi"/>
        </w:rPr>
        <w:t>.)”.</w:t>
      </w:r>
    </w:p>
    <w:p w14:paraId="44EF1E3E" w14:textId="5A575E2A" w:rsidR="00C1691E" w:rsidRPr="00BF6615" w:rsidRDefault="00C1691E" w:rsidP="007E26B5">
      <w:pPr>
        <w:rPr>
          <w:rFonts w:cstheme="minorHAnsi"/>
        </w:rPr>
      </w:pPr>
      <w:r w:rsidRPr="00BF6615">
        <w:rPr>
          <w:rFonts w:cstheme="minorHAnsi"/>
        </w:rPr>
        <w:t>Aby wypełnić zobowiązania obu aktów obowiązują w Polsce szczegółowe przepisy ustawowe dotyczące dostępności. Obowiązuje ustawa z dnia 4 kwietnia 2019 r. o dostępności cyfrowej stron internetowych i aplikacji mobilnych podmiotów publicznych</w:t>
      </w:r>
      <w:r w:rsidRPr="00BF6615">
        <w:rPr>
          <w:rStyle w:val="Odwoanieprzypisudolnego"/>
          <w:rFonts w:cstheme="minorHAnsi"/>
        </w:rPr>
        <w:footnoteReference w:id="5"/>
      </w:r>
      <w:r w:rsidRPr="00BF6615">
        <w:rPr>
          <w:rFonts w:cstheme="minorHAnsi"/>
        </w:rPr>
        <w:t xml:space="preserve"> (zwana dalej ustawą o dostępności cyfrowej), która zobowiązuje podmioty publiczne do spełnienia wymagań dostępności cyfrowej w zakresie posiadanych przez nich stron internetowych oraz aplikacji mobilnych. Zgodnie z ww. ustawą minister właściwy ds. informatyzacji sprawuje nadzór nad stosowaniem tej ustawy i odpowiada za monitorowanie (na mocy art. 12 pkt 2 ww. ustawy) przestrzegania przepisów dostępności cyfrowej przez podmioty publiczne. Jednocześnie w świetle ustawy o zapewnianiu dostępności dla osób ze szczególnymi potrzebami (zwana dalej ustawą o zapewnianiu dostępności)</w:t>
      </w:r>
      <w:r w:rsidRPr="00BF6615">
        <w:rPr>
          <w:rStyle w:val="Odwoanieprzypisudolnego"/>
          <w:rFonts w:cstheme="minorHAnsi"/>
        </w:rPr>
        <w:footnoteReference w:id="6"/>
      </w:r>
      <w:r w:rsidRPr="00BF6615">
        <w:rPr>
          <w:rFonts w:cstheme="minorHAnsi"/>
        </w:rPr>
        <w:t xml:space="preserve"> każdy podmiot publiczny, a także podmioty prywatne, w tym NGO, które realizują zadania publiczne muszą spełniać wymogi określone w art.6 ustawy, w tym w zakresie dostępności cyfrowej co do zasady powinny zapewniać pełną dostępność cyfrową swoich stron i aplikacji</w:t>
      </w:r>
      <w:r w:rsidR="00D024E8">
        <w:rPr>
          <w:rStyle w:val="Odwoanieprzypisudolnego"/>
          <w:rFonts w:cstheme="minorHAnsi"/>
        </w:rPr>
        <w:footnoteReference w:id="7"/>
      </w:r>
      <w:r w:rsidRPr="00BF6615">
        <w:rPr>
          <w:rFonts w:cstheme="minorHAnsi"/>
        </w:rPr>
        <w:t>.</w:t>
      </w:r>
    </w:p>
    <w:p w14:paraId="24680F16" w14:textId="77777777" w:rsidR="00C1691E" w:rsidRPr="00BF6615" w:rsidRDefault="00C1691E" w:rsidP="007E26B5">
      <w:pPr>
        <w:rPr>
          <w:rFonts w:cstheme="minorHAnsi"/>
        </w:rPr>
      </w:pPr>
      <w:r w:rsidRPr="00BF6615">
        <w:rPr>
          <w:rFonts w:cstheme="minorHAnsi"/>
        </w:rPr>
        <w:t xml:space="preserve">Zgodnie z ustawą o dostępności cyfrowej strona internetowa i aplikacja mobilna są dostępne cyfrowo, jeśli spełniają konkretne wymagania, zebrane w tabeli będącej załącznikiem do tej ustawy. Tabela ta jest równoważna standardowi WCAG na poziomie AA (z niewielkimi </w:t>
      </w:r>
      <w:r w:rsidRPr="00BF6615">
        <w:rPr>
          <w:rFonts w:cstheme="minorHAnsi"/>
        </w:rPr>
        <w:lastRenderedPageBreak/>
        <w:t>ograniczeniami). Ponadto każda strona powinna posiadać deklarację dostępności spełniającą określone wymogi techniczne oraz ściśle określoną zawartość i strukturę treści.</w:t>
      </w:r>
    </w:p>
    <w:p w14:paraId="47177B4F" w14:textId="77777777" w:rsidR="00C1691E" w:rsidRPr="00BF6615" w:rsidRDefault="00C1691E" w:rsidP="007E26B5">
      <w:pPr>
        <w:rPr>
          <w:rFonts w:cstheme="minorHAnsi"/>
        </w:rPr>
      </w:pPr>
      <w:r w:rsidRPr="00BF6615">
        <w:rPr>
          <w:rFonts w:cstheme="minorHAnsi"/>
        </w:rPr>
        <w:t>Dostępność cyfrowa strony podmiotów publicznych i aplikacji podmiotów publicznych (dalej: strony/aplikacje publiczne)”pozwala na pełniejsze uczestnictwo w życiu społecznym, zawodowym, edukację oraz radzenie sobie z wyzwaniami dnia codziennego przez, m.in. osoby z niepełnosprawnościami wzroku, słuchu, ruchu, z niepełnosprawnością intelektualną czy zaburzeniami poznawczymi, a także osoby starsze i jest kluczowa dla ich pełnego włączenia i integracji społecznej.</w:t>
      </w:r>
    </w:p>
    <w:p w14:paraId="6AE26801" w14:textId="4B160F11" w:rsidR="00C1691E" w:rsidRPr="00BF6615" w:rsidRDefault="00C1691E" w:rsidP="007E26B5">
      <w:pPr>
        <w:rPr>
          <w:rFonts w:cstheme="minorHAnsi"/>
        </w:rPr>
      </w:pPr>
      <w:r w:rsidRPr="00BF6615">
        <w:rPr>
          <w:rFonts w:cstheme="minorHAnsi"/>
        </w:rPr>
        <w:t>W wykazie stron internetowych prowadzonym przez ministra ds. Informatyzacji znajduje się aktualnie 98 171 stron internetowych podmiotów publicznych, a w analogicznym wykazie aplikacji mobilnych podmiotów publicznych 479 takich aplikacji</w:t>
      </w:r>
      <w:r w:rsidRPr="00BF6615">
        <w:rPr>
          <w:rStyle w:val="Odwoanieprzypisudolnego"/>
          <w:rFonts w:cstheme="minorHAnsi"/>
        </w:rPr>
        <w:footnoteReference w:id="8"/>
      </w:r>
      <w:r w:rsidRPr="00BF6615">
        <w:rPr>
          <w:rFonts w:cstheme="minorHAnsi"/>
        </w:rPr>
        <w:t>. Według Europejskiego Badania Ankietowego Zdrowia (EHIS) prowadzonego przez GUS w Polsce</w:t>
      </w:r>
      <w:r w:rsidRPr="00BF6615">
        <w:rPr>
          <w:rStyle w:val="Odwoanieprzypisudolnego"/>
          <w:rFonts w:cstheme="minorHAnsi"/>
        </w:rPr>
        <w:footnoteReference w:id="9"/>
      </w:r>
      <w:r w:rsidRPr="00BF6615">
        <w:rPr>
          <w:rFonts w:cstheme="minorHAnsi"/>
        </w:rPr>
        <w:t xml:space="preserve"> w 2019 było 23% osób niepełnosprawnych biologicznie (osoby deklarujące poważne trudności zdrowotne). W porównaniu z badaniem w 2014 roku odsetek ten wzrósł o ponad 2 p. proc. Jednocześnie badanie wskazuje, że według definicji statystycznej, która uwzględnia osoby niesprawne biologicznie, ale wyłącznie w stopniu poważnym, a także osoby niepełnosprawne prawnie (posiadające orzeczenie o niepełnosprawności) jest to 13% populacji. Podobne wyniki uzyskano  w Narodowym Spisie Ludności w 2011 r. kiedy to liczbę osób niepełnosprawnych prawnie i biologicznie określono łącznie na 4,7 mln osób (w tym grupę spełniających kryteria prawne oszacowano na 3,1 mln osób)</w:t>
      </w:r>
      <w:r w:rsidRPr="00BF6615">
        <w:rPr>
          <w:rStyle w:val="Odwoanieprzypisudolnego"/>
          <w:rFonts w:cstheme="minorHAnsi"/>
        </w:rPr>
        <w:footnoteReference w:id="10"/>
      </w:r>
      <w:r w:rsidRPr="00BF6615">
        <w:rPr>
          <w:rFonts w:cstheme="minorHAnsi"/>
        </w:rPr>
        <w:t>. Z kolei na podstawie Badania Aktywności Ekonomicznej Ludności GUS z II kw. 2023 r. można stwierdzić, iż orzeczenia o niepełnosprawności (na podstawie deklaracji respondentów) posiadało w Polsce 2 721 tys. osób w wieku 16-89 lat, to jest około, 9% tej ludności Polski</w:t>
      </w:r>
      <w:r w:rsidRPr="00BF6615">
        <w:rPr>
          <w:rStyle w:val="Odwoanieprzypisudolnego"/>
          <w:rFonts w:cstheme="minorHAnsi"/>
        </w:rPr>
        <w:footnoteReference w:id="11"/>
      </w:r>
      <w:r w:rsidRPr="00BF6615">
        <w:rPr>
          <w:rFonts w:cstheme="minorHAnsi"/>
        </w:rPr>
        <w:t xml:space="preserve">. </w:t>
      </w:r>
    </w:p>
    <w:p w14:paraId="0ABCD432" w14:textId="77777777" w:rsidR="00C1691E" w:rsidRPr="00BF6615" w:rsidRDefault="00C1691E" w:rsidP="007E26B5">
      <w:pPr>
        <w:rPr>
          <w:rFonts w:cstheme="minorHAnsi"/>
        </w:rPr>
      </w:pPr>
      <w:r w:rsidRPr="00BF6615">
        <w:rPr>
          <w:rFonts w:cstheme="minorHAnsi"/>
        </w:rPr>
        <w:t xml:space="preserve">Dane z systemu </w:t>
      </w:r>
      <w:proofErr w:type="spellStart"/>
      <w:r w:rsidRPr="00BF6615">
        <w:rPr>
          <w:rFonts w:cstheme="minorHAnsi"/>
        </w:rPr>
        <w:t>EKSMOoN</w:t>
      </w:r>
      <w:proofErr w:type="spellEnd"/>
      <w:r w:rsidRPr="00BF6615">
        <w:rPr>
          <w:rStyle w:val="Odwoanieprzypisudolnego"/>
          <w:rFonts w:cstheme="minorHAnsi"/>
        </w:rPr>
        <w:footnoteReference w:id="12"/>
      </w:r>
      <w:r w:rsidRPr="00BF6615">
        <w:rPr>
          <w:rFonts w:cstheme="minorHAnsi"/>
        </w:rPr>
        <w:t xml:space="preserve"> pokazują, że w grupie osób posiadających orzeczenie (ponad 5 mln osób) najliczniejszą grupę stanowią osoby posiadające orzeczenie z uwagi na narząd ruchu (31%).</w:t>
      </w:r>
    </w:p>
    <w:p w14:paraId="09252FF3" w14:textId="75CAFB20" w:rsidR="00C1691E" w:rsidRPr="00BF6615" w:rsidRDefault="00C1691E" w:rsidP="007E26B5">
      <w:pPr>
        <w:pStyle w:val="Legenda"/>
        <w:pageBreakBefore/>
        <w:spacing w:line="276" w:lineRule="auto"/>
        <w:rPr>
          <w:rFonts w:cstheme="minorHAnsi"/>
        </w:rPr>
      </w:pPr>
      <w:bookmarkStart w:id="6" w:name="_Toc188482310"/>
      <w:bookmarkStart w:id="7" w:name="_Toc196335268"/>
      <w:bookmarkStart w:id="8" w:name="_Toc204179099"/>
      <w:r w:rsidRPr="00BF6615">
        <w:rPr>
          <w:rFonts w:cstheme="minorHAnsi"/>
        </w:rPr>
        <w:lastRenderedPageBreak/>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w:t>
      </w:r>
      <w:r w:rsidRPr="00BF6615">
        <w:rPr>
          <w:rFonts w:cstheme="minorHAnsi"/>
        </w:rPr>
        <w:fldChar w:fldCharType="end"/>
      </w:r>
      <w:r w:rsidRPr="00BF6615">
        <w:rPr>
          <w:rFonts w:cstheme="minorHAnsi"/>
          <w:noProof/>
        </w:rPr>
        <w:t>.</w:t>
      </w:r>
      <w:r w:rsidRPr="00BF6615">
        <w:rPr>
          <w:rFonts w:cstheme="minorHAnsi"/>
        </w:rPr>
        <w:t xml:space="preserve"> Osoby z niepełnosprawnościami posiadające orzeczenie w podziale na typy niepełnosprawności</w:t>
      </w:r>
      <w:bookmarkEnd w:id="6"/>
      <w:bookmarkEnd w:id="7"/>
      <w:bookmarkEnd w:id="8"/>
    </w:p>
    <w:tbl>
      <w:tblPr>
        <w:tblStyle w:val="PARP"/>
        <w:tblW w:w="8952" w:type="dxa"/>
        <w:tblLook w:val="0460" w:firstRow="1" w:lastRow="1" w:firstColumn="0" w:lastColumn="0" w:noHBand="0" w:noVBand="1"/>
        <w:tblCaption w:val="Osoby z niepełnosprawnościami posiadające orzeczenie w podziale na typy niepełnosprawności"/>
        <w:tblDescription w:val="Osoby z niepełnosprawnościami posiadające orzeczenie w podziale na typy niepełnosprawności"/>
      </w:tblPr>
      <w:tblGrid>
        <w:gridCol w:w="6232"/>
        <w:gridCol w:w="1440"/>
        <w:gridCol w:w="1280"/>
      </w:tblGrid>
      <w:tr w:rsidR="00C1691E" w:rsidRPr="00BF6615" w14:paraId="7F0D057D" w14:textId="77777777">
        <w:trPr>
          <w:cnfStyle w:val="100000000000" w:firstRow="1" w:lastRow="0" w:firstColumn="0" w:lastColumn="0" w:oddVBand="0" w:evenVBand="0" w:oddHBand="0" w:evenHBand="0" w:firstRowFirstColumn="0" w:firstRowLastColumn="0" w:lastRowFirstColumn="0" w:lastRowLastColumn="0"/>
          <w:trHeight w:val="570"/>
        </w:trPr>
        <w:tc>
          <w:tcPr>
            <w:tcW w:w="6232" w:type="dxa"/>
            <w:hideMark/>
          </w:tcPr>
          <w:p w14:paraId="72AD3013" w14:textId="77777777" w:rsidR="00C1691E" w:rsidRPr="000F4CC1" w:rsidRDefault="00C1691E" w:rsidP="007E26B5">
            <w:pPr>
              <w:rPr>
                <w:rFonts w:asciiTheme="minorHAnsi" w:hAnsiTheme="minorHAnsi" w:cstheme="minorHAnsi"/>
                <w:b/>
                <w:bCs/>
                <w:sz w:val="20"/>
                <w:szCs w:val="18"/>
                <w:lang w:eastAsia="pl-PL"/>
              </w:rPr>
            </w:pPr>
            <w:r w:rsidRPr="000F4CC1">
              <w:rPr>
                <w:rFonts w:asciiTheme="minorHAnsi" w:hAnsiTheme="minorHAnsi" w:cstheme="minorHAnsi"/>
                <w:b/>
                <w:bCs/>
                <w:sz w:val="20"/>
                <w:szCs w:val="18"/>
                <w:lang w:eastAsia="pl-PL"/>
              </w:rPr>
              <w:t>Rodzaj niepełnosprawności według obecnie obowiązującego prawa</w:t>
            </w:r>
          </w:p>
        </w:tc>
        <w:tc>
          <w:tcPr>
            <w:tcW w:w="1440" w:type="dxa"/>
            <w:hideMark/>
          </w:tcPr>
          <w:p w14:paraId="791A4EF2" w14:textId="77777777" w:rsidR="00C1691E" w:rsidRPr="000F4CC1" w:rsidRDefault="00C1691E" w:rsidP="007E26B5">
            <w:pPr>
              <w:rPr>
                <w:rFonts w:asciiTheme="minorHAnsi" w:hAnsiTheme="minorHAnsi" w:cstheme="minorHAnsi"/>
                <w:b/>
                <w:bCs/>
                <w:sz w:val="20"/>
                <w:szCs w:val="18"/>
                <w:lang w:val="en-US" w:eastAsia="pl-PL"/>
              </w:rPr>
            </w:pPr>
            <w:proofErr w:type="spellStart"/>
            <w:r w:rsidRPr="000F4CC1">
              <w:rPr>
                <w:rFonts w:asciiTheme="minorHAnsi" w:hAnsiTheme="minorHAnsi" w:cstheme="minorHAnsi"/>
                <w:b/>
                <w:bCs/>
                <w:sz w:val="20"/>
                <w:szCs w:val="18"/>
                <w:lang w:val="en-US" w:eastAsia="pl-PL"/>
              </w:rPr>
              <w:t>Liczba</w:t>
            </w:r>
            <w:proofErr w:type="spellEnd"/>
            <w:r w:rsidRPr="000F4CC1">
              <w:rPr>
                <w:rFonts w:asciiTheme="minorHAnsi" w:hAnsiTheme="minorHAnsi" w:cstheme="minorHAnsi"/>
                <w:b/>
                <w:bCs/>
                <w:sz w:val="20"/>
                <w:szCs w:val="18"/>
                <w:lang w:val="en-US" w:eastAsia="pl-PL"/>
              </w:rPr>
              <w:t xml:space="preserve"> </w:t>
            </w:r>
            <w:proofErr w:type="spellStart"/>
            <w:r w:rsidRPr="000F4CC1">
              <w:rPr>
                <w:rFonts w:asciiTheme="minorHAnsi" w:hAnsiTheme="minorHAnsi" w:cstheme="minorHAnsi"/>
                <w:b/>
                <w:bCs/>
                <w:sz w:val="20"/>
                <w:szCs w:val="18"/>
                <w:lang w:val="en-US" w:eastAsia="pl-PL"/>
              </w:rPr>
              <w:t>osób</w:t>
            </w:r>
            <w:proofErr w:type="spellEnd"/>
          </w:p>
        </w:tc>
        <w:tc>
          <w:tcPr>
            <w:tcW w:w="1280" w:type="dxa"/>
            <w:hideMark/>
          </w:tcPr>
          <w:p w14:paraId="01539879" w14:textId="77777777" w:rsidR="00C1691E" w:rsidRPr="000F4CC1" w:rsidRDefault="00C1691E" w:rsidP="007E26B5">
            <w:pPr>
              <w:rPr>
                <w:rFonts w:asciiTheme="minorHAnsi" w:hAnsiTheme="minorHAnsi" w:cstheme="minorHAnsi"/>
                <w:b/>
                <w:bCs/>
                <w:sz w:val="20"/>
                <w:szCs w:val="18"/>
                <w:lang w:val="en-US" w:eastAsia="pl-PL"/>
              </w:rPr>
            </w:pPr>
            <w:r w:rsidRPr="000F4CC1">
              <w:rPr>
                <w:rFonts w:asciiTheme="minorHAnsi" w:hAnsiTheme="minorHAnsi" w:cstheme="minorHAnsi"/>
                <w:b/>
                <w:bCs/>
                <w:sz w:val="20"/>
                <w:szCs w:val="18"/>
                <w:lang w:val="en-US" w:eastAsia="pl-PL"/>
              </w:rPr>
              <w:t>%</w:t>
            </w:r>
          </w:p>
        </w:tc>
      </w:tr>
      <w:tr w:rsidR="00C1691E" w:rsidRPr="00BF6615" w14:paraId="7F86755D" w14:textId="77777777">
        <w:trPr>
          <w:cnfStyle w:val="000000100000" w:firstRow="0" w:lastRow="0" w:firstColumn="0" w:lastColumn="0" w:oddVBand="0" w:evenVBand="0" w:oddHBand="1" w:evenHBand="0" w:firstRowFirstColumn="0" w:firstRowLastColumn="0" w:lastRowFirstColumn="0" w:lastRowLastColumn="0"/>
          <w:trHeight w:val="310"/>
        </w:trPr>
        <w:tc>
          <w:tcPr>
            <w:tcW w:w="6232" w:type="dxa"/>
            <w:hideMark/>
          </w:tcPr>
          <w:p w14:paraId="31987AB5" w14:textId="77777777" w:rsidR="00C1691E" w:rsidRPr="000F4CC1" w:rsidRDefault="00C1691E" w:rsidP="007E26B5">
            <w:pPr>
              <w:rPr>
                <w:rFonts w:cstheme="minorHAnsi"/>
                <w:sz w:val="20"/>
                <w:szCs w:val="18"/>
                <w:lang w:val="en-US" w:eastAsia="pl-PL"/>
              </w:rPr>
            </w:pPr>
            <w:proofErr w:type="spellStart"/>
            <w:r w:rsidRPr="000F4CC1">
              <w:rPr>
                <w:rFonts w:cstheme="minorHAnsi"/>
                <w:sz w:val="20"/>
                <w:szCs w:val="18"/>
                <w:lang w:val="en-US" w:eastAsia="pl-PL"/>
              </w:rPr>
              <w:t>upośledzenia</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umysłowe</w:t>
            </w:r>
            <w:proofErr w:type="spellEnd"/>
          </w:p>
        </w:tc>
        <w:tc>
          <w:tcPr>
            <w:tcW w:w="1440" w:type="dxa"/>
            <w:hideMark/>
          </w:tcPr>
          <w:p w14:paraId="41A83F28" w14:textId="5EC96FA8"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101</w:t>
            </w:r>
            <w:r w:rsidR="00612B2C">
              <w:rPr>
                <w:rFonts w:cstheme="minorHAnsi"/>
                <w:sz w:val="20"/>
                <w:szCs w:val="18"/>
                <w:lang w:val="en-US" w:eastAsia="pl-PL"/>
              </w:rPr>
              <w:t> </w:t>
            </w:r>
            <w:r w:rsidRPr="000F4CC1">
              <w:rPr>
                <w:rFonts w:cstheme="minorHAnsi"/>
                <w:sz w:val="20"/>
                <w:szCs w:val="18"/>
                <w:lang w:val="en-US" w:eastAsia="pl-PL"/>
              </w:rPr>
              <w:t>001</w:t>
            </w:r>
          </w:p>
        </w:tc>
        <w:tc>
          <w:tcPr>
            <w:tcW w:w="1280" w:type="dxa"/>
            <w:hideMark/>
          </w:tcPr>
          <w:p w14:paraId="6E8BAD5B"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1,8%</w:t>
            </w:r>
          </w:p>
        </w:tc>
      </w:tr>
      <w:tr w:rsidR="00C1691E" w:rsidRPr="00BF6615" w14:paraId="5AC40A8B" w14:textId="77777777">
        <w:trPr>
          <w:cnfStyle w:val="000000010000" w:firstRow="0" w:lastRow="0" w:firstColumn="0" w:lastColumn="0" w:oddVBand="0" w:evenVBand="0" w:oddHBand="0" w:evenHBand="1" w:firstRowFirstColumn="0" w:firstRowLastColumn="0" w:lastRowFirstColumn="0" w:lastRowLastColumn="0"/>
          <w:trHeight w:val="310"/>
        </w:trPr>
        <w:tc>
          <w:tcPr>
            <w:tcW w:w="6232" w:type="dxa"/>
            <w:hideMark/>
          </w:tcPr>
          <w:p w14:paraId="645173FC" w14:textId="77777777" w:rsidR="00C1691E" w:rsidRPr="000F4CC1" w:rsidRDefault="00C1691E" w:rsidP="007E26B5">
            <w:pPr>
              <w:rPr>
                <w:rFonts w:cstheme="minorHAnsi"/>
                <w:sz w:val="20"/>
                <w:szCs w:val="18"/>
                <w:lang w:val="en-US" w:eastAsia="pl-PL"/>
              </w:rPr>
            </w:pPr>
            <w:proofErr w:type="spellStart"/>
            <w:r w:rsidRPr="000F4CC1">
              <w:rPr>
                <w:rFonts w:cstheme="minorHAnsi"/>
                <w:sz w:val="20"/>
                <w:szCs w:val="18"/>
                <w:lang w:val="en-US" w:eastAsia="pl-PL"/>
              </w:rPr>
              <w:t>choroby</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psychiczne</w:t>
            </w:r>
            <w:proofErr w:type="spellEnd"/>
          </w:p>
        </w:tc>
        <w:tc>
          <w:tcPr>
            <w:tcW w:w="1440" w:type="dxa"/>
            <w:hideMark/>
          </w:tcPr>
          <w:p w14:paraId="23DB667C"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424 855</w:t>
            </w:r>
          </w:p>
        </w:tc>
        <w:tc>
          <w:tcPr>
            <w:tcW w:w="1280" w:type="dxa"/>
            <w:hideMark/>
          </w:tcPr>
          <w:p w14:paraId="32F77804"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7,8%</w:t>
            </w:r>
          </w:p>
        </w:tc>
      </w:tr>
      <w:tr w:rsidR="00C1691E" w:rsidRPr="00BF6615" w14:paraId="6F844A63" w14:textId="77777777">
        <w:trPr>
          <w:cnfStyle w:val="000000100000" w:firstRow="0" w:lastRow="0" w:firstColumn="0" w:lastColumn="0" w:oddVBand="0" w:evenVBand="0" w:oddHBand="1" w:evenHBand="0" w:firstRowFirstColumn="0" w:firstRowLastColumn="0" w:lastRowFirstColumn="0" w:lastRowLastColumn="0"/>
          <w:trHeight w:val="310"/>
        </w:trPr>
        <w:tc>
          <w:tcPr>
            <w:tcW w:w="6232" w:type="dxa"/>
            <w:hideMark/>
          </w:tcPr>
          <w:p w14:paraId="2DD54F36" w14:textId="77777777" w:rsidR="00C1691E" w:rsidRPr="000F4CC1" w:rsidRDefault="00C1691E" w:rsidP="007E26B5">
            <w:pPr>
              <w:rPr>
                <w:rFonts w:cstheme="minorHAnsi"/>
                <w:sz w:val="20"/>
                <w:szCs w:val="18"/>
                <w:lang w:eastAsia="pl-PL"/>
              </w:rPr>
            </w:pPr>
            <w:r w:rsidRPr="000F4CC1">
              <w:rPr>
                <w:rFonts w:cstheme="minorHAnsi"/>
                <w:sz w:val="20"/>
                <w:szCs w:val="18"/>
                <w:lang w:eastAsia="pl-PL"/>
              </w:rPr>
              <w:t>zaburzenia głosu, mowy i choroby słuchu</w:t>
            </w:r>
          </w:p>
        </w:tc>
        <w:tc>
          <w:tcPr>
            <w:tcW w:w="1440" w:type="dxa"/>
            <w:hideMark/>
          </w:tcPr>
          <w:p w14:paraId="6B4CA6DA"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306 543</w:t>
            </w:r>
          </w:p>
        </w:tc>
        <w:tc>
          <w:tcPr>
            <w:tcW w:w="1280" w:type="dxa"/>
            <w:hideMark/>
          </w:tcPr>
          <w:p w14:paraId="76A9EA09"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5,6%</w:t>
            </w:r>
          </w:p>
        </w:tc>
      </w:tr>
      <w:tr w:rsidR="00C1691E" w:rsidRPr="00BF6615" w14:paraId="7A239572" w14:textId="77777777">
        <w:trPr>
          <w:cnfStyle w:val="000000010000" w:firstRow="0" w:lastRow="0" w:firstColumn="0" w:lastColumn="0" w:oddVBand="0" w:evenVBand="0" w:oddHBand="0" w:evenHBand="1" w:firstRowFirstColumn="0" w:firstRowLastColumn="0" w:lastRowFirstColumn="0" w:lastRowLastColumn="0"/>
          <w:trHeight w:val="310"/>
        </w:trPr>
        <w:tc>
          <w:tcPr>
            <w:tcW w:w="6232" w:type="dxa"/>
            <w:hideMark/>
          </w:tcPr>
          <w:p w14:paraId="4126A031" w14:textId="77777777" w:rsidR="00C1691E" w:rsidRPr="000F4CC1" w:rsidRDefault="00C1691E" w:rsidP="007E26B5">
            <w:pPr>
              <w:rPr>
                <w:rFonts w:cstheme="minorHAnsi"/>
                <w:sz w:val="20"/>
                <w:szCs w:val="18"/>
                <w:lang w:val="en-US" w:eastAsia="pl-PL"/>
              </w:rPr>
            </w:pPr>
            <w:proofErr w:type="spellStart"/>
            <w:r w:rsidRPr="000F4CC1">
              <w:rPr>
                <w:rFonts w:cstheme="minorHAnsi"/>
                <w:sz w:val="20"/>
                <w:szCs w:val="18"/>
                <w:lang w:val="en-US" w:eastAsia="pl-PL"/>
              </w:rPr>
              <w:t>choroby</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narządu</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wzroku</w:t>
            </w:r>
            <w:proofErr w:type="spellEnd"/>
          </w:p>
        </w:tc>
        <w:tc>
          <w:tcPr>
            <w:tcW w:w="1440" w:type="dxa"/>
            <w:hideMark/>
          </w:tcPr>
          <w:p w14:paraId="01DC44C2"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181 896</w:t>
            </w:r>
          </w:p>
        </w:tc>
        <w:tc>
          <w:tcPr>
            <w:tcW w:w="1280" w:type="dxa"/>
            <w:hideMark/>
          </w:tcPr>
          <w:p w14:paraId="7A46687E"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3,3%</w:t>
            </w:r>
          </w:p>
        </w:tc>
      </w:tr>
      <w:tr w:rsidR="00C1691E" w:rsidRPr="00BF6615" w14:paraId="27B9BED6" w14:textId="77777777">
        <w:trPr>
          <w:cnfStyle w:val="000000100000" w:firstRow="0" w:lastRow="0" w:firstColumn="0" w:lastColumn="0" w:oddVBand="0" w:evenVBand="0" w:oddHBand="1" w:evenHBand="0" w:firstRowFirstColumn="0" w:firstRowLastColumn="0" w:lastRowFirstColumn="0" w:lastRowLastColumn="0"/>
          <w:trHeight w:val="310"/>
        </w:trPr>
        <w:tc>
          <w:tcPr>
            <w:tcW w:w="6232" w:type="dxa"/>
            <w:hideMark/>
          </w:tcPr>
          <w:p w14:paraId="422927EE" w14:textId="77777777" w:rsidR="00C1691E" w:rsidRPr="000F4CC1" w:rsidRDefault="00C1691E" w:rsidP="007E26B5">
            <w:pPr>
              <w:rPr>
                <w:rFonts w:cstheme="minorHAnsi"/>
                <w:sz w:val="20"/>
                <w:szCs w:val="18"/>
                <w:lang w:val="en-US" w:eastAsia="pl-PL"/>
              </w:rPr>
            </w:pPr>
            <w:proofErr w:type="spellStart"/>
            <w:r w:rsidRPr="000F4CC1">
              <w:rPr>
                <w:rFonts w:cstheme="minorHAnsi"/>
                <w:sz w:val="20"/>
                <w:szCs w:val="18"/>
                <w:lang w:val="en-US" w:eastAsia="pl-PL"/>
              </w:rPr>
              <w:t>upośledzenia</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narządu</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ruchu</w:t>
            </w:r>
            <w:proofErr w:type="spellEnd"/>
          </w:p>
        </w:tc>
        <w:tc>
          <w:tcPr>
            <w:tcW w:w="1440" w:type="dxa"/>
            <w:hideMark/>
          </w:tcPr>
          <w:p w14:paraId="3FEDB67E"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1 672 353</w:t>
            </w:r>
          </w:p>
        </w:tc>
        <w:tc>
          <w:tcPr>
            <w:tcW w:w="1280" w:type="dxa"/>
            <w:hideMark/>
          </w:tcPr>
          <w:p w14:paraId="1D7EE23B"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30,6%</w:t>
            </w:r>
          </w:p>
        </w:tc>
      </w:tr>
      <w:tr w:rsidR="00C1691E" w:rsidRPr="00BF6615" w14:paraId="1F40C598" w14:textId="77777777">
        <w:trPr>
          <w:cnfStyle w:val="000000010000" w:firstRow="0" w:lastRow="0" w:firstColumn="0" w:lastColumn="0" w:oddVBand="0" w:evenVBand="0" w:oddHBand="0" w:evenHBand="1" w:firstRowFirstColumn="0" w:firstRowLastColumn="0" w:lastRowFirstColumn="0" w:lastRowLastColumn="0"/>
          <w:trHeight w:val="310"/>
        </w:trPr>
        <w:tc>
          <w:tcPr>
            <w:tcW w:w="6232" w:type="dxa"/>
            <w:hideMark/>
          </w:tcPr>
          <w:p w14:paraId="1BDAE392" w14:textId="6B1C2A57" w:rsidR="00C1691E" w:rsidRPr="000F4CC1" w:rsidRDefault="003703D2" w:rsidP="007E26B5">
            <w:pPr>
              <w:rPr>
                <w:rFonts w:cstheme="minorHAnsi"/>
                <w:sz w:val="20"/>
                <w:szCs w:val="18"/>
                <w:lang w:val="en-US" w:eastAsia="pl-PL"/>
              </w:rPr>
            </w:pPr>
            <w:proofErr w:type="spellStart"/>
            <w:r w:rsidRPr="000F4CC1">
              <w:rPr>
                <w:rFonts w:cstheme="minorHAnsi"/>
                <w:sz w:val="20"/>
                <w:szCs w:val="18"/>
                <w:lang w:val="en-US" w:eastAsia="pl-PL"/>
              </w:rPr>
              <w:t>E</w:t>
            </w:r>
            <w:r w:rsidR="00C1691E" w:rsidRPr="000F4CC1">
              <w:rPr>
                <w:rFonts w:cstheme="minorHAnsi"/>
                <w:sz w:val="20"/>
                <w:szCs w:val="18"/>
                <w:lang w:val="en-US" w:eastAsia="pl-PL"/>
              </w:rPr>
              <w:t>pilepsja</w:t>
            </w:r>
            <w:proofErr w:type="spellEnd"/>
          </w:p>
        </w:tc>
        <w:tc>
          <w:tcPr>
            <w:tcW w:w="1440" w:type="dxa"/>
            <w:hideMark/>
          </w:tcPr>
          <w:p w14:paraId="37592AFC"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65 035</w:t>
            </w:r>
          </w:p>
        </w:tc>
        <w:tc>
          <w:tcPr>
            <w:tcW w:w="1280" w:type="dxa"/>
            <w:hideMark/>
          </w:tcPr>
          <w:p w14:paraId="72D2E24E"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1,2%</w:t>
            </w:r>
          </w:p>
        </w:tc>
      </w:tr>
      <w:tr w:rsidR="00C1691E" w:rsidRPr="00BF6615" w14:paraId="09CBF937" w14:textId="77777777">
        <w:trPr>
          <w:cnfStyle w:val="000000100000" w:firstRow="0" w:lastRow="0" w:firstColumn="0" w:lastColumn="0" w:oddVBand="0" w:evenVBand="0" w:oddHBand="1" w:evenHBand="0" w:firstRowFirstColumn="0" w:firstRowLastColumn="0" w:lastRowFirstColumn="0" w:lastRowLastColumn="0"/>
          <w:trHeight w:val="310"/>
        </w:trPr>
        <w:tc>
          <w:tcPr>
            <w:tcW w:w="6232" w:type="dxa"/>
            <w:hideMark/>
          </w:tcPr>
          <w:p w14:paraId="12E92A6B" w14:textId="77777777" w:rsidR="00C1691E" w:rsidRPr="000F4CC1" w:rsidRDefault="00C1691E" w:rsidP="007E26B5">
            <w:pPr>
              <w:rPr>
                <w:rFonts w:cstheme="minorHAnsi"/>
                <w:sz w:val="20"/>
                <w:szCs w:val="18"/>
                <w:lang w:eastAsia="pl-PL"/>
              </w:rPr>
            </w:pPr>
            <w:r w:rsidRPr="000F4CC1">
              <w:rPr>
                <w:rFonts w:cstheme="minorHAnsi"/>
                <w:sz w:val="20"/>
                <w:szCs w:val="18"/>
                <w:lang w:eastAsia="pl-PL"/>
              </w:rPr>
              <w:t>choroby układu oddechowego i krążenia</w:t>
            </w:r>
          </w:p>
        </w:tc>
        <w:tc>
          <w:tcPr>
            <w:tcW w:w="1440" w:type="dxa"/>
            <w:hideMark/>
          </w:tcPr>
          <w:p w14:paraId="160D0851"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1 083 071</w:t>
            </w:r>
          </w:p>
        </w:tc>
        <w:tc>
          <w:tcPr>
            <w:tcW w:w="1280" w:type="dxa"/>
            <w:hideMark/>
          </w:tcPr>
          <w:p w14:paraId="0D04BCCF"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19,8%</w:t>
            </w:r>
          </w:p>
        </w:tc>
      </w:tr>
      <w:tr w:rsidR="00C1691E" w:rsidRPr="00BF6615" w14:paraId="63C5037A" w14:textId="77777777">
        <w:trPr>
          <w:cnfStyle w:val="000000010000" w:firstRow="0" w:lastRow="0" w:firstColumn="0" w:lastColumn="0" w:oddVBand="0" w:evenVBand="0" w:oddHBand="0" w:evenHBand="1" w:firstRowFirstColumn="0" w:firstRowLastColumn="0" w:lastRowFirstColumn="0" w:lastRowLastColumn="0"/>
          <w:trHeight w:val="310"/>
        </w:trPr>
        <w:tc>
          <w:tcPr>
            <w:tcW w:w="6232" w:type="dxa"/>
            <w:hideMark/>
          </w:tcPr>
          <w:p w14:paraId="7124664E" w14:textId="77777777" w:rsidR="00C1691E" w:rsidRPr="000F4CC1" w:rsidRDefault="00C1691E" w:rsidP="007E26B5">
            <w:pPr>
              <w:rPr>
                <w:rFonts w:cstheme="minorHAnsi"/>
                <w:sz w:val="20"/>
                <w:szCs w:val="18"/>
                <w:lang w:val="en-US" w:eastAsia="pl-PL"/>
              </w:rPr>
            </w:pPr>
            <w:proofErr w:type="spellStart"/>
            <w:r w:rsidRPr="000F4CC1">
              <w:rPr>
                <w:rFonts w:cstheme="minorHAnsi"/>
                <w:sz w:val="20"/>
                <w:szCs w:val="18"/>
                <w:lang w:val="en-US" w:eastAsia="pl-PL"/>
              </w:rPr>
              <w:t>choroby</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układu</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pokarmowego</w:t>
            </w:r>
            <w:proofErr w:type="spellEnd"/>
          </w:p>
        </w:tc>
        <w:tc>
          <w:tcPr>
            <w:tcW w:w="1440" w:type="dxa"/>
            <w:hideMark/>
          </w:tcPr>
          <w:p w14:paraId="1C75A870"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146 332</w:t>
            </w:r>
          </w:p>
        </w:tc>
        <w:tc>
          <w:tcPr>
            <w:tcW w:w="1280" w:type="dxa"/>
            <w:hideMark/>
          </w:tcPr>
          <w:p w14:paraId="68CB8BF4"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2,7%</w:t>
            </w:r>
          </w:p>
        </w:tc>
      </w:tr>
      <w:tr w:rsidR="00C1691E" w:rsidRPr="00BF6615" w14:paraId="3EEB5628" w14:textId="77777777">
        <w:trPr>
          <w:cnfStyle w:val="000000100000" w:firstRow="0" w:lastRow="0" w:firstColumn="0" w:lastColumn="0" w:oddVBand="0" w:evenVBand="0" w:oddHBand="1" w:evenHBand="0" w:firstRowFirstColumn="0" w:firstRowLastColumn="0" w:lastRowFirstColumn="0" w:lastRowLastColumn="0"/>
          <w:trHeight w:val="310"/>
        </w:trPr>
        <w:tc>
          <w:tcPr>
            <w:tcW w:w="6232" w:type="dxa"/>
            <w:hideMark/>
          </w:tcPr>
          <w:p w14:paraId="1823587B" w14:textId="77777777" w:rsidR="00C1691E" w:rsidRPr="000F4CC1" w:rsidRDefault="00C1691E" w:rsidP="007E26B5">
            <w:pPr>
              <w:rPr>
                <w:rFonts w:cstheme="minorHAnsi"/>
                <w:sz w:val="20"/>
                <w:szCs w:val="18"/>
                <w:lang w:val="en-US" w:eastAsia="pl-PL"/>
              </w:rPr>
            </w:pPr>
            <w:proofErr w:type="spellStart"/>
            <w:r w:rsidRPr="000F4CC1">
              <w:rPr>
                <w:rFonts w:cstheme="minorHAnsi"/>
                <w:sz w:val="20"/>
                <w:szCs w:val="18"/>
                <w:lang w:val="en-US" w:eastAsia="pl-PL"/>
              </w:rPr>
              <w:t>choroby</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układu</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moczowo-płciowego</w:t>
            </w:r>
            <w:proofErr w:type="spellEnd"/>
          </w:p>
        </w:tc>
        <w:tc>
          <w:tcPr>
            <w:tcW w:w="1440" w:type="dxa"/>
            <w:hideMark/>
          </w:tcPr>
          <w:p w14:paraId="1F063583"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219 325</w:t>
            </w:r>
          </w:p>
        </w:tc>
        <w:tc>
          <w:tcPr>
            <w:tcW w:w="1280" w:type="dxa"/>
            <w:hideMark/>
          </w:tcPr>
          <w:p w14:paraId="4C3F995D"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4,0%</w:t>
            </w:r>
          </w:p>
        </w:tc>
      </w:tr>
      <w:tr w:rsidR="00C1691E" w:rsidRPr="00BF6615" w14:paraId="688FDEA0" w14:textId="77777777">
        <w:trPr>
          <w:cnfStyle w:val="000000010000" w:firstRow="0" w:lastRow="0" w:firstColumn="0" w:lastColumn="0" w:oddVBand="0" w:evenVBand="0" w:oddHBand="0" w:evenHBand="1" w:firstRowFirstColumn="0" w:firstRowLastColumn="0" w:lastRowFirstColumn="0" w:lastRowLastColumn="0"/>
          <w:trHeight w:val="310"/>
        </w:trPr>
        <w:tc>
          <w:tcPr>
            <w:tcW w:w="6232" w:type="dxa"/>
            <w:hideMark/>
          </w:tcPr>
          <w:p w14:paraId="65552069" w14:textId="77777777" w:rsidR="00C1691E" w:rsidRPr="000F4CC1" w:rsidRDefault="00C1691E" w:rsidP="007E26B5">
            <w:pPr>
              <w:rPr>
                <w:rFonts w:cstheme="minorHAnsi"/>
                <w:sz w:val="20"/>
                <w:szCs w:val="18"/>
                <w:lang w:val="en-US" w:eastAsia="pl-PL"/>
              </w:rPr>
            </w:pPr>
            <w:proofErr w:type="spellStart"/>
            <w:r w:rsidRPr="000F4CC1">
              <w:rPr>
                <w:rFonts w:cstheme="minorHAnsi"/>
                <w:sz w:val="20"/>
                <w:szCs w:val="18"/>
                <w:lang w:val="en-US" w:eastAsia="pl-PL"/>
              </w:rPr>
              <w:t>choroby</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neurologiczne</w:t>
            </w:r>
            <w:proofErr w:type="spellEnd"/>
          </w:p>
        </w:tc>
        <w:tc>
          <w:tcPr>
            <w:tcW w:w="1440" w:type="dxa"/>
            <w:hideMark/>
          </w:tcPr>
          <w:p w14:paraId="0DC93ADB"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808 420</w:t>
            </w:r>
          </w:p>
        </w:tc>
        <w:tc>
          <w:tcPr>
            <w:tcW w:w="1280" w:type="dxa"/>
            <w:hideMark/>
          </w:tcPr>
          <w:p w14:paraId="7BE3ADCF"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14,8%</w:t>
            </w:r>
          </w:p>
        </w:tc>
      </w:tr>
      <w:tr w:rsidR="00C1691E" w:rsidRPr="00BF6615" w14:paraId="2325380B" w14:textId="77777777">
        <w:trPr>
          <w:cnfStyle w:val="000000100000" w:firstRow="0" w:lastRow="0" w:firstColumn="0" w:lastColumn="0" w:oddVBand="0" w:evenVBand="0" w:oddHBand="1" w:evenHBand="0" w:firstRowFirstColumn="0" w:firstRowLastColumn="0" w:lastRowFirstColumn="0" w:lastRowLastColumn="0"/>
          <w:trHeight w:val="310"/>
        </w:trPr>
        <w:tc>
          <w:tcPr>
            <w:tcW w:w="6232" w:type="dxa"/>
            <w:hideMark/>
          </w:tcPr>
          <w:p w14:paraId="725C86D9" w14:textId="77777777" w:rsidR="00C1691E" w:rsidRPr="000F4CC1" w:rsidRDefault="00C1691E" w:rsidP="007E26B5">
            <w:pPr>
              <w:rPr>
                <w:rFonts w:cstheme="minorHAnsi"/>
                <w:sz w:val="20"/>
                <w:szCs w:val="18"/>
                <w:lang w:val="en-US" w:eastAsia="pl-PL"/>
              </w:rPr>
            </w:pPr>
            <w:proofErr w:type="spellStart"/>
            <w:r w:rsidRPr="000F4CC1">
              <w:rPr>
                <w:rFonts w:cstheme="minorHAnsi"/>
                <w:sz w:val="20"/>
                <w:szCs w:val="18"/>
                <w:lang w:val="en-US" w:eastAsia="pl-PL"/>
              </w:rPr>
              <w:t>całościowe</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zaburzenia</w:t>
            </w:r>
            <w:proofErr w:type="spellEnd"/>
            <w:r w:rsidRPr="000F4CC1">
              <w:rPr>
                <w:rFonts w:cstheme="minorHAnsi"/>
                <w:sz w:val="20"/>
                <w:szCs w:val="18"/>
                <w:lang w:val="en-US" w:eastAsia="pl-PL"/>
              </w:rPr>
              <w:t xml:space="preserve"> </w:t>
            </w:r>
            <w:proofErr w:type="spellStart"/>
            <w:r w:rsidRPr="000F4CC1">
              <w:rPr>
                <w:rFonts w:cstheme="minorHAnsi"/>
                <w:sz w:val="20"/>
                <w:szCs w:val="18"/>
                <w:lang w:val="en-US" w:eastAsia="pl-PL"/>
              </w:rPr>
              <w:t>rozwojowe</w:t>
            </w:r>
            <w:proofErr w:type="spellEnd"/>
          </w:p>
        </w:tc>
        <w:tc>
          <w:tcPr>
            <w:tcW w:w="1440" w:type="dxa"/>
            <w:hideMark/>
          </w:tcPr>
          <w:p w14:paraId="62AE3428"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28 887</w:t>
            </w:r>
          </w:p>
        </w:tc>
        <w:tc>
          <w:tcPr>
            <w:tcW w:w="1280" w:type="dxa"/>
            <w:hideMark/>
          </w:tcPr>
          <w:p w14:paraId="5013D027"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0,5%</w:t>
            </w:r>
          </w:p>
        </w:tc>
      </w:tr>
      <w:tr w:rsidR="00C1691E" w:rsidRPr="00BF6615" w14:paraId="4EFE1C54" w14:textId="77777777">
        <w:trPr>
          <w:cnfStyle w:val="000000010000" w:firstRow="0" w:lastRow="0" w:firstColumn="0" w:lastColumn="0" w:oddVBand="0" w:evenVBand="0" w:oddHBand="0" w:evenHBand="1" w:firstRowFirstColumn="0" w:firstRowLastColumn="0" w:lastRowFirstColumn="0" w:lastRowLastColumn="0"/>
          <w:trHeight w:val="310"/>
        </w:trPr>
        <w:tc>
          <w:tcPr>
            <w:tcW w:w="6232" w:type="dxa"/>
            <w:hideMark/>
          </w:tcPr>
          <w:p w14:paraId="65E3C999" w14:textId="77777777" w:rsidR="00C1691E" w:rsidRPr="000F4CC1" w:rsidRDefault="00C1691E" w:rsidP="007E26B5">
            <w:pPr>
              <w:rPr>
                <w:rFonts w:cstheme="minorHAnsi"/>
                <w:sz w:val="20"/>
                <w:szCs w:val="18"/>
                <w:lang w:val="en-US" w:eastAsia="pl-PL"/>
              </w:rPr>
            </w:pPr>
            <w:r w:rsidRPr="000F4CC1">
              <w:rPr>
                <w:rFonts w:cstheme="minorHAnsi"/>
                <w:sz w:val="20"/>
                <w:szCs w:val="18"/>
                <w:lang w:val="en-US" w:eastAsia="pl-PL"/>
              </w:rPr>
              <w:t>Inne</w:t>
            </w:r>
          </w:p>
        </w:tc>
        <w:tc>
          <w:tcPr>
            <w:tcW w:w="1440" w:type="dxa"/>
            <w:hideMark/>
          </w:tcPr>
          <w:p w14:paraId="6EB9D6FC"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424 238</w:t>
            </w:r>
          </w:p>
        </w:tc>
        <w:tc>
          <w:tcPr>
            <w:tcW w:w="1280" w:type="dxa"/>
            <w:hideMark/>
          </w:tcPr>
          <w:p w14:paraId="6A796AAB" w14:textId="77777777" w:rsidR="00C1691E" w:rsidRPr="000F4CC1" w:rsidRDefault="00C1691E" w:rsidP="00B52369">
            <w:pPr>
              <w:jc w:val="right"/>
              <w:rPr>
                <w:rFonts w:cstheme="minorHAnsi"/>
                <w:sz w:val="20"/>
                <w:szCs w:val="18"/>
                <w:lang w:val="en-US" w:eastAsia="pl-PL"/>
              </w:rPr>
            </w:pPr>
            <w:r w:rsidRPr="000F4CC1">
              <w:rPr>
                <w:rFonts w:cstheme="minorHAnsi"/>
                <w:sz w:val="20"/>
                <w:szCs w:val="18"/>
                <w:lang w:val="en-US" w:eastAsia="pl-PL"/>
              </w:rPr>
              <w:t>7,8%</w:t>
            </w:r>
          </w:p>
        </w:tc>
      </w:tr>
      <w:tr w:rsidR="00C1691E" w:rsidRPr="00BF6615" w14:paraId="073A6BF2" w14:textId="77777777">
        <w:trPr>
          <w:cnfStyle w:val="010000000000" w:firstRow="0" w:lastRow="1" w:firstColumn="0" w:lastColumn="0" w:oddVBand="0" w:evenVBand="0" w:oddHBand="0" w:evenHBand="0" w:firstRowFirstColumn="0" w:firstRowLastColumn="0" w:lastRowFirstColumn="0" w:lastRowLastColumn="0"/>
          <w:trHeight w:val="290"/>
        </w:trPr>
        <w:tc>
          <w:tcPr>
            <w:tcW w:w="6232" w:type="dxa"/>
            <w:noWrap/>
            <w:hideMark/>
          </w:tcPr>
          <w:p w14:paraId="0591A62D" w14:textId="77777777" w:rsidR="00C1691E" w:rsidRPr="000F4CC1" w:rsidRDefault="00C1691E" w:rsidP="007E26B5">
            <w:pPr>
              <w:rPr>
                <w:rFonts w:cstheme="minorHAnsi"/>
                <w:b/>
                <w:bCs/>
                <w:color w:val="FFFFFF" w:themeColor="background1"/>
                <w:sz w:val="20"/>
                <w:szCs w:val="18"/>
                <w:lang w:val="en-US" w:eastAsia="pl-PL"/>
              </w:rPr>
            </w:pPr>
            <w:proofErr w:type="spellStart"/>
            <w:r w:rsidRPr="000F4CC1">
              <w:rPr>
                <w:rFonts w:cstheme="minorHAnsi"/>
                <w:b/>
                <w:bCs/>
                <w:color w:val="FFFFFF" w:themeColor="background1"/>
                <w:sz w:val="20"/>
                <w:szCs w:val="18"/>
                <w:lang w:val="en-US" w:eastAsia="pl-PL"/>
              </w:rPr>
              <w:t>Ogółem</w:t>
            </w:r>
            <w:proofErr w:type="spellEnd"/>
          </w:p>
        </w:tc>
        <w:tc>
          <w:tcPr>
            <w:tcW w:w="1440" w:type="dxa"/>
            <w:hideMark/>
          </w:tcPr>
          <w:p w14:paraId="3FA0AFCA" w14:textId="0952CA54" w:rsidR="00C1691E" w:rsidRPr="000F4CC1" w:rsidRDefault="00C1691E" w:rsidP="00B52369">
            <w:pPr>
              <w:jc w:val="right"/>
              <w:rPr>
                <w:rFonts w:cstheme="minorHAnsi"/>
                <w:b/>
                <w:bCs/>
                <w:color w:val="FFFFFF" w:themeColor="background1"/>
                <w:sz w:val="20"/>
                <w:szCs w:val="18"/>
                <w:lang w:val="en-US" w:eastAsia="pl-PL"/>
              </w:rPr>
            </w:pPr>
            <w:r w:rsidRPr="000F4CC1">
              <w:rPr>
                <w:rFonts w:cstheme="minorHAnsi"/>
                <w:b/>
                <w:bCs/>
                <w:color w:val="FFFFFF" w:themeColor="background1"/>
                <w:sz w:val="20"/>
                <w:szCs w:val="18"/>
                <w:lang w:val="en-US" w:eastAsia="pl-PL"/>
              </w:rPr>
              <w:t>5 461</w:t>
            </w:r>
            <w:r w:rsidR="003703D2">
              <w:rPr>
                <w:rFonts w:cstheme="minorHAnsi"/>
                <w:b/>
                <w:bCs/>
                <w:color w:val="FFFFFF" w:themeColor="background1"/>
                <w:sz w:val="20"/>
                <w:szCs w:val="18"/>
                <w:lang w:val="en-US" w:eastAsia="pl-PL"/>
              </w:rPr>
              <w:t> </w:t>
            </w:r>
            <w:r w:rsidRPr="000F4CC1">
              <w:rPr>
                <w:rFonts w:cstheme="minorHAnsi"/>
                <w:b/>
                <w:bCs/>
                <w:color w:val="FFFFFF" w:themeColor="background1"/>
                <w:sz w:val="20"/>
                <w:szCs w:val="18"/>
                <w:lang w:val="en-US" w:eastAsia="pl-PL"/>
              </w:rPr>
              <w:t>956</w:t>
            </w:r>
          </w:p>
        </w:tc>
        <w:tc>
          <w:tcPr>
            <w:tcW w:w="1280" w:type="dxa"/>
            <w:noWrap/>
            <w:hideMark/>
          </w:tcPr>
          <w:p w14:paraId="1284AF01" w14:textId="77777777" w:rsidR="00C1691E" w:rsidRPr="000F4CC1" w:rsidRDefault="00C1691E" w:rsidP="00B52369">
            <w:pPr>
              <w:jc w:val="right"/>
              <w:rPr>
                <w:rFonts w:cstheme="minorHAnsi"/>
                <w:b/>
                <w:bCs/>
                <w:color w:val="FFFFFF" w:themeColor="background1"/>
                <w:sz w:val="20"/>
                <w:szCs w:val="18"/>
                <w:lang w:val="en-US" w:eastAsia="pl-PL"/>
              </w:rPr>
            </w:pPr>
            <w:r w:rsidRPr="000F4CC1">
              <w:rPr>
                <w:rFonts w:cstheme="minorHAnsi"/>
                <w:b/>
                <w:bCs/>
                <w:color w:val="FFFFFF" w:themeColor="background1"/>
                <w:sz w:val="20"/>
                <w:szCs w:val="18"/>
                <w:lang w:val="en-US" w:eastAsia="pl-PL"/>
              </w:rPr>
              <w:t>100,0%</w:t>
            </w:r>
          </w:p>
        </w:tc>
      </w:tr>
    </w:tbl>
    <w:p w14:paraId="674BC754" w14:textId="77777777" w:rsidR="00C1691E" w:rsidRPr="00BF6615" w:rsidRDefault="00C1691E" w:rsidP="007E26B5">
      <w:pPr>
        <w:rPr>
          <w:rFonts w:cstheme="minorHAnsi"/>
        </w:rPr>
      </w:pPr>
      <w:r w:rsidRPr="00BF6615">
        <w:rPr>
          <w:rFonts w:cstheme="minorHAnsi"/>
        </w:rPr>
        <w:t xml:space="preserve">Źródło: opracowanie własne na podst. Danych </w:t>
      </w:r>
      <w:proofErr w:type="spellStart"/>
      <w:r w:rsidRPr="00BF6615">
        <w:rPr>
          <w:rFonts w:cstheme="minorHAnsi"/>
        </w:rPr>
        <w:t>EKSMOoN</w:t>
      </w:r>
      <w:proofErr w:type="spellEnd"/>
      <w:r w:rsidRPr="00BF6615">
        <w:rPr>
          <w:rFonts w:cstheme="minorHAnsi"/>
        </w:rPr>
        <w:t>.</w:t>
      </w:r>
    </w:p>
    <w:p w14:paraId="612AC5FE" w14:textId="77777777" w:rsidR="00C1691E" w:rsidRPr="00BF6615" w:rsidRDefault="00C1691E" w:rsidP="007E26B5">
      <w:pPr>
        <w:rPr>
          <w:rFonts w:cstheme="minorHAnsi"/>
        </w:rPr>
      </w:pPr>
      <w:r w:rsidRPr="00BF6615">
        <w:rPr>
          <w:rFonts w:cstheme="minorHAnsi"/>
        </w:rPr>
        <w:t>Jeżeli chodzi o osoby starsze (w wieku 60 lat i więcej) w 2022 GUS oszacował ich liczbę na 9,8 mln, tj. stanowiły one prawie 26% populacji Polski</w:t>
      </w:r>
      <w:r w:rsidRPr="00BF6615">
        <w:rPr>
          <w:rStyle w:val="Odwoanieprzypisudolnego"/>
          <w:rFonts w:cstheme="minorHAnsi"/>
        </w:rPr>
        <w:footnoteReference w:id="13"/>
      </w:r>
      <w:r w:rsidRPr="00BF6615">
        <w:rPr>
          <w:rFonts w:cstheme="minorHAnsi"/>
        </w:rPr>
        <w:t>.</w:t>
      </w:r>
    </w:p>
    <w:p w14:paraId="40FA915E" w14:textId="41B1444F" w:rsidR="00C1691E" w:rsidRPr="00BF6615" w:rsidRDefault="00C1691E" w:rsidP="007E26B5">
      <w:pPr>
        <w:rPr>
          <w:rFonts w:cstheme="minorHAnsi"/>
        </w:rPr>
      </w:pPr>
      <w:r w:rsidRPr="00BF6615">
        <w:rPr>
          <w:rFonts w:cstheme="minorHAnsi"/>
        </w:rPr>
        <w:t xml:space="preserve">Przytoczone tu liczby i statystyki pokazują, iż osoby o specyficznych potrzebach, tj. osoby z niepełnosprawnościami i starsze </w:t>
      </w:r>
      <w:r w:rsidRPr="00BF6615">
        <w:t>stanowią istotną grupę populacji Polski i są ważnymi odbiorcami treści internetowych.</w:t>
      </w:r>
      <w:r w:rsidRPr="00BF6615">
        <w:rPr>
          <w:rFonts w:cstheme="minorHAnsi"/>
        </w:rPr>
        <w:t xml:space="preserve"> Powyższa grupa powinna mieć zapewnioną możliwość swobodnego korzystania z informacji i usług publicznych, które powinny być dostępne dla każdego obywatela.</w:t>
      </w:r>
    </w:p>
    <w:p w14:paraId="67A792CC" w14:textId="77777777" w:rsidR="00C1691E" w:rsidRPr="00BF6615" w:rsidRDefault="00C1691E" w:rsidP="007E26B5">
      <w:pPr>
        <w:rPr>
          <w:rFonts w:cstheme="minorHAnsi"/>
        </w:rPr>
      </w:pPr>
      <w:r w:rsidRPr="00BF6615">
        <w:rPr>
          <w:rFonts w:cstheme="minorHAnsi"/>
        </w:rPr>
        <w:t xml:space="preserve">Warto także wskazać na istotną rolę wykluczenia cyfrowego w procesie korzystania z zasobów stron i aplikacji podmiotów publicznych. Wykluczenie cyfrowe we współczesnym świecie stanowi nową formę alienacji społecznej. Badania prowadzone na przestrzeni lat pokazują, że narażone są na nie osoby niepełnosprawne, starsze oraz ubogie, z czego obecnie najczęściej dotyka ono ludzi starszych, nieco rzadziej niepełnosprawnych, a najrzadziej ubogich. W związku z tym, że technologie cyfrowe „zadomowiły się” już na dobre w domach, urzędach i instytucjach, to korzystanie z nich staje się coraz bardziej </w:t>
      </w:r>
      <w:r w:rsidRPr="00BF6615">
        <w:rPr>
          <w:rFonts w:cstheme="minorHAnsi"/>
        </w:rPr>
        <w:lastRenderedPageBreak/>
        <w:t>naturalne także przez te trzy grupy społeczne. Sprawia to, że częściej korzystają z Internetu, potrafią obsługiwać komputer, czy posiadają telefon komórkowy z dostępem do sieci</w:t>
      </w:r>
      <w:r w:rsidRPr="00BF6615">
        <w:rPr>
          <w:rStyle w:val="Odwoanieprzypisudolnego"/>
          <w:rFonts w:cstheme="minorHAnsi"/>
        </w:rPr>
        <w:footnoteReference w:id="14"/>
      </w:r>
      <w:r w:rsidRPr="00BF6615">
        <w:rPr>
          <w:rFonts w:cstheme="minorHAnsi"/>
        </w:rPr>
        <w:t xml:space="preserve">. </w:t>
      </w:r>
    </w:p>
    <w:p w14:paraId="22B7792C" w14:textId="77777777" w:rsidR="00C1691E" w:rsidRPr="00BF6615" w:rsidRDefault="00C1691E" w:rsidP="007E26B5">
      <w:pPr>
        <w:rPr>
          <w:rFonts w:cstheme="minorHAnsi"/>
        </w:rPr>
      </w:pPr>
      <w:r w:rsidRPr="00BF6615">
        <w:rPr>
          <w:rFonts w:cstheme="minorHAnsi"/>
        </w:rPr>
        <w:t>Jak istotny jest ciągły rozwój kompetencji cyfrowych, aby osoby z grupy osób ze szczególnymi potrzebami mogły korzystać z Internetu, stron publicznych i realizować swoje prawa i obowiązki obywatelskie pokazują wyniki badań, szczególnie szczegółowe badanie GUS prowadzone corocznie w tym zakresie</w:t>
      </w:r>
      <w:r w:rsidRPr="00BF6615">
        <w:rPr>
          <w:rStyle w:val="Odwoanieprzypisudolnego"/>
          <w:rFonts w:cstheme="minorHAnsi"/>
        </w:rPr>
        <w:footnoteReference w:id="15"/>
      </w:r>
      <w:r w:rsidRPr="00BF6615">
        <w:rPr>
          <w:rFonts w:cstheme="minorHAnsi"/>
        </w:rPr>
        <w:t>.</w:t>
      </w:r>
    </w:p>
    <w:p w14:paraId="07730259" w14:textId="21AED714" w:rsidR="00902731" w:rsidRPr="00BF6615" w:rsidRDefault="00902731" w:rsidP="007E26B5">
      <w:r w:rsidRPr="00BF6615">
        <w:t xml:space="preserve">Umiejętności cyfrowe Polaków są zróżnicowane w zależności od grup. Istotna część </w:t>
      </w:r>
      <w:r w:rsidR="00F047E5" w:rsidRPr="00BF6615">
        <w:t>w</w:t>
      </w:r>
      <w:r w:rsidR="00F047E5">
        <w:t> </w:t>
      </w:r>
      <w:r w:rsidRPr="00BF6615">
        <w:t xml:space="preserve">grupach osób starszych czy z niepełnosprawnościami stanowią osoby, które nigdy nie korzystały z Internetu (około 30% dla tych grup). Jednocześnie w grupie osób w wieku największej aktywności zawodowej udział takich osób to tylko 1,5%. Dane te przekładają się na kolejny wynik badania- ocenę tego, czy kompetencje cyfrowe badanych </w:t>
      </w:r>
      <w:r w:rsidR="00F047E5" w:rsidRPr="00BF6615">
        <w:t>są</w:t>
      </w:r>
      <w:r w:rsidR="00F047E5">
        <w:t> </w:t>
      </w:r>
      <w:r w:rsidRPr="00BF6615">
        <w:t>ponadprzeciętne</w:t>
      </w:r>
      <w:r w:rsidR="00F047E5">
        <w:t xml:space="preserve"> – </w:t>
      </w:r>
      <w:r w:rsidRPr="00BF6615">
        <w:t xml:space="preserve">w grupie wiekowej aktywnych zawodowo aż 85% tak ocenia </w:t>
      </w:r>
      <w:r w:rsidR="00F047E5" w:rsidRPr="00BF6615">
        <w:t>swoje</w:t>
      </w:r>
      <w:r w:rsidR="00F047E5">
        <w:t> </w:t>
      </w:r>
      <w:r w:rsidRPr="00BF6615">
        <w:t>umiejętności.</w:t>
      </w:r>
    </w:p>
    <w:p w14:paraId="122D9D52" w14:textId="11303935" w:rsidR="00902731" w:rsidRPr="00BF6615" w:rsidRDefault="00902731" w:rsidP="007E26B5">
      <w:pPr>
        <w:pStyle w:val="Legenda"/>
      </w:pPr>
      <w:bookmarkStart w:id="9" w:name="_Toc204179100"/>
      <w:r w:rsidRPr="00BF6615">
        <w:t xml:space="preserve">Tabela </w:t>
      </w:r>
      <w:r w:rsidRPr="00BF6615">
        <w:fldChar w:fldCharType="begin"/>
      </w:r>
      <w:r w:rsidRPr="00BF6615">
        <w:instrText xml:space="preserve"> SEQ Tabela \* ARABIC </w:instrText>
      </w:r>
      <w:r w:rsidRPr="00BF6615">
        <w:fldChar w:fldCharType="separate"/>
      </w:r>
      <w:r w:rsidR="00FD0843">
        <w:rPr>
          <w:noProof/>
        </w:rPr>
        <w:t>2</w:t>
      </w:r>
      <w:r w:rsidRPr="00BF6615">
        <w:fldChar w:fldCharType="end"/>
      </w:r>
      <w:r w:rsidR="00A21AC1">
        <w:t>.</w:t>
      </w:r>
      <w:r w:rsidRPr="00BF6615">
        <w:t xml:space="preserve"> Umiejętności cyfrowe (deklarowane przez badanych</w:t>
      </w:r>
      <w:r w:rsidR="00CF1334">
        <w:t xml:space="preserve"> w badaniu GUS</w:t>
      </w:r>
      <w:r w:rsidRPr="00BF6615">
        <w:t>)</w:t>
      </w:r>
      <w:r w:rsidR="00BF5F55">
        <w:rPr>
          <w:rStyle w:val="Odwoanieprzypisudolnego"/>
        </w:rPr>
        <w:footnoteReference w:id="16"/>
      </w:r>
      <w:bookmarkEnd w:id="9"/>
    </w:p>
    <w:tbl>
      <w:tblPr>
        <w:tblStyle w:val="PARP"/>
        <w:tblW w:w="9976" w:type="dxa"/>
        <w:tblInd w:w="-5" w:type="dxa"/>
        <w:tblLayout w:type="fixed"/>
        <w:tblLook w:val="04A0" w:firstRow="1" w:lastRow="0" w:firstColumn="1" w:lastColumn="0" w:noHBand="0" w:noVBand="1"/>
        <w:tblCaption w:val="Tabela 2 Umiejętności cyfrowe (deklarowane przez badanych)"/>
        <w:tblDescription w:val="Umiejętności cyfrowe (deklarowane przez badanych) w podziale na grupy wiekowe oraz osoby z niepełnosprawnościami"/>
      </w:tblPr>
      <w:tblGrid>
        <w:gridCol w:w="1904"/>
        <w:gridCol w:w="1432"/>
        <w:gridCol w:w="1433"/>
        <w:gridCol w:w="1432"/>
        <w:gridCol w:w="2307"/>
        <w:gridCol w:w="1468"/>
      </w:tblGrid>
      <w:tr w:rsidR="00902731" w:rsidRPr="000F4CC1" w14:paraId="1C7377BC" w14:textId="77777777">
        <w:trPr>
          <w:cnfStyle w:val="100000000000" w:firstRow="1" w:lastRow="0" w:firstColumn="0" w:lastColumn="0" w:oddVBand="0" w:evenVBand="0" w:oddHBand="0" w:evenHBand="0" w:firstRowFirstColumn="0" w:firstRowLastColumn="0" w:lastRowFirstColumn="0" w:lastRowLastColumn="0"/>
          <w:trHeight w:val="300"/>
        </w:trPr>
        <w:tc>
          <w:tcPr>
            <w:tcW w:w="1904" w:type="dxa"/>
          </w:tcPr>
          <w:p w14:paraId="7AF90F67" w14:textId="77777777" w:rsidR="00902731" w:rsidRPr="000F4CC1" w:rsidRDefault="00902731" w:rsidP="007E26B5">
            <w:pPr>
              <w:rPr>
                <w:sz w:val="20"/>
                <w:szCs w:val="20"/>
              </w:rPr>
            </w:pPr>
            <w:r w:rsidRPr="000F4CC1">
              <w:rPr>
                <w:rFonts w:eastAsia="Calibri" w:cs="Calibri"/>
                <w:sz w:val="20"/>
                <w:szCs w:val="20"/>
              </w:rPr>
              <w:t>Umiejętności</w:t>
            </w:r>
          </w:p>
        </w:tc>
        <w:tc>
          <w:tcPr>
            <w:tcW w:w="1432" w:type="dxa"/>
          </w:tcPr>
          <w:p w14:paraId="3FD0E099" w14:textId="77777777" w:rsidR="00902731" w:rsidRPr="000F4CC1" w:rsidRDefault="00902731" w:rsidP="007E26B5">
            <w:pPr>
              <w:rPr>
                <w:sz w:val="20"/>
                <w:szCs w:val="20"/>
              </w:rPr>
            </w:pPr>
            <w:r w:rsidRPr="000F4CC1">
              <w:rPr>
                <w:rFonts w:eastAsia="Calibri" w:cs="Calibri"/>
                <w:sz w:val="20"/>
                <w:szCs w:val="20"/>
              </w:rPr>
              <w:t>Ogół badanych (25,8 mln osób)</w:t>
            </w:r>
          </w:p>
        </w:tc>
        <w:tc>
          <w:tcPr>
            <w:tcW w:w="1433" w:type="dxa"/>
          </w:tcPr>
          <w:p w14:paraId="4B4522ED" w14:textId="729C2CEE" w:rsidR="00902731" w:rsidRPr="000F4CC1" w:rsidRDefault="00902731" w:rsidP="007E26B5">
            <w:pPr>
              <w:rPr>
                <w:sz w:val="20"/>
                <w:szCs w:val="20"/>
              </w:rPr>
            </w:pPr>
            <w:r w:rsidRPr="000F4CC1">
              <w:rPr>
                <w:rFonts w:eastAsia="Calibri" w:cs="Calibri"/>
                <w:sz w:val="20"/>
                <w:szCs w:val="20"/>
              </w:rPr>
              <w:t>Osoby w wieku 25-54 lata</w:t>
            </w:r>
          </w:p>
        </w:tc>
        <w:tc>
          <w:tcPr>
            <w:tcW w:w="1432" w:type="dxa"/>
          </w:tcPr>
          <w:p w14:paraId="3659B3AB" w14:textId="77777777" w:rsidR="00902731" w:rsidRPr="000F4CC1" w:rsidRDefault="00902731" w:rsidP="007E26B5">
            <w:pPr>
              <w:rPr>
                <w:sz w:val="20"/>
                <w:szCs w:val="20"/>
              </w:rPr>
            </w:pPr>
            <w:r w:rsidRPr="000F4CC1">
              <w:rPr>
                <w:rFonts w:eastAsia="Calibri" w:cs="Calibri"/>
                <w:sz w:val="20"/>
                <w:szCs w:val="20"/>
              </w:rPr>
              <w:t>Osoby starsze 65-74 lata</w:t>
            </w:r>
          </w:p>
        </w:tc>
        <w:tc>
          <w:tcPr>
            <w:tcW w:w="2307" w:type="dxa"/>
          </w:tcPr>
          <w:p w14:paraId="2A4E6B3C" w14:textId="6C74A5D6" w:rsidR="00902731" w:rsidRPr="000F4CC1" w:rsidRDefault="00902731" w:rsidP="007E26B5">
            <w:pPr>
              <w:rPr>
                <w:sz w:val="20"/>
                <w:szCs w:val="20"/>
              </w:rPr>
            </w:pPr>
            <w:r w:rsidRPr="000F4CC1">
              <w:rPr>
                <w:rFonts w:eastAsia="Calibri" w:cs="Calibri"/>
                <w:sz w:val="20"/>
                <w:szCs w:val="20"/>
              </w:rPr>
              <w:t>Osoby z niepełnosprawnościami</w:t>
            </w:r>
            <w:r w:rsidR="00AA7746">
              <w:rPr>
                <w:rStyle w:val="Odwoanieprzypisudolnego"/>
                <w:rFonts w:eastAsia="Calibri" w:cs="Calibri"/>
                <w:sz w:val="20"/>
                <w:szCs w:val="20"/>
              </w:rPr>
              <w:footnoteReference w:id="17"/>
            </w:r>
          </w:p>
        </w:tc>
        <w:tc>
          <w:tcPr>
            <w:tcW w:w="1468" w:type="dxa"/>
          </w:tcPr>
          <w:p w14:paraId="1D74948C" w14:textId="77777777" w:rsidR="00902731" w:rsidRPr="000F4CC1" w:rsidRDefault="00902731" w:rsidP="007E26B5">
            <w:pPr>
              <w:rPr>
                <w:sz w:val="20"/>
                <w:szCs w:val="20"/>
              </w:rPr>
            </w:pPr>
            <w:r w:rsidRPr="000F4CC1">
              <w:rPr>
                <w:rFonts w:eastAsia="Calibri" w:cs="Calibri"/>
                <w:sz w:val="20"/>
                <w:szCs w:val="20"/>
              </w:rPr>
              <w:t>Osoby z ograniczeniami wykonywania codziennych czynności z powodu problemów zdrowotnych</w:t>
            </w:r>
          </w:p>
        </w:tc>
      </w:tr>
      <w:tr w:rsidR="00902731" w:rsidRPr="000F4CC1" w14:paraId="5D19BAEC" w14:textId="77777777">
        <w:trPr>
          <w:cnfStyle w:val="000000100000" w:firstRow="0" w:lastRow="0" w:firstColumn="0" w:lastColumn="0" w:oddVBand="0" w:evenVBand="0" w:oddHBand="1" w:evenHBand="0" w:firstRowFirstColumn="0" w:firstRowLastColumn="0" w:lastRowFirstColumn="0" w:lastRowLastColumn="0"/>
          <w:trHeight w:val="300"/>
        </w:trPr>
        <w:tc>
          <w:tcPr>
            <w:tcW w:w="1904" w:type="dxa"/>
          </w:tcPr>
          <w:p w14:paraId="14C5159B" w14:textId="77777777" w:rsidR="00902731" w:rsidRPr="000F4CC1" w:rsidRDefault="00902731" w:rsidP="007E26B5">
            <w:pPr>
              <w:rPr>
                <w:sz w:val="20"/>
                <w:szCs w:val="20"/>
              </w:rPr>
            </w:pPr>
            <w:r w:rsidRPr="000F4CC1">
              <w:rPr>
                <w:rFonts w:ascii="Calibri" w:eastAsia="Calibri" w:hAnsi="Calibri" w:cs="Calibri"/>
                <w:sz w:val="20"/>
                <w:szCs w:val="20"/>
              </w:rPr>
              <w:t>osoby, które nigdy nie korzystały z Internetu</w:t>
            </w:r>
          </w:p>
        </w:tc>
        <w:tc>
          <w:tcPr>
            <w:tcW w:w="1432" w:type="dxa"/>
          </w:tcPr>
          <w:p w14:paraId="67DA9886" w14:textId="77777777" w:rsidR="00902731" w:rsidRPr="000F4CC1" w:rsidRDefault="00902731" w:rsidP="007E26B5">
            <w:pPr>
              <w:rPr>
                <w:sz w:val="20"/>
                <w:szCs w:val="20"/>
              </w:rPr>
            </w:pPr>
            <w:r w:rsidRPr="000F4CC1">
              <w:rPr>
                <w:rFonts w:ascii="Calibri" w:eastAsia="Calibri" w:hAnsi="Calibri" w:cs="Calibri"/>
                <w:sz w:val="20"/>
                <w:szCs w:val="20"/>
              </w:rPr>
              <w:t>8,5%</w:t>
            </w:r>
          </w:p>
        </w:tc>
        <w:tc>
          <w:tcPr>
            <w:tcW w:w="1433" w:type="dxa"/>
          </w:tcPr>
          <w:p w14:paraId="481A35E1" w14:textId="77777777" w:rsidR="00902731" w:rsidRPr="000F4CC1" w:rsidRDefault="00902731" w:rsidP="007E26B5">
            <w:pPr>
              <w:rPr>
                <w:sz w:val="20"/>
                <w:szCs w:val="20"/>
              </w:rPr>
            </w:pPr>
            <w:r w:rsidRPr="000F4CC1">
              <w:rPr>
                <w:rFonts w:ascii="Calibri" w:eastAsia="Calibri" w:hAnsi="Calibri" w:cs="Calibri"/>
                <w:sz w:val="20"/>
                <w:szCs w:val="20"/>
              </w:rPr>
              <w:t>1,5%</w:t>
            </w:r>
          </w:p>
        </w:tc>
        <w:tc>
          <w:tcPr>
            <w:tcW w:w="1432" w:type="dxa"/>
          </w:tcPr>
          <w:p w14:paraId="3091D37A" w14:textId="20B0A277" w:rsidR="00902731" w:rsidRPr="000F4CC1" w:rsidRDefault="00902731" w:rsidP="007E26B5">
            <w:pPr>
              <w:rPr>
                <w:sz w:val="20"/>
                <w:szCs w:val="20"/>
              </w:rPr>
            </w:pPr>
            <w:r w:rsidRPr="000F4CC1">
              <w:rPr>
                <w:rFonts w:ascii="Calibri" w:eastAsia="Calibri" w:hAnsi="Calibri" w:cs="Calibri"/>
                <w:sz w:val="20"/>
                <w:szCs w:val="20"/>
              </w:rPr>
              <w:t>32,4%</w:t>
            </w:r>
          </w:p>
        </w:tc>
        <w:tc>
          <w:tcPr>
            <w:tcW w:w="2307" w:type="dxa"/>
          </w:tcPr>
          <w:p w14:paraId="656AC7E2" w14:textId="449E544B" w:rsidR="00202A8F" w:rsidRPr="000F4CC1" w:rsidRDefault="00202A8F" w:rsidP="007E26B5">
            <w:pPr>
              <w:rPr>
                <w:sz w:val="20"/>
                <w:szCs w:val="20"/>
              </w:rPr>
            </w:pPr>
            <w:r>
              <w:rPr>
                <w:rFonts w:ascii="Calibri" w:eastAsia="Calibri" w:hAnsi="Calibri" w:cs="Calibri"/>
                <w:sz w:val="20"/>
                <w:szCs w:val="20"/>
              </w:rPr>
              <w:t>26,74%</w:t>
            </w:r>
          </w:p>
        </w:tc>
        <w:tc>
          <w:tcPr>
            <w:tcW w:w="1468" w:type="dxa"/>
          </w:tcPr>
          <w:p w14:paraId="4C831DC4" w14:textId="15A86B27" w:rsidR="00202A8F" w:rsidRPr="000F4CC1" w:rsidRDefault="00202A8F" w:rsidP="007E26B5">
            <w:pPr>
              <w:rPr>
                <w:sz w:val="20"/>
                <w:szCs w:val="20"/>
              </w:rPr>
            </w:pPr>
            <w:r>
              <w:rPr>
                <w:rFonts w:ascii="Calibri" w:eastAsia="Calibri" w:hAnsi="Calibri" w:cs="Calibri"/>
                <w:sz w:val="20"/>
                <w:szCs w:val="20"/>
              </w:rPr>
              <w:t>28,57%</w:t>
            </w:r>
          </w:p>
        </w:tc>
      </w:tr>
      <w:tr w:rsidR="00902731" w:rsidRPr="000F4CC1" w14:paraId="5F551DD3" w14:textId="77777777">
        <w:trPr>
          <w:cnfStyle w:val="000000010000" w:firstRow="0" w:lastRow="0" w:firstColumn="0" w:lastColumn="0" w:oddVBand="0" w:evenVBand="0" w:oddHBand="0" w:evenHBand="1" w:firstRowFirstColumn="0" w:firstRowLastColumn="0" w:lastRowFirstColumn="0" w:lastRowLastColumn="0"/>
          <w:trHeight w:val="300"/>
        </w:trPr>
        <w:tc>
          <w:tcPr>
            <w:tcW w:w="1904" w:type="dxa"/>
          </w:tcPr>
          <w:p w14:paraId="3F24DDF4" w14:textId="77777777" w:rsidR="00902731" w:rsidRPr="000F4CC1" w:rsidRDefault="00902731" w:rsidP="007E26B5">
            <w:pPr>
              <w:rPr>
                <w:sz w:val="20"/>
                <w:szCs w:val="20"/>
              </w:rPr>
            </w:pPr>
            <w:r w:rsidRPr="000F4CC1">
              <w:rPr>
                <w:rFonts w:ascii="Calibri" w:eastAsia="Calibri" w:hAnsi="Calibri" w:cs="Calibri"/>
                <w:sz w:val="20"/>
                <w:szCs w:val="20"/>
              </w:rPr>
              <w:t>osoby korzystające z Internetu w ciągu ostatnich 3 miesięcy</w:t>
            </w:r>
          </w:p>
        </w:tc>
        <w:tc>
          <w:tcPr>
            <w:tcW w:w="1432" w:type="dxa"/>
          </w:tcPr>
          <w:p w14:paraId="0463BAE7" w14:textId="77777777" w:rsidR="00902731" w:rsidRPr="000F4CC1" w:rsidRDefault="00902731" w:rsidP="007E26B5">
            <w:pPr>
              <w:rPr>
                <w:sz w:val="20"/>
                <w:szCs w:val="20"/>
              </w:rPr>
            </w:pPr>
            <w:r w:rsidRPr="000F4CC1">
              <w:rPr>
                <w:rFonts w:ascii="Calibri" w:eastAsia="Calibri" w:hAnsi="Calibri" w:cs="Calibri"/>
                <w:sz w:val="20"/>
                <w:szCs w:val="20"/>
              </w:rPr>
              <w:t>88,6%</w:t>
            </w:r>
          </w:p>
        </w:tc>
        <w:tc>
          <w:tcPr>
            <w:tcW w:w="1433" w:type="dxa"/>
          </w:tcPr>
          <w:p w14:paraId="0105DA8E" w14:textId="77777777" w:rsidR="00902731" w:rsidRPr="000F4CC1" w:rsidRDefault="00902731" w:rsidP="007E26B5">
            <w:pPr>
              <w:rPr>
                <w:sz w:val="20"/>
                <w:szCs w:val="20"/>
              </w:rPr>
            </w:pPr>
            <w:r w:rsidRPr="000F4CC1">
              <w:rPr>
                <w:rFonts w:ascii="Calibri" w:eastAsia="Calibri" w:hAnsi="Calibri" w:cs="Calibri"/>
                <w:sz w:val="20"/>
                <w:szCs w:val="20"/>
              </w:rPr>
              <w:t>97%</w:t>
            </w:r>
          </w:p>
        </w:tc>
        <w:tc>
          <w:tcPr>
            <w:tcW w:w="1432" w:type="dxa"/>
          </w:tcPr>
          <w:p w14:paraId="589E3A9F" w14:textId="77777777" w:rsidR="00902731" w:rsidRPr="000F4CC1" w:rsidRDefault="00902731" w:rsidP="007E26B5">
            <w:pPr>
              <w:rPr>
                <w:sz w:val="20"/>
                <w:szCs w:val="20"/>
              </w:rPr>
            </w:pPr>
            <w:r w:rsidRPr="000F4CC1">
              <w:rPr>
                <w:rFonts w:ascii="Calibri" w:eastAsia="Calibri" w:hAnsi="Calibri" w:cs="Calibri"/>
                <w:sz w:val="20"/>
                <w:szCs w:val="20"/>
              </w:rPr>
              <w:t>59,5%</w:t>
            </w:r>
          </w:p>
        </w:tc>
        <w:tc>
          <w:tcPr>
            <w:tcW w:w="2307" w:type="dxa"/>
          </w:tcPr>
          <w:p w14:paraId="493BD914" w14:textId="71381490" w:rsidR="009C767C" w:rsidRPr="000F4CC1" w:rsidRDefault="009C767C" w:rsidP="007E26B5">
            <w:pPr>
              <w:rPr>
                <w:sz w:val="20"/>
                <w:szCs w:val="20"/>
              </w:rPr>
            </w:pPr>
            <w:r>
              <w:rPr>
                <w:rFonts w:ascii="Calibri" w:eastAsia="Calibri" w:hAnsi="Calibri" w:cs="Calibri"/>
                <w:sz w:val="20"/>
                <w:szCs w:val="20"/>
              </w:rPr>
              <w:t>69,28%</w:t>
            </w:r>
          </w:p>
        </w:tc>
        <w:tc>
          <w:tcPr>
            <w:tcW w:w="1468" w:type="dxa"/>
          </w:tcPr>
          <w:p w14:paraId="1803A81D" w14:textId="5DB5C794" w:rsidR="009C767C" w:rsidRPr="000F4CC1" w:rsidRDefault="009C767C" w:rsidP="007E26B5">
            <w:pPr>
              <w:rPr>
                <w:sz w:val="20"/>
                <w:szCs w:val="20"/>
              </w:rPr>
            </w:pPr>
            <w:r>
              <w:rPr>
                <w:rFonts w:ascii="Calibri" w:eastAsia="Calibri" w:hAnsi="Calibri" w:cs="Calibri"/>
                <w:sz w:val="20"/>
                <w:szCs w:val="20"/>
              </w:rPr>
              <w:t>65,74%</w:t>
            </w:r>
          </w:p>
        </w:tc>
      </w:tr>
      <w:tr w:rsidR="00902731" w:rsidRPr="000F4CC1" w14:paraId="2F2A0F5D" w14:textId="77777777">
        <w:trPr>
          <w:cnfStyle w:val="000000100000" w:firstRow="0" w:lastRow="0" w:firstColumn="0" w:lastColumn="0" w:oddVBand="0" w:evenVBand="0" w:oddHBand="1" w:evenHBand="0" w:firstRowFirstColumn="0" w:firstRowLastColumn="0" w:lastRowFirstColumn="0" w:lastRowLastColumn="0"/>
          <w:trHeight w:val="300"/>
        </w:trPr>
        <w:tc>
          <w:tcPr>
            <w:tcW w:w="1904" w:type="dxa"/>
          </w:tcPr>
          <w:p w14:paraId="5F6617D2" w14:textId="77777777" w:rsidR="00902731" w:rsidRPr="000F4CC1" w:rsidRDefault="00902731" w:rsidP="007E26B5">
            <w:pPr>
              <w:rPr>
                <w:sz w:val="20"/>
                <w:szCs w:val="20"/>
              </w:rPr>
            </w:pPr>
            <w:r w:rsidRPr="000F4CC1">
              <w:rPr>
                <w:rFonts w:ascii="Calibri" w:eastAsia="Calibri" w:hAnsi="Calibri" w:cs="Calibri"/>
                <w:sz w:val="20"/>
                <w:szCs w:val="20"/>
              </w:rPr>
              <w:t>osoby posiadające podstawowe umiejętności korzystania z informacji i danych</w:t>
            </w:r>
          </w:p>
        </w:tc>
        <w:tc>
          <w:tcPr>
            <w:tcW w:w="1432" w:type="dxa"/>
          </w:tcPr>
          <w:p w14:paraId="6AACA9E7" w14:textId="77777777" w:rsidR="00902731" w:rsidRPr="000F4CC1" w:rsidRDefault="00902731" w:rsidP="007E26B5">
            <w:pPr>
              <w:rPr>
                <w:sz w:val="20"/>
                <w:szCs w:val="20"/>
              </w:rPr>
            </w:pPr>
            <w:r w:rsidRPr="000F4CC1">
              <w:rPr>
                <w:rFonts w:ascii="Calibri" w:eastAsia="Calibri" w:hAnsi="Calibri" w:cs="Calibri"/>
                <w:sz w:val="20"/>
                <w:szCs w:val="20"/>
              </w:rPr>
              <w:t>10%</w:t>
            </w:r>
          </w:p>
        </w:tc>
        <w:tc>
          <w:tcPr>
            <w:tcW w:w="1433" w:type="dxa"/>
          </w:tcPr>
          <w:p w14:paraId="7CFF0238" w14:textId="77777777" w:rsidR="00902731" w:rsidRPr="000F4CC1" w:rsidRDefault="00902731" w:rsidP="007E26B5">
            <w:pPr>
              <w:rPr>
                <w:sz w:val="20"/>
                <w:szCs w:val="20"/>
              </w:rPr>
            </w:pPr>
            <w:r w:rsidRPr="000F4CC1">
              <w:rPr>
                <w:rFonts w:ascii="Calibri" w:eastAsia="Calibri" w:hAnsi="Calibri" w:cs="Calibri"/>
                <w:sz w:val="20"/>
                <w:szCs w:val="20"/>
              </w:rPr>
              <w:t>8,2%</w:t>
            </w:r>
          </w:p>
        </w:tc>
        <w:tc>
          <w:tcPr>
            <w:tcW w:w="1432" w:type="dxa"/>
          </w:tcPr>
          <w:p w14:paraId="5E050F7C" w14:textId="77777777" w:rsidR="00902731" w:rsidRPr="000F4CC1" w:rsidRDefault="00902731" w:rsidP="007E26B5">
            <w:pPr>
              <w:rPr>
                <w:sz w:val="20"/>
                <w:szCs w:val="20"/>
              </w:rPr>
            </w:pPr>
            <w:r w:rsidRPr="000F4CC1">
              <w:rPr>
                <w:rFonts w:ascii="Calibri" w:eastAsia="Calibri" w:hAnsi="Calibri" w:cs="Calibri"/>
                <w:sz w:val="20"/>
                <w:szCs w:val="20"/>
              </w:rPr>
              <w:t>9,7%</w:t>
            </w:r>
          </w:p>
        </w:tc>
        <w:tc>
          <w:tcPr>
            <w:tcW w:w="2307" w:type="dxa"/>
          </w:tcPr>
          <w:p w14:paraId="032FECAE" w14:textId="26E8AA97" w:rsidR="009C767C" w:rsidRPr="000F4CC1" w:rsidRDefault="009C767C" w:rsidP="007E26B5">
            <w:pPr>
              <w:rPr>
                <w:sz w:val="20"/>
                <w:szCs w:val="20"/>
              </w:rPr>
            </w:pPr>
            <w:r>
              <w:rPr>
                <w:rFonts w:ascii="Calibri" w:eastAsia="Calibri" w:hAnsi="Calibri" w:cs="Calibri"/>
                <w:sz w:val="20"/>
                <w:szCs w:val="20"/>
              </w:rPr>
              <w:t>9,87%</w:t>
            </w:r>
          </w:p>
        </w:tc>
        <w:tc>
          <w:tcPr>
            <w:tcW w:w="1468" w:type="dxa"/>
          </w:tcPr>
          <w:p w14:paraId="60978083" w14:textId="04B289EA" w:rsidR="009C767C" w:rsidRPr="000F4CC1" w:rsidRDefault="009C767C" w:rsidP="007E26B5">
            <w:pPr>
              <w:rPr>
                <w:sz w:val="20"/>
                <w:szCs w:val="20"/>
              </w:rPr>
            </w:pPr>
            <w:r>
              <w:rPr>
                <w:rFonts w:ascii="Calibri" w:eastAsia="Calibri" w:hAnsi="Calibri" w:cs="Calibri"/>
                <w:sz w:val="20"/>
                <w:szCs w:val="20"/>
              </w:rPr>
              <w:t>10%</w:t>
            </w:r>
          </w:p>
        </w:tc>
      </w:tr>
      <w:tr w:rsidR="00902731" w:rsidRPr="000F4CC1" w14:paraId="27668B22" w14:textId="77777777">
        <w:trPr>
          <w:cnfStyle w:val="000000010000" w:firstRow="0" w:lastRow="0" w:firstColumn="0" w:lastColumn="0" w:oddVBand="0" w:evenVBand="0" w:oddHBand="0" w:evenHBand="1" w:firstRowFirstColumn="0" w:firstRowLastColumn="0" w:lastRowFirstColumn="0" w:lastRowLastColumn="0"/>
          <w:trHeight w:val="300"/>
        </w:trPr>
        <w:tc>
          <w:tcPr>
            <w:tcW w:w="1904" w:type="dxa"/>
          </w:tcPr>
          <w:p w14:paraId="7B9C313B" w14:textId="77777777" w:rsidR="00902731" w:rsidRPr="000F4CC1" w:rsidRDefault="00902731" w:rsidP="007E26B5">
            <w:pPr>
              <w:rPr>
                <w:sz w:val="20"/>
                <w:szCs w:val="20"/>
              </w:rPr>
            </w:pPr>
            <w:r w:rsidRPr="000F4CC1">
              <w:rPr>
                <w:rFonts w:ascii="Calibri" w:eastAsia="Calibri" w:hAnsi="Calibri" w:cs="Calibri"/>
                <w:sz w:val="20"/>
                <w:szCs w:val="20"/>
              </w:rPr>
              <w:lastRenderedPageBreak/>
              <w:t>osoby posiadające ponadpodstawowe umiejętności korzystania z informacji i danych</w:t>
            </w:r>
          </w:p>
        </w:tc>
        <w:tc>
          <w:tcPr>
            <w:tcW w:w="1432" w:type="dxa"/>
          </w:tcPr>
          <w:p w14:paraId="3219AB75" w14:textId="77777777" w:rsidR="00902731" w:rsidRPr="000F4CC1" w:rsidRDefault="00902731" w:rsidP="007E26B5">
            <w:pPr>
              <w:rPr>
                <w:sz w:val="20"/>
                <w:szCs w:val="20"/>
              </w:rPr>
            </w:pPr>
            <w:r w:rsidRPr="000F4CC1">
              <w:rPr>
                <w:rFonts w:ascii="Calibri" w:eastAsia="Calibri" w:hAnsi="Calibri" w:cs="Calibri"/>
                <w:sz w:val="20"/>
                <w:szCs w:val="20"/>
              </w:rPr>
              <w:t>74,5%</w:t>
            </w:r>
          </w:p>
        </w:tc>
        <w:tc>
          <w:tcPr>
            <w:tcW w:w="1433" w:type="dxa"/>
          </w:tcPr>
          <w:p w14:paraId="1DD36745" w14:textId="77777777" w:rsidR="00902731" w:rsidRPr="000F4CC1" w:rsidRDefault="00902731" w:rsidP="007E26B5">
            <w:pPr>
              <w:rPr>
                <w:sz w:val="20"/>
                <w:szCs w:val="20"/>
              </w:rPr>
            </w:pPr>
            <w:r w:rsidRPr="000F4CC1">
              <w:rPr>
                <w:rFonts w:ascii="Calibri" w:eastAsia="Calibri" w:hAnsi="Calibri" w:cs="Calibri"/>
                <w:sz w:val="20"/>
                <w:szCs w:val="20"/>
              </w:rPr>
              <w:t>85,5%</w:t>
            </w:r>
          </w:p>
        </w:tc>
        <w:tc>
          <w:tcPr>
            <w:tcW w:w="1432" w:type="dxa"/>
          </w:tcPr>
          <w:p w14:paraId="522D8BA5" w14:textId="77777777" w:rsidR="00902731" w:rsidRPr="000F4CC1" w:rsidRDefault="00902731" w:rsidP="007E26B5">
            <w:pPr>
              <w:rPr>
                <w:sz w:val="20"/>
                <w:szCs w:val="20"/>
              </w:rPr>
            </w:pPr>
            <w:r w:rsidRPr="000F4CC1">
              <w:rPr>
                <w:rFonts w:ascii="Calibri" w:eastAsia="Calibri" w:hAnsi="Calibri" w:cs="Calibri"/>
                <w:sz w:val="20"/>
                <w:szCs w:val="20"/>
              </w:rPr>
              <w:t>45,3%</w:t>
            </w:r>
          </w:p>
        </w:tc>
        <w:tc>
          <w:tcPr>
            <w:tcW w:w="2307" w:type="dxa"/>
          </w:tcPr>
          <w:p w14:paraId="38532105" w14:textId="04F3D624" w:rsidR="009C767C" w:rsidRPr="000F4CC1" w:rsidRDefault="009C767C" w:rsidP="007E26B5">
            <w:pPr>
              <w:rPr>
                <w:sz w:val="20"/>
                <w:szCs w:val="20"/>
              </w:rPr>
            </w:pPr>
            <w:r>
              <w:rPr>
                <w:rFonts w:ascii="Calibri" w:eastAsia="Calibri" w:hAnsi="Calibri" w:cs="Calibri"/>
                <w:sz w:val="20"/>
                <w:szCs w:val="20"/>
              </w:rPr>
              <w:t>53,38%</w:t>
            </w:r>
          </w:p>
        </w:tc>
        <w:tc>
          <w:tcPr>
            <w:tcW w:w="1468" w:type="dxa"/>
          </w:tcPr>
          <w:p w14:paraId="68267BC1" w14:textId="72D64610" w:rsidR="009C767C" w:rsidRPr="000F4CC1" w:rsidRDefault="009C767C" w:rsidP="007E26B5">
            <w:pPr>
              <w:rPr>
                <w:sz w:val="20"/>
                <w:szCs w:val="20"/>
              </w:rPr>
            </w:pPr>
            <w:r>
              <w:rPr>
                <w:rFonts w:ascii="Calibri" w:eastAsia="Calibri" w:hAnsi="Calibri" w:cs="Calibri"/>
                <w:sz w:val="20"/>
                <w:szCs w:val="20"/>
              </w:rPr>
              <w:t>48,93%</w:t>
            </w:r>
          </w:p>
        </w:tc>
      </w:tr>
      <w:tr w:rsidR="00902731" w:rsidRPr="000F4CC1" w14:paraId="0B8F02AA" w14:textId="77777777">
        <w:trPr>
          <w:cnfStyle w:val="000000100000" w:firstRow="0" w:lastRow="0" w:firstColumn="0" w:lastColumn="0" w:oddVBand="0" w:evenVBand="0" w:oddHBand="1" w:evenHBand="0" w:firstRowFirstColumn="0" w:firstRowLastColumn="0" w:lastRowFirstColumn="0" w:lastRowLastColumn="0"/>
          <w:trHeight w:val="300"/>
        </w:trPr>
        <w:tc>
          <w:tcPr>
            <w:tcW w:w="1904" w:type="dxa"/>
          </w:tcPr>
          <w:p w14:paraId="23F46009" w14:textId="77777777" w:rsidR="00902731" w:rsidRPr="000F4CC1" w:rsidRDefault="00902731" w:rsidP="007E26B5">
            <w:pPr>
              <w:rPr>
                <w:sz w:val="20"/>
                <w:szCs w:val="20"/>
              </w:rPr>
            </w:pPr>
            <w:r w:rsidRPr="000F4CC1">
              <w:rPr>
                <w:rFonts w:ascii="Calibri" w:eastAsia="Calibri" w:hAnsi="Calibri" w:cs="Calibri"/>
                <w:sz w:val="20"/>
                <w:szCs w:val="20"/>
              </w:rPr>
              <w:t>osoby posiadające podstawowe umiejętności rozwiązywania problemów</w:t>
            </w:r>
          </w:p>
        </w:tc>
        <w:tc>
          <w:tcPr>
            <w:tcW w:w="1432" w:type="dxa"/>
          </w:tcPr>
          <w:p w14:paraId="7114F416" w14:textId="77777777" w:rsidR="00902731" w:rsidRPr="000F4CC1" w:rsidRDefault="00902731" w:rsidP="007E26B5">
            <w:pPr>
              <w:rPr>
                <w:sz w:val="20"/>
                <w:szCs w:val="20"/>
              </w:rPr>
            </w:pPr>
            <w:r w:rsidRPr="000F4CC1">
              <w:rPr>
                <w:rFonts w:ascii="Calibri" w:eastAsia="Calibri" w:hAnsi="Calibri" w:cs="Calibri"/>
                <w:sz w:val="20"/>
                <w:szCs w:val="20"/>
              </w:rPr>
              <w:t>24,8%</w:t>
            </w:r>
          </w:p>
        </w:tc>
        <w:tc>
          <w:tcPr>
            <w:tcW w:w="1433" w:type="dxa"/>
          </w:tcPr>
          <w:p w14:paraId="4BE4E062" w14:textId="77777777" w:rsidR="00902731" w:rsidRPr="000F4CC1" w:rsidRDefault="00902731" w:rsidP="007E26B5">
            <w:pPr>
              <w:rPr>
                <w:sz w:val="20"/>
                <w:szCs w:val="20"/>
              </w:rPr>
            </w:pPr>
            <w:r w:rsidRPr="000F4CC1">
              <w:rPr>
                <w:rFonts w:ascii="Calibri" w:eastAsia="Calibri" w:hAnsi="Calibri" w:cs="Calibri"/>
                <w:sz w:val="20"/>
                <w:szCs w:val="20"/>
              </w:rPr>
              <w:t>23%</w:t>
            </w:r>
          </w:p>
        </w:tc>
        <w:tc>
          <w:tcPr>
            <w:tcW w:w="1432" w:type="dxa"/>
          </w:tcPr>
          <w:p w14:paraId="2680FB20" w14:textId="77777777" w:rsidR="00902731" w:rsidRPr="000F4CC1" w:rsidRDefault="00902731" w:rsidP="007E26B5">
            <w:pPr>
              <w:rPr>
                <w:sz w:val="20"/>
                <w:szCs w:val="20"/>
              </w:rPr>
            </w:pPr>
            <w:r w:rsidRPr="000F4CC1">
              <w:rPr>
                <w:rFonts w:ascii="Calibri" w:eastAsia="Calibri" w:hAnsi="Calibri" w:cs="Calibri"/>
                <w:sz w:val="20"/>
                <w:szCs w:val="20"/>
              </w:rPr>
              <w:t>23,9%</w:t>
            </w:r>
          </w:p>
        </w:tc>
        <w:tc>
          <w:tcPr>
            <w:tcW w:w="2307" w:type="dxa"/>
          </w:tcPr>
          <w:p w14:paraId="3D2EC734" w14:textId="1C5B920A" w:rsidR="009C767C" w:rsidRPr="000F4CC1" w:rsidRDefault="009C767C" w:rsidP="007E26B5">
            <w:pPr>
              <w:rPr>
                <w:sz w:val="20"/>
                <w:szCs w:val="20"/>
              </w:rPr>
            </w:pPr>
            <w:r>
              <w:rPr>
                <w:rFonts w:ascii="Calibri" w:eastAsia="Calibri" w:hAnsi="Calibri" w:cs="Calibri"/>
                <w:sz w:val="20"/>
                <w:szCs w:val="20"/>
              </w:rPr>
              <w:t>25,68%</w:t>
            </w:r>
          </w:p>
        </w:tc>
        <w:tc>
          <w:tcPr>
            <w:tcW w:w="1468" w:type="dxa"/>
          </w:tcPr>
          <w:p w14:paraId="469CE1CB" w14:textId="1DFC1AF3" w:rsidR="009C767C" w:rsidRPr="000F4CC1" w:rsidRDefault="009C767C" w:rsidP="007E26B5">
            <w:pPr>
              <w:rPr>
                <w:sz w:val="20"/>
                <w:szCs w:val="20"/>
              </w:rPr>
            </w:pPr>
            <w:r>
              <w:rPr>
                <w:rFonts w:ascii="Calibri" w:eastAsia="Calibri" w:hAnsi="Calibri" w:cs="Calibri"/>
                <w:sz w:val="20"/>
                <w:szCs w:val="20"/>
              </w:rPr>
              <w:t>23,49%</w:t>
            </w:r>
          </w:p>
        </w:tc>
      </w:tr>
      <w:tr w:rsidR="00902731" w:rsidRPr="000F4CC1" w14:paraId="0A875AA3" w14:textId="77777777">
        <w:trPr>
          <w:cnfStyle w:val="000000010000" w:firstRow="0" w:lastRow="0" w:firstColumn="0" w:lastColumn="0" w:oddVBand="0" w:evenVBand="0" w:oddHBand="0" w:evenHBand="1" w:firstRowFirstColumn="0" w:firstRowLastColumn="0" w:lastRowFirstColumn="0" w:lastRowLastColumn="0"/>
          <w:trHeight w:val="300"/>
        </w:trPr>
        <w:tc>
          <w:tcPr>
            <w:tcW w:w="1904" w:type="dxa"/>
          </w:tcPr>
          <w:p w14:paraId="0865E60A" w14:textId="77777777" w:rsidR="00902731" w:rsidRPr="000F4CC1" w:rsidRDefault="00902731" w:rsidP="007E26B5">
            <w:pPr>
              <w:rPr>
                <w:sz w:val="20"/>
                <w:szCs w:val="20"/>
              </w:rPr>
            </w:pPr>
            <w:r w:rsidRPr="000F4CC1">
              <w:rPr>
                <w:rFonts w:ascii="Calibri" w:eastAsia="Calibri" w:hAnsi="Calibri" w:cs="Calibri"/>
                <w:sz w:val="20"/>
                <w:szCs w:val="20"/>
              </w:rPr>
              <w:t>osoby posiadające ponadpodstawowe umiejętności rozwiązywania problemów</w:t>
            </w:r>
          </w:p>
        </w:tc>
        <w:tc>
          <w:tcPr>
            <w:tcW w:w="1432" w:type="dxa"/>
          </w:tcPr>
          <w:p w14:paraId="4836BC8A" w14:textId="77777777" w:rsidR="00902731" w:rsidRPr="000F4CC1" w:rsidRDefault="00902731" w:rsidP="007E26B5">
            <w:pPr>
              <w:rPr>
                <w:sz w:val="20"/>
                <w:szCs w:val="20"/>
              </w:rPr>
            </w:pPr>
            <w:r w:rsidRPr="000F4CC1">
              <w:rPr>
                <w:rFonts w:ascii="Calibri" w:eastAsia="Calibri" w:hAnsi="Calibri" w:cs="Calibri"/>
                <w:sz w:val="20"/>
                <w:szCs w:val="20"/>
              </w:rPr>
              <w:t>53,5%</w:t>
            </w:r>
          </w:p>
        </w:tc>
        <w:tc>
          <w:tcPr>
            <w:tcW w:w="1433" w:type="dxa"/>
          </w:tcPr>
          <w:p w14:paraId="76EBC8BB" w14:textId="77777777" w:rsidR="00902731" w:rsidRPr="000F4CC1" w:rsidRDefault="00902731" w:rsidP="007E26B5">
            <w:pPr>
              <w:rPr>
                <w:sz w:val="20"/>
                <w:szCs w:val="20"/>
              </w:rPr>
            </w:pPr>
            <w:r w:rsidRPr="000F4CC1">
              <w:rPr>
                <w:rFonts w:ascii="Calibri" w:eastAsia="Calibri" w:hAnsi="Calibri" w:cs="Calibri"/>
                <w:sz w:val="20"/>
                <w:szCs w:val="20"/>
              </w:rPr>
              <w:t>68,9%</w:t>
            </w:r>
          </w:p>
        </w:tc>
        <w:tc>
          <w:tcPr>
            <w:tcW w:w="1432" w:type="dxa"/>
          </w:tcPr>
          <w:p w14:paraId="4E809C87" w14:textId="77777777" w:rsidR="00902731" w:rsidRPr="000F4CC1" w:rsidRDefault="00902731" w:rsidP="007E26B5">
            <w:pPr>
              <w:rPr>
                <w:sz w:val="20"/>
                <w:szCs w:val="20"/>
              </w:rPr>
            </w:pPr>
            <w:r w:rsidRPr="000F4CC1">
              <w:rPr>
                <w:rFonts w:ascii="Calibri" w:eastAsia="Calibri" w:hAnsi="Calibri" w:cs="Calibri"/>
                <w:sz w:val="20"/>
                <w:szCs w:val="20"/>
              </w:rPr>
              <w:t>11,6%</w:t>
            </w:r>
          </w:p>
        </w:tc>
        <w:tc>
          <w:tcPr>
            <w:tcW w:w="2307" w:type="dxa"/>
          </w:tcPr>
          <w:p w14:paraId="3701C4C7" w14:textId="597A0551" w:rsidR="009C767C" w:rsidRPr="000F4CC1" w:rsidRDefault="009C767C" w:rsidP="007E26B5">
            <w:pPr>
              <w:rPr>
                <w:sz w:val="20"/>
                <w:szCs w:val="20"/>
              </w:rPr>
            </w:pPr>
            <w:r>
              <w:rPr>
                <w:rFonts w:ascii="Calibri" w:eastAsia="Calibri" w:hAnsi="Calibri" w:cs="Calibri"/>
                <w:sz w:val="20"/>
                <w:szCs w:val="20"/>
              </w:rPr>
              <w:t>26,48%</w:t>
            </w:r>
          </w:p>
        </w:tc>
        <w:tc>
          <w:tcPr>
            <w:tcW w:w="1468" w:type="dxa"/>
          </w:tcPr>
          <w:p w14:paraId="59E6E90C" w14:textId="65980586" w:rsidR="009C767C" w:rsidRPr="000F4CC1" w:rsidRDefault="009C767C" w:rsidP="007E26B5">
            <w:pPr>
              <w:rPr>
                <w:sz w:val="20"/>
                <w:szCs w:val="20"/>
              </w:rPr>
            </w:pPr>
            <w:r>
              <w:rPr>
                <w:rFonts w:ascii="Calibri" w:eastAsia="Calibri" w:hAnsi="Calibri" w:cs="Calibri"/>
                <w:sz w:val="20"/>
                <w:szCs w:val="20"/>
              </w:rPr>
              <w:t>24,44%</w:t>
            </w:r>
          </w:p>
        </w:tc>
      </w:tr>
      <w:tr w:rsidR="00902731" w:rsidRPr="000F4CC1" w14:paraId="225B3BC0" w14:textId="77777777">
        <w:trPr>
          <w:cnfStyle w:val="000000100000" w:firstRow="0" w:lastRow="0" w:firstColumn="0" w:lastColumn="0" w:oddVBand="0" w:evenVBand="0" w:oddHBand="1" w:evenHBand="0" w:firstRowFirstColumn="0" w:firstRowLastColumn="0" w:lastRowFirstColumn="0" w:lastRowLastColumn="0"/>
          <w:trHeight w:val="300"/>
        </w:trPr>
        <w:tc>
          <w:tcPr>
            <w:tcW w:w="1904" w:type="dxa"/>
          </w:tcPr>
          <w:p w14:paraId="05ACDA90" w14:textId="77777777" w:rsidR="00902731" w:rsidRPr="000F4CC1" w:rsidRDefault="00902731" w:rsidP="007E26B5">
            <w:pPr>
              <w:rPr>
                <w:sz w:val="20"/>
                <w:szCs w:val="20"/>
              </w:rPr>
            </w:pPr>
            <w:r w:rsidRPr="000F4CC1">
              <w:rPr>
                <w:rFonts w:ascii="Calibri" w:eastAsia="Calibri" w:hAnsi="Calibri" w:cs="Calibri"/>
                <w:sz w:val="20"/>
                <w:szCs w:val="20"/>
              </w:rPr>
              <w:t>osoby posiadające podstawowe umiejętności cyfrowe</w:t>
            </w:r>
          </w:p>
        </w:tc>
        <w:tc>
          <w:tcPr>
            <w:tcW w:w="1432" w:type="dxa"/>
          </w:tcPr>
          <w:p w14:paraId="53497464" w14:textId="77777777" w:rsidR="00902731" w:rsidRPr="000F4CC1" w:rsidRDefault="00902731" w:rsidP="007E26B5">
            <w:pPr>
              <w:rPr>
                <w:sz w:val="20"/>
                <w:szCs w:val="20"/>
              </w:rPr>
            </w:pPr>
            <w:r w:rsidRPr="000F4CC1">
              <w:rPr>
                <w:rFonts w:ascii="Calibri" w:eastAsia="Calibri" w:hAnsi="Calibri" w:cs="Calibri"/>
                <w:sz w:val="20"/>
                <w:szCs w:val="20"/>
              </w:rPr>
              <w:t>26,5%</w:t>
            </w:r>
          </w:p>
        </w:tc>
        <w:tc>
          <w:tcPr>
            <w:tcW w:w="1433" w:type="dxa"/>
          </w:tcPr>
          <w:p w14:paraId="4403155E" w14:textId="77777777" w:rsidR="00902731" w:rsidRPr="000F4CC1" w:rsidRDefault="00902731" w:rsidP="007E26B5">
            <w:pPr>
              <w:rPr>
                <w:sz w:val="20"/>
                <w:szCs w:val="20"/>
              </w:rPr>
            </w:pPr>
            <w:r w:rsidRPr="000F4CC1">
              <w:rPr>
                <w:rFonts w:ascii="Calibri" w:eastAsia="Calibri" w:hAnsi="Calibri" w:cs="Calibri"/>
                <w:sz w:val="20"/>
                <w:szCs w:val="20"/>
              </w:rPr>
              <w:t>31,9%</w:t>
            </w:r>
          </w:p>
        </w:tc>
        <w:tc>
          <w:tcPr>
            <w:tcW w:w="1432" w:type="dxa"/>
          </w:tcPr>
          <w:p w14:paraId="45578659" w14:textId="77777777" w:rsidR="00902731" w:rsidRPr="000F4CC1" w:rsidRDefault="00902731" w:rsidP="007E26B5">
            <w:pPr>
              <w:rPr>
                <w:sz w:val="20"/>
                <w:szCs w:val="20"/>
              </w:rPr>
            </w:pPr>
            <w:r w:rsidRPr="000F4CC1">
              <w:rPr>
                <w:rFonts w:ascii="Calibri" w:eastAsia="Calibri" w:hAnsi="Calibri" w:cs="Calibri"/>
                <w:sz w:val="20"/>
                <w:szCs w:val="20"/>
              </w:rPr>
              <w:t>10,5%</w:t>
            </w:r>
          </w:p>
        </w:tc>
        <w:tc>
          <w:tcPr>
            <w:tcW w:w="2307" w:type="dxa"/>
          </w:tcPr>
          <w:p w14:paraId="49C9DDF2" w14:textId="60E5A864" w:rsidR="009C767C" w:rsidRPr="000F4CC1" w:rsidRDefault="009C767C" w:rsidP="007E26B5">
            <w:pPr>
              <w:rPr>
                <w:sz w:val="20"/>
                <w:szCs w:val="20"/>
              </w:rPr>
            </w:pPr>
            <w:r>
              <w:rPr>
                <w:rFonts w:ascii="Calibri" w:eastAsia="Calibri" w:hAnsi="Calibri" w:cs="Calibri"/>
                <w:sz w:val="20"/>
                <w:szCs w:val="20"/>
              </w:rPr>
              <w:t>13,23%</w:t>
            </w:r>
          </w:p>
        </w:tc>
        <w:tc>
          <w:tcPr>
            <w:tcW w:w="1468" w:type="dxa"/>
          </w:tcPr>
          <w:p w14:paraId="6054700B" w14:textId="0347C7AD" w:rsidR="009C767C" w:rsidRPr="000F4CC1" w:rsidRDefault="009C767C" w:rsidP="007E26B5">
            <w:pPr>
              <w:rPr>
                <w:sz w:val="20"/>
                <w:szCs w:val="20"/>
              </w:rPr>
            </w:pPr>
            <w:r>
              <w:rPr>
                <w:rFonts w:ascii="Calibri" w:eastAsia="Calibri" w:hAnsi="Calibri" w:cs="Calibri"/>
                <w:sz w:val="20"/>
                <w:szCs w:val="20"/>
              </w:rPr>
              <w:t>12,7%</w:t>
            </w:r>
          </w:p>
        </w:tc>
      </w:tr>
      <w:tr w:rsidR="00902731" w:rsidRPr="000F4CC1" w14:paraId="223C9AC1" w14:textId="77777777">
        <w:trPr>
          <w:cnfStyle w:val="000000010000" w:firstRow="0" w:lastRow="0" w:firstColumn="0" w:lastColumn="0" w:oddVBand="0" w:evenVBand="0" w:oddHBand="0" w:evenHBand="1" w:firstRowFirstColumn="0" w:firstRowLastColumn="0" w:lastRowFirstColumn="0" w:lastRowLastColumn="0"/>
          <w:trHeight w:val="300"/>
        </w:trPr>
        <w:tc>
          <w:tcPr>
            <w:tcW w:w="1904" w:type="dxa"/>
          </w:tcPr>
          <w:p w14:paraId="211001DA" w14:textId="77777777" w:rsidR="00902731" w:rsidRPr="000F4CC1" w:rsidRDefault="00902731" w:rsidP="007E26B5">
            <w:pPr>
              <w:rPr>
                <w:sz w:val="20"/>
                <w:szCs w:val="20"/>
              </w:rPr>
            </w:pPr>
            <w:r w:rsidRPr="000F4CC1">
              <w:rPr>
                <w:rFonts w:ascii="Calibri" w:eastAsia="Calibri" w:hAnsi="Calibri" w:cs="Calibri"/>
                <w:sz w:val="20"/>
                <w:szCs w:val="20"/>
              </w:rPr>
              <w:t>osoby posiadające ponadpodstawowe umiejętności cyfrowe</w:t>
            </w:r>
          </w:p>
        </w:tc>
        <w:tc>
          <w:tcPr>
            <w:tcW w:w="1432" w:type="dxa"/>
          </w:tcPr>
          <w:p w14:paraId="7E23DE82" w14:textId="77777777" w:rsidR="00902731" w:rsidRPr="000F4CC1" w:rsidRDefault="00902731" w:rsidP="007E26B5">
            <w:pPr>
              <w:rPr>
                <w:sz w:val="20"/>
                <w:szCs w:val="20"/>
              </w:rPr>
            </w:pPr>
            <w:r w:rsidRPr="000F4CC1">
              <w:rPr>
                <w:rFonts w:ascii="Calibri" w:eastAsia="Calibri" w:hAnsi="Calibri" w:cs="Calibri"/>
                <w:sz w:val="20"/>
                <w:szCs w:val="20"/>
              </w:rPr>
              <w:t>22,3%</w:t>
            </w:r>
          </w:p>
        </w:tc>
        <w:tc>
          <w:tcPr>
            <w:tcW w:w="1433" w:type="dxa"/>
          </w:tcPr>
          <w:p w14:paraId="411C2B05" w14:textId="77777777" w:rsidR="00902731" w:rsidRPr="000F4CC1" w:rsidRDefault="00902731" w:rsidP="007E26B5">
            <w:pPr>
              <w:rPr>
                <w:sz w:val="20"/>
                <w:szCs w:val="20"/>
              </w:rPr>
            </w:pPr>
            <w:r w:rsidRPr="000F4CC1">
              <w:rPr>
                <w:rFonts w:ascii="Calibri" w:eastAsia="Calibri" w:hAnsi="Calibri" w:cs="Calibri"/>
                <w:sz w:val="20"/>
                <w:szCs w:val="20"/>
              </w:rPr>
              <w:t>29%</w:t>
            </w:r>
          </w:p>
        </w:tc>
        <w:tc>
          <w:tcPr>
            <w:tcW w:w="1432" w:type="dxa"/>
          </w:tcPr>
          <w:p w14:paraId="70AB3A27" w14:textId="77777777" w:rsidR="00902731" w:rsidRPr="000F4CC1" w:rsidRDefault="00902731" w:rsidP="007E26B5">
            <w:pPr>
              <w:rPr>
                <w:sz w:val="20"/>
                <w:szCs w:val="20"/>
              </w:rPr>
            </w:pPr>
            <w:r w:rsidRPr="000F4CC1">
              <w:rPr>
                <w:rFonts w:ascii="Calibri" w:eastAsia="Calibri" w:hAnsi="Calibri" w:cs="Calibri"/>
                <w:sz w:val="20"/>
                <w:szCs w:val="20"/>
              </w:rPr>
              <w:t>3,1%</w:t>
            </w:r>
          </w:p>
        </w:tc>
        <w:tc>
          <w:tcPr>
            <w:tcW w:w="2307" w:type="dxa"/>
          </w:tcPr>
          <w:p w14:paraId="73E2D41D" w14:textId="27763B27" w:rsidR="009C767C" w:rsidRPr="000F4CC1" w:rsidRDefault="009C767C" w:rsidP="007E26B5">
            <w:pPr>
              <w:rPr>
                <w:sz w:val="20"/>
                <w:szCs w:val="20"/>
              </w:rPr>
            </w:pPr>
            <w:r>
              <w:rPr>
                <w:rFonts w:ascii="Calibri" w:eastAsia="Calibri" w:hAnsi="Calibri" w:cs="Calibri"/>
                <w:sz w:val="20"/>
                <w:szCs w:val="20"/>
              </w:rPr>
              <w:t>13,28%</w:t>
            </w:r>
          </w:p>
        </w:tc>
        <w:tc>
          <w:tcPr>
            <w:tcW w:w="1468" w:type="dxa"/>
          </w:tcPr>
          <w:p w14:paraId="5FF056BE" w14:textId="09C7B5E4" w:rsidR="009C767C" w:rsidRPr="000F4CC1" w:rsidRDefault="009C767C" w:rsidP="007E26B5">
            <w:pPr>
              <w:rPr>
                <w:sz w:val="20"/>
                <w:szCs w:val="20"/>
              </w:rPr>
            </w:pPr>
            <w:r>
              <w:rPr>
                <w:rFonts w:ascii="Calibri" w:eastAsia="Calibri" w:hAnsi="Calibri" w:cs="Calibri"/>
                <w:sz w:val="20"/>
                <w:szCs w:val="20"/>
              </w:rPr>
              <w:t>10,27%</w:t>
            </w:r>
          </w:p>
        </w:tc>
      </w:tr>
      <w:tr w:rsidR="00902731" w:rsidRPr="000F4CC1" w14:paraId="61316C75" w14:textId="77777777">
        <w:trPr>
          <w:cnfStyle w:val="000000100000" w:firstRow="0" w:lastRow="0" w:firstColumn="0" w:lastColumn="0" w:oddVBand="0" w:evenVBand="0" w:oddHBand="1" w:evenHBand="0" w:firstRowFirstColumn="0" w:firstRowLastColumn="0" w:lastRowFirstColumn="0" w:lastRowLastColumn="0"/>
          <w:trHeight w:val="300"/>
        </w:trPr>
        <w:tc>
          <w:tcPr>
            <w:tcW w:w="1904" w:type="dxa"/>
          </w:tcPr>
          <w:p w14:paraId="0A09AEE4" w14:textId="77777777" w:rsidR="00902731" w:rsidRPr="000F4CC1" w:rsidRDefault="00902731" w:rsidP="007E26B5">
            <w:pPr>
              <w:rPr>
                <w:sz w:val="20"/>
                <w:szCs w:val="20"/>
              </w:rPr>
            </w:pPr>
            <w:r w:rsidRPr="000F4CC1">
              <w:rPr>
                <w:rFonts w:ascii="Calibri" w:eastAsia="Calibri" w:hAnsi="Calibri" w:cs="Calibri"/>
                <w:sz w:val="20"/>
                <w:szCs w:val="20"/>
              </w:rPr>
              <w:t>osoby posiadające podstawowe lub ponadpodstawowe umiejętności cyfrowe</w:t>
            </w:r>
          </w:p>
        </w:tc>
        <w:tc>
          <w:tcPr>
            <w:tcW w:w="1432" w:type="dxa"/>
          </w:tcPr>
          <w:p w14:paraId="30870CF6" w14:textId="77777777" w:rsidR="00902731" w:rsidRPr="000F4CC1" w:rsidRDefault="00902731" w:rsidP="007E26B5">
            <w:pPr>
              <w:rPr>
                <w:sz w:val="20"/>
                <w:szCs w:val="20"/>
              </w:rPr>
            </w:pPr>
            <w:r w:rsidRPr="000F4CC1">
              <w:rPr>
                <w:rFonts w:ascii="Calibri" w:eastAsia="Calibri" w:hAnsi="Calibri" w:cs="Calibri"/>
                <w:sz w:val="20"/>
                <w:szCs w:val="20"/>
              </w:rPr>
              <w:t>48,8%</w:t>
            </w:r>
          </w:p>
        </w:tc>
        <w:tc>
          <w:tcPr>
            <w:tcW w:w="1433" w:type="dxa"/>
          </w:tcPr>
          <w:p w14:paraId="480912AE" w14:textId="77777777" w:rsidR="00902731" w:rsidRPr="000F4CC1" w:rsidRDefault="00902731" w:rsidP="007E26B5">
            <w:pPr>
              <w:rPr>
                <w:sz w:val="20"/>
                <w:szCs w:val="20"/>
              </w:rPr>
            </w:pPr>
            <w:r w:rsidRPr="000F4CC1">
              <w:rPr>
                <w:rFonts w:ascii="Calibri" w:eastAsia="Calibri" w:hAnsi="Calibri" w:cs="Calibri"/>
                <w:sz w:val="20"/>
                <w:szCs w:val="20"/>
              </w:rPr>
              <w:t>60,9%</w:t>
            </w:r>
          </w:p>
        </w:tc>
        <w:tc>
          <w:tcPr>
            <w:tcW w:w="1432" w:type="dxa"/>
          </w:tcPr>
          <w:p w14:paraId="1F1E8AD5" w14:textId="77777777" w:rsidR="00902731" w:rsidRPr="000F4CC1" w:rsidRDefault="00902731" w:rsidP="007E26B5">
            <w:pPr>
              <w:rPr>
                <w:sz w:val="20"/>
                <w:szCs w:val="20"/>
              </w:rPr>
            </w:pPr>
            <w:r w:rsidRPr="000F4CC1">
              <w:rPr>
                <w:rFonts w:ascii="Calibri" w:eastAsia="Calibri" w:hAnsi="Calibri" w:cs="Calibri"/>
                <w:sz w:val="20"/>
                <w:szCs w:val="20"/>
              </w:rPr>
              <w:t>13,7%</w:t>
            </w:r>
          </w:p>
        </w:tc>
        <w:tc>
          <w:tcPr>
            <w:tcW w:w="2307" w:type="dxa"/>
          </w:tcPr>
          <w:p w14:paraId="71C0DD40" w14:textId="6DCEF37A" w:rsidR="009C767C" w:rsidRPr="000F4CC1" w:rsidRDefault="009C767C" w:rsidP="007E26B5">
            <w:pPr>
              <w:rPr>
                <w:sz w:val="20"/>
                <w:szCs w:val="20"/>
              </w:rPr>
            </w:pPr>
            <w:r>
              <w:rPr>
                <w:rFonts w:ascii="Calibri" w:eastAsia="Calibri" w:hAnsi="Calibri" w:cs="Calibri"/>
                <w:sz w:val="20"/>
                <w:szCs w:val="20"/>
              </w:rPr>
              <w:t>26,51%</w:t>
            </w:r>
          </w:p>
        </w:tc>
        <w:tc>
          <w:tcPr>
            <w:tcW w:w="1468" w:type="dxa"/>
          </w:tcPr>
          <w:p w14:paraId="0EF4D238" w14:textId="0392008E" w:rsidR="009C767C" w:rsidRPr="000F4CC1" w:rsidRDefault="009C767C" w:rsidP="007E26B5">
            <w:pPr>
              <w:rPr>
                <w:sz w:val="20"/>
                <w:szCs w:val="20"/>
              </w:rPr>
            </w:pPr>
            <w:r>
              <w:rPr>
                <w:rFonts w:ascii="Calibri" w:eastAsia="Calibri" w:hAnsi="Calibri" w:cs="Calibri"/>
                <w:sz w:val="20"/>
                <w:szCs w:val="20"/>
              </w:rPr>
              <w:t>22,97%</w:t>
            </w:r>
          </w:p>
        </w:tc>
      </w:tr>
    </w:tbl>
    <w:p w14:paraId="401AB499" w14:textId="34F45C11" w:rsidR="00902731" w:rsidRPr="000F4CC1" w:rsidRDefault="00902731" w:rsidP="007E26B5">
      <w:pPr>
        <w:pStyle w:val="Legenda"/>
        <w:rPr>
          <w:color w:val="auto"/>
        </w:rPr>
      </w:pPr>
      <w:r w:rsidRPr="000F4CC1">
        <w:rPr>
          <w:color w:val="auto"/>
        </w:rPr>
        <w:t xml:space="preserve">Źródło: opracowanie własne na podstawie danych GUS, Wykorzystanie technologii informacyjno-komunikacyjnych w przedsiębiorstwach i gospodarstwach domowych </w:t>
      </w:r>
      <w:r w:rsidR="00F047E5" w:rsidRPr="000F4CC1">
        <w:rPr>
          <w:color w:val="auto"/>
        </w:rPr>
        <w:t>w</w:t>
      </w:r>
      <w:r w:rsidR="00F047E5">
        <w:rPr>
          <w:color w:val="auto"/>
        </w:rPr>
        <w:t> </w:t>
      </w:r>
      <w:r w:rsidR="00F047E5" w:rsidRPr="000F4CC1">
        <w:rPr>
          <w:color w:val="auto"/>
        </w:rPr>
        <w:t>2024</w:t>
      </w:r>
      <w:r w:rsidR="00F047E5">
        <w:rPr>
          <w:color w:val="auto"/>
        </w:rPr>
        <w:t> </w:t>
      </w:r>
      <w:r w:rsidRPr="000F4CC1">
        <w:rPr>
          <w:color w:val="auto"/>
        </w:rPr>
        <w:t>roku.</w:t>
      </w:r>
    </w:p>
    <w:p w14:paraId="5B8F213B" w14:textId="77777777" w:rsidR="00902731" w:rsidRPr="00BF6615" w:rsidRDefault="00902731" w:rsidP="007E26B5">
      <w:pPr>
        <w:rPr>
          <w:rFonts w:ascii="Calibri" w:eastAsia="Calibri" w:hAnsi="Calibri" w:cs="Calibri"/>
          <w:szCs w:val="24"/>
        </w:rPr>
      </w:pPr>
    </w:p>
    <w:p w14:paraId="1CFAB17F" w14:textId="4EEF6664" w:rsidR="00902731" w:rsidRPr="00BF6615" w:rsidRDefault="00902731" w:rsidP="007E26B5">
      <w:pPr>
        <w:pageBreakBefore/>
        <w:rPr>
          <w:rFonts w:ascii="Calibri" w:eastAsia="Calibri" w:hAnsi="Calibri" w:cs="Calibri"/>
          <w:szCs w:val="24"/>
        </w:rPr>
      </w:pPr>
      <w:r w:rsidRPr="00BF6615">
        <w:rPr>
          <w:rFonts w:ascii="Calibri" w:eastAsia="Calibri" w:hAnsi="Calibri" w:cs="Calibri"/>
          <w:szCs w:val="24"/>
        </w:rPr>
        <w:lastRenderedPageBreak/>
        <w:t>Korzystanie z Internetu jest wśród Polaków częste 83,9% Polaków korzysta z niego</w:t>
      </w:r>
      <w:r w:rsidR="000F4CC1">
        <w:rPr>
          <w:rFonts w:ascii="Calibri" w:eastAsia="Calibri" w:hAnsi="Calibri" w:cs="Calibri"/>
          <w:szCs w:val="24"/>
        </w:rPr>
        <w:t xml:space="preserve"> </w:t>
      </w:r>
      <w:r w:rsidRPr="00BF6615">
        <w:rPr>
          <w:rFonts w:ascii="Calibri" w:eastAsia="Calibri" w:hAnsi="Calibri" w:cs="Calibri"/>
          <w:szCs w:val="24"/>
        </w:rPr>
        <w:t>codziennie.  W grupie osób starszych jest to 48,7%.</w:t>
      </w:r>
    </w:p>
    <w:p w14:paraId="135ED923" w14:textId="67D11645" w:rsidR="00902731" w:rsidRPr="00BF6615" w:rsidRDefault="00902731" w:rsidP="007E26B5">
      <w:pPr>
        <w:pStyle w:val="Legenda"/>
      </w:pPr>
      <w:bookmarkStart w:id="10" w:name="_Toc204179101"/>
      <w:r w:rsidRPr="00BF6615">
        <w:t xml:space="preserve">Tabela </w:t>
      </w:r>
      <w:r w:rsidRPr="00BF6615">
        <w:fldChar w:fldCharType="begin"/>
      </w:r>
      <w:r w:rsidRPr="00BF6615">
        <w:instrText xml:space="preserve"> SEQ Tabela \* ARABIC </w:instrText>
      </w:r>
      <w:r w:rsidRPr="00BF6615">
        <w:fldChar w:fldCharType="separate"/>
      </w:r>
      <w:r w:rsidR="00FD0843">
        <w:rPr>
          <w:noProof/>
        </w:rPr>
        <w:t>3</w:t>
      </w:r>
      <w:r w:rsidRPr="00BF6615">
        <w:fldChar w:fldCharType="end"/>
      </w:r>
      <w:r w:rsidR="00A21AC1">
        <w:t>.</w:t>
      </w:r>
      <w:r w:rsidRPr="00BF6615">
        <w:t xml:space="preserve"> Częstotliwość korzystania z Internetu</w:t>
      </w:r>
      <w:bookmarkEnd w:id="10"/>
    </w:p>
    <w:tbl>
      <w:tblPr>
        <w:tblStyle w:val="PARP"/>
        <w:tblW w:w="9971" w:type="dxa"/>
        <w:tblLayout w:type="fixed"/>
        <w:tblLook w:val="04A0" w:firstRow="1" w:lastRow="0" w:firstColumn="1" w:lastColumn="0" w:noHBand="0" w:noVBand="1"/>
        <w:tblCaption w:val="Częstotliwość korzystania z Internetu"/>
        <w:tblDescription w:val="W kolumnach: &#10;Częstotliwość Ogół badanych (25,8 mln osób) Osoby w wieku największej aktywności zawodowej (25-54 lata)  Osoby starsze 65-74 lata Osoby z niepełnosprawnościami (w tym osoby korzystające z pomocy społecznej) Osoby z ograniczeniami wykonywania codziennych czynności z powodu problemów zdrowotnych"/>
      </w:tblPr>
      <w:tblGrid>
        <w:gridCol w:w="1899"/>
        <w:gridCol w:w="1432"/>
        <w:gridCol w:w="1433"/>
        <w:gridCol w:w="1432"/>
        <w:gridCol w:w="2307"/>
        <w:gridCol w:w="1468"/>
      </w:tblGrid>
      <w:tr w:rsidR="00902731" w:rsidRPr="00BF6615" w14:paraId="796C554C" w14:textId="77777777">
        <w:trPr>
          <w:cnfStyle w:val="100000000000" w:firstRow="1" w:lastRow="0" w:firstColumn="0" w:lastColumn="0" w:oddVBand="0" w:evenVBand="0" w:oddHBand="0" w:evenHBand="0" w:firstRowFirstColumn="0" w:firstRowLastColumn="0" w:lastRowFirstColumn="0" w:lastRowLastColumn="0"/>
          <w:trHeight w:val="300"/>
        </w:trPr>
        <w:tc>
          <w:tcPr>
            <w:tcW w:w="1899" w:type="dxa"/>
          </w:tcPr>
          <w:p w14:paraId="38BCCBB0" w14:textId="77777777" w:rsidR="00902731" w:rsidRPr="000F4CC1" w:rsidRDefault="00902731" w:rsidP="007E26B5">
            <w:pPr>
              <w:rPr>
                <w:sz w:val="20"/>
                <w:szCs w:val="20"/>
              </w:rPr>
            </w:pPr>
            <w:r w:rsidRPr="000F4CC1">
              <w:rPr>
                <w:rFonts w:eastAsia="Calibri" w:cs="Calibri"/>
                <w:sz w:val="20"/>
                <w:szCs w:val="20"/>
              </w:rPr>
              <w:t>Częstotliwość</w:t>
            </w:r>
          </w:p>
        </w:tc>
        <w:tc>
          <w:tcPr>
            <w:tcW w:w="1432" w:type="dxa"/>
          </w:tcPr>
          <w:p w14:paraId="3DDEECB7" w14:textId="77777777" w:rsidR="00902731" w:rsidRPr="000F4CC1" w:rsidRDefault="00902731" w:rsidP="007E26B5">
            <w:pPr>
              <w:rPr>
                <w:sz w:val="20"/>
                <w:szCs w:val="20"/>
              </w:rPr>
            </w:pPr>
            <w:r w:rsidRPr="000F4CC1">
              <w:rPr>
                <w:rFonts w:eastAsia="Calibri" w:cs="Calibri"/>
                <w:sz w:val="20"/>
                <w:szCs w:val="20"/>
              </w:rPr>
              <w:t>Ogół badanych (25,8 mln osób)</w:t>
            </w:r>
          </w:p>
        </w:tc>
        <w:tc>
          <w:tcPr>
            <w:tcW w:w="1433" w:type="dxa"/>
          </w:tcPr>
          <w:p w14:paraId="2C2BF0CA" w14:textId="59FA9F37" w:rsidR="00902731" w:rsidRPr="000F4CC1" w:rsidRDefault="00902731" w:rsidP="007E26B5">
            <w:pPr>
              <w:rPr>
                <w:sz w:val="20"/>
                <w:szCs w:val="20"/>
              </w:rPr>
            </w:pPr>
            <w:r w:rsidRPr="000F4CC1">
              <w:rPr>
                <w:rFonts w:eastAsia="Calibri" w:cs="Calibri"/>
                <w:sz w:val="20"/>
                <w:szCs w:val="20"/>
              </w:rPr>
              <w:t>Osoby w wieku 25-54 lata</w:t>
            </w:r>
          </w:p>
        </w:tc>
        <w:tc>
          <w:tcPr>
            <w:tcW w:w="1432" w:type="dxa"/>
          </w:tcPr>
          <w:p w14:paraId="2CC133BA" w14:textId="77777777" w:rsidR="00902731" w:rsidRPr="000F4CC1" w:rsidRDefault="00902731" w:rsidP="007E26B5">
            <w:pPr>
              <w:rPr>
                <w:sz w:val="20"/>
                <w:szCs w:val="20"/>
              </w:rPr>
            </w:pPr>
            <w:r w:rsidRPr="000F4CC1">
              <w:rPr>
                <w:rFonts w:eastAsia="Calibri" w:cs="Calibri"/>
                <w:sz w:val="20"/>
                <w:szCs w:val="20"/>
              </w:rPr>
              <w:t>Osoby starsze 65-74 lata</w:t>
            </w:r>
          </w:p>
        </w:tc>
        <w:tc>
          <w:tcPr>
            <w:tcW w:w="2307" w:type="dxa"/>
          </w:tcPr>
          <w:p w14:paraId="0AEA1ED8" w14:textId="42017043" w:rsidR="00902731" w:rsidRPr="000F4CC1" w:rsidRDefault="00902731" w:rsidP="007E26B5">
            <w:pPr>
              <w:rPr>
                <w:sz w:val="20"/>
                <w:szCs w:val="20"/>
              </w:rPr>
            </w:pPr>
            <w:r w:rsidRPr="000F4CC1">
              <w:rPr>
                <w:rFonts w:eastAsia="Calibri" w:cs="Calibri"/>
                <w:sz w:val="20"/>
                <w:szCs w:val="20"/>
              </w:rPr>
              <w:t xml:space="preserve">Osoby z niepełnosprawnościami </w:t>
            </w:r>
          </w:p>
        </w:tc>
        <w:tc>
          <w:tcPr>
            <w:tcW w:w="1468" w:type="dxa"/>
          </w:tcPr>
          <w:p w14:paraId="52AE07C1" w14:textId="77777777" w:rsidR="00902731" w:rsidRPr="000F4CC1" w:rsidRDefault="00902731" w:rsidP="007E26B5">
            <w:pPr>
              <w:rPr>
                <w:sz w:val="20"/>
                <w:szCs w:val="20"/>
              </w:rPr>
            </w:pPr>
            <w:r w:rsidRPr="000F4CC1">
              <w:rPr>
                <w:rFonts w:eastAsia="Calibri" w:cs="Calibri"/>
                <w:sz w:val="20"/>
                <w:szCs w:val="20"/>
              </w:rPr>
              <w:t>Osoby z ograniczeniami wykonywania codziennych czynności z powodu problemów zdrowotnych</w:t>
            </w:r>
          </w:p>
        </w:tc>
      </w:tr>
      <w:tr w:rsidR="00902731" w:rsidRPr="00BF6615" w14:paraId="4C5B4AF6" w14:textId="77777777">
        <w:trPr>
          <w:cnfStyle w:val="000000100000" w:firstRow="0" w:lastRow="0" w:firstColumn="0" w:lastColumn="0" w:oddVBand="0" w:evenVBand="0" w:oddHBand="1" w:evenHBand="0" w:firstRowFirstColumn="0" w:firstRowLastColumn="0" w:lastRowFirstColumn="0" w:lastRowLastColumn="0"/>
          <w:trHeight w:val="300"/>
        </w:trPr>
        <w:tc>
          <w:tcPr>
            <w:tcW w:w="1899" w:type="dxa"/>
          </w:tcPr>
          <w:p w14:paraId="4C112AD0" w14:textId="77777777" w:rsidR="00902731" w:rsidRPr="000F4CC1" w:rsidRDefault="00902731" w:rsidP="007E26B5">
            <w:pPr>
              <w:rPr>
                <w:sz w:val="20"/>
                <w:szCs w:val="20"/>
              </w:rPr>
            </w:pPr>
            <w:r w:rsidRPr="000F4CC1">
              <w:rPr>
                <w:rFonts w:ascii="Calibri" w:eastAsia="Calibri" w:hAnsi="Calibri" w:cs="Calibri"/>
                <w:sz w:val="20"/>
                <w:szCs w:val="20"/>
              </w:rPr>
              <w:t>codziennie lub prawie codziennie</w:t>
            </w:r>
          </w:p>
        </w:tc>
        <w:tc>
          <w:tcPr>
            <w:tcW w:w="1432" w:type="dxa"/>
          </w:tcPr>
          <w:p w14:paraId="49A43E1C" w14:textId="77777777" w:rsidR="00902731" w:rsidRPr="000F4CC1" w:rsidRDefault="00902731" w:rsidP="007E26B5">
            <w:pPr>
              <w:rPr>
                <w:sz w:val="20"/>
                <w:szCs w:val="20"/>
              </w:rPr>
            </w:pPr>
            <w:r w:rsidRPr="000F4CC1">
              <w:rPr>
                <w:rFonts w:ascii="Calibri" w:eastAsia="Calibri" w:hAnsi="Calibri" w:cs="Calibri"/>
                <w:sz w:val="20"/>
                <w:szCs w:val="20"/>
              </w:rPr>
              <w:t>83,9%</w:t>
            </w:r>
          </w:p>
        </w:tc>
        <w:tc>
          <w:tcPr>
            <w:tcW w:w="1433" w:type="dxa"/>
          </w:tcPr>
          <w:p w14:paraId="3CEF9C20" w14:textId="77777777" w:rsidR="00902731" w:rsidRPr="000F4CC1" w:rsidRDefault="00902731" w:rsidP="007E26B5">
            <w:pPr>
              <w:rPr>
                <w:sz w:val="20"/>
                <w:szCs w:val="20"/>
              </w:rPr>
            </w:pPr>
            <w:r w:rsidRPr="000F4CC1">
              <w:rPr>
                <w:rFonts w:ascii="Calibri" w:eastAsia="Calibri" w:hAnsi="Calibri" w:cs="Calibri"/>
                <w:sz w:val="20"/>
                <w:szCs w:val="20"/>
              </w:rPr>
              <w:t>94,6%</w:t>
            </w:r>
          </w:p>
        </w:tc>
        <w:tc>
          <w:tcPr>
            <w:tcW w:w="1432" w:type="dxa"/>
          </w:tcPr>
          <w:p w14:paraId="4F455D4D" w14:textId="77777777" w:rsidR="00902731" w:rsidRPr="000F4CC1" w:rsidRDefault="00902731" w:rsidP="007E26B5">
            <w:pPr>
              <w:rPr>
                <w:sz w:val="20"/>
                <w:szCs w:val="20"/>
              </w:rPr>
            </w:pPr>
            <w:r w:rsidRPr="000F4CC1">
              <w:rPr>
                <w:rFonts w:ascii="Calibri" w:eastAsia="Calibri" w:hAnsi="Calibri" w:cs="Calibri"/>
                <w:sz w:val="20"/>
                <w:szCs w:val="20"/>
              </w:rPr>
              <w:t>48,7%</w:t>
            </w:r>
          </w:p>
        </w:tc>
        <w:tc>
          <w:tcPr>
            <w:tcW w:w="2307" w:type="dxa"/>
          </w:tcPr>
          <w:p w14:paraId="33193F78" w14:textId="7B298FF7" w:rsidR="001D2230" w:rsidRPr="000F4CC1" w:rsidRDefault="001D2230" w:rsidP="007E26B5">
            <w:pPr>
              <w:rPr>
                <w:sz w:val="20"/>
                <w:szCs w:val="20"/>
              </w:rPr>
            </w:pPr>
            <w:r>
              <w:rPr>
                <w:rFonts w:ascii="Calibri" w:eastAsia="Calibri" w:hAnsi="Calibri" w:cs="Calibri"/>
                <w:sz w:val="20"/>
                <w:szCs w:val="20"/>
              </w:rPr>
              <w:t>65,24%</w:t>
            </w:r>
          </w:p>
        </w:tc>
        <w:tc>
          <w:tcPr>
            <w:tcW w:w="1468" w:type="dxa"/>
          </w:tcPr>
          <w:p w14:paraId="5444356F" w14:textId="5C0B080F" w:rsidR="00902731" w:rsidRDefault="00902731" w:rsidP="007E26B5">
            <w:pPr>
              <w:rPr>
                <w:rFonts w:ascii="Calibri" w:eastAsia="Calibri" w:hAnsi="Calibri" w:cs="Calibri"/>
                <w:sz w:val="20"/>
                <w:szCs w:val="20"/>
              </w:rPr>
            </w:pPr>
          </w:p>
          <w:p w14:paraId="6AA4B908" w14:textId="2E6DDC39" w:rsidR="001D2230" w:rsidRPr="000F4CC1" w:rsidRDefault="001D2230" w:rsidP="007E26B5">
            <w:pPr>
              <w:rPr>
                <w:sz w:val="20"/>
                <w:szCs w:val="20"/>
              </w:rPr>
            </w:pPr>
            <w:r>
              <w:rPr>
                <w:rFonts w:ascii="Calibri" w:eastAsia="Calibri" w:hAnsi="Calibri" w:cs="Calibri"/>
                <w:sz w:val="20"/>
                <w:szCs w:val="20"/>
              </w:rPr>
              <w:t>58,05%</w:t>
            </w:r>
          </w:p>
        </w:tc>
      </w:tr>
      <w:tr w:rsidR="00902731" w:rsidRPr="00BF6615" w14:paraId="510AE8D1" w14:textId="77777777">
        <w:trPr>
          <w:cnfStyle w:val="000000010000" w:firstRow="0" w:lastRow="0" w:firstColumn="0" w:lastColumn="0" w:oddVBand="0" w:evenVBand="0" w:oddHBand="0" w:evenHBand="1" w:firstRowFirstColumn="0" w:firstRowLastColumn="0" w:lastRowFirstColumn="0" w:lastRowLastColumn="0"/>
          <w:trHeight w:val="300"/>
        </w:trPr>
        <w:tc>
          <w:tcPr>
            <w:tcW w:w="1899" w:type="dxa"/>
          </w:tcPr>
          <w:p w14:paraId="65579E26" w14:textId="77777777" w:rsidR="00902731" w:rsidRPr="000F4CC1" w:rsidRDefault="00902731" w:rsidP="007E26B5">
            <w:pPr>
              <w:rPr>
                <w:sz w:val="20"/>
                <w:szCs w:val="20"/>
              </w:rPr>
            </w:pPr>
            <w:r w:rsidRPr="000F4CC1">
              <w:rPr>
                <w:rFonts w:ascii="Calibri" w:eastAsia="Calibri" w:hAnsi="Calibri" w:cs="Calibri"/>
                <w:sz w:val="20"/>
                <w:szCs w:val="20"/>
              </w:rPr>
              <w:t>raz dziennie lub prawie codziennie</w:t>
            </w:r>
          </w:p>
        </w:tc>
        <w:tc>
          <w:tcPr>
            <w:tcW w:w="1432" w:type="dxa"/>
          </w:tcPr>
          <w:p w14:paraId="6D5B0F63" w14:textId="77777777" w:rsidR="00902731" w:rsidRPr="000F4CC1" w:rsidRDefault="00902731" w:rsidP="007E26B5">
            <w:pPr>
              <w:rPr>
                <w:sz w:val="20"/>
                <w:szCs w:val="20"/>
              </w:rPr>
            </w:pPr>
            <w:r w:rsidRPr="000F4CC1">
              <w:rPr>
                <w:rFonts w:ascii="Calibri" w:eastAsia="Calibri" w:hAnsi="Calibri" w:cs="Calibri"/>
                <w:sz w:val="20"/>
                <w:szCs w:val="20"/>
              </w:rPr>
              <w:t>13,2%</w:t>
            </w:r>
          </w:p>
        </w:tc>
        <w:tc>
          <w:tcPr>
            <w:tcW w:w="1433" w:type="dxa"/>
          </w:tcPr>
          <w:p w14:paraId="596A4545" w14:textId="77777777" w:rsidR="00902731" w:rsidRPr="000F4CC1" w:rsidRDefault="00902731" w:rsidP="007E26B5">
            <w:pPr>
              <w:rPr>
                <w:sz w:val="20"/>
                <w:szCs w:val="20"/>
              </w:rPr>
            </w:pPr>
            <w:r w:rsidRPr="000F4CC1">
              <w:rPr>
                <w:rFonts w:ascii="Calibri" w:eastAsia="Calibri" w:hAnsi="Calibri" w:cs="Calibri"/>
                <w:sz w:val="20"/>
                <w:szCs w:val="20"/>
              </w:rPr>
              <w:t>11,3%</w:t>
            </w:r>
          </w:p>
        </w:tc>
        <w:tc>
          <w:tcPr>
            <w:tcW w:w="1432" w:type="dxa"/>
          </w:tcPr>
          <w:p w14:paraId="5CF04F17" w14:textId="77777777" w:rsidR="00902731" w:rsidRPr="000F4CC1" w:rsidRDefault="00902731" w:rsidP="007E26B5">
            <w:pPr>
              <w:rPr>
                <w:sz w:val="20"/>
                <w:szCs w:val="20"/>
              </w:rPr>
            </w:pPr>
            <w:r w:rsidRPr="000F4CC1">
              <w:rPr>
                <w:rFonts w:ascii="Calibri" w:eastAsia="Calibri" w:hAnsi="Calibri" w:cs="Calibri"/>
                <w:sz w:val="20"/>
                <w:szCs w:val="20"/>
              </w:rPr>
              <w:t>17,7%</w:t>
            </w:r>
          </w:p>
        </w:tc>
        <w:tc>
          <w:tcPr>
            <w:tcW w:w="2307" w:type="dxa"/>
          </w:tcPr>
          <w:p w14:paraId="0A171C32" w14:textId="0BEB5D30" w:rsidR="001D2230" w:rsidRPr="000F4CC1" w:rsidRDefault="001D2230" w:rsidP="007E26B5">
            <w:pPr>
              <w:rPr>
                <w:sz w:val="20"/>
                <w:szCs w:val="20"/>
              </w:rPr>
            </w:pPr>
            <w:r>
              <w:rPr>
                <w:rFonts w:ascii="Calibri" w:eastAsia="Calibri" w:hAnsi="Calibri" w:cs="Calibri"/>
                <w:sz w:val="20"/>
                <w:szCs w:val="20"/>
              </w:rPr>
              <w:t>15,91%</w:t>
            </w:r>
          </w:p>
        </w:tc>
        <w:tc>
          <w:tcPr>
            <w:tcW w:w="1468" w:type="dxa"/>
          </w:tcPr>
          <w:p w14:paraId="26B641C9" w14:textId="11F1C1FE" w:rsidR="00902731" w:rsidRDefault="00902731" w:rsidP="007E26B5">
            <w:pPr>
              <w:rPr>
                <w:rFonts w:ascii="Calibri" w:eastAsia="Calibri" w:hAnsi="Calibri" w:cs="Calibri"/>
                <w:sz w:val="20"/>
                <w:szCs w:val="20"/>
              </w:rPr>
            </w:pPr>
          </w:p>
          <w:p w14:paraId="33A160CA" w14:textId="444A0769" w:rsidR="001D2230" w:rsidRPr="000F4CC1" w:rsidRDefault="001D2230" w:rsidP="007E26B5">
            <w:pPr>
              <w:rPr>
                <w:sz w:val="20"/>
                <w:szCs w:val="20"/>
              </w:rPr>
            </w:pPr>
            <w:r>
              <w:rPr>
                <w:rFonts w:ascii="Calibri" w:eastAsia="Calibri" w:hAnsi="Calibri" w:cs="Calibri"/>
                <w:sz w:val="20"/>
                <w:szCs w:val="20"/>
              </w:rPr>
              <w:t>12,75%</w:t>
            </w:r>
          </w:p>
        </w:tc>
      </w:tr>
      <w:tr w:rsidR="00902731" w:rsidRPr="00BF6615" w14:paraId="76CABC12" w14:textId="77777777">
        <w:trPr>
          <w:cnfStyle w:val="000000100000" w:firstRow="0" w:lastRow="0" w:firstColumn="0" w:lastColumn="0" w:oddVBand="0" w:evenVBand="0" w:oddHBand="1" w:evenHBand="0" w:firstRowFirstColumn="0" w:firstRowLastColumn="0" w:lastRowFirstColumn="0" w:lastRowLastColumn="0"/>
          <w:trHeight w:val="300"/>
        </w:trPr>
        <w:tc>
          <w:tcPr>
            <w:tcW w:w="1899" w:type="dxa"/>
          </w:tcPr>
          <w:p w14:paraId="2A92860D" w14:textId="77777777" w:rsidR="00902731" w:rsidRPr="000F4CC1" w:rsidRDefault="00902731" w:rsidP="007E26B5">
            <w:pPr>
              <w:rPr>
                <w:sz w:val="20"/>
                <w:szCs w:val="20"/>
              </w:rPr>
            </w:pPr>
            <w:r w:rsidRPr="000F4CC1">
              <w:rPr>
                <w:rFonts w:ascii="Calibri" w:eastAsia="Calibri" w:hAnsi="Calibri" w:cs="Calibri"/>
                <w:sz w:val="20"/>
                <w:szCs w:val="20"/>
              </w:rPr>
              <w:t>przynajmniej raz w tygodniu ale nie każdego dnia</w:t>
            </w:r>
          </w:p>
        </w:tc>
        <w:tc>
          <w:tcPr>
            <w:tcW w:w="1432" w:type="dxa"/>
          </w:tcPr>
          <w:p w14:paraId="522D5852" w14:textId="77777777" w:rsidR="00902731" w:rsidRPr="000F4CC1" w:rsidRDefault="00902731" w:rsidP="007E26B5">
            <w:pPr>
              <w:rPr>
                <w:sz w:val="20"/>
                <w:szCs w:val="20"/>
              </w:rPr>
            </w:pPr>
            <w:r w:rsidRPr="000F4CC1">
              <w:rPr>
                <w:rFonts w:ascii="Calibri" w:eastAsia="Calibri" w:hAnsi="Calibri" w:cs="Calibri"/>
                <w:sz w:val="20"/>
                <w:szCs w:val="20"/>
              </w:rPr>
              <w:t>3,7%</w:t>
            </w:r>
          </w:p>
        </w:tc>
        <w:tc>
          <w:tcPr>
            <w:tcW w:w="1433" w:type="dxa"/>
          </w:tcPr>
          <w:p w14:paraId="30A21316" w14:textId="77777777" w:rsidR="00902731" w:rsidRPr="000F4CC1" w:rsidRDefault="00902731" w:rsidP="007E26B5">
            <w:pPr>
              <w:rPr>
                <w:sz w:val="20"/>
                <w:szCs w:val="20"/>
              </w:rPr>
            </w:pPr>
            <w:r w:rsidRPr="000F4CC1">
              <w:rPr>
                <w:rFonts w:ascii="Calibri" w:eastAsia="Calibri" w:hAnsi="Calibri" w:cs="Calibri"/>
                <w:sz w:val="20"/>
                <w:szCs w:val="20"/>
              </w:rPr>
              <w:t>1,9%</w:t>
            </w:r>
          </w:p>
        </w:tc>
        <w:tc>
          <w:tcPr>
            <w:tcW w:w="1432" w:type="dxa"/>
          </w:tcPr>
          <w:p w14:paraId="54C30FE7" w14:textId="77777777" w:rsidR="00902731" w:rsidRPr="000F4CC1" w:rsidRDefault="00902731" w:rsidP="007E26B5">
            <w:pPr>
              <w:rPr>
                <w:sz w:val="20"/>
                <w:szCs w:val="20"/>
              </w:rPr>
            </w:pPr>
            <w:r w:rsidRPr="000F4CC1">
              <w:rPr>
                <w:rFonts w:ascii="Calibri" w:eastAsia="Calibri" w:hAnsi="Calibri" w:cs="Calibri"/>
                <w:sz w:val="20"/>
                <w:szCs w:val="20"/>
              </w:rPr>
              <w:t>8,1%</w:t>
            </w:r>
          </w:p>
        </w:tc>
        <w:tc>
          <w:tcPr>
            <w:tcW w:w="2307" w:type="dxa"/>
          </w:tcPr>
          <w:p w14:paraId="5A45F3BF" w14:textId="0E1A34E0" w:rsidR="001D2230" w:rsidRPr="000F4CC1" w:rsidRDefault="001D2230" w:rsidP="007E26B5">
            <w:pPr>
              <w:rPr>
                <w:sz w:val="20"/>
                <w:szCs w:val="20"/>
              </w:rPr>
            </w:pPr>
            <w:r>
              <w:rPr>
                <w:rFonts w:ascii="Calibri" w:eastAsia="Calibri" w:hAnsi="Calibri" w:cs="Calibri"/>
                <w:sz w:val="20"/>
                <w:szCs w:val="20"/>
              </w:rPr>
              <w:t>3,62%</w:t>
            </w:r>
          </w:p>
        </w:tc>
        <w:tc>
          <w:tcPr>
            <w:tcW w:w="1468" w:type="dxa"/>
          </w:tcPr>
          <w:p w14:paraId="349C0FF8" w14:textId="196C39CF" w:rsidR="00902731" w:rsidRDefault="00902731" w:rsidP="007E26B5">
            <w:pPr>
              <w:rPr>
                <w:rFonts w:ascii="Calibri" w:eastAsia="Calibri" w:hAnsi="Calibri" w:cs="Calibri"/>
                <w:sz w:val="20"/>
                <w:szCs w:val="20"/>
              </w:rPr>
            </w:pPr>
          </w:p>
          <w:p w14:paraId="48A4D6A1" w14:textId="6CB89D94" w:rsidR="001D2230" w:rsidRPr="000F4CC1" w:rsidRDefault="001D2230" w:rsidP="007E26B5">
            <w:pPr>
              <w:rPr>
                <w:sz w:val="20"/>
                <w:szCs w:val="20"/>
              </w:rPr>
            </w:pPr>
            <w:r>
              <w:rPr>
                <w:rFonts w:ascii="Calibri" w:eastAsia="Calibri" w:hAnsi="Calibri" w:cs="Calibri"/>
                <w:sz w:val="20"/>
                <w:szCs w:val="20"/>
              </w:rPr>
              <w:t>5,97%</w:t>
            </w:r>
          </w:p>
        </w:tc>
      </w:tr>
      <w:tr w:rsidR="00902731" w:rsidRPr="00BF6615" w14:paraId="751B9EEE" w14:textId="77777777">
        <w:trPr>
          <w:cnfStyle w:val="000000010000" w:firstRow="0" w:lastRow="0" w:firstColumn="0" w:lastColumn="0" w:oddVBand="0" w:evenVBand="0" w:oddHBand="0" w:evenHBand="1" w:firstRowFirstColumn="0" w:firstRowLastColumn="0" w:lastRowFirstColumn="0" w:lastRowLastColumn="0"/>
          <w:trHeight w:val="300"/>
        </w:trPr>
        <w:tc>
          <w:tcPr>
            <w:tcW w:w="1899" w:type="dxa"/>
          </w:tcPr>
          <w:p w14:paraId="5A9DF9B8" w14:textId="77777777" w:rsidR="00902731" w:rsidRPr="000F4CC1" w:rsidRDefault="00902731" w:rsidP="007E26B5">
            <w:pPr>
              <w:rPr>
                <w:sz w:val="20"/>
                <w:szCs w:val="20"/>
              </w:rPr>
            </w:pPr>
            <w:r w:rsidRPr="000F4CC1">
              <w:rPr>
                <w:rFonts w:ascii="Calibri" w:eastAsia="Calibri" w:hAnsi="Calibri" w:cs="Calibri"/>
                <w:sz w:val="20"/>
                <w:szCs w:val="20"/>
              </w:rPr>
              <w:t>rzadziej niż raz w tygodniu</w:t>
            </w:r>
          </w:p>
        </w:tc>
        <w:tc>
          <w:tcPr>
            <w:tcW w:w="1432" w:type="dxa"/>
          </w:tcPr>
          <w:p w14:paraId="7981F95B" w14:textId="77777777" w:rsidR="00902731" w:rsidRPr="000F4CC1" w:rsidRDefault="00902731" w:rsidP="007E26B5">
            <w:pPr>
              <w:rPr>
                <w:sz w:val="20"/>
                <w:szCs w:val="20"/>
              </w:rPr>
            </w:pPr>
            <w:r w:rsidRPr="000F4CC1">
              <w:rPr>
                <w:rFonts w:ascii="Calibri" w:eastAsia="Calibri" w:hAnsi="Calibri" w:cs="Calibri"/>
                <w:sz w:val="20"/>
                <w:szCs w:val="20"/>
              </w:rPr>
              <w:t>0,9%</w:t>
            </w:r>
          </w:p>
        </w:tc>
        <w:tc>
          <w:tcPr>
            <w:tcW w:w="1433" w:type="dxa"/>
          </w:tcPr>
          <w:p w14:paraId="0A481F62" w14:textId="77777777" w:rsidR="00902731" w:rsidRPr="000F4CC1" w:rsidRDefault="00902731" w:rsidP="007E26B5">
            <w:pPr>
              <w:rPr>
                <w:sz w:val="20"/>
                <w:szCs w:val="20"/>
              </w:rPr>
            </w:pPr>
            <w:r w:rsidRPr="000F4CC1">
              <w:rPr>
                <w:rFonts w:ascii="Calibri" w:eastAsia="Calibri" w:hAnsi="Calibri" w:cs="Calibri"/>
                <w:sz w:val="20"/>
                <w:szCs w:val="20"/>
              </w:rPr>
              <w:t>0,26%</w:t>
            </w:r>
          </w:p>
        </w:tc>
        <w:tc>
          <w:tcPr>
            <w:tcW w:w="1432" w:type="dxa"/>
          </w:tcPr>
          <w:p w14:paraId="0BE8A7E1" w14:textId="77777777" w:rsidR="00902731" w:rsidRPr="000F4CC1" w:rsidRDefault="00902731" w:rsidP="007E26B5">
            <w:pPr>
              <w:rPr>
                <w:sz w:val="20"/>
                <w:szCs w:val="20"/>
              </w:rPr>
            </w:pPr>
            <w:r w:rsidRPr="000F4CC1">
              <w:rPr>
                <w:rFonts w:ascii="Calibri" w:eastAsia="Calibri" w:hAnsi="Calibri" w:cs="Calibri"/>
                <w:sz w:val="20"/>
                <w:szCs w:val="20"/>
              </w:rPr>
              <w:t>2,7%</w:t>
            </w:r>
          </w:p>
        </w:tc>
        <w:tc>
          <w:tcPr>
            <w:tcW w:w="2307" w:type="dxa"/>
          </w:tcPr>
          <w:p w14:paraId="777D1BD5" w14:textId="37A26008" w:rsidR="001D2230" w:rsidRPr="000F4CC1" w:rsidRDefault="001D2230" w:rsidP="007E26B5">
            <w:pPr>
              <w:rPr>
                <w:sz w:val="20"/>
                <w:szCs w:val="20"/>
              </w:rPr>
            </w:pPr>
            <w:r>
              <w:rPr>
                <w:rFonts w:ascii="Calibri" w:eastAsia="Calibri" w:hAnsi="Calibri" w:cs="Calibri"/>
                <w:sz w:val="20"/>
                <w:szCs w:val="20"/>
              </w:rPr>
              <w:t>0,42%</w:t>
            </w:r>
          </w:p>
        </w:tc>
        <w:tc>
          <w:tcPr>
            <w:tcW w:w="1468" w:type="dxa"/>
          </w:tcPr>
          <w:p w14:paraId="15A1A3F5" w14:textId="33484B4E" w:rsidR="001D2230" w:rsidRPr="000F4CC1" w:rsidRDefault="001D2230" w:rsidP="007E26B5">
            <w:pPr>
              <w:rPr>
                <w:sz w:val="20"/>
                <w:szCs w:val="20"/>
              </w:rPr>
            </w:pPr>
            <w:r>
              <w:rPr>
                <w:rFonts w:ascii="Calibri" w:eastAsia="Calibri" w:hAnsi="Calibri" w:cs="Calibri"/>
                <w:sz w:val="20"/>
                <w:szCs w:val="20"/>
              </w:rPr>
              <w:t>1,72%</w:t>
            </w:r>
          </w:p>
        </w:tc>
      </w:tr>
    </w:tbl>
    <w:p w14:paraId="3FAD01C1" w14:textId="77777777" w:rsidR="00902731" w:rsidRPr="000F4CC1" w:rsidRDefault="00902731" w:rsidP="007E26B5">
      <w:pPr>
        <w:pStyle w:val="Legenda"/>
        <w:rPr>
          <w:color w:val="auto"/>
        </w:rPr>
      </w:pPr>
      <w:r w:rsidRPr="000F4CC1">
        <w:rPr>
          <w:color w:val="auto"/>
        </w:rPr>
        <w:t>Źródło: opracowanie własne na podstawie danych GUS, Wykorzystanie technologii informacyjno-komunikacyjnych w przedsiębiorstwach i gospodarstwach domowych w 2024 roku.</w:t>
      </w:r>
    </w:p>
    <w:p w14:paraId="73B05763" w14:textId="44BC7202" w:rsidR="00C1691E" w:rsidRPr="00BF6615" w:rsidRDefault="00C1691E" w:rsidP="007E26B5">
      <w:pPr>
        <w:spacing w:after="160" w:line="259" w:lineRule="auto"/>
        <w:rPr>
          <w:rFonts w:cstheme="minorHAnsi"/>
        </w:rPr>
      </w:pPr>
      <w:r w:rsidRPr="00BF6615">
        <w:rPr>
          <w:rFonts w:cstheme="minorHAnsi"/>
        </w:rPr>
        <w:t>Dane pokazują, że w okresie ostatnich 3 miesięcy poprzedzających badanie w 2024 roku 88,6% badanych korzystała z Internetu, przy czym w grupie wiekowej 65-74 lata było to 59,5%, a w grupie osób z niepełnosprawnościami 64,4%. Widać tutaj wyraźny spadek osób korzystających w tych dwóch grupach w stosunku do średniej.</w:t>
      </w:r>
    </w:p>
    <w:p w14:paraId="4F1558F7" w14:textId="77777777" w:rsidR="00C1691E" w:rsidRPr="00BF6615" w:rsidRDefault="00C1691E" w:rsidP="007E26B5">
      <w:pPr>
        <w:rPr>
          <w:rFonts w:cstheme="minorHAnsi"/>
        </w:rPr>
      </w:pPr>
      <w:r w:rsidRPr="00BF6615">
        <w:rPr>
          <w:rFonts w:cstheme="minorHAnsi"/>
        </w:rPr>
        <w:t>Badane osoby korzystały z Internetu w różnych celach, z czego najczęściej w celu komunikowania się oraz w zakresie dostępu do informacji. W grupie osób starszych (65-74) lata przeważał cel związany z dostępem do informacji, a w grupie osób z niepełnosprawnościami cel komunikacyjny.</w:t>
      </w:r>
    </w:p>
    <w:p w14:paraId="65748BF3" w14:textId="77777777" w:rsidR="00C1691E" w:rsidRPr="00BF6615" w:rsidRDefault="00C1691E" w:rsidP="007E26B5">
      <w:pPr>
        <w:pStyle w:val="Legenda"/>
        <w:spacing w:line="276" w:lineRule="auto"/>
        <w:rPr>
          <w:rFonts w:cstheme="minorHAnsi"/>
        </w:rPr>
        <w:sectPr w:rsidR="00C1691E" w:rsidRPr="00BF6615" w:rsidSect="00C1691E">
          <w:footerReference w:type="even" r:id="rId12"/>
          <w:footerReference w:type="default" r:id="rId13"/>
          <w:pgSz w:w="11906" w:h="16838"/>
          <w:pgMar w:top="851" w:right="1417" w:bottom="1417" w:left="1417" w:header="708" w:footer="708" w:gutter="0"/>
          <w:cols w:space="708"/>
          <w:docGrid w:linePitch="360"/>
        </w:sectPr>
      </w:pPr>
    </w:p>
    <w:p w14:paraId="4329D7F3" w14:textId="0611E994" w:rsidR="00C1691E" w:rsidRPr="00BF6615" w:rsidRDefault="00C1691E" w:rsidP="00A21AC1">
      <w:pPr>
        <w:pStyle w:val="Legenda"/>
        <w:pageBreakBefore/>
        <w:spacing w:line="276" w:lineRule="auto"/>
        <w:rPr>
          <w:rFonts w:cstheme="minorHAnsi"/>
        </w:rPr>
      </w:pPr>
      <w:bookmarkStart w:id="11" w:name="_Toc196335269"/>
      <w:bookmarkStart w:id="12" w:name="_Toc204179102"/>
      <w:r w:rsidRPr="00BF6615">
        <w:rPr>
          <w:rFonts w:cstheme="minorHAnsi"/>
        </w:rPr>
        <w:lastRenderedPageBreak/>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4</w:t>
      </w:r>
      <w:r w:rsidRPr="00BF6615">
        <w:rPr>
          <w:rFonts w:cstheme="minorHAnsi"/>
        </w:rPr>
        <w:fldChar w:fldCharType="end"/>
      </w:r>
      <w:r w:rsidR="00A21AC1">
        <w:rPr>
          <w:rFonts w:cstheme="minorHAnsi"/>
        </w:rPr>
        <w:t>.</w:t>
      </w:r>
      <w:r w:rsidRPr="00BF6615">
        <w:rPr>
          <w:rFonts w:cstheme="minorHAnsi"/>
        </w:rPr>
        <w:t xml:space="preserve"> Cel korzystania z Internetu w sprawach prywatnych w ciągu ostatnich 3 miesięcy</w:t>
      </w:r>
      <w:bookmarkEnd w:id="11"/>
      <w:bookmarkEnd w:id="12"/>
    </w:p>
    <w:tbl>
      <w:tblPr>
        <w:tblStyle w:val="PARP"/>
        <w:tblW w:w="10060" w:type="dxa"/>
        <w:tblLayout w:type="fixed"/>
        <w:tblCellMar>
          <w:left w:w="28" w:type="dxa"/>
          <w:right w:w="28" w:type="dxa"/>
        </w:tblCellMar>
        <w:tblLook w:val="04A0" w:firstRow="1" w:lastRow="0" w:firstColumn="1" w:lastColumn="0" w:noHBand="0" w:noVBand="1"/>
        <w:tblCaption w:val="Cel korzystania z Internetu w sprawach prywatnych w ciągu ostatnich 3 miesięcy"/>
        <w:tblDescription w:val="W kolumnach: &#10;Cel  Ogół badanych (25,8 mln osób) Osoby w wieku największej aktywności zawodowej (25-54 lata)  Osoby starsze 65-74 lata Osoby z niepełnosprawnościami (w tym osoby korzystające z pomocy społecznej) Osoby z ograniczeniami wykonywania codziennych czynności z powodu problemów zdrowotnych"/>
      </w:tblPr>
      <w:tblGrid>
        <w:gridCol w:w="3256"/>
        <w:gridCol w:w="992"/>
        <w:gridCol w:w="850"/>
        <w:gridCol w:w="851"/>
        <w:gridCol w:w="2126"/>
        <w:gridCol w:w="1985"/>
      </w:tblGrid>
      <w:tr w:rsidR="00D024E8" w:rsidRPr="000F4CC1" w14:paraId="0B8CE4E8" w14:textId="77777777" w:rsidTr="00D024E8">
        <w:trPr>
          <w:cnfStyle w:val="100000000000" w:firstRow="1" w:lastRow="0" w:firstColumn="0" w:lastColumn="0" w:oddVBand="0" w:evenVBand="0" w:oddHBand="0" w:evenHBand="0" w:firstRowFirstColumn="0" w:firstRowLastColumn="0" w:lastRowFirstColumn="0" w:lastRowLastColumn="0"/>
          <w:cantSplit/>
        </w:trPr>
        <w:tc>
          <w:tcPr>
            <w:tcW w:w="3256" w:type="dxa"/>
          </w:tcPr>
          <w:p w14:paraId="374E4F15" w14:textId="77777777"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 xml:space="preserve">Cel </w:t>
            </w:r>
          </w:p>
        </w:tc>
        <w:tc>
          <w:tcPr>
            <w:tcW w:w="992" w:type="dxa"/>
          </w:tcPr>
          <w:p w14:paraId="523CAF3F" w14:textId="77777777"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Ogół badanych (25,8 mln osób)</w:t>
            </w:r>
          </w:p>
        </w:tc>
        <w:tc>
          <w:tcPr>
            <w:tcW w:w="850" w:type="dxa"/>
          </w:tcPr>
          <w:p w14:paraId="7D1BDCD3" w14:textId="13F2DCC4"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Osoby w wieku 25-54 lata</w:t>
            </w:r>
          </w:p>
        </w:tc>
        <w:tc>
          <w:tcPr>
            <w:tcW w:w="851" w:type="dxa"/>
          </w:tcPr>
          <w:p w14:paraId="30F37BCC" w14:textId="77777777"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Osoby starsze 65-74 lata</w:t>
            </w:r>
          </w:p>
        </w:tc>
        <w:tc>
          <w:tcPr>
            <w:tcW w:w="2126" w:type="dxa"/>
          </w:tcPr>
          <w:p w14:paraId="07E0FF61" w14:textId="670C0C9D"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 xml:space="preserve">Osoby </w:t>
            </w:r>
            <w:r w:rsidR="000F4CC1">
              <w:rPr>
                <w:rFonts w:asciiTheme="minorHAnsi" w:hAnsiTheme="minorHAnsi" w:cstheme="minorHAnsi"/>
                <w:sz w:val="20"/>
                <w:szCs w:val="20"/>
              </w:rPr>
              <w:t>z</w:t>
            </w:r>
            <w:r w:rsidRPr="000F4CC1">
              <w:rPr>
                <w:rFonts w:asciiTheme="minorHAnsi" w:hAnsiTheme="minorHAnsi" w:cstheme="minorHAnsi"/>
                <w:sz w:val="20"/>
                <w:szCs w:val="20"/>
              </w:rPr>
              <w:t xml:space="preserve"> niepełnosprawnościami </w:t>
            </w:r>
          </w:p>
        </w:tc>
        <w:tc>
          <w:tcPr>
            <w:tcW w:w="1985" w:type="dxa"/>
          </w:tcPr>
          <w:p w14:paraId="5DB1DD8A" w14:textId="77777777"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Osoby z ograniczeniami wykonywania codziennych czynności z powodu problemów zdrowotnych</w:t>
            </w:r>
          </w:p>
        </w:tc>
      </w:tr>
      <w:tr w:rsidR="00D024E8" w:rsidRPr="000F4CC1" w14:paraId="1CC3D674" w14:textId="77777777" w:rsidTr="00D024E8">
        <w:trPr>
          <w:cnfStyle w:val="000000100000" w:firstRow="0" w:lastRow="0" w:firstColumn="0" w:lastColumn="0" w:oddVBand="0" w:evenVBand="0" w:oddHBand="1" w:evenHBand="0" w:firstRowFirstColumn="0" w:firstRowLastColumn="0" w:lastRowFirstColumn="0" w:lastRowLastColumn="0"/>
          <w:cantSplit/>
        </w:trPr>
        <w:tc>
          <w:tcPr>
            <w:tcW w:w="3256" w:type="dxa"/>
          </w:tcPr>
          <w:p w14:paraId="37364FBB" w14:textId="440190A6" w:rsidR="00C1691E" w:rsidRPr="000F4CC1" w:rsidRDefault="00C1691E" w:rsidP="007E26B5">
            <w:pPr>
              <w:rPr>
                <w:rFonts w:cstheme="minorHAnsi"/>
                <w:sz w:val="20"/>
                <w:szCs w:val="20"/>
              </w:rPr>
            </w:pPr>
            <w:r w:rsidRPr="000F4CC1">
              <w:rPr>
                <w:rFonts w:cstheme="minorHAnsi"/>
                <w:sz w:val="20"/>
                <w:szCs w:val="20"/>
              </w:rPr>
              <w:t>Komunikowanie się (wysyłanie i odbieranie e-maili, rozmowy głosowe i video, korzystanie z stron/aplikacji społecznościowych, korzystanie z komunikatorów)</w:t>
            </w:r>
          </w:p>
        </w:tc>
        <w:tc>
          <w:tcPr>
            <w:tcW w:w="992" w:type="dxa"/>
          </w:tcPr>
          <w:p w14:paraId="399D7C4B" w14:textId="77777777" w:rsidR="00C1691E" w:rsidRPr="000F4CC1" w:rsidRDefault="00C1691E" w:rsidP="007E26B5">
            <w:pPr>
              <w:rPr>
                <w:rFonts w:cstheme="minorHAnsi"/>
                <w:sz w:val="20"/>
                <w:szCs w:val="20"/>
              </w:rPr>
            </w:pPr>
            <w:r w:rsidRPr="000F4CC1">
              <w:rPr>
                <w:rFonts w:cstheme="minorHAnsi"/>
                <w:sz w:val="20"/>
                <w:szCs w:val="20"/>
              </w:rPr>
              <w:t>83,6%</w:t>
            </w:r>
          </w:p>
        </w:tc>
        <w:tc>
          <w:tcPr>
            <w:tcW w:w="850" w:type="dxa"/>
          </w:tcPr>
          <w:p w14:paraId="69B62E66" w14:textId="77777777" w:rsidR="00C1691E" w:rsidRPr="000F4CC1" w:rsidRDefault="00C1691E" w:rsidP="007E26B5">
            <w:pPr>
              <w:rPr>
                <w:rFonts w:cstheme="minorHAnsi"/>
                <w:sz w:val="20"/>
                <w:szCs w:val="20"/>
              </w:rPr>
            </w:pPr>
            <w:r w:rsidRPr="000F4CC1">
              <w:rPr>
                <w:rFonts w:cstheme="minorHAnsi"/>
                <w:sz w:val="20"/>
                <w:szCs w:val="20"/>
              </w:rPr>
              <w:t>94,6%</w:t>
            </w:r>
          </w:p>
        </w:tc>
        <w:tc>
          <w:tcPr>
            <w:tcW w:w="851" w:type="dxa"/>
          </w:tcPr>
          <w:p w14:paraId="0D1EE124" w14:textId="77777777" w:rsidR="00C1691E" w:rsidRPr="000F4CC1" w:rsidRDefault="00C1691E" w:rsidP="007E26B5">
            <w:pPr>
              <w:rPr>
                <w:rFonts w:cstheme="minorHAnsi"/>
                <w:sz w:val="20"/>
                <w:szCs w:val="20"/>
              </w:rPr>
            </w:pPr>
            <w:r w:rsidRPr="000F4CC1">
              <w:rPr>
                <w:rFonts w:cstheme="minorHAnsi"/>
                <w:sz w:val="20"/>
                <w:szCs w:val="20"/>
              </w:rPr>
              <w:t>47,2%</w:t>
            </w:r>
          </w:p>
        </w:tc>
        <w:tc>
          <w:tcPr>
            <w:tcW w:w="2126" w:type="dxa"/>
          </w:tcPr>
          <w:p w14:paraId="74AFCCA2" w14:textId="2F0E03A9" w:rsidR="001D2230" w:rsidRPr="000F4CC1" w:rsidRDefault="001D2230" w:rsidP="007E26B5">
            <w:pPr>
              <w:rPr>
                <w:rFonts w:cstheme="minorHAnsi"/>
                <w:sz w:val="20"/>
                <w:szCs w:val="20"/>
              </w:rPr>
            </w:pPr>
            <w:r>
              <w:rPr>
                <w:rFonts w:cstheme="minorHAnsi"/>
                <w:sz w:val="20"/>
                <w:szCs w:val="20"/>
              </w:rPr>
              <w:t>61,16%</w:t>
            </w:r>
          </w:p>
        </w:tc>
        <w:tc>
          <w:tcPr>
            <w:tcW w:w="1985" w:type="dxa"/>
          </w:tcPr>
          <w:p w14:paraId="174A69A6" w14:textId="174487E4" w:rsidR="001D2230" w:rsidRPr="000F4CC1" w:rsidRDefault="001D2230" w:rsidP="007E26B5">
            <w:pPr>
              <w:rPr>
                <w:rFonts w:cstheme="minorHAnsi"/>
                <w:sz w:val="20"/>
                <w:szCs w:val="20"/>
              </w:rPr>
            </w:pPr>
            <w:r>
              <w:rPr>
                <w:rFonts w:cstheme="minorHAnsi"/>
                <w:sz w:val="20"/>
                <w:szCs w:val="20"/>
              </w:rPr>
              <w:t>56,46%</w:t>
            </w:r>
          </w:p>
        </w:tc>
      </w:tr>
      <w:tr w:rsidR="00D024E8" w:rsidRPr="000F4CC1" w14:paraId="24438B5D" w14:textId="77777777" w:rsidTr="00D024E8">
        <w:trPr>
          <w:cnfStyle w:val="000000010000" w:firstRow="0" w:lastRow="0" w:firstColumn="0" w:lastColumn="0" w:oddVBand="0" w:evenVBand="0" w:oddHBand="0" w:evenHBand="1" w:firstRowFirstColumn="0" w:firstRowLastColumn="0" w:lastRowFirstColumn="0" w:lastRowLastColumn="0"/>
          <w:cantSplit/>
        </w:trPr>
        <w:tc>
          <w:tcPr>
            <w:tcW w:w="3256" w:type="dxa"/>
          </w:tcPr>
          <w:p w14:paraId="2006EF1E" w14:textId="77777777" w:rsidR="00C1691E" w:rsidRPr="000F4CC1" w:rsidRDefault="00C1691E" w:rsidP="007E26B5">
            <w:pPr>
              <w:rPr>
                <w:rFonts w:cstheme="minorHAnsi"/>
                <w:sz w:val="20"/>
                <w:szCs w:val="20"/>
              </w:rPr>
            </w:pPr>
            <w:r w:rsidRPr="000F4CC1">
              <w:rPr>
                <w:rFonts w:cstheme="minorHAnsi"/>
                <w:sz w:val="20"/>
                <w:szCs w:val="20"/>
              </w:rPr>
              <w:t>Dostęp do informacji (czytanie on-line wiadomości, gazet; wyszukiwanie informacji o towarach lub usługach)</w:t>
            </w:r>
          </w:p>
        </w:tc>
        <w:tc>
          <w:tcPr>
            <w:tcW w:w="992" w:type="dxa"/>
          </w:tcPr>
          <w:p w14:paraId="4510169C" w14:textId="77777777" w:rsidR="00C1691E" w:rsidRPr="000F4CC1" w:rsidRDefault="00C1691E" w:rsidP="007E26B5">
            <w:pPr>
              <w:rPr>
                <w:rFonts w:cstheme="minorHAnsi"/>
                <w:sz w:val="20"/>
                <w:szCs w:val="20"/>
              </w:rPr>
            </w:pPr>
            <w:r w:rsidRPr="000F4CC1">
              <w:rPr>
                <w:rFonts w:cstheme="minorHAnsi"/>
                <w:sz w:val="20"/>
                <w:szCs w:val="20"/>
              </w:rPr>
              <w:t>81,4%</w:t>
            </w:r>
          </w:p>
        </w:tc>
        <w:tc>
          <w:tcPr>
            <w:tcW w:w="850" w:type="dxa"/>
          </w:tcPr>
          <w:p w14:paraId="154027CE" w14:textId="77777777" w:rsidR="00C1691E" w:rsidRPr="000F4CC1" w:rsidRDefault="00C1691E" w:rsidP="007E26B5">
            <w:pPr>
              <w:rPr>
                <w:rFonts w:cstheme="minorHAnsi"/>
                <w:sz w:val="20"/>
                <w:szCs w:val="20"/>
              </w:rPr>
            </w:pPr>
            <w:r w:rsidRPr="000F4CC1">
              <w:rPr>
                <w:rFonts w:cstheme="minorHAnsi"/>
                <w:sz w:val="20"/>
                <w:szCs w:val="20"/>
              </w:rPr>
              <w:t>90,4%</w:t>
            </w:r>
          </w:p>
        </w:tc>
        <w:tc>
          <w:tcPr>
            <w:tcW w:w="851" w:type="dxa"/>
          </w:tcPr>
          <w:p w14:paraId="5943C81A" w14:textId="77777777" w:rsidR="00C1691E" w:rsidRPr="000F4CC1" w:rsidRDefault="00C1691E" w:rsidP="007E26B5">
            <w:pPr>
              <w:rPr>
                <w:rFonts w:cstheme="minorHAnsi"/>
                <w:sz w:val="20"/>
                <w:szCs w:val="20"/>
              </w:rPr>
            </w:pPr>
            <w:r w:rsidRPr="000F4CC1">
              <w:rPr>
                <w:rFonts w:cstheme="minorHAnsi"/>
                <w:sz w:val="20"/>
                <w:szCs w:val="20"/>
              </w:rPr>
              <w:t>53,1%</w:t>
            </w:r>
          </w:p>
        </w:tc>
        <w:tc>
          <w:tcPr>
            <w:tcW w:w="2126" w:type="dxa"/>
          </w:tcPr>
          <w:p w14:paraId="1860651D" w14:textId="2703DE6B" w:rsidR="002F0361" w:rsidRPr="000F4CC1" w:rsidRDefault="002F0361" w:rsidP="007E26B5">
            <w:pPr>
              <w:rPr>
                <w:rFonts w:cstheme="minorHAnsi"/>
                <w:sz w:val="20"/>
                <w:szCs w:val="20"/>
              </w:rPr>
            </w:pPr>
            <w:r>
              <w:rPr>
                <w:rFonts w:cstheme="minorHAnsi"/>
                <w:sz w:val="20"/>
                <w:szCs w:val="20"/>
              </w:rPr>
              <w:t>61,57%</w:t>
            </w:r>
          </w:p>
        </w:tc>
        <w:tc>
          <w:tcPr>
            <w:tcW w:w="1985" w:type="dxa"/>
          </w:tcPr>
          <w:p w14:paraId="4513D0F1" w14:textId="02EF5FDC" w:rsidR="002F0361" w:rsidRPr="000F4CC1" w:rsidRDefault="002F0361" w:rsidP="007E26B5">
            <w:pPr>
              <w:rPr>
                <w:rFonts w:cstheme="minorHAnsi"/>
                <w:sz w:val="20"/>
                <w:szCs w:val="20"/>
              </w:rPr>
            </w:pPr>
            <w:r>
              <w:rPr>
                <w:rFonts w:cstheme="minorHAnsi"/>
                <w:sz w:val="20"/>
                <w:szCs w:val="20"/>
              </w:rPr>
              <w:t>56,55%</w:t>
            </w:r>
          </w:p>
        </w:tc>
      </w:tr>
      <w:tr w:rsidR="00D024E8" w:rsidRPr="000F4CC1" w14:paraId="6DCD41CF" w14:textId="77777777" w:rsidTr="00D024E8">
        <w:trPr>
          <w:cnfStyle w:val="000000100000" w:firstRow="0" w:lastRow="0" w:firstColumn="0" w:lastColumn="0" w:oddVBand="0" w:evenVBand="0" w:oddHBand="1" w:evenHBand="0" w:firstRowFirstColumn="0" w:firstRowLastColumn="0" w:lastRowFirstColumn="0" w:lastRowLastColumn="0"/>
          <w:cantSplit/>
        </w:trPr>
        <w:tc>
          <w:tcPr>
            <w:tcW w:w="3256" w:type="dxa"/>
          </w:tcPr>
          <w:p w14:paraId="4E463225" w14:textId="77777777" w:rsidR="00C1691E" w:rsidRPr="000F4CC1" w:rsidRDefault="00C1691E" w:rsidP="007E26B5">
            <w:pPr>
              <w:rPr>
                <w:rFonts w:cstheme="minorHAnsi"/>
                <w:sz w:val="20"/>
                <w:szCs w:val="20"/>
              </w:rPr>
            </w:pPr>
            <w:r w:rsidRPr="000F4CC1">
              <w:rPr>
                <w:rFonts w:cstheme="minorHAnsi"/>
                <w:sz w:val="20"/>
                <w:szCs w:val="20"/>
              </w:rPr>
              <w:t>Uczestnictwo w sprawach społecznych i politycznych (wyrażanie opinii w sprawach społecznych lub politycznych na stronach internetowych lub w serwisach społecznościowych; udział on-line w konsultacjach społecznych, głosowanie w sprawach obywatelskich lub politycznych)</w:t>
            </w:r>
          </w:p>
        </w:tc>
        <w:tc>
          <w:tcPr>
            <w:tcW w:w="992" w:type="dxa"/>
          </w:tcPr>
          <w:p w14:paraId="75FE9A97" w14:textId="77777777" w:rsidR="00C1691E" w:rsidRPr="000F4CC1" w:rsidRDefault="00C1691E" w:rsidP="007E26B5">
            <w:pPr>
              <w:rPr>
                <w:rFonts w:cstheme="minorHAnsi"/>
                <w:sz w:val="20"/>
                <w:szCs w:val="20"/>
              </w:rPr>
            </w:pPr>
            <w:r w:rsidRPr="000F4CC1">
              <w:rPr>
                <w:rFonts w:cstheme="minorHAnsi"/>
                <w:sz w:val="20"/>
                <w:szCs w:val="20"/>
              </w:rPr>
              <w:t>15,8%</w:t>
            </w:r>
          </w:p>
        </w:tc>
        <w:tc>
          <w:tcPr>
            <w:tcW w:w="850" w:type="dxa"/>
          </w:tcPr>
          <w:p w14:paraId="437D9B4D" w14:textId="77777777" w:rsidR="00C1691E" w:rsidRPr="000F4CC1" w:rsidRDefault="00C1691E" w:rsidP="007E26B5">
            <w:pPr>
              <w:rPr>
                <w:rFonts w:cstheme="minorHAnsi"/>
                <w:sz w:val="20"/>
                <w:szCs w:val="20"/>
              </w:rPr>
            </w:pPr>
            <w:r w:rsidRPr="000F4CC1">
              <w:rPr>
                <w:rFonts w:cstheme="minorHAnsi"/>
                <w:sz w:val="20"/>
                <w:szCs w:val="20"/>
              </w:rPr>
              <w:t>19,3%</w:t>
            </w:r>
          </w:p>
        </w:tc>
        <w:tc>
          <w:tcPr>
            <w:tcW w:w="851" w:type="dxa"/>
          </w:tcPr>
          <w:p w14:paraId="44BBA9F8" w14:textId="77777777" w:rsidR="00C1691E" w:rsidRPr="000F4CC1" w:rsidRDefault="00C1691E" w:rsidP="007E26B5">
            <w:pPr>
              <w:rPr>
                <w:rFonts w:cstheme="minorHAnsi"/>
                <w:sz w:val="20"/>
                <w:szCs w:val="20"/>
              </w:rPr>
            </w:pPr>
            <w:r w:rsidRPr="000F4CC1">
              <w:rPr>
                <w:rFonts w:cstheme="minorHAnsi"/>
                <w:sz w:val="20"/>
                <w:szCs w:val="20"/>
              </w:rPr>
              <w:t>7,0%</w:t>
            </w:r>
          </w:p>
        </w:tc>
        <w:tc>
          <w:tcPr>
            <w:tcW w:w="2126" w:type="dxa"/>
          </w:tcPr>
          <w:p w14:paraId="6E74767E" w14:textId="550469DA" w:rsidR="002F0361" w:rsidRPr="000F4CC1" w:rsidRDefault="002F0361" w:rsidP="007E26B5">
            <w:pPr>
              <w:rPr>
                <w:rFonts w:cstheme="minorHAnsi"/>
                <w:sz w:val="20"/>
                <w:szCs w:val="20"/>
              </w:rPr>
            </w:pPr>
            <w:r>
              <w:rPr>
                <w:rFonts w:cstheme="minorHAnsi"/>
                <w:sz w:val="20"/>
                <w:szCs w:val="20"/>
              </w:rPr>
              <w:t>9</w:t>
            </w:r>
            <w:r w:rsidR="00722593">
              <w:rPr>
                <w:rFonts w:cstheme="minorHAnsi"/>
                <w:sz w:val="20"/>
                <w:szCs w:val="20"/>
              </w:rPr>
              <w:t>,</w:t>
            </w:r>
            <w:r>
              <w:rPr>
                <w:rFonts w:cstheme="minorHAnsi"/>
                <w:sz w:val="20"/>
                <w:szCs w:val="20"/>
              </w:rPr>
              <w:t>76%</w:t>
            </w:r>
          </w:p>
        </w:tc>
        <w:tc>
          <w:tcPr>
            <w:tcW w:w="1985" w:type="dxa"/>
          </w:tcPr>
          <w:p w14:paraId="04F2B318" w14:textId="5B4B0E45" w:rsidR="002F0361" w:rsidRPr="000F4CC1" w:rsidRDefault="002F0361" w:rsidP="007E26B5">
            <w:pPr>
              <w:rPr>
                <w:rFonts w:cstheme="minorHAnsi"/>
                <w:sz w:val="20"/>
                <w:szCs w:val="20"/>
              </w:rPr>
            </w:pPr>
            <w:r>
              <w:rPr>
                <w:rFonts w:cstheme="minorHAnsi"/>
                <w:sz w:val="20"/>
                <w:szCs w:val="20"/>
              </w:rPr>
              <w:t>10,77%</w:t>
            </w:r>
          </w:p>
        </w:tc>
      </w:tr>
      <w:tr w:rsidR="00D024E8" w:rsidRPr="000F4CC1" w14:paraId="64AFF566" w14:textId="77777777" w:rsidTr="00D024E8">
        <w:trPr>
          <w:cnfStyle w:val="000000010000" w:firstRow="0" w:lastRow="0" w:firstColumn="0" w:lastColumn="0" w:oddVBand="0" w:evenVBand="0" w:oddHBand="0" w:evenHBand="1" w:firstRowFirstColumn="0" w:firstRowLastColumn="0" w:lastRowFirstColumn="0" w:lastRowLastColumn="0"/>
          <w:cantSplit/>
        </w:trPr>
        <w:tc>
          <w:tcPr>
            <w:tcW w:w="3256" w:type="dxa"/>
          </w:tcPr>
          <w:p w14:paraId="766294D6" w14:textId="77777777" w:rsidR="00C1691E" w:rsidRPr="000F4CC1" w:rsidRDefault="00C1691E" w:rsidP="007E26B5">
            <w:pPr>
              <w:rPr>
                <w:rFonts w:cstheme="minorHAnsi"/>
                <w:sz w:val="20"/>
                <w:szCs w:val="20"/>
              </w:rPr>
            </w:pPr>
            <w:r w:rsidRPr="000F4CC1">
              <w:rPr>
                <w:rFonts w:cstheme="minorHAnsi"/>
                <w:sz w:val="20"/>
                <w:szCs w:val="20"/>
              </w:rPr>
              <w:t>Praca (szukanie pracy, aplikowanie o pracę, wysyłanie CV)</w:t>
            </w:r>
          </w:p>
        </w:tc>
        <w:tc>
          <w:tcPr>
            <w:tcW w:w="992" w:type="dxa"/>
          </w:tcPr>
          <w:p w14:paraId="3EF4D2A6" w14:textId="77777777" w:rsidR="00C1691E" w:rsidRPr="000F4CC1" w:rsidRDefault="00C1691E" w:rsidP="007E26B5">
            <w:pPr>
              <w:rPr>
                <w:rFonts w:cstheme="minorHAnsi"/>
                <w:sz w:val="20"/>
                <w:szCs w:val="20"/>
              </w:rPr>
            </w:pPr>
            <w:r w:rsidRPr="000F4CC1">
              <w:rPr>
                <w:rFonts w:cstheme="minorHAnsi"/>
                <w:sz w:val="20"/>
                <w:szCs w:val="20"/>
              </w:rPr>
              <w:t>7,8%</w:t>
            </w:r>
          </w:p>
        </w:tc>
        <w:tc>
          <w:tcPr>
            <w:tcW w:w="850" w:type="dxa"/>
          </w:tcPr>
          <w:p w14:paraId="5141FC5A" w14:textId="77777777" w:rsidR="00C1691E" w:rsidRPr="000F4CC1" w:rsidRDefault="00C1691E" w:rsidP="007E26B5">
            <w:pPr>
              <w:rPr>
                <w:rFonts w:cstheme="minorHAnsi"/>
                <w:sz w:val="20"/>
                <w:szCs w:val="20"/>
              </w:rPr>
            </w:pPr>
            <w:r w:rsidRPr="000F4CC1">
              <w:rPr>
                <w:rFonts w:cstheme="minorHAnsi"/>
                <w:sz w:val="20"/>
                <w:szCs w:val="20"/>
              </w:rPr>
              <w:t>11,5%</w:t>
            </w:r>
          </w:p>
        </w:tc>
        <w:tc>
          <w:tcPr>
            <w:tcW w:w="851" w:type="dxa"/>
          </w:tcPr>
          <w:p w14:paraId="6B7ADE90" w14:textId="77777777" w:rsidR="00C1691E" w:rsidRPr="000F4CC1" w:rsidRDefault="00C1691E" w:rsidP="007E26B5">
            <w:pPr>
              <w:rPr>
                <w:rFonts w:cstheme="minorHAnsi"/>
                <w:sz w:val="20"/>
                <w:szCs w:val="20"/>
              </w:rPr>
            </w:pPr>
            <w:r w:rsidRPr="000F4CC1">
              <w:rPr>
                <w:rFonts w:cstheme="minorHAnsi"/>
                <w:sz w:val="20"/>
                <w:szCs w:val="20"/>
              </w:rPr>
              <w:t>0,3%</w:t>
            </w:r>
          </w:p>
        </w:tc>
        <w:tc>
          <w:tcPr>
            <w:tcW w:w="2126" w:type="dxa"/>
          </w:tcPr>
          <w:p w14:paraId="63B91A4B" w14:textId="48EF7138" w:rsidR="002F0361" w:rsidRPr="000F4CC1" w:rsidRDefault="002F0361" w:rsidP="007E26B5">
            <w:pPr>
              <w:rPr>
                <w:rFonts w:cstheme="minorHAnsi"/>
                <w:sz w:val="20"/>
                <w:szCs w:val="20"/>
              </w:rPr>
            </w:pPr>
            <w:r>
              <w:rPr>
                <w:rFonts w:cstheme="minorHAnsi"/>
                <w:sz w:val="20"/>
                <w:szCs w:val="20"/>
              </w:rPr>
              <w:t>3,28%</w:t>
            </w:r>
          </w:p>
        </w:tc>
        <w:tc>
          <w:tcPr>
            <w:tcW w:w="1985" w:type="dxa"/>
          </w:tcPr>
          <w:p w14:paraId="4F32A34F" w14:textId="3EDC6C33" w:rsidR="002F0361" w:rsidRPr="000F4CC1" w:rsidRDefault="002F0361" w:rsidP="007E26B5">
            <w:pPr>
              <w:rPr>
                <w:rFonts w:cstheme="minorHAnsi"/>
                <w:sz w:val="20"/>
                <w:szCs w:val="20"/>
              </w:rPr>
            </w:pPr>
            <w:r>
              <w:rPr>
                <w:rFonts w:cstheme="minorHAnsi"/>
                <w:sz w:val="20"/>
                <w:szCs w:val="20"/>
              </w:rPr>
              <w:t>3,73%</w:t>
            </w:r>
          </w:p>
        </w:tc>
      </w:tr>
      <w:tr w:rsidR="00D024E8" w:rsidRPr="000F4CC1" w14:paraId="0225B8A7" w14:textId="77777777" w:rsidTr="00D024E8">
        <w:trPr>
          <w:cnfStyle w:val="000000100000" w:firstRow="0" w:lastRow="0" w:firstColumn="0" w:lastColumn="0" w:oddVBand="0" w:evenVBand="0" w:oddHBand="1" w:evenHBand="0" w:firstRowFirstColumn="0" w:firstRowLastColumn="0" w:lastRowFirstColumn="0" w:lastRowLastColumn="0"/>
          <w:cantSplit/>
        </w:trPr>
        <w:tc>
          <w:tcPr>
            <w:tcW w:w="3256" w:type="dxa"/>
          </w:tcPr>
          <w:p w14:paraId="4D6632E1" w14:textId="77777777" w:rsidR="00C1691E" w:rsidRPr="000F4CC1" w:rsidRDefault="00C1691E" w:rsidP="007E26B5">
            <w:pPr>
              <w:rPr>
                <w:rFonts w:cstheme="minorHAnsi"/>
                <w:sz w:val="20"/>
                <w:szCs w:val="20"/>
              </w:rPr>
            </w:pPr>
            <w:r w:rsidRPr="000F4CC1">
              <w:rPr>
                <w:rFonts w:cstheme="minorHAnsi"/>
                <w:sz w:val="20"/>
                <w:szCs w:val="20"/>
              </w:rPr>
              <w:t>Rozrywka (słuchanie muzyki pobranej lub w formie streamingu; oglądanie telewizji emitowanej przez nadawcę telewizyjnego przez Internet; oglądanie wideo na żądanie; oglądanie nagrań wideo z stron/aplikacji tworzonych przez użytkowników; granie w gry komputerowe lub ich pobieranie; słuchanie lub pobieranie podcastów)</w:t>
            </w:r>
          </w:p>
        </w:tc>
        <w:tc>
          <w:tcPr>
            <w:tcW w:w="992" w:type="dxa"/>
          </w:tcPr>
          <w:p w14:paraId="64BABFFF" w14:textId="77777777" w:rsidR="00C1691E" w:rsidRPr="000F4CC1" w:rsidRDefault="00C1691E" w:rsidP="007E26B5">
            <w:pPr>
              <w:rPr>
                <w:rFonts w:cstheme="minorHAnsi"/>
                <w:sz w:val="20"/>
                <w:szCs w:val="20"/>
              </w:rPr>
            </w:pPr>
            <w:r w:rsidRPr="000F4CC1">
              <w:rPr>
                <w:rFonts w:cstheme="minorHAnsi"/>
                <w:sz w:val="20"/>
                <w:szCs w:val="20"/>
              </w:rPr>
              <w:t>67,8%</w:t>
            </w:r>
          </w:p>
        </w:tc>
        <w:tc>
          <w:tcPr>
            <w:tcW w:w="850" w:type="dxa"/>
          </w:tcPr>
          <w:p w14:paraId="6B6486CE" w14:textId="77777777" w:rsidR="00C1691E" w:rsidRPr="000F4CC1" w:rsidRDefault="00C1691E" w:rsidP="007E26B5">
            <w:pPr>
              <w:rPr>
                <w:rFonts w:cstheme="minorHAnsi"/>
                <w:sz w:val="20"/>
                <w:szCs w:val="20"/>
              </w:rPr>
            </w:pPr>
            <w:r w:rsidRPr="000F4CC1">
              <w:rPr>
                <w:rFonts w:cstheme="minorHAnsi"/>
                <w:sz w:val="20"/>
                <w:szCs w:val="20"/>
              </w:rPr>
              <w:t>79,8%</w:t>
            </w:r>
          </w:p>
        </w:tc>
        <w:tc>
          <w:tcPr>
            <w:tcW w:w="851" w:type="dxa"/>
          </w:tcPr>
          <w:p w14:paraId="0A947FA1" w14:textId="77777777" w:rsidR="00C1691E" w:rsidRPr="000F4CC1" w:rsidRDefault="00C1691E" w:rsidP="007E26B5">
            <w:pPr>
              <w:rPr>
                <w:rFonts w:cstheme="minorHAnsi"/>
                <w:sz w:val="20"/>
                <w:szCs w:val="20"/>
              </w:rPr>
            </w:pPr>
            <w:r w:rsidRPr="000F4CC1">
              <w:rPr>
                <w:rFonts w:cstheme="minorHAnsi"/>
                <w:sz w:val="20"/>
                <w:szCs w:val="20"/>
              </w:rPr>
              <w:t>29,8%</w:t>
            </w:r>
          </w:p>
        </w:tc>
        <w:tc>
          <w:tcPr>
            <w:tcW w:w="2126" w:type="dxa"/>
          </w:tcPr>
          <w:p w14:paraId="7DF10173" w14:textId="3DC216F3" w:rsidR="002F0361" w:rsidRPr="000F4CC1" w:rsidRDefault="002F0361" w:rsidP="007E26B5">
            <w:pPr>
              <w:rPr>
                <w:rFonts w:cstheme="minorHAnsi"/>
                <w:sz w:val="20"/>
                <w:szCs w:val="20"/>
              </w:rPr>
            </w:pPr>
            <w:r>
              <w:rPr>
                <w:rFonts w:cstheme="minorHAnsi"/>
                <w:sz w:val="20"/>
                <w:szCs w:val="20"/>
              </w:rPr>
              <w:t>52,89%</w:t>
            </w:r>
          </w:p>
        </w:tc>
        <w:tc>
          <w:tcPr>
            <w:tcW w:w="1985" w:type="dxa"/>
          </w:tcPr>
          <w:p w14:paraId="21D1A14D" w14:textId="62426775" w:rsidR="002F0361" w:rsidRPr="000F4CC1" w:rsidRDefault="002F0361" w:rsidP="007E26B5">
            <w:pPr>
              <w:rPr>
                <w:rFonts w:cstheme="minorHAnsi"/>
                <w:sz w:val="20"/>
                <w:szCs w:val="20"/>
              </w:rPr>
            </w:pPr>
            <w:r>
              <w:rPr>
                <w:rFonts w:cstheme="minorHAnsi"/>
                <w:sz w:val="20"/>
                <w:szCs w:val="20"/>
              </w:rPr>
              <w:t>45,93%</w:t>
            </w:r>
          </w:p>
        </w:tc>
      </w:tr>
      <w:tr w:rsidR="00D024E8" w:rsidRPr="000F4CC1" w14:paraId="397C05F8" w14:textId="77777777" w:rsidTr="00D024E8">
        <w:trPr>
          <w:cnfStyle w:val="000000010000" w:firstRow="0" w:lastRow="0" w:firstColumn="0" w:lastColumn="0" w:oddVBand="0" w:evenVBand="0" w:oddHBand="0" w:evenHBand="1" w:firstRowFirstColumn="0" w:firstRowLastColumn="0" w:lastRowFirstColumn="0" w:lastRowLastColumn="0"/>
          <w:cantSplit/>
        </w:trPr>
        <w:tc>
          <w:tcPr>
            <w:tcW w:w="3256" w:type="dxa"/>
          </w:tcPr>
          <w:p w14:paraId="7C29A28D" w14:textId="77777777" w:rsidR="00C1691E" w:rsidRPr="000F4CC1" w:rsidRDefault="00C1691E" w:rsidP="007E26B5">
            <w:pPr>
              <w:rPr>
                <w:rFonts w:cstheme="minorHAnsi"/>
                <w:sz w:val="20"/>
                <w:szCs w:val="20"/>
              </w:rPr>
            </w:pPr>
            <w:r w:rsidRPr="000F4CC1">
              <w:rPr>
                <w:rFonts w:cstheme="minorHAnsi"/>
                <w:sz w:val="20"/>
                <w:szCs w:val="20"/>
              </w:rPr>
              <w:t>e-zdrowie (wyszukiwanie informacji na temat zdrowia własnego lub bliskich osób; umawianie wizyty lekarskiej przez stronę internetową lub aplikację; dostęp do dokumentacji medycznej; korzystanie z usług dostępnych przez stronę internetową lub aplikację zamiast wizyty u lekarza lub w szpitalu</w:t>
            </w:r>
          </w:p>
        </w:tc>
        <w:tc>
          <w:tcPr>
            <w:tcW w:w="992" w:type="dxa"/>
          </w:tcPr>
          <w:p w14:paraId="644DEACB" w14:textId="77777777" w:rsidR="00C1691E" w:rsidRPr="000F4CC1" w:rsidRDefault="00C1691E" w:rsidP="007E26B5">
            <w:pPr>
              <w:rPr>
                <w:rFonts w:cstheme="minorHAnsi"/>
                <w:sz w:val="20"/>
                <w:szCs w:val="20"/>
              </w:rPr>
            </w:pPr>
            <w:r w:rsidRPr="000F4CC1">
              <w:rPr>
                <w:rFonts w:cstheme="minorHAnsi"/>
                <w:sz w:val="20"/>
                <w:szCs w:val="20"/>
              </w:rPr>
              <w:t>59,4%</w:t>
            </w:r>
          </w:p>
        </w:tc>
        <w:tc>
          <w:tcPr>
            <w:tcW w:w="850" w:type="dxa"/>
          </w:tcPr>
          <w:p w14:paraId="1C3549FC" w14:textId="77777777" w:rsidR="00C1691E" w:rsidRPr="000F4CC1" w:rsidRDefault="00C1691E" w:rsidP="007E26B5">
            <w:pPr>
              <w:rPr>
                <w:rFonts w:cstheme="minorHAnsi"/>
                <w:sz w:val="20"/>
                <w:szCs w:val="20"/>
              </w:rPr>
            </w:pPr>
            <w:r w:rsidRPr="000F4CC1">
              <w:rPr>
                <w:rFonts w:cstheme="minorHAnsi"/>
                <w:sz w:val="20"/>
                <w:szCs w:val="20"/>
              </w:rPr>
              <w:t>69,7%</w:t>
            </w:r>
          </w:p>
        </w:tc>
        <w:tc>
          <w:tcPr>
            <w:tcW w:w="851" w:type="dxa"/>
          </w:tcPr>
          <w:p w14:paraId="43641307" w14:textId="77777777" w:rsidR="00C1691E" w:rsidRPr="000F4CC1" w:rsidRDefault="00C1691E" w:rsidP="007E26B5">
            <w:pPr>
              <w:rPr>
                <w:rFonts w:cstheme="minorHAnsi"/>
                <w:sz w:val="20"/>
                <w:szCs w:val="20"/>
              </w:rPr>
            </w:pPr>
            <w:r w:rsidRPr="000F4CC1">
              <w:rPr>
                <w:rFonts w:cstheme="minorHAnsi"/>
                <w:sz w:val="20"/>
                <w:szCs w:val="20"/>
              </w:rPr>
              <w:t>40,9%</w:t>
            </w:r>
          </w:p>
        </w:tc>
        <w:tc>
          <w:tcPr>
            <w:tcW w:w="2126" w:type="dxa"/>
          </w:tcPr>
          <w:p w14:paraId="713ABC25" w14:textId="6EFEA535" w:rsidR="002F0361" w:rsidRPr="000F4CC1" w:rsidRDefault="002F0361" w:rsidP="007E26B5">
            <w:pPr>
              <w:rPr>
                <w:rFonts w:cstheme="minorHAnsi"/>
                <w:sz w:val="20"/>
                <w:szCs w:val="20"/>
              </w:rPr>
            </w:pPr>
            <w:r>
              <w:rPr>
                <w:rFonts w:cstheme="minorHAnsi"/>
                <w:sz w:val="20"/>
                <w:szCs w:val="20"/>
              </w:rPr>
              <w:t>46,6%</w:t>
            </w:r>
          </w:p>
        </w:tc>
        <w:tc>
          <w:tcPr>
            <w:tcW w:w="1985" w:type="dxa"/>
          </w:tcPr>
          <w:p w14:paraId="7550D804" w14:textId="6E1188E8" w:rsidR="002F0361" w:rsidRPr="000F4CC1" w:rsidRDefault="002F0361" w:rsidP="007E26B5">
            <w:pPr>
              <w:rPr>
                <w:rFonts w:cstheme="minorHAnsi"/>
                <w:sz w:val="20"/>
                <w:szCs w:val="20"/>
              </w:rPr>
            </w:pPr>
            <w:r>
              <w:rPr>
                <w:rFonts w:cstheme="minorHAnsi"/>
                <w:sz w:val="20"/>
                <w:szCs w:val="20"/>
              </w:rPr>
              <w:t>44,12%</w:t>
            </w:r>
          </w:p>
        </w:tc>
      </w:tr>
      <w:tr w:rsidR="00D024E8" w:rsidRPr="000F4CC1" w14:paraId="5417D856" w14:textId="77777777" w:rsidTr="00D024E8">
        <w:trPr>
          <w:cnfStyle w:val="000000100000" w:firstRow="0" w:lastRow="0" w:firstColumn="0" w:lastColumn="0" w:oddVBand="0" w:evenVBand="0" w:oddHBand="1" w:evenHBand="0" w:firstRowFirstColumn="0" w:firstRowLastColumn="0" w:lastRowFirstColumn="0" w:lastRowLastColumn="0"/>
          <w:cantSplit/>
        </w:trPr>
        <w:tc>
          <w:tcPr>
            <w:tcW w:w="3256" w:type="dxa"/>
          </w:tcPr>
          <w:p w14:paraId="65FDBFF3" w14:textId="77777777" w:rsidR="00C1691E" w:rsidRPr="000F4CC1" w:rsidRDefault="00C1691E" w:rsidP="007E26B5">
            <w:pPr>
              <w:rPr>
                <w:rFonts w:cstheme="minorHAnsi"/>
                <w:sz w:val="20"/>
                <w:szCs w:val="20"/>
              </w:rPr>
            </w:pPr>
            <w:r w:rsidRPr="000F4CC1">
              <w:rPr>
                <w:rFonts w:cstheme="minorHAnsi"/>
                <w:sz w:val="20"/>
                <w:szCs w:val="20"/>
              </w:rPr>
              <w:lastRenderedPageBreak/>
              <w:t xml:space="preserve">Inne usługi online (sprzedaż towarów lub usług przez stronę internetową lub aplikację; bankowość internetowa; </w:t>
            </w:r>
          </w:p>
        </w:tc>
        <w:tc>
          <w:tcPr>
            <w:tcW w:w="992" w:type="dxa"/>
          </w:tcPr>
          <w:p w14:paraId="52B9CAB5" w14:textId="77777777" w:rsidR="00C1691E" w:rsidRPr="000F4CC1" w:rsidRDefault="00C1691E" w:rsidP="007E26B5">
            <w:pPr>
              <w:rPr>
                <w:rFonts w:cstheme="minorHAnsi"/>
                <w:sz w:val="20"/>
                <w:szCs w:val="20"/>
              </w:rPr>
            </w:pPr>
            <w:r w:rsidRPr="000F4CC1">
              <w:rPr>
                <w:rFonts w:cstheme="minorHAnsi"/>
                <w:sz w:val="20"/>
                <w:szCs w:val="20"/>
              </w:rPr>
              <w:t>59,8%</w:t>
            </w:r>
          </w:p>
        </w:tc>
        <w:tc>
          <w:tcPr>
            <w:tcW w:w="850" w:type="dxa"/>
          </w:tcPr>
          <w:p w14:paraId="3CA25E24" w14:textId="77777777" w:rsidR="00C1691E" w:rsidRPr="000F4CC1" w:rsidRDefault="00C1691E" w:rsidP="007E26B5">
            <w:pPr>
              <w:rPr>
                <w:rFonts w:cstheme="minorHAnsi"/>
                <w:sz w:val="20"/>
                <w:szCs w:val="20"/>
              </w:rPr>
            </w:pPr>
            <w:r w:rsidRPr="000F4CC1">
              <w:rPr>
                <w:rFonts w:cstheme="minorHAnsi"/>
                <w:sz w:val="20"/>
                <w:szCs w:val="20"/>
              </w:rPr>
              <w:t>75%</w:t>
            </w:r>
          </w:p>
        </w:tc>
        <w:tc>
          <w:tcPr>
            <w:tcW w:w="851" w:type="dxa"/>
          </w:tcPr>
          <w:p w14:paraId="3C02637E" w14:textId="77777777" w:rsidR="00C1691E" w:rsidRPr="000F4CC1" w:rsidRDefault="00C1691E" w:rsidP="007E26B5">
            <w:pPr>
              <w:rPr>
                <w:rFonts w:cstheme="minorHAnsi"/>
                <w:sz w:val="20"/>
                <w:szCs w:val="20"/>
              </w:rPr>
            </w:pPr>
            <w:r w:rsidRPr="000F4CC1">
              <w:rPr>
                <w:rFonts w:cstheme="minorHAnsi"/>
                <w:sz w:val="20"/>
                <w:szCs w:val="20"/>
              </w:rPr>
              <w:t>23,4%</w:t>
            </w:r>
          </w:p>
        </w:tc>
        <w:tc>
          <w:tcPr>
            <w:tcW w:w="2126" w:type="dxa"/>
          </w:tcPr>
          <w:p w14:paraId="42AFBF80" w14:textId="25C019C7" w:rsidR="002F0361" w:rsidRPr="000F4CC1" w:rsidRDefault="002F0361" w:rsidP="007E26B5">
            <w:pPr>
              <w:rPr>
                <w:rFonts w:cstheme="minorHAnsi"/>
                <w:sz w:val="20"/>
                <w:szCs w:val="20"/>
              </w:rPr>
            </w:pPr>
            <w:r>
              <w:rPr>
                <w:rFonts w:cstheme="minorHAnsi"/>
                <w:sz w:val="20"/>
                <w:szCs w:val="20"/>
              </w:rPr>
              <w:t>36,06%</w:t>
            </w:r>
          </w:p>
        </w:tc>
        <w:tc>
          <w:tcPr>
            <w:tcW w:w="1985" w:type="dxa"/>
          </w:tcPr>
          <w:p w14:paraId="6B526C76" w14:textId="76AABBDE" w:rsidR="002F0361" w:rsidRPr="000F4CC1" w:rsidRDefault="002F0361" w:rsidP="007E26B5">
            <w:pPr>
              <w:rPr>
                <w:rFonts w:cstheme="minorHAnsi"/>
                <w:sz w:val="20"/>
                <w:szCs w:val="20"/>
              </w:rPr>
            </w:pPr>
            <w:r>
              <w:rPr>
                <w:rFonts w:cstheme="minorHAnsi"/>
                <w:sz w:val="20"/>
                <w:szCs w:val="20"/>
              </w:rPr>
              <w:t>35,48%</w:t>
            </w:r>
          </w:p>
        </w:tc>
      </w:tr>
      <w:tr w:rsidR="00D024E8" w:rsidRPr="000F4CC1" w14:paraId="16C3B932" w14:textId="77777777" w:rsidTr="00D024E8">
        <w:trPr>
          <w:cnfStyle w:val="000000010000" w:firstRow="0" w:lastRow="0" w:firstColumn="0" w:lastColumn="0" w:oddVBand="0" w:evenVBand="0" w:oddHBand="0" w:evenHBand="1" w:firstRowFirstColumn="0" w:firstRowLastColumn="0" w:lastRowFirstColumn="0" w:lastRowLastColumn="0"/>
          <w:cantSplit/>
        </w:trPr>
        <w:tc>
          <w:tcPr>
            <w:tcW w:w="3256" w:type="dxa"/>
          </w:tcPr>
          <w:p w14:paraId="31D3439E" w14:textId="77777777" w:rsidR="00C1691E" w:rsidRPr="000F4CC1" w:rsidRDefault="00C1691E" w:rsidP="007E26B5">
            <w:pPr>
              <w:rPr>
                <w:rFonts w:cstheme="minorHAnsi"/>
                <w:sz w:val="20"/>
                <w:szCs w:val="20"/>
              </w:rPr>
            </w:pPr>
            <w:r w:rsidRPr="000F4CC1">
              <w:rPr>
                <w:rFonts w:cstheme="minorHAnsi"/>
                <w:sz w:val="20"/>
                <w:szCs w:val="20"/>
              </w:rPr>
              <w:t>Edukacyjnym, zawodowym, prywatnym (uczestniczenie w kursie online; korzystanie z materiałów szkoleniowych innych niż pełny kurs online; komunikowanie się z instruktorem/nauczycielem lub innymi uczącymi się użytkownikami stron/portali edukacyjnych</w:t>
            </w:r>
          </w:p>
        </w:tc>
        <w:tc>
          <w:tcPr>
            <w:tcW w:w="992" w:type="dxa"/>
          </w:tcPr>
          <w:p w14:paraId="10D5DF37" w14:textId="77777777" w:rsidR="00C1691E" w:rsidRPr="000F4CC1" w:rsidRDefault="00C1691E" w:rsidP="007E26B5">
            <w:pPr>
              <w:rPr>
                <w:rFonts w:cstheme="minorHAnsi"/>
                <w:sz w:val="20"/>
                <w:szCs w:val="20"/>
              </w:rPr>
            </w:pPr>
            <w:r w:rsidRPr="000F4CC1">
              <w:rPr>
                <w:rFonts w:cstheme="minorHAnsi"/>
                <w:sz w:val="20"/>
                <w:szCs w:val="20"/>
              </w:rPr>
              <w:t>17,4%</w:t>
            </w:r>
          </w:p>
        </w:tc>
        <w:tc>
          <w:tcPr>
            <w:tcW w:w="850" w:type="dxa"/>
          </w:tcPr>
          <w:p w14:paraId="77E0FA26" w14:textId="77777777" w:rsidR="00C1691E" w:rsidRPr="000F4CC1" w:rsidRDefault="00C1691E" w:rsidP="007E26B5">
            <w:pPr>
              <w:rPr>
                <w:rFonts w:cstheme="minorHAnsi"/>
                <w:sz w:val="20"/>
                <w:szCs w:val="20"/>
              </w:rPr>
            </w:pPr>
            <w:r w:rsidRPr="000F4CC1">
              <w:rPr>
                <w:rFonts w:cstheme="minorHAnsi"/>
                <w:sz w:val="20"/>
                <w:szCs w:val="20"/>
              </w:rPr>
              <w:t>21,3%</w:t>
            </w:r>
          </w:p>
        </w:tc>
        <w:tc>
          <w:tcPr>
            <w:tcW w:w="851" w:type="dxa"/>
          </w:tcPr>
          <w:p w14:paraId="0CE9745A" w14:textId="77777777" w:rsidR="00C1691E" w:rsidRPr="000F4CC1" w:rsidRDefault="00C1691E" w:rsidP="007E26B5">
            <w:pPr>
              <w:rPr>
                <w:rFonts w:cstheme="minorHAnsi"/>
                <w:sz w:val="20"/>
                <w:szCs w:val="20"/>
              </w:rPr>
            </w:pPr>
            <w:r w:rsidRPr="000F4CC1">
              <w:rPr>
                <w:rFonts w:cstheme="minorHAnsi"/>
                <w:sz w:val="20"/>
                <w:szCs w:val="20"/>
              </w:rPr>
              <w:t>1,4%</w:t>
            </w:r>
          </w:p>
        </w:tc>
        <w:tc>
          <w:tcPr>
            <w:tcW w:w="2126" w:type="dxa"/>
          </w:tcPr>
          <w:p w14:paraId="73214D93" w14:textId="5511729D" w:rsidR="002F0361" w:rsidRPr="000F4CC1" w:rsidRDefault="002F0361" w:rsidP="007E26B5">
            <w:pPr>
              <w:rPr>
                <w:rFonts w:cstheme="minorHAnsi"/>
                <w:sz w:val="20"/>
                <w:szCs w:val="20"/>
              </w:rPr>
            </w:pPr>
            <w:r>
              <w:rPr>
                <w:rFonts w:cstheme="minorHAnsi"/>
                <w:sz w:val="20"/>
                <w:szCs w:val="20"/>
              </w:rPr>
              <w:t>8,38%</w:t>
            </w:r>
          </w:p>
        </w:tc>
        <w:tc>
          <w:tcPr>
            <w:tcW w:w="1985" w:type="dxa"/>
          </w:tcPr>
          <w:p w14:paraId="5FA9F909" w14:textId="59A85735" w:rsidR="002F0361" w:rsidRPr="000F4CC1" w:rsidRDefault="002F0361" w:rsidP="007E26B5">
            <w:pPr>
              <w:rPr>
                <w:rFonts w:cstheme="minorHAnsi"/>
                <w:sz w:val="20"/>
                <w:szCs w:val="20"/>
              </w:rPr>
            </w:pPr>
            <w:r>
              <w:rPr>
                <w:rFonts w:cstheme="minorHAnsi"/>
                <w:sz w:val="20"/>
                <w:szCs w:val="20"/>
              </w:rPr>
              <w:t>7,72%</w:t>
            </w:r>
          </w:p>
        </w:tc>
      </w:tr>
      <w:tr w:rsidR="00D024E8" w:rsidRPr="000F4CC1" w14:paraId="0374758B" w14:textId="77777777" w:rsidTr="00D024E8">
        <w:trPr>
          <w:cnfStyle w:val="000000100000" w:firstRow="0" w:lastRow="0" w:firstColumn="0" w:lastColumn="0" w:oddVBand="0" w:evenVBand="0" w:oddHBand="1" w:evenHBand="0" w:firstRowFirstColumn="0" w:firstRowLastColumn="0" w:lastRowFirstColumn="0" w:lastRowLastColumn="0"/>
          <w:cantSplit/>
        </w:trPr>
        <w:tc>
          <w:tcPr>
            <w:tcW w:w="3256" w:type="dxa"/>
          </w:tcPr>
          <w:p w14:paraId="6DA46E5B" w14:textId="77777777" w:rsidR="00C1691E" w:rsidRPr="000F4CC1" w:rsidRDefault="00C1691E" w:rsidP="007E26B5">
            <w:pPr>
              <w:rPr>
                <w:rFonts w:cstheme="minorHAnsi"/>
                <w:sz w:val="20"/>
                <w:szCs w:val="20"/>
              </w:rPr>
            </w:pPr>
            <w:r w:rsidRPr="000F4CC1">
              <w:rPr>
                <w:rFonts w:cstheme="minorHAnsi"/>
                <w:sz w:val="20"/>
                <w:szCs w:val="20"/>
              </w:rPr>
              <w:t>Osoby, które nie wykonywały przez Internet żadnej czynności związanej z nauką/szkoleniem</w:t>
            </w:r>
          </w:p>
        </w:tc>
        <w:tc>
          <w:tcPr>
            <w:tcW w:w="992" w:type="dxa"/>
          </w:tcPr>
          <w:p w14:paraId="582A85EE" w14:textId="77777777" w:rsidR="00C1691E" w:rsidRPr="000F4CC1" w:rsidRDefault="00C1691E" w:rsidP="007E26B5">
            <w:pPr>
              <w:rPr>
                <w:rFonts w:cstheme="minorHAnsi"/>
                <w:sz w:val="20"/>
                <w:szCs w:val="20"/>
              </w:rPr>
            </w:pPr>
            <w:r w:rsidRPr="000F4CC1">
              <w:rPr>
                <w:rFonts w:cstheme="minorHAnsi"/>
                <w:sz w:val="20"/>
                <w:szCs w:val="20"/>
              </w:rPr>
              <w:t>71,1%</w:t>
            </w:r>
          </w:p>
        </w:tc>
        <w:tc>
          <w:tcPr>
            <w:tcW w:w="850" w:type="dxa"/>
          </w:tcPr>
          <w:p w14:paraId="7260D273" w14:textId="77777777" w:rsidR="00C1691E" w:rsidRPr="000F4CC1" w:rsidRDefault="00C1691E" w:rsidP="007E26B5">
            <w:pPr>
              <w:rPr>
                <w:rFonts w:cstheme="minorHAnsi"/>
                <w:sz w:val="20"/>
                <w:szCs w:val="20"/>
              </w:rPr>
            </w:pPr>
            <w:r w:rsidRPr="000F4CC1">
              <w:rPr>
                <w:rFonts w:cstheme="minorHAnsi"/>
                <w:sz w:val="20"/>
                <w:szCs w:val="20"/>
              </w:rPr>
              <w:t>75,7%</w:t>
            </w:r>
          </w:p>
        </w:tc>
        <w:tc>
          <w:tcPr>
            <w:tcW w:w="851" w:type="dxa"/>
          </w:tcPr>
          <w:p w14:paraId="07768190" w14:textId="77777777" w:rsidR="00C1691E" w:rsidRPr="000F4CC1" w:rsidRDefault="00C1691E" w:rsidP="007E26B5">
            <w:pPr>
              <w:rPr>
                <w:rFonts w:cstheme="minorHAnsi"/>
                <w:sz w:val="20"/>
                <w:szCs w:val="20"/>
              </w:rPr>
            </w:pPr>
            <w:r w:rsidRPr="000F4CC1">
              <w:rPr>
                <w:rFonts w:cstheme="minorHAnsi"/>
                <w:sz w:val="20"/>
                <w:szCs w:val="20"/>
              </w:rPr>
              <w:t>58%</w:t>
            </w:r>
          </w:p>
        </w:tc>
        <w:tc>
          <w:tcPr>
            <w:tcW w:w="2126" w:type="dxa"/>
          </w:tcPr>
          <w:p w14:paraId="6855277C" w14:textId="2FF5558D" w:rsidR="002F0361" w:rsidRPr="000F4CC1" w:rsidRDefault="002F0361" w:rsidP="007E26B5">
            <w:pPr>
              <w:rPr>
                <w:rFonts w:cstheme="minorHAnsi"/>
                <w:sz w:val="20"/>
                <w:szCs w:val="20"/>
              </w:rPr>
            </w:pPr>
            <w:r>
              <w:rPr>
                <w:rFonts w:cstheme="minorHAnsi"/>
                <w:sz w:val="20"/>
                <w:szCs w:val="20"/>
              </w:rPr>
              <w:t>60,9%</w:t>
            </w:r>
          </w:p>
        </w:tc>
        <w:tc>
          <w:tcPr>
            <w:tcW w:w="1985" w:type="dxa"/>
          </w:tcPr>
          <w:p w14:paraId="25D8A667" w14:textId="1B67D30D" w:rsidR="002F0361" w:rsidRPr="000F4CC1" w:rsidRDefault="002F0361" w:rsidP="007E26B5">
            <w:pPr>
              <w:rPr>
                <w:rFonts w:cstheme="minorHAnsi"/>
                <w:sz w:val="20"/>
                <w:szCs w:val="20"/>
              </w:rPr>
            </w:pPr>
            <w:r>
              <w:rPr>
                <w:rFonts w:cstheme="minorHAnsi"/>
                <w:sz w:val="20"/>
                <w:szCs w:val="20"/>
              </w:rPr>
              <w:t>58,02%</w:t>
            </w:r>
          </w:p>
        </w:tc>
      </w:tr>
    </w:tbl>
    <w:p w14:paraId="25CE0AD9" w14:textId="100AD327" w:rsidR="00C1691E" w:rsidRPr="00BF6615" w:rsidRDefault="00C1691E" w:rsidP="007E26B5">
      <w:pPr>
        <w:rPr>
          <w:rFonts w:cstheme="minorHAnsi"/>
        </w:rPr>
        <w:sectPr w:rsidR="00C1691E" w:rsidRPr="00BF6615" w:rsidSect="000F4CC1">
          <w:type w:val="continuous"/>
          <w:pgSz w:w="11906" w:h="16838"/>
          <w:pgMar w:top="1418" w:right="1418" w:bottom="851" w:left="1418" w:header="709" w:footer="709" w:gutter="0"/>
          <w:cols w:space="708"/>
          <w:docGrid w:linePitch="360"/>
        </w:sectPr>
      </w:pPr>
      <w:r w:rsidRPr="00BF6615">
        <w:rPr>
          <w:rFonts w:cstheme="minorHAnsi"/>
        </w:rPr>
        <w:t xml:space="preserve">Źródło: opracowanie własne na podstawie danych GUS, Wykorzystanie technologii informacyjno-komunikacyjnych w przedsiębiorstwach i gospodarstwach domowych </w:t>
      </w:r>
      <w:r w:rsidR="00F047E5" w:rsidRPr="00BF6615">
        <w:rPr>
          <w:rFonts w:cstheme="minorHAnsi"/>
        </w:rPr>
        <w:t>w</w:t>
      </w:r>
      <w:r w:rsidR="00F047E5">
        <w:rPr>
          <w:rFonts w:cstheme="minorHAnsi"/>
        </w:rPr>
        <w:t> </w:t>
      </w:r>
      <w:r w:rsidR="00F047E5" w:rsidRPr="00BF6615">
        <w:rPr>
          <w:rFonts w:cstheme="minorHAnsi"/>
        </w:rPr>
        <w:t>2024</w:t>
      </w:r>
      <w:r w:rsidR="00F047E5">
        <w:rPr>
          <w:rFonts w:cstheme="minorHAnsi"/>
        </w:rPr>
        <w:t> </w:t>
      </w:r>
      <w:r w:rsidRPr="00BF6615">
        <w:rPr>
          <w:rFonts w:cstheme="minorHAnsi"/>
        </w:rPr>
        <w:t>roku.</w:t>
      </w:r>
    </w:p>
    <w:p w14:paraId="6C82E6E5" w14:textId="77777777" w:rsidR="00C1691E" w:rsidRPr="00BF6615" w:rsidRDefault="00C1691E" w:rsidP="007E26B5">
      <w:pPr>
        <w:rPr>
          <w:rFonts w:cstheme="minorHAnsi"/>
        </w:rPr>
      </w:pPr>
    </w:p>
    <w:p w14:paraId="74E0C4A4" w14:textId="6AC78456" w:rsidR="00C1691E" w:rsidRPr="00BF6615" w:rsidRDefault="00C1691E" w:rsidP="007E26B5">
      <w:pPr>
        <w:rPr>
          <w:rFonts w:cstheme="minorHAnsi"/>
        </w:rPr>
      </w:pPr>
      <w:r w:rsidRPr="00BF6615">
        <w:rPr>
          <w:rFonts w:cstheme="minorHAnsi"/>
        </w:rPr>
        <w:t xml:space="preserve">Z powyższych danych szczególnie istotne są informacje na temat </w:t>
      </w:r>
      <w:r w:rsidR="00CF1334">
        <w:rPr>
          <w:rFonts w:cstheme="minorHAnsi"/>
        </w:rPr>
        <w:t xml:space="preserve">e- zdrowia, w tym </w:t>
      </w:r>
      <w:r w:rsidRPr="00BF6615">
        <w:rPr>
          <w:rFonts w:cstheme="minorHAnsi"/>
        </w:rPr>
        <w:t xml:space="preserve">umawiania wizyty lekarskiej przez stronę internetową lub aplikację. Z ogółu badanych, osoby </w:t>
      </w:r>
      <w:r w:rsidR="00CF1334">
        <w:rPr>
          <w:rFonts w:cstheme="minorHAnsi"/>
        </w:rPr>
        <w:t xml:space="preserve">korzystające z e- zdrowia </w:t>
      </w:r>
      <w:r w:rsidRPr="00BF6615">
        <w:rPr>
          <w:rFonts w:cstheme="minorHAnsi"/>
        </w:rPr>
        <w:t xml:space="preserve"> stanowiły </w:t>
      </w:r>
      <w:r w:rsidR="00722593">
        <w:rPr>
          <w:rFonts w:cstheme="minorHAnsi"/>
        </w:rPr>
        <w:t>59,4</w:t>
      </w:r>
      <w:r w:rsidRPr="00BF6615">
        <w:rPr>
          <w:rFonts w:cstheme="minorHAnsi"/>
        </w:rPr>
        <w:t xml:space="preserve">%, w grupie osób w wieku największej aktywności zawodowej (25-54 lata) było to średnio </w:t>
      </w:r>
      <w:r w:rsidR="00722593">
        <w:rPr>
          <w:rFonts w:cstheme="minorHAnsi"/>
        </w:rPr>
        <w:t>69,7</w:t>
      </w:r>
      <w:r w:rsidRPr="00BF6615">
        <w:rPr>
          <w:rFonts w:cstheme="minorHAnsi"/>
        </w:rPr>
        <w:t xml:space="preserve">%, w grupie osób z niepełnosprawnościami średnio </w:t>
      </w:r>
      <w:r w:rsidR="00722593">
        <w:rPr>
          <w:rFonts w:cstheme="minorHAnsi"/>
        </w:rPr>
        <w:t>46,6</w:t>
      </w:r>
      <w:r w:rsidRPr="00BF6615">
        <w:rPr>
          <w:rFonts w:cstheme="minorHAnsi"/>
        </w:rPr>
        <w:t xml:space="preserve">%, w grupie osób z ograniczeniami wykonywania codziennych czynności średnio </w:t>
      </w:r>
      <w:r w:rsidR="00722593">
        <w:rPr>
          <w:rFonts w:cstheme="minorHAnsi"/>
        </w:rPr>
        <w:t>44,12</w:t>
      </w:r>
      <w:r w:rsidRPr="00BF6615">
        <w:rPr>
          <w:rFonts w:cstheme="minorHAnsi"/>
        </w:rPr>
        <w:t xml:space="preserve">%, natomiast w grupie wiekowej 65-74 było to </w:t>
      </w:r>
      <w:r w:rsidR="00722593">
        <w:rPr>
          <w:rFonts w:cstheme="minorHAnsi"/>
        </w:rPr>
        <w:t>40,9</w:t>
      </w:r>
      <w:r w:rsidRPr="00BF6615">
        <w:rPr>
          <w:rFonts w:cstheme="minorHAnsi"/>
        </w:rPr>
        <w:t>%.</w:t>
      </w:r>
    </w:p>
    <w:p w14:paraId="6DE4C5AE" w14:textId="333B2797" w:rsidR="00C1691E" w:rsidRPr="00BF6615" w:rsidRDefault="00722593" w:rsidP="007E26B5">
      <w:pPr>
        <w:rPr>
          <w:rFonts w:cstheme="minorHAnsi"/>
        </w:rPr>
      </w:pPr>
      <w:r>
        <w:rPr>
          <w:rFonts w:cstheme="minorHAnsi"/>
        </w:rPr>
        <w:t>badanie GUS</w:t>
      </w:r>
      <w:r w:rsidR="00C1691E" w:rsidRPr="00BF6615">
        <w:rPr>
          <w:rFonts w:cstheme="minorHAnsi"/>
        </w:rPr>
        <w:t xml:space="preserve"> skupia się także na celu, w jakim badani korzystają ze stron internetowych lub aplikacji jednostek administracji publicznej w ciągu ostatnich 12 miesięcy. Z ogółu badanych z tych stron korzystało 61% osób, przy czym w grupie osób starszych było to 27,4%, </w:t>
      </w:r>
      <w:r w:rsidR="00F047E5" w:rsidRPr="00BF6615">
        <w:rPr>
          <w:rFonts w:cstheme="minorHAnsi"/>
        </w:rPr>
        <w:t>a</w:t>
      </w:r>
      <w:r w:rsidR="00F047E5">
        <w:rPr>
          <w:rFonts w:cstheme="minorHAnsi"/>
        </w:rPr>
        <w:t> </w:t>
      </w:r>
      <w:r w:rsidR="00F047E5" w:rsidRPr="00BF6615">
        <w:rPr>
          <w:rFonts w:cstheme="minorHAnsi"/>
        </w:rPr>
        <w:t>w</w:t>
      </w:r>
      <w:r w:rsidR="00F047E5">
        <w:rPr>
          <w:rFonts w:cstheme="minorHAnsi"/>
        </w:rPr>
        <w:t> </w:t>
      </w:r>
      <w:r w:rsidR="00C1691E" w:rsidRPr="00BF6615">
        <w:rPr>
          <w:rFonts w:cstheme="minorHAnsi"/>
        </w:rPr>
        <w:t>grupie osób z niepełnosprawnościami 3</w:t>
      </w:r>
      <w:r w:rsidR="0015381E">
        <w:rPr>
          <w:rFonts w:cstheme="minorHAnsi"/>
        </w:rPr>
        <w:t>3</w:t>
      </w:r>
      <w:r w:rsidR="00C1691E" w:rsidRPr="00BF6615">
        <w:rPr>
          <w:rFonts w:cstheme="minorHAnsi"/>
        </w:rPr>
        <w:t>,</w:t>
      </w:r>
      <w:r w:rsidR="0015381E">
        <w:rPr>
          <w:rFonts w:cstheme="minorHAnsi"/>
        </w:rPr>
        <w:t>9</w:t>
      </w:r>
      <w:r w:rsidR="00C1691E" w:rsidRPr="00BF6615">
        <w:rPr>
          <w:rFonts w:cstheme="minorHAnsi"/>
        </w:rPr>
        <w:t>3%.</w:t>
      </w:r>
    </w:p>
    <w:p w14:paraId="7C809905" w14:textId="7F6AA29E" w:rsidR="00C1691E" w:rsidRPr="00BF6615" w:rsidRDefault="00C1691E" w:rsidP="007E26B5">
      <w:pPr>
        <w:rPr>
          <w:rFonts w:cstheme="minorHAnsi"/>
        </w:rPr>
      </w:pPr>
      <w:r w:rsidRPr="00BF6615">
        <w:rPr>
          <w:rFonts w:cstheme="minorHAnsi"/>
        </w:rPr>
        <w:t xml:space="preserve">Z ogółu badanych, osoby niekorzystające ze stron internetowych lub aplikacji jednostek administracji publicznej w ciągu ostatnich 12 miesięcy stanowiły </w:t>
      </w:r>
      <w:r w:rsidR="0015381E">
        <w:rPr>
          <w:rFonts w:cstheme="minorHAnsi"/>
        </w:rPr>
        <w:t>niespełna 40%</w:t>
      </w:r>
      <w:r w:rsidRPr="00BF6615">
        <w:rPr>
          <w:rFonts w:cstheme="minorHAnsi"/>
        </w:rPr>
        <w:t xml:space="preserve">, w grupie osób w wieku największej aktywności zawodowej (25-54 lata) było to </w:t>
      </w:r>
      <w:r w:rsidR="0015381E">
        <w:rPr>
          <w:rFonts w:cstheme="minorHAnsi"/>
        </w:rPr>
        <w:t>23</w:t>
      </w:r>
      <w:r w:rsidRPr="00BF6615">
        <w:rPr>
          <w:rFonts w:cstheme="minorHAnsi"/>
        </w:rPr>
        <w:t xml:space="preserve">%, </w:t>
      </w:r>
      <w:r w:rsidR="0015381E">
        <w:rPr>
          <w:rFonts w:cstheme="minorHAnsi"/>
        </w:rPr>
        <w:t xml:space="preserve">podczas gdy </w:t>
      </w:r>
      <w:r w:rsidR="00F047E5">
        <w:rPr>
          <w:rFonts w:cstheme="minorHAnsi"/>
        </w:rPr>
        <w:t>w </w:t>
      </w:r>
      <w:r w:rsidR="0015381E">
        <w:rPr>
          <w:rFonts w:cstheme="minorHAnsi"/>
        </w:rPr>
        <w:t>grupach osób z niepełnosprawnościami i starszych ponad 65%.</w:t>
      </w:r>
    </w:p>
    <w:p w14:paraId="6C7B5BE9" w14:textId="77777777" w:rsidR="00C1691E" w:rsidRPr="00BF6615" w:rsidRDefault="00C1691E" w:rsidP="007E26B5">
      <w:pPr>
        <w:rPr>
          <w:rFonts w:cstheme="minorHAnsi"/>
        </w:rPr>
      </w:pPr>
      <w:r w:rsidRPr="00BF6615">
        <w:rPr>
          <w:rFonts w:cstheme="minorHAnsi"/>
        </w:rPr>
        <w:t>Cel korzystania najczęściej występujący u ogółu badanych związany był z deklaracjami podatkowymi lub otrzymaniem urzędowej korespondencji lub dokumentów. W grupie osób starszych i z niepełnosprawnościami dodatkowo uwagę zwraca relatywnie dość duży wskaźnik osób, które na stronach administracji publicznej poszukiwały informacji.</w:t>
      </w:r>
    </w:p>
    <w:p w14:paraId="5381E6AA" w14:textId="38ED94A4" w:rsidR="00C1691E" w:rsidRPr="00BF6615" w:rsidRDefault="00C1691E" w:rsidP="007E26B5">
      <w:pPr>
        <w:rPr>
          <w:rFonts w:cstheme="minorHAnsi"/>
        </w:rPr>
      </w:pPr>
      <w:r w:rsidRPr="00BF6615">
        <w:rPr>
          <w:rFonts w:cstheme="minorHAnsi"/>
        </w:rPr>
        <w:t xml:space="preserve">Kolejnym istotnym elementem jest liczba problemów występujących podczas korzystania </w:t>
      </w:r>
      <w:r w:rsidR="00F047E5" w:rsidRPr="00BF6615">
        <w:rPr>
          <w:rFonts w:cstheme="minorHAnsi"/>
        </w:rPr>
        <w:t>ze</w:t>
      </w:r>
      <w:r w:rsidR="00F047E5">
        <w:rPr>
          <w:rFonts w:cstheme="minorHAnsi"/>
        </w:rPr>
        <w:t> </w:t>
      </w:r>
      <w:r w:rsidRPr="00BF6615">
        <w:rPr>
          <w:rFonts w:cstheme="minorHAnsi"/>
        </w:rPr>
        <w:t>stron internetowych lub aplikacji jednostek administracji publicznej. Osoby badane napotykają problemy, przy czym najczęściej wskazują na nie osoby w wieku największej aktywności zawodowej, co może być związane z częstotliwością korzystania ze stron/aplikacji podmiotów publicznych.</w:t>
      </w:r>
    </w:p>
    <w:p w14:paraId="397AECB0" w14:textId="77777777" w:rsidR="00C1691E" w:rsidRPr="00BF6615" w:rsidRDefault="00C1691E" w:rsidP="007E26B5">
      <w:pPr>
        <w:pStyle w:val="Legenda"/>
        <w:spacing w:line="276" w:lineRule="auto"/>
        <w:rPr>
          <w:rFonts w:cstheme="minorHAnsi"/>
        </w:rPr>
        <w:sectPr w:rsidR="00C1691E" w:rsidRPr="00BF6615" w:rsidSect="00C1691E">
          <w:pgSz w:w="11906" w:h="16838"/>
          <w:pgMar w:top="851" w:right="1417" w:bottom="1417" w:left="1417" w:header="708" w:footer="708" w:gutter="0"/>
          <w:cols w:space="708"/>
          <w:docGrid w:linePitch="360"/>
        </w:sectPr>
      </w:pPr>
    </w:p>
    <w:p w14:paraId="3BD6E91D" w14:textId="64021ED9" w:rsidR="00C1691E" w:rsidRPr="00BF6615" w:rsidRDefault="00C1691E" w:rsidP="007E26B5">
      <w:pPr>
        <w:pStyle w:val="Legenda"/>
        <w:spacing w:line="276" w:lineRule="auto"/>
        <w:rPr>
          <w:rFonts w:cstheme="minorHAnsi"/>
        </w:rPr>
      </w:pPr>
      <w:bookmarkStart w:id="13" w:name="_Toc196335270"/>
      <w:bookmarkStart w:id="14" w:name="_Toc204179103"/>
      <w:r w:rsidRPr="00BF6615">
        <w:rPr>
          <w:rFonts w:cstheme="minorHAnsi"/>
        </w:rPr>
        <w:lastRenderedPageBreak/>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5</w:t>
      </w:r>
      <w:r w:rsidRPr="00BF6615">
        <w:rPr>
          <w:rFonts w:cstheme="minorHAnsi"/>
        </w:rPr>
        <w:fldChar w:fldCharType="end"/>
      </w:r>
      <w:r w:rsidR="00A21AC1">
        <w:rPr>
          <w:rFonts w:cstheme="minorHAnsi"/>
        </w:rPr>
        <w:t>.</w:t>
      </w:r>
      <w:r w:rsidRPr="00BF6615">
        <w:rPr>
          <w:rFonts w:cstheme="minorHAnsi"/>
        </w:rPr>
        <w:t xml:space="preserve"> Problemy napotkane podczas korzystania ze stron internetowych lub aplikacji jednostek administracji publicznej</w:t>
      </w:r>
      <w:bookmarkEnd w:id="13"/>
      <w:bookmarkEnd w:id="14"/>
    </w:p>
    <w:tbl>
      <w:tblPr>
        <w:tblStyle w:val="PARP"/>
        <w:tblW w:w="9476" w:type="dxa"/>
        <w:tblLayout w:type="fixed"/>
        <w:tblCellMar>
          <w:left w:w="28" w:type="dxa"/>
          <w:right w:w="28" w:type="dxa"/>
        </w:tblCellMar>
        <w:tblLook w:val="04A0" w:firstRow="1" w:lastRow="0" w:firstColumn="1" w:lastColumn="0" w:noHBand="0" w:noVBand="1"/>
        <w:tblCaption w:val="Problemy napotkane podczas korzystania ze stron internetowych lub aplikacji jednostek administracji publicznej"/>
        <w:tblDescription w:val="W kolumnach: &#10;Problemy Ogół badanych (25,8 mln osób) Osoby w wieku największej aktywności zawodowej (25-54 lata)  Osoby starsze 65-74 lata Osoby z niepełnosprawnościami (w tym osoby korzystające z pomocy społecznej) Osoby z ograniczeniami wykonywania codziennych czynności z powodu problemów zdrowotnych"/>
      </w:tblPr>
      <w:tblGrid>
        <w:gridCol w:w="2689"/>
        <w:gridCol w:w="850"/>
        <w:gridCol w:w="992"/>
        <w:gridCol w:w="709"/>
        <w:gridCol w:w="1985"/>
        <w:gridCol w:w="2251"/>
      </w:tblGrid>
      <w:tr w:rsidR="00C1691E" w:rsidRPr="00BF6615" w14:paraId="50DDE7ED" w14:textId="77777777" w:rsidTr="00D024E8">
        <w:trPr>
          <w:cnfStyle w:val="100000000000" w:firstRow="1" w:lastRow="0" w:firstColumn="0" w:lastColumn="0" w:oddVBand="0" w:evenVBand="0" w:oddHBand="0" w:evenHBand="0" w:firstRowFirstColumn="0" w:firstRowLastColumn="0" w:lastRowFirstColumn="0" w:lastRowLastColumn="0"/>
        </w:trPr>
        <w:tc>
          <w:tcPr>
            <w:tcW w:w="2689" w:type="dxa"/>
          </w:tcPr>
          <w:p w14:paraId="3EB9DAD2" w14:textId="77777777" w:rsidR="00C1691E" w:rsidRPr="000F4CC1" w:rsidRDefault="00C1691E" w:rsidP="007E26B5">
            <w:pPr>
              <w:ind w:left="22" w:hanging="22"/>
              <w:rPr>
                <w:rFonts w:asciiTheme="minorHAnsi" w:hAnsiTheme="minorHAnsi" w:cstheme="minorHAnsi"/>
                <w:sz w:val="20"/>
                <w:szCs w:val="20"/>
              </w:rPr>
            </w:pPr>
            <w:r w:rsidRPr="000F4CC1">
              <w:rPr>
                <w:rFonts w:asciiTheme="minorHAnsi" w:hAnsiTheme="minorHAnsi" w:cstheme="minorHAnsi"/>
                <w:sz w:val="20"/>
                <w:szCs w:val="20"/>
              </w:rPr>
              <w:t>Problemy</w:t>
            </w:r>
          </w:p>
        </w:tc>
        <w:tc>
          <w:tcPr>
            <w:tcW w:w="850" w:type="dxa"/>
          </w:tcPr>
          <w:p w14:paraId="7B0C8998" w14:textId="77777777"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Ogół badanych (25,8 mln osób)</w:t>
            </w:r>
          </w:p>
        </w:tc>
        <w:tc>
          <w:tcPr>
            <w:tcW w:w="992" w:type="dxa"/>
          </w:tcPr>
          <w:p w14:paraId="2B078E39" w14:textId="7D73831A"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Osoby w wieku 25-54 lata</w:t>
            </w:r>
          </w:p>
        </w:tc>
        <w:tc>
          <w:tcPr>
            <w:tcW w:w="709" w:type="dxa"/>
          </w:tcPr>
          <w:p w14:paraId="5BE7D9E0" w14:textId="77777777"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Osoby starsze 65-74 lata</w:t>
            </w:r>
          </w:p>
        </w:tc>
        <w:tc>
          <w:tcPr>
            <w:tcW w:w="1985" w:type="dxa"/>
          </w:tcPr>
          <w:p w14:paraId="689E56EA" w14:textId="53798198"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 xml:space="preserve">Osoby z niepełnosprawnościami </w:t>
            </w:r>
          </w:p>
        </w:tc>
        <w:tc>
          <w:tcPr>
            <w:tcW w:w="2251" w:type="dxa"/>
          </w:tcPr>
          <w:p w14:paraId="1D794878" w14:textId="77777777" w:rsidR="00C1691E" w:rsidRPr="000F4CC1" w:rsidRDefault="00C1691E" w:rsidP="007E26B5">
            <w:pPr>
              <w:rPr>
                <w:rFonts w:asciiTheme="minorHAnsi" w:hAnsiTheme="minorHAnsi" w:cstheme="minorHAnsi"/>
                <w:sz w:val="20"/>
                <w:szCs w:val="20"/>
              </w:rPr>
            </w:pPr>
            <w:r w:rsidRPr="000F4CC1">
              <w:rPr>
                <w:rFonts w:asciiTheme="minorHAnsi" w:hAnsiTheme="minorHAnsi" w:cstheme="minorHAnsi"/>
                <w:sz w:val="20"/>
                <w:szCs w:val="20"/>
              </w:rPr>
              <w:t>Osoby z ograniczeniami wykonywania codziennych czynności z powodu problemów zdrowotnych</w:t>
            </w:r>
          </w:p>
        </w:tc>
      </w:tr>
      <w:tr w:rsidR="00C1691E" w:rsidRPr="00BF6615" w14:paraId="628A0A51" w14:textId="77777777" w:rsidTr="00D024E8">
        <w:trPr>
          <w:cnfStyle w:val="000000100000" w:firstRow="0" w:lastRow="0" w:firstColumn="0" w:lastColumn="0" w:oddVBand="0" w:evenVBand="0" w:oddHBand="1" w:evenHBand="0" w:firstRowFirstColumn="0" w:firstRowLastColumn="0" w:lastRowFirstColumn="0" w:lastRowLastColumn="0"/>
        </w:trPr>
        <w:tc>
          <w:tcPr>
            <w:tcW w:w="2689" w:type="dxa"/>
          </w:tcPr>
          <w:p w14:paraId="6C17621C" w14:textId="77777777" w:rsidR="00C1691E" w:rsidRPr="000F4CC1" w:rsidRDefault="00C1691E" w:rsidP="007E26B5">
            <w:pPr>
              <w:rPr>
                <w:rFonts w:cstheme="minorHAnsi"/>
                <w:sz w:val="20"/>
                <w:szCs w:val="20"/>
              </w:rPr>
            </w:pPr>
            <w:r w:rsidRPr="000F4CC1">
              <w:rPr>
                <w:rFonts w:cstheme="minorHAnsi"/>
                <w:sz w:val="20"/>
                <w:szCs w:val="20"/>
              </w:rPr>
              <w:t>Osoby, które napotkały problemy podczas korzystania ze stron internetowych lub aplikacji jednostek administracji publicznej w ciągu ostatnich 12 miesięcy</w:t>
            </w:r>
          </w:p>
        </w:tc>
        <w:tc>
          <w:tcPr>
            <w:tcW w:w="850" w:type="dxa"/>
          </w:tcPr>
          <w:p w14:paraId="581BC568" w14:textId="77777777" w:rsidR="00C1691E" w:rsidRPr="000F4CC1" w:rsidRDefault="00C1691E" w:rsidP="007E26B5">
            <w:pPr>
              <w:rPr>
                <w:rFonts w:cstheme="minorHAnsi"/>
                <w:sz w:val="20"/>
                <w:szCs w:val="20"/>
              </w:rPr>
            </w:pPr>
            <w:r w:rsidRPr="000F4CC1">
              <w:rPr>
                <w:rFonts w:cstheme="minorHAnsi"/>
                <w:sz w:val="20"/>
                <w:szCs w:val="20"/>
              </w:rPr>
              <w:t>14,7%</w:t>
            </w:r>
          </w:p>
        </w:tc>
        <w:tc>
          <w:tcPr>
            <w:tcW w:w="992" w:type="dxa"/>
          </w:tcPr>
          <w:p w14:paraId="3C70FCB9" w14:textId="77777777" w:rsidR="00C1691E" w:rsidRPr="000F4CC1" w:rsidRDefault="00C1691E" w:rsidP="007E26B5">
            <w:pPr>
              <w:rPr>
                <w:rFonts w:cstheme="minorHAnsi"/>
                <w:sz w:val="20"/>
                <w:szCs w:val="20"/>
              </w:rPr>
            </w:pPr>
            <w:r w:rsidRPr="000F4CC1">
              <w:rPr>
                <w:rFonts w:cstheme="minorHAnsi"/>
                <w:sz w:val="20"/>
                <w:szCs w:val="20"/>
              </w:rPr>
              <w:t>18,8%</w:t>
            </w:r>
          </w:p>
        </w:tc>
        <w:tc>
          <w:tcPr>
            <w:tcW w:w="709" w:type="dxa"/>
          </w:tcPr>
          <w:p w14:paraId="559C2C28" w14:textId="77777777" w:rsidR="00C1691E" w:rsidRPr="000F4CC1" w:rsidRDefault="00C1691E" w:rsidP="007E26B5">
            <w:pPr>
              <w:rPr>
                <w:rFonts w:cstheme="minorHAnsi"/>
                <w:sz w:val="20"/>
                <w:szCs w:val="20"/>
              </w:rPr>
            </w:pPr>
            <w:r w:rsidRPr="000F4CC1">
              <w:rPr>
                <w:rFonts w:cstheme="minorHAnsi"/>
                <w:sz w:val="20"/>
                <w:szCs w:val="20"/>
              </w:rPr>
              <w:t>5,9%</w:t>
            </w:r>
          </w:p>
        </w:tc>
        <w:tc>
          <w:tcPr>
            <w:tcW w:w="1985" w:type="dxa"/>
          </w:tcPr>
          <w:p w14:paraId="6356EA66" w14:textId="735C107B" w:rsidR="002F0361" w:rsidRPr="000F4CC1" w:rsidRDefault="002F0361" w:rsidP="007E26B5">
            <w:pPr>
              <w:rPr>
                <w:rFonts w:cstheme="minorHAnsi"/>
                <w:sz w:val="20"/>
                <w:szCs w:val="20"/>
              </w:rPr>
            </w:pPr>
            <w:r>
              <w:rPr>
                <w:rFonts w:cstheme="minorHAnsi"/>
                <w:sz w:val="20"/>
                <w:szCs w:val="20"/>
              </w:rPr>
              <w:t>11,88%</w:t>
            </w:r>
          </w:p>
        </w:tc>
        <w:tc>
          <w:tcPr>
            <w:tcW w:w="2251" w:type="dxa"/>
          </w:tcPr>
          <w:p w14:paraId="186B2C2A" w14:textId="3F4EF7C8" w:rsidR="002F0361" w:rsidRPr="000F4CC1" w:rsidRDefault="002F0361" w:rsidP="007E26B5">
            <w:pPr>
              <w:rPr>
                <w:rFonts w:cstheme="minorHAnsi"/>
                <w:sz w:val="20"/>
                <w:szCs w:val="20"/>
              </w:rPr>
            </w:pPr>
            <w:r>
              <w:rPr>
                <w:rFonts w:cstheme="minorHAnsi"/>
                <w:sz w:val="20"/>
                <w:szCs w:val="20"/>
              </w:rPr>
              <w:t>11,13%</w:t>
            </w:r>
          </w:p>
        </w:tc>
      </w:tr>
      <w:tr w:rsidR="00C1691E" w:rsidRPr="00BF6615" w14:paraId="7A5E42D4" w14:textId="77777777" w:rsidTr="00D024E8">
        <w:trPr>
          <w:cnfStyle w:val="000000010000" w:firstRow="0" w:lastRow="0" w:firstColumn="0" w:lastColumn="0" w:oddVBand="0" w:evenVBand="0" w:oddHBand="0" w:evenHBand="1" w:firstRowFirstColumn="0" w:firstRowLastColumn="0" w:lastRowFirstColumn="0" w:lastRowLastColumn="0"/>
        </w:trPr>
        <w:tc>
          <w:tcPr>
            <w:tcW w:w="2689" w:type="dxa"/>
          </w:tcPr>
          <w:p w14:paraId="64BAB511" w14:textId="77777777" w:rsidR="00C1691E" w:rsidRPr="000F4CC1" w:rsidRDefault="00C1691E" w:rsidP="007E26B5">
            <w:pPr>
              <w:rPr>
                <w:rFonts w:cstheme="minorHAnsi"/>
                <w:sz w:val="20"/>
                <w:szCs w:val="20"/>
              </w:rPr>
            </w:pPr>
            <w:r w:rsidRPr="000F4CC1">
              <w:rPr>
                <w:rFonts w:cstheme="minorHAnsi"/>
                <w:sz w:val="20"/>
                <w:szCs w:val="20"/>
              </w:rPr>
              <w:t>strona internetowa lub aplikacji była zbyt skomplikowana</w:t>
            </w:r>
          </w:p>
        </w:tc>
        <w:tc>
          <w:tcPr>
            <w:tcW w:w="850" w:type="dxa"/>
          </w:tcPr>
          <w:p w14:paraId="69C13FBD" w14:textId="77777777" w:rsidR="00C1691E" w:rsidRPr="000F4CC1" w:rsidRDefault="00C1691E" w:rsidP="007E26B5">
            <w:pPr>
              <w:rPr>
                <w:rFonts w:cstheme="minorHAnsi"/>
                <w:sz w:val="20"/>
                <w:szCs w:val="20"/>
              </w:rPr>
            </w:pPr>
            <w:r w:rsidRPr="000F4CC1">
              <w:rPr>
                <w:rFonts w:cstheme="minorHAnsi"/>
                <w:sz w:val="20"/>
                <w:szCs w:val="20"/>
              </w:rPr>
              <w:t>4,2%</w:t>
            </w:r>
          </w:p>
        </w:tc>
        <w:tc>
          <w:tcPr>
            <w:tcW w:w="992" w:type="dxa"/>
          </w:tcPr>
          <w:p w14:paraId="35B72B73" w14:textId="77777777" w:rsidR="00C1691E" w:rsidRPr="000F4CC1" w:rsidRDefault="00C1691E" w:rsidP="007E26B5">
            <w:pPr>
              <w:rPr>
                <w:rFonts w:cstheme="minorHAnsi"/>
                <w:sz w:val="20"/>
                <w:szCs w:val="20"/>
              </w:rPr>
            </w:pPr>
            <w:r w:rsidRPr="000F4CC1">
              <w:rPr>
                <w:rFonts w:cstheme="minorHAnsi"/>
                <w:sz w:val="20"/>
                <w:szCs w:val="20"/>
              </w:rPr>
              <w:t>5,1%</w:t>
            </w:r>
          </w:p>
        </w:tc>
        <w:tc>
          <w:tcPr>
            <w:tcW w:w="709" w:type="dxa"/>
          </w:tcPr>
          <w:p w14:paraId="4F0AA2EF" w14:textId="77777777" w:rsidR="00C1691E" w:rsidRPr="000F4CC1" w:rsidRDefault="00C1691E" w:rsidP="007E26B5">
            <w:pPr>
              <w:rPr>
                <w:rFonts w:cstheme="minorHAnsi"/>
                <w:sz w:val="20"/>
                <w:szCs w:val="20"/>
              </w:rPr>
            </w:pPr>
            <w:r w:rsidRPr="000F4CC1">
              <w:rPr>
                <w:rFonts w:cstheme="minorHAnsi"/>
                <w:sz w:val="20"/>
                <w:szCs w:val="20"/>
              </w:rPr>
              <w:t>2,4%</w:t>
            </w:r>
          </w:p>
        </w:tc>
        <w:tc>
          <w:tcPr>
            <w:tcW w:w="1985" w:type="dxa"/>
          </w:tcPr>
          <w:p w14:paraId="66198197" w14:textId="30435EB3" w:rsidR="0035713A" w:rsidRPr="000F4CC1" w:rsidRDefault="0035713A" w:rsidP="007E26B5">
            <w:pPr>
              <w:rPr>
                <w:rFonts w:cstheme="minorHAnsi"/>
                <w:sz w:val="20"/>
                <w:szCs w:val="20"/>
              </w:rPr>
            </w:pPr>
            <w:r>
              <w:rPr>
                <w:rFonts w:cstheme="minorHAnsi"/>
                <w:sz w:val="20"/>
                <w:szCs w:val="20"/>
              </w:rPr>
              <w:t>5,08%</w:t>
            </w:r>
          </w:p>
        </w:tc>
        <w:tc>
          <w:tcPr>
            <w:tcW w:w="2251" w:type="dxa"/>
          </w:tcPr>
          <w:p w14:paraId="7B8D64BB" w14:textId="007C9590" w:rsidR="0035713A" w:rsidRPr="000F4CC1" w:rsidRDefault="0035713A" w:rsidP="007E26B5">
            <w:pPr>
              <w:rPr>
                <w:rFonts w:cstheme="minorHAnsi"/>
                <w:sz w:val="20"/>
                <w:szCs w:val="20"/>
              </w:rPr>
            </w:pPr>
            <w:r>
              <w:rPr>
                <w:rFonts w:cstheme="minorHAnsi"/>
                <w:sz w:val="20"/>
                <w:szCs w:val="20"/>
              </w:rPr>
              <w:t>5,02%</w:t>
            </w:r>
          </w:p>
        </w:tc>
      </w:tr>
      <w:tr w:rsidR="00C1691E" w:rsidRPr="00BF6615" w14:paraId="46598F19" w14:textId="77777777" w:rsidTr="00D024E8">
        <w:trPr>
          <w:cnfStyle w:val="000000100000" w:firstRow="0" w:lastRow="0" w:firstColumn="0" w:lastColumn="0" w:oddVBand="0" w:evenVBand="0" w:oddHBand="1" w:evenHBand="0" w:firstRowFirstColumn="0" w:firstRowLastColumn="0" w:lastRowFirstColumn="0" w:lastRowLastColumn="0"/>
        </w:trPr>
        <w:tc>
          <w:tcPr>
            <w:tcW w:w="2689" w:type="dxa"/>
          </w:tcPr>
          <w:p w14:paraId="0D36CA9C" w14:textId="77777777" w:rsidR="00C1691E" w:rsidRPr="000F4CC1" w:rsidRDefault="00C1691E" w:rsidP="007E26B5">
            <w:pPr>
              <w:rPr>
                <w:rFonts w:cstheme="minorHAnsi"/>
                <w:sz w:val="20"/>
                <w:szCs w:val="20"/>
              </w:rPr>
            </w:pPr>
            <w:r w:rsidRPr="000F4CC1">
              <w:rPr>
                <w:rFonts w:cstheme="minorHAnsi"/>
                <w:sz w:val="20"/>
                <w:szCs w:val="20"/>
              </w:rPr>
              <w:t>problemy techniczne podczas korzystania ze strony lub aplikacji</w:t>
            </w:r>
          </w:p>
        </w:tc>
        <w:tc>
          <w:tcPr>
            <w:tcW w:w="850" w:type="dxa"/>
          </w:tcPr>
          <w:p w14:paraId="0A078570" w14:textId="77777777" w:rsidR="00C1691E" w:rsidRPr="000F4CC1" w:rsidRDefault="00C1691E" w:rsidP="007E26B5">
            <w:pPr>
              <w:rPr>
                <w:rFonts w:cstheme="minorHAnsi"/>
                <w:sz w:val="20"/>
                <w:szCs w:val="20"/>
              </w:rPr>
            </w:pPr>
            <w:r w:rsidRPr="000F4CC1">
              <w:rPr>
                <w:rFonts w:cstheme="minorHAnsi"/>
                <w:sz w:val="20"/>
                <w:szCs w:val="20"/>
              </w:rPr>
              <w:t>9,3%</w:t>
            </w:r>
          </w:p>
        </w:tc>
        <w:tc>
          <w:tcPr>
            <w:tcW w:w="992" w:type="dxa"/>
          </w:tcPr>
          <w:p w14:paraId="5D96C718" w14:textId="77777777" w:rsidR="00C1691E" w:rsidRPr="000F4CC1" w:rsidRDefault="00C1691E" w:rsidP="007E26B5">
            <w:pPr>
              <w:rPr>
                <w:rFonts w:cstheme="minorHAnsi"/>
                <w:sz w:val="20"/>
                <w:szCs w:val="20"/>
              </w:rPr>
            </w:pPr>
            <w:r w:rsidRPr="000F4CC1">
              <w:rPr>
                <w:rFonts w:cstheme="minorHAnsi"/>
                <w:sz w:val="20"/>
                <w:szCs w:val="20"/>
              </w:rPr>
              <w:t>12,2%</w:t>
            </w:r>
          </w:p>
        </w:tc>
        <w:tc>
          <w:tcPr>
            <w:tcW w:w="709" w:type="dxa"/>
          </w:tcPr>
          <w:p w14:paraId="7C60C067" w14:textId="77777777" w:rsidR="00C1691E" w:rsidRPr="000F4CC1" w:rsidRDefault="00C1691E" w:rsidP="007E26B5">
            <w:pPr>
              <w:rPr>
                <w:rFonts w:cstheme="minorHAnsi"/>
                <w:sz w:val="20"/>
                <w:szCs w:val="20"/>
              </w:rPr>
            </w:pPr>
            <w:r w:rsidRPr="000F4CC1">
              <w:rPr>
                <w:rFonts w:cstheme="minorHAnsi"/>
                <w:sz w:val="20"/>
                <w:szCs w:val="20"/>
              </w:rPr>
              <w:t>2,9%</w:t>
            </w:r>
          </w:p>
        </w:tc>
        <w:tc>
          <w:tcPr>
            <w:tcW w:w="1985" w:type="dxa"/>
          </w:tcPr>
          <w:p w14:paraId="26C223B5" w14:textId="4F6C9441" w:rsidR="0035713A" w:rsidRPr="000F4CC1" w:rsidRDefault="0035713A" w:rsidP="007E26B5">
            <w:pPr>
              <w:rPr>
                <w:rFonts w:cstheme="minorHAnsi"/>
                <w:sz w:val="20"/>
                <w:szCs w:val="20"/>
              </w:rPr>
            </w:pPr>
            <w:r>
              <w:rPr>
                <w:rFonts w:cstheme="minorHAnsi"/>
                <w:sz w:val="20"/>
                <w:szCs w:val="20"/>
              </w:rPr>
              <w:t>7,02%</w:t>
            </w:r>
          </w:p>
        </w:tc>
        <w:tc>
          <w:tcPr>
            <w:tcW w:w="2251" w:type="dxa"/>
          </w:tcPr>
          <w:p w14:paraId="00E0AD00" w14:textId="1F2FAA8E" w:rsidR="0035713A" w:rsidRPr="000F4CC1" w:rsidRDefault="0035713A" w:rsidP="007E26B5">
            <w:pPr>
              <w:rPr>
                <w:rFonts w:cstheme="minorHAnsi"/>
                <w:sz w:val="20"/>
                <w:szCs w:val="20"/>
              </w:rPr>
            </w:pPr>
            <w:r>
              <w:rPr>
                <w:rFonts w:cstheme="minorHAnsi"/>
                <w:sz w:val="20"/>
                <w:szCs w:val="20"/>
              </w:rPr>
              <w:t>6,59%</w:t>
            </w:r>
          </w:p>
        </w:tc>
      </w:tr>
      <w:tr w:rsidR="00C1691E" w:rsidRPr="00BF6615" w14:paraId="1AD221FC" w14:textId="77777777" w:rsidTr="00D024E8">
        <w:trPr>
          <w:cnfStyle w:val="000000010000" w:firstRow="0" w:lastRow="0" w:firstColumn="0" w:lastColumn="0" w:oddVBand="0" w:evenVBand="0" w:oddHBand="0" w:evenHBand="1" w:firstRowFirstColumn="0" w:firstRowLastColumn="0" w:lastRowFirstColumn="0" w:lastRowLastColumn="0"/>
        </w:trPr>
        <w:tc>
          <w:tcPr>
            <w:tcW w:w="2689" w:type="dxa"/>
          </w:tcPr>
          <w:p w14:paraId="74D39177" w14:textId="77777777" w:rsidR="00C1691E" w:rsidRPr="000F4CC1" w:rsidRDefault="00C1691E" w:rsidP="007E26B5">
            <w:pPr>
              <w:rPr>
                <w:rFonts w:cstheme="minorHAnsi"/>
                <w:sz w:val="20"/>
                <w:szCs w:val="20"/>
              </w:rPr>
            </w:pPr>
            <w:r w:rsidRPr="000F4CC1">
              <w:rPr>
                <w:rFonts w:cstheme="minorHAnsi"/>
                <w:sz w:val="20"/>
                <w:szCs w:val="20"/>
              </w:rPr>
              <w:t>problemy podczas korzystania z identyfikatora elektronicznego</w:t>
            </w:r>
          </w:p>
        </w:tc>
        <w:tc>
          <w:tcPr>
            <w:tcW w:w="850" w:type="dxa"/>
          </w:tcPr>
          <w:p w14:paraId="7380704C" w14:textId="77777777" w:rsidR="00C1691E" w:rsidRPr="000F4CC1" w:rsidRDefault="00C1691E" w:rsidP="007E26B5">
            <w:pPr>
              <w:rPr>
                <w:rFonts w:cstheme="minorHAnsi"/>
                <w:sz w:val="20"/>
                <w:szCs w:val="20"/>
              </w:rPr>
            </w:pPr>
            <w:r w:rsidRPr="000F4CC1">
              <w:rPr>
                <w:rFonts w:cstheme="minorHAnsi"/>
                <w:sz w:val="20"/>
                <w:szCs w:val="20"/>
              </w:rPr>
              <w:t>2,4%</w:t>
            </w:r>
          </w:p>
        </w:tc>
        <w:tc>
          <w:tcPr>
            <w:tcW w:w="992" w:type="dxa"/>
          </w:tcPr>
          <w:p w14:paraId="21610D5F" w14:textId="77777777" w:rsidR="00C1691E" w:rsidRPr="000F4CC1" w:rsidRDefault="00C1691E" w:rsidP="007E26B5">
            <w:pPr>
              <w:rPr>
                <w:rFonts w:cstheme="minorHAnsi"/>
                <w:sz w:val="20"/>
                <w:szCs w:val="20"/>
              </w:rPr>
            </w:pPr>
            <w:r w:rsidRPr="000F4CC1">
              <w:rPr>
                <w:rFonts w:cstheme="minorHAnsi"/>
                <w:sz w:val="20"/>
                <w:szCs w:val="20"/>
              </w:rPr>
              <w:t>3,0%</w:t>
            </w:r>
          </w:p>
        </w:tc>
        <w:tc>
          <w:tcPr>
            <w:tcW w:w="709" w:type="dxa"/>
          </w:tcPr>
          <w:p w14:paraId="234AAF6F" w14:textId="77777777" w:rsidR="00C1691E" w:rsidRPr="000F4CC1" w:rsidRDefault="00C1691E" w:rsidP="007E26B5">
            <w:pPr>
              <w:rPr>
                <w:rFonts w:cstheme="minorHAnsi"/>
                <w:sz w:val="20"/>
                <w:szCs w:val="20"/>
              </w:rPr>
            </w:pPr>
            <w:r w:rsidRPr="000F4CC1">
              <w:rPr>
                <w:rFonts w:cstheme="minorHAnsi"/>
                <w:sz w:val="20"/>
                <w:szCs w:val="20"/>
              </w:rPr>
              <w:t>0,9%</w:t>
            </w:r>
          </w:p>
        </w:tc>
        <w:tc>
          <w:tcPr>
            <w:tcW w:w="1985" w:type="dxa"/>
          </w:tcPr>
          <w:p w14:paraId="0338F877" w14:textId="5D35DB7F" w:rsidR="0035713A" w:rsidRPr="000F4CC1" w:rsidRDefault="0035713A" w:rsidP="007E26B5">
            <w:pPr>
              <w:rPr>
                <w:rFonts w:cstheme="minorHAnsi"/>
                <w:sz w:val="20"/>
                <w:szCs w:val="20"/>
              </w:rPr>
            </w:pPr>
            <w:r>
              <w:rPr>
                <w:rFonts w:cstheme="minorHAnsi"/>
                <w:sz w:val="20"/>
                <w:szCs w:val="20"/>
              </w:rPr>
              <w:t>2,61%</w:t>
            </w:r>
          </w:p>
        </w:tc>
        <w:tc>
          <w:tcPr>
            <w:tcW w:w="2251" w:type="dxa"/>
          </w:tcPr>
          <w:p w14:paraId="3BA0971E" w14:textId="6A872D0B" w:rsidR="0035713A" w:rsidRPr="000F4CC1" w:rsidRDefault="0035713A" w:rsidP="007E26B5">
            <w:pPr>
              <w:rPr>
                <w:rFonts w:cstheme="minorHAnsi"/>
                <w:sz w:val="20"/>
                <w:szCs w:val="20"/>
              </w:rPr>
            </w:pPr>
            <w:r>
              <w:rPr>
                <w:rFonts w:cstheme="minorHAnsi"/>
                <w:sz w:val="20"/>
                <w:szCs w:val="20"/>
              </w:rPr>
              <w:t>1,71%</w:t>
            </w:r>
          </w:p>
        </w:tc>
      </w:tr>
      <w:tr w:rsidR="00C1691E" w:rsidRPr="00BF6615" w14:paraId="2B05178E" w14:textId="77777777" w:rsidTr="00D024E8">
        <w:trPr>
          <w:cnfStyle w:val="000000100000" w:firstRow="0" w:lastRow="0" w:firstColumn="0" w:lastColumn="0" w:oddVBand="0" w:evenVBand="0" w:oddHBand="1" w:evenHBand="0" w:firstRowFirstColumn="0" w:firstRowLastColumn="0" w:lastRowFirstColumn="0" w:lastRowLastColumn="0"/>
        </w:trPr>
        <w:tc>
          <w:tcPr>
            <w:tcW w:w="2689" w:type="dxa"/>
          </w:tcPr>
          <w:p w14:paraId="0A6E80FD" w14:textId="77777777" w:rsidR="00C1691E" w:rsidRPr="000F4CC1" w:rsidRDefault="00C1691E" w:rsidP="007E26B5">
            <w:pPr>
              <w:rPr>
                <w:rFonts w:cstheme="minorHAnsi"/>
                <w:sz w:val="20"/>
                <w:szCs w:val="20"/>
              </w:rPr>
            </w:pPr>
            <w:r w:rsidRPr="000F4CC1">
              <w:rPr>
                <w:rFonts w:cstheme="minorHAnsi"/>
                <w:sz w:val="20"/>
                <w:szCs w:val="20"/>
              </w:rPr>
              <w:t>brak możliwości płatności za pośrednictwem strony internetowej lub aplikacji</w:t>
            </w:r>
          </w:p>
        </w:tc>
        <w:tc>
          <w:tcPr>
            <w:tcW w:w="850" w:type="dxa"/>
          </w:tcPr>
          <w:p w14:paraId="4C57257A" w14:textId="77777777" w:rsidR="00C1691E" w:rsidRPr="000F4CC1" w:rsidRDefault="00C1691E" w:rsidP="007E26B5">
            <w:pPr>
              <w:rPr>
                <w:rFonts w:cstheme="minorHAnsi"/>
                <w:sz w:val="20"/>
                <w:szCs w:val="20"/>
              </w:rPr>
            </w:pPr>
            <w:r w:rsidRPr="000F4CC1">
              <w:rPr>
                <w:rFonts w:cstheme="minorHAnsi"/>
                <w:sz w:val="20"/>
                <w:szCs w:val="20"/>
              </w:rPr>
              <w:t>1,4%</w:t>
            </w:r>
          </w:p>
        </w:tc>
        <w:tc>
          <w:tcPr>
            <w:tcW w:w="992" w:type="dxa"/>
          </w:tcPr>
          <w:p w14:paraId="4645A2AB" w14:textId="77777777" w:rsidR="00C1691E" w:rsidRPr="000F4CC1" w:rsidRDefault="00C1691E" w:rsidP="007E26B5">
            <w:pPr>
              <w:rPr>
                <w:rFonts w:cstheme="minorHAnsi"/>
                <w:sz w:val="20"/>
                <w:szCs w:val="20"/>
              </w:rPr>
            </w:pPr>
            <w:r w:rsidRPr="000F4CC1">
              <w:rPr>
                <w:rFonts w:cstheme="minorHAnsi"/>
                <w:sz w:val="20"/>
                <w:szCs w:val="20"/>
              </w:rPr>
              <w:t>2,0%</w:t>
            </w:r>
          </w:p>
        </w:tc>
        <w:tc>
          <w:tcPr>
            <w:tcW w:w="709" w:type="dxa"/>
          </w:tcPr>
          <w:p w14:paraId="787E62CB" w14:textId="77777777" w:rsidR="00C1691E" w:rsidRPr="000F4CC1" w:rsidRDefault="00C1691E" w:rsidP="007E26B5">
            <w:pPr>
              <w:rPr>
                <w:rFonts w:cstheme="minorHAnsi"/>
                <w:sz w:val="20"/>
                <w:szCs w:val="20"/>
              </w:rPr>
            </w:pPr>
            <w:r w:rsidRPr="000F4CC1">
              <w:rPr>
                <w:rFonts w:cstheme="minorHAnsi"/>
                <w:sz w:val="20"/>
                <w:szCs w:val="20"/>
              </w:rPr>
              <w:t>0,7%</w:t>
            </w:r>
          </w:p>
        </w:tc>
        <w:tc>
          <w:tcPr>
            <w:tcW w:w="1985" w:type="dxa"/>
          </w:tcPr>
          <w:p w14:paraId="23A0FC6F" w14:textId="4EC18CF1" w:rsidR="0035713A" w:rsidRPr="000F4CC1" w:rsidRDefault="0035713A" w:rsidP="007E26B5">
            <w:pPr>
              <w:rPr>
                <w:rFonts w:cstheme="minorHAnsi"/>
                <w:sz w:val="20"/>
                <w:szCs w:val="20"/>
              </w:rPr>
            </w:pPr>
            <w:r>
              <w:rPr>
                <w:rFonts w:cstheme="minorHAnsi"/>
                <w:sz w:val="20"/>
                <w:szCs w:val="20"/>
              </w:rPr>
              <w:t>0,54%</w:t>
            </w:r>
          </w:p>
        </w:tc>
        <w:tc>
          <w:tcPr>
            <w:tcW w:w="2251" w:type="dxa"/>
          </w:tcPr>
          <w:p w14:paraId="7200FD5F" w14:textId="48443BBA" w:rsidR="0035713A" w:rsidRPr="000F4CC1" w:rsidRDefault="0035713A" w:rsidP="007E26B5">
            <w:pPr>
              <w:rPr>
                <w:rFonts w:cstheme="minorHAnsi"/>
                <w:sz w:val="20"/>
                <w:szCs w:val="20"/>
              </w:rPr>
            </w:pPr>
            <w:r>
              <w:rPr>
                <w:rFonts w:cstheme="minorHAnsi"/>
                <w:sz w:val="20"/>
                <w:szCs w:val="20"/>
              </w:rPr>
              <w:t>0,85%</w:t>
            </w:r>
          </w:p>
        </w:tc>
      </w:tr>
      <w:tr w:rsidR="00C1691E" w:rsidRPr="00BF6615" w14:paraId="3B584300" w14:textId="77777777" w:rsidTr="00D024E8">
        <w:trPr>
          <w:cnfStyle w:val="000000010000" w:firstRow="0" w:lastRow="0" w:firstColumn="0" w:lastColumn="0" w:oddVBand="0" w:evenVBand="0" w:oddHBand="0" w:evenHBand="1" w:firstRowFirstColumn="0" w:firstRowLastColumn="0" w:lastRowFirstColumn="0" w:lastRowLastColumn="0"/>
        </w:trPr>
        <w:tc>
          <w:tcPr>
            <w:tcW w:w="2689" w:type="dxa"/>
          </w:tcPr>
          <w:p w14:paraId="7D6567BE" w14:textId="77777777" w:rsidR="00C1691E" w:rsidRPr="000F4CC1" w:rsidRDefault="00C1691E" w:rsidP="007E26B5">
            <w:pPr>
              <w:rPr>
                <w:rFonts w:cstheme="minorHAnsi"/>
                <w:sz w:val="20"/>
                <w:szCs w:val="20"/>
              </w:rPr>
            </w:pPr>
            <w:r w:rsidRPr="000F4CC1">
              <w:rPr>
                <w:rFonts w:cstheme="minorHAnsi"/>
                <w:sz w:val="20"/>
                <w:szCs w:val="20"/>
              </w:rPr>
              <w:t>brak możliwości korzystania ze strony/aplikacji na smartfonie lub tablecie</w:t>
            </w:r>
          </w:p>
        </w:tc>
        <w:tc>
          <w:tcPr>
            <w:tcW w:w="850" w:type="dxa"/>
          </w:tcPr>
          <w:p w14:paraId="3649D6F7" w14:textId="77777777" w:rsidR="00C1691E" w:rsidRPr="000F4CC1" w:rsidRDefault="00C1691E" w:rsidP="007E26B5">
            <w:pPr>
              <w:rPr>
                <w:rFonts w:cstheme="minorHAnsi"/>
                <w:sz w:val="20"/>
                <w:szCs w:val="20"/>
              </w:rPr>
            </w:pPr>
            <w:r w:rsidRPr="000F4CC1">
              <w:rPr>
                <w:rFonts w:cstheme="minorHAnsi"/>
                <w:sz w:val="20"/>
                <w:szCs w:val="20"/>
              </w:rPr>
              <w:t>1,6%</w:t>
            </w:r>
          </w:p>
        </w:tc>
        <w:tc>
          <w:tcPr>
            <w:tcW w:w="992" w:type="dxa"/>
          </w:tcPr>
          <w:p w14:paraId="49C88DC8" w14:textId="77777777" w:rsidR="00C1691E" w:rsidRPr="000F4CC1" w:rsidRDefault="00C1691E" w:rsidP="007E26B5">
            <w:pPr>
              <w:rPr>
                <w:rFonts w:cstheme="minorHAnsi"/>
                <w:sz w:val="20"/>
                <w:szCs w:val="20"/>
              </w:rPr>
            </w:pPr>
            <w:r w:rsidRPr="000F4CC1">
              <w:rPr>
                <w:rFonts w:cstheme="minorHAnsi"/>
                <w:sz w:val="20"/>
                <w:szCs w:val="20"/>
              </w:rPr>
              <w:t>2,0%</w:t>
            </w:r>
          </w:p>
        </w:tc>
        <w:tc>
          <w:tcPr>
            <w:tcW w:w="709" w:type="dxa"/>
          </w:tcPr>
          <w:p w14:paraId="2DF41982" w14:textId="77777777" w:rsidR="00C1691E" w:rsidRPr="000F4CC1" w:rsidRDefault="00C1691E" w:rsidP="007E26B5">
            <w:pPr>
              <w:rPr>
                <w:rFonts w:cstheme="minorHAnsi"/>
                <w:sz w:val="20"/>
                <w:szCs w:val="20"/>
              </w:rPr>
            </w:pPr>
            <w:r w:rsidRPr="000F4CC1">
              <w:rPr>
                <w:rFonts w:cstheme="minorHAnsi"/>
                <w:sz w:val="20"/>
                <w:szCs w:val="20"/>
              </w:rPr>
              <w:t>0,4%</w:t>
            </w:r>
          </w:p>
        </w:tc>
        <w:tc>
          <w:tcPr>
            <w:tcW w:w="1985" w:type="dxa"/>
          </w:tcPr>
          <w:p w14:paraId="088360A1" w14:textId="4A877EA9" w:rsidR="0035713A" w:rsidRPr="000F4CC1" w:rsidRDefault="0035713A" w:rsidP="007E26B5">
            <w:pPr>
              <w:rPr>
                <w:rFonts w:cstheme="minorHAnsi"/>
                <w:sz w:val="20"/>
                <w:szCs w:val="20"/>
              </w:rPr>
            </w:pPr>
            <w:r>
              <w:rPr>
                <w:rFonts w:cstheme="minorHAnsi"/>
                <w:sz w:val="20"/>
                <w:szCs w:val="20"/>
              </w:rPr>
              <w:t>1,21%</w:t>
            </w:r>
          </w:p>
        </w:tc>
        <w:tc>
          <w:tcPr>
            <w:tcW w:w="2251" w:type="dxa"/>
          </w:tcPr>
          <w:p w14:paraId="331EB025" w14:textId="5E7B61E9" w:rsidR="0035713A" w:rsidRPr="000F4CC1" w:rsidRDefault="0035713A" w:rsidP="007E26B5">
            <w:pPr>
              <w:rPr>
                <w:rFonts w:cstheme="minorHAnsi"/>
                <w:sz w:val="20"/>
                <w:szCs w:val="20"/>
              </w:rPr>
            </w:pPr>
            <w:r>
              <w:rPr>
                <w:rFonts w:cstheme="minorHAnsi"/>
                <w:sz w:val="20"/>
                <w:szCs w:val="20"/>
              </w:rPr>
              <w:t>0,58%</w:t>
            </w:r>
          </w:p>
        </w:tc>
      </w:tr>
      <w:tr w:rsidR="00C1691E" w:rsidRPr="00BF6615" w14:paraId="1B8F9314" w14:textId="77777777" w:rsidTr="00D024E8">
        <w:trPr>
          <w:cnfStyle w:val="000000100000" w:firstRow="0" w:lastRow="0" w:firstColumn="0" w:lastColumn="0" w:oddVBand="0" w:evenVBand="0" w:oddHBand="1" w:evenHBand="0" w:firstRowFirstColumn="0" w:firstRowLastColumn="0" w:lastRowFirstColumn="0" w:lastRowLastColumn="0"/>
        </w:trPr>
        <w:tc>
          <w:tcPr>
            <w:tcW w:w="2689" w:type="dxa"/>
          </w:tcPr>
          <w:p w14:paraId="440F1C62" w14:textId="77777777" w:rsidR="00C1691E" w:rsidRPr="000F4CC1" w:rsidRDefault="00C1691E" w:rsidP="007E26B5">
            <w:pPr>
              <w:rPr>
                <w:rFonts w:cstheme="minorHAnsi"/>
                <w:sz w:val="20"/>
                <w:szCs w:val="20"/>
              </w:rPr>
            </w:pPr>
            <w:r w:rsidRPr="000F4CC1">
              <w:rPr>
                <w:rFonts w:cstheme="minorHAnsi"/>
                <w:sz w:val="20"/>
                <w:szCs w:val="20"/>
              </w:rPr>
              <w:t>inne problemy</w:t>
            </w:r>
          </w:p>
        </w:tc>
        <w:tc>
          <w:tcPr>
            <w:tcW w:w="850" w:type="dxa"/>
          </w:tcPr>
          <w:p w14:paraId="12C0BD16" w14:textId="77777777" w:rsidR="00C1691E" w:rsidRPr="000F4CC1" w:rsidRDefault="00C1691E" w:rsidP="007E26B5">
            <w:pPr>
              <w:rPr>
                <w:rFonts w:cstheme="minorHAnsi"/>
                <w:sz w:val="20"/>
                <w:szCs w:val="20"/>
              </w:rPr>
            </w:pPr>
            <w:r w:rsidRPr="000F4CC1">
              <w:rPr>
                <w:rFonts w:cstheme="minorHAnsi"/>
                <w:sz w:val="20"/>
                <w:szCs w:val="20"/>
              </w:rPr>
              <w:t>1,5%</w:t>
            </w:r>
          </w:p>
        </w:tc>
        <w:tc>
          <w:tcPr>
            <w:tcW w:w="992" w:type="dxa"/>
          </w:tcPr>
          <w:p w14:paraId="0722B489" w14:textId="77777777" w:rsidR="00C1691E" w:rsidRPr="000F4CC1" w:rsidRDefault="00C1691E" w:rsidP="007E26B5">
            <w:pPr>
              <w:rPr>
                <w:rFonts w:cstheme="minorHAnsi"/>
                <w:sz w:val="20"/>
                <w:szCs w:val="20"/>
              </w:rPr>
            </w:pPr>
            <w:r w:rsidRPr="000F4CC1">
              <w:rPr>
                <w:rFonts w:cstheme="minorHAnsi"/>
                <w:sz w:val="20"/>
                <w:szCs w:val="20"/>
              </w:rPr>
              <w:t>2,0%</w:t>
            </w:r>
          </w:p>
        </w:tc>
        <w:tc>
          <w:tcPr>
            <w:tcW w:w="709" w:type="dxa"/>
          </w:tcPr>
          <w:p w14:paraId="5974A071" w14:textId="77777777" w:rsidR="00C1691E" w:rsidRPr="000F4CC1" w:rsidRDefault="00C1691E" w:rsidP="007E26B5">
            <w:pPr>
              <w:rPr>
                <w:rFonts w:cstheme="minorHAnsi"/>
                <w:sz w:val="20"/>
                <w:szCs w:val="20"/>
              </w:rPr>
            </w:pPr>
            <w:r w:rsidRPr="000F4CC1">
              <w:rPr>
                <w:rFonts w:cstheme="minorHAnsi"/>
                <w:sz w:val="20"/>
                <w:szCs w:val="20"/>
              </w:rPr>
              <w:t>0,4%</w:t>
            </w:r>
          </w:p>
        </w:tc>
        <w:tc>
          <w:tcPr>
            <w:tcW w:w="1985" w:type="dxa"/>
          </w:tcPr>
          <w:p w14:paraId="6A3C037D" w14:textId="3CA3946C" w:rsidR="0035713A" w:rsidRPr="000F4CC1" w:rsidRDefault="0035713A" w:rsidP="007E26B5">
            <w:pPr>
              <w:rPr>
                <w:rFonts w:cstheme="minorHAnsi"/>
                <w:sz w:val="20"/>
                <w:szCs w:val="20"/>
              </w:rPr>
            </w:pPr>
            <w:r>
              <w:rPr>
                <w:rFonts w:cstheme="minorHAnsi"/>
                <w:sz w:val="20"/>
                <w:szCs w:val="20"/>
              </w:rPr>
              <w:t>0,79%</w:t>
            </w:r>
          </w:p>
        </w:tc>
        <w:tc>
          <w:tcPr>
            <w:tcW w:w="2251" w:type="dxa"/>
          </w:tcPr>
          <w:p w14:paraId="1B5EB698" w14:textId="4ACBB080" w:rsidR="0035713A" w:rsidRPr="000F4CC1" w:rsidRDefault="0035713A" w:rsidP="007E26B5">
            <w:pPr>
              <w:rPr>
                <w:rFonts w:cstheme="minorHAnsi"/>
                <w:sz w:val="20"/>
                <w:szCs w:val="20"/>
              </w:rPr>
            </w:pPr>
            <w:r>
              <w:rPr>
                <w:rFonts w:cstheme="minorHAnsi"/>
                <w:sz w:val="20"/>
                <w:szCs w:val="20"/>
              </w:rPr>
              <w:t>0,91%</w:t>
            </w:r>
          </w:p>
        </w:tc>
      </w:tr>
    </w:tbl>
    <w:p w14:paraId="6E0A2008" w14:textId="08B97ADC" w:rsidR="00C1691E" w:rsidRPr="00BF6615" w:rsidRDefault="00C1691E" w:rsidP="007E26B5">
      <w:pPr>
        <w:rPr>
          <w:rFonts w:cstheme="minorHAnsi"/>
        </w:rPr>
        <w:sectPr w:rsidR="00C1691E" w:rsidRPr="00BF6615" w:rsidSect="00A21AC1">
          <w:pgSz w:w="11906" w:h="16838"/>
          <w:pgMar w:top="1418" w:right="1418" w:bottom="851" w:left="1418" w:header="709" w:footer="709" w:gutter="0"/>
          <w:cols w:space="708"/>
          <w:docGrid w:linePitch="360"/>
        </w:sectPr>
      </w:pPr>
      <w:r w:rsidRPr="00BF6615">
        <w:rPr>
          <w:rFonts w:cstheme="minorHAnsi"/>
        </w:rPr>
        <w:t xml:space="preserve">Źródło: opracowanie własne na podstawie danych GUS, Wykorzystanie technologii informacyjno-komunikacyjnych w przedsiębiorstwach i gospodarstwach domowych </w:t>
      </w:r>
      <w:r w:rsidR="00F047E5" w:rsidRPr="00BF6615">
        <w:rPr>
          <w:rFonts w:cstheme="minorHAnsi"/>
        </w:rPr>
        <w:t>w</w:t>
      </w:r>
      <w:r w:rsidR="00F047E5">
        <w:rPr>
          <w:rFonts w:cstheme="minorHAnsi"/>
        </w:rPr>
        <w:t> </w:t>
      </w:r>
      <w:r w:rsidR="00F047E5" w:rsidRPr="00BF6615">
        <w:rPr>
          <w:rFonts w:cstheme="minorHAnsi"/>
        </w:rPr>
        <w:t>2024</w:t>
      </w:r>
      <w:r w:rsidR="00F047E5">
        <w:rPr>
          <w:rFonts w:cstheme="minorHAnsi"/>
        </w:rPr>
        <w:t> </w:t>
      </w:r>
      <w:r w:rsidRPr="00BF6615">
        <w:rPr>
          <w:rFonts w:cstheme="minorHAnsi"/>
        </w:rPr>
        <w:t>roku.</w:t>
      </w:r>
    </w:p>
    <w:p w14:paraId="157BD4D6" w14:textId="77777777" w:rsidR="00C1691E" w:rsidRPr="00BF6615" w:rsidRDefault="00C1691E" w:rsidP="007E26B5">
      <w:pPr>
        <w:rPr>
          <w:rFonts w:cstheme="minorHAnsi"/>
        </w:rPr>
      </w:pPr>
      <w:r w:rsidRPr="00BF6615">
        <w:rPr>
          <w:rFonts w:cstheme="minorHAnsi"/>
        </w:rPr>
        <w:lastRenderedPageBreak/>
        <w:t>Jednocześnie, analizując dane zastane, warto wspomnieć o badaniu „Polak w urzędzie AD 2024”</w:t>
      </w:r>
      <w:r w:rsidRPr="00BF6615">
        <w:rPr>
          <w:rStyle w:val="Odwoanieprzypisudolnego"/>
          <w:rFonts w:cstheme="minorHAnsi"/>
        </w:rPr>
        <w:footnoteReference w:id="18"/>
      </w:r>
      <w:r w:rsidRPr="00BF6615">
        <w:rPr>
          <w:rFonts w:cstheme="minorHAnsi"/>
        </w:rPr>
        <w:t>, z którego wynika, że większość spraw w urzędach Polacy wciąż załatwiają osobiście (89% załatwiających jakieś sprawy w urzędzie), niemal co trzeci (32%) skorzystał z możliwości załatwienia sprawy przez Internet, a 9% zrobiło to telefonicznie. Jednocześnie cztery piąte (80%) respondentów dostrzega, że obecnie wiele spraw urzędowych można załatwić przez Internet – bez konieczności udawania się do urzędu (w porównaniu z rokiem 2017 wzrost o 22 punkty procentowe).</w:t>
      </w:r>
    </w:p>
    <w:p w14:paraId="4AA0C805" w14:textId="77777777" w:rsidR="00C1691E" w:rsidRPr="00BF6615" w:rsidRDefault="00C1691E" w:rsidP="007E26B5">
      <w:pPr>
        <w:rPr>
          <w:rFonts w:cstheme="minorHAnsi"/>
        </w:rPr>
      </w:pPr>
      <w:r w:rsidRPr="00BF6615">
        <w:rPr>
          <w:rFonts w:cstheme="minorHAnsi"/>
        </w:rPr>
        <w:t xml:space="preserve">Nie bez znaczenia dla możliwości użytkowania stron/aplikacji podmiotów publicznych są wyniki monitoringu stron internetowych oraz aplikacji mobilnych podmiotów publicznych prowadzone przez ministra właściwego ds. informatyzacji (na mocy art. 12 pkt 2 </w:t>
      </w:r>
      <w:r w:rsidRPr="00BF6615">
        <w:rPr>
          <w:rFonts w:cstheme="minorHAnsi"/>
          <w:i/>
          <w:iCs/>
        </w:rPr>
        <w:t>Ustawy z dnia 4 kwietnia 2019 r. o dostępności cyfrowej stron internetowych i aplikacji mobilnych podmiotów publicznych</w:t>
      </w:r>
      <w:r w:rsidRPr="00BF6615">
        <w:rPr>
          <w:rFonts w:cstheme="minorHAnsi"/>
        </w:rPr>
        <w:t xml:space="preserve">). Monitoringi te prowadzone od roku 2020 wykazują, że </w:t>
      </w:r>
      <w:r w:rsidRPr="00BF6615">
        <w:rPr>
          <w:rFonts w:cstheme="minorHAnsi"/>
          <w:b/>
          <w:bCs/>
        </w:rPr>
        <w:t>żadna z monitorowanych stron internetowych i aplikacji mobilnych podmiotów publicznych nie była w pełni zgodna z ustawą o dostępności cyfrowej</w:t>
      </w:r>
      <w:r w:rsidRPr="00BF6615">
        <w:rPr>
          <w:rFonts w:cstheme="minorHAnsi"/>
        </w:rPr>
        <w:t>, zaś badania szczegółowe na próbie aplikacji oraz stron internetowych wskazują ponadto, iż oprócz występowania stron/aplikacji częściowo zgodnych z ustawą, nadal występują także takie, które są całkowicie z nią niezgodne – potwierdzają to dane z 2024 roku- brak zgodności dla 25 ze 100 badanych stron</w:t>
      </w:r>
      <w:r w:rsidRPr="00BF6615">
        <w:rPr>
          <w:rStyle w:val="Odwoanieprzypisudolnego"/>
          <w:rFonts w:cstheme="minorHAnsi"/>
        </w:rPr>
        <w:footnoteReference w:id="19"/>
      </w:r>
      <w:r w:rsidRPr="00BF6615">
        <w:rPr>
          <w:rFonts w:cstheme="minorHAnsi"/>
        </w:rPr>
        <w:t>.</w:t>
      </w:r>
      <w:r w:rsidRPr="00BF6615" w:rsidDel="007C43CB">
        <w:rPr>
          <w:rStyle w:val="Odwoanieprzypisudolnego"/>
          <w:rFonts w:cstheme="minorHAnsi"/>
        </w:rPr>
        <w:t xml:space="preserve"> </w:t>
      </w:r>
    </w:p>
    <w:p w14:paraId="15263D16" w14:textId="77777777" w:rsidR="00C1691E" w:rsidRPr="00BF6615" w:rsidRDefault="00C1691E" w:rsidP="007E26B5">
      <w:pPr>
        <w:rPr>
          <w:rFonts w:cstheme="minorHAnsi"/>
        </w:rPr>
      </w:pPr>
      <w:r w:rsidRPr="00BF6615">
        <w:rPr>
          <w:rFonts w:cstheme="minorHAnsi"/>
        </w:rPr>
        <w:t>Z tego względu, aby podmioty publiczne sprostały wymogom dostępności cyfrowej stron internetowych oraz aplikacji mobilnych prowadzone są wszechstronne działania, m.in. z udziałem ministra do spraw informatyzacji, które mają wesprzeć te podmioty w realizacji obowiązków zapewnienia dostępności cyfrowej. Pomimo tych złożonych i długookresowych działań oraz nałożonych przez ustawę o dostępności cyfrowej obowiązków zapewnienia dostępności przez podmioty publiczne, wymogi dostępnościowe są nadal niespełnione i odnotowuje się niesatysfakcjonującą poprawę w tym zakresie. Wiele z podmiotów publicznych wykazuje się nadal niską świadomością potrzeby wdrażania wymogów dostępności w swojej instytucji i traktuje obowiązek zapewnienia dostępności cyfrowej jako dodatkowe, niekoniecznie najważniejsze zadanie, służące jedynie ograniczonej grupie użytkowników, a nie jako realizację prawa każdego do dostępu do informacji i usług publicznych.</w:t>
      </w:r>
    </w:p>
    <w:p w14:paraId="77024397" w14:textId="77777777" w:rsidR="00C1691E" w:rsidRPr="00BF6615" w:rsidRDefault="00C1691E" w:rsidP="007E26B5">
      <w:pPr>
        <w:rPr>
          <w:rFonts w:cstheme="minorHAnsi"/>
        </w:rPr>
      </w:pPr>
      <w:r w:rsidRPr="00BF6615">
        <w:rPr>
          <w:rFonts w:cstheme="minorHAnsi"/>
        </w:rPr>
        <w:t>Dodatkowo podmioty, które chcą wdrożyć dostępność cyfrową, nadal mają niedostateczną wiedzę w tym zakresie, doświadczają wielu barier, wątpliwości jak te wdrożenie zrealizować, co powoduje brak dostępności stron i aplikacji tych podmiotów. Potwierdzają to m.in. wyniki realizowanego przez KPRM projektu „Procedury bez barier” – komponent obsługa klienta. Z raportu końcowego z 2 edycji projektu wynika, że w procesie oceny poziomu dojrzałości pod względem spełniania wymogów dostępności określonych w art. 6 ustawy o zapewnianiu dostępności</w:t>
      </w:r>
      <w:r w:rsidRPr="00BF6615">
        <w:rPr>
          <w:rStyle w:val="Odwoanieprzypisudolnego"/>
          <w:rFonts w:cstheme="minorHAnsi"/>
        </w:rPr>
        <w:footnoteReference w:id="20"/>
      </w:r>
      <w:r w:rsidRPr="00BF6615">
        <w:rPr>
          <w:rFonts w:cstheme="minorHAnsi"/>
        </w:rPr>
        <w:t xml:space="preserve"> </w:t>
      </w:r>
      <w:r w:rsidRPr="00BF6615">
        <w:rPr>
          <w:rFonts w:cstheme="minorHAnsi"/>
          <w:b/>
          <w:color w:val="000000" w:themeColor="text1"/>
        </w:rPr>
        <w:t xml:space="preserve">wszystkie urzędy otrzymały ocenę łączną stawiającą ich poziom dostępności </w:t>
      </w:r>
      <w:r w:rsidRPr="00BF6615">
        <w:rPr>
          <w:rFonts w:cstheme="minorHAnsi"/>
          <w:b/>
          <w:color w:val="000000" w:themeColor="text1"/>
        </w:rPr>
        <w:lastRenderedPageBreak/>
        <w:t>na poziomie pierwszym</w:t>
      </w:r>
      <w:r w:rsidRPr="00BF6615">
        <w:rPr>
          <w:rStyle w:val="Odwoanieprzypisudolnego"/>
          <w:rFonts w:cstheme="minorHAnsi"/>
          <w:b/>
          <w:color w:val="000000" w:themeColor="text1"/>
        </w:rPr>
        <w:footnoteReference w:id="21"/>
      </w:r>
      <w:r w:rsidRPr="00BF6615">
        <w:rPr>
          <w:rFonts w:cstheme="minorHAnsi"/>
          <w:b/>
          <w:color w:val="000000" w:themeColor="text1"/>
        </w:rPr>
        <w:t>.</w:t>
      </w:r>
      <w:r w:rsidRPr="00BF6615">
        <w:rPr>
          <w:rFonts w:cstheme="minorHAnsi"/>
          <w:color w:val="000000" w:themeColor="text1"/>
        </w:rPr>
        <w:t xml:space="preserve"> Ż</w:t>
      </w:r>
      <w:r w:rsidRPr="00BF6615">
        <w:rPr>
          <w:rFonts w:cstheme="minorHAnsi"/>
          <w:bCs/>
          <w:color w:val="000000" w:themeColor="text1"/>
        </w:rPr>
        <w:t xml:space="preserve">aden z urzędów objętych projektem nie otrzymał łącznej oceny na poziomie dojrzałości drugim lub trzecim. Pomimo zidentyfikowanych działań, które można by było przepisać do poziomów drugiego lub trzeciego żaden z urzędów nie spełnił wszystkich warunków określonych dla poziomu pierwszego, które należy uznać w dużej mierze za poziom podstawowy. Należy pamiętać, że pierwszy poziom dojrzałości określały warunki oparte o zapisy art. 6 ustawy o zapewnianiu dostępności, co oznacza, że urzędy nie spełniły jeszcze wszystkich jej wymogów, w tym w zakresie dostępności cyfrowej. </w:t>
      </w:r>
    </w:p>
    <w:p w14:paraId="6838B123" w14:textId="77777777" w:rsidR="00354A77" w:rsidRPr="00BF6615" w:rsidRDefault="00354A77" w:rsidP="007E26B5">
      <w:pPr>
        <w:rPr>
          <w:rFonts w:cstheme="minorHAnsi"/>
        </w:rPr>
      </w:pPr>
    </w:p>
    <w:p w14:paraId="157E7563" w14:textId="77777777" w:rsidR="00042BF5" w:rsidRPr="00BF6615" w:rsidRDefault="00042BF5" w:rsidP="007E26B5">
      <w:pPr>
        <w:spacing w:after="160" w:line="259" w:lineRule="auto"/>
        <w:rPr>
          <w:rFonts w:eastAsiaTheme="majorEastAsia" w:cstheme="minorHAnsi"/>
          <w:b/>
          <w:bCs/>
          <w:color w:val="C00000"/>
          <w:sz w:val="36"/>
          <w:szCs w:val="28"/>
        </w:rPr>
      </w:pPr>
      <w:r w:rsidRPr="00BF6615">
        <w:br w:type="page"/>
      </w:r>
    </w:p>
    <w:p w14:paraId="332E57F4" w14:textId="0A846E0C" w:rsidR="000501B8" w:rsidRPr="00BF6615" w:rsidRDefault="000501B8" w:rsidP="007E26B5">
      <w:pPr>
        <w:pStyle w:val="Nagwek2"/>
      </w:pPr>
      <w:bookmarkStart w:id="15" w:name="_Toc204179212"/>
      <w:r w:rsidRPr="00BF6615">
        <w:lastRenderedPageBreak/>
        <w:t>Informacje wstępne</w:t>
      </w:r>
      <w:bookmarkEnd w:id="15"/>
    </w:p>
    <w:p w14:paraId="463AF3BB" w14:textId="77777777" w:rsidR="007B1E9E" w:rsidRPr="00BF6615" w:rsidRDefault="007B1E9E" w:rsidP="007E26B5">
      <w:pPr>
        <w:rPr>
          <w:rFonts w:cstheme="minorHAnsi"/>
        </w:rPr>
      </w:pPr>
      <w:r w:rsidRPr="00BF6615">
        <w:rPr>
          <w:rFonts w:cstheme="minorHAnsi"/>
        </w:rPr>
        <w:t xml:space="preserve">Głównym celem badania było zidentyfikowanie najważniejszych potrzeb, oczekiwań, związanych z dostępnością cyfrową stron i aplikacji mobilnych podmiotów publicznych z perspektywy użytkowników tych stron/aplikacji, tj. przede wszystkich osób posiadających różne, specyficzne potrzeby (osoby niepełnosprawne z różnymi dysfunkcjami/ograniczeniami sprawności, osoby starsze). </w:t>
      </w:r>
    </w:p>
    <w:p w14:paraId="5EA51A2F" w14:textId="77777777" w:rsidR="007B1E9E" w:rsidRPr="00BF6615" w:rsidRDefault="007B1E9E" w:rsidP="007E26B5">
      <w:pPr>
        <w:rPr>
          <w:rFonts w:cstheme="minorHAnsi"/>
        </w:rPr>
      </w:pPr>
      <w:r w:rsidRPr="00BF6615">
        <w:rPr>
          <w:rFonts w:cstheme="minorHAnsi"/>
        </w:rPr>
        <w:t>Konieczne jest wskazanie, że badanie nie ma charakteru reprezentatywnego, zrealizowane zostało na próbie celowej, nielosowej. Badanie miało na celu rozpoznanie tematu i jego eksplorację. Wyniki badania pokazują ocenę stron/aplikacji podmiotów publicznych dokonaną przez osoby badane, nie mogą jednak być one uznane za reprezentatywne i przekładać się na populację.</w:t>
      </w:r>
    </w:p>
    <w:p w14:paraId="7EEA6153" w14:textId="77777777" w:rsidR="007B1E9E" w:rsidRPr="00BF6615" w:rsidRDefault="007B1E9E" w:rsidP="007E26B5">
      <w:pPr>
        <w:rPr>
          <w:rFonts w:cstheme="minorHAnsi"/>
        </w:rPr>
      </w:pPr>
      <w:r w:rsidRPr="00BF6615">
        <w:rPr>
          <w:rFonts w:cstheme="minorHAnsi"/>
        </w:rPr>
        <w:t xml:space="preserve">Wyniki badania pozwalają na kierunkowe wskazanie trudności oraz problemów (obszarów do poprawy) w zakresie dostępności cyfrowej w oparciu o doświadczenia użytkowników i ich subiektywną ocenę oraz na pogrupowanie wskazanych przez nich problemów według określonej wagi, od najbardziej poważnych, wymagających interwencji w pierwszej kolejności do najmniej utrudniających korzystanie z zasobów Internetu/usług. </w:t>
      </w:r>
    </w:p>
    <w:p w14:paraId="00A4AEB5" w14:textId="77777777" w:rsidR="007B1E9E" w:rsidRPr="00BF6615" w:rsidRDefault="007B1E9E" w:rsidP="007E26B5">
      <w:pPr>
        <w:rPr>
          <w:rFonts w:cstheme="minorHAnsi"/>
        </w:rPr>
      </w:pPr>
      <w:r w:rsidRPr="00BF6615">
        <w:rPr>
          <w:rFonts w:cstheme="minorHAnsi"/>
        </w:rPr>
        <w:t>Efektem badania jest także, w oparciu o wiedzę zdobytą od użytkowników, stworzenie minimalnego zestawu wymagań/oczekiwań tych osób względem stron internetowych/aplikacji mobilnych. Hierarchia potrzeb wynikająca z doświadczanych problemów i trudności oraz ww. minimalne zestawy wymagań powinny być opracowane m.in. w odniesieniu do poszczególnych badanych grup.</w:t>
      </w:r>
    </w:p>
    <w:p w14:paraId="48CF0B7A" w14:textId="77777777" w:rsidR="007B1E9E" w:rsidRPr="00BF6615" w:rsidRDefault="007B1E9E" w:rsidP="007E26B5">
      <w:pPr>
        <w:spacing w:after="160"/>
        <w:rPr>
          <w:rFonts w:cstheme="minorHAnsi"/>
        </w:rPr>
      </w:pPr>
      <w:r w:rsidRPr="00BF6615">
        <w:rPr>
          <w:rFonts w:cstheme="minorHAnsi"/>
        </w:rPr>
        <w:t>Badanie pozwoliło odpowiedzieć na postawione pytania badawcze:</w:t>
      </w:r>
    </w:p>
    <w:p w14:paraId="49F82A3A" w14:textId="77777777" w:rsidR="007B1E9E" w:rsidRPr="00BF6615" w:rsidRDefault="007B1E9E">
      <w:pPr>
        <w:pStyle w:val="Akapitzlist"/>
        <w:numPr>
          <w:ilvl w:val="0"/>
          <w:numId w:val="9"/>
        </w:numPr>
        <w:rPr>
          <w:rFonts w:cstheme="minorHAnsi"/>
        </w:rPr>
      </w:pPr>
      <w:r w:rsidRPr="00BF6615">
        <w:rPr>
          <w:rFonts w:cstheme="minorHAnsi"/>
        </w:rPr>
        <w:t>Powody i cele korzystania z Internetu/zakres korzystania z Internetu (np. sprawy jakie osoba załatwia lub próbuje załatwić, informacje jakich poszukuje), obszary wykorzystania Internetu (np. cele zawodowe/ edukacyjne/ osobiste itd.).</w:t>
      </w:r>
    </w:p>
    <w:p w14:paraId="5078CF62" w14:textId="77777777" w:rsidR="007B1E9E" w:rsidRPr="00BF6615" w:rsidRDefault="007B1E9E">
      <w:pPr>
        <w:pStyle w:val="Akapitzlist"/>
        <w:numPr>
          <w:ilvl w:val="0"/>
          <w:numId w:val="9"/>
        </w:numPr>
        <w:rPr>
          <w:rFonts w:cstheme="minorHAnsi"/>
        </w:rPr>
      </w:pPr>
      <w:r w:rsidRPr="00BF6615">
        <w:rPr>
          <w:rFonts w:cstheme="minorHAnsi"/>
        </w:rPr>
        <w:t>Strony oraz aplikacje mobilne podmiotów publicznych z jakich korzysta regularnie, często lub ostatnio (uwaga: jeżeli osoba nie korzysta lub nie pamięta, aby ostatnio korzystała należy pytać o przyczyny oraz doświadczenia związane z korzystaniem z innych stron/aplikacji mobilnych).</w:t>
      </w:r>
    </w:p>
    <w:p w14:paraId="45B8B40C" w14:textId="77777777" w:rsidR="007B1E9E" w:rsidRPr="00BF6615" w:rsidRDefault="007B1E9E">
      <w:pPr>
        <w:pStyle w:val="Akapitzlist"/>
        <w:numPr>
          <w:ilvl w:val="0"/>
          <w:numId w:val="9"/>
        </w:numPr>
        <w:rPr>
          <w:rFonts w:cstheme="minorHAnsi"/>
        </w:rPr>
      </w:pPr>
      <w:r w:rsidRPr="00BF6615">
        <w:rPr>
          <w:rFonts w:cstheme="minorHAnsi"/>
        </w:rPr>
        <w:t>Ocena ww. stron/aplikacji mobilnych podmiotów publicznych (np. które podobają się najbardziej/najmniej wraz z określeniem przyczyn).</w:t>
      </w:r>
    </w:p>
    <w:p w14:paraId="59E01B35" w14:textId="77777777" w:rsidR="007B1E9E" w:rsidRPr="00BF6615" w:rsidRDefault="007B1E9E">
      <w:pPr>
        <w:pStyle w:val="Akapitzlist"/>
        <w:numPr>
          <w:ilvl w:val="0"/>
          <w:numId w:val="9"/>
        </w:numPr>
        <w:rPr>
          <w:rFonts w:cstheme="minorHAnsi"/>
        </w:rPr>
      </w:pPr>
      <w:r w:rsidRPr="00BF6615">
        <w:rPr>
          <w:rFonts w:cstheme="minorHAnsi"/>
        </w:rPr>
        <w:t>Przyczyny korzystania z ww. stron podmiotów publicznych/aplikacji mobilnych (np. zakres poszukiwanych informacji, sprawy do załatwienia, usługi, z których osoba korzysta lub chciała skorzystać, najbardziej interesujące ją obszary tematyczne).</w:t>
      </w:r>
    </w:p>
    <w:p w14:paraId="05809AD9" w14:textId="77777777" w:rsidR="007B1E9E" w:rsidRPr="00BF6615" w:rsidRDefault="007B1E9E">
      <w:pPr>
        <w:pStyle w:val="Akapitzlist"/>
        <w:numPr>
          <w:ilvl w:val="0"/>
          <w:numId w:val="9"/>
        </w:numPr>
        <w:rPr>
          <w:rFonts w:cstheme="minorHAnsi"/>
        </w:rPr>
      </w:pPr>
      <w:r w:rsidRPr="00BF6615">
        <w:rPr>
          <w:rFonts w:cstheme="minorHAnsi"/>
        </w:rPr>
        <w:t>Strony/aplikacje mobilne podmiotów publicznych, w których przypadku osoba doświadczyła większych trudności w skorzystaniu z nich i które wymagałyby poprawy; usługi/zasoby na tych stronach/w tych aplikacjach, z których osoba próbowała skorzystać i napotkała na trudności (np. strony jakich instytucji/jakie aplikacje, jakie zasoby/usługi).</w:t>
      </w:r>
    </w:p>
    <w:p w14:paraId="31C11B19" w14:textId="77777777" w:rsidR="007B1E9E" w:rsidRPr="00BF6615" w:rsidRDefault="007B1E9E">
      <w:pPr>
        <w:pStyle w:val="Akapitzlist"/>
        <w:numPr>
          <w:ilvl w:val="0"/>
          <w:numId w:val="9"/>
        </w:numPr>
        <w:rPr>
          <w:rFonts w:cstheme="minorHAnsi"/>
        </w:rPr>
      </w:pPr>
      <w:r w:rsidRPr="00BF6615">
        <w:rPr>
          <w:rFonts w:cstheme="minorHAnsi"/>
        </w:rPr>
        <w:lastRenderedPageBreak/>
        <w:t>Problemy i bariery napotkane podczas korzystania ww. z tych stron/aplikacji (usług/zasobów) związane m.in. z ich strukturą, funkcjonalnością, obsługą (np. charakter trudności, które z nich udało lub nie udało się pokonać, w jaki sposób, z jakich usług/informacji/zasobów osoba próbowała skorzystać).</w:t>
      </w:r>
    </w:p>
    <w:p w14:paraId="583964A0" w14:textId="77777777" w:rsidR="007B1E9E" w:rsidRPr="00BF6615" w:rsidRDefault="007B1E9E">
      <w:pPr>
        <w:pStyle w:val="Akapitzlist"/>
        <w:numPr>
          <w:ilvl w:val="0"/>
          <w:numId w:val="9"/>
        </w:numPr>
        <w:rPr>
          <w:rFonts w:cstheme="minorHAnsi"/>
        </w:rPr>
      </w:pPr>
      <w:r w:rsidRPr="00BF6615">
        <w:rPr>
          <w:rFonts w:cstheme="minorHAnsi"/>
        </w:rPr>
        <w:t xml:space="preserve">Pogrupowanie (tj. ustalenie hierarchii) wskazanych problemów, barier (od najistotniejszych do najmniej utrudniających, ograniczających korzystanie) i związanych z nimi potrzeb. </w:t>
      </w:r>
    </w:p>
    <w:p w14:paraId="2CD62019" w14:textId="77777777" w:rsidR="007B1E9E" w:rsidRPr="00BF6615" w:rsidRDefault="007B1E9E">
      <w:pPr>
        <w:pStyle w:val="Akapitzlist"/>
        <w:numPr>
          <w:ilvl w:val="0"/>
          <w:numId w:val="9"/>
        </w:numPr>
        <w:rPr>
          <w:rFonts w:cstheme="minorHAnsi"/>
        </w:rPr>
      </w:pPr>
      <w:r w:rsidRPr="00BF6615">
        <w:rPr>
          <w:rFonts w:cstheme="minorHAnsi"/>
        </w:rPr>
        <w:t>Optymalne sposoby rozwiązania wskazanych problemów według opinii badanych osób.</w:t>
      </w:r>
    </w:p>
    <w:p w14:paraId="2D9A2DFC" w14:textId="77777777" w:rsidR="007B1E9E" w:rsidRPr="00BF6615" w:rsidRDefault="007B1E9E">
      <w:pPr>
        <w:pStyle w:val="Akapitzlist"/>
        <w:numPr>
          <w:ilvl w:val="0"/>
          <w:numId w:val="9"/>
        </w:numPr>
        <w:rPr>
          <w:rFonts w:cstheme="minorHAnsi"/>
        </w:rPr>
      </w:pPr>
      <w:r w:rsidRPr="00BF6615">
        <w:rPr>
          <w:rFonts w:cstheme="minorHAnsi"/>
        </w:rPr>
        <w:t>Podstawowy zakres oczekiwań w stosunku do stron internetowych/aplikacji mobilnych pod kątem ich dostępności cyfrowej.</w:t>
      </w:r>
    </w:p>
    <w:p w14:paraId="0EE2DA4B" w14:textId="77777777" w:rsidR="007B1E9E" w:rsidRPr="00BF6615" w:rsidRDefault="007B1E9E">
      <w:pPr>
        <w:pStyle w:val="Akapitzlist"/>
        <w:numPr>
          <w:ilvl w:val="0"/>
          <w:numId w:val="9"/>
        </w:numPr>
        <w:rPr>
          <w:rFonts w:cstheme="minorHAnsi"/>
        </w:rPr>
      </w:pPr>
      <w:r w:rsidRPr="00BF6615">
        <w:rPr>
          <w:rFonts w:cstheme="minorHAnsi"/>
        </w:rPr>
        <w:t xml:space="preserve">Najważniejsze/kluczowe strony internetowe/aplikacje mobilne oraz usługi/zasoby informacyjne tych stron/aplikacji, które powinny być w pierwszej kolejności poprawione do pełnej dostępności cyfrowej wraz powodami takiej opinii (np. strony jakich instytucji/z jakich tematów/strony regionalne, lokalne, krajowe, NGO). </w:t>
      </w:r>
    </w:p>
    <w:p w14:paraId="2FDD1623" w14:textId="77777777" w:rsidR="007B1E9E" w:rsidRPr="00BF6615" w:rsidRDefault="007B1E9E">
      <w:pPr>
        <w:pStyle w:val="Akapitzlist"/>
        <w:numPr>
          <w:ilvl w:val="0"/>
          <w:numId w:val="9"/>
        </w:numPr>
        <w:rPr>
          <w:rFonts w:cstheme="minorHAnsi"/>
        </w:rPr>
      </w:pPr>
      <w:r w:rsidRPr="00BF6615">
        <w:rPr>
          <w:rFonts w:cstheme="minorHAnsi"/>
        </w:rPr>
        <w:t>Korzystanie z dodatkowych technologii – aplikacji/technologii asystujących/narzędzi/ usprawnień sprzętowych (np. z jakich osoba korzysta).</w:t>
      </w:r>
    </w:p>
    <w:p w14:paraId="4FA6FA9B" w14:textId="77777777" w:rsidR="007B1E9E" w:rsidRPr="00BF6615" w:rsidRDefault="007B1E9E">
      <w:pPr>
        <w:pStyle w:val="Akapitzlist"/>
        <w:numPr>
          <w:ilvl w:val="0"/>
          <w:numId w:val="9"/>
        </w:numPr>
        <w:rPr>
          <w:rFonts w:cstheme="minorHAnsi"/>
        </w:rPr>
      </w:pPr>
      <w:r w:rsidRPr="00BF6615">
        <w:rPr>
          <w:rFonts w:cstheme="minorHAnsi"/>
        </w:rPr>
        <w:t>Doświadczenia i oczekiwania związane z korzystaniem z deklaracji dostępności instytucji (np. czego brakowało w deklaracjach a co było potrzebne).</w:t>
      </w:r>
    </w:p>
    <w:p w14:paraId="53E8E77F" w14:textId="77777777" w:rsidR="007B1E9E" w:rsidRPr="00BF6615" w:rsidRDefault="007B1E9E" w:rsidP="007E26B5">
      <w:pPr>
        <w:spacing w:after="160"/>
        <w:rPr>
          <w:rFonts w:eastAsiaTheme="majorEastAsia" w:cstheme="minorHAnsi"/>
          <w:b/>
          <w:color w:val="002060"/>
          <w:sz w:val="32"/>
          <w:szCs w:val="32"/>
        </w:rPr>
      </w:pPr>
      <w:r w:rsidRPr="00BF6615">
        <w:rPr>
          <w:rFonts w:cstheme="minorHAnsi"/>
        </w:rPr>
        <w:t xml:space="preserve">Badanie realizowane było w ramach projektu </w:t>
      </w:r>
      <w:r w:rsidRPr="00BF6615">
        <w:rPr>
          <w:rFonts w:cstheme="minorHAnsi"/>
          <w:i/>
          <w:iCs/>
        </w:rPr>
        <w:t>Sieć dostępności cyfrowej – wsparcie systemowego wdrażania dostępności cyfrowej w podmiotach publicznych</w:t>
      </w:r>
      <w:r w:rsidRPr="00BF6615">
        <w:rPr>
          <w:rFonts w:cstheme="minorHAnsi"/>
        </w:rPr>
        <w:t>, realizowany w ramach Programu Fundusze Europejskie dla Rozwoju Społecznego 2021-2027, którego głównym celem jest umożliwienie systemowego wdrażania dostępności cyfrowej w podmiotach publicznych działających na terenie Polski. Cel ten zostanie zrealizowany, m.in. dzięki stworzeniu sieci ekspertów dostępności cyfrowej dzielących się swoimi doświadczeniami oraz dobrymi praktykami, którzy opracują zalecenia i rekomendacje wdrażania dostępności cyfrowej w podmiotach publicznych w Polsce, będące punktem wyjścia do zdefiniowania kompleksowych oraz realnych działań na kolejne lata, służących skutecznemu wdrożeniu dostępności cyfrowej. Wspomniany projekt przewiduje w związku z tym, m.in. przeprowadzenie badań w zakresie potrzeb osób niepełnosprawnych oraz osób starszych w obszarze dostępności cyfrowej, których wyniki zostaną wykorzystane i będą wspierały opracowanie wyżej wspomnianych zaleceń i rekomendacji.</w:t>
      </w:r>
    </w:p>
    <w:p w14:paraId="2905CF26" w14:textId="77777777" w:rsidR="007B1E9E" w:rsidRPr="00BF6615" w:rsidRDefault="007B1E9E" w:rsidP="007E26B5">
      <w:pPr>
        <w:rPr>
          <w:rFonts w:cstheme="minorHAnsi"/>
        </w:rPr>
      </w:pPr>
    </w:p>
    <w:p w14:paraId="70818092" w14:textId="77777777" w:rsidR="000501B8" w:rsidRPr="00BF6615" w:rsidRDefault="000501B8" w:rsidP="007E26B5"/>
    <w:p w14:paraId="1C49B403" w14:textId="77777777" w:rsidR="000501B8" w:rsidRPr="00BF6615" w:rsidRDefault="000501B8" w:rsidP="007E26B5">
      <w:pPr>
        <w:spacing w:after="160" w:line="259" w:lineRule="auto"/>
        <w:rPr>
          <w:rFonts w:eastAsiaTheme="majorEastAsia" w:cstheme="minorHAnsi"/>
          <w:b/>
          <w:bCs/>
          <w:color w:val="C00000"/>
          <w:sz w:val="36"/>
          <w:szCs w:val="28"/>
        </w:rPr>
      </w:pPr>
      <w:r w:rsidRPr="00BF6615">
        <w:br w:type="page"/>
      </w:r>
    </w:p>
    <w:p w14:paraId="567379DF" w14:textId="4EC95188" w:rsidR="00DF4488" w:rsidRPr="00BF6615" w:rsidRDefault="00DF4488" w:rsidP="007E26B5">
      <w:pPr>
        <w:pStyle w:val="Nagwek2"/>
      </w:pPr>
      <w:bookmarkStart w:id="16" w:name="_Toc204179213"/>
      <w:r w:rsidRPr="00BF6615">
        <w:lastRenderedPageBreak/>
        <w:t>Schemat badań</w:t>
      </w:r>
      <w:bookmarkEnd w:id="16"/>
    </w:p>
    <w:p w14:paraId="5FD62489" w14:textId="66973E0B" w:rsidR="00F34FC9" w:rsidRPr="00BF6615" w:rsidRDefault="0012624F" w:rsidP="007E26B5">
      <w:r w:rsidRPr="00BF6615">
        <w:t xml:space="preserve">Zrealizowane badanie </w:t>
      </w:r>
      <w:r w:rsidR="00C57A95" w:rsidRPr="00BF6615">
        <w:t>w ramach projektu „Sieć dostępności cyfrowej”</w:t>
      </w:r>
      <w:r w:rsidRPr="00BF6615">
        <w:t xml:space="preserve"> złożone było z dwóch zasadniczych części: badania jakościowego i ilościowego. </w:t>
      </w:r>
      <w:r w:rsidR="00C57A95" w:rsidRPr="00BF6615">
        <w:t xml:space="preserve">Na początku </w:t>
      </w:r>
      <w:r w:rsidR="0083468B" w:rsidRPr="00BF6615">
        <w:t>procesu badawczego zrealizowano badanie jakościowe</w:t>
      </w:r>
      <w:r w:rsidR="00F34FC9" w:rsidRPr="00BF6615">
        <w:t xml:space="preserve"> oraz przygotowano raport z badania, kolejno badanie ilościowe</w:t>
      </w:r>
      <w:r w:rsidR="004D4ECC" w:rsidRPr="00BF6615">
        <w:t>- na podstawie obu badań przygotowano raport zbiorczy z badania.</w:t>
      </w:r>
      <w:r w:rsidR="00F34FC9" w:rsidRPr="00BF6615">
        <w:t xml:space="preserve"> </w:t>
      </w:r>
    </w:p>
    <w:p w14:paraId="15444783" w14:textId="4EAAF8AD" w:rsidR="00C57A95" w:rsidRPr="00BF6615" w:rsidRDefault="00C57A95" w:rsidP="007E26B5">
      <w:r w:rsidRPr="00BF6615">
        <w:t xml:space="preserve">Badanie jakościowe zrealizowano w dwóch etapach. W pierwszym etapie uczestnicy wykonywali zadania polegające na testowaniu wybranych stron internetowych i aplikacji mobilnych podmiotów publicznych, przy jednoczesnej obserwacji ich działań przez ekspertów ds. dostępności cyfrowej. W drugim etapie przeprowadzono pogłębione wywiady indywidualne (IDI) z tymi samymi uczestnikami, co umożliwiło szczegółowe omówienie doświadczeń z testów oraz identyfikację napotkanych barier i potrzeb. Takie dwustopniowe podejście jakościowe zapewniło dogłębną analizę problemów w dostępności cyfrowej </w:t>
      </w:r>
      <w:r w:rsidR="00F047E5" w:rsidRPr="00BF6615">
        <w:t>z</w:t>
      </w:r>
      <w:r w:rsidR="00F047E5">
        <w:t> </w:t>
      </w:r>
      <w:r w:rsidRPr="00BF6615">
        <w:t>perspektywy użytkowników o szczególnych potrzebach.</w:t>
      </w:r>
    </w:p>
    <w:p w14:paraId="777839B0" w14:textId="1012EBE1" w:rsidR="00C57A95" w:rsidRPr="00BF6615" w:rsidRDefault="009635D9" w:rsidP="007E26B5">
      <w:r w:rsidRPr="00BF6615">
        <w:t xml:space="preserve">Kolejno </w:t>
      </w:r>
      <w:r w:rsidR="00C57A95" w:rsidRPr="00BF6615">
        <w:t xml:space="preserve">przeprowadzono badanie ilościowe, mające na celu uzupełnienie wyników jakościowych danymi statystycznymi. Badanie ilościowe zrealizowano na próbie obejmującej trzy główne grupy respondentów: osoby </w:t>
      </w:r>
      <w:r w:rsidRPr="00BF6615">
        <w:t xml:space="preserve">z </w:t>
      </w:r>
      <w:r w:rsidR="00C57A95" w:rsidRPr="00BF6615">
        <w:t>niepełnosprawn</w:t>
      </w:r>
      <w:r w:rsidRPr="00BF6615">
        <w:t>ościami</w:t>
      </w:r>
      <w:r w:rsidR="00C57A95" w:rsidRPr="00BF6615">
        <w:t xml:space="preserve">, osoby starsze oraz ogół obywateli. Zastosowano metody ankietowe wspomagane komputerowo (CAPI/CAWI), </w:t>
      </w:r>
      <w:r w:rsidR="00F047E5" w:rsidRPr="00BF6615">
        <w:t>co</w:t>
      </w:r>
      <w:r w:rsidR="00F047E5">
        <w:t> </w:t>
      </w:r>
      <w:r w:rsidR="00C57A95" w:rsidRPr="00BF6615">
        <w:t>umożliwiło dotarcie do szerokiego grona odbiorców i uwzględnienie preferencji uczestników co do sposobu udziału w badaniu (wywiad bezpośredni, telefoniczny lub internetowy). Takie podejście pozwoliło pozyskać zróżnicowane dane ilościowe i porównać wyniki między wyróżnionymi grupami respondentów.</w:t>
      </w:r>
    </w:p>
    <w:p w14:paraId="5A4A119E" w14:textId="77777777" w:rsidR="00C57A95" w:rsidRPr="00BF6615" w:rsidRDefault="00C57A95" w:rsidP="007E26B5">
      <w:r w:rsidRPr="00BF6615">
        <w:t>Wszystkie narzędzia badawcze (scenariusze wywiadów IDI, arkusze obserwacji do testów użytkowników oraz kwestionariusze ankiet) opracowano z wyprzedzeniem, a następnie – przed badaniem właściwym – poddano konsultacji z Zamawiającym. Po uwzględnieniu uwag Zamawiającego uzyskano akceptację tych narzędzi do wykorzystania w badaniu. W procesie przygotowania i konsultacji narzędzi uczestniczył Koordynator Umowy, nadzorując zgodność prac z założeniami projektu.</w:t>
      </w:r>
    </w:p>
    <w:p w14:paraId="6692BDD4" w14:textId="48C621D1" w:rsidR="00C57A95" w:rsidRPr="00BF6615" w:rsidRDefault="00C57A95" w:rsidP="007E26B5">
      <w:r w:rsidRPr="00BF6615">
        <w:t xml:space="preserve">Przez cały okres realizacji badań Wykonawca ściśle współpracował z Koordynatorem Umowy, zapewniając spójność działań z harmonogramem i warunkami umowy. Po zakończeniu zbierania danych przekazano Zamawiającemu komplet wyników i materiałów z badania. </w:t>
      </w:r>
      <w:r w:rsidR="00F047E5" w:rsidRPr="00BF6615">
        <w:t>W</w:t>
      </w:r>
      <w:r w:rsidR="00F047E5">
        <w:t> </w:t>
      </w:r>
      <w:r w:rsidRPr="00BF6615">
        <w:t>szczególności dostarczono nagrania audio oraz pełne transkrypcje z przeprowadzonych badań jakościowych, zanonimizowane dane indywidualne z badania ilościowego (</w:t>
      </w:r>
      <w:r w:rsidR="00F047E5" w:rsidRPr="00BF6615">
        <w:t>w</w:t>
      </w:r>
      <w:r w:rsidR="00F047E5">
        <w:t> </w:t>
      </w:r>
      <w:r w:rsidRPr="00BF6615">
        <w:t>uzgodnionym formacie), a także raport cząstkowy z badania jakościowego oraz końcowy raport podsumowujący wyniki obu etapów badawczych. Wszystkie raporty i materiały zostały przygotowane zgodnie z wymaganiami standardów dostępności cyfrowej (WCAG poziom AA).</w:t>
      </w:r>
    </w:p>
    <w:p w14:paraId="26894948" w14:textId="00721111" w:rsidR="00C57A95" w:rsidRPr="00BF6615" w:rsidRDefault="00C57A95" w:rsidP="007E26B5">
      <w:pPr>
        <w:rPr>
          <w:rStyle w:val="Uwydatnienie"/>
          <w:color w:val="auto"/>
        </w:rPr>
      </w:pPr>
      <w:r w:rsidRPr="00BF6615">
        <w:rPr>
          <w:rStyle w:val="Uwydatnienie"/>
          <w:color w:val="auto"/>
        </w:rPr>
        <w:t>Poniższy diagram blokowy ilustruje opisany przebieg procesu badawczego w ujęciu chronologicznym. Przedstawiono kolejne etapy realizacji projektu.</w:t>
      </w:r>
    </w:p>
    <w:p w14:paraId="63433B49" w14:textId="77777777" w:rsidR="00406B5D" w:rsidRPr="00BF6615" w:rsidRDefault="00406B5D" w:rsidP="007E26B5">
      <w:pPr>
        <w:pStyle w:val="Legenda"/>
      </w:pPr>
    </w:p>
    <w:p w14:paraId="575D61E3" w14:textId="7BE1D462" w:rsidR="00406B5D" w:rsidRPr="00BF6615" w:rsidRDefault="00406B5D" w:rsidP="007E26B5">
      <w:pPr>
        <w:pStyle w:val="Legenda"/>
        <w:pageBreakBefore/>
      </w:pPr>
      <w:r w:rsidRPr="00BF6615">
        <w:lastRenderedPageBreak/>
        <w:t xml:space="preserve">Rysunek </w:t>
      </w:r>
      <w:r w:rsidRPr="00BF6615">
        <w:fldChar w:fldCharType="begin"/>
      </w:r>
      <w:r w:rsidRPr="00BF6615">
        <w:instrText xml:space="preserve"> SEQ Rysunek \* ARABIC </w:instrText>
      </w:r>
      <w:r w:rsidRPr="00BF6615">
        <w:fldChar w:fldCharType="separate"/>
      </w:r>
      <w:r w:rsidR="00FD0843">
        <w:rPr>
          <w:noProof/>
        </w:rPr>
        <w:t>1</w:t>
      </w:r>
      <w:r w:rsidRPr="00BF6615">
        <w:fldChar w:fldCharType="end"/>
      </w:r>
      <w:r w:rsidRPr="00BF6615">
        <w:t xml:space="preserve"> Schemat realizacji badania</w:t>
      </w:r>
    </w:p>
    <w:p w14:paraId="417AC3B3" w14:textId="77777777" w:rsidR="00406B5D" w:rsidRPr="00BF6615" w:rsidRDefault="00406B5D" w:rsidP="007E26B5"/>
    <w:p w14:paraId="61B40055" w14:textId="60492871" w:rsidR="00C272BF" w:rsidRPr="00BF6615" w:rsidRDefault="00691A58" w:rsidP="007E26B5">
      <w:r w:rsidRPr="00BF6615">
        <w:rPr>
          <w:noProof/>
          <w:lang w:eastAsia="pl-PL"/>
        </w:rPr>
        <w:drawing>
          <wp:inline distT="0" distB="0" distL="0" distR="0" wp14:anchorId="71A16DF6" wp14:editId="286D6A92">
            <wp:extent cx="5486400" cy="3200400"/>
            <wp:effectExtent l="19050" t="0" r="57150" b="0"/>
            <wp:docPr id="119680533" name="Diagram 1" descr="badanie jakościowe&#10; pilotaż narzędzi&#10; testy użytkowników&#10; IDI&#10; raport z badania&#10;badanie ilościowe&#10; pilotaż narzędzi&#10; ankietowanie&#10; zbiorczy raport z badania&#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F27E06A" w14:textId="790E62D9" w:rsidR="00C57A95" w:rsidRPr="000F4CC1" w:rsidRDefault="00406B5D" w:rsidP="007E26B5">
      <w:pPr>
        <w:pStyle w:val="Legenda"/>
        <w:rPr>
          <w:color w:val="auto"/>
        </w:rPr>
      </w:pPr>
      <w:r w:rsidRPr="000F4CC1">
        <w:rPr>
          <w:color w:val="auto"/>
        </w:rPr>
        <w:t>Źródło: opracowanie własne</w:t>
      </w:r>
    </w:p>
    <w:p w14:paraId="554C31AD" w14:textId="35F3E2CE" w:rsidR="00DF4488" w:rsidRPr="00BF6615" w:rsidRDefault="00DF4488" w:rsidP="007E26B5">
      <w:pPr>
        <w:pStyle w:val="Nagwek1"/>
      </w:pPr>
      <w:bookmarkStart w:id="17" w:name="_Toc204179214"/>
      <w:r w:rsidRPr="00BF6615">
        <w:lastRenderedPageBreak/>
        <w:t>Badanie jakościowe</w:t>
      </w:r>
      <w:bookmarkEnd w:id="17"/>
    </w:p>
    <w:p w14:paraId="71E0C22F" w14:textId="29BF643D" w:rsidR="00AA55B4" w:rsidRPr="00BF6615" w:rsidRDefault="00DF4488" w:rsidP="007E26B5">
      <w:pPr>
        <w:pStyle w:val="Nagwek2"/>
      </w:pPr>
      <w:bookmarkStart w:id="18" w:name="_Toc204179215"/>
      <w:r w:rsidRPr="00BF6615">
        <w:t>Opis metod</w:t>
      </w:r>
      <w:r w:rsidR="00AA55B4" w:rsidRPr="00BF6615">
        <w:t xml:space="preserve"> i zastosowanych technik wraz z uzasadnieniem</w:t>
      </w:r>
      <w:bookmarkEnd w:id="18"/>
    </w:p>
    <w:p w14:paraId="671FBE0C" w14:textId="1A25D6F1" w:rsidR="006E6032" w:rsidRPr="00BF6615" w:rsidRDefault="006E6032">
      <w:pPr>
        <w:pStyle w:val="Nagwek3"/>
        <w:numPr>
          <w:ilvl w:val="1"/>
          <w:numId w:val="6"/>
        </w:numPr>
        <w:rPr>
          <w:rFonts w:eastAsia="Verdana"/>
        </w:rPr>
      </w:pPr>
      <w:bookmarkStart w:id="19" w:name="_Toc196827568"/>
      <w:bookmarkStart w:id="20" w:name="_Toc204179216"/>
      <w:r w:rsidRPr="00BF6615">
        <w:t>Testy i obserwacja użytkownika podczas testów stron i aplikacji podmiotów publicznych</w:t>
      </w:r>
      <w:bookmarkEnd w:id="19"/>
      <w:bookmarkEnd w:id="20"/>
    </w:p>
    <w:p w14:paraId="47CAD209" w14:textId="77777777" w:rsidR="006E6032" w:rsidRPr="00BF6615" w:rsidRDefault="006E6032" w:rsidP="007E26B5">
      <w:pPr>
        <w:rPr>
          <w:rFonts w:cstheme="minorHAnsi"/>
        </w:rPr>
      </w:pPr>
      <w:r w:rsidRPr="00BF6615">
        <w:rPr>
          <w:rFonts w:cstheme="minorHAnsi"/>
        </w:rPr>
        <w:t>Realizacja testów stron internetowych/aplikacji mobilnych z badanymi osobami – użytkownikami opierała się na scenariuszach przygotowanych przez eksperta ds. dostępności cyfrowej, wykorzystujące dostępne strony internetowe i aplikacje podmiotów publicznych, zawierające różnego rodzaju błędy i ograniczenia dostępu cyfrowego. W trakcie badania osoba badana miała za zadanie w obecności eksperta ds. dostępności cyfrowej, wykonać określone w scenariuszu zadania (np. odnaleźć na wybranej stronie konkretną informację, skorzystać z jakiejś funkcjonalności/usługi, wykonać określoną czynność w wybranej aplikacji itp.).</w:t>
      </w:r>
    </w:p>
    <w:p w14:paraId="4AE890E4" w14:textId="77777777" w:rsidR="006E6032" w:rsidRPr="00BF6615" w:rsidRDefault="006E6032" w:rsidP="007E26B5">
      <w:pPr>
        <w:rPr>
          <w:rFonts w:cstheme="minorHAnsi"/>
        </w:rPr>
      </w:pPr>
      <w:r w:rsidRPr="00BF6615">
        <w:rPr>
          <w:rFonts w:cstheme="minorHAnsi"/>
        </w:rPr>
        <w:t>W trakcie realizacji danego scenariusza zadaniem eksperta ds. dostępności cyfrowej była obserwacja i analiza przebiegu wykonywanych zadań przez użytkownika, w celu m.in. odnotowania doświadczanych problemów przez użytkownika i ew. uzupełnienia scenariusza wywiadu indywidualnego realizowanego w kolejnym etapie o dodatkowe istotne pytania/zagadnienia z tym związane. Dla eksperta ds. dostępności cyfrowej biorącego udział w obserwacji użytkownika wykonującego testy stron i aplikacji, opracowany został arkusz obserwacji użytkownika, w którym mógł odnotowywać obserwacje związane z realizacją zadań przez użytkownika (np. miejsca szczególnych trudności, krytyczne punkty testu, czas wykonania danej czynności, poziom realizacji danego zadania – np. zrealizowane bez problemu, częściowo, niezrealizowane, stany emocjonalne – np. zdenerwowanie związane z wykonywanym zadaniem).</w:t>
      </w:r>
    </w:p>
    <w:p w14:paraId="570B4AB3" w14:textId="77777777" w:rsidR="006E6032" w:rsidRPr="00BF6615" w:rsidRDefault="006E6032" w:rsidP="007E26B5">
      <w:pPr>
        <w:rPr>
          <w:rFonts w:cstheme="minorHAnsi"/>
        </w:rPr>
      </w:pPr>
      <w:r w:rsidRPr="00BF6615">
        <w:rPr>
          <w:rFonts w:cstheme="minorHAnsi"/>
        </w:rPr>
        <w:t>Dla każdej z osób objętych badaniem został przygotowany jeden, odrębny scenariusz związany z wybranymi stronami internetowymi i aplikacjami mobilnymi, uwzględniający specyficzne problemy w zakresie dostępności cyfrowej, charakterystyczne dla danego rodzaju niepełnosprawności lub grupy wiekowej (przy założeniu, iż każdy z uczestników badania powinien przetestować przynajmniej 1 aplikację mobilną). Do testów zostały wytypowane przez eksperta ds. dostępności cyfrowej strony internetowe i aplikacje mobilne podmiotów publicznych znane uczestnikowi badań (z których uczestnik korzysta) oraz strony i aplikacje, z których nie korzysta, które nie spełniają znacznej liczby kryteriów dostępności cyfrowej ujętych w ustawie o dostępności cyfrowej, tak aby było możliwe późniejsze stworzenie hierarchii potrzeb dotyczących dostępności cyfrowej stron internetowych i aplikacji mobilnych w odniesieniu do możliwie szerokiego spectrum doświadczanych problemów.</w:t>
      </w:r>
    </w:p>
    <w:p w14:paraId="673DA6FE" w14:textId="77777777" w:rsidR="006E6032" w:rsidRPr="00BF6615" w:rsidRDefault="006E6032" w:rsidP="007E26B5">
      <w:pPr>
        <w:rPr>
          <w:rFonts w:cstheme="minorHAnsi"/>
        </w:rPr>
      </w:pPr>
      <w:r w:rsidRPr="00BF6615">
        <w:rPr>
          <w:rFonts w:cstheme="minorHAnsi"/>
        </w:rPr>
        <w:lastRenderedPageBreak/>
        <w:t>W przypadku, gdy osoba nie korzysta ze stron internetowych/aplikacji mobilnych podmiotów publicznych lub nie pamięta aby korzystała, przygotowany został scenariusz zadań wyłącznie w oparciu o wybrane strony i aplikacje mobilne podmiotów publicznych. Każdy z użytkowników zrealizował zadania na kilku stronach (min.2) oraz na co najmniej jednej aplikacji mobilnej.</w:t>
      </w:r>
    </w:p>
    <w:p w14:paraId="433C42AD" w14:textId="77777777" w:rsidR="006E6032" w:rsidRPr="00BF6615" w:rsidRDefault="006E6032" w:rsidP="007E26B5">
      <w:pPr>
        <w:rPr>
          <w:rFonts w:cstheme="minorHAnsi"/>
        </w:rPr>
      </w:pPr>
      <w:r w:rsidRPr="00BF6615">
        <w:rPr>
          <w:rFonts w:cstheme="minorHAnsi"/>
        </w:rPr>
        <w:t>Listy stron internetowych oraz aplikacji mobilnych podmiotów publicznych, z których dokonany został wybór do testów stron i aplikacji mobilnych:</w:t>
      </w:r>
    </w:p>
    <w:p w14:paraId="79D6CFF8" w14:textId="7F527B2E" w:rsidR="006E6032" w:rsidRPr="00BF6615" w:rsidRDefault="006E6032">
      <w:pPr>
        <w:pStyle w:val="Akapitzlist"/>
        <w:numPr>
          <w:ilvl w:val="0"/>
          <w:numId w:val="10"/>
        </w:numPr>
        <w:spacing w:before="120" w:after="0"/>
        <w:rPr>
          <w:rFonts w:cstheme="minorHAnsi"/>
        </w:rPr>
      </w:pPr>
      <w:r w:rsidRPr="00BF6615">
        <w:rPr>
          <w:rFonts w:cstheme="minorHAnsi"/>
        </w:rPr>
        <w:t xml:space="preserve">wykaz stron internetowych podmiotów publicznych: </w:t>
      </w:r>
      <w:hyperlink r:id="rId19" w:history="1">
        <w:r w:rsidRPr="00BF6615">
          <w:rPr>
            <w:rStyle w:val="Hipercze"/>
            <w:rFonts w:cstheme="minorHAnsi"/>
          </w:rPr>
          <w:t>https://www.gov.pl/web/dostepnosc-cyfrowa/wykaz-stron-internetowych-podmiotow-publicznych</w:t>
        </w:r>
      </w:hyperlink>
      <w:r w:rsidRPr="00BF6615">
        <w:rPr>
          <w:rFonts w:cstheme="minorHAnsi"/>
        </w:rPr>
        <w:t xml:space="preserve"> [dostęp 09.04.2025].</w:t>
      </w:r>
    </w:p>
    <w:p w14:paraId="40F5573A" w14:textId="078B417B" w:rsidR="006E6032" w:rsidRPr="00BF6615" w:rsidRDefault="006E6032">
      <w:pPr>
        <w:pStyle w:val="Akapitzlist"/>
        <w:numPr>
          <w:ilvl w:val="0"/>
          <w:numId w:val="10"/>
        </w:numPr>
        <w:spacing w:before="120" w:after="0"/>
        <w:rPr>
          <w:rFonts w:cstheme="minorHAnsi"/>
          <w:b/>
        </w:rPr>
      </w:pPr>
      <w:r w:rsidRPr="00BF6615">
        <w:rPr>
          <w:rFonts w:cstheme="minorHAnsi"/>
        </w:rPr>
        <w:t xml:space="preserve">wykaz aplikacji mobilnych podmiotów publicznych: </w:t>
      </w:r>
      <w:hyperlink r:id="rId20" w:history="1">
        <w:r w:rsidRPr="00BF6615">
          <w:rPr>
            <w:rStyle w:val="Hipercze"/>
            <w:rFonts w:cstheme="minorHAnsi"/>
          </w:rPr>
          <w:t>https://www.gov.pl/web/dostepnosc-cyfrowa/wykaz-aplikacji-mobilnych-podmiotow-publicznych</w:t>
        </w:r>
      </w:hyperlink>
      <w:r w:rsidRPr="00BF6615">
        <w:rPr>
          <w:rFonts w:cstheme="minorHAnsi"/>
        </w:rPr>
        <w:t xml:space="preserve"> [dostęp 09.04.2025].</w:t>
      </w:r>
    </w:p>
    <w:p w14:paraId="1F2028E9" w14:textId="77777777" w:rsidR="006E6032" w:rsidRPr="00BF6615" w:rsidRDefault="006E6032" w:rsidP="007E26B5">
      <w:pPr>
        <w:rPr>
          <w:rFonts w:cstheme="minorHAnsi"/>
        </w:rPr>
      </w:pPr>
      <w:bookmarkStart w:id="21" w:name="_Hlk187697341"/>
      <w:r w:rsidRPr="00BF6615">
        <w:rPr>
          <w:rFonts w:cstheme="minorHAnsi"/>
        </w:rPr>
        <w:t>W procesie wyboru zapewnione zostało zróżnicowanie pod względem kategorii podmiotów publicznych odpowiedzialnych za działanie danych stron i aplikacji mobilnych, m.in.:</w:t>
      </w:r>
    </w:p>
    <w:p w14:paraId="2FCE2825" w14:textId="77777777" w:rsidR="006E6032" w:rsidRPr="00BF6615" w:rsidRDefault="006E6032">
      <w:pPr>
        <w:pStyle w:val="Akapitzlist"/>
        <w:numPr>
          <w:ilvl w:val="0"/>
          <w:numId w:val="11"/>
        </w:numPr>
        <w:spacing w:before="120" w:after="0"/>
      </w:pPr>
      <w:r w:rsidRPr="00BF6615">
        <w:t>organy administracji rządowej i samorządowej,</w:t>
      </w:r>
    </w:p>
    <w:p w14:paraId="12E6E172" w14:textId="77777777" w:rsidR="006E6032" w:rsidRPr="00BF6615" w:rsidRDefault="006E6032">
      <w:pPr>
        <w:pStyle w:val="Akapitzlist"/>
        <w:numPr>
          <w:ilvl w:val="0"/>
          <w:numId w:val="11"/>
        </w:numPr>
        <w:spacing w:before="120" w:after="0"/>
      </w:pPr>
      <w:r w:rsidRPr="00BF6615">
        <w:t>podmioty ochrony zdrowia i opieki społecznej,</w:t>
      </w:r>
    </w:p>
    <w:p w14:paraId="3E638943" w14:textId="77777777" w:rsidR="006E6032" w:rsidRPr="00BF6615" w:rsidRDefault="006E6032">
      <w:pPr>
        <w:pStyle w:val="Akapitzlist"/>
        <w:numPr>
          <w:ilvl w:val="0"/>
          <w:numId w:val="11"/>
        </w:numPr>
        <w:spacing w:before="120" w:after="0"/>
      </w:pPr>
      <w:r w:rsidRPr="00BF6615">
        <w:t>instytucje kultury i dziedzictwa narodowego,</w:t>
      </w:r>
    </w:p>
    <w:p w14:paraId="0B95A7AF" w14:textId="77777777" w:rsidR="006E6032" w:rsidRPr="00BF6615" w:rsidRDefault="006E6032">
      <w:pPr>
        <w:pStyle w:val="Akapitzlist"/>
        <w:numPr>
          <w:ilvl w:val="0"/>
          <w:numId w:val="11"/>
        </w:numPr>
        <w:spacing w:before="120" w:after="0"/>
      </w:pPr>
      <w:r w:rsidRPr="00BF6615">
        <w:t>obiekty sportowe i rekreacyjne,</w:t>
      </w:r>
    </w:p>
    <w:p w14:paraId="074E9DF9" w14:textId="77777777" w:rsidR="006E6032" w:rsidRPr="00BF6615" w:rsidRDefault="006E6032">
      <w:pPr>
        <w:pStyle w:val="Akapitzlist"/>
        <w:numPr>
          <w:ilvl w:val="0"/>
          <w:numId w:val="11"/>
        </w:numPr>
        <w:spacing w:before="120" w:after="0"/>
      </w:pPr>
      <w:r w:rsidRPr="00BF6615">
        <w:t>organizacje odpowiedzialne za bezpieczeństwo publiczne i zarządzanie kryzysowe,</w:t>
      </w:r>
    </w:p>
    <w:p w14:paraId="6E0F122D" w14:textId="77777777" w:rsidR="006E6032" w:rsidRPr="00BF6615" w:rsidRDefault="006E6032">
      <w:pPr>
        <w:pStyle w:val="Akapitzlist"/>
        <w:numPr>
          <w:ilvl w:val="0"/>
          <w:numId w:val="11"/>
        </w:numPr>
        <w:spacing w:before="120" w:after="0"/>
      </w:pPr>
      <w:r w:rsidRPr="00BF6615">
        <w:t xml:space="preserve">podmioty związane z edukacją i informacją publiczną, </w:t>
      </w:r>
    </w:p>
    <w:p w14:paraId="53393571" w14:textId="77777777" w:rsidR="006E6032" w:rsidRPr="00BF6615" w:rsidRDefault="006E6032">
      <w:pPr>
        <w:pStyle w:val="Akapitzlist"/>
        <w:numPr>
          <w:ilvl w:val="0"/>
          <w:numId w:val="11"/>
        </w:numPr>
        <w:spacing w:before="120" w:after="0"/>
      </w:pPr>
      <w:r w:rsidRPr="00BF6615">
        <w:t>podmioty związane z transportem.</w:t>
      </w:r>
    </w:p>
    <w:p w14:paraId="54C41BDF" w14:textId="77777777" w:rsidR="006E6032" w:rsidRPr="00BF6615" w:rsidRDefault="006E6032" w:rsidP="007E26B5">
      <w:pPr>
        <w:rPr>
          <w:rFonts w:cstheme="minorHAnsi"/>
        </w:rPr>
      </w:pPr>
      <w:r w:rsidRPr="00BF6615">
        <w:rPr>
          <w:rFonts w:cstheme="minorHAnsi"/>
        </w:rPr>
        <w:t>Dla każdej z wytypowanych stron stworzony został zestaw zadań do wykonania. Dla każdego z uczestników badania został z katalogu zadań wybrany unikalny zestaw zawierający 2 pełne scenariusze testów stron www oraz 1 pełny scenariusz testu aplikacji mobilnej, co pozwoliło zachować założenie badania, jakim jest indywidualizacja procesu testowania.</w:t>
      </w:r>
      <w:bookmarkEnd w:id="21"/>
    </w:p>
    <w:p w14:paraId="026E2277" w14:textId="6A5D6659" w:rsidR="006E6032" w:rsidRPr="00BF6615" w:rsidRDefault="006E6032">
      <w:pPr>
        <w:pStyle w:val="Nagwek3"/>
        <w:numPr>
          <w:ilvl w:val="1"/>
          <w:numId w:val="6"/>
        </w:numPr>
      </w:pPr>
      <w:bookmarkStart w:id="22" w:name="_Toc196827569"/>
      <w:bookmarkStart w:id="23" w:name="_Toc204179217"/>
      <w:r w:rsidRPr="00BF6615">
        <w:t>Pogłębione wywiady indywidualne (IDI)</w:t>
      </w:r>
      <w:bookmarkEnd w:id="22"/>
      <w:bookmarkEnd w:id="23"/>
    </w:p>
    <w:p w14:paraId="562CEAA6" w14:textId="77777777" w:rsidR="006E6032" w:rsidRPr="00BF6615" w:rsidRDefault="006E6032" w:rsidP="007E26B5">
      <w:pPr>
        <w:rPr>
          <w:rFonts w:cstheme="minorHAnsi"/>
        </w:rPr>
      </w:pPr>
      <w:r w:rsidRPr="00BF6615">
        <w:rPr>
          <w:rFonts w:cstheme="minorHAnsi"/>
        </w:rPr>
        <w:t xml:space="preserve">Wywiady indywidualne zapewnił ważne źródło informacji jakościowych. W badaniu zrealizowano wywiady w formie </w:t>
      </w:r>
      <w:proofErr w:type="spellStart"/>
      <w:r w:rsidRPr="00BF6615">
        <w:rPr>
          <w:rFonts w:cstheme="minorHAnsi"/>
        </w:rPr>
        <w:t>semistrukturalnej</w:t>
      </w:r>
      <w:proofErr w:type="spellEnd"/>
      <w:r w:rsidRPr="00BF6615">
        <w:rPr>
          <w:rFonts w:cstheme="minorHAnsi"/>
        </w:rPr>
        <w:t xml:space="preserve"> – częściowo ustrukturalizowanej. Jest to jakościowa technika badania często wykorzystywana w badaniach w dziedzinie nauk humanistycznych i społecznych. Umożliwia częściowe zorientowanie (</w:t>
      </w:r>
      <w:proofErr w:type="spellStart"/>
      <w:r w:rsidRPr="00BF6615">
        <w:rPr>
          <w:rFonts w:cstheme="minorHAnsi"/>
        </w:rPr>
        <w:t>półdyrektywne</w:t>
      </w:r>
      <w:proofErr w:type="spellEnd"/>
      <w:r w:rsidRPr="00BF6615">
        <w:rPr>
          <w:rFonts w:cstheme="minorHAnsi"/>
        </w:rPr>
        <w:t>) rozmowy osób uczestniczących w wywiadzie na różne z góry zdefiniowane przez ankieterów tematy ujęte w scenariuszu wywiadu. Aspekt elastyczności charakterystyczny dla tej techniki badawczej umożliwił dostosowanie zbieranego zakresu informacji do wiedzy i doświadczenia rozmówców. Pozwolił również na pogłębianie w rozmowach zagadnień, w których dana osoba ma wiedzę i może podzielić się swoimi opiniami i rekomendacjami.</w:t>
      </w:r>
    </w:p>
    <w:p w14:paraId="1432BDB9" w14:textId="77777777" w:rsidR="006E6032" w:rsidRPr="00BF6615" w:rsidRDefault="006E6032" w:rsidP="007E26B5">
      <w:pPr>
        <w:rPr>
          <w:rFonts w:cstheme="minorHAnsi"/>
        </w:rPr>
      </w:pPr>
      <w:r w:rsidRPr="00BF6615">
        <w:rPr>
          <w:rFonts w:cstheme="minorHAnsi"/>
        </w:rPr>
        <w:t xml:space="preserve">Badanie zrealizowano w formie stacjonarnej. Dostosowano miejsca ich prowadzenia do preferencji uczestników wywiadów. </w:t>
      </w:r>
    </w:p>
    <w:p w14:paraId="79A51D66" w14:textId="77777777" w:rsidR="006E6032" w:rsidRPr="00BF6615" w:rsidRDefault="006E6032" w:rsidP="007E26B5">
      <w:pPr>
        <w:rPr>
          <w:rFonts w:cstheme="minorHAnsi"/>
        </w:rPr>
      </w:pPr>
      <w:r w:rsidRPr="00BF6615">
        <w:rPr>
          <w:rFonts w:cstheme="minorHAnsi"/>
        </w:rPr>
        <w:t xml:space="preserve">Zespół badawczy prowadzący wywiady, po wyrażeniu zgody przez rozmówców, nagrywał wywiady. Z nagranych wywiadów zostały przygotowane transkrypcje, które zostały poddane </w:t>
      </w:r>
      <w:r w:rsidRPr="00BF6615">
        <w:rPr>
          <w:rFonts w:cstheme="minorHAnsi"/>
        </w:rPr>
        <w:lastRenderedPageBreak/>
        <w:t>analizie jakościowej. Sposób wykorzystania danych do przygotowania wniosków z badania zapewnił pełną anonimowość osób biorących udział w wywiadach. W badaniu przygotowano scenariusz wywiadu, a podczas wywiadu osoba badająca na bieżąco personalizowała go (tak by odpowiednio poprowadzić rozmowę adekwatnie do profilu danej osoby i jej doświadczenia).</w:t>
      </w:r>
    </w:p>
    <w:p w14:paraId="354304E6" w14:textId="77777777" w:rsidR="006E6032" w:rsidRPr="00BF6615" w:rsidRDefault="006E6032" w:rsidP="007E26B5"/>
    <w:p w14:paraId="648D542A" w14:textId="77777777" w:rsidR="00C37DFD" w:rsidRPr="00BF6615" w:rsidRDefault="00C37DFD" w:rsidP="007E26B5">
      <w:pPr>
        <w:spacing w:after="160" w:line="259" w:lineRule="auto"/>
        <w:rPr>
          <w:rFonts w:eastAsiaTheme="majorEastAsia" w:cstheme="minorHAnsi"/>
          <w:b/>
          <w:bCs/>
          <w:color w:val="C00000"/>
          <w:sz w:val="36"/>
          <w:szCs w:val="28"/>
        </w:rPr>
      </w:pPr>
      <w:r w:rsidRPr="00BF6615">
        <w:br w:type="page"/>
      </w:r>
    </w:p>
    <w:p w14:paraId="5BEAC0DC" w14:textId="0619BE67" w:rsidR="00DF4488" w:rsidRPr="00BF6615" w:rsidRDefault="00DF4488" w:rsidP="007E26B5">
      <w:pPr>
        <w:pStyle w:val="Nagwek2"/>
      </w:pPr>
      <w:bookmarkStart w:id="24" w:name="_Toc204179218"/>
      <w:r w:rsidRPr="00BF6615">
        <w:lastRenderedPageBreak/>
        <w:t>Opis próby i procedury jej doboru, kontroli doboru próby, przebiegu realizacji badania</w:t>
      </w:r>
      <w:bookmarkEnd w:id="24"/>
    </w:p>
    <w:p w14:paraId="7E8687A9" w14:textId="35DFDD1F" w:rsidR="00C37DFD" w:rsidRPr="0043409C" w:rsidRDefault="00C37DFD" w:rsidP="00B271C3">
      <w:pPr>
        <w:pStyle w:val="Nagwek3"/>
        <w:numPr>
          <w:ilvl w:val="1"/>
          <w:numId w:val="6"/>
        </w:numPr>
      </w:pPr>
      <w:bookmarkStart w:id="25" w:name="_Toc204173698"/>
      <w:bookmarkStart w:id="26" w:name="_Toc204173777"/>
      <w:bookmarkStart w:id="27" w:name="_Toc204179219"/>
      <w:bookmarkStart w:id="28" w:name="_Toc196827571"/>
      <w:bookmarkStart w:id="29" w:name="_Toc204179220"/>
      <w:bookmarkEnd w:id="25"/>
      <w:bookmarkEnd w:id="26"/>
      <w:bookmarkEnd w:id="27"/>
      <w:r w:rsidRPr="0043409C">
        <w:t>Opis próby i procedury jej doboru</w:t>
      </w:r>
      <w:bookmarkEnd w:id="28"/>
      <w:bookmarkEnd w:id="29"/>
    </w:p>
    <w:p w14:paraId="0A0F6007" w14:textId="77777777" w:rsidR="00C37DFD" w:rsidRPr="00BF6615" w:rsidRDefault="00C37DFD" w:rsidP="007E26B5">
      <w:pPr>
        <w:rPr>
          <w:rFonts w:cstheme="minorHAnsi"/>
          <w:b/>
          <w:bCs/>
        </w:rPr>
      </w:pPr>
      <w:r w:rsidRPr="00BF6615">
        <w:rPr>
          <w:rFonts w:cstheme="minorHAnsi"/>
        </w:rPr>
        <w:t xml:space="preserve">Badana grupa użytkowników stron internetowych oraz aplikacji mobilnych obejmowała </w:t>
      </w:r>
      <w:r w:rsidRPr="00BF6615">
        <w:rPr>
          <w:rFonts w:cstheme="minorHAnsi"/>
          <w:b/>
          <w:bCs/>
        </w:rPr>
        <w:t>6 kategorii osób</w:t>
      </w:r>
      <w:r w:rsidRPr="00BF6615">
        <w:rPr>
          <w:rStyle w:val="Odwoanieprzypisudolnego"/>
          <w:rFonts w:cstheme="minorHAnsi"/>
          <w:b/>
          <w:bCs/>
        </w:rPr>
        <w:footnoteReference w:id="22"/>
      </w:r>
      <w:r w:rsidRPr="00BF6615">
        <w:rPr>
          <w:rFonts w:cstheme="minorHAnsi"/>
          <w:b/>
          <w:bCs/>
        </w:rPr>
        <w:t>:</w:t>
      </w:r>
    </w:p>
    <w:p w14:paraId="0AE399E1" w14:textId="77777777" w:rsidR="00C37DFD" w:rsidRPr="00BF6615" w:rsidRDefault="00C37DFD">
      <w:pPr>
        <w:pStyle w:val="Akapitzlist"/>
        <w:numPr>
          <w:ilvl w:val="0"/>
          <w:numId w:val="13"/>
        </w:numPr>
        <w:rPr>
          <w:rFonts w:cstheme="minorHAnsi"/>
        </w:rPr>
      </w:pPr>
      <w:r w:rsidRPr="00BF6615">
        <w:rPr>
          <w:rFonts w:cstheme="minorHAnsi"/>
          <w:b/>
          <w:bCs/>
        </w:rPr>
        <w:t>Osoby niepełnosprawne ociemniałe lub niewidome-</w:t>
      </w:r>
      <w:r w:rsidRPr="00BF6615">
        <w:rPr>
          <w:rFonts w:cstheme="minorHAnsi"/>
        </w:rPr>
        <w:t xml:space="preserve"> według medycznej definicji są to osoby, które: nie mają poczucia światła; ich ostrość wzroku przy maksymalnej korekcji okularowej nie przekracza 0,05; ich pole widzenia jest zawężone do maksymalnie 20 stopni.</w:t>
      </w:r>
    </w:p>
    <w:p w14:paraId="5892FC17" w14:textId="77777777" w:rsidR="00C37DFD" w:rsidRPr="00BF6615" w:rsidRDefault="00C37DFD">
      <w:pPr>
        <w:pStyle w:val="Akapitzlist"/>
        <w:numPr>
          <w:ilvl w:val="0"/>
          <w:numId w:val="13"/>
        </w:numPr>
        <w:rPr>
          <w:rFonts w:cstheme="minorHAnsi"/>
        </w:rPr>
      </w:pPr>
      <w:r w:rsidRPr="00BF6615">
        <w:rPr>
          <w:rFonts w:cstheme="minorHAnsi"/>
          <w:b/>
          <w:bCs/>
        </w:rPr>
        <w:t>Osoby niepełnosprawne słabowidzące-</w:t>
      </w:r>
      <w:r w:rsidRPr="00BF6615">
        <w:rPr>
          <w:rFonts w:cstheme="minorHAnsi"/>
        </w:rPr>
        <w:t xml:space="preserve"> są to osoby, których ostrość wzroku jest równa lub większa niż 0,05 a mniejsza niż 0,3 pełnej ostrości (ostrość mierzona jest w lepszym oku z najlepszą szkieł korekcyjnych mają trudności z wykonywaniem czynności dnia codziennego.</w:t>
      </w:r>
    </w:p>
    <w:p w14:paraId="19DDF6C5" w14:textId="77777777" w:rsidR="00C37DFD" w:rsidRPr="00BF6615" w:rsidRDefault="00C37DFD">
      <w:pPr>
        <w:pStyle w:val="Akapitzlist"/>
        <w:numPr>
          <w:ilvl w:val="0"/>
          <w:numId w:val="13"/>
        </w:numPr>
        <w:rPr>
          <w:rFonts w:cstheme="minorHAnsi"/>
        </w:rPr>
      </w:pPr>
      <w:r w:rsidRPr="00BF6615">
        <w:rPr>
          <w:rFonts w:cstheme="minorHAnsi"/>
          <w:b/>
        </w:rPr>
        <w:t xml:space="preserve">Osoby niepełnosprawne z dysfunkcją słuchu (słabosłyszące lub niesłyszące) </w:t>
      </w:r>
      <w:r w:rsidRPr="00BF6615">
        <w:rPr>
          <w:rFonts w:cstheme="minorHAnsi"/>
        </w:rPr>
        <w:t>– charakteryzujące się niedosłuchem o różnym stopniu nasilenia.</w:t>
      </w:r>
    </w:p>
    <w:p w14:paraId="73509311" w14:textId="77777777" w:rsidR="00C37DFD" w:rsidRPr="00BF6615" w:rsidRDefault="00C37DFD">
      <w:pPr>
        <w:pStyle w:val="Akapitzlist"/>
        <w:numPr>
          <w:ilvl w:val="0"/>
          <w:numId w:val="13"/>
        </w:numPr>
        <w:rPr>
          <w:rFonts w:cstheme="minorHAnsi"/>
        </w:rPr>
      </w:pPr>
      <w:r w:rsidRPr="00BF6615">
        <w:rPr>
          <w:rFonts w:cstheme="minorHAnsi"/>
          <w:b/>
          <w:bCs/>
        </w:rPr>
        <w:t xml:space="preserve">Osoby niepełnosprawne z dysfunkcją narządu ruchu </w:t>
      </w:r>
      <w:r w:rsidRPr="00BF6615">
        <w:rPr>
          <w:rFonts w:cstheme="minorHAnsi"/>
        </w:rPr>
        <w:t>– bez sprawności lub z istotną ograniczoną sprawnością kończyn górnych.</w:t>
      </w:r>
    </w:p>
    <w:p w14:paraId="7526F985" w14:textId="77777777" w:rsidR="00C37DFD" w:rsidRPr="00BF6615" w:rsidRDefault="00C37DFD">
      <w:pPr>
        <w:pStyle w:val="Akapitzlist"/>
        <w:numPr>
          <w:ilvl w:val="0"/>
          <w:numId w:val="13"/>
        </w:numPr>
        <w:rPr>
          <w:rFonts w:cstheme="minorHAnsi"/>
        </w:rPr>
      </w:pPr>
      <w:r w:rsidRPr="00BF6615">
        <w:rPr>
          <w:rFonts w:cstheme="minorHAnsi"/>
          <w:b/>
          <w:bCs/>
        </w:rPr>
        <w:t xml:space="preserve">Osoby z niepełnosprawnościami intelektualnymi i ograniczeniami poznawczymi </w:t>
      </w:r>
      <w:r w:rsidRPr="00BF6615">
        <w:rPr>
          <w:rFonts w:cstheme="minorHAnsi"/>
        </w:rPr>
        <w:t>– to osoby z obniżonymi możliwościami intelektualnymi, niskim ilorazem inteligencji (poniżej 70 w skali Wechslera) oraz ograniczoną możliwością przystosowania społecznego lub osoby doświadczające trudności w procesach poznawczych, które mają wpływ na ich zdolność uczenia się, myślenia, rozwiązywania problemów (ograniczenia poznawcze mogą wynikać z urazów mózgu, chorób neurodegeneracyjnych np. Alzheimer, zaburzeń rozwojowych np. ADHD, autyzm, zespół Downa lub innych schorzeń).</w:t>
      </w:r>
    </w:p>
    <w:p w14:paraId="733F5761" w14:textId="77777777" w:rsidR="00C37DFD" w:rsidRPr="00BF6615" w:rsidRDefault="00C37DFD">
      <w:pPr>
        <w:pStyle w:val="Akapitzlist"/>
        <w:numPr>
          <w:ilvl w:val="0"/>
          <w:numId w:val="13"/>
        </w:numPr>
        <w:rPr>
          <w:rFonts w:cstheme="minorHAnsi"/>
        </w:rPr>
      </w:pPr>
      <w:r w:rsidRPr="00BF6615">
        <w:rPr>
          <w:rFonts w:cstheme="minorHAnsi"/>
          <w:b/>
          <w:bCs/>
        </w:rPr>
        <w:t xml:space="preserve">Osoby starsze </w:t>
      </w:r>
      <w:r w:rsidRPr="00BF6615">
        <w:rPr>
          <w:rFonts w:cstheme="minorHAnsi"/>
        </w:rPr>
        <w:t>– tzn. osoby, które zgodnie z zapisami Ustawy z dnia 11 września 2015 r. o osobach starszych (poz. 1705 z p.zm.) ukończyły 60. rok życia.</w:t>
      </w:r>
    </w:p>
    <w:p w14:paraId="60080C03" w14:textId="4CB4C5BB" w:rsidR="00C37DFD" w:rsidRPr="00BF6615" w:rsidRDefault="00C37DFD" w:rsidP="007E26B5">
      <w:pPr>
        <w:rPr>
          <w:rFonts w:cstheme="minorHAnsi"/>
        </w:rPr>
      </w:pPr>
      <w:r w:rsidRPr="00BF6615">
        <w:rPr>
          <w:rFonts w:cstheme="minorHAnsi"/>
        </w:rPr>
        <w:t xml:space="preserve">Wszystkie osoby wybrane do badania posiadały minimum podstawowe kompetencje cyfrowe i regularnie korzystały z Internetu – różnego rodzaju stron internetowych/aplikacji mobilnych. Należy jednak podkreślić, że sam charakter badania i operowanie na stronach czy w aplikacjach podmiotów publicznych, wykonywanie zadań, których celem było złożenie wniosku, powodował, że osoby badane mogły radzić sobie gorzej, niż w rzeczywistej sytuacji, co było dodatkowo potęgowane wykonywaniem zadań w specyficznych warunkach. Już na etapie rekrutacji osoby podkreślały swoje obawy przed uczestnictwem w badaniu i wykonywaniu zadań testowych. Mimo podejmowanych prób minimalizowania tych obaw przez </w:t>
      </w:r>
      <w:proofErr w:type="spellStart"/>
      <w:r w:rsidRPr="00BF6615">
        <w:rPr>
          <w:rFonts w:cstheme="minorHAnsi"/>
        </w:rPr>
        <w:t>rekruterów</w:t>
      </w:r>
      <w:proofErr w:type="spellEnd"/>
      <w:r w:rsidRPr="00BF6615">
        <w:rPr>
          <w:rFonts w:cstheme="minorHAnsi"/>
        </w:rPr>
        <w:t xml:space="preserve"> i zespół realizujący testy (m.in. zapewnianie o braku oceniania, wsparcie w trakcie testów, przyjazna atmosfera), czynniki te mogły znacząco wpływać na poziom stresu. Wysoki poziom napięcia emocjonalnego mógł z kolei skutkować obniżoną </w:t>
      </w:r>
      <w:r w:rsidRPr="00BF6615">
        <w:rPr>
          <w:rFonts w:cstheme="minorHAnsi"/>
        </w:rPr>
        <w:lastRenderedPageBreak/>
        <w:t xml:space="preserve">koncentracją, spadkiem swobody w nawigowaniu po stronach oraz trudnościami </w:t>
      </w:r>
      <w:r w:rsidR="00F047E5" w:rsidRPr="00BF6615">
        <w:rPr>
          <w:rFonts w:cstheme="minorHAnsi"/>
        </w:rPr>
        <w:t>w</w:t>
      </w:r>
      <w:r w:rsidR="00F047E5">
        <w:rPr>
          <w:rFonts w:cstheme="minorHAnsi"/>
        </w:rPr>
        <w:t> </w:t>
      </w:r>
      <w:r w:rsidRPr="00BF6615">
        <w:rPr>
          <w:rFonts w:cstheme="minorHAnsi"/>
        </w:rPr>
        <w:t>podejmowaniu decyzji — nawet jeśli dana osoba w warunkach domowych nie doświadcza takich trudności. Dodatkowo należy wziąć pod uwagę wpływ sytuacji testowej jako nietypowej i oderwanej od codziennego kontekstu. Wszystko to mogło prowadzić do sytuacji, w której ich kompetencje cyfrowe były oceniane jako niższe, niż rzeczywiście są w codziennym życiu.</w:t>
      </w:r>
    </w:p>
    <w:p w14:paraId="2FC1BEF6" w14:textId="77777777" w:rsidR="00C37DFD" w:rsidRPr="00BF6615" w:rsidRDefault="00C37DFD" w:rsidP="007E26B5">
      <w:pPr>
        <w:rPr>
          <w:rFonts w:cstheme="minorHAnsi"/>
          <w:b/>
          <w:bCs/>
        </w:rPr>
      </w:pPr>
      <w:r w:rsidRPr="00BF6615">
        <w:rPr>
          <w:rFonts w:cstheme="minorHAnsi"/>
        </w:rPr>
        <w:t>Za osobę niepełnosprawną na potrzeby badania uznaje się osobę, która posiada odpowiednie orzeczenie wydane przez organ do tego uprawniony lub osobę, która takiego orzeczenia nie posiada, lecz odczuwa ograniczenie sprawności w wykonywaniu czynności podstawowych dla swojego wieku (niepełnosprawność w oparciu o kryteria formalno- prawna oraz niepełnosprawność subiektywną – biologiczna).</w:t>
      </w:r>
    </w:p>
    <w:p w14:paraId="36C79E1D" w14:textId="77777777" w:rsidR="00C37DFD" w:rsidRPr="00BF6615" w:rsidRDefault="00C37DFD" w:rsidP="007E26B5">
      <w:pPr>
        <w:rPr>
          <w:rFonts w:cstheme="minorHAnsi"/>
          <w:b/>
          <w:bCs/>
        </w:rPr>
      </w:pPr>
      <w:r w:rsidRPr="00BF6615">
        <w:rPr>
          <w:rFonts w:cstheme="minorHAnsi"/>
          <w:b/>
          <w:bCs/>
        </w:rPr>
        <w:t xml:space="preserve">Zrealizowano próbę, zgodnie z założeniami (liczebność próby na etapie pilotażu N=6 oraz badania właściwego N=36). Osoby z badania właściwego były zaklasyfikowane do jednej z poniższych kategorii: </w:t>
      </w:r>
    </w:p>
    <w:p w14:paraId="23098199" w14:textId="77777777" w:rsidR="00C37DFD" w:rsidRPr="00BF6615" w:rsidRDefault="00C37DFD">
      <w:pPr>
        <w:pStyle w:val="Akapitzlist"/>
        <w:numPr>
          <w:ilvl w:val="0"/>
          <w:numId w:val="14"/>
        </w:numPr>
        <w:spacing w:before="120" w:after="0"/>
        <w:rPr>
          <w:rFonts w:cstheme="minorHAnsi"/>
        </w:rPr>
      </w:pPr>
      <w:r w:rsidRPr="00BF6615">
        <w:rPr>
          <w:rFonts w:cstheme="minorHAnsi"/>
          <w:b/>
          <w:bCs/>
        </w:rPr>
        <w:t xml:space="preserve">min. 6 osób </w:t>
      </w:r>
      <w:r w:rsidRPr="00BF6615">
        <w:rPr>
          <w:rFonts w:cstheme="minorHAnsi"/>
        </w:rPr>
        <w:t>z grupy osób ociemniałych lub niewidomych,</w:t>
      </w:r>
    </w:p>
    <w:p w14:paraId="3EBD93DD" w14:textId="77777777" w:rsidR="00C37DFD" w:rsidRPr="00BF6615" w:rsidRDefault="00C37DFD">
      <w:pPr>
        <w:pStyle w:val="Akapitzlist"/>
        <w:numPr>
          <w:ilvl w:val="0"/>
          <w:numId w:val="14"/>
        </w:numPr>
        <w:spacing w:before="120" w:after="0"/>
        <w:rPr>
          <w:rFonts w:cstheme="minorHAnsi"/>
        </w:rPr>
      </w:pPr>
      <w:r w:rsidRPr="00BF6615">
        <w:rPr>
          <w:rFonts w:cstheme="minorHAnsi"/>
          <w:b/>
          <w:bCs/>
        </w:rPr>
        <w:t xml:space="preserve">min. 6 osób </w:t>
      </w:r>
      <w:r w:rsidRPr="00BF6615">
        <w:rPr>
          <w:rFonts w:cstheme="minorHAnsi"/>
        </w:rPr>
        <w:t>z grupy osób słabowidzących,</w:t>
      </w:r>
    </w:p>
    <w:p w14:paraId="09DE517E" w14:textId="77777777" w:rsidR="00C37DFD" w:rsidRPr="00BF6615" w:rsidRDefault="00C37DFD">
      <w:pPr>
        <w:pStyle w:val="Akapitzlist"/>
        <w:numPr>
          <w:ilvl w:val="0"/>
          <w:numId w:val="14"/>
        </w:numPr>
        <w:spacing w:before="120" w:after="0"/>
        <w:rPr>
          <w:rFonts w:cstheme="minorHAnsi"/>
        </w:rPr>
      </w:pPr>
      <w:r w:rsidRPr="00BF6615">
        <w:rPr>
          <w:rFonts w:cstheme="minorHAnsi"/>
          <w:b/>
          <w:bCs/>
        </w:rPr>
        <w:t xml:space="preserve">min. 6 osób </w:t>
      </w:r>
      <w:r w:rsidRPr="00BF6615">
        <w:rPr>
          <w:rFonts w:cstheme="minorHAnsi"/>
        </w:rPr>
        <w:t>z grupy osób słabosłyszących lub niesłyszących,</w:t>
      </w:r>
    </w:p>
    <w:p w14:paraId="30E8F7D6" w14:textId="77777777" w:rsidR="00C37DFD" w:rsidRPr="00BF6615" w:rsidRDefault="00C37DFD">
      <w:pPr>
        <w:pStyle w:val="Akapitzlist"/>
        <w:numPr>
          <w:ilvl w:val="0"/>
          <w:numId w:val="14"/>
        </w:numPr>
        <w:spacing w:before="120" w:after="0"/>
        <w:rPr>
          <w:rFonts w:cstheme="minorHAnsi"/>
        </w:rPr>
      </w:pPr>
      <w:r w:rsidRPr="00BF6615">
        <w:rPr>
          <w:rFonts w:cstheme="minorHAnsi"/>
          <w:b/>
          <w:bCs/>
        </w:rPr>
        <w:t xml:space="preserve">min. 6 osób </w:t>
      </w:r>
      <w:r w:rsidRPr="00BF6615">
        <w:rPr>
          <w:rFonts w:cstheme="minorHAnsi"/>
        </w:rPr>
        <w:t>z dysfunkcją narządu ruchu,</w:t>
      </w:r>
    </w:p>
    <w:p w14:paraId="747894E5" w14:textId="77777777" w:rsidR="00C37DFD" w:rsidRPr="00BF6615" w:rsidRDefault="00C37DFD">
      <w:pPr>
        <w:pStyle w:val="Akapitzlist"/>
        <w:numPr>
          <w:ilvl w:val="0"/>
          <w:numId w:val="14"/>
        </w:numPr>
        <w:spacing w:before="120" w:after="0"/>
        <w:rPr>
          <w:rFonts w:cstheme="minorHAnsi"/>
        </w:rPr>
      </w:pPr>
      <w:r w:rsidRPr="00BF6615">
        <w:rPr>
          <w:rFonts w:cstheme="minorHAnsi"/>
          <w:b/>
          <w:bCs/>
        </w:rPr>
        <w:t xml:space="preserve">min. 6 osób </w:t>
      </w:r>
      <w:r w:rsidRPr="00BF6615">
        <w:rPr>
          <w:rFonts w:cstheme="minorHAnsi"/>
        </w:rPr>
        <w:t>z niepełnosprawnościami intelektualnymi i ograniczeniami poznawczymi,</w:t>
      </w:r>
    </w:p>
    <w:p w14:paraId="50F51252" w14:textId="77777777" w:rsidR="00C37DFD" w:rsidRPr="00BF6615" w:rsidRDefault="00C37DFD">
      <w:pPr>
        <w:pStyle w:val="Akapitzlist"/>
        <w:numPr>
          <w:ilvl w:val="0"/>
          <w:numId w:val="14"/>
        </w:numPr>
        <w:spacing w:before="120" w:after="0"/>
        <w:rPr>
          <w:rFonts w:cstheme="minorHAnsi"/>
        </w:rPr>
      </w:pPr>
      <w:r w:rsidRPr="00BF6615">
        <w:rPr>
          <w:rFonts w:cstheme="minorHAnsi"/>
          <w:b/>
          <w:bCs/>
        </w:rPr>
        <w:t xml:space="preserve">min. 6 osób, </w:t>
      </w:r>
      <w:r w:rsidRPr="00BF6615">
        <w:rPr>
          <w:rFonts w:cstheme="minorHAnsi"/>
        </w:rPr>
        <w:t>które ukończyły 60 rok życia.</w:t>
      </w:r>
    </w:p>
    <w:p w14:paraId="64CCBAD0" w14:textId="77777777" w:rsidR="00C37DFD" w:rsidRPr="00BF6615" w:rsidRDefault="00C37DFD" w:rsidP="007E26B5">
      <w:pPr>
        <w:rPr>
          <w:rFonts w:cstheme="minorHAnsi"/>
        </w:rPr>
      </w:pPr>
      <w:r w:rsidRPr="00BF6615">
        <w:rPr>
          <w:rFonts w:cstheme="minorHAnsi"/>
        </w:rPr>
        <w:t xml:space="preserve">Dzięki współpracy z organizacjami pozarządowymi wspierającymi poszczególne grupy osób, do badania została dobrana grupa osób spełniających powyższe kryteria. </w:t>
      </w:r>
    </w:p>
    <w:p w14:paraId="1D27B467" w14:textId="77777777" w:rsidR="00C37DFD" w:rsidRPr="00BF6615" w:rsidRDefault="00C37DFD" w:rsidP="007E26B5">
      <w:pPr>
        <w:rPr>
          <w:rFonts w:cstheme="minorHAnsi"/>
        </w:rPr>
      </w:pPr>
      <w:r w:rsidRPr="00BF6615">
        <w:rPr>
          <w:rFonts w:cstheme="minorHAnsi"/>
        </w:rPr>
        <w:t>Każda z osób badanych wyraziła zgodę na przetwarzanie danych osobowych w celu przeprowadzenia badania.</w:t>
      </w:r>
    </w:p>
    <w:p w14:paraId="17408A0B" w14:textId="77777777" w:rsidR="00C37DFD" w:rsidRPr="00BF6615" w:rsidRDefault="00C37DFD" w:rsidP="007E26B5">
      <w:pPr>
        <w:rPr>
          <w:rFonts w:cstheme="minorHAnsi"/>
          <w:lang w:eastAsia="pl-PL"/>
        </w:rPr>
      </w:pPr>
      <w:r w:rsidRPr="00BF6615">
        <w:rPr>
          <w:rFonts w:cstheme="minorHAnsi"/>
          <w:lang w:eastAsia="pl-PL"/>
        </w:rPr>
        <w:t>Respondenci pochodzili z terenu województw:</w:t>
      </w:r>
    </w:p>
    <w:p w14:paraId="21FC8B6F" w14:textId="77777777" w:rsidR="00C37DFD" w:rsidRPr="00BF6615" w:rsidRDefault="00C37DFD">
      <w:pPr>
        <w:pStyle w:val="Akapitzlist"/>
        <w:numPr>
          <w:ilvl w:val="0"/>
          <w:numId w:val="14"/>
        </w:numPr>
        <w:spacing w:before="120" w:after="0"/>
        <w:rPr>
          <w:rFonts w:cstheme="minorHAnsi"/>
        </w:rPr>
      </w:pPr>
      <w:r w:rsidRPr="00BF6615">
        <w:rPr>
          <w:rFonts w:cstheme="minorHAnsi"/>
        </w:rPr>
        <w:t>dolnośląskiego (N=25),</w:t>
      </w:r>
    </w:p>
    <w:p w14:paraId="707DE714" w14:textId="77777777" w:rsidR="00C37DFD" w:rsidRPr="00BF6615" w:rsidRDefault="00C37DFD">
      <w:pPr>
        <w:pStyle w:val="Akapitzlist"/>
        <w:numPr>
          <w:ilvl w:val="0"/>
          <w:numId w:val="14"/>
        </w:numPr>
        <w:spacing w:before="120" w:after="0"/>
        <w:rPr>
          <w:rFonts w:cstheme="minorHAnsi"/>
        </w:rPr>
      </w:pPr>
      <w:r w:rsidRPr="00BF6615">
        <w:rPr>
          <w:rFonts w:cstheme="minorHAnsi"/>
        </w:rPr>
        <w:t>opolskiego (N=5),</w:t>
      </w:r>
    </w:p>
    <w:p w14:paraId="2916EE97" w14:textId="77777777" w:rsidR="00C37DFD" w:rsidRPr="00BF6615" w:rsidRDefault="00C37DFD">
      <w:pPr>
        <w:pStyle w:val="Akapitzlist"/>
        <w:numPr>
          <w:ilvl w:val="0"/>
          <w:numId w:val="14"/>
        </w:numPr>
        <w:spacing w:before="120" w:after="0"/>
        <w:rPr>
          <w:rFonts w:cstheme="minorHAnsi"/>
        </w:rPr>
      </w:pPr>
      <w:r w:rsidRPr="00BF6615">
        <w:rPr>
          <w:rFonts w:cstheme="minorHAnsi"/>
        </w:rPr>
        <w:t>śląskiego (N=6).</w:t>
      </w:r>
    </w:p>
    <w:p w14:paraId="6FCBE84D" w14:textId="77777777" w:rsidR="00C37DFD" w:rsidRPr="00BF6615" w:rsidRDefault="00C37DFD" w:rsidP="007E26B5">
      <w:pPr>
        <w:rPr>
          <w:rFonts w:cstheme="minorHAnsi"/>
          <w:lang w:eastAsia="pl-PL"/>
        </w:rPr>
      </w:pPr>
      <w:r w:rsidRPr="00BF6615">
        <w:rPr>
          <w:rFonts w:cstheme="minorHAnsi"/>
          <w:lang w:eastAsia="pl-PL"/>
        </w:rPr>
        <w:t xml:space="preserve">Ze względu na ograniczoną liczebność próby, województwo zamieszkania nie było traktowane jako zmienna niezależna w analizie wpływu na wyniki. Zostało potraktowane raczej jako kontekstowy czynnik rekrutacyjny, a nie formalne kryterium różnicujące analizowane odpowiedzi. Dobór województw był podyktowany również lokalizacją organizacji pozarządowych, które zdecydowały się nawiązać współpracę na etapie rekrutacji uczestników. Dobór próby uwzględniał również miejsce zamieszkania respondentów (duże miasto, małe miasto/wieś). </w:t>
      </w:r>
    </w:p>
    <w:p w14:paraId="7C9BBCD1" w14:textId="0C9C410F" w:rsidR="00C37DFD" w:rsidRPr="00352609" w:rsidRDefault="00C37DFD" w:rsidP="00B271C3">
      <w:pPr>
        <w:pStyle w:val="Nagwek3"/>
        <w:numPr>
          <w:ilvl w:val="1"/>
          <w:numId w:val="6"/>
        </w:numPr>
      </w:pPr>
      <w:bookmarkStart w:id="30" w:name="_Toc196827572"/>
      <w:bookmarkStart w:id="31" w:name="_Toc204179221"/>
      <w:r w:rsidRPr="0043409C">
        <w:t>Kontrola doboru próby</w:t>
      </w:r>
      <w:bookmarkEnd w:id="30"/>
      <w:bookmarkEnd w:id="31"/>
    </w:p>
    <w:p w14:paraId="7DA79F06" w14:textId="77777777" w:rsidR="00C37DFD" w:rsidRPr="00BF6615" w:rsidRDefault="00C37DFD" w:rsidP="007E26B5">
      <w:pPr>
        <w:rPr>
          <w:rFonts w:cstheme="minorHAnsi"/>
        </w:rPr>
      </w:pPr>
      <w:r w:rsidRPr="00BF6615">
        <w:rPr>
          <w:rFonts w:cstheme="minorHAnsi"/>
        </w:rPr>
        <w:t xml:space="preserve">Kontroli podlegał ogół działań podejmowanych przez </w:t>
      </w:r>
      <w:proofErr w:type="spellStart"/>
      <w:r w:rsidRPr="00BF6615">
        <w:rPr>
          <w:rFonts w:cstheme="minorHAnsi"/>
        </w:rPr>
        <w:t>rekruterów</w:t>
      </w:r>
      <w:proofErr w:type="spellEnd"/>
      <w:r w:rsidRPr="00BF6615">
        <w:rPr>
          <w:rFonts w:cstheme="minorHAnsi"/>
        </w:rPr>
        <w:t xml:space="preserve"> (przez moderatora i eksperta) przed i w trakcie realizacji badania. W praktyce oznacza to, że oprócz faktu </w:t>
      </w:r>
      <w:r w:rsidRPr="00BF6615">
        <w:rPr>
          <w:rFonts w:cstheme="minorHAnsi"/>
        </w:rPr>
        <w:lastRenderedPageBreak/>
        <w:t xml:space="preserve">zgłoszenia się osoby badanej sprawdzane były m.in. łatwość w posługiwaniu się narzędziami tj. klawiatura czy mysz optyczna. </w:t>
      </w:r>
    </w:p>
    <w:p w14:paraId="228CA82F" w14:textId="77777777" w:rsidR="00C37DFD" w:rsidRPr="00BF6615" w:rsidRDefault="00C37DFD" w:rsidP="007E26B5">
      <w:pPr>
        <w:rPr>
          <w:rFonts w:cstheme="minorHAnsi"/>
        </w:rPr>
      </w:pPr>
      <w:r w:rsidRPr="00BF6615">
        <w:rPr>
          <w:rFonts w:cstheme="minorHAnsi"/>
        </w:rPr>
        <w:t>Kontroli podlegali wszyscy uczestnicy.</w:t>
      </w:r>
    </w:p>
    <w:p w14:paraId="091CE86C" w14:textId="77777777" w:rsidR="00C37DFD" w:rsidRPr="00BF6615" w:rsidRDefault="00C37DFD" w:rsidP="007E26B5">
      <w:pPr>
        <w:rPr>
          <w:rFonts w:cstheme="minorHAnsi"/>
        </w:rPr>
      </w:pPr>
      <w:r w:rsidRPr="00BF6615">
        <w:rPr>
          <w:rFonts w:cstheme="minorHAnsi"/>
        </w:rPr>
        <w:t>Podczas późniejszej merytorycznej analizy materiału brano pod uwagę:</w:t>
      </w:r>
    </w:p>
    <w:p w14:paraId="350D2671" w14:textId="77777777" w:rsidR="00C37DFD" w:rsidRPr="00BF6615" w:rsidRDefault="00C37DFD">
      <w:pPr>
        <w:pStyle w:val="Akapitzlist"/>
        <w:numPr>
          <w:ilvl w:val="0"/>
          <w:numId w:val="14"/>
        </w:numPr>
        <w:spacing w:before="120" w:after="0"/>
        <w:rPr>
          <w:rFonts w:cstheme="minorHAnsi"/>
        </w:rPr>
      </w:pPr>
      <w:r w:rsidRPr="00BF6615">
        <w:rPr>
          <w:rFonts w:cstheme="minorHAnsi"/>
        </w:rPr>
        <w:t xml:space="preserve">spójność, </w:t>
      </w:r>
    </w:p>
    <w:p w14:paraId="54888129" w14:textId="77777777" w:rsidR="00C37DFD" w:rsidRPr="00BF6615" w:rsidRDefault="00C37DFD">
      <w:pPr>
        <w:pStyle w:val="Akapitzlist"/>
        <w:numPr>
          <w:ilvl w:val="0"/>
          <w:numId w:val="14"/>
        </w:numPr>
        <w:spacing w:before="120" w:after="0"/>
        <w:rPr>
          <w:rFonts w:cstheme="minorHAnsi"/>
        </w:rPr>
      </w:pPr>
      <w:r w:rsidRPr="00BF6615">
        <w:rPr>
          <w:rFonts w:cstheme="minorHAnsi"/>
        </w:rPr>
        <w:t xml:space="preserve">dokładność, </w:t>
      </w:r>
    </w:p>
    <w:p w14:paraId="13CFE002" w14:textId="77777777" w:rsidR="00C37DFD" w:rsidRPr="00BF6615" w:rsidRDefault="00C37DFD">
      <w:pPr>
        <w:pStyle w:val="Akapitzlist"/>
        <w:numPr>
          <w:ilvl w:val="0"/>
          <w:numId w:val="14"/>
        </w:numPr>
        <w:spacing w:before="120" w:after="0"/>
        <w:rPr>
          <w:rFonts w:cstheme="minorHAnsi"/>
        </w:rPr>
      </w:pPr>
      <w:r w:rsidRPr="00BF6615">
        <w:rPr>
          <w:rFonts w:cstheme="minorHAnsi"/>
        </w:rPr>
        <w:t xml:space="preserve">rzetelność, </w:t>
      </w:r>
    </w:p>
    <w:p w14:paraId="28D16599" w14:textId="77777777" w:rsidR="00C37DFD" w:rsidRPr="00BF6615" w:rsidRDefault="00C37DFD">
      <w:pPr>
        <w:pStyle w:val="Akapitzlist"/>
        <w:numPr>
          <w:ilvl w:val="0"/>
          <w:numId w:val="14"/>
        </w:numPr>
        <w:spacing w:before="120" w:after="0"/>
        <w:rPr>
          <w:rFonts w:cstheme="minorHAnsi"/>
        </w:rPr>
      </w:pPr>
      <w:r w:rsidRPr="00BF6615">
        <w:rPr>
          <w:rFonts w:cstheme="minorHAnsi"/>
        </w:rPr>
        <w:t>kompletność odpowiedzi oraz zadawania pytań.</w:t>
      </w:r>
    </w:p>
    <w:p w14:paraId="04337341" w14:textId="77777777" w:rsidR="00C37DFD" w:rsidRPr="00BF6615" w:rsidRDefault="00C37DFD" w:rsidP="007E26B5">
      <w:pPr>
        <w:rPr>
          <w:rFonts w:cstheme="minorHAnsi"/>
        </w:rPr>
      </w:pPr>
      <w:r w:rsidRPr="00BF6615">
        <w:rPr>
          <w:rFonts w:cstheme="minorHAnsi"/>
        </w:rPr>
        <w:t>Wykrycie nieprawidłowości podczas analiz było podstawą skierowania do kontroli terenowej całości materiału danego moderatora.</w:t>
      </w:r>
    </w:p>
    <w:p w14:paraId="44D941D4" w14:textId="77777777" w:rsidR="00C37DFD" w:rsidRPr="00BF6615" w:rsidRDefault="00C37DFD" w:rsidP="007E26B5">
      <w:pPr>
        <w:rPr>
          <w:rFonts w:cstheme="minorHAnsi"/>
        </w:rPr>
      </w:pPr>
      <w:r w:rsidRPr="00BF6615">
        <w:rPr>
          <w:rFonts w:cstheme="minorHAnsi"/>
        </w:rPr>
        <w:t>Nie odnotowano sytuacji, która byłaby podstawą do usunięcia materiału z dalszych analiz.</w:t>
      </w:r>
    </w:p>
    <w:p w14:paraId="5DBF4B37" w14:textId="72ADC164" w:rsidR="00C37DFD" w:rsidRPr="00352609" w:rsidRDefault="00C37DFD" w:rsidP="00B271C3">
      <w:pPr>
        <w:pStyle w:val="Nagwek3"/>
        <w:numPr>
          <w:ilvl w:val="1"/>
          <w:numId w:val="6"/>
        </w:numPr>
      </w:pPr>
      <w:bookmarkStart w:id="32" w:name="_Toc196827499"/>
      <w:bookmarkStart w:id="33" w:name="_Toc196827573"/>
      <w:bookmarkStart w:id="34" w:name="_Toc196827574"/>
      <w:bookmarkStart w:id="35" w:name="_Toc204179222"/>
      <w:bookmarkEnd w:id="32"/>
      <w:bookmarkEnd w:id="33"/>
      <w:r w:rsidRPr="0043409C">
        <w:t>Przebieg realizacji badania</w:t>
      </w:r>
      <w:bookmarkEnd w:id="34"/>
      <w:bookmarkEnd w:id="35"/>
    </w:p>
    <w:p w14:paraId="0EB557B9" w14:textId="2D3DBC2C" w:rsidR="00C37DFD" w:rsidRPr="00F61001" w:rsidRDefault="00C37DFD" w:rsidP="007E26B5">
      <w:pPr>
        <w:rPr>
          <w:b/>
          <w:bCs/>
        </w:rPr>
      </w:pPr>
      <w:r w:rsidRPr="00F61001">
        <w:rPr>
          <w:b/>
          <w:bCs/>
        </w:rPr>
        <w:t>Rekrutacja</w:t>
      </w:r>
    </w:p>
    <w:p w14:paraId="5DF30668" w14:textId="77777777" w:rsidR="00C37DFD" w:rsidRPr="00BF6615" w:rsidRDefault="00C37DFD" w:rsidP="007E26B5">
      <w:pPr>
        <w:rPr>
          <w:rFonts w:cstheme="minorHAnsi"/>
        </w:rPr>
      </w:pPr>
      <w:r w:rsidRPr="00BF6615">
        <w:rPr>
          <w:rFonts w:cstheme="minorHAnsi"/>
        </w:rPr>
        <w:t>Podczas rekrutacji osób do badania szczególną uwagę zwracano na elementy tj.:</w:t>
      </w:r>
    </w:p>
    <w:p w14:paraId="4F49B872" w14:textId="77777777" w:rsidR="00C37DFD" w:rsidRPr="00BF6615" w:rsidRDefault="00C37DFD">
      <w:pPr>
        <w:pStyle w:val="Akapitzlist"/>
        <w:numPr>
          <w:ilvl w:val="0"/>
          <w:numId w:val="14"/>
        </w:numPr>
        <w:spacing w:before="120" w:after="0"/>
        <w:rPr>
          <w:rFonts w:cstheme="minorHAnsi"/>
        </w:rPr>
      </w:pPr>
      <w:r w:rsidRPr="00BF6615">
        <w:rPr>
          <w:rFonts w:cstheme="minorHAnsi"/>
        </w:rPr>
        <w:t>Wyjaśnienie celu badania.</w:t>
      </w:r>
    </w:p>
    <w:p w14:paraId="5A35C022" w14:textId="77777777" w:rsidR="00C37DFD" w:rsidRPr="00BF6615" w:rsidRDefault="00C37DFD">
      <w:pPr>
        <w:pStyle w:val="Akapitzlist"/>
        <w:numPr>
          <w:ilvl w:val="0"/>
          <w:numId w:val="14"/>
        </w:numPr>
        <w:spacing w:before="120" w:after="0"/>
        <w:rPr>
          <w:rFonts w:cstheme="minorHAnsi"/>
        </w:rPr>
      </w:pPr>
      <w:r w:rsidRPr="00BF6615">
        <w:rPr>
          <w:rFonts w:cstheme="minorHAnsi"/>
        </w:rPr>
        <w:t xml:space="preserve">Potwierdzenie (od osoby rekrutowanej): </w:t>
      </w:r>
    </w:p>
    <w:p w14:paraId="5B18C692" w14:textId="77777777" w:rsidR="00C37DFD" w:rsidRPr="00BF6615" w:rsidRDefault="00C37DFD">
      <w:pPr>
        <w:pStyle w:val="Akapitzlist"/>
        <w:numPr>
          <w:ilvl w:val="0"/>
          <w:numId w:val="16"/>
        </w:numPr>
        <w:rPr>
          <w:rFonts w:cstheme="minorHAnsi"/>
        </w:rPr>
      </w:pPr>
      <w:r w:rsidRPr="00BF6615">
        <w:rPr>
          <w:rFonts w:cstheme="minorHAnsi"/>
        </w:rPr>
        <w:t>posiadania co najmniej podstawowych kompetencji cyfrowych w postaci obsługi komputera,</w:t>
      </w:r>
    </w:p>
    <w:p w14:paraId="6086B04B" w14:textId="77777777" w:rsidR="00C37DFD" w:rsidRPr="00BF6615" w:rsidRDefault="00C37DFD">
      <w:pPr>
        <w:pStyle w:val="Akapitzlist"/>
        <w:numPr>
          <w:ilvl w:val="0"/>
          <w:numId w:val="16"/>
        </w:numPr>
        <w:rPr>
          <w:rFonts w:cstheme="minorHAnsi"/>
        </w:rPr>
      </w:pPr>
      <w:r w:rsidRPr="00BF6615">
        <w:rPr>
          <w:rFonts w:cstheme="minorHAnsi"/>
        </w:rPr>
        <w:t>regularnego korzystania z Internetu – stron internetowych/aplikacji mobilnych.</w:t>
      </w:r>
    </w:p>
    <w:p w14:paraId="2A26249C" w14:textId="77777777" w:rsidR="00C37DFD" w:rsidRPr="00BF6615" w:rsidRDefault="00C37DFD">
      <w:pPr>
        <w:pStyle w:val="Akapitzlist"/>
        <w:numPr>
          <w:ilvl w:val="0"/>
          <w:numId w:val="14"/>
        </w:numPr>
        <w:spacing w:before="120" w:after="0"/>
        <w:rPr>
          <w:rFonts w:cstheme="minorHAnsi"/>
        </w:rPr>
      </w:pPr>
      <w:r w:rsidRPr="00BF6615">
        <w:rPr>
          <w:rFonts w:cstheme="minorHAnsi"/>
        </w:rPr>
        <w:t>Przedstawienie zasad badania:</w:t>
      </w:r>
    </w:p>
    <w:p w14:paraId="145735B6" w14:textId="77777777" w:rsidR="00C37DFD" w:rsidRPr="00BF6615" w:rsidRDefault="00C37DFD">
      <w:pPr>
        <w:pStyle w:val="Akapitzlist"/>
        <w:numPr>
          <w:ilvl w:val="0"/>
          <w:numId w:val="16"/>
        </w:numPr>
        <w:rPr>
          <w:rFonts w:cstheme="minorHAnsi"/>
        </w:rPr>
      </w:pPr>
      <w:r w:rsidRPr="00BF6615">
        <w:rPr>
          <w:rFonts w:cstheme="minorHAnsi"/>
        </w:rPr>
        <w:t>forma – „spotkanie towarzyskie”,</w:t>
      </w:r>
    </w:p>
    <w:p w14:paraId="70B45411" w14:textId="77777777" w:rsidR="00C37DFD" w:rsidRPr="00BF6615" w:rsidRDefault="00C37DFD">
      <w:pPr>
        <w:pStyle w:val="Akapitzlist"/>
        <w:numPr>
          <w:ilvl w:val="0"/>
          <w:numId w:val="16"/>
        </w:numPr>
        <w:rPr>
          <w:rFonts w:cstheme="minorHAnsi"/>
        </w:rPr>
      </w:pPr>
      <w:r w:rsidRPr="00BF6615">
        <w:rPr>
          <w:rFonts w:cstheme="minorHAnsi"/>
        </w:rPr>
        <w:t>zapis – audio,</w:t>
      </w:r>
    </w:p>
    <w:p w14:paraId="5109FEEB" w14:textId="77777777" w:rsidR="00C37DFD" w:rsidRPr="00BF6615" w:rsidRDefault="00C37DFD">
      <w:pPr>
        <w:pStyle w:val="Akapitzlist"/>
        <w:numPr>
          <w:ilvl w:val="0"/>
          <w:numId w:val="16"/>
        </w:numPr>
        <w:rPr>
          <w:rFonts w:cstheme="minorHAnsi"/>
        </w:rPr>
      </w:pPr>
      <w:r w:rsidRPr="00BF6615">
        <w:rPr>
          <w:rFonts w:cstheme="minorHAnsi"/>
        </w:rPr>
        <w:t>pełna anonimowość,</w:t>
      </w:r>
    </w:p>
    <w:p w14:paraId="07856932" w14:textId="77777777" w:rsidR="00C37DFD" w:rsidRPr="00BF6615" w:rsidRDefault="00C37DFD">
      <w:pPr>
        <w:pStyle w:val="Akapitzlist"/>
        <w:numPr>
          <w:ilvl w:val="0"/>
          <w:numId w:val="16"/>
        </w:numPr>
        <w:rPr>
          <w:rFonts w:cstheme="minorHAnsi"/>
        </w:rPr>
      </w:pPr>
      <w:r w:rsidRPr="00BF6615">
        <w:rPr>
          <w:rFonts w:cstheme="minorHAnsi"/>
        </w:rPr>
        <w:t>szczerość wypowiedzi (każda jest dobra, każda jest ważna),</w:t>
      </w:r>
    </w:p>
    <w:p w14:paraId="24216541" w14:textId="77777777" w:rsidR="00C37DFD" w:rsidRPr="00BF6615" w:rsidRDefault="00C37DFD">
      <w:pPr>
        <w:pStyle w:val="Akapitzlist"/>
        <w:numPr>
          <w:ilvl w:val="0"/>
          <w:numId w:val="16"/>
        </w:numPr>
        <w:rPr>
          <w:rFonts w:cstheme="minorHAnsi"/>
        </w:rPr>
      </w:pPr>
      <w:r w:rsidRPr="00BF6615">
        <w:rPr>
          <w:rFonts w:cstheme="minorHAnsi"/>
        </w:rPr>
        <w:t>celem rozmowy nie jest ustalenie wspólnego poglądu, wręcz przeciwnie – im więcej, odmiennych opinii, tym lepiej dla poznania i zrozumienia różnych punktów widzenia.</w:t>
      </w:r>
    </w:p>
    <w:p w14:paraId="30362A08" w14:textId="76C3D87A" w:rsidR="00C37DFD" w:rsidRPr="00F61001" w:rsidRDefault="00C37DFD" w:rsidP="007E26B5">
      <w:pPr>
        <w:rPr>
          <w:b/>
          <w:bCs/>
          <w:lang w:eastAsia="pl-PL"/>
        </w:rPr>
      </w:pPr>
      <w:r w:rsidRPr="00F61001">
        <w:rPr>
          <w:b/>
          <w:bCs/>
        </w:rPr>
        <w:t>Badania</w:t>
      </w:r>
      <w:r w:rsidRPr="00F61001">
        <w:rPr>
          <w:b/>
          <w:bCs/>
          <w:lang w:eastAsia="pl-PL"/>
        </w:rPr>
        <w:t xml:space="preserve"> właściwe</w:t>
      </w:r>
    </w:p>
    <w:p w14:paraId="28F75052" w14:textId="77777777" w:rsidR="00C37DFD" w:rsidRPr="00BF6615" w:rsidRDefault="00C37DFD" w:rsidP="007E26B5">
      <w:pPr>
        <w:rPr>
          <w:rFonts w:cstheme="minorHAnsi"/>
          <w:lang w:eastAsia="pl-PL"/>
        </w:rPr>
      </w:pPr>
      <w:r w:rsidRPr="00BF6615">
        <w:rPr>
          <w:rFonts w:cstheme="minorHAnsi"/>
          <w:lang w:eastAsia="pl-PL"/>
        </w:rPr>
        <w:t>Badanie zrealizowano w dwóch fazach:</w:t>
      </w:r>
    </w:p>
    <w:p w14:paraId="32D12458" w14:textId="77777777" w:rsidR="00C37DFD" w:rsidRPr="00BF6615" w:rsidRDefault="00C37DFD">
      <w:pPr>
        <w:pStyle w:val="Akapitzlist"/>
        <w:numPr>
          <w:ilvl w:val="0"/>
          <w:numId w:val="15"/>
        </w:numPr>
        <w:rPr>
          <w:rFonts w:cstheme="minorHAnsi"/>
          <w:lang w:eastAsia="pl-PL"/>
        </w:rPr>
      </w:pPr>
      <w:r w:rsidRPr="00BF6615">
        <w:rPr>
          <w:rFonts w:cstheme="minorHAnsi"/>
          <w:lang w:eastAsia="pl-PL"/>
        </w:rPr>
        <w:t>pilotaż badawczy: od 03.02.2025 r. do 10.02.2025 r.</w:t>
      </w:r>
    </w:p>
    <w:p w14:paraId="1C6C138C" w14:textId="77777777" w:rsidR="00C37DFD" w:rsidRPr="00BF6615" w:rsidRDefault="00C37DFD">
      <w:pPr>
        <w:pStyle w:val="Akapitzlist"/>
        <w:numPr>
          <w:ilvl w:val="0"/>
          <w:numId w:val="15"/>
        </w:numPr>
        <w:rPr>
          <w:rFonts w:cstheme="minorHAnsi"/>
          <w:color w:val="222222"/>
          <w:szCs w:val="24"/>
          <w:lang w:eastAsia="pl-PL"/>
        </w:rPr>
      </w:pPr>
      <w:r w:rsidRPr="00BF6615">
        <w:rPr>
          <w:rFonts w:cstheme="minorHAnsi"/>
          <w:lang w:eastAsia="pl-PL"/>
        </w:rPr>
        <w:t xml:space="preserve">badanie właściwe: od 17.02.2025 r. do 04.04.2025 r. (wyniki z badania właściwego są przedmiotem analiz w przedmiotowym raporcie). </w:t>
      </w:r>
    </w:p>
    <w:p w14:paraId="79369196" w14:textId="77777777" w:rsidR="00C37DFD" w:rsidRPr="00BF6615" w:rsidRDefault="00C37DFD" w:rsidP="007E26B5">
      <w:pPr>
        <w:rPr>
          <w:rFonts w:cstheme="minorHAnsi"/>
          <w:lang w:eastAsia="pl-PL"/>
        </w:rPr>
      </w:pPr>
      <w:r w:rsidRPr="00BF6615">
        <w:rPr>
          <w:rFonts w:cstheme="minorHAnsi"/>
          <w:lang w:eastAsia="pl-PL"/>
        </w:rPr>
        <w:t xml:space="preserve">Skład zespołu realizującego badanie: </w:t>
      </w:r>
    </w:p>
    <w:p w14:paraId="3D7C1C61" w14:textId="77777777" w:rsidR="00C37DFD" w:rsidRPr="00BF6615" w:rsidRDefault="00C37DFD">
      <w:pPr>
        <w:pStyle w:val="Akapitzlist"/>
        <w:numPr>
          <w:ilvl w:val="0"/>
          <w:numId w:val="15"/>
        </w:numPr>
        <w:rPr>
          <w:rFonts w:cstheme="minorHAnsi"/>
          <w:lang w:eastAsia="pl-PL"/>
        </w:rPr>
      </w:pPr>
      <w:r w:rsidRPr="00BF6615">
        <w:rPr>
          <w:rFonts w:cstheme="minorHAnsi"/>
          <w:lang w:eastAsia="pl-PL"/>
        </w:rPr>
        <w:t>Specjalista ds. badań jakościowych, którego rolą była konsultacja metodyczna przebiegu badań jakościowych.</w:t>
      </w:r>
    </w:p>
    <w:p w14:paraId="5D599CDD" w14:textId="77777777" w:rsidR="00C37DFD" w:rsidRPr="00BF6615" w:rsidRDefault="00C37DFD">
      <w:pPr>
        <w:pStyle w:val="Akapitzlist"/>
        <w:numPr>
          <w:ilvl w:val="0"/>
          <w:numId w:val="15"/>
        </w:numPr>
        <w:rPr>
          <w:rFonts w:cstheme="minorHAnsi"/>
          <w:lang w:eastAsia="pl-PL"/>
        </w:rPr>
      </w:pPr>
      <w:r w:rsidRPr="00BF6615">
        <w:rPr>
          <w:rFonts w:cstheme="minorHAnsi"/>
          <w:lang w:eastAsia="pl-PL"/>
        </w:rPr>
        <w:t>Specjalistka ds. dostępności cyfrowej, która, jako ekspert ds. dostępności brała udział w realizacji każdego testu.</w:t>
      </w:r>
    </w:p>
    <w:p w14:paraId="51E3AC24" w14:textId="77777777" w:rsidR="00C37DFD" w:rsidRPr="00BF6615" w:rsidRDefault="00C37DFD">
      <w:pPr>
        <w:pStyle w:val="Akapitzlist"/>
        <w:numPr>
          <w:ilvl w:val="0"/>
          <w:numId w:val="15"/>
        </w:numPr>
        <w:rPr>
          <w:rFonts w:cstheme="minorHAnsi"/>
          <w:lang w:eastAsia="pl-PL"/>
        </w:rPr>
      </w:pPr>
      <w:r w:rsidRPr="00BF6615">
        <w:rPr>
          <w:rFonts w:cstheme="minorHAnsi"/>
          <w:lang w:eastAsia="pl-PL"/>
        </w:rPr>
        <w:lastRenderedPageBreak/>
        <w:t>Badacz, który jako aktywny moderator testów był odpowiedzialny za przygotowanie respondenta do testów, wytłumaczenie celów i przebiegu projektu i który dodatkowo zrealizował wszystkie wywiady pogłębione.</w:t>
      </w:r>
    </w:p>
    <w:p w14:paraId="264FC376" w14:textId="77777777" w:rsidR="00C37DFD" w:rsidRPr="00BF6615" w:rsidRDefault="00C37DFD" w:rsidP="007E26B5">
      <w:pPr>
        <w:rPr>
          <w:rFonts w:cstheme="minorHAnsi"/>
          <w:lang w:eastAsia="pl-PL"/>
        </w:rPr>
      </w:pPr>
      <w:r w:rsidRPr="00BF6615">
        <w:rPr>
          <w:rFonts w:cstheme="minorHAnsi"/>
          <w:lang w:eastAsia="pl-PL"/>
        </w:rPr>
        <w:t>Badania zostały przeprowadzone stacjonarnie w siedzibach:</w:t>
      </w:r>
    </w:p>
    <w:p w14:paraId="5D0A4C4C" w14:textId="77777777" w:rsidR="00C37DFD" w:rsidRPr="00BF6615" w:rsidRDefault="00C37DFD">
      <w:pPr>
        <w:pStyle w:val="Akapitzlist"/>
        <w:numPr>
          <w:ilvl w:val="0"/>
          <w:numId w:val="14"/>
        </w:numPr>
        <w:spacing w:before="120" w:after="0"/>
        <w:rPr>
          <w:rFonts w:cstheme="minorHAnsi"/>
        </w:rPr>
      </w:pPr>
      <w:r w:rsidRPr="00BF6615">
        <w:rPr>
          <w:rFonts w:cstheme="minorHAnsi"/>
        </w:rPr>
        <w:t>Grupy Badawczej DSC we Wrocławiu.</w:t>
      </w:r>
    </w:p>
    <w:p w14:paraId="6F1DF5EB" w14:textId="77777777" w:rsidR="00C37DFD" w:rsidRPr="00BF6615" w:rsidRDefault="00C37DFD">
      <w:pPr>
        <w:pStyle w:val="Akapitzlist"/>
        <w:numPr>
          <w:ilvl w:val="0"/>
          <w:numId w:val="14"/>
        </w:numPr>
        <w:spacing w:before="120" w:after="0"/>
        <w:rPr>
          <w:rFonts w:cstheme="minorHAnsi"/>
        </w:rPr>
      </w:pPr>
      <w:r w:rsidRPr="00BF6615">
        <w:rPr>
          <w:rFonts w:cstheme="minorHAnsi"/>
        </w:rPr>
        <w:t>Polskiego Związku Głuchych – oddział Opole.</w:t>
      </w:r>
    </w:p>
    <w:p w14:paraId="6B70314E" w14:textId="77777777" w:rsidR="00C37DFD" w:rsidRPr="00BF6615" w:rsidRDefault="00C37DFD">
      <w:pPr>
        <w:pStyle w:val="Akapitzlist"/>
        <w:numPr>
          <w:ilvl w:val="0"/>
          <w:numId w:val="14"/>
        </w:numPr>
        <w:spacing w:before="120" w:after="0"/>
        <w:rPr>
          <w:rFonts w:cstheme="minorHAnsi"/>
          <w:lang w:eastAsia="pl-PL"/>
        </w:rPr>
      </w:pPr>
      <w:r w:rsidRPr="00BF6615">
        <w:rPr>
          <w:rFonts w:cstheme="minorHAnsi"/>
          <w:lang w:eastAsia="pl-PL"/>
        </w:rPr>
        <w:t xml:space="preserve">Miejsko – </w:t>
      </w:r>
      <w:r w:rsidRPr="00BF6615">
        <w:rPr>
          <w:rFonts w:cstheme="minorHAnsi"/>
        </w:rPr>
        <w:t>Gminnego</w:t>
      </w:r>
      <w:r w:rsidRPr="00BF6615">
        <w:rPr>
          <w:rFonts w:cstheme="minorHAnsi"/>
          <w:lang w:eastAsia="pl-PL"/>
        </w:rPr>
        <w:t xml:space="preserve"> Ośrodka Pomocy Społecznej w Krzepicach.</w:t>
      </w:r>
    </w:p>
    <w:p w14:paraId="4A205DC5" w14:textId="77777777" w:rsidR="00C37DFD" w:rsidRPr="00BF6615" w:rsidRDefault="00C37DFD">
      <w:pPr>
        <w:pStyle w:val="Akapitzlist"/>
        <w:numPr>
          <w:ilvl w:val="0"/>
          <w:numId w:val="14"/>
        </w:numPr>
        <w:spacing w:before="120" w:after="0"/>
        <w:rPr>
          <w:rFonts w:cstheme="minorHAnsi"/>
        </w:rPr>
      </w:pPr>
      <w:r w:rsidRPr="00BF6615">
        <w:rPr>
          <w:rFonts w:cstheme="minorHAnsi"/>
        </w:rPr>
        <w:t>Uniwersytetu Ekonomicznego we Wrocławiu – oddział Jelenia Góra.</w:t>
      </w:r>
    </w:p>
    <w:p w14:paraId="56BA1FB6" w14:textId="77777777" w:rsidR="00C37DFD" w:rsidRPr="00BF6615" w:rsidRDefault="00C37DFD">
      <w:pPr>
        <w:pStyle w:val="Akapitzlist"/>
        <w:numPr>
          <w:ilvl w:val="0"/>
          <w:numId w:val="14"/>
        </w:numPr>
        <w:spacing w:before="120" w:after="0"/>
        <w:rPr>
          <w:rFonts w:cstheme="minorHAnsi"/>
        </w:rPr>
      </w:pPr>
      <w:r w:rsidRPr="00BF6615">
        <w:rPr>
          <w:rFonts w:cstheme="minorHAnsi"/>
        </w:rPr>
        <w:t>Karkonoskiego Sejmiku Osób Niepełnosprawnych w Jeleniej Górze.</w:t>
      </w:r>
    </w:p>
    <w:p w14:paraId="3D5F7E75" w14:textId="77777777" w:rsidR="00C37DFD" w:rsidRPr="00BF6615" w:rsidRDefault="00C37DFD">
      <w:pPr>
        <w:pStyle w:val="Akapitzlist"/>
        <w:numPr>
          <w:ilvl w:val="0"/>
          <w:numId w:val="14"/>
        </w:numPr>
        <w:spacing w:before="120" w:after="0"/>
        <w:rPr>
          <w:rFonts w:cstheme="minorHAnsi"/>
        </w:rPr>
      </w:pPr>
      <w:r w:rsidRPr="00BF6615">
        <w:rPr>
          <w:rFonts w:cstheme="minorHAnsi"/>
        </w:rPr>
        <w:t>Dolnośląskiego Specjalnego Ośrodka Szkolno-Wychowawczy nr 13 dla Uczniów Niewidomych i Słabowidzących oraz z innymi niepełnosprawnościami im. Marii Grzegorzewskiej we Wrocławiu.</w:t>
      </w:r>
    </w:p>
    <w:p w14:paraId="13831337" w14:textId="77777777" w:rsidR="00C37DFD" w:rsidRPr="00BF6615" w:rsidRDefault="00C37DFD">
      <w:pPr>
        <w:pStyle w:val="Akapitzlist"/>
        <w:numPr>
          <w:ilvl w:val="0"/>
          <w:numId w:val="14"/>
        </w:numPr>
        <w:spacing w:before="120" w:after="0"/>
        <w:rPr>
          <w:rFonts w:cstheme="minorHAnsi"/>
        </w:rPr>
      </w:pPr>
      <w:r w:rsidRPr="00BF6615">
        <w:rPr>
          <w:rFonts w:cstheme="minorHAnsi"/>
        </w:rPr>
        <w:t>W mieszkaniach respondentów.</w:t>
      </w:r>
    </w:p>
    <w:p w14:paraId="2684EE1D" w14:textId="77777777" w:rsidR="00C37DFD" w:rsidRDefault="00C37DFD" w:rsidP="007E26B5">
      <w:pPr>
        <w:rPr>
          <w:rFonts w:cstheme="minorHAnsi"/>
          <w:lang w:eastAsia="pl-PL"/>
        </w:rPr>
      </w:pPr>
      <w:r w:rsidRPr="00BF6615">
        <w:rPr>
          <w:rFonts w:cstheme="minorHAnsi"/>
          <w:lang w:eastAsia="pl-PL"/>
        </w:rPr>
        <w:t>Forma badania była dostosowywana do grupy badanej oraz wymaganych przez Zamawiającego celów badania. W każdym badaniu brał udział aktywny moderator (badacz jakościowy) oraz ekspert ze strony Wykonawcy. Ze względu na specyficzne możliwości percepcyjne, czas trwania badania został ograniczony do 1 godziny.</w:t>
      </w:r>
    </w:p>
    <w:p w14:paraId="54AF8CCD" w14:textId="77777777" w:rsidR="00C37DFD" w:rsidRPr="00352609" w:rsidRDefault="00C37DFD" w:rsidP="00B271C3">
      <w:pPr>
        <w:pStyle w:val="Nagwek3"/>
        <w:numPr>
          <w:ilvl w:val="1"/>
          <w:numId w:val="6"/>
        </w:numPr>
      </w:pPr>
      <w:bookmarkStart w:id="36" w:name="_Toc204179223"/>
      <w:r w:rsidRPr="00F61001">
        <w:t>Dostępność procesu badawczego</w:t>
      </w:r>
      <w:bookmarkEnd w:id="36"/>
    </w:p>
    <w:p w14:paraId="6DB96C23" w14:textId="77777777" w:rsidR="00C37DFD" w:rsidRPr="00BF6615" w:rsidRDefault="00C37DFD" w:rsidP="007E26B5">
      <w:pPr>
        <w:rPr>
          <w:rFonts w:cstheme="minorHAnsi"/>
        </w:rPr>
      </w:pPr>
      <w:r w:rsidRPr="00BF6615">
        <w:rPr>
          <w:rFonts w:cstheme="minorHAnsi"/>
        </w:rPr>
        <w:t>Przy realizacji badania, z uwagi na badaną grupę, pamiętano o kilku kluczowych aspektach:</w:t>
      </w:r>
    </w:p>
    <w:p w14:paraId="7D76687B" w14:textId="77777777" w:rsidR="00C37DFD" w:rsidRPr="00BF6615" w:rsidRDefault="00C37DFD">
      <w:pPr>
        <w:pStyle w:val="Akapitzlist"/>
        <w:numPr>
          <w:ilvl w:val="0"/>
          <w:numId w:val="17"/>
        </w:numPr>
        <w:rPr>
          <w:rFonts w:cstheme="minorHAnsi"/>
        </w:rPr>
      </w:pPr>
      <w:r w:rsidRPr="00BF6615">
        <w:rPr>
          <w:rFonts w:cstheme="minorHAnsi"/>
        </w:rPr>
        <w:t>Dostępność badania:</w:t>
      </w:r>
    </w:p>
    <w:p w14:paraId="42933AEF" w14:textId="77777777" w:rsidR="00C37DFD" w:rsidRPr="00BF6615" w:rsidRDefault="00C37DFD" w:rsidP="00B271C3">
      <w:pPr>
        <w:pStyle w:val="Akapitzlist"/>
        <w:numPr>
          <w:ilvl w:val="0"/>
          <w:numId w:val="14"/>
        </w:numPr>
        <w:spacing w:before="120" w:after="0"/>
        <w:ind w:left="851"/>
        <w:rPr>
          <w:rFonts w:cstheme="minorHAnsi"/>
        </w:rPr>
      </w:pPr>
      <w:r w:rsidRPr="00BF6615">
        <w:rPr>
          <w:rFonts w:cstheme="minorHAnsi"/>
        </w:rPr>
        <w:t>Miejsce badania – z racji tego, że testy odbywały się stacjonarnie, wybierane miejsca były dostosowane do osób z niepełnosprawnościami (np. podjazdy dla wózków, winda, dostosowane toalety).</w:t>
      </w:r>
    </w:p>
    <w:p w14:paraId="2548AD3B" w14:textId="77777777" w:rsidR="00C37DFD" w:rsidRPr="00BF6615" w:rsidRDefault="00C37DFD" w:rsidP="00B271C3">
      <w:pPr>
        <w:pStyle w:val="Akapitzlist"/>
        <w:numPr>
          <w:ilvl w:val="0"/>
          <w:numId w:val="14"/>
        </w:numPr>
        <w:spacing w:before="120" w:after="0"/>
        <w:ind w:left="851"/>
        <w:rPr>
          <w:rFonts w:cstheme="minorHAnsi"/>
        </w:rPr>
      </w:pPr>
      <w:r w:rsidRPr="00BF6615">
        <w:rPr>
          <w:rFonts w:cstheme="minorHAnsi"/>
        </w:rPr>
        <w:t>Sprzęt i oprogramowanie – zapewnienie kompatybilności ze stosowanymi podczas badania uczestników technologiami wspierającymi, takimi jak czytniki ekranu (np. NVDA, JAWS), klawiatury brajlowskie, przełączniki sterujące czy powiększalniki ekranu; możliwość korzystania przez respondentów z ich własnych komputerów czy smartfonów.</w:t>
      </w:r>
    </w:p>
    <w:p w14:paraId="702A7211" w14:textId="77777777" w:rsidR="00C37DFD" w:rsidRPr="00BF6615" w:rsidRDefault="00C37DFD">
      <w:pPr>
        <w:pStyle w:val="Akapitzlist"/>
        <w:numPr>
          <w:ilvl w:val="0"/>
          <w:numId w:val="17"/>
        </w:numPr>
        <w:rPr>
          <w:rFonts w:cstheme="minorHAnsi"/>
        </w:rPr>
      </w:pPr>
      <w:r w:rsidRPr="00BF6615">
        <w:rPr>
          <w:rFonts w:cstheme="minorHAnsi"/>
        </w:rPr>
        <w:t>Dobór uczestników:</w:t>
      </w:r>
    </w:p>
    <w:p w14:paraId="2766FAE0" w14:textId="77777777" w:rsidR="00C37DFD" w:rsidRPr="00BF6615" w:rsidRDefault="00C37DFD" w:rsidP="00B271C3">
      <w:pPr>
        <w:pStyle w:val="Akapitzlist"/>
        <w:numPr>
          <w:ilvl w:val="0"/>
          <w:numId w:val="14"/>
        </w:numPr>
        <w:spacing w:before="120" w:after="0"/>
        <w:ind w:left="851"/>
        <w:rPr>
          <w:rFonts w:cstheme="minorHAnsi"/>
        </w:rPr>
      </w:pPr>
      <w:r w:rsidRPr="00BF6615">
        <w:rPr>
          <w:rFonts w:cstheme="minorHAnsi"/>
        </w:rPr>
        <w:t>Współpracowano z organizacjami wspierającymi osoby z niepełnosprawnościami w celu dotarcia do uczestników.</w:t>
      </w:r>
    </w:p>
    <w:p w14:paraId="34B3313A" w14:textId="77777777" w:rsidR="00C37DFD" w:rsidRPr="00BF6615" w:rsidRDefault="00C37DFD">
      <w:pPr>
        <w:pStyle w:val="Akapitzlist"/>
        <w:numPr>
          <w:ilvl w:val="0"/>
          <w:numId w:val="17"/>
        </w:numPr>
        <w:rPr>
          <w:rFonts w:cstheme="minorHAnsi"/>
        </w:rPr>
      </w:pPr>
      <w:r w:rsidRPr="00BF6615">
        <w:rPr>
          <w:rFonts w:cstheme="minorHAnsi"/>
        </w:rPr>
        <w:t>Tłumaczenie i komunikacja:</w:t>
      </w:r>
    </w:p>
    <w:p w14:paraId="59744D58" w14:textId="4FFE430B" w:rsidR="00C37DFD" w:rsidRPr="00BF6615" w:rsidRDefault="00C37DFD" w:rsidP="00B271C3">
      <w:pPr>
        <w:pStyle w:val="Akapitzlist"/>
        <w:numPr>
          <w:ilvl w:val="0"/>
          <w:numId w:val="14"/>
        </w:numPr>
        <w:spacing w:before="120" w:after="0"/>
        <w:ind w:left="851"/>
        <w:rPr>
          <w:rFonts w:cstheme="minorHAnsi"/>
        </w:rPr>
      </w:pPr>
      <w:r w:rsidRPr="00BF6615">
        <w:rPr>
          <w:rFonts w:cstheme="minorHAnsi"/>
        </w:rPr>
        <w:t>W przypadku osób niesłyszących przy badaniu asystowały osoby tłumaczące pytania na</w:t>
      </w:r>
      <w:r w:rsidR="00AA7746">
        <w:rPr>
          <w:rFonts w:cstheme="minorHAnsi"/>
        </w:rPr>
        <w:t xml:space="preserve"> polski</w:t>
      </w:r>
      <w:r w:rsidRPr="00BF6615">
        <w:rPr>
          <w:rFonts w:cstheme="minorHAnsi"/>
        </w:rPr>
        <w:t xml:space="preserve"> język </w:t>
      </w:r>
      <w:r w:rsidR="00352609">
        <w:rPr>
          <w:rFonts w:cstheme="minorHAnsi"/>
        </w:rPr>
        <w:t>migowy (</w:t>
      </w:r>
      <w:r w:rsidRPr="00BF6615">
        <w:rPr>
          <w:rFonts w:cstheme="minorHAnsi"/>
        </w:rPr>
        <w:t>PJM</w:t>
      </w:r>
      <w:r w:rsidR="00352609">
        <w:rPr>
          <w:rFonts w:cstheme="minorHAnsi"/>
        </w:rPr>
        <w:t>)</w:t>
      </w:r>
      <w:r w:rsidRPr="00BF6615">
        <w:rPr>
          <w:rFonts w:cstheme="minorHAnsi"/>
        </w:rPr>
        <w:t>.</w:t>
      </w:r>
    </w:p>
    <w:p w14:paraId="5DC8098D" w14:textId="77777777" w:rsidR="00C37DFD" w:rsidRPr="00BF6615" w:rsidRDefault="00C37DFD" w:rsidP="00B271C3">
      <w:pPr>
        <w:pStyle w:val="Akapitzlist"/>
        <w:numPr>
          <w:ilvl w:val="0"/>
          <w:numId w:val="14"/>
        </w:numPr>
        <w:spacing w:before="120" w:after="0"/>
        <w:ind w:left="851"/>
        <w:rPr>
          <w:rFonts w:cstheme="minorHAnsi"/>
        </w:rPr>
      </w:pPr>
      <w:r w:rsidRPr="00BF6615">
        <w:rPr>
          <w:rFonts w:cstheme="minorHAnsi"/>
        </w:rPr>
        <w:t>Dla osób z trudnościami poznawczymi instrukcje upraszczano i dzielono na kroki.</w:t>
      </w:r>
    </w:p>
    <w:p w14:paraId="7740985A" w14:textId="783B5072" w:rsidR="00B13433" w:rsidRPr="00BF6615" w:rsidRDefault="00B13433" w:rsidP="00D024E8">
      <w:pPr>
        <w:pStyle w:val="Nagwek2"/>
        <w:numPr>
          <w:ilvl w:val="1"/>
          <w:numId w:val="6"/>
        </w:numPr>
      </w:pPr>
      <w:bookmarkStart w:id="37" w:name="_Toc196827575"/>
      <w:bookmarkStart w:id="38" w:name="_Toc204179224"/>
      <w:r w:rsidRPr="00BF6615">
        <w:lastRenderedPageBreak/>
        <w:t>Wyniki z badania jakościowego IDI w podziale na grupy badane</w:t>
      </w:r>
      <w:bookmarkEnd w:id="37"/>
      <w:bookmarkEnd w:id="38"/>
    </w:p>
    <w:p w14:paraId="0421A7B7" w14:textId="50106BF8" w:rsidR="00B13433" w:rsidRPr="00BF6615" w:rsidRDefault="00B13433">
      <w:pPr>
        <w:pStyle w:val="Nagwek3"/>
        <w:numPr>
          <w:ilvl w:val="1"/>
          <w:numId w:val="6"/>
        </w:numPr>
      </w:pPr>
      <w:bookmarkStart w:id="39" w:name="_Toc196827576"/>
      <w:bookmarkStart w:id="40" w:name="_Toc204179225"/>
      <w:r w:rsidRPr="00BF6615">
        <w:t>Osoby ociemniałe lub niewidome</w:t>
      </w:r>
      <w:bookmarkEnd w:id="39"/>
      <w:bookmarkEnd w:id="40"/>
    </w:p>
    <w:p w14:paraId="08265461" w14:textId="77777777" w:rsidR="00352609" w:rsidRDefault="00B13433" w:rsidP="00D024E8">
      <w:pPr>
        <w:pStyle w:val="Nagwek4"/>
        <w:ind w:firstLine="349"/>
      </w:pPr>
      <w:r w:rsidRPr="00BF6615">
        <w:t>Powody i cele korzystania z Internetu</w:t>
      </w:r>
    </w:p>
    <w:p w14:paraId="1A2BC411" w14:textId="0ECB37C6" w:rsidR="00B13433" w:rsidRPr="00BF6615" w:rsidRDefault="00B13433" w:rsidP="00D024E8">
      <w:pPr>
        <w:ind w:left="1440" w:firstLine="720"/>
        <w:rPr>
          <w:rFonts w:cstheme="minorHAnsi"/>
          <w:color w:val="000000" w:themeColor="text1"/>
        </w:rPr>
      </w:pPr>
      <w:r w:rsidRPr="00BF6615">
        <w:rPr>
          <w:rFonts w:cstheme="minorHAnsi"/>
          <w:color w:val="000000" w:themeColor="text1"/>
        </w:rPr>
        <w:t>Osoby niewidome korzystają z Internetu na co dzień w różnych celach – od zdobywania informacji i rozrywki po załatwianie spraw życia codziennego. Wśród najczęstszych zastosowań pojawiały się bankowość internetowa, sprawdzanie rozkładów jazdy, zakupy online oraz nauka. Jeden z respondentów wskazał, że najwięcej czasu poświęca na treści rozrywkowe, a zaraz po nich na bankowość: „Obszar rozrywkowy… na drugim miejscu bank”. Internet jest powszechnie uważany za niezbędny – trudno wyobrazić sobie funkcjonowanie bez niego. „Teraz to jest jak bez telefonu” – stwierdził jeden z badanych, podkreślając silną zależność od dostępu online.</w:t>
      </w:r>
    </w:p>
    <w:p w14:paraId="3837DA3C" w14:textId="77777777" w:rsidR="00352609" w:rsidRDefault="00B13433" w:rsidP="00B271C3">
      <w:pPr>
        <w:pStyle w:val="Nagwek4"/>
        <w:rPr>
          <w:rFonts w:cstheme="minorHAnsi"/>
          <w:bCs/>
          <w:color w:val="000000" w:themeColor="text1"/>
        </w:rPr>
      </w:pPr>
      <w:r w:rsidRPr="00BF6615">
        <w:rPr>
          <w:rFonts w:cstheme="minorHAnsi"/>
          <w:bCs/>
          <w:color w:val="000000" w:themeColor="text1"/>
        </w:rPr>
        <w:t xml:space="preserve">Korzystanie z </w:t>
      </w:r>
      <w:r w:rsidRPr="00B271C3">
        <w:t>aplikacji</w:t>
      </w:r>
      <w:r w:rsidRPr="00BF6615">
        <w:rPr>
          <w:rFonts w:cstheme="minorHAnsi"/>
          <w:bCs/>
          <w:color w:val="000000" w:themeColor="text1"/>
        </w:rPr>
        <w:t xml:space="preserve"> i stron podmiotów publicznych</w:t>
      </w:r>
    </w:p>
    <w:p w14:paraId="1C0D7694" w14:textId="25276F03" w:rsidR="00B13433" w:rsidRPr="00BF6615" w:rsidRDefault="00B13433" w:rsidP="007E26B5">
      <w:pPr>
        <w:rPr>
          <w:rFonts w:cstheme="minorHAnsi"/>
          <w:color w:val="000000" w:themeColor="text1"/>
        </w:rPr>
      </w:pPr>
      <w:r w:rsidRPr="00BF6615">
        <w:rPr>
          <w:rFonts w:cstheme="minorHAnsi"/>
          <w:color w:val="000000" w:themeColor="text1"/>
        </w:rPr>
        <w:t xml:space="preserve">Zakres korzystania z stron/aplikacji publicznych wśród osób niewidomych jest dość ograniczony i sprowadza się głównie do najpotrzebniejszych usług. Wymieniano przede wszystkim strony związane z transportem (np. wyszukiwanie połączeń PKP, rozkłady jazdy komunikacji) oraz ochroną zdrowia (np. Internetowe Konto Pacjenta). Strony urzędów odwiedzane są sporadycznie i najczęściej przy wsparciu osoby widzącej. Pojawiła się też wzmianka o aplikacji </w:t>
      </w:r>
      <w:proofErr w:type="spellStart"/>
      <w:r w:rsidRPr="00BF6615">
        <w:rPr>
          <w:rFonts w:cstheme="minorHAnsi"/>
          <w:color w:val="000000" w:themeColor="text1"/>
        </w:rPr>
        <w:t>mObywatel</w:t>
      </w:r>
      <w:proofErr w:type="spellEnd"/>
      <w:r w:rsidRPr="00BF6615">
        <w:rPr>
          <w:rFonts w:cstheme="minorHAnsi"/>
          <w:color w:val="000000" w:themeColor="text1"/>
        </w:rPr>
        <w:t xml:space="preserve">, jednak nie jest ona używana regularnie ze względu na braki w dostępności. Większość badanych w ogóle nie korzysta z aplikacji mobilnych instytucji publicznych. „Aplikacji to nie mam żadnej, sprawdzam tylko rozkład jazdy” – przyznał jeden z respondentów, sugerując, że poza podstawowymi informacjami (jak rozkłady) niewiele więcej udaje się załatwić samodzielnie. Główną barierą zniechęcającą do korzystania </w:t>
      </w:r>
      <w:r w:rsidRPr="00BF6615">
        <w:rPr>
          <w:rFonts w:cstheme="minorHAnsi"/>
          <w:color w:val="000000" w:themeColor="text1"/>
        </w:rPr>
        <w:br/>
        <w:t>z e-usług publicznych jest ich niedostosowanie do technologii asystujących (czytników ekranu).</w:t>
      </w:r>
    </w:p>
    <w:p w14:paraId="1A45B2DA" w14:textId="77777777" w:rsidR="00352609" w:rsidRDefault="00B13433" w:rsidP="00B271C3">
      <w:pPr>
        <w:pStyle w:val="Nagwek4"/>
        <w:rPr>
          <w:rFonts w:cstheme="minorHAnsi"/>
          <w:bCs/>
          <w:color w:val="000000" w:themeColor="text1"/>
        </w:rPr>
      </w:pPr>
      <w:r w:rsidRPr="00BF6615">
        <w:rPr>
          <w:rFonts w:cstheme="minorHAnsi"/>
          <w:bCs/>
          <w:color w:val="000000" w:themeColor="text1"/>
        </w:rPr>
        <w:t xml:space="preserve">Ocena użyteczności stron i </w:t>
      </w:r>
      <w:r w:rsidRPr="00B271C3">
        <w:t>aplikacji</w:t>
      </w:r>
      <w:r w:rsidRPr="00BF6615">
        <w:rPr>
          <w:rFonts w:cstheme="minorHAnsi"/>
          <w:bCs/>
          <w:color w:val="000000" w:themeColor="text1"/>
        </w:rPr>
        <w:t xml:space="preserve"> podmiotów publicznych</w:t>
      </w:r>
    </w:p>
    <w:p w14:paraId="4B8ABA4C" w14:textId="367415ED" w:rsidR="00B13433" w:rsidRPr="00BF6615" w:rsidRDefault="00B13433" w:rsidP="007E26B5">
      <w:pPr>
        <w:rPr>
          <w:rFonts w:cstheme="minorHAnsi"/>
          <w:color w:val="000000" w:themeColor="text1"/>
        </w:rPr>
      </w:pPr>
      <w:r w:rsidRPr="00BF6615">
        <w:rPr>
          <w:rFonts w:cstheme="minorHAnsi"/>
          <w:color w:val="000000" w:themeColor="text1"/>
        </w:rPr>
        <w:t>Żaden z respondentów nie wskazał strony/aplikacji, którą uznałby za w pełni przyjazną i dostępną. Przeważają opinie o poważnych trudnościach w obsłudze tych stron. „</w:t>
      </w:r>
      <w:r w:rsidR="00D024E8">
        <w:rPr>
          <w:rFonts w:cstheme="minorHAnsi"/>
          <w:color w:val="000000" w:themeColor="text1"/>
        </w:rPr>
        <w:t>.</w:t>
      </w:r>
      <w:r w:rsidRPr="00BF6615">
        <w:rPr>
          <w:rFonts w:cstheme="minorHAnsi"/>
          <w:color w:val="000000" w:themeColor="text1"/>
        </w:rPr>
        <w:t>.to jest nierealne, żeby to zrobić bezwzrokowo” – przyznała jedna z osób, opisując próbę samodzielnej rezerwacji miejsc na stronie przewoźnika kolejowego. Pojedyncze strony oceniano jako działające „całkiem spoko” (np. portal pacjenta IKP), ale nawet one zawierały istotne braki dostępności. Ogólnie strony urzędowe są postrzegane jako zbyt skomplikowane, nieintuicyjne i trudne w obsłudze bez pomocy. Wiele czynności (logowanie, wypełnianie wniosków) okazuje się niemożliwych do wykonania samodzielnie i wymaga wsparcia osoby widzącej.</w:t>
      </w:r>
    </w:p>
    <w:p w14:paraId="7B83A3F9" w14:textId="77777777" w:rsidR="00352609" w:rsidRDefault="00B13433" w:rsidP="00B271C3">
      <w:pPr>
        <w:pStyle w:val="Nagwek4"/>
        <w:rPr>
          <w:rFonts w:cstheme="minorHAnsi"/>
          <w:bCs/>
          <w:color w:val="000000" w:themeColor="text1"/>
        </w:rPr>
      </w:pPr>
      <w:r w:rsidRPr="00BF6615">
        <w:rPr>
          <w:rFonts w:cstheme="minorHAnsi"/>
          <w:bCs/>
          <w:color w:val="000000" w:themeColor="text1"/>
        </w:rPr>
        <w:lastRenderedPageBreak/>
        <w:t>Przyczyny korzystania ze stron i aplikacji podmiotów publicznych</w:t>
      </w:r>
    </w:p>
    <w:p w14:paraId="2419C7BC" w14:textId="00B51077" w:rsidR="00B13433" w:rsidRPr="00BF6615" w:rsidRDefault="00B13433" w:rsidP="007E26B5">
      <w:pPr>
        <w:rPr>
          <w:rFonts w:cstheme="minorHAnsi"/>
          <w:color w:val="000000" w:themeColor="text1"/>
        </w:rPr>
      </w:pPr>
      <w:r w:rsidRPr="00BF6615">
        <w:rPr>
          <w:rFonts w:cstheme="minorHAnsi"/>
          <w:color w:val="000000" w:themeColor="text1"/>
        </w:rPr>
        <w:t>Powodem sięgania po strony publiczne jest najczęściej konieczność załatwienia konkretnej sprawy – np. zakupu biletu, złożenia wniosku o dofinansowanie czy uzyskania informacji urzędowej. Respondenci deklarowali, że korzystają z takich stron, by zdobyć potrzebne informacje lub zrealizować usługę bez wychodzenia z domu. „Muszę z tego korzystać” – przyznała jedna z badanych, podkreślając brak alternatywy w przypadku usług takich jak portal pacjenta czy ZUS. Użytkowanie e-usług wynika raczej z potrzeby niż z wygody. Wiele osób woli załatwić sprawę zdalnie zamiast osobiście, o ile jest to możliwe bez barier. Niestety strony publiczne nie są postrzegane jako ułatwienie, lecz często jako kolejna przeszkoda w samodzielnym załatwianiu spraw.</w:t>
      </w:r>
    </w:p>
    <w:p w14:paraId="36A94EE7" w14:textId="77777777" w:rsidR="00352609" w:rsidRDefault="00B13433" w:rsidP="00B271C3">
      <w:pPr>
        <w:pStyle w:val="Nagwek4"/>
        <w:rPr>
          <w:rFonts w:cstheme="minorHAnsi"/>
          <w:bCs/>
          <w:color w:val="000000" w:themeColor="text1"/>
        </w:rPr>
      </w:pPr>
      <w:r w:rsidRPr="00BF6615">
        <w:rPr>
          <w:rFonts w:cstheme="minorHAnsi"/>
          <w:bCs/>
          <w:color w:val="000000" w:themeColor="text1"/>
        </w:rPr>
        <w:t xml:space="preserve">Strony i aplikacje </w:t>
      </w:r>
      <w:r w:rsidRPr="00B271C3">
        <w:t>podmiotów</w:t>
      </w:r>
      <w:r w:rsidRPr="00BF6615">
        <w:rPr>
          <w:rFonts w:cstheme="minorHAnsi"/>
          <w:bCs/>
          <w:color w:val="000000" w:themeColor="text1"/>
        </w:rPr>
        <w:t xml:space="preserve"> publicznych wymagające poprawy</w:t>
      </w:r>
    </w:p>
    <w:p w14:paraId="0C102DC6" w14:textId="2A9C5015" w:rsidR="00B13433" w:rsidRPr="00BF6615" w:rsidRDefault="00B13433" w:rsidP="007E26B5">
      <w:pPr>
        <w:rPr>
          <w:rFonts w:cstheme="minorHAnsi"/>
          <w:color w:val="000000" w:themeColor="text1"/>
        </w:rPr>
      </w:pPr>
      <w:r w:rsidRPr="00BF6615">
        <w:rPr>
          <w:rFonts w:cstheme="minorHAnsi"/>
          <w:color w:val="000000" w:themeColor="text1"/>
        </w:rPr>
        <w:t xml:space="preserve">Wśród stron/aplikacji sprawiających największe trudności wymieniano przede wszystkim strony instytucji administracyjnych oraz związane z transportem. Jako przykłady podawano witryny Zakładu Ubezpieczeń Społecznych, platformy do składania wniosków o dofinansowanie (PFRON SOW), a także systemy sprzedaży biletów kolejowych. Pojawiły się również krytyczne uwagi o portalach edukacyjnych (np. niedostępne strony szkół lub uczelni). Szczególnie strona przewoźnika kolejowego PKP została oceniona negatywnie ze względu na graficzny wybór miejsc, którego „nie da się obsłużyć bez wzroku”. Niektóre </w:t>
      </w:r>
      <w:r w:rsidR="000A692A" w:rsidRPr="00BF6615">
        <w:rPr>
          <w:rFonts w:cstheme="minorHAnsi"/>
          <w:color w:val="000000" w:themeColor="text1"/>
        </w:rPr>
        <w:t>z</w:t>
      </w:r>
      <w:r w:rsidR="000A692A">
        <w:rPr>
          <w:rFonts w:cstheme="minorHAnsi"/>
          <w:color w:val="000000" w:themeColor="text1"/>
        </w:rPr>
        <w:t> </w:t>
      </w:r>
      <w:r w:rsidRPr="00BF6615">
        <w:rPr>
          <w:rFonts w:cstheme="minorHAnsi"/>
          <w:color w:val="000000" w:themeColor="text1"/>
        </w:rPr>
        <w:t>tych stron/aplikacji określano wręcz jako niesłużące użytkownikom docelowym – „to nie wsparcie, tylko utrudnienie życia” padło w kontekście platformy SOW.</w:t>
      </w:r>
    </w:p>
    <w:p w14:paraId="342C96EA" w14:textId="77777777" w:rsidR="00352609" w:rsidRDefault="00B13433" w:rsidP="00B271C3">
      <w:pPr>
        <w:pStyle w:val="Nagwek4"/>
        <w:rPr>
          <w:rFonts w:cstheme="minorHAnsi"/>
          <w:bCs/>
          <w:color w:val="000000" w:themeColor="text1"/>
        </w:rPr>
      </w:pPr>
      <w:r w:rsidRPr="00BF6615">
        <w:rPr>
          <w:rFonts w:cstheme="minorHAnsi"/>
          <w:bCs/>
          <w:color w:val="000000" w:themeColor="text1"/>
        </w:rPr>
        <w:t xml:space="preserve">Najczęściej </w:t>
      </w:r>
      <w:r w:rsidRPr="00B271C3">
        <w:t>napotykane</w:t>
      </w:r>
      <w:r w:rsidRPr="00BF6615">
        <w:rPr>
          <w:rFonts w:cstheme="minorHAnsi"/>
          <w:bCs/>
          <w:color w:val="000000" w:themeColor="text1"/>
        </w:rPr>
        <w:t xml:space="preserve"> trudności</w:t>
      </w:r>
    </w:p>
    <w:p w14:paraId="63B8BA6D" w14:textId="49B8F205" w:rsidR="00B13433" w:rsidRPr="00BF6615" w:rsidRDefault="00B13433" w:rsidP="007E26B5">
      <w:pPr>
        <w:rPr>
          <w:rFonts w:cstheme="minorHAnsi"/>
          <w:color w:val="000000" w:themeColor="text1"/>
        </w:rPr>
      </w:pPr>
      <w:r w:rsidRPr="00BF6615">
        <w:rPr>
          <w:rFonts w:cstheme="minorHAnsi"/>
          <w:color w:val="000000" w:themeColor="text1"/>
        </w:rPr>
        <w:t>Najpowszechniejszą barierą okazały się elementy niedostosowane do czytników ekranu. Informacje często są przedstawiane w formie grafik lub schematów bez tekstu alternatywnego. W rezultacie program odczytu ekranu wypowiada jedynie „grafika”, uniemożliwiając zrozumienie treści. Równie problematyczne są nieopisane przyciski i pola formularzy – użytkownik nie wie, co dany element oznacza lub jaką akcję wykona. Brak klarownej, logicznej struktury strony zmusza osoby niewidome do czasochłonnego przeszukiwania zawartości metodą prób i błędów</w:t>
      </w:r>
      <w:r w:rsidR="00CC3B71">
        <w:rPr>
          <w:rFonts w:cstheme="minorHAnsi"/>
          <w:color w:val="000000" w:themeColor="text1"/>
        </w:rPr>
        <w:t xml:space="preserve">. </w:t>
      </w:r>
      <w:r w:rsidRPr="00BF6615">
        <w:rPr>
          <w:rFonts w:cstheme="minorHAnsi"/>
          <w:color w:val="000000" w:themeColor="text1"/>
        </w:rPr>
        <w:t>Gdy napotkana przeszkoda jest nie do obejścia za pomocą czytnika, wiele osób odczuwa bezradność i rezygnuje z dalszych prób. „To nie jest bariera, którą da się pokonać” – przyznano w odniesieniu do sytuacji, w których technologia asystująca nie jest w stanie „przeczytać” kluczowych informacji na stronie.</w:t>
      </w:r>
    </w:p>
    <w:p w14:paraId="440FF1CF" w14:textId="77777777" w:rsidR="00352609" w:rsidRDefault="00B13433" w:rsidP="00B271C3">
      <w:pPr>
        <w:pStyle w:val="Nagwek4"/>
        <w:rPr>
          <w:rFonts w:cstheme="minorHAnsi"/>
          <w:bCs/>
          <w:color w:val="000000" w:themeColor="text1"/>
        </w:rPr>
      </w:pPr>
      <w:r w:rsidRPr="00BF6615">
        <w:rPr>
          <w:rFonts w:cstheme="minorHAnsi"/>
          <w:bCs/>
          <w:color w:val="000000" w:themeColor="text1"/>
        </w:rPr>
        <w:t xml:space="preserve">Największe </w:t>
      </w:r>
      <w:r w:rsidRPr="00B271C3">
        <w:t>problemy</w:t>
      </w:r>
      <w:r w:rsidRPr="00BF6615">
        <w:rPr>
          <w:rFonts w:cstheme="minorHAnsi"/>
          <w:bCs/>
          <w:color w:val="000000" w:themeColor="text1"/>
        </w:rPr>
        <w:t xml:space="preserve"> i potrzeby</w:t>
      </w:r>
    </w:p>
    <w:p w14:paraId="40D4DBF6" w14:textId="0036696C" w:rsidR="00B13433" w:rsidRPr="00BF6615" w:rsidRDefault="00B13433" w:rsidP="007E26B5">
      <w:pPr>
        <w:rPr>
          <w:rFonts w:cstheme="minorHAnsi"/>
          <w:color w:val="000000" w:themeColor="text1"/>
        </w:rPr>
      </w:pPr>
      <w:r w:rsidRPr="00BF6615">
        <w:rPr>
          <w:rFonts w:cstheme="minorHAnsi"/>
          <w:color w:val="000000" w:themeColor="text1"/>
        </w:rPr>
        <w:t xml:space="preserve">Za najpoważniejsze problemy uznano brak dostępności elementów wizualnych oraz nieprzyjazną nawigację. Strony przeładowane obrazkami czy ikonami bez opisów powodują, że użytkownicy czują się zagubieni, nie mogąc znaleźć potrzebnych informacji. Podkreślano też niewystarczające dostosowanie formularzy i procedur (np. brak opisów pól, komunikatów o błędach), co uniemożliwia samodzielne załatwienie sprawy. Wskazywane potrzeby koncentrują się wokół poprawy opisu i struktury stron/aplikacji. Priorytetem jest zapewnienie tekstowych odpowiedników dla wszystkich grafik oraz uporządkowanie treści </w:t>
      </w:r>
      <w:r w:rsidR="000A692A" w:rsidRPr="00BF6615">
        <w:rPr>
          <w:rFonts w:cstheme="minorHAnsi"/>
          <w:color w:val="000000" w:themeColor="text1"/>
        </w:rPr>
        <w:t>w</w:t>
      </w:r>
      <w:r w:rsidR="000A692A">
        <w:rPr>
          <w:rFonts w:cstheme="minorHAnsi"/>
          <w:color w:val="000000" w:themeColor="text1"/>
        </w:rPr>
        <w:t> </w:t>
      </w:r>
      <w:r w:rsidRPr="00BF6615">
        <w:rPr>
          <w:rFonts w:cstheme="minorHAnsi"/>
          <w:color w:val="000000" w:themeColor="text1"/>
        </w:rPr>
        <w:t xml:space="preserve">logiczny sposób. „Najważniejsze jest to, żeby grafiki były opisane, czego dotyczą” – </w:t>
      </w:r>
      <w:r w:rsidRPr="00BF6615">
        <w:rPr>
          <w:rFonts w:cstheme="minorHAnsi"/>
          <w:color w:val="000000" w:themeColor="text1"/>
        </w:rPr>
        <w:lastRenderedPageBreak/>
        <w:t>podkreślano w rozmowach</w:t>
      </w:r>
      <w:r w:rsidR="008322F9">
        <w:rPr>
          <w:rFonts w:cstheme="minorHAnsi"/>
          <w:color w:val="000000" w:themeColor="text1"/>
        </w:rPr>
        <w:t>.</w:t>
      </w:r>
      <w:r w:rsidRPr="00BF6615">
        <w:rPr>
          <w:rFonts w:cstheme="minorHAnsi"/>
          <w:color w:val="000000" w:themeColor="text1"/>
        </w:rPr>
        <w:t xml:space="preserve"> Ogólnie najistotniejsza jest niezależność – strona powinna pozwolić załatwić sprawę od początku do końca bez udziału osoby trzeciej.</w:t>
      </w:r>
    </w:p>
    <w:p w14:paraId="0C7FFEE6" w14:textId="77777777" w:rsidR="00352609" w:rsidRDefault="00B13433" w:rsidP="00B271C3">
      <w:pPr>
        <w:pStyle w:val="Nagwek4"/>
        <w:rPr>
          <w:rFonts w:cstheme="minorHAnsi"/>
          <w:bCs/>
          <w:color w:val="000000" w:themeColor="text1"/>
        </w:rPr>
      </w:pPr>
      <w:r w:rsidRPr="00BF6615">
        <w:rPr>
          <w:rFonts w:cstheme="minorHAnsi"/>
          <w:bCs/>
          <w:color w:val="000000" w:themeColor="text1"/>
        </w:rPr>
        <w:t xml:space="preserve">Proponowane </w:t>
      </w:r>
      <w:r w:rsidRPr="00B271C3">
        <w:t>rozwiązania</w:t>
      </w:r>
    </w:p>
    <w:p w14:paraId="41074994" w14:textId="03B897BB" w:rsidR="00B13433" w:rsidRPr="00BF6615" w:rsidRDefault="00B13433" w:rsidP="007E26B5">
      <w:pPr>
        <w:rPr>
          <w:rFonts w:cstheme="minorHAnsi"/>
          <w:color w:val="000000" w:themeColor="text1"/>
        </w:rPr>
      </w:pPr>
      <w:r w:rsidRPr="00BF6615">
        <w:rPr>
          <w:rFonts w:cstheme="minorHAnsi"/>
          <w:color w:val="000000" w:themeColor="text1"/>
        </w:rPr>
        <w:t xml:space="preserve">Wśród proponowanych usprawnień dominowały sugestie techniczne dotyczące poprawy dostępności interfejsu. Respondenci wskazywali konieczność wprowadzenia opisów alternatywnych dla wszelkich obrazów, ikon czy grafik na stronie. Sugerowano ograniczenie zbędnych elementów ozdobnych – „strona publiczna powinna być bez zbędnych obrazków </w:t>
      </w:r>
      <w:r w:rsidR="000A692A" w:rsidRPr="00BF6615">
        <w:rPr>
          <w:rFonts w:cstheme="minorHAnsi"/>
          <w:color w:val="000000" w:themeColor="text1"/>
        </w:rPr>
        <w:t>i</w:t>
      </w:r>
      <w:r w:rsidR="000A692A">
        <w:rPr>
          <w:rFonts w:cstheme="minorHAnsi"/>
          <w:color w:val="000000" w:themeColor="text1"/>
        </w:rPr>
        <w:t> </w:t>
      </w:r>
      <w:r w:rsidRPr="00BF6615">
        <w:rPr>
          <w:rFonts w:cstheme="minorHAnsi"/>
          <w:color w:val="000000" w:themeColor="text1"/>
        </w:rPr>
        <w:t xml:space="preserve">animacji” – aby skupić się na treści istotnej dla użytkownika. Ważnym rozwiązaniem jest również ulepszenie nawigacji: wprowadzenie przejrzystego podziału strony na sekcje, nagłówki i menu, co umożliwi szybkie odnalezienie potrzebnych informacji (np. poprzez listę sekcji dostępnych dla czytnika ekranu). Kilkoro badanych postulowało dodanie brakujących funkcjonalności w istniejących e-usługach. Jako przykład podano aplikację </w:t>
      </w:r>
      <w:proofErr w:type="spellStart"/>
      <w:r w:rsidRPr="00BF6615">
        <w:rPr>
          <w:rFonts w:cstheme="minorHAnsi"/>
          <w:color w:val="000000" w:themeColor="text1"/>
        </w:rPr>
        <w:t>mObywatel</w:t>
      </w:r>
      <w:proofErr w:type="spellEnd"/>
      <w:r w:rsidRPr="00BF6615">
        <w:rPr>
          <w:rFonts w:cstheme="minorHAnsi"/>
          <w:color w:val="000000" w:themeColor="text1"/>
        </w:rPr>
        <w:t xml:space="preserve"> – zdaniem respondentów powinna ona uwzględniać także potrzeby osób z niepełnosprawnościami (np. możliwość dodania legitymacji osoby niepełnosprawnej), co zachęciłoby niewidomych do korzystania z niej na równi z innymi obywatelami.</w:t>
      </w:r>
    </w:p>
    <w:p w14:paraId="043286A4" w14:textId="77777777" w:rsidR="00352609" w:rsidRDefault="00B13433" w:rsidP="00B271C3">
      <w:pPr>
        <w:pStyle w:val="Nagwek4"/>
        <w:rPr>
          <w:rFonts w:cstheme="minorHAnsi"/>
          <w:bCs/>
          <w:color w:val="000000" w:themeColor="text1"/>
        </w:rPr>
      </w:pPr>
      <w:r w:rsidRPr="00BF6615">
        <w:rPr>
          <w:rFonts w:cstheme="minorHAnsi"/>
          <w:bCs/>
          <w:color w:val="000000" w:themeColor="text1"/>
        </w:rPr>
        <w:t xml:space="preserve">Oczekiwania wobec </w:t>
      </w:r>
      <w:r w:rsidRPr="00B271C3">
        <w:t>dostępności</w:t>
      </w:r>
      <w:r w:rsidRPr="00BF6615">
        <w:rPr>
          <w:rFonts w:cstheme="minorHAnsi"/>
          <w:bCs/>
          <w:color w:val="000000" w:themeColor="text1"/>
        </w:rPr>
        <w:t xml:space="preserve"> cyfrowej</w:t>
      </w:r>
    </w:p>
    <w:p w14:paraId="4F9E8B1B" w14:textId="5BA190BD" w:rsidR="00B13433" w:rsidRPr="00BF6615" w:rsidRDefault="00B13433" w:rsidP="007E26B5">
      <w:pPr>
        <w:rPr>
          <w:rFonts w:cstheme="minorHAnsi"/>
          <w:color w:val="000000" w:themeColor="text1"/>
        </w:rPr>
      </w:pPr>
      <w:r w:rsidRPr="00BF6615">
        <w:rPr>
          <w:rFonts w:cstheme="minorHAnsi"/>
          <w:color w:val="000000" w:themeColor="text1"/>
        </w:rPr>
        <w:t>Oczekiwania osób niewidomych wobec stron/aplikacji cyfrowych sprowadzają się do ich pełnej użyteczności i prostoty obsługi. Kluczowa jest klarowna struktura i intuicyjna nawigacja – wszystkie ważne informacje i funkcje powinny być łatwo dostępne. „Klikam – i działa” – to podstawowe wymaganie sformułowane przez jednego z badanych, który oczekuje niezawodności każdego elementu interfejsu. Uczestnicy podkreślali, że strony publiczne powinny zapewniać pełną samodzielność: od znalezienia informacji, poprzez wypełnienie formularza czy dokonanie płatności, aż po uzyskanie potwierdzenia – bez napotykania barier uniemożliwiających wykonanie któregoś z tych kroków.</w:t>
      </w:r>
    </w:p>
    <w:p w14:paraId="08D9D33A" w14:textId="77777777" w:rsidR="00352609" w:rsidRDefault="00B13433" w:rsidP="00B271C3">
      <w:pPr>
        <w:pStyle w:val="Nagwek4"/>
        <w:rPr>
          <w:rFonts w:cstheme="minorHAnsi"/>
          <w:bCs/>
          <w:color w:val="000000" w:themeColor="text1"/>
        </w:rPr>
      </w:pPr>
      <w:r w:rsidRPr="00BF6615">
        <w:rPr>
          <w:rFonts w:cstheme="minorHAnsi"/>
          <w:bCs/>
          <w:color w:val="000000" w:themeColor="text1"/>
        </w:rPr>
        <w:t xml:space="preserve">Priorytetowe strony i </w:t>
      </w:r>
      <w:r w:rsidRPr="00B271C3">
        <w:t>aplikacje</w:t>
      </w:r>
      <w:r w:rsidRPr="00BF6615">
        <w:rPr>
          <w:rFonts w:cstheme="minorHAnsi"/>
          <w:bCs/>
          <w:color w:val="000000" w:themeColor="text1"/>
        </w:rPr>
        <w:t xml:space="preserve"> podmiotów publicznych wymagające poprawy</w:t>
      </w:r>
    </w:p>
    <w:p w14:paraId="65B39C4A" w14:textId="3E2053AC" w:rsidR="003C551E" w:rsidRPr="00BF6615" w:rsidRDefault="00B13433" w:rsidP="007E26B5">
      <w:pPr>
        <w:rPr>
          <w:rFonts w:cstheme="minorHAnsi"/>
          <w:color w:val="000000" w:themeColor="text1"/>
        </w:rPr>
      </w:pPr>
      <w:r w:rsidRPr="00BF6615">
        <w:rPr>
          <w:rFonts w:cstheme="minorHAnsi"/>
          <w:color w:val="000000" w:themeColor="text1"/>
        </w:rPr>
        <w:t xml:space="preserve">Za kluczowe do poprawy (pod kątem dostępności) uznano przede wszystkim strony związane ze zdrowiem, administracją i komunikacją. Respondenci najczęściej wskazywali Internetowe Konto Pacjenta, aplikację </w:t>
      </w:r>
      <w:proofErr w:type="spellStart"/>
      <w:r w:rsidRPr="00BF6615">
        <w:rPr>
          <w:rFonts w:cstheme="minorHAnsi"/>
          <w:color w:val="000000" w:themeColor="text1"/>
        </w:rPr>
        <w:t>mObywatel</w:t>
      </w:r>
      <w:proofErr w:type="spellEnd"/>
      <w:r w:rsidRPr="00BF6615">
        <w:rPr>
          <w:rFonts w:cstheme="minorHAnsi"/>
          <w:color w:val="000000" w:themeColor="text1"/>
        </w:rPr>
        <w:t xml:space="preserve"> oraz strony urzędów miejskich/gminnych jako wymagające pilnej poprawy dostępności. „Dla mnie najważniejsze jest zdrowie” – podkreśliła jedna z uczestniczek, postulując usprawnienie stron/aplikacji medycznych, z których musi korzystać. Równie często akcentowano konieczność poprawy dostępności portali transportowych (rozkłady jazdy, sprzedaż biletów), bo to dzięki nim osoby niewidome mogą samodzielnie planować podróże. W dalszej kolejności wymieniano obszar edukacji (np</w:t>
      </w:r>
      <w:r w:rsidR="000A692A" w:rsidRPr="00BF6615">
        <w:rPr>
          <w:rFonts w:cstheme="minorHAnsi"/>
          <w:color w:val="000000" w:themeColor="text1"/>
        </w:rPr>
        <w:t>.</w:t>
      </w:r>
      <w:r w:rsidR="000A692A">
        <w:rPr>
          <w:rFonts w:cstheme="minorHAnsi"/>
          <w:color w:val="000000" w:themeColor="text1"/>
        </w:rPr>
        <w:t> </w:t>
      </w:r>
      <w:r w:rsidRPr="00BF6615">
        <w:rPr>
          <w:rFonts w:cstheme="minorHAnsi"/>
          <w:color w:val="000000" w:themeColor="text1"/>
        </w:rPr>
        <w:t>strony szkół i uczelni) oraz portale do załatwiania spraw urzędowych online (np. ZUS, platformy do wniosków). Uczestnicy zgodnie wskazywali, że to właśnie te strony są im najbardziej potrzebne na co dzień, stąd powinny zostać dostosowane w pierwszej kolejności.</w:t>
      </w:r>
    </w:p>
    <w:p w14:paraId="6D2F512F" w14:textId="77777777" w:rsidR="00352609" w:rsidRDefault="00B13433" w:rsidP="00B271C3">
      <w:pPr>
        <w:pStyle w:val="Nagwek4"/>
        <w:rPr>
          <w:rFonts w:cstheme="minorHAnsi"/>
          <w:bCs/>
          <w:color w:val="000000" w:themeColor="text1"/>
        </w:rPr>
      </w:pPr>
      <w:r w:rsidRPr="00BF6615">
        <w:rPr>
          <w:rFonts w:cstheme="minorHAnsi"/>
          <w:bCs/>
          <w:color w:val="000000" w:themeColor="text1"/>
        </w:rPr>
        <w:t xml:space="preserve">Deklaracja </w:t>
      </w:r>
      <w:r w:rsidRPr="00B271C3">
        <w:t>dostępności</w:t>
      </w:r>
    </w:p>
    <w:p w14:paraId="38441BC3" w14:textId="46CB7E57" w:rsidR="00B13433" w:rsidRPr="00BF6615" w:rsidRDefault="00B13433" w:rsidP="007E26B5">
      <w:pPr>
        <w:rPr>
          <w:rFonts w:cstheme="minorHAnsi"/>
          <w:color w:val="000000" w:themeColor="text1"/>
        </w:rPr>
      </w:pPr>
      <w:r w:rsidRPr="00BF6615">
        <w:rPr>
          <w:rFonts w:cstheme="minorHAnsi"/>
          <w:color w:val="000000" w:themeColor="text1"/>
        </w:rPr>
        <w:t xml:space="preserve">Większość badanych nie korzysta aktywnie z deklaracji dostępności publikowanych na stronach instytucji. Część osób przyznała, że nie do końca rozumie celu tych dokumentów – „znam to, ale nie za bardzo ogarniam, co to jest” – stwierdziła jedna z uczestniczek. Osoby, </w:t>
      </w:r>
      <w:r w:rsidRPr="00BF6615">
        <w:rPr>
          <w:rFonts w:cstheme="minorHAnsi"/>
          <w:color w:val="000000" w:themeColor="text1"/>
        </w:rPr>
        <w:lastRenderedPageBreak/>
        <w:t xml:space="preserve">które zetknęły się z deklaracjami, zauważyły często rozbieżność między ich treścią </w:t>
      </w:r>
      <w:r w:rsidR="000A692A" w:rsidRPr="00BF6615">
        <w:rPr>
          <w:rFonts w:cstheme="minorHAnsi"/>
          <w:color w:val="000000" w:themeColor="text1"/>
        </w:rPr>
        <w:t>a</w:t>
      </w:r>
      <w:r w:rsidR="000A692A">
        <w:rPr>
          <w:rFonts w:cstheme="minorHAnsi"/>
          <w:color w:val="000000" w:themeColor="text1"/>
        </w:rPr>
        <w:t> </w:t>
      </w:r>
      <w:r w:rsidRPr="00BF6615">
        <w:rPr>
          <w:rFonts w:cstheme="minorHAnsi"/>
          <w:color w:val="000000" w:themeColor="text1"/>
        </w:rPr>
        <w:t>rzeczywistością. „To, co jest zadeklarowane, nie pokrywa się z faktyczną dostępnością” – zauważono w jednej z rozmów. Respondenci podkreślali, że dla nich liczy się realna użyteczność strony, a nie formalne zapewnienia. W obecnej formie deklaracje dostępności są oceniane jako mało pomocne – dopóki nie niosą za sobą faktycznych usprawnień (np. nie są aktualizowane i weryfikowane w praktyce), wiele osób niewidomych pomija je i skupia się na własnych doświadczeniach z daną stroną.</w:t>
      </w:r>
    </w:p>
    <w:p w14:paraId="038FB185" w14:textId="62C5578B" w:rsidR="00352609" w:rsidRPr="00352609" w:rsidRDefault="00352609" w:rsidP="00B271C3">
      <w:pPr>
        <w:pStyle w:val="Nagwek4"/>
        <w:rPr>
          <w:rFonts w:cstheme="minorHAnsi"/>
          <w:bCs/>
          <w:color w:val="000000" w:themeColor="text1"/>
        </w:rPr>
      </w:pPr>
      <w:r w:rsidRPr="00352609">
        <w:rPr>
          <w:rFonts w:cstheme="minorHAnsi"/>
          <w:bCs/>
          <w:iCs w:val="0"/>
          <w:color w:val="000000" w:themeColor="text1"/>
        </w:rPr>
        <w:t>Podsumowanie</w:t>
      </w:r>
    </w:p>
    <w:p w14:paraId="129C08A9" w14:textId="7D14F999" w:rsidR="00B13433" w:rsidRPr="00BF6615" w:rsidRDefault="00B13433" w:rsidP="007E26B5">
      <w:pPr>
        <w:rPr>
          <w:rFonts w:cstheme="minorHAnsi"/>
          <w:color w:val="000000" w:themeColor="text1"/>
        </w:rPr>
      </w:pPr>
      <w:r w:rsidRPr="00BF6615">
        <w:rPr>
          <w:rFonts w:cstheme="minorHAnsi"/>
          <w:color w:val="000000" w:themeColor="text1"/>
        </w:rPr>
        <w:t>Osoby niewidome korzystają z Internetu głównie w celach informacyjnych, rozrywkowych i praktycznych – m.in. do bankowości, zakupów, edukacji i spraw urzędowych. Strony instytucji publicznych są dla nich w większości niedostępne – nie współpracują z czytnikami ekranu, mają złą strukturę i zawierają treści graficzne bez opisów. Korzystanie z e-usług odbywa się zwykle z konieczności i często wymaga pomocy osoby widzącej. Największe trudności to brak alternatywnych opisów grafik, nieopisane przyciski i nieintuicyjna nawigacja. Potrzeby użytkowników obejmują lepszą współpracę stron z technologiami asystującymi, logiczną strukturę treści i możliwość wykonania wszystkich kroków samodzielnie. Priorytetowo powinny być poprawione strony związane ze zdrowiem, administracją i transportem. Deklaracje dostępności są odbierane jako niewiarygodne, bo często nie odzwierciedlają rzeczywistego stanu stron. Osoby niewidome oczekują dostępności praktycznej, a nie deklaratywnej – czyli stron naprawdę możliwych do samodzielnego użycia.</w:t>
      </w:r>
    </w:p>
    <w:p w14:paraId="070505F4" w14:textId="3DF54DCD" w:rsidR="00B13433" w:rsidRPr="00BF6615" w:rsidRDefault="00B13433">
      <w:pPr>
        <w:pStyle w:val="Nagwek3"/>
        <w:numPr>
          <w:ilvl w:val="1"/>
          <w:numId w:val="6"/>
        </w:numPr>
      </w:pPr>
      <w:bookmarkStart w:id="41" w:name="_Toc196827577"/>
      <w:bookmarkStart w:id="42" w:name="_Toc204179226"/>
      <w:r w:rsidRPr="00BF6615">
        <w:t>Osoby słabowidzące</w:t>
      </w:r>
      <w:bookmarkEnd w:id="41"/>
      <w:bookmarkEnd w:id="42"/>
    </w:p>
    <w:p w14:paraId="66C20AD9" w14:textId="77777777" w:rsidR="00B13433" w:rsidRPr="00BF6615" w:rsidRDefault="00B13433" w:rsidP="00B271C3">
      <w:pPr>
        <w:pStyle w:val="Nagwek4"/>
      </w:pPr>
      <w:r w:rsidRPr="00BF6615">
        <w:t>Powody i cele korzystania z Internetu</w:t>
      </w:r>
    </w:p>
    <w:p w14:paraId="3D27234A" w14:textId="77777777" w:rsidR="00B13433" w:rsidRPr="00BF6615" w:rsidRDefault="00B13433" w:rsidP="007E26B5">
      <w:pPr>
        <w:rPr>
          <w:rFonts w:cstheme="minorHAnsi"/>
          <w:color w:val="000000" w:themeColor="text1"/>
        </w:rPr>
      </w:pPr>
      <w:r w:rsidRPr="00BF6615">
        <w:rPr>
          <w:rFonts w:cstheme="minorHAnsi"/>
          <w:color w:val="000000" w:themeColor="text1"/>
        </w:rPr>
        <w:t>Osoby słabowidzące korzystają z Internetu głównie w praktycznych celach – do pozyskiwania informacji, nauki oraz załatwiania codziennych spraw. Wśród podawanych zastosowań pojawiały się kwestie finansowe (np. kontrola rachunków i płatności), edukacja (pomoc w odrabianiu zadań) oraz rozrywka i hobby (śledzenie ulubionych dyscyplin sportowych, przepisy kulinarne, muzyka). Jeden z badanych przyznał: „Najważniejsze jest sprawdzanie mojego konta… czy rachunki są zapłacone”. Inna osoba dodała: „Wyszukuję różne rzeczy, które mnie interesują, np. o piłce nożnej”. Internet bywa też nieodzownym narzędziem komunikacji i źródłem wiedzy na co dzień.</w:t>
      </w:r>
    </w:p>
    <w:p w14:paraId="21819C69" w14:textId="77777777" w:rsidR="00B13433" w:rsidRPr="00BF6615" w:rsidRDefault="00B13433" w:rsidP="00B271C3">
      <w:pPr>
        <w:pStyle w:val="Nagwek4"/>
      </w:pPr>
      <w:r w:rsidRPr="00BF6615">
        <w:t>Korzystanie z aplikacji i stron podmiotów publicznych</w:t>
      </w:r>
    </w:p>
    <w:p w14:paraId="045A2969" w14:textId="77777777" w:rsidR="00B13433" w:rsidRPr="00BF6615" w:rsidRDefault="00B13433" w:rsidP="007E26B5">
      <w:pPr>
        <w:rPr>
          <w:rFonts w:cstheme="minorHAnsi"/>
          <w:color w:val="000000" w:themeColor="text1"/>
        </w:rPr>
      </w:pPr>
      <w:r w:rsidRPr="00BF6615">
        <w:rPr>
          <w:rFonts w:cstheme="minorHAnsi"/>
          <w:color w:val="000000" w:themeColor="text1"/>
        </w:rPr>
        <w:t xml:space="preserve">Zakres korzystania z stron/aplikacji i aplikacji publicznych jest ograniczony – pojawia się przede wszystkim wtedy, gdy wymaga tego konkretna sytuacja. Najczęściej wymieniano usługi związane z transportem publicznym i podróżami (rozkłady jazdy, zakup biletów kolejowych), a także strony urzędowe i zdrowotne. Inni wskazywali na strony instytucji takich jak miejskie ośrodki pomocy (MOPS) czy Internetowe Konto Pacjenta, służące do odbierania e-recept po wizycie u lekarza. Pojawiły się również sporadyczne wzmianki o aplikacji </w:t>
      </w:r>
      <w:proofErr w:type="spellStart"/>
      <w:r w:rsidRPr="00BF6615">
        <w:rPr>
          <w:rFonts w:cstheme="minorHAnsi"/>
          <w:color w:val="000000" w:themeColor="text1"/>
        </w:rPr>
        <w:t>mObywatel</w:t>
      </w:r>
      <w:proofErr w:type="spellEnd"/>
      <w:r w:rsidRPr="00BF6615">
        <w:rPr>
          <w:rFonts w:cstheme="minorHAnsi"/>
          <w:color w:val="000000" w:themeColor="text1"/>
        </w:rPr>
        <w:t xml:space="preserve"> oraz stronach urzędów (np. informacje na stronach miast, szkół). Większość badanych nie korzysta jednak regularnie z mobilnych aplikacji instytucji publicznych – jeśli już </w:t>
      </w:r>
      <w:r w:rsidRPr="00BF6615">
        <w:rPr>
          <w:rFonts w:cstheme="minorHAnsi"/>
          <w:color w:val="000000" w:themeColor="text1"/>
        </w:rPr>
        <w:lastRenderedPageBreak/>
        <w:t>zaglądają na strony urzędów czy państwowe portale, to zazwyczaj poprzez przeglądarkę i tylko wtedy, gdy jest to konieczne.</w:t>
      </w:r>
    </w:p>
    <w:p w14:paraId="11F35CA4" w14:textId="77777777" w:rsidR="00B13433" w:rsidRPr="00BF6615" w:rsidRDefault="00B13433" w:rsidP="00B271C3">
      <w:pPr>
        <w:pStyle w:val="Nagwek4"/>
      </w:pPr>
      <w:r w:rsidRPr="00BF6615">
        <w:t>Ocena użyteczności stron i aplikacji podmiotów publicznych</w:t>
      </w:r>
    </w:p>
    <w:p w14:paraId="4035BB99" w14:textId="7BA5206C" w:rsidR="00B13433" w:rsidRPr="00BF6615" w:rsidRDefault="00B13433" w:rsidP="007E26B5">
      <w:pPr>
        <w:rPr>
          <w:rFonts w:cstheme="minorHAnsi"/>
          <w:color w:val="000000" w:themeColor="text1"/>
        </w:rPr>
      </w:pPr>
      <w:r w:rsidRPr="00BF6615">
        <w:rPr>
          <w:rFonts w:cstheme="minorHAnsi"/>
          <w:color w:val="000000" w:themeColor="text1"/>
        </w:rPr>
        <w:t>Żaden z uczestników nie wskazał strony/aplikacji, którą uznałby za w pełni przyjazną i intuicyjną w użytkowaniu. Wręcz przeciwnie – dominowały opinie o trudnościach w obsłudze i zrozumieniu treści na takich stronach. „Ta treść jest mało czytelna, mało intuicyjna… nawet nieraz denerwująca” – skarżyła się jedna z osób, opisując swoją frustrację podczas korzystania z witryny urzędu</w:t>
      </w:r>
      <w:r w:rsidR="00CC3B71">
        <w:rPr>
          <w:rFonts w:cstheme="minorHAnsi"/>
          <w:color w:val="000000" w:themeColor="text1"/>
        </w:rPr>
        <w:t>.</w:t>
      </w:r>
      <w:r w:rsidRPr="00BF6615">
        <w:rPr>
          <w:rFonts w:cstheme="minorHAnsi"/>
          <w:color w:val="000000" w:themeColor="text1"/>
        </w:rPr>
        <w:t xml:space="preserve"> Niektórzy respondenci przyznawali, że radzą sobie z wybranymi aplikacjami – np. kolejowymi – dość sprawnie i oceniają je jako funkcjonalne oraz intuicyjne, ale zaznaczali, że nie są to typowe strony urzędowe. Strony administracji publicznej postrzegane były najczęściej jako zbyt skomplikowane, nieprowadzące użytkownika w logiczny sposób i pozbawione udogodnień wizualnych. Wypełnianie formularzy czy procesy logowania często okazywały się dla badanych nie do przejścia bez pomocy osób trzecich.</w:t>
      </w:r>
    </w:p>
    <w:p w14:paraId="686AA303" w14:textId="77777777" w:rsidR="00B13433" w:rsidRPr="00BF6615" w:rsidRDefault="00B13433" w:rsidP="00B271C3">
      <w:pPr>
        <w:pStyle w:val="Nagwek4"/>
      </w:pPr>
      <w:r w:rsidRPr="00BF6615">
        <w:t>Przyczyny korzystania ze stron i aplikacji podmiotów publicznych</w:t>
      </w:r>
    </w:p>
    <w:p w14:paraId="5DFCA066" w14:textId="77777777" w:rsidR="00B13433" w:rsidRPr="00BF6615" w:rsidRDefault="00B13433" w:rsidP="007E26B5">
      <w:pPr>
        <w:rPr>
          <w:rFonts w:cstheme="minorHAnsi"/>
          <w:color w:val="000000" w:themeColor="text1"/>
        </w:rPr>
      </w:pPr>
      <w:r w:rsidRPr="00BF6615">
        <w:rPr>
          <w:rFonts w:cstheme="minorHAnsi"/>
          <w:color w:val="000000" w:themeColor="text1"/>
        </w:rPr>
        <w:t>Po strony publiczne osoby słabowidzące sięgają głównie z konieczności załatwienia konkretnej sprawy – rzadko dla wygody czy z własnej inicjatywy. Najczęściej motywacją jest potrzeba uzyskania informacji lub dokonania określonej operacji urzędowej online (np. zakup biletu, sprawdzenie rozkładu, odczytanie e-recepty, złożenie wniosku). Kilka osób przyznało, że jeśli tylko istnieje możliwość załatwienia czegoś przez Internet, próbują to robić zdalnie, aby uniknąć osobistej wizyty w urzędzie. Jednak często nie działają samodzielnie – korzystają ze wsparcia bliskich lub znajomych. „Sprawy urzędowe załatwiam raczej z osobą towarzyszącą” – wyznał jeden z respondentów, wskazując, że sam nie poradziłby sobie z elektronicznymi formalnościami. Podobne doświadczenia mają inni badani: nawet przy względnie prostych czynnościach online chętnie posiłkują się pomocą kogoś obytego z technologią. Ogólnie korzystanie z e-usług publicznych wynika tu bardziej z konieczności niż z chęci – użytkownicy traktują je jako obowiązek, a nie ułatwienie.</w:t>
      </w:r>
    </w:p>
    <w:p w14:paraId="3FA261FD" w14:textId="77777777" w:rsidR="00B13433" w:rsidRPr="00BF6615" w:rsidRDefault="00B13433" w:rsidP="00B271C3">
      <w:pPr>
        <w:pStyle w:val="Nagwek4"/>
      </w:pPr>
      <w:r w:rsidRPr="00BF6615">
        <w:t>Strony i aplikacje podmiotów publicznych wymagające poprawy</w:t>
      </w:r>
    </w:p>
    <w:p w14:paraId="53960731" w14:textId="29333E79" w:rsidR="00B13433" w:rsidRPr="00BF6615" w:rsidRDefault="00B13433" w:rsidP="007E26B5">
      <w:pPr>
        <w:rPr>
          <w:rFonts w:cstheme="minorHAnsi"/>
          <w:color w:val="000000" w:themeColor="text1"/>
        </w:rPr>
      </w:pPr>
      <w:r w:rsidRPr="00BF6615">
        <w:rPr>
          <w:rFonts w:cstheme="minorHAnsi"/>
          <w:color w:val="000000" w:themeColor="text1"/>
        </w:rPr>
        <w:t xml:space="preserve">W opinii uczestników badania szczególnie trudne w obsłudze są strony urzędów oraz kluczowe strony administracyjne. Padały przykłady lokalnych portali miejskich (np. informacje o działaniu urzędu miasta czy jednostek podległych, takich jak MOPS) oraz niektórych platform usług publicznych. Za kłopotliwe uznano m.in. strony związane z komunikacją publiczną i zakupem biletów, jeśli ich projekt nie uwzględnia potrzeb osób słabowidzących. „Tam są małe czcionki i moim zdaniem powinni to poprawić” – stwierdził badany opowiadając o aplikacji do kupowania biletów kolejowych. Wielu osobom problemy sprawiają także strony wymagające logowania przez Profil Zaufany czy </w:t>
      </w:r>
      <w:proofErr w:type="spellStart"/>
      <w:r w:rsidRPr="00BF6615">
        <w:rPr>
          <w:rFonts w:cstheme="minorHAnsi"/>
          <w:color w:val="000000" w:themeColor="text1"/>
        </w:rPr>
        <w:t>ePUAP</w:t>
      </w:r>
      <w:proofErr w:type="spellEnd"/>
      <w:r w:rsidRPr="00BF6615">
        <w:rPr>
          <w:rFonts w:cstheme="minorHAnsi"/>
          <w:color w:val="000000" w:themeColor="text1"/>
        </w:rPr>
        <w:t xml:space="preserve"> – te narzędzia oceniano jako zbyt złożone i nieintuicyjne. Co więcej, strony szkół czy uczelni również bywały wymieniane jako te, na których łatwo się zgubić (np. z powodu niejasnej struktury zakładek). Ogólnie rzecz biorąc, osoby słabowidzące wskazały kilka obszarów, w których pilnie potrzebna jest poprawa dostępności: od lokalnych witryn samorządowych, przez portale zdrowotne, po systemy komunikacyjne i administracyjne.</w:t>
      </w:r>
    </w:p>
    <w:p w14:paraId="3D9ECC4D" w14:textId="77777777" w:rsidR="00B13433" w:rsidRPr="00BF6615" w:rsidRDefault="00B13433" w:rsidP="00B271C3">
      <w:pPr>
        <w:pStyle w:val="Nagwek4"/>
      </w:pPr>
      <w:r w:rsidRPr="00BF6615">
        <w:lastRenderedPageBreak/>
        <w:t>Najczęściej napotykane trudności</w:t>
      </w:r>
    </w:p>
    <w:p w14:paraId="74B9515E" w14:textId="300E18D9" w:rsidR="003C551E" w:rsidRPr="00BF6615" w:rsidRDefault="00B13433" w:rsidP="007E26B5">
      <w:pPr>
        <w:rPr>
          <w:rFonts w:cstheme="minorHAnsi"/>
          <w:color w:val="000000" w:themeColor="text1"/>
        </w:rPr>
      </w:pPr>
      <w:r w:rsidRPr="00BF6615">
        <w:rPr>
          <w:rFonts w:cstheme="minorHAnsi"/>
          <w:color w:val="000000" w:themeColor="text1"/>
        </w:rPr>
        <w:t>Do największych barier utrudniających korzystanie z internetowych stron/aplikacji publicznych badani zaliczali problemy z czytelnością i nawigacją. Osoby słabowidzące zwracały uwagę na zbyt małą czcionkę, niewyraźne kontrasty i layout sprawiający, że informacje zlewają się ze sobą. Wiele osób gubiło się w zbyt rozbudowanych strukturach menu i podstron. „Wchodzę 3 razy na tę samą stronę, żeby w końcu dojść do tego” – przyznała jedna z uczestniczek, opisując ile wysiłku kosztuje ją znalezienie potrzebnej treści na stronie urzędu. Często wspominano o skomplikowanych formularzach online, które są niezrozumiałe lub źle zaprojektowane – błędy przy ich wypełnianiu są trudne do naprawienia bez pomocy. Pojawiał się też motyw braku jasnych instrukcji – użytkownicy nie zawsze wiedzą, jak wykonać daną czynność, a strony nie podpowiadają krok po kroku. Dla części badanych barierą był również zbyt złożony, oficjalny język – komunikaty okazywały się zawiłe i trudne do zrozumienia.</w:t>
      </w:r>
    </w:p>
    <w:p w14:paraId="629430C9" w14:textId="7659F92E" w:rsidR="00B13433" w:rsidRPr="00BF6615" w:rsidRDefault="00B13433" w:rsidP="00B271C3">
      <w:pPr>
        <w:pStyle w:val="Nagwek4"/>
      </w:pPr>
      <w:r w:rsidRPr="00BF6615">
        <w:t>Największe problemy i potrzeby</w:t>
      </w:r>
    </w:p>
    <w:p w14:paraId="6A20852E" w14:textId="1EC9CEAD" w:rsidR="00B13433" w:rsidRPr="00BF6615" w:rsidRDefault="00B13433" w:rsidP="007E26B5">
      <w:pPr>
        <w:rPr>
          <w:rFonts w:cstheme="minorHAnsi"/>
          <w:color w:val="000000" w:themeColor="text1"/>
        </w:rPr>
      </w:pPr>
      <w:r w:rsidRPr="00BF6615">
        <w:rPr>
          <w:rFonts w:cstheme="minorHAnsi"/>
          <w:color w:val="000000" w:themeColor="text1"/>
        </w:rPr>
        <w:t xml:space="preserve">Zdaniem osób słabowidzących najpoważniejsze problemy wymagające uwagi to przede wszystkim kwestie techniczno-wizualne oraz przejrzystość informacji. Jako kluczowe wymieniano brak dostosowania interfejsu dla osób słabowidzących (mała czcionka, słaby kontrast) oraz ogólny brak intuicyjności wielu stron/aplikacji. Użytkownicy podkreślali, że strony nie są projektowane z myślą o ich potrzebach – często nie prowadzą użytkownika za rękę, a treści na nich zawarte nie są przedstawione w prosty, zrozumiały sposób. „Dobrze dobrana czcionka i zrozumiałe od razu na pierwszy rzut oka informacje” – tego właśnie, według jednego z badanych, brakuje obecnie najbardziej na stronach publicznych. Osoby </w:t>
      </w:r>
      <w:r w:rsidR="000A692A" w:rsidRPr="00BF6615">
        <w:rPr>
          <w:rFonts w:cstheme="minorHAnsi"/>
          <w:color w:val="000000" w:themeColor="text1"/>
        </w:rPr>
        <w:t>z</w:t>
      </w:r>
      <w:r w:rsidR="000A692A">
        <w:rPr>
          <w:rFonts w:cstheme="minorHAnsi"/>
          <w:color w:val="000000" w:themeColor="text1"/>
        </w:rPr>
        <w:t> </w:t>
      </w:r>
      <w:r w:rsidRPr="00BF6615">
        <w:rPr>
          <w:rFonts w:cstheme="minorHAnsi"/>
          <w:color w:val="000000" w:themeColor="text1"/>
        </w:rPr>
        <w:t>ograniczonym wzrokiem wskazywały na czytelność jako palącą potrzebę (chcieliby móc od razu odczytać komunikaty bez konieczności powiększania każdej strony), z kolei dla innych priorytetem jest logiczna struktura i jasny język informacji. Wszyscy zgodnie podkreślali potrzebę większej dostępności – tak, aby mogli samodzielnie i bez przeszkód załatwić online te sprawy, które obecnie często wymagają wsparcia lub wizyty osobistej.</w:t>
      </w:r>
    </w:p>
    <w:p w14:paraId="7CA220B5" w14:textId="77777777" w:rsidR="00B13433" w:rsidRPr="00BF6615" w:rsidRDefault="00B13433" w:rsidP="00B271C3">
      <w:pPr>
        <w:pStyle w:val="Nagwek4"/>
      </w:pPr>
      <w:r w:rsidRPr="00BF6615">
        <w:t>Proponowane rozwiązania</w:t>
      </w:r>
    </w:p>
    <w:p w14:paraId="72CDA847" w14:textId="3F0A7B92" w:rsidR="00B13433" w:rsidRPr="00BF6615" w:rsidRDefault="00B13433" w:rsidP="007E26B5">
      <w:pPr>
        <w:rPr>
          <w:rFonts w:cstheme="minorHAnsi"/>
          <w:color w:val="000000" w:themeColor="text1"/>
        </w:rPr>
      </w:pPr>
      <w:r w:rsidRPr="00BF6615">
        <w:rPr>
          <w:rFonts w:cstheme="minorHAnsi"/>
          <w:color w:val="000000" w:themeColor="text1"/>
        </w:rPr>
        <w:t xml:space="preserve">Wśród sugerowanych przez badanych usprawnień najczęściej pojawiały się pomysły związane z poprawą warstwy wizualnej i nawigacji. Respondenci zgodnie wskazywali na konieczność wprowadzenia opcji ułatwiających czytanie i poruszanie się po stronach/aplikacjach. „Czcionka i kolory przede wszystkim… druga sprawa to formularze, to też trzeba poprawić” – wyliczał jeden z uczestników, podkreślając potrzebę większej czytelności oraz uproszczenia formularzy online. Rekomendowano dodanie możliwości zmiany wielkości tekstu i kontrastu na stronach, tak aby każdy mógł dostosować wygląd do swoich potrzeb. Pomocne byłyby także usprawnienia w nawigacji: wyszukiwarki i wyraźne ikony pozwalające szybciej odnaleźć konkretne informacje. Kolejnym postulatem jest uproszczenie treści i procedur – więcej prostego języka, krótsze komunikaty, a mniej urzędowego żargonu i zbędnych powtórzeń. Niektórzy sugerowali również wprowadzenie łatwiejszych płatności online we wszystkich usługach (tak, by nie okazywało się, że czegoś nie da się opłacić przez Internet) oraz zapewnienie szybkiego kontaktu z obsługą klienta </w:t>
      </w:r>
      <w:r w:rsidR="000A692A" w:rsidRPr="00BF6615">
        <w:rPr>
          <w:rFonts w:cstheme="minorHAnsi"/>
          <w:color w:val="000000" w:themeColor="text1"/>
        </w:rPr>
        <w:lastRenderedPageBreak/>
        <w:t>w</w:t>
      </w:r>
      <w:r w:rsidR="000A692A">
        <w:rPr>
          <w:rFonts w:cstheme="minorHAnsi"/>
          <w:color w:val="000000" w:themeColor="text1"/>
        </w:rPr>
        <w:t> </w:t>
      </w:r>
      <w:r w:rsidRPr="00BF6615">
        <w:rPr>
          <w:rFonts w:cstheme="minorHAnsi"/>
          <w:color w:val="000000" w:themeColor="text1"/>
        </w:rPr>
        <w:t>formie elektronicznej, gdy użytkownik utknie w procesie. Ogólnie rzecz biorąc, receptą na wiele problemów ma być lepsze dostosowanie interfejsów do odbiorców: bardziej przejrzyste, elastyczne i przewidywalne w obsłudze.</w:t>
      </w:r>
    </w:p>
    <w:p w14:paraId="56BD949E" w14:textId="678FD3B6" w:rsidR="00B13433" w:rsidRPr="00BF6615" w:rsidRDefault="00B13433" w:rsidP="00B271C3">
      <w:pPr>
        <w:pStyle w:val="Nagwek4"/>
      </w:pPr>
      <w:r w:rsidRPr="00BF6615">
        <w:t>Oczekiwania wobec dostępności</w:t>
      </w:r>
      <w:r w:rsidR="00AA7746">
        <w:t xml:space="preserve"> cyfrowej</w:t>
      </w:r>
    </w:p>
    <w:p w14:paraId="41FB4FBC" w14:textId="103356C6" w:rsidR="00B13433" w:rsidRPr="00BF6615" w:rsidRDefault="00B13433" w:rsidP="007E26B5">
      <w:pPr>
        <w:rPr>
          <w:rFonts w:cstheme="minorHAnsi"/>
          <w:color w:val="000000" w:themeColor="text1"/>
        </w:rPr>
      </w:pPr>
      <w:r w:rsidRPr="00BF6615">
        <w:rPr>
          <w:rFonts w:cstheme="minorHAnsi"/>
          <w:color w:val="000000" w:themeColor="text1"/>
        </w:rPr>
        <w:t xml:space="preserve">Uczestnicy badania oczekują, że strony internetowe i aplikacje publiczne będą w przyszłości znacznie bardziej przyjazne i dostępne dla każdego, niezależnie od ograniczeń. Liczą na rozwiązania, które pozwolą im działać samodzielnie online, bez konieczności proszenia </w:t>
      </w:r>
      <w:r w:rsidR="000A692A" w:rsidRPr="00BF6615">
        <w:rPr>
          <w:rFonts w:cstheme="minorHAnsi"/>
          <w:color w:val="000000" w:themeColor="text1"/>
        </w:rPr>
        <w:t>o</w:t>
      </w:r>
      <w:r w:rsidR="000A692A">
        <w:rPr>
          <w:rFonts w:cstheme="minorHAnsi"/>
          <w:color w:val="000000" w:themeColor="text1"/>
        </w:rPr>
        <w:t> </w:t>
      </w:r>
      <w:r w:rsidRPr="00BF6615">
        <w:rPr>
          <w:rFonts w:cstheme="minorHAnsi"/>
          <w:color w:val="000000" w:themeColor="text1"/>
        </w:rPr>
        <w:t>pomoc. Podkreślano, że intuicyjność stron/aplikacji powinna stać się standardem – aby użytkownik od razu wiedział, gdzie kliknąć i jak wykonać daną czynność. Ważna jest także szybkość i wygoda: badani chcieliby móc sprawnie znajdować potrzebne informacje oraz załatwiać swoje sprawy bez zbędnej zwłoki. W praktyce oznacza to dla nich, że strony publiczne powinny dorównać pod względem funkcjonalności najlepszym komercyjnym stronom – tak, by korzystanie z nich nie kojarzyło się z przeszkodami, lecz z ułatwieniem życia. Wielu badanych wyraziło pragnienie, by wszystkie istotne sprawy urzędowe dało się załatwić online – szybko, prosto i całkowicie dostępnie.</w:t>
      </w:r>
    </w:p>
    <w:p w14:paraId="612EAD12" w14:textId="77777777" w:rsidR="00B13433" w:rsidRPr="00BF6615" w:rsidRDefault="00B13433" w:rsidP="00B271C3">
      <w:pPr>
        <w:pStyle w:val="Nagwek4"/>
      </w:pPr>
      <w:r w:rsidRPr="00BF6615">
        <w:t>Priorytetowe strony i aplikacje podmiotów publicznych wymagające poprawy</w:t>
      </w:r>
    </w:p>
    <w:p w14:paraId="56B27A35" w14:textId="3FFADA05" w:rsidR="00B13433" w:rsidRPr="00BF6615" w:rsidRDefault="00B13433" w:rsidP="00352609">
      <w:pPr>
        <w:rPr>
          <w:rFonts w:cstheme="minorHAnsi"/>
          <w:color w:val="000000" w:themeColor="text1"/>
        </w:rPr>
      </w:pPr>
      <w:r w:rsidRPr="00BF6615">
        <w:rPr>
          <w:rFonts w:cstheme="minorHAnsi"/>
          <w:color w:val="000000" w:themeColor="text1"/>
        </w:rPr>
        <w:t>Jako priorytetowe do poprawy dostępności osoby słabowidzące najczęściej wskazywały lokalne strony urzędowe oraz sektor ochrony zdrowia. To właśnie z nimi mieli najwięcej trudności i uważają, że usprawnienie ich przyniosłoby największe korzyści. Równie istotny okazał się obszar komunikacji publicznej: osoby słabowidzące podkreślały, że systemy informacyjne związane z transportem (roz</w:t>
      </w:r>
      <w:r w:rsidR="009F31D5">
        <w:rPr>
          <w:rFonts w:cstheme="minorHAnsi"/>
          <w:color w:val="000000" w:themeColor="text1"/>
        </w:rPr>
        <w:t>k</w:t>
      </w:r>
      <w:r w:rsidRPr="00BF6615">
        <w:rPr>
          <w:rFonts w:cstheme="minorHAnsi"/>
          <w:color w:val="000000" w:themeColor="text1"/>
        </w:rPr>
        <w:t>łady jazdy, aplikacje miejskie) muszą być czytelniejsze, by każdy pasażer mógł z nich swobodnie korzystać. Poza zdrowiem, edukacją i transportem wymieniano także strony związane z rynkiem pracy i świadczeniami społecznymi – to tam najczęściej użytkownicy natrafiali na bariery i tam oczekują pilnych usprawnień. Co ważne, badani zaznaczali, że usprawnienia powinny być spójne na wszystkich tych kluczowych stronach, aby niezależnie od instytucji obowiązywały podobne standardy dostępności.</w:t>
      </w:r>
    </w:p>
    <w:p w14:paraId="180727F6" w14:textId="77777777" w:rsidR="00B13433" w:rsidRPr="00BF6615" w:rsidRDefault="00B13433" w:rsidP="00B271C3">
      <w:pPr>
        <w:pStyle w:val="Nagwek4"/>
      </w:pPr>
      <w:r w:rsidRPr="00BF6615">
        <w:t>Deklaracje dostępności – doświadczenia i oczekiwania</w:t>
      </w:r>
    </w:p>
    <w:p w14:paraId="5E6B66F3" w14:textId="09FE4ED6" w:rsidR="003C551E" w:rsidRPr="00BF6615" w:rsidRDefault="00B13433" w:rsidP="007E26B5">
      <w:pPr>
        <w:rPr>
          <w:rFonts w:cstheme="minorHAnsi"/>
          <w:color w:val="000000" w:themeColor="text1"/>
        </w:rPr>
      </w:pPr>
      <w:r w:rsidRPr="00BF6615">
        <w:rPr>
          <w:rFonts w:cstheme="minorHAnsi"/>
          <w:color w:val="000000" w:themeColor="text1"/>
        </w:rPr>
        <w:t>Większość uczestników nie miała styczności z deklaracjami dostępności publikowanymi na stronach i aplikacjach podmiotów publicznych. Część z nich przyznała, że nigdy o takich deklaracjach nie słyszała. „Coś tam słyszałam, ale nigdy się nie zagłębiałam” – stwierdziła jedna z badanych, wskazując na znikomą świadomość istnienia takich informacji. Żadna z osób nie korzystała dotąd aktywnie z deklaracji dostępności jako źródła wiedzy o stronie. Trudno więc mówić o konkretnych doświadczeniach – brak realnego kontaktu oznacza też brak sprecyzowanych oczekiwań. Gdy wyjaśniono badanym, czym jest deklaracja dostępności, uważali oni, że powinna być napisana prostym językiem i jasno wskazywać, w jaki sposób strona jest (lub nie jest) dostosowana do potrzeb. Sugerowali, że dobrze by było, gdyby deklaracje nie były tylko formalnością, lecz praktycznym drogowskazem dla użytkownika – informującym np. o możliwości zmiany kontrastu, dostępności tłumacza języka migowego czy innych udogodnień</w:t>
      </w:r>
      <w:r w:rsidR="00E57D5E">
        <w:rPr>
          <w:rFonts w:cstheme="minorHAnsi"/>
          <w:color w:val="000000" w:themeColor="text1"/>
        </w:rPr>
        <w:t>.</w:t>
      </w:r>
      <w:r w:rsidRPr="00BF6615">
        <w:rPr>
          <w:rFonts w:cstheme="minorHAnsi"/>
          <w:color w:val="000000" w:themeColor="text1"/>
        </w:rPr>
        <w:t xml:space="preserve"> W rzeczywistości jednak respondenci podkreślają, że najlepszą deklaracją dostępności będzie po prostu dostępna strona – wtedy dodatkowe </w:t>
      </w:r>
      <w:r w:rsidRPr="00BF6615">
        <w:rPr>
          <w:rFonts w:cstheme="minorHAnsi"/>
          <w:color w:val="000000" w:themeColor="text1"/>
        </w:rPr>
        <w:lastRenderedPageBreak/>
        <w:t>oświadczenia nie będą musiały nikomu przypominać o prawach użytkowników, bo staną się one oczywistością.</w:t>
      </w:r>
    </w:p>
    <w:p w14:paraId="16AF16DE" w14:textId="1F06AEC4" w:rsidR="00B13433" w:rsidRPr="00BF6615" w:rsidRDefault="00B13433" w:rsidP="00B271C3">
      <w:pPr>
        <w:pStyle w:val="Nagwek4"/>
      </w:pPr>
      <w:r w:rsidRPr="00BF6615">
        <w:t>Podsumowanie</w:t>
      </w:r>
    </w:p>
    <w:p w14:paraId="560CFA78" w14:textId="4563C570" w:rsidR="00B13433" w:rsidRPr="00BF6615" w:rsidRDefault="00B13433" w:rsidP="007E26B5">
      <w:pPr>
        <w:rPr>
          <w:rFonts w:cstheme="minorHAnsi"/>
        </w:rPr>
      </w:pPr>
      <w:r w:rsidRPr="00BF6615">
        <w:rPr>
          <w:rFonts w:cstheme="minorHAnsi"/>
        </w:rPr>
        <w:t>Osoby słabowidzące korzystają z Internetu głównie w celach praktycznych – informacyjnych, edukacyjnych i codziennych, np. kontrola finansów czy sprawy urzędowe. Strony i aplikacje publiczne odwiedzane są sporadycznie, głównie z konieczności, a nie z własnej inicjatywy. Większość badanych uważa je za trudne w obsłudze – wskazywano problemy z czytelnością, zbyt małą czcionką, nielogiczną strukturą i brakiem intuicyjnej nawigacji. Wiele osób deklaruje, że nie potrafi samodzielnie załatwić spraw online i korzysta z pomocy bliskich. Potrzeby użytkowników obejmują przede wszystkim większą przejrzystość, uproszczenie treści, możliwość regulacji wielkości tekstu i lepsze kontrasty. Za priorytetowe do poprawy uznano strony lokalnych urzędów, systemy zdrowotne oraz platformy związane z transportem publicznym. Brakuje też świadomości istnienia deklaracji dostępności. Ostatecznie jednak dla badanych najważniejsza jest rzeczywista, a nie deklaratywna dostępność usług online.</w:t>
      </w:r>
    </w:p>
    <w:p w14:paraId="4AF1B3CC" w14:textId="37701BD4" w:rsidR="00B13433" w:rsidRPr="00BF6615" w:rsidRDefault="00B13433">
      <w:pPr>
        <w:pStyle w:val="Nagwek3"/>
        <w:numPr>
          <w:ilvl w:val="1"/>
          <w:numId w:val="6"/>
        </w:numPr>
      </w:pPr>
      <w:bookmarkStart w:id="43" w:name="_Toc196827578"/>
      <w:bookmarkStart w:id="44" w:name="_Toc204179227"/>
      <w:r w:rsidRPr="00BF6615">
        <w:t>Osoby słabosłyszące lub niesłyszące</w:t>
      </w:r>
      <w:bookmarkEnd w:id="43"/>
      <w:bookmarkEnd w:id="44"/>
    </w:p>
    <w:p w14:paraId="358B69A9" w14:textId="77777777" w:rsidR="00B13433" w:rsidRPr="00BF6615" w:rsidRDefault="00B13433" w:rsidP="00B271C3">
      <w:pPr>
        <w:pStyle w:val="Nagwek4"/>
      </w:pPr>
      <w:r w:rsidRPr="00BF6615">
        <w:t>Powody i cele korzystania z Internetu</w:t>
      </w:r>
    </w:p>
    <w:p w14:paraId="406135FC" w14:textId="67BE7D33" w:rsidR="00B13433" w:rsidRPr="00BF6615" w:rsidRDefault="00B13433" w:rsidP="007E26B5">
      <w:pPr>
        <w:rPr>
          <w:rFonts w:cstheme="minorHAnsi"/>
        </w:rPr>
      </w:pPr>
      <w:r w:rsidRPr="00BF6615">
        <w:rPr>
          <w:rFonts w:cstheme="minorHAnsi"/>
        </w:rPr>
        <w:t>Osoby słabosłyszące i niesłyszące korzystają z Internetu głównie w celach praktycznych – do wyszukiwania informacji, nauki i rozrywki. Wśród najczęstszych zastosowań pojawiały się zakupy, oglądanie filmów, sprawdzanie rozkładów jazdy czy poszukiwanie ofert pracy. Jeden z respondentów podkreślał: „Uczę się jak naprawiać maszyny”, inny wspomniał: „Jestem youtuberem – tworzę humor dla niesłyszących”. Internet jest też miejscem zdobywania wiedzy – korzysta się z wyszukiwarek i słowników. Dla wielu pełni również rolę narzędzia komunikacyjnego – poprzez media społecznościowe utrzymują kontakt ze znajomymi. Widać dużą zależność od treści wizualnych i tekstowych, które zastępują przekaz głosowy.</w:t>
      </w:r>
    </w:p>
    <w:p w14:paraId="6C60EA39" w14:textId="77777777" w:rsidR="00B13433" w:rsidRPr="00BF6615" w:rsidRDefault="00B13433" w:rsidP="00B271C3">
      <w:pPr>
        <w:pStyle w:val="Nagwek4"/>
        <w:rPr>
          <w:rFonts w:cstheme="minorHAnsi"/>
          <w:bCs/>
        </w:rPr>
      </w:pPr>
      <w:r w:rsidRPr="00BF6615">
        <w:rPr>
          <w:rFonts w:cstheme="minorHAnsi"/>
          <w:bCs/>
        </w:rPr>
        <w:t>Korzystanie z aplikacji i stron podmiotów publicznych</w:t>
      </w:r>
    </w:p>
    <w:p w14:paraId="4B6B691F" w14:textId="72BA274D" w:rsidR="00E57D5E" w:rsidRPr="00BF6615" w:rsidRDefault="00B13433" w:rsidP="007E26B5">
      <w:pPr>
        <w:rPr>
          <w:rFonts w:cstheme="minorHAnsi"/>
        </w:rPr>
      </w:pPr>
      <w:r w:rsidRPr="00BF6615">
        <w:rPr>
          <w:rFonts w:cstheme="minorHAnsi"/>
        </w:rPr>
        <w:t xml:space="preserve">Zakres korzystania z aplikacji i stron publicznych wśród osób słabosłyszących i niesłyszących jest bardzo ograniczony. Najczęściej wskazywano strony transportowe, takie jak PKP, PKS czy aplikacja </w:t>
      </w:r>
      <w:proofErr w:type="spellStart"/>
      <w:r w:rsidRPr="00BF6615">
        <w:rPr>
          <w:rFonts w:cstheme="minorHAnsi"/>
        </w:rPr>
        <w:t>Koleo</w:t>
      </w:r>
      <w:proofErr w:type="spellEnd"/>
      <w:r w:rsidRPr="00BF6615">
        <w:rPr>
          <w:rFonts w:cstheme="minorHAnsi"/>
        </w:rPr>
        <w:t xml:space="preserve">: „Gdy chcę kupić bilet, to używam aplikacji </w:t>
      </w:r>
      <w:proofErr w:type="spellStart"/>
      <w:r w:rsidRPr="00BF6615">
        <w:rPr>
          <w:rFonts w:cstheme="minorHAnsi"/>
        </w:rPr>
        <w:t>Koleo</w:t>
      </w:r>
      <w:proofErr w:type="spellEnd"/>
      <w:r w:rsidRPr="00BF6615">
        <w:rPr>
          <w:rFonts w:cstheme="minorHAnsi"/>
        </w:rPr>
        <w:t xml:space="preserve">”. Strony urzędów są odwiedzane sporadycznie, najczęściej przy wsparciu osoby trzeciej. Wśród wymienianych stron/aplikacji publicznych pojawiły się również strony urzędów pracy oraz aplikacja </w:t>
      </w:r>
      <w:proofErr w:type="spellStart"/>
      <w:r w:rsidRPr="00BF6615">
        <w:rPr>
          <w:rFonts w:cstheme="minorHAnsi"/>
        </w:rPr>
        <w:t>mObywatel</w:t>
      </w:r>
      <w:proofErr w:type="spellEnd"/>
      <w:r w:rsidRPr="00BF6615">
        <w:rPr>
          <w:rFonts w:cstheme="minorHAnsi"/>
        </w:rPr>
        <w:t>, choć nie są one używane regularnie. Większość badanych nie korzysta z aplikacji mobilnych instytucji państwowych w ogóle. Przyczyną jest przede wszystkim niska dostępność językowa i brak tłumaczeń na PJM</w:t>
      </w:r>
      <w:r w:rsidR="00E57D5E">
        <w:rPr>
          <w:rFonts w:cstheme="minorHAnsi"/>
        </w:rPr>
        <w:t>.</w:t>
      </w:r>
      <w:r w:rsidRPr="00BF6615">
        <w:t xml:space="preserve"> </w:t>
      </w:r>
    </w:p>
    <w:p w14:paraId="5C649A54" w14:textId="77777777" w:rsidR="00B13433" w:rsidRPr="00BF6615" w:rsidRDefault="00B13433" w:rsidP="00B271C3">
      <w:pPr>
        <w:pStyle w:val="Nagwek4"/>
        <w:rPr>
          <w:rFonts w:cstheme="minorHAnsi"/>
          <w:bCs/>
        </w:rPr>
      </w:pPr>
      <w:r w:rsidRPr="00BF6615">
        <w:rPr>
          <w:rFonts w:cstheme="minorHAnsi"/>
          <w:bCs/>
        </w:rPr>
        <w:t xml:space="preserve">Ocena użyteczności </w:t>
      </w:r>
      <w:r w:rsidRPr="00352609">
        <w:t>stron</w:t>
      </w:r>
      <w:r w:rsidRPr="00BF6615">
        <w:rPr>
          <w:rFonts w:cstheme="minorHAnsi"/>
          <w:bCs/>
        </w:rPr>
        <w:t xml:space="preserve"> i aplikacji podmiotów publicznych</w:t>
      </w:r>
    </w:p>
    <w:p w14:paraId="1A816B93" w14:textId="662AA349" w:rsidR="00B13433" w:rsidRPr="00BF6615" w:rsidRDefault="00B13433" w:rsidP="007E26B5">
      <w:pPr>
        <w:rPr>
          <w:rFonts w:cstheme="minorHAnsi"/>
        </w:rPr>
      </w:pPr>
      <w:r w:rsidRPr="00BF6615">
        <w:rPr>
          <w:rFonts w:cstheme="minorHAnsi"/>
        </w:rPr>
        <w:t xml:space="preserve">Respondenci nie wskazali żadnej strony/aplikacji, które uznaliby za w pełni przyjazne. Najczęściej mówili o trudnościach z obsługą i zrozumieniem treści. „Nigdzie nie ma tłumacza PJM, więc nic nie jest dla nas dostosowane” – powiedział jeden z badanych. Choć niektóre strony – np. </w:t>
      </w:r>
      <w:proofErr w:type="spellStart"/>
      <w:r w:rsidRPr="00BF6615">
        <w:rPr>
          <w:rFonts w:cstheme="minorHAnsi"/>
        </w:rPr>
        <w:t>Koleo</w:t>
      </w:r>
      <w:proofErr w:type="spellEnd"/>
      <w:r w:rsidRPr="00BF6615">
        <w:rPr>
          <w:rFonts w:cstheme="minorHAnsi"/>
        </w:rPr>
        <w:t xml:space="preserve"> – oceniano jako funkcjonalne, nie były to strony instytucji publicznych. </w:t>
      </w:r>
      <w:r w:rsidRPr="00BF6615">
        <w:rPr>
          <w:rFonts w:cstheme="minorHAnsi"/>
        </w:rPr>
        <w:lastRenderedPageBreak/>
        <w:t>Strony urzędowe odbierane są jako zbyt skomplikowane, nieintuicyjne i pozbawione wsparcia wizualnego. Również formularze i procedury logowania były często nie do przejścia bez pomocy z zewnątrz.</w:t>
      </w:r>
    </w:p>
    <w:p w14:paraId="72089ED2" w14:textId="77777777" w:rsidR="00B13433" w:rsidRPr="00BF6615" w:rsidRDefault="00B13433" w:rsidP="00B271C3">
      <w:pPr>
        <w:pStyle w:val="Nagwek4"/>
        <w:rPr>
          <w:rFonts w:cstheme="minorHAnsi"/>
          <w:bCs/>
        </w:rPr>
      </w:pPr>
      <w:r w:rsidRPr="00BF6615">
        <w:rPr>
          <w:rFonts w:cstheme="minorHAnsi"/>
          <w:bCs/>
        </w:rPr>
        <w:t>Przyczyny korzystania ze stron i aplikacji podmiotów publicznych</w:t>
      </w:r>
    </w:p>
    <w:p w14:paraId="220BA330" w14:textId="77777777" w:rsidR="0044473E" w:rsidRPr="00BF6615" w:rsidRDefault="00B13433" w:rsidP="007E26B5">
      <w:pPr>
        <w:rPr>
          <w:rFonts w:cstheme="minorHAnsi"/>
        </w:rPr>
      </w:pPr>
      <w:r w:rsidRPr="00BF6615">
        <w:rPr>
          <w:rFonts w:cstheme="minorHAnsi"/>
        </w:rPr>
        <w:t>Powodem sięgania po strony publiczne jest najczęściej konieczność załatwienia konkretnej sprawy, np. zakupu biletu czy przeglądu dokumentów. Respondenci deklarowali, że korzystają z tych stron, by zdobyć informacje o pracy, dokumentach lub podróży. Jeden z nich wspomniał, że używa Internetu do spraw związanych z domem i autem. Jednak nawet przy prostych sprawach, takich jak logowanie czy składanie wniosku, potrzebna była pomoc osoby słyszącej. Użytkownicy wskazują, że korzystanie wynika raczej z potrzeby niż wygody. Strony publiczne nie są postrzegane jako wsparcie, lecz jako bariera.</w:t>
      </w:r>
    </w:p>
    <w:p w14:paraId="5A36C851" w14:textId="08E05AE4" w:rsidR="00B13433" w:rsidRPr="00BF6615" w:rsidRDefault="00B13433" w:rsidP="00B271C3">
      <w:pPr>
        <w:pStyle w:val="Nagwek4"/>
        <w:rPr>
          <w:rFonts w:cstheme="minorHAnsi"/>
          <w:bCs/>
        </w:rPr>
      </w:pPr>
      <w:r w:rsidRPr="00BF6615">
        <w:rPr>
          <w:rFonts w:cstheme="minorHAnsi"/>
          <w:bCs/>
        </w:rPr>
        <w:t xml:space="preserve">Strony i aplikacje podmiotów </w:t>
      </w:r>
      <w:r w:rsidRPr="00352609">
        <w:t>publicznych</w:t>
      </w:r>
      <w:r w:rsidRPr="00BF6615">
        <w:rPr>
          <w:rFonts w:cstheme="minorHAnsi"/>
          <w:bCs/>
        </w:rPr>
        <w:t xml:space="preserve"> wymagające poprawy</w:t>
      </w:r>
    </w:p>
    <w:p w14:paraId="02AFB262" w14:textId="44FD3F7C" w:rsidR="00B13433" w:rsidRPr="00BF6615" w:rsidRDefault="00B13433" w:rsidP="007E26B5">
      <w:pPr>
        <w:rPr>
          <w:rFonts w:cstheme="minorHAnsi"/>
        </w:rPr>
      </w:pPr>
      <w:r w:rsidRPr="00BF6615">
        <w:rPr>
          <w:rFonts w:cstheme="minorHAnsi"/>
        </w:rPr>
        <w:t>Najczęściej wskazywano strony lokalnych urzędów i strony administracyjne – np. dotyczące profilu zaufanego – jako szczególnie trudne. „Profil zaufany</w:t>
      </w:r>
      <w:r w:rsidR="00D024E8">
        <w:rPr>
          <w:rFonts w:cstheme="minorHAnsi"/>
        </w:rPr>
        <w:t>.</w:t>
      </w:r>
      <w:r w:rsidRPr="00BF6615">
        <w:rPr>
          <w:rFonts w:cstheme="minorHAnsi"/>
        </w:rPr>
        <w:t xml:space="preserve">. to dla mnie za trudne” – mówił jeden z respondentów. Dla wielu osób nawet rejestracja do systemów, takich jak Internetowe Konto Pacjenta czy </w:t>
      </w:r>
      <w:proofErr w:type="spellStart"/>
      <w:r w:rsidRPr="00BF6615">
        <w:rPr>
          <w:rFonts w:cstheme="minorHAnsi"/>
        </w:rPr>
        <w:t>ePUAP</w:t>
      </w:r>
      <w:proofErr w:type="spellEnd"/>
      <w:r w:rsidRPr="00BF6615">
        <w:rPr>
          <w:rFonts w:cstheme="minorHAnsi"/>
        </w:rPr>
        <w:t>, była niemożliwa bez pomocy z zewnątrz. Brakuje tłumaczeń na PJM, prostych instrukcji i logicznego układu. Respondenci deklarowali rezygnację z korzystania z tych stron z powodu frustracji. Strony te wymagają pilnej poprawy dostępności wizualnej i językowej.</w:t>
      </w:r>
    </w:p>
    <w:p w14:paraId="295AFCBF" w14:textId="77777777" w:rsidR="00B13433" w:rsidRPr="00BF6615" w:rsidRDefault="00B13433" w:rsidP="00B271C3">
      <w:pPr>
        <w:pStyle w:val="Nagwek4"/>
        <w:rPr>
          <w:rFonts w:cstheme="minorHAnsi"/>
          <w:bCs/>
        </w:rPr>
      </w:pPr>
      <w:r w:rsidRPr="00BF6615">
        <w:rPr>
          <w:rFonts w:cstheme="minorHAnsi"/>
          <w:bCs/>
        </w:rPr>
        <w:t xml:space="preserve">Najczęściej napotykane </w:t>
      </w:r>
      <w:r w:rsidRPr="00352609">
        <w:t>trudności</w:t>
      </w:r>
    </w:p>
    <w:p w14:paraId="229EE623" w14:textId="3FF7F6A5" w:rsidR="00B13433" w:rsidRPr="00BF6615" w:rsidRDefault="00B13433" w:rsidP="007E26B5">
      <w:pPr>
        <w:rPr>
          <w:rFonts w:cstheme="minorHAnsi"/>
        </w:rPr>
      </w:pPr>
      <w:r w:rsidRPr="00BF6615">
        <w:rPr>
          <w:rFonts w:cstheme="minorHAnsi"/>
        </w:rPr>
        <w:t>Największą barierą jest brak komunikacji w języku migowym oraz skomplikowana forma tekstowa. „Zapomniane hasło (i nie ma tłumacza)” – wspomniał jeden z badanych. Formularze online są niezrozumiałe, a treści często zawierają trudny język. Brak instrukcji, ikon lub prostych komunikatów sprawia, że osoby z problemami słuchu czują się zagubione. Wielu uczestników rezygnuje z dalszych prób, gdy tylko napotkają problem. Pojawia się również lęk przed błędem i brak pewności, jak go naprawić bez pomocy.</w:t>
      </w:r>
    </w:p>
    <w:p w14:paraId="44EF806A" w14:textId="77777777" w:rsidR="00B13433" w:rsidRPr="00BF6615" w:rsidRDefault="00B13433" w:rsidP="00B271C3">
      <w:pPr>
        <w:pStyle w:val="Nagwek4"/>
        <w:rPr>
          <w:rFonts w:cstheme="minorHAnsi"/>
          <w:bCs/>
        </w:rPr>
      </w:pPr>
      <w:r w:rsidRPr="00BF6615">
        <w:rPr>
          <w:rFonts w:cstheme="minorHAnsi"/>
          <w:bCs/>
        </w:rPr>
        <w:t xml:space="preserve">Największe </w:t>
      </w:r>
      <w:r w:rsidRPr="00352609">
        <w:t>problemy</w:t>
      </w:r>
      <w:r w:rsidRPr="00BF6615">
        <w:rPr>
          <w:rFonts w:cstheme="minorHAnsi"/>
          <w:bCs/>
        </w:rPr>
        <w:t xml:space="preserve"> i potrzeby</w:t>
      </w:r>
    </w:p>
    <w:p w14:paraId="619ABD35" w14:textId="2CC3C682" w:rsidR="00E57D5E" w:rsidRPr="00BF6615" w:rsidRDefault="00B13433" w:rsidP="00E57D5E">
      <w:pPr>
        <w:rPr>
          <w:rFonts w:cstheme="minorHAnsi"/>
        </w:rPr>
      </w:pPr>
      <w:r w:rsidRPr="00BF6615">
        <w:rPr>
          <w:rFonts w:cstheme="minorHAnsi"/>
        </w:rPr>
        <w:t>Główne problemy to brak tłumacza PJM, trudny język i nieintuicyjna nawigacja. Strony nie prowadzą użytkownika krok po kroku i nie oferują wsparcia w sytuacjach trudnych. „Strony nie informują o wszystkich problemach” – podkreślano. Osoby słabosłyszące i niesłyszące czują się zagubione, gdy nie mogą znaleźć informacji w dostępnej formie. Wskazywana potrzeba to przede wszystkim uproszczenie stron/aplikacji, więcej wizualnych instrukcji i filmy w PJM. Duże znaczenie ma także dostęp do bezpośredniego kontaktu z instytucją – nie głosowego, lecz tekstowego lub wizualnego</w:t>
      </w:r>
      <w:r w:rsidR="00E57D5E">
        <w:rPr>
          <w:rFonts w:cstheme="minorHAnsi"/>
        </w:rPr>
        <w:t>.</w:t>
      </w:r>
    </w:p>
    <w:p w14:paraId="2BE69E05" w14:textId="6DA32C96" w:rsidR="00B13433" w:rsidRPr="00BF6615" w:rsidRDefault="00E57D5E" w:rsidP="00B271C3">
      <w:pPr>
        <w:pStyle w:val="Nagwek4"/>
        <w:rPr>
          <w:rFonts w:cstheme="minorHAnsi"/>
          <w:bCs/>
        </w:rPr>
      </w:pPr>
      <w:r>
        <w:rPr>
          <w:rFonts w:cstheme="minorHAnsi"/>
          <w:bCs/>
        </w:rPr>
        <w:t>P</w:t>
      </w:r>
      <w:r w:rsidR="00B13433" w:rsidRPr="00BF6615">
        <w:rPr>
          <w:rFonts w:cstheme="minorHAnsi"/>
          <w:bCs/>
        </w:rPr>
        <w:t xml:space="preserve">roponowane </w:t>
      </w:r>
      <w:r w:rsidR="00B13433" w:rsidRPr="00352609">
        <w:t>rozwiązania</w:t>
      </w:r>
    </w:p>
    <w:p w14:paraId="4948F52A" w14:textId="6D4A57A8" w:rsidR="00B13433" w:rsidRPr="00BF6615" w:rsidRDefault="00B13433" w:rsidP="007E26B5">
      <w:pPr>
        <w:rPr>
          <w:rFonts w:cstheme="minorHAnsi"/>
        </w:rPr>
      </w:pPr>
      <w:r w:rsidRPr="00BF6615">
        <w:rPr>
          <w:rFonts w:cstheme="minorHAnsi"/>
        </w:rPr>
        <w:t xml:space="preserve">Respondenci wskazują, że strony publiczne powinny zawierać tłumaczenia na język migowy oraz proste instrukcje wideo. Potrzebna jest też logiczna nawigacja i ograniczenie ilości tekstu. „Najbardziej potrzebne to, żeby wszystko można było intuicyjnie i szybko znaleźć” – podsumowano. Wskazywano też potrzebę większej spójności między stronami – by </w:t>
      </w:r>
      <w:r w:rsidRPr="00BF6615">
        <w:rPr>
          <w:rFonts w:cstheme="minorHAnsi"/>
        </w:rPr>
        <w:lastRenderedPageBreak/>
        <w:t>użytkownik nie musiał się za każdym razem uczyć od nowa. Ważne jest wprowadzenie wizualnych podpowiedzi, większych czcionek i możliwości dostosowania kontrastu. Pomocne byłyby również warsztaty i poradniki dla osób słabosłyszących i niesłyszących.</w:t>
      </w:r>
    </w:p>
    <w:p w14:paraId="0EF233D0" w14:textId="77777777" w:rsidR="00B13433" w:rsidRPr="00BF6615" w:rsidRDefault="00B13433" w:rsidP="00B271C3">
      <w:pPr>
        <w:pStyle w:val="Nagwek4"/>
        <w:rPr>
          <w:rFonts w:cstheme="minorHAnsi"/>
          <w:bCs/>
        </w:rPr>
      </w:pPr>
      <w:r w:rsidRPr="00BF6615">
        <w:rPr>
          <w:rFonts w:cstheme="minorHAnsi"/>
          <w:bCs/>
        </w:rPr>
        <w:t xml:space="preserve">Oczekiwania wobec </w:t>
      </w:r>
      <w:r w:rsidRPr="00352609">
        <w:t>dostępności</w:t>
      </w:r>
      <w:r w:rsidRPr="00BF6615">
        <w:rPr>
          <w:rFonts w:cstheme="minorHAnsi"/>
          <w:bCs/>
        </w:rPr>
        <w:t xml:space="preserve"> cyfrowej</w:t>
      </w:r>
    </w:p>
    <w:p w14:paraId="7CBA6715" w14:textId="0F19516B" w:rsidR="00B13433" w:rsidRPr="00BF6615" w:rsidRDefault="00B13433" w:rsidP="007E26B5">
      <w:pPr>
        <w:rPr>
          <w:rFonts w:cstheme="minorHAnsi"/>
        </w:rPr>
      </w:pPr>
      <w:r w:rsidRPr="00BF6615">
        <w:rPr>
          <w:rFonts w:cstheme="minorHAnsi"/>
        </w:rPr>
        <w:t xml:space="preserve">Oczekiwania osób słabosłyszących i niesłyszących skupiają się na prostocie, czytelności i obecności języka migowego. Najważniejsze są przejrzystość treści, łatwa nawigacja </w:t>
      </w:r>
      <w:r w:rsidR="000A692A" w:rsidRPr="00BF6615">
        <w:rPr>
          <w:rFonts w:cstheme="minorHAnsi"/>
        </w:rPr>
        <w:t>i</w:t>
      </w:r>
      <w:r w:rsidR="000A692A">
        <w:rPr>
          <w:rFonts w:cstheme="minorHAnsi"/>
        </w:rPr>
        <w:t> </w:t>
      </w:r>
      <w:r w:rsidRPr="00BF6615">
        <w:rPr>
          <w:rFonts w:cstheme="minorHAnsi"/>
        </w:rPr>
        <w:t xml:space="preserve">obecność filmów w PJM. „Żółte na białym zlewa się” – zauważono, co pokazuje potrzebę lepszego kontrastu. Kluczowe jest też dostosowanie formularzy i komunikatów do osób </w:t>
      </w:r>
      <w:r w:rsidR="000A692A" w:rsidRPr="00BF6615">
        <w:rPr>
          <w:rFonts w:cstheme="minorHAnsi"/>
        </w:rPr>
        <w:t>z</w:t>
      </w:r>
      <w:r w:rsidR="000A692A">
        <w:rPr>
          <w:rFonts w:cstheme="minorHAnsi"/>
        </w:rPr>
        <w:t> </w:t>
      </w:r>
      <w:r w:rsidRPr="00BF6615">
        <w:rPr>
          <w:rFonts w:cstheme="minorHAnsi"/>
        </w:rPr>
        <w:t>ograniczeniami w rozumieniu tekstu pisanego. Użytkownicy chcieliby, by strony działały podobnie i przewidywalnie. Brakuje także możliwości bezpośredniego kontaktu wizualnego, np. przez czat w PJM.</w:t>
      </w:r>
    </w:p>
    <w:p w14:paraId="16119D7F" w14:textId="77777777" w:rsidR="00B13433" w:rsidRPr="00BF6615" w:rsidRDefault="00B13433" w:rsidP="00B271C3">
      <w:pPr>
        <w:pStyle w:val="Nagwek4"/>
        <w:rPr>
          <w:rFonts w:cstheme="minorHAnsi"/>
          <w:bCs/>
        </w:rPr>
      </w:pPr>
      <w:r w:rsidRPr="00BF6615">
        <w:rPr>
          <w:rFonts w:cstheme="minorHAnsi"/>
          <w:bCs/>
        </w:rPr>
        <w:t xml:space="preserve">Priorytetowe strony i </w:t>
      </w:r>
      <w:r w:rsidRPr="00352609">
        <w:t>aplikacje</w:t>
      </w:r>
      <w:r w:rsidRPr="00BF6615">
        <w:rPr>
          <w:rFonts w:cstheme="minorHAnsi"/>
          <w:bCs/>
        </w:rPr>
        <w:t xml:space="preserve"> podmiotów publicznych wymagające poprawy</w:t>
      </w:r>
    </w:p>
    <w:p w14:paraId="3CD3D732" w14:textId="043445CC" w:rsidR="00B13433" w:rsidRPr="00BF6615" w:rsidRDefault="00B13433" w:rsidP="007E26B5">
      <w:pPr>
        <w:rPr>
          <w:rFonts w:cstheme="minorHAnsi"/>
        </w:rPr>
      </w:pPr>
      <w:r w:rsidRPr="00BF6615">
        <w:rPr>
          <w:rFonts w:cstheme="minorHAnsi"/>
        </w:rPr>
        <w:t xml:space="preserve">Najczęściej wskazywano lokalne strony urzędów, strony zdrowotne oraz aplikacje do dokumentów cyfrowych. „Bardziej do edukacji i zdrowia” – zaznaczył jeden z respondentów, pytany o priorytety. Respondenci wskazują, że strony urzędów miast i gmin, Internetowe Konto Pacjenta czy </w:t>
      </w:r>
      <w:proofErr w:type="spellStart"/>
      <w:r w:rsidRPr="00BF6615">
        <w:rPr>
          <w:rFonts w:cstheme="minorHAnsi"/>
        </w:rPr>
        <w:t>mObywatel</w:t>
      </w:r>
      <w:proofErr w:type="spellEnd"/>
      <w:r w:rsidRPr="00BF6615">
        <w:rPr>
          <w:rFonts w:cstheme="minorHAnsi"/>
        </w:rPr>
        <w:t xml:space="preserve"> powinny być poprawione w pierwszej kolejności. To właśnie te strony są im najbardziej potrzebne do załatwiania spraw codziennych. W szczególności wymieniano też portale transportowe – kluczowe dla samodzielnego poruszania się. Wszystkie te strony powinny być dostosowane do potrzeb wizualnych i komunikacyjnych osób słabosłyszących i niesłyszących.</w:t>
      </w:r>
    </w:p>
    <w:p w14:paraId="25F36CA3" w14:textId="77777777" w:rsidR="00B13433" w:rsidRPr="00BF6615" w:rsidRDefault="00B13433" w:rsidP="00B271C3">
      <w:pPr>
        <w:pStyle w:val="Nagwek4"/>
        <w:rPr>
          <w:rFonts w:cstheme="minorHAnsi"/>
          <w:bCs/>
        </w:rPr>
      </w:pPr>
      <w:r w:rsidRPr="00BF6615">
        <w:rPr>
          <w:rFonts w:cstheme="minorHAnsi"/>
          <w:bCs/>
        </w:rPr>
        <w:t xml:space="preserve">Deklaracja </w:t>
      </w:r>
      <w:r w:rsidRPr="00352609">
        <w:t>dostępności</w:t>
      </w:r>
    </w:p>
    <w:p w14:paraId="069B6A08" w14:textId="42292BCA" w:rsidR="00B13433" w:rsidRPr="00BF6615" w:rsidRDefault="00B13433" w:rsidP="007E26B5">
      <w:pPr>
        <w:rPr>
          <w:rFonts w:cstheme="minorHAnsi"/>
        </w:rPr>
      </w:pPr>
      <w:r w:rsidRPr="00BF6615">
        <w:rPr>
          <w:rFonts w:cstheme="minorHAnsi"/>
        </w:rPr>
        <w:t>Deklaracje dostępności są dla badanych nieznane i nieczytelne. Badani nie korzystają z nich i nie wiedzą, do czego służą. „Nie, nie wiem co to jest” – odpowiedział jeden z respondentów zapytany o deklaracje. Dla osób słabosłyszących i niesłyszących liczy się faktyczna dostępność strony, nie dokument ją opisujący. Brakuje im świadomości, że taka deklaracja istnieje i może zawierać przydatne informacje. Deklaracje dostępności są zbyt formalne i nieprzydatne bez wersji w PJM.</w:t>
      </w:r>
    </w:p>
    <w:p w14:paraId="133F6CF5" w14:textId="77777777" w:rsidR="00B13433" w:rsidRPr="00BF6615" w:rsidRDefault="00B13433" w:rsidP="00B271C3">
      <w:pPr>
        <w:pStyle w:val="Nagwek4"/>
        <w:rPr>
          <w:rFonts w:cstheme="minorHAnsi"/>
          <w:bCs/>
        </w:rPr>
      </w:pPr>
      <w:r w:rsidRPr="00352609">
        <w:t>Podsumowanie</w:t>
      </w:r>
    </w:p>
    <w:p w14:paraId="0343A163" w14:textId="246442FB" w:rsidR="00B13433" w:rsidRPr="00BF6615" w:rsidRDefault="00B13433" w:rsidP="007E26B5">
      <w:pPr>
        <w:rPr>
          <w:rFonts w:cstheme="minorHAnsi"/>
        </w:rPr>
      </w:pPr>
      <w:r w:rsidRPr="00BF6615">
        <w:rPr>
          <w:rFonts w:cstheme="minorHAnsi"/>
        </w:rPr>
        <w:t>Osoby słabosłyszące i niesłyszące korzystają z Internetu głównie w celach informacyjnych, rozrywkowych i komunikacyjnych. Strony instytucji publicznych są dla nich w większości niedostępne – nie mają tłumaczeń na PJM, zawierają trudny język i są nieintuicyjne. Dominującą postawą jest unikanie samodzielnego korzystania i szukanie pomocy u bliskich. Potrzeby użytkowników obejmują uproszczenie stron/aplikacji, wizualne instrukcje, czat z tłumaczem PJM i dostępność wszystkich ważnych informacji. Priorytetowo powinny być poprawione strony lokalnych urzędów, systemy zdrowotne oraz aplikacje związane z dokumentami i transportem. Bez realnych zmian osoby słabosłyszące i niesłyszące pozostają wykluczone z korzystania z usług publicznych online.</w:t>
      </w:r>
      <w:r w:rsidR="003C551E" w:rsidRPr="00BF6615">
        <w:rPr>
          <w:rFonts w:cstheme="minorHAnsi"/>
        </w:rPr>
        <w:t xml:space="preserve"> </w:t>
      </w:r>
    </w:p>
    <w:p w14:paraId="54931726" w14:textId="2FF1003D" w:rsidR="00B13433" w:rsidRPr="00BF6615" w:rsidRDefault="00B13433">
      <w:pPr>
        <w:pStyle w:val="Nagwek3"/>
        <w:numPr>
          <w:ilvl w:val="1"/>
          <w:numId w:val="6"/>
        </w:numPr>
      </w:pPr>
      <w:bookmarkStart w:id="45" w:name="_Toc196827579"/>
      <w:bookmarkStart w:id="46" w:name="_Toc204179228"/>
      <w:r w:rsidRPr="00BF6615">
        <w:lastRenderedPageBreak/>
        <w:t>Osoby z dysfunkcją narządu ruchu</w:t>
      </w:r>
      <w:bookmarkEnd w:id="45"/>
      <w:bookmarkEnd w:id="46"/>
    </w:p>
    <w:p w14:paraId="29EBF1E3" w14:textId="77777777" w:rsidR="00B13433" w:rsidRPr="00BF6615" w:rsidRDefault="00B13433" w:rsidP="00B271C3">
      <w:pPr>
        <w:pStyle w:val="Nagwek4"/>
        <w:rPr>
          <w:rFonts w:cstheme="minorHAnsi"/>
          <w:bCs/>
        </w:rPr>
      </w:pPr>
      <w:r w:rsidRPr="00BF6615">
        <w:rPr>
          <w:rFonts w:cstheme="minorHAnsi"/>
          <w:bCs/>
        </w:rPr>
        <w:t xml:space="preserve">Powody i cele </w:t>
      </w:r>
      <w:r w:rsidRPr="00352609">
        <w:t>korzystania</w:t>
      </w:r>
      <w:r w:rsidRPr="00BF6615">
        <w:rPr>
          <w:rFonts w:cstheme="minorHAnsi"/>
          <w:bCs/>
        </w:rPr>
        <w:t xml:space="preserve"> z Internetu</w:t>
      </w:r>
    </w:p>
    <w:p w14:paraId="5BAB5D37" w14:textId="4081BB13" w:rsidR="00B13433" w:rsidRPr="00BF6615" w:rsidRDefault="00B13433" w:rsidP="007E26B5">
      <w:pPr>
        <w:rPr>
          <w:rFonts w:cstheme="minorHAnsi"/>
        </w:rPr>
      </w:pPr>
      <w:r w:rsidRPr="00BF6615">
        <w:rPr>
          <w:rFonts w:cstheme="minorHAnsi"/>
        </w:rPr>
        <w:t>Osoby z niepełnosprawnością ruchową korzystają z Internetu zarówno w celach praktycznych, jak i rozrywkowych czy zawodowych. Dla wielu z nich sieć to „główne źródło wiedzy”, miejsce pracy, ale też codzienna pomoc w komunikacji, zakupach i organizacji życia. Internet pozwala ograniczyć konieczność wychodzenia z domu, co bywa kluczowe w ich sytuacji. Jak podkreślał jeden z respondentów: „Internet… to część mnie”. Wskazywano również na jego rolę w szukaniu informacji zdrowotnych, podatkowych i dotyczących wsparcia dla osób z niepełnosprawnościami.</w:t>
      </w:r>
    </w:p>
    <w:p w14:paraId="5823F952" w14:textId="77777777" w:rsidR="00B13433" w:rsidRPr="00BF6615" w:rsidRDefault="00B13433" w:rsidP="00B271C3">
      <w:pPr>
        <w:pStyle w:val="Nagwek4"/>
        <w:rPr>
          <w:rFonts w:cstheme="minorHAnsi"/>
          <w:bCs/>
        </w:rPr>
      </w:pPr>
      <w:r w:rsidRPr="00BF6615">
        <w:rPr>
          <w:rFonts w:cstheme="minorHAnsi"/>
          <w:bCs/>
        </w:rPr>
        <w:t xml:space="preserve">Korzystanie z aplikacji i </w:t>
      </w:r>
      <w:r w:rsidRPr="00352609">
        <w:t>stron</w:t>
      </w:r>
      <w:r w:rsidRPr="00BF6615">
        <w:rPr>
          <w:rFonts w:cstheme="minorHAnsi"/>
          <w:bCs/>
        </w:rPr>
        <w:t xml:space="preserve"> podmiotów publicznych</w:t>
      </w:r>
    </w:p>
    <w:p w14:paraId="77209FAB" w14:textId="4BF2A7CF" w:rsidR="00B13433" w:rsidRPr="00BF6615" w:rsidRDefault="00B13433" w:rsidP="007E26B5">
      <w:pPr>
        <w:rPr>
          <w:rFonts w:cstheme="minorHAnsi"/>
        </w:rPr>
      </w:pPr>
      <w:r w:rsidRPr="00BF6615">
        <w:rPr>
          <w:rFonts w:cstheme="minorHAnsi"/>
        </w:rPr>
        <w:t xml:space="preserve">Respondenci korzystają regularnie z takich aplikacji jak </w:t>
      </w:r>
      <w:proofErr w:type="spellStart"/>
      <w:r w:rsidRPr="00BF6615">
        <w:rPr>
          <w:rFonts w:cstheme="minorHAnsi"/>
        </w:rPr>
        <w:t>mObywatel</w:t>
      </w:r>
      <w:proofErr w:type="spellEnd"/>
      <w:r w:rsidRPr="00BF6615">
        <w:rPr>
          <w:rFonts w:cstheme="minorHAnsi"/>
        </w:rPr>
        <w:t xml:space="preserve">, Internetowe Konto Pacjenta (IKP), </w:t>
      </w:r>
      <w:proofErr w:type="spellStart"/>
      <w:r w:rsidRPr="00BF6615">
        <w:rPr>
          <w:rFonts w:cstheme="minorHAnsi"/>
        </w:rPr>
        <w:t>epodatki</w:t>
      </w:r>
      <w:proofErr w:type="spellEnd"/>
      <w:r w:rsidRPr="00BF6615">
        <w:rPr>
          <w:rFonts w:cstheme="minorHAnsi"/>
        </w:rPr>
        <w:t xml:space="preserve">, PUE ZUS, a także stron urzędów miast. Narzędzia te są używane do składania wniosków, sprawdzania statusów spraw czy rejestracji do lekarzy. „Jeśli tylko się da, to online” – zaznaczyła jedna z badanych, odzwierciedlając preferencję do cyfrowego kontaktu z urzędami. Inni wskazywali na przydatność usług transportowych czy </w:t>
      </w:r>
      <w:proofErr w:type="spellStart"/>
      <w:r w:rsidRPr="00BF6615">
        <w:rPr>
          <w:rFonts w:cstheme="minorHAnsi"/>
        </w:rPr>
        <w:t>ePUAP</w:t>
      </w:r>
      <w:proofErr w:type="spellEnd"/>
      <w:r w:rsidRPr="00BF6615">
        <w:rPr>
          <w:rFonts w:cstheme="minorHAnsi"/>
        </w:rPr>
        <w:t>-u. Z drugiej strony część osób nadal wybiera kontakt osobisty lub telefoniczny z powodu barier technicznych lub zaufania.</w:t>
      </w:r>
    </w:p>
    <w:p w14:paraId="399A5E01" w14:textId="77777777" w:rsidR="00B13433" w:rsidRPr="00BF6615" w:rsidRDefault="00B13433" w:rsidP="00B271C3">
      <w:pPr>
        <w:pStyle w:val="Nagwek4"/>
        <w:rPr>
          <w:rFonts w:cstheme="minorHAnsi"/>
          <w:bCs/>
        </w:rPr>
      </w:pPr>
      <w:r w:rsidRPr="00BF6615">
        <w:rPr>
          <w:rFonts w:cstheme="minorHAnsi"/>
          <w:bCs/>
        </w:rPr>
        <w:t xml:space="preserve">Ocena użyteczności stron i </w:t>
      </w:r>
      <w:r w:rsidRPr="00352609">
        <w:t>aplikacji</w:t>
      </w:r>
      <w:r w:rsidRPr="00BF6615">
        <w:rPr>
          <w:rFonts w:cstheme="minorHAnsi"/>
          <w:bCs/>
        </w:rPr>
        <w:t xml:space="preserve"> podmiotów publicznych</w:t>
      </w:r>
    </w:p>
    <w:p w14:paraId="72152201" w14:textId="5955314A" w:rsidR="00B13433" w:rsidRPr="00BF6615" w:rsidRDefault="00B13433" w:rsidP="007E26B5">
      <w:pPr>
        <w:rPr>
          <w:rFonts w:cstheme="minorHAnsi"/>
        </w:rPr>
      </w:pPr>
      <w:r w:rsidRPr="00BF6615">
        <w:rPr>
          <w:rFonts w:cstheme="minorHAnsi"/>
        </w:rPr>
        <w:t xml:space="preserve">Opinie na temat użyteczności są mieszane. Pochwalono </w:t>
      </w:r>
      <w:proofErr w:type="spellStart"/>
      <w:r w:rsidRPr="00BF6615">
        <w:rPr>
          <w:rFonts w:cstheme="minorHAnsi"/>
        </w:rPr>
        <w:t>mObywatel</w:t>
      </w:r>
      <w:proofErr w:type="spellEnd"/>
      <w:r w:rsidRPr="00BF6615">
        <w:rPr>
          <w:rFonts w:cstheme="minorHAnsi"/>
        </w:rPr>
        <w:t xml:space="preserve"> za prostotę i funkcjonalność, ale strony takie jak PUE ZUS, strony BIP czy portale rejestracyjne szpitali określano jako „straszne”, „nieintuicyjne” i „niedostosowane”. Jedna z osób narzekała: „Rejestracja online w szpitalu? Nigdy nie działała”. Problematyczna jest też rozbieżność </w:t>
      </w:r>
      <w:r w:rsidR="000A692A" w:rsidRPr="00BF6615">
        <w:rPr>
          <w:rFonts w:cstheme="minorHAnsi"/>
        </w:rPr>
        <w:t>w</w:t>
      </w:r>
      <w:r w:rsidR="000A692A">
        <w:rPr>
          <w:rFonts w:cstheme="minorHAnsi"/>
        </w:rPr>
        <w:t> </w:t>
      </w:r>
      <w:r w:rsidRPr="00BF6615">
        <w:rPr>
          <w:rFonts w:cstheme="minorHAnsi"/>
        </w:rPr>
        <w:t>strukturach między stronami (np. BIP różnych miast). Strony bywają przeładowane informacjami, z trudnym językiem, bez logicznego pogrupowania tematów.</w:t>
      </w:r>
    </w:p>
    <w:p w14:paraId="2FC671CE" w14:textId="77777777" w:rsidR="00B13433" w:rsidRPr="00BF6615" w:rsidRDefault="00B13433" w:rsidP="00B271C3">
      <w:pPr>
        <w:pStyle w:val="Nagwek4"/>
        <w:rPr>
          <w:rFonts w:cstheme="minorHAnsi"/>
          <w:bCs/>
        </w:rPr>
      </w:pPr>
      <w:r w:rsidRPr="00BF6615">
        <w:rPr>
          <w:rFonts w:cstheme="minorHAnsi"/>
          <w:bCs/>
        </w:rPr>
        <w:t xml:space="preserve">Przyczyny korzystania ze stron i </w:t>
      </w:r>
      <w:r w:rsidRPr="00352609">
        <w:t>aplikacji</w:t>
      </w:r>
      <w:r w:rsidRPr="00BF6615">
        <w:rPr>
          <w:rFonts w:cstheme="minorHAnsi"/>
          <w:bCs/>
        </w:rPr>
        <w:t xml:space="preserve"> podmiotów publicznych</w:t>
      </w:r>
    </w:p>
    <w:p w14:paraId="6B08C5F9" w14:textId="1B360050" w:rsidR="00B13433" w:rsidRPr="00BF6615" w:rsidRDefault="00B13433" w:rsidP="007E26B5">
      <w:pPr>
        <w:rPr>
          <w:rFonts w:cstheme="minorHAnsi"/>
        </w:rPr>
      </w:pPr>
      <w:r w:rsidRPr="00BF6615">
        <w:rPr>
          <w:rFonts w:cstheme="minorHAnsi"/>
        </w:rPr>
        <w:t>Główną motywacją jest chęć ograniczenia wychodzenia z domu – szczególnie istotna dla osób z ograniczoną mobilnością. Internet wykorzystywany jest do składania wniosków (np. dofinansowań z PFRON-u), opłacania rachunków, obsługi podatków, kontaktu z urzędami czy zamawiania dokumentów. Jak zauważyła jedna z osób: „Dzięki temu nie muszę jechać do urzędu, mogę to załatwić zdalnie”. Internet daje też dostęp do informacji o przysługujących świadczeniach i ulgach.</w:t>
      </w:r>
    </w:p>
    <w:p w14:paraId="4A9FCF00" w14:textId="77777777" w:rsidR="00B13433" w:rsidRPr="00BF6615" w:rsidRDefault="00B13433" w:rsidP="00B271C3">
      <w:pPr>
        <w:pStyle w:val="Nagwek4"/>
        <w:rPr>
          <w:rFonts w:cstheme="minorHAnsi"/>
          <w:bCs/>
        </w:rPr>
      </w:pPr>
      <w:r w:rsidRPr="00BF6615">
        <w:rPr>
          <w:rFonts w:cstheme="minorHAnsi"/>
          <w:bCs/>
        </w:rPr>
        <w:t xml:space="preserve">Strony i aplikacje podmiotów </w:t>
      </w:r>
      <w:r w:rsidRPr="00352609">
        <w:t>publicznych</w:t>
      </w:r>
      <w:r w:rsidRPr="00BF6615">
        <w:rPr>
          <w:rFonts w:cstheme="minorHAnsi"/>
          <w:bCs/>
        </w:rPr>
        <w:t xml:space="preserve"> wymagające poprawy</w:t>
      </w:r>
    </w:p>
    <w:p w14:paraId="6FD5226A" w14:textId="3450BF4C" w:rsidR="00B13433" w:rsidRPr="00BF6615" w:rsidRDefault="00B13433" w:rsidP="007E26B5">
      <w:pPr>
        <w:rPr>
          <w:rFonts w:cstheme="minorHAnsi"/>
        </w:rPr>
      </w:pPr>
      <w:r w:rsidRPr="00BF6615">
        <w:rPr>
          <w:rFonts w:cstheme="minorHAnsi"/>
        </w:rPr>
        <w:t xml:space="preserve">Najczęściej wskazywano na platformę PFRON, systemy rejestracji medycznej oraz ZUS jako wymagające pilnej poprawy. „Strona PFRON-u to dramat” – powiedziała jedna z respondentek, wskazując na błędy, brak intuicyjności i język branżowy. Również BIP-y </w:t>
      </w:r>
      <w:r w:rsidR="000A692A" w:rsidRPr="00BF6615">
        <w:rPr>
          <w:rFonts w:cstheme="minorHAnsi"/>
        </w:rPr>
        <w:t>i</w:t>
      </w:r>
      <w:r w:rsidR="000A692A">
        <w:rPr>
          <w:rFonts w:cstheme="minorHAnsi"/>
        </w:rPr>
        <w:t> </w:t>
      </w:r>
      <w:r w:rsidRPr="00BF6615">
        <w:rPr>
          <w:rFonts w:cstheme="minorHAnsi"/>
        </w:rPr>
        <w:t>strony miast były krytykowane za chaos informacyjny i nieczytelność</w:t>
      </w:r>
      <w:r w:rsidR="00A0798C">
        <w:rPr>
          <w:rFonts w:cstheme="minorHAnsi"/>
        </w:rPr>
        <w:t>.</w:t>
      </w:r>
      <w:r w:rsidRPr="00BF6615">
        <w:rPr>
          <w:rFonts w:cstheme="minorHAnsi"/>
        </w:rPr>
        <w:t xml:space="preserve"> Problemy dotyczyły też integracji formularzy i konieczności wielokrotnego wprowadzania tych samych danyc</w:t>
      </w:r>
      <w:r w:rsidR="00A0798C">
        <w:rPr>
          <w:rFonts w:cstheme="minorHAnsi"/>
        </w:rPr>
        <w:t>h</w:t>
      </w:r>
      <w:r w:rsidRPr="00BF6615">
        <w:rPr>
          <w:rFonts w:cstheme="minorHAnsi"/>
        </w:rPr>
        <w:t>.</w:t>
      </w:r>
    </w:p>
    <w:p w14:paraId="5E964088" w14:textId="77777777" w:rsidR="00B13433" w:rsidRPr="00BF6615" w:rsidRDefault="00B13433" w:rsidP="00B271C3">
      <w:pPr>
        <w:pStyle w:val="Nagwek4"/>
        <w:rPr>
          <w:rFonts w:cstheme="minorHAnsi"/>
          <w:bCs/>
        </w:rPr>
      </w:pPr>
      <w:r w:rsidRPr="00BF6615">
        <w:rPr>
          <w:rFonts w:cstheme="minorHAnsi"/>
          <w:bCs/>
        </w:rPr>
        <w:lastRenderedPageBreak/>
        <w:t xml:space="preserve">Najczęściej napotykane </w:t>
      </w:r>
      <w:r w:rsidRPr="00352609">
        <w:t>trudności</w:t>
      </w:r>
    </w:p>
    <w:p w14:paraId="45367D58" w14:textId="65DA29E2" w:rsidR="00B13433" w:rsidRPr="00BF6615" w:rsidRDefault="00B13433" w:rsidP="007E26B5">
      <w:pPr>
        <w:rPr>
          <w:rFonts w:cstheme="minorHAnsi"/>
        </w:rPr>
      </w:pPr>
      <w:r w:rsidRPr="00BF6615">
        <w:rPr>
          <w:rFonts w:cstheme="minorHAnsi"/>
        </w:rPr>
        <w:t>Do głównych barier należą: nieczytelny układ, brak dostosowania do powiększenia czcionki, wyskakujące okna zasłaniające treść (pop-</w:t>
      </w:r>
      <w:proofErr w:type="spellStart"/>
      <w:r w:rsidRPr="00BF6615">
        <w:rPr>
          <w:rFonts w:cstheme="minorHAnsi"/>
        </w:rPr>
        <w:t>upy</w:t>
      </w:r>
      <w:proofErr w:type="spellEnd"/>
      <w:r w:rsidRPr="00BF6615">
        <w:rPr>
          <w:rFonts w:cstheme="minorHAnsi"/>
        </w:rPr>
        <w:t xml:space="preserve">), trudności z logowaniem oraz skomplikowane formularze. Użytkownicy skarżyli się też na brak zapisu historii danych – „Muszę za każdym razem wszystko wpisywać od nowa”. Złe doświadczenia pojawiają się również przy wyszukiwaniu informacji – „Nie wiem, czy coś wysłałam i kto to odebrał” – mówiła respondentka o </w:t>
      </w:r>
      <w:proofErr w:type="spellStart"/>
      <w:r w:rsidRPr="00BF6615">
        <w:rPr>
          <w:rFonts w:cstheme="minorHAnsi"/>
        </w:rPr>
        <w:t>ePUAP</w:t>
      </w:r>
      <w:proofErr w:type="spellEnd"/>
      <w:r w:rsidRPr="00BF6615">
        <w:rPr>
          <w:rFonts w:cstheme="minorHAnsi"/>
        </w:rPr>
        <w:t>.</w:t>
      </w:r>
    </w:p>
    <w:p w14:paraId="56736DF0" w14:textId="77777777" w:rsidR="00B13433" w:rsidRPr="00BF6615" w:rsidRDefault="00B13433" w:rsidP="00B271C3">
      <w:pPr>
        <w:pStyle w:val="Nagwek4"/>
        <w:rPr>
          <w:rFonts w:cstheme="minorHAnsi"/>
          <w:bCs/>
        </w:rPr>
      </w:pPr>
      <w:r w:rsidRPr="00BF6615">
        <w:rPr>
          <w:rFonts w:cstheme="minorHAnsi"/>
          <w:bCs/>
        </w:rPr>
        <w:t xml:space="preserve">Największe problemy i </w:t>
      </w:r>
      <w:r w:rsidRPr="00352609">
        <w:t>potrzeby</w:t>
      </w:r>
    </w:p>
    <w:p w14:paraId="254D6947" w14:textId="0E40C8EB" w:rsidR="00B13433" w:rsidRPr="00BF6615" w:rsidRDefault="00B13433" w:rsidP="007E26B5">
      <w:pPr>
        <w:rPr>
          <w:rFonts w:cstheme="minorHAnsi"/>
        </w:rPr>
      </w:pPr>
      <w:r w:rsidRPr="00BF6615">
        <w:rPr>
          <w:rFonts w:cstheme="minorHAnsi"/>
        </w:rPr>
        <w:t>Najistotniejsze problemy to: brak intuicyjnej nawigacji, niedostosowanie do różnych urządzeń (np. telefonów), zbyt trudny język oraz brak logiki w strukturze stron. Potrzebą wspólną dla wielu respondentów była prostota – „Wszystko, co najważniejsze, powinno być na górze”. Utrudnieniem jest też brak personalizacji – brak możliwości zapisania historii użytkownika, automatycznych podpowiedzi czy skrótów do najczęściej załatwianych spraw</w:t>
      </w:r>
      <w:r w:rsidR="00A0798C">
        <w:rPr>
          <w:rFonts w:cstheme="minorHAnsi"/>
        </w:rPr>
        <w:t>.</w:t>
      </w:r>
      <w:r w:rsidRPr="00BF6615">
        <w:rPr>
          <w:rFonts w:cstheme="minorHAnsi"/>
        </w:rPr>
        <w:t xml:space="preserve"> </w:t>
      </w:r>
    </w:p>
    <w:p w14:paraId="25CCA183" w14:textId="77777777" w:rsidR="00B13433" w:rsidRPr="00BF6615" w:rsidRDefault="00B13433" w:rsidP="00B271C3">
      <w:pPr>
        <w:pStyle w:val="Nagwek4"/>
        <w:rPr>
          <w:rFonts w:cstheme="minorHAnsi"/>
          <w:bCs/>
        </w:rPr>
      </w:pPr>
      <w:r w:rsidRPr="00BF6615">
        <w:rPr>
          <w:rFonts w:cstheme="minorHAnsi"/>
          <w:bCs/>
        </w:rPr>
        <w:t xml:space="preserve">Proponowane </w:t>
      </w:r>
      <w:r w:rsidRPr="00352609">
        <w:t>rozwiązania</w:t>
      </w:r>
    </w:p>
    <w:p w14:paraId="365CD477" w14:textId="0BDC12E3" w:rsidR="00B13433" w:rsidRPr="00BF6615" w:rsidRDefault="00B13433" w:rsidP="007E26B5">
      <w:pPr>
        <w:rPr>
          <w:rFonts w:cstheme="minorHAnsi"/>
        </w:rPr>
      </w:pPr>
      <w:r w:rsidRPr="00BF6615">
        <w:rPr>
          <w:rFonts w:cstheme="minorHAnsi"/>
        </w:rPr>
        <w:t>Respondenci sugerowali m.in.: uproszczenie języka, logiczne grupowanie treści, poprawę struktury menu, eliminację nieczytelnych pop-</w:t>
      </w:r>
      <w:proofErr w:type="spellStart"/>
      <w:r w:rsidRPr="00BF6615">
        <w:rPr>
          <w:rFonts w:cstheme="minorHAnsi"/>
        </w:rPr>
        <w:t>upów</w:t>
      </w:r>
      <w:proofErr w:type="spellEnd"/>
      <w:r w:rsidRPr="00BF6615">
        <w:rPr>
          <w:rFonts w:cstheme="minorHAnsi"/>
        </w:rPr>
        <w:t xml:space="preserve">, integrację danych użytkownika (np. historii dofinansowań) i automatyczne uzupełnianie formularzy. Jeden z respondentów postulował: „Powinien być </w:t>
      </w:r>
      <w:proofErr w:type="spellStart"/>
      <w:r w:rsidRPr="00BF6615">
        <w:rPr>
          <w:rFonts w:cstheme="minorHAnsi"/>
        </w:rPr>
        <w:t>cloud</w:t>
      </w:r>
      <w:proofErr w:type="spellEnd"/>
      <w:r w:rsidRPr="00BF6615">
        <w:rPr>
          <w:rFonts w:cstheme="minorHAnsi"/>
        </w:rPr>
        <w:t xml:space="preserve"> – mam konto, dodaję tylko aktualne dane”. Zgłaszano też potrzebę wersji mobilnych dostosowanych do działania na tabletach i smartfonach.</w:t>
      </w:r>
    </w:p>
    <w:p w14:paraId="224FA3B6" w14:textId="77777777" w:rsidR="00B13433" w:rsidRPr="00BF6615" w:rsidRDefault="00B13433" w:rsidP="00B271C3">
      <w:pPr>
        <w:pStyle w:val="Nagwek4"/>
        <w:rPr>
          <w:rFonts w:cstheme="minorHAnsi"/>
          <w:bCs/>
        </w:rPr>
      </w:pPr>
      <w:r w:rsidRPr="00BF6615">
        <w:rPr>
          <w:rFonts w:cstheme="minorHAnsi"/>
          <w:bCs/>
        </w:rPr>
        <w:t xml:space="preserve">Oczekiwania wobec </w:t>
      </w:r>
      <w:r w:rsidRPr="00352609">
        <w:t>dostępności</w:t>
      </w:r>
      <w:r w:rsidRPr="00BF6615">
        <w:rPr>
          <w:rFonts w:cstheme="minorHAnsi"/>
          <w:bCs/>
        </w:rPr>
        <w:t xml:space="preserve"> cyfrowej</w:t>
      </w:r>
    </w:p>
    <w:p w14:paraId="644845B9" w14:textId="5A84BF80" w:rsidR="00B13433" w:rsidRPr="00BF6615" w:rsidRDefault="00B13433" w:rsidP="007E26B5">
      <w:pPr>
        <w:rPr>
          <w:rFonts w:cstheme="minorHAnsi"/>
        </w:rPr>
      </w:pPr>
      <w:r w:rsidRPr="00BF6615">
        <w:rPr>
          <w:rFonts w:cstheme="minorHAnsi"/>
        </w:rPr>
        <w:t xml:space="preserve">Najważniejsze oczekiwania to: czytelna czcionka, możliwość powiększania bez rozjeżdżania strony, intuicyjna nawigacja, prosty układ i szybkie ładowanie. Ważna jest też dostępność formularzy i potwierdzenie odbioru sprawy. Jak powiedziała jedna z osób: „Powiększam przez przeglądarkę, ale strona się wtedy rozjeżdża”. Dla wielu osób z niepełnosprawnością ruchową obsługa jedną ręką lub bez konieczności długiego </w:t>
      </w:r>
      <w:proofErr w:type="spellStart"/>
      <w:r w:rsidRPr="00BF6615">
        <w:rPr>
          <w:rFonts w:cstheme="minorHAnsi"/>
        </w:rPr>
        <w:t>scrollowania</w:t>
      </w:r>
      <w:proofErr w:type="spellEnd"/>
      <w:r w:rsidRPr="00BF6615">
        <w:rPr>
          <w:rFonts w:cstheme="minorHAnsi"/>
        </w:rPr>
        <w:t xml:space="preserve"> ma kluczowe znaczenie.</w:t>
      </w:r>
    </w:p>
    <w:p w14:paraId="43A7A46C" w14:textId="77777777" w:rsidR="00B13433" w:rsidRPr="00BF6615" w:rsidRDefault="00B13433" w:rsidP="00B271C3">
      <w:pPr>
        <w:pStyle w:val="Nagwek4"/>
        <w:rPr>
          <w:rFonts w:cstheme="minorHAnsi"/>
          <w:bCs/>
        </w:rPr>
      </w:pPr>
      <w:r w:rsidRPr="00BF6615">
        <w:rPr>
          <w:rFonts w:cstheme="minorHAnsi"/>
          <w:bCs/>
        </w:rPr>
        <w:t xml:space="preserve">Priorytetowe strony i aplikacje </w:t>
      </w:r>
      <w:r w:rsidRPr="00352609">
        <w:t>podmiotów</w:t>
      </w:r>
      <w:r w:rsidRPr="00BF6615">
        <w:rPr>
          <w:rFonts w:cstheme="minorHAnsi"/>
          <w:bCs/>
        </w:rPr>
        <w:t xml:space="preserve"> publicznych wymagające poprawy</w:t>
      </w:r>
    </w:p>
    <w:p w14:paraId="115B9163" w14:textId="1ABCF214" w:rsidR="00B13433" w:rsidRPr="00BF6615" w:rsidRDefault="00B13433" w:rsidP="007E26B5">
      <w:pPr>
        <w:rPr>
          <w:rFonts w:cstheme="minorHAnsi"/>
        </w:rPr>
      </w:pPr>
      <w:r w:rsidRPr="00BF6615">
        <w:rPr>
          <w:rFonts w:cstheme="minorHAnsi"/>
        </w:rPr>
        <w:t xml:space="preserve">Priorytetowe są: PFRON, ZUS, systemy rejestracji medycznej, portale miast i platformy podatkowe. O stronie PFRON tak mówiła jedna z osób badanych: „Strona PFRON-u jest absolutnie przeznaczona dla osób niepełnosprawnych i kompletnie do nich niedostosowana”. Również </w:t>
      </w:r>
      <w:proofErr w:type="spellStart"/>
      <w:r w:rsidRPr="00BF6615">
        <w:rPr>
          <w:rFonts w:cstheme="minorHAnsi"/>
        </w:rPr>
        <w:t>ePUAP</w:t>
      </w:r>
      <w:proofErr w:type="spellEnd"/>
      <w:r w:rsidRPr="00BF6615">
        <w:rPr>
          <w:rFonts w:cstheme="minorHAnsi"/>
        </w:rPr>
        <w:t xml:space="preserve"> i systemy szpitalne (np. rejestracja online) zostały uznane za szczególnie problematyczne. Wskazywano też na potrzebę udoskonalenia lokalnych portali informacyjnych i platform usług miejskich.</w:t>
      </w:r>
    </w:p>
    <w:p w14:paraId="00E547C1" w14:textId="77777777" w:rsidR="00B13433" w:rsidRPr="00BF6615" w:rsidRDefault="00B13433" w:rsidP="00B271C3">
      <w:pPr>
        <w:pStyle w:val="Nagwek4"/>
        <w:rPr>
          <w:rFonts w:cstheme="minorHAnsi"/>
          <w:bCs/>
        </w:rPr>
      </w:pPr>
      <w:r w:rsidRPr="00BF6615">
        <w:rPr>
          <w:rFonts w:cstheme="minorHAnsi"/>
          <w:bCs/>
        </w:rPr>
        <w:t xml:space="preserve">Deklaracja </w:t>
      </w:r>
      <w:r w:rsidRPr="00352609">
        <w:t>dostępności</w:t>
      </w:r>
    </w:p>
    <w:p w14:paraId="76FE60D8" w14:textId="5135A0B6" w:rsidR="00B13433" w:rsidRPr="00BF6615" w:rsidRDefault="00B13433" w:rsidP="007E26B5">
      <w:pPr>
        <w:rPr>
          <w:rFonts w:cstheme="minorHAnsi"/>
        </w:rPr>
      </w:pPr>
      <w:r w:rsidRPr="00BF6615">
        <w:rPr>
          <w:rFonts w:cstheme="minorHAnsi"/>
        </w:rPr>
        <w:t>Większość respondentów nie korzysta z deklaracji dostępności lub robi to sporadycznie. Jeden z respondentów zauważył: „Czasami to jedyna strona o dostępności, ale nic z tego nie wynika”. Zaznaczano, że deklaracje są publikowane formalnie, ale nie przekładają się na rzeczywistą dostępność. Dla wielu osób są one zbyt ogólne i niezrozumiałe. Brakuje w nich też informacji praktycznych oraz wersji uproszczonej lub wizualnej.</w:t>
      </w:r>
    </w:p>
    <w:p w14:paraId="17D64558" w14:textId="77777777" w:rsidR="00B13433" w:rsidRPr="00BF6615" w:rsidRDefault="00B13433" w:rsidP="00B271C3">
      <w:pPr>
        <w:pStyle w:val="Nagwek4"/>
        <w:rPr>
          <w:rFonts w:cstheme="minorHAnsi"/>
          <w:bCs/>
        </w:rPr>
      </w:pPr>
      <w:r w:rsidRPr="00352609">
        <w:lastRenderedPageBreak/>
        <w:t>Podsumowanie</w:t>
      </w:r>
    </w:p>
    <w:p w14:paraId="122EFE30" w14:textId="77777777" w:rsidR="00B13433" w:rsidRPr="00BF6615" w:rsidRDefault="00B13433" w:rsidP="007E26B5">
      <w:pPr>
        <w:keepNext/>
        <w:keepLines/>
        <w:rPr>
          <w:rFonts w:cstheme="minorHAnsi"/>
        </w:rPr>
      </w:pPr>
      <w:r w:rsidRPr="00BF6615">
        <w:rPr>
          <w:rFonts w:cstheme="minorHAnsi"/>
        </w:rPr>
        <w:t>Internet jest dla osób z niepełnosprawnością ruchową kluczowym narzędziem codziennego funkcjonowania, jednak wiele stron/aplikacji publicznych pozostaje niedostosowanych. Główne bariery to nieczytelność, trudna nawigacja, brak integracji danych i skomplikowany język. Użytkownicy oczekują prostoty, przejrzystości i stabilności działania, a także dostępu mobilnego. Strony takie jak PFRON, ZUS, urzędy miast czy rejestracje medyczne wymagają pilnych poprawek. Dostępność cyfrowa powinna być projektowana we współpracy z osobami z niepełnosprawnościami – tylko wtedy będzie realna i skuteczna.</w:t>
      </w:r>
    </w:p>
    <w:p w14:paraId="2FDA3A46" w14:textId="25006784" w:rsidR="00B13433" w:rsidRPr="00BF6615" w:rsidRDefault="00B13433">
      <w:pPr>
        <w:pStyle w:val="Nagwek3"/>
        <w:numPr>
          <w:ilvl w:val="1"/>
          <w:numId w:val="6"/>
        </w:numPr>
      </w:pPr>
      <w:bookmarkStart w:id="47" w:name="_Toc196827506"/>
      <w:bookmarkStart w:id="48" w:name="_Toc196827580"/>
      <w:bookmarkStart w:id="49" w:name="_Toc196827507"/>
      <w:bookmarkStart w:id="50" w:name="_Toc196827581"/>
      <w:bookmarkStart w:id="51" w:name="_Toc196827582"/>
      <w:bookmarkStart w:id="52" w:name="_Toc204179229"/>
      <w:bookmarkEnd w:id="47"/>
      <w:bookmarkEnd w:id="48"/>
      <w:bookmarkEnd w:id="49"/>
      <w:bookmarkEnd w:id="50"/>
      <w:r w:rsidRPr="00BF6615">
        <w:t>Osoby z niepełnosprawnością intelektualną i ograniczeniami poznawczymi</w:t>
      </w:r>
      <w:bookmarkEnd w:id="51"/>
      <w:bookmarkEnd w:id="52"/>
    </w:p>
    <w:p w14:paraId="61FA6A2B" w14:textId="77777777" w:rsidR="00B13433" w:rsidRPr="00BF6615" w:rsidRDefault="00B13433" w:rsidP="00B271C3">
      <w:pPr>
        <w:pStyle w:val="Nagwek4"/>
        <w:rPr>
          <w:rFonts w:cstheme="minorHAnsi"/>
          <w:bCs/>
        </w:rPr>
      </w:pPr>
      <w:r w:rsidRPr="00BF6615">
        <w:rPr>
          <w:rFonts w:cstheme="minorHAnsi"/>
          <w:bCs/>
        </w:rPr>
        <w:t>Powody i cele korzystania z Internetu</w:t>
      </w:r>
    </w:p>
    <w:p w14:paraId="5EC7CC2F" w14:textId="77777777" w:rsidR="00B13433" w:rsidRPr="00BF6615" w:rsidRDefault="00B13433" w:rsidP="007E26B5">
      <w:pPr>
        <w:rPr>
          <w:rFonts w:cstheme="minorHAnsi"/>
        </w:rPr>
      </w:pPr>
      <w:r w:rsidRPr="00BF6615">
        <w:rPr>
          <w:rFonts w:cstheme="minorHAnsi"/>
        </w:rPr>
        <w:t>Osoby z niepełnosprawnością intelektualną i ograniczeniami poznawczymi korzystają z Internetu głównie w celach informacyjnych, komunikacyjnych oraz rozrywkowych. Najczęściej poszukują informacji o zdrowiu, usługach medycznych oraz sprawdzają pocztę elektroniczną. „Głównie to sprawdzam pocztę, jakieś dotyczące szpitali, leczenia lekarzy, bo też się leczę” – powiedziała jedna z badanych. Internet służy im również do kontaktu z bliskimi, szczególnie mieszkającymi w innych miejscowościach. Niektórzy używają go do rejestracji na studia czy opłacania rachunków. Rzadziej wykorzystują go w celach edukacyjnych lub zawodowych. Osoby z mniejszym doświadczeniem cyfrowym korzystają z sieci niechętnie, wybierając tradycyjne sposoby.</w:t>
      </w:r>
    </w:p>
    <w:p w14:paraId="31F11BBD" w14:textId="77777777" w:rsidR="00B13433" w:rsidRPr="00BF6615" w:rsidRDefault="00B13433" w:rsidP="00B271C3">
      <w:pPr>
        <w:pStyle w:val="Nagwek4"/>
        <w:rPr>
          <w:rFonts w:cstheme="minorHAnsi"/>
          <w:bCs/>
        </w:rPr>
      </w:pPr>
      <w:r w:rsidRPr="00BF6615">
        <w:rPr>
          <w:rFonts w:cstheme="minorHAnsi"/>
          <w:bCs/>
        </w:rPr>
        <w:t xml:space="preserve">Korzystanie z aplikacji i stron </w:t>
      </w:r>
      <w:r w:rsidRPr="00352609">
        <w:t>podmiotów</w:t>
      </w:r>
      <w:r w:rsidRPr="00BF6615">
        <w:rPr>
          <w:rFonts w:cstheme="minorHAnsi"/>
          <w:bCs/>
        </w:rPr>
        <w:t xml:space="preserve"> publicznych</w:t>
      </w:r>
    </w:p>
    <w:p w14:paraId="09C1F462" w14:textId="3B18C7D5" w:rsidR="00B13433" w:rsidRPr="00BF6615" w:rsidRDefault="00B13433" w:rsidP="007E26B5">
      <w:pPr>
        <w:rPr>
          <w:rFonts w:cstheme="minorHAnsi"/>
        </w:rPr>
      </w:pPr>
      <w:r w:rsidRPr="00BF6615">
        <w:rPr>
          <w:rFonts w:cstheme="minorHAnsi"/>
        </w:rPr>
        <w:t>Większość badanych korzysta ze stron podmiotów publicznych sporadycznie lub wcale. „</w:t>
      </w:r>
      <w:r w:rsidR="000A692A" w:rsidRPr="00BF6615">
        <w:rPr>
          <w:rFonts w:cstheme="minorHAnsi"/>
        </w:rPr>
        <w:t>Nie</w:t>
      </w:r>
      <w:r w:rsidR="000A692A">
        <w:rPr>
          <w:rFonts w:cstheme="minorHAnsi"/>
        </w:rPr>
        <w:t> </w:t>
      </w:r>
      <w:r w:rsidRPr="00BF6615">
        <w:rPr>
          <w:rFonts w:cstheme="minorHAnsi"/>
        </w:rPr>
        <w:t xml:space="preserve">szukam na stronach urzędowych, bo jestem za nerwowa” – przyznała jedna </w:t>
      </w:r>
      <w:r w:rsidR="000A692A" w:rsidRPr="00BF6615">
        <w:rPr>
          <w:rFonts w:cstheme="minorHAnsi"/>
        </w:rPr>
        <w:t>z</w:t>
      </w:r>
      <w:r w:rsidR="000A692A">
        <w:rPr>
          <w:rFonts w:cstheme="minorHAnsi"/>
        </w:rPr>
        <w:t> </w:t>
      </w:r>
      <w:r w:rsidRPr="00BF6615">
        <w:rPr>
          <w:rFonts w:cstheme="minorHAnsi"/>
        </w:rPr>
        <w:t>uczestniczek, wskazując emocje jako barierę. Część osób zdecydowanie woli osobistą wizytę w urzędzie, która wydaje się im prostsza i bezpieczniejsza. Ci, którzy odwiedzają strony urzędów, szukają informacji o świadczeniach społecznych, zdrowiu lub wydarzeniach lokalnych. Zdarza się, że zaglądają na strony urzędów gminy lub placówek medycznych. Nikt jednak nie korzysta z aplikacji mobilnych instytucji publicznych. Smartfony służą im głównie do celów prywatnych.</w:t>
      </w:r>
    </w:p>
    <w:p w14:paraId="70C91B75" w14:textId="77777777" w:rsidR="00B13433" w:rsidRPr="00BF6615" w:rsidRDefault="00B13433" w:rsidP="00B271C3">
      <w:pPr>
        <w:pStyle w:val="Nagwek4"/>
        <w:rPr>
          <w:rFonts w:cstheme="minorHAnsi"/>
          <w:bCs/>
        </w:rPr>
      </w:pPr>
      <w:r w:rsidRPr="00BF6615">
        <w:rPr>
          <w:rFonts w:cstheme="minorHAnsi"/>
          <w:bCs/>
        </w:rPr>
        <w:t xml:space="preserve">Ocena użyteczności stron i </w:t>
      </w:r>
      <w:r w:rsidRPr="00352609">
        <w:t>aplikacji</w:t>
      </w:r>
      <w:r w:rsidRPr="00BF6615">
        <w:rPr>
          <w:rFonts w:cstheme="minorHAnsi"/>
          <w:bCs/>
        </w:rPr>
        <w:t xml:space="preserve"> podmiotów publicznych</w:t>
      </w:r>
    </w:p>
    <w:p w14:paraId="6E2F38C2" w14:textId="1C480700" w:rsidR="00B13433" w:rsidRPr="00BF6615" w:rsidRDefault="00B13433" w:rsidP="007E26B5">
      <w:pPr>
        <w:rPr>
          <w:rFonts w:cstheme="minorHAnsi"/>
        </w:rPr>
      </w:pPr>
      <w:r w:rsidRPr="00BF6615">
        <w:rPr>
          <w:rFonts w:cstheme="minorHAnsi"/>
        </w:rPr>
        <w:t xml:space="preserve">Respondenci nie wskazali żadnej strony publicznej, którą uznaliby za w pełni przyjazną. Oceny były głównie negatywne – najczęściej krytykowano </w:t>
      </w:r>
      <w:proofErr w:type="spellStart"/>
      <w:r w:rsidRPr="00BF6615">
        <w:rPr>
          <w:rFonts w:cstheme="minorHAnsi"/>
        </w:rPr>
        <w:t>nieintuicyjność</w:t>
      </w:r>
      <w:proofErr w:type="spellEnd"/>
      <w:r w:rsidRPr="00BF6615">
        <w:rPr>
          <w:rFonts w:cstheme="minorHAnsi"/>
        </w:rPr>
        <w:t xml:space="preserve"> układu i nadmiar informacji. „Często muszę wchodzić w różne zakładki, żeby tego szukać, bo jest tego za dużo” – mówiła jedna z osób. Strony są trudne w obsłudze i powodują zniechęcenie. Brak aktualizacji dodatkowo wpływa na ich niską użyteczność. Użytkownicy wskazują też, że nie wiedzą, czego szukać i gdzie. Aplikacje mobilne są im całkowicie obce.</w:t>
      </w:r>
    </w:p>
    <w:p w14:paraId="24A161FD" w14:textId="77777777" w:rsidR="00B13433" w:rsidRPr="00BF6615" w:rsidRDefault="00B13433" w:rsidP="00B271C3">
      <w:pPr>
        <w:pStyle w:val="Nagwek4"/>
        <w:rPr>
          <w:rFonts w:cstheme="minorHAnsi"/>
          <w:bCs/>
        </w:rPr>
      </w:pPr>
      <w:r w:rsidRPr="00BF6615">
        <w:rPr>
          <w:rFonts w:cstheme="minorHAnsi"/>
          <w:bCs/>
        </w:rPr>
        <w:lastRenderedPageBreak/>
        <w:t xml:space="preserve">Przyczyny korzystania ze stron i </w:t>
      </w:r>
      <w:r w:rsidRPr="00352609">
        <w:t>aplikacji</w:t>
      </w:r>
      <w:r w:rsidRPr="00BF6615">
        <w:rPr>
          <w:rFonts w:cstheme="minorHAnsi"/>
          <w:bCs/>
        </w:rPr>
        <w:t xml:space="preserve"> podmiotów publicznych</w:t>
      </w:r>
    </w:p>
    <w:p w14:paraId="5E38F5F5" w14:textId="6ECF7FEB" w:rsidR="00B13433" w:rsidRPr="00BF6615" w:rsidRDefault="00B13433" w:rsidP="007E26B5">
      <w:pPr>
        <w:spacing w:after="160"/>
        <w:rPr>
          <w:rFonts w:cstheme="minorHAnsi"/>
          <w:b/>
          <w:bCs/>
        </w:rPr>
      </w:pPr>
      <w:r w:rsidRPr="00BF6615">
        <w:rPr>
          <w:rFonts w:cstheme="minorHAnsi"/>
        </w:rPr>
        <w:t>Badani odwiedzają strony publiczne, by zdobyć informacje lub załatwić prostą sprawę. Interesują ich aktualności lokalne, świadczenia społeczne, rozkłady jazdy i tematy zdrowotne. „Sprawdzam informacje z gminy, czy jest jakaś pomoc w ośrodku pomocy społecznej” – powiedziała jedna z osób. Jeśli korzystają z e-usług, to tylko przy prostych czynnościach. W trudniejszych przypadkach część radzi sobie z pomocą innych osób lub rezygnuje. Korzystanie z tych stron/aplikacji wynika bardziej z konieczności niż z wygody. Brakuje im zaufania do ich przejrzystości i funkcjonalności.</w:t>
      </w:r>
    </w:p>
    <w:p w14:paraId="4A40AA0B" w14:textId="77777777" w:rsidR="00B13433" w:rsidRPr="00BF6615" w:rsidRDefault="00B13433" w:rsidP="00B271C3">
      <w:pPr>
        <w:pStyle w:val="Nagwek4"/>
        <w:rPr>
          <w:rFonts w:cstheme="minorHAnsi"/>
          <w:bCs/>
        </w:rPr>
      </w:pPr>
      <w:r w:rsidRPr="00BF6615">
        <w:rPr>
          <w:rFonts w:cstheme="minorHAnsi"/>
          <w:bCs/>
        </w:rPr>
        <w:t xml:space="preserve">Strony i aplikacje podmiotów </w:t>
      </w:r>
      <w:r w:rsidRPr="00352609">
        <w:t>publicznych</w:t>
      </w:r>
      <w:r w:rsidRPr="00BF6615">
        <w:rPr>
          <w:rFonts w:cstheme="minorHAnsi"/>
          <w:bCs/>
        </w:rPr>
        <w:t xml:space="preserve"> wymagające poprawy</w:t>
      </w:r>
    </w:p>
    <w:p w14:paraId="2DC8535F" w14:textId="2FE79EA4" w:rsidR="00B13433" w:rsidRPr="00BF6615" w:rsidRDefault="00B13433" w:rsidP="007E26B5">
      <w:pPr>
        <w:rPr>
          <w:rFonts w:cstheme="minorHAnsi"/>
        </w:rPr>
      </w:pPr>
      <w:r w:rsidRPr="00BF6615">
        <w:rPr>
          <w:rFonts w:cstheme="minorHAnsi"/>
        </w:rPr>
        <w:t>Najczęściej wskazywano lokalne strony urzędów jako najbardziej problematyczne. Zawierają ważne informacje, ale ich chaotyczna forma zniechęca. „Jest wiele rzeczy, których nie rozumiem, nawet nie wiem, do czego one służą” – stwierdziła uczestniczka, mówiąc o stronie swojej gminy. Wiele osób wybiera osobistą wizytę, by uniknąć trudności online. Szczególnym problemem są formularze – ich obsługa jest niejasna i stresująca. Nie wiadomo, jak poprawić błędy czy cofnąć wpis. Brakuje też wskazówek pomocnych podczas wypełniania.</w:t>
      </w:r>
    </w:p>
    <w:p w14:paraId="79332226" w14:textId="77777777" w:rsidR="00B13433" w:rsidRPr="00BF6615" w:rsidRDefault="00B13433" w:rsidP="00B271C3">
      <w:pPr>
        <w:pStyle w:val="Nagwek4"/>
        <w:rPr>
          <w:rFonts w:cstheme="minorHAnsi"/>
          <w:bCs/>
        </w:rPr>
      </w:pPr>
      <w:r w:rsidRPr="00BF6615">
        <w:rPr>
          <w:rFonts w:cstheme="minorHAnsi"/>
          <w:bCs/>
        </w:rPr>
        <w:t xml:space="preserve">Najczęściej napotykane </w:t>
      </w:r>
      <w:r w:rsidRPr="00352609">
        <w:t>trudności</w:t>
      </w:r>
    </w:p>
    <w:p w14:paraId="39B20650" w14:textId="41D31C4E" w:rsidR="00B13433" w:rsidRPr="00BF6615" w:rsidRDefault="00B13433" w:rsidP="007E26B5">
      <w:pPr>
        <w:rPr>
          <w:rFonts w:cstheme="minorHAnsi"/>
        </w:rPr>
      </w:pPr>
      <w:r w:rsidRPr="00BF6615">
        <w:rPr>
          <w:rFonts w:cstheme="minorHAnsi"/>
        </w:rPr>
        <w:t>Najwięcej trudności sprawia nieczytelna struktura i zawiła nawigacja. Użytkownicy czują się zagubieni i rezygnują z dalszych prób. „Jak coś zrobię źle, to się od razu denerwuję, więc wolę nie wchodzić” – przyznała jedna z osób</w:t>
      </w:r>
      <w:r w:rsidR="00A0798C">
        <w:rPr>
          <w:rFonts w:cstheme="minorHAnsi"/>
        </w:rPr>
        <w:t xml:space="preserve">. </w:t>
      </w:r>
      <w:r w:rsidRPr="00BF6615">
        <w:rPr>
          <w:rFonts w:cstheme="minorHAnsi"/>
        </w:rPr>
        <w:t>Brakuje też kontrastu i odpowiednio dużej czcionki. Problematyczne są zbyt szczegółowe lub niejasne informacje. Osoby mniej pewne technologii boją się pomyłek. W razie problemów często proszą o pomoc kogoś bliskiego lub całkowicie rezygnują.</w:t>
      </w:r>
    </w:p>
    <w:p w14:paraId="7DA9044C" w14:textId="77777777" w:rsidR="00B13433" w:rsidRPr="00BF6615" w:rsidRDefault="00B13433" w:rsidP="00B271C3">
      <w:pPr>
        <w:pStyle w:val="Nagwek4"/>
        <w:rPr>
          <w:rFonts w:cstheme="minorHAnsi"/>
          <w:bCs/>
        </w:rPr>
      </w:pPr>
      <w:r w:rsidRPr="00BF6615">
        <w:rPr>
          <w:rFonts w:cstheme="minorHAnsi"/>
          <w:bCs/>
        </w:rPr>
        <w:t xml:space="preserve">Największe problemy i </w:t>
      </w:r>
      <w:r w:rsidRPr="00352609">
        <w:t>potrzeby</w:t>
      </w:r>
    </w:p>
    <w:p w14:paraId="5816E4A0" w14:textId="40B70C79" w:rsidR="00B13433" w:rsidRPr="00BF6615" w:rsidRDefault="00B13433" w:rsidP="007E26B5">
      <w:pPr>
        <w:rPr>
          <w:rFonts w:cstheme="minorHAnsi"/>
        </w:rPr>
      </w:pPr>
      <w:r w:rsidRPr="00BF6615">
        <w:rPr>
          <w:rFonts w:cstheme="minorHAnsi"/>
        </w:rPr>
        <w:t xml:space="preserve">Główne problemy to złożoność stron/aplikacji, niskie kompetencje cyfrowe i bariery wizualne. Strony są zbyt skomplikowane i nie prowadzą użytkownika krok po kroku. Osoby </w:t>
      </w:r>
      <w:r w:rsidR="000A692A" w:rsidRPr="00BF6615">
        <w:rPr>
          <w:rFonts w:cstheme="minorHAnsi"/>
        </w:rPr>
        <w:t>z</w:t>
      </w:r>
      <w:r w:rsidR="000A692A">
        <w:rPr>
          <w:rFonts w:cstheme="minorHAnsi"/>
        </w:rPr>
        <w:t> </w:t>
      </w:r>
      <w:r w:rsidRPr="00BF6615">
        <w:rPr>
          <w:rFonts w:cstheme="minorHAnsi"/>
        </w:rPr>
        <w:t>niepełnosprawnością intelektualną obawiają się błędów i czują się przytłoczone. Kluczowa potrzeba to uproszczenie układu stron. Wskazywano też potrzebę edukacji i wsparcia dla mniej zaawansowanych cyfrowo. Oczekiwano poprawy kontrastu, większych czcionek i spokojniejszego wyglądu. Wszystko to miałoby zwiększyć niezależność użytkowników.</w:t>
      </w:r>
    </w:p>
    <w:p w14:paraId="014DA246" w14:textId="49664C7B" w:rsidR="00B13433" w:rsidRPr="00BF6615" w:rsidRDefault="00B13433" w:rsidP="00B271C3">
      <w:pPr>
        <w:pStyle w:val="Nagwek4"/>
        <w:rPr>
          <w:rFonts w:cstheme="minorHAnsi"/>
          <w:bCs/>
        </w:rPr>
      </w:pPr>
      <w:r w:rsidRPr="00BF6615">
        <w:rPr>
          <w:rFonts w:cstheme="minorHAnsi"/>
          <w:bCs/>
        </w:rPr>
        <w:t xml:space="preserve">Proponowane </w:t>
      </w:r>
      <w:r w:rsidRPr="00352609">
        <w:t>rozwiązania</w:t>
      </w:r>
    </w:p>
    <w:p w14:paraId="1A570A3C" w14:textId="7490F24E" w:rsidR="00B13433" w:rsidRPr="00BF6615" w:rsidRDefault="00B13433" w:rsidP="007E26B5">
      <w:pPr>
        <w:rPr>
          <w:rFonts w:cstheme="minorHAnsi"/>
        </w:rPr>
      </w:pPr>
      <w:r w:rsidRPr="00BF6615">
        <w:rPr>
          <w:rFonts w:cstheme="minorHAnsi"/>
        </w:rPr>
        <w:t xml:space="preserve">Respondenci wskazują dwa kierunki działań: uproszczenie stron/aplikacji i wsparcie użytkowników. Strony powinny być intuicyjne, z czytelnym układem i łatwym dostępem do kluczowych informacji. „Najbardziej potrzebne to, żeby wszystko można było intuicyjnie </w:t>
      </w:r>
      <w:r w:rsidR="000A692A" w:rsidRPr="00BF6615">
        <w:rPr>
          <w:rFonts w:cstheme="minorHAnsi"/>
        </w:rPr>
        <w:t>i</w:t>
      </w:r>
      <w:r w:rsidR="000A692A">
        <w:rPr>
          <w:rFonts w:cstheme="minorHAnsi"/>
        </w:rPr>
        <w:t> </w:t>
      </w:r>
      <w:r w:rsidRPr="00BF6615">
        <w:rPr>
          <w:rFonts w:cstheme="minorHAnsi"/>
        </w:rPr>
        <w:t>szybko znaleźć” – podsumowała jedna z badanych. Ujednolicenie wyglądu różnych stron ułatwiłoby poruszanie się po nich. Wskazywano na konieczność eliminacji zbędnych animacji i chaosu graficznego. Istotne jest też zapewnienie instrukcji, poradników i szkoleń. Tylko wtedy wzrośnie chęć do samodzielnego korzystania.</w:t>
      </w:r>
    </w:p>
    <w:p w14:paraId="1830591F" w14:textId="77777777" w:rsidR="00B13433" w:rsidRPr="00BF6615" w:rsidRDefault="00B13433" w:rsidP="00B271C3">
      <w:pPr>
        <w:pStyle w:val="Nagwek4"/>
        <w:rPr>
          <w:rFonts w:cstheme="minorHAnsi"/>
          <w:bCs/>
        </w:rPr>
      </w:pPr>
      <w:r w:rsidRPr="00BF6615">
        <w:rPr>
          <w:rFonts w:cstheme="minorHAnsi"/>
          <w:bCs/>
        </w:rPr>
        <w:lastRenderedPageBreak/>
        <w:t xml:space="preserve">Oczekiwania wobec </w:t>
      </w:r>
      <w:r w:rsidRPr="00352609">
        <w:t>dostępności</w:t>
      </w:r>
      <w:r w:rsidRPr="00BF6615">
        <w:rPr>
          <w:rFonts w:cstheme="minorHAnsi"/>
          <w:bCs/>
        </w:rPr>
        <w:t xml:space="preserve"> cyfrowej</w:t>
      </w:r>
    </w:p>
    <w:p w14:paraId="11D7B785" w14:textId="77ACA28D" w:rsidR="00B13433" w:rsidRPr="00BF6615" w:rsidRDefault="00B13433" w:rsidP="007E26B5">
      <w:pPr>
        <w:rPr>
          <w:rFonts w:cstheme="minorHAnsi"/>
        </w:rPr>
      </w:pPr>
      <w:r w:rsidRPr="00BF6615">
        <w:rPr>
          <w:rFonts w:cstheme="minorHAnsi"/>
        </w:rPr>
        <w:t>Badani oczekują, że strony będą proste, przejrzyste i logiczne</w:t>
      </w:r>
      <w:r w:rsidR="00A0798C">
        <w:rPr>
          <w:rFonts w:cstheme="minorHAnsi"/>
        </w:rPr>
        <w:t xml:space="preserve">. </w:t>
      </w:r>
      <w:r w:rsidRPr="00BF6615">
        <w:rPr>
          <w:rFonts w:cstheme="minorHAnsi"/>
        </w:rPr>
        <w:t xml:space="preserve">Układ treści powinien być przewidywalny i znajomy. Ważne jest, by łatwo znaleźć najważniejsze informacje bez zbędnego klikania. Czcionki muszą być czytelne, a kolory kontrastowe. Należy unikać nieczytelnych zestawień, jak np. „żółte na białym”, które „zlewa się” – jak zauważył jeden </w:t>
      </w:r>
      <w:r w:rsidR="000A692A" w:rsidRPr="00BF6615">
        <w:rPr>
          <w:rFonts w:cstheme="minorHAnsi"/>
        </w:rPr>
        <w:t>z</w:t>
      </w:r>
      <w:r w:rsidR="000A692A">
        <w:rPr>
          <w:rFonts w:cstheme="minorHAnsi"/>
        </w:rPr>
        <w:t> </w:t>
      </w:r>
      <w:r w:rsidRPr="00BF6615">
        <w:rPr>
          <w:rFonts w:cstheme="minorHAnsi"/>
        </w:rPr>
        <w:t>badanych. Liczy się spójność między stronami, by zasady obsługi były podobne. Tylko wtedy użytkownicy poczują się bezpiecznie i pewnie.</w:t>
      </w:r>
    </w:p>
    <w:p w14:paraId="1BA81C75" w14:textId="77777777" w:rsidR="00B13433" w:rsidRPr="00BF6615" w:rsidRDefault="00B13433" w:rsidP="00B271C3">
      <w:pPr>
        <w:pStyle w:val="Nagwek4"/>
        <w:rPr>
          <w:rFonts w:cstheme="minorHAnsi"/>
          <w:bCs/>
        </w:rPr>
      </w:pPr>
      <w:r w:rsidRPr="00BF6615">
        <w:rPr>
          <w:rFonts w:cstheme="minorHAnsi"/>
          <w:bCs/>
        </w:rPr>
        <w:t xml:space="preserve">Priorytetowe strony i </w:t>
      </w:r>
      <w:r w:rsidRPr="00755A4B">
        <w:t>aplikacje</w:t>
      </w:r>
      <w:r w:rsidRPr="00BF6615">
        <w:rPr>
          <w:rFonts w:cstheme="minorHAnsi"/>
          <w:bCs/>
        </w:rPr>
        <w:t xml:space="preserve"> podmiotów publicznych wymagające poprawy</w:t>
      </w:r>
    </w:p>
    <w:p w14:paraId="1B587A01" w14:textId="41FD9819" w:rsidR="00B13433" w:rsidRPr="00BF6615" w:rsidRDefault="00B13433" w:rsidP="007E26B5">
      <w:pPr>
        <w:rPr>
          <w:rFonts w:cstheme="minorHAnsi"/>
        </w:rPr>
      </w:pPr>
      <w:r w:rsidRPr="00BF6615">
        <w:rPr>
          <w:rFonts w:cstheme="minorHAnsi"/>
        </w:rPr>
        <w:t>Najważniejsze do poprawy są lokalne strony urzędów – gmin i miast. To z nich najczęściej korzystają osoby z niepełnosprawnością, szukając informacji o świadczeniach. Równie istotne są strony dotyczące zdrowia – przychodnie, szpitale, Internetowe Konto Pacjenta. Ich dostępność wpływa bezpośrednio na zdrowie i samodzielność- brak możliwości umówienia się do lekarz czy brak dostępu do swoich danych medycznych to poważne ograniczenie samodzielność, co może w konsekwencji wpłynąć na zdrowie osób korzystających z usług cyfrowych. Wskazywano też potrzeby w obszarze transportu – rozkłady jazdy i planowanie podróży. Do tego dochodzą strony do opłacania rachunków i spraw finansowych.</w:t>
      </w:r>
    </w:p>
    <w:p w14:paraId="2C4D2AC1" w14:textId="77777777" w:rsidR="00B13433" w:rsidRPr="00BF6615" w:rsidRDefault="00B13433" w:rsidP="00B271C3">
      <w:pPr>
        <w:pStyle w:val="Nagwek4"/>
        <w:rPr>
          <w:rFonts w:cstheme="minorHAnsi"/>
          <w:bCs/>
        </w:rPr>
      </w:pPr>
      <w:r w:rsidRPr="00BF6615">
        <w:rPr>
          <w:rFonts w:cstheme="minorHAnsi"/>
          <w:bCs/>
        </w:rPr>
        <w:t xml:space="preserve">Deklaracja </w:t>
      </w:r>
      <w:r w:rsidRPr="00755A4B">
        <w:t>dostępności</w:t>
      </w:r>
    </w:p>
    <w:p w14:paraId="276DFAA8" w14:textId="584C9D35" w:rsidR="00B13433" w:rsidRPr="00BF6615" w:rsidRDefault="00B13433" w:rsidP="007E26B5">
      <w:pPr>
        <w:rPr>
          <w:rFonts w:cstheme="minorHAnsi"/>
        </w:rPr>
      </w:pPr>
      <w:r w:rsidRPr="00BF6615">
        <w:rPr>
          <w:rFonts w:cstheme="minorHAnsi"/>
        </w:rPr>
        <w:t>Większość badanych nie zna deklaracji dostępności i z nich nie korzysta. Badanym brakuje świadomości ich istnienia oraz potrzeby zaglądania do nich. Nie potrafią wskazać, czego mogliby oczekiwać od takiego dokumentu. Koncentrują się raczej na funkcjonalności samej strony. Dostępność oznacza dla nich to, co realnie mogą zrobić, nie to, co zapisane. Deklaracje są dla nich niewidoczne i nieczytelne.</w:t>
      </w:r>
    </w:p>
    <w:p w14:paraId="4135B445" w14:textId="77777777" w:rsidR="00B13433" w:rsidRPr="00BF6615" w:rsidRDefault="00B13433" w:rsidP="00B271C3">
      <w:pPr>
        <w:pStyle w:val="Nagwek4"/>
        <w:rPr>
          <w:rFonts w:cstheme="minorHAnsi"/>
          <w:bCs/>
        </w:rPr>
      </w:pPr>
      <w:r w:rsidRPr="00755A4B">
        <w:t>Podsumowanie</w:t>
      </w:r>
    </w:p>
    <w:p w14:paraId="445183DC" w14:textId="34E5041E" w:rsidR="00B13433" w:rsidRPr="00BF6615" w:rsidRDefault="00B13433" w:rsidP="007E26B5">
      <w:pPr>
        <w:spacing w:after="160"/>
        <w:rPr>
          <w:rFonts w:cstheme="minorHAnsi"/>
        </w:rPr>
      </w:pPr>
      <w:r w:rsidRPr="00BF6615">
        <w:rPr>
          <w:rFonts w:cstheme="minorHAnsi"/>
        </w:rPr>
        <w:t xml:space="preserve">Osoby z niepełnosprawnością intelektualną i ograniczeniami poznawczymi rzadko korzystają z usług cyfrowych instytucji publicznych, głównie z powodu trudności w obsłudze stron/aplikacji i niskiego poziomu zaufania do własnych umiejętności. Internet traktują przede wszystkim jako źródło informacji i narzędzie komunikacji, ale w kontaktach z administracją wciąż dominują tradycyjne formy. Kluczowe bariery to nieintuicyjna nawigacja, nadmiar informacji, słaba czytelność oraz brak wsparcia w razie problemów. Strony publiczne są zbyt skomplikowane dla osób z niepełnosprawnością intelektualną, </w:t>
      </w:r>
      <w:r w:rsidR="000A692A" w:rsidRPr="00BF6615">
        <w:rPr>
          <w:rFonts w:cstheme="minorHAnsi"/>
        </w:rPr>
        <w:t>co</w:t>
      </w:r>
      <w:r w:rsidR="000A692A">
        <w:rPr>
          <w:rFonts w:cstheme="minorHAnsi"/>
        </w:rPr>
        <w:t> </w:t>
      </w:r>
      <w:r w:rsidRPr="00BF6615">
        <w:rPr>
          <w:rFonts w:cstheme="minorHAnsi"/>
        </w:rPr>
        <w:t xml:space="preserve">prowadzi do zniechęcenia i rezygnacji z ich używania. Brakuje też edukacji cyfrowej, która pozwoliłaby zwiększyć samodzielność użytkowników. Respondenci wyrażają potrzebę prostoty, spójności i logicznego układu informacji – chcą stron/aplikacji, które prowadzą ich „za rękę”. Oczekują możliwości dostosowania wyglądu strony, np. powiększenia tekstu czy zmiany kontrastu. Wskazali konkretne strony, które wymagają pilnych zmian: strony urzędów lokalnych, placówek medycznych, transportu publicznego i usług komunalnych. Deklaracje dostępności są im nieznane i nie są traktowane jako realne źródło informacji. </w:t>
      </w:r>
    </w:p>
    <w:p w14:paraId="063C6757" w14:textId="45361781" w:rsidR="00B13433" w:rsidRPr="00BF6615" w:rsidRDefault="00B13433" w:rsidP="00B271C3">
      <w:pPr>
        <w:pStyle w:val="Nagwek3"/>
        <w:pageBreakBefore/>
        <w:numPr>
          <w:ilvl w:val="1"/>
          <w:numId w:val="6"/>
        </w:numPr>
        <w:ind w:left="1072"/>
      </w:pPr>
      <w:bookmarkStart w:id="53" w:name="_Toc196827583"/>
      <w:bookmarkStart w:id="54" w:name="_Toc204179230"/>
      <w:r w:rsidRPr="00BF6615">
        <w:lastRenderedPageBreak/>
        <w:t>Osoby, które ukończyły 60 rok życia</w:t>
      </w:r>
      <w:bookmarkEnd w:id="53"/>
      <w:bookmarkEnd w:id="54"/>
    </w:p>
    <w:p w14:paraId="565534F8" w14:textId="77777777" w:rsidR="00B13433" w:rsidRPr="00BF6615" w:rsidRDefault="00B13433" w:rsidP="00B271C3">
      <w:pPr>
        <w:pStyle w:val="Nagwek4"/>
        <w:rPr>
          <w:rFonts w:cstheme="minorHAnsi"/>
          <w:bCs/>
        </w:rPr>
      </w:pPr>
      <w:r w:rsidRPr="00BF6615">
        <w:rPr>
          <w:rFonts w:cstheme="minorHAnsi"/>
          <w:bCs/>
        </w:rPr>
        <w:t xml:space="preserve">Powody i cele </w:t>
      </w:r>
      <w:r w:rsidRPr="00755A4B">
        <w:t>korzystania</w:t>
      </w:r>
      <w:r w:rsidRPr="00BF6615">
        <w:rPr>
          <w:rFonts w:cstheme="minorHAnsi"/>
          <w:bCs/>
        </w:rPr>
        <w:t xml:space="preserve"> z Internetu</w:t>
      </w:r>
    </w:p>
    <w:p w14:paraId="1DDDE90F" w14:textId="0FBF03A9" w:rsidR="00B13433" w:rsidRPr="00BF6615" w:rsidRDefault="00B13433" w:rsidP="007E26B5">
      <w:pPr>
        <w:rPr>
          <w:rFonts w:cstheme="minorHAnsi"/>
        </w:rPr>
      </w:pPr>
      <w:r w:rsidRPr="00BF6615">
        <w:rPr>
          <w:rFonts w:cstheme="minorHAnsi"/>
        </w:rPr>
        <w:t>Osoby starsze korzystają z Internetu głównie w celach informacyjnych, rozrywkowych i codziennych. Przeglądają wiadomości, śledzą wydarzenia społeczne i sportowe, korzystają z gier online czy oglądają treści popularnonaukowe. Część badanych wykorzystuje sieć zawodowo – do zamówień, kontaktów czy rozliczeń – inni używają jej do opłacania rachunków lub komunikacji przez e-mail. Internet stanowi wygodne narzędzie, lecz nie jest postrzegany jako niezbędny – niektórzy wolą kontakt osobisty lub telefoniczny z obawy o prywatność. Jak stwierdził jeden z respondentów: „Nie chciałbym za dużo danych wprowadzać do Internetu, żeby tak, powiedzmy… nie mam takiego zaufania”.</w:t>
      </w:r>
    </w:p>
    <w:p w14:paraId="6542AB8E" w14:textId="77777777" w:rsidR="00B13433" w:rsidRPr="00BF6615" w:rsidRDefault="00B13433" w:rsidP="00B271C3">
      <w:pPr>
        <w:pStyle w:val="Nagwek4"/>
        <w:rPr>
          <w:rFonts w:cstheme="minorHAnsi"/>
          <w:bCs/>
        </w:rPr>
      </w:pPr>
      <w:r w:rsidRPr="00BF6615">
        <w:rPr>
          <w:rFonts w:cstheme="minorHAnsi"/>
          <w:bCs/>
        </w:rPr>
        <w:t xml:space="preserve">Korzystanie z aplikacji i stron </w:t>
      </w:r>
      <w:r w:rsidRPr="00755A4B">
        <w:t>podmiotów</w:t>
      </w:r>
      <w:r w:rsidRPr="00BF6615">
        <w:rPr>
          <w:rFonts w:cstheme="minorHAnsi"/>
          <w:bCs/>
        </w:rPr>
        <w:t xml:space="preserve"> publicznych</w:t>
      </w:r>
    </w:p>
    <w:p w14:paraId="49BC4EE3" w14:textId="77777777" w:rsidR="00B13433" w:rsidRPr="00BF6615" w:rsidRDefault="00B13433" w:rsidP="007E26B5">
      <w:pPr>
        <w:rPr>
          <w:rFonts w:cstheme="minorHAnsi"/>
        </w:rPr>
      </w:pPr>
      <w:r w:rsidRPr="00BF6615">
        <w:rPr>
          <w:rFonts w:cstheme="minorHAnsi"/>
        </w:rPr>
        <w:t>Respondenci wymieniali różne kategorie stron publicznych, z których korzystają: strony służby zdrowia, portale samorządowe, aplikacje ostrzegawcze czy systemy do spraw społeczno-emerytalnych. Wykorzystywane są one do uzyskiwania informacji, załatwiania spraw urzędowych lub identyfikacyjnych. Część badanych nie korzystała jednak z takich rozwiązań – głównie z powodu trudności technicznych lub przyzwyczajenia do tradycyjnych metod. Jeden z uczestników przyznał wprost: „Nie korzystam. Raczej załatwiam sprawy osobiście albo przez telefon”.</w:t>
      </w:r>
    </w:p>
    <w:p w14:paraId="582B2E4F" w14:textId="77777777" w:rsidR="00B13433" w:rsidRPr="00BF6615" w:rsidRDefault="00B13433" w:rsidP="00B271C3">
      <w:pPr>
        <w:pStyle w:val="Nagwek4"/>
        <w:rPr>
          <w:rFonts w:cstheme="minorHAnsi"/>
          <w:bCs/>
        </w:rPr>
      </w:pPr>
      <w:r w:rsidRPr="00BF6615">
        <w:rPr>
          <w:rFonts w:cstheme="minorHAnsi"/>
          <w:bCs/>
        </w:rPr>
        <w:t xml:space="preserve">Ocena użyteczności stron i </w:t>
      </w:r>
      <w:r w:rsidRPr="00755A4B">
        <w:t>aplikacji</w:t>
      </w:r>
      <w:r w:rsidRPr="00BF6615">
        <w:rPr>
          <w:rFonts w:cstheme="minorHAnsi"/>
          <w:bCs/>
        </w:rPr>
        <w:t xml:space="preserve"> podmiotów publicznych</w:t>
      </w:r>
    </w:p>
    <w:p w14:paraId="0B9C705B" w14:textId="3C7D20E6" w:rsidR="00B13433" w:rsidRPr="00BF6615" w:rsidRDefault="00B13433" w:rsidP="007E26B5">
      <w:pPr>
        <w:rPr>
          <w:rFonts w:cstheme="minorHAnsi"/>
        </w:rPr>
      </w:pPr>
      <w:r w:rsidRPr="00BF6615">
        <w:rPr>
          <w:rFonts w:cstheme="minorHAnsi"/>
        </w:rPr>
        <w:t>Za najbardziej przyjazne osoby starsze uznały strony i aplikacje przejrzyste oraz intuicyjne – m.in. portale ostrzegawcze czy strony instytucji kultury i sportu. Chwalono je za przejrzystość i łatwy dostęp do dokumentów czy bieżących ostrzeżeń: „Wszystko bardzo ładnie widzę – dokumenty, punkty karne”. Z drugiej strony, platformy o skomplikowanej strukturze, zwłaszcza te związane z systemem ubezpieczeń społecznych, często sprawiały problemy, np. podczas logowania.</w:t>
      </w:r>
    </w:p>
    <w:p w14:paraId="0B8F1CDE" w14:textId="77777777" w:rsidR="00B13433" w:rsidRPr="00BF6615" w:rsidRDefault="00B13433" w:rsidP="00B271C3">
      <w:pPr>
        <w:pStyle w:val="Nagwek4"/>
        <w:rPr>
          <w:rFonts w:cstheme="minorHAnsi"/>
          <w:bCs/>
        </w:rPr>
      </w:pPr>
      <w:r w:rsidRPr="00BF6615">
        <w:rPr>
          <w:rFonts w:cstheme="minorHAnsi"/>
          <w:bCs/>
        </w:rPr>
        <w:t xml:space="preserve">Przyczyny korzystania ze stron i </w:t>
      </w:r>
      <w:r w:rsidRPr="00755A4B">
        <w:t>aplikacji</w:t>
      </w:r>
      <w:r w:rsidRPr="00BF6615">
        <w:rPr>
          <w:rFonts w:cstheme="minorHAnsi"/>
          <w:bCs/>
        </w:rPr>
        <w:t xml:space="preserve"> podmiotów publicznych</w:t>
      </w:r>
    </w:p>
    <w:p w14:paraId="0C5320E8" w14:textId="2763F1EC" w:rsidR="00B13433" w:rsidRPr="00BF6615" w:rsidRDefault="00B13433" w:rsidP="007E26B5">
      <w:pPr>
        <w:rPr>
          <w:rFonts w:cstheme="minorHAnsi"/>
        </w:rPr>
      </w:pPr>
      <w:r w:rsidRPr="00BF6615">
        <w:rPr>
          <w:rFonts w:cstheme="minorHAnsi"/>
        </w:rPr>
        <w:t>Najczęstszym powodem korzystania ze stron i aplikacji jest chęć załatwienia spraw urzędowych lub uzyskania informacji – np. złożenia deklaracji podatkowej, potwierdzenia meldunku czy sprawdzenia danych medycznych. Niektóre osoby używały portali samorządowych do aktualizacji danych lub aplikacji zdrowotnych do monitorowania wyników badań. Portale samorządowe służyły także do załatwiania innych spraw np. meldunkowych: „Zameldowania w aplikacji miejskiej – też przez Internet robiłam” – wskazała jedna z uczestniczek.</w:t>
      </w:r>
    </w:p>
    <w:p w14:paraId="6C2216DB" w14:textId="77777777" w:rsidR="00B13433" w:rsidRPr="00BF6615" w:rsidRDefault="00B13433" w:rsidP="00B271C3">
      <w:pPr>
        <w:pStyle w:val="Nagwek4"/>
        <w:rPr>
          <w:rFonts w:cstheme="minorHAnsi"/>
          <w:bCs/>
        </w:rPr>
      </w:pPr>
      <w:r w:rsidRPr="00BF6615">
        <w:rPr>
          <w:rFonts w:cstheme="minorHAnsi"/>
          <w:bCs/>
        </w:rPr>
        <w:t xml:space="preserve">Strony i aplikacje podmiotów </w:t>
      </w:r>
      <w:r w:rsidRPr="00755A4B">
        <w:t>publicznych</w:t>
      </w:r>
      <w:r w:rsidRPr="00BF6615">
        <w:rPr>
          <w:rFonts w:cstheme="minorHAnsi"/>
          <w:bCs/>
        </w:rPr>
        <w:t xml:space="preserve"> wymagające poprawy</w:t>
      </w:r>
    </w:p>
    <w:p w14:paraId="72D3C0B3" w14:textId="23CC8B69" w:rsidR="00B13433" w:rsidRPr="00BF6615" w:rsidRDefault="00B13433" w:rsidP="007E26B5">
      <w:pPr>
        <w:rPr>
          <w:rFonts w:cstheme="minorHAnsi"/>
        </w:rPr>
      </w:pPr>
      <w:r w:rsidRPr="00BF6615">
        <w:rPr>
          <w:rFonts w:cstheme="minorHAnsi"/>
        </w:rPr>
        <w:t>Największe trudności sprawiały strony samorządowe oraz platformy służby zdrowia i gospodarki. Jedna z respondentek określiła procedurę w aplikacji związanej z działalnością gospodarczą jako „</w:t>
      </w:r>
      <w:proofErr w:type="spellStart"/>
      <w:r w:rsidRPr="00BF6615">
        <w:rPr>
          <w:rFonts w:cstheme="minorHAnsi"/>
        </w:rPr>
        <w:t>masakryczną</w:t>
      </w:r>
      <w:proofErr w:type="spellEnd"/>
      <w:r w:rsidRPr="00BF6615">
        <w:rPr>
          <w:rFonts w:cstheme="minorHAnsi"/>
        </w:rPr>
        <w:t xml:space="preserve">”: „Muszę sama wszystko zrobić, nawet współrzędne geograficzne”. Uczestnicy zauważyli także, że niektóre strony są nieczytelne i przenoszą użytkownika w nieoczekiwane miejsca, co dezorientuje i wydłuża czas </w:t>
      </w:r>
      <w:r w:rsidR="00A0798C">
        <w:rPr>
          <w:rFonts w:cstheme="minorHAnsi"/>
        </w:rPr>
        <w:t>obsługi</w:t>
      </w:r>
      <w:r w:rsidRPr="00BF6615">
        <w:rPr>
          <w:rFonts w:cstheme="minorHAnsi"/>
        </w:rPr>
        <w:t>.</w:t>
      </w:r>
    </w:p>
    <w:p w14:paraId="409477A8" w14:textId="77777777" w:rsidR="00B13433" w:rsidRPr="00BF6615" w:rsidRDefault="00B13433" w:rsidP="00B271C3">
      <w:pPr>
        <w:pStyle w:val="Nagwek4"/>
        <w:rPr>
          <w:rFonts w:cstheme="minorHAnsi"/>
          <w:bCs/>
        </w:rPr>
      </w:pPr>
      <w:r w:rsidRPr="00BF6615">
        <w:rPr>
          <w:rFonts w:cstheme="minorHAnsi"/>
          <w:bCs/>
        </w:rPr>
        <w:lastRenderedPageBreak/>
        <w:t xml:space="preserve">Najczęściej napotykane </w:t>
      </w:r>
      <w:r w:rsidRPr="00755A4B">
        <w:t>trudności</w:t>
      </w:r>
    </w:p>
    <w:p w14:paraId="1ABF3FC6" w14:textId="50DBC758" w:rsidR="00B13433" w:rsidRPr="00BF6615" w:rsidRDefault="00B13433" w:rsidP="007E26B5">
      <w:pPr>
        <w:rPr>
          <w:rFonts w:cstheme="minorHAnsi"/>
        </w:rPr>
      </w:pPr>
      <w:r w:rsidRPr="00BF6615">
        <w:rPr>
          <w:rFonts w:cstheme="minorHAnsi"/>
        </w:rPr>
        <w:t xml:space="preserve">Do głównych trudności należą: przeładowane treści, nieintuicyjna nawigacja, nieczytelny język oraz problemy z logowaniem. W takich sytuacjach seniorzy często zwracają się </w:t>
      </w:r>
      <w:r w:rsidR="000A692A" w:rsidRPr="00BF6615">
        <w:rPr>
          <w:rFonts w:cstheme="minorHAnsi"/>
        </w:rPr>
        <w:t>o</w:t>
      </w:r>
      <w:r w:rsidR="000A692A">
        <w:rPr>
          <w:rFonts w:cstheme="minorHAnsi"/>
        </w:rPr>
        <w:t> </w:t>
      </w:r>
      <w:r w:rsidRPr="00BF6615">
        <w:rPr>
          <w:rFonts w:cstheme="minorHAnsi"/>
        </w:rPr>
        <w:t>pomoc do młodszych osób. Jak stwierdził jeden z rozmówców: „Jak potrzebuję czegoś bardziej zaawansowanego, to proszę młodszych”. Brak jasnych instrukcji lub przewodników skutkuje rezygnacją z korzystania z niektórych usług.</w:t>
      </w:r>
    </w:p>
    <w:p w14:paraId="35FE5D4E" w14:textId="77777777" w:rsidR="00B13433" w:rsidRPr="00BF6615" w:rsidRDefault="00B13433" w:rsidP="00B271C3">
      <w:pPr>
        <w:pStyle w:val="Nagwek4"/>
        <w:rPr>
          <w:rFonts w:cstheme="minorHAnsi"/>
          <w:bCs/>
        </w:rPr>
      </w:pPr>
      <w:r w:rsidRPr="00BF6615">
        <w:rPr>
          <w:rFonts w:cstheme="minorHAnsi"/>
          <w:bCs/>
        </w:rPr>
        <w:t xml:space="preserve">Największe </w:t>
      </w:r>
      <w:r w:rsidRPr="00755A4B">
        <w:t>problemy</w:t>
      </w:r>
      <w:r w:rsidRPr="00BF6615">
        <w:rPr>
          <w:rFonts w:cstheme="minorHAnsi"/>
          <w:bCs/>
        </w:rPr>
        <w:t xml:space="preserve"> i potrzeby</w:t>
      </w:r>
    </w:p>
    <w:p w14:paraId="7A4E5306" w14:textId="06C50E25" w:rsidR="00B13433" w:rsidRPr="00BF6615" w:rsidRDefault="00B13433" w:rsidP="007E26B5">
      <w:pPr>
        <w:rPr>
          <w:rFonts w:cstheme="minorHAnsi"/>
        </w:rPr>
      </w:pPr>
      <w:r w:rsidRPr="00BF6615">
        <w:rPr>
          <w:rFonts w:cstheme="minorHAnsi"/>
        </w:rPr>
        <w:t xml:space="preserve">Za największą barierę uznano złożoność stron/aplikacji i niską intuicyjność. Część osób starszych ma także ograniczone zaufanie do rozwiązań cyfrowych – wolą kontakt osobisty, </w:t>
      </w:r>
      <w:r w:rsidR="000A692A" w:rsidRPr="00BF6615">
        <w:rPr>
          <w:rFonts w:cstheme="minorHAnsi"/>
        </w:rPr>
        <w:t>są</w:t>
      </w:r>
      <w:r w:rsidR="000A692A">
        <w:rPr>
          <w:rFonts w:cstheme="minorHAnsi"/>
        </w:rPr>
        <w:t> </w:t>
      </w:r>
      <w:r w:rsidRPr="00BF6615">
        <w:rPr>
          <w:rFonts w:cstheme="minorHAnsi"/>
        </w:rPr>
        <w:t xml:space="preserve">przywiązani do papierowych źródeł. „Jak emeryt ma do wyboru komputer czy gazetę, </w:t>
      </w:r>
      <w:r w:rsidR="000A692A" w:rsidRPr="00BF6615">
        <w:rPr>
          <w:rFonts w:cstheme="minorHAnsi"/>
        </w:rPr>
        <w:t>to</w:t>
      </w:r>
      <w:r w:rsidR="000A692A">
        <w:rPr>
          <w:rFonts w:cstheme="minorHAnsi"/>
        </w:rPr>
        <w:t> </w:t>
      </w:r>
      <w:r w:rsidRPr="00BF6615">
        <w:rPr>
          <w:rFonts w:cstheme="minorHAnsi"/>
        </w:rPr>
        <w:t>weźmie gazetę” – zauważył jeden z respondentów. Osoby starsze potrzebują uproszczenia procedur i logicznego układu stron.</w:t>
      </w:r>
    </w:p>
    <w:p w14:paraId="29D3F748" w14:textId="77777777" w:rsidR="00B13433" w:rsidRPr="00BF6615" w:rsidRDefault="00B13433" w:rsidP="00B271C3">
      <w:pPr>
        <w:pStyle w:val="Nagwek4"/>
        <w:rPr>
          <w:rFonts w:cstheme="minorHAnsi"/>
          <w:bCs/>
        </w:rPr>
      </w:pPr>
      <w:r w:rsidRPr="00BF6615">
        <w:rPr>
          <w:rFonts w:cstheme="minorHAnsi"/>
          <w:bCs/>
        </w:rPr>
        <w:t xml:space="preserve">Proponowane </w:t>
      </w:r>
      <w:r w:rsidRPr="00755A4B">
        <w:t>rozwiązania</w:t>
      </w:r>
    </w:p>
    <w:p w14:paraId="43C2406D" w14:textId="0E2A24B7" w:rsidR="00B13433" w:rsidRPr="00BF6615" w:rsidRDefault="00B13433" w:rsidP="007E26B5">
      <w:pPr>
        <w:rPr>
          <w:rFonts w:cstheme="minorHAnsi"/>
        </w:rPr>
      </w:pPr>
      <w:r w:rsidRPr="00BF6615">
        <w:rPr>
          <w:rFonts w:cstheme="minorHAnsi"/>
        </w:rPr>
        <w:t>Respondenci sugerowali m.in. połączenie różnych stron/aplikacji publicznych w jeden wspólny portal, aby uniknąć konieczności wielokrotnego logowania. Oczekują również prostych formularzy, jasnych instrukcji i intuicyjnych interfejsów. „Byłoby fajnie, żeby nie trzeba było zmieniać strony za każdym razem, tylko wszystko było w jednym miejscu” – zaproponowała jedna z uczestniczek.</w:t>
      </w:r>
    </w:p>
    <w:p w14:paraId="0E2E6314" w14:textId="01CF2B6B" w:rsidR="00B13433" w:rsidRPr="00BF6615" w:rsidRDefault="00B13433" w:rsidP="00B271C3">
      <w:pPr>
        <w:pStyle w:val="Nagwek4"/>
        <w:rPr>
          <w:rFonts w:cstheme="minorHAnsi"/>
          <w:bCs/>
        </w:rPr>
      </w:pPr>
      <w:r w:rsidRPr="00BF6615">
        <w:rPr>
          <w:rFonts w:cstheme="minorHAnsi"/>
          <w:bCs/>
        </w:rPr>
        <w:t xml:space="preserve">Oczekiwania wobec </w:t>
      </w:r>
      <w:r w:rsidRPr="00755A4B">
        <w:t>dostępności</w:t>
      </w:r>
      <w:r w:rsidRPr="00BF6615">
        <w:rPr>
          <w:rFonts w:cstheme="minorHAnsi"/>
          <w:bCs/>
        </w:rPr>
        <w:t xml:space="preserve"> cyfrowej</w:t>
      </w:r>
    </w:p>
    <w:p w14:paraId="249BA2B3" w14:textId="50BC54B1" w:rsidR="00B13433" w:rsidRPr="00BF6615" w:rsidRDefault="00B13433" w:rsidP="007E26B5">
      <w:pPr>
        <w:rPr>
          <w:rFonts w:cstheme="minorHAnsi"/>
        </w:rPr>
      </w:pPr>
      <w:r w:rsidRPr="00BF6615">
        <w:rPr>
          <w:rFonts w:cstheme="minorHAnsi"/>
        </w:rPr>
        <w:t xml:space="preserve">Najczęściej wskazywane oczekiwania to przejrzystość, prostota, logiczny układ treści i możliwość łatwego kontaktu z pomocą. Wskazywano, że informacje powinny być dostępne bez konieczności przeglądania wielu podstron. „Żeby po prostu człowiek miał klarownie pokazane wszystkie rzeczy, które na danej stronie można załatwić” – ujęła to jedna </w:t>
      </w:r>
      <w:r w:rsidR="000A692A" w:rsidRPr="00BF6615">
        <w:rPr>
          <w:rFonts w:cstheme="minorHAnsi"/>
        </w:rPr>
        <w:t>z</w:t>
      </w:r>
      <w:r w:rsidR="000A692A">
        <w:rPr>
          <w:rFonts w:cstheme="minorHAnsi"/>
        </w:rPr>
        <w:t> </w:t>
      </w:r>
      <w:r w:rsidRPr="00BF6615">
        <w:rPr>
          <w:rFonts w:cstheme="minorHAnsi"/>
        </w:rPr>
        <w:t>rozmówczyń.</w:t>
      </w:r>
    </w:p>
    <w:p w14:paraId="01BD7BDB" w14:textId="77777777" w:rsidR="00B13433" w:rsidRPr="00BF6615" w:rsidRDefault="00B13433" w:rsidP="00B271C3">
      <w:pPr>
        <w:pStyle w:val="Nagwek4"/>
        <w:rPr>
          <w:rFonts w:cstheme="minorHAnsi"/>
          <w:bCs/>
        </w:rPr>
      </w:pPr>
      <w:r w:rsidRPr="00BF6615">
        <w:rPr>
          <w:rFonts w:cstheme="minorHAnsi"/>
          <w:bCs/>
        </w:rPr>
        <w:t xml:space="preserve">Priorytetowe strony i </w:t>
      </w:r>
      <w:r w:rsidRPr="00755A4B">
        <w:t>aplikacje</w:t>
      </w:r>
      <w:r w:rsidRPr="00BF6615">
        <w:rPr>
          <w:rFonts w:cstheme="minorHAnsi"/>
          <w:bCs/>
        </w:rPr>
        <w:t xml:space="preserve"> podmiotów publicznych wymagające poprawy</w:t>
      </w:r>
    </w:p>
    <w:p w14:paraId="5D453754" w14:textId="2CFBBAAB" w:rsidR="00B13433" w:rsidRPr="00BF6615" w:rsidRDefault="00B13433" w:rsidP="007E26B5">
      <w:pPr>
        <w:rPr>
          <w:rFonts w:cstheme="minorHAnsi"/>
        </w:rPr>
      </w:pPr>
      <w:r w:rsidRPr="00BF6615">
        <w:rPr>
          <w:rFonts w:cstheme="minorHAnsi"/>
        </w:rPr>
        <w:t>Za najpilniejsze do poprawy uznano strony służby zdrowia – szczególnie systemy zapisów do lekarzy specjalistów – oraz portale samorządowe. Seniorzy chcieliby, aby po zgłoszeniu chęci wizyty system od razu pokazywał dostępne terminy. „Chciałabym, żeby od razu było pokazane, gdzie mogę się umówić do endokrynologa”. Równie ważna jest przejrzystość lokalnych stron/aplikacji dotyczących spraw mieszkaniowych czy meldunkowych.</w:t>
      </w:r>
    </w:p>
    <w:p w14:paraId="43688941" w14:textId="77777777" w:rsidR="00B13433" w:rsidRPr="00BF6615" w:rsidRDefault="00B13433" w:rsidP="00B271C3">
      <w:pPr>
        <w:pStyle w:val="Nagwek4"/>
        <w:rPr>
          <w:rFonts w:cstheme="minorHAnsi"/>
          <w:bCs/>
        </w:rPr>
      </w:pPr>
      <w:r w:rsidRPr="00BF6615">
        <w:rPr>
          <w:rFonts w:cstheme="minorHAnsi"/>
          <w:bCs/>
        </w:rPr>
        <w:t xml:space="preserve">Deklaracja </w:t>
      </w:r>
      <w:r w:rsidRPr="00755A4B">
        <w:t>dostępności</w:t>
      </w:r>
    </w:p>
    <w:p w14:paraId="1C665723" w14:textId="50350B0F" w:rsidR="00B13433" w:rsidRPr="00BF6615" w:rsidRDefault="00B13433" w:rsidP="007E26B5">
      <w:pPr>
        <w:rPr>
          <w:rFonts w:cstheme="minorHAnsi"/>
        </w:rPr>
      </w:pPr>
      <w:r w:rsidRPr="00BF6615">
        <w:rPr>
          <w:rFonts w:cstheme="minorHAnsi"/>
        </w:rPr>
        <w:t>Badani nie znali pojęcia deklaracji dostępności. Respondenci nie kojarzyli, by widzieli lub używali takich dokumentów, a niektórzy wprost dopytywali: „O jakiej deklaracji mówimy?”. Wskazuje to na potrzebę nie tylko ich uproszczenia, ale przede wszystkim – promocji i umieszczania w widocznych miejscach.</w:t>
      </w:r>
    </w:p>
    <w:p w14:paraId="1D2988FF" w14:textId="77777777" w:rsidR="00B13433" w:rsidRPr="00BF6615" w:rsidRDefault="00B13433" w:rsidP="00B271C3">
      <w:pPr>
        <w:pStyle w:val="Nagwek4"/>
        <w:rPr>
          <w:rFonts w:cstheme="minorHAnsi"/>
          <w:bCs/>
        </w:rPr>
      </w:pPr>
      <w:r w:rsidRPr="00755A4B">
        <w:t>Podsumowanie</w:t>
      </w:r>
    </w:p>
    <w:p w14:paraId="5D7969B7" w14:textId="77777777" w:rsidR="00B13433" w:rsidRPr="00BF6615" w:rsidRDefault="00B13433" w:rsidP="007E26B5">
      <w:pPr>
        <w:rPr>
          <w:rFonts w:cstheme="minorHAnsi"/>
        </w:rPr>
      </w:pPr>
      <w:r w:rsidRPr="00BF6615">
        <w:rPr>
          <w:rFonts w:cstheme="minorHAnsi"/>
        </w:rPr>
        <w:t xml:space="preserve">Osoby starsze korzystają z Internetu na różnych poziomach zaawansowania – od codziennego użytkowania po całkowitą rezygnację z usług cyfrowych. Cenią proste </w:t>
      </w:r>
      <w:r w:rsidRPr="00BF6615">
        <w:rPr>
          <w:rFonts w:cstheme="minorHAnsi"/>
        </w:rPr>
        <w:lastRenderedPageBreak/>
        <w:t>i przejrzyste strony, które nie wymagają specjalistycznej wiedzy. Problemy najczęściej dotyczą stron samorządowych i służby zdrowia – zbyt złożone procedury i niejasne instrukcje odstraszają użytkowników. Najważniejsze potrzeby to: uproszczenie, czytelność, integracja usług i możliwość kontaktu z pomocą. Postulowane rozwiązania obejmują m.in. wspólną platformę dla różnych urzędów i prostsze formularze. Osoby starsze nie znają deklaracji dostępności – nie zauważają ich lub nie wiedzą, czym są. Dla tej grupy liczy się przede wszystkim praktyczna dostępność usług – przejrzysty układ, intuicyjność i wsparcie w razie potrzeby. Dopiero takie podejście do dostępności cyfrowej może realnie zwiększyć ich udział w życiu cyfrowym.</w:t>
      </w:r>
    </w:p>
    <w:p w14:paraId="0AD6AF45" w14:textId="580D47AA" w:rsidR="000D1096" w:rsidRPr="00BF6615" w:rsidRDefault="000D1096" w:rsidP="007E26B5">
      <w:pPr>
        <w:spacing w:after="160" w:line="259" w:lineRule="auto"/>
        <w:rPr>
          <w:rFonts w:eastAsiaTheme="majorEastAsia" w:cstheme="minorHAnsi"/>
          <w:b/>
          <w:bCs/>
          <w:color w:val="C00000"/>
          <w:sz w:val="36"/>
          <w:szCs w:val="28"/>
        </w:rPr>
      </w:pPr>
      <w:bookmarkStart w:id="55" w:name="_Toc196827510"/>
      <w:bookmarkStart w:id="56" w:name="_Toc196827584"/>
      <w:bookmarkStart w:id="57" w:name="_Toc196827511"/>
      <w:bookmarkStart w:id="58" w:name="_Toc196827585"/>
      <w:bookmarkStart w:id="59" w:name="_Toc196827586"/>
      <w:bookmarkEnd w:id="55"/>
      <w:bookmarkEnd w:id="56"/>
      <w:bookmarkEnd w:id="57"/>
      <w:bookmarkEnd w:id="58"/>
    </w:p>
    <w:p w14:paraId="15D96B79" w14:textId="034F0DF2" w:rsidR="00B13433" w:rsidRPr="00BF6615" w:rsidRDefault="00B13433" w:rsidP="00352609">
      <w:pPr>
        <w:pStyle w:val="Nagwek2"/>
        <w:pageBreakBefore/>
        <w:ind w:left="357" w:hanging="357"/>
      </w:pPr>
      <w:bookmarkStart w:id="60" w:name="_Toc204179231"/>
      <w:r w:rsidRPr="00BF6615">
        <w:lastRenderedPageBreak/>
        <w:t>Wyniki z testów użytkowników przeprowadzone z wykorzystaniem stron i aplikacji podmiotów publicznych w podziale na grupy badane</w:t>
      </w:r>
      <w:bookmarkEnd w:id="59"/>
      <w:bookmarkEnd w:id="60"/>
    </w:p>
    <w:p w14:paraId="50FCBA34" w14:textId="0B578A56" w:rsidR="00B13433" w:rsidRPr="00BF6615" w:rsidRDefault="00B13433">
      <w:pPr>
        <w:pStyle w:val="Nagwek3"/>
        <w:numPr>
          <w:ilvl w:val="1"/>
          <w:numId w:val="6"/>
        </w:numPr>
      </w:pPr>
      <w:bookmarkStart w:id="61" w:name="_Toc196827587"/>
      <w:bookmarkStart w:id="62" w:name="_Toc204179232"/>
      <w:r w:rsidRPr="00BF6615">
        <w:t>Osoby ociemniałe lub niewidome</w:t>
      </w:r>
      <w:bookmarkEnd w:id="61"/>
      <w:bookmarkEnd w:id="62"/>
    </w:p>
    <w:p w14:paraId="0A802E0B" w14:textId="77777777" w:rsidR="00B13433" w:rsidRPr="00BF6615" w:rsidRDefault="00B13433" w:rsidP="00B271C3">
      <w:pPr>
        <w:pStyle w:val="Nagwek4"/>
      </w:pPr>
      <w:bookmarkStart w:id="63" w:name="_Toc196827588"/>
      <w:r w:rsidRPr="338987BF">
        <w:t>Wprowadzenie</w:t>
      </w:r>
      <w:bookmarkEnd w:id="63"/>
    </w:p>
    <w:p w14:paraId="7273049B" w14:textId="3E71436C" w:rsidR="00B13433" w:rsidRPr="00BF6615" w:rsidRDefault="00B13433" w:rsidP="007E26B5">
      <w:pPr>
        <w:spacing w:after="160"/>
      </w:pPr>
      <w:r w:rsidRPr="338987BF">
        <w:t xml:space="preserve">Osoby ociemniałe i niewidome (dalej w tekście osoby niewidome) napotkały szereg istotnych problemów podczas testów stron/aplikacji i aplikacji publicznych. Największe trudności wynikały z braku dostosowania treści do potrzeb czytników ekranu oraz nieintuicyjnej struktury interfejsów. „Nie mógł przeczytać menu, a jednak lubi wiedzieć co będzie jadł” – skomentował jeden z badanych, obrazując frustrację z powodu niedostępnych elementów strony. Użytkownicy często musieli zgadywać, co należy zrobić lub omijać niedostępne fragmenty, co znacznie wydłużało czas wykonania zadania. Mimo to większość testujących starała się wytrwać w realizacji zadań, wykorzystując własne sposoby na pokonywanie napotkanych barier (np. metodę prób i błędów czy polecenia głosowe Asystenta Google). Najczęstsze problemy wskazywane przez osoby niewidome dotyczyły: braku opisów alternatywnych dla grafik i ikon, nieintuicyjnej nawigacji na stronach, trudności w obsłudze formularzy oraz braku dostępnych opisów treści multimedialnych. </w:t>
      </w:r>
    </w:p>
    <w:p w14:paraId="41849962" w14:textId="77777777" w:rsidR="00B13433" w:rsidRPr="00BF6615" w:rsidRDefault="00B13433" w:rsidP="007E26B5">
      <w:pPr>
        <w:rPr>
          <w:rFonts w:cstheme="minorHAnsi"/>
        </w:rPr>
      </w:pPr>
      <w:r w:rsidRPr="00BF6615">
        <w:rPr>
          <w:rFonts w:cstheme="minorHAnsi"/>
        </w:rPr>
        <w:t>Najczęstsze problemy wskazane przez osoby niewidome:</w:t>
      </w:r>
    </w:p>
    <w:p w14:paraId="16FD0DCF" w14:textId="77777777" w:rsidR="00B13433" w:rsidRPr="00BF6615" w:rsidRDefault="00B13433">
      <w:pPr>
        <w:pStyle w:val="Akapitzlist"/>
        <w:numPr>
          <w:ilvl w:val="0"/>
          <w:numId w:val="24"/>
        </w:numPr>
        <w:rPr>
          <w:rFonts w:cstheme="minorHAnsi"/>
        </w:rPr>
      </w:pPr>
      <w:r w:rsidRPr="00BF6615">
        <w:rPr>
          <w:rFonts w:cstheme="minorHAnsi"/>
        </w:rPr>
        <w:t>Brak alternatywnych opisów dla obrazów, ikon i grafik.</w:t>
      </w:r>
    </w:p>
    <w:p w14:paraId="05078370" w14:textId="77777777" w:rsidR="00B13433" w:rsidRPr="00BF6615" w:rsidRDefault="00B13433">
      <w:pPr>
        <w:pStyle w:val="Akapitzlist"/>
        <w:numPr>
          <w:ilvl w:val="0"/>
          <w:numId w:val="24"/>
        </w:numPr>
        <w:rPr>
          <w:rFonts w:cstheme="minorHAnsi"/>
        </w:rPr>
      </w:pPr>
      <w:r w:rsidRPr="00BF6615">
        <w:rPr>
          <w:rFonts w:cstheme="minorHAnsi"/>
        </w:rPr>
        <w:t>Nieintuicyjna nawigacja, brak nagłówków i struktury ułatwiającej poruszanie się.</w:t>
      </w:r>
    </w:p>
    <w:p w14:paraId="0C4A0CDF" w14:textId="77777777" w:rsidR="00B13433" w:rsidRPr="00BF6615" w:rsidRDefault="00B13433">
      <w:pPr>
        <w:pStyle w:val="Akapitzlist"/>
        <w:numPr>
          <w:ilvl w:val="0"/>
          <w:numId w:val="24"/>
        </w:numPr>
        <w:rPr>
          <w:rFonts w:cstheme="minorHAnsi"/>
        </w:rPr>
      </w:pPr>
      <w:r w:rsidRPr="00BF6615">
        <w:rPr>
          <w:rFonts w:cstheme="minorHAnsi"/>
        </w:rPr>
        <w:t>Formularze bez etykiet i instrukcji – trudne do uzupełnienia.</w:t>
      </w:r>
    </w:p>
    <w:p w14:paraId="0FDC8ECC" w14:textId="77777777" w:rsidR="00B13433" w:rsidRPr="00BF6615" w:rsidRDefault="00B13433">
      <w:pPr>
        <w:pStyle w:val="Akapitzlist"/>
        <w:numPr>
          <w:ilvl w:val="0"/>
          <w:numId w:val="24"/>
        </w:numPr>
        <w:rPr>
          <w:rFonts w:cstheme="minorHAnsi"/>
        </w:rPr>
      </w:pPr>
      <w:r w:rsidRPr="00BF6615">
        <w:rPr>
          <w:rFonts w:cstheme="minorHAnsi"/>
        </w:rPr>
        <w:t>Multimedia bez transkrypcji lub audiodeskrypcji.</w:t>
      </w:r>
    </w:p>
    <w:p w14:paraId="1B5EDC0A" w14:textId="77777777" w:rsidR="00B13433" w:rsidRPr="00BF6615" w:rsidRDefault="00B13433">
      <w:pPr>
        <w:pStyle w:val="Akapitzlist"/>
        <w:numPr>
          <w:ilvl w:val="0"/>
          <w:numId w:val="24"/>
        </w:numPr>
        <w:rPr>
          <w:rFonts w:cstheme="minorHAnsi"/>
        </w:rPr>
      </w:pPr>
      <w:r w:rsidRPr="00BF6615">
        <w:rPr>
          <w:rFonts w:cstheme="minorHAnsi"/>
        </w:rPr>
        <w:t>Brak komunikatów o błędach lub nieczytelne informacje zwrotne.</w:t>
      </w:r>
    </w:p>
    <w:p w14:paraId="212C1A64" w14:textId="77777777" w:rsidR="00B13433" w:rsidRPr="00BF6615" w:rsidRDefault="00B13433">
      <w:pPr>
        <w:pStyle w:val="Akapitzlist"/>
        <w:numPr>
          <w:ilvl w:val="0"/>
          <w:numId w:val="24"/>
        </w:numPr>
        <w:rPr>
          <w:rFonts w:cstheme="minorHAnsi"/>
        </w:rPr>
      </w:pPr>
      <w:r w:rsidRPr="00BF6615">
        <w:rPr>
          <w:rFonts w:cstheme="minorHAnsi"/>
        </w:rPr>
        <w:t>Linki i przyciski bez opisów – np. „więcej”, „kliknij tutaj”.</w:t>
      </w:r>
    </w:p>
    <w:p w14:paraId="33FD2EFE" w14:textId="77777777" w:rsidR="00B13433" w:rsidRPr="00BF6615" w:rsidRDefault="00B13433">
      <w:pPr>
        <w:pStyle w:val="Akapitzlist"/>
        <w:numPr>
          <w:ilvl w:val="0"/>
          <w:numId w:val="24"/>
        </w:numPr>
        <w:rPr>
          <w:rFonts w:cstheme="minorHAnsi"/>
        </w:rPr>
      </w:pPr>
      <w:r w:rsidRPr="00BF6615">
        <w:rPr>
          <w:rFonts w:cstheme="minorHAnsi"/>
        </w:rPr>
        <w:t>Brak możliwości szybkiego przejścia do treści (brak skip linków).</w:t>
      </w:r>
    </w:p>
    <w:p w14:paraId="130096C0" w14:textId="77777777" w:rsidR="00B13433" w:rsidRPr="00BF6615" w:rsidRDefault="00B13433">
      <w:pPr>
        <w:pStyle w:val="Akapitzlist"/>
        <w:numPr>
          <w:ilvl w:val="0"/>
          <w:numId w:val="24"/>
        </w:numPr>
        <w:rPr>
          <w:rFonts w:cstheme="minorHAnsi"/>
        </w:rPr>
      </w:pPr>
      <w:r w:rsidRPr="00BF6615">
        <w:rPr>
          <w:rFonts w:cstheme="minorHAnsi"/>
        </w:rPr>
        <w:t>Brak opisów funkcji w aplikacjach mobilnych.</w:t>
      </w:r>
    </w:p>
    <w:p w14:paraId="18A3FA60" w14:textId="77777777" w:rsidR="00B13433" w:rsidRPr="00BF6615" w:rsidRDefault="00B13433">
      <w:pPr>
        <w:pStyle w:val="Akapitzlist"/>
        <w:numPr>
          <w:ilvl w:val="0"/>
          <w:numId w:val="24"/>
        </w:numPr>
        <w:rPr>
          <w:rFonts w:cstheme="minorHAnsi"/>
        </w:rPr>
      </w:pPr>
      <w:r w:rsidRPr="00BF6615">
        <w:rPr>
          <w:rFonts w:cstheme="minorHAnsi"/>
        </w:rPr>
        <w:t>Pułapki nawigacyjne – np. utknięcie fokusu w oknie.</w:t>
      </w:r>
    </w:p>
    <w:p w14:paraId="65C8F84F" w14:textId="77777777" w:rsidR="00B13433" w:rsidRPr="00BF6615" w:rsidRDefault="00B13433">
      <w:pPr>
        <w:pStyle w:val="Akapitzlist"/>
        <w:numPr>
          <w:ilvl w:val="0"/>
          <w:numId w:val="24"/>
        </w:numPr>
        <w:rPr>
          <w:rFonts w:cstheme="minorHAnsi"/>
        </w:rPr>
      </w:pPr>
      <w:r w:rsidRPr="00BF6615">
        <w:rPr>
          <w:rFonts w:cstheme="minorHAnsi"/>
        </w:rPr>
        <w:t>Brak reakcji aplikacji na działania użytkownika – brak komunikatów systemowych.</w:t>
      </w:r>
    </w:p>
    <w:p w14:paraId="69EADAD2" w14:textId="6409ED6E" w:rsidR="00B13433" w:rsidRPr="00BF6615" w:rsidRDefault="00755A4B" w:rsidP="00755A4B">
      <w:r>
        <w:t xml:space="preserve">Poniżej przedstawiono szczegółowe omówienie przeprowadzonych testów. </w:t>
      </w:r>
    </w:p>
    <w:p w14:paraId="71D9883F" w14:textId="25395C41" w:rsidR="00B13433" w:rsidRPr="00755A4B" w:rsidRDefault="00B13433" w:rsidP="00B271C3">
      <w:pPr>
        <w:pStyle w:val="Nagwek4"/>
      </w:pPr>
      <w:r w:rsidRPr="00B271C3">
        <w:rPr>
          <w:rStyle w:val="Nagwek4Znak"/>
          <w:b/>
        </w:rPr>
        <w:t>Problemy według rodzajów testowanych stron i aplikacji podmiotów publi</w:t>
      </w:r>
      <w:r w:rsidRPr="00755A4B">
        <w:t>cz</w:t>
      </w:r>
      <w:r w:rsidR="5570D610" w:rsidRPr="00755A4B">
        <w:t>n</w:t>
      </w:r>
      <w:r w:rsidRPr="00755A4B">
        <w:t>ych</w:t>
      </w:r>
    </w:p>
    <w:p w14:paraId="414CD08C" w14:textId="77777777" w:rsidR="00B13433" w:rsidRPr="00BF6615" w:rsidRDefault="00B13433" w:rsidP="007E26B5">
      <w:pPr>
        <w:spacing w:after="160"/>
        <w:rPr>
          <w:rFonts w:cstheme="minorHAnsi"/>
        </w:rPr>
      </w:pPr>
      <w:r w:rsidRPr="00BF6615">
        <w:rPr>
          <w:rFonts w:cstheme="minorHAnsi"/>
        </w:rPr>
        <w:t>Grupa osób niewidomych testowała strony ostrzegawcze, stronę i aplikację służby zdrowia, stronę i aplikację samorządową, strony dotyczące kultury i sportu, stronę transportową oraz stronę podatkową. Podczas testów użytkownicy napotkali następujące trudności:</w:t>
      </w:r>
    </w:p>
    <w:p w14:paraId="3AE967D9" w14:textId="77777777" w:rsidR="00B13433" w:rsidRPr="00BF6615" w:rsidRDefault="00B13433">
      <w:pPr>
        <w:pStyle w:val="Akapitzlist"/>
        <w:numPr>
          <w:ilvl w:val="0"/>
          <w:numId w:val="25"/>
        </w:numPr>
        <w:rPr>
          <w:rFonts w:cstheme="minorHAnsi"/>
        </w:rPr>
      </w:pPr>
      <w:r w:rsidRPr="00BF6615">
        <w:rPr>
          <w:rFonts w:cstheme="minorHAnsi"/>
        </w:rPr>
        <w:t>Aplikacja ostrzegawcza – brak instrukcji krok po kroku, nieopisane ikony, nieintuicyjne zarządzanie powiadomieniami, zawieszanie się aplikacji bez komunikatów.</w:t>
      </w:r>
    </w:p>
    <w:p w14:paraId="2741B345" w14:textId="3E8132AF" w:rsidR="00B13433" w:rsidRPr="00BF6615" w:rsidRDefault="00B13433">
      <w:pPr>
        <w:pStyle w:val="Akapitzlist"/>
        <w:numPr>
          <w:ilvl w:val="0"/>
          <w:numId w:val="25"/>
        </w:numPr>
        <w:rPr>
          <w:rFonts w:cstheme="minorHAnsi"/>
        </w:rPr>
      </w:pPr>
      <w:r w:rsidRPr="00BF6615">
        <w:rPr>
          <w:rFonts w:cstheme="minorHAnsi"/>
        </w:rPr>
        <w:lastRenderedPageBreak/>
        <w:t xml:space="preserve">Strona/aplikacja służby zdrowia – trudności z nawigacją i formularzami, brak etykiet </w:t>
      </w:r>
      <w:r w:rsidR="000A692A" w:rsidRPr="00BF6615">
        <w:rPr>
          <w:rFonts w:cstheme="minorHAnsi"/>
        </w:rPr>
        <w:t>i</w:t>
      </w:r>
      <w:r w:rsidR="000A692A">
        <w:rPr>
          <w:rFonts w:cstheme="minorHAnsi"/>
        </w:rPr>
        <w:t> </w:t>
      </w:r>
      <w:r w:rsidRPr="00BF6615">
        <w:rPr>
          <w:rFonts w:cstheme="minorHAnsi"/>
        </w:rPr>
        <w:t>komunikatów o błędach, skomplikowany proces umawiania wizyty.</w:t>
      </w:r>
    </w:p>
    <w:p w14:paraId="1E8723D4" w14:textId="77777777" w:rsidR="00B13433" w:rsidRPr="00BF6615" w:rsidRDefault="00B13433">
      <w:pPr>
        <w:pStyle w:val="Akapitzlist"/>
        <w:numPr>
          <w:ilvl w:val="0"/>
          <w:numId w:val="25"/>
        </w:numPr>
        <w:rPr>
          <w:rFonts w:cstheme="minorHAnsi"/>
        </w:rPr>
      </w:pPr>
      <w:r w:rsidRPr="00BF6615">
        <w:rPr>
          <w:rFonts w:cstheme="minorHAnsi"/>
        </w:rPr>
        <w:t>Strona/aplikacja samorządowa – brak opisów elementów interfejsu, złożona struktura menu, nieoznaczone formularze, niezrozumiałe pytania.</w:t>
      </w:r>
    </w:p>
    <w:p w14:paraId="4176339D" w14:textId="77777777" w:rsidR="00B13433" w:rsidRPr="00BF6615" w:rsidRDefault="00B13433">
      <w:pPr>
        <w:pStyle w:val="Akapitzlist"/>
        <w:numPr>
          <w:ilvl w:val="0"/>
          <w:numId w:val="25"/>
        </w:numPr>
        <w:rPr>
          <w:rFonts w:cstheme="minorHAnsi"/>
        </w:rPr>
      </w:pPr>
      <w:r w:rsidRPr="00BF6615">
        <w:rPr>
          <w:rFonts w:cstheme="minorHAnsi"/>
        </w:rPr>
        <w:t>Strony kultury i sportu – brak opisów grafik, nieczytelne harmonogramy z pustymi komórkami, niezrozumiałe skróty w cennikach.</w:t>
      </w:r>
    </w:p>
    <w:p w14:paraId="6EA6DF54" w14:textId="77777777" w:rsidR="00B13433" w:rsidRPr="00BF6615" w:rsidRDefault="00B13433">
      <w:pPr>
        <w:pStyle w:val="Akapitzlist"/>
        <w:numPr>
          <w:ilvl w:val="0"/>
          <w:numId w:val="25"/>
        </w:numPr>
        <w:rPr>
          <w:rFonts w:cstheme="minorHAnsi"/>
        </w:rPr>
      </w:pPr>
      <w:r w:rsidRPr="00BF6615">
        <w:rPr>
          <w:rFonts w:cstheme="minorHAnsi"/>
        </w:rPr>
        <w:t>Strona transportowa – brak opisów ikon, trudności z dotarciem do informacji, brak skip linków i wyszukiwarki, mapa strony tylko w stopce.</w:t>
      </w:r>
    </w:p>
    <w:p w14:paraId="12D29CCB" w14:textId="77777777" w:rsidR="00B13433" w:rsidRPr="00BF6615" w:rsidRDefault="00B13433">
      <w:pPr>
        <w:pStyle w:val="Akapitzlist"/>
        <w:numPr>
          <w:ilvl w:val="0"/>
          <w:numId w:val="25"/>
        </w:numPr>
        <w:rPr>
          <w:rFonts w:cstheme="minorHAnsi"/>
        </w:rPr>
      </w:pPr>
      <w:r w:rsidRPr="00BF6615">
        <w:rPr>
          <w:rFonts w:cstheme="minorHAnsi"/>
        </w:rPr>
        <w:t>Strona podatkowa – problemy z obsługą kalkulatorów, nieopisane pola edycji, niewidoczna mapa strony, powtarzalne linki bez jednoznacznych etykiet.</w:t>
      </w:r>
    </w:p>
    <w:p w14:paraId="34D5D437" w14:textId="77777777" w:rsidR="00B13433" w:rsidRPr="00BF6615" w:rsidRDefault="00B13433" w:rsidP="007E26B5">
      <w:pPr>
        <w:rPr>
          <w:rFonts w:cstheme="minorHAnsi"/>
        </w:rPr>
      </w:pPr>
      <w:r w:rsidRPr="00BF6615">
        <w:rPr>
          <w:rFonts w:cstheme="minorHAnsi"/>
        </w:rPr>
        <w:t>Największe problemy użytkownicy napotkali przy realizacji zadań w aplikacji ostrzegawczej – ta kategoria strony okazała się najmniej przyjazna w obsłudze dla osób niewidomych. Relatywnie najmniej trudności sprawiły strony kultury i sportu – proste strony informacyjne tych instytucji były częściowo zrozumiałe pomimo pewnych braków w dostępności. Poniżej przedstawiono porównanie ogólnego poziomu realizacji zadań w poszczególnych grupach.</w:t>
      </w:r>
    </w:p>
    <w:p w14:paraId="1CDF540C" w14:textId="00523144" w:rsidR="00B13433" w:rsidRPr="00BF6615" w:rsidRDefault="00B13433" w:rsidP="007E26B5">
      <w:pPr>
        <w:pStyle w:val="Legenda"/>
        <w:spacing w:line="276" w:lineRule="auto"/>
        <w:rPr>
          <w:rFonts w:cstheme="minorHAnsi"/>
        </w:rPr>
      </w:pPr>
      <w:bookmarkStart w:id="64" w:name="_Toc196335289"/>
      <w:bookmarkStart w:id="65" w:name="_Toc204179147"/>
      <w:r w:rsidRPr="00BF6615">
        <w:rPr>
          <w:rFonts w:cstheme="minorHAnsi"/>
        </w:rPr>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1</w:t>
      </w:r>
      <w:r w:rsidRPr="00BF6615">
        <w:rPr>
          <w:rFonts w:cstheme="minorHAnsi"/>
        </w:rPr>
        <w:fldChar w:fldCharType="end"/>
      </w:r>
      <w:r w:rsidR="000110ED">
        <w:rPr>
          <w:rFonts w:cstheme="minorHAnsi"/>
        </w:rPr>
        <w:t>.</w:t>
      </w:r>
      <w:r w:rsidRPr="00BF6615">
        <w:rPr>
          <w:rFonts w:cstheme="minorHAnsi"/>
        </w:rPr>
        <w:t xml:space="preserve"> Poziom realizacji zadań według rodzajów stron i aplikacji (średnia ocen w skali </w:t>
      </w:r>
      <w:r w:rsidR="000A692A">
        <w:rPr>
          <w:rFonts w:cstheme="minorHAnsi"/>
        </w:rPr>
        <w:br/>
      </w:r>
      <w:r w:rsidRPr="00BF6615">
        <w:rPr>
          <w:rFonts w:cstheme="minorHAnsi"/>
        </w:rPr>
        <w:t>1–5) (osoby ociemniałe lub niewidome)</w:t>
      </w:r>
      <w:bookmarkEnd w:id="64"/>
      <w:bookmarkEnd w:id="65"/>
    </w:p>
    <w:p w14:paraId="3EA81B83" w14:textId="77777777" w:rsidR="00B13433" w:rsidRPr="00BF6615" w:rsidRDefault="00B13433" w:rsidP="007E26B5">
      <w:pPr>
        <w:spacing w:after="160"/>
        <w:rPr>
          <w:rFonts w:cstheme="minorHAnsi"/>
        </w:rPr>
      </w:pPr>
      <w:r w:rsidRPr="00BF6615">
        <w:rPr>
          <w:rFonts w:cstheme="minorHAnsi"/>
          <w:noProof/>
          <w:lang w:eastAsia="pl-PL"/>
        </w:rPr>
        <w:drawing>
          <wp:inline distT="0" distB="0" distL="0" distR="0" wp14:anchorId="296C7F03" wp14:editId="1349FA0D">
            <wp:extent cx="5981700" cy="3155950"/>
            <wp:effectExtent l="0" t="0" r="0" b="6350"/>
            <wp:docPr id="196693032" name="Wykres 1" descr="Kategoria serwisów Średni poziom trudności&#10;Serwis podatkowy 4&#10;Serwisy służby zdrowia 3,5&#10;Serwisy samorządowe 3&#10;Serwisy kultury i sportu 3&#10;Serwis transportowy 3&#10;Serwis ostrzegawczo-ratunkowy 2,7&#10;">
              <a:extLst xmlns:a="http://schemas.openxmlformats.org/drawingml/2006/main">
                <a:ext uri="{FF2B5EF4-FFF2-40B4-BE49-F238E27FC236}">
                  <a16:creationId xmlns:a16="http://schemas.microsoft.com/office/drawing/2014/main" id="{6F884A88-1DCE-4B32-826E-A644AC92DE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34518C" w14:textId="77777777" w:rsidR="00B13433" w:rsidRPr="00BF6615" w:rsidRDefault="00B13433" w:rsidP="007E26B5">
      <w:pPr>
        <w:rPr>
          <w:rFonts w:cstheme="minorHAnsi"/>
        </w:rPr>
      </w:pPr>
      <w:r w:rsidRPr="00BF6615">
        <w:rPr>
          <w:rFonts w:cstheme="minorHAnsi"/>
        </w:rPr>
        <w:t>Źródło: opracowanie własne.</w:t>
      </w:r>
    </w:p>
    <w:p w14:paraId="3C294359" w14:textId="77777777" w:rsidR="00B13433" w:rsidRPr="00BF6615" w:rsidRDefault="00B13433" w:rsidP="00B271C3">
      <w:pPr>
        <w:pStyle w:val="Nagwek4"/>
      </w:pPr>
      <w:r w:rsidRPr="338987BF">
        <w:t xml:space="preserve">Problemy i bariery </w:t>
      </w:r>
      <w:r w:rsidRPr="00B271C3">
        <w:rPr>
          <w:rStyle w:val="Nagwek4Znak"/>
          <w:b/>
        </w:rPr>
        <w:t>napotkane</w:t>
      </w:r>
      <w:r w:rsidRPr="338987BF">
        <w:t xml:space="preserve"> podczas testów</w:t>
      </w:r>
    </w:p>
    <w:p w14:paraId="16097EDB" w14:textId="77777777" w:rsidR="00B13433" w:rsidRPr="00BF6615" w:rsidRDefault="00B13433" w:rsidP="007E26B5">
      <w:pPr>
        <w:spacing w:after="160"/>
        <w:rPr>
          <w:rFonts w:cstheme="minorHAnsi"/>
        </w:rPr>
      </w:pPr>
      <w:r w:rsidRPr="00BF6615">
        <w:rPr>
          <w:rFonts w:cstheme="minorHAnsi"/>
        </w:rPr>
        <w:t>Najczęściej zgłaszane problemy obejmowały następujące kwestie (w nawiasach podano liczbę ich wystąpień podczas wszystkich testów):</w:t>
      </w:r>
    </w:p>
    <w:p w14:paraId="05546304" w14:textId="77777777" w:rsidR="00B13433" w:rsidRPr="00BF6615" w:rsidRDefault="00B13433">
      <w:pPr>
        <w:numPr>
          <w:ilvl w:val="0"/>
          <w:numId w:val="26"/>
        </w:numPr>
        <w:spacing w:after="160"/>
        <w:rPr>
          <w:rFonts w:cstheme="minorHAnsi"/>
        </w:rPr>
      </w:pPr>
      <w:bookmarkStart w:id="66" w:name="_Hlk194920512"/>
      <w:r w:rsidRPr="00BF6615">
        <w:rPr>
          <w:rFonts w:cstheme="minorHAnsi"/>
        </w:rPr>
        <w:t>Brak alternatywnych opisów dla treści nietekstowych – wiele obrazów, ikon czy elementów graficznych nie posiadało tekstu alternatywnego (czytnik ekranu odczytywał je np. jako „grafika”) lub nagrań audio/wideo nie opatrzono  audiodeskrypcją. Powodowało to niezrozumienie treści przez osoby niewidome (10 przypadków).</w:t>
      </w:r>
    </w:p>
    <w:p w14:paraId="1167408F" w14:textId="77777777" w:rsidR="00B13433" w:rsidRPr="00BF6615" w:rsidRDefault="00B13433">
      <w:pPr>
        <w:numPr>
          <w:ilvl w:val="0"/>
          <w:numId w:val="26"/>
        </w:numPr>
        <w:spacing w:after="160"/>
        <w:rPr>
          <w:rFonts w:cstheme="minorHAnsi"/>
        </w:rPr>
      </w:pPr>
      <w:r w:rsidRPr="00BF6615">
        <w:rPr>
          <w:rFonts w:cstheme="minorHAnsi"/>
        </w:rPr>
        <w:lastRenderedPageBreak/>
        <w:t>Nieuporządkowana lub nieintuicyjna struktura strony – elementy na stronach były rozmieszczone w sposób chaotyczny lub nielogiczny z punktu widzenia nawigacji za pomocą czytnika ekranu. Brak odpowiedniej hierarchii nagłówków i sekcji zmuszał użytkowników do przeszukiwania całej strony krok po kroku (10).</w:t>
      </w:r>
    </w:p>
    <w:p w14:paraId="412478F4" w14:textId="77777777" w:rsidR="00B13433" w:rsidRPr="00BF6615" w:rsidRDefault="00B13433">
      <w:pPr>
        <w:numPr>
          <w:ilvl w:val="0"/>
          <w:numId w:val="26"/>
        </w:numPr>
        <w:spacing w:after="160"/>
        <w:rPr>
          <w:rFonts w:cstheme="minorHAnsi"/>
        </w:rPr>
      </w:pPr>
      <w:r w:rsidRPr="00BF6615">
        <w:rPr>
          <w:rFonts w:cstheme="minorHAnsi"/>
        </w:rPr>
        <w:t>Brak nagłówków i etykiet ułatwiających nawigację – strony i aplikacje często nie posiadały właściwie zdefiniowanych nagłówków ani opisów przy elementach interaktywnych. Utrudniało to szybkie zorientowanie się w zawartości oraz przechodzenie do interesujących sekcji za pomocą skrótów czytnika (9)</w:t>
      </w:r>
      <w:r w:rsidRPr="00BF6615">
        <w:rPr>
          <w:rStyle w:val="Odwoanieprzypisudolnego"/>
          <w:rFonts w:cstheme="minorHAnsi"/>
        </w:rPr>
        <w:footnoteReference w:id="23"/>
      </w:r>
      <w:r w:rsidRPr="00BF6615">
        <w:rPr>
          <w:rFonts w:cstheme="minorHAnsi"/>
        </w:rPr>
        <w:t>.</w:t>
      </w:r>
    </w:p>
    <w:p w14:paraId="2F40FBAA" w14:textId="77777777" w:rsidR="00B13433" w:rsidRPr="00BF6615" w:rsidRDefault="00B13433">
      <w:pPr>
        <w:numPr>
          <w:ilvl w:val="0"/>
          <w:numId w:val="26"/>
        </w:numPr>
        <w:spacing w:after="160"/>
        <w:rPr>
          <w:rFonts w:cstheme="minorHAnsi"/>
        </w:rPr>
      </w:pPr>
      <w:r w:rsidRPr="00BF6615">
        <w:rPr>
          <w:rFonts w:cstheme="minorHAnsi"/>
        </w:rPr>
        <w:t>Ograniczone możliwości szybkiego znalezienia informacji – brak ułatwień takich jak wyszukiwarka czy mapa strony zmuszał do ręcznego przeglądania wielu podstron. Brak opcji „przejdź do treści” na początku strony powodował konieczność przewijania długich menu za każdym razem (8).</w:t>
      </w:r>
    </w:p>
    <w:p w14:paraId="6B03661F" w14:textId="77777777" w:rsidR="00B13433" w:rsidRPr="00BF6615" w:rsidRDefault="00B13433">
      <w:pPr>
        <w:numPr>
          <w:ilvl w:val="0"/>
          <w:numId w:val="27"/>
        </w:numPr>
        <w:spacing w:after="160"/>
        <w:rPr>
          <w:rFonts w:cstheme="minorHAnsi"/>
        </w:rPr>
      </w:pPr>
      <w:r w:rsidRPr="00BF6615">
        <w:rPr>
          <w:rFonts w:cstheme="minorHAnsi"/>
        </w:rPr>
        <w:t>Nieopisane pola formularzy i brak instrukcji – formularze na testowanych stronach nie były dostatecznie opisane. Użytkownicy nie wiedzieli, jakie dane wpisać w niektórych polach lub w jakim formacie, brakowało komunikatów podpowiadających (6).</w:t>
      </w:r>
    </w:p>
    <w:p w14:paraId="7C71AA65" w14:textId="77777777" w:rsidR="00B13433" w:rsidRPr="00BF6615" w:rsidRDefault="00B13433">
      <w:pPr>
        <w:numPr>
          <w:ilvl w:val="0"/>
          <w:numId w:val="27"/>
        </w:numPr>
        <w:spacing w:after="160"/>
        <w:rPr>
          <w:rFonts w:cstheme="minorHAnsi"/>
        </w:rPr>
      </w:pPr>
      <w:r w:rsidRPr="00BF6615">
        <w:rPr>
          <w:rFonts w:cstheme="minorHAnsi"/>
        </w:rPr>
        <w:t>Niejasne lub mylące linki i przyciski – odnośniki typu „więcej” czy ikony bez opisu były trudne w obsłudze dla osób niewidomych, ponieważ ich cel nie był oczywisty. Użytkownicy nie mieli pewności, dokąd dany link prowadzi (5).</w:t>
      </w:r>
    </w:p>
    <w:p w14:paraId="2FA2DDB4" w14:textId="77777777" w:rsidR="00B13433" w:rsidRPr="00BF6615" w:rsidRDefault="00B13433">
      <w:pPr>
        <w:numPr>
          <w:ilvl w:val="0"/>
          <w:numId w:val="27"/>
        </w:numPr>
        <w:spacing w:after="160"/>
        <w:rPr>
          <w:rFonts w:cstheme="minorHAnsi"/>
        </w:rPr>
      </w:pPr>
      <w:r w:rsidRPr="00BF6615">
        <w:rPr>
          <w:rFonts w:cstheme="minorHAnsi"/>
        </w:rPr>
        <w:t>Trudności w obsłudze multimediów – materiały wideo nie zawierały audiodeskrypcji ani napisów, przez co osoba niewidoma nie była w stanie w pełni zrozumieć prezentowanych treści wizualnych. Nagrania dźwiękowe nie miały zaś dostępnych transkrypcji tekstowych (10 przypadków różnych braków w multimediach).</w:t>
      </w:r>
    </w:p>
    <w:p w14:paraId="1620035B" w14:textId="77777777" w:rsidR="00B13433" w:rsidRPr="00BF6615" w:rsidRDefault="00B13433">
      <w:pPr>
        <w:numPr>
          <w:ilvl w:val="0"/>
          <w:numId w:val="27"/>
        </w:numPr>
        <w:spacing w:after="160"/>
        <w:rPr>
          <w:rFonts w:cstheme="minorHAnsi"/>
        </w:rPr>
      </w:pPr>
      <w:r w:rsidRPr="00BF6615">
        <w:rPr>
          <w:rFonts w:cstheme="minorHAnsi"/>
        </w:rPr>
        <w:t>Bariery w nawigacji klawiaturą – w pojedynczych przypadkach stwierdzono sytuacje, w których użytkownik „utknął” w pewnym elemencie (tzw. pułapka klawiatury) lub fokus przeskakiwał w nielogiczny sposób. Choć rzadsze, bariery tego typu całkowicie uniemożliwiają samodzielne wykonanie zadania (5).</w:t>
      </w:r>
    </w:p>
    <w:p w14:paraId="1D95F280" w14:textId="68A2DCB2" w:rsidR="00B13433" w:rsidRPr="00BF6615" w:rsidRDefault="00B13433" w:rsidP="000110ED">
      <w:pPr>
        <w:pStyle w:val="Legenda"/>
        <w:pageBreakBefore/>
        <w:spacing w:line="276" w:lineRule="auto"/>
        <w:rPr>
          <w:rFonts w:cstheme="minorHAnsi"/>
        </w:rPr>
      </w:pPr>
      <w:bookmarkStart w:id="67" w:name="_Toc196335290"/>
      <w:bookmarkStart w:id="68" w:name="_Toc204179148"/>
      <w:r w:rsidRPr="00BF6615">
        <w:rPr>
          <w:rFonts w:cstheme="minorHAnsi"/>
        </w:rPr>
        <w:lastRenderedPageBreak/>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2</w:t>
      </w:r>
      <w:r w:rsidRPr="00BF6615">
        <w:rPr>
          <w:rFonts w:cstheme="minorHAnsi"/>
        </w:rPr>
        <w:fldChar w:fldCharType="end"/>
      </w:r>
      <w:r w:rsidR="000110ED">
        <w:rPr>
          <w:rFonts w:cstheme="minorHAnsi"/>
        </w:rPr>
        <w:t>.</w:t>
      </w:r>
      <w:r w:rsidRPr="00BF6615">
        <w:rPr>
          <w:rFonts w:cstheme="minorHAnsi"/>
        </w:rPr>
        <w:t xml:space="preserve"> Najczęściej zgłaszane problemy na stronach i w aplikacjach </w:t>
      </w:r>
      <w:r w:rsidRPr="00BF6615">
        <w:rPr>
          <w:rFonts w:cstheme="minorHAnsi"/>
          <w:noProof/>
        </w:rPr>
        <w:t xml:space="preserve">(liczba zgłoszeń) </w:t>
      </w:r>
      <w:r w:rsidRPr="00BF6615">
        <w:rPr>
          <w:rFonts w:cstheme="minorHAnsi"/>
        </w:rPr>
        <w:t>(osoby ociemniałe lub niewidome)</w:t>
      </w:r>
      <w:bookmarkEnd w:id="67"/>
      <w:bookmarkEnd w:id="68"/>
    </w:p>
    <w:p w14:paraId="1C84DD70" w14:textId="77777777" w:rsidR="00B13433" w:rsidRPr="00BF6615" w:rsidRDefault="00B13433" w:rsidP="007E26B5">
      <w:pPr>
        <w:spacing w:after="160"/>
        <w:rPr>
          <w:rFonts w:cstheme="minorHAnsi"/>
        </w:rPr>
      </w:pPr>
      <w:r w:rsidRPr="00BF6615">
        <w:rPr>
          <w:rFonts w:cstheme="minorHAnsi"/>
          <w:noProof/>
          <w:lang w:eastAsia="pl-PL"/>
        </w:rPr>
        <w:drawing>
          <wp:inline distT="0" distB="0" distL="0" distR="0" wp14:anchorId="44D34216" wp14:editId="064A3483">
            <wp:extent cx="6022340" cy="3086100"/>
            <wp:effectExtent l="0" t="0" r="0" b="0"/>
            <wp:docPr id="1301998662" name="Wykres 1" descr="Rodzaj problemu Liczba zgłoszeń&#10;Brak alternatywnych opisów dla treści nietekstowych 10&#10;Nieuporządkowana lub nieintuicyjna struktura strony 10&#10;Trudności w obsłudze multimediów 10&#10;Brak nagłówków i etykiet ułatwiających nawigację 9&#10; Ograniczone możliwości szybkiego znalezienia informacji 8&#10;Niejasne lub mylące linki i przyciski 5&#10;Bariery w nawigacji klawiaturą 5&#10;">
              <a:extLst xmlns:a="http://schemas.openxmlformats.org/drawingml/2006/main">
                <a:ext uri="{FF2B5EF4-FFF2-40B4-BE49-F238E27FC236}">
                  <a16:creationId xmlns:a16="http://schemas.microsoft.com/office/drawing/2014/main" id="{D7234598-F8C2-4DA2-A0FE-F3F9214863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2FC95C" w14:textId="77777777" w:rsidR="00B13433" w:rsidRPr="00BF6615" w:rsidRDefault="00B13433" w:rsidP="007E26B5">
      <w:pPr>
        <w:rPr>
          <w:rFonts w:cstheme="minorHAnsi"/>
        </w:rPr>
      </w:pPr>
      <w:r w:rsidRPr="00BF6615">
        <w:rPr>
          <w:rFonts w:cstheme="minorHAnsi"/>
        </w:rPr>
        <w:t>Źródło: opracowanie własne.</w:t>
      </w:r>
    </w:p>
    <w:bookmarkEnd w:id="66"/>
    <w:p w14:paraId="344CA6B0" w14:textId="77777777" w:rsidR="00B13433" w:rsidRPr="00BF6615" w:rsidRDefault="00B13433" w:rsidP="007E26B5">
      <w:pPr>
        <w:spacing w:after="160"/>
        <w:rPr>
          <w:rFonts w:cstheme="minorHAnsi"/>
        </w:rPr>
      </w:pPr>
      <w:r w:rsidRPr="00BF6615">
        <w:rPr>
          <w:rFonts w:cstheme="minorHAnsi"/>
        </w:rPr>
        <w:t>Powyższe bariery sprawiały, że osoby niewidome często musiały podejmować dodatkowe czynności (np. kontakt z pomocą lub pominięcie niedostępnego fragmentu), aby zrealizować zadania. W efekcie czynności, które dla osób widzących są proste (np. odczytanie cennika czy wypełnienie formularza), dla użytkowników niewidomych były czasochłonne i frustrujące.</w:t>
      </w:r>
    </w:p>
    <w:p w14:paraId="7BA386B9" w14:textId="77777777" w:rsidR="00B13433" w:rsidRPr="00BF6615" w:rsidRDefault="00B13433" w:rsidP="00B271C3">
      <w:pPr>
        <w:pStyle w:val="Nagwek4"/>
      </w:pPr>
      <w:r w:rsidRPr="338987BF">
        <w:t xml:space="preserve">Zakres wymagający </w:t>
      </w:r>
      <w:r w:rsidRPr="00B271C3">
        <w:rPr>
          <w:rStyle w:val="Nagwek4Znak"/>
          <w:b/>
        </w:rPr>
        <w:t>poprawy</w:t>
      </w:r>
      <w:r w:rsidRPr="338987BF">
        <w:t xml:space="preserve"> według typu grup testowanych stron i aplikacji podmiotów publicznych</w:t>
      </w:r>
    </w:p>
    <w:p w14:paraId="4B7470C6" w14:textId="77777777" w:rsidR="00B13433" w:rsidRPr="00BF6615" w:rsidRDefault="00B13433">
      <w:pPr>
        <w:pStyle w:val="Akapitzlist"/>
        <w:numPr>
          <w:ilvl w:val="0"/>
          <w:numId w:val="28"/>
        </w:numPr>
        <w:spacing w:after="160"/>
        <w:rPr>
          <w:rFonts w:cstheme="minorHAnsi"/>
        </w:rPr>
      </w:pPr>
      <w:r w:rsidRPr="00BF6615">
        <w:rPr>
          <w:rFonts w:cstheme="minorHAnsi"/>
        </w:rPr>
        <w:t>aplikacja ostrzegawcza – uprościć obsługę aplikacji. Dodać czytelne instrukcje krok po kroku. Opisać tekstowo wszystkie elementy interfejsu (przyciski, ikony). Usunąć błędy techniczne powodujące zawieszanie aplikacji. Wprowadzić komunikaty potwierdzające wykonanie akcji.</w:t>
      </w:r>
    </w:p>
    <w:p w14:paraId="4D1748A6" w14:textId="77777777" w:rsidR="00B13433" w:rsidRPr="00BF6615" w:rsidRDefault="00B13433">
      <w:pPr>
        <w:pStyle w:val="Akapitzlist"/>
        <w:numPr>
          <w:ilvl w:val="0"/>
          <w:numId w:val="28"/>
        </w:numPr>
        <w:spacing w:after="160"/>
        <w:rPr>
          <w:rFonts w:cstheme="minorHAnsi"/>
        </w:rPr>
      </w:pPr>
      <w:r w:rsidRPr="000F4CC1">
        <w:rPr>
          <w:rFonts w:cstheme="minorHAnsi"/>
        </w:rPr>
        <w:t>strony/aplikacje służby zdrowia</w:t>
      </w:r>
      <w:r w:rsidRPr="00BF6615">
        <w:rPr>
          <w:rFonts w:cstheme="minorHAnsi"/>
        </w:rPr>
        <w:t xml:space="preserve"> – poprawić dostępność formularzy. Dodać jednoznaczne etykiety pól (np. format numeru). Wprowadzić czytelne komunikaty o błędach. Uprościć nawigację – zastosować nagłówki sekcji i spójne menu.</w:t>
      </w:r>
    </w:p>
    <w:p w14:paraId="114AF7A7" w14:textId="77777777" w:rsidR="00B13433" w:rsidRPr="00BF6615" w:rsidRDefault="00B13433">
      <w:pPr>
        <w:pStyle w:val="Akapitzlist"/>
        <w:numPr>
          <w:ilvl w:val="0"/>
          <w:numId w:val="28"/>
        </w:numPr>
        <w:spacing w:after="160"/>
        <w:rPr>
          <w:rFonts w:cstheme="minorHAnsi"/>
        </w:rPr>
      </w:pPr>
      <w:r w:rsidRPr="000F4CC1">
        <w:rPr>
          <w:rFonts w:cstheme="minorHAnsi"/>
        </w:rPr>
        <w:t>strony/aplikacje samorządowe</w:t>
      </w:r>
      <w:r w:rsidRPr="00BF6615">
        <w:rPr>
          <w:rFonts w:cstheme="minorHAnsi"/>
        </w:rPr>
        <w:t xml:space="preserve"> – opisać wszystkie elementy strony tekstem alternatywnym. Uprościć układ menu – ograniczyć poziomy, umożliwić szybki powrót do strony głównej. Dodawać informację o otwieraniu nowych okien lub przejściu na zewnętrzne strony.</w:t>
      </w:r>
    </w:p>
    <w:p w14:paraId="040B7200" w14:textId="77777777" w:rsidR="00B13433" w:rsidRPr="00BF6615" w:rsidRDefault="00B13433">
      <w:pPr>
        <w:pStyle w:val="Akapitzlist"/>
        <w:numPr>
          <w:ilvl w:val="0"/>
          <w:numId w:val="28"/>
        </w:numPr>
        <w:spacing w:after="160"/>
        <w:rPr>
          <w:rFonts w:cstheme="minorHAnsi"/>
        </w:rPr>
      </w:pPr>
      <w:r w:rsidRPr="000F4CC1">
        <w:rPr>
          <w:rFonts w:cstheme="minorHAnsi"/>
        </w:rPr>
        <w:t>strony/aplikacje kultury i sportu</w:t>
      </w:r>
      <w:r w:rsidRPr="00BF6615">
        <w:rPr>
          <w:rFonts w:cstheme="minorHAnsi"/>
        </w:rPr>
        <w:t xml:space="preserve"> – uzupełnić teksty alternatywne przy grafikach i harmonogramach. Uprościć prezentację informacji – poprawić tabele, unikać pustych komórek. Wyjaśniać używane skróty. Skrócić opisy wydarzeń. Stosować jasne nazwy linków (np. „Kup bilet na koncert”).</w:t>
      </w:r>
    </w:p>
    <w:p w14:paraId="4621238B" w14:textId="77777777" w:rsidR="00B13433" w:rsidRPr="00BF6615" w:rsidRDefault="00B13433">
      <w:pPr>
        <w:pStyle w:val="Akapitzlist"/>
        <w:numPr>
          <w:ilvl w:val="0"/>
          <w:numId w:val="28"/>
        </w:numPr>
        <w:spacing w:after="160"/>
        <w:rPr>
          <w:rFonts w:cstheme="minorHAnsi"/>
        </w:rPr>
      </w:pPr>
      <w:r w:rsidRPr="00BF6615">
        <w:rPr>
          <w:rFonts w:cstheme="minorHAnsi"/>
        </w:rPr>
        <w:t>strona transportowa – dodać opisy do ikon i grafik. Poprawić nawigację klawiaturą – zapewnić logiczną kolejność fokusu i możliwość pominięcia nagłówków. Umieścić wyszukiwarkę lub spis treści na początku strony.</w:t>
      </w:r>
    </w:p>
    <w:p w14:paraId="005D7885" w14:textId="77777777" w:rsidR="00B13433" w:rsidRPr="00BF6615" w:rsidRDefault="00B13433">
      <w:pPr>
        <w:pStyle w:val="Akapitzlist"/>
        <w:numPr>
          <w:ilvl w:val="0"/>
          <w:numId w:val="28"/>
        </w:numPr>
        <w:spacing w:after="160"/>
        <w:rPr>
          <w:rFonts w:cstheme="minorHAnsi"/>
        </w:rPr>
      </w:pPr>
      <w:r w:rsidRPr="00BF6615">
        <w:rPr>
          <w:rFonts w:cstheme="minorHAnsi"/>
        </w:rPr>
        <w:lastRenderedPageBreak/>
        <w:t>strona podatkowa – dostosować formularze i kalkulatory – dodać etykiety i opisy działania. Zapewnić komunikat po wykonaniu obliczeń. Umieścić link do mapy strony w górnej części strony. Poprawić opisy linków i przycisków – unikać powtarzalnych nazw typu „więcej”.</w:t>
      </w:r>
    </w:p>
    <w:p w14:paraId="1CE544CF" w14:textId="77777777" w:rsidR="00B13433" w:rsidRPr="00BF6615" w:rsidRDefault="00B13433" w:rsidP="00B271C3">
      <w:pPr>
        <w:pStyle w:val="Nagwek4"/>
      </w:pPr>
      <w:r w:rsidRPr="338987BF">
        <w:t xml:space="preserve">Problemy według </w:t>
      </w:r>
      <w:r w:rsidRPr="00B271C3">
        <w:rPr>
          <w:rStyle w:val="Nagwek4Znak"/>
          <w:b/>
        </w:rPr>
        <w:t>zasad</w:t>
      </w:r>
      <w:r w:rsidRPr="338987BF">
        <w:t xml:space="preserve"> WCAG</w:t>
      </w:r>
    </w:p>
    <w:p w14:paraId="228D7F69" w14:textId="2B86D1F8" w:rsidR="00B13433" w:rsidRPr="00BF6615" w:rsidRDefault="00B13433" w:rsidP="007E26B5">
      <w:pPr>
        <w:rPr>
          <w:rFonts w:cstheme="minorHAnsi"/>
        </w:rPr>
      </w:pPr>
      <w:r w:rsidRPr="00BF6615">
        <w:rPr>
          <w:rFonts w:cstheme="minorHAnsi"/>
        </w:rPr>
        <w:t xml:space="preserve">Poniżej przedstawiono tabele z liczbą wystąpień zidentyfikowanych problemów </w:t>
      </w:r>
      <w:r w:rsidR="000A692A" w:rsidRPr="00BF6615">
        <w:rPr>
          <w:rFonts w:cstheme="minorHAnsi"/>
        </w:rPr>
        <w:t>z</w:t>
      </w:r>
      <w:r w:rsidR="000A692A">
        <w:rPr>
          <w:rFonts w:cstheme="minorHAnsi"/>
        </w:rPr>
        <w:t> </w:t>
      </w:r>
      <w:r w:rsidRPr="00BF6615">
        <w:rPr>
          <w:rFonts w:cstheme="minorHAnsi"/>
        </w:rPr>
        <w:t xml:space="preserve">dostępnością, pogrupowanych według czterech zasad WCAG: Postrzegalność (Zasada 1), Funkcjonalność (Zasada 2), Zrozumiałość (Zasada 3) oraz Kompatybilność (Zasada 4). </w:t>
      </w:r>
      <w:r w:rsidR="000A692A" w:rsidRPr="00BF6615">
        <w:rPr>
          <w:rFonts w:cstheme="minorHAnsi"/>
        </w:rPr>
        <w:t>W</w:t>
      </w:r>
      <w:r w:rsidR="000A692A">
        <w:rPr>
          <w:rFonts w:cstheme="minorHAnsi"/>
        </w:rPr>
        <w:t> </w:t>
      </w:r>
      <w:r w:rsidRPr="00BF6615">
        <w:rPr>
          <w:rFonts w:cstheme="minorHAnsi"/>
        </w:rPr>
        <w:t>każdej tabeli wyszczególniono rodzaje problemów (odpowiadające kryteriom sukcesu WCAG) oraz odnotowano, ile razy dany problem wystąpił podczas testów. Dane zostały posortowane malejąco według liczby wystąpień (wymieniono te problemy, które wystąpiły co najmniej 3 razy w trakcie testów).</w:t>
      </w:r>
    </w:p>
    <w:p w14:paraId="295DA893" w14:textId="77777777" w:rsidR="00B13433" w:rsidRPr="00BF6615" w:rsidRDefault="00B13433" w:rsidP="007E26B5">
      <w:pPr>
        <w:spacing w:after="160"/>
        <w:rPr>
          <w:rFonts w:cstheme="minorHAnsi"/>
        </w:rPr>
      </w:pPr>
      <w:r w:rsidRPr="00BF6615">
        <w:rPr>
          <w:rFonts w:cstheme="minorHAnsi"/>
        </w:rPr>
        <w:t>Suma trudności według poszczególnych zasad WCAG:</w:t>
      </w:r>
    </w:p>
    <w:p w14:paraId="0918E98B" w14:textId="77777777" w:rsidR="00B13433" w:rsidRPr="00BF6615" w:rsidRDefault="00B13433">
      <w:pPr>
        <w:pStyle w:val="Akapitzlist"/>
        <w:numPr>
          <w:ilvl w:val="0"/>
          <w:numId w:val="28"/>
        </w:numPr>
        <w:spacing w:after="160"/>
        <w:rPr>
          <w:rFonts w:cstheme="minorHAnsi"/>
        </w:rPr>
      </w:pPr>
      <w:r w:rsidRPr="00BF6615">
        <w:rPr>
          <w:rFonts w:cstheme="minorHAnsi"/>
        </w:rPr>
        <w:t>Zasada 1: postrzegalność – 22</w:t>
      </w:r>
    </w:p>
    <w:p w14:paraId="1BC440AE" w14:textId="77777777" w:rsidR="00B13433" w:rsidRPr="00BF6615" w:rsidRDefault="00B13433">
      <w:pPr>
        <w:pStyle w:val="Akapitzlist"/>
        <w:numPr>
          <w:ilvl w:val="0"/>
          <w:numId w:val="28"/>
        </w:numPr>
        <w:spacing w:after="160"/>
        <w:rPr>
          <w:rFonts w:cstheme="minorHAnsi"/>
        </w:rPr>
      </w:pPr>
      <w:r w:rsidRPr="00BF6615">
        <w:rPr>
          <w:rFonts w:cstheme="minorHAnsi"/>
        </w:rPr>
        <w:t>Zasada 2: funkcjonalność – 22</w:t>
      </w:r>
    </w:p>
    <w:p w14:paraId="52F21C1E" w14:textId="77777777" w:rsidR="00B13433" w:rsidRPr="00BF6615" w:rsidRDefault="00B13433">
      <w:pPr>
        <w:pStyle w:val="Akapitzlist"/>
        <w:numPr>
          <w:ilvl w:val="0"/>
          <w:numId w:val="28"/>
        </w:numPr>
        <w:spacing w:after="160"/>
        <w:rPr>
          <w:rFonts w:cstheme="minorHAnsi"/>
        </w:rPr>
      </w:pPr>
      <w:r w:rsidRPr="00BF6615">
        <w:rPr>
          <w:rFonts w:cstheme="minorHAnsi"/>
        </w:rPr>
        <w:t>Zasada 3: zrozumiałość – 16</w:t>
      </w:r>
    </w:p>
    <w:p w14:paraId="2D2D7AA0" w14:textId="77777777" w:rsidR="00B13433" w:rsidRPr="00BF6615" w:rsidRDefault="00B13433">
      <w:pPr>
        <w:pStyle w:val="Akapitzlist"/>
        <w:numPr>
          <w:ilvl w:val="0"/>
          <w:numId w:val="28"/>
        </w:numPr>
        <w:spacing w:after="160"/>
        <w:rPr>
          <w:rFonts w:cstheme="minorHAnsi"/>
        </w:rPr>
      </w:pPr>
      <w:r w:rsidRPr="00BF6615">
        <w:rPr>
          <w:rFonts w:cstheme="minorHAnsi"/>
        </w:rPr>
        <w:t>Zasada 4: kompatybilność – 6</w:t>
      </w:r>
    </w:p>
    <w:p w14:paraId="7C727707" w14:textId="77777777" w:rsidR="00B13433" w:rsidRPr="00BF6615" w:rsidRDefault="00B13433" w:rsidP="000A692A">
      <w:pPr>
        <w:spacing w:after="160"/>
        <w:rPr>
          <w:rFonts w:cstheme="minorHAnsi"/>
          <w:b/>
          <w:bCs/>
        </w:rPr>
      </w:pPr>
      <w:r w:rsidRPr="00BF6615">
        <w:rPr>
          <w:rFonts w:cstheme="minorHAnsi"/>
          <w:b/>
          <w:bCs/>
        </w:rPr>
        <w:t xml:space="preserve">Zasada 1: </w:t>
      </w:r>
      <w:r w:rsidRPr="00B271C3">
        <w:rPr>
          <w:rStyle w:val="Nagwek4Znak"/>
        </w:rPr>
        <w:t>Postrzegalność</w:t>
      </w:r>
    </w:p>
    <w:p w14:paraId="4E4D2FEB" w14:textId="77777777" w:rsidR="00B13433" w:rsidRPr="00BF6615" w:rsidRDefault="00B13433" w:rsidP="007E26B5">
      <w:pPr>
        <w:spacing w:after="160"/>
        <w:rPr>
          <w:rFonts w:cstheme="minorHAnsi"/>
        </w:rPr>
      </w:pPr>
      <w:r w:rsidRPr="00BF6615">
        <w:rPr>
          <w:rFonts w:cstheme="minorHAnsi"/>
        </w:rPr>
        <w:t>Wyniki analizy wskazują, że najczęściej naruszane były kryteria 1.1.1 – Treść nietekstowa (alternatywy tekstowe) oraz 1.3.1 – Informacje i relacje (po 10 przypadków). Oznacza to, że wielokrotnie pojawiały się sytuacje, w których treści graficzne/video nie miały odpowiednich alternatyw tekstowych lub audiodeskrypcji, a także sytuacje, gdzie struktura dokumentu nie była poprawnie zdefiniowana semantycznie (przy użyciu odpowiednich znaczników HTML), co mogło utrudniać korzystanie z czytnika ekranu.</w:t>
      </w:r>
    </w:p>
    <w:p w14:paraId="02342543" w14:textId="431A73F0" w:rsidR="00B13433" w:rsidRPr="00BF6615" w:rsidRDefault="00B13433" w:rsidP="007E26B5">
      <w:pPr>
        <w:pStyle w:val="Legenda"/>
        <w:spacing w:line="276" w:lineRule="auto"/>
        <w:rPr>
          <w:rFonts w:cstheme="minorHAnsi"/>
        </w:rPr>
      </w:pPr>
      <w:bookmarkStart w:id="69" w:name="_Toc196335271"/>
      <w:bookmarkStart w:id="70" w:name="_Toc204179104"/>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6</w:t>
      </w:r>
      <w:r w:rsidRPr="00BF6615">
        <w:rPr>
          <w:rFonts w:cstheme="minorHAnsi"/>
        </w:rPr>
        <w:fldChar w:fldCharType="end"/>
      </w:r>
      <w:r w:rsidR="000110ED">
        <w:rPr>
          <w:rFonts w:cstheme="minorHAnsi"/>
        </w:rPr>
        <w:t>.</w:t>
      </w:r>
      <w:r w:rsidRPr="00BF6615">
        <w:rPr>
          <w:rFonts w:cstheme="minorHAnsi"/>
        </w:rPr>
        <w:t xml:space="preserve"> Liczba zidentyfikowanych problemów w zasadzie 1: Postrzegalność ) (osoby ociemniałe lub niewidome)</w:t>
      </w:r>
      <w:bookmarkEnd w:id="69"/>
      <w:bookmarkEnd w:id="70"/>
    </w:p>
    <w:tbl>
      <w:tblPr>
        <w:tblStyle w:val="PARP"/>
        <w:tblW w:w="5000" w:type="pct"/>
        <w:tblLook w:val="04A0" w:firstRow="1" w:lastRow="0" w:firstColumn="1" w:lastColumn="0" w:noHBand="0" w:noVBand="1"/>
        <w:tblCaption w:val="Liczba zidentyfikowanych problemów w zasadzie 1: Postrzegalność ) (osoby ociemniałe lub niewidome)"/>
        <w:tblDescription w:val="Liczba zidentyfikowanych problemów w zasadzie 1: Postrzegalność ) (osoby ociemniałe lub niewidome)"/>
      </w:tblPr>
      <w:tblGrid>
        <w:gridCol w:w="6633"/>
        <w:gridCol w:w="2429"/>
      </w:tblGrid>
      <w:tr w:rsidR="00B13433" w:rsidRPr="00BF6615" w14:paraId="2C2A9A80" w14:textId="77777777">
        <w:trPr>
          <w:cnfStyle w:val="100000000000" w:firstRow="1" w:lastRow="0" w:firstColumn="0" w:lastColumn="0" w:oddVBand="0" w:evenVBand="0" w:oddHBand="0" w:evenHBand="0" w:firstRowFirstColumn="0" w:firstRowLastColumn="0" w:lastRowFirstColumn="0" w:lastRowLastColumn="0"/>
        </w:trPr>
        <w:tc>
          <w:tcPr>
            <w:tcW w:w="3660" w:type="pct"/>
            <w:hideMark/>
          </w:tcPr>
          <w:p w14:paraId="25863B7B" w14:textId="77777777" w:rsidR="00B13433" w:rsidRPr="00BF6615" w:rsidRDefault="00B13433" w:rsidP="007E26B5">
            <w:pPr>
              <w:spacing w:after="160"/>
              <w:rPr>
                <w:rFonts w:asciiTheme="minorHAnsi" w:hAnsiTheme="minorHAnsi" w:cstheme="minorHAnsi"/>
                <w:b/>
                <w:bCs/>
              </w:rPr>
            </w:pPr>
            <w:r w:rsidRPr="00BF6615">
              <w:rPr>
                <w:rFonts w:asciiTheme="minorHAnsi" w:hAnsiTheme="minorHAnsi" w:cstheme="minorHAnsi"/>
                <w:b/>
                <w:bCs/>
              </w:rPr>
              <w:t>Nazwa kryterium (WCAG 2.1)</w:t>
            </w:r>
          </w:p>
        </w:tc>
        <w:tc>
          <w:tcPr>
            <w:tcW w:w="1340" w:type="pct"/>
            <w:hideMark/>
          </w:tcPr>
          <w:p w14:paraId="29A4A3BF" w14:textId="77777777" w:rsidR="00B13433" w:rsidRPr="00BF6615" w:rsidRDefault="00B13433" w:rsidP="007E26B5">
            <w:pPr>
              <w:spacing w:after="160"/>
              <w:rPr>
                <w:rFonts w:asciiTheme="minorHAnsi" w:hAnsiTheme="minorHAnsi" w:cstheme="minorHAnsi"/>
                <w:b/>
                <w:bCs/>
              </w:rPr>
            </w:pPr>
            <w:r w:rsidRPr="00BF6615">
              <w:rPr>
                <w:rFonts w:asciiTheme="minorHAnsi" w:hAnsiTheme="minorHAnsi" w:cstheme="minorHAnsi"/>
                <w:b/>
                <w:bCs/>
              </w:rPr>
              <w:t>Liczba wystąpień</w:t>
            </w:r>
          </w:p>
        </w:tc>
      </w:tr>
      <w:tr w:rsidR="00B13433" w:rsidRPr="00BF6615" w14:paraId="480B2201" w14:textId="77777777">
        <w:trPr>
          <w:cnfStyle w:val="000000100000" w:firstRow="0" w:lastRow="0" w:firstColumn="0" w:lastColumn="0" w:oddVBand="0" w:evenVBand="0" w:oddHBand="1" w:evenHBand="0" w:firstRowFirstColumn="0" w:firstRowLastColumn="0" w:lastRowFirstColumn="0" w:lastRowLastColumn="0"/>
        </w:trPr>
        <w:tc>
          <w:tcPr>
            <w:tcW w:w="3660" w:type="pct"/>
          </w:tcPr>
          <w:p w14:paraId="7975D83E" w14:textId="77777777" w:rsidR="00B13433" w:rsidRPr="00BF6615" w:rsidRDefault="00B13433" w:rsidP="007E26B5">
            <w:pPr>
              <w:spacing w:after="160"/>
              <w:rPr>
                <w:rFonts w:cstheme="minorHAnsi"/>
              </w:rPr>
            </w:pPr>
            <w:r w:rsidRPr="00BF6615">
              <w:rPr>
                <w:rFonts w:cstheme="minorHAnsi"/>
              </w:rPr>
              <w:t>1.1.1 – Treść nietekstowa (alternatywy tekstowe)</w:t>
            </w:r>
          </w:p>
        </w:tc>
        <w:tc>
          <w:tcPr>
            <w:tcW w:w="1340" w:type="pct"/>
          </w:tcPr>
          <w:p w14:paraId="38F5C81F" w14:textId="77777777" w:rsidR="00B13433" w:rsidRPr="00BF6615" w:rsidRDefault="00B13433" w:rsidP="007E26B5">
            <w:pPr>
              <w:spacing w:after="160"/>
              <w:rPr>
                <w:rFonts w:cstheme="minorHAnsi"/>
              </w:rPr>
            </w:pPr>
            <w:r w:rsidRPr="00BF6615">
              <w:rPr>
                <w:rFonts w:cstheme="minorHAnsi"/>
              </w:rPr>
              <w:t>10</w:t>
            </w:r>
          </w:p>
        </w:tc>
      </w:tr>
      <w:tr w:rsidR="00B13433" w:rsidRPr="00BF6615" w14:paraId="071A0166" w14:textId="77777777">
        <w:trPr>
          <w:cnfStyle w:val="000000010000" w:firstRow="0" w:lastRow="0" w:firstColumn="0" w:lastColumn="0" w:oddVBand="0" w:evenVBand="0" w:oddHBand="0" w:evenHBand="1" w:firstRowFirstColumn="0" w:firstRowLastColumn="0" w:lastRowFirstColumn="0" w:lastRowLastColumn="0"/>
        </w:trPr>
        <w:tc>
          <w:tcPr>
            <w:tcW w:w="3660" w:type="pct"/>
          </w:tcPr>
          <w:p w14:paraId="6E246AE9" w14:textId="77777777" w:rsidR="00B13433" w:rsidRPr="00BF6615" w:rsidRDefault="00B13433" w:rsidP="007E26B5">
            <w:pPr>
              <w:spacing w:after="160"/>
              <w:rPr>
                <w:rFonts w:cstheme="minorHAnsi"/>
              </w:rPr>
            </w:pPr>
            <w:r w:rsidRPr="00BF6615">
              <w:rPr>
                <w:rFonts w:cstheme="minorHAnsi"/>
              </w:rPr>
              <w:t>1.3.1 – Informacje i relacje</w:t>
            </w:r>
          </w:p>
        </w:tc>
        <w:tc>
          <w:tcPr>
            <w:tcW w:w="1340" w:type="pct"/>
          </w:tcPr>
          <w:p w14:paraId="062651BA" w14:textId="77777777" w:rsidR="00B13433" w:rsidRPr="00BF6615" w:rsidRDefault="00B13433" w:rsidP="007E26B5">
            <w:pPr>
              <w:rPr>
                <w:rFonts w:cstheme="minorHAnsi"/>
              </w:rPr>
            </w:pPr>
            <w:r w:rsidRPr="00BF6615">
              <w:rPr>
                <w:rFonts w:cstheme="minorHAnsi"/>
              </w:rPr>
              <w:t>10</w:t>
            </w:r>
          </w:p>
        </w:tc>
      </w:tr>
      <w:tr w:rsidR="00B13433" w:rsidRPr="00BF6615" w14:paraId="1EFA3F7D" w14:textId="77777777">
        <w:trPr>
          <w:cnfStyle w:val="000000100000" w:firstRow="0" w:lastRow="0" w:firstColumn="0" w:lastColumn="0" w:oddVBand="0" w:evenVBand="0" w:oddHBand="1" w:evenHBand="0" w:firstRowFirstColumn="0" w:firstRowLastColumn="0" w:lastRowFirstColumn="0" w:lastRowLastColumn="0"/>
        </w:trPr>
        <w:tc>
          <w:tcPr>
            <w:tcW w:w="3660" w:type="pct"/>
          </w:tcPr>
          <w:p w14:paraId="0BB45BB5" w14:textId="77777777" w:rsidR="00B13433" w:rsidRPr="00BF6615" w:rsidRDefault="00B13433" w:rsidP="007E26B5">
            <w:pPr>
              <w:spacing w:after="160"/>
              <w:rPr>
                <w:rFonts w:cstheme="minorHAnsi"/>
              </w:rPr>
            </w:pPr>
            <w:r w:rsidRPr="00BF6615">
              <w:rPr>
                <w:rFonts w:cstheme="minorHAnsi"/>
              </w:rPr>
              <w:t>1.3.2 – Zrozumiała kolejność</w:t>
            </w:r>
          </w:p>
        </w:tc>
        <w:tc>
          <w:tcPr>
            <w:tcW w:w="1340" w:type="pct"/>
          </w:tcPr>
          <w:p w14:paraId="212EE454" w14:textId="77777777" w:rsidR="00B13433" w:rsidRPr="00BF6615" w:rsidRDefault="00B13433" w:rsidP="007E26B5">
            <w:pPr>
              <w:rPr>
                <w:rFonts w:cstheme="minorHAnsi"/>
              </w:rPr>
            </w:pPr>
            <w:r w:rsidRPr="00BF6615">
              <w:rPr>
                <w:rFonts w:cstheme="minorHAnsi"/>
              </w:rPr>
              <w:t>3</w:t>
            </w:r>
          </w:p>
        </w:tc>
      </w:tr>
    </w:tbl>
    <w:p w14:paraId="01625124" w14:textId="77777777" w:rsidR="00B13433" w:rsidRPr="00BF6615" w:rsidRDefault="00B13433" w:rsidP="007E26B5">
      <w:pPr>
        <w:rPr>
          <w:rFonts w:cstheme="minorHAnsi"/>
        </w:rPr>
      </w:pPr>
      <w:r w:rsidRPr="00BF6615">
        <w:rPr>
          <w:rFonts w:cstheme="minorHAnsi"/>
        </w:rPr>
        <w:t>Źródło: opracowanie własne.</w:t>
      </w:r>
    </w:p>
    <w:p w14:paraId="33CF846E" w14:textId="77777777" w:rsidR="00B13433" w:rsidRPr="00BF6615" w:rsidRDefault="00B13433" w:rsidP="00B271C3">
      <w:pPr>
        <w:pStyle w:val="Nagwek4"/>
        <w:rPr>
          <w:rFonts w:cstheme="minorHAnsi"/>
          <w:bCs/>
        </w:rPr>
      </w:pPr>
      <w:r w:rsidRPr="00BF6615">
        <w:rPr>
          <w:rFonts w:cstheme="minorHAnsi"/>
          <w:bCs/>
        </w:rPr>
        <w:t xml:space="preserve">Zasada 2: </w:t>
      </w:r>
      <w:r w:rsidRPr="00B271C3">
        <w:rPr>
          <w:rStyle w:val="Nagwek4Znak"/>
          <w:b/>
        </w:rPr>
        <w:t>Funkcjonalność</w:t>
      </w:r>
    </w:p>
    <w:p w14:paraId="3B184C33" w14:textId="77777777" w:rsidR="00B13433" w:rsidRPr="00BF6615" w:rsidRDefault="00B13433" w:rsidP="007E26B5">
      <w:pPr>
        <w:rPr>
          <w:rFonts w:cstheme="minorHAnsi"/>
        </w:rPr>
      </w:pPr>
      <w:r w:rsidRPr="00BF6615">
        <w:rPr>
          <w:rFonts w:cstheme="minorHAnsi"/>
        </w:rPr>
        <w:t>Analiza wykazała, że w kategorii funkcjonalności najczęściej występowały błędy związane z kryterium 2.1.2 – Bez pułapki na klawiaturę i 2.2.2 – Pauza, zatrzymanie, ukrycie oraz 2.4.2 – Tytuł strony (po 10 przypadków).</w:t>
      </w:r>
    </w:p>
    <w:p w14:paraId="2E301682" w14:textId="1888E9AA" w:rsidR="00B13433" w:rsidRPr="00BF6615" w:rsidRDefault="00B13433" w:rsidP="007E26B5">
      <w:pPr>
        <w:pStyle w:val="Legenda"/>
        <w:spacing w:line="276" w:lineRule="auto"/>
        <w:rPr>
          <w:rFonts w:cstheme="minorHAnsi"/>
        </w:rPr>
      </w:pPr>
      <w:bookmarkStart w:id="71" w:name="_Toc196335272"/>
      <w:bookmarkStart w:id="72" w:name="_Toc204179105"/>
      <w:r w:rsidRPr="00BF6615">
        <w:rPr>
          <w:rFonts w:cstheme="minorHAnsi"/>
        </w:rPr>
        <w:lastRenderedPageBreak/>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7</w:t>
      </w:r>
      <w:r w:rsidRPr="00BF6615">
        <w:rPr>
          <w:rFonts w:cstheme="minorHAnsi"/>
        </w:rPr>
        <w:fldChar w:fldCharType="end"/>
      </w:r>
      <w:r w:rsidR="000110ED">
        <w:rPr>
          <w:rFonts w:cstheme="minorHAnsi"/>
        </w:rPr>
        <w:t>.</w:t>
      </w:r>
      <w:r w:rsidRPr="00BF6615">
        <w:rPr>
          <w:rFonts w:cstheme="minorHAnsi"/>
        </w:rPr>
        <w:t xml:space="preserve"> Liczba zidentyfikowanych problemów w zasadzie 2: Funkcjonalność ) (osoby ociemniałe lub niewidome)</w:t>
      </w:r>
      <w:bookmarkEnd w:id="71"/>
      <w:bookmarkEnd w:id="72"/>
    </w:p>
    <w:tbl>
      <w:tblPr>
        <w:tblStyle w:val="PARP"/>
        <w:tblW w:w="5000" w:type="pct"/>
        <w:tblLook w:val="04A0" w:firstRow="1" w:lastRow="0" w:firstColumn="1" w:lastColumn="0" w:noHBand="0" w:noVBand="1"/>
        <w:tblCaption w:val="Liczba zidentyfikowanych problemów w zasadzie 2: Funkcjonalność ) (osoby ociemniałe lub niewidome)"/>
        <w:tblDescription w:val="Liczba zidentyfikowanych problemów w zasadzie 2: Funkcjonalność ) (osoby ociemniałe lub niewidome)"/>
      </w:tblPr>
      <w:tblGrid>
        <w:gridCol w:w="6313"/>
        <w:gridCol w:w="2749"/>
      </w:tblGrid>
      <w:tr w:rsidR="00B13433" w:rsidRPr="00BF6615" w14:paraId="5433D80C" w14:textId="77777777">
        <w:trPr>
          <w:cnfStyle w:val="100000000000" w:firstRow="1" w:lastRow="0" w:firstColumn="0" w:lastColumn="0" w:oddVBand="0" w:evenVBand="0" w:oddHBand="0" w:evenHBand="0" w:firstRowFirstColumn="0" w:firstRowLastColumn="0" w:lastRowFirstColumn="0" w:lastRowLastColumn="0"/>
        </w:trPr>
        <w:tc>
          <w:tcPr>
            <w:tcW w:w="3429" w:type="pct"/>
            <w:hideMark/>
          </w:tcPr>
          <w:p w14:paraId="05DC5072" w14:textId="77777777" w:rsidR="00B13433" w:rsidRPr="00BF6615" w:rsidRDefault="00B13433" w:rsidP="007E26B5">
            <w:pPr>
              <w:spacing w:after="160"/>
              <w:rPr>
                <w:rFonts w:asciiTheme="minorHAnsi" w:hAnsiTheme="minorHAnsi" w:cstheme="minorHAnsi"/>
                <w:b/>
                <w:bCs/>
              </w:rPr>
            </w:pPr>
            <w:r w:rsidRPr="00BF6615">
              <w:rPr>
                <w:rFonts w:asciiTheme="minorHAnsi" w:hAnsiTheme="minorHAnsi" w:cstheme="minorHAnsi"/>
                <w:b/>
                <w:bCs/>
              </w:rPr>
              <w:t>Nazwa kryterium (WCAG 2.1)</w:t>
            </w:r>
          </w:p>
        </w:tc>
        <w:tc>
          <w:tcPr>
            <w:tcW w:w="1494" w:type="pct"/>
            <w:hideMark/>
          </w:tcPr>
          <w:p w14:paraId="7006E95F" w14:textId="77777777" w:rsidR="00B13433" w:rsidRPr="00BF6615" w:rsidRDefault="00B13433" w:rsidP="007E26B5">
            <w:pPr>
              <w:spacing w:after="160"/>
              <w:rPr>
                <w:rFonts w:asciiTheme="minorHAnsi" w:hAnsiTheme="minorHAnsi" w:cstheme="minorHAnsi"/>
                <w:b/>
                <w:bCs/>
              </w:rPr>
            </w:pPr>
            <w:r w:rsidRPr="00BF6615">
              <w:rPr>
                <w:rFonts w:asciiTheme="minorHAnsi" w:hAnsiTheme="minorHAnsi" w:cstheme="minorHAnsi"/>
                <w:b/>
                <w:bCs/>
              </w:rPr>
              <w:t>Liczba wystąpień</w:t>
            </w:r>
          </w:p>
        </w:tc>
      </w:tr>
      <w:tr w:rsidR="00B13433" w:rsidRPr="00BF6615" w14:paraId="547505CC" w14:textId="77777777">
        <w:trPr>
          <w:cnfStyle w:val="000000100000" w:firstRow="0" w:lastRow="0" w:firstColumn="0" w:lastColumn="0" w:oddVBand="0" w:evenVBand="0" w:oddHBand="1" w:evenHBand="0" w:firstRowFirstColumn="0" w:firstRowLastColumn="0" w:lastRowFirstColumn="0" w:lastRowLastColumn="0"/>
        </w:trPr>
        <w:tc>
          <w:tcPr>
            <w:tcW w:w="3429" w:type="pct"/>
          </w:tcPr>
          <w:p w14:paraId="63F42BFC" w14:textId="77777777" w:rsidR="00B13433" w:rsidRPr="00BF6615" w:rsidRDefault="00B13433" w:rsidP="007E26B5">
            <w:pPr>
              <w:spacing w:after="160"/>
              <w:rPr>
                <w:rFonts w:cstheme="minorHAnsi"/>
              </w:rPr>
            </w:pPr>
            <w:r w:rsidRPr="00BF6615">
              <w:rPr>
                <w:rFonts w:cstheme="minorHAnsi"/>
              </w:rPr>
              <w:t>2.1.2 – Bez pułapki na klawiaturę</w:t>
            </w:r>
          </w:p>
        </w:tc>
        <w:tc>
          <w:tcPr>
            <w:tcW w:w="1494" w:type="pct"/>
          </w:tcPr>
          <w:p w14:paraId="29484468" w14:textId="77777777" w:rsidR="00B13433" w:rsidRPr="00BF6615" w:rsidRDefault="00B13433" w:rsidP="007E26B5">
            <w:pPr>
              <w:spacing w:after="160"/>
              <w:rPr>
                <w:rFonts w:cstheme="minorHAnsi"/>
              </w:rPr>
            </w:pPr>
            <w:r w:rsidRPr="00BF6615">
              <w:rPr>
                <w:rFonts w:cstheme="minorHAnsi"/>
              </w:rPr>
              <w:t>10</w:t>
            </w:r>
          </w:p>
        </w:tc>
      </w:tr>
      <w:tr w:rsidR="00B13433" w:rsidRPr="00BF6615" w14:paraId="2FB37502" w14:textId="77777777">
        <w:trPr>
          <w:cnfStyle w:val="000000010000" w:firstRow="0" w:lastRow="0" w:firstColumn="0" w:lastColumn="0" w:oddVBand="0" w:evenVBand="0" w:oddHBand="0" w:evenHBand="1" w:firstRowFirstColumn="0" w:firstRowLastColumn="0" w:lastRowFirstColumn="0" w:lastRowLastColumn="0"/>
        </w:trPr>
        <w:tc>
          <w:tcPr>
            <w:tcW w:w="3429" w:type="pct"/>
          </w:tcPr>
          <w:p w14:paraId="286C4FE8" w14:textId="77777777" w:rsidR="00B13433" w:rsidRPr="00BF6615" w:rsidRDefault="00B13433" w:rsidP="007E26B5">
            <w:pPr>
              <w:spacing w:after="160"/>
              <w:rPr>
                <w:rFonts w:cstheme="minorHAnsi"/>
              </w:rPr>
            </w:pPr>
            <w:r w:rsidRPr="00BF6615">
              <w:rPr>
                <w:rFonts w:cstheme="minorHAnsi"/>
              </w:rPr>
              <w:t>2.2.2 – Pauza, zatrzymanie, ukrycie</w:t>
            </w:r>
          </w:p>
        </w:tc>
        <w:tc>
          <w:tcPr>
            <w:tcW w:w="1494" w:type="pct"/>
          </w:tcPr>
          <w:p w14:paraId="5E42473A" w14:textId="77777777" w:rsidR="00B13433" w:rsidRPr="00BF6615" w:rsidRDefault="00B13433" w:rsidP="007E26B5">
            <w:pPr>
              <w:rPr>
                <w:rFonts w:cstheme="minorHAnsi"/>
              </w:rPr>
            </w:pPr>
            <w:r w:rsidRPr="00BF6615">
              <w:rPr>
                <w:rFonts w:cstheme="minorHAnsi"/>
              </w:rPr>
              <w:t>10</w:t>
            </w:r>
          </w:p>
        </w:tc>
      </w:tr>
      <w:tr w:rsidR="00B13433" w:rsidRPr="00BF6615" w14:paraId="738CF54C" w14:textId="77777777">
        <w:trPr>
          <w:cnfStyle w:val="000000100000" w:firstRow="0" w:lastRow="0" w:firstColumn="0" w:lastColumn="0" w:oddVBand="0" w:evenVBand="0" w:oddHBand="1" w:evenHBand="0" w:firstRowFirstColumn="0" w:firstRowLastColumn="0" w:lastRowFirstColumn="0" w:lastRowLastColumn="0"/>
        </w:trPr>
        <w:tc>
          <w:tcPr>
            <w:tcW w:w="3429" w:type="pct"/>
          </w:tcPr>
          <w:p w14:paraId="129C87A6" w14:textId="77777777" w:rsidR="00B13433" w:rsidRPr="00BF6615" w:rsidRDefault="00B13433" w:rsidP="007E26B5">
            <w:pPr>
              <w:spacing w:after="160"/>
              <w:rPr>
                <w:rFonts w:cstheme="minorHAnsi"/>
              </w:rPr>
            </w:pPr>
            <w:r w:rsidRPr="00BF6615">
              <w:rPr>
                <w:rFonts w:cstheme="minorHAnsi"/>
              </w:rPr>
              <w:t>2.4.2 – Tytuł strony</w:t>
            </w:r>
          </w:p>
        </w:tc>
        <w:tc>
          <w:tcPr>
            <w:tcW w:w="1494" w:type="pct"/>
          </w:tcPr>
          <w:p w14:paraId="1A0CAE71" w14:textId="77777777" w:rsidR="00B13433" w:rsidRPr="00BF6615" w:rsidRDefault="00B13433" w:rsidP="007E26B5">
            <w:pPr>
              <w:rPr>
                <w:rFonts w:cstheme="minorHAnsi"/>
              </w:rPr>
            </w:pPr>
            <w:r w:rsidRPr="00BF6615">
              <w:rPr>
                <w:rFonts w:cstheme="minorHAnsi"/>
              </w:rPr>
              <w:t>10</w:t>
            </w:r>
          </w:p>
        </w:tc>
      </w:tr>
      <w:tr w:rsidR="00B13433" w:rsidRPr="00BF6615" w14:paraId="5ED9FBD7" w14:textId="77777777">
        <w:trPr>
          <w:cnfStyle w:val="000000010000" w:firstRow="0" w:lastRow="0" w:firstColumn="0" w:lastColumn="0" w:oddVBand="0" w:evenVBand="0" w:oddHBand="0" w:evenHBand="1" w:firstRowFirstColumn="0" w:firstRowLastColumn="0" w:lastRowFirstColumn="0" w:lastRowLastColumn="0"/>
        </w:trPr>
        <w:tc>
          <w:tcPr>
            <w:tcW w:w="3429" w:type="pct"/>
          </w:tcPr>
          <w:p w14:paraId="01AB530F" w14:textId="77777777" w:rsidR="00B13433" w:rsidRPr="00BF6615" w:rsidRDefault="00B13433" w:rsidP="007E26B5">
            <w:pPr>
              <w:spacing w:after="160"/>
              <w:rPr>
                <w:rFonts w:cstheme="minorHAnsi"/>
              </w:rPr>
            </w:pPr>
            <w:r w:rsidRPr="00BF6615">
              <w:rPr>
                <w:rFonts w:cstheme="minorHAnsi"/>
              </w:rPr>
              <w:t>2.1.4 – Jednoznakowe skróty klawiaturowe</w:t>
            </w:r>
          </w:p>
        </w:tc>
        <w:tc>
          <w:tcPr>
            <w:tcW w:w="1494" w:type="pct"/>
          </w:tcPr>
          <w:p w14:paraId="249E1009" w14:textId="77777777" w:rsidR="00B13433" w:rsidRPr="00BF6615" w:rsidRDefault="00B13433" w:rsidP="007E26B5">
            <w:pPr>
              <w:rPr>
                <w:rFonts w:cstheme="minorHAnsi"/>
              </w:rPr>
            </w:pPr>
            <w:r w:rsidRPr="00BF6615">
              <w:rPr>
                <w:rFonts w:cstheme="minorHAnsi"/>
              </w:rPr>
              <w:t>3</w:t>
            </w:r>
          </w:p>
        </w:tc>
      </w:tr>
      <w:tr w:rsidR="00B13433" w:rsidRPr="00BF6615" w14:paraId="6177C3FC" w14:textId="77777777">
        <w:trPr>
          <w:cnfStyle w:val="000000100000" w:firstRow="0" w:lastRow="0" w:firstColumn="0" w:lastColumn="0" w:oddVBand="0" w:evenVBand="0" w:oddHBand="1" w:evenHBand="0" w:firstRowFirstColumn="0" w:firstRowLastColumn="0" w:lastRowFirstColumn="0" w:lastRowLastColumn="0"/>
        </w:trPr>
        <w:tc>
          <w:tcPr>
            <w:tcW w:w="3429" w:type="pct"/>
          </w:tcPr>
          <w:p w14:paraId="6B9F5E64" w14:textId="77777777" w:rsidR="00B13433" w:rsidRPr="00BF6615" w:rsidRDefault="00B13433" w:rsidP="007E26B5">
            <w:pPr>
              <w:spacing w:after="160"/>
              <w:rPr>
                <w:rFonts w:cstheme="minorHAnsi"/>
              </w:rPr>
            </w:pPr>
            <w:r w:rsidRPr="00BF6615">
              <w:rPr>
                <w:rFonts w:cstheme="minorHAnsi"/>
              </w:rPr>
              <w:t>2.3.1 – Trzy błyski lub wartości poniżej progu</w:t>
            </w:r>
          </w:p>
        </w:tc>
        <w:tc>
          <w:tcPr>
            <w:tcW w:w="1494" w:type="pct"/>
          </w:tcPr>
          <w:p w14:paraId="5BF502C2" w14:textId="77777777" w:rsidR="00B13433" w:rsidRPr="00BF6615" w:rsidRDefault="00B13433" w:rsidP="007E26B5">
            <w:pPr>
              <w:rPr>
                <w:rFonts w:cstheme="minorHAnsi"/>
              </w:rPr>
            </w:pPr>
            <w:r w:rsidRPr="00BF6615">
              <w:rPr>
                <w:rFonts w:cstheme="minorHAnsi"/>
              </w:rPr>
              <w:t>3</w:t>
            </w:r>
          </w:p>
        </w:tc>
      </w:tr>
      <w:tr w:rsidR="00B13433" w:rsidRPr="00BF6615" w14:paraId="3241D37B" w14:textId="77777777">
        <w:trPr>
          <w:cnfStyle w:val="000000010000" w:firstRow="0" w:lastRow="0" w:firstColumn="0" w:lastColumn="0" w:oddVBand="0" w:evenVBand="0" w:oddHBand="0" w:evenHBand="1" w:firstRowFirstColumn="0" w:firstRowLastColumn="0" w:lastRowFirstColumn="0" w:lastRowLastColumn="0"/>
        </w:trPr>
        <w:tc>
          <w:tcPr>
            <w:tcW w:w="3429" w:type="pct"/>
          </w:tcPr>
          <w:p w14:paraId="4AA68FE2" w14:textId="77777777" w:rsidR="00B13433" w:rsidRPr="00BF6615" w:rsidRDefault="00B13433" w:rsidP="007E26B5">
            <w:pPr>
              <w:spacing w:after="160"/>
              <w:rPr>
                <w:rFonts w:cstheme="minorHAnsi"/>
              </w:rPr>
            </w:pPr>
            <w:r w:rsidRPr="00BF6615">
              <w:rPr>
                <w:rFonts w:cstheme="minorHAnsi"/>
              </w:rPr>
              <w:t>2.4.3 – Kolejność fokusu</w:t>
            </w:r>
          </w:p>
        </w:tc>
        <w:tc>
          <w:tcPr>
            <w:tcW w:w="1494" w:type="pct"/>
          </w:tcPr>
          <w:p w14:paraId="72EABC2C" w14:textId="77777777" w:rsidR="00B13433" w:rsidRPr="00BF6615" w:rsidRDefault="00B13433" w:rsidP="007E26B5">
            <w:pPr>
              <w:spacing w:after="160"/>
              <w:rPr>
                <w:rFonts w:cstheme="minorHAnsi"/>
              </w:rPr>
            </w:pPr>
            <w:r w:rsidRPr="00BF6615">
              <w:rPr>
                <w:rFonts w:cstheme="minorHAnsi"/>
              </w:rPr>
              <w:t>3</w:t>
            </w:r>
          </w:p>
        </w:tc>
      </w:tr>
      <w:tr w:rsidR="00B13433" w:rsidRPr="00BF6615" w14:paraId="3FD25352" w14:textId="77777777">
        <w:trPr>
          <w:cnfStyle w:val="000000100000" w:firstRow="0" w:lastRow="0" w:firstColumn="0" w:lastColumn="0" w:oddVBand="0" w:evenVBand="0" w:oddHBand="1" w:evenHBand="0" w:firstRowFirstColumn="0" w:firstRowLastColumn="0" w:lastRowFirstColumn="0" w:lastRowLastColumn="0"/>
        </w:trPr>
        <w:tc>
          <w:tcPr>
            <w:tcW w:w="3429" w:type="pct"/>
          </w:tcPr>
          <w:p w14:paraId="225AD3F3" w14:textId="77777777" w:rsidR="00B13433" w:rsidRPr="00BF6615" w:rsidRDefault="00B13433" w:rsidP="007E26B5">
            <w:pPr>
              <w:spacing w:after="160"/>
              <w:rPr>
                <w:rFonts w:cstheme="minorHAnsi"/>
              </w:rPr>
            </w:pPr>
            <w:r w:rsidRPr="00BF6615">
              <w:rPr>
                <w:rFonts w:cstheme="minorHAnsi"/>
              </w:rPr>
              <w:t>2.4.6 – Nagłówki i etykiety</w:t>
            </w:r>
          </w:p>
        </w:tc>
        <w:tc>
          <w:tcPr>
            <w:tcW w:w="1494" w:type="pct"/>
          </w:tcPr>
          <w:p w14:paraId="1181E8F2" w14:textId="77777777" w:rsidR="00B13433" w:rsidRPr="00BF6615" w:rsidRDefault="00B13433" w:rsidP="007E26B5">
            <w:pPr>
              <w:rPr>
                <w:rFonts w:cstheme="minorHAnsi"/>
              </w:rPr>
            </w:pPr>
            <w:r w:rsidRPr="00BF6615">
              <w:rPr>
                <w:rFonts w:cstheme="minorHAnsi"/>
              </w:rPr>
              <w:t>3</w:t>
            </w:r>
          </w:p>
        </w:tc>
      </w:tr>
    </w:tbl>
    <w:p w14:paraId="02D34E9A" w14:textId="77777777" w:rsidR="00B13433" w:rsidRPr="00BF6615" w:rsidRDefault="00B13433" w:rsidP="007E26B5">
      <w:r w:rsidRPr="00BF6615">
        <w:t>Źródło: opracowanie własne.</w:t>
      </w:r>
    </w:p>
    <w:p w14:paraId="7F7B2D4D" w14:textId="77777777" w:rsidR="00B13433" w:rsidRPr="00BF6615" w:rsidRDefault="00B13433" w:rsidP="00B271C3">
      <w:pPr>
        <w:pStyle w:val="Nagwek4"/>
        <w:rPr>
          <w:rFonts w:cstheme="minorHAnsi"/>
          <w:bCs/>
        </w:rPr>
      </w:pPr>
      <w:r w:rsidRPr="00BF6615">
        <w:rPr>
          <w:rFonts w:cstheme="minorHAnsi"/>
          <w:bCs/>
        </w:rPr>
        <w:t xml:space="preserve">Zasada 3: </w:t>
      </w:r>
      <w:r w:rsidRPr="00B271C3">
        <w:rPr>
          <w:rStyle w:val="Nagwek4Znak"/>
          <w:b/>
        </w:rPr>
        <w:t>Zrozumiałość</w:t>
      </w:r>
    </w:p>
    <w:p w14:paraId="3385EE7E" w14:textId="77777777" w:rsidR="00B13433" w:rsidRPr="00BF6615" w:rsidRDefault="00B13433" w:rsidP="007E26B5">
      <w:pPr>
        <w:spacing w:after="160"/>
        <w:rPr>
          <w:rFonts w:cstheme="minorHAnsi"/>
        </w:rPr>
      </w:pPr>
      <w:r w:rsidRPr="00BF6615">
        <w:rPr>
          <w:rFonts w:cstheme="minorHAnsi"/>
        </w:rPr>
        <w:t xml:space="preserve">W kategorii zrozumiałości treści i interakcji najczęściej pojawiały się następujące problemy: kryteria </w:t>
      </w:r>
      <w:r w:rsidRPr="00BF6615">
        <w:rPr>
          <w:rFonts w:cstheme="minorHAnsi"/>
          <w:b/>
          <w:bCs/>
        </w:rPr>
        <w:t>3.3.2 – Etykiety lub instrukcje</w:t>
      </w:r>
      <w:r w:rsidRPr="00BF6615">
        <w:rPr>
          <w:rFonts w:cstheme="minorHAnsi"/>
        </w:rPr>
        <w:t xml:space="preserve"> (5) oraz </w:t>
      </w:r>
      <w:r w:rsidRPr="00BF6615">
        <w:rPr>
          <w:rFonts w:cstheme="minorHAnsi"/>
          <w:b/>
          <w:bCs/>
        </w:rPr>
        <w:t xml:space="preserve">3.3.3 – </w:t>
      </w:r>
      <w:r w:rsidRPr="00BF6615">
        <w:rPr>
          <w:rFonts w:cstheme="minorHAnsi"/>
        </w:rPr>
        <w:t xml:space="preserve">Sugestie korekty błędów (4). </w:t>
      </w:r>
    </w:p>
    <w:p w14:paraId="113CF1DE" w14:textId="4F84A1F9" w:rsidR="00B13433" w:rsidRPr="00BF6615" w:rsidRDefault="00B13433" w:rsidP="007E26B5">
      <w:pPr>
        <w:pStyle w:val="Legenda"/>
        <w:spacing w:line="276" w:lineRule="auto"/>
        <w:rPr>
          <w:rFonts w:cstheme="minorHAnsi"/>
        </w:rPr>
      </w:pPr>
      <w:bookmarkStart w:id="73" w:name="_Toc196335273"/>
      <w:bookmarkStart w:id="74" w:name="_Toc204179106"/>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8</w:t>
      </w:r>
      <w:r w:rsidRPr="00BF6615">
        <w:rPr>
          <w:rFonts w:cstheme="minorHAnsi"/>
        </w:rPr>
        <w:fldChar w:fldCharType="end"/>
      </w:r>
      <w:r w:rsidR="000110ED">
        <w:rPr>
          <w:rFonts w:cstheme="minorHAnsi"/>
        </w:rPr>
        <w:t>.</w:t>
      </w:r>
      <w:r w:rsidRPr="00BF6615">
        <w:rPr>
          <w:rFonts w:cstheme="minorHAnsi"/>
        </w:rPr>
        <w:t xml:space="preserve"> Liczba zidentyfikowanych problemów w zasadzie 3: Zrozumiałość ) (osoby ociemniałe lub niewidome)</w:t>
      </w:r>
      <w:bookmarkEnd w:id="73"/>
      <w:bookmarkEnd w:id="74"/>
    </w:p>
    <w:tbl>
      <w:tblPr>
        <w:tblStyle w:val="PARP"/>
        <w:tblW w:w="5000" w:type="pct"/>
        <w:tblLook w:val="04A0" w:firstRow="1" w:lastRow="0" w:firstColumn="1" w:lastColumn="0" w:noHBand="0" w:noVBand="1"/>
        <w:tblCaption w:val="Liczba zidentyfikowanych problemów w zasadzie 3: Zrozumiałość ) (osoby ociemniałe lub niewidome)"/>
        <w:tblDescription w:val="Liczba zidentyfikowanych problemów w zasadzie 3: Zrozumiałość ) (osoby ociemniałe lub niewidome)"/>
      </w:tblPr>
      <w:tblGrid>
        <w:gridCol w:w="5814"/>
        <w:gridCol w:w="3248"/>
      </w:tblGrid>
      <w:tr w:rsidR="00B13433" w:rsidRPr="00BF6615" w14:paraId="668EE630" w14:textId="77777777">
        <w:trPr>
          <w:cnfStyle w:val="100000000000" w:firstRow="1" w:lastRow="0" w:firstColumn="0" w:lastColumn="0" w:oddVBand="0" w:evenVBand="0" w:oddHBand="0" w:evenHBand="0" w:firstRowFirstColumn="0" w:firstRowLastColumn="0" w:lastRowFirstColumn="0" w:lastRowLastColumn="0"/>
        </w:trPr>
        <w:tc>
          <w:tcPr>
            <w:tcW w:w="3208" w:type="pct"/>
          </w:tcPr>
          <w:p w14:paraId="6A17886B" w14:textId="77777777" w:rsidR="00B13433" w:rsidRPr="00BF6615" w:rsidRDefault="00B13433" w:rsidP="007E26B5">
            <w:pPr>
              <w:rPr>
                <w:rFonts w:asciiTheme="minorHAnsi" w:hAnsiTheme="minorHAnsi" w:cstheme="minorHAnsi"/>
                <w:b/>
                <w:bCs/>
              </w:rPr>
            </w:pPr>
            <w:r w:rsidRPr="00BF6615">
              <w:rPr>
                <w:rFonts w:asciiTheme="minorHAnsi" w:hAnsiTheme="minorHAnsi" w:cstheme="minorHAnsi"/>
                <w:b/>
                <w:bCs/>
              </w:rPr>
              <w:t>Nazwa kryterium (WCAG 2.1)</w:t>
            </w:r>
          </w:p>
        </w:tc>
        <w:tc>
          <w:tcPr>
            <w:tcW w:w="1792" w:type="pct"/>
          </w:tcPr>
          <w:p w14:paraId="23D9689C" w14:textId="77777777" w:rsidR="00B13433" w:rsidRPr="00BF6615" w:rsidRDefault="00B13433" w:rsidP="007E26B5">
            <w:pPr>
              <w:rPr>
                <w:rFonts w:asciiTheme="minorHAnsi" w:hAnsiTheme="minorHAnsi" w:cstheme="minorHAnsi"/>
                <w:b/>
                <w:bCs/>
              </w:rPr>
            </w:pPr>
            <w:r w:rsidRPr="00BF6615">
              <w:rPr>
                <w:rFonts w:asciiTheme="minorHAnsi" w:hAnsiTheme="minorHAnsi" w:cstheme="minorHAnsi"/>
                <w:b/>
                <w:bCs/>
              </w:rPr>
              <w:t>Liczba wystąpień</w:t>
            </w:r>
          </w:p>
        </w:tc>
      </w:tr>
      <w:tr w:rsidR="00B13433" w:rsidRPr="00BF6615" w14:paraId="68393383" w14:textId="77777777">
        <w:trPr>
          <w:cnfStyle w:val="000000100000" w:firstRow="0" w:lastRow="0" w:firstColumn="0" w:lastColumn="0" w:oddVBand="0" w:evenVBand="0" w:oddHBand="1" w:evenHBand="0" w:firstRowFirstColumn="0" w:firstRowLastColumn="0" w:lastRowFirstColumn="0" w:lastRowLastColumn="0"/>
        </w:trPr>
        <w:tc>
          <w:tcPr>
            <w:tcW w:w="3208" w:type="pct"/>
          </w:tcPr>
          <w:p w14:paraId="13219E26" w14:textId="77777777" w:rsidR="00B13433" w:rsidRPr="00BF6615" w:rsidRDefault="00B13433" w:rsidP="007E26B5">
            <w:pPr>
              <w:spacing w:after="160"/>
              <w:rPr>
                <w:rFonts w:cstheme="minorHAnsi"/>
                <w:szCs w:val="24"/>
              </w:rPr>
            </w:pPr>
            <w:r w:rsidRPr="00BF6615">
              <w:rPr>
                <w:rFonts w:cstheme="minorHAnsi"/>
                <w:szCs w:val="24"/>
              </w:rPr>
              <w:t>3.3.2 – Etykiety lub instrukcje</w:t>
            </w:r>
          </w:p>
        </w:tc>
        <w:tc>
          <w:tcPr>
            <w:tcW w:w="1792" w:type="pct"/>
          </w:tcPr>
          <w:p w14:paraId="0BBCE210" w14:textId="77777777" w:rsidR="00B13433" w:rsidRPr="00BF6615" w:rsidRDefault="00B13433" w:rsidP="007E26B5">
            <w:pPr>
              <w:spacing w:after="160"/>
              <w:rPr>
                <w:rFonts w:cstheme="minorHAnsi"/>
              </w:rPr>
            </w:pPr>
            <w:r w:rsidRPr="00BF6615">
              <w:rPr>
                <w:rFonts w:cstheme="minorHAnsi"/>
              </w:rPr>
              <w:t>5</w:t>
            </w:r>
          </w:p>
        </w:tc>
      </w:tr>
      <w:tr w:rsidR="00B13433" w:rsidRPr="00BF6615" w14:paraId="573FFCA7" w14:textId="77777777">
        <w:trPr>
          <w:cnfStyle w:val="000000010000" w:firstRow="0" w:lastRow="0" w:firstColumn="0" w:lastColumn="0" w:oddVBand="0" w:evenVBand="0" w:oddHBand="0" w:evenHBand="1" w:firstRowFirstColumn="0" w:firstRowLastColumn="0" w:lastRowFirstColumn="0" w:lastRowLastColumn="0"/>
        </w:trPr>
        <w:tc>
          <w:tcPr>
            <w:tcW w:w="3208" w:type="pct"/>
          </w:tcPr>
          <w:p w14:paraId="757A0F2A" w14:textId="77777777" w:rsidR="00B13433" w:rsidRPr="00BF6615" w:rsidRDefault="00B13433" w:rsidP="007E26B5">
            <w:pPr>
              <w:spacing w:after="160"/>
              <w:rPr>
                <w:rFonts w:cstheme="minorHAnsi"/>
                <w:szCs w:val="24"/>
              </w:rPr>
            </w:pPr>
            <w:r w:rsidRPr="00BF6615">
              <w:rPr>
                <w:rFonts w:cstheme="minorHAnsi"/>
                <w:szCs w:val="24"/>
              </w:rPr>
              <w:t>3.3.3 – Sugestie korekty błędów</w:t>
            </w:r>
          </w:p>
        </w:tc>
        <w:tc>
          <w:tcPr>
            <w:tcW w:w="1792" w:type="pct"/>
          </w:tcPr>
          <w:p w14:paraId="66A4B1A5" w14:textId="77777777" w:rsidR="00B13433" w:rsidRPr="00BF6615" w:rsidRDefault="00B13433" w:rsidP="007E26B5">
            <w:pPr>
              <w:spacing w:after="160"/>
              <w:rPr>
                <w:rFonts w:cstheme="minorHAnsi"/>
              </w:rPr>
            </w:pPr>
            <w:r w:rsidRPr="00BF6615">
              <w:rPr>
                <w:rFonts w:cstheme="minorHAnsi"/>
              </w:rPr>
              <w:t>4</w:t>
            </w:r>
          </w:p>
        </w:tc>
      </w:tr>
      <w:tr w:rsidR="00B13433" w:rsidRPr="00BF6615" w14:paraId="61C56AEF" w14:textId="77777777">
        <w:trPr>
          <w:cnfStyle w:val="000000100000" w:firstRow="0" w:lastRow="0" w:firstColumn="0" w:lastColumn="0" w:oddVBand="0" w:evenVBand="0" w:oddHBand="1" w:evenHBand="0" w:firstRowFirstColumn="0" w:firstRowLastColumn="0" w:lastRowFirstColumn="0" w:lastRowLastColumn="0"/>
        </w:trPr>
        <w:tc>
          <w:tcPr>
            <w:tcW w:w="3208" w:type="pct"/>
          </w:tcPr>
          <w:p w14:paraId="4CCC7A38" w14:textId="77777777" w:rsidR="00B13433" w:rsidRPr="00BF6615" w:rsidRDefault="00B13433" w:rsidP="007E26B5">
            <w:pPr>
              <w:spacing w:after="160"/>
              <w:rPr>
                <w:rFonts w:cstheme="minorHAnsi"/>
                <w:szCs w:val="24"/>
              </w:rPr>
            </w:pPr>
            <w:r w:rsidRPr="00BF6615">
              <w:rPr>
                <w:rFonts w:cstheme="minorHAnsi"/>
                <w:szCs w:val="24"/>
              </w:rPr>
              <w:t>3.3.4 – Zapobieganie błędom</w:t>
            </w:r>
          </w:p>
        </w:tc>
        <w:tc>
          <w:tcPr>
            <w:tcW w:w="1792" w:type="pct"/>
          </w:tcPr>
          <w:p w14:paraId="5B79913B" w14:textId="77777777" w:rsidR="00B13433" w:rsidRPr="00BF6615" w:rsidRDefault="00B13433" w:rsidP="007E26B5">
            <w:pPr>
              <w:spacing w:after="160"/>
              <w:rPr>
                <w:rFonts w:cstheme="minorHAnsi"/>
              </w:rPr>
            </w:pPr>
            <w:r w:rsidRPr="00BF6615">
              <w:rPr>
                <w:rFonts w:cstheme="minorHAnsi"/>
              </w:rPr>
              <w:t>3</w:t>
            </w:r>
          </w:p>
        </w:tc>
      </w:tr>
      <w:tr w:rsidR="00B13433" w:rsidRPr="00BF6615" w14:paraId="19C1B563" w14:textId="77777777">
        <w:trPr>
          <w:cnfStyle w:val="000000010000" w:firstRow="0" w:lastRow="0" w:firstColumn="0" w:lastColumn="0" w:oddVBand="0" w:evenVBand="0" w:oddHBand="0" w:evenHBand="1" w:firstRowFirstColumn="0" w:firstRowLastColumn="0" w:lastRowFirstColumn="0" w:lastRowLastColumn="0"/>
        </w:trPr>
        <w:tc>
          <w:tcPr>
            <w:tcW w:w="3208" w:type="pct"/>
          </w:tcPr>
          <w:p w14:paraId="6DA43F3E" w14:textId="77777777" w:rsidR="00B13433" w:rsidRPr="00BF6615" w:rsidRDefault="00B13433" w:rsidP="007E26B5">
            <w:pPr>
              <w:rPr>
                <w:rFonts w:cstheme="minorHAnsi"/>
                <w:szCs w:val="24"/>
              </w:rPr>
            </w:pPr>
            <w:r w:rsidRPr="00BF6615">
              <w:rPr>
                <w:rFonts w:eastAsia="Times New Roman" w:cstheme="minorHAnsi"/>
                <w:szCs w:val="24"/>
                <w:lang w:eastAsia="pl-PL"/>
              </w:rPr>
              <w:t xml:space="preserve">3.3.1 </w:t>
            </w:r>
            <w:r w:rsidRPr="00BF6615">
              <w:rPr>
                <w:rFonts w:cstheme="minorHAnsi"/>
              </w:rPr>
              <w:t>–</w:t>
            </w:r>
            <w:r w:rsidRPr="00BF6615">
              <w:rPr>
                <w:rFonts w:eastAsia="Times New Roman" w:cstheme="minorHAnsi"/>
                <w:szCs w:val="24"/>
                <w:lang w:eastAsia="pl-PL"/>
              </w:rPr>
              <w:t xml:space="preserve"> Identyfikacja błędu</w:t>
            </w:r>
          </w:p>
        </w:tc>
        <w:tc>
          <w:tcPr>
            <w:tcW w:w="1792" w:type="pct"/>
          </w:tcPr>
          <w:p w14:paraId="511B275B" w14:textId="77777777" w:rsidR="00B13433" w:rsidRPr="00BF6615" w:rsidRDefault="00B13433" w:rsidP="007E26B5">
            <w:pPr>
              <w:rPr>
                <w:rFonts w:cstheme="minorHAnsi"/>
              </w:rPr>
            </w:pPr>
            <w:r w:rsidRPr="00BF6615">
              <w:rPr>
                <w:rFonts w:cstheme="minorHAnsi"/>
              </w:rPr>
              <w:t>6</w:t>
            </w:r>
          </w:p>
        </w:tc>
      </w:tr>
      <w:tr w:rsidR="00B13433" w:rsidRPr="00BF6615" w14:paraId="1E5B9798" w14:textId="77777777">
        <w:trPr>
          <w:cnfStyle w:val="000000100000" w:firstRow="0" w:lastRow="0" w:firstColumn="0" w:lastColumn="0" w:oddVBand="0" w:evenVBand="0" w:oddHBand="1" w:evenHBand="0" w:firstRowFirstColumn="0" w:firstRowLastColumn="0" w:lastRowFirstColumn="0" w:lastRowLastColumn="0"/>
        </w:trPr>
        <w:tc>
          <w:tcPr>
            <w:tcW w:w="3208" w:type="pct"/>
          </w:tcPr>
          <w:p w14:paraId="37585CF3" w14:textId="77777777" w:rsidR="00B13433" w:rsidRPr="00BF6615" w:rsidRDefault="00B13433" w:rsidP="007E26B5">
            <w:pPr>
              <w:rPr>
                <w:rFonts w:cstheme="minorHAnsi"/>
                <w:szCs w:val="24"/>
              </w:rPr>
            </w:pPr>
            <w:r w:rsidRPr="00BF6615">
              <w:rPr>
                <w:rFonts w:eastAsia="Times New Roman" w:cstheme="minorHAnsi"/>
                <w:szCs w:val="24"/>
                <w:lang w:eastAsia="pl-PL"/>
              </w:rPr>
              <w:t xml:space="preserve">3.2.2 </w:t>
            </w:r>
            <w:r w:rsidRPr="00BF6615">
              <w:rPr>
                <w:rFonts w:cstheme="minorHAnsi"/>
              </w:rPr>
              <w:t>–</w:t>
            </w:r>
            <w:r w:rsidRPr="00BF6615">
              <w:rPr>
                <w:rFonts w:eastAsia="Times New Roman" w:cstheme="minorHAnsi"/>
                <w:szCs w:val="24"/>
                <w:lang w:eastAsia="pl-PL"/>
              </w:rPr>
              <w:t xml:space="preserve"> Podczas wprowadzania danych</w:t>
            </w:r>
          </w:p>
        </w:tc>
        <w:tc>
          <w:tcPr>
            <w:tcW w:w="1792" w:type="pct"/>
          </w:tcPr>
          <w:p w14:paraId="53F2A2C7" w14:textId="77777777" w:rsidR="00B13433" w:rsidRPr="00BF6615" w:rsidRDefault="00B13433" w:rsidP="007E26B5">
            <w:pPr>
              <w:rPr>
                <w:rFonts w:cstheme="minorHAnsi"/>
              </w:rPr>
            </w:pPr>
            <w:r w:rsidRPr="00BF6615">
              <w:rPr>
                <w:rFonts w:cstheme="minorHAnsi"/>
              </w:rPr>
              <w:t>6</w:t>
            </w:r>
          </w:p>
        </w:tc>
      </w:tr>
    </w:tbl>
    <w:p w14:paraId="3AD359E4" w14:textId="77777777" w:rsidR="00B13433" w:rsidRPr="00BF6615" w:rsidRDefault="00B13433" w:rsidP="007E26B5">
      <w:r w:rsidRPr="00BF6615">
        <w:t>Źródło: opracowanie własne.</w:t>
      </w:r>
    </w:p>
    <w:p w14:paraId="592C5818" w14:textId="77777777" w:rsidR="00B13433" w:rsidRPr="00BF6615" w:rsidRDefault="00B13433" w:rsidP="00B271C3">
      <w:pPr>
        <w:pStyle w:val="Nagwek4"/>
        <w:rPr>
          <w:rFonts w:cstheme="minorHAnsi"/>
          <w:bCs/>
        </w:rPr>
      </w:pPr>
      <w:r w:rsidRPr="00BF6615">
        <w:rPr>
          <w:rFonts w:cstheme="minorHAnsi"/>
          <w:bCs/>
        </w:rPr>
        <w:t xml:space="preserve">Zasada 4: </w:t>
      </w:r>
      <w:r w:rsidRPr="00B271C3">
        <w:rPr>
          <w:rStyle w:val="Nagwek4Znak"/>
          <w:b/>
        </w:rPr>
        <w:t>Kompatybilność</w:t>
      </w:r>
    </w:p>
    <w:p w14:paraId="153C6983" w14:textId="77777777" w:rsidR="00B13433" w:rsidRPr="00BF6615" w:rsidRDefault="00B13433" w:rsidP="007E26B5">
      <w:pPr>
        <w:spacing w:after="160"/>
        <w:rPr>
          <w:rFonts w:cstheme="minorHAnsi"/>
        </w:rPr>
      </w:pPr>
      <w:r w:rsidRPr="00BF6615">
        <w:rPr>
          <w:rFonts w:cstheme="minorHAnsi"/>
        </w:rPr>
        <w:t>W zasadzie 4 (kompatybilność, solidność techniczna) pojawił się jeden wyróżniający problem: 4.1.2 – Nazwa, rola, wartość (6 przypadków).</w:t>
      </w:r>
    </w:p>
    <w:p w14:paraId="49A8836E" w14:textId="5D1A19F4" w:rsidR="00B13433" w:rsidRPr="007C154D" w:rsidRDefault="00B13433" w:rsidP="00B271C3">
      <w:pPr>
        <w:pStyle w:val="Nagwek4"/>
        <w:rPr>
          <w:bCs/>
        </w:rPr>
      </w:pPr>
      <w:r w:rsidRPr="007C154D">
        <w:rPr>
          <w:bCs/>
        </w:rPr>
        <w:t xml:space="preserve">Jak użytkownicy i </w:t>
      </w:r>
      <w:r w:rsidRPr="00B271C3">
        <w:rPr>
          <w:rStyle w:val="Nagwek4Znak"/>
          <w:b/>
        </w:rPr>
        <w:t>użytkowniczki</w:t>
      </w:r>
      <w:r w:rsidRPr="007C154D">
        <w:rPr>
          <w:bCs/>
        </w:rPr>
        <w:t xml:space="preserve"> próbowali pokonać trudności?</w:t>
      </w:r>
    </w:p>
    <w:p w14:paraId="60C6FFAE" w14:textId="77777777" w:rsidR="00B13433" w:rsidRDefault="00B13433" w:rsidP="007E26B5">
      <w:pPr>
        <w:rPr>
          <w:rFonts w:cstheme="minorHAnsi"/>
        </w:rPr>
      </w:pPr>
      <w:r w:rsidRPr="00BF6615">
        <w:rPr>
          <w:rFonts w:cstheme="minorHAnsi"/>
        </w:rPr>
        <w:t xml:space="preserve">Osoby niewidome podejmowały różne strategie, aby pokonać napotykane trudności podczas korzystania z testowanych stron/aplikacji. Często stosowały metodę prób i błędów, klikając po kolei wszystkie dostępne elementy, by sprawdzić ich działanie. W przypadku niedostępnych lub nieopisanych ikon użytkownicy próbowali odgadnąć funkcję danego </w:t>
      </w:r>
      <w:r w:rsidRPr="00BF6615">
        <w:rPr>
          <w:rFonts w:cstheme="minorHAnsi"/>
        </w:rPr>
        <w:lastRenderedPageBreak/>
        <w:t>przycisku na podstawie jego kontekstu. Część osób korzystała z komend głosowych Asystenta Google, aby uruchomić aplikację lub przejść do konkretnej funkcji. Wielokrotnie podejmowali próby skontaktowania się z pomocą techniczną. Gdy formularze były trudne do uzupełnienia, niektórzy pomijali problematyczne pola, licząc, że nie są one obowiązkowe. W przypadku całkowitej blokady dostępu lub zawieszenia aplikacji użytkownicy często zamykali ją i otwierali ponownie, próbując rozpocząć proces od nowa.</w:t>
      </w:r>
    </w:p>
    <w:p w14:paraId="4D4BA58E" w14:textId="77777777" w:rsidR="00B13433" w:rsidRPr="007C154D" w:rsidRDefault="00B13433" w:rsidP="00B271C3">
      <w:pPr>
        <w:pStyle w:val="Nagwek4"/>
        <w:rPr>
          <w:bCs/>
        </w:rPr>
      </w:pPr>
      <w:r w:rsidRPr="007C154D">
        <w:rPr>
          <w:bCs/>
        </w:rPr>
        <w:t xml:space="preserve">Stany emocjonalne </w:t>
      </w:r>
      <w:r w:rsidRPr="00B271C3">
        <w:rPr>
          <w:rStyle w:val="Nagwek4Znak"/>
          <w:b/>
        </w:rPr>
        <w:t>użytkowników</w:t>
      </w:r>
      <w:r w:rsidRPr="007C154D">
        <w:rPr>
          <w:bCs/>
        </w:rPr>
        <w:t xml:space="preserve"> i użytkowniczek podczas testów</w:t>
      </w:r>
    </w:p>
    <w:p w14:paraId="6A1B0F47" w14:textId="77777777" w:rsidR="00B13433" w:rsidRPr="00BF6615" w:rsidRDefault="00B13433" w:rsidP="007E26B5">
      <w:pPr>
        <w:spacing w:after="160"/>
        <w:rPr>
          <w:rFonts w:cstheme="minorHAnsi"/>
        </w:rPr>
      </w:pPr>
      <w:r w:rsidRPr="00BF6615">
        <w:rPr>
          <w:rFonts w:cstheme="minorHAnsi"/>
        </w:rPr>
        <w:t xml:space="preserve">W trakcie testów obserwowano różne stany emocjonalne towarzyszące osobom niewidomym. W większości przypadków uczestnicy wykazywali wysoki poziom skupienia i spokoju, mimo licznych napotykanych trudności. Spokój dominował w czasie testów zarówno w przypadku stron internetowych, jak i aplikacji mobilnych, co świadczy o dużej determinacji osób badanych do wykonania zadań, nawet w obliczu barier </w:t>
      </w:r>
      <w:proofErr w:type="spellStart"/>
      <w:r w:rsidRPr="00BF6615">
        <w:rPr>
          <w:rFonts w:cstheme="minorHAnsi"/>
        </w:rPr>
        <w:t>dostępnościowych</w:t>
      </w:r>
      <w:proofErr w:type="spellEnd"/>
      <w:r w:rsidRPr="00BF6615">
        <w:rPr>
          <w:rFonts w:cstheme="minorHAnsi"/>
        </w:rPr>
        <w:t>.</w:t>
      </w:r>
    </w:p>
    <w:p w14:paraId="2B25F6B4" w14:textId="77777777" w:rsidR="00B13433" w:rsidRDefault="00B13433" w:rsidP="007E26B5">
      <w:pPr>
        <w:spacing w:after="160"/>
        <w:rPr>
          <w:rFonts w:cstheme="minorHAnsi"/>
        </w:rPr>
      </w:pPr>
      <w:r w:rsidRPr="00BF6615">
        <w:rPr>
          <w:rFonts w:cstheme="minorHAnsi"/>
        </w:rPr>
        <w:t>Najczęściej odnotowywaną emocją był spokój – wystąpił w 15 spośród wszystkich zaobserwowanych przypadków, co stanowi 53,57% wszystkich stanów emocjonalnych. Był to stan dominujący, szczególnie w pierwszych etapach testów lub przy mniej skomplikowanych zadaniach. Na drugim miejscu pod względem częstości występowania znalazła się frustracja – odnotowana 8 razy, co stanowi 28,57% wszystkich przypadków. Frustracja pojawiała się głównie w sytuacjach, gdy użytkownicy nie mogli dokończyć zadania z powodu błędów technicznych, braku reakcji czytnika ekranu lub braku opisów w aplikacjach. Był to stan emocjonalny typowy dla bardziej złożonych interakcji – np. korzystania z formularzy czy obsługi aplikacji mobilnych. Zadowolenie wystąpiło czterokrotnie (14,29%) i było obserwowane głównie po ukończeniu zadania lub odnalezieniu ważnej informacji mimo wcześniejszych trudności. Pojawiało się najczęściej w przypadku stron prostych, uporządkowanych, z dobrze oznaczoną strukturą. Pozostałe stany emocjonalne – zniechęcenie i zdenerwowanie – miały charakter incydentalny. Zniechęcenie pojawiło się dwukrotnie (7,14%), a zdenerwowanie – tylko raz (3,57%). Te emocje występowały w sytuacjach krańcowych – przy próbach wykonania zadania, które okazywały się niemożliwe z uwagi na całkowity brak dostępności danego komponentu (np. ikona bez opisu, brak informacji zwrotnej po wysłaniu formularza, „cisza” czytnika).</w:t>
      </w:r>
    </w:p>
    <w:p w14:paraId="6A761E0C" w14:textId="77777777" w:rsidR="00B13433" w:rsidRPr="007C154D" w:rsidRDefault="00B13433" w:rsidP="00B271C3">
      <w:pPr>
        <w:pStyle w:val="Nagwek4"/>
        <w:rPr>
          <w:bCs/>
        </w:rPr>
      </w:pPr>
      <w:r w:rsidRPr="007C154D">
        <w:rPr>
          <w:bCs/>
        </w:rPr>
        <w:t xml:space="preserve">Opinie użytkowników i </w:t>
      </w:r>
      <w:r w:rsidRPr="00B271C3">
        <w:rPr>
          <w:rStyle w:val="Nagwek4Znak"/>
          <w:b/>
        </w:rPr>
        <w:t>użytkowniczek</w:t>
      </w:r>
      <w:r w:rsidRPr="007C154D">
        <w:rPr>
          <w:bCs/>
        </w:rPr>
        <w:t xml:space="preserve"> o procesie testowania</w:t>
      </w:r>
    </w:p>
    <w:p w14:paraId="506B9736" w14:textId="77777777" w:rsidR="00B13433" w:rsidRPr="00BF6615" w:rsidRDefault="00B13433" w:rsidP="007E26B5">
      <w:pPr>
        <w:spacing w:after="160"/>
        <w:rPr>
          <w:rFonts w:cstheme="minorHAnsi"/>
        </w:rPr>
      </w:pPr>
      <w:r w:rsidRPr="00BF6615">
        <w:rPr>
          <w:rFonts w:cstheme="minorHAnsi"/>
        </w:rPr>
        <w:t xml:space="preserve">Opinie osób niewidomych o testowanych stronach/aplikacjach potwierdzają powtarzające się problemy z dostępnością. Uczestnicy zgodnie podkreślali, że brak opisów i </w:t>
      </w:r>
      <w:proofErr w:type="spellStart"/>
      <w:r w:rsidRPr="00BF6615">
        <w:rPr>
          <w:rFonts w:cstheme="minorHAnsi"/>
        </w:rPr>
        <w:t>nieintuicyjność</w:t>
      </w:r>
      <w:proofErr w:type="spellEnd"/>
      <w:r w:rsidRPr="00BF6615">
        <w:rPr>
          <w:rFonts w:cstheme="minorHAnsi"/>
        </w:rPr>
        <w:t xml:space="preserve"> stron były głównymi czynnikami utrudniającymi korzystanie z badanych witryn i aplikacji. W ich odczuciu wiele elementów interfejsu wymaga natychmiastowej poprawy – szczególnie te, które uniemożliwiają samodzielne uzyskanie potrzebnej informacji.</w:t>
      </w:r>
    </w:p>
    <w:p w14:paraId="4A94DF30" w14:textId="77777777" w:rsidR="00B13433" w:rsidRPr="00BF6615" w:rsidRDefault="00B13433" w:rsidP="007E26B5">
      <w:pPr>
        <w:spacing w:after="160"/>
        <w:rPr>
          <w:rFonts w:cstheme="minorHAnsi"/>
        </w:rPr>
      </w:pPr>
      <w:r w:rsidRPr="00BF6615">
        <w:rPr>
          <w:rFonts w:cstheme="minorHAnsi"/>
        </w:rPr>
        <w:t xml:space="preserve">Badani zwracali uwagę, że niedostosowanie języka i formy prezentacji treści zmuszało ich do dodatkowego wysiłku. Często powtarzała się opinia, iż strony powinny być projektowane z myślą o czytnikach ekranu: „Wszystkie rzeczy obrazkowe powinny mieć opisy, żeby czytnik mógł przeczytać” – zauważył jeden z uczestników, wskazując na konieczność opisania obrazów i ikon. Inny użytkownik przyznał, że poruszanie się po niektórych stronach było dla </w:t>
      </w:r>
      <w:r w:rsidRPr="00BF6615">
        <w:rPr>
          <w:rFonts w:cstheme="minorHAnsi"/>
        </w:rPr>
        <w:lastRenderedPageBreak/>
        <w:t>niego niewygodne i nużące, ponieważ brakowało wyraźnej struktury: „Strony były niewygodne w poruszaniu, były nieintuicyjne. Brakowało, żeby były dostosowane do użytkowania przez osoby niewidome” – stwierdził, podsumowując swoje doświadczenia z testowania.</w:t>
      </w:r>
    </w:p>
    <w:p w14:paraId="4C4315D8" w14:textId="77777777" w:rsidR="00B13433" w:rsidRPr="00BF6615" w:rsidRDefault="00B13433" w:rsidP="007E26B5">
      <w:pPr>
        <w:spacing w:after="160"/>
        <w:rPr>
          <w:rFonts w:cstheme="minorHAnsi"/>
        </w:rPr>
      </w:pPr>
      <w:r w:rsidRPr="00BF6615">
        <w:rPr>
          <w:rFonts w:cstheme="minorHAnsi"/>
        </w:rPr>
        <w:t>Mimo trudności, część osób zauważyła pozytywne aspekty niektórych stron/aplikacji – np. portal podatkowy oceniono jako względnie uporządkowany, a aplikacja zdrowotna została pochwalona za przydatność (pomimo braków w dostępności, użytkownicy dostrzegali wartość jej funkcji). Ogólny wydźwięk opinii był jednak krytyczny: osoby niewidome oczekują od stron/aplikacji publicznych znacznie lepszego dostosowania do swoich potrzeb. Wielu z nich zaznaczyło, że obecnie korzystanie z badanych stron jest możliwe tylko przy dużej dozie cierpliwości i determinacji. Uczestnicy wyrazili nadzieję, że wskazane przez nich problemy zostaną szybko naprawione, ponieważ poprawa dostępności bezpośrednio przełoży się na ich samodzielność w załatwianiu codziennych spraw przez Internet.</w:t>
      </w:r>
    </w:p>
    <w:p w14:paraId="44A9DE67" w14:textId="5E813529" w:rsidR="00B13433" w:rsidRPr="007C154D" w:rsidRDefault="00B13433" w:rsidP="00B271C3">
      <w:pPr>
        <w:pStyle w:val="Nagwek4"/>
        <w:rPr>
          <w:bCs/>
        </w:rPr>
      </w:pPr>
      <w:r w:rsidRPr="007C154D">
        <w:rPr>
          <w:bCs/>
        </w:rPr>
        <w:t xml:space="preserve">Podsumowanie </w:t>
      </w:r>
      <w:r w:rsidRPr="00B271C3">
        <w:rPr>
          <w:rStyle w:val="Nagwek4Znak"/>
          <w:b/>
        </w:rPr>
        <w:t>testów</w:t>
      </w:r>
    </w:p>
    <w:p w14:paraId="43C5F494" w14:textId="77777777" w:rsidR="00B13433" w:rsidRPr="00BF6615" w:rsidRDefault="00B13433" w:rsidP="007E26B5">
      <w:pPr>
        <w:spacing w:after="160"/>
        <w:rPr>
          <w:rFonts w:cstheme="minorHAnsi"/>
        </w:rPr>
      </w:pPr>
      <w:r w:rsidRPr="00BF6615">
        <w:rPr>
          <w:rFonts w:cstheme="minorHAnsi"/>
        </w:rPr>
        <w:t xml:space="preserve">Osoby niewidome napotkały liczne trudności podczas testów dostępności stron/aplikacji internetowych i aplikacji mobilnych podmiotów publicznych. Największe problemy dotyczyły braku opisów elementów graficznych, nieprzystosowanej nawigacji oraz nieczytelnych formularzy. Użytkownicy często nie mogli zrozumieć znaczenia obrazków i ikon (które pozbawione były tekstu alternatywnego), mieli problemy z odnalezieniem potrzebnych informacji w gąszczu nieuporządkowanych treści i nie byli w stanie poprawnie obsłużyć niektórych funkcji (np. wysłanie formularza było niemożliwe bez odpowiednich podpowiedzi). W efekcie wiele zadań zajmowało osobom niewidomym znacznie więcej czasu niż powinno – musiały stosować różne strategie omijania barier, jak choćby metodę prób i błędów. Najbardziej frustrujące okazały się elementy interfejsu, które nie dawały żadnej informacji zwrotnej (np. brak reakcji po naciśnięciu przycisku czy brak komunikatu o błędzie) – w takich sytuacjach użytkownicy czuli się zagubieni i niepewni, czy w ogóle mogą kontynuować zadanie. Część osób przyznała, że gdyby nie udział w zorganizowanym teście, prawdopodobnie zrezygnowałaby z korzystania z tak niedostępnej strony/aplikacji na wczesnym etapie. Uzyskane wyniki jednoznacznie wskazują, że obecny poziom dostępności wielu stron/aplikacji publicznych jest niewystarczający dla użytkowników niewidomych. </w:t>
      </w:r>
    </w:p>
    <w:p w14:paraId="1C449F78" w14:textId="74D9DB0A" w:rsidR="00B13433" w:rsidRPr="00B271C3" w:rsidRDefault="00B13433" w:rsidP="00B271C3">
      <w:pPr>
        <w:pStyle w:val="Nagwek4"/>
        <w:rPr>
          <w:rStyle w:val="Nagwek4Znak"/>
        </w:rPr>
      </w:pPr>
      <w:bookmarkStart w:id="75" w:name="_Toc196827590"/>
      <w:r w:rsidRPr="00B271C3">
        <w:rPr>
          <w:rStyle w:val="Nagwek4Znak"/>
          <w:b/>
        </w:rPr>
        <w:t xml:space="preserve">Hierarchia potrzeb </w:t>
      </w:r>
      <w:r w:rsidRPr="00755A4B">
        <w:rPr>
          <w:rStyle w:val="Nagwek4Znak"/>
          <w:b/>
          <w:iCs/>
        </w:rPr>
        <w:t>osób</w:t>
      </w:r>
      <w:r w:rsidRPr="00B271C3">
        <w:rPr>
          <w:rStyle w:val="Nagwek4Znak"/>
          <w:b/>
        </w:rPr>
        <w:t xml:space="preserve"> ociemniałych lub niewidomych</w:t>
      </w:r>
      <w:r w:rsidRPr="00755A4B">
        <w:rPr>
          <w:rStyle w:val="Nagwek4Znak"/>
          <w:b/>
          <w:iCs/>
        </w:rPr>
        <w:t xml:space="preserve"> w zakresie stron internetowych </w:t>
      </w:r>
      <w:r w:rsidR="000A692A" w:rsidRPr="00755A4B">
        <w:rPr>
          <w:rStyle w:val="Nagwek4Znak"/>
          <w:b/>
          <w:iCs/>
        </w:rPr>
        <w:t>i</w:t>
      </w:r>
      <w:r w:rsidR="000A692A">
        <w:rPr>
          <w:rStyle w:val="Nagwek4Znak"/>
          <w:b/>
          <w:iCs/>
        </w:rPr>
        <w:t> </w:t>
      </w:r>
      <w:r w:rsidRPr="00755A4B">
        <w:rPr>
          <w:rStyle w:val="Nagwek4Znak"/>
          <w:b/>
          <w:iCs/>
        </w:rPr>
        <w:t>aplikacji podmiotów publicznych</w:t>
      </w:r>
      <w:bookmarkEnd w:id="75"/>
      <w:r w:rsidRPr="00755A4B">
        <w:rPr>
          <w:rStyle w:val="Nagwek4Znak"/>
          <w:b/>
          <w:iCs/>
        </w:rPr>
        <w:t xml:space="preserve"> </w:t>
      </w:r>
    </w:p>
    <w:p w14:paraId="0FA67FEF" w14:textId="77777777" w:rsidR="00B13433" w:rsidRPr="00BF6615" w:rsidRDefault="00B13433">
      <w:pPr>
        <w:numPr>
          <w:ilvl w:val="0"/>
          <w:numId w:val="23"/>
        </w:numPr>
        <w:spacing w:after="0"/>
        <w:ind w:hanging="357"/>
        <w:rPr>
          <w:rFonts w:cstheme="minorHAnsi"/>
        </w:rPr>
      </w:pPr>
      <w:r w:rsidRPr="00BF6615">
        <w:rPr>
          <w:rFonts w:cstheme="minorHAnsi"/>
          <w:b/>
          <w:bCs/>
        </w:rPr>
        <w:t>Pełne wsparcie dla czytników ekranu (najwyższy priorytet)</w:t>
      </w:r>
    </w:p>
    <w:p w14:paraId="0186B64A"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Zapewnienie tekstów alternatywnych dla wszystkich obrazów, ikon i innych elementów graficznych.</w:t>
      </w:r>
    </w:p>
    <w:p w14:paraId="280BECC8"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Oznaczenie wszystkich elementów interaktywnych (przycisków, linków, pól formularza) etykietami zrozumiałymi dla czytnika ekranu.</w:t>
      </w:r>
    </w:p>
    <w:p w14:paraId="6C877B76"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Strukturyzacja zawartości za pomocą nagłówków i semantycznych znaczników HTML (role, aria-</w:t>
      </w:r>
      <w:proofErr w:type="spellStart"/>
      <w:r w:rsidRPr="00BF6615">
        <w:rPr>
          <w:rFonts w:cstheme="minorHAnsi"/>
        </w:rPr>
        <w:t>label</w:t>
      </w:r>
      <w:proofErr w:type="spellEnd"/>
      <w:r w:rsidRPr="00BF6615">
        <w:rPr>
          <w:rFonts w:cstheme="minorHAnsi"/>
        </w:rPr>
        <w:t xml:space="preserve"> itp.), tak aby czytnik mógł odczytywać stronę w logicznej kolejności.</w:t>
      </w:r>
    </w:p>
    <w:p w14:paraId="24985C29" w14:textId="77777777" w:rsidR="00B13433" w:rsidRPr="00BF6615" w:rsidRDefault="00B13433" w:rsidP="00B271C3">
      <w:pPr>
        <w:pageBreakBefore/>
        <w:numPr>
          <w:ilvl w:val="0"/>
          <w:numId w:val="23"/>
        </w:numPr>
        <w:spacing w:after="0"/>
        <w:ind w:hanging="357"/>
        <w:rPr>
          <w:rFonts w:cstheme="minorHAnsi"/>
        </w:rPr>
      </w:pPr>
      <w:r w:rsidRPr="00BF6615">
        <w:rPr>
          <w:rFonts w:cstheme="minorHAnsi"/>
          <w:b/>
          <w:bCs/>
        </w:rPr>
        <w:lastRenderedPageBreak/>
        <w:t>Prosta i spójna nawigacja po stronie/aplikacji</w:t>
      </w:r>
    </w:p>
    <w:p w14:paraId="04145D8D"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Uproszczenie menu – unikanie nadmiernie zagnieżdżonych struktur, ograniczenie liczby opcji jednocześnie.</w:t>
      </w:r>
    </w:p>
    <w:p w14:paraId="1C5596BC"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Zapewnienie stałych punktów nawigacyjnych: widoczny link „Przejdź do głównej treści”, łatwo dostępna wyszukiwarka lub mapa strony na każdej podstronie.</w:t>
      </w:r>
    </w:p>
    <w:p w14:paraId="1A8459BB"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Intuicyjne mechanizmy poruszania się po stronie/aplikacji pozwalające szybko zorientować się, gdzie użytkownik się znajduje.</w:t>
      </w:r>
    </w:p>
    <w:p w14:paraId="62730D95" w14:textId="77777777" w:rsidR="00B13433" w:rsidRPr="00BF6615" w:rsidRDefault="00B13433">
      <w:pPr>
        <w:numPr>
          <w:ilvl w:val="0"/>
          <w:numId w:val="23"/>
        </w:numPr>
        <w:spacing w:after="0"/>
        <w:ind w:hanging="357"/>
        <w:rPr>
          <w:rFonts w:cstheme="minorHAnsi"/>
        </w:rPr>
      </w:pPr>
      <w:r w:rsidRPr="00BF6615">
        <w:rPr>
          <w:rFonts w:cstheme="minorHAnsi"/>
          <w:b/>
          <w:bCs/>
        </w:rPr>
        <w:t>Czytelne i dostępne formularze</w:t>
      </w:r>
    </w:p>
    <w:p w14:paraId="72DD053C"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Jasne etykiety i instrukcje przy polach formularzy (np. format daty, liczba znaków hasła) dostępne dla technologii asystujących.</w:t>
      </w:r>
    </w:p>
    <w:p w14:paraId="241ED585"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Proste komunikaty o błędach – informujące, które pole wymaga poprawy, napisane zrozumiałym językiem (np. „Proszę podać poprawny numer PESEL” zamiast ogólnego „błąd danych”).</w:t>
      </w:r>
    </w:p>
    <w:p w14:paraId="4DF21992"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Możliwość wypełnienia i przesłania formularza wyłącznie za pomocą klawiatury; wyraźne potwierdzenie po poprawnym przesłaniu (komunikat o sukcesie).</w:t>
      </w:r>
    </w:p>
    <w:p w14:paraId="5BCBD01A" w14:textId="77777777" w:rsidR="00B13433" w:rsidRPr="00BF6615" w:rsidRDefault="00B13433">
      <w:pPr>
        <w:numPr>
          <w:ilvl w:val="0"/>
          <w:numId w:val="23"/>
        </w:numPr>
        <w:spacing w:after="0"/>
        <w:ind w:hanging="357"/>
        <w:rPr>
          <w:rFonts w:cstheme="minorHAnsi"/>
        </w:rPr>
      </w:pPr>
      <w:r w:rsidRPr="00BF6615">
        <w:rPr>
          <w:rFonts w:cstheme="minorHAnsi"/>
          <w:b/>
          <w:bCs/>
        </w:rPr>
        <w:t>Dostępność materiałów multimedialnych</w:t>
      </w:r>
    </w:p>
    <w:p w14:paraId="34FB5C06"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Zapewnienie napisów lub transkrypcji do materiałów wideo zawierających istotne informacje werbalne (dla użytkowników i użytkowniczek niesłyszących – co pośrednio pomaga też osobom korzystającym z czytnika, gdyż mogą odczytać napisy).</w:t>
      </w:r>
    </w:p>
    <w:p w14:paraId="2A061F35"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Udostępnienie audiodeskrypcji lub opisów tekstowych do materiałów wideo prezentujących istotne treści wizualne.</w:t>
      </w:r>
    </w:p>
    <w:p w14:paraId="47E8039A"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 xml:space="preserve">Publikowanie dokumentów do pobrania w formatach dostępnych cyfrowo (np. PDF z </w:t>
      </w:r>
      <w:proofErr w:type="spellStart"/>
      <w:r w:rsidRPr="00BF6615">
        <w:rPr>
          <w:rFonts w:cstheme="minorHAnsi"/>
        </w:rPr>
        <w:t>tagowaniem</w:t>
      </w:r>
      <w:proofErr w:type="spellEnd"/>
      <w:r w:rsidRPr="00BF6615">
        <w:rPr>
          <w:rFonts w:cstheme="minorHAnsi"/>
        </w:rPr>
        <w:t xml:space="preserve"> tekstu) lub oferowanie alternatywy (wersja HTML/tekstowa).</w:t>
      </w:r>
    </w:p>
    <w:p w14:paraId="2ADF127F" w14:textId="77777777" w:rsidR="00B13433" w:rsidRPr="00BF6615" w:rsidRDefault="00B13433">
      <w:pPr>
        <w:numPr>
          <w:ilvl w:val="0"/>
          <w:numId w:val="23"/>
        </w:numPr>
        <w:spacing w:after="0"/>
        <w:ind w:hanging="357"/>
        <w:rPr>
          <w:rFonts w:cstheme="minorHAnsi"/>
        </w:rPr>
      </w:pPr>
      <w:r w:rsidRPr="00BF6615">
        <w:rPr>
          <w:rFonts w:cstheme="minorHAnsi"/>
          <w:b/>
          <w:bCs/>
        </w:rPr>
        <w:t>Czytelne komunikaty i powiadomienia systemowe</w:t>
      </w:r>
    </w:p>
    <w:p w14:paraId="4AD56D06"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Informowanie użytkownika o rezultacie podjętej akcji – np. wyświetlenie komunikatu „Twoja wiadomość została wysłana” po wysłaniu formularza kontaktowego.</w:t>
      </w:r>
    </w:p>
    <w:p w14:paraId="78C465AE"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Ostrzeganie przed niespodziewanymi zmianami kontekstu: jeśli link otwiera nowe okno lub przekierowuje na zewnętrzną stronę, użytkownik powinien usłyszeć taką informację.</w:t>
      </w:r>
    </w:p>
    <w:p w14:paraId="217DB0A2"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Jasne wskazówki „co dalej” po wykonaniu danej operacji, tak aby użytkownik nie pozostawał w niepewności (np. po rejestracji konta komunikat o konieczności sprawdzenia e-maila w celu aktywacji).</w:t>
      </w:r>
    </w:p>
    <w:p w14:paraId="6DEE0A65" w14:textId="77777777" w:rsidR="00B13433" w:rsidRPr="00BF6615" w:rsidRDefault="00B13433">
      <w:pPr>
        <w:numPr>
          <w:ilvl w:val="0"/>
          <w:numId w:val="23"/>
        </w:numPr>
        <w:spacing w:after="0"/>
        <w:ind w:hanging="357"/>
        <w:rPr>
          <w:rFonts w:cstheme="minorHAnsi"/>
        </w:rPr>
      </w:pPr>
      <w:r w:rsidRPr="00BF6615">
        <w:rPr>
          <w:rFonts w:cstheme="minorHAnsi"/>
          <w:b/>
          <w:bCs/>
        </w:rPr>
        <w:t>Personalizacja i alternatywne metody dostępu</w:t>
      </w:r>
    </w:p>
    <w:p w14:paraId="6011B2D6"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Możliwość logowania i uwierzytelniania za pomocą metod biometrycznych lub zewnętrznych, co ułatwia osobom niewidomym szybki dostęp bez konieczności mozolnego wpisywania długich haseł.</w:t>
      </w:r>
    </w:p>
    <w:p w14:paraId="2206962F" w14:textId="77777777" w:rsidR="00B13433" w:rsidRPr="00BF6615" w:rsidRDefault="00B13433">
      <w:pPr>
        <w:numPr>
          <w:ilvl w:val="1"/>
          <w:numId w:val="23"/>
        </w:numPr>
        <w:tabs>
          <w:tab w:val="num" w:pos="1440"/>
        </w:tabs>
        <w:spacing w:after="0"/>
        <w:ind w:hanging="357"/>
        <w:rPr>
          <w:rFonts w:cstheme="minorHAnsi"/>
        </w:rPr>
      </w:pPr>
      <w:r w:rsidRPr="00BF6615">
        <w:rPr>
          <w:rFonts w:cstheme="minorHAnsi"/>
        </w:rPr>
        <w:t>Integracja z asystentami głosowymi i funkcjami ułatwień dostępu urządzeń.</w:t>
      </w:r>
    </w:p>
    <w:p w14:paraId="71BC45C3" w14:textId="77777777" w:rsidR="00B13433" w:rsidRPr="00BF6615" w:rsidRDefault="00B13433" w:rsidP="007E26B5">
      <w:pPr>
        <w:spacing w:after="160"/>
        <w:rPr>
          <w:rFonts w:eastAsiaTheme="majorEastAsia" w:cstheme="minorHAnsi"/>
          <w:b/>
          <w:bCs/>
          <w:color w:val="000000" w:themeColor="text1"/>
          <w:sz w:val="28"/>
          <w:szCs w:val="28"/>
        </w:rPr>
      </w:pPr>
      <w:r w:rsidRPr="00BF6615">
        <w:rPr>
          <w:rFonts w:cstheme="minorHAnsi"/>
        </w:rPr>
        <w:br w:type="page"/>
      </w:r>
    </w:p>
    <w:p w14:paraId="5ECD4EFC" w14:textId="575999DB" w:rsidR="00B13433" w:rsidRPr="00BF6615" w:rsidRDefault="00B13433">
      <w:pPr>
        <w:pStyle w:val="Nagwek3"/>
        <w:numPr>
          <w:ilvl w:val="1"/>
          <w:numId w:val="6"/>
        </w:numPr>
      </w:pPr>
      <w:bookmarkStart w:id="76" w:name="_Toc196827591"/>
      <w:bookmarkStart w:id="77" w:name="_Toc204179233"/>
      <w:r w:rsidRPr="00BF6615">
        <w:lastRenderedPageBreak/>
        <w:t>Osoby słabowidzące</w:t>
      </w:r>
      <w:bookmarkEnd w:id="76"/>
      <w:bookmarkEnd w:id="77"/>
    </w:p>
    <w:p w14:paraId="055C1136" w14:textId="77777777" w:rsidR="00B13433" w:rsidRPr="00BF6615" w:rsidRDefault="00B13433" w:rsidP="00B271C3">
      <w:pPr>
        <w:pStyle w:val="Nagwek4"/>
      </w:pPr>
      <w:bookmarkStart w:id="78" w:name="_Toc196827592"/>
      <w:r w:rsidRPr="00B271C3">
        <w:rPr>
          <w:rStyle w:val="Nagwek4Znak"/>
          <w:b/>
        </w:rPr>
        <w:t>Wprowadzenie</w:t>
      </w:r>
      <w:bookmarkEnd w:id="78"/>
    </w:p>
    <w:p w14:paraId="380CFB2A" w14:textId="4574EA0C" w:rsidR="00B13433" w:rsidRPr="00BF6615" w:rsidRDefault="00B13433" w:rsidP="007E26B5">
      <w:pPr>
        <w:spacing w:after="160"/>
        <w:rPr>
          <w:rFonts w:cstheme="minorHAnsi"/>
        </w:rPr>
      </w:pPr>
      <w:r w:rsidRPr="00BF6615">
        <w:rPr>
          <w:rFonts w:cstheme="minorHAnsi"/>
        </w:rPr>
        <w:t>Osoby słabowidzące napotkały szereg problemów podczas testów dostępności stron/aplikacji publicznych. Największe trudności dotyczyły zbyt małej czcionki i niskiego kontrastu elementów na stronie, co utrudniało odczytanie treści. „Małe czcionki i małe przerwy między linijkami</w:t>
      </w:r>
      <w:r w:rsidR="00D024E8">
        <w:rPr>
          <w:rFonts w:cstheme="minorHAnsi"/>
        </w:rPr>
        <w:t>.</w:t>
      </w:r>
      <w:r w:rsidRPr="00BF6615">
        <w:rPr>
          <w:rFonts w:cstheme="minorHAnsi"/>
        </w:rPr>
        <w:t>. słowa się zlewają” – zauważył jeden z badanych, opisując problem z czytelnością tekstu. Dodatkowo zwracano uwagę na jasne tło bez opcji zmiany na tryb ciemny, które powodowało zmęczenie wzroku. Konieczność znacznego powiększania strony często skutkowała rozjeżdżaniem się układu lub ukrywaniem części treści. Utrudniało to orientację na stronie i zmuszało do częstego przewijania. Problemy pojawiały się także przy nawigacji – małe przyciski i elementy interfejsu były trudne do kliknięcia, a rozwijane menu znikało, gdy tylko kursorem nieznacznie wyjechano poza jego obszar.</w:t>
      </w:r>
    </w:p>
    <w:p w14:paraId="650C5D16" w14:textId="77777777" w:rsidR="00B13433" w:rsidRPr="00BF6615" w:rsidRDefault="00B13433" w:rsidP="007E26B5">
      <w:pPr>
        <w:spacing w:after="160"/>
        <w:rPr>
          <w:rFonts w:cstheme="minorHAnsi"/>
        </w:rPr>
      </w:pPr>
      <w:r w:rsidRPr="00BF6615">
        <w:rPr>
          <w:rFonts w:cstheme="minorHAnsi"/>
        </w:rPr>
        <w:t>Żaden z użytkowników nie korzystał podczas testów z zaawansowanych technologii asystujących, poza podstawowymi funkcjami powiększania obrazu. Wszystkie działania podejmowali przy użyciu standardowej przeglądarki (w jednym przypadku z użyciem lupy systemowej w środowisku Windows). Mimo to, wielu elementów stron nie byli w stanie obsłużyć w pełni samodzielnie ze względu na ograniczoną widoczność treści.</w:t>
      </w:r>
    </w:p>
    <w:p w14:paraId="265C053D" w14:textId="77777777" w:rsidR="00B13433" w:rsidRPr="00BF6615" w:rsidRDefault="00B13433" w:rsidP="007E26B5">
      <w:pPr>
        <w:rPr>
          <w:rFonts w:cstheme="minorHAnsi"/>
        </w:rPr>
      </w:pPr>
      <w:r w:rsidRPr="00BF6615">
        <w:rPr>
          <w:rFonts w:cstheme="minorHAnsi"/>
        </w:rPr>
        <w:t>Najczęstsze problemy wskazane przez osoby słabowidzące dotyczyły:</w:t>
      </w:r>
    </w:p>
    <w:p w14:paraId="3341AC62" w14:textId="77777777" w:rsidR="00B13433" w:rsidRPr="00BF6615" w:rsidRDefault="00B13433">
      <w:pPr>
        <w:pStyle w:val="Akapitzlist"/>
        <w:numPr>
          <w:ilvl w:val="0"/>
          <w:numId w:val="42"/>
        </w:numPr>
        <w:rPr>
          <w:rFonts w:cstheme="minorHAnsi"/>
        </w:rPr>
      </w:pPr>
      <w:r w:rsidRPr="00BF6615">
        <w:rPr>
          <w:rFonts w:cstheme="minorHAnsi"/>
        </w:rPr>
        <w:t>Zbyt małej czcionki i skalowania tekstu.</w:t>
      </w:r>
    </w:p>
    <w:p w14:paraId="797F006B" w14:textId="77777777" w:rsidR="00B13433" w:rsidRPr="00BF6615" w:rsidRDefault="00B13433">
      <w:pPr>
        <w:pStyle w:val="Akapitzlist"/>
        <w:numPr>
          <w:ilvl w:val="0"/>
          <w:numId w:val="42"/>
        </w:numPr>
        <w:rPr>
          <w:rFonts w:cstheme="minorHAnsi"/>
        </w:rPr>
      </w:pPr>
      <w:r w:rsidRPr="00BF6615">
        <w:rPr>
          <w:rFonts w:cstheme="minorHAnsi"/>
        </w:rPr>
        <w:t>Niewystarczającego kontrastu.</w:t>
      </w:r>
    </w:p>
    <w:p w14:paraId="183FFA64" w14:textId="77777777" w:rsidR="00B13433" w:rsidRPr="00BF6615" w:rsidRDefault="00B13433">
      <w:pPr>
        <w:pStyle w:val="Akapitzlist"/>
        <w:numPr>
          <w:ilvl w:val="0"/>
          <w:numId w:val="42"/>
        </w:numPr>
        <w:rPr>
          <w:rFonts w:cstheme="minorHAnsi"/>
        </w:rPr>
      </w:pPr>
      <w:r w:rsidRPr="00BF6615">
        <w:rPr>
          <w:rFonts w:cstheme="minorHAnsi"/>
        </w:rPr>
        <w:t>Nieintuicyjnej nawigacji.</w:t>
      </w:r>
    </w:p>
    <w:p w14:paraId="697588FF" w14:textId="77777777" w:rsidR="00B13433" w:rsidRPr="00BF6615" w:rsidRDefault="00B13433">
      <w:pPr>
        <w:pStyle w:val="Akapitzlist"/>
        <w:numPr>
          <w:ilvl w:val="0"/>
          <w:numId w:val="42"/>
        </w:numPr>
        <w:rPr>
          <w:rFonts w:cstheme="minorHAnsi"/>
        </w:rPr>
      </w:pPr>
      <w:r w:rsidRPr="00BF6615">
        <w:rPr>
          <w:rFonts w:cstheme="minorHAnsi"/>
        </w:rPr>
        <w:t>Problematycznych formularzy.</w:t>
      </w:r>
    </w:p>
    <w:p w14:paraId="5D158117" w14:textId="77777777" w:rsidR="00B13433" w:rsidRPr="00BF6615" w:rsidRDefault="00B13433">
      <w:pPr>
        <w:pStyle w:val="Akapitzlist"/>
        <w:numPr>
          <w:ilvl w:val="0"/>
          <w:numId w:val="42"/>
        </w:numPr>
        <w:rPr>
          <w:rFonts w:cstheme="minorHAnsi"/>
        </w:rPr>
      </w:pPr>
      <w:r w:rsidRPr="00BF6615">
        <w:rPr>
          <w:rFonts w:cstheme="minorHAnsi"/>
        </w:rPr>
        <w:t>Nieczytelnych komunikatów o błędach.</w:t>
      </w:r>
    </w:p>
    <w:p w14:paraId="5D7AE0FB" w14:textId="77777777" w:rsidR="00003348" w:rsidRPr="00BF6615" w:rsidRDefault="00003348" w:rsidP="00B271C3">
      <w:bookmarkStart w:id="79" w:name="_Toc196827593"/>
      <w:r>
        <w:t xml:space="preserve">Poniżej przedstawiono szczegółowe omówienie przeprowadzonych testów. </w:t>
      </w:r>
    </w:p>
    <w:bookmarkEnd w:id="79"/>
    <w:p w14:paraId="1449C818" w14:textId="242E9B86" w:rsidR="00B13433" w:rsidRPr="007C154D" w:rsidRDefault="00B13433" w:rsidP="00B271C3">
      <w:pPr>
        <w:pStyle w:val="Nagwek4"/>
        <w:rPr>
          <w:bCs/>
        </w:rPr>
      </w:pPr>
      <w:r w:rsidRPr="007C154D">
        <w:rPr>
          <w:bCs/>
        </w:rPr>
        <w:t xml:space="preserve">Problemy według rodzajów </w:t>
      </w:r>
      <w:r w:rsidRPr="00B271C3">
        <w:rPr>
          <w:rStyle w:val="Nagwek4Znak"/>
          <w:b/>
        </w:rPr>
        <w:t>testowanych</w:t>
      </w:r>
      <w:r w:rsidRPr="007C154D">
        <w:rPr>
          <w:bCs/>
        </w:rPr>
        <w:t xml:space="preserve"> stron i aplikacji podmiotów publicznych</w:t>
      </w:r>
    </w:p>
    <w:p w14:paraId="6D8DED4C" w14:textId="77777777" w:rsidR="00B13433" w:rsidRPr="00BF6615" w:rsidRDefault="00B13433" w:rsidP="007E26B5">
      <w:pPr>
        <w:spacing w:after="160"/>
        <w:rPr>
          <w:rFonts w:cstheme="minorHAnsi"/>
        </w:rPr>
      </w:pPr>
      <w:r w:rsidRPr="00BF6615">
        <w:rPr>
          <w:rFonts w:cstheme="minorHAnsi"/>
        </w:rPr>
        <w:t>Grupa osób słabowidzących testowała aplikację ostrzegawczą, strony służby zdrowia, strony i aplikacje samorządowe, strony i aplikacje kultury i sportu. Podczas testów użytkownicy napotkali następujące trudności:</w:t>
      </w:r>
    </w:p>
    <w:p w14:paraId="78D57FBB" w14:textId="45E053E6" w:rsidR="00B13433" w:rsidRPr="00BF6615" w:rsidRDefault="00B13433">
      <w:pPr>
        <w:pStyle w:val="Akapitzlist"/>
        <w:numPr>
          <w:ilvl w:val="0"/>
          <w:numId w:val="25"/>
        </w:numPr>
        <w:rPr>
          <w:rFonts w:cstheme="minorHAnsi"/>
        </w:rPr>
      </w:pPr>
      <w:r w:rsidRPr="00BF6615">
        <w:rPr>
          <w:rFonts w:cstheme="minorHAnsi"/>
        </w:rPr>
        <w:t xml:space="preserve">aplikacja ostrzegawcza – brak opcji dostosowania wyglądu aplikacji do potrzeb wzrokowych (np. brak trybu wysokiego kontrastu lub ciemnego tła), mała czcionka </w:t>
      </w:r>
      <w:r w:rsidR="000A692A" w:rsidRPr="00BF6615">
        <w:rPr>
          <w:rFonts w:cstheme="minorHAnsi"/>
        </w:rPr>
        <w:t>w</w:t>
      </w:r>
      <w:r w:rsidR="000A692A">
        <w:rPr>
          <w:rFonts w:cstheme="minorHAnsi"/>
        </w:rPr>
        <w:t> </w:t>
      </w:r>
      <w:r w:rsidRPr="00BF6615">
        <w:rPr>
          <w:rFonts w:cstheme="minorHAnsi"/>
        </w:rPr>
        <w:t>aplikacji utrudniająca odczyt alertów, problemy z interpretacją komunikatów w sytuacji stresu (konieczność szybkiego zrozumienia alertu).</w:t>
      </w:r>
    </w:p>
    <w:p w14:paraId="31922457" w14:textId="77777777" w:rsidR="00B13433" w:rsidRPr="00BF6615" w:rsidRDefault="00B13433">
      <w:pPr>
        <w:pStyle w:val="Akapitzlist"/>
        <w:numPr>
          <w:ilvl w:val="0"/>
          <w:numId w:val="25"/>
        </w:numPr>
        <w:rPr>
          <w:rFonts w:cstheme="minorHAnsi"/>
        </w:rPr>
      </w:pPr>
      <w:r w:rsidRPr="00BF6615">
        <w:rPr>
          <w:rFonts w:cstheme="minorHAnsi"/>
        </w:rPr>
        <w:t>strony służby zdrowia – trudność w odnalezieniu potrzebnych informacji medycznych na stronach bogatych w treść, brak interaktywnych formularzy (np. konieczność pobrania niedostępnego PDF zamiast możliwości wypełnienia online), mało czytelne instrukcje rejestracji wizyty.</w:t>
      </w:r>
    </w:p>
    <w:p w14:paraId="4E88FDBD" w14:textId="77777777" w:rsidR="00B13433" w:rsidRPr="00BF6615" w:rsidRDefault="00B13433">
      <w:pPr>
        <w:pStyle w:val="Akapitzlist"/>
        <w:numPr>
          <w:ilvl w:val="0"/>
          <w:numId w:val="25"/>
        </w:numPr>
        <w:rPr>
          <w:rFonts w:cstheme="minorHAnsi"/>
        </w:rPr>
      </w:pPr>
      <w:r w:rsidRPr="00BF6615">
        <w:rPr>
          <w:rFonts w:cstheme="minorHAnsi"/>
        </w:rPr>
        <w:t>strony/aplikacje samorządowe – złożona struktura stron, mało przejrzysty układ treści wymuszający częste przewijanie przy powiększeniu, trudności w wypełnianiu wniosków online ze względu na drobny druk i niewyraźne oznaczenia pól.</w:t>
      </w:r>
    </w:p>
    <w:p w14:paraId="787B1738" w14:textId="77777777" w:rsidR="00B13433" w:rsidRPr="00BF6615" w:rsidRDefault="00B13433">
      <w:pPr>
        <w:pStyle w:val="Akapitzlist"/>
        <w:numPr>
          <w:ilvl w:val="0"/>
          <w:numId w:val="25"/>
        </w:numPr>
        <w:rPr>
          <w:rFonts w:cstheme="minorHAnsi"/>
        </w:rPr>
      </w:pPr>
      <w:r w:rsidRPr="00BF6615">
        <w:rPr>
          <w:rFonts w:cstheme="minorHAnsi"/>
        </w:rPr>
        <w:lastRenderedPageBreak/>
        <w:t>strony kultury i sportu – problem ze znalezieniem informacji o wydarzeniach (kalendarium wydarzeń bywało nieczytelne przy powiększeniu), brak wyraźnych informacji o rezerwacji biletów (np. mało kontrastowe przyciski zakupu), w aplikacji turystycznej trudność ze zlokalizowaniem atrakcji na mapie.</w:t>
      </w:r>
    </w:p>
    <w:p w14:paraId="2536BE33" w14:textId="77777777" w:rsidR="00B13433" w:rsidRPr="00BF6615" w:rsidRDefault="00B13433" w:rsidP="007E26B5">
      <w:pPr>
        <w:rPr>
          <w:rFonts w:cstheme="minorHAnsi"/>
        </w:rPr>
      </w:pPr>
      <w:r w:rsidRPr="00BF6615">
        <w:rPr>
          <w:rFonts w:cstheme="minorHAnsi"/>
        </w:rPr>
        <w:t>Największe problemy użytkownicy napotkali przy realizacji zadań w aplikacji ostrzegawczej, natomiast najmniejsze trudności dotyczyły stron/aplikacji kultury i sportu.</w:t>
      </w:r>
    </w:p>
    <w:p w14:paraId="402B71EF" w14:textId="77777777" w:rsidR="00B13433" w:rsidRPr="00BF6615" w:rsidRDefault="00B13433" w:rsidP="007E26B5">
      <w:pPr>
        <w:rPr>
          <w:rFonts w:cstheme="minorHAnsi"/>
        </w:rPr>
      </w:pPr>
      <w:r w:rsidRPr="00BF6615">
        <w:rPr>
          <w:rFonts w:cstheme="minorHAnsi"/>
        </w:rPr>
        <w:t>Poniżej przedstawiono porównanie ogólnego poziomu realizacji zadań w poszczególnych grupach testowanych stron/aplikacji.</w:t>
      </w:r>
    </w:p>
    <w:p w14:paraId="5DBEBBA2" w14:textId="5501F9E1" w:rsidR="00B13433" w:rsidRPr="00BF6615" w:rsidRDefault="00B13433" w:rsidP="007E26B5">
      <w:pPr>
        <w:pStyle w:val="Legenda"/>
        <w:spacing w:line="276" w:lineRule="auto"/>
        <w:rPr>
          <w:rFonts w:cstheme="minorHAnsi"/>
        </w:rPr>
      </w:pPr>
      <w:bookmarkStart w:id="80" w:name="_Toc196335291"/>
      <w:bookmarkStart w:id="81" w:name="_Toc204179149"/>
      <w:r w:rsidRPr="00BF6615">
        <w:rPr>
          <w:rFonts w:cstheme="minorHAnsi"/>
        </w:rPr>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3</w:t>
      </w:r>
      <w:r w:rsidRPr="00BF6615">
        <w:rPr>
          <w:rFonts w:cstheme="minorHAnsi"/>
        </w:rPr>
        <w:fldChar w:fldCharType="end"/>
      </w:r>
      <w:r w:rsidR="000110ED">
        <w:rPr>
          <w:rFonts w:cstheme="minorHAnsi"/>
        </w:rPr>
        <w:t>.</w:t>
      </w:r>
      <w:r w:rsidRPr="00BF6615">
        <w:rPr>
          <w:rFonts w:cstheme="minorHAnsi"/>
        </w:rPr>
        <w:t xml:space="preserve"> Poziom realizacji zadań według rodzajów stron i aplikacji (średnia ocen w skali </w:t>
      </w:r>
      <w:r w:rsidR="000A692A">
        <w:rPr>
          <w:rFonts w:cstheme="minorHAnsi"/>
        </w:rPr>
        <w:br/>
      </w:r>
      <w:r w:rsidRPr="00BF6615">
        <w:rPr>
          <w:rFonts w:cstheme="minorHAnsi"/>
        </w:rPr>
        <w:t>1–5) (osoby słabowidzące)</w:t>
      </w:r>
      <w:bookmarkEnd w:id="80"/>
      <w:bookmarkEnd w:id="81"/>
    </w:p>
    <w:p w14:paraId="6C952F8E" w14:textId="77777777" w:rsidR="00B13433" w:rsidRPr="00BF6615" w:rsidRDefault="00B13433" w:rsidP="007E26B5">
      <w:pPr>
        <w:rPr>
          <w:rFonts w:cstheme="minorHAnsi"/>
        </w:rPr>
      </w:pPr>
      <w:r w:rsidRPr="00BF6615">
        <w:rPr>
          <w:rFonts w:cstheme="minorHAnsi"/>
          <w:noProof/>
          <w:lang w:eastAsia="pl-PL"/>
        </w:rPr>
        <w:drawing>
          <wp:inline distT="0" distB="0" distL="0" distR="0" wp14:anchorId="16ECEB5D" wp14:editId="1435B627">
            <wp:extent cx="5866646" cy="2876550"/>
            <wp:effectExtent l="0" t="0" r="1270" b="0"/>
            <wp:docPr id="589610381" name="Wykres 1" descr="Kategoria serwisów Średni poziom trudności&#10;Serwis ostrzegawczy i ratunkowe 3&#10;Serwisy służby zdrowia 3,3&#10;Serwisy samorządowe 3,8&#10;Serwisy kultury i sportu 4,2&#10;">
              <a:extLst xmlns:a="http://schemas.openxmlformats.org/drawingml/2006/main">
                <a:ext uri="{FF2B5EF4-FFF2-40B4-BE49-F238E27FC236}">
                  <a16:creationId xmlns:a16="http://schemas.microsoft.com/office/drawing/2014/main" id="{56DC2024-8C85-4CD4-B0F9-503EB8B88C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4E3CD1" w14:textId="77777777" w:rsidR="00B13433" w:rsidRPr="00BF6615" w:rsidRDefault="00B13433" w:rsidP="007E26B5">
      <w:r w:rsidRPr="00BF6615">
        <w:t>Źródło: opracowanie własne.</w:t>
      </w:r>
    </w:p>
    <w:p w14:paraId="7E7FFCDB" w14:textId="47F7E567" w:rsidR="00B13433" w:rsidRPr="009429ED" w:rsidRDefault="00B13433" w:rsidP="00B271C3">
      <w:pPr>
        <w:pStyle w:val="Nagwek4"/>
        <w:rPr>
          <w:bCs/>
        </w:rPr>
      </w:pPr>
      <w:r w:rsidRPr="009429ED">
        <w:rPr>
          <w:bCs/>
        </w:rPr>
        <w:t xml:space="preserve">Problemy i bariery </w:t>
      </w:r>
      <w:r w:rsidRPr="00B271C3">
        <w:rPr>
          <w:rStyle w:val="Nagwek4Znak"/>
          <w:b/>
        </w:rPr>
        <w:t>napotkane</w:t>
      </w:r>
      <w:r w:rsidRPr="009429ED">
        <w:rPr>
          <w:bCs/>
        </w:rPr>
        <w:t xml:space="preserve"> podczas testów</w:t>
      </w:r>
    </w:p>
    <w:p w14:paraId="0F146316" w14:textId="77777777" w:rsidR="00B13433" w:rsidRPr="00BF6615" w:rsidRDefault="00B13433" w:rsidP="007E26B5">
      <w:pPr>
        <w:spacing w:after="160"/>
        <w:rPr>
          <w:rFonts w:cstheme="minorHAnsi"/>
        </w:rPr>
      </w:pPr>
      <w:r w:rsidRPr="00BF6615">
        <w:rPr>
          <w:rFonts w:cstheme="minorHAnsi"/>
        </w:rPr>
        <w:t>Najczęściej zgłaszane problemy obejmowały następujące kwestie (w nawiasach podano liczbę ich wystąpień podczas wszystkich testów):</w:t>
      </w:r>
    </w:p>
    <w:p w14:paraId="1C29EA7B" w14:textId="77777777" w:rsidR="00B13433" w:rsidRPr="00BF6615" w:rsidRDefault="00B13433">
      <w:pPr>
        <w:numPr>
          <w:ilvl w:val="0"/>
          <w:numId w:val="27"/>
        </w:numPr>
        <w:spacing w:after="160"/>
        <w:rPr>
          <w:rFonts w:cstheme="minorHAnsi"/>
        </w:rPr>
      </w:pPr>
      <w:r w:rsidRPr="00BF6615">
        <w:rPr>
          <w:rFonts w:cstheme="minorHAnsi"/>
          <w:b/>
          <w:bCs/>
        </w:rPr>
        <w:t>Zbyt mała czcionka, trudności ze skalowaniem tekstu</w:t>
      </w:r>
      <w:r w:rsidRPr="00BF6615">
        <w:rPr>
          <w:rFonts w:cstheme="minorHAnsi"/>
        </w:rPr>
        <w:t xml:space="preserve"> – trudności w odczytaniu treści bez powiększania, a przy powiększeniu – rozpad układu strony (15 zgłoszeń).</w:t>
      </w:r>
    </w:p>
    <w:p w14:paraId="0F153FF6" w14:textId="77777777" w:rsidR="00B13433" w:rsidRPr="00BF6615" w:rsidRDefault="00B13433">
      <w:pPr>
        <w:numPr>
          <w:ilvl w:val="0"/>
          <w:numId w:val="27"/>
        </w:numPr>
        <w:spacing w:after="160"/>
        <w:rPr>
          <w:rFonts w:cstheme="minorHAnsi"/>
        </w:rPr>
      </w:pPr>
      <w:r w:rsidRPr="00BF6615">
        <w:rPr>
          <w:rFonts w:cstheme="minorHAnsi"/>
          <w:b/>
          <w:bCs/>
        </w:rPr>
        <w:t>Niewystarczający kontrast</w:t>
      </w:r>
      <w:r w:rsidRPr="00BF6615">
        <w:rPr>
          <w:rFonts w:cstheme="minorHAnsi"/>
        </w:rPr>
        <w:t xml:space="preserve"> – słabo widoczne teksty lub grafiki na tle o podobnej barwie, brak trybu wysokiego kontrastu lub ciemnego motywu (11 zgłoszeń).</w:t>
      </w:r>
    </w:p>
    <w:p w14:paraId="3D437A96" w14:textId="77777777" w:rsidR="00B13433" w:rsidRPr="00BF6615" w:rsidRDefault="00B13433">
      <w:pPr>
        <w:numPr>
          <w:ilvl w:val="0"/>
          <w:numId w:val="27"/>
        </w:numPr>
        <w:spacing w:after="160"/>
        <w:rPr>
          <w:rFonts w:cstheme="minorHAnsi"/>
        </w:rPr>
      </w:pPr>
      <w:r w:rsidRPr="00BF6615">
        <w:rPr>
          <w:rFonts w:cstheme="minorHAnsi"/>
          <w:b/>
          <w:bCs/>
        </w:rPr>
        <w:t>Nieintuicyjna nawigacja</w:t>
      </w:r>
      <w:r w:rsidRPr="00BF6615">
        <w:rPr>
          <w:rFonts w:cstheme="minorHAnsi"/>
        </w:rPr>
        <w:t xml:space="preserve"> – kłopoty ze znalezieniem potrzebnych informacji przy ograniczonym polu widzenia, skomplikowane menu i małe elementy interaktywne utrudniające poruszanie się po stronie (10 zgłoszeń).</w:t>
      </w:r>
    </w:p>
    <w:p w14:paraId="60C2AB80" w14:textId="77777777" w:rsidR="00B13433" w:rsidRPr="00BF6615" w:rsidRDefault="00B13433">
      <w:pPr>
        <w:numPr>
          <w:ilvl w:val="0"/>
          <w:numId w:val="27"/>
        </w:numPr>
        <w:spacing w:after="160"/>
        <w:rPr>
          <w:rFonts w:cstheme="minorHAnsi"/>
        </w:rPr>
      </w:pPr>
      <w:r w:rsidRPr="00BF6615">
        <w:rPr>
          <w:rFonts w:cstheme="minorHAnsi"/>
          <w:b/>
          <w:bCs/>
        </w:rPr>
        <w:t>Problematyczne formularze</w:t>
      </w:r>
      <w:r w:rsidRPr="00BF6615">
        <w:rPr>
          <w:rFonts w:cstheme="minorHAnsi"/>
        </w:rPr>
        <w:t xml:space="preserve"> – brak jasnych instrukcji i etykiet pól, utrudnione wprowadzanie danych (np. drobny tekst w polach) (9 zgłoszeń).</w:t>
      </w:r>
    </w:p>
    <w:p w14:paraId="273A33A1" w14:textId="77777777" w:rsidR="00B13433" w:rsidRPr="00BF6615" w:rsidRDefault="00B13433">
      <w:pPr>
        <w:numPr>
          <w:ilvl w:val="0"/>
          <w:numId w:val="27"/>
        </w:numPr>
        <w:spacing w:after="160"/>
        <w:rPr>
          <w:rFonts w:cstheme="minorHAnsi"/>
        </w:rPr>
      </w:pPr>
      <w:r w:rsidRPr="00BF6615">
        <w:rPr>
          <w:rFonts w:cstheme="minorHAnsi"/>
          <w:b/>
          <w:bCs/>
        </w:rPr>
        <w:t>Nieczytelne komunikaty o błędach</w:t>
      </w:r>
      <w:r w:rsidRPr="00BF6615">
        <w:rPr>
          <w:rFonts w:cstheme="minorHAnsi"/>
        </w:rPr>
        <w:t xml:space="preserve"> – słabo widoczne lub niezrozumiałe informacje o błędach, przez co użytkownicy nie wiedzieli, jak je poprawić (6 zgłoszeń).</w:t>
      </w:r>
    </w:p>
    <w:p w14:paraId="7EDB7110" w14:textId="1BFF0CC9" w:rsidR="00B13433" w:rsidRPr="00BF6615" w:rsidRDefault="00B13433" w:rsidP="007E26B5">
      <w:pPr>
        <w:pStyle w:val="Legenda"/>
        <w:spacing w:line="276" w:lineRule="auto"/>
        <w:rPr>
          <w:rFonts w:cstheme="minorHAnsi"/>
        </w:rPr>
      </w:pPr>
      <w:bookmarkStart w:id="82" w:name="_Toc196335292"/>
      <w:bookmarkStart w:id="83" w:name="_Toc204179150"/>
      <w:r w:rsidRPr="00BF6615">
        <w:rPr>
          <w:rFonts w:cstheme="minorHAnsi"/>
        </w:rPr>
        <w:lastRenderedPageBreak/>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4</w:t>
      </w:r>
      <w:r w:rsidRPr="00BF6615">
        <w:rPr>
          <w:rFonts w:cstheme="minorHAnsi"/>
        </w:rPr>
        <w:fldChar w:fldCharType="end"/>
      </w:r>
      <w:r w:rsidR="000110ED">
        <w:rPr>
          <w:rFonts w:cstheme="minorHAnsi"/>
        </w:rPr>
        <w:t>.</w:t>
      </w:r>
      <w:r w:rsidRPr="00BF6615">
        <w:rPr>
          <w:rFonts w:cstheme="minorHAnsi"/>
        </w:rPr>
        <w:t xml:space="preserve"> Najczęściej zgłaszane problemy na stronach i w aplikacjach </w:t>
      </w:r>
      <w:r w:rsidRPr="00BF6615">
        <w:rPr>
          <w:rFonts w:cstheme="minorHAnsi"/>
          <w:noProof/>
        </w:rPr>
        <w:t xml:space="preserve">(liczba zgłoszeń) </w:t>
      </w:r>
      <w:r w:rsidRPr="00BF6615">
        <w:rPr>
          <w:rFonts w:cstheme="minorHAnsi"/>
        </w:rPr>
        <w:t>(osoby słabowidzące)</w:t>
      </w:r>
      <w:bookmarkEnd w:id="82"/>
      <w:bookmarkEnd w:id="83"/>
    </w:p>
    <w:p w14:paraId="438D8140" w14:textId="77777777" w:rsidR="00B13433" w:rsidRPr="00BF6615" w:rsidRDefault="00B13433" w:rsidP="007E26B5">
      <w:pPr>
        <w:rPr>
          <w:rFonts w:cstheme="minorHAnsi"/>
        </w:rPr>
      </w:pPr>
      <w:r w:rsidRPr="00BF6615">
        <w:rPr>
          <w:rFonts w:cstheme="minorHAnsi"/>
          <w:noProof/>
          <w:lang w:eastAsia="pl-PL"/>
        </w:rPr>
        <w:drawing>
          <wp:inline distT="0" distB="0" distL="0" distR="0" wp14:anchorId="255A22F2" wp14:editId="5988B123">
            <wp:extent cx="6165215" cy="2888055"/>
            <wp:effectExtent l="0" t="0" r="6985" b="7620"/>
            <wp:docPr id="2050585798" name="Wykres 1" descr="Rodzaj problemu Liczba zgłoszeń&#10;Zbyt mała czcionka, trudności z powiększaniem treści 15&#10;Niewystarczający kontrast 11&#10;Nieintuicyjna nawigacja 10&#10;Niejasne instrukcje w formularzach 9&#10;Nieczytelne lub niewidoczne komunikaty o błędach 6&#10;">
              <a:extLst xmlns:a="http://schemas.openxmlformats.org/drawingml/2006/main">
                <a:ext uri="{FF2B5EF4-FFF2-40B4-BE49-F238E27FC236}">
                  <a16:creationId xmlns:a16="http://schemas.microsoft.com/office/drawing/2014/main" id="{D650E1EE-46E4-4129-B81D-8B1AD55D8A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A459A1" w14:textId="77777777" w:rsidR="00B13433" w:rsidRDefault="00B13433" w:rsidP="007E26B5">
      <w:r w:rsidRPr="00BF6615">
        <w:t>Źródło: opracowanie własne.</w:t>
      </w:r>
    </w:p>
    <w:p w14:paraId="26692B9C" w14:textId="77777777" w:rsidR="0093691B" w:rsidRPr="00C66FC1" w:rsidRDefault="00B13433" w:rsidP="00B271C3">
      <w:pPr>
        <w:pStyle w:val="Nagwek4"/>
        <w:rPr>
          <w:bCs/>
        </w:rPr>
      </w:pPr>
      <w:r w:rsidRPr="00C66FC1">
        <w:rPr>
          <w:bCs/>
        </w:rPr>
        <w:t xml:space="preserve">Zakres wymagający </w:t>
      </w:r>
      <w:r w:rsidRPr="00B271C3">
        <w:rPr>
          <w:rStyle w:val="Nagwek4Znak"/>
          <w:b/>
        </w:rPr>
        <w:t>poprawy</w:t>
      </w:r>
      <w:r w:rsidRPr="00C66FC1">
        <w:rPr>
          <w:bCs/>
        </w:rPr>
        <w:t xml:space="preserve"> według typu testowanych stron i aplikacji podmiotów publicznych</w:t>
      </w:r>
      <w:r w:rsidRPr="00C66FC1" w:rsidDel="00981680">
        <w:rPr>
          <w:bCs/>
        </w:rPr>
        <w:t xml:space="preserve"> </w:t>
      </w:r>
    </w:p>
    <w:p w14:paraId="0A0F461D" w14:textId="646C363A" w:rsidR="00B13433" w:rsidRPr="00BF6615" w:rsidRDefault="00B13433">
      <w:pPr>
        <w:numPr>
          <w:ilvl w:val="0"/>
          <w:numId w:val="43"/>
        </w:numPr>
        <w:spacing w:after="160"/>
      </w:pPr>
      <w:r w:rsidRPr="00BF6615">
        <w:rPr>
          <w:b/>
          <w:bCs/>
        </w:rPr>
        <w:t>Strony służby zdrowia</w:t>
      </w:r>
      <w:r w:rsidRPr="00BF6615">
        <w:t xml:space="preserve"> – zapewnienie możliwości powiększania tekstu bez utraty czytelności strony (responsywny układ), udostępnienie interaktywnych formularzy (np. rejestracji wizyt) zamiast dokumentów do pobrania, uproszczenie języka komunikatów.</w:t>
      </w:r>
    </w:p>
    <w:p w14:paraId="07018B19" w14:textId="77777777" w:rsidR="00B13433" w:rsidRPr="00BF6615" w:rsidRDefault="00B13433">
      <w:pPr>
        <w:numPr>
          <w:ilvl w:val="0"/>
          <w:numId w:val="43"/>
        </w:numPr>
        <w:spacing w:after="160"/>
        <w:rPr>
          <w:rFonts w:cstheme="minorHAnsi"/>
        </w:rPr>
      </w:pPr>
      <w:r w:rsidRPr="00BF6615">
        <w:rPr>
          <w:b/>
        </w:rPr>
        <w:t>Strony</w:t>
      </w:r>
      <w:r w:rsidRPr="00BF6615">
        <w:rPr>
          <w:rFonts w:cstheme="minorHAnsi"/>
          <w:b/>
          <w:bCs/>
        </w:rPr>
        <w:t xml:space="preserve"> i a</w:t>
      </w:r>
      <w:r w:rsidRPr="00BF6615">
        <w:rPr>
          <w:b/>
        </w:rPr>
        <w:t>plikacje</w:t>
      </w:r>
      <w:r w:rsidRPr="00BF6615">
        <w:rPr>
          <w:rFonts w:cstheme="minorHAnsi"/>
          <w:b/>
          <w:bCs/>
        </w:rPr>
        <w:t xml:space="preserve"> samorządowe</w:t>
      </w:r>
      <w:r w:rsidRPr="00BF6615">
        <w:rPr>
          <w:rFonts w:cstheme="minorHAnsi"/>
        </w:rPr>
        <w:t xml:space="preserve"> – wprowadzenie trybu wysokiego kontrastu i opcji zmiany wielkości czcionki na stronach urzędowych, dostosowanie publikowanych dokumentów (PDF, skany) do form dostępnych cyfrowo, ujednoznacznienie nawigacji (czytelne menu, widoczne nagłówki sekcji).</w:t>
      </w:r>
    </w:p>
    <w:p w14:paraId="6141F946" w14:textId="77777777" w:rsidR="00B13433" w:rsidRPr="00BF6615" w:rsidRDefault="00B13433">
      <w:pPr>
        <w:numPr>
          <w:ilvl w:val="0"/>
          <w:numId w:val="43"/>
        </w:numPr>
        <w:spacing w:after="160"/>
        <w:rPr>
          <w:rFonts w:cstheme="minorHAnsi"/>
        </w:rPr>
      </w:pPr>
      <w:r w:rsidRPr="00BF6615">
        <w:rPr>
          <w:b/>
        </w:rPr>
        <w:t>Strony</w:t>
      </w:r>
      <w:r w:rsidRPr="00BF6615">
        <w:rPr>
          <w:rFonts w:cstheme="minorHAnsi"/>
          <w:b/>
          <w:bCs/>
        </w:rPr>
        <w:t xml:space="preserve"> kultury i sportu</w:t>
      </w:r>
      <w:r w:rsidRPr="00BF6615">
        <w:rPr>
          <w:rFonts w:cstheme="minorHAnsi"/>
        </w:rPr>
        <w:t xml:space="preserve"> – poprawa czytelności kalendarzy wydarzeń (większa czcionka, kontrastowe oznaczenia dat), umożliwienie łatwego wyszukiwania imprez i biletów (wyraźne przyciski, prosta nawigacja w aplikacjach turystycznych), dostosowanie galerii zdjęć i map dla osób słabowidzących.</w:t>
      </w:r>
    </w:p>
    <w:p w14:paraId="3B04DF4D" w14:textId="77777777" w:rsidR="00B13433" w:rsidRPr="00BF6615" w:rsidRDefault="00B13433">
      <w:pPr>
        <w:numPr>
          <w:ilvl w:val="0"/>
          <w:numId w:val="43"/>
        </w:numPr>
        <w:spacing w:after="160"/>
        <w:rPr>
          <w:rFonts w:cstheme="minorHAnsi"/>
        </w:rPr>
      </w:pPr>
      <w:r w:rsidRPr="00BF6615">
        <w:rPr>
          <w:b/>
        </w:rPr>
        <w:t>Aplikacja</w:t>
      </w:r>
      <w:r w:rsidRPr="00BF6615">
        <w:rPr>
          <w:rFonts w:cstheme="minorHAnsi"/>
          <w:b/>
          <w:bCs/>
        </w:rPr>
        <w:t xml:space="preserve"> ostrzegawcza </w:t>
      </w:r>
      <w:r w:rsidRPr="00BF6615">
        <w:rPr>
          <w:rFonts w:cstheme="minorHAnsi"/>
        </w:rPr>
        <w:t>– dodanie motywu o wysokim kontraście (ciemne tło) w aplikacjach alarmowych, powiększenie czcionek w komunikatach kryzysowych, zapewnienie prostych, zrozumiałych instrukcji postępowania widocznych na pierwszy rzut oka.</w:t>
      </w:r>
    </w:p>
    <w:p w14:paraId="44F763E4" w14:textId="77777777" w:rsidR="00B13433" w:rsidRPr="00C66FC1" w:rsidRDefault="00B13433" w:rsidP="00B271C3">
      <w:pPr>
        <w:pStyle w:val="Nagwek4"/>
        <w:rPr>
          <w:bCs/>
        </w:rPr>
      </w:pPr>
      <w:r w:rsidRPr="00C66FC1">
        <w:rPr>
          <w:bCs/>
        </w:rPr>
        <w:t xml:space="preserve">Problemy według </w:t>
      </w:r>
      <w:r w:rsidRPr="00B271C3">
        <w:rPr>
          <w:rStyle w:val="Nagwek4Znak"/>
          <w:b/>
        </w:rPr>
        <w:t>zasad</w:t>
      </w:r>
      <w:r w:rsidRPr="00C66FC1">
        <w:rPr>
          <w:bCs/>
        </w:rPr>
        <w:t xml:space="preserve"> WCAG</w:t>
      </w:r>
    </w:p>
    <w:p w14:paraId="61BFF047" w14:textId="00968495" w:rsidR="00B13433" w:rsidRPr="00BF6615" w:rsidRDefault="00B13433" w:rsidP="007E26B5">
      <w:pPr>
        <w:rPr>
          <w:rFonts w:cstheme="minorHAnsi"/>
        </w:rPr>
      </w:pPr>
      <w:r w:rsidRPr="00BF6615">
        <w:rPr>
          <w:rFonts w:cstheme="minorHAnsi"/>
        </w:rPr>
        <w:t xml:space="preserve">Poniżej przedstawiono tabele z liczbą wystąpień zidentyfikowanych problemów </w:t>
      </w:r>
      <w:r w:rsidR="000A692A" w:rsidRPr="00BF6615">
        <w:rPr>
          <w:rFonts w:cstheme="minorHAnsi"/>
        </w:rPr>
        <w:t>z</w:t>
      </w:r>
      <w:r w:rsidR="000A692A">
        <w:rPr>
          <w:rFonts w:cstheme="minorHAnsi"/>
        </w:rPr>
        <w:t> </w:t>
      </w:r>
      <w:r w:rsidRPr="00BF6615">
        <w:rPr>
          <w:rFonts w:cstheme="minorHAnsi"/>
        </w:rPr>
        <w:t xml:space="preserve">dostępnością, pogrupowanych według czterech zasad WCAG: Postrzegalność (Zasada 1), Funkcjonalność (Zasada 2), Zrozumiałość (Zasada 3) oraz Kompatybilność (Zasada 4). W każdej tabeli wyszczególniono rodzaje problemów (odpowiadające kryteriom sukcesu </w:t>
      </w:r>
      <w:r w:rsidRPr="00BF6615">
        <w:rPr>
          <w:rFonts w:cstheme="minorHAnsi"/>
        </w:rPr>
        <w:lastRenderedPageBreak/>
        <w:t>WCAG) oraz odnotowano, ile razy dany problem wystąpił podczas testów. Dane zostały posortowane malejąco według liczby wystąpień (wymieniono te problemy, które wystąpiły co najmniej 3 razy w trakcie testów).</w:t>
      </w:r>
    </w:p>
    <w:p w14:paraId="1B71B474" w14:textId="77777777" w:rsidR="00B13433" w:rsidRPr="00BF6615" w:rsidRDefault="00B13433" w:rsidP="007E26B5">
      <w:pPr>
        <w:spacing w:after="160"/>
        <w:rPr>
          <w:rFonts w:cstheme="minorHAnsi"/>
        </w:rPr>
      </w:pPr>
      <w:r w:rsidRPr="00BF6615">
        <w:rPr>
          <w:rFonts w:cstheme="minorHAnsi"/>
        </w:rPr>
        <w:t>Suma trudności według poszczególnych zasad WCAG:</w:t>
      </w:r>
    </w:p>
    <w:p w14:paraId="742485C0" w14:textId="77777777" w:rsidR="00B13433" w:rsidRPr="00BF6615" w:rsidRDefault="00B13433">
      <w:pPr>
        <w:pStyle w:val="Akapitzlist"/>
        <w:numPr>
          <w:ilvl w:val="0"/>
          <w:numId w:val="28"/>
        </w:numPr>
        <w:spacing w:after="160"/>
        <w:rPr>
          <w:rFonts w:cstheme="minorHAnsi"/>
        </w:rPr>
      </w:pPr>
      <w:r w:rsidRPr="00BF6615">
        <w:rPr>
          <w:rFonts w:cstheme="minorHAnsi"/>
        </w:rPr>
        <w:t>Zasada 1: postrzegalność – 38</w:t>
      </w:r>
    </w:p>
    <w:p w14:paraId="382C1F1F" w14:textId="77777777" w:rsidR="00B13433" w:rsidRPr="00BF6615" w:rsidRDefault="00B13433">
      <w:pPr>
        <w:pStyle w:val="Akapitzlist"/>
        <w:numPr>
          <w:ilvl w:val="0"/>
          <w:numId w:val="28"/>
        </w:numPr>
        <w:spacing w:after="160"/>
        <w:rPr>
          <w:rFonts w:cstheme="minorHAnsi"/>
        </w:rPr>
      </w:pPr>
      <w:r w:rsidRPr="00BF6615">
        <w:rPr>
          <w:rFonts w:cstheme="minorHAnsi"/>
        </w:rPr>
        <w:t>Zasada 2: funkcjonalność – 27</w:t>
      </w:r>
    </w:p>
    <w:p w14:paraId="0FB2B238" w14:textId="77777777" w:rsidR="00B13433" w:rsidRPr="00BF6615" w:rsidRDefault="00B13433">
      <w:pPr>
        <w:pStyle w:val="Akapitzlist"/>
        <w:numPr>
          <w:ilvl w:val="0"/>
          <w:numId w:val="28"/>
        </w:numPr>
        <w:spacing w:after="160"/>
        <w:rPr>
          <w:rFonts w:cstheme="minorHAnsi"/>
        </w:rPr>
      </w:pPr>
      <w:r w:rsidRPr="00BF6615">
        <w:rPr>
          <w:rFonts w:cstheme="minorHAnsi"/>
        </w:rPr>
        <w:t>Zasada 3: zrozumiałość – 18</w:t>
      </w:r>
    </w:p>
    <w:p w14:paraId="556BCC89" w14:textId="77777777" w:rsidR="00B13433" w:rsidRPr="00BF6615" w:rsidRDefault="00B13433">
      <w:pPr>
        <w:pStyle w:val="Akapitzlist"/>
        <w:numPr>
          <w:ilvl w:val="0"/>
          <w:numId w:val="28"/>
        </w:numPr>
        <w:spacing w:after="160"/>
        <w:rPr>
          <w:rFonts w:cstheme="minorHAnsi"/>
        </w:rPr>
      </w:pPr>
      <w:r w:rsidRPr="00BF6615">
        <w:rPr>
          <w:rFonts w:cstheme="minorHAnsi"/>
        </w:rPr>
        <w:t>Zasada 4: kompatybilność – 4</w:t>
      </w:r>
    </w:p>
    <w:p w14:paraId="23927478" w14:textId="77777777" w:rsidR="00B13433" w:rsidRPr="00BF6615" w:rsidRDefault="00B13433" w:rsidP="00B271C3">
      <w:pPr>
        <w:pStyle w:val="Nagwek4"/>
        <w:rPr>
          <w:rFonts w:cstheme="minorHAnsi"/>
          <w:bCs/>
        </w:rPr>
      </w:pPr>
      <w:r w:rsidRPr="00BF6615">
        <w:rPr>
          <w:rFonts w:cstheme="minorHAnsi"/>
          <w:bCs/>
        </w:rPr>
        <w:t xml:space="preserve">Zasada 1: </w:t>
      </w:r>
      <w:r w:rsidRPr="00B271C3">
        <w:rPr>
          <w:rStyle w:val="Nagwek4Znak"/>
          <w:b/>
        </w:rPr>
        <w:t>Postrzegalność</w:t>
      </w:r>
    </w:p>
    <w:p w14:paraId="448AEB1F" w14:textId="77777777" w:rsidR="00B13433" w:rsidRPr="00BF6615" w:rsidRDefault="00B13433" w:rsidP="007E26B5">
      <w:pPr>
        <w:spacing w:after="160"/>
        <w:rPr>
          <w:rFonts w:cstheme="minorHAnsi"/>
        </w:rPr>
      </w:pPr>
      <w:r w:rsidRPr="00BF6615">
        <w:rPr>
          <w:rFonts w:cstheme="minorHAnsi"/>
        </w:rPr>
        <w:t>Wyniki analizy błędów wskazują, że najczęściej pojawiały się problemy związane z kryterium 1.4.4 – Zmiana rozmiaru tekstu (15 przypadków). Kolejne w kolejności były błędy kryterium 1.4.3 dotyczące kontrastu (11 przypadków).</w:t>
      </w:r>
    </w:p>
    <w:p w14:paraId="206AE1B3" w14:textId="2884B44A" w:rsidR="00B13433" w:rsidRPr="00BF6615" w:rsidRDefault="00B13433" w:rsidP="007E26B5">
      <w:pPr>
        <w:pStyle w:val="Legenda"/>
        <w:spacing w:line="276" w:lineRule="auto"/>
        <w:rPr>
          <w:rFonts w:cstheme="minorHAnsi"/>
        </w:rPr>
      </w:pPr>
      <w:bookmarkStart w:id="84" w:name="_Toc196335274"/>
      <w:bookmarkStart w:id="85" w:name="_Toc204179107"/>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9</w:t>
      </w:r>
      <w:r w:rsidRPr="00BF6615">
        <w:rPr>
          <w:rFonts w:cstheme="minorHAnsi"/>
        </w:rPr>
        <w:fldChar w:fldCharType="end"/>
      </w:r>
      <w:r w:rsidR="000110ED">
        <w:rPr>
          <w:rFonts w:cstheme="minorHAnsi"/>
        </w:rPr>
        <w:t>.</w:t>
      </w:r>
      <w:r w:rsidRPr="00BF6615">
        <w:rPr>
          <w:rFonts w:cstheme="minorHAnsi"/>
        </w:rPr>
        <w:t xml:space="preserve"> Liczba zidentyfikowanych problemów w zasadzie 1: Postrzegalność (osoby słabowidzące)</w:t>
      </w:r>
      <w:bookmarkEnd w:id="84"/>
      <w:bookmarkEnd w:id="85"/>
    </w:p>
    <w:tbl>
      <w:tblPr>
        <w:tblStyle w:val="PARP"/>
        <w:tblW w:w="5000" w:type="pct"/>
        <w:tblLook w:val="04A0" w:firstRow="1" w:lastRow="0" w:firstColumn="1" w:lastColumn="0" w:noHBand="0" w:noVBand="1"/>
        <w:tblCaption w:val="Liczba zidentyfikowanych problemów w zasadzie 1: Postrzegalność (osoby słabowidzące)"/>
        <w:tblDescription w:val="Liczba zidentyfikowanych problemów w zasadzie 1: Postrzegalność (osoby słabowidzące)"/>
      </w:tblPr>
      <w:tblGrid>
        <w:gridCol w:w="6633"/>
        <w:gridCol w:w="2429"/>
      </w:tblGrid>
      <w:tr w:rsidR="00B13433" w:rsidRPr="00BF6615" w14:paraId="5B84EBD7" w14:textId="77777777">
        <w:trPr>
          <w:cnfStyle w:val="100000000000" w:firstRow="1" w:lastRow="0" w:firstColumn="0" w:lastColumn="0" w:oddVBand="0" w:evenVBand="0" w:oddHBand="0" w:evenHBand="0" w:firstRowFirstColumn="0" w:firstRowLastColumn="0" w:lastRowFirstColumn="0" w:lastRowLastColumn="0"/>
        </w:trPr>
        <w:tc>
          <w:tcPr>
            <w:tcW w:w="3660" w:type="pct"/>
            <w:hideMark/>
          </w:tcPr>
          <w:p w14:paraId="3F6156E9" w14:textId="77777777" w:rsidR="00B13433" w:rsidRPr="00BF6615" w:rsidRDefault="00B13433" w:rsidP="007E26B5">
            <w:pPr>
              <w:spacing w:after="160"/>
              <w:rPr>
                <w:rFonts w:asciiTheme="minorHAnsi" w:hAnsiTheme="minorHAnsi" w:cstheme="minorHAnsi"/>
                <w:b/>
                <w:bCs/>
              </w:rPr>
            </w:pPr>
            <w:r w:rsidRPr="00BF6615">
              <w:rPr>
                <w:rFonts w:asciiTheme="minorHAnsi" w:hAnsiTheme="minorHAnsi" w:cstheme="minorHAnsi"/>
                <w:b/>
                <w:bCs/>
              </w:rPr>
              <w:t>Nazwa kryterium (WCAG 2.1)</w:t>
            </w:r>
          </w:p>
        </w:tc>
        <w:tc>
          <w:tcPr>
            <w:tcW w:w="1340" w:type="pct"/>
            <w:hideMark/>
          </w:tcPr>
          <w:p w14:paraId="144FFC0B" w14:textId="77777777" w:rsidR="00B13433" w:rsidRPr="00BF6615" w:rsidRDefault="00B13433" w:rsidP="007E26B5">
            <w:pPr>
              <w:spacing w:after="160"/>
              <w:rPr>
                <w:rFonts w:asciiTheme="minorHAnsi" w:hAnsiTheme="minorHAnsi" w:cstheme="minorHAnsi"/>
                <w:b/>
                <w:bCs/>
              </w:rPr>
            </w:pPr>
            <w:r w:rsidRPr="00BF6615">
              <w:rPr>
                <w:rFonts w:asciiTheme="minorHAnsi" w:hAnsiTheme="minorHAnsi" w:cstheme="minorHAnsi"/>
                <w:b/>
                <w:bCs/>
              </w:rPr>
              <w:t>Liczba wystąpień</w:t>
            </w:r>
          </w:p>
        </w:tc>
      </w:tr>
      <w:tr w:rsidR="00B13433" w:rsidRPr="00BF6615" w14:paraId="5A1DE033" w14:textId="77777777">
        <w:trPr>
          <w:cnfStyle w:val="000000100000" w:firstRow="0" w:lastRow="0" w:firstColumn="0" w:lastColumn="0" w:oddVBand="0" w:evenVBand="0" w:oddHBand="1" w:evenHBand="0" w:firstRowFirstColumn="0" w:firstRowLastColumn="0" w:lastRowFirstColumn="0" w:lastRowLastColumn="0"/>
        </w:trPr>
        <w:tc>
          <w:tcPr>
            <w:tcW w:w="3660" w:type="pct"/>
          </w:tcPr>
          <w:p w14:paraId="155879A4" w14:textId="77777777" w:rsidR="00B13433" w:rsidRPr="00BF6615" w:rsidRDefault="00B13433" w:rsidP="007E26B5">
            <w:pPr>
              <w:spacing w:after="160"/>
              <w:rPr>
                <w:rFonts w:cstheme="minorHAnsi"/>
                <w:szCs w:val="24"/>
              </w:rPr>
            </w:pPr>
            <w:r w:rsidRPr="00BF6615">
              <w:rPr>
                <w:rFonts w:eastAsia="Times New Roman" w:cstheme="minorHAnsi"/>
                <w:szCs w:val="24"/>
                <w:lang w:eastAsia="pl-PL"/>
              </w:rPr>
              <w:t xml:space="preserve">1.4.4 </w:t>
            </w:r>
            <w:r w:rsidRPr="00BF6615">
              <w:rPr>
                <w:rFonts w:cstheme="minorHAnsi"/>
              </w:rPr>
              <w:t>–</w:t>
            </w:r>
            <w:r w:rsidRPr="00BF6615">
              <w:rPr>
                <w:rFonts w:eastAsia="Times New Roman" w:cstheme="minorHAnsi"/>
                <w:szCs w:val="24"/>
                <w:lang w:eastAsia="pl-PL"/>
              </w:rPr>
              <w:t xml:space="preserve"> Zmiana rozmiaru tekstu</w:t>
            </w:r>
          </w:p>
        </w:tc>
        <w:tc>
          <w:tcPr>
            <w:tcW w:w="1340" w:type="pct"/>
          </w:tcPr>
          <w:p w14:paraId="7E3F3695" w14:textId="77777777" w:rsidR="00B13433" w:rsidRPr="00BF6615" w:rsidRDefault="00B13433" w:rsidP="007E26B5">
            <w:pPr>
              <w:spacing w:after="160"/>
              <w:rPr>
                <w:rFonts w:cstheme="minorHAnsi"/>
                <w:szCs w:val="24"/>
              </w:rPr>
            </w:pPr>
            <w:r w:rsidRPr="00BF6615">
              <w:rPr>
                <w:rFonts w:cstheme="minorHAnsi"/>
                <w:szCs w:val="24"/>
              </w:rPr>
              <w:t>15</w:t>
            </w:r>
          </w:p>
        </w:tc>
      </w:tr>
      <w:tr w:rsidR="00B13433" w:rsidRPr="00BF6615" w14:paraId="0646F816" w14:textId="77777777">
        <w:trPr>
          <w:cnfStyle w:val="000000010000" w:firstRow="0" w:lastRow="0" w:firstColumn="0" w:lastColumn="0" w:oddVBand="0" w:evenVBand="0" w:oddHBand="0" w:evenHBand="1" w:firstRowFirstColumn="0" w:firstRowLastColumn="0" w:lastRowFirstColumn="0" w:lastRowLastColumn="0"/>
        </w:trPr>
        <w:tc>
          <w:tcPr>
            <w:tcW w:w="3660" w:type="pct"/>
          </w:tcPr>
          <w:p w14:paraId="472ED7EC" w14:textId="77777777" w:rsidR="00B13433" w:rsidRPr="00BF6615" w:rsidRDefault="00B13433" w:rsidP="007E26B5">
            <w:pPr>
              <w:spacing w:after="160"/>
              <w:rPr>
                <w:rFonts w:cstheme="minorHAnsi"/>
                <w:szCs w:val="24"/>
              </w:rPr>
            </w:pPr>
            <w:r w:rsidRPr="00BF6615">
              <w:rPr>
                <w:rFonts w:eastAsia="Times New Roman" w:cstheme="minorHAnsi"/>
                <w:szCs w:val="24"/>
                <w:lang w:eastAsia="pl-PL"/>
              </w:rPr>
              <w:t xml:space="preserve">1.4.3 </w:t>
            </w:r>
            <w:r w:rsidRPr="00BF6615">
              <w:rPr>
                <w:rFonts w:cstheme="minorHAnsi"/>
              </w:rPr>
              <w:t>–</w:t>
            </w:r>
            <w:r w:rsidRPr="00BF6615">
              <w:rPr>
                <w:rFonts w:eastAsia="Times New Roman" w:cstheme="minorHAnsi"/>
                <w:szCs w:val="24"/>
                <w:lang w:eastAsia="pl-PL"/>
              </w:rPr>
              <w:t xml:space="preserve"> Kontrast (minimum)</w:t>
            </w:r>
          </w:p>
        </w:tc>
        <w:tc>
          <w:tcPr>
            <w:tcW w:w="1340" w:type="pct"/>
          </w:tcPr>
          <w:p w14:paraId="6B1E58F1" w14:textId="77777777" w:rsidR="00B13433" w:rsidRPr="00BF6615" w:rsidRDefault="00B13433" w:rsidP="007E26B5">
            <w:pPr>
              <w:spacing w:after="160"/>
              <w:rPr>
                <w:rFonts w:cstheme="minorHAnsi"/>
                <w:szCs w:val="24"/>
              </w:rPr>
            </w:pPr>
            <w:r w:rsidRPr="00BF6615">
              <w:rPr>
                <w:rFonts w:cstheme="minorHAnsi"/>
                <w:szCs w:val="24"/>
              </w:rPr>
              <w:t>11</w:t>
            </w:r>
          </w:p>
        </w:tc>
      </w:tr>
      <w:tr w:rsidR="00B13433" w:rsidRPr="00BF6615" w14:paraId="4CDCCA1D" w14:textId="77777777">
        <w:trPr>
          <w:cnfStyle w:val="000000100000" w:firstRow="0" w:lastRow="0" w:firstColumn="0" w:lastColumn="0" w:oddVBand="0" w:evenVBand="0" w:oddHBand="1" w:evenHBand="0" w:firstRowFirstColumn="0" w:firstRowLastColumn="0" w:lastRowFirstColumn="0" w:lastRowLastColumn="0"/>
        </w:trPr>
        <w:tc>
          <w:tcPr>
            <w:tcW w:w="3660" w:type="pct"/>
          </w:tcPr>
          <w:p w14:paraId="6BA81212" w14:textId="77777777" w:rsidR="00B13433" w:rsidRPr="00BF6615" w:rsidRDefault="00B13433" w:rsidP="007E26B5">
            <w:pPr>
              <w:spacing w:after="160"/>
              <w:rPr>
                <w:rFonts w:cstheme="minorHAnsi"/>
                <w:szCs w:val="24"/>
              </w:rPr>
            </w:pPr>
            <w:r w:rsidRPr="00BF6615">
              <w:rPr>
                <w:rFonts w:cstheme="minorHAnsi"/>
                <w:szCs w:val="24"/>
              </w:rPr>
              <w:t>1.1.1 – Treść nietekstowa (alternatywy tekstowe)</w:t>
            </w:r>
          </w:p>
        </w:tc>
        <w:tc>
          <w:tcPr>
            <w:tcW w:w="1340" w:type="pct"/>
          </w:tcPr>
          <w:p w14:paraId="29CA3194" w14:textId="77777777" w:rsidR="00B13433" w:rsidRPr="00BF6615" w:rsidRDefault="00B13433" w:rsidP="007E26B5">
            <w:pPr>
              <w:spacing w:after="160"/>
              <w:rPr>
                <w:rFonts w:cstheme="minorHAnsi"/>
                <w:szCs w:val="24"/>
              </w:rPr>
            </w:pPr>
            <w:r w:rsidRPr="00BF6615">
              <w:rPr>
                <w:rFonts w:cstheme="minorHAnsi"/>
                <w:szCs w:val="24"/>
              </w:rPr>
              <w:t>8</w:t>
            </w:r>
          </w:p>
        </w:tc>
      </w:tr>
      <w:tr w:rsidR="00B13433" w:rsidRPr="00BF6615" w14:paraId="0E9B9E3E" w14:textId="77777777">
        <w:trPr>
          <w:cnfStyle w:val="000000010000" w:firstRow="0" w:lastRow="0" w:firstColumn="0" w:lastColumn="0" w:oddVBand="0" w:evenVBand="0" w:oddHBand="0" w:evenHBand="1" w:firstRowFirstColumn="0" w:firstRowLastColumn="0" w:lastRowFirstColumn="0" w:lastRowLastColumn="0"/>
        </w:trPr>
        <w:tc>
          <w:tcPr>
            <w:tcW w:w="3660" w:type="pct"/>
          </w:tcPr>
          <w:p w14:paraId="4D42A216" w14:textId="77777777" w:rsidR="00B13433" w:rsidRPr="00BF6615" w:rsidRDefault="00B13433" w:rsidP="007E26B5">
            <w:pPr>
              <w:spacing w:after="160"/>
              <w:rPr>
                <w:rFonts w:cstheme="minorHAnsi"/>
                <w:szCs w:val="24"/>
              </w:rPr>
            </w:pPr>
            <w:r w:rsidRPr="00BF6615">
              <w:rPr>
                <w:rFonts w:eastAsia="Times New Roman" w:cstheme="minorHAnsi"/>
                <w:szCs w:val="24"/>
                <w:lang w:eastAsia="pl-PL"/>
              </w:rPr>
              <w:t>1.4.1 – Użycie koloru</w:t>
            </w:r>
          </w:p>
        </w:tc>
        <w:tc>
          <w:tcPr>
            <w:tcW w:w="1340" w:type="pct"/>
          </w:tcPr>
          <w:p w14:paraId="105100E2" w14:textId="77777777" w:rsidR="00B13433" w:rsidRPr="00BF6615" w:rsidRDefault="00B13433" w:rsidP="007E26B5">
            <w:pPr>
              <w:spacing w:after="160"/>
              <w:rPr>
                <w:rFonts w:cstheme="minorHAnsi"/>
                <w:szCs w:val="24"/>
              </w:rPr>
            </w:pPr>
            <w:r w:rsidRPr="00BF6615">
              <w:rPr>
                <w:rFonts w:cstheme="minorHAnsi"/>
                <w:szCs w:val="24"/>
              </w:rPr>
              <w:t>5</w:t>
            </w:r>
          </w:p>
        </w:tc>
      </w:tr>
      <w:tr w:rsidR="00B13433" w:rsidRPr="00BF6615" w14:paraId="434FA5C3" w14:textId="77777777">
        <w:trPr>
          <w:cnfStyle w:val="000000100000" w:firstRow="0" w:lastRow="0" w:firstColumn="0" w:lastColumn="0" w:oddVBand="0" w:evenVBand="0" w:oddHBand="1" w:evenHBand="0" w:firstRowFirstColumn="0" w:firstRowLastColumn="0" w:lastRowFirstColumn="0" w:lastRowLastColumn="0"/>
        </w:trPr>
        <w:tc>
          <w:tcPr>
            <w:tcW w:w="3660" w:type="pct"/>
          </w:tcPr>
          <w:p w14:paraId="03127696" w14:textId="77777777" w:rsidR="00B13433" w:rsidRPr="00BF6615" w:rsidRDefault="00B13433" w:rsidP="007E26B5">
            <w:pPr>
              <w:rPr>
                <w:rFonts w:eastAsia="Times New Roman" w:cstheme="minorHAnsi"/>
                <w:szCs w:val="24"/>
                <w:lang w:eastAsia="pl-PL"/>
              </w:rPr>
            </w:pPr>
            <w:r w:rsidRPr="00BF6615">
              <w:rPr>
                <w:rFonts w:eastAsia="Times New Roman" w:cstheme="minorHAnsi"/>
                <w:szCs w:val="24"/>
                <w:lang w:eastAsia="pl-PL"/>
              </w:rPr>
              <w:t>1.4.5 – Obrazy tekstu</w:t>
            </w:r>
          </w:p>
        </w:tc>
        <w:tc>
          <w:tcPr>
            <w:tcW w:w="1340" w:type="pct"/>
          </w:tcPr>
          <w:p w14:paraId="765C0599" w14:textId="77777777" w:rsidR="00B13433" w:rsidRPr="00BF6615" w:rsidRDefault="00B13433" w:rsidP="007E26B5">
            <w:pPr>
              <w:rPr>
                <w:rFonts w:cstheme="minorHAnsi"/>
                <w:szCs w:val="24"/>
              </w:rPr>
            </w:pPr>
            <w:r w:rsidRPr="00BF6615">
              <w:rPr>
                <w:rFonts w:cstheme="minorHAnsi"/>
                <w:szCs w:val="24"/>
              </w:rPr>
              <w:t>4</w:t>
            </w:r>
          </w:p>
        </w:tc>
      </w:tr>
      <w:tr w:rsidR="00B13433" w:rsidRPr="00BF6615" w14:paraId="1054563D" w14:textId="77777777">
        <w:trPr>
          <w:cnfStyle w:val="000000010000" w:firstRow="0" w:lastRow="0" w:firstColumn="0" w:lastColumn="0" w:oddVBand="0" w:evenVBand="0" w:oddHBand="0" w:evenHBand="1" w:firstRowFirstColumn="0" w:firstRowLastColumn="0" w:lastRowFirstColumn="0" w:lastRowLastColumn="0"/>
        </w:trPr>
        <w:tc>
          <w:tcPr>
            <w:tcW w:w="3660" w:type="pct"/>
          </w:tcPr>
          <w:p w14:paraId="6196F8E3" w14:textId="77777777" w:rsidR="00B13433" w:rsidRPr="00BF6615" w:rsidRDefault="00B13433" w:rsidP="007E26B5">
            <w:pPr>
              <w:rPr>
                <w:rFonts w:eastAsia="Times New Roman" w:cstheme="minorHAnsi"/>
                <w:szCs w:val="24"/>
                <w:lang w:eastAsia="pl-PL"/>
              </w:rPr>
            </w:pPr>
            <w:r w:rsidRPr="00BF6615">
              <w:rPr>
                <w:rFonts w:eastAsia="Times New Roman" w:cstheme="minorHAnsi"/>
                <w:szCs w:val="24"/>
                <w:lang w:eastAsia="pl-PL"/>
              </w:rPr>
              <w:t>1.4.10 – Dopasowanie do ekranu</w:t>
            </w:r>
          </w:p>
        </w:tc>
        <w:tc>
          <w:tcPr>
            <w:tcW w:w="1340" w:type="pct"/>
          </w:tcPr>
          <w:p w14:paraId="77D70E81" w14:textId="77777777" w:rsidR="00B13433" w:rsidRPr="00BF6615" w:rsidRDefault="00B13433" w:rsidP="007E26B5">
            <w:pPr>
              <w:rPr>
                <w:rFonts w:cstheme="minorHAnsi"/>
                <w:szCs w:val="24"/>
              </w:rPr>
            </w:pPr>
            <w:r w:rsidRPr="00BF6615">
              <w:rPr>
                <w:rFonts w:cstheme="minorHAnsi"/>
                <w:szCs w:val="24"/>
              </w:rPr>
              <w:t>4</w:t>
            </w:r>
          </w:p>
        </w:tc>
      </w:tr>
      <w:tr w:rsidR="00B13433" w:rsidRPr="00BF6615" w14:paraId="7FE2EC73" w14:textId="77777777">
        <w:trPr>
          <w:cnfStyle w:val="000000100000" w:firstRow="0" w:lastRow="0" w:firstColumn="0" w:lastColumn="0" w:oddVBand="0" w:evenVBand="0" w:oddHBand="1" w:evenHBand="0" w:firstRowFirstColumn="0" w:firstRowLastColumn="0" w:lastRowFirstColumn="0" w:lastRowLastColumn="0"/>
        </w:trPr>
        <w:tc>
          <w:tcPr>
            <w:tcW w:w="3660" w:type="pct"/>
          </w:tcPr>
          <w:p w14:paraId="0E7D20E1" w14:textId="77777777" w:rsidR="00B13433" w:rsidRPr="00BF6615" w:rsidRDefault="00B13433" w:rsidP="007E26B5">
            <w:pPr>
              <w:rPr>
                <w:rFonts w:cstheme="minorHAnsi"/>
                <w:szCs w:val="24"/>
              </w:rPr>
            </w:pPr>
            <w:r w:rsidRPr="00BF6615">
              <w:rPr>
                <w:rFonts w:cstheme="minorHAnsi"/>
                <w:szCs w:val="24"/>
              </w:rPr>
              <w:t>1.3.2 – Zrozumiała kolejność</w:t>
            </w:r>
          </w:p>
        </w:tc>
        <w:tc>
          <w:tcPr>
            <w:tcW w:w="1340" w:type="pct"/>
          </w:tcPr>
          <w:p w14:paraId="71630C7C" w14:textId="77777777" w:rsidR="00B13433" w:rsidRPr="00BF6615" w:rsidRDefault="00B13433" w:rsidP="007E26B5">
            <w:pPr>
              <w:rPr>
                <w:rFonts w:cstheme="minorHAnsi"/>
                <w:szCs w:val="24"/>
              </w:rPr>
            </w:pPr>
            <w:r w:rsidRPr="00BF6615">
              <w:rPr>
                <w:rFonts w:cstheme="minorHAnsi"/>
                <w:szCs w:val="24"/>
              </w:rPr>
              <w:t>3</w:t>
            </w:r>
          </w:p>
        </w:tc>
      </w:tr>
    </w:tbl>
    <w:p w14:paraId="3F95FE46" w14:textId="77777777" w:rsidR="00B13433" w:rsidRPr="00BF6615" w:rsidRDefault="00B13433" w:rsidP="007E26B5">
      <w:r w:rsidRPr="00BF6615">
        <w:t>Źródło: opracowanie własne.</w:t>
      </w:r>
    </w:p>
    <w:p w14:paraId="78489F10" w14:textId="77777777" w:rsidR="00B13433" w:rsidRPr="00BF6615" w:rsidRDefault="00B13433" w:rsidP="00B271C3">
      <w:pPr>
        <w:pStyle w:val="Nagwek4"/>
        <w:rPr>
          <w:rFonts w:cstheme="minorHAnsi"/>
          <w:bCs/>
        </w:rPr>
      </w:pPr>
      <w:r w:rsidRPr="00BF6615">
        <w:rPr>
          <w:rFonts w:cstheme="minorHAnsi"/>
          <w:bCs/>
        </w:rPr>
        <w:t xml:space="preserve">Zasada 2: </w:t>
      </w:r>
      <w:r w:rsidRPr="00B271C3">
        <w:rPr>
          <w:rStyle w:val="Nagwek4Znak"/>
          <w:b/>
        </w:rPr>
        <w:t>Funkcjonalność</w:t>
      </w:r>
    </w:p>
    <w:p w14:paraId="150B2EA3" w14:textId="77777777" w:rsidR="00B13433" w:rsidRPr="00BF6615" w:rsidRDefault="00B13433" w:rsidP="007E26B5">
      <w:pPr>
        <w:rPr>
          <w:rFonts w:cstheme="minorHAnsi"/>
        </w:rPr>
      </w:pPr>
      <w:r w:rsidRPr="00BF6615">
        <w:rPr>
          <w:rFonts w:cstheme="minorHAnsi"/>
        </w:rPr>
        <w:t>Najczęściej występującym problemem w tej kategorii okazało się kryterium 2.4.4 – Cel linku (w kontekście), odnotowane 10 razy. Dotyczyło to nieprecyzyjnych opisów linków (np. odsyłacze typu "czytaj więcej" bez kontekstu) utrudniających nawigację.</w:t>
      </w:r>
    </w:p>
    <w:p w14:paraId="6908E693" w14:textId="6D248D6F" w:rsidR="00B13433" w:rsidRPr="00BF6615" w:rsidRDefault="00B13433" w:rsidP="007E26B5">
      <w:pPr>
        <w:pStyle w:val="Legenda"/>
        <w:spacing w:line="276" w:lineRule="auto"/>
        <w:rPr>
          <w:rFonts w:cstheme="minorHAnsi"/>
        </w:rPr>
      </w:pPr>
      <w:bookmarkStart w:id="86" w:name="_Toc196335275"/>
      <w:bookmarkStart w:id="87" w:name="_Toc204179108"/>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10</w:t>
      </w:r>
      <w:r w:rsidRPr="00BF6615">
        <w:rPr>
          <w:rFonts w:cstheme="minorHAnsi"/>
        </w:rPr>
        <w:fldChar w:fldCharType="end"/>
      </w:r>
      <w:r w:rsidR="000110ED">
        <w:rPr>
          <w:rFonts w:cstheme="minorHAnsi"/>
        </w:rPr>
        <w:t>.</w:t>
      </w:r>
      <w:r w:rsidRPr="00BF6615">
        <w:rPr>
          <w:rFonts w:cstheme="minorHAnsi"/>
        </w:rPr>
        <w:t xml:space="preserve"> Liczba zidentyfikowanych problemów w zasadzie 2: Funkcjonalność (osoby słabowidzące)</w:t>
      </w:r>
      <w:bookmarkEnd w:id="86"/>
      <w:bookmarkEnd w:id="87"/>
    </w:p>
    <w:tbl>
      <w:tblPr>
        <w:tblStyle w:val="PARP"/>
        <w:tblW w:w="5000" w:type="pct"/>
        <w:tblLook w:val="04A0" w:firstRow="1" w:lastRow="0" w:firstColumn="1" w:lastColumn="0" w:noHBand="0" w:noVBand="1"/>
        <w:tblCaption w:val="Liczba zidentyfikowanych problemów w zasadzie 2: Funkcjonalność (osoby słabowidzące)"/>
        <w:tblDescription w:val="Liczba zidentyfikowanych problemów w zasadzie 2: Funkcjonalność (osoby słabowidzące)"/>
      </w:tblPr>
      <w:tblGrid>
        <w:gridCol w:w="5740"/>
        <w:gridCol w:w="3322"/>
      </w:tblGrid>
      <w:tr w:rsidR="00B13433" w:rsidRPr="00BF6615" w14:paraId="4629200B" w14:textId="77777777">
        <w:trPr>
          <w:cnfStyle w:val="100000000000" w:firstRow="1" w:lastRow="0" w:firstColumn="0" w:lastColumn="0" w:oddVBand="0" w:evenVBand="0" w:oddHBand="0" w:evenHBand="0" w:firstRowFirstColumn="0" w:firstRowLastColumn="0" w:lastRowFirstColumn="0" w:lastRowLastColumn="0"/>
        </w:trPr>
        <w:tc>
          <w:tcPr>
            <w:tcW w:w="3167" w:type="pct"/>
            <w:hideMark/>
          </w:tcPr>
          <w:p w14:paraId="15827A8F" w14:textId="77777777" w:rsidR="00B13433" w:rsidRPr="00BF6615" w:rsidRDefault="00B13433" w:rsidP="007E26B5">
            <w:pPr>
              <w:spacing w:after="160"/>
              <w:rPr>
                <w:rFonts w:asciiTheme="minorHAnsi" w:hAnsiTheme="minorHAnsi" w:cstheme="minorHAnsi"/>
                <w:b/>
                <w:bCs/>
              </w:rPr>
            </w:pPr>
            <w:r w:rsidRPr="00BF6615">
              <w:rPr>
                <w:rFonts w:asciiTheme="minorHAnsi" w:hAnsiTheme="minorHAnsi" w:cstheme="minorHAnsi"/>
                <w:b/>
                <w:bCs/>
              </w:rPr>
              <w:t>Nazwa kryterium (WCAG 2.1)</w:t>
            </w:r>
          </w:p>
        </w:tc>
        <w:tc>
          <w:tcPr>
            <w:tcW w:w="1833" w:type="pct"/>
            <w:hideMark/>
          </w:tcPr>
          <w:p w14:paraId="49A47BAB" w14:textId="77777777" w:rsidR="00B13433" w:rsidRPr="00BF6615" w:rsidRDefault="00B13433" w:rsidP="007E26B5">
            <w:pPr>
              <w:spacing w:after="160"/>
              <w:rPr>
                <w:rFonts w:asciiTheme="minorHAnsi" w:hAnsiTheme="minorHAnsi" w:cstheme="minorHAnsi"/>
                <w:b/>
                <w:bCs/>
              </w:rPr>
            </w:pPr>
            <w:r w:rsidRPr="00BF6615">
              <w:rPr>
                <w:rFonts w:asciiTheme="minorHAnsi" w:hAnsiTheme="minorHAnsi" w:cstheme="minorHAnsi"/>
                <w:b/>
                <w:bCs/>
              </w:rPr>
              <w:t>Liczba wystąpień</w:t>
            </w:r>
          </w:p>
        </w:tc>
      </w:tr>
      <w:tr w:rsidR="00B13433" w:rsidRPr="00BF6615" w14:paraId="1F43F047" w14:textId="77777777">
        <w:trPr>
          <w:cnfStyle w:val="000000100000" w:firstRow="0" w:lastRow="0" w:firstColumn="0" w:lastColumn="0" w:oddVBand="0" w:evenVBand="0" w:oddHBand="1" w:evenHBand="0" w:firstRowFirstColumn="0" w:firstRowLastColumn="0" w:lastRowFirstColumn="0" w:lastRowLastColumn="0"/>
        </w:trPr>
        <w:tc>
          <w:tcPr>
            <w:tcW w:w="3167" w:type="pct"/>
          </w:tcPr>
          <w:p w14:paraId="32BF266E" w14:textId="77777777" w:rsidR="00B13433" w:rsidRPr="00BF6615" w:rsidRDefault="00B13433" w:rsidP="007E26B5">
            <w:pPr>
              <w:spacing w:after="160"/>
              <w:rPr>
                <w:rFonts w:cstheme="minorHAnsi"/>
                <w:szCs w:val="24"/>
              </w:rPr>
            </w:pPr>
            <w:r w:rsidRPr="00BF6615">
              <w:rPr>
                <w:rFonts w:eastAsia="Times New Roman" w:cstheme="minorHAnsi"/>
                <w:szCs w:val="24"/>
                <w:lang w:eastAsia="pl-PL"/>
              </w:rPr>
              <w:t>2.4.4 – Cel linku</w:t>
            </w:r>
          </w:p>
        </w:tc>
        <w:tc>
          <w:tcPr>
            <w:tcW w:w="1833" w:type="pct"/>
          </w:tcPr>
          <w:p w14:paraId="6A321B08" w14:textId="77777777" w:rsidR="00B13433" w:rsidRPr="00BF6615" w:rsidRDefault="00B13433" w:rsidP="007E26B5">
            <w:pPr>
              <w:spacing w:after="160"/>
              <w:rPr>
                <w:rFonts w:cstheme="minorHAnsi"/>
                <w:szCs w:val="24"/>
              </w:rPr>
            </w:pPr>
            <w:r w:rsidRPr="00BF6615">
              <w:rPr>
                <w:rFonts w:cstheme="minorHAnsi"/>
                <w:szCs w:val="24"/>
              </w:rPr>
              <w:t>10</w:t>
            </w:r>
          </w:p>
        </w:tc>
      </w:tr>
      <w:tr w:rsidR="00B13433" w:rsidRPr="00BF6615" w14:paraId="104895E4" w14:textId="77777777">
        <w:trPr>
          <w:cnfStyle w:val="000000010000" w:firstRow="0" w:lastRow="0" w:firstColumn="0" w:lastColumn="0" w:oddVBand="0" w:evenVBand="0" w:oddHBand="0" w:evenHBand="1" w:firstRowFirstColumn="0" w:firstRowLastColumn="0" w:lastRowFirstColumn="0" w:lastRowLastColumn="0"/>
        </w:trPr>
        <w:tc>
          <w:tcPr>
            <w:tcW w:w="3167" w:type="pct"/>
          </w:tcPr>
          <w:p w14:paraId="0C659CA0" w14:textId="77777777" w:rsidR="00B13433" w:rsidRPr="00BF6615" w:rsidRDefault="00B13433" w:rsidP="007E26B5">
            <w:pPr>
              <w:rPr>
                <w:rFonts w:cstheme="minorHAnsi"/>
                <w:szCs w:val="24"/>
              </w:rPr>
            </w:pPr>
            <w:r w:rsidRPr="00BF6615">
              <w:rPr>
                <w:rFonts w:eastAsia="Times New Roman" w:cstheme="minorHAnsi"/>
                <w:szCs w:val="24"/>
                <w:lang w:eastAsia="pl-PL"/>
              </w:rPr>
              <w:t>2.4.5 – Wiele dróg</w:t>
            </w:r>
          </w:p>
        </w:tc>
        <w:tc>
          <w:tcPr>
            <w:tcW w:w="1833" w:type="pct"/>
          </w:tcPr>
          <w:p w14:paraId="31366EE2" w14:textId="77777777" w:rsidR="00B13433" w:rsidRPr="00BF6615" w:rsidRDefault="00B13433" w:rsidP="007E26B5">
            <w:pPr>
              <w:rPr>
                <w:rFonts w:cstheme="minorHAnsi"/>
                <w:szCs w:val="24"/>
              </w:rPr>
            </w:pPr>
            <w:r w:rsidRPr="00BF6615">
              <w:rPr>
                <w:rFonts w:cstheme="minorHAnsi"/>
                <w:szCs w:val="24"/>
              </w:rPr>
              <w:t>6</w:t>
            </w:r>
          </w:p>
        </w:tc>
      </w:tr>
      <w:tr w:rsidR="00B13433" w:rsidRPr="00BF6615" w14:paraId="766F5837" w14:textId="77777777">
        <w:trPr>
          <w:cnfStyle w:val="000000100000" w:firstRow="0" w:lastRow="0" w:firstColumn="0" w:lastColumn="0" w:oddVBand="0" w:evenVBand="0" w:oddHBand="1" w:evenHBand="0" w:firstRowFirstColumn="0" w:firstRowLastColumn="0" w:lastRowFirstColumn="0" w:lastRowLastColumn="0"/>
        </w:trPr>
        <w:tc>
          <w:tcPr>
            <w:tcW w:w="3167" w:type="pct"/>
          </w:tcPr>
          <w:p w14:paraId="4BAB11BC" w14:textId="77777777" w:rsidR="00B13433" w:rsidRPr="00BF6615" w:rsidRDefault="00B13433" w:rsidP="007E26B5">
            <w:pPr>
              <w:rPr>
                <w:rFonts w:cstheme="minorHAnsi"/>
                <w:szCs w:val="24"/>
              </w:rPr>
            </w:pPr>
            <w:r w:rsidRPr="00BF6615">
              <w:rPr>
                <w:rFonts w:eastAsia="Times New Roman" w:cstheme="minorHAnsi"/>
                <w:szCs w:val="24"/>
                <w:lang w:eastAsia="pl-PL"/>
              </w:rPr>
              <w:lastRenderedPageBreak/>
              <w:t>2.4.1 – Możliwość pominięcia bloków</w:t>
            </w:r>
          </w:p>
        </w:tc>
        <w:tc>
          <w:tcPr>
            <w:tcW w:w="1833" w:type="pct"/>
          </w:tcPr>
          <w:p w14:paraId="7CD44531" w14:textId="77777777" w:rsidR="00B13433" w:rsidRPr="00BF6615" w:rsidRDefault="00B13433" w:rsidP="007E26B5">
            <w:pPr>
              <w:rPr>
                <w:rFonts w:cstheme="minorHAnsi"/>
                <w:szCs w:val="24"/>
              </w:rPr>
            </w:pPr>
            <w:r w:rsidRPr="00BF6615">
              <w:rPr>
                <w:rFonts w:cstheme="minorHAnsi"/>
                <w:szCs w:val="24"/>
              </w:rPr>
              <w:t>5</w:t>
            </w:r>
          </w:p>
        </w:tc>
      </w:tr>
      <w:tr w:rsidR="00B13433" w:rsidRPr="00BF6615" w14:paraId="53B92CF6" w14:textId="77777777">
        <w:trPr>
          <w:cnfStyle w:val="000000010000" w:firstRow="0" w:lastRow="0" w:firstColumn="0" w:lastColumn="0" w:oddVBand="0" w:evenVBand="0" w:oddHBand="0" w:evenHBand="1" w:firstRowFirstColumn="0" w:firstRowLastColumn="0" w:lastRowFirstColumn="0" w:lastRowLastColumn="0"/>
        </w:trPr>
        <w:tc>
          <w:tcPr>
            <w:tcW w:w="3167" w:type="pct"/>
          </w:tcPr>
          <w:p w14:paraId="28983A15" w14:textId="77777777" w:rsidR="00B13433" w:rsidRPr="00BF6615" w:rsidRDefault="00B13433" w:rsidP="007E26B5">
            <w:pPr>
              <w:rPr>
                <w:rFonts w:cstheme="minorHAnsi"/>
                <w:szCs w:val="24"/>
              </w:rPr>
            </w:pPr>
            <w:r w:rsidRPr="00BF6615">
              <w:rPr>
                <w:rFonts w:eastAsia="Times New Roman" w:cstheme="minorHAnsi"/>
                <w:szCs w:val="24"/>
                <w:lang w:eastAsia="pl-PL"/>
              </w:rPr>
              <w:t>2.4.6 – Nagłówki i etykiety</w:t>
            </w:r>
          </w:p>
        </w:tc>
        <w:tc>
          <w:tcPr>
            <w:tcW w:w="1833" w:type="pct"/>
          </w:tcPr>
          <w:p w14:paraId="72F8F418" w14:textId="77777777" w:rsidR="00B13433" w:rsidRPr="00BF6615" w:rsidRDefault="00B13433" w:rsidP="007E26B5">
            <w:pPr>
              <w:rPr>
                <w:rFonts w:cstheme="minorHAnsi"/>
                <w:szCs w:val="24"/>
              </w:rPr>
            </w:pPr>
            <w:r w:rsidRPr="00BF6615">
              <w:rPr>
                <w:rFonts w:cstheme="minorHAnsi"/>
                <w:szCs w:val="24"/>
              </w:rPr>
              <w:t>4</w:t>
            </w:r>
          </w:p>
        </w:tc>
      </w:tr>
      <w:tr w:rsidR="00B13433" w:rsidRPr="00BF6615" w14:paraId="14F5E4CF" w14:textId="77777777">
        <w:trPr>
          <w:cnfStyle w:val="000000100000" w:firstRow="0" w:lastRow="0" w:firstColumn="0" w:lastColumn="0" w:oddVBand="0" w:evenVBand="0" w:oddHBand="1" w:evenHBand="0" w:firstRowFirstColumn="0" w:firstRowLastColumn="0" w:lastRowFirstColumn="0" w:lastRowLastColumn="0"/>
        </w:trPr>
        <w:tc>
          <w:tcPr>
            <w:tcW w:w="3167" w:type="pct"/>
          </w:tcPr>
          <w:p w14:paraId="01FEB71B" w14:textId="77777777" w:rsidR="00B13433" w:rsidRPr="00BF6615" w:rsidRDefault="00B13433" w:rsidP="007E26B5">
            <w:pPr>
              <w:rPr>
                <w:rFonts w:cstheme="minorHAnsi"/>
                <w:szCs w:val="24"/>
              </w:rPr>
            </w:pPr>
            <w:r w:rsidRPr="00BF6615">
              <w:rPr>
                <w:rFonts w:eastAsia="Times New Roman" w:cstheme="minorHAnsi"/>
                <w:szCs w:val="24"/>
                <w:lang w:eastAsia="pl-PL"/>
              </w:rPr>
              <w:t>2.4.3 – Kolejność fokusu</w:t>
            </w:r>
          </w:p>
        </w:tc>
        <w:tc>
          <w:tcPr>
            <w:tcW w:w="1833" w:type="pct"/>
          </w:tcPr>
          <w:p w14:paraId="23C34334" w14:textId="77777777" w:rsidR="00B13433" w:rsidRPr="00BF6615" w:rsidRDefault="00B13433" w:rsidP="007E26B5">
            <w:pPr>
              <w:rPr>
                <w:rFonts w:cstheme="minorHAnsi"/>
                <w:szCs w:val="24"/>
              </w:rPr>
            </w:pPr>
            <w:r w:rsidRPr="00BF6615">
              <w:rPr>
                <w:rFonts w:cstheme="minorHAnsi"/>
                <w:szCs w:val="24"/>
              </w:rPr>
              <w:t>3</w:t>
            </w:r>
          </w:p>
        </w:tc>
      </w:tr>
    </w:tbl>
    <w:p w14:paraId="3857852F" w14:textId="77777777" w:rsidR="00B13433" w:rsidRPr="00BF6615" w:rsidRDefault="00B13433" w:rsidP="007E26B5">
      <w:r w:rsidRPr="00BF6615">
        <w:t>Źródło: opracowanie własne.</w:t>
      </w:r>
    </w:p>
    <w:p w14:paraId="109D2775" w14:textId="77777777" w:rsidR="00B13433" w:rsidRPr="00BF6615" w:rsidRDefault="00B13433" w:rsidP="00B271C3">
      <w:pPr>
        <w:pStyle w:val="Nagwek4"/>
        <w:rPr>
          <w:rFonts w:cstheme="minorHAnsi"/>
          <w:bCs/>
        </w:rPr>
      </w:pPr>
      <w:r w:rsidRPr="00BF6615">
        <w:rPr>
          <w:rFonts w:cstheme="minorHAnsi"/>
          <w:bCs/>
        </w:rPr>
        <w:t xml:space="preserve">Zasada 3: </w:t>
      </w:r>
      <w:r w:rsidRPr="00B271C3">
        <w:rPr>
          <w:rStyle w:val="Nagwek4Znak"/>
          <w:b/>
        </w:rPr>
        <w:t>Zrozumiałość</w:t>
      </w:r>
    </w:p>
    <w:p w14:paraId="77FF5CA3" w14:textId="77777777" w:rsidR="00B13433" w:rsidRPr="00BF6615" w:rsidRDefault="00B13433" w:rsidP="007E26B5">
      <w:pPr>
        <w:spacing w:after="160"/>
        <w:rPr>
          <w:rFonts w:cstheme="minorHAnsi"/>
        </w:rPr>
      </w:pPr>
      <w:r w:rsidRPr="00BF6615">
        <w:rPr>
          <w:rFonts w:cstheme="minorHAnsi"/>
        </w:rPr>
        <w:t xml:space="preserve">W tej grupie problemów najczęściej pojawiały się błędy związane z kryterium 3.3.2 – Etykiety lub instrukcje (9 przypadków). Użytkownicy mieli trudności z formularzami, gdzie brakowało jasnych etykiet pól lub instrukcji, co wpisywać. Często występowały także problemy z brakiem informacji o błędach podczas wprowadzania danych (kryterium 3.2.2) oraz brakiem podpowiedzi korekty (3.3.3). </w:t>
      </w:r>
    </w:p>
    <w:p w14:paraId="1A91CEB4" w14:textId="2620781A" w:rsidR="00B13433" w:rsidRPr="00BF6615" w:rsidRDefault="00B13433" w:rsidP="007E26B5">
      <w:pPr>
        <w:pStyle w:val="Legenda"/>
        <w:spacing w:line="276" w:lineRule="auto"/>
        <w:rPr>
          <w:rFonts w:cstheme="minorHAnsi"/>
        </w:rPr>
      </w:pPr>
      <w:bookmarkStart w:id="88" w:name="_Toc196335276"/>
      <w:bookmarkStart w:id="89" w:name="_Toc204179109"/>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11</w:t>
      </w:r>
      <w:r w:rsidRPr="00BF6615">
        <w:rPr>
          <w:rFonts w:cstheme="minorHAnsi"/>
        </w:rPr>
        <w:fldChar w:fldCharType="end"/>
      </w:r>
      <w:r w:rsidR="000110ED">
        <w:rPr>
          <w:rFonts w:cstheme="minorHAnsi"/>
        </w:rPr>
        <w:t>.</w:t>
      </w:r>
      <w:r w:rsidRPr="00BF6615">
        <w:rPr>
          <w:rFonts w:cstheme="minorHAnsi"/>
        </w:rPr>
        <w:t xml:space="preserve"> Liczba zidentyfikowanych problemów w zasadzie 3: Zrozumiałość (osoby słabowidzące)</w:t>
      </w:r>
      <w:bookmarkEnd w:id="88"/>
      <w:bookmarkEnd w:id="89"/>
    </w:p>
    <w:tbl>
      <w:tblPr>
        <w:tblStyle w:val="PARP"/>
        <w:tblW w:w="5000" w:type="pct"/>
        <w:tblLook w:val="04A0" w:firstRow="1" w:lastRow="0" w:firstColumn="1" w:lastColumn="0" w:noHBand="0" w:noVBand="1"/>
        <w:tblCaption w:val="Liczba zidentyfikowanych problemów w zasadzie 3: Zrozumiałość (osoby słabowidzące)"/>
        <w:tblDescription w:val="Liczba zidentyfikowanych problemów w zasadzie 3: Zrozumiałość (osoby słabowidzące)"/>
      </w:tblPr>
      <w:tblGrid>
        <w:gridCol w:w="5847"/>
        <w:gridCol w:w="3215"/>
      </w:tblGrid>
      <w:tr w:rsidR="00B13433" w:rsidRPr="00BF6615" w14:paraId="2C7245B2" w14:textId="77777777">
        <w:trPr>
          <w:cnfStyle w:val="100000000000" w:firstRow="1" w:lastRow="0" w:firstColumn="0" w:lastColumn="0" w:oddVBand="0" w:evenVBand="0" w:oddHBand="0" w:evenHBand="0" w:firstRowFirstColumn="0" w:firstRowLastColumn="0" w:lastRowFirstColumn="0" w:lastRowLastColumn="0"/>
        </w:trPr>
        <w:tc>
          <w:tcPr>
            <w:tcW w:w="3168" w:type="pct"/>
          </w:tcPr>
          <w:p w14:paraId="66B3A209" w14:textId="77777777" w:rsidR="00B13433" w:rsidRPr="00BF6615" w:rsidRDefault="00B13433" w:rsidP="007E26B5">
            <w:pPr>
              <w:rPr>
                <w:rFonts w:asciiTheme="minorHAnsi" w:hAnsiTheme="minorHAnsi" w:cstheme="minorHAnsi"/>
                <w:b/>
                <w:bCs/>
              </w:rPr>
            </w:pPr>
            <w:r w:rsidRPr="00BF6615">
              <w:rPr>
                <w:rFonts w:asciiTheme="minorHAnsi" w:hAnsiTheme="minorHAnsi" w:cstheme="minorHAnsi"/>
                <w:b/>
                <w:bCs/>
              </w:rPr>
              <w:t>Nazwa kryterium (WCAG 2.1)</w:t>
            </w:r>
          </w:p>
        </w:tc>
        <w:tc>
          <w:tcPr>
            <w:tcW w:w="1742" w:type="pct"/>
          </w:tcPr>
          <w:p w14:paraId="145C1A86" w14:textId="77777777" w:rsidR="00B13433" w:rsidRPr="00BF6615" w:rsidRDefault="00B13433" w:rsidP="007E26B5">
            <w:pPr>
              <w:rPr>
                <w:rFonts w:asciiTheme="minorHAnsi" w:hAnsiTheme="minorHAnsi" w:cstheme="minorHAnsi"/>
                <w:b/>
                <w:bCs/>
              </w:rPr>
            </w:pPr>
            <w:r w:rsidRPr="00BF6615">
              <w:rPr>
                <w:rFonts w:asciiTheme="minorHAnsi" w:hAnsiTheme="minorHAnsi" w:cstheme="minorHAnsi"/>
                <w:b/>
                <w:bCs/>
              </w:rPr>
              <w:t>Liczba wystąpień</w:t>
            </w:r>
          </w:p>
        </w:tc>
      </w:tr>
      <w:tr w:rsidR="00B13433" w:rsidRPr="00BF6615" w14:paraId="3CB7DD9C" w14:textId="77777777">
        <w:trPr>
          <w:cnfStyle w:val="000000100000" w:firstRow="0" w:lastRow="0" w:firstColumn="0" w:lastColumn="0" w:oddVBand="0" w:evenVBand="0" w:oddHBand="1" w:evenHBand="0" w:firstRowFirstColumn="0" w:firstRowLastColumn="0" w:lastRowFirstColumn="0" w:lastRowLastColumn="0"/>
        </w:trPr>
        <w:tc>
          <w:tcPr>
            <w:tcW w:w="3168" w:type="pct"/>
          </w:tcPr>
          <w:p w14:paraId="36E88E4A" w14:textId="77777777" w:rsidR="00B13433" w:rsidRPr="00BF6615" w:rsidRDefault="00B13433" w:rsidP="007E26B5">
            <w:pPr>
              <w:spacing w:after="160"/>
              <w:rPr>
                <w:rFonts w:cstheme="minorHAnsi"/>
                <w:szCs w:val="24"/>
              </w:rPr>
            </w:pPr>
            <w:r w:rsidRPr="00BF6615">
              <w:rPr>
                <w:rFonts w:cstheme="minorHAnsi"/>
                <w:szCs w:val="24"/>
              </w:rPr>
              <w:t>3.3.2 – Etykiety lub instrukcje</w:t>
            </w:r>
          </w:p>
        </w:tc>
        <w:tc>
          <w:tcPr>
            <w:tcW w:w="1742" w:type="pct"/>
          </w:tcPr>
          <w:p w14:paraId="12A77172" w14:textId="77777777" w:rsidR="00B13433" w:rsidRPr="00BF6615" w:rsidRDefault="00B13433" w:rsidP="007E26B5">
            <w:pPr>
              <w:spacing w:after="160"/>
              <w:rPr>
                <w:rFonts w:cstheme="minorHAnsi"/>
                <w:szCs w:val="24"/>
              </w:rPr>
            </w:pPr>
            <w:r w:rsidRPr="00BF6615">
              <w:rPr>
                <w:rFonts w:cstheme="minorHAnsi"/>
                <w:szCs w:val="24"/>
              </w:rPr>
              <w:t>9</w:t>
            </w:r>
          </w:p>
        </w:tc>
      </w:tr>
      <w:tr w:rsidR="00B13433" w:rsidRPr="00BF6615" w14:paraId="737ECDEF" w14:textId="77777777">
        <w:trPr>
          <w:cnfStyle w:val="000000010000" w:firstRow="0" w:lastRow="0" w:firstColumn="0" w:lastColumn="0" w:oddVBand="0" w:evenVBand="0" w:oddHBand="0" w:evenHBand="1" w:firstRowFirstColumn="0" w:firstRowLastColumn="0" w:lastRowFirstColumn="0" w:lastRowLastColumn="0"/>
        </w:trPr>
        <w:tc>
          <w:tcPr>
            <w:tcW w:w="3168" w:type="pct"/>
          </w:tcPr>
          <w:p w14:paraId="74BD702D" w14:textId="77777777" w:rsidR="00B13433" w:rsidRPr="00BF6615" w:rsidRDefault="00B13433" w:rsidP="007E26B5">
            <w:pPr>
              <w:spacing w:after="160"/>
              <w:rPr>
                <w:rFonts w:cstheme="minorHAnsi"/>
                <w:szCs w:val="24"/>
              </w:rPr>
            </w:pPr>
            <w:r w:rsidRPr="00BF6615">
              <w:rPr>
                <w:rFonts w:eastAsia="Times New Roman" w:cstheme="minorHAnsi"/>
                <w:szCs w:val="24"/>
                <w:lang w:eastAsia="pl-PL"/>
              </w:rPr>
              <w:t>3.2.2 – Podczas wprowadzania danych</w:t>
            </w:r>
          </w:p>
        </w:tc>
        <w:tc>
          <w:tcPr>
            <w:tcW w:w="1742" w:type="pct"/>
          </w:tcPr>
          <w:p w14:paraId="22856BA1" w14:textId="77777777" w:rsidR="00B13433" w:rsidRPr="00BF6615" w:rsidRDefault="00B13433" w:rsidP="007E26B5">
            <w:pPr>
              <w:spacing w:after="160"/>
              <w:rPr>
                <w:rFonts w:cstheme="minorHAnsi"/>
                <w:szCs w:val="24"/>
              </w:rPr>
            </w:pPr>
            <w:r w:rsidRPr="00BF6615">
              <w:rPr>
                <w:rFonts w:cstheme="minorHAnsi"/>
                <w:szCs w:val="24"/>
              </w:rPr>
              <w:t>8</w:t>
            </w:r>
          </w:p>
        </w:tc>
      </w:tr>
      <w:tr w:rsidR="00B13433" w:rsidRPr="00BF6615" w14:paraId="4C633B29" w14:textId="77777777">
        <w:trPr>
          <w:cnfStyle w:val="000000100000" w:firstRow="0" w:lastRow="0" w:firstColumn="0" w:lastColumn="0" w:oddVBand="0" w:evenVBand="0" w:oddHBand="1" w:evenHBand="0" w:firstRowFirstColumn="0" w:firstRowLastColumn="0" w:lastRowFirstColumn="0" w:lastRowLastColumn="0"/>
        </w:trPr>
        <w:tc>
          <w:tcPr>
            <w:tcW w:w="3168" w:type="pct"/>
          </w:tcPr>
          <w:p w14:paraId="62AF50D8" w14:textId="77777777" w:rsidR="00B13433" w:rsidRPr="00BF6615" w:rsidRDefault="00B13433" w:rsidP="007E26B5">
            <w:pPr>
              <w:spacing w:after="160"/>
              <w:rPr>
                <w:rFonts w:cstheme="minorHAnsi"/>
                <w:szCs w:val="24"/>
              </w:rPr>
            </w:pPr>
            <w:r w:rsidRPr="00BF6615">
              <w:rPr>
                <w:rFonts w:cstheme="minorHAnsi"/>
                <w:szCs w:val="24"/>
              </w:rPr>
              <w:t>3.3.3 – Sugestie korekty błędów</w:t>
            </w:r>
          </w:p>
        </w:tc>
        <w:tc>
          <w:tcPr>
            <w:tcW w:w="1742" w:type="pct"/>
          </w:tcPr>
          <w:p w14:paraId="7ABD5498" w14:textId="77777777" w:rsidR="00B13433" w:rsidRPr="00BF6615" w:rsidRDefault="00B13433" w:rsidP="007E26B5">
            <w:pPr>
              <w:spacing w:after="160"/>
              <w:rPr>
                <w:rFonts w:cstheme="minorHAnsi"/>
                <w:szCs w:val="24"/>
              </w:rPr>
            </w:pPr>
            <w:r w:rsidRPr="00BF6615">
              <w:rPr>
                <w:rFonts w:cstheme="minorHAnsi"/>
                <w:szCs w:val="24"/>
              </w:rPr>
              <w:t>7</w:t>
            </w:r>
          </w:p>
        </w:tc>
      </w:tr>
      <w:tr w:rsidR="00B13433" w:rsidRPr="00BF6615" w14:paraId="31EAEC7E" w14:textId="77777777">
        <w:trPr>
          <w:cnfStyle w:val="000000010000" w:firstRow="0" w:lastRow="0" w:firstColumn="0" w:lastColumn="0" w:oddVBand="0" w:evenVBand="0" w:oddHBand="0" w:evenHBand="1" w:firstRowFirstColumn="0" w:firstRowLastColumn="0" w:lastRowFirstColumn="0" w:lastRowLastColumn="0"/>
        </w:trPr>
        <w:tc>
          <w:tcPr>
            <w:tcW w:w="3168" w:type="pct"/>
          </w:tcPr>
          <w:p w14:paraId="15E17C1F" w14:textId="77777777" w:rsidR="00B13433" w:rsidRPr="00BF6615" w:rsidRDefault="00B13433" w:rsidP="007E26B5">
            <w:pPr>
              <w:rPr>
                <w:rFonts w:cstheme="minorHAnsi"/>
                <w:szCs w:val="24"/>
              </w:rPr>
            </w:pPr>
            <w:r w:rsidRPr="00BF6615">
              <w:rPr>
                <w:rFonts w:eastAsia="Times New Roman" w:cstheme="minorHAnsi"/>
                <w:szCs w:val="24"/>
                <w:lang w:eastAsia="pl-PL"/>
              </w:rPr>
              <w:t>3.3.1 – Identyfikacja błędu</w:t>
            </w:r>
          </w:p>
        </w:tc>
        <w:tc>
          <w:tcPr>
            <w:tcW w:w="1742" w:type="pct"/>
          </w:tcPr>
          <w:p w14:paraId="06637E24" w14:textId="77777777" w:rsidR="00B13433" w:rsidRPr="00BF6615" w:rsidRDefault="00B13433" w:rsidP="007E26B5">
            <w:pPr>
              <w:rPr>
                <w:rFonts w:cstheme="minorHAnsi"/>
                <w:szCs w:val="24"/>
              </w:rPr>
            </w:pPr>
            <w:r w:rsidRPr="00BF6615">
              <w:rPr>
                <w:rFonts w:cstheme="minorHAnsi"/>
                <w:szCs w:val="24"/>
              </w:rPr>
              <w:t>6</w:t>
            </w:r>
          </w:p>
        </w:tc>
      </w:tr>
      <w:tr w:rsidR="00B13433" w:rsidRPr="00BF6615" w14:paraId="4A1ECA16" w14:textId="77777777">
        <w:trPr>
          <w:cnfStyle w:val="000000100000" w:firstRow="0" w:lastRow="0" w:firstColumn="0" w:lastColumn="0" w:oddVBand="0" w:evenVBand="0" w:oddHBand="1" w:evenHBand="0" w:firstRowFirstColumn="0" w:firstRowLastColumn="0" w:lastRowFirstColumn="0" w:lastRowLastColumn="0"/>
        </w:trPr>
        <w:tc>
          <w:tcPr>
            <w:tcW w:w="3168" w:type="pct"/>
          </w:tcPr>
          <w:p w14:paraId="1C7F6735" w14:textId="77777777" w:rsidR="00B13433" w:rsidRPr="00BF6615" w:rsidRDefault="00B13433" w:rsidP="007E26B5">
            <w:pPr>
              <w:rPr>
                <w:rFonts w:eastAsia="Times New Roman" w:cstheme="minorHAnsi"/>
                <w:szCs w:val="24"/>
                <w:lang w:eastAsia="pl-PL"/>
              </w:rPr>
            </w:pPr>
            <w:r w:rsidRPr="00BF6615">
              <w:rPr>
                <w:rFonts w:eastAsia="Times New Roman" w:cstheme="minorHAnsi"/>
                <w:szCs w:val="24"/>
                <w:lang w:eastAsia="pl-PL"/>
              </w:rPr>
              <w:t>3.2.3 – Spójna nawigacja</w:t>
            </w:r>
          </w:p>
        </w:tc>
        <w:tc>
          <w:tcPr>
            <w:tcW w:w="1742" w:type="pct"/>
          </w:tcPr>
          <w:p w14:paraId="5EA71007" w14:textId="77777777" w:rsidR="00B13433" w:rsidRPr="00BF6615" w:rsidRDefault="00B13433" w:rsidP="007E26B5">
            <w:pPr>
              <w:rPr>
                <w:rFonts w:cstheme="minorHAnsi"/>
                <w:szCs w:val="24"/>
              </w:rPr>
            </w:pPr>
            <w:r w:rsidRPr="00BF6615">
              <w:rPr>
                <w:rFonts w:cstheme="minorHAnsi"/>
                <w:szCs w:val="24"/>
              </w:rPr>
              <w:t>3</w:t>
            </w:r>
          </w:p>
        </w:tc>
      </w:tr>
    </w:tbl>
    <w:p w14:paraId="1A3B9D43" w14:textId="77777777" w:rsidR="00B13433" w:rsidRPr="00BF6615" w:rsidRDefault="00B13433" w:rsidP="007E26B5">
      <w:r w:rsidRPr="00BF6615">
        <w:t>Źródło: opracowanie własne.</w:t>
      </w:r>
    </w:p>
    <w:p w14:paraId="7C0CE30F" w14:textId="77777777" w:rsidR="00B13433" w:rsidRPr="00BF6615" w:rsidRDefault="00B13433" w:rsidP="00B271C3">
      <w:pPr>
        <w:pStyle w:val="Nagwek4"/>
        <w:rPr>
          <w:rFonts w:cstheme="minorHAnsi"/>
          <w:bCs/>
        </w:rPr>
      </w:pPr>
      <w:r w:rsidRPr="00BF6615">
        <w:rPr>
          <w:rFonts w:cstheme="minorHAnsi"/>
          <w:bCs/>
        </w:rPr>
        <w:t xml:space="preserve">Zasada 4: </w:t>
      </w:r>
      <w:r w:rsidRPr="00B271C3">
        <w:rPr>
          <w:rStyle w:val="Nagwek4Znak"/>
          <w:b/>
        </w:rPr>
        <w:t>Kompatybilność</w:t>
      </w:r>
    </w:p>
    <w:p w14:paraId="156FC0D8" w14:textId="77777777" w:rsidR="00B13433" w:rsidRPr="00BF6615" w:rsidRDefault="00B13433" w:rsidP="007E26B5">
      <w:pPr>
        <w:spacing w:after="160"/>
        <w:rPr>
          <w:rFonts w:cstheme="minorHAnsi"/>
        </w:rPr>
      </w:pPr>
      <w:r w:rsidRPr="00BF6615">
        <w:rPr>
          <w:rFonts w:cstheme="minorHAnsi"/>
        </w:rPr>
        <w:t>W zasadzie 4 (kompatybilność, solidność techniczna) pojawił się jeden wyróżniający problem: 4.1.2 – Nazwa, rola, wartość (4 przypadki).</w:t>
      </w:r>
    </w:p>
    <w:p w14:paraId="7B45E4D3" w14:textId="77777777" w:rsidR="00B13433" w:rsidRPr="00BF6615" w:rsidRDefault="00B13433" w:rsidP="00B271C3">
      <w:pPr>
        <w:pStyle w:val="Nagwek4"/>
      </w:pPr>
      <w:r w:rsidRPr="338987BF">
        <w:t xml:space="preserve">Jak użytkownicy i </w:t>
      </w:r>
      <w:r w:rsidRPr="00B271C3">
        <w:rPr>
          <w:rStyle w:val="Nagwek4Znak"/>
          <w:b/>
        </w:rPr>
        <w:t>użytkowniczki</w:t>
      </w:r>
      <w:r w:rsidRPr="338987BF">
        <w:t xml:space="preserve"> próbowali pokonać trudności?</w:t>
      </w:r>
    </w:p>
    <w:p w14:paraId="436861FF" w14:textId="77777777" w:rsidR="00B13433" w:rsidRPr="00BF6615" w:rsidRDefault="00B13433" w:rsidP="007E26B5">
      <w:pPr>
        <w:rPr>
          <w:rFonts w:cstheme="minorHAnsi"/>
        </w:rPr>
      </w:pPr>
      <w:r w:rsidRPr="00BF6615">
        <w:rPr>
          <w:rFonts w:cstheme="minorHAnsi"/>
        </w:rPr>
        <w:t xml:space="preserve">Użytkownicy słabowidzący najczęściej próbowali pokonywać trudności poprzez przybliżanie się do ekranu lub manualne powiększanie widoku przeglądarki. W kilku przypadkach zgłaszano konieczność zbliżenia twarzy do monitora, ponieważ „czcionka była zbyt mała” i „słaba widoczność czcionki uniemożliwiała samodzielne czytanie”. Część uczestników wyraźnie wskazywała, że brak ciemnego tła bardzo utrudniał korzystanie z aplikacji – „jasne kolory są męczące dla oczu”. Zamiast korzystać z technologii wspomagających, użytkownicy liczyli na proste rozwiązania wizualne, jak większe i pogrubione </w:t>
      </w:r>
      <w:proofErr w:type="spellStart"/>
      <w:r w:rsidRPr="00BF6615">
        <w:rPr>
          <w:rFonts w:cstheme="minorHAnsi"/>
        </w:rPr>
        <w:t>fonty</w:t>
      </w:r>
      <w:proofErr w:type="spellEnd"/>
      <w:r w:rsidRPr="00BF6615">
        <w:rPr>
          <w:rFonts w:cstheme="minorHAnsi"/>
        </w:rPr>
        <w:t xml:space="preserve">. W jednej z aplikacji zauważono ikonkę oka, która – jak zgłoszono – „miała coś pomóc”, ale była nieaktywna. Najczęściej, w poszukiwaniu rozwiązania, korzystano z metody prób i błędów. Gdy badani nie mogli samodzielnie odnaleźć elementu interfejsu klikali „na chybił trafił” lub prosili o pomoc </w:t>
      </w:r>
      <w:r w:rsidRPr="00BF6615">
        <w:rPr>
          <w:rFonts w:cstheme="minorHAnsi"/>
        </w:rPr>
        <w:lastRenderedPageBreak/>
        <w:t xml:space="preserve">inną osobę. Problem dotyczył także ikon i przycisków – „są zbyt małe, trudno je zauważyć i trafić”. </w:t>
      </w:r>
    </w:p>
    <w:p w14:paraId="16844A7B" w14:textId="77777777" w:rsidR="00B13433" w:rsidRPr="00BF6615" w:rsidRDefault="00B13433" w:rsidP="00B271C3">
      <w:pPr>
        <w:pStyle w:val="Nagwek4"/>
      </w:pPr>
      <w:r w:rsidRPr="338987BF">
        <w:t xml:space="preserve">Stany emocjonalne </w:t>
      </w:r>
      <w:r w:rsidRPr="00B271C3">
        <w:rPr>
          <w:rStyle w:val="Nagwek4Znak"/>
          <w:b/>
        </w:rPr>
        <w:t>użytkowników</w:t>
      </w:r>
      <w:r w:rsidRPr="338987BF">
        <w:t xml:space="preserve"> i użytkowniczek podczas testów</w:t>
      </w:r>
    </w:p>
    <w:p w14:paraId="6C2A182A" w14:textId="77777777" w:rsidR="00B13433" w:rsidRPr="00BF6615" w:rsidRDefault="00B13433" w:rsidP="007E26B5">
      <w:pPr>
        <w:rPr>
          <w:rFonts w:cstheme="minorHAnsi"/>
        </w:rPr>
      </w:pPr>
      <w:r w:rsidRPr="00BF6615">
        <w:rPr>
          <w:rFonts w:cstheme="minorHAnsi"/>
        </w:rPr>
        <w:t>W trakcie testów obserwowano różne stany emocjonalne towarzyszące osobom słabowidzącym. Uczestnicy w większości zachowywali spokój i skupienie, nawet gdy napotykali trudności wynikające z niedostępności wizualnej elementów interfejsu. Spokój wystąpił w 14 przypadkach i był najczęściej notowanym stanem emocjonalnym – stanowił 46,7% wszystkich obserwacji. Był on dominujący zwłaszcza przy prostych stronach lub w początkowej fazie testów. Drugim najczęściej odnotowanym stanem była frustracja – zaobserwowano ją w 9 przypadkach (30%), głównie w sytuacjach, gdy użytkownicy nie mogli odczytać treści, kliknąć przycisku lub zlokalizować ważnego elementu strony. Zadowolenie pojawiło się 4 razy (13,3%) – zwykle po udanym wykonaniu zadania mimo trudności. Zniechęcenie i zdenerwowanie odnotowano rzadziej – odpowiednio 2 razy (6,7%) i 1 raz (3,3%), zazwyczaj przy zadaniach niemożliwych do realizacji z powodu złej widoczności lub braku reakcji systemu. Emocje te miały charakter przejściowy, jednak wskazywały na wyraźne bariery w interakcji. Dane te potwierdzają, że osoby słabowidzące, mimo dużej determinacji, są narażone na stres w kontakcie z niedostępnymi stronami.</w:t>
      </w:r>
    </w:p>
    <w:p w14:paraId="25EDE80A" w14:textId="77777777" w:rsidR="00B13433" w:rsidRPr="00BF6615" w:rsidRDefault="00B13433" w:rsidP="00B271C3">
      <w:pPr>
        <w:pStyle w:val="Nagwek4"/>
      </w:pPr>
      <w:r w:rsidRPr="338987BF">
        <w:t xml:space="preserve">Opinie użytkowników i </w:t>
      </w:r>
      <w:r w:rsidRPr="00B271C3">
        <w:rPr>
          <w:rStyle w:val="Nagwek4Znak"/>
          <w:b/>
        </w:rPr>
        <w:t>użytkowniczek</w:t>
      </w:r>
      <w:r w:rsidRPr="338987BF">
        <w:t xml:space="preserve"> o procesie testowania</w:t>
      </w:r>
    </w:p>
    <w:p w14:paraId="32EB86F3" w14:textId="77777777" w:rsidR="00B13433" w:rsidRPr="00BF6615" w:rsidRDefault="00B13433" w:rsidP="007E26B5">
      <w:pPr>
        <w:rPr>
          <w:rFonts w:cstheme="minorHAnsi"/>
        </w:rPr>
      </w:pPr>
      <w:r w:rsidRPr="00BF6615">
        <w:rPr>
          <w:rFonts w:cstheme="minorHAnsi"/>
        </w:rPr>
        <w:t>Opinie osób słabowidzących biorących udział w testach potwierdzają powtarzające się trudności z czytelnością i obsługą badanych stron i aplikacji. Uczestnicy najczęściej narzekali na zbyt małą czcionkę, brak możliwości powiększania tekstu oraz brak trybu kontrastowego – „część czcionki jest zbyt mała. Lepiej jakby była większa i pogrubiona”. Jeden z badanych zauważył, że aplikacja była trudna do odczytania, bo „nie ma czarnego tła, a jasne kolory są męczące”. Wskazywano także problemy z formularzami: „formularz do kontaktu był słabo widoczny i nie było wiadomo, czy został wysłany”, co pogłębiało poczucie zagubienia.</w:t>
      </w:r>
    </w:p>
    <w:p w14:paraId="10A4DE6A" w14:textId="77777777" w:rsidR="00B13433" w:rsidRPr="00BF6615" w:rsidRDefault="00B13433" w:rsidP="007E26B5">
      <w:pPr>
        <w:rPr>
          <w:rFonts w:cstheme="minorHAnsi"/>
        </w:rPr>
      </w:pPr>
      <w:r w:rsidRPr="00BF6615">
        <w:rPr>
          <w:rFonts w:cstheme="minorHAnsi"/>
        </w:rPr>
        <w:t>Poruszanie się po stronach często określano jako nieprzyjemne – „szczególnie klikanie ikonek, są za małe i trudno w nie trafić”. Niektórzy badani zgłaszali, że elementy interfejsu „rozjeżdżają się po powiększeniu, przez co nie wszystko widać”. Jeden z użytkowników wyraził nawet obawę, że to jego wina: „Biorę winę na siebie, że nie byłem w stanie skorzystać ze strony”, co może wskazywać na niskie poczucie sprawczości w kontakcie z niedostępną stroną. Pojawiły się także konstruktywne sugestie – „możliwość zwiększenia rozmiarów poszczególnych elementów strony byłaby pomocna” oraz „fajnie jakby były bardziej przejrzyste i łatwiejsze w obsłudze – np. mniej rzeczy naraz”.</w:t>
      </w:r>
    </w:p>
    <w:p w14:paraId="1FF53C96" w14:textId="77777777" w:rsidR="00B13433" w:rsidRPr="00BF6615" w:rsidRDefault="00B13433" w:rsidP="007E26B5">
      <w:pPr>
        <w:rPr>
          <w:rFonts w:cstheme="minorHAnsi"/>
        </w:rPr>
      </w:pPr>
      <w:r w:rsidRPr="00BF6615">
        <w:rPr>
          <w:rFonts w:cstheme="minorHAnsi"/>
        </w:rPr>
        <w:t>Mimo wskazanych trudności, część osób dostrzegła wartość informacyjną lub funkcjonalną niektórych stron – np. chwalono pierwszą testowaną stronę za „czytelność i intuicyjność w porównaniu z kolejną”. Ogólny wydźwięk opinii pozostaje jednak krytyczny – badani jasno wyrazili potrzebę wprowadzenia zmian, które umożliwią im bardziej komfortowe, samodzielne korzystanie z usług publicznych online.</w:t>
      </w:r>
    </w:p>
    <w:p w14:paraId="1E220330" w14:textId="77777777" w:rsidR="00B13433" w:rsidRPr="00BF6615" w:rsidRDefault="00B13433" w:rsidP="00B271C3">
      <w:pPr>
        <w:pStyle w:val="Nagwek4"/>
      </w:pPr>
      <w:r w:rsidRPr="338987BF">
        <w:lastRenderedPageBreak/>
        <w:t xml:space="preserve">Podsumowanie </w:t>
      </w:r>
      <w:r w:rsidRPr="00B271C3">
        <w:rPr>
          <w:rStyle w:val="Nagwek4Znak"/>
          <w:b/>
        </w:rPr>
        <w:t>testów</w:t>
      </w:r>
    </w:p>
    <w:p w14:paraId="19E100DC" w14:textId="77777777" w:rsidR="00B13433" w:rsidRPr="00BF6615" w:rsidRDefault="00B13433" w:rsidP="007E26B5">
      <w:pPr>
        <w:spacing w:after="160"/>
        <w:rPr>
          <w:rFonts w:cstheme="minorHAnsi"/>
        </w:rPr>
      </w:pPr>
      <w:r w:rsidRPr="00BF6615">
        <w:rPr>
          <w:rFonts w:cstheme="minorHAnsi"/>
        </w:rPr>
        <w:t>Osoby słabowidzące napotkały liczne trudności podczas korzystania z testowanych stron/aplikacji internetowych i aplikacji mobilnych. Najczęstszymi barierami były zbyt mała czcionka, niski kontrast elementów oraz brak możliwości powiększenia treści bez utraty czytelności. Nawet przy stosowaniu podstawowych strategii, takich jak przybliżanie się do ekranu czy powiększanie widoku w przeglądarce, część informacji pozostawała niewidoczna lub trudna do zinterpretowania. Użytkownicy skarżyli się na męczące dla oczu jasne tła oraz zbyt drobne ikony i przyciski, które utrudniały interakcję. Frustrację budziły także formularze – często nieczytelne, pozbawione etykiet lub informacji zwrotnej po ich wysłaniu. W kilku przypadkach badani otwarcie przyznali, że bez pomocy drugiej osoby nie byliby w stanie wykonać zadania. Choć większość z nich wykazywała dużą determinację, stwierdzano również oznaki zniechęcenia, szczególnie przy aplikacjach mobilnych. Testy ujawniły również pozytywne elementy – niektóre strony były oceniane jako bardziej przejrzyste i uporządkowane. Użytkownicy zgłaszali konkretne potrzeby, takie jak tryb kontrastowy, możliwość zmiany wielkości czcionki czy uproszczony interfejs. Wypowiedzi uczestników jasno wskazują, że obecna dostępność stron/aplikacji publicznych jest niewystarczająca dla tej grupy. Poprawa wizualnej dostępności stron i aplikacji bezpośrednio przełożyłaby się na większą samodzielność i komfort osób słabowidzących.</w:t>
      </w:r>
    </w:p>
    <w:p w14:paraId="0FEBA48E" w14:textId="77777777" w:rsidR="00B13433" w:rsidRPr="00BF6615" w:rsidRDefault="00B13433" w:rsidP="00B271C3">
      <w:pPr>
        <w:pStyle w:val="Nagwek4"/>
      </w:pPr>
      <w:bookmarkStart w:id="90" w:name="_Toc196827594"/>
      <w:r w:rsidRPr="338987BF">
        <w:t xml:space="preserve">Hierarchia potrzeb </w:t>
      </w:r>
      <w:r w:rsidRPr="00B271C3">
        <w:rPr>
          <w:rStyle w:val="Nagwek4Znak"/>
          <w:b/>
        </w:rPr>
        <w:t>osób</w:t>
      </w:r>
      <w:r w:rsidRPr="338987BF">
        <w:t xml:space="preserve"> słabowidzących w zakresie stron internetowych i aplikacji podmiotów publicznych</w:t>
      </w:r>
      <w:bookmarkEnd w:id="90"/>
      <w:r w:rsidRPr="338987BF" w:rsidDel="00981680">
        <w:t xml:space="preserve"> </w:t>
      </w:r>
    </w:p>
    <w:p w14:paraId="5E14A517" w14:textId="77777777" w:rsidR="00B13433" w:rsidRPr="00BF6615" w:rsidRDefault="00B13433">
      <w:pPr>
        <w:pStyle w:val="Akapitzlist"/>
        <w:numPr>
          <w:ilvl w:val="0"/>
          <w:numId w:val="44"/>
        </w:numPr>
        <w:rPr>
          <w:rFonts w:cstheme="minorHAnsi"/>
          <w:b/>
          <w:bCs/>
        </w:rPr>
      </w:pPr>
      <w:r w:rsidRPr="00BF6615">
        <w:rPr>
          <w:rFonts w:cstheme="minorHAnsi"/>
          <w:b/>
          <w:bCs/>
        </w:rPr>
        <w:t>Czytelność treści (najwyższy priorytet)</w:t>
      </w:r>
    </w:p>
    <w:p w14:paraId="590E4476" w14:textId="77777777" w:rsidR="00B13433" w:rsidRPr="00BF6615" w:rsidRDefault="00B13433">
      <w:pPr>
        <w:pStyle w:val="Akapitzlist"/>
        <w:numPr>
          <w:ilvl w:val="0"/>
          <w:numId w:val="45"/>
        </w:numPr>
        <w:rPr>
          <w:rFonts w:cstheme="minorHAnsi"/>
        </w:rPr>
      </w:pPr>
      <w:r w:rsidRPr="00BF6615">
        <w:rPr>
          <w:rFonts w:cstheme="minorHAnsi"/>
        </w:rPr>
        <w:t>Powiększona czcionka z możliwością dalszej zmiany rozmiaru bez rozjeżdżania układu.</w:t>
      </w:r>
    </w:p>
    <w:p w14:paraId="13654C4B" w14:textId="77777777" w:rsidR="00B13433" w:rsidRPr="00BF6615" w:rsidRDefault="00B13433">
      <w:pPr>
        <w:pStyle w:val="Akapitzlist"/>
        <w:numPr>
          <w:ilvl w:val="0"/>
          <w:numId w:val="45"/>
        </w:numPr>
        <w:rPr>
          <w:rFonts w:cstheme="minorHAnsi"/>
        </w:rPr>
      </w:pPr>
      <w:r w:rsidRPr="00BF6615">
        <w:rPr>
          <w:rFonts w:cstheme="minorHAnsi"/>
        </w:rPr>
        <w:t xml:space="preserve">Pogrubiony </w:t>
      </w:r>
      <w:proofErr w:type="spellStart"/>
      <w:r w:rsidRPr="00BF6615">
        <w:rPr>
          <w:rFonts w:cstheme="minorHAnsi"/>
        </w:rPr>
        <w:t>font</w:t>
      </w:r>
      <w:proofErr w:type="spellEnd"/>
      <w:r w:rsidRPr="00BF6615">
        <w:rPr>
          <w:rFonts w:cstheme="minorHAnsi"/>
        </w:rPr>
        <w:t xml:space="preserve"> i odpowiedni odstęp między wierszami ułatwiający śledzenie tekstu.</w:t>
      </w:r>
    </w:p>
    <w:p w14:paraId="302CA287" w14:textId="77777777" w:rsidR="00B13433" w:rsidRPr="00BF6615" w:rsidRDefault="00B13433">
      <w:pPr>
        <w:pStyle w:val="Akapitzlist"/>
        <w:numPr>
          <w:ilvl w:val="0"/>
          <w:numId w:val="45"/>
        </w:numPr>
        <w:rPr>
          <w:rFonts w:cstheme="minorHAnsi"/>
        </w:rPr>
      </w:pPr>
      <w:r w:rsidRPr="00BF6615">
        <w:rPr>
          <w:rFonts w:cstheme="minorHAnsi"/>
        </w:rPr>
        <w:t>Eliminowanie tekstów osadzonych w grafikach (obrazów tekstu), które nie skalują się przy powiększeniu.</w:t>
      </w:r>
    </w:p>
    <w:p w14:paraId="3B63E13F" w14:textId="77777777" w:rsidR="00B13433" w:rsidRPr="00BF6615" w:rsidRDefault="00B13433" w:rsidP="00B271C3">
      <w:pPr>
        <w:pStyle w:val="Akapitzlist"/>
        <w:numPr>
          <w:ilvl w:val="0"/>
          <w:numId w:val="44"/>
        </w:numPr>
        <w:ind w:left="714" w:hanging="357"/>
        <w:rPr>
          <w:rFonts w:cstheme="minorHAnsi"/>
          <w:b/>
          <w:bCs/>
        </w:rPr>
      </w:pPr>
      <w:r w:rsidRPr="00BF6615">
        <w:rPr>
          <w:rFonts w:cstheme="minorHAnsi"/>
          <w:b/>
          <w:bCs/>
        </w:rPr>
        <w:t>Wysoki kontrast i możliwość zmiany motywu</w:t>
      </w:r>
    </w:p>
    <w:p w14:paraId="01C4FD51" w14:textId="77777777" w:rsidR="00B13433" w:rsidRPr="00BF6615" w:rsidRDefault="00B13433">
      <w:pPr>
        <w:pStyle w:val="Akapitzlist"/>
        <w:numPr>
          <w:ilvl w:val="0"/>
          <w:numId w:val="46"/>
        </w:numPr>
        <w:rPr>
          <w:rFonts w:cstheme="minorHAnsi"/>
        </w:rPr>
      </w:pPr>
      <w:r w:rsidRPr="00BF6615">
        <w:rPr>
          <w:rFonts w:cstheme="minorHAnsi"/>
        </w:rPr>
        <w:t>Obowiązkowy kontrast zgodny z WCAG.</w:t>
      </w:r>
    </w:p>
    <w:p w14:paraId="7D36AE37" w14:textId="77777777" w:rsidR="00B13433" w:rsidRPr="00BF6615" w:rsidRDefault="00B13433">
      <w:pPr>
        <w:pStyle w:val="Akapitzlist"/>
        <w:numPr>
          <w:ilvl w:val="0"/>
          <w:numId w:val="46"/>
        </w:numPr>
        <w:rPr>
          <w:rFonts w:cstheme="minorHAnsi"/>
        </w:rPr>
      </w:pPr>
      <w:r w:rsidRPr="00BF6615">
        <w:rPr>
          <w:rFonts w:cstheme="minorHAnsi"/>
        </w:rPr>
        <w:t>Możliwość przełączenia na tryb wysokiego kontrastu (np. jasny tekst na ciemnym tle).</w:t>
      </w:r>
    </w:p>
    <w:p w14:paraId="35C6711D" w14:textId="77777777" w:rsidR="00B13433" w:rsidRPr="00BF6615" w:rsidRDefault="00B13433">
      <w:pPr>
        <w:pStyle w:val="Akapitzlist"/>
        <w:numPr>
          <w:ilvl w:val="0"/>
          <w:numId w:val="46"/>
        </w:numPr>
        <w:rPr>
          <w:rFonts w:cstheme="minorHAnsi"/>
        </w:rPr>
      </w:pPr>
      <w:r w:rsidRPr="00BF6615">
        <w:rPr>
          <w:rFonts w:cstheme="minorHAnsi"/>
        </w:rPr>
        <w:t>Unikanie pastelowych lub bardzo jasnych kolorów, które męczą wzrok.</w:t>
      </w:r>
    </w:p>
    <w:p w14:paraId="18EE3D21" w14:textId="77777777" w:rsidR="00B13433" w:rsidRPr="00BF6615" w:rsidRDefault="00B13433">
      <w:pPr>
        <w:pStyle w:val="Akapitzlist"/>
        <w:numPr>
          <w:ilvl w:val="0"/>
          <w:numId w:val="44"/>
        </w:numPr>
        <w:rPr>
          <w:rFonts w:cstheme="minorHAnsi"/>
          <w:b/>
          <w:bCs/>
        </w:rPr>
      </w:pPr>
      <w:r w:rsidRPr="00BF6615">
        <w:rPr>
          <w:rFonts w:cstheme="minorHAnsi"/>
          <w:b/>
          <w:bCs/>
        </w:rPr>
        <w:t>Przejrzysta struktura i prosty układ stron</w:t>
      </w:r>
    </w:p>
    <w:p w14:paraId="06ABDB6E" w14:textId="77777777" w:rsidR="00B13433" w:rsidRPr="00BF6615" w:rsidRDefault="00B13433">
      <w:pPr>
        <w:pStyle w:val="Akapitzlist"/>
        <w:numPr>
          <w:ilvl w:val="0"/>
          <w:numId w:val="47"/>
        </w:numPr>
        <w:rPr>
          <w:rFonts w:cstheme="minorHAnsi"/>
        </w:rPr>
      </w:pPr>
      <w:r w:rsidRPr="00BF6615">
        <w:rPr>
          <w:rFonts w:cstheme="minorHAnsi"/>
        </w:rPr>
        <w:t>Wyraźne nagłówki, sekcje i hierarchia treści.</w:t>
      </w:r>
    </w:p>
    <w:p w14:paraId="0A0DC688" w14:textId="77777777" w:rsidR="00B13433" w:rsidRPr="00BF6615" w:rsidRDefault="00B13433">
      <w:pPr>
        <w:pStyle w:val="Akapitzlist"/>
        <w:numPr>
          <w:ilvl w:val="0"/>
          <w:numId w:val="47"/>
        </w:numPr>
        <w:rPr>
          <w:rFonts w:cstheme="minorHAnsi"/>
        </w:rPr>
      </w:pPr>
      <w:r w:rsidRPr="00BF6615">
        <w:rPr>
          <w:rFonts w:cstheme="minorHAnsi"/>
        </w:rPr>
        <w:t>Minimalistyczne layouty – bez „przeładowania” graficznego i przesadnej ilości elementów na stronie.</w:t>
      </w:r>
    </w:p>
    <w:p w14:paraId="4D861264" w14:textId="77777777" w:rsidR="00B13433" w:rsidRPr="00BF6615" w:rsidRDefault="00B13433">
      <w:pPr>
        <w:pStyle w:val="Akapitzlist"/>
        <w:numPr>
          <w:ilvl w:val="0"/>
          <w:numId w:val="47"/>
        </w:numPr>
        <w:rPr>
          <w:rFonts w:cstheme="minorHAnsi"/>
        </w:rPr>
      </w:pPr>
      <w:r w:rsidRPr="00BF6615">
        <w:rPr>
          <w:rFonts w:cstheme="minorHAnsi"/>
        </w:rPr>
        <w:t>Stałe i przewidywalne rozmieszczenie przycisków, formularzy i menu.</w:t>
      </w:r>
    </w:p>
    <w:p w14:paraId="2B7C6F01" w14:textId="77777777" w:rsidR="00B13433" w:rsidRPr="00BF6615" w:rsidRDefault="00B13433">
      <w:pPr>
        <w:pStyle w:val="Akapitzlist"/>
        <w:numPr>
          <w:ilvl w:val="0"/>
          <w:numId w:val="44"/>
        </w:numPr>
        <w:rPr>
          <w:rFonts w:cstheme="minorHAnsi"/>
          <w:b/>
          <w:bCs/>
        </w:rPr>
      </w:pPr>
      <w:r w:rsidRPr="00BF6615">
        <w:rPr>
          <w:rFonts w:cstheme="minorHAnsi"/>
          <w:b/>
          <w:bCs/>
        </w:rPr>
        <w:t>Intuicyjna nawigacja</w:t>
      </w:r>
    </w:p>
    <w:p w14:paraId="5FBB49AF" w14:textId="77777777" w:rsidR="00B13433" w:rsidRPr="00BF6615" w:rsidRDefault="00B13433">
      <w:pPr>
        <w:pStyle w:val="Akapitzlist"/>
        <w:numPr>
          <w:ilvl w:val="0"/>
          <w:numId w:val="48"/>
        </w:numPr>
        <w:rPr>
          <w:rFonts w:cstheme="minorHAnsi"/>
        </w:rPr>
      </w:pPr>
      <w:r w:rsidRPr="00BF6615">
        <w:rPr>
          <w:rFonts w:cstheme="minorHAnsi"/>
        </w:rPr>
        <w:t>Duże, łatwe do zauważenia i kliknięcia przyciski.</w:t>
      </w:r>
    </w:p>
    <w:p w14:paraId="2F06B3FD" w14:textId="77777777" w:rsidR="00B13433" w:rsidRPr="00BF6615" w:rsidRDefault="00B13433">
      <w:pPr>
        <w:pStyle w:val="Akapitzlist"/>
        <w:numPr>
          <w:ilvl w:val="0"/>
          <w:numId w:val="48"/>
        </w:numPr>
        <w:rPr>
          <w:rFonts w:cstheme="minorHAnsi"/>
        </w:rPr>
      </w:pPr>
      <w:r w:rsidRPr="00BF6615">
        <w:rPr>
          <w:rFonts w:cstheme="minorHAnsi"/>
        </w:rPr>
        <w:t>Menu, które nie znika przy przypadkowym ruchu kursorem.</w:t>
      </w:r>
    </w:p>
    <w:p w14:paraId="2F33BC97" w14:textId="77777777" w:rsidR="00B13433" w:rsidRPr="00BF6615" w:rsidRDefault="00B13433">
      <w:pPr>
        <w:pStyle w:val="Akapitzlist"/>
        <w:numPr>
          <w:ilvl w:val="0"/>
          <w:numId w:val="48"/>
        </w:numPr>
        <w:rPr>
          <w:rFonts w:cstheme="minorHAnsi"/>
        </w:rPr>
      </w:pPr>
      <w:r w:rsidRPr="00BF6615">
        <w:rPr>
          <w:rFonts w:cstheme="minorHAnsi"/>
        </w:rPr>
        <w:t>Łatwo dostępne elementy typu „Wróć na górę” lub „Przejdź do głównej treści”.</w:t>
      </w:r>
    </w:p>
    <w:p w14:paraId="6ED6B1DD" w14:textId="77777777" w:rsidR="00B13433" w:rsidRPr="00BF6615" w:rsidRDefault="00B13433" w:rsidP="00B271C3">
      <w:pPr>
        <w:pStyle w:val="Akapitzlist"/>
        <w:pageBreakBefore/>
        <w:numPr>
          <w:ilvl w:val="0"/>
          <w:numId w:val="44"/>
        </w:numPr>
        <w:ind w:left="714" w:hanging="357"/>
        <w:rPr>
          <w:rFonts w:cstheme="minorHAnsi"/>
          <w:b/>
          <w:bCs/>
        </w:rPr>
      </w:pPr>
      <w:r w:rsidRPr="00BF6615">
        <w:rPr>
          <w:rFonts w:cstheme="minorHAnsi"/>
          <w:b/>
          <w:bCs/>
        </w:rPr>
        <w:lastRenderedPageBreak/>
        <w:t>Obsługa formularzy i elementów interaktywnych</w:t>
      </w:r>
    </w:p>
    <w:p w14:paraId="3D72504A" w14:textId="77777777" w:rsidR="00B13433" w:rsidRPr="00BF6615" w:rsidRDefault="00B13433">
      <w:pPr>
        <w:pStyle w:val="Akapitzlist"/>
        <w:numPr>
          <w:ilvl w:val="0"/>
          <w:numId w:val="49"/>
        </w:numPr>
        <w:rPr>
          <w:rFonts w:cstheme="minorHAnsi"/>
        </w:rPr>
      </w:pPr>
      <w:r w:rsidRPr="00BF6615">
        <w:rPr>
          <w:rFonts w:cstheme="minorHAnsi"/>
        </w:rPr>
        <w:t>Jasne, widoczne etykiety i podpowiedzi w formularzach (np. nad lub obok pola).</w:t>
      </w:r>
    </w:p>
    <w:p w14:paraId="657EFB06" w14:textId="77777777" w:rsidR="00B13433" w:rsidRPr="00BF6615" w:rsidRDefault="00B13433">
      <w:pPr>
        <w:pStyle w:val="Akapitzlist"/>
        <w:numPr>
          <w:ilvl w:val="0"/>
          <w:numId w:val="49"/>
        </w:numPr>
        <w:rPr>
          <w:rFonts w:cstheme="minorHAnsi"/>
        </w:rPr>
      </w:pPr>
      <w:r w:rsidRPr="00BF6615">
        <w:rPr>
          <w:rFonts w:cstheme="minorHAnsi"/>
        </w:rPr>
        <w:t>Komunikaty o błędach w formie tekstowej i wizualnej (np. pogrubiony tekst, czerwone ramki z ikoną).</w:t>
      </w:r>
    </w:p>
    <w:p w14:paraId="537114B5" w14:textId="77777777" w:rsidR="00B13433" w:rsidRPr="00BF6615" w:rsidRDefault="00B13433">
      <w:pPr>
        <w:pStyle w:val="Akapitzlist"/>
        <w:numPr>
          <w:ilvl w:val="0"/>
          <w:numId w:val="49"/>
        </w:numPr>
        <w:rPr>
          <w:rFonts w:cstheme="minorHAnsi"/>
        </w:rPr>
      </w:pPr>
      <w:r w:rsidRPr="00BF6615">
        <w:rPr>
          <w:rFonts w:cstheme="minorHAnsi"/>
        </w:rPr>
        <w:t>Możliwość powiększenia pól formularza i elementów interfejsu bez utraty funkcjonalności.</w:t>
      </w:r>
    </w:p>
    <w:p w14:paraId="34344370" w14:textId="77777777" w:rsidR="00B13433" w:rsidRPr="00BF6615" w:rsidRDefault="00B13433">
      <w:pPr>
        <w:pStyle w:val="Akapitzlist"/>
        <w:numPr>
          <w:ilvl w:val="0"/>
          <w:numId w:val="44"/>
        </w:numPr>
        <w:rPr>
          <w:rFonts w:cstheme="minorHAnsi"/>
          <w:b/>
          <w:bCs/>
        </w:rPr>
      </w:pPr>
      <w:r w:rsidRPr="00BF6615">
        <w:rPr>
          <w:rFonts w:cstheme="minorHAnsi"/>
          <w:b/>
          <w:bCs/>
        </w:rPr>
        <w:t>Tryb uproszczony i personalizacja</w:t>
      </w:r>
    </w:p>
    <w:p w14:paraId="540BF7CD" w14:textId="77777777" w:rsidR="00B13433" w:rsidRPr="00BF6615" w:rsidRDefault="00B13433">
      <w:pPr>
        <w:pStyle w:val="Akapitzlist"/>
        <w:numPr>
          <w:ilvl w:val="0"/>
          <w:numId w:val="50"/>
        </w:numPr>
        <w:rPr>
          <w:rFonts w:cstheme="minorHAnsi"/>
        </w:rPr>
      </w:pPr>
      <w:r w:rsidRPr="00BF6615">
        <w:rPr>
          <w:rFonts w:cstheme="minorHAnsi"/>
        </w:rPr>
        <w:t>Opcjonalny tryb uproszczony z większą czcionką, kontrastem i mniej rozbudowaną treścią.</w:t>
      </w:r>
    </w:p>
    <w:p w14:paraId="6A2E64B0" w14:textId="77777777" w:rsidR="00B13433" w:rsidRPr="00BF6615" w:rsidRDefault="00B13433">
      <w:pPr>
        <w:pStyle w:val="Akapitzlist"/>
        <w:numPr>
          <w:ilvl w:val="0"/>
          <w:numId w:val="50"/>
        </w:numPr>
        <w:rPr>
          <w:rFonts w:cstheme="minorHAnsi"/>
        </w:rPr>
      </w:pPr>
      <w:r w:rsidRPr="00BF6615">
        <w:rPr>
          <w:rFonts w:cstheme="minorHAnsi"/>
        </w:rPr>
        <w:t>Możliwość dostosowania ustawień widoczności: kolorów, rozmiaru elementów, kontrastu.</w:t>
      </w:r>
    </w:p>
    <w:p w14:paraId="10D99F63" w14:textId="77777777" w:rsidR="00B13433" w:rsidRPr="00BF6615" w:rsidRDefault="00B13433">
      <w:pPr>
        <w:pStyle w:val="Akapitzlist"/>
        <w:numPr>
          <w:ilvl w:val="0"/>
          <w:numId w:val="50"/>
        </w:numPr>
        <w:rPr>
          <w:rFonts w:eastAsiaTheme="majorEastAsia" w:cstheme="minorHAnsi"/>
          <w:color w:val="000000" w:themeColor="text1"/>
          <w:sz w:val="28"/>
          <w:szCs w:val="28"/>
        </w:rPr>
      </w:pPr>
      <w:r w:rsidRPr="00BF6615">
        <w:rPr>
          <w:rFonts w:cstheme="minorHAnsi"/>
        </w:rPr>
        <w:t>Funkcje pamiętania preferencji użytkownika przy kolejnym wejściu na stronę lub aplikację.</w:t>
      </w:r>
      <w:r w:rsidRPr="00BF6615">
        <w:rPr>
          <w:rFonts w:cstheme="minorHAnsi"/>
        </w:rPr>
        <w:br w:type="page"/>
      </w:r>
    </w:p>
    <w:p w14:paraId="07C45E94" w14:textId="03AFE039" w:rsidR="00B13433" w:rsidRPr="00BF6615" w:rsidRDefault="00B13433">
      <w:pPr>
        <w:pStyle w:val="Nagwek3"/>
        <w:numPr>
          <w:ilvl w:val="1"/>
          <w:numId w:val="6"/>
        </w:numPr>
      </w:pPr>
      <w:bookmarkStart w:id="91" w:name="_Toc196827595"/>
      <w:bookmarkStart w:id="92" w:name="_Toc204179234"/>
      <w:r w:rsidRPr="00BF6615">
        <w:lastRenderedPageBreak/>
        <w:t>Osoby słabosłyszące lub niesłyszące</w:t>
      </w:r>
      <w:bookmarkEnd w:id="91"/>
      <w:bookmarkEnd w:id="92"/>
    </w:p>
    <w:p w14:paraId="136CFD6E" w14:textId="77777777" w:rsidR="00B13433" w:rsidRPr="00BF6615" w:rsidRDefault="00B13433" w:rsidP="00B271C3">
      <w:pPr>
        <w:pStyle w:val="Nagwek4"/>
      </w:pPr>
      <w:bookmarkStart w:id="93" w:name="_Toc194392871"/>
      <w:bookmarkStart w:id="94" w:name="_Toc196827596"/>
      <w:r w:rsidRPr="00B271C3">
        <w:rPr>
          <w:rStyle w:val="Nagwek4Znak"/>
          <w:b/>
        </w:rPr>
        <w:t>Wprowadzenie</w:t>
      </w:r>
      <w:bookmarkEnd w:id="93"/>
      <w:bookmarkEnd w:id="94"/>
    </w:p>
    <w:p w14:paraId="57431823" w14:textId="77777777" w:rsidR="00B13433" w:rsidRPr="00BF6615" w:rsidRDefault="00B13433" w:rsidP="007E26B5">
      <w:pPr>
        <w:rPr>
          <w:rFonts w:cstheme="minorHAnsi"/>
        </w:rPr>
      </w:pPr>
      <w:r w:rsidRPr="00BF6615">
        <w:rPr>
          <w:rFonts w:cstheme="minorHAnsi"/>
        </w:rPr>
        <w:t>Osoby słabosłyszące i niesłyszące napotkały wiele problemów, z których najpoważniejszym był ten, że treści na stronach/aplikacjach nie były tłumaczone na PJM lub brakowało napisów do materiałów wideo i audio. Stąd pojawiło się wiele negatywnych emocji wynikających z niezrozumienia treści na testowanych stronach i aplikacjach, z których dominującą była złość na nierówne traktowanie osoby głuchej w stosunku do innych obywateli. Badani nie korzystali z technologii asystujących, jednak często zwracali uwagę na brak elementów wizualnych, napisów oraz tłumaczeń treści dźwiękowych na język migowy. Wielokrotnie pojawiał się problem z nieintuicyjną nawigacją, trudnym językiem oraz nieczytelnym układem stron i aplikacji.</w:t>
      </w:r>
    </w:p>
    <w:p w14:paraId="4401D2E0" w14:textId="77777777" w:rsidR="00B13433" w:rsidRPr="00BF6615" w:rsidRDefault="00B13433" w:rsidP="007E26B5">
      <w:pPr>
        <w:rPr>
          <w:rFonts w:cstheme="minorHAnsi"/>
        </w:rPr>
      </w:pPr>
      <w:r w:rsidRPr="00BF6615">
        <w:rPr>
          <w:rFonts w:cstheme="minorHAnsi"/>
        </w:rPr>
        <w:t>Najczęstsze problemy wskazane przez osoby słabosłyszące i niesłyszące dotyczyły:</w:t>
      </w:r>
    </w:p>
    <w:p w14:paraId="1503C540" w14:textId="77777777" w:rsidR="00B13433" w:rsidRPr="00BF6615" w:rsidRDefault="00B13433">
      <w:pPr>
        <w:pStyle w:val="Akapitzlist"/>
        <w:numPr>
          <w:ilvl w:val="0"/>
          <w:numId w:val="21"/>
        </w:numPr>
        <w:rPr>
          <w:rFonts w:cstheme="minorHAnsi"/>
        </w:rPr>
      </w:pPr>
      <w:r w:rsidRPr="00BF6615">
        <w:rPr>
          <w:rFonts w:cstheme="minorHAnsi"/>
        </w:rPr>
        <w:t>Braku napisów i opisów alternatywnych do materiałów wideo i audio.</w:t>
      </w:r>
    </w:p>
    <w:p w14:paraId="4CB2F4FA" w14:textId="77777777" w:rsidR="00B13433" w:rsidRPr="00BF6615" w:rsidRDefault="00B13433">
      <w:pPr>
        <w:pStyle w:val="Akapitzlist"/>
        <w:numPr>
          <w:ilvl w:val="0"/>
          <w:numId w:val="21"/>
        </w:numPr>
        <w:rPr>
          <w:rFonts w:cstheme="minorHAnsi"/>
        </w:rPr>
      </w:pPr>
      <w:r w:rsidRPr="00BF6615">
        <w:rPr>
          <w:rFonts w:cstheme="minorHAnsi"/>
        </w:rPr>
        <w:t>Trudności z interpretacją skomplikowanych treści (np. medycznych, podatkowych).</w:t>
      </w:r>
    </w:p>
    <w:p w14:paraId="086CF4AA" w14:textId="77777777" w:rsidR="00B13433" w:rsidRPr="00BF6615" w:rsidRDefault="00B13433">
      <w:pPr>
        <w:pStyle w:val="Akapitzlist"/>
        <w:numPr>
          <w:ilvl w:val="0"/>
          <w:numId w:val="21"/>
        </w:numPr>
        <w:rPr>
          <w:rFonts w:cstheme="minorHAnsi"/>
        </w:rPr>
      </w:pPr>
      <w:r w:rsidRPr="00BF6615">
        <w:rPr>
          <w:rFonts w:cstheme="minorHAnsi"/>
        </w:rPr>
        <w:t>Nieczytelna struktura i nawigacja, zwłaszcza w aplikacjach mobilnych.</w:t>
      </w:r>
    </w:p>
    <w:p w14:paraId="56F2C911" w14:textId="77777777" w:rsidR="00B13433" w:rsidRPr="00BF6615" w:rsidRDefault="00B13433">
      <w:pPr>
        <w:pStyle w:val="Akapitzlist"/>
        <w:numPr>
          <w:ilvl w:val="0"/>
          <w:numId w:val="21"/>
        </w:numPr>
        <w:rPr>
          <w:rFonts w:cstheme="minorHAnsi"/>
        </w:rPr>
      </w:pPr>
      <w:r w:rsidRPr="00BF6615">
        <w:rPr>
          <w:rFonts w:cstheme="minorHAnsi"/>
        </w:rPr>
        <w:t>Brak wsparcia w języku migowym lub brak materiałów wizualnych.</w:t>
      </w:r>
    </w:p>
    <w:p w14:paraId="3B186A91" w14:textId="77777777" w:rsidR="00B13433" w:rsidRPr="00BF6615" w:rsidRDefault="00B13433">
      <w:pPr>
        <w:pStyle w:val="Akapitzlist"/>
        <w:numPr>
          <w:ilvl w:val="0"/>
          <w:numId w:val="21"/>
        </w:numPr>
        <w:rPr>
          <w:rFonts w:cstheme="minorHAnsi"/>
        </w:rPr>
      </w:pPr>
      <w:r w:rsidRPr="00BF6615">
        <w:rPr>
          <w:rFonts w:cstheme="minorHAnsi"/>
        </w:rPr>
        <w:t>Przeciążenie informacjami, zbyt dużo treści na jednej stronie.</w:t>
      </w:r>
    </w:p>
    <w:p w14:paraId="32BD0AE7" w14:textId="77777777" w:rsidR="00B13433" w:rsidRPr="00BF6615" w:rsidRDefault="00B13433">
      <w:pPr>
        <w:pStyle w:val="Akapitzlist"/>
        <w:numPr>
          <w:ilvl w:val="0"/>
          <w:numId w:val="21"/>
        </w:numPr>
        <w:rPr>
          <w:rFonts w:cstheme="minorHAnsi"/>
        </w:rPr>
      </w:pPr>
      <w:r w:rsidRPr="00BF6615">
        <w:rPr>
          <w:rFonts w:cstheme="minorHAnsi"/>
        </w:rPr>
        <w:t>Problemy z formularzami (brak opisów pól, nieczytelne komunikaty o błędach).</w:t>
      </w:r>
    </w:p>
    <w:p w14:paraId="146F2A5F" w14:textId="77777777" w:rsidR="00003348" w:rsidRPr="00B271C3" w:rsidRDefault="00003348" w:rsidP="007E26B5">
      <w:pPr>
        <w:rPr>
          <w:bCs/>
        </w:rPr>
      </w:pPr>
      <w:bookmarkStart w:id="95" w:name="_Toc194392872"/>
      <w:bookmarkStart w:id="96" w:name="_Toc196827597"/>
      <w:r w:rsidRPr="00B271C3">
        <w:rPr>
          <w:bCs/>
        </w:rPr>
        <w:t xml:space="preserve">Poniżej przedstawiono szczegółowe omówienie przeprowadzonych testów. </w:t>
      </w:r>
    </w:p>
    <w:bookmarkEnd w:id="95"/>
    <w:bookmarkEnd w:id="96"/>
    <w:p w14:paraId="61C49176" w14:textId="77777777" w:rsidR="00B13433" w:rsidRPr="00BF6615" w:rsidRDefault="00B13433" w:rsidP="00B271C3">
      <w:pPr>
        <w:pStyle w:val="Nagwek4"/>
      </w:pPr>
      <w:r w:rsidRPr="338987BF">
        <w:t xml:space="preserve">Problemy według </w:t>
      </w:r>
      <w:r w:rsidRPr="00B271C3">
        <w:rPr>
          <w:rStyle w:val="Nagwek4Znak"/>
          <w:b/>
        </w:rPr>
        <w:t>rodzajów</w:t>
      </w:r>
      <w:r w:rsidRPr="338987BF">
        <w:t xml:space="preserve"> testowanych stron i aplikacji podmiotów publicznych</w:t>
      </w:r>
    </w:p>
    <w:p w14:paraId="4D0D3CC0" w14:textId="77777777" w:rsidR="00B13433" w:rsidRPr="00BF6615" w:rsidRDefault="00B13433" w:rsidP="007E26B5">
      <w:pPr>
        <w:rPr>
          <w:rFonts w:cstheme="minorHAnsi"/>
        </w:rPr>
      </w:pPr>
      <w:r w:rsidRPr="00BF6615">
        <w:rPr>
          <w:rFonts w:cstheme="minorHAnsi"/>
        </w:rPr>
        <w:t>Grupa osób słabosłyszących i głuchych testowała strony samorządowe, strony służby zdrowia, strony instytucji kultury i sportu oraz aplikacje służby zdrowia i aplikację regionalnego systemu ostrzegania. Podczas testów użytkowniczki i użytkownicy napotkali następujące trudności:</w:t>
      </w:r>
    </w:p>
    <w:p w14:paraId="0FE06646" w14:textId="77777777" w:rsidR="00B13433" w:rsidRPr="00BF6615" w:rsidRDefault="00B13433">
      <w:pPr>
        <w:numPr>
          <w:ilvl w:val="0"/>
          <w:numId w:val="29"/>
        </w:numPr>
        <w:spacing w:after="160"/>
        <w:ind w:left="714" w:hanging="357"/>
        <w:contextualSpacing/>
        <w:rPr>
          <w:rFonts w:cstheme="minorHAnsi"/>
        </w:rPr>
      </w:pPr>
      <w:r w:rsidRPr="00BF6615">
        <w:t>strony/aplikacje</w:t>
      </w:r>
      <w:r w:rsidRPr="00BF6615">
        <w:rPr>
          <w:rFonts w:cstheme="minorHAnsi"/>
        </w:rPr>
        <w:t xml:space="preserve"> służby zdrowia – trudność w odnalezieniu potrzebnych informacji, brak treści tekstowych w multimediach, brak tłumaczeń PJM.</w:t>
      </w:r>
    </w:p>
    <w:p w14:paraId="2EC03AB6" w14:textId="77777777" w:rsidR="00B13433" w:rsidRPr="00BF6615" w:rsidRDefault="00B13433">
      <w:pPr>
        <w:numPr>
          <w:ilvl w:val="0"/>
          <w:numId w:val="29"/>
        </w:numPr>
        <w:spacing w:after="160"/>
        <w:ind w:left="714" w:hanging="357"/>
        <w:contextualSpacing/>
        <w:rPr>
          <w:rFonts w:cstheme="minorHAnsi"/>
        </w:rPr>
      </w:pPr>
      <w:r w:rsidRPr="00BF6615">
        <w:t>strony</w:t>
      </w:r>
      <w:r w:rsidRPr="00BF6615">
        <w:rPr>
          <w:rFonts w:cstheme="minorHAnsi"/>
        </w:rPr>
        <w:t xml:space="preserve"> samorządowe – nieprzejrzyste menu i układ stron, strony trudna w odbiorze głównie ze względu na język.</w:t>
      </w:r>
    </w:p>
    <w:p w14:paraId="1F992333" w14:textId="77777777" w:rsidR="00B13433" w:rsidRPr="00BF6615" w:rsidRDefault="00B13433">
      <w:pPr>
        <w:numPr>
          <w:ilvl w:val="0"/>
          <w:numId w:val="29"/>
        </w:numPr>
        <w:spacing w:after="160"/>
        <w:ind w:left="714" w:hanging="357"/>
        <w:contextualSpacing/>
        <w:rPr>
          <w:rFonts w:cstheme="minorHAnsi"/>
        </w:rPr>
      </w:pPr>
      <w:r w:rsidRPr="00BF6615">
        <w:t>strony i</w:t>
      </w:r>
      <w:r w:rsidRPr="00BF6615">
        <w:rPr>
          <w:rFonts w:cstheme="minorHAnsi"/>
        </w:rPr>
        <w:t>nstytucji kultury i sportu – zbyt dużo informacji – strony przeładowane, brak tłumaczeń PJM i napisów do filmów.</w:t>
      </w:r>
    </w:p>
    <w:p w14:paraId="50E80F27" w14:textId="59778391" w:rsidR="00B13433" w:rsidRPr="00BF6615" w:rsidRDefault="00B13433">
      <w:pPr>
        <w:numPr>
          <w:ilvl w:val="0"/>
          <w:numId w:val="29"/>
        </w:numPr>
        <w:spacing w:after="160"/>
        <w:ind w:left="714" w:hanging="357"/>
        <w:contextualSpacing/>
        <w:rPr>
          <w:rFonts w:cstheme="minorHAnsi"/>
        </w:rPr>
      </w:pPr>
      <w:r w:rsidRPr="00BF6615">
        <w:rPr>
          <w:rFonts w:cstheme="minorHAnsi"/>
        </w:rPr>
        <w:t xml:space="preserve">strona podatkowa – zbyt wiele informacji na raz, strona trudna w odbiorze głównie </w:t>
      </w:r>
      <w:r w:rsidR="000A692A" w:rsidRPr="00BF6615">
        <w:rPr>
          <w:rFonts w:cstheme="minorHAnsi"/>
        </w:rPr>
        <w:t>ze</w:t>
      </w:r>
      <w:r w:rsidR="000A692A">
        <w:rPr>
          <w:rFonts w:cstheme="minorHAnsi"/>
        </w:rPr>
        <w:t> </w:t>
      </w:r>
      <w:r w:rsidRPr="00BF6615">
        <w:rPr>
          <w:rFonts w:cstheme="minorHAnsi"/>
        </w:rPr>
        <w:t>względu na język i formę prezentacji informacji.</w:t>
      </w:r>
    </w:p>
    <w:p w14:paraId="719A2AC6" w14:textId="77777777" w:rsidR="00B13433" w:rsidRPr="00BF6615" w:rsidRDefault="00B13433">
      <w:pPr>
        <w:numPr>
          <w:ilvl w:val="0"/>
          <w:numId w:val="29"/>
        </w:numPr>
        <w:spacing w:after="160"/>
        <w:ind w:left="714" w:hanging="357"/>
        <w:contextualSpacing/>
        <w:rPr>
          <w:rFonts w:cstheme="minorHAnsi"/>
        </w:rPr>
      </w:pPr>
      <w:r w:rsidRPr="00BF6615">
        <w:rPr>
          <w:rFonts w:cstheme="minorHAnsi"/>
        </w:rPr>
        <w:t>aplikacja ostrzegawcza – aplikacja mało intuicyjna i przeładowana treścią, brak czytelnych opisów/legend dla symboli i ikon użytych w aplikacji, ograniczona możliwość powiększania treści multimedialnych, brak jasnych instrukcji postępowania.</w:t>
      </w:r>
    </w:p>
    <w:p w14:paraId="4267E571" w14:textId="77777777" w:rsidR="00B13433" w:rsidRPr="00BF6615" w:rsidRDefault="00B13433" w:rsidP="007E26B5">
      <w:pPr>
        <w:spacing w:after="160"/>
        <w:rPr>
          <w:rFonts w:cstheme="minorHAnsi"/>
        </w:rPr>
      </w:pPr>
      <w:r w:rsidRPr="00BF6615">
        <w:rPr>
          <w:rFonts w:cstheme="minorHAnsi"/>
        </w:rPr>
        <w:t xml:space="preserve">Kluczowe jest podkreślenie, że testowane strony/aplikacje często zawierają materiały multimedialne (filmy instruktażowe, nagrania wideo z koncertów, relacje z wydarzeń). Tutaj ujawniła się kluczowa bariera percepcyjna: brak napisów i tłumacza języka migowego (PJM) przy materiałach wideo. Użytkownicy niesłyszący nie byli w stanie zrozumieć treści audio </w:t>
      </w:r>
      <w:r w:rsidRPr="00BF6615">
        <w:rPr>
          <w:rFonts w:cstheme="minorHAnsi"/>
        </w:rPr>
        <w:lastRenderedPageBreak/>
        <w:t xml:space="preserve">zawartych w filmach, ponieważ nie zapewniono napisów ani tłumaczenia na język migowy. Jeden z uczestników zauważył, że takie materiały odcinają osobę głuchą od informacji, które przekazywane są wyłącznie głosem lektora lub dialogami. Taki brak alternatywnej prezentacji treści audio jest niezgodny z zasadą postrzegalności WCAG, </w:t>
      </w:r>
      <w:r w:rsidRPr="00BF6615">
        <w:t xml:space="preserve"> </w:t>
      </w:r>
      <w:r w:rsidRPr="00BF6615">
        <w:rPr>
          <w:rFonts w:cstheme="minorHAnsi"/>
        </w:rPr>
        <w:t>zgodnie z którą wszystkie treści muszą być przedstawiane w sposób umożliwiający ich odbiór przez różne zmysły. Szczególnie istotne w tym kontekście są kryteria sukcesu 1.2.2 – Napisy rozszerzone oraz 1.2.3 – Audiodeskrypcja lub alternatywa tekstowa dla mediów, które wymagają zapewnienia napisów lub tłumaczenia dla treści wideo, aby były one dostępne również dla osób niesłyszących.</w:t>
      </w:r>
    </w:p>
    <w:p w14:paraId="26D9EF1A" w14:textId="77777777" w:rsidR="00B13433" w:rsidRPr="00BF6615" w:rsidRDefault="00B13433" w:rsidP="007E26B5">
      <w:pPr>
        <w:rPr>
          <w:rFonts w:cstheme="minorHAnsi"/>
        </w:rPr>
      </w:pPr>
      <w:r w:rsidRPr="00BF6615">
        <w:rPr>
          <w:rFonts w:cstheme="minorHAnsi"/>
        </w:rPr>
        <w:t xml:space="preserve">Największe problemy użytkowniczki i użytkownicy napotkali przy realizacji zadań testowych w aplikacji ostrzegawczej, najmniejsze problemy dotyczyły stron/aplikacji służby zdrowia. </w:t>
      </w:r>
    </w:p>
    <w:p w14:paraId="11B68420" w14:textId="1AABCA7B" w:rsidR="00B13433" w:rsidRPr="00BF6615" w:rsidRDefault="00B13433" w:rsidP="007E26B5">
      <w:pPr>
        <w:pStyle w:val="Legenda"/>
        <w:spacing w:line="276" w:lineRule="auto"/>
        <w:rPr>
          <w:rFonts w:cstheme="minorHAnsi"/>
        </w:rPr>
      </w:pPr>
      <w:bookmarkStart w:id="97" w:name="_Toc196335293"/>
      <w:bookmarkStart w:id="98" w:name="_Toc204179151"/>
      <w:r w:rsidRPr="00BF6615">
        <w:rPr>
          <w:rFonts w:cstheme="minorHAnsi"/>
        </w:rPr>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5</w:t>
      </w:r>
      <w:r w:rsidRPr="00BF6615">
        <w:rPr>
          <w:rFonts w:cstheme="minorHAnsi"/>
        </w:rPr>
        <w:fldChar w:fldCharType="end"/>
      </w:r>
      <w:r w:rsidR="000110ED">
        <w:rPr>
          <w:rFonts w:cstheme="minorHAnsi"/>
        </w:rPr>
        <w:t>.</w:t>
      </w:r>
      <w:r w:rsidRPr="00BF6615">
        <w:rPr>
          <w:rFonts w:cstheme="minorHAnsi"/>
        </w:rPr>
        <w:t xml:space="preserve"> Poziom realizacji zadań według rodzajów stron i aplikacji (skala 1 – niezrealizowane do 5 – zrealizowane bez problemu) (osoby słabosłyszące lub niesłyszące)</w:t>
      </w:r>
      <w:bookmarkEnd w:id="97"/>
      <w:bookmarkEnd w:id="98"/>
    </w:p>
    <w:p w14:paraId="21F784A3" w14:textId="77777777" w:rsidR="00B13433" w:rsidRPr="00BF6615" w:rsidRDefault="00B13433" w:rsidP="007E26B5">
      <w:pPr>
        <w:pStyle w:val="Legenda"/>
        <w:spacing w:line="276" w:lineRule="auto"/>
        <w:rPr>
          <w:rFonts w:cstheme="minorHAnsi"/>
        </w:rPr>
      </w:pPr>
      <w:r w:rsidRPr="00BF6615">
        <w:rPr>
          <w:rFonts w:cstheme="minorHAnsi"/>
          <w:noProof/>
          <w:lang w:eastAsia="pl-PL"/>
          <w14:ligatures w14:val="standardContextual"/>
        </w:rPr>
        <w:drawing>
          <wp:inline distT="0" distB="0" distL="0" distR="0" wp14:anchorId="01A14AA3" wp14:editId="4B8E0D19">
            <wp:extent cx="6056142" cy="2901950"/>
            <wp:effectExtent l="0" t="0" r="1905" b="0"/>
            <wp:docPr id="876861885" name="Wykres 1" descr="Kategoria serwisów Średni poziom trudności&#10;Serwisy ostrzegawcze i ratunkowe   2,44 &#10;Serwis podatkowy  2,77 &#10;Serwisy kultury i sportu  3,39 &#10;Serwisy samorządowe  3,47 &#10;Serwisy służby zdrowia  4,46 &#10;">
              <a:extLst xmlns:a="http://schemas.openxmlformats.org/drawingml/2006/main">
                <a:ext uri="{FF2B5EF4-FFF2-40B4-BE49-F238E27FC236}">
                  <a16:creationId xmlns:a16="http://schemas.microsoft.com/office/drawing/2014/main" id="{F12D6BE0-ED76-4369-A670-E6EFBADA1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BF6615">
        <w:rPr>
          <w:rFonts w:cstheme="minorHAnsi"/>
        </w:rPr>
        <w:br/>
      </w:r>
      <w:r w:rsidRPr="00BF6615">
        <w:rPr>
          <w:color w:val="auto"/>
        </w:rPr>
        <w:t>Źródło: opracowanie własne.</w:t>
      </w:r>
    </w:p>
    <w:p w14:paraId="2FA81FDB" w14:textId="77777777" w:rsidR="00B13433" w:rsidRPr="00BF6615" w:rsidRDefault="00B13433" w:rsidP="00B271C3">
      <w:pPr>
        <w:pStyle w:val="Nagwek4"/>
      </w:pPr>
      <w:r w:rsidRPr="338987BF">
        <w:t xml:space="preserve">Problemy i bariery napotkane podczas korzystania z testowanych stron i aplikacji podmiotów </w:t>
      </w:r>
      <w:r w:rsidRPr="00B271C3">
        <w:rPr>
          <w:rStyle w:val="Nagwek4Znak"/>
          <w:b/>
        </w:rPr>
        <w:t>publicznych</w:t>
      </w:r>
    </w:p>
    <w:p w14:paraId="5FDAE8B4" w14:textId="77777777" w:rsidR="00B13433" w:rsidRPr="00BF6615" w:rsidRDefault="00B13433">
      <w:pPr>
        <w:numPr>
          <w:ilvl w:val="0"/>
          <w:numId w:val="30"/>
        </w:numPr>
        <w:rPr>
          <w:rFonts w:cstheme="minorHAnsi"/>
        </w:rPr>
      </w:pPr>
      <w:r w:rsidRPr="00BF6615">
        <w:rPr>
          <w:rFonts w:cstheme="minorHAnsi"/>
        </w:rPr>
        <w:t>Brak napisów i tłumacza PJM przy materiałach wideo – całkowity brak dostępu do treści dla osób głuchych (26 zgłoszeń).</w:t>
      </w:r>
    </w:p>
    <w:p w14:paraId="6C1E1A8E" w14:textId="77777777" w:rsidR="00B13433" w:rsidRPr="00BF6615" w:rsidRDefault="00B13433">
      <w:pPr>
        <w:numPr>
          <w:ilvl w:val="0"/>
          <w:numId w:val="30"/>
        </w:numPr>
        <w:rPr>
          <w:rFonts w:cstheme="minorHAnsi"/>
        </w:rPr>
      </w:pPr>
      <w:r w:rsidRPr="00BF6615">
        <w:rPr>
          <w:rFonts w:cstheme="minorHAnsi"/>
        </w:rPr>
        <w:t>Zbyt trudny język – komunikaty pisane były językiem urzędowym lub specjalistycznym, niezrozumiałym dla osób, dla których polski nie jest językiem pierwszym (23 zgłoszenia).</w:t>
      </w:r>
    </w:p>
    <w:p w14:paraId="59ED9945" w14:textId="77777777" w:rsidR="00B13433" w:rsidRPr="00BF6615" w:rsidRDefault="00B13433">
      <w:pPr>
        <w:numPr>
          <w:ilvl w:val="0"/>
          <w:numId w:val="30"/>
        </w:numPr>
        <w:rPr>
          <w:rFonts w:cstheme="minorHAnsi"/>
        </w:rPr>
      </w:pPr>
      <w:r w:rsidRPr="00BF6615">
        <w:rPr>
          <w:rFonts w:cstheme="minorHAnsi"/>
        </w:rPr>
        <w:t>Nadmiar treści na jednej stronie – przeładowanie tekstem i informacjami bez wyraźnej hierarchii, co utrudniało zrozumienie (20 zgłoszeń).</w:t>
      </w:r>
    </w:p>
    <w:p w14:paraId="0B1DC443" w14:textId="77777777" w:rsidR="00B13433" w:rsidRPr="00BF6615" w:rsidRDefault="00B13433">
      <w:pPr>
        <w:numPr>
          <w:ilvl w:val="0"/>
          <w:numId w:val="30"/>
        </w:numPr>
        <w:rPr>
          <w:rFonts w:cstheme="minorHAnsi"/>
        </w:rPr>
      </w:pPr>
      <w:r w:rsidRPr="00BF6615">
        <w:rPr>
          <w:rFonts w:cstheme="minorHAnsi"/>
        </w:rPr>
        <w:t>Nieintuicyjnej nawigacji – trudność w odnalezieniu potrzebnych sekcji, mało wyraźne menu lub zakładki (18 zgłoszeń).</w:t>
      </w:r>
    </w:p>
    <w:p w14:paraId="0FFEE9CD" w14:textId="77777777" w:rsidR="00B13433" w:rsidRPr="00BF6615" w:rsidRDefault="00B13433">
      <w:pPr>
        <w:numPr>
          <w:ilvl w:val="0"/>
          <w:numId w:val="30"/>
        </w:numPr>
        <w:rPr>
          <w:rFonts w:cstheme="minorHAnsi"/>
        </w:rPr>
      </w:pPr>
      <w:r w:rsidRPr="00BF6615">
        <w:rPr>
          <w:rFonts w:cstheme="minorHAnsi"/>
        </w:rPr>
        <w:lastRenderedPageBreak/>
        <w:t>Problemy z interaktywnymi funkcjami – brak podpowiedzi w formularzach, nieczytelne przyciski, zbyt mały tekst (12 zgłoszeń).</w:t>
      </w:r>
    </w:p>
    <w:p w14:paraId="415C1E70" w14:textId="77777777" w:rsidR="00B13433" w:rsidRPr="00BF6615" w:rsidRDefault="00B13433">
      <w:pPr>
        <w:numPr>
          <w:ilvl w:val="0"/>
          <w:numId w:val="30"/>
        </w:numPr>
        <w:rPr>
          <w:rFonts w:cstheme="minorHAnsi"/>
        </w:rPr>
      </w:pPr>
      <w:r w:rsidRPr="00BF6615">
        <w:rPr>
          <w:rFonts w:cstheme="minorHAnsi"/>
        </w:rPr>
        <w:t xml:space="preserve">Brak </w:t>
      </w:r>
      <w:proofErr w:type="spellStart"/>
      <w:r w:rsidRPr="00BF6615">
        <w:rPr>
          <w:rFonts w:cstheme="minorHAnsi"/>
        </w:rPr>
        <w:t>powiększalności</w:t>
      </w:r>
      <w:proofErr w:type="spellEnd"/>
      <w:r w:rsidRPr="00BF6615">
        <w:rPr>
          <w:rFonts w:cstheme="minorHAnsi"/>
        </w:rPr>
        <w:t xml:space="preserve"> treści – szczególnie w aplikacjach mobilnych (10 zgłoszeń).</w:t>
      </w:r>
    </w:p>
    <w:p w14:paraId="060874AD" w14:textId="77777777" w:rsidR="00B13433" w:rsidRPr="00BF6615" w:rsidRDefault="00B13433">
      <w:pPr>
        <w:numPr>
          <w:ilvl w:val="0"/>
          <w:numId w:val="30"/>
        </w:numPr>
        <w:rPr>
          <w:rFonts w:cstheme="minorHAnsi"/>
        </w:rPr>
      </w:pPr>
      <w:r w:rsidRPr="00BF6615">
        <w:rPr>
          <w:rFonts w:cstheme="minorHAnsi"/>
        </w:rPr>
        <w:t>Nieczytelne lub niejasne komunikaty systemowe – np. popełniony błąd nie był wskazywany w formularzu (8 zgłoszeń).</w:t>
      </w:r>
    </w:p>
    <w:p w14:paraId="0D70B6FD" w14:textId="4B8A55DF" w:rsidR="00B13433" w:rsidRPr="00BF6615" w:rsidRDefault="00B13433" w:rsidP="007E26B5">
      <w:pPr>
        <w:pStyle w:val="Legenda"/>
        <w:spacing w:line="276" w:lineRule="auto"/>
        <w:rPr>
          <w:rFonts w:cstheme="minorHAnsi"/>
        </w:rPr>
      </w:pPr>
      <w:bookmarkStart w:id="99" w:name="_Toc196335294"/>
      <w:bookmarkStart w:id="100" w:name="_Toc204179152"/>
      <w:r w:rsidRPr="00BF6615">
        <w:rPr>
          <w:rFonts w:cstheme="minorHAnsi"/>
        </w:rPr>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6</w:t>
      </w:r>
      <w:r w:rsidRPr="00BF6615">
        <w:rPr>
          <w:rFonts w:cstheme="minorHAnsi"/>
        </w:rPr>
        <w:fldChar w:fldCharType="end"/>
      </w:r>
      <w:r w:rsidR="000110ED">
        <w:rPr>
          <w:rFonts w:cstheme="minorHAnsi"/>
        </w:rPr>
        <w:t>.</w:t>
      </w:r>
      <w:r w:rsidRPr="00BF6615">
        <w:rPr>
          <w:rFonts w:cstheme="minorHAnsi"/>
        </w:rPr>
        <w:t xml:space="preserve"> Najczęściej zgłaszane problemy na stronach i w aplikacjach </w:t>
      </w:r>
      <w:r w:rsidRPr="00BF6615">
        <w:rPr>
          <w:rFonts w:cstheme="minorHAnsi"/>
          <w:noProof/>
        </w:rPr>
        <w:t xml:space="preserve">(liczba zgłoszeń) </w:t>
      </w:r>
      <w:r w:rsidRPr="00BF6615">
        <w:rPr>
          <w:rFonts w:cstheme="minorHAnsi"/>
        </w:rPr>
        <w:t>(osoby słabosłyszące lub niesłyszące)</w:t>
      </w:r>
      <w:bookmarkEnd w:id="99"/>
      <w:bookmarkEnd w:id="100"/>
    </w:p>
    <w:p w14:paraId="3828CCD8" w14:textId="77777777" w:rsidR="00B13433" w:rsidRPr="00BF6615" w:rsidRDefault="00B13433" w:rsidP="007E26B5">
      <w:pPr>
        <w:pStyle w:val="Legenda"/>
        <w:spacing w:line="276" w:lineRule="auto"/>
        <w:rPr>
          <w:rFonts w:cstheme="minorHAnsi"/>
        </w:rPr>
      </w:pPr>
    </w:p>
    <w:p w14:paraId="10475882" w14:textId="77777777" w:rsidR="00B13433" w:rsidRPr="00BF6615" w:rsidRDefault="00B13433" w:rsidP="007E26B5">
      <w:pPr>
        <w:pStyle w:val="Legenda"/>
        <w:spacing w:line="276" w:lineRule="auto"/>
        <w:rPr>
          <w:rFonts w:cstheme="minorHAnsi"/>
        </w:rPr>
      </w:pPr>
      <w:r w:rsidRPr="00BF6615">
        <w:rPr>
          <w:rFonts w:cstheme="minorHAnsi"/>
          <w:noProof/>
          <w:lang w:eastAsia="pl-PL"/>
          <w14:ligatures w14:val="standardContextual"/>
        </w:rPr>
        <w:drawing>
          <wp:inline distT="0" distB="0" distL="0" distR="0" wp14:anchorId="0A951E65" wp14:editId="17E77E0A">
            <wp:extent cx="6006465" cy="3441700"/>
            <wp:effectExtent l="0" t="0" r="0" b="6350"/>
            <wp:docPr id="1110660379" name="Wykres 1" descr="Rodzaj problemu Liczba zgłoszeń&#10;Brak napisów i tłumacza PJM 26&#10;Trudny język 23&#10;Nadmiar treści 20&#10;Nieintuicyjna nawigacja 18&#10;Problemy z interaktywnymi funkcjami 12&#10;Brak powiekszalności treści 10&#10;Nieczytelny układ strony i brak wskazówek 8&#10;">
              <a:extLst xmlns:a="http://schemas.openxmlformats.org/drawingml/2006/main">
                <a:ext uri="{FF2B5EF4-FFF2-40B4-BE49-F238E27FC236}">
                  <a16:creationId xmlns:a16="http://schemas.microsoft.com/office/drawing/2014/main" id="{738BEAEF-1C54-4122-9623-85CDB495E6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C1B2522" w14:textId="77777777" w:rsidR="00B13433" w:rsidRPr="00BF6615" w:rsidRDefault="00B13433" w:rsidP="007E26B5">
      <w:pPr>
        <w:rPr>
          <w:b/>
          <w:bCs/>
        </w:rPr>
      </w:pPr>
      <w:r w:rsidRPr="00BF6615">
        <w:t>Źródło: opracowanie własne.</w:t>
      </w:r>
    </w:p>
    <w:p w14:paraId="586C3BC7" w14:textId="17AD929A" w:rsidR="00B13433" w:rsidRPr="00BF6615" w:rsidRDefault="00B13433" w:rsidP="00B271C3">
      <w:pPr>
        <w:pStyle w:val="Nagwek4"/>
      </w:pPr>
      <w:r w:rsidRPr="338987BF">
        <w:t xml:space="preserve">Zakres wymagający poprawy według rodzajów </w:t>
      </w:r>
      <w:r w:rsidR="7202BA4B" w:rsidRPr="338987BF">
        <w:rPr>
          <w:bCs/>
        </w:rPr>
        <w:t>i</w:t>
      </w:r>
      <w:r w:rsidRPr="338987BF">
        <w:rPr>
          <w:bCs/>
        </w:rPr>
        <w:t xml:space="preserve"> typ</w:t>
      </w:r>
      <w:r w:rsidR="05B54EDD" w:rsidRPr="338987BF">
        <w:rPr>
          <w:bCs/>
        </w:rPr>
        <w:t>ów</w:t>
      </w:r>
      <w:r w:rsidRPr="338987BF">
        <w:t xml:space="preserve"> testowanych stron i aplikacji podmiotów </w:t>
      </w:r>
      <w:r w:rsidRPr="00B271C3">
        <w:rPr>
          <w:rStyle w:val="Nagwek4Znak"/>
          <w:b/>
        </w:rPr>
        <w:t>publicznych</w:t>
      </w:r>
    </w:p>
    <w:p w14:paraId="4B3E247F" w14:textId="77777777" w:rsidR="00B13433" w:rsidRPr="00BF6615" w:rsidRDefault="00B13433">
      <w:pPr>
        <w:numPr>
          <w:ilvl w:val="0"/>
          <w:numId w:val="31"/>
        </w:numPr>
        <w:spacing w:after="160"/>
        <w:rPr>
          <w:rFonts w:cstheme="minorHAnsi"/>
        </w:rPr>
      </w:pPr>
      <w:r w:rsidRPr="00BF6615">
        <w:rPr>
          <w:rFonts w:cstheme="minorHAnsi"/>
        </w:rPr>
        <w:t>Strony/aplikacje służby zdrowia – zapewnienie prostego języka, infografik, wizualizacji wyników, dostępność w PJM.</w:t>
      </w:r>
    </w:p>
    <w:p w14:paraId="2A0B08DC" w14:textId="77777777" w:rsidR="00B13433" w:rsidRPr="00BF6615" w:rsidRDefault="00B13433">
      <w:pPr>
        <w:numPr>
          <w:ilvl w:val="0"/>
          <w:numId w:val="31"/>
        </w:numPr>
        <w:spacing w:after="160"/>
        <w:rPr>
          <w:rFonts w:cstheme="minorHAnsi"/>
        </w:rPr>
      </w:pPr>
      <w:r w:rsidRPr="00BF6615">
        <w:rPr>
          <w:rFonts w:cstheme="minorHAnsi"/>
        </w:rPr>
        <w:t>Strony samorządowe – uproszczenie formularzy, dodanie ikon, skrócenie opisów, nagrania wideo z tłumaczem PJM.</w:t>
      </w:r>
    </w:p>
    <w:p w14:paraId="045FA8E8" w14:textId="77777777" w:rsidR="00B13433" w:rsidRPr="00BF6615" w:rsidRDefault="00B13433">
      <w:pPr>
        <w:numPr>
          <w:ilvl w:val="0"/>
          <w:numId w:val="31"/>
        </w:numPr>
        <w:spacing w:after="160"/>
        <w:rPr>
          <w:rFonts w:cstheme="minorHAnsi"/>
        </w:rPr>
      </w:pPr>
      <w:r w:rsidRPr="00BF6615">
        <w:rPr>
          <w:rFonts w:cstheme="minorHAnsi"/>
        </w:rPr>
        <w:t>Strony instytucji kultury i sportu – opisy zdjęć, tłumaczenia wideo, możliwość rezerwacji w prostych krokach.</w:t>
      </w:r>
    </w:p>
    <w:p w14:paraId="64DF7C9C" w14:textId="77777777" w:rsidR="00B13433" w:rsidRPr="00BF6615" w:rsidRDefault="00B13433">
      <w:pPr>
        <w:numPr>
          <w:ilvl w:val="0"/>
          <w:numId w:val="31"/>
        </w:numPr>
        <w:spacing w:after="160"/>
        <w:rPr>
          <w:rFonts w:cstheme="minorHAnsi"/>
        </w:rPr>
      </w:pPr>
      <w:r w:rsidRPr="00BF6615">
        <w:rPr>
          <w:rFonts w:cstheme="minorHAnsi"/>
        </w:rPr>
        <w:t>Strona podatkowa – formularze z przykładami, proste objaśnienia, czytelna struktura.</w:t>
      </w:r>
    </w:p>
    <w:p w14:paraId="6CBC4C94" w14:textId="77777777" w:rsidR="00B13433" w:rsidRPr="00BF6615" w:rsidRDefault="00B13433">
      <w:pPr>
        <w:numPr>
          <w:ilvl w:val="0"/>
          <w:numId w:val="31"/>
        </w:numPr>
        <w:spacing w:after="160"/>
        <w:rPr>
          <w:rFonts w:cstheme="minorHAnsi"/>
        </w:rPr>
      </w:pPr>
      <w:r w:rsidRPr="00BF6615">
        <w:rPr>
          <w:rFonts w:cstheme="minorHAnsi"/>
        </w:rPr>
        <w:t>Aplikacja ostrzegawcza – zamiana sygnałów dźwiękowych na wibracje, komunikaty tekstowe.</w:t>
      </w:r>
    </w:p>
    <w:p w14:paraId="0ED2B6CA" w14:textId="77777777" w:rsidR="00B13433" w:rsidRPr="00BF6615" w:rsidRDefault="00B13433" w:rsidP="00B271C3">
      <w:pPr>
        <w:pStyle w:val="Nagwek4"/>
      </w:pPr>
      <w:r w:rsidRPr="338987BF">
        <w:lastRenderedPageBreak/>
        <w:t xml:space="preserve">Problemy </w:t>
      </w:r>
      <w:r w:rsidRPr="00B271C3">
        <w:rPr>
          <w:rStyle w:val="Nagwek4Znak"/>
          <w:b/>
        </w:rPr>
        <w:t>występujące</w:t>
      </w:r>
      <w:r w:rsidRPr="338987BF">
        <w:t xml:space="preserve"> podczas testów według zasad dostępności WCAG</w:t>
      </w:r>
    </w:p>
    <w:p w14:paraId="44BB21F3" w14:textId="77777777" w:rsidR="00B13433" w:rsidRPr="00BF6615" w:rsidRDefault="00B13433" w:rsidP="007E26B5">
      <w:pPr>
        <w:spacing w:after="160"/>
        <w:rPr>
          <w:rFonts w:cstheme="minorHAnsi"/>
        </w:rPr>
      </w:pPr>
      <w:r w:rsidRPr="00BF6615">
        <w:rPr>
          <w:rFonts w:cstheme="minorHAnsi"/>
        </w:rPr>
        <w:t>Poniżej przedstawiono tabele z liczba wystąpień zidentyfikowanych problemów w podziale na cztery zasady dostępności: Postrzegalność (Zasada 1), Funkcjonalność (Zasada 2), Zrozumiałość (Zasada 3) oraz Kompatybilność (Zasada 4). W każdej tabeli dla każdej kategorii problemu podano: nazwę problemu, liczbę wystąpień w grupie, o ile przekroczyły one liczbę 3 wystąpień.</w:t>
      </w:r>
      <w:r w:rsidRPr="00BF6615">
        <w:rPr>
          <w:rFonts w:cstheme="minorHAnsi"/>
        </w:rPr>
        <w:br/>
        <w:t>Dane w tabelach zostały posortowane malejąco według łącznej liczby wystąpień (od problemów najczęściej występujących do najrzadszych).</w:t>
      </w:r>
    </w:p>
    <w:p w14:paraId="5A123474" w14:textId="77777777" w:rsidR="00B13433" w:rsidRPr="00BF6615" w:rsidRDefault="00B13433" w:rsidP="007E26B5">
      <w:pPr>
        <w:spacing w:after="160"/>
        <w:rPr>
          <w:rFonts w:cstheme="minorHAnsi"/>
        </w:rPr>
      </w:pPr>
      <w:r w:rsidRPr="00BF6615">
        <w:rPr>
          <w:rFonts w:cstheme="minorHAnsi"/>
        </w:rPr>
        <w:t>Suma trudności według poszczególnych zasad WCAG:</w:t>
      </w:r>
    </w:p>
    <w:p w14:paraId="0773236E" w14:textId="77777777" w:rsidR="00B13433" w:rsidRPr="00BF6615" w:rsidRDefault="00B13433">
      <w:pPr>
        <w:pStyle w:val="Akapitzlist"/>
        <w:numPr>
          <w:ilvl w:val="0"/>
          <w:numId w:val="32"/>
        </w:numPr>
        <w:spacing w:after="160"/>
        <w:rPr>
          <w:rFonts w:cstheme="minorHAnsi"/>
        </w:rPr>
      </w:pPr>
      <w:r w:rsidRPr="00BF6615">
        <w:rPr>
          <w:rFonts w:cstheme="minorHAnsi"/>
        </w:rPr>
        <w:t>Zasada 1: postrzegalność – 20</w:t>
      </w:r>
    </w:p>
    <w:p w14:paraId="6722EBE8" w14:textId="77777777" w:rsidR="00B13433" w:rsidRPr="00BF6615" w:rsidRDefault="00B13433">
      <w:pPr>
        <w:pStyle w:val="Akapitzlist"/>
        <w:numPr>
          <w:ilvl w:val="0"/>
          <w:numId w:val="32"/>
        </w:numPr>
        <w:spacing w:after="160"/>
        <w:rPr>
          <w:rFonts w:cstheme="minorHAnsi"/>
        </w:rPr>
      </w:pPr>
      <w:r w:rsidRPr="00BF6615">
        <w:rPr>
          <w:rFonts w:cstheme="minorHAnsi"/>
        </w:rPr>
        <w:t>Zasada 2: funkcjonalność – 13</w:t>
      </w:r>
    </w:p>
    <w:p w14:paraId="41C0FEEB" w14:textId="77777777" w:rsidR="00B13433" w:rsidRPr="00BF6615" w:rsidRDefault="00B13433">
      <w:pPr>
        <w:pStyle w:val="Akapitzlist"/>
        <w:numPr>
          <w:ilvl w:val="0"/>
          <w:numId w:val="32"/>
        </w:numPr>
        <w:spacing w:after="160"/>
        <w:rPr>
          <w:rFonts w:cstheme="minorHAnsi"/>
        </w:rPr>
      </w:pPr>
      <w:r w:rsidRPr="00BF6615">
        <w:rPr>
          <w:rFonts w:cstheme="minorHAnsi"/>
        </w:rPr>
        <w:t>Zasada 3: zrozumiałość – 25</w:t>
      </w:r>
    </w:p>
    <w:p w14:paraId="24005CD5" w14:textId="77777777" w:rsidR="00B13433" w:rsidRPr="00BF6615" w:rsidRDefault="00B13433">
      <w:pPr>
        <w:pStyle w:val="Akapitzlist"/>
        <w:numPr>
          <w:ilvl w:val="0"/>
          <w:numId w:val="32"/>
        </w:numPr>
        <w:spacing w:after="160"/>
        <w:rPr>
          <w:rFonts w:cstheme="minorHAnsi"/>
        </w:rPr>
      </w:pPr>
      <w:r w:rsidRPr="00BF6615">
        <w:rPr>
          <w:rFonts w:cstheme="minorHAnsi"/>
        </w:rPr>
        <w:t>Zasada 4: kompatybilność – 1</w:t>
      </w:r>
    </w:p>
    <w:p w14:paraId="3CF61A97" w14:textId="77777777" w:rsidR="00B13433" w:rsidRPr="00BF6615" w:rsidRDefault="00B13433" w:rsidP="00B271C3">
      <w:pPr>
        <w:pStyle w:val="Nagwek4"/>
        <w:rPr>
          <w:rFonts w:cstheme="minorHAnsi"/>
          <w:bCs/>
        </w:rPr>
      </w:pPr>
      <w:r w:rsidRPr="00BF6615">
        <w:rPr>
          <w:rFonts w:cstheme="minorHAnsi"/>
          <w:bCs/>
        </w:rPr>
        <w:t xml:space="preserve">Zasada 1: </w:t>
      </w:r>
      <w:r w:rsidRPr="00B271C3">
        <w:rPr>
          <w:rStyle w:val="Nagwek4Znak"/>
          <w:b/>
        </w:rPr>
        <w:t>Postrzegalność</w:t>
      </w:r>
    </w:p>
    <w:p w14:paraId="4866EA12" w14:textId="77777777" w:rsidR="00B13433" w:rsidRPr="00BF6615" w:rsidRDefault="00B13433" w:rsidP="007E26B5">
      <w:pPr>
        <w:rPr>
          <w:rFonts w:cstheme="minorHAnsi"/>
        </w:rPr>
      </w:pPr>
      <w:r w:rsidRPr="00BF6615">
        <w:rPr>
          <w:rFonts w:cstheme="minorHAnsi"/>
        </w:rPr>
        <w:t>Wyniki analizy występujących błędów wskazują, że najczęściej występowały w kryteriach dotyczących potrzeb występujących w tej grupie w zakresie rozumienia treści – transkrypcja, napisy.</w:t>
      </w:r>
    </w:p>
    <w:p w14:paraId="2F2E9EDD" w14:textId="6985EB15" w:rsidR="00B13433" w:rsidRPr="00BF6615" w:rsidRDefault="00B13433" w:rsidP="007E26B5">
      <w:pPr>
        <w:pStyle w:val="Legenda"/>
        <w:spacing w:line="276" w:lineRule="auto"/>
        <w:rPr>
          <w:rFonts w:cstheme="minorHAnsi"/>
        </w:rPr>
      </w:pPr>
      <w:bookmarkStart w:id="101" w:name="_Toc196335277"/>
      <w:bookmarkStart w:id="102" w:name="_Toc204179110"/>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12</w:t>
      </w:r>
      <w:r w:rsidRPr="00BF6615">
        <w:rPr>
          <w:rFonts w:cstheme="minorHAnsi"/>
        </w:rPr>
        <w:fldChar w:fldCharType="end"/>
      </w:r>
      <w:r w:rsidR="000110ED">
        <w:rPr>
          <w:rFonts w:cstheme="minorHAnsi"/>
        </w:rPr>
        <w:t>.</w:t>
      </w:r>
      <w:r w:rsidRPr="00BF6615">
        <w:rPr>
          <w:rFonts w:cstheme="minorHAnsi"/>
        </w:rPr>
        <w:t xml:space="preserve"> Liczba zidentyfikowanych problemów w zasadzie 1: Postrzegalność (osoby słabosłyszące lub niesłyszące)</w:t>
      </w:r>
      <w:bookmarkEnd w:id="101"/>
      <w:bookmarkEnd w:id="102"/>
    </w:p>
    <w:tbl>
      <w:tblPr>
        <w:tblStyle w:val="PARP"/>
        <w:tblW w:w="5000" w:type="pct"/>
        <w:tblLook w:val="04A0" w:firstRow="1" w:lastRow="0" w:firstColumn="1" w:lastColumn="0" w:noHBand="0" w:noVBand="1"/>
        <w:tblCaption w:val="Liczba zidentyfikowanych problemów w zasadzie 1: Postrzegalność (osoby słabosłyszące lub niesłyszące)"/>
        <w:tblDescription w:val="Liczba zidentyfikowanych problemów w zasadzie 1: Postrzegalność (osoby słabosłyszące lub niesłyszące)"/>
      </w:tblPr>
      <w:tblGrid>
        <w:gridCol w:w="6896"/>
        <w:gridCol w:w="2166"/>
      </w:tblGrid>
      <w:tr w:rsidR="00B13433" w:rsidRPr="00BF6615" w14:paraId="5CD9B81A" w14:textId="77777777">
        <w:trPr>
          <w:cnfStyle w:val="100000000000" w:firstRow="1" w:lastRow="0" w:firstColumn="0" w:lastColumn="0" w:oddVBand="0" w:evenVBand="0" w:oddHBand="0" w:evenHBand="0" w:firstRowFirstColumn="0" w:firstRowLastColumn="0" w:lastRowFirstColumn="0" w:lastRowLastColumn="0"/>
        </w:trPr>
        <w:tc>
          <w:tcPr>
            <w:tcW w:w="3805" w:type="pct"/>
            <w:hideMark/>
          </w:tcPr>
          <w:p w14:paraId="2A915476" w14:textId="77777777" w:rsidR="00B13433" w:rsidRPr="00BF6615" w:rsidRDefault="00B13433" w:rsidP="007E26B5">
            <w:pPr>
              <w:spacing w:after="160"/>
              <w:rPr>
                <w:rFonts w:cstheme="minorHAnsi"/>
                <w:b/>
                <w:bCs/>
              </w:rPr>
            </w:pPr>
            <w:r w:rsidRPr="00BF6615">
              <w:rPr>
                <w:rFonts w:cstheme="minorHAnsi"/>
                <w:b/>
                <w:bCs/>
              </w:rPr>
              <w:t>Nazwa kryterium</w:t>
            </w:r>
          </w:p>
        </w:tc>
        <w:tc>
          <w:tcPr>
            <w:tcW w:w="1195" w:type="pct"/>
            <w:hideMark/>
          </w:tcPr>
          <w:p w14:paraId="2461F3FB" w14:textId="77777777" w:rsidR="00B13433" w:rsidRPr="00BF6615" w:rsidRDefault="00B13433" w:rsidP="007E26B5">
            <w:pPr>
              <w:spacing w:after="160"/>
              <w:rPr>
                <w:rFonts w:cstheme="minorHAnsi"/>
                <w:b/>
                <w:bCs/>
              </w:rPr>
            </w:pPr>
            <w:r w:rsidRPr="00BF6615">
              <w:rPr>
                <w:rFonts w:cstheme="minorHAnsi"/>
                <w:b/>
                <w:bCs/>
              </w:rPr>
              <w:t>Liczba wystąpień</w:t>
            </w:r>
          </w:p>
        </w:tc>
      </w:tr>
      <w:tr w:rsidR="00B13433" w:rsidRPr="00BF6615" w14:paraId="2547E1B3" w14:textId="77777777">
        <w:trPr>
          <w:cnfStyle w:val="000000100000" w:firstRow="0" w:lastRow="0" w:firstColumn="0" w:lastColumn="0" w:oddVBand="0" w:evenVBand="0" w:oddHBand="1" w:evenHBand="0" w:firstRowFirstColumn="0" w:firstRowLastColumn="0" w:lastRowFirstColumn="0" w:lastRowLastColumn="0"/>
        </w:trPr>
        <w:tc>
          <w:tcPr>
            <w:tcW w:w="3805" w:type="pct"/>
          </w:tcPr>
          <w:p w14:paraId="2778A812" w14:textId="77777777" w:rsidR="00B13433" w:rsidRPr="00BF6615" w:rsidRDefault="00B13433" w:rsidP="007E26B5">
            <w:pPr>
              <w:spacing w:after="160"/>
              <w:rPr>
                <w:rFonts w:cstheme="minorHAnsi"/>
                <w:szCs w:val="24"/>
              </w:rPr>
            </w:pPr>
            <w:r w:rsidRPr="00BF6615">
              <w:rPr>
                <w:rFonts w:eastAsia="Times New Roman" w:cstheme="minorHAnsi"/>
                <w:color w:val="000000"/>
                <w:szCs w:val="24"/>
                <w:lang w:eastAsia="pl-PL"/>
              </w:rPr>
              <w:t>1.2.1 – Tylko audio lub tylko wideo (nagranie)</w:t>
            </w:r>
          </w:p>
        </w:tc>
        <w:tc>
          <w:tcPr>
            <w:tcW w:w="1195" w:type="pct"/>
          </w:tcPr>
          <w:p w14:paraId="5AD48039" w14:textId="77777777" w:rsidR="00B13433" w:rsidRPr="00BF6615" w:rsidRDefault="00B13433" w:rsidP="007E26B5">
            <w:pPr>
              <w:spacing w:after="160"/>
              <w:rPr>
                <w:rFonts w:cstheme="minorHAnsi"/>
                <w:szCs w:val="24"/>
              </w:rPr>
            </w:pPr>
            <w:r w:rsidRPr="00BF6615">
              <w:rPr>
                <w:rFonts w:cstheme="minorHAnsi"/>
                <w:szCs w:val="24"/>
              </w:rPr>
              <w:t>10</w:t>
            </w:r>
          </w:p>
        </w:tc>
      </w:tr>
      <w:tr w:rsidR="00B13433" w:rsidRPr="00BF6615" w14:paraId="2D322AA2" w14:textId="77777777">
        <w:trPr>
          <w:cnfStyle w:val="000000010000" w:firstRow="0" w:lastRow="0" w:firstColumn="0" w:lastColumn="0" w:oddVBand="0" w:evenVBand="0" w:oddHBand="0" w:evenHBand="1" w:firstRowFirstColumn="0" w:firstRowLastColumn="0" w:lastRowFirstColumn="0" w:lastRowLastColumn="0"/>
        </w:trPr>
        <w:tc>
          <w:tcPr>
            <w:tcW w:w="3805" w:type="pct"/>
          </w:tcPr>
          <w:p w14:paraId="51AA6572" w14:textId="77777777" w:rsidR="00B13433" w:rsidRPr="00BF6615" w:rsidRDefault="00B13433" w:rsidP="007E26B5">
            <w:pPr>
              <w:spacing w:after="160"/>
              <w:rPr>
                <w:rFonts w:cstheme="minorHAnsi"/>
                <w:szCs w:val="24"/>
              </w:rPr>
            </w:pPr>
            <w:r w:rsidRPr="00BF6615">
              <w:rPr>
                <w:rFonts w:eastAsia="Times New Roman" w:cstheme="minorHAnsi"/>
                <w:color w:val="000000"/>
                <w:szCs w:val="24"/>
                <w:lang w:eastAsia="pl-PL"/>
              </w:rPr>
              <w:t>1.2.2 – Napisy rozszerzone (nagranie)</w:t>
            </w:r>
          </w:p>
        </w:tc>
        <w:tc>
          <w:tcPr>
            <w:tcW w:w="1195" w:type="pct"/>
          </w:tcPr>
          <w:p w14:paraId="1102A2F4" w14:textId="77777777" w:rsidR="00B13433" w:rsidRPr="00BF6615" w:rsidRDefault="00B13433" w:rsidP="007E26B5">
            <w:pPr>
              <w:spacing w:after="160"/>
              <w:rPr>
                <w:rFonts w:cstheme="minorHAnsi"/>
                <w:szCs w:val="24"/>
              </w:rPr>
            </w:pPr>
            <w:r w:rsidRPr="00BF6615">
              <w:rPr>
                <w:rFonts w:cstheme="minorHAnsi"/>
                <w:szCs w:val="24"/>
              </w:rPr>
              <w:t>9</w:t>
            </w:r>
          </w:p>
        </w:tc>
      </w:tr>
      <w:tr w:rsidR="00B13433" w:rsidRPr="00BF6615" w14:paraId="4131940C" w14:textId="77777777">
        <w:trPr>
          <w:cnfStyle w:val="000000100000" w:firstRow="0" w:lastRow="0" w:firstColumn="0" w:lastColumn="0" w:oddVBand="0" w:evenVBand="0" w:oddHBand="1" w:evenHBand="0" w:firstRowFirstColumn="0" w:firstRowLastColumn="0" w:lastRowFirstColumn="0" w:lastRowLastColumn="0"/>
        </w:trPr>
        <w:tc>
          <w:tcPr>
            <w:tcW w:w="3805" w:type="pct"/>
          </w:tcPr>
          <w:p w14:paraId="789A40F8" w14:textId="77777777" w:rsidR="00B13433" w:rsidRPr="00BF6615" w:rsidRDefault="00B13433" w:rsidP="007E26B5">
            <w:pPr>
              <w:spacing w:after="160"/>
              <w:rPr>
                <w:rFonts w:cstheme="minorHAnsi"/>
                <w:szCs w:val="24"/>
              </w:rPr>
            </w:pPr>
            <w:r w:rsidRPr="00BF6615">
              <w:rPr>
                <w:rFonts w:eastAsia="Times New Roman" w:cstheme="minorHAnsi"/>
                <w:color w:val="000000"/>
                <w:szCs w:val="24"/>
                <w:lang w:eastAsia="pl-PL"/>
              </w:rPr>
              <w:t>1.3.3 – Właściwości zmysłowe</w:t>
            </w:r>
          </w:p>
        </w:tc>
        <w:tc>
          <w:tcPr>
            <w:tcW w:w="1195" w:type="pct"/>
          </w:tcPr>
          <w:p w14:paraId="50BB6C2B" w14:textId="77777777" w:rsidR="00B13433" w:rsidRPr="00BF6615" w:rsidRDefault="00B13433" w:rsidP="007E26B5">
            <w:pPr>
              <w:spacing w:after="160"/>
              <w:rPr>
                <w:rFonts w:cstheme="minorHAnsi"/>
                <w:szCs w:val="24"/>
              </w:rPr>
            </w:pPr>
            <w:r w:rsidRPr="00BF6615">
              <w:rPr>
                <w:rFonts w:cstheme="minorHAnsi"/>
                <w:szCs w:val="24"/>
              </w:rPr>
              <w:t>3</w:t>
            </w:r>
          </w:p>
        </w:tc>
      </w:tr>
    </w:tbl>
    <w:p w14:paraId="260975D0" w14:textId="77777777" w:rsidR="00B13433" w:rsidRPr="00BF6615" w:rsidRDefault="00B13433" w:rsidP="007E26B5">
      <w:pPr>
        <w:rPr>
          <w:b/>
        </w:rPr>
      </w:pPr>
      <w:r w:rsidRPr="00BF6615">
        <w:t>Źródło: opracowanie własne.</w:t>
      </w:r>
    </w:p>
    <w:p w14:paraId="53F98427" w14:textId="77777777" w:rsidR="00B13433" w:rsidRPr="00BF6615" w:rsidRDefault="00B13433" w:rsidP="007E26B5">
      <w:pPr>
        <w:spacing w:after="160"/>
        <w:rPr>
          <w:rFonts w:cstheme="minorHAnsi"/>
        </w:rPr>
      </w:pPr>
      <w:r w:rsidRPr="00BF6615">
        <w:rPr>
          <w:rFonts w:cstheme="minorHAnsi"/>
        </w:rPr>
        <w:t>Badani zwrócili także uwagę, że transkrypcje przekazują rozbieżne treści.</w:t>
      </w:r>
    </w:p>
    <w:p w14:paraId="264FB2F9" w14:textId="77777777" w:rsidR="00B13433" w:rsidRPr="00BF6615" w:rsidRDefault="00B13433" w:rsidP="00B271C3">
      <w:pPr>
        <w:pStyle w:val="Nagwek4"/>
        <w:rPr>
          <w:rFonts w:cstheme="minorHAnsi"/>
          <w:bCs/>
        </w:rPr>
      </w:pPr>
      <w:r w:rsidRPr="00BF6615">
        <w:rPr>
          <w:rFonts w:cstheme="minorHAnsi"/>
          <w:bCs/>
        </w:rPr>
        <w:t xml:space="preserve">Zasada 2: </w:t>
      </w:r>
      <w:r w:rsidRPr="00B271C3">
        <w:rPr>
          <w:rStyle w:val="Nagwek4Znak"/>
          <w:b/>
        </w:rPr>
        <w:t>Funkcjonalność</w:t>
      </w:r>
    </w:p>
    <w:p w14:paraId="5A91B606" w14:textId="77777777" w:rsidR="00B13433" w:rsidRPr="00BF6615" w:rsidRDefault="00B13433" w:rsidP="007E26B5">
      <w:pPr>
        <w:rPr>
          <w:rFonts w:cstheme="minorHAnsi"/>
        </w:rPr>
      </w:pPr>
      <w:r w:rsidRPr="00BF6615">
        <w:rPr>
          <w:rFonts w:cstheme="minorHAnsi"/>
        </w:rPr>
        <w:t>Wyniki analizy występujących błędów wskazują, że najczęściej występowały one w kryterium 2.4.5 – Wiele dróg (4 razy).</w:t>
      </w:r>
    </w:p>
    <w:p w14:paraId="2300ED88" w14:textId="77777777" w:rsidR="00B13433" w:rsidRPr="00BF6615" w:rsidRDefault="00B13433" w:rsidP="007E26B5">
      <w:pPr>
        <w:rPr>
          <w:rFonts w:cstheme="minorHAnsi"/>
        </w:rPr>
      </w:pPr>
      <w:r w:rsidRPr="00BF6615">
        <w:rPr>
          <w:rFonts w:cstheme="minorHAnsi"/>
        </w:rPr>
        <w:t>Poza wskazanymi kryteriami oceny badani zwrócili także uwagę na to, że nie zawsze była możliwość odtworzenia filmu w trybie pełnoekranowym, co uniemożliwiało wspieranie się czytaniem z ruchu warg dla zrozumienia treści.</w:t>
      </w:r>
    </w:p>
    <w:p w14:paraId="75A53CB7" w14:textId="77777777" w:rsidR="00B13433" w:rsidRPr="00BF6615" w:rsidRDefault="00B13433" w:rsidP="00B271C3">
      <w:pPr>
        <w:pStyle w:val="Nagwek4"/>
        <w:rPr>
          <w:rFonts w:cstheme="minorHAnsi"/>
          <w:bCs/>
        </w:rPr>
      </w:pPr>
      <w:r w:rsidRPr="00BF6615">
        <w:rPr>
          <w:rFonts w:cstheme="minorHAnsi"/>
          <w:bCs/>
        </w:rPr>
        <w:t xml:space="preserve">Zasada 3: </w:t>
      </w:r>
      <w:r w:rsidRPr="00B271C3">
        <w:rPr>
          <w:rStyle w:val="Nagwek4Znak"/>
          <w:b/>
        </w:rPr>
        <w:t>Zrozumiałość</w:t>
      </w:r>
    </w:p>
    <w:p w14:paraId="5F172F2A" w14:textId="77777777" w:rsidR="00B13433" w:rsidRPr="00BF6615" w:rsidRDefault="00B13433" w:rsidP="007E26B5">
      <w:pPr>
        <w:rPr>
          <w:rFonts w:cstheme="minorHAnsi"/>
        </w:rPr>
      </w:pPr>
      <w:r w:rsidRPr="00BF6615">
        <w:rPr>
          <w:rFonts w:cstheme="minorHAnsi"/>
        </w:rPr>
        <w:t>Wyniki analizy występujących błędów wskazują, że najczęściej występowały w kryterium 3.3.2 – Etykiety lub instrukcje (8).</w:t>
      </w:r>
    </w:p>
    <w:p w14:paraId="248BB92A" w14:textId="4545C8D6" w:rsidR="00B13433" w:rsidRPr="00BF6615" w:rsidRDefault="00B13433" w:rsidP="007E26B5">
      <w:pPr>
        <w:pStyle w:val="Legenda"/>
        <w:spacing w:line="276" w:lineRule="auto"/>
        <w:rPr>
          <w:rFonts w:cstheme="minorHAnsi"/>
        </w:rPr>
      </w:pPr>
      <w:bookmarkStart w:id="103" w:name="_Toc196335278"/>
      <w:bookmarkStart w:id="104" w:name="_Toc204179111"/>
      <w:r w:rsidRPr="00BF6615">
        <w:rPr>
          <w:rFonts w:cstheme="minorHAnsi"/>
        </w:rPr>
        <w:lastRenderedPageBreak/>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13</w:t>
      </w:r>
      <w:r w:rsidRPr="00BF6615">
        <w:rPr>
          <w:rFonts w:cstheme="minorHAnsi"/>
        </w:rPr>
        <w:fldChar w:fldCharType="end"/>
      </w:r>
      <w:r w:rsidR="000110ED">
        <w:rPr>
          <w:rFonts w:cstheme="minorHAnsi"/>
        </w:rPr>
        <w:t>.</w:t>
      </w:r>
      <w:r w:rsidRPr="00BF6615">
        <w:rPr>
          <w:rFonts w:cstheme="minorHAnsi"/>
        </w:rPr>
        <w:t xml:space="preserve"> Liczba zidentyfikowanych problemów w zasadzie 3: Zrozumiałość (osoby słabosłyszące lub niesłyszące)</w:t>
      </w:r>
      <w:bookmarkEnd w:id="103"/>
      <w:bookmarkEnd w:id="104"/>
    </w:p>
    <w:tbl>
      <w:tblPr>
        <w:tblStyle w:val="PARP"/>
        <w:tblW w:w="5000" w:type="pct"/>
        <w:tblLook w:val="04A0" w:firstRow="1" w:lastRow="0" w:firstColumn="1" w:lastColumn="0" w:noHBand="0" w:noVBand="1"/>
        <w:tblCaption w:val="Liczba zidentyfikowanych problemów w zasadzie 3: Zrozumiałość (osoby słabosłyszące lub niesłyszące)"/>
        <w:tblDescription w:val="Liczba zidentyfikowanych problemów w zasadzie 3: Zrozumiałość (osoby słabosłyszące lub niesłyszące)"/>
      </w:tblPr>
      <w:tblGrid>
        <w:gridCol w:w="5109"/>
        <w:gridCol w:w="3953"/>
      </w:tblGrid>
      <w:tr w:rsidR="00B13433" w:rsidRPr="00BF6615" w14:paraId="7EB2C1E5" w14:textId="77777777">
        <w:trPr>
          <w:cnfStyle w:val="100000000000" w:firstRow="1" w:lastRow="0" w:firstColumn="0" w:lastColumn="0" w:oddVBand="0" w:evenVBand="0" w:oddHBand="0" w:evenHBand="0" w:firstRowFirstColumn="0" w:firstRowLastColumn="0" w:lastRowFirstColumn="0" w:lastRowLastColumn="0"/>
        </w:trPr>
        <w:tc>
          <w:tcPr>
            <w:tcW w:w="2819" w:type="pct"/>
            <w:hideMark/>
          </w:tcPr>
          <w:p w14:paraId="1F4B4545" w14:textId="77777777" w:rsidR="00B13433" w:rsidRPr="00BF6615" w:rsidRDefault="00B13433" w:rsidP="007E26B5">
            <w:pPr>
              <w:spacing w:after="160"/>
              <w:rPr>
                <w:rFonts w:cstheme="minorHAnsi"/>
                <w:b/>
                <w:bCs/>
              </w:rPr>
            </w:pPr>
            <w:r w:rsidRPr="00BF6615">
              <w:rPr>
                <w:rFonts w:cstheme="minorHAnsi"/>
                <w:b/>
                <w:bCs/>
              </w:rPr>
              <w:t>Nazwa problemu</w:t>
            </w:r>
          </w:p>
        </w:tc>
        <w:tc>
          <w:tcPr>
            <w:tcW w:w="2181" w:type="pct"/>
            <w:hideMark/>
          </w:tcPr>
          <w:p w14:paraId="25AD26B5" w14:textId="77777777" w:rsidR="00B13433" w:rsidRPr="00BF6615" w:rsidRDefault="00B13433" w:rsidP="007E26B5">
            <w:pPr>
              <w:spacing w:after="160"/>
              <w:rPr>
                <w:rFonts w:cstheme="minorHAnsi"/>
                <w:b/>
                <w:bCs/>
              </w:rPr>
            </w:pPr>
            <w:r w:rsidRPr="00BF6615">
              <w:rPr>
                <w:rFonts w:cstheme="minorHAnsi"/>
                <w:b/>
                <w:bCs/>
              </w:rPr>
              <w:t>Liczba wystąpień</w:t>
            </w:r>
          </w:p>
        </w:tc>
      </w:tr>
      <w:tr w:rsidR="00B13433" w:rsidRPr="00BF6615" w14:paraId="233FD1E7" w14:textId="77777777">
        <w:trPr>
          <w:cnfStyle w:val="000000100000" w:firstRow="0" w:lastRow="0" w:firstColumn="0" w:lastColumn="0" w:oddVBand="0" w:evenVBand="0" w:oddHBand="1" w:evenHBand="0" w:firstRowFirstColumn="0" w:firstRowLastColumn="0" w:lastRowFirstColumn="0" w:lastRowLastColumn="0"/>
        </w:trPr>
        <w:tc>
          <w:tcPr>
            <w:tcW w:w="2819" w:type="pct"/>
          </w:tcPr>
          <w:p w14:paraId="2AC56DB9" w14:textId="77777777" w:rsidR="00B13433" w:rsidRPr="00BF6615" w:rsidRDefault="00B13433" w:rsidP="007E26B5">
            <w:pPr>
              <w:spacing w:after="160"/>
              <w:rPr>
                <w:rFonts w:cstheme="minorHAnsi"/>
              </w:rPr>
            </w:pPr>
            <w:r w:rsidRPr="00BF6615">
              <w:rPr>
                <w:rFonts w:cstheme="minorHAnsi"/>
              </w:rPr>
              <w:t>3.3.2 – Etykiety lub instrukcje</w:t>
            </w:r>
          </w:p>
        </w:tc>
        <w:tc>
          <w:tcPr>
            <w:tcW w:w="2181" w:type="pct"/>
          </w:tcPr>
          <w:p w14:paraId="730F0BAD" w14:textId="77777777" w:rsidR="00B13433" w:rsidRPr="00BF6615" w:rsidRDefault="00B13433" w:rsidP="007E26B5">
            <w:pPr>
              <w:spacing w:after="160"/>
              <w:rPr>
                <w:rFonts w:cstheme="minorHAnsi"/>
              </w:rPr>
            </w:pPr>
            <w:r w:rsidRPr="00BF6615">
              <w:rPr>
                <w:rFonts w:cstheme="minorHAnsi"/>
              </w:rPr>
              <w:t>8</w:t>
            </w:r>
          </w:p>
        </w:tc>
      </w:tr>
      <w:tr w:rsidR="00B13433" w:rsidRPr="00BF6615" w14:paraId="7F117CDE" w14:textId="77777777">
        <w:trPr>
          <w:cnfStyle w:val="000000010000" w:firstRow="0" w:lastRow="0" w:firstColumn="0" w:lastColumn="0" w:oddVBand="0" w:evenVBand="0" w:oddHBand="0" w:evenHBand="1" w:firstRowFirstColumn="0" w:firstRowLastColumn="0" w:lastRowFirstColumn="0" w:lastRowLastColumn="0"/>
        </w:trPr>
        <w:tc>
          <w:tcPr>
            <w:tcW w:w="2819" w:type="pct"/>
          </w:tcPr>
          <w:p w14:paraId="62644DAD" w14:textId="77777777" w:rsidR="00B13433" w:rsidRPr="00BF6615" w:rsidRDefault="00B13433" w:rsidP="007E26B5">
            <w:pPr>
              <w:spacing w:after="160"/>
              <w:rPr>
                <w:rFonts w:cstheme="minorHAnsi"/>
              </w:rPr>
            </w:pPr>
            <w:r w:rsidRPr="00BF6615">
              <w:rPr>
                <w:rFonts w:cstheme="minorHAnsi"/>
              </w:rPr>
              <w:t>3.3.3 – Sugestie korekty błędów</w:t>
            </w:r>
          </w:p>
        </w:tc>
        <w:tc>
          <w:tcPr>
            <w:tcW w:w="2181" w:type="pct"/>
          </w:tcPr>
          <w:p w14:paraId="3D04DFFB" w14:textId="77777777" w:rsidR="00B13433" w:rsidRPr="00BF6615" w:rsidRDefault="00B13433" w:rsidP="007E26B5">
            <w:pPr>
              <w:spacing w:after="160"/>
              <w:rPr>
                <w:rFonts w:cstheme="minorHAnsi"/>
              </w:rPr>
            </w:pPr>
            <w:r w:rsidRPr="00BF6615">
              <w:rPr>
                <w:rFonts w:cstheme="minorHAnsi"/>
              </w:rPr>
              <w:t>3</w:t>
            </w:r>
          </w:p>
        </w:tc>
      </w:tr>
      <w:tr w:rsidR="00B13433" w:rsidRPr="00BF6615" w14:paraId="511F356C" w14:textId="77777777">
        <w:trPr>
          <w:cnfStyle w:val="000000100000" w:firstRow="0" w:lastRow="0" w:firstColumn="0" w:lastColumn="0" w:oddVBand="0" w:evenVBand="0" w:oddHBand="1" w:evenHBand="0" w:firstRowFirstColumn="0" w:firstRowLastColumn="0" w:lastRowFirstColumn="0" w:lastRowLastColumn="0"/>
        </w:trPr>
        <w:tc>
          <w:tcPr>
            <w:tcW w:w="2819" w:type="pct"/>
          </w:tcPr>
          <w:p w14:paraId="5CF044F0" w14:textId="77777777" w:rsidR="00B13433" w:rsidRPr="00BF6615" w:rsidRDefault="00B13433" w:rsidP="007E26B5">
            <w:pPr>
              <w:spacing w:after="160"/>
              <w:rPr>
                <w:rFonts w:cstheme="minorHAnsi"/>
              </w:rPr>
            </w:pPr>
            <w:r w:rsidRPr="00BF6615">
              <w:rPr>
                <w:rFonts w:cstheme="minorHAnsi"/>
              </w:rPr>
              <w:t>3.3.1 – Identyfikacja błędu</w:t>
            </w:r>
          </w:p>
        </w:tc>
        <w:tc>
          <w:tcPr>
            <w:tcW w:w="2181" w:type="pct"/>
          </w:tcPr>
          <w:p w14:paraId="0891816F" w14:textId="77777777" w:rsidR="00B13433" w:rsidRPr="00BF6615" w:rsidRDefault="00B13433" w:rsidP="007E26B5">
            <w:pPr>
              <w:spacing w:after="160"/>
              <w:rPr>
                <w:rFonts w:cstheme="minorHAnsi"/>
              </w:rPr>
            </w:pPr>
            <w:r w:rsidRPr="00BF6615">
              <w:rPr>
                <w:rFonts w:cstheme="minorHAnsi"/>
              </w:rPr>
              <w:t>3</w:t>
            </w:r>
          </w:p>
        </w:tc>
      </w:tr>
    </w:tbl>
    <w:p w14:paraId="35514F9E" w14:textId="77777777" w:rsidR="00B13433" w:rsidRPr="00BF6615" w:rsidRDefault="00B13433" w:rsidP="007E26B5">
      <w:pPr>
        <w:rPr>
          <w:b/>
          <w:bCs/>
        </w:rPr>
      </w:pPr>
      <w:r w:rsidRPr="00BF6615">
        <w:t xml:space="preserve"> Źródło: opracowanie własne.</w:t>
      </w:r>
    </w:p>
    <w:p w14:paraId="0B684302" w14:textId="77777777" w:rsidR="00B13433" w:rsidRPr="00BF6615" w:rsidRDefault="00B13433" w:rsidP="00B271C3">
      <w:pPr>
        <w:pStyle w:val="Nagwek4"/>
        <w:rPr>
          <w:rFonts w:cstheme="minorHAnsi"/>
          <w:bCs/>
        </w:rPr>
      </w:pPr>
      <w:r w:rsidRPr="00BF6615">
        <w:rPr>
          <w:rFonts w:cstheme="minorHAnsi"/>
          <w:bCs/>
        </w:rPr>
        <w:t xml:space="preserve">Zasada 4: </w:t>
      </w:r>
      <w:r w:rsidRPr="00B271C3">
        <w:rPr>
          <w:rStyle w:val="Nagwek4Znak"/>
          <w:b/>
        </w:rPr>
        <w:t>Kompatybilność</w:t>
      </w:r>
    </w:p>
    <w:p w14:paraId="39DF58B4" w14:textId="77777777" w:rsidR="00B13433" w:rsidRPr="00BF6615" w:rsidRDefault="00B13433" w:rsidP="007E26B5">
      <w:pPr>
        <w:spacing w:after="160"/>
        <w:rPr>
          <w:rFonts w:cstheme="minorHAnsi"/>
        </w:rPr>
      </w:pPr>
      <w:r w:rsidRPr="00BF6615">
        <w:rPr>
          <w:rFonts w:cstheme="minorHAnsi"/>
        </w:rPr>
        <w:t>W tej zasadzie, podczas realizacji testów, wystąpiły nieliczne problemy m.in. w kryterium 4.1.2 – Nazwa, rola, wartość.</w:t>
      </w:r>
    </w:p>
    <w:p w14:paraId="485AB4FA" w14:textId="77777777" w:rsidR="00B13433" w:rsidRPr="00BF6615" w:rsidRDefault="00B13433" w:rsidP="00B271C3">
      <w:pPr>
        <w:pStyle w:val="Nagwek4"/>
      </w:pPr>
      <w:r w:rsidRPr="338987BF">
        <w:t xml:space="preserve">Jak użytkownicy i </w:t>
      </w:r>
      <w:r w:rsidRPr="00B271C3">
        <w:rPr>
          <w:rStyle w:val="Nagwek4Znak"/>
          <w:b/>
        </w:rPr>
        <w:t>użytkowniczki</w:t>
      </w:r>
      <w:r w:rsidRPr="338987BF">
        <w:t xml:space="preserve"> próbowali pokonać trudnoś</w:t>
      </w:r>
      <w:r w:rsidRPr="00BF6615">
        <w:t>ci?</w:t>
      </w:r>
    </w:p>
    <w:p w14:paraId="5ADDAE84" w14:textId="77777777" w:rsidR="00B13433" w:rsidRPr="00BF6615" w:rsidRDefault="00B13433" w:rsidP="007E26B5">
      <w:pPr>
        <w:rPr>
          <w:rFonts w:cstheme="minorHAnsi"/>
        </w:rPr>
      </w:pPr>
      <w:r w:rsidRPr="00BF6615">
        <w:rPr>
          <w:rFonts w:cstheme="minorHAnsi"/>
        </w:rPr>
        <w:t>Użytkownicy i użytkowniczki najczęściej próbowali kolejny raz wykonać zadanie- stosowali metodę prób i błędów. Kilka razy podjęto próbę wyszukania samouczków lub instrukcji. Jedna z osób badanych posiłkowała się wyszukiwarką internetową aby odnaleźć potrzebne informacje.</w:t>
      </w:r>
    </w:p>
    <w:p w14:paraId="057CD3AD" w14:textId="77777777" w:rsidR="00B13433" w:rsidRPr="00BF6615" w:rsidRDefault="00B13433" w:rsidP="00B271C3">
      <w:pPr>
        <w:pStyle w:val="Nagwek4"/>
      </w:pPr>
      <w:r w:rsidRPr="338987BF">
        <w:t xml:space="preserve">Stany emocjonalne </w:t>
      </w:r>
      <w:r w:rsidRPr="00B271C3">
        <w:rPr>
          <w:rStyle w:val="Nagwek4Znak"/>
          <w:b/>
        </w:rPr>
        <w:t>użytkowniczek</w:t>
      </w:r>
      <w:r w:rsidRPr="338987BF">
        <w:t xml:space="preserve"> i użytkowników podczas testów</w:t>
      </w:r>
    </w:p>
    <w:p w14:paraId="20D13F88" w14:textId="77777777" w:rsidR="00B13433" w:rsidRPr="00BF6615" w:rsidRDefault="00B13433" w:rsidP="007E26B5">
      <w:pPr>
        <w:spacing w:after="160"/>
        <w:rPr>
          <w:rFonts w:cstheme="minorHAnsi"/>
        </w:rPr>
      </w:pPr>
      <w:r w:rsidRPr="00BF6615">
        <w:rPr>
          <w:rFonts w:cstheme="minorHAnsi"/>
        </w:rPr>
        <w:t xml:space="preserve">Pomimo napotykanych barier, w trakcie testów stron/aplikacji internetowych dominował spokój uczestniczek i uczestników. U osób głuchych/słabosłyszących spokój zaobserwowano w ok. 67% przypadków podczas korzystania ze stron internetowych i 33% podczas korzystania z aplikacji mobilnych. Pewien poziom zadowolenia z wykonania zadań pojawiał się rzadziej – w ok. 33% sesji na stronach i 17% w aplikacjach. </w:t>
      </w:r>
    </w:p>
    <w:p w14:paraId="167F1A47" w14:textId="77777777" w:rsidR="00B13433" w:rsidRPr="00BF6615" w:rsidRDefault="00B13433" w:rsidP="007E26B5">
      <w:pPr>
        <w:spacing w:after="160"/>
        <w:rPr>
          <w:rFonts w:cstheme="minorHAnsi"/>
        </w:rPr>
      </w:pPr>
      <w:r w:rsidRPr="00BF6615">
        <w:rPr>
          <w:rFonts w:cstheme="minorHAnsi"/>
        </w:rPr>
        <w:t>Negatywne emocje pojawiały się przede wszystkim u starszych uczestników i przy trudniejszych w obsłudze stronach/aplikacjach. Frustracja i zdenerwowanie wystąpiły sporadycznie na stronach internetowych (łącznie odnotowano pojedyncze przypadki – frustracja ok. 8%, zdenerwowanie 17%), natomiast nieco częściej ujawniały się w trakcie korzystania z aplikacji (frustracja 17%, zdenerwowanie nie wystąpiło). Uczestnicy najczęściej odczuwali negatywne emocje podczas korzystania z bardziej złożonych stron/aplikacji.</w:t>
      </w:r>
    </w:p>
    <w:p w14:paraId="251FCF6A" w14:textId="77777777" w:rsidR="00B13433" w:rsidRPr="00BF6615" w:rsidRDefault="00B13433" w:rsidP="007E26B5">
      <w:pPr>
        <w:spacing w:after="160"/>
        <w:rPr>
          <w:rFonts w:cstheme="minorHAnsi"/>
        </w:rPr>
      </w:pPr>
      <w:r w:rsidRPr="00BF6615">
        <w:rPr>
          <w:rFonts w:cstheme="minorHAnsi"/>
        </w:rPr>
        <w:t xml:space="preserve">Zniechęcenie, rozumiane jako utrata motywacji do dalszego wykonywania zadania z powodu piętrzących się trudności, było stosunkowo częstym stanem emocjonalnym. Występowało na zbliżonym poziomie zarówno przy testowaniu stron, jak i aplikacji (w około 50% przypadków). Zniechęcenie narastało zwłaszcza wtedy, gdy użytkownik mimo starań nie mógł znaleźć potrzebnej informacji lub zrozumieć działania funkcji strony. Mimo to warto podkreślić, że całkowita rezygnacja z wykonania zadań zdarzała się rzadko – uczestnicy, choć zniechęceni, zwykle podejmowali kolejne próby, co może wynikać z charakteru testów i poczucia obowiązku ukończenia wyznaczonego scenariusza. Należy jednak podkreślić, że warunki w jakich były realizowane testy, w tym zapewnienie tłumacza PJM wpłynęło na chęć ukończenia testów. Użytkownicy i użytkowniczki wyraźnie podkreślali, że w standardowych </w:t>
      </w:r>
      <w:r w:rsidRPr="00BF6615">
        <w:rPr>
          <w:rFonts w:cstheme="minorHAnsi"/>
        </w:rPr>
        <w:lastRenderedPageBreak/>
        <w:t>warunkach szybko zniechęciliby się do wykonywanego zadania z uwagi na niedostępność stron/aplikacji dla osób z problemami słuchu.</w:t>
      </w:r>
    </w:p>
    <w:p w14:paraId="5064E322" w14:textId="77777777" w:rsidR="00B13433" w:rsidRPr="00BF6615" w:rsidRDefault="00B13433" w:rsidP="00B271C3">
      <w:pPr>
        <w:pStyle w:val="Nagwek4"/>
      </w:pPr>
      <w:r w:rsidRPr="338987BF">
        <w:t xml:space="preserve">Opinie użytkowników i </w:t>
      </w:r>
      <w:r w:rsidRPr="00B271C3">
        <w:rPr>
          <w:rStyle w:val="Nagwek4Znak"/>
          <w:b/>
        </w:rPr>
        <w:t>użytkowniczek</w:t>
      </w:r>
      <w:r w:rsidRPr="338987BF">
        <w:t xml:space="preserve"> o procesie testowania</w:t>
      </w:r>
    </w:p>
    <w:p w14:paraId="496A7015" w14:textId="77777777" w:rsidR="00B13433" w:rsidRPr="00BF6615" w:rsidRDefault="00B13433" w:rsidP="007E26B5">
      <w:pPr>
        <w:spacing w:after="160"/>
        <w:rPr>
          <w:rFonts w:cstheme="minorHAnsi"/>
        </w:rPr>
      </w:pPr>
      <w:r w:rsidRPr="00BF6615">
        <w:rPr>
          <w:rFonts w:cstheme="minorHAnsi"/>
        </w:rPr>
        <w:t>W rozmowach po testach osoby niesłyszące i słabosłyszące dzieliły się swoimi spostrzeżeniami na temat napotkanych trudności. Wiele opinii podkreślało potrzebę uproszczenia języka na stronach internetowych oraz poprawy ich intuicyjności. Były to dwa elementy najczęściej wskazywane jako wymagające natychmiastowej interwencji i poprawy. Użytkownicy zgodnie stwierdzali, że skomplikowany, specjalistyczny język opisów stanowi dla nich barierę – „treści pisane po polsku powinny być jak najprostsze i zwięzłe”, zaleciła jedna z uczestniczek, dodając, że polski język jest dla osób głuchych niemal jak obcy.</w:t>
      </w:r>
    </w:p>
    <w:p w14:paraId="135AC294" w14:textId="77777777" w:rsidR="00B13433" w:rsidRPr="00BF6615" w:rsidRDefault="00B13433" w:rsidP="007E26B5">
      <w:pPr>
        <w:spacing w:after="160"/>
        <w:rPr>
          <w:rFonts w:cstheme="minorHAnsi"/>
        </w:rPr>
      </w:pPr>
      <w:r w:rsidRPr="00BF6615">
        <w:rPr>
          <w:rFonts w:cstheme="minorHAnsi"/>
        </w:rPr>
        <w:t>Drugim kluczowym problemem z perspektywy testujących był brak tłumaczeń na polski język migowy. „Dodanie tłumaczenia na PJM jest kluczowe” – taka sugestia powtarzała się w wypowiedziach wielu osób. Uczestnicy argumentowali, że osoby głuche czują się obecnie „odcięte od informacji” na stronach internetowych pozbawionych tłumacza migowego czy choćby napisów. Jeden z badanych obrazowo opisał swoją frustrację mówiąc: „Ja mam wrażenie, że jestem głupi, bo nie rozumiem tego co jest na stronach. Do wszystkiego potrzebuję tłumaczenia. Osoba głucha jest obcokrajowcem we własnym państwie. Strony internetowe opierają się na języku polskim i nie jesteśmy w stanie tego przejść.” Taka opinia pokazuje, jak głęboko brak dostępności treści (szczególnie językowej) wpływa na poczucie własnej wartości użytkownika i jego doświadczenie strony. Strony internetowe są oparte na języku fonicznym, przez co bez tłumaczenia na migowy wielu głuchych „nie jest w stanie przez to przebrnąć”.</w:t>
      </w:r>
    </w:p>
    <w:p w14:paraId="1BE75F4A" w14:textId="58FF4A16" w:rsidR="00B13433" w:rsidRPr="00BF6615" w:rsidRDefault="00B13433" w:rsidP="007E26B5">
      <w:pPr>
        <w:spacing w:after="160"/>
        <w:rPr>
          <w:rFonts w:cstheme="minorHAnsi"/>
        </w:rPr>
      </w:pPr>
      <w:r w:rsidRPr="00BF6615">
        <w:rPr>
          <w:rFonts w:cstheme="minorHAnsi"/>
        </w:rPr>
        <w:t xml:space="preserve">Pomimo licznych krytycznych uwag, część uczestników doceniła pozytywne elementy niektórych stron/aplikacji. Młodsi użytkownicy wskazywali, że doceniają możliwość załatwienia pewnych spraw online, o ile strona/aplikacja jest czytelna wizualnie. </w:t>
      </w:r>
      <w:r w:rsidR="000A692A" w:rsidRPr="00BF6615">
        <w:rPr>
          <w:rFonts w:cstheme="minorHAnsi"/>
        </w:rPr>
        <w:t>To</w:t>
      </w:r>
      <w:r w:rsidR="000A692A">
        <w:rPr>
          <w:rFonts w:cstheme="minorHAnsi"/>
        </w:rPr>
        <w:t> </w:t>
      </w:r>
      <w:r w:rsidRPr="00BF6615">
        <w:rPr>
          <w:rFonts w:cstheme="minorHAnsi"/>
        </w:rPr>
        <w:t>pokazuje, że osoby niesłyszące są zmotywowane do korzystania z usług cyfrowych, jeśli zostaną one odpowiednio dostosowane do ich potrzeb.</w:t>
      </w:r>
    </w:p>
    <w:p w14:paraId="163F6437" w14:textId="77777777" w:rsidR="00B13433" w:rsidRPr="00BF6615" w:rsidRDefault="00B13433" w:rsidP="00B271C3">
      <w:pPr>
        <w:pStyle w:val="Nagwek4"/>
      </w:pPr>
      <w:r w:rsidRPr="338987BF">
        <w:t xml:space="preserve">Podsumowanie </w:t>
      </w:r>
      <w:r w:rsidRPr="00B271C3">
        <w:rPr>
          <w:rStyle w:val="Nagwek4Znak"/>
          <w:b/>
        </w:rPr>
        <w:t>testów</w:t>
      </w:r>
    </w:p>
    <w:p w14:paraId="18F44CA7" w14:textId="77777777" w:rsidR="00B13433" w:rsidRPr="00BF6615" w:rsidRDefault="00B13433" w:rsidP="007E26B5">
      <w:pPr>
        <w:spacing w:after="160"/>
        <w:rPr>
          <w:rFonts w:cstheme="minorHAnsi"/>
        </w:rPr>
      </w:pPr>
      <w:r w:rsidRPr="00BF6615">
        <w:rPr>
          <w:rFonts w:cstheme="minorHAnsi"/>
        </w:rPr>
        <w:t>Osoby niesłyszące i słabosłyszące napotkały wiele trudności podczas testów dostępności stron internetowych i aplikacji mobilnych podmiotów publicznych. Największe problemy dotyczyły skomplikowanego języka, nadmiaru treści oraz braku zapewnienia alternatyw dla informacji dźwiękowych. Użytkownicy często nie rozumieli przedstawionych treści tekstowych bądź audio, mieli kłopoty z odnalezieniem potrzebnych informacji i czuli się zagubieni w złożonej nawigacji.</w:t>
      </w:r>
    </w:p>
    <w:p w14:paraId="6F2D5EC2" w14:textId="54CA03DC" w:rsidR="00B13433" w:rsidRPr="00BF6615" w:rsidRDefault="00B13433" w:rsidP="007E26B5">
      <w:pPr>
        <w:spacing w:after="160"/>
        <w:rPr>
          <w:rFonts w:cstheme="minorHAnsi"/>
        </w:rPr>
      </w:pPr>
      <w:r w:rsidRPr="00BF6615">
        <w:rPr>
          <w:rFonts w:cstheme="minorHAnsi"/>
        </w:rPr>
        <w:t xml:space="preserve">Analiza zgodności z zasadami dostępności WCAG wykazała, że główne trudności dotyczyły dwóch obszarów: postrzegalności i zrozumiałości stron/aplikacji. Strony nie stosowały zasad prostego języka, zawierały wiele specjalistycznych określeń i długie bloki tekstu, co stoi </w:t>
      </w:r>
      <w:r w:rsidR="000A692A" w:rsidRPr="00BF6615">
        <w:rPr>
          <w:rFonts w:cstheme="minorHAnsi"/>
        </w:rPr>
        <w:t>w</w:t>
      </w:r>
      <w:r w:rsidR="000A692A">
        <w:rPr>
          <w:rFonts w:cstheme="minorHAnsi"/>
        </w:rPr>
        <w:t> </w:t>
      </w:r>
      <w:r w:rsidRPr="00BF6615">
        <w:rPr>
          <w:rFonts w:cstheme="minorHAnsi"/>
        </w:rPr>
        <w:t>sprzeczności z potrzebami tej grupy użytkowników.</w:t>
      </w:r>
    </w:p>
    <w:p w14:paraId="3A992C3E" w14:textId="77777777" w:rsidR="00B13433" w:rsidRPr="00BF6615" w:rsidRDefault="00B13433" w:rsidP="007E26B5">
      <w:pPr>
        <w:spacing w:after="160"/>
        <w:rPr>
          <w:rFonts w:cstheme="minorHAnsi"/>
        </w:rPr>
      </w:pPr>
      <w:r w:rsidRPr="00BF6615">
        <w:rPr>
          <w:rFonts w:cstheme="minorHAnsi"/>
        </w:rPr>
        <w:lastRenderedPageBreak/>
        <w:t xml:space="preserve">Podczas testów większość uczestników pozostawała emocjonalnie spokojna i zaangażowana, choć w momentach napotkania poważnych barier pojawiały się negatywne emocje. Frustracja czy zdenerwowanie były jednak przejściowe – pomimo trudności użytkownicy rzadko całkowicie rezygnowali z wykonania zadania. </w:t>
      </w:r>
    </w:p>
    <w:p w14:paraId="2143126E" w14:textId="6502EEE7" w:rsidR="00B13433" w:rsidRPr="00BF6615" w:rsidRDefault="00B13433" w:rsidP="00B271C3">
      <w:pPr>
        <w:pStyle w:val="Nagwek4"/>
        <w:rPr>
          <w:rStyle w:val="Nagwek4Znak"/>
        </w:rPr>
      </w:pPr>
      <w:bookmarkStart w:id="105" w:name="_Toc196827598"/>
      <w:bookmarkStart w:id="106" w:name="_Toc194392873"/>
      <w:r w:rsidRPr="338987BF">
        <w:t xml:space="preserve">Hierarchia potrzeb osób słabosłyszących i niesłyszących w zakresie stron internetowych </w:t>
      </w:r>
      <w:r w:rsidR="000A692A" w:rsidRPr="338987BF">
        <w:t>i</w:t>
      </w:r>
      <w:r w:rsidR="000A692A">
        <w:t> </w:t>
      </w:r>
      <w:r w:rsidRPr="338987BF">
        <w:t xml:space="preserve">aplikacji </w:t>
      </w:r>
      <w:r w:rsidRPr="00B271C3">
        <w:rPr>
          <w:rStyle w:val="Nagwek4Znak"/>
          <w:b/>
        </w:rPr>
        <w:t>podmiotów</w:t>
      </w:r>
      <w:r w:rsidRPr="338987BF">
        <w:t xml:space="preserve"> publicznych</w:t>
      </w:r>
      <w:bookmarkEnd w:id="105"/>
      <w:r w:rsidRPr="338987BF">
        <w:t xml:space="preserve"> </w:t>
      </w:r>
      <w:bookmarkEnd w:id="106"/>
    </w:p>
    <w:p w14:paraId="2526B983" w14:textId="77777777" w:rsidR="00B13433" w:rsidRPr="00BF6615" w:rsidRDefault="00B13433" w:rsidP="007E26B5">
      <w:pPr>
        <w:spacing w:after="0"/>
        <w:rPr>
          <w:rFonts w:cstheme="minorHAnsi"/>
          <w:b/>
          <w:bCs/>
        </w:rPr>
      </w:pPr>
      <w:r w:rsidRPr="00BF6615">
        <w:rPr>
          <w:rFonts w:cstheme="minorHAnsi"/>
          <w:b/>
          <w:bCs/>
        </w:rPr>
        <w:t>1. Treści wizualne i tekstowe zamiast treści dźwiękowych (najwyższy priorytet)</w:t>
      </w:r>
    </w:p>
    <w:p w14:paraId="59A7AF3B" w14:textId="77777777" w:rsidR="00B13433" w:rsidRPr="00BF6615" w:rsidRDefault="00B13433">
      <w:pPr>
        <w:numPr>
          <w:ilvl w:val="0"/>
          <w:numId w:val="33"/>
        </w:numPr>
        <w:spacing w:after="0"/>
        <w:rPr>
          <w:rFonts w:cstheme="minorHAnsi"/>
        </w:rPr>
      </w:pPr>
      <w:r w:rsidRPr="00BF6615">
        <w:rPr>
          <w:rFonts w:cstheme="minorHAnsi"/>
        </w:rPr>
        <w:t>Zapewnienie napisów do wszystkich materiałów audio i wideo.</w:t>
      </w:r>
    </w:p>
    <w:p w14:paraId="10FA3FB5" w14:textId="77777777" w:rsidR="00B13433" w:rsidRPr="00BF6615" w:rsidRDefault="00B13433">
      <w:pPr>
        <w:numPr>
          <w:ilvl w:val="0"/>
          <w:numId w:val="33"/>
        </w:numPr>
        <w:spacing w:after="0"/>
        <w:rPr>
          <w:rFonts w:cstheme="minorHAnsi"/>
        </w:rPr>
      </w:pPr>
      <w:r w:rsidRPr="00BF6615">
        <w:rPr>
          <w:rFonts w:cstheme="minorHAnsi"/>
        </w:rPr>
        <w:t>Zastąpienie dźwiękowych powiadomień (np. sygnał alarmowy) komunikatem tekstowym i/lub wizualnym (ikona, zmiana koloru).</w:t>
      </w:r>
    </w:p>
    <w:p w14:paraId="6B6AAAFD" w14:textId="77777777" w:rsidR="00B13433" w:rsidRPr="00BF6615" w:rsidRDefault="00B13433">
      <w:pPr>
        <w:numPr>
          <w:ilvl w:val="0"/>
          <w:numId w:val="33"/>
        </w:numPr>
        <w:spacing w:after="0"/>
        <w:rPr>
          <w:rFonts w:cstheme="minorHAnsi"/>
        </w:rPr>
      </w:pPr>
      <w:r w:rsidRPr="00BF6615">
        <w:rPr>
          <w:rFonts w:cstheme="minorHAnsi"/>
        </w:rPr>
        <w:t>Możliwość zatrzymania/ponownego odtworzenia komunikatu tekstowego przez użytkownika.</w:t>
      </w:r>
    </w:p>
    <w:p w14:paraId="762E9A80" w14:textId="77777777" w:rsidR="00B13433" w:rsidRPr="00BF6615" w:rsidRDefault="00B13433" w:rsidP="007E26B5">
      <w:pPr>
        <w:spacing w:after="0"/>
        <w:rPr>
          <w:rFonts w:cstheme="minorHAnsi"/>
          <w:b/>
          <w:bCs/>
        </w:rPr>
      </w:pPr>
      <w:r w:rsidRPr="00BF6615">
        <w:rPr>
          <w:rFonts w:cstheme="minorHAnsi"/>
          <w:b/>
          <w:bCs/>
        </w:rPr>
        <w:t>2. Wsparcie w Polskim Języku Migowym (PJM)</w:t>
      </w:r>
    </w:p>
    <w:p w14:paraId="74EA2498" w14:textId="77777777" w:rsidR="00B13433" w:rsidRPr="00BF6615" w:rsidRDefault="00B13433">
      <w:pPr>
        <w:numPr>
          <w:ilvl w:val="0"/>
          <w:numId w:val="34"/>
        </w:numPr>
        <w:spacing w:after="0"/>
        <w:rPr>
          <w:rFonts w:cstheme="minorHAnsi"/>
        </w:rPr>
      </w:pPr>
      <w:r w:rsidRPr="00BF6615">
        <w:rPr>
          <w:rFonts w:cstheme="minorHAnsi"/>
        </w:rPr>
        <w:t>Dostępność kluczowych treści w formie nagrań z tłumaczem PJM.</w:t>
      </w:r>
    </w:p>
    <w:p w14:paraId="558AE469" w14:textId="77777777" w:rsidR="00B13433" w:rsidRPr="00BF6615" w:rsidRDefault="00B13433">
      <w:pPr>
        <w:numPr>
          <w:ilvl w:val="0"/>
          <w:numId w:val="34"/>
        </w:numPr>
        <w:spacing w:after="0"/>
        <w:rPr>
          <w:rFonts w:cstheme="minorHAnsi"/>
        </w:rPr>
      </w:pPr>
      <w:r w:rsidRPr="00BF6615">
        <w:rPr>
          <w:rFonts w:cstheme="minorHAnsi"/>
        </w:rPr>
        <w:t>Obecność ikony wskazującej, że dana strona zawiera tłumaczenie migowe.</w:t>
      </w:r>
    </w:p>
    <w:p w14:paraId="4C698076" w14:textId="77777777" w:rsidR="00B13433" w:rsidRPr="00BF6615" w:rsidRDefault="00B13433">
      <w:pPr>
        <w:numPr>
          <w:ilvl w:val="0"/>
          <w:numId w:val="34"/>
        </w:numPr>
        <w:spacing w:after="0"/>
        <w:rPr>
          <w:rFonts w:cstheme="minorHAnsi"/>
        </w:rPr>
      </w:pPr>
      <w:r w:rsidRPr="00BF6615">
        <w:rPr>
          <w:rFonts w:cstheme="minorHAnsi"/>
        </w:rPr>
        <w:t xml:space="preserve">Możliwość uruchomienia asystenta języka migowego online (np. tłumacz live, </w:t>
      </w:r>
      <w:proofErr w:type="spellStart"/>
      <w:r w:rsidRPr="00BF6615">
        <w:rPr>
          <w:rFonts w:cstheme="minorHAnsi"/>
        </w:rPr>
        <w:t>chatbot</w:t>
      </w:r>
      <w:proofErr w:type="spellEnd"/>
      <w:r w:rsidRPr="00BF6615">
        <w:rPr>
          <w:rFonts w:cstheme="minorHAnsi"/>
        </w:rPr>
        <w:t xml:space="preserve"> PJM).</w:t>
      </w:r>
    </w:p>
    <w:p w14:paraId="0672136D" w14:textId="77777777" w:rsidR="00B13433" w:rsidRPr="00BF6615" w:rsidRDefault="00B13433" w:rsidP="007E26B5">
      <w:pPr>
        <w:spacing w:after="0"/>
        <w:rPr>
          <w:rFonts w:cstheme="minorHAnsi"/>
          <w:b/>
          <w:bCs/>
        </w:rPr>
      </w:pPr>
      <w:r w:rsidRPr="00BF6615">
        <w:rPr>
          <w:rFonts w:cstheme="minorHAnsi"/>
          <w:b/>
          <w:bCs/>
        </w:rPr>
        <w:t>3. Jasny i prosty język komunikatów</w:t>
      </w:r>
    </w:p>
    <w:p w14:paraId="615FE6EE" w14:textId="77777777" w:rsidR="00B13433" w:rsidRPr="00BF6615" w:rsidRDefault="00B13433">
      <w:pPr>
        <w:numPr>
          <w:ilvl w:val="0"/>
          <w:numId w:val="35"/>
        </w:numPr>
        <w:spacing w:after="0"/>
        <w:rPr>
          <w:rFonts w:cstheme="minorHAnsi"/>
        </w:rPr>
      </w:pPr>
      <w:r w:rsidRPr="00BF6615">
        <w:rPr>
          <w:rFonts w:cstheme="minorHAnsi"/>
        </w:rPr>
        <w:t>Unikanie trudnych, zawiłych sformułowań i języka urzędowego.</w:t>
      </w:r>
    </w:p>
    <w:p w14:paraId="372B2A5A" w14:textId="77777777" w:rsidR="00B13433" w:rsidRPr="00BF6615" w:rsidRDefault="00B13433">
      <w:pPr>
        <w:numPr>
          <w:ilvl w:val="0"/>
          <w:numId w:val="35"/>
        </w:numPr>
        <w:spacing w:after="0"/>
        <w:rPr>
          <w:rFonts w:cstheme="minorHAnsi"/>
        </w:rPr>
      </w:pPr>
      <w:r w:rsidRPr="00BF6615">
        <w:rPr>
          <w:rFonts w:cstheme="minorHAnsi"/>
        </w:rPr>
        <w:t>Dzielenie tekstów na krótkie fragmenty, z użyciem nagłówków i wypunktowań.</w:t>
      </w:r>
    </w:p>
    <w:p w14:paraId="0E049C22" w14:textId="77777777" w:rsidR="00B13433" w:rsidRPr="00BF6615" w:rsidRDefault="00B13433">
      <w:pPr>
        <w:numPr>
          <w:ilvl w:val="0"/>
          <w:numId w:val="35"/>
        </w:numPr>
        <w:spacing w:after="0"/>
        <w:rPr>
          <w:rFonts w:cstheme="minorHAnsi"/>
        </w:rPr>
      </w:pPr>
      <w:r w:rsidRPr="00BF6615">
        <w:rPr>
          <w:rFonts w:cstheme="minorHAnsi"/>
        </w:rPr>
        <w:t>Instrukcje krok po kroku – widoczne, spójne, jednoznaczne.</w:t>
      </w:r>
    </w:p>
    <w:p w14:paraId="61E68B3B" w14:textId="77777777" w:rsidR="00B13433" w:rsidRPr="00BF6615" w:rsidRDefault="00B13433" w:rsidP="007E26B5">
      <w:pPr>
        <w:spacing w:after="0"/>
        <w:rPr>
          <w:rFonts w:cstheme="minorHAnsi"/>
          <w:b/>
          <w:bCs/>
        </w:rPr>
      </w:pPr>
      <w:r w:rsidRPr="00BF6615">
        <w:rPr>
          <w:rFonts w:cstheme="minorHAnsi"/>
          <w:b/>
          <w:bCs/>
        </w:rPr>
        <w:t>4. Wizualne przewodniki i ikonografia</w:t>
      </w:r>
    </w:p>
    <w:p w14:paraId="64785031" w14:textId="77777777" w:rsidR="00B13433" w:rsidRPr="00BF6615" w:rsidRDefault="00B13433">
      <w:pPr>
        <w:numPr>
          <w:ilvl w:val="0"/>
          <w:numId w:val="35"/>
        </w:numPr>
        <w:spacing w:after="0"/>
        <w:rPr>
          <w:rFonts w:cstheme="minorHAnsi"/>
        </w:rPr>
      </w:pPr>
      <w:r w:rsidRPr="00BF6615">
        <w:rPr>
          <w:rFonts w:cstheme="minorHAnsi"/>
        </w:rPr>
        <w:t>Piktogramy, infografiki i ilustracje wspierające zrozumienie treści.</w:t>
      </w:r>
    </w:p>
    <w:p w14:paraId="76A94801" w14:textId="77777777" w:rsidR="00B13433" w:rsidRPr="00BF6615" w:rsidRDefault="00B13433">
      <w:pPr>
        <w:numPr>
          <w:ilvl w:val="0"/>
          <w:numId w:val="35"/>
        </w:numPr>
        <w:spacing w:after="0"/>
        <w:rPr>
          <w:rFonts w:cstheme="minorHAnsi"/>
        </w:rPr>
      </w:pPr>
      <w:r w:rsidRPr="00BF6615">
        <w:rPr>
          <w:rFonts w:cstheme="minorHAnsi"/>
        </w:rPr>
        <w:t>Możliwość przeglądania strony w trybie „graficznym”, z ograniczoną ilością tekstu.</w:t>
      </w:r>
    </w:p>
    <w:p w14:paraId="573C5742" w14:textId="77777777" w:rsidR="00B13433" w:rsidRPr="00BF6615" w:rsidRDefault="00B13433">
      <w:pPr>
        <w:numPr>
          <w:ilvl w:val="0"/>
          <w:numId w:val="35"/>
        </w:numPr>
        <w:spacing w:after="0"/>
        <w:rPr>
          <w:rFonts w:cstheme="minorHAnsi"/>
        </w:rPr>
      </w:pPr>
      <w:r w:rsidRPr="00BF6615">
        <w:rPr>
          <w:rFonts w:cstheme="minorHAnsi"/>
        </w:rPr>
        <w:t>Ujednolicona ikonografia ułatwiająca rozpoznawanie funkcji.</w:t>
      </w:r>
    </w:p>
    <w:p w14:paraId="40EC536C" w14:textId="77777777" w:rsidR="00B13433" w:rsidRPr="00BF6615" w:rsidRDefault="00B13433" w:rsidP="007E26B5">
      <w:pPr>
        <w:spacing w:after="0"/>
        <w:rPr>
          <w:rFonts w:cstheme="minorHAnsi"/>
          <w:b/>
          <w:bCs/>
        </w:rPr>
      </w:pPr>
      <w:r w:rsidRPr="00BF6615">
        <w:rPr>
          <w:rFonts w:cstheme="minorHAnsi"/>
          <w:b/>
          <w:bCs/>
        </w:rPr>
        <w:t>5. Komunikaty zwrotne i informacja o stanie systemu</w:t>
      </w:r>
    </w:p>
    <w:p w14:paraId="454924E9" w14:textId="77777777" w:rsidR="00B13433" w:rsidRPr="00BF6615" w:rsidRDefault="00B13433">
      <w:pPr>
        <w:numPr>
          <w:ilvl w:val="0"/>
          <w:numId w:val="35"/>
        </w:numPr>
        <w:spacing w:after="0"/>
        <w:rPr>
          <w:rFonts w:cstheme="minorHAnsi"/>
        </w:rPr>
      </w:pPr>
      <w:r w:rsidRPr="00BF6615">
        <w:rPr>
          <w:rFonts w:cstheme="minorHAnsi"/>
        </w:rPr>
        <w:t>Czytelne potwierdzenia wykonanych działań (np. „Twoje zgłoszenie zostało zapisane”).</w:t>
      </w:r>
    </w:p>
    <w:p w14:paraId="2219CDD9" w14:textId="77777777" w:rsidR="00B13433" w:rsidRPr="00BF6615" w:rsidRDefault="00B13433">
      <w:pPr>
        <w:numPr>
          <w:ilvl w:val="0"/>
          <w:numId w:val="35"/>
        </w:numPr>
        <w:spacing w:after="0"/>
        <w:rPr>
          <w:rFonts w:cstheme="minorHAnsi"/>
        </w:rPr>
      </w:pPr>
      <w:r w:rsidRPr="00BF6615">
        <w:rPr>
          <w:rFonts w:cstheme="minorHAnsi"/>
        </w:rPr>
        <w:t>Unikanie kodów błędów – zamiast „Błąd 404” → „Nie znaleziono strony. Wróć do menu głównego.”</w:t>
      </w:r>
    </w:p>
    <w:p w14:paraId="52FAB115" w14:textId="77777777" w:rsidR="00B13433" w:rsidRPr="00BF6615" w:rsidRDefault="00B13433">
      <w:pPr>
        <w:numPr>
          <w:ilvl w:val="0"/>
          <w:numId w:val="35"/>
        </w:numPr>
        <w:spacing w:after="0"/>
        <w:rPr>
          <w:rFonts w:cstheme="minorHAnsi"/>
        </w:rPr>
      </w:pPr>
      <w:r w:rsidRPr="00BF6615">
        <w:rPr>
          <w:rFonts w:cstheme="minorHAnsi"/>
        </w:rPr>
        <w:t>Wskazanie, gdzie użytkownik znajduje się w procesie (np. pasek postępu, lista kroków).</w:t>
      </w:r>
    </w:p>
    <w:p w14:paraId="766855C2" w14:textId="77777777" w:rsidR="00B13433" w:rsidRPr="00BF6615" w:rsidRDefault="00B13433" w:rsidP="007E26B5">
      <w:pPr>
        <w:spacing w:after="0"/>
        <w:rPr>
          <w:rFonts w:cstheme="minorHAnsi"/>
          <w:b/>
          <w:bCs/>
        </w:rPr>
      </w:pPr>
      <w:r w:rsidRPr="00BF6615">
        <w:rPr>
          <w:rFonts w:cstheme="minorHAnsi"/>
          <w:b/>
          <w:bCs/>
        </w:rPr>
        <w:t>6. Intuicyjna nawigacja i struktura</w:t>
      </w:r>
    </w:p>
    <w:p w14:paraId="1BAED93B" w14:textId="77777777" w:rsidR="00B13433" w:rsidRPr="00BF6615" w:rsidRDefault="00B13433">
      <w:pPr>
        <w:numPr>
          <w:ilvl w:val="0"/>
          <w:numId w:val="35"/>
        </w:numPr>
        <w:spacing w:after="0"/>
        <w:rPr>
          <w:rFonts w:cstheme="minorHAnsi"/>
        </w:rPr>
      </w:pPr>
      <w:r w:rsidRPr="00BF6615">
        <w:rPr>
          <w:rFonts w:cstheme="minorHAnsi"/>
        </w:rPr>
        <w:t>Spójny układ menu i przycisków na każdej podstronie.</w:t>
      </w:r>
    </w:p>
    <w:p w14:paraId="1DD079B0" w14:textId="77777777" w:rsidR="00B13433" w:rsidRPr="00BF6615" w:rsidRDefault="00B13433">
      <w:pPr>
        <w:numPr>
          <w:ilvl w:val="0"/>
          <w:numId w:val="35"/>
        </w:numPr>
        <w:spacing w:after="0"/>
        <w:rPr>
          <w:rFonts w:cstheme="minorHAnsi"/>
        </w:rPr>
      </w:pPr>
      <w:r w:rsidRPr="00BF6615">
        <w:rPr>
          <w:rFonts w:cstheme="minorHAnsi"/>
        </w:rPr>
        <w:t>Jasna droga powrotu – zawsze widoczny przycisk „Wstecz” i „Start”.</w:t>
      </w:r>
    </w:p>
    <w:p w14:paraId="61D912D4" w14:textId="77777777" w:rsidR="00B13433" w:rsidRPr="00BF6615" w:rsidRDefault="00B13433">
      <w:pPr>
        <w:numPr>
          <w:ilvl w:val="0"/>
          <w:numId w:val="35"/>
        </w:numPr>
        <w:spacing w:after="0"/>
        <w:rPr>
          <w:rFonts w:cstheme="minorHAnsi"/>
        </w:rPr>
      </w:pPr>
      <w:r w:rsidRPr="00BF6615">
        <w:rPr>
          <w:rFonts w:cstheme="minorHAnsi"/>
        </w:rPr>
        <w:t>Nawigacja oparta na ikonach z tekstowymi podpisami.</w:t>
      </w:r>
    </w:p>
    <w:p w14:paraId="5FB42A34" w14:textId="77777777" w:rsidR="00B13433" w:rsidRPr="00BF6615" w:rsidRDefault="00B13433" w:rsidP="007E26B5">
      <w:pPr>
        <w:spacing w:after="0"/>
        <w:rPr>
          <w:rFonts w:cstheme="minorHAnsi"/>
          <w:b/>
          <w:bCs/>
        </w:rPr>
      </w:pPr>
      <w:r w:rsidRPr="00BF6615">
        <w:rPr>
          <w:rFonts w:cstheme="minorHAnsi"/>
          <w:b/>
          <w:bCs/>
        </w:rPr>
        <w:t>7. Tryb uproszczony i indywidualne ustawienia</w:t>
      </w:r>
    </w:p>
    <w:p w14:paraId="1DC3E8E8" w14:textId="77777777" w:rsidR="00B13433" w:rsidRPr="00BF6615" w:rsidRDefault="00B13433">
      <w:pPr>
        <w:numPr>
          <w:ilvl w:val="0"/>
          <w:numId w:val="35"/>
        </w:numPr>
        <w:spacing w:after="0"/>
        <w:rPr>
          <w:rFonts w:cstheme="minorHAnsi"/>
        </w:rPr>
      </w:pPr>
      <w:r w:rsidRPr="00BF6615">
        <w:rPr>
          <w:rFonts w:cstheme="minorHAnsi"/>
        </w:rPr>
        <w:t>Możliwość wyboru „wersji łatwej do czytania” (E2R) – większy kontrast, mniej treści, prosty język.</w:t>
      </w:r>
    </w:p>
    <w:p w14:paraId="7FCAC1DA" w14:textId="77777777" w:rsidR="00B13433" w:rsidRPr="00BF6615" w:rsidRDefault="00B13433">
      <w:pPr>
        <w:numPr>
          <w:ilvl w:val="0"/>
          <w:numId w:val="35"/>
        </w:numPr>
        <w:spacing w:after="0"/>
        <w:rPr>
          <w:rFonts w:cstheme="minorHAnsi"/>
        </w:rPr>
      </w:pPr>
      <w:r w:rsidRPr="00BF6615">
        <w:rPr>
          <w:rFonts w:cstheme="minorHAnsi"/>
        </w:rPr>
        <w:t>Zapamiętywanie ustawień użytkownika (np. PJM domyślnie włączony).</w:t>
      </w:r>
    </w:p>
    <w:p w14:paraId="207BC388" w14:textId="77777777" w:rsidR="00B13433" w:rsidRPr="00BF6615" w:rsidRDefault="00B13433">
      <w:pPr>
        <w:numPr>
          <w:ilvl w:val="0"/>
          <w:numId w:val="35"/>
        </w:numPr>
        <w:spacing w:after="0"/>
        <w:rPr>
          <w:rFonts w:cstheme="minorHAnsi"/>
        </w:rPr>
      </w:pPr>
      <w:r w:rsidRPr="00BF6615">
        <w:rPr>
          <w:rFonts w:cstheme="minorHAnsi"/>
        </w:rPr>
        <w:t>Personalizacja kolorów, wielkości czcionki i układu strony zgodnie z preferencjami.</w:t>
      </w:r>
    </w:p>
    <w:p w14:paraId="1DBE1542" w14:textId="7927044D" w:rsidR="00B13433" w:rsidRPr="00BF6615" w:rsidRDefault="00B13433">
      <w:pPr>
        <w:pStyle w:val="Nagwek3"/>
        <w:numPr>
          <w:ilvl w:val="1"/>
          <w:numId w:val="6"/>
        </w:numPr>
      </w:pPr>
      <w:bookmarkStart w:id="107" w:name="_Toc196827599"/>
      <w:bookmarkStart w:id="108" w:name="_Toc204179235"/>
      <w:r w:rsidRPr="00BF6615">
        <w:lastRenderedPageBreak/>
        <w:t>Osoby z dysfunkcją narządu ruchu</w:t>
      </w:r>
      <w:bookmarkEnd w:id="107"/>
      <w:bookmarkEnd w:id="108"/>
    </w:p>
    <w:p w14:paraId="204235FB" w14:textId="77777777" w:rsidR="00B13433" w:rsidRPr="00BF6615" w:rsidRDefault="00B13433" w:rsidP="00B271C3">
      <w:pPr>
        <w:pStyle w:val="Nagwek4"/>
      </w:pPr>
      <w:bookmarkStart w:id="109" w:name="_Toc196827600"/>
      <w:r w:rsidRPr="00B271C3">
        <w:rPr>
          <w:rStyle w:val="Nagwek4Znak"/>
          <w:b/>
        </w:rPr>
        <w:t>Wprowadzenie</w:t>
      </w:r>
      <w:bookmarkEnd w:id="109"/>
    </w:p>
    <w:p w14:paraId="271DB015" w14:textId="77777777" w:rsidR="00B13433" w:rsidRPr="00BF6615" w:rsidRDefault="00B13433" w:rsidP="007E26B5">
      <w:pPr>
        <w:rPr>
          <w:rFonts w:cstheme="minorHAnsi"/>
        </w:rPr>
      </w:pPr>
      <w:r w:rsidRPr="00BF6615">
        <w:rPr>
          <w:rFonts w:cstheme="minorHAnsi"/>
        </w:rPr>
        <w:t>W trakcie testów osoby badane zgłaszały liczne trudności związane zarówno z nawigacją, jak i prezentacją treści. Szczególnie problematyczne okazały się zbyt skomplikowane formularze, brak funkcji wyszukiwania oraz zbyt małe i nieczytelne elementy interfejsu (problemy związane z trudnościami w obsłudze myszki, precyzyjnego trafiania w małe elementy interfejsu oraz brakiem pełnej obsługi klawiaturowej). Wiele barier wiązało się również z nieprzyjaznym układem stron, przeładowaniem treścią i brakiem ergonomii. Podczas testów uczestnicy korzystali z technologii wspomagających: lekkie klawisze oraz rysik. Dodatkowo jedna z osób używała niestandardowego sposobu obsługi posiłkując się nosem i językiem w ten sposób użytkując ekran dotykowy). Wyniki testów pozwalają zidentyfikować kluczowe obszary wymagające poprawy, by strony publiczne były dostępne i wygodne także dla osób z ograniczoną sprawnością ruchową.</w:t>
      </w:r>
    </w:p>
    <w:p w14:paraId="38F8DD90" w14:textId="77777777" w:rsidR="00B13433" w:rsidRPr="00BF6615" w:rsidRDefault="00B13433" w:rsidP="007E26B5">
      <w:pPr>
        <w:rPr>
          <w:rFonts w:cstheme="minorHAnsi"/>
        </w:rPr>
      </w:pPr>
      <w:r w:rsidRPr="00BF6615">
        <w:rPr>
          <w:rFonts w:cstheme="minorHAnsi"/>
        </w:rPr>
        <w:t>Najczęstsze problemy wskazane przez osoby z dysfunkcją narządu ruchu:</w:t>
      </w:r>
    </w:p>
    <w:p w14:paraId="3E589F2D" w14:textId="77777777" w:rsidR="00B13433" w:rsidRPr="00BF6615" w:rsidRDefault="00B13433">
      <w:pPr>
        <w:pStyle w:val="Akapitzlist"/>
        <w:numPr>
          <w:ilvl w:val="0"/>
          <w:numId w:val="22"/>
        </w:numPr>
        <w:rPr>
          <w:rFonts w:cstheme="minorHAnsi"/>
        </w:rPr>
      </w:pPr>
      <w:r w:rsidRPr="00BF6615">
        <w:rPr>
          <w:rFonts w:cstheme="minorHAnsi"/>
        </w:rPr>
        <w:t>Braku wyszukiwarki lub innych skrótów umożliwiających szybkie znalezienie informacji.</w:t>
      </w:r>
    </w:p>
    <w:p w14:paraId="68DF4E39" w14:textId="77777777" w:rsidR="00B13433" w:rsidRPr="00BF6615" w:rsidRDefault="00B13433">
      <w:pPr>
        <w:pStyle w:val="Akapitzlist"/>
        <w:numPr>
          <w:ilvl w:val="0"/>
          <w:numId w:val="22"/>
        </w:numPr>
        <w:rPr>
          <w:rFonts w:cstheme="minorHAnsi"/>
        </w:rPr>
      </w:pPr>
      <w:r w:rsidRPr="00BF6615">
        <w:rPr>
          <w:rFonts w:cstheme="minorHAnsi"/>
        </w:rPr>
        <w:t>Nieintuicyjnej nawigacji i skomplikowanej struktury stron.</w:t>
      </w:r>
    </w:p>
    <w:p w14:paraId="59C8C87B" w14:textId="77777777" w:rsidR="00B13433" w:rsidRPr="00BF6615" w:rsidRDefault="00B13433">
      <w:pPr>
        <w:pStyle w:val="Akapitzlist"/>
        <w:numPr>
          <w:ilvl w:val="0"/>
          <w:numId w:val="22"/>
        </w:numPr>
        <w:rPr>
          <w:rFonts w:cstheme="minorHAnsi"/>
        </w:rPr>
      </w:pPr>
      <w:r w:rsidRPr="00BF6615">
        <w:rPr>
          <w:rFonts w:cstheme="minorHAnsi"/>
        </w:rPr>
        <w:t>Zbyt dużej ilości treści na jednej stronie (przeładowanie informacjami).</w:t>
      </w:r>
    </w:p>
    <w:p w14:paraId="06C0067B" w14:textId="77777777" w:rsidR="00B13433" w:rsidRPr="00BF6615" w:rsidRDefault="00B13433">
      <w:pPr>
        <w:pStyle w:val="Akapitzlist"/>
        <w:numPr>
          <w:ilvl w:val="0"/>
          <w:numId w:val="22"/>
        </w:numPr>
        <w:rPr>
          <w:rFonts w:cstheme="minorHAnsi"/>
        </w:rPr>
      </w:pPr>
      <w:r w:rsidRPr="00BF6615">
        <w:rPr>
          <w:rFonts w:cstheme="minorHAnsi"/>
        </w:rPr>
        <w:t>Trudności w obsłudze formularzy – zbyt wiele pól, brak podpowiedzi, nieczytelne etykiety.</w:t>
      </w:r>
    </w:p>
    <w:p w14:paraId="0FC55076" w14:textId="77777777" w:rsidR="00B13433" w:rsidRPr="00BF6615" w:rsidRDefault="00B13433">
      <w:pPr>
        <w:pStyle w:val="Akapitzlist"/>
        <w:numPr>
          <w:ilvl w:val="0"/>
          <w:numId w:val="22"/>
        </w:numPr>
        <w:rPr>
          <w:rFonts w:cstheme="minorHAnsi"/>
        </w:rPr>
      </w:pPr>
      <w:r w:rsidRPr="00BF6615">
        <w:rPr>
          <w:rFonts w:cstheme="minorHAnsi"/>
        </w:rPr>
        <w:t>Zbyt małych, trudnych do kliknięcia przycisków i linków.</w:t>
      </w:r>
    </w:p>
    <w:p w14:paraId="1FAC860D" w14:textId="77777777" w:rsidR="00B13433" w:rsidRPr="00BF6615" w:rsidRDefault="00B13433">
      <w:pPr>
        <w:pStyle w:val="Akapitzlist"/>
        <w:numPr>
          <w:ilvl w:val="0"/>
          <w:numId w:val="22"/>
        </w:numPr>
        <w:rPr>
          <w:rFonts w:cstheme="minorHAnsi"/>
        </w:rPr>
      </w:pPr>
      <w:r w:rsidRPr="00BF6615">
        <w:rPr>
          <w:rFonts w:cstheme="minorHAnsi"/>
        </w:rPr>
        <w:t>Zbyt niskiego kontrastu tekstów i elementów graficznych.</w:t>
      </w:r>
    </w:p>
    <w:p w14:paraId="389F69A1" w14:textId="77777777" w:rsidR="00B13433" w:rsidRPr="00BF6615" w:rsidRDefault="00B13433">
      <w:pPr>
        <w:pStyle w:val="Akapitzlist"/>
        <w:numPr>
          <w:ilvl w:val="0"/>
          <w:numId w:val="22"/>
        </w:numPr>
        <w:rPr>
          <w:rFonts w:cstheme="minorHAnsi"/>
        </w:rPr>
      </w:pPr>
      <w:r w:rsidRPr="00BF6615">
        <w:rPr>
          <w:rFonts w:cstheme="minorHAnsi"/>
        </w:rPr>
        <w:t>Niewystarczających komunikatów o błędach lub ich całkowitego braku.</w:t>
      </w:r>
    </w:p>
    <w:p w14:paraId="5096C087" w14:textId="77777777" w:rsidR="00003348" w:rsidRPr="00BF6615" w:rsidRDefault="00003348" w:rsidP="00B271C3">
      <w:bookmarkStart w:id="110" w:name="_Toc196827601"/>
      <w:r>
        <w:t xml:space="preserve">Poniżej przedstawiono szczegółowe omówienie przeprowadzonych testów. </w:t>
      </w:r>
    </w:p>
    <w:bookmarkEnd w:id="110"/>
    <w:p w14:paraId="6FCE9CA5" w14:textId="07A8B49D" w:rsidR="00B13433" w:rsidRPr="00BF6615" w:rsidRDefault="00B13433" w:rsidP="00B271C3">
      <w:pPr>
        <w:pStyle w:val="Nagwek4"/>
      </w:pPr>
      <w:r w:rsidRPr="338987BF">
        <w:t xml:space="preserve">Problemy według </w:t>
      </w:r>
      <w:r w:rsidRPr="00B271C3">
        <w:rPr>
          <w:rStyle w:val="Nagwek4Znak"/>
          <w:b/>
        </w:rPr>
        <w:t>rodzajów</w:t>
      </w:r>
      <w:r w:rsidRPr="338987BF">
        <w:t xml:space="preserve"> testowanych stron i aplikacji podmiotów publicznych</w:t>
      </w:r>
    </w:p>
    <w:p w14:paraId="645C5296" w14:textId="77777777" w:rsidR="00B13433" w:rsidRPr="00BF6615" w:rsidRDefault="00B13433" w:rsidP="007E26B5">
      <w:pPr>
        <w:rPr>
          <w:rFonts w:cstheme="minorHAnsi"/>
        </w:rPr>
      </w:pPr>
      <w:r w:rsidRPr="00BF6615">
        <w:rPr>
          <w:rFonts w:cstheme="minorHAnsi"/>
        </w:rPr>
        <w:t>Grupa badana testowała strony służby zdrowia, strony samorządowe, strony instytucji kultury i sportu oraz stronę transportową i aplikacje samorządowe. Podczas testów użytkowniczki i użytkownicy napotkali następujące trudności:</w:t>
      </w:r>
    </w:p>
    <w:p w14:paraId="44D92D04" w14:textId="77777777" w:rsidR="00B13433" w:rsidRPr="00BF6615" w:rsidRDefault="00B13433">
      <w:pPr>
        <w:numPr>
          <w:ilvl w:val="0"/>
          <w:numId w:val="35"/>
        </w:numPr>
        <w:spacing w:after="200"/>
        <w:ind w:left="714" w:hanging="357"/>
        <w:contextualSpacing/>
        <w:rPr>
          <w:rFonts w:cstheme="minorHAnsi"/>
        </w:rPr>
      </w:pPr>
      <w:r w:rsidRPr="00BF6615">
        <w:rPr>
          <w:rFonts w:cstheme="minorHAnsi"/>
        </w:rPr>
        <w:t>Strony służby zdrowia – zbyt dużo zbędnych treści na stronie głównej, trudność w szybkim dotarciu do podstawowych informacji, zbyt rozbudowane formularze bez jasnych instrukcji.</w:t>
      </w:r>
    </w:p>
    <w:p w14:paraId="5AA0DB34" w14:textId="77777777" w:rsidR="00B13433" w:rsidRPr="00BF6615" w:rsidRDefault="00B13433">
      <w:pPr>
        <w:numPr>
          <w:ilvl w:val="0"/>
          <w:numId w:val="35"/>
        </w:numPr>
        <w:spacing w:after="200"/>
        <w:ind w:left="714" w:hanging="357"/>
        <w:contextualSpacing/>
        <w:rPr>
          <w:rFonts w:cstheme="minorHAnsi"/>
        </w:rPr>
      </w:pPr>
      <w:r w:rsidRPr="00BF6615">
        <w:rPr>
          <w:rFonts w:cstheme="minorHAnsi"/>
        </w:rPr>
        <w:t>Strony samorządowe- brak informacji i poradników dla osób z niepełnosprawnością ruchu, niewygodne, przeładowane menu utrudniające nawigację, brak wyszukiwarki umożliwiającej szybkie znalezienie treści.</w:t>
      </w:r>
    </w:p>
    <w:p w14:paraId="6806312E" w14:textId="7AC8E543" w:rsidR="00B13433" w:rsidRPr="00BF6615" w:rsidRDefault="00B13433">
      <w:pPr>
        <w:numPr>
          <w:ilvl w:val="0"/>
          <w:numId w:val="35"/>
        </w:numPr>
        <w:spacing w:after="200"/>
        <w:ind w:left="714" w:hanging="357"/>
        <w:contextualSpacing/>
        <w:rPr>
          <w:rFonts w:cstheme="minorHAnsi"/>
        </w:rPr>
      </w:pPr>
      <w:r w:rsidRPr="00BF6615">
        <w:rPr>
          <w:rFonts w:cstheme="minorHAnsi"/>
        </w:rPr>
        <w:t xml:space="preserve">Strony kultury i sportu – niewyraźne kalendarium wydarzeń i ukryte informacje, zbyt skomplikowany proces rezerwacji biletów, rozpraszające elementy graficzne </w:t>
      </w:r>
      <w:r w:rsidR="000A692A" w:rsidRPr="00BF6615">
        <w:rPr>
          <w:rFonts w:cstheme="minorHAnsi"/>
        </w:rPr>
        <w:t>i</w:t>
      </w:r>
      <w:r w:rsidR="000A692A">
        <w:rPr>
          <w:rFonts w:cstheme="minorHAnsi"/>
        </w:rPr>
        <w:t> </w:t>
      </w:r>
      <w:r w:rsidRPr="00BF6615">
        <w:rPr>
          <w:rFonts w:cstheme="minorHAnsi"/>
        </w:rPr>
        <w:t>reklamy utrudniające odbiór treści.</w:t>
      </w:r>
    </w:p>
    <w:p w14:paraId="5099A300" w14:textId="77777777" w:rsidR="00B13433" w:rsidRPr="00BF6615" w:rsidRDefault="00B13433">
      <w:pPr>
        <w:numPr>
          <w:ilvl w:val="0"/>
          <w:numId w:val="35"/>
        </w:numPr>
        <w:spacing w:after="200"/>
        <w:ind w:left="714" w:hanging="357"/>
        <w:contextualSpacing/>
        <w:rPr>
          <w:rFonts w:cstheme="minorHAnsi"/>
        </w:rPr>
      </w:pPr>
      <w:r w:rsidRPr="00BF6615">
        <w:rPr>
          <w:rFonts w:cstheme="minorHAnsi"/>
        </w:rPr>
        <w:t>Strona transportowa – trudno dostępne przewodniki dla pasażerów z niepełnosprawnościami, brak opcji zatrzymania ruchomych elementów (np. pasków z aktualnościami), niski kontrast i nieczytelne etykiety w formularzach.</w:t>
      </w:r>
    </w:p>
    <w:p w14:paraId="310F296B" w14:textId="77777777" w:rsidR="00B13433" w:rsidRPr="00BF6615" w:rsidRDefault="00B13433" w:rsidP="007E26B5">
      <w:r w:rsidRPr="00BF6615">
        <w:lastRenderedPageBreak/>
        <w:t>Największe problemy użytkowniczki i użytkownicy napotkali przy realizacji zadań testowych na stronach i w aplikacjach kultury i sportu oraz stronach służby zdrowia – mimo tego, wyniki w tej grupie badanej są wyższe (mniej problemów) niż w innych grupach badanych.</w:t>
      </w:r>
    </w:p>
    <w:p w14:paraId="2DB4AF5C" w14:textId="25AFC8F9" w:rsidR="00B13433" w:rsidRPr="00BF6615" w:rsidRDefault="00B13433" w:rsidP="007E26B5">
      <w:pPr>
        <w:pStyle w:val="Legenda"/>
        <w:spacing w:line="276" w:lineRule="auto"/>
        <w:rPr>
          <w:rStyle w:val="Uwydatnienie"/>
        </w:rPr>
      </w:pPr>
      <w:bookmarkStart w:id="111" w:name="_Toc196335295"/>
      <w:bookmarkStart w:id="112" w:name="_Toc204179153"/>
      <w:r w:rsidRPr="00BF6615">
        <w:rPr>
          <w:rStyle w:val="Uwydatnienie"/>
        </w:rPr>
        <w:t xml:space="preserve">Wykres </w:t>
      </w:r>
      <w:r w:rsidRPr="00BF6615">
        <w:rPr>
          <w:rStyle w:val="Uwydatnienie"/>
        </w:rPr>
        <w:fldChar w:fldCharType="begin"/>
      </w:r>
      <w:r w:rsidRPr="00BF6615">
        <w:rPr>
          <w:rStyle w:val="Uwydatnienie"/>
        </w:rPr>
        <w:instrText xml:space="preserve"> SEQ Wykres \* ARABIC </w:instrText>
      </w:r>
      <w:r w:rsidRPr="00BF6615">
        <w:rPr>
          <w:rStyle w:val="Uwydatnienie"/>
        </w:rPr>
        <w:fldChar w:fldCharType="separate"/>
      </w:r>
      <w:r w:rsidR="00FD0843">
        <w:rPr>
          <w:rStyle w:val="Uwydatnienie"/>
          <w:noProof/>
        </w:rPr>
        <w:t>7</w:t>
      </w:r>
      <w:r w:rsidRPr="00BF6615">
        <w:rPr>
          <w:rStyle w:val="Uwydatnienie"/>
        </w:rPr>
        <w:fldChar w:fldCharType="end"/>
      </w:r>
      <w:r w:rsidR="009A4161">
        <w:rPr>
          <w:rStyle w:val="Uwydatnienie"/>
        </w:rPr>
        <w:t>.</w:t>
      </w:r>
      <w:r w:rsidRPr="00BF6615">
        <w:rPr>
          <w:rStyle w:val="Uwydatnienie"/>
        </w:rPr>
        <w:t xml:space="preserve"> Poziom realizacji zadań według rodzajów stron i aplikacji (skala 1 – niezrealizowane do 5 – zrealizowane bez problemu) (osoby z dysfunkcją narządu ruchu)</w:t>
      </w:r>
      <w:bookmarkEnd w:id="111"/>
      <w:bookmarkEnd w:id="112"/>
    </w:p>
    <w:p w14:paraId="07B82CD3" w14:textId="77777777" w:rsidR="00B13433" w:rsidRPr="00BF6615" w:rsidRDefault="00B13433" w:rsidP="007E26B5">
      <w:pPr>
        <w:pStyle w:val="Legenda"/>
        <w:spacing w:after="120" w:line="276" w:lineRule="auto"/>
        <w:rPr>
          <w:rFonts w:cstheme="minorHAnsi"/>
        </w:rPr>
      </w:pPr>
      <w:r w:rsidRPr="00BF6615">
        <w:rPr>
          <w:rFonts w:cstheme="minorHAnsi"/>
          <w:noProof/>
          <w:lang w:eastAsia="pl-PL"/>
        </w:rPr>
        <w:drawing>
          <wp:inline distT="0" distB="0" distL="0" distR="0" wp14:anchorId="5BE2B9BD" wp14:editId="02C5D91F">
            <wp:extent cx="5943600" cy="3168502"/>
            <wp:effectExtent l="0" t="0" r="0" b="0"/>
            <wp:docPr id="1876658473" name="Wykres 1" descr="Kategoria serwisów Średni poziom trudności&#10;Seris transportowy  5,00 &#10;Serwisy samorządowe  4,15 &#10;Serwisy służby zdrowia  4,00 &#10;Serwisy kultury i sportu  4,00 &#10;">
              <a:extLst xmlns:a="http://schemas.openxmlformats.org/drawingml/2006/main">
                <a:ext uri="{FF2B5EF4-FFF2-40B4-BE49-F238E27FC236}">
                  <a16:creationId xmlns:a16="http://schemas.microsoft.com/office/drawing/2014/main" id="{C828FA76-DCD0-4DDF-BF58-FDB75A07F1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BF6615">
        <w:rPr>
          <w:rFonts w:cstheme="minorHAnsi"/>
          <w:color w:val="auto"/>
        </w:rPr>
        <w:br/>
      </w:r>
      <w:r w:rsidRPr="00BF6615">
        <w:rPr>
          <w:color w:val="000000" w:themeColor="text1"/>
        </w:rPr>
        <w:t>Źródło: opracowanie własne.</w:t>
      </w:r>
    </w:p>
    <w:p w14:paraId="3F9C4A4F" w14:textId="77777777" w:rsidR="00B13433" w:rsidRPr="00BF6615" w:rsidRDefault="00B13433" w:rsidP="00B271C3">
      <w:pPr>
        <w:pStyle w:val="Nagwek4"/>
      </w:pPr>
      <w:r w:rsidRPr="338987BF">
        <w:t xml:space="preserve">Problemy i </w:t>
      </w:r>
      <w:r w:rsidRPr="00B271C3">
        <w:rPr>
          <w:rStyle w:val="Nagwek4Znak"/>
          <w:b/>
        </w:rPr>
        <w:t>bariery</w:t>
      </w:r>
      <w:r w:rsidRPr="338987BF">
        <w:t xml:space="preserve"> napotkane podczas korzystania z testowanych stron i aplikacji podmiotów publicznych</w:t>
      </w:r>
    </w:p>
    <w:p w14:paraId="69DB8041" w14:textId="77777777" w:rsidR="00B13433" w:rsidRPr="00BF6615" w:rsidRDefault="00B13433" w:rsidP="007E26B5">
      <w:pPr>
        <w:rPr>
          <w:rFonts w:cstheme="minorHAnsi"/>
        </w:rPr>
      </w:pPr>
      <w:r w:rsidRPr="00BF6615">
        <w:rPr>
          <w:rFonts w:cstheme="minorHAnsi"/>
        </w:rPr>
        <w:t>Najczęściej zgłaszane problemy obejmowały:</w:t>
      </w:r>
    </w:p>
    <w:p w14:paraId="24D4295D" w14:textId="77777777" w:rsidR="00B13433" w:rsidRPr="00BF6615" w:rsidRDefault="00B13433">
      <w:pPr>
        <w:pStyle w:val="Akapitzlist"/>
        <w:numPr>
          <w:ilvl w:val="0"/>
          <w:numId w:val="36"/>
        </w:numPr>
        <w:rPr>
          <w:rFonts w:cstheme="minorHAnsi"/>
        </w:rPr>
      </w:pPr>
      <w:r w:rsidRPr="00BF6615">
        <w:rPr>
          <w:rFonts w:cstheme="minorHAnsi"/>
        </w:rPr>
        <w:t>Brak możliwości szybkiego wyszukania informacji (brak wyszukiwarki, brak spisu treści) (21 zgłoszeń).</w:t>
      </w:r>
    </w:p>
    <w:p w14:paraId="7A438FE6" w14:textId="77777777" w:rsidR="00B13433" w:rsidRPr="00BF6615" w:rsidRDefault="00B13433">
      <w:pPr>
        <w:pStyle w:val="Akapitzlist"/>
        <w:numPr>
          <w:ilvl w:val="0"/>
          <w:numId w:val="36"/>
        </w:numPr>
        <w:rPr>
          <w:rFonts w:cstheme="minorHAnsi"/>
        </w:rPr>
      </w:pPr>
      <w:r w:rsidRPr="00BF6615">
        <w:rPr>
          <w:rFonts w:cstheme="minorHAnsi"/>
        </w:rPr>
        <w:t>Nieintuicyjna nawigacja – trudność w odnalezieniu potrzebnych sekcji i przeładowane menu (19 zgłoszeń).</w:t>
      </w:r>
    </w:p>
    <w:p w14:paraId="0CF476D3" w14:textId="77777777" w:rsidR="00B13433" w:rsidRPr="00BF6615" w:rsidRDefault="00B13433">
      <w:pPr>
        <w:pStyle w:val="Akapitzlist"/>
        <w:numPr>
          <w:ilvl w:val="0"/>
          <w:numId w:val="36"/>
        </w:numPr>
        <w:rPr>
          <w:rFonts w:cstheme="minorHAnsi"/>
        </w:rPr>
      </w:pPr>
      <w:r w:rsidRPr="00BF6615">
        <w:rPr>
          <w:rFonts w:cstheme="minorHAnsi"/>
        </w:rPr>
        <w:t>Zbyt dużo  treści na jednej stronie – przeciążenie informacjami, konieczność przewijania (17 zgłoszeń).</w:t>
      </w:r>
    </w:p>
    <w:p w14:paraId="197F3154" w14:textId="77777777" w:rsidR="00B13433" w:rsidRPr="00BF6615" w:rsidRDefault="00B13433">
      <w:pPr>
        <w:pStyle w:val="Akapitzlist"/>
        <w:numPr>
          <w:ilvl w:val="0"/>
          <w:numId w:val="36"/>
        </w:numPr>
        <w:rPr>
          <w:rFonts w:cstheme="minorHAnsi"/>
        </w:rPr>
      </w:pPr>
      <w:r w:rsidRPr="00BF6615">
        <w:rPr>
          <w:rFonts w:cstheme="minorHAnsi"/>
        </w:rPr>
        <w:t>Problemy z interaktywnymi funkcjami – złożone formularze, nieczytelne etykiety pól (15 zgłoszeń).</w:t>
      </w:r>
    </w:p>
    <w:p w14:paraId="3F943197" w14:textId="77777777" w:rsidR="00B13433" w:rsidRPr="00BF6615" w:rsidRDefault="00B13433">
      <w:pPr>
        <w:pStyle w:val="Akapitzlist"/>
        <w:numPr>
          <w:ilvl w:val="0"/>
          <w:numId w:val="36"/>
        </w:numPr>
        <w:rPr>
          <w:rFonts w:cstheme="minorHAnsi"/>
        </w:rPr>
      </w:pPr>
      <w:r w:rsidRPr="00BF6615">
        <w:rPr>
          <w:rFonts w:cstheme="minorHAnsi"/>
        </w:rPr>
        <w:t>Brak wyraźnych komunikatów o błędach – nieinformowanie o błędach w formularzu (11 zgłoszeń).</w:t>
      </w:r>
    </w:p>
    <w:p w14:paraId="333F5209" w14:textId="77777777" w:rsidR="00B13433" w:rsidRPr="00BF6615" w:rsidRDefault="00B13433">
      <w:pPr>
        <w:pStyle w:val="Akapitzlist"/>
        <w:numPr>
          <w:ilvl w:val="0"/>
          <w:numId w:val="36"/>
        </w:numPr>
        <w:rPr>
          <w:rFonts w:cstheme="minorHAnsi"/>
        </w:rPr>
      </w:pPr>
      <w:r w:rsidRPr="00BF6615">
        <w:rPr>
          <w:rFonts w:cstheme="minorHAnsi"/>
        </w:rPr>
        <w:t>Zbyt małe przyciski, elementy trudne do kliknięcia – brak ergonomii (10 zgłoszeń).</w:t>
      </w:r>
    </w:p>
    <w:p w14:paraId="1F3AF77E" w14:textId="005F5094" w:rsidR="00B13433" w:rsidRPr="00BF6615" w:rsidRDefault="00B13433" w:rsidP="007E26B5">
      <w:pPr>
        <w:pStyle w:val="Legenda"/>
        <w:pageBreakBefore/>
        <w:spacing w:line="276" w:lineRule="auto"/>
        <w:rPr>
          <w:rFonts w:cstheme="minorHAnsi"/>
        </w:rPr>
      </w:pPr>
      <w:bookmarkStart w:id="113" w:name="_Toc196335296"/>
      <w:bookmarkStart w:id="114" w:name="_Toc204179154"/>
      <w:r w:rsidRPr="00BF6615">
        <w:rPr>
          <w:rFonts w:cstheme="minorHAnsi"/>
        </w:rPr>
        <w:lastRenderedPageBreak/>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8</w:t>
      </w:r>
      <w:r w:rsidRPr="00BF6615">
        <w:rPr>
          <w:rFonts w:cstheme="minorHAnsi"/>
        </w:rPr>
        <w:fldChar w:fldCharType="end"/>
      </w:r>
      <w:r w:rsidR="009A4161">
        <w:rPr>
          <w:rFonts w:cstheme="minorHAnsi"/>
        </w:rPr>
        <w:t>.</w:t>
      </w:r>
      <w:r w:rsidRPr="00BF6615">
        <w:rPr>
          <w:rFonts w:cstheme="minorHAnsi"/>
        </w:rPr>
        <w:t xml:space="preserve"> Najczęściej zgłaszane problemy na stronach i w aplikacjach (liczba zgłoszeń) </w:t>
      </w:r>
      <w:r w:rsidRPr="00BF6615">
        <w:rPr>
          <w:rStyle w:val="Uwydatnienie"/>
        </w:rPr>
        <w:t>(osoby z dysfunkcją narządu ruchu)</w:t>
      </w:r>
      <w:bookmarkEnd w:id="113"/>
      <w:bookmarkEnd w:id="114"/>
    </w:p>
    <w:p w14:paraId="3435568B" w14:textId="77777777" w:rsidR="00B13433" w:rsidRPr="00BF6615" w:rsidRDefault="00B13433" w:rsidP="007E26B5">
      <w:pPr>
        <w:rPr>
          <w:rFonts w:cstheme="minorHAnsi"/>
        </w:rPr>
      </w:pPr>
      <w:r w:rsidRPr="00BF6615">
        <w:rPr>
          <w:rFonts w:cstheme="minorHAnsi"/>
          <w:noProof/>
          <w:lang w:eastAsia="pl-PL"/>
        </w:rPr>
        <w:drawing>
          <wp:inline distT="0" distB="0" distL="0" distR="0" wp14:anchorId="26D46F03" wp14:editId="65239778">
            <wp:extent cx="6039293" cy="3774558"/>
            <wp:effectExtent l="0" t="0" r="0" b="0"/>
            <wp:docPr id="1256501488" name="Wykres 1" descr="Rodzaj problemu Liczba zgłoszeń&#10;Brak możliwości szybkiego wyszukiwania 21&#10;Nieintuicyjna nawigacja 19&#10;Nadmiar treści 17&#10;Problemy z interaktywnymi funkcjami 15&#10;Brak wyraźnych komunikatów o błędach 11&#10;Zbyt małe przyciski, elementy trudne do kliknięcia 10&#10;">
              <a:extLst xmlns:a="http://schemas.openxmlformats.org/drawingml/2006/main">
                <a:ext uri="{FF2B5EF4-FFF2-40B4-BE49-F238E27FC236}">
                  <a16:creationId xmlns:a16="http://schemas.microsoft.com/office/drawing/2014/main" id="{3CF9C226-2A25-448B-975E-E02AC11F09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D45EE0E" w14:textId="77777777" w:rsidR="00B13433" w:rsidRPr="00BF6615" w:rsidRDefault="00B13433" w:rsidP="007E26B5">
      <w:pPr>
        <w:rPr>
          <w:b/>
          <w:bCs/>
        </w:rPr>
      </w:pPr>
      <w:r w:rsidRPr="00BF6615">
        <w:t>Źródło: opracowanie własne.</w:t>
      </w:r>
    </w:p>
    <w:p w14:paraId="7ECA8DF0" w14:textId="338F4A30" w:rsidR="00B13433" w:rsidRPr="00BF6615" w:rsidRDefault="00B13433" w:rsidP="00B271C3">
      <w:pPr>
        <w:pStyle w:val="Nagwek4"/>
      </w:pPr>
      <w:r w:rsidRPr="338987BF">
        <w:t xml:space="preserve">Zakres </w:t>
      </w:r>
      <w:r w:rsidRPr="00B271C3">
        <w:rPr>
          <w:rStyle w:val="Nagwek4Znak"/>
          <w:b/>
        </w:rPr>
        <w:t>wymagający</w:t>
      </w:r>
      <w:r w:rsidRPr="338987BF">
        <w:t xml:space="preserve"> poprawy według rodzajów </w:t>
      </w:r>
      <w:r w:rsidR="0B9B2A38" w:rsidRPr="338987BF">
        <w:rPr>
          <w:bCs/>
        </w:rPr>
        <w:t>i</w:t>
      </w:r>
      <w:r w:rsidRPr="338987BF">
        <w:t xml:space="preserve"> typów testowanych stron i aplikacji podmiotów publicznych</w:t>
      </w:r>
    </w:p>
    <w:p w14:paraId="3BB41DF5" w14:textId="77777777" w:rsidR="00B13433" w:rsidRPr="00BF6615" w:rsidRDefault="00B13433">
      <w:pPr>
        <w:pStyle w:val="Akapitzlist"/>
        <w:numPr>
          <w:ilvl w:val="0"/>
          <w:numId w:val="37"/>
        </w:numPr>
        <w:rPr>
          <w:rFonts w:cstheme="minorHAnsi"/>
        </w:rPr>
      </w:pPr>
      <w:r w:rsidRPr="00BF6615">
        <w:rPr>
          <w:rFonts w:cstheme="minorHAnsi"/>
        </w:rPr>
        <w:t>Strony służby zdrowia – ograniczenie zbędnych treści na stronie głównej, ułatwienie dostępu do najważniejszych informacji, uproszczenie formularzy i dodanie wyraźnych instrukcji ich wypełniania.</w:t>
      </w:r>
    </w:p>
    <w:p w14:paraId="07EE1DE5" w14:textId="77777777" w:rsidR="00B13433" w:rsidRPr="00BF6615" w:rsidRDefault="00B13433">
      <w:pPr>
        <w:pStyle w:val="Akapitzlist"/>
        <w:numPr>
          <w:ilvl w:val="0"/>
          <w:numId w:val="37"/>
        </w:numPr>
        <w:rPr>
          <w:rFonts w:cstheme="minorHAnsi"/>
        </w:rPr>
      </w:pPr>
      <w:r w:rsidRPr="00BF6615">
        <w:rPr>
          <w:rFonts w:cstheme="minorHAnsi"/>
        </w:rPr>
        <w:t>Strony samorządowe – dodanie sekcji dedykowanych dla osób z niepełnosprawnością ruchu, przebudowa menu i struktury strony dla lepszej przejrzystości, wprowadzenie funkcji wyszukiwania i lepsze wyróżnienie treści ważnych.</w:t>
      </w:r>
    </w:p>
    <w:p w14:paraId="54FD7E28" w14:textId="77777777" w:rsidR="00B13433" w:rsidRPr="00BF6615" w:rsidRDefault="00B13433">
      <w:pPr>
        <w:pStyle w:val="Akapitzlist"/>
        <w:numPr>
          <w:ilvl w:val="0"/>
          <w:numId w:val="37"/>
        </w:numPr>
        <w:rPr>
          <w:rFonts w:cstheme="minorHAnsi"/>
        </w:rPr>
      </w:pPr>
      <w:r w:rsidRPr="00BF6615">
        <w:rPr>
          <w:rFonts w:cstheme="minorHAnsi"/>
        </w:rPr>
        <w:t>Strony kultury i sportu – poprawa widoczności wydarzeń kulturalnych i sportowych (czytelne kalendarium), uproszczenie procesu rezerwacji biletów i zapisów oraz ograniczenie rozpraszaczy: animacji, reklam, zbędnych ozdobników.</w:t>
      </w:r>
    </w:p>
    <w:p w14:paraId="1BDDA591" w14:textId="77777777" w:rsidR="00B13433" w:rsidRPr="00BF6615" w:rsidRDefault="00B13433">
      <w:pPr>
        <w:pStyle w:val="Akapitzlist"/>
        <w:numPr>
          <w:ilvl w:val="0"/>
          <w:numId w:val="37"/>
        </w:numPr>
        <w:rPr>
          <w:rFonts w:cstheme="minorHAnsi"/>
        </w:rPr>
      </w:pPr>
      <w:r w:rsidRPr="00BF6615">
        <w:rPr>
          <w:rFonts w:cstheme="minorHAnsi"/>
        </w:rPr>
        <w:t>Strona transportowa – zapewnienie szybkiego dostępu do informacji dla osób o ograniczonej mobilności, możliwość zatrzymania przewijających się treści (np. pasków aktualności) oraz poprawa czytelności formularzy – większy kontrast, lepsze etykiety.</w:t>
      </w:r>
    </w:p>
    <w:p w14:paraId="212567C5" w14:textId="77777777" w:rsidR="00B13433" w:rsidRPr="00BF6615" w:rsidRDefault="00B13433" w:rsidP="00B271C3">
      <w:pPr>
        <w:pStyle w:val="Nagwek4"/>
      </w:pPr>
      <w:r w:rsidRPr="338987BF">
        <w:t>Problemy występujące podczas testów według zasad dostępności WCAG</w:t>
      </w:r>
    </w:p>
    <w:p w14:paraId="330ABDF8" w14:textId="77777777" w:rsidR="00B13433" w:rsidRPr="00BF6615" w:rsidRDefault="00B13433" w:rsidP="007E26B5">
      <w:pPr>
        <w:spacing w:after="160"/>
        <w:rPr>
          <w:rFonts w:cstheme="minorHAnsi"/>
        </w:rPr>
      </w:pPr>
      <w:r w:rsidRPr="00BF6615">
        <w:rPr>
          <w:rFonts w:cstheme="minorHAnsi"/>
        </w:rPr>
        <w:t xml:space="preserve">Poniżej przedstawiono tabele z liczbą wystąpień zidentyfikowanych problemów w podziale na cztery zasady dostępności: Postrzegalność (Zasada 1), Funkcjonalność (Zasada 2), Zrozumiałość (Zasada 3) oraz Kompatybilność (Zasada 4). W każdej tabeli dla każdej kategorii problemu podano: nazwę problemu, liczbę wystąpień w grupie, o ile przekroczyły one liczbę </w:t>
      </w:r>
      <w:r w:rsidRPr="00BF6615">
        <w:rPr>
          <w:rFonts w:cstheme="minorHAnsi"/>
        </w:rPr>
        <w:lastRenderedPageBreak/>
        <w:t>3 wystąpień.</w:t>
      </w:r>
      <w:r w:rsidRPr="00BF6615">
        <w:rPr>
          <w:rFonts w:cstheme="minorHAnsi"/>
        </w:rPr>
        <w:br/>
        <w:t>Dane w tabelach zostały posortowane malejąco według łącznej liczby wystąpień (od problemów najczęściej występujących do najrzadszych).</w:t>
      </w:r>
    </w:p>
    <w:p w14:paraId="3E269EEC" w14:textId="77777777" w:rsidR="00B13433" w:rsidRPr="00BF6615" w:rsidRDefault="00B13433" w:rsidP="007E26B5">
      <w:pPr>
        <w:spacing w:after="160"/>
        <w:rPr>
          <w:rFonts w:cstheme="minorHAnsi"/>
        </w:rPr>
      </w:pPr>
      <w:r w:rsidRPr="00BF6615">
        <w:rPr>
          <w:rFonts w:cstheme="minorHAnsi"/>
        </w:rPr>
        <w:t>Suma trudności według poszczególnych zasad WCAG:</w:t>
      </w:r>
    </w:p>
    <w:p w14:paraId="6AAB96AD" w14:textId="77777777" w:rsidR="00B13433" w:rsidRPr="00BF6615" w:rsidRDefault="00B13433">
      <w:pPr>
        <w:pStyle w:val="Akapitzlist"/>
        <w:numPr>
          <w:ilvl w:val="0"/>
          <w:numId w:val="38"/>
        </w:numPr>
        <w:spacing w:after="160"/>
        <w:rPr>
          <w:rFonts w:cstheme="minorHAnsi"/>
        </w:rPr>
      </w:pPr>
      <w:r w:rsidRPr="00BF6615">
        <w:rPr>
          <w:rFonts w:cstheme="minorHAnsi"/>
        </w:rPr>
        <w:t>Zasada 1: postrzegalność – 24</w:t>
      </w:r>
    </w:p>
    <w:p w14:paraId="53C06DF9" w14:textId="77777777" w:rsidR="00B13433" w:rsidRPr="00BF6615" w:rsidRDefault="00B13433">
      <w:pPr>
        <w:pStyle w:val="Akapitzlist"/>
        <w:numPr>
          <w:ilvl w:val="0"/>
          <w:numId w:val="38"/>
        </w:numPr>
        <w:spacing w:after="160"/>
        <w:rPr>
          <w:rFonts w:cstheme="minorHAnsi"/>
        </w:rPr>
      </w:pPr>
      <w:r w:rsidRPr="00BF6615">
        <w:rPr>
          <w:rFonts w:cstheme="minorHAnsi"/>
        </w:rPr>
        <w:t>Zasada 2: funkcjonalność – 41</w:t>
      </w:r>
    </w:p>
    <w:p w14:paraId="1847BE5B" w14:textId="77777777" w:rsidR="00B13433" w:rsidRPr="00BF6615" w:rsidRDefault="00B13433">
      <w:pPr>
        <w:pStyle w:val="Akapitzlist"/>
        <w:numPr>
          <w:ilvl w:val="0"/>
          <w:numId w:val="38"/>
        </w:numPr>
        <w:spacing w:after="160"/>
        <w:rPr>
          <w:rFonts w:cstheme="minorHAnsi"/>
        </w:rPr>
      </w:pPr>
      <w:r w:rsidRPr="00BF6615">
        <w:rPr>
          <w:rFonts w:cstheme="minorHAnsi"/>
        </w:rPr>
        <w:t>Zasada 3: zrozumiałość – 27</w:t>
      </w:r>
    </w:p>
    <w:p w14:paraId="135E54D2" w14:textId="77777777" w:rsidR="00B13433" w:rsidRPr="00BF6615" w:rsidRDefault="00B13433">
      <w:pPr>
        <w:pStyle w:val="Akapitzlist"/>
        <w:numPr>
          <w:ilvl w:val="0"/>
          <w:numId w:val="38"/>
        </w:numPr>
        <w:spacing w:after="160"/>
        <w:rPr>
          <w:rFonts w:cstheme="minorHAnsi"/>
        </w:rPr>
      </w:pPr>
      <w:r w:rsidRPr="00BF6615">
        <w:rPr>
          <w:rFonts w:cstheme="minorHAnsi"/>
        </w:rPr>
        <w:t>Zasada 4: kompatybilność – 1</w:t>
      </w:r>
    </w:p>
    <w:p w14:paraId="24E8B2C4" w14:textId="77777777" w:rsidR="00B13433" w:rsidRPr="00BF6615" w:rsidRDefault="00B13433" w:rsidP="00B271C3">
      <w:pPr>
        <w:pStyle w:val="Nagwek4"/>
        <w:rPr>
          <w:rFonts w:cstheme="minorHAnsi"/>
          <w:bCs/>
        </w:rPr>
      </w:pPr>
      <w:r w:rsidRPr="00BF6615">
        <w:rPr>
          <w:rFonts w:cstheme="minorHAnsi"/>
          <w:bCs/>
        </w:rPr>
        <w:t xml:space="preserve">Zasada 1: </w:t>
      </w:r>
      <w:r w:rsidRPr="00B271C3">
        <w:rPr>
          <w:rStyle w:val="Nagwek4Znak"/>
          <w:b/>
        </w:rPr>
        <w:t>Postrzegalność</w:t>
      </w:r>
    </w:p>
    <w:p w14:paraId="0E1EBEB5" w14:textId="77777777" w:rsidR="00B13433" w:rsidRPr="00BF6615" w:rsidRDefault="00B13433" w:rsidP="007E26B5">
      <w:pPr>
        <w:rPr>
          <w:rFonts w:cstheme="minorHAnsi"/>
        </w:rPr>
      </w:pPr>
      <w:r w:rsidRPr="00BF6615">
        <w:rPr>
          <w:rFonts w:cstheme="minorHAnsi"/>
        </w:rPr>
        <w:t>Wyniki analizy występujących błędów wskazują, że najczęściej występowały w kryterium 1.4.3– Kontrast (11 razy).</w:t>
      </w:r>
    </w:p>
    <w:p w14:paraId="4C86CD64" w14:textId="1C94C32A" w:rsidR="00B13433" w:rsidRPr="00BF6615" w:rsidRDefault="00B13433" w:rsidP="007E26B5">
      <w:pPr>
        <w:pStyle w:val="Legenda"/>
        <w:spacing w:line="276" w:lineRule="auto"/>
        <w:rPr>
          <w:rFonts w:cstheme="minorHAnsi"/>
        </w:rPr>
      </w:pPr>
      <w:bookmarkStart w:id="115" w:name="_Toc196335279"/>
      <w:bookmarkStart w:id="116" w:name="_Toc204179112"/>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14</w:t>
      </w:r>
      <w:r w:rsidRPr="00BF6615">
        <w:rPr>
          <w:rFonts w:cstheme="minorHAnsi"/>
        </w:rPr>
        <w:fldChar w:fldCharType="end"/>
      </w:r>
      <w:r w:rsidR="009A4161">
        <w:rPr>
          <w:rFonts w:cstheme="minorHAnsi"/>
        </w:rPr>
        <w:t>.</w:t>
      </w:r>
      <w:r w:rsidRPr="00BF6615">
        <w:rPr>
          <w:rFonts w:cstheme="minorHAnsi"/>
        </w:rPr>
        <w:t xml:space="preserve"> Liczba zidentyfikowanych problemów w zasadzie 1: Postrzegalność </w:t>
      </w:r>
      <w:r w:rsidRPr="00BF6615">
        <w:rPr>
          <w:rStyle w:val="Uwydatnienie"/>
        </w:rPr>
        <w:t>(osoby z dysfunkcją narządu ruchu)</w:t>
      </w:r>
      <w:bookmarkEnd w:id="115"/>
      <w:bookmarkEnd w:id="116"/>
    </w:p>
    <w:tbl>
      <w:tblPr>
        <w:tblStyle w:val="PARP"/>
        <w:tblW w:w="5000" w:type="pct"/>
        <w:tblLook w:val="04A0" w:firstRow="1" w:lastRow="0" w:firstColumn="1" w:lastColumn="0" w:noHBand="0" w:noVBand="1"/>
        <w:tblCaption w:val="Liczba zidentyfikowanych problemów w zasadzie 1: Postrzegalność (osoby z dysfunkcją narządu ruchu)"/>
        <w:tblDescription w:val="Liczba zidentyfikowanych problemów w zasadzie 1: Postrzegalność (osoby z dysfunkcją narządu ruchu)"/>
      </w:tblPr>
      <w:tblGrid>
        <w:gridCol w:w="6778"/>
        <w:gridCol w:w="2284"/>
      </w:tblGrid>
      <w:tr w:rsidR="00B13433" w:rsidRPr="00BF6615" w14:paraId="750D11B6" w14:textId="77777777">
        <w:trPr>
          <w:cnfStyle w:val="100000000000" w:firstRow="1" w:lastRow="0" w:firstColumn="0" w:lastColumn="0" w:oddVBand="0" w:evenVBand="0" w:oddHBand="0" w:evenHBand="0" w:firstRowFirstColumn="0" w:firstRowLastColumn="0" w:lastRowFirstColumn="0" w:lastRowLastColumn="0"/>
        </w:trPr>
        <w:tc>
          <w:tcPr>
            <w:tcW w:w="3697" w:type="pct"/>
            <w:hideMark/>
          </w:tcPr>
          <w:p w14:paraId="6A825289" w14:textId="77777777" w:rsidR="00B13433" w:rsidRPr="00BF6615" w:rsidRDefault="00B13433" w:rsidP="007E26B5">
            <w:pPr>
              <w:spacing w:after="160"/>
              <w:rPr>
                <w:rFonts w:cstheme="minorHAnsi"/>
                <w:b/>
                <w:bCs/>
              </w:rPr>
            </w:pPr>
            <w:r w:rsidRPr="00BF6615">
              <w:rPr>
                <w:rFonts w:cstheme="minorHAnsi"/>
                <w:b/>
                <w:bCs/>
              </w:rPr>
              <w:t>Nazwa kryterium</w:t>
            </w:r>
          </w:p>
        </w:tc>
        <w:tc>
          <w:tcPr>
            <w:tcW w:w="1245" w:type="pct"/>
            <w:hideMark/>
          </w:tcPr>
          <w:p w14:paraId="24A5507A" w14:textId="77777777" w:rsidR="00B13433" w:rsidRPr="00BF6615" w:rsidRDefault="00B13433" w:rsidP="007E26B5">
            <w:pPr>
              <w:spacing w:after="160"/>
              <w:rPr>
                <w:rFonts w:cstheme="minorHAnsi"/>
                <w:b/>
                <w:bCs/>
              </w:rPr>
            </w:pPr>
            <w:r w:rsidRPr="00BF6615">
              <w:rPr>
                <w:rFonts w:cstheme="minorHAnsi"/>
                <w:b/>
                <w:bCs/>
              </w:rPr>
              <w:t>Liczba wystąpień</w:t>
            </w:r>
          </w:p>
        </w:tc>
      </w:tr>
      <w:tr w:rsidR="00B13433" w:rsidRPr="00BF6615" w14:paraId="1E59767A" w14:textId="77777777">
        <w:trPr>
          <w:cnfStyle w:val="000000100000" w:firstRow="0" w:lastRow="0" w:firstColumn="0" w:lastColumn="0" w:oddVBand="0" w:evenVBand="0" w:oddHBand="1" w:evenHBand="0" w:firstRowFirstColumn="0" w:firstRowLastColumn="0" w:lastRowFirstColumn="0" w:lastRowLastColumn="0"/>
        </w:trPr>
        <w:tc>
          <w:tcPr>
            <w:tcW w:w="3697" w:type="pct"/>
          </w:tcPr>
          <w:p w14:paraId="116D7891" w14:textId="77777777" w:rsidR="00B13433" w:rsidRPr="00BF6615" w:rsidRDefault="00B13433" w:rsidP="007E26B5">
            <w:pPr>
              <w:spacing w:after="160"/>
              <w:rPr>
                <w:rFonts w:cstheme="minorHAnsi"/>
              </w:rPr>
            </w:pPr>
            <w:r w:rsidRPr="00BF6615">
              <w:rPr>
                <w:rFonts w:cstheme="minorHAnsi"/>
              </w:rPr>
              <w:t>1.4.3 – Kontrast</w:t>
            </w:r>
          </w:p>
        </w:tc>
        <w:tc>
          <w:tcPr>
            <w:tcW w:w="1245" w:type="pct"/>
          </w:tcPr>
          <w:p w14:paraId="2FB7197C" w14:textId="77777777" w:rsidR="00B13433" w:rsidRPr="00BF6615" w:rsidRDefault="00B13433" w:rsidP="007E26B5">
            <w:pPr>
              <w:spacing w:after="160"/>
              <w:rPr>
                <w:rFonts w:cstheme="minorHAnsi"/>
              </w:rPr>
            </w:pPr>
            <w:r w:rsidRPr="00BF6615">
              <w:rPr>
                <w:rFonts w:cstheme="minorHAnsi"/>
              </w:rPr>
              <w:t>11</w:t>
            </w:r>
          </w:p>
        </w:tc>
      </w:tr>
      <w:tr w:rsidR="00B13433" w:rsidRPr="00BF6615" w14:paraId="66B312BD" w14:textId="77777777">
        <w:trPr>
          <w:cnfStyle w:val="000000010000" w:firstRow="0" w:lastRow="0" w:firstColumn="0" w:lastColumn="0" w:oddVBand="0" w:evenVBand="0" w:oddHBand="0" w:evenHBand="1" w:firstRowFirstColumn="0" w:firstRowLastColumn="0" w:lastRowFirstColumn="0" w:lastRowLastColumn="0"/>
        </w:trPr>
        <w:tc>
          <w:tcPr>
            <w:tcW w:w="3697" w:type="pct"/>
          </w:tcPr>
          <w:p w14:paraId="6922E449" w14:textId="77777777" w:rsidR="00B13433" w:rsidRPr="00BF6615" w:rsidRDefault="00B13433" w:rsidP="007E26B5">
            <w:pPr>
              <w:spacing w:after="160"/>
              <w:rPr>
                <w:rFonts w:cstheme="minorHAnsi"/>
              </w:rPr>
            </w:pPr>
            <w:r w:rsidRPr="00BF6615">
              <w:rPr>
                <w:rFonts w:cstheme="minorHAnsi"/>
              </w:rPr>
              <w:t>1.1.1 – Treść nietekstowa</w:t>
            </w:r>
          </w:p>
        </w:tc>
        <w:tc>
          <w:tcPr>
            <w:tcW w:w="1245" w:type="pct"/>
          </w:tcPr>
          <w:p w14:paraId="7A9CA6AC" w14:textId="77777777" w:rsidR="00B13433" w:rsidRPr="00BF6615" w:rsidRDefault="00B13433" w:rsidP="007E26B5">
            <w:pPr>
              <w:spacing w:after="160"/>
              <w:rPr>
                <w:rFonts w:cstheme="minorHAnsi"/>
              </w:rPr>
            </w:pPr>
            <w:r w:rsidRPr="00BF6615">
              <w:rPr>
                <w:rFonts w:cstheme="minorHAnsi"/>
              </w:rPr>
              <w:t>7</w:t>
            </w:r>
          </w:p>
        </w:tc>
      </w:tr>
      <w:tr w:rsidR="00B13433" w:rsidRPr="00BF6615" w14:paraId="256C67A9" w14:textId="77777777">
        <w:trPr>
          <w:cnfStyle w:val="000000100000" w:firstRow="0" w:lastRow="0" w:firstColumn="0" w:lastColumn="0" w:oddVBand="0" w:evenVBand="0" w:oddHBand="1" w:evenHBand="0" w:firstRowFirstColumn="0" w:firstRowLastColumn="0" w:lastRowFirstColumn="0" w:lastRowLastColumn="0"/>
        </w:trPr>
        <w:tc>
          <w:tcPr>
            <w:tcW w:w="3697" w:type="pct"/>
          </w:tcPr>
          <w:p w14:paraId="7EE2B90B" w14:textId="77777777" w:rsidR="00B13433" w:rsidRPr="00BF6615" w:rsidRDefault="00B13433" w:rsidP="007E26B5">
            <w:pPr>
              <w:spacing w:after="160"/>
              <w:rPr>
                <w:rFonts w:cstheme="minorHAnsi"/>
              </w:rPr>
            </w:pPr>
            <w:r w:rsidRPr="00BF6615">
              <w:rPr>
                <w:rFonts w:cstheme="minorHAnsi"/>
              </w:rPr>
              <w:t>1.4.5 – Obrazy tekstu</w:t>
            </w:r>
          </w:p>
        </w:tc>
        <w:tc>
          <w:tcPr>
            <w:tcW w:w="1245" w:type="pct"/>
          </w:tcPr>
          <w:p w14:paraId="5AE1D9C6" w14:textId="77777777" w:rsidR="00B13433" w:rsidRPr="00BF6615" w:rsidRDefault="00B13433" w:rsidP="007E26B5">
            <w:pPr>
              <w:spacing w:after="160"/>
              <w:rPr>
                <w:rFonts w:cstheme="minorHAnsi"/>
              </w:rPr>
            </w:pPr>
            <w:r w:rsidRPr="00BF6615">
              <w:rPr>
                <w:rFonts w:cstheme="minorHAnsi"/>
              </w:rPr>
              <w:t>5</w:t>
            </w:r>
          </w:p>
        </w:tc>
      </w:tr>
      <w:tr w:rsidR="00B13433" w:rsidRPr="00BF6615" w14:paraId="7BD9CC52" w14:textId="77777777">
        <w:trPr>
          <w:cnfStyle w:val="000000010000" w:firstRow="0" w:lastRow="0" w:firstColumn="0" w:lastColumn="0" w:oddVBand="0" w:evenVBand="0" w:oddHBand="0" w:evenHBand="1" w:firstRowFirstColumn="0" w:firstRowLastColumn="0" w:lastRowFirstColumn="0" w:lastRowLastColumn="0"/>
        </w:trPr>
        <w:tc>
          <w:tcPr>
            <w:tcW w:w="3697" w:type="pct"/>
          </w:tcPr>
          <w:p w14:paraId="4AD172FE" w14:textId="77777777" w:rsidR="00B13433" w:rsidRPr="00BF6615" w:rsidRDefault="00B13433" w:rsidP="007E26B5">
            <w:pPr>
              <w:spacing w:after="160"/>
              <w:rPr>
                <w:rFonts w:cstheme="minorHAnsi"/>
              </w:rPr>
            </w:pPr>
            <w:r w:rsidRPr="00BF6615">
              <w:rPr>
                <w:rFonts w:cstheme="minorHAnsi"/>
              </w:rPr>
              <w:t>1.3.1 – Informacje i relacje</w:t>
            </w:r>
          </w:p>
        </w:tc>
        <w:tc>
          <w:tcPr>
            <w:tcW w:w="1245" w:type="pct"/>
          </w:tcPr>
          <w:p w14:paraId="603567BE" w14:textId="77777777" w:rsidR="00B13433" w:rsidRPr="00BF6615" w:rsidRDefault="00B13433" w:rsidP="007E26B5">
            <w:pPr>
              <w:spacing w:after="160"/>
              <w:rPr>
                <w:rFonts w:cstheme="minorHAnsi"/>
              </w:rPr>
            </w:pPr>
            <w:r w:rsidRPr="00BF6615">
              <w:rPr>
                <w:rFonts w:cstheme="minorHAnsi"/>
              </w:rPr>
              <w:t>4</w:t>
            </w:r>
          </w:p>
        </w:tc>
      </w:tr>
      <w:tr w:rsidR="00B13433" w:rsidRPr="00BF6615" w14:paraId="3374EFFF" w14:textId="77777777">
        <w:trPr>
          <w:cnfStyle w:val="000000100000" w:firstRow="0" w:lastRow="0" w:firstColumn="0" w:lastColumn="0" w:oddVBand="0" w:evenVBand="0" w:oddHBand="1" w:evenHBand="0" w:firstRowFirstColumn="0" w:firstRowLastColumn="0" w:lastRowFirstColumn="0" w:lastRowLastColumn="0"/>
        </w:trPr>
        <w:tc>
          <w:tcPr>
            <w:tcW w:w="3697" w:type="pct"/>
          </w:tcPr>
          <w:p w14:paraId="6D805FFF" w14:textId="77777777" w:rsidR="00B13433" w:rsidRPr="00BF6615" w:rsidRDefault="00B13433" w:rsidP="007E26B5">
            <w:pPr>
              <w:spacing w:after="160"/>
              <w:rPr>
                <w:rFonts w:cstheme="minorHAnsi"/>
              </w:rPr>
            </w:pPr>
            <w:r w:rsidRPr="00BF6615">
              <w:rPr>
                <w:rFonts w:cstheme="minorHAnsi"/>
              </w:rPr>
              <w:t>1.4.1 – Użycie koloru</w:t>
            </w:r>
          </w:p>
        </w:tc>
        <w:tc>
          <w:tcPr>
            <w:tcW w:w="1245" w:type="pct"/>
          </w:tcPr>
          <w:p w14:paraId="70EF9D5D" w14:textId="77777777" w:rsidR="00B13433" w:rsidRPr="00BF6615" w:rsidRDefault="00B13433" w:rsidP="007E26B5">
            <w:pPr>
              <w:spacing w:after="160"/>
              <w:rPr>
                <w:rFonts w:cstheme="minorHAnsi"/>
              </w:rPr>
            </w:pPr>
            <w:r w:rsidRPr="00BF6615">
              <w:rPr>
                <w:rFonts w:cstheme="minorHAnsi"/>
              </w:rPr>
              <w:t>4</w:t>
            </w:r>
          </w:p>
        </w:tc>
      </w:tr>
      <w:tr w:rsidR="00B13433" w:rsidRPr="00BF6615" w14:paraId="3103921A" w14:textId="77777777">
        <w:trPr>
          <w:cnfStyle w:val="000000010000" w:firstRow="0" w:lastRow="0" w:firstColumn="0" w:lastColumn="0" w:oddVBand="0" w:evenVBand="0" w:oddHBand="0" w:evenHBand="1" w:firstRowFirstColumn="0" w:firstRowLastColumn="0" w:lastRowFirstColumn="0" w:lastRowLastColumn="0"/>
        </w:trPr>
        <w:tc>
          <w:tcPr>
            <w:tcW w:w="3697" w:type="pct"/>
          </w:tcPr>
          <w:p w14:paraId="2827E32E" w14:textId="77777777" w:rsidR="00B13433" w:rsidRPr="00BF6615" w:rsidRDefault="00B13433" w:rsidP="007E26B5">
            <w:pPr>
              <w:spacing w:after="160"/>
              <w:rPr>
                <w:rFonts w:cstheme="minorHAnsi"/>
              </w:rPr>
            </w:pPr>
            <w:r w:rsidRPr="00BF6615">
              <w:rPr>
                <w:rFonts w:cstheme="minorHAnsi"/>
              </w:rPr>
              <w:t>1.4.4 – Możliwość zmiany rozmiaru tekstu</w:t>
            </w:r>
          </w:p>
        </w:tc>
        <w:tc>
          <w:tcPr>
            <w:tcW w:w="1245" w:type="pct"/>
          </w:tcPr>
          <w:p w14:paraId="1D431183" w14:textId="77777777" w:rsidR="00B13433" w:rsidRPr="00BF6615" w:rsidRDefault="00B13433" w:rsidP="007E26B5">
            <w:pPr>
              <w:spacing w:after="160"/>
              <w:rPr>
                <w:rFonts w:cstheme="minorHAnsi"/>
              </w:rPr>
            </w:pPr>
            <w:r w:rsidRPr="00BF6615">
              <w:rPr>
                <w:rFonts w:cstheme="minorHAnsi"/>
              </w:rPr>
              <w:t>4</w:t>
            </w:r>
          </w:p>
        </w:tc>
      </w:tr>
      <w:tr w:rsidR="00B13433" w:rsidRPr="00BF6615" w14:paraId="4AAA1966" w14:textId="77777777">
        <w:trPr>
          <w:cnfStyle w:val="000000100000" w:firstRow="0" w:lastRow="0" w:firstColumn="0" w:lastColumn="0" w:oddVBand="0" w:evenVBand="0" w:oddHBand="1" w:evenHBand="0" w:firstRowFirstColumn="0" w:firstRowLastColumn="0" w:lastRowFirstColumn="0" w:lastRowLastColumn="0"/>
        </w:trPr>
        <w:tc>
          <w:tcPr>
            <w:tcW w:w="3697" w:type="pct"/>
          </w:tcPr>
          <w:p w14:paraId="7108BC2B" w14:textId="77777777" w:rsidR="00B13433" w:rsidRPr="00BF6615" w:rsidRDefault="00B13433" w:rsidP="007E26B5">
            <w:pPr>
              <w:spacing w:after="160"/>
              <w:rPr>
                <w:rFonts w:cstheme="minorHAnsi"/>
              </w:rPr>
            </w:pPr>
            <w:r w:rsidRPr="00BF6615">
              <w:rPr>
                <w:rFonts w:cstheme="minorHAnsi"/>
              </w:rPr>
              <w:t>1.4.12 – Odstępy w tekście</w:t>
            </w:r>
          </w:p>
        </w:tc>
        <w:tc>
          <w:tcPr>
            <w:tcW w:w="1245" w:type="pct"/>
          </w:tcPr>
          <w:p w14:paraId="7727BDD2" w14:textId="77777777" w:rsidR="00B13433" w:rsidRPr="00BF6615" w:rsidRDefault="00B13433" w:rsidP="007E26B5">
            <w:pPr>
              <w:spacing w:after="160"/>
              <w:rPr>
                <w:rFonts w:cstheme="minorHAnsi"/>
              </w:rPr>
            </w:pPr>
            <w:r w:rsidRPr="00BF6615">
              <w:rPr>
                <w:rFonts w:cstheme="minorHAnsi"/>
              </w:rPr>
              <w:t>3</w:t>
            </w:r>
          </w:p>
        </w:tc>
      </w:tr>
    </w:tbl>
    <w:p w14:paraId="7A9D3E7C" w14:textId="77777777" w:rsidR="00B13433" w:rsidRPr="00BF6615" w:rsidRDefault="00B13433" w:rsidP="007E26B5">
      <w:pPr>
        <w:rPr>
          <w:b/>
          <w:bCs/>
        </w:rPr>
      </w:pPr>
      <w:r w:rsidRPr="00BF6615">
        <w:t>Źródło: opracowanie własne.</w:t>
      </w:r>
    </w:p>
    <w:p w14:paraId="7D73127B" w14:textId="77777777" w:rsidR="00B13433" w:rsidRPr="00BF6615" w:rsidRDefault="00B13433" w:rsidP="00B271C3">
      <w:pPr>
        <w:pStyle w:val="Nagwek4"/>
        <w:rPr>
          <w:rFonts w:cstheme="minorHAnsi"/>
          <w:bCs/>
        </w:rPr>
      </w:pPr>
      <w:r w:rsidRPr="00BF6615">
        <w:rPr>
          <w:rFonts w:cstheme="minorHAnsi"/>
          <w:bCs/>
        </w:rPr>
        <w:t xml:space="preserve">Zasada 2: </w:t>
      </w:r>
      <w:r w:rsidRPr="00B271C3">
        <w:rPr>
          <w:rStyle w:val="Nagwek4Znak"/>
          <w:b/>
        </w:rPr>
        <w:t>Funkcjonalność</w:t>
      </w:r>
    </w:p>
    <w:p w14:paraId="4298E734" w14:textId="77777777" w:rsidR="00B13433" w:rsidRPr="00BF6615" w:rsidRDefault="00B13433" w:rsidP="007E26B5">
      <w:pPr>
        <w:spacing w:after="160"/>
        <w:rPr>
          <w:rFonts w:cstheme="minorHAnsi"/>
        </w:rPr>
      </w:pPr>
      <w:r w:rsidRPr="00BF6615">
        <w:rPr>
          <w:rFonts w:cstheme="minorHAnsi"/>
        </w:rPr>
        <w:t>Wyjątkowo często występowały błędy w kryterium 2.4.5 – Wiele dróg (18 razy).</w:t>
      </w:r>
    </w:p>
    <w:p w14:paraId="7EEA8CBB" w14:textId="61642478" w:rsidR="00B13433" w:rsidRPr="00BF6615" w:rsidRDefault="00B13433" w:rsidP="007E26B5">
      <w:pPr>
        <w:pStyle w:val="Legenda"/>
        <w:spacing w:line="276" w:lineRule="auto"/>
        <w:rPr>
          <w:rFonts w:cstheme="minorHAnsi"/>
        </w:rPr>
      </w:pPr>
      <w:bookmarkStart w:id="117" w:name="_Toc196335280"/>
      <w:bookmarkStart w:id="118" w:name="_Toc204179113"/>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15</w:t>
      </w:r>
      <w:r w:rsidRPr="00BF6615">
        <w:rPr>
          <w:rFonts w:cstheme="minorHAnsi"/>
        </w:rPr>
        <w:fldChar w:fldCharType="end"/>
      </w:r>
      <w:r w:rsidR="009A4161">
        <w:rPr>
          <w:rFonts w:cstheme="minorHAnsi"/>
        </w:rPr>
        <w:t>.</w:t>
      </w:r>
      <w:r w:rsidRPr="00BF6615">
        <w:rPr>
          <w:rFonts w:cstheme="minorHAnsi"/>
        </w:rPr>
        <w:t xml:space="preserve"> Liczba zidentyfikowanych problemów w zasadzie 2: Funkcjonalność </w:t>
      </w:r>
      <w:r w:rsidRPr="00BF6615">
        <w:rPr>
          <w:rStyle w:val="Uwydatnienie"/>
        </w:rPr>
        <w:t>(osoby z dysfunkcją narządu ruchu)</w:t>
      </w:r>
      <w:bookmarkEnd w:id="117"/>
      <w:bookmarkEnd w:id="118"/>
    </w:p>
    <w:tbl>
      <w:tblPr>
        <w:tblStyle w:val="PARP"/>
        <w:tblW w:w="5000" w:type="pct"/>
        <w:tblLook w:val="04A0" w:firstRow="1" w:lastRow="0" w:firstColumn="1" w:lastColumn="0" w:noHBand="0" w:noVBand="1"/>
        <w:tblCaption w:val="Liczba zidentyfikowanych problemów w zasadzie 2: Funkcjonalność (osoby z dysfunkcją narządu ruchu)"/>
        <w:tblDescription w:val="Liczba zidentyfikowanych problemów w zasadzie 2: Funkcjonalność (osoby z dysfunkcją narządu ruchu)"/>
      </w:tblPr>
      <w:tblGrid>
        <w:gridCol w:w="6597"/>
        <w:gridCol w:w="2465"/>
      </w:tblGrid>
      <w:tr w:rsidR="00B13433" w:rsidRPr="00BF6615" w14:paraId="484659E2" w14:textId="77777777">
        <w:trPr>
          <w:cnfStyle w:val="100000000000" w:firstRow="1" w:lastRow="0" w:firstColumn="0" w:lastColumn="0" w:oddVBand="0" w:evenVBand="0" w:oddHBand="0" w:evenHBand="0" w:firstRowFirstColumn="0" w:firstRowLastColumn="0" w:lastRowFirstColumn="0" w:lastRowLastColumn="0"/>
        </w:trPr>
        <w:tc>
          <w:tcPr>
            <w:tcW w:w="3640" w:type="pct"/>
            <w:hideMark/>
          </w:tcPr>
          <w:p w14:paraId="0725CFC8" w14:textId="77777777" w:rsidR="00B13433" w:rsidRPr="00BF6615" w:rsidRDefault="00B13433" w:rsidP="007E26B5">
            <w:pPr>
              <w:spacing w:after="160"/>
              <w:rPr>
                <w:rFonts w:cstheme="minorHAnsi"/>
                <w:b/>
                <w:bCs/>
              </w:rPr>
            </w:pPr>
            <w:r w:rsidRPr="00BF6615">
              <w:rPr>
                <w:rFonts w:cstheme="minorHAnsi"/>
                <w:b/>
                <w:bCs/>
              </w:rPr>
              <w:t>Nazwa kryterium</w:t>
            </w:r>
          </w:p>
        </w:tc>
        <w:tc>
          <w:tcPr>
            <w:tcW w:w="1360" w:type="pct"/>
            <w:hideMark/>
          </w:tcPr>
          <w:p w14:paraId="50A0EA38" w14:textId="77777777" w:rsidR="00B13433" w:rsidRPr="00BF6615" w:rsidRDefault="00B13433" w:rsidP="007E26B5">
            <w:pPr>
              <w:spacing w:after="160"/>
              <w:rPr>
                <w:rFonts w:cstheme="minorHAnsi"/>
                <w:b/>
                <w:bCs/>
              </w:rPr>
            </w:pPr>
            <w:r w:rsidRPr="00BF6615">
              <w:rPr>
                <w:rFonts w:cstheme="minorHAnsi"/>
                <w:b/>
                <w:bCs/>
              </w:rPr>
              <w:t>Liczba wystąpień</w:t>
            </w:r>
          </w:p>
        </w:tc>
      </w:tr>
      <w:tr w:rsidR="00B13433" w:rsidRPr="00BF6615" w14:paraId="27ADAA12" w14:textId="77777777">
        <w:trPr>
          <w:cnfStyle w:val="000000100000" w:firstRow="0" w:lastRow="0" w:firstColumn="0" w:lastColumn="0" w:oddVBand="0" w:evenVBand="0" w:oddHBand="1" w:evenHBand="0" w:firstRowFirstColumn="0" w:firstRowLastColumn="0" w:lastRowFirstColumn="0" w:lastRowLastColumn="0"/>
        </w:trPr>
        <w:tc>
          <w:tcPr>
            <w:tcW w:w="3640" w:type="pct"/>
          </w:tcPr>
          <w:p w14:paraId="4DF31063" w14:textId="77777777" w:rsidR="00B13433" w:rsidRPr="00BF6615" w:rsidRDefault="00B13433" w:rsidP="007E26B5">
            <w:pPr>
              <w:spacing w:after="160"/>
              <w:rPr>
                <w:rFonts w:cstheme="minorHAnsi"/>
              </w:rPr>
            </w:pPr>
            <w:r w:rsidRPr="00BF6615">
              <w:rPr>
                <w:rFonts w:eastAsia="Times New Roman" w:cstheme="minorHAnsi"/>
                <w:color w:val="000000"/>
                <w:sz w:val="22"/>
                <w:lang w:eastAsia="pl-PL"/>
              </w:rPr>
              <w:t>2.4.5 – Wiele dróg</w:t>
            </w:r>
          </w:p>
        </w:tc>
        <w:tc>
          <w:tcPr>
            <w:tcW w:w="1360" w:type="pct"/>
          </w:tcPr>
          <w:p w14:paraId="00C88547" w14:textId="77777777" w:rsidR="00B13433" w:rsidRPr="00BF6615" w:rsidRDefault="00B13433" w:rsidP="007E26B5">
            <w:pPr>
              <w:spacing w:after="160"/>
              <w:rPr>
                <w:rFonts w:cstheme="minorHAnsi"/>
              </w:rPr>
            </w:pPr>
            <w:r w:rsidRPr="00BF6615">
              <w:rPr>
                <w:rFonts w:cstheme="minorHAnsi"/>
              </w:rPr>
              <w:t>18</w:t>
            </w:r>
          </w:p>
        </w:tc>
      </w:tr>
      <w:tr w:rsidR="00B13433" w:rsidRPr="00BF6615" w14:paraId="05C72E01" w14:textId="77777777">
        <w:trPr>
          <w:cnfStyle w:val="000000010000" w:firstRow="0" w:lastRow="0" w:firstColumn="0" w:lastColumn="0" w:oddVBand="0" w:evenVBand="0" w:oddHBand="0" w:evenHBand="1" w:firstRowFirstColumn="0" w:firstRowLastColumn="0" w:lastRowFirstColumn="0" w:lastRowLastColumn="0"/>
        </w:trPr>
        <w:tc>
          <w:tcPr>
            <w:tcW w:w="3640" w:type="pct"/>
          </w:tcPr>
          <w:p w14:paraId="4C622DA3" w14:textId="77777777" w:rsidR="00B13433" w:rsidRPr="00BF6615" w:rsidRDefault="00B13433" w:rsidP="007E26B5">
            <w:pPr>
              <w:spacing w:after="160"/>
              <w:rPr>
                <w:rFonts w:cstheme="minorHAnsi"/>
              </w:rPr>
            </w:pPr>
            <w:r w:rsidRPr="00BF6615">
              <w:rPr>
                <w:rFonts w:eastAsia="Times New Roman" w:cstheme="minorHAnsi"/>
                <w:color w:val="000000"/>
                <w:sz w:val="22"/>
                <w:lang w:eastAsia="pl-PL"/>
              </w:rPr>
              <w:t>2.4.6 – Nagłówki i etykiety</w:t>
            </w:r>
          </w:p>
        </w:tc>
        <w:tc>
          <w:tcPr>
            <w:tcW w:w="1360" w:type="pct"/>
          </w:tcPr>
          <w:p w14:paraId="6D7D94ED" w14:textId="77777777" w:rsidR="00B13433" w:rsidRPr="00BF6615" w:rsidRDefault="00B13433" w:rsidP="007E26B5">
            <w:pPr>
              <w:spacing w:after="160"/>
              <w:rPr>
                <w:rFonts w:cstheme="minorHAnsi"/>
              </w:rPr>
            </w:pPr>
            <w:r w:rsidRPr="00BF6615">
              <w:rPr>
                <w:rFonts w:cstheme="minorHAnsi"/>
              </w:rPr>
              <w:t>9</w:t>
            </w:r>
          </w:p>
        </w:tc>
      </w:tr>
      <w:tr w:rsidR="00B13433" w:rsidRPr="00BF6615" w14:paraId="5162D5EF" w14:textId="77777777">
        <w:trPr>
          <w:cnfStyle w:val="000000100000" w:firstRow="0" w:lastRow="0" w:firstColumn="0" w:lastColumn="0" w:oddVBand="0" w:evenVBand="0" w:oddHBand="1" w:evenHBand="0" w:firstRowFirstColumn="0" w:firstRowLastColumn="0" w:lastRowFirstColumn="0" w:lastRowLastColumn="0"/>
        </w:trPr>
        <w:tc>
          <w:tcPr>
            <w:tcW w:w="3640" w:type="pct"/>
          </w:tcPr>
          <w:p w14:paraId="453C910A" w14:textId="77777777" w:rsidR="00B13433" w:rsidRPr="00BF6615" w:rsidRDefault="00B13433" w:rsidP="007E26B5">
            <w:pPr>
              <w:spacing w:after="160"/>
              <w:rPr>
                <w:rFonts w:cstheme="minorHAnsi"/>
              </w:rPr>
            </w:pPr>
            <w:r w:rsidRPr="00BF6615">
              <w:rPr>
                <w:rFonts w:eastAsia="Times New Roman" w:cstheme="minorHAnsi"/>
                <w:color w:val="000000"/>
                <w:sz w:val="22"/>
                <w:lang w:eastAsia="pl-PL"/>
              </w:rPr>
              <w:t>2.4.1 – Możliwość pominięcia bloków</w:t>
            </w:r>
          </w:p>
        </w:tc>
        <w:tc>
          <w:tcPr>
            <w:tcW w:w="1360" w:type="pct"/>
          </w:tcPr>
          <w:p w14:paraId="3F94FAB5" w14:textId="77777777" w:rsidR="00B13433" w:rsidRPr="00BF6615" w:rsidRDefault="00B13433" w:rsidP="007E26B5">
            <w:pPr>
              <w:spacing w:after="160"/>
              <w:rPr>
                <w:rFonts w:cstheme="minorHAnsi"/>
              </w:rPr>
            </w:pPr>
            <w:r w:rsidRPr="00BF6615">
              <w:rPr>
                <w:rFonts w:cstheme="minorHAnsi"/>
              </w:rPr>
              <w:t>8</w:t>
            </w:r>
          </w:p>
        </w:tc>
      </w:tr>
      <w:tr w:rsidR="00B13433" w:rsidRPr="00BF6615" w14:paraId="5195318D" w14:textId="77777777">
        <w:trPr>
          <w:cnfStyle w:val="000000010000" w:firstRow="0" w:lastRow="0" w:firstColumn="0" w:lastColumn="0" w:oddVBand="0" w:evenVBand="0" w:oddHBand="0" w:evenHBand="1" w:firstRowFirstColumn="0" w:firstRowLastColumn="0" w:lastRowFirstColumn="0" w:lastRowLastColumn="0"/>
        </w:trPr>
        <w:tc>
          <w:tcPr>
            <w:tcW w:w="3640" w:type="pct"/>
          </w:tcPr>
          <w:p w14:paraId="57B6060B" w14:textId="77777777" w:rsidR="00B13433" w:rsidRPr="00BF6615" w:rsidRDefault="00B13433" w:rsidP="007E26B5">
            <w:pPr>
              <w:spacing w:after="160"/>
              <w:rPr>
                <w:rFonts w:cstheme="minorHAnsi"/>
              </w:rPr>
            </w:pPr>
            <w:r w:rsidRPr="00BF6615">
              <w:rPr>
                <w:rFonts w:eastAsia="Times New Roman" w:cstheme="minorHAnsi"/>
                <w:color w:val="000000"/>
                <w:sz w:val="22"/>
                <w:lang w:eastAsia="pl-PL"/>
              </w:rPr>
              <w:lastRenderedPageBreak/>
              <w:t>2.4.4 – Cel linku</w:t>
            </w:r>
          </w:p>
        </w:tc>
        <w:tc>
          <w:tcPr>
            <w:tcW w:w="1360" w:type="pct"/>
          </w:tcPr>
          <w:p w14:paraId="7D12B420" w14:textId="77777777" w:rsidR="00B13433" w:rsidRPr="00BF6615" w:rsidRDefault="00B13433" w:rsidP="007E26B5">
            <w:pPr>
              <w:spacing w:after="160"/>
              <w:rPr>
                <w:rFonts w:cstheme="minorHAnsi"/>
              </w:rPr>
            </w:pPr>
            <w:r w:rsidRPr="00BF6615">
              <w:rPr>
                <w:rFonts w:cstheme="minorHAnsi"/>
              </w:rPr>
              <w:t>7</w:t>
            </w:r>
          </w:p>
        </w:tc>
      </w:tr>
      <w:tr w:rsidR="00B13433" w:rsidRPr="00BF6615" w14:paraId="7F98D32F" w14:textId="77777777">
        <w:trPr>
          <w:cnfStyle w:val="000000100000" w:firstRow="0" w:lastRow="0" w:firstColumn="0" w:lastColumn="0" w:oddVBand="0" w:evenVBand="0" w:oddHBand="1" w:evenHBand="0" w:firstRowFirstColumn="0" w:firstRowLastColumn="0" w:lastRowFirstColumn="0" w:lastRowLastColumn="0"/>
        </w:trPr>
        <w:tc>
          <w:tcPr>
            <w:tcW w:w="3640" w:type="pct"/>
          </w:tcPr>
          <w:p w14:paraId="639AC6DC" w14:textId="77777777" w:rsidR="00B13433" w:rsidRPr="00BF6615" w:rsidRDefault="00B13433" w:rsidP="007E26B5">
            <w:pPr>
              <w:spacing w:after="160"/>
              <w:rPr>
                <w:rFonts w:cstheme="minorHAnsi"/>
              </w:rPr>
            </w:pPr>
            <w:r w:rsidRPr="00BF6615">
              <w:rPr>
                <w:rFonts w:eastAsia="Times New Roman" w:cstheme="minorHAnsi"/>
                <w:color w:val="000000"/>
                <w:sz w:val="22"/>
                <w:lang w:eastAsia="pl-PL"/>
              </w:rPr>
              <w:t>2.2.2 – Pauza, zatrzymanie, ukrycie</w:t>
            </w:r>
          </w:p>
        </w:tc>
        <w:tc>
          <w:tcPr>
            <w:tcW w:w="1360" w:type="pct"/>
          </w:tcPr>
          <w:p w14:paraId="43CBE18E" w14:textId="77777777" w:rsidR="00B13433" w:rsidRPr="00BF6615" w:rsidRDefault="00B13433" w:rsidP="007E26B5">
            <w:pPr>
              <w:spacing w:after="160"/>
              <w:rPr>
                <w:rFonts w:cstheme="minorHAnsi"/>
              </w:rPr>
            </w:pPr>
            <w:r w:rsidRPr="00BF6615">
              <w:rPr>
                <w:rFonts w:cstheme="minorHAnsi"/>
              </w:rPr>
              <w:t>4</w:t>
            </w:r>
          </w:p>
        </w:tc>
      </w:tr>
    </w:tbl>
    <w:p w14:paraId="24EAA0AC" w14:textId="77777777" w:rsidR="00B13433" w:rsidRPr="00BF6615" w:rsidRDefault="00B13433" w:rsidP="007E26B5">
      <w:pPr>
        <w:rPr>
          <w:b/>
          <w:bCs/>
        </w:rPr>
      </w:pPr>
      <w:r w:rsidRPr="00BF6615">
        <w:t>Źródło: opracowanie własne.</w:t>
      </w:r>
    </w:p>
    <w:p w14:paraId="58229DDB" w14:textId="77777777" w:rsidR="00B13433" w:rsidRPr="00BF6615" w:rsidRDefault="00B13433" w:rsidP="00B271C3">
      <w:pPr>
        <w:pStyle w:val="Nagwek4"/>
        <w:rPr>
          <w:rFonts w:cstheme="minorHAnsi"/>
          <w:bCs/>
        </w:rPr>
      </w:pPr>
      <w:r w:rsidRPr="00BF6615">
        <w:rPr>
          <w:rFonts w:cstheme="minorHAnsi"/>
          <w:bCs/>
        </w:rPr>
        <w:t xml:space="preserve">Zasada 3: </w:t>
      </w:r>
      <w:r w:rsidRPr="00B271C3">
        <w:rPr>
          <w:rStyle w:val="Nagwek4Znak"/>
          <w:b/>
        </w:rPr>
        <w:t>Zrozumiałość</w:t>
      </w:r>
    </w:p>
    <w:p w14:paraId="430EBD50" w14:textId="77777777" w:rsidR="00B13433" w:rsidRPr="00BF6615" w:rsidRDefault="00B13433" w:rsidP="007E26B5">
      <w:pPr>
        <w:spacing w:after="160"/>
        <w:rPr>
          <w:rFonts w:cstheme="minorHAnsi"/>
        </w:rPr>
      </w:pPr>
      <w:r w:rsidRPr="00BF6615">
        <w:rPr>
          <w:rFonts w:cstheme="minorHAnsi"/>
        </w:rPr>
        <w:t>Najczęściej występowały błędy w kryterium 3.3.3 – Sugestie korekty błędów (11 razy) oraz 3.3.2 – Etykiety lub instrukcje (10 razy). Pojawiały się także błędy w innych kategoriach m.in. w zakresie identyfikacji błędów.</w:t>
      </w:r>
    </w:p>
    <w:p w14:paraId="27818F57" w14:textId="081042AA" w:rsidR="00B13433" w:rsidRPr="00BF6615" w:rsidRDefault="00B13433" w:rsidP="007E26B5">
      <w:pPr>
        <w:pStyle w:val="Legenda"/>
        <w:spacing w:line="276" w:lineRule="auto"/>
        <w:rPr>
          <w:rFonts w:cstheme="minorHAnsi"/>
        </w:rPr>
      </w:pPr>
      <w:bookmarkStart w:id="119" w:name="_Toc196335281"/>
      <w:bookmarkStart w:id="120" w:name="_Toc204179114"/>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16</w:t>
      </w:r>
      <w:r w:rsidRPr="00BF6615">
        <w:rPr>
          <w:rFonts w:cstheme="minorHAnsi"/>
        </w:rPr>
        <w:fldChar w:fldCharType="end"/>
      </w:r>
      <w:r w:rsidR="009A4161">
        <w:rPr>
          <w:rFonts w:cstheme="minorHAnsi"/>
        </w:rPr>
        <w:t>.</w:t>
      </w:r>
      <w:r w:rsidRPr="00BF6615">
        <w:rPr>
          <w:rFonts w:cstheme="minorHAnsi"/>
        </w:rPr>
        <w:t xml:space="preserve"> Liczba zidentyfikowanych problemów w zasadzie 3: Zrozumiałość </w:t>
      </w:r>
      <w:r w:rsidRPr="00BF6615">
        <w:rPr>
          <w:rStyle w:val="Uwydatnienie"/>
        </w:rPr>
        <w:t xml:space="preserve">(osoby </w:t>
      </w:r>
      <w:r w:rsidR="000A692A" w:rsidRPr="00BF6615">
        <w:rPr>
          <w:rStyle w:val="Uwydatnienie"/>
        </w:rPr>
        <w:t>z</w:t>
      </w:r>
      <w:r w:rsidR="000A692A">
        <w:rPr>
          <w:rStyle w:val="Uwydatnienie"/>
        </w:rPr>
        <w:t> </w:t>
      </w:r>
      <w:r w:rsidRPr="00BF6615">
        <w:rPr>
          <w:rStyle w:val="Uwydatnienie"/>
        </w:rPr>
        <w:t>dysfunkcją narządu ruchu)</w:t>
      </w:r>
      <w:bookmarkEnd w:id="119"/>
      <w:bookmarkEnd w:id="120"/>
    </w:p>
    <w:tbl>
      <w:tblPr>
        <w:tblStyle w:val="PARP"/>
        <w:tblW w:w="5000" w:type="pct"/>
        <w:tblLook w:val="04A0" w:firstRow="1" w:lastRow="0" w:firstColumn="1" w:lastColumn="0" w:noHBand="0" w:noVBand="1"/>
        <w:tblCaption w:val="Liczba zidentyfikowanych problemów w zasadzie 3: Zrozumiałość (osoby z dysfunkcją narządu ruchu)"/>
        <w:tblDescription w:val="Liczba zidentyfikowanych problemów w zasadzie 3: Zrozumiałość (osoby z dysfunkcją narządu ruchu)"/>
      </w:tblPr>
      <w:tblGrid>
        <w:gridCol w:w="6188"/>
        <w:gridCol w:w="2874"/>
      </w:tblGrid>
      <w:tr w:rsidR="00B13433" w:rsidRPr="00BF6615" w14:paraId="2E6EBCE2" w14:textId="77777777">
        <w:trPr>
          <w:cnfStyle w:val="100000000000" w:firstRow="1" w:lastRow="0" w:firstColumn="0" w:lastColumn="0" w:oddVBand="0" w:evenVBand="0" w:oddHBand="0" w:evenHBand="0" w:firstRowFirstColumn="0" w:firstRowLastColumn="0" w:lastRowFirstColumn="0" w:lastRowLastColumn="0"/>
        </w:trPr>
        <w:tc>
          <w:tcPr>
            <w:tcW w:w="3359" w:type="pct"/>
            <w:hideMark/>
          </w:tcPr>
          <w:p w14:paraId="3064B7F3" w14:textId="77777777" w:rsidR="00B13433" w:rsidRPr="00BF6615" w:rsidRDefault="00B13433" w:rsidP="007E26B5">
            <w:pPr>
              <w:spacing w:after="160"/>
              <w:rPr>
                <w:rFonts w:cstheme="minorHAnsi"/>
                <w:b/>
                <w:bCs/>
              </w:rPr>
            </w:pPr>
            <w:r w:rsidRPr="00BF6615">
              <w:rPr>
                <w:rFonts w:cstheme="minorHAnsi"/>
                <w:b/>
                <w:bCs/>
              </w:rPr>
              <w:t>Nazwa kryterium</w:t>
            </w:r>
          </w:p>
        </w:tc>
        <w:tc>
          <w:tcPr>
            <w:tcW w:w="1560" w:type="pct"/>
            <w:hideMark/>
          </w:tcPr>
          <w:p w14:paraId="22F1B9B9" w14:textId="77777777" w:rsidR="00B13433" w:rsidRPr="00BF6615" w:rsidRDefault="00B13433" w:rsidP="007E26B5">
            <w:pPr>
              <w:spacing w:after="160"/>
              <w:rPr>
                <w:rFonts w:cstheme="minorHAnsi"/>
                <w:b/>
                <w:bCs/>
              </w:rPr>
            </w:pPr>
            <w:r w:rsidRPr="00BF6615">
              <w:rPr>
                <w:rFonts w:cstheme="minorHAnsi"/>
                <w:b/>
                <w:bCs/>
              </w:rPr>
              <w:t>Liczba wystąpień</w:t>
            </w:r>
          </w:p>
        </w:tc>
      </w:tr>
      <w:tr w:rsidR="00B13433" w:rsidRPr="00BF6615" w14:paraId="5119D59F" w14:textId="77777777">
        <w:trPr>
          <w:cnfStyle w:val="000000100000" w:firstRow="0" w:lastRow="0" w:firstColumn="0" w:lastColumn="0" w:oddVBand="0" w:evenVBand="0" w:oddHBand="1" w:evenHBand="0" w:firstRowFirstColumn="0" w:firstRowLastColumn="0" w:lastRowFirstColumn="0" w:lastRowLastColumn="0"/>
        </w:trPr>
        <w:tc>
          <w:tcPr>
            <w:tcW w:w="3359" w:type="pct"/>
          </w:tcPr>
          <w:p w14:paraId="6950F94C" w14:textId="77777777" w:rsidR="00B13433" w:rsidRPr="00BF6615" w:rsidRDefault="00B13433" w:rsidP="007E26B5">
            <w:pPr>
              <w:tabs>
                <w:tab w:val="left" w:pos="550"/>
              </w:tabs>
              <w:spacing w:after="160"/>
              <w:rPr>
                <w:rFonts w:eastAsia="Times New Roman" w:cstheme="minorHAnsi"/>
                <w:color w:val="000000"/>
                <w:szCs w:val="24"/>
                <w:lang w:eastAsia="pl-PL"/>
              </w:rPr>
            </w:pPr>
            <w:r w:rsidRPr="00BF6615">
              <w:rPr>
                <w:rFonts w:eastAsia="Times New Roman" w:cstheme="minorHAnsi"/>
                <w:color w:val="000000"/>
                <w:szCs w:val="24"/>
                <w:lang w:eastAsia="pl-PL"/>
              </w:rPr>
              <w:t>3.3.3 – Sugestie korekty błędów</w:t>
            </w:r>
          </w:p>
        </w:tc>
        <w:tc>
          <w:tcPr>
            <w:tcW w:w="1560" w:type="pct"/>
          </w:tcPr>
          <w:p w14:paraId="6278D896" w14:textId="77777777" w:rsidR="00B13433" w:rsidRPr="00BF6615" w:rsidRDefault="00B13433" w:rsidP="007E26B5">
            <w:pPr>
              <w:spacing w:after="160"/>
              <w:rPr>
                <w:rFonts w:cstheme="minorHAnsi"/>
                <w:szCs w:val="24"/>
              </w:rPr>
            </w:pPr>
            <w:r w:rsidRPr="00BF6615">
              <w:rPr>
                <w:rFonts w:cstheme="minorHAnsi"/>
                <w:szCs w:val="24"/>
              </w:rPr>
              <w:t>11</w:t>
            </w:r>
          </w:p>
        </w:tc>
      </w:tr>
      <w:tr w:rsidR="00B13433" w:rsidRPr="00BF6615" w14:paraId="12567A68" w14:textId="77777777">
        <w:trPr>
          <w:cnfStyle w:val="000000010000" w:firstRow="0" w:lastRow="0" w:firstColumn="0" w:lastColumn="0" w:oddVBand="0" w:evenVBand="0" w:oddHBand="0" w:evenHBand="1" w:firstRowFirstColumn="0" w:firstRowLastColumn="0" w:lastRowFirstColumn="0" w:lastRowLastColumn="0"/>
        </w:trPr>
        <w:tc>
          <w:tcPr>
            <w:tcW w:w="3359" w:type="pct"/>
          </w:tcPr>
          <w:p w14:paraId="67251A83" w14:textId="77777777" w:rsidR="00B13433" w:rsidRPr="00BF6615" w:rsidRDefault="00B13433" w:rsidP="007E26B5">
            <w:pPr>
              <w:spacing w:after="160"/>
              <w:rPr>
                <w:rFonts w:eastAsia="Times New Roman" w:cstheme="minorHAnsi"/>
                <w:color w:val="000000"/>
                <w:szCs w:val="24"/>
                <w:lang w:eastAsia="pl-PL"/>
              </w:rPr>
            </w:pPr>
            <w:r w:rsidRPr="00BF6615">
              <w:rPr>
                <w:rFonts w:eastAsia="Times New Roman" w:cstheme="minorHAnsi"/>
                <w:color w:val="000000"/>
                <w:szCs w:val="24"/>
                <w:lang w:eastAsia="pl-PL"/>
              </w:rPr>
              <w:t>3.3.2 – Etykiety lub instrukcje</w:t>
            </w:r>
          </w:p>
        </w:tc>
        <w:tc>
          <w:tcPr>
            <w:tcW w:w="1560" w:type="pct"/>
          </w:tcPr>
          <w:p w14:paraId="1577070F" w14:textId="77777777" w:rsidR="00B13433" w:rsidRPr="00BF6615" w:rsidRDefault="00B13433" w:rsidP="007E26B5">
            <w:pPr>
              <w:spacing w:after="160"/>
              <w:rPr>
                <w:rFonts w:cstheme="minorHAnsi"/>
                <w:szCs w:val="24"/>
              </w:rPr>
            </w:pPr>
            <w:r w:rsidRPr="00BF6615">
              <w:rPr>
                <w:rFonts w:cstheme="minorHAnsi"/>
                <w:szCs w:val="24"/>
              </w:rPr>
              <w:t>10</w:t>
            </w:r>
          </w:p>
        </w:tc>
      </w:tr>
      <w:tr w:rsidR="00B13433" w:rsidRPr="00BF6615" w14:paraId="0F931FB4" w14:textId="77777777">
        <w:trPr>
          <w:cnfStyle w:val="000000100000" w:firstRow="0" w:lastRow="0" w:firstColumn="0" w:lastColumn="0" w:oddVBand="0" w:evenVBand="0" w:oddHBand="1" w:evenHBand="0" w:firstRowFirstColumn="0" w:firstRowLastColumn="0" w:lastRowFirstColumn="0" w:lastRowLastColumn="0"/>
        </w:trPr>
        <w:tc>
          <w:tcPr>
            <w:tcW w:w="3359" w:type="pct"/>
          </w:tcPr>
          <w:p w14:paraId="1AA2A4DA" w14:textId="77777777" w:rsidR="00B13433" w:rsidRPr="00BF6615" w:rsidRDefault="00B13433" w:rsidP="007E26B5">
            <w:pPr>
              <w:spacing w:after="160"/>
              <w:rPr>
                <w:rFonts w:eastAsia="Times New Roman" w:cstheme="minorHAnsi"/>
                <w:color w:val="000000"/>
                <w:szCs w:val="24"/>
                <w:lang w:eastAsia="pl-PL"/>
              </w:rPr>
            </w:pPr>
            <w:r w:rsidRPr="00BF6615">
              <w:rPr>
                <w:rFonts w:eastAsia="Times New Roman" w:cstheme="minorHAnsi"/>
                <w:color w:val="000000"/>
                <w:szCs w:val="24"/>
                <w:lang w:eastAsia="pl-PL"/>
              </w:rPr>
              <w:t>3.2.3 – Spójna nawigacja</w:t>
            </w:r>
          </w:p>
        </w:tc>
        <w:tc>
          <w:tcPr>
            <w:tcW w:w="1560" w:type="pct"/>
          </w:tcPr>
          <w:p w14:paraId="6C9AF418" w14:textId="77777777" w:rsidR="00B13433" w:rsidRPr="00BF6615" w:rsidRDefault="00B13433" w:rsidP="007E26B5">
            <w:pPr>
              <w:spacing w:after="160"/>
              <w:rPr>
                <w:rFonts w:cstheme="minorHAnsi"/>
                <w:szCs w:val="24"/>
              </w:rPr>
            </w:pPr>
            <w:r w:rsidRPr="00BF6615">
              <w:rPr>
                <w:rFonts w:cstheme="minorHAnsi"/>
                <w:szCs w:val="24"/>
              </w:rPr>
              <w:t>8</w:t>
            </w:r>
          </w:p>
        </w:tc>
      </w:tr>
      <w:tr w:rsidR="00B13433" w:rsidRPr="00BF6615" w14:paraId="5A2E0705" w14:textId="77777777">
        <w:trPr>
          <w:cnfStyle w:val="000000010000" w:firstRow="0" w:lastRow="0" w:firstColumn="0" w:lastColumn="0" w:oddVBand="0" w:evenVBand="0" w:oddHBand="0" w:evenHBand="1" w:firstRowFirstColumn="0" w:firstRowLastColumn="0" w:lastRowFirstColumn="0" w:lastRowLastColumn="0"/>
        </w:trPr>
        <w:tc>
          <w:tcPr>
            <w:tcW w:w="3359" w:type="pct"/>
          </w:tcPr>
          <w:p w14:paraId="1A33EDEC" w14:textId="77777777" w:rsidR="00B13433" w:rsidRPr="00BF6615" w:rsidRDefault="00B13433" w:rsidP="007E26B5">
            <w:pPr>
              <w:spacing w:after="160"/>
              <w:rPr>
                <w:rFonts w:cstheme="minorHAnsi"/>
                <w:szCs w:val="24"/>
              </w:rPr>
            </w:pPr>
            <w:r w:rsidRPr="00BF6615">
              <w:rPr>
                <w:rFonts w:eastAsia="Times New Roman" w:cstheme="minorHAnsi"/>
                <w:color w:val="000000"/>
                <w:szCs w:val="24"/>
                <w:lang w:eastAsia="pl-PL"/>
              </w:rPr>
              <w:t>3.3.1 – Identyfikacja błędu</w:t>
            </w:r>
          </w:p>
        </w:tc>
        <w:tc>
          <w:tcPr>
            <w:tcW w:w="1560" w:type="pct"/>
          </w:tcPr>
          <w:p w14:paraId="553B2CAF" w14:textId="77777777" w:rsidR="00B13433" w:rsidRPr="00BF6615" w:rsidRDefault="00B13433" w:rsidP="007E26B5">
            <w:pPr>
              <w:spacing w:after="160"/>
              <w:rPr>
                <w:rFonts w:cstheme="minorHAnsi"/>
                <w:szCs w:val="24"/>
              </w:rPr>
            </w:pPr>
            <w:r w:rsidRPr="00BF6615">
              <w:rPr>
                <w:rFonts w:cstheme="minorHAnsi"/>
                <w:szCs w:val="24"/>
              </w:rPr>
              <w:t>8</w:t>
            </w:r>
          </w:p>
        </w:tc>
      </w:tr>
      <w:tr w:rsidR="00B13433" w:rsidRPr="00BF6615" w14:paraId="501941F6" w14:textId="77777777">
        <w:trPr>
          <w:cnfStyle w:val="000000100000" w:firstRow="0" w:lastRow="0" w:firstColumn="0" w:lastColumn="0" w:oddVBand="0" w:evenVBand="0" w:oddHBand="1" w:evenHBand="0" w:firstRowFirstColumn="0" w:firstRowLastColumn="0" w:lastRowFirstColumn="0" w:lastRowLastColumn="0"/>
        </w:trPr>
        <w:tc>
          <w:tcPr>
            <w:tcW w:w="3359" w:type="pct"/>
          </w:tcPr>
          <w:p w14:paraId="32D035AA" w14:textId="77777777" w:rsidR="00B13433" w:rsidRPr="00BF6615" w:rsidRDefault="00B13433" w:rsidP="007E26B5">
            <w:pPr>
              <w:spacing w:after="160"/>
              <w:rPr>
                <w:rFonts w:cstheme="minorHAnsi"/>
                <w:szCs w:val="24"/>
              </w:rPr>
            </w:pPr>
            <w:r w:rsidRPr="00BF6615">
              <w:rPr>
                <w:rFonts w:eastAsia="Times New Roman" w:cstheme="minorHAnsi"/>
                <w:color w:val="000000"/>
                <w:szCs w:val="24"/>
                <w:lang w:eastAsia="pl-PL"/>
              </w:rPr>
              <w:t>3.2.2 – Podczas wprowadzania danych</w:t>
            </w:r>
          </w:p>
        </w:tc>
        <w:tc>
          <w:tcPr>
            <w:tcW w:w="1560" w:type="pct"/>
          </w:tcPr>
          <w:p w14:paraId="78A79558" w14:textId="77777777" w:rsidR="00B13433" w:rsidRPr="00BF6615" w:rsidRDefault="00B13433" w:rsidP="007E26B5">
            <w:pPr>
              <w:spacing w:after="160"/>
              <w:rPr>
                <w:rFonts w:cstheme="minorHAnsi"/>
                <w:szCs w:val="24"/>
              </w:rPr>
            </w:pPr>
            <w:r w:rsidRPr="00BF6615">
              <w:rPr>
                <w:rFonts w:cstheme="minorHAnsi"/>
                <w:szCs w:val="24"/>
              </w:rPr>
              <w:t>6</w:t>
            </w:r>
          </w:p>
        </w:tc>
      </w:tr>
      <w:tr w:rsidR="00B13433" w:rsidRPr="00BF6615" w14:paraId="07D69874" w14:textId="77777777">
        <w:trPr>
          <w:cnfStyle w:val="000000010000" w:firstRow="0" w:lastRow="0" w:firstColumn="0" w:lastColumn="0" w:oddVBand="0" w:evenVBand="0" w:oddHBand="0" w:evenHBand="1" w:firstRowFirstColumn="0" w:firstRowLastColumn="0" w:lastRowFirstColumn="0" w:lastRowLastColumn="0"/>
        </w:trPr>
        <w:tc>
          <w:tcPr>
            <w:tcW w:w="3359" w:type="pct"/>
          </w:tcPr>
          <w:p w14:paraId="740450E8" w14:textId="77777777" w:rsidR="00B13433" w:rsidRPr="00BF6615" w:rsidRDefault="00B13433" w:rsidP="007E26B5">
            <w:pPr>
              <w:spacing w:after="160"/>
              <w:rPr>
                <w:rFonts w:cstheme="minorHAnsi"/>
                <w:szCs w:val="24"/>
              </w:rPr>
            </w:pPr>
            <w:r w:rsidRPr="00BF6615">
              <w:rPr>
                <w:rFonts w:eastAsia="Times New Roman" w:cstheme="minorHAnsi"/>
                <w:color w:val="000000"/>
                <w:szCs w:val="24"/>
                <w:lang w:eastAsia="pl-PL"/>
              </w:rPr>
              <w:t>3.2.4 – Spójna identyfikacja</w:t>
            </w:r>
          </w:p>
        </w:tc>
        <w:tc>
          <w:tcPr>
            <w:tcW w:w="1560" w:type="pct"/>
          </w:tcPr>
          <w:p w14:paraId="64A0CC9D" w14:textId="77777777" w:rsidR="00B13433" w:rsidRPr="00BF6615" w:rsidRDefault="00B13433" w:rsidP="007E26B5">
            <w:pPr>
              <w:spacing w:after="160"/>
              <w:rPr>
                <w:rFonts w:cstheme="minorHAnsi"/>
                <w:szCs w:val="24"/>
              </w:rPr>
            </w:pPr>
            <w:r w:rsidRPr="00BF6615">
              <w:rPr>
                <w:rFonts w:cstheme="minorHAnsi"/>
                <w:szCs w:val="24"/>
              </w:rPr>
              <w:t>3</w:t>
            </w:r>
          </w:p>
        </w:tc>
      </w:tr>
    </w:tbl>
    <w:p w14:paraId="4EA33F74" w14:textId="77777777" w:rsidR="00B13433" w:rsidRPr="00BF6615" w:rsidRDefault="00B13433" w:rsidP="007E26B5">
      <w:r w:rsidRPr="00BF6615">
        <w:t>Źródło: opracowanie własne.</w:t>
      </w:r>
    </w:p>
    <w:p w14:paraId="67C63083" w14:textId="77777777" w:rsidR="00B13433" w:rsidRPr="00BF6615" w:rsidRDefault="00B13433" w:rsidP="00B271C3">
      <w:pPr>
        <w:pStyle w:val="Nagwek4"/>
        <w:rPr>
          <w:rFonts w:cstheme="minorHAnsi"/>
          <w:bCs/>
        </w:rPr>
      </w:pPr>
      <w:r w:rsidRPr="00BF6615">
        <w:rPr>
          <w:rFonts w:cstheme="minorHAnsi"/>
          <w:bCs/>
        </w:rPr>
        <w:t xml:space="preserve">Zasada 4: </w:t>
      </w:r>
      <w:r w:rsidRPr="00B271C3">
        <w:rPr>
          <w:rStyle w:val="Nagwek4Znak"/>
          <w:b/>
        </w:rPr>
        <w:t>Kompatybilność</w:t>
      </w:r>
    </w:p>
    <w:p w14:paraId="393FF698" w14:textId="77777777" w:rsidR="00B13433" w:rsidRDefault="00B13433" w:rsidP="007E26B5">
      <w:pPr>
        <w:rPr>
          <w:rFonts w:cstheme="minorHAnsi"/>
        </w:rPr>
      </w:pPr>
      <w:r w:rsidRPr="00BF6615">
        <w:rPr>
          <w:rFonts w:cstheme="minorHAnsi"/>
        </w:rPr>
        <w:t>W tej zasadzie wystąpiły jednostkowe problemy.</w:t>
      </w:r>
    </w:p>
    <w:p w14:paraId="65E3F95C" w14:textId="77777777" w:rsidR="00B13433" w:rsidRPr="00BF6615" w:rsidRDefault="00B13433" w:rsidP="00B271C3">
      <w:pPr>
        <w:pStyle w:val="Nagwek4"/>
      </w:pPr>
      <w:r w:rsidRPr="338987BF">
        <w:t xml:space="preserve">Jak użytkownicy i </w:t>
      </w:r>
      <w:r w:rsidRPr="00B271C3">
        <w:rPr>
          <w:rStyle w:val="Nagwek4Znak"/>
          <w:b/>
        </w:rPr>
        <w:t>użytkowniczki</w:t>
      </w:r>
      <w:r w:rsidRPr="338987BF">
        <w:t xml:space="preserve"> próbowali pokonać trudności?</w:t>
      </w:r>
    </w:p>
    <w:p w14:paraId="75E23DF2" w14:textId="77777777" w:rsidR="00B13433" w:rsidRPr="00BF6615" w:rsidRDefault="00B13433" w:rsidP="007E26B5">
      <w:pPr>
        <w:rPr>
          <w:rFonts w:cstheme="minorHAnsi"/>
        </w:rPr>
      </w:pPr>
      <w:r w:rsidRPr="00BF6615">
        <w:rPr>
          <w:rFonts w:cstheme="minorHAnsi"/>
        </w:rPr>
        <w:t>Problemom występującym podczas testów badani zawsze próbowali zaradzić metoda prób i błędów – podejmowali kolejne próby wykonania zadania. Nie wystąpiły różnice w sposobie rozwiązania problemów między poszczególnymi zasadami.</w:t>
      </w:r>
    </w:p>
    <w:p w14:paraId="036F72F7" w14:textId="77777777" w:rsidR="00B13433" w:rsidRPr="00BF6615" w:rsidRDefault="00B13433" w:rsidP="00B271C3">
      <w:pPr>
        <w:pStyle w:val="Nagwek4"/>
      </w:pPr>
      <w:r w:rsidRPr="338987BF">
        <w:t xml:space="preserve">Stany emocjonalne </w:t>
      </w:r>
      <w:r w:rsidRPr="00B271C3">
        <w:rPr>
          <w:rStyle w:val="Nagwek4Znak"/>
          <w:b/>
        </w:rPr>
        <w:t>użytkowniczek</w:t>
      </w:r>
      <w:r w:rsidRPr="338987BF">
        <w:t xml:space="preserve"> i użytkowników podczas testów</w:t>
      </w:r>
    </w:p>
    <w:p w14:paraId="659A1F8E" w14:textId="77777777" w:rsidR="00B13433" w:rsidRPr="00BF6615" w:rsidRDefault="00B13433" w:rsidP="007E26B5">
      <w:pPr>
        <w:rPr>
          <w:rFonts w:cstheme="minorHAnsi"/>
        </w:rPr>
      </w:pPr>
      <w:r w:rsidRPr="00BF6615">
        <w:rPr>
          <w:rFonts w:cstheme="minorHAnsi"/>
        </w:rPr>
        <w:t xml:space="preserve">Podczas testowania stron internetowych i aplikacji mobilnych osoby z niepełnosprawnością ruchu najczęściej wykazywały spokój – stan ten zaobserwowano u 42,3% uczestników podczas korzystania ze stron oraz u 38,5% podczas testowania aplikacji. Zadowolenie pojawiło się u 15,4% badanych korzystających ze stron i u 17,3% korzystających z aplikacji. Występowało ono zwłaszcza wtedy, gdy użytkownik szybko i bez przeszkód znalazł potrzebną informację lub zrealizował zadanie. Zniechęcenie, które objawiało się zmniejszeniem motywacji w trakcie testu, odnotowano w 13,5% przypadków na stronach i w 15,4% przypadków w aplikacjach. Zwykle wiązało się to z koniecznością wielokrotnego powtarzania </w:t>
      </w:r>
      <w:r w:rsidRPr="00BF6615">
        <w:rPr>
          <w:rFonts w:cstheme="minorHAnsi"/>
        </w:rPr>
        <w:lastRenderedPageBreak/>
        <w:t>czynności lub brakiem efektu mimo prób działania. Frustrację – pojawiającą się przy uporczywych problemach z nawigacją lub formularzami – zaobserwowano u 11,5% uczestników testujących strony i u 13,5% korzystających z aplikacji mobilnych. Z kolei zdenerwowanie, rozumiane jako narastające napięcie i irytacja, wystąpiło odpowiednio u 9,6% (strony) i 11,5% (aplikacje) uczestników. Niewielki odsetek badanych (7,7% na stronach i 3,8% w aplikacjach) nie wykazywał zauważalnych emocji lub deklarował neutralność wobec testowanego strony.</w:t>
      </w:r>
    </w:p>
    <w:p w14:paraId="64B982C5" w14:textId="77777777" w:rsidR="00B13433" w:rsidRDefault="00B13433" w:rsidP="007E26B5">
      <w:pPr>
        <w:rPr>
          <w:rFonts w:cstheme="minorHAnsi"/>
        </w:rPr>
      </w:pPr>
      <w:r w:rsidRPr="00BF6615">
        <w:rPr>
          <w:rFonts w:cstheme="minorHAnsi"/>
        </w:rPr>
        <w:t>Podsumowując, mimo że osoby z niepełnosprawnością ruchu napotykały realne trudności, dominującym stanem emocjonalnym pozostawał spokój, a reakcje negatywne – takie jak frustracja, zniechęcenie czy zdenerwowanie – pojawiały się, ale nie prowadziły do przerwania zadań. Uczestnicy konsekwentnie podejmowali próby realizacji scenariuszy.</w:t>
      </w:r>
    </w:p>
    <w:p w14:paraId="3BDAA6E5" w14:textId="77777777" w:rsidR="00B13433" w:rsidRPr="00BF6615" w:rsidRDefault="00B13433" w:rsidP="00B271C3">
      <w:pPr>
        <w:pStyle w:val="Nagwek4"/>
      </w:pPr>
      <w:r w:rsidRPr="338987BF">
        <w:t xml:space="preserve">Opinie użytkowników i </w:t>
      </w:r>
      <w:r w:rsidRPr="00B271C3">
        <w:rPr>
          <w:rStyle w:val="Nagwek4Znak"/>
          <w:b/>
        </w:rPr>
        <w:t>użytkowniczek</w:t>
      </w:r>
      <w:r w:rsidRPr="338987BF">
        <w:t xml:space="preserve"> o procesie testowania</w:t>
      </w:r>
    </w:p>
    <w:p w14:paraId="4E41652D" w14:textId="77777777" w:rsidR="00B13433" w:rsidRPr="00BF6615" w:rsidRDefault="00B13433" w:rsidP="007E26B5">
      <w:pPr>
        <w:spacing w:after="160"/>
        <w:rPr>
          <w:rFonts w:cstheme="minorHAnsi"/>
        </w:rPr>
      </w:pPr>
      <w:r w:rsidRPr="00BF6615">
        <w:rPr>
          <w:rFonts w:cstheme="minorHAnsi"/>
        </w:rPr>
        <w:t>Uczestnicy badania podzielili się wieloma spostrzeżeniami na temat testowanych stron i aplikacji. W swoich opiniach podkreślali przede wszystkim, jak kluczowa jest szybka i nieskomplikowana obsługa strony z punktu widzenia osoby z niepełnosprawnością ruchu. Jeden z użytkowników zauważył, że „zbyt duża liczba kliknięć, tego ruchu, jest męcząca” – strony powinny umożliwiać dotarcie do informacji przy minimalnej liczbie akcji po stronie użytkownika. Uczestnicy skarżyli się, że strony bywają „bardzo nieintuicyjne”, a „ważne informacje są wymieszane z nieznaczącymi”. W opinii użytkowników, brak dostosowania stron/aplikacji do potrzeb osób z niepełnosprawnością jest poważnym mankamentem. Jeden z respondentów wskazał, że na stronach można odnieść wrażenie, „iż w danej gminie nie mieszkają osoby z niepełnosprawnościami”, bo praktycznie nie ma dla nich żadnych informacji. Uczestnicy oczekują, że strony publiczne będą uwzględniać ich potrzeby informacyjne – chcieliby widzieć na stronach sekcje z udogodnieniami lub wskazówkami dla osób o ograniczonej sprawności ruchowej.</w:t>
      </w:r>
    </w:p>
    <w:p w14:paraId="3DD33BDA" w14:textId="77777777" w:rsidR="00B13433" w:rsidRDefault="00B13433" w:rsidP="007E26B5">
      <w:pPr>
        <w:spacing w:after="160"/>
        <w:rPr>
          <w:rFonts w:cstheme="minorHAnsi"/>
        </w:rPr>
      </w:pPr>
      <w:r w:rsidRPr="00BF6615">
        <w:rPr>
          <w:rFonts w:cstheme="minorHAnsi"/>
        </w:rPr>
        <w:t xml:space="preserve">Odnośnie aplikacji mobilnych, opinie były podzielone. Jedna z testowanych aplikacja spotkała się jednak z ostrą krytyką: „Aplikacja to tragedia. Nic tam nie można znaleźć, nie ma najważniejszej funkcji: szukaj. Dużo funkcji, z których nie wiadomo jak skorzystać i po co one są.” </w:t>
      </w:r>
    </w:p>
    <w:p w14:paraId="6BABDF21" w14:textId="77777777" w:rsidR="00B13433" w:rsidRPr="00BF6615" w:rsidRDefault="00B13433" w:rsidP="00B271C3">
      <w:pPr>
        <w:pStyle w:val="Nagwek4"/>
      </w:pPr>
      <w:r w:rsidRPr="338987BF">
        <w:t xml:space="preserve">Podsumowanie </w:t>
      </w:r>
      <w:r w:rsidRPr="00B271C3">
        <w:rPr>
          <w:rStyle w:val="Nagwek4Znak"/>
          <w:b/>
        </w:rPr>
        <w:t>testów</w:t>
      </w:r>
    </w:p>
    <w:p w14:paraId="3B9BD306" w14:textId="5529AC2A" w:rsidR="00B13433" w:rsidRPr="00BF6615" w:rsidRDefault="00B13433" w:rsidP="007E26B5">
      <w:pPr>
        <w:spacing w:after="160"/>
      </w:pPr>
      <w:r w:rsidRPr="338987BF">
        <w:t xml:space="preserve">Hierarchia potrzeb osób z niepełnosprawnością ruchu wyłaniająca się z testów wskazuje, </w:t>
      </w:r>
      <w:r w:rsidR="000A692A" w:rsidRPr="338987BF">
        <w:t>że</w:t>
      </w:r>
      <w:r w:rsidR="000A692A">
        <w:t> </w:t>
      </w:r>
      <w:r w:rsidRPr="338987BF">
        <w:t xml:space="preserve">priorytetem jest zminimalizowanie wysiłku fizycznego potrzebnego do korzystania </w:t>
      </w:r>
      <w:r w:rsidR="000A692A" w:rsidRPr="338987BF">
        <w:t>z</w:t>
      </w:r>
      <w:r w:rsidR="000A692A">
        <w:t> </w:t>
      </w:r>
      <w:r w:rsidRPr="338987BF">
        <w:t xml:space="preserve">strony. W praktyce oznacza to uproszczenie nawigacji (mniej kliknięć, płytsza struktura), zapewnienie alternatywnych sposobów odnajdywania treści (np. wyszukiwarka, spis treści) oraz ograniczenie elementów rozpraszających, które zmuszają do dodatkowych czynności (zamykanie wyskakujących okien, zatrzymywanie animacji itp.). Drugą istotną potrzebą jest dostosowanie interfejsu do możliwości motorycznych użytkownika. Wszystkie klikane elementy (przyciski, linki, pola formularzy) powinny być wystarczająco duże i czytelne. Rekomenduje się także testowanie stron/aplikacji pod kątem obsługi za pomocą klawiatury i innych urządzeń pomocniczych (np. rysika, narzędzi rozpoznawania mowy), ponieważ nie wszyscy użytkownicy ruchowo niepełnosprawni posługują się myszką czy </w:t>
      </w:r>
      <w:proofErr w:type="spellStart"/>
      <w:r w:rsidRPr="338987BF">
        <w:t>touchpadem</w:t>
      </w:r>
      <w:proofErr w:type="spellEnd"/>
      <w:r w:rsidRPr="338987BF">
        <w:t xml:space="preserve">. Brak </w:t>
      </w:r>
      <w:r w:rsidRPr="338987BF">
        <w:lastRenderedPageBreak/>
        <w:t xml:space="preserve">pułapek na klawiaturę oraz możliwość płynnego poruszania się po elementach strony za pomocą klawisza </w:t>
      </w:r>
      <w:proofErr w:type="spellStart"/>
      <w:r w:rsidRPr="338987BF">
        <w:t>Tab</w:t>
      </w:r>
      <w:proofErr w:type="spellEnd"/>
      <w:r w:rsidRPr="338987BF">
        <w:t xml:space="preserve"> to absolutne minimum. Kolejnym priorytetem jest przejrzystość i aktualność informacji. Strony powinny unikać publikowania przestarzałych komunikatów lub duplikowania treści. Uporządkowanie zawartości (np. alfabetyczne listy kontaktów, logiczny podział kategorii) znacznie ułatwiłoby korzystanie z nich. Osoby z niepełnosprawnością ruchu często mają ograniczoną cierpliwość do przedzierania się przez niepotrzebne informacje – skupienie się na najważniejszych treściach i ukrycie drugorzędnych szczegółów w dodatkowych zakładkach pomogłoby uczynić strony bardziej przyjaznymi.</w:t>
      </w:r>
    </w:p>
    <w:p w14:paraId="63FB6585" w14:textId="3ABE9808" w:rsidR="00B13433" w:rsidRPr="00BF6615" w:rsidRDefault="00B13433" w:rsidP="00B271C3">
      <w:pPr>
        <w:pStyle w:val="Nagwek4"/>
        <w:rPr>
          <w:rStyle w:val="Nagwek4Znak"/>
        </w:rPr>
      </w:pPr>
      <w:bookmarkStart w:id="121" w:name="_Toc196827602"/>
      <w:r w:rsidRPr="338987BF">
        <w:t xml:space="preserve">Hierarchia potrzeb osób </w:t>
      </w:r>
      <w:r w:rsidRPr="00B271C3">
        <w:rPr>
          <w:rStyle w:val="Nagwek4Znak"/>
          <w:b/>
        </w:rPr>
        <w:t>z</w:t>
      </w:r>
      <w:r w:rsidRPr="338987BF">
        <w:t xml:space="preserve"> dysfunkcją narządu ruchu w zakresie stron internetowych </w:t>
      </w:r>
      <w:r w:rsidR="000A692A" w:rsidRPr="338987BF">
        <w:t>i</w:t>
      </w:r>
      <w:r w:rsidR="000A692A">
        <w:t> </w:t>
      </w:r>
      <w:r w:rsidRPr="338987BF">
        <w:t>aplikacji podmiotów publicznych</w:t>
      </w:r>
      <w:bookmarkEnd w:id="121"/>
      <w:r w:rsidRPr="338987BF">
        <w:t xml:space="preserve"> </w:t>
      </w:r>
    </w:p>
    <w:p w14:paraId="3E727F13" w14:textId="77777777" w:rsidR="00B13433" w:rsidRPr="00BF6615" w:rsidRDefault="00B13433">
      <w:pPr>
        <w:pStyle w:val="Akapitzlist"/>
        <w:numPr>
          <w:ilvl w:val="0"/>
          <w:numId w:val="12"/>
        </w:numPr>
        <w:spacing w:after="0"/>
        <w:ind w:hanging="357"/>
        <w:rPr>
          <w:rFonts w:cstheme="minorHAnsi"/>
          <w:b/>
          <w:bCs/>
        </w:rPr>
      </w:pPr>
      <w:r w:rsidRPr="00BF6615">
        <w:rPr>
          <w:rFonts w:cstheme="minorHAnsi"/>
          <w:b/>
          <w:bCs/>
        </w:rPr>
        <w:t>Pełna obsługa stron/aplikacji z użyciem klawiatury (najwyższy priorytet)</w:t>
      </w:r>
    </w:p>
    <w:p w14:paraId="4981DAFC" w14:textId="77777777" w:rsidR="00B13433" w:rsidRPr="00BF6615" w:rsidRDefault="00B13433">
      <w:pPr>
        <w:numPr>
          <w:ilvl w:val="0"/>
          <w:numId w:val="8"/>
        </w:numPr>
        <w:spacing w:after="0"/>
        <w:ind w:hanging="357"/>
        <w:rPr>
          <w:rFonts w:cstheme="minorHAnsi"/>
        </w:rPr>
      </w:pPr>
      <w:r w:rsidRPr="00BF6615">
        <w:rPr>
          <w:rFonts w:cstheme="minorHAnsi"/>
        </w:rPr>
        <w:t xml:space="preserve">Możliwość przejścia przez wszystkie elementy strony tylko za pomocą klawiatury (tabulacja, </w:t>
      </w:r>
      <w:proofErr w:type="spellStart"/>
      <w:r w:rsidRPr="00BF6615">
        <w:rPr>
          <w:rFonts w:cstheme="minorHAnsi"/>
        </w:rPr>
        <w:t>Enter</w:t>
      </w:r>
      <w:proofErr w:type="spellEnd"/>
      <w:r w:rsidRPr="00BF6615">
        <w:rPr>
          <w:rFonts w:cstheme="minorHAnsi"/>
        </w:rPr>
        <w:t>, spacja).</w:t>
      </w:r>
    </w:p>
    <w:p w14:paraId="15BAE2A5" w14:textId="77777777" w:rsidR="00B13433" w:rsidRPr="00BF6615" w:rsidRDefault="00B13433">
      <w:pPr>
        <w:numPr>
          <w:ilvl w:val="0"/>
          <w:numId w:val="8"/>
        </w:numPr>
        <w:spacing w:after="0"/>
        <w:ind w:hanging="357"/>
        <w:rPr>
          <w:rFonts w:cstheme="minorHAnsi"/>
        </w:rPr>
      </w:pPr>
      <w:r w:rsidRPr="00BF6615">
        <w:rPr>
          <w:rFonts w:cstheme="minorHAnsi"/>
        </w:rPr>
        <w:t>Brak „pułapek klawiaturowych” – elementów, z których nie można się wydostać bez użycia myszy.</w:t>
      </w:r>
    </w:p>
    <w:p w14:paraId="3D959967" w14:textId="77777777" w:rsidR="00B13433" w:rsidRPr="00BF6615" w:rsidRDefault="00B13433">
      <w:pPr>
        <w:numPr>
          <w:ilvl w:val="0"/>
          <w:numId w:val="8"/>
        </w:numPr>
        <w:spacing w:after="0"/>
        <w:ind w:hanging="357"/>
        <w:rPr>
          <w:rFonts w:cstheme="minorHAnsi"/>
        </w:rPr>
      </w:pPr>
      <w:r w:rsidRPr="00BF6615">
        <w:rPr>
          <w:rFonts w:cstheme="minorHAnsi"/>
        </w:rPr>
        <w:t>Skróty klawiaturowe do nawigacji po głównych sekcjach (np. „Alt + 1” – strona główna, „Alt + F” – formularz).</w:t>
      </w:r>
    </w:p>
    <w:p w14:paraId="2F2AC682" w14:textId="77777777" w:rsidR="00B13433" w:rsidRPr="00BF6615" w:rsidRDefault="00B13433">
      <w:pPr>
        <w:pStyle w:val="Akapitzlist"/>
        <w:numPr>
          <w:ilvl w:val="0"/>
          <w:numId w:val="12"/>
        </w:numPr>
        <w:spacing w:after="0"/>
        <w:ind w:hanging="357"/>
        <w:rPr>
          <w:rFonts w:cstheme="minorHAnsi"/>
          <w:b/>
          <w:bCs/>
        </w:rPr>
      </w:pPr>
      <w:r w:rsidRPr="00BF6615">
        <w:rPr>
          <w:rFonts w:cstheme="minorHAnsi"/>
          <w:b/>
          <w:bCs/>
        </w:rPr>
        <w:t>Większe, łatwe do kliknięcia i aktywowania elementy interfejsu</w:t>
      </w:r>
    </w:p>
    <w:p w14:paraId="170E24A6" w14:textId="77777777" w:rsidR="00B13433" w:rsidRPr="00BF6615" w:rsidRDefault="00B13433">
      <w:pPr>
        <w:numPr>
          <w:ilvl w:val="0"/>
          <w:numId w:val="8"/>
        </w:numPr>
        <w:spacing w:after="0"/>
        <w:ind w:hanging="357"/>
        <w:rPr>
          <w:rFonts w:cstheme="minorHAnsi"/>
        </w:rPr>
      </w:pPr>
      <w:r w:rsidRPr="00BF6615">
        <w:rPr>
          <w:rFonts w:cstheme="minorHAnsi"/>
        </w:rPr>
        <w:t>Duże, wyraźnie oznaczone przyciski, szczególnie na ekranach dotykowych.</w:t>
      </w:r>
    </w:p>
    <w:p w14:paraId="14A0A95B" w14:textId="77777777" w:rsidR="00B13433" w:rsidRPr="00BF6615" w:rsidRDefault="00B13433">
      <w:pPr>
        <w:numPr>
          <w:ilvl w:val="0"/>
          <w:numId w:val="8"/>
        </w:numPr>
        <w:spacing w:after="0"/>
        <w:ind w:hanging="357"/>
        <w:rPr>
          <w:rFonts w:cstheme="minorHAnsi"/>
        </w:rPr>
      </w:pPr>
      <w:r w:rsidRPr="00BF6615">
        <w:rPr>
          <w:rFonts w:cstheme="minorHAnsi"/>
        </w:rPr>
        <w:t>Rozszerzone strefy aktywne – łatwiejsze trafianie w linki i przyciski dla osób z ograniczoną precyzją ruchów.</w:t>
      </w:r>
    </w:p>
    <w:p w14:paraId="728DD29C" w14:textId="77777777" w:rsidR="00B13433" w:rsidRPr="00BF6615" w:rsidRDefault="00B13433">
      <w:pPr>
        <w:numPr>
          <w:ilvl w:val="0"/>
          <w:numId w:val="8"/>
        </w:numPr>
        <w:spacing w:after="0"/>
        <w:ind w:hanging="357"/>
        <w:rPr>
          <w:rFonts w:cstheme="minorHAnsi"/>
        </w:rPr>
      </w:pPr>
      <w:r w:rsidRPr="00BF6615">
        <w:rPr>
          <w:rFonts w:cstheme="minorHAnsi"/>
        </w:rPr>
        <w:t>Odpowiednie odstępy między elementami – unikanie przypadkowych kliknięć.</w:t>
      </w:r>
    </w:p>
    <w:p w14:paraId="45D5A09C" w14:textId="77777777" w:rsidR="00B13433" w:rsidRPr="00BF6615" w:rsidRDefault="00B13433">
      <w:pPr>
        <w:pStyle w:val="Akapitzlist"/>
        <w:numPr>
          <w:ilvl w:val="0"/>
          <w:numId w:val="12"/>
        </w:numPr>
        <w:spacing w:after="0"/>
        <w:ind w:hanging="357"/>
        <w:rPr>
          <w:rFonts w:cstheme="minorHAnsi"/>
          <w:b/>
          <w:bCs/>
        </w:rPr>
      </w:pPr>
      <w:r w:rsidRPr="00BF6615">
        <w:rPr>
          <w:rFonts w:cstheme="minorHAnsi"/>
          <w:b/>
          <w:bCs/>
        </w:rPr>
        <w:t>Formularze przyjazne osobom z ograniczoną sprawnością rąk</w:t>
      </w:r>
    </w:p>
    <w:p w14:paraId="2F7F56EA" w14:textId="77777777" w:rsidR="00B13433" w:rsidRPr="00BF6615" w:rsidRDefault="00B13433">
      <w:pPr>
        <w:numPr>
          <w:ilvl w:val="0"/>
          <w:numId w:val="8"/>
        </w:numPr>
        <w:spacing w:after="0"/>
        <w:ind w:hanging="357"/>
        <w:rPr>
          <w:rFonts w:cstheme="minorHAnsi"/>
        </w:rPr>
      </w:pPr>
      <w:r w:rsidRPr="00BF6615">
        <w:rPr>
          <w:rFonts w:cstheme="minorHAnsi"/>
        </w:rPr>
        <w:t>Mniej pól do wypełnienia, uproszczone pytania.</w:t>
      </w:r>
    </w:p>
    <w:p w14:paraId="43362B78" w14:textId="77777777" w:rsidR="00B13433" w:rsidRPr="00BF6615" w:rsidRDefault="00B13433">
      <w:pPr>
        <w:numPr>
          <w:ilvl w:val="0"/>
          <w:numId w:val="8"/>
        </w:numPr>
        <w:spacing w:after="0"/>
        <w:ind w:hanging="357"/>
        <w:rPr>
          <w:rFonts w:cstheme="minorHAnsi"/>
        </w:rPr>
      </w:pPr>
      <w:r w:rsidRPr="00BF6615">
        <w:rPr>
          <w:rFonts w:cstheme="minorHAnsi"/>
        </w:rPr>
        <w:t>Automatyczne uzupełnianie i podpowiedzi (np. podpowiedź kodu pocztowego po wpisaniu miasta).</w:t>
      </w:r>
    </w:p>
    <w:p w14:paraId="102E79FB" w14:textId="77777777" w:rsidR="00B13433" w:rsidRPr="00BF6615" w:rsidRDefault="00B13433">
      <w:pPr>
        <w:numPr>
          <w:ilvl w:val="0"/>
          <w:numId w:val="8"/>
        </w:numPr>
        <w:spacing w:after="0"/>
        <w:ind w:hanging="357"/>
        <w:rPr>
          <w:rFonts w:cstheme="minorHAnsi"/>
        </w:rPr>
      </w:pPr>
      <w:r w:rsidRPr="00BF6615">
        <w:rPr>
          <w:rFonts w:cstheme="minorHAnsi"/>
        </w:rPr>
        <w:t>Możliwość zatwierdzania danych bez konieczności korzystania z myszy (np. skrót klawiaturowy do przycisku „Wyślij”).</w:t>
      </w:r>
    </w:p>
    <w:p w14:paraId="620A4E6D" w14:textId="77777777" w:rsidR="00B13433" w:rsidRPr="00BF6615" w:rsidRDefault="00B13433">
      <w:pPr>
        <w:pStyle w:val="Akapitzlist"/>
        <w:numPr>
          <w:ilvl w:val="0"/>
          <w:numId w:val="12"/>
        </w:numPr>
        <w:spacing w:after="0"/>
        <w:ind w:hanging="357"/>
        <w:rPr>
          <w:rFonts w:cstheme="minorHAnsi"/>
          <w:b/>
          <w:bCs/>
        </w:rPr>
      </w:pPr>
      <w:r w:rsidRPr="00BF6615">
        <w:rPr>
          <w:rFonts w:cstheme="minorHAnsi"/>
          <w:b/>
          <w:bCs/>
        </w:rPr>
        <w:t>Redukcja konieczności wykonywania precyzyjnych gestów i kliknięć</w:t>
      </w:r>
    </w:p>
    <w:p w14:paraId="406F86EF" w14:textId="77777777" w:rsidR="00B13433" w:rsidRPr="00BF6615" w:rsidRDefault="00B13433">
      <w:pPr>
        <w:numPr>
          <w:ilvl w:val="0"/>
          <w:numId w:val="8"/>
        </w:numPr>
        <w:spacing w:after="0"/>
        <w:ind w:hanging="357"/>
        <w:rPr>
          <w:rFonts w:cstheme="minorHAnsi"/>
        </w:rPr>
      </w:pPr>
      <w:r w:rsidRPr="00BF6615">
        <w:rPr>
          <w:rFonts w:cstheme="minorHAnsi"/>
        </w:rPr>
        <w:t>Eliminacja funkcji wymagających przeciągania lub przytrzymywania elementów.</w:t>
      </w:r>
    </w:p>
    <w:p w14:paraId="119868C7" w14:textId="77777777" w:rsidR="00B13433" w:rsidRPr="00BF6615" w:rsidRDefault="00B13433">
      <w:pPr>
        <w:numPr>
          <w:ilvl w:val="0"/>
          <w:numId w:val="8"/>
        </w:numPr>
        <w:spacing w:after="0"/>
        <w:ind w:hanging="357"/>
        <w:rPr>
          <w:rFonts w:cstheme="minorHAnsi"/>
        </w:rPr>
      </w:pPr>
      <w:r w:rsidRPr="00BF6615">
        <w:rPr>
          <w:rFonts w:cstheme="minorHAnsi"/>
        </w:rPr>
        <w:t>Zastąpienie gestów wieloetapowych prostym kliknięciem.</w:t>
      </w:r>
    </w:p>
    <w:p w14:paraId="1EF847A0" w14:textId="77777777" w:rsidR="00B13433" w:rsidRPr="00BF6615" w:rsidRDefault="00B13433">
      <w:pPr>
        <w:numPr>
          <w:ilvl w:val="0"/>
          <w:numId w:val="8"/>
        </w:numPr>
        <w:spacing w:after="0"/>
        <w:ind w:hanging="357"/>
        <w:rPr>
          <w:rFonts w:cstheme="minorHAnsi"/>
        </w:rPr>
      </w:pPr>
      <w:r w:rsidRPr="00BF6615">
        <w:rPr>
          <w:rFonts w:cstheme="minorHAnsi"/>
        </w:rPr>
        <w:t>Obsługa podstawowych funkcji przy pomocy jednego kliknięcia lub klawisza.</w:t>
      </w:r>
    </w:p>
    <w:p w14:paraId="35E09AD8" w14:textId="77777777" w:rsidR="00B13433" w:rsidRPr="00BF6615" w:rsidRDefault="00B13433">
      <w:pPr>
        <w:pStyle w:val="Akapitzlist"/>
        <w:numPr>
          <w:ilvl w:val="0"/>
          <w:numId w:val="12"/>
        </w:numPr>
        <w:spacing w:after="0"/>
        <w:ind w:hanging="357"/>
        <w:rPr>
          <w:rFonts w:cstheme="minorHAnsi"/>
          <w:b/>
          <w:bCs/>
        </w:rPr>
      </w:pPr>
      <w:r w:rsidRPr="00BF6615">
        <w:rPr>
          <w:rFonts w:cstheme="minorHAnsi"/>
          <w:b/>
          <w:bCs/>
        </w:rPr>
        <w:t xml:space="preserve"> Prostsza struktura i przejrzysta nawigacja</w:t>
      </w:r>
    </w:p>
    <w:p w14:paraId="04A12285" w14:textId="77777777" w:rsidR="00B13433" w:rsidRPr="00BF6615" w:rsidRDefault="00B13433">
      <w:pPr>
        <w:numPr>
          <w:ilvl w:val="0"/>
          <w:numId w:val="39"/>
        </w:numPr>
        <w:spacing w:after="0"/>
        <w:ind w:hanging="357"/>
        <w:rPr>
          <w:rFonts w:cstheme="minorHAnsi"/>
        </w:rPr>
      </w:pPr>
      <w:r w:rsidRPr="00BF6615">
        <w:rPr>
          <w:rFonts w:cstheme="minorHAnsi"/>
        </w:rPr>
        <w:t>Jasny i powtarzalny układ stron, ułatwiający szybkie odnalezienie funkcji.</w:t>
      </w:r>
    </w:p>
    <w:p w14:paraId="34B5F7D2" w14:textId="77777777" w:rsidR="00B13433" w:rsidRPr="00BF6615" w:rsidRDefault="00B13433">
      <w:pPr>
        <w:numPr>
          <w:ilvl w:val="0"/>
          <w:numId w:val="39"/>
        </w:numPr>
        <w:spacing w:after="0"/>
        <w:ind w:hanging="357"/>
        <w:rPr>
          <w:rFonts w:cstheme="minorHAnsi"/>
        </w:rPr>
      </w:pPr>
      <w:r w:rsidRPr="00BF6615">
        <w:rPr>
          <w:rFonts w:cstheme="minorHAnsi"/>
        </w:rPr>
        <w:t>Widoczna ścieżka nawigacji (np. „Jesteś tutaj: Start &gt; Formularze &gt; Rejestracja”).</w:t>
      </w:r>
    </w:p>
    <w:p w14:paraId="43F11346" w14:textId="77777777" w:rsidR="00B13433" w:rsidRPr="00BF6615" w:rsidRDefault="00B13433">
      <w:pPr>
        <w:numPr>
          <w:ilvl w:val="0"/>
          <w:numId w:val="39"/>
        </w:numPr>
        <w:spacing w:after="0"/>
        <w:ind w:hanging="357"/>
        <w:rPr>
          <w:rFonts w:cstheme="minorHAnsi"/>
        </w:rPr>
      </w:pPr>
      <w:r w:rsidRPr="00BF6615">
        <w:rPr>
          <w:rFonts w:cstheme="minorHAnsi"/>
        </w:rPr>
        <w:t>Przyciski „Wróć” i „Do strony głównej” dostępne zawsze w tym samym miejscu.</w:t>
      </w:r>
    </w:p>
    <w:p w14:paraId="127D320F" w14:textId="77777777" w:rsidR="00B13433" w:rsidRPr="00BF6615" w:rsidRDefault="00B13433">
      <w:pPr>
        <w:pStyle w:val="Akapitzlist"/>
        <w:numPr>
          <w:ilvl w:val="0"/>
          <w:numId w:val="12"/>
        </w:numPr>
        <w:spacing w:after="0"/>
        <w:ind w:hanging="357"/>
        <w:rPr>
          <w:rFonts w:cstheme="minorHAnsi"/>
          <w:b/>
          <w:bCs/>
        </w:rPr>
      </w:pPr>
      <w:r w:rsidRPr="00BF6615">
        <w:rPr>
          <w:rFonts w:cstheme="minorHAnsi"/>
          <w:b/>
          <w:bCs/>
        </w:rPr>
        <w:t>Wyraźne komunikaty systemowe i informacja zwrotna</w:t>
      </w:r>
    </w:p>
    <w:p w14:paraId="67F623D1" w14:textId="77777777" w:rsidR="00B13433" w:rsidRPr="00BF6615" w:rsidRDefault="00B13433">
      <w:pPr>
        <w:numPr>
          <w:ilvl w:val="0"/>
          <w:numId w:val="39"/>
        </w:numPr>
        <w:spacing w:after="0"/>
        <w:ind w:hanging="357"/>
        <w:rPr>
          <w:rFonts w:cstheme="minorHAnsi"/>
        </w:rPr>
      </w:pPr>
      <w:r w:rsidRPr="00BF6615">
        <w:rPr>
          <w:rFonts w:cstheme="minorHAnsi"/>
        </w:rPr>
        <w:t>Czytelne powiadomienia o błędach (np. „Wymagane pole: e-mail”) zamiast kodów błędów (np. „Błąd 500”).</w:t>
      </w:r>
    </w:p>
    <w:p w14:paraId="68C8F5DF" w14:textId="77777777" w:rsidR="00B13433" w:rsidRPr="00BF6615" w:rsidRDefault="00B13433">
      <w:pPr>
        <w:numPr>
          <w:ilvl w:val="0"/>
          <w:numId w:val="39"/>
        </w:numPr>
        <w:spacing w:after="0"/>
        <w:ind w:hanging="357"/>
        <w:rPr>
          <w:rFonts w:cstheme="minorHAnsi"/>
        </w:rPr>
      </w:pPr>
      <w:r w:rsidRPr="00BF6615">
        <w:rPr>
          <w:rFonts w:cstheme="minorHAnsi"/>
        </w:rPr>
        <w:t>Natychmiastowe potwierdzenie wykonanej akcji (np. po zapisie formularza – „Zapisano pomyślnie”).</w:t>
      </w:r>
    </w:p>
    <w:p w14:paraId="008D49E7" w14:textId="77777777" w:rsidR="00B13433" w:rsidRPr="00BF6615" w:rsidRDefault="00B13433">
      <w:pPr>
        <w:numPr>
          <w:ilvl w:val="0"/>
          <w:numId w:val="39"/>
        </w:numPr>
        <w:spacing w:after="0"/>
        <w:ind w:hanging="357"/>
        <w:rPr>
          <w:rFonts w:cstheme="minorHAnsi"/>
        </w:rPr>
      </w:pPr>
      <w:r w:rsidRPr="00BF6615">
        <w:rPr>
          <w:rFonts w:cstheme="minorHAnsi"/>
        </w:rPr>
        <w:lastRenderedPageBreak/>
        <w:t>Możliwość cofnięcia ostatniego kroku bez straty danych.</w:t>
      </w:r>
    </w:p>
    <w:p w14:paraId="4758C6E2" w14:textId="77777777" w:rsidR="00B13433" w:rsidRPr="00BF6615" w:rsidRDefault="00B13433">
      <w:pPr>
        <w:pStyle w:val="Akapitzlist"/>
        <w:numPr>
          <w:ilvl w:val="0"/>
          <w:numId w:val="12"/>
        </w:numPr>
        <w:spacing w:after="0"/>
        <w:ind w:hanging="357"/>
        <w:rPr>
          <w:rFonts w:cstheme="minorHAnsi"/>
          <w:b/>
          <w:bCs/>
        </w:rPr>
      </w:pPr>
      <w:r w:rsidRPr="00BF6615">
        <w:rPr>
          <w:rFonts w:cstheme="minorHAnsi"/>
          <w:b/>
          <w:bCs/>
        </w:rPr>
        <w:t>Personalizacja interfejsu i tryb uproszczony</w:t>
      </w:r>
    </w:p>
    <w:p w14:paraId="33D2AD23" w14:textId="77777777" w:rsidR="00B13433" w:rsidRPr="00BF6615" w:rsidRDefault="00B13433">
      <w:pPr>
        <w:numPr>
          <w:ilvl w:val="0"/>
          <w:numId w:val="39"/>
        </w:numPr>
        <w:spacing w:after="0"/>
        <w:ind w:hanging="357"/>
        <w:rPr>
          <w:rFonts w:cstheme="minorHAnsi"/>
        </w:rPr>
      </w:pPr>
      <w:r w:rsidRPr="00BF6615">
        <w:rPr>
          <w:rFonts w:cstheme="minorHAnsi"/>
        </w:rPr>
        <w:t>Tryb wysokiego kontrastu oraz możliwość powiększenia elementów interfejsu.</w:t>
      </w:r>
    </w:p>
    <w:p w14:paraId="3448DF46" w14:textId="77777777" w:rsidR="00B13433" w:rsidRPr="00BF6615" w:rsidRDefault="00B13433">
      <w:pPr>
        <w:numPr>
          <w:ilvl w:val="0"/>
          <w:numId w:val="39"/>
        </w:numPr>
        <w:spacing w:after="0"/>
        <w:ind w:hanging="357"/>
        <w:rPr>
          <w:rFonts w:cstheme="minorHAnsi"/>
        </w:rPr>
      </w:pPr>
      <w:r w:rsidRPr="00BF6615">
        <w:rPr>
          <w:rFonts w:cstheme="minorHAnsi"/>
        </w:rPr>
        <w:t>Opcja uruchomienia „wersji uproszczonej” strony: mniej opcji, większe przyciski, prostszy język.</w:t>
      </w:r>
    </w:p>
    <w:p w14:paraId="6AAA45D0" w14:textId="77777777" w:rsidR="00B13433" w:rsidRPr="00BF6615" w:rsidRDefault="00B13433">
      <w:pPr>
        <w:numPr>
          <w:ilvl w:val="0"/>
          <w:numId w:val="39"/>
        </w:numPr>
        <w:spacing w:after="0"/>
        <w:ind w:hanging="357"/>
        <w:rPr>
          <w:rFonts w:cstheme="minorHAnsi"/>
        </w:rPr>
      </w:pPr>
      <w:r w:rsidRPr="00BF6615">
        <w:rPr>
          <w:rFonts w:cstheme="minorHAnsi"/>
        </w:rPr>
        <w:t>Możliwość zapisania preferencji użytkownika – np. „zawsze używaj wersji mobilnej”, „automatycznie uruchamiaj tryb uproszczony”.</w:t>
      </w:r>
    </w:p>
    <w:p w14:paraId="21451E0C" w14:textId="77777777" w:rsidR="00B13433" w:rsidRPr="00BF6615" w:rsidRDefault="00B13433" w:rsidP="007E26B5">
      <w:pPr>
        <w:rPr>
          <w:rFonts w:eastAsiaTheme="majorEastAsia" w:cstheme="minorHAnsi"/>
          <w:b/>
          <w:bCs/>
          <w:color w:val="002060"/>
          <w:sz w:val="28"/>
          <w:szCs w:val="28"/>
        </w:rPr>
      </w:pPr>
    </w:p>
    <w:p w14:paraId="739E71E5" w14:textId="77777777" w:rsidR="00B13433" w:rsidRPr="00BF6615" w:rsidRDefault="00B13433" w:rsidP="007E26B5">
      <w:pPr>
        <w:spacing w:after="160"/>
        <w:rPr>
          <w:rFonts w:eastAsiaTheme="majorEastAsia" w:cstheme="minorHAnsi"/>
          <w:b/>
          <w:bCs/>
          <w:color w:val="000000" w:themeColor="text1"/>
          <w:sz w:val="28"/>
          <w:szCs w:val="28"/>
        </w:rPr>
      </w:pPr>
      <w:r w:rsidRPr="00BF6615">
        <w:rPr>
          <w:rFonts w:cstheme="minorHAnsi"/>
        </w:rPr>
        <w:br w:type="page"/>
      </w:r>
    </w:p>
    <w:p w14:paraId="20845F98" w14:textId="72579745" w:rsidR="00B13433" w:rsidRPr="00BF6615" w:rsidRDefault="00B13433">
      <w:pPr>
        <w:pStyle w:val="Nagwek3"/>
        <w:numPr>
          <w:ilvl w:val="1"/>
          <w:numId w:val="6"/>
        </w:numPr>
      </w:pPr>
      <w:bookmarkStart w:id="122" w:name="_Toc196827603"/>
      <w:bookmarkStart w:id="123" w:name="_Toc204179236"/>
      <w:r w:rsidRPr="00BF6615">
        <w:lastRenderedPageBreak/>
        <w:t>Osoby z niepełnosprawnością intelektualną i ograniczeniami poznawczymi</w:t>
      </w:r>
      <w:bookmarkEnd w:id="122"/>
      <w:bookmarkEnd w:id="123"/>
    </w:p>
    <w:p w14:paraId="1154185F" w14:textId="77777777" w:rsidR="00B13433" w:rsidRPr="00BF6615" w:rsidRDefault="00B13433" w:rsidP="00B271C3">
      <w:pPr>
        <w:pStyle w:val="Nagwek4"/>
      </w:pPr>
      <w:bookmarkStart w:id="124" w:name="_Toc196827604"/>
      <w:r w:rsidRPr="00B271C3">
        <w:rPr>
          <w:rStyle w:val="Nagwek4Znak"/>
          <w:b/>
        </w:rPr>
        <w:t>Wprowadzenie</w:t>
      </w:r>
      <w:bookmarkEnd w:id="124"/>
    </w:p>
    <w:p w14:paraId="6237B94B" w14:textId="77777777" w:rsidR="00B13433" w:rsidRPr="00BF6615" w:rsidRDefault="00B13433" w:rsidP="007E26B5">
      <w:pPr>
        <w:rPr>
          <w:rFonts w:cstheme="minorHAnsi"/>
        </w:rPr>
      </w:pPr>
      <w:r w:rsidRPr="00BF6615">
        <w:rPr>
          <w:rFonts w:cstheme="minorHAnsi"/>
        </w:rPr>
        <w:t>Osoby z niepełnosprawnością intelektualną napotkały szereg problemów podczas testów. Największe trudności dotyczyły trudnego języka oraz skomplikowanej struktury stron. „Nie wiem, co znaczą te słowa, nie rozumiem” – skomentował jeden z badanych. Dodatkowo wskazywano na nadmiar treści na raz oraz nieintuicyjną nawigację. Użytkownicy mieli także problem z wypełnianiem formularzy, które wymagały precyzyjnych danych i nie dawały jednoznacznych komunikatów. Żaden z użytkowników podczas testów nie korzystał podczas testów z technologii asystujących.</w:t>
      </w:r>
    </w:p>
    <w:p w14:paraId="0ECC68B6" w14:textId="77777777" w:rsidR="00B13433" w:rsidRPr="00BF6615" w:rsidRDefault="00B13433" w:rsidP="007E26B5">
      <w:pPr>
        <w:rPr>
          <w:rFonts w:cstheme="minorHAnsi"/>
        </w:rPr>
      </w:pPr>
      <w:r w:rsidRPr="00BF6615">
        <w:rPr>
          <w:rFonts w:cstheme="minorHAnsi"/>
        </w:rPr>
        <w:t>Najczęstsze problemy wskazane przez osoby z niepełnosprawnością intelektualną dotyczyły:</w:t>
      </w:r>
    </w:p>
    <w:p w14:paraId="52D9C843" w14:textId="77777777" w:rsidR="00B13433" w:rsidRPr="00BF6615" w:rsidRDefault="00B13433">
      <w:pPr>
        <w:numPr>
          <w:ilvl w:val="0"/>
          <w:numId w:val="19"/>
        </w:numPr>
        <w:spacing w:after="160"/>
        <w:rPr>
          <w:rFonts w:cstheme="minorHAnsi"/>
        </w:rPr>
      </w:pPr>
      <w:r w:rsidRPr="00BF6615">
        <w:rPr>
          <w:rFonts w:cstheme="minorHAnsi"/>
        </w:rPr>
        <w:t>Trudnego języka.</w:t>
      </w:r>
    </w:p>
    <w:p w14:paraId="07E48A62" w14:textId="77777777" w:rsidR="00B13433" w:rsidRPr="00BF6615" w:rsidRDefault="00B13433">
      <w:pPr>
        <w:numPr>
          <w:ilvl w:val="0"/>
          <w:numId w:val="19"/>
        </w:numPr>
        <w:spacing w:after="160"/>
        <w:rPr>
          <w:rFonts w:cstheme="minorHAnsi"/>
        </w:rPr>
      </w:pPr>
      <w:r w:rsidRPr="00BF6615">
        <w:rPr>
          <w:rFonts w:cstheme="minorHAnsi"/>
        </w:rPr>
        <w:t>Nadmiaru treści na stronach.</w:t>
      </w:r>
    </w:p>
    <w:p w14:paraId="659D957C" w14:textId="77777777" w:rsidR="00B13433" w:rsidRPr="00BF6615" w:rsidRDefault="00B13433">
      <w:pPr>
        <w:numPr>
          <w:ilvl w:val="0"/>
          <w:numId w:val="19"/>
        </w:numPr>
        <w:spacing w:after="160"/>
        <w:rPr>
          <w:rFonts w:cstheme="minorHAnsi"/>
        </w:rPr>
      </w:pPr>
      <w:r w:rsidRPr="00BF6615">
        <w:rPr>
          <w:rFonts w:cstheme="minorHAnsi"/>
        </w:rPr>
        <w:t>Nieintuicyjnej nawigacji.</w:t>
      </w:r>
    </w:p>
    <w:p w14:paraId="697CA59D" w14:textId="77777777" w:rsidR="00B13433" w:rsidRPr="00BF6615" w:rsidRDefault="00B13433">
      <w:pPr>
        <w:numPr>
          <w:ilvl w:val="0"/>
          <w:numId w:val="19"/>
        </w:numPr>
        <w:spacing w:after="160"/>
        <w:rPr>
          <w:rFonts w:cstheme="minorHAnsi"/>
        </w:rPr>
      </w:pPr>
      <w:r w:rsidRPr="00BF6615">
        <w:rPr>
          <w:rFonts w:cstheme="minorHAnsi"/>
        </w:rPr>
        <w:t>Braku wizualnych podpowiedzi.</w:t>
      </w:r>
    </w:p>
    <w:p w14:paraId="4D7E9B72" w14:textId="77777777" w:rsidR="00003348" w:rsidRPr="00BF6615" w:rsidRDefault="00003348" w:rsidP="00B271C3">
      <w:bookmarkStart w:id="125" w:name="_Toc196827605"/>
      <w:r>
        <w:t xml:space="preserve">Poniżej przedstawiono szczegółowe omówienie przeprowadzonych testów. </w:t>
      </w:r>
    </w:p>
    <w:bookmarkEnd w:id="125"/>
    <w:p w14:paraId="53FD1165" w14:textId="6435537C" w:rsidR="00B13433" w:rsidRPr="00BF6615" w:rsidRDefault="00B13433" w:rsidP="00B271C3">
      <w:pPr>
        <w:pStyle w:val="Nagwek4"/>
      </w:pPr>
      <w:r w:rsidRPr="338987BF">
        <w:t xml:space="preserve">Problemy według </w:t>
      </w:r>
      <w:r w:rsidRPr="00B271C3">
        <w:rPr>
          <w:rStyle w:val="Nagwek4Znak"/>
          <w:b/>
        </w:rPr>
        <w:t>rodzajów</w:t>
      </w:r>
      <w:r w:rsidRPr="338987BF">
        <w:t xml:space="preserve"> testowanych stron i aplikacji podmiotów publicznych</w:t>
      </w:r>
    </w:p>
    <w:p w14:paraId="2E913DEA" w14:textId="77777777" w:rsidR="00B13433" w:rsidRPr="00BF6615" w:rsidRDefault="00B13433" w:rsidP="007E26B5">
      <w:pPr>
        <w:rPr>
          <w:rFonts w:cstheme="minorHAnsi"/>
        </w:rPr>
      </w:pPr>
      <w:r w:rsidRPr="00BF6615">
        <w:rPr>
          <w:rFonts w:cstheme="minorHAnsi"/>
        </w:rPr>
        <w:t>Grupa osób z niepełnosprawnością intelektualną testowała stronę samorządową, strony służby zdrowia, strony instytucji kultury i sportu oraz aplikacje służby zdrowia oraz aplikacja regionalnego systemu ostrzegania. Podczas testów użytkowniczki i użytkownicy napotkali następujące trudności:</w:t>
      </w:r>
    </w:p>
    <w:p w14:paraId="1500F4E8" w14:textId="77777777" w:rsidR="00B13433" w:rsidRPr="00BF6615" w:rsidRDefault="00B13433">
      <w:pPr>
        <w:numPr>
          <w:ilvl w:val="0"/>
          <w:numId w:val="40"/>
        </w:numPr>
        <w:spacing w:after="160"/>
        <w:rPr>
          <w:rFonts w:cstheme="minorHAnsi"/>
        </w:rPr>
      </w:pPr>
      <w:r w:rsidRPr="00BF6615">
        <w:rPr>
          <w:rFonts w:cstheme="minorHAnsi"/>
        </w:rPr>
        <w:t>Strony/aplikacje służby zdrowia – trudność w odnalezieniu potrzebnych informacji, skomplikowany proces rejestracji, brak czytelnych instrukcji obsługi.</w:t>
      </w:r>
    </w:p>
    <w:p w14:paraId="60C012EA" w14:textId="77777777" w:rsidR="00B13433" w:rsidRPr="00BF6615" w:rsidRDefault="00B13433">
      <w:pPr>
        <w:numPr>
          <w:ilvl w:val="0"/>
          <w:numId w:val="40"/>
        </w:numPr>
        <w:spacing w:after="160"/>
        <w:rPr>
          <w:rFonts w:cstheme="minorHAnsi"/>
        </w:rPr>
      </w:pPr>
      <w:r w:rsidRPr="00BF6615">
        <w:rPr>
          <w:rFonts w:cstheme="minorHAnsi"/>
        </w:rPr>
        <w:t>Strona samorządowa – złożona struktura stron, niejasne kategorie, trudności w wypełnianiu formularzy urzędowych.</w:t>
      </w:r>
    </w:p>
    <w:p w14:paraId="43A28269" w14:textId="77777777" w:rsidR="00B13433" w:rsidRPr="00BF6615" w:rsidRDefault="00B13433">
      <w:pPr>
        <w:numPr>
          <w:ilvl w:val="0"/>
          <w:numId w:val="40"/>
        </w:numPr>
        <w:spacing w:after="160"/>
        <w:rPr>
          <w:rFonts w:cstheme="minorHAnsi"/>
        </w:rPr>
      </w:pPr>
      <w:r w:rsidRPr="00BF6615">
        <w:rPr>
          <w:rFonts w:cstheme="minorHAnsi"/>
        </w:rPr>
        <w:t>Strony instytucji kultury i sportu – problem ze znalezieniem terminów wydarzeń, brak czytelnych informacji o rezerwacji i zakupie biletów.</w:t>
      </w:r>
    </w:p>
    <w:p w14:paraId="4C71C318" w14:textId="77777777" w:rsidR="00B13433" w:rsidRPr="00BF6615" w:rsidRDefault="00B13433">
      <w:pPr>
        <w:numPr>
          <w:ilvl w:val="0"/>
          <w:numId w:val="40"/>
        </w:numPr>
        <w:spacing w:after="160"/>
        <w:rPr>
          <w:rFonts w:cstheme="minorHAnsi"/>
        </w:rPr>
      </w:pPr>
      <w:r w:rsidRPr="00BF6615">
        <w:rPr>
          <w:rFonts w:cstheme="minorHAnsi"/>
        </w:rPr>
        <w:t>Aplikacja ostrzegawcza – trudności w interpretacji komunikatów, brak uproszczonych instrukcji postępowania w sytuacjach kryzysowych.</w:t>
      </w:r>
    </w:p>
    <w:p w14:paraId="43565E76" w14:textId="77777777" w:rsidR="00B13433" w:rsidRPr="00BF6615" w:rsidRDefault="00B13433" w:rsidP="007E26B5">
      <w:pPr>
        <w:rPr>
          <w:rFonts w:cstheme="minorHAnsi"/>
        </w:rPr>
      </w:pPr>
      <w:r w:rsidRPr="00BF6615">
        <w:rPr>
          <w:rFonts w:cstheme="minorHAnsi"/>
        </w:rPr>
        <w:t xml:space="preserve">Największe problemy użytkowniczki i użytkownicy napotkali przy realizacji zadań testowych w aplikacji ostrzegawczej, najmniejsze problemy dotyczyły stron instytucji kultury i sportu. </w:t>
      </w:r>
    </w:p>
    <w:p w14:paraId="6372C08A" w14:textId="2D184008" w:rsidR="00B13433" w:rsidRPr="00BF6615" w:rsidRDefault="00B13433" w:rsidP="007E26B5">
      <w:pPr>
        <w:pStyle w:val="Legenda"/>
        <w:keepNext/>
        <w:keepLines/>
        <w:spacing w:line="276" w:lineRule="auto"/>
        <w:rPr>
          <w:rFonts w:cstheme="minorHAnsi"/>
        </w:rPr>
      </w:pPr>
      <w:bookmarkStart w:id="126" w:name="_Toc196335297"/>
      <w:bookmarkStart w:id="127" w:name="_Toc204179155"/>
      <w:r w:rsidRPr="00BF6615">
        <w:rPr>
          <w:rFonts w:cstheme="minorHAnsi"/>
        </w:rPr>
        <w:lastRenderedPageBreak/>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9</w:t>
      </w:r>
      <w:r w:rsidRPr="00BF6615">
        <w:rPr>
          <w:rFonts w:cstheme="minorHAnsi"/>
        </w:rPr>
        <w:fldChar w:fldCharType="end"/>
      </w:r>
      <w:r w:rsidR="009A4161">
        <w:rPr>
          <w:rFonts w:cstheme="minorHAnsi"/>
        </w:rPr>
        <w:t>.</w:t>
      </w:r>
      <w:r w:rsidRPr="00BF6615">
        <w:rPr>
          <w:rFonts w:cstheme="minorHAnsi"/>
        </w:rPr>
        <w:t xml:space="preserve"> Poziom realizacji zadań według rodzajów stron i aplikacji (skala 1 – niezrealizowane do 5 – zrealizowane bez problemu) (osoby z niepełnosprawnością intelektualną i ograniczeniami poznawczymi)</w:t>
      </w:r>
      <w:bookmarkEnd w:id="126"/>
      <w:bookmarkEnd w:id="127"/>
    </w:p>
    <w:p w14:paraId="445148A5" w14:textId="77777777" w:rsidR="00B13433" w:rsidRPr="00BF6615" w:rsidRDefault="00B13433" w:rsidP="007E26B5">
      <w:r w:rsidRPr="00BF6615">
        <w:rPr>
          <w:noProof/>
          <w:lang w:eastAsia="pl-PL"/>
        </w:rPr>
        <w:drawing>
          <wp:inline distT="0" distB="0" distL="0" distR="0" wp14:anchorId="0C057F65" wp14:editId="49F500F6">
            <wp:extent cx="6049645" cy="2946400"/>
            <wp:effectExtent l="0" t="0" r="8255" b="6350"/>
            <wp:docPr id="604523389" name="Wykres 1" descr="Kategoria serwisów Średni poziom trudności&#10;Serwisy ostrzegawcze i ratunkowe   2,67 &#10;Serwisy służby zdrowia  3,00&#10;Serwisy samorządowe  3,71&#10;Serwisy kultury i sportu  3,83 &#10;">
              <a:extLst xmlns:a="http://schemas.openxmlformats.org/drawingml/2006/main">
                <a:ext uri="{FF2B5EF4-FFF2-40B4-BE49-F238E27FC236}">
                  <a16:creationId xmlns:a16="http://schemas.microsoft.com/office/drawing/2014/main" id="{2C24B927-F660-B9E2-4BE6-E660D87D69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D5CCBF6" w14:textId="77777777" w:rsidR="00B13433" w:rsidRPr="00BF6615" w:rsidRDefault="00B13433" w:rsidP="007E26B5">
      <w:r w:rsidRPr="00BF6615">
        <w:t>Źródło: opracowanie własne.</w:t>
      </w:r>
    </w:p>
    <w:p w14:paraId="6C099D64" w14:textId="1AF5E16A" w:rsidR="00B13433" w:rsidRPr="00BF6615" w:rsidRDefault="00B13433" w:rsidP="00B271C3">
      <w:pPr>
        <w:pStyle w:val="Nagwek4"/>
      </w:pPr>
      <w:r w:rsidRPr="338987BF">
        <w:t xml:space="preserve">Problemy i bariery napotkane podczas korzystania z testowanych stron i aplikacji podmiotów </w:t>
      </w:r>
      <w:r w:rsidRPr="00B271C3">
        <w:rPr>
          <w:rStyle w:val="Nagwek4Znak"/>
          <w:b/>
        </w:rPr>
        <w:t>publicznych</w:t>
      </w:r>
    </w:p>
    <w:p w14:paraId="47E7FD70" w14:textId="77777777" w:rsidR="00B13433" w:rsidRPr="00BF6615" w:rsidRDefault="00B13433" w:rsidP="007E26B5">
      <w:pPr>
        <w:rPr>
          <w:rFonts w:cstheme="minorHAnsi"/>
        </w:rPr>
      </w:pPr>
      <w:r w:rsidRPr="00BF6615">
        <w:rPr>
          <w:rFonts w:cstheme="minorHAnsi"/>
        </w:rPr>
        <w:t>Najczęściej zgłaszane problemy obejmowały:</w:t>
      </w:r>
    </w:p>
    <w:p w14:paraId="29F2921F" w14:textId="77777777" w:rsidR="00B13433" w:rsidRPr="00BF6615" w:rsidRDefault="00B13433">
      <w:pPr>
        <w:numPr>
          <w:ilvl w:val="0"/>
          <w:numId w:val="40"/>
        </w:numPr>
        <w:spacing w:after="160"/>
        <w:rPr>
          <w:rFonts w:cstheme="minorHAnsi"/>
        </w:rPr>
      </w:pPr>
      <w:r w:rsidRPr="00BF6615">
        <w:rPr>
          <w:rFonts w:cstheme="minorHAnsi"/>
        </w:rPr>
        <w:t>Zbyt trudny język – długie zdania, specjalistyczne słownictwo (21 zgłoszeń).</w:t>
      </w:r>
    </w:p>
    <w:p w14:paraId="59DC8055" w14:textId="77777777" w:rsidR="00B13433" w:rsidRPr="00BF6615" w:rsidRDefault="00B13433">
      <w:pPr>
        <w:numPr>
          <w:ilvl w:val="0"/>
          <w:numId w:val="40"/>
        </w:numPr>
        <w:spacing w:after="160"/>
        <w:rPr>
          <w:rFonts w:cstheme="minorHAnsi"/>
        </w:rPr>
      </w:pPr>
      <w:r w:rsidRPr="00BF6615">
        <w:rPr>
          <w:rFonts w:cstheme="minorHAnsi"/>
        </w:rPr>
        <w:t>Zbyt dużą ilość treści na jednej stronie – przeciążenie informacjami (17).</w:t>
      </w:r>
    </w:p>
    <w:p w14:paraId="7B342B3F" w14:textId="77777777" w:rsidR="00B13433" w:rsidRPr="00BF6615" w:rsidRDefault="00B13433">
      <w:pPr>
        <w:numPr>
          <w:ilvl w:val="0"/>
          <w:numId w:val="40"/>
        </w:numPr>
        <w:spacing w:after="160"/>
        <w:rPr>
          <w:rFonts w:cstheme="minorHAnsi"/>
        </w:rPr>
      </w:pPr>
      <w:r w:rsidRPr="00BF6615">
        <w:rPr>
          <w:rFonts w:cstheme="minorHAnsi"/>
        </w:rPr>
        <w:t>Nieintuicyjną nawigacje – trudność w odnalezieniu potrzebnych sekcji (14).</w:t>
      </w:r>
    </w:p>
    <w:p w14:paraId="1B6BFF15" w14:textId="77777777" w:rsidR="00B13433" w:rsidRPr="00BF6615" w:rsidRDefault="00B13433">
      <w:pPr>
        <w:numPr>
          <w:ilvl w:val="0"/>
          <w:numId w:val="40"/>
        </w:numPr>
        <w:spacing w:after="160"/>
        <w:rPr>
          <w:rFonts w:cstheme="minorHAnsi"/>
        </w:rPr>
      </w:pPr>
      <w:r w:rsidRPr="00BF6615">
        <w:rPr>
          <w:rFonts w:cstheme="minorHAnsi"/>
        </w:rPr>
        <w:t>Problemy z interaktywnymi funkcjami – brak czytelnych podpowiedzi w formularzach (10).</w:t>
      </w:r>
    </w:p>
    <w:p w14:paraId="19259163" w14:textId="77777777" w:rsidR="00B13433" w:rsidRPr="00BF6615" w:rsidRDefault="00B13433">
      <w:pPr>
        <w:numPr>
          <w:ilvl w:val="0"/>
          <w:numId w:val="40"/>
        </w:numPr>
        <w:spacing w:after="160"/>
        <w:rPr>
          <w:rFonts w:cstheme="minorHAnsi"/>
        </w:rPr>
      </w:pPr>
      <w:r w:rsidRPr="00BF6615">
        <w:rPr>
          <w:rFonts w:cstheme="minorHAnsi"/>
        </w:rPr>
        <w:t>Nieczytelne komunikaty o błędach – brak jasnych wskazówek, jak naprawić błąd (10).</w:t>
      </w:r>
    </w:p>
    <w:p w14:paraId="514744C0" w14:textId="626436E9" w:rsidR="00B13433" w:rsidRPr="00BF6615" w:rsidRDefault="00B13433" w:rsidP="007E26B5">
      <w:pPr>
        <w:pStyle w:val="Legenda"/>
        <w:keepNext/>
        <w:keepLines/>
        <w:spacing w:line="276" w:lineRule="auto"/>
        <w:rPr>
          <w:rFonts w:cstheme="minorHAnsi"/>
        </w:rPr>
      </w:pPr>
      <w:bookmarkStart w:id="128" w:name="_Toc196335298"/>
      <w:bookmarkStart w:id="129" w:name="_Toc204179156"/>
      <w:r w:rsidRPr="00BF6615">
        <w:rPr>
          <w:rFonts w:cstheme="minorHAnsi"/>
        </w:rPr>
        <w:lastRenderedPageBreak/>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10</w:t>
      </w:r>
      <w:r w:rsidRPr="00BF6615">
        <w:rPr>
          <w:rFonts w:cstheme="minorHAnsi"/>
        </w:rPr>
        <w:fldChar w:fldCharType="end"/>
      </w:r>
      <w:r w:rsidR="009A4161">
        <w:rPr>
          <w:rFonts w:cstheme="minorHAnsi"/>
        </w:rPr>
        <w:t>.</w:t>
      </w:r>
      <w:r w:rsidRPr="00BF6615">
        <w:rPr>
          <w:rFonts w:cstheme="minorHAnsi"/>
        </w:rPr>
        <w:t xml:space="preserve"> Najczęściej zgłaszane problemy na stronach i w aplikacjach </w:t>
      </w:r>
      <w:r w:rsidRPr="00BF6615">
        <w:rPr>
          <w:rFonts w:cstheme="minorHAnsi"/>
          <w:noProof/>
        </w:rPr>
        <w:t xml:space="preserve">(liczba zgłoszeń) </w:t>
      </w:r>
      <w:r w:rsidRPr="00BF6615">
        <w:rPr>
          <w:rFonts w:cstheme="minorHAnsi"/>
        </w:rPr>
        <w:t>(osoby z niepełnosprawnością intelektualną i ograniczeniami poznawczymi)</w:t>
      </w:r>
      <w:bookmarkEnd w:id="128"/>
      <w:bookmarkEnd w:id="129"/>
    </w:p>
    <w:p w14:paraId="36256606" w14:textId="77777777" w:rsidR="00B13433" w:rsidRPr="00BF6615" w:rsidRDefault="00B13433" w:rsidP="007E26B5">
      <w:r w:rsidRPr="00BF6615">
        <w:rPr>
          <w:noProof/>
          <w:lang w:eastAsia="pl-PL"/>
        </w:rPr>
        <w:drawing>
          <wp:inline distT="0" distB="0" distL="0" distR="0" wp14:anchorId="5732AAD8" wp14:editId="2176B468">
            <wp:extent cx="5683250" cy="2743200"/>
            <wp:effectExtent l="0" t="0" r="0" b="0"/>
            <wp:docPr id="1005343151" name="Wykres 1" descr="Rodzaj problemu Liczba zgłoszeń&#10;Trudny język 21&#10;Nadmiar treści 17&#10;Nieintuicyjna nawigacja 14&#10;Problemy z formularzami 10&#10;Nieczytelne komunikaty o błędach 10&#10;">
              <a:extLst xmlns:a="http://schemas.openxmlformats.org/drawingml/2006/main">
                <a:ext uri="{FF2B5EF4-FFF2-40B4-BE49-F238E27FC236}">
                  <a16:creationId xmlns:a16="http://schemas.microsoft.com/office/drawing/2014/main" id="{1115B192-2084-B224-A86D-2B5B695692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3C7B9B6" w14:textId="77777777" w:rsidR="00B13433" w:rsidRPr="00BF6615" w:rsidRDefault="00B13433" w:rsidP="007E26B5">
      <w:pPr>
        <w:rPr>
          <w:b/>
          <w:bCs/>
        </w:rPr>
      </w:pPr>
      <w:r w:rsidRPr="00BF6615">
        <w:t>Źródło: opracowanie własne.</w:t>
      </w:r>
    </w:p>
    <w:p w14:paraId="302C6A89" w14:textId="438CE2D7" w:rsidR="00B13433" w:rsidRPr="00BF6615" w:rsidRDefault="00B13433" w:rsidP="00B271C3">
      <w:pPr>
        <w:pStyle w:val="Nagwek4"/>
      </w:pPr>
      <w:r w:rsidRPr="338987BF">
        <w:t xml:space="preserve">Zakres wymagający poprawy według rodzajów </w:t>
      </w:r>
      <w:r w:rsidR="0603250D" w:rsidRPr="338987BF">
        <w:rPr>
          <w:bCs/>
        </w:rPr>
        <w:t>i</w:t>
      </w:r>
      <w:r w:rsidRPr="338987BF">
        <w:t xml:space="preserve"> typów testowanych stron i aplikacji podmiotów </w:t>
      </w:r>
      <w:r w:rsidRPr="00B271C3">
        <w:rPr>
          <w:rStyle w:val="Nagwek4Znak"/>
          <w:b/>
        </w:rPr>
        <w:t>publicznych</w:t>
      </w:r>
    </w:p>
    <w:p w14:paraId="32FFE76E" w14:textId="77777777" w:rsidR="00B13433" w:rsidRPr="00BF6615" w:rsidRDefault="00B13433">
      <w:pPr>
        <w:numPr>
          <w:ilvl w:val="0"/>
          <w:numId w:val="40"/>
        </w:numPr>
        <w:spacing w:after="160"/>
        <w:rPr>
          <w:rFonts w:cstheme="minorHAnsi"/>
        </w:rPr>
      </w:pPr>
      <w:r w:rsidRPr="00BF6615">
        <w:rPr>
          <w:rFonts w:cstheme="minorHAnsi"/>
        </w:rPr>
        <w:t>Strony służby zdrowia – uproszczenie procesu rejestracji, łatwiejszy dostęp do dokumentacji medycznej.</w:t>
      </w:r>
    </w:p>
    <w:p w14:paraId="1E5E42C0" w14:textId="77777777" w:rsidR="00B13433" w:rsidRPr="00BF6615" w:rsidRDefault="00B13433">
      <w:pPr>
        <w:numPr>
          <w:ilvl w:val="0"/>
          <w:numId w:val="40"/>
        </w:numPr>
        <w:spacing w:after="160"/>
        <w:rPr>
          <w:rFonts w:cstheme="minorHAnsi"/>
        </w:rPr>
      </w:pPr>
      <w:r w:rsidRPr="00BF6615">
        <w:rPr>
          <w:rFonts w:cstheme="minorHAnsi"/>
        </w:rPr>
        <w:t>Strony samorządowe – przystępniejsze wnioski online, proste komunikaty.</w:t>
      </w:r>
    </w:p>
    <w:p w14:paraId="213386C9" w14:textId="77777777" w:rsidR="00B13433" w:rsidRPr="00BF6615" w:rsidRDefault="00B13433">
      <w:pPr>
        <w:numPr>
          <w:ilvl w:val="0"/>
          <w:numId w:val="40"/>
        </w:numPr>
        <w:spacing w:after="160"/>
        <w:rPr>
          <w:rFonts w:cstheme="minorHAnsi"/>
        </w:rPr>
      </w:pPr>
      <w:r w:rsidRPr="00BF6615">
        <w:rPr>
          <w:rFonts w:cstheme="minorHAnsi"/>
        </w:rPr>
        <w:t>Strony kultury i sportu – lepsza widoczność wydarzeń, uproszczona rezerwacja.</w:t>
      </w:r>
    </w:p>
    <w:p w14:paraId="50C687FD" w14:textId="77777777" w:rsidR="00B13433" w:rsidRPr="00BF6615" w:rsidRDefault="00B13433">
      <w:pPr>
        <w:numPr>
          <w:ilvl w:val="0"/>
          <w:numId w:val="40"/>
        </w:numPr>
        <w:spacing w:after="160"/>
        <w:rPr>
          <w:rFonts w:cstheme="minorHAnsi"/>
        </w:rPr>
      </w:pPr>
      <w:r w:rsidRPr="00BF6615">
        <w:rPr>
          <w:rFonts w:cstheme="minorHAnsi"/>
        </w:rPr>
        <w:t>Strony ostrzegawcze – jasne instrukcje postępowania.</w:t>
      </w:r>
    </w:p>
    <w:p w14:paraId="6B5BCCE0" w14:textId="5587F4D8" w:rsidR="00B13433" w:rsidRPr="00BF6615" w:rsidRDefault="00B13433" w:rsidP="00B271C3">
      <w:pPr>
        <w:pStyle w:val="Nagwek4"/>
      </w:pPr>
      <w:r w:rsidRPr="338987BF">
        <w:t xml:space="preserve">Problemy występujące </w:t>
      </w:r>
      <w:r w:rsidRPr="00B271C3">
        <w:rPr>
          <w:rStyle w:val="Nagwek4Znak"/>
          <w:b/>
        </w:rPr>
        <w:t>podczas</w:t>
      </w:r>
      <w:r w:rsidRPr="338987BF">
        <w:t xml:space="preserve"> testów według zasad dostępności WCAG</w:t>
      </w:r>
    </w:p>
    <w:p w14:paraId="3BCF90A8" w14:textId="77777777" w:rsidR="00B13433" w:rsidRPr="00BF6615" w:rsidRDefault="00B13433" w:rsidP="007E26B5">
      <w:pPr>
        <w:spacing w:after="160"/>
        <w:rPr>
          <w:rFonts w:cstheme="minorHAnsi"/>
        </w:rPr>
      </w:pPr>
      <w:r w:rsidRPr="00BF6615">
        <w:rPr>
          <w:rFonts w:cstheme="minorHAnsi"/>
        </w:rPr>
        <w:t>Poniżej przedstawiono tabele z liczbą wystąpień zidentyfikowanych problemów w podziale na cztery zasady dostępności: Postrzegalność (Zasada 1), Funkcjonalność (Zasada 2), Zrozumiałość (Zasada 3) oraz Kompatybilność (Zasada 4). W każdej tabeli dla każdej kategorii problemu podano: nazwę problemu, liczbę wystąpień w grupie, o ile przekroczyły one liczbę 3 wystąpień.</w:t>
      </w:r>
      <w:r w:rsidRPr="00BF6615">
        <w:rPr>
          <w:rFonts w:cstheme="minorHAnsi"/>
        </w:rPr>
        <w:br/>
        <w:t>Dane w tabelach zostały posortowane malejąco według łącznej liczby wystąpień (od problemów najczęściej występujących do najrzadszych).</w:t>
      </w:r>
    </w:p>
    <w:p w14:paraId="24ED4A6F" w14:textId="77777777" w:rsidR="00B13433" w:rsidRPr="00BF6615" w:rsidRDefault="00B13433" w:rsidP="007E26B5">
      <w:pPr>
        <w:spacing w:after="160"/>
        <w:rPr>
          <w:rFonts w:cstheme="minorHAnsi"/>
        </w:rPr>
      </w:pPr>
      <w:r w:rsidRPr="00BF6615">
        <w:rPr>
          <w:rFonts w:cstheme="minorHAnsi"/>
        </w:rPr>
        <w:t>Suma trudności według poszczególnych zasad WCAG:</w:t>
      </w:r>
    </w:p>
    <w:p w14:paraId="3E4D5027" w14:textId="77777777" w:rsidR="00B13433" w:rsidRPr="00BF6615" w:rsidRDefault="00B13433">
      <w:pPr>
        <w:numPr>
          <w:ilvl w:val="0"/>
          <w:numId w:val="40"/>
        </w:numPr>
        <w:spacing w:after="160"/>
        <w:rPr>
          <w:rFonts w:cstheme="minorHAnsi"/>
        </w:rPr>
      </w:pPr>
      <w:r w:rsidRPr="00BF6615">
        <w:rPr>
          <w:rFonts w:cstheme="minorHAnsi"/>
        </w:rPr>
        <w:t>Zasada 1: postrzegalność – 18</w:t>
      </w:r>
    </w:p>
    <w:p w14:paraId="3708BB1D" w14:textId="77777777" w:rsidR="00B13433" w:rsidRPr="00BF6615" w:rsidRDefault="00B13433">
      <w:pPr>
        <w:numPr>
          <w:ilvl w:val="0"/>
          <w:numId w:val="40"/>
        </w:numPr>
        <w:spacing w:after="160"/>
        <w:rPr>
          <w:rFonts w:cstheme="minorHAnsi"/>
        </w:rPr>
      </w:pPr>
      <w:r w:rsidRPr="00BF6615">
        <w:rPr>
          <w:rFonts w:cstheme="minorHAnsi"/>
        </w:rPr>
        <w:t>Zasada 2: funkcjonalność – 26</w:t>
      </w:r>
    </w:p>
    <w:p w14:paraId="64FF244B" w14:textId="77777777" w:rsidR="00B13433" w:rsidRPr="00BF6615" w:rsidRDefault="00B13433">
      <w:pPr>
        <w:numPr>
          <w:ilvl w:val="0"/>
          <w:numId w:val="40"/>
        </w:numPr>
        <w:spacing w:after="160"/>
        <w:rPr>
          <w:rFonts w:cstheme="minorHAnsi"/>
        </w:rPr>
      </w:pPr>
      <w:r w:rsidRPr="00BF6615">
        <w:rPr>
          <w:rFonts w:cstheme="minorHAnsi"/>
        </w:rPr>
        <w:t>Zasada 3: zrozumiałość – 26</w:t>
      </w:r>
    </w:p>
    <w:p w14:paraId="17A39859" w14:textId="77777777" w:rsidR="009429ED" w:rsidRPr="009429ED" w:rsidRDefault="00B13433">
      <w:pPr>
        <w:pageBreakBefore/>
        <w:numPr>
          <w:ilvl w:val="0"/>
          <w:numId w:val="40"/>
        </w:numPr>
        <w:spacing w:after="160"/>
        <w:rPr>
          <w:rFonts w:cstheme="minorHAnsi"/>
          <w:b/>
          <w:bCs/>
        </w:rPr>
      </w:pPr>
      <w:r w:rsidRPr="009429ED">
        <w:rPr>
          <w:rFonts w:cstheme="minorHAnsi"/>
        </w:rPr>
        <w:lastRenderedPageBreak/>
        <w:t>Zasada 4: kompatybilność – 1</w:t>
      </w:r>
    </w:p>
    <w:p w14:paraId="1123C2FD" w14:textId="54E606E6" w:rsidR="00B13433" w:rsidRPr="009429ED" w:rsidRDefault="00B13433" w:rsidP="00B271C3">
      <w:pPr>
        <w:pStyle w:val="Nagwek4"/>
        <w:rPr>
          <w:rFonts w:cstheme="minorHAnsi"/>
          <w:bCs/>
        </w:rPr>
      </w:pPr>
      <w:r w:rsidRPr="009429ED">
        <w:rPr>
          <w:rFonts w:cstheme="minorHAnsi"/>
          <w:bCs/>
        </w:rPr>
        <w:t xml:space="preserve">Zasada 1: </w:t>
      </w:r>
      <w:r w:rsidRPr="00B271C3">
        <w:rPr>
          <w:rStyle w:val="Nagwek4Znak"/>
          <w:b/>
        </w:rPr>
        <w:t>Postrzegalność</w:t>
      </w:r>
    </w:p>
    <w:p w14:paraId="23FC1A63" w14:textId="77777777" w:rsidR="00B13433" w:rsidRPr="00BF6615" w:rsidRDefault="00B13433" w:rsidP="007E26B5">
      <w:pPr>
        <w:rPr>
          <w:rFonts w:cstheme="minorHAnsi"/>
        </w:rPr>
      </w:pPr>
      <w:r w:rsidRPr="00BF6615">
        <w:rPr>
          <w:rFonts w:cstheme="minorHAnsi"/>
        </w:rPr>
        <w:t>Wyniki analizy występujących błędów wskazują, że najczęściej występowały w kryterium 1.3.1 – Informacje i relacje (4 razy).</w:t>
      </w:r>
    </w:p>
    <w:p w14:paraId="198CFD77" w14:textId="6F1AB629" w:rsidR="00B13433" w:rsidRPr="00BF6615" w:rsidRDefault="00B13433" w:rsidP="007E26B5">
      <w:pPr>
        <w:pStyle w:val="Legenda"/>
        <w:spacing w:line="276" w:lineRule="auto"/>
        <w:rPr>
          <w:rFonts w:cstheme="minorHAnsi"/>
        </w:rPr>
      </w:pPr>
      <w:bookmarkStart w:id="130" w:name="_Toc196335282"/>
      <w:bookmarkStart w:id="131" w:name="_Toc204179115"/>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17</w:t>
      </w:r>
      <w:r w:rsidRPr="00BF6615">
        <w:rPr>
          <w:rFonts w:cstheme="minorHAnsi"/>
        </w:rPr>
        <w:fldChar w:fldCharType="end"/>
      </w:r>
      <w:r w:rsidR="009A4161">
        <w:rPr>
          <w:rFonts w:cstheme="minorHAnsi"/>
        </w:rPr>
        <w:t>.</w:t>
      </w:r>
      <w:r w:rsidRPr="00BF6615">
        <w:rPr>
          <w:rFonts w:cstheme="minorHAnsi"/>
        </w:rPr>
        <w:t xml:space="preserve"> Liczba zidentyfikowanych problemów w zasadzie 1: Postrzegalność (osoby z niepełnosprawnością intelektualną i ograniczeniami poznawczymi)</w:t>
      </w:r>
      <w:bookmarkEnd w:id="130"/>
      <w:bookmarkEnd w:id="131"/>
    </w:p>
    <w:tbl>
      <w:tblPr>
        <w:tblStyle w:val="PARP"/>
        <w:tblW w:w="5000" w:type="pct"/>
        <w:tblLook w:val="04A0" w:firstRow="1" w:lastRow="0" w:firstColumn="1" w:lastColumn="0" w:noHBand="0" w:noVBand="1"/>
        <w:tblCaption w:val="Liczba zidentyfikowanych problemów w zasadzie 1: Postrzegalność (osoby z niepełnosprawnością intelektualną i ograniczeniami poznawczymi)"/>
        <w:tblDescription w:val="Liczba zidentyfikowanych problemów w zasadzie 1: Postrzegalność (osoby z niepełnosprawnością intelektualną i ograniczeniami poznawczymi)"/>
      </w:tblPr>
      <w:tblGrid>
        <w:gridCol w:w="6780"/>
        <w:gridCol w:w="2282"/>
      </w:tblGrid>
      <w:tr w:rsidR="00B13433" w:rsidRPr="00BF6615" w14:paraId="5D8DE248" w14:textId="77777777">
        <w:trPr>
          <w:cnfStyle w:val="100000000000" w:firstRow="1" w:lastRow="0" w:firstColumn="0" w:lastColumn="0" w:oddVBand="0" w:evenVBand="0" w:oddHBand="0" w:evenHBand="0" w:firstRowFirstColumn="0" w:firstRowLastColumn="0" w:lastRowFirstColumn="0" w:lastRowLastColumn="0"/>
        </w:trPr>
        <w:tc>
          <w:tcPr>
            <w:tcW w:w="3741" w:type="pct"/>
            <w:hideMark/>
          </w:tcPr>
          <w:p w14:paraId="50E48C3B" w14:textId="77777777" w:rsidR="00B13433" w:rsidRPr="00BF6615" w:rsidRDefault="00B13433" w:rsidP="007E26B5">
            <w:pPr>
              <w:spacing w:after="160"/>
              <w:rPr>
                <w:rFonts w:cstheme="minorHAnsi"/>
                <w:b/>
                <w:bCs/>
              </w:rPr>
            </w:pPr>
            <w:r w:rsidRPr="00BF6615">
              <w:rPr>
                <w:rFonts w:cstheme="minorHAnsi"/>
                <w:b/>
                <w:bCs/>
              </w:rPr>
              <w:t>Nazwa kryterium</w:t>
            </w:r>
          </w:p>
        </w:tc>
        <w:tc>
          <w:tcPr>
            <w:tcW w:w="1259" w:type="pct"/>
            <w:hideMark/>
          </w:tcPr>
          <w:p w14:paraId="6AE490A4" w14:textId="77777777" w:rsidR="00B13433" w:rsidRPr="00BF6615" w:rsidRDefault="00B13433" w:rsidP="007E26B5">
            <w:pPr>
              <w:spacing w:after="160"/>
              <w:rPr>
                <w:rFonts w:cstheme="minorHAnsi"/>
                <w:b/>
                <w:bCs/>
              </w:rPr>
            </w:pPr>
            <w:r w:rsidRPr="00BF6615">
              <w:rPr>
                <w:rFonts w:cstheme="minorHAnsi"/>
                <w:b/>
                <w:bCs/>
              </w:rPr>
              <w:t>Liczba wystąpień</w:t>
            </w:r>
          </w:p>
        </w:tc>
      </w:tr>
      <w:tr w:rsidR="00B13433" w:rsidRPr="00BF6615" w14:paraId="4E0F1457" w14:textId="77777777">
        <w:trPr>
          <w:cnfStyle w:val="000000100000" w:firstRow="0" w:lastRow="0" w:firstColumn="0" w:lastColumn="0" w:oddVBand="0" w:evenVBand="0" w:oddHBand="1" w:evenHBand="0" w:firstRowFirstColumn="0" w:firstRowLastColumn="0" w:lastRowFirstColumn="0" w:lastRowLastColumn="0"/>
        </w:trPr>
        <w:tc>
          <w:tcPr>
            <w:tcW w:w="3741" w:type="pct"/>
          </w:tcPr>
          <w:p w14:paraId="272EC3FE" w14:textId="77777777" w:rsidR="00B13433" w:rsidRPr="00BF6615" w:rsidRDefault="00B13433" w:rsidP="007E26B5">
            <w:pPr>
              <w:spacing w:after="160"/>
              <w:rPr>
                <w:rFonts w:cstheme="minorHAnsi"/>
                <w:b/>
                <w:bCs/>
              </w:rPr>
            </w:pPr>
            <w:r w:rsidRPr="00BF6615">
              <w:rPr>
                <w:rFonts w:cstheme="minorHAnsi"/>
              </w:rPr>
              <w:t>1.3.1 – Informacje i relacje</w:t>
            </w:r>
          </w:p>
        </w:tc>
        <w:tc>
          <w:tcPr>
            <w:tcW w:w="1259" w:type="pct"/>
          </w:tcPr>
          <w:p w14:paraId="4821A6F6" w14:textId="77777777" w:rsidR="00B13433" w:rsidRPr="00BF6615" w:rsidRDefault="00B13433" w:rsidP="007E26B5">
            <w:pPr>
              <w:spacing w:after="160"/>
              <w:rPr>
                <w:rFonts w:cstheme="minorHAnsi"/>
                <w:b/>
                <w:bCs/>
              </w:rPr>
            </w:pPr>
            <w:r w:rsidRPr="00BF6615">
              <w:rPr>
                <w:rFonts w:cstheme="minorHAnsi"/>
              </w:rPr>
              <w:t>5</w:t>
            </w:r>
          </w:p>
        </w:tc>
      </w:tr>
      <w:tr w:rsidR="00B13433" w:rsidRPr="00BF6615" w14:paraId="79700697" w14:textId="77777777">
        <w:trPr>
          <w:cnfStyle w:val="000000010000" w:firstRow="0" w:lastRow="0" w:firstColumn="0" w:lastColumn="0" w:oddVBand="0" w:evenVBand="0" w:oddHBand="0" w:evenHBand="1" w:firstRowFirstColumn="0" w:firstRowLastColumn="0" w:lastRowFirstColumn="0" w:lastRowLastColumn="0"/>
        </w:trPr>
        <w:tc>
          <w:tcPr>
            <w:tcW w:w="3741" w:type="pct"/>
          </w:tcPr>
          <w:p w14:paraId="338C39CE" w14:textId="77777777" w:rsidR="00B13433" w:rsidRPr="00BF6615" w:rsidRDefault="00B13433" w:rsidP="007E26B5">
            <w:pPr>
              <w:spacing w:after="160"/>
              <w:rPr>
                <w:rFonts w:cstheme="minorHAnsi"/>
              </w:rPr>
            </w:pPr>
            <w:bookmarkStart w:id="132" w:name="_Hlk192842297"/>
            <w:r w:rsidRPr="00BF6615">
              <w:rPr>
                <w:rFonts w:cstheme="minorHAnsi"/>
              </w:rPr>
              <w:t>1.4.5 – Obrazy tekstu</w:t>
            </w:r>
          </w:p>
        </w:tc>
        <w:tc>
          <w:tcPr>
            <w:tcW w:w="1259" w:type="pct"/>
          </w:tcPr>
          <w:p w14:paraId="25925267" w14:textId="77777777" w:rsidR="00B13433" w:rsidRPr="00BF6615" w:rsidRDefault="00B13433" w:rsidP="007E26B5">
            <w:pPr>
              <w:spacing w:after="160"/>
              <w:rPr>
                <w:rFonts w:cstheme="minorHAnsi"/>
              </w:rPr>
            </w:pPr>
            <w:r w:rsidRPr="00BF6615">
              <w:rPr>
                <w:rFonts w:cstheme="minorHAnsi"/>
              </w:rPr>
              <w:t>4</w:t>
            </w:r>
          </w:p>
        </w:tc>
      </w:tr>
      <w:bookmarkEnd w:id="132"/>
      <w:tr w:rsidR="00B13433" w:rsidRPr="00BF6615" w14:paraId="0E71197F" w14:textId="77777777">
        <w:trPr>
          <w:cnfStyle w:val="000000100000" w:firstRow="0" w:lastRow="0" w:firstColumn="0" w:lastColumn="0" w:oddVBand="0" w:evenVBand="0" w:oddHBand="1" w:evenHBand="0" w:firstRowFirstColumn="0" w:firstRowLastColumn="0" w:lastRowFirstColumn="0" w:lastRowLastColumn="0"/>
        </w:trPr>
        <w:tc>
          <w:tcPr>
            <w:tcW w:w="3741" w:type="pct"/>
          </w:tcPr>
          <w:p w14:paraId="59B9D281" w14:textId="77777777" w:rsidR="00B13433" w:rsidRPr="00BF6615" w:rsidRDefault="00B13433" w:rsidP="007E26B5">
            <w:pPr>
              <w:spacing w:after="160"/>
              <w:rPr>
                <w:rFonts w:cstheme="minorHAnsi"/>
              </w:rPr>
            </w:pPr>
            <w:r w:rsidRPr="00BF6615">
              <w:rPr>
                <w:rFonts w:cstheme="minorHAnsi"/>
              </w:rPr>
              <w:t>1.4.1 – Użycie koloru</w:t>
            </w:r>
          </w:p>
        </w:tc>
        <w:tc>
          <w:tcPr>
            <w:tcW w:w="1259" w:type="pct"/>
          </w:tcPr>
          <w:p w14:paraId="48CD7E3F" w14:textId="77777777" w:rsidR="00B13433" w:rsidRPr="00BF6615" w:rsidRDefault="00B13433" w:rsidP="007E26B5">
            <w:pPr>
              <w:spacing w:after="160"/>
              <w:rPr>
                <w:rFonts w:cstheme="minorHAnsi"/>
              </w:rPr>
            </w:pPr>
            <w:r w:rsidRPr="00BF6615">
              <w:rPr>
                <w:rFonts w:cstheme="minorHAnsi"/>
              </w:rPr>
              <w:t>4</w:t>
            </w:r>
          </w:p>
        </w:tc>
      </w:tr>
    </w:tbl>
    <w:p w14:paraId="23EBD21D" w14:textId="77777777" w:rsidR="00B13433" w:rsidRPr="00BF6615" w:rsidRDefault="00B13433" w:rsidP="007E26B5">
      <w:pPr>
        <w:rPr>
          <w:b/>
          <w:bCs/>
        </w:rPr>
      </w:pPr>
      <w:r w:rsidRPr="00BF6615">
        <w:t>Źródło: opracowanie własne.</w:t>
      </w:r>
    </w:p>
    <w:p w14:paraId="28E8661F" w14:textId="77777777" w:rsidR="00B13433" w:rsidRPr="00BF6615" w:rsidRDefault="00B13433" w:rsidP="00B271C3">
      <w:pPr>
        <w:pStyle w:val="Nagwek4"/>
        <w:rPr>
          <w:rFonts w:cstheme="minorHAnsi"/>
          <w:bCs/>
        </w:rPr>
      </w:pPr>
      <w:r w:rsidRPr="00BF6615">
        <w:rPr>
          <w:rFonts w:cstheme="minorHAnsi"/>
          <w:bCs/>
        </w:rPr>
        <w:t xml:space="preserve">Zasada 2: </w:t>
      </w:r>
      <w:r w:rsidRPr="00B271C3">
        <w:rPr>
          <w:rStyle w:val="Nagwek4Znak"/>
          <w:b/>
        </w:rPr>
        <w:t>Funkcjonalność</w:t>
      </w:r>
    </w:p>
    <w:p w14:paraId="76A286F4" w14:textId="77777777" w:rsidR="00B13433" w:rsidRPr="00BF6615" w:rsidRDefault="00B13433" w:rsidP="007E26B5">
      <w:pPr>
        <w:rPr>
          <w:rFonts w:cstheme="minorHAnsi"/>
        </w:rPr>
      </w:pPr>
      <w:r w:rsidRPr="00BF6615">
        <w:rPr>
          <w:rFonts w:cstheme="minorHAnsi"/>
        </w:rPr>
        <w:t xml:space="preserve">Wyniki analizy występujących błędów wskazują, że najczęściej występowały w kryterium 2.4.4 – Cel linku (8). Kryterium to było najczęstszym powodem problemów podczas testów – 8-krotność wystąpienia problemów w tym kryterium jest najwyższym wynikiem w kategorii wszystkich zidentyfikowanych problemów podczas testów z grupą osób z niepełnosprawnością intelektualną. </w:t>
      </w:r>
    </w:p>
    <w:p w14:paraId="54203AB9" w14:textId="5CB7DA7A" w:rsidR="00B13433" w:rsidRPr="00BF6615" w:rsidRDefault="00B13433" w:rsidP="007E26B5">
      <w:pPr>
        <w:pStyle w:val="Legenda"/>
        <w:spacing w:line="276" w:lineRule="auto"/>
        <w:rPr>
          <w:rFonts w:cstheme="minorHAnsi"/>
        </w:rPr>
      </w:pPr>
      <w:bookmarkStart w:id="133" w:name="_Toc196335283"/>
      <w:bookmarkStart w:id="134" w:name="_Toc204179116"/>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18</w:t>
      </w:r>
      <w:r w:rsidRPr="00BF6615">
        <w:rPr>
          <w:rFonts w:cstheme="minorHAnsi"/>
        </w:rPr>
        <w:fldChar w:fldCharType="end"/>
      </w:r>
      <w:r w:rsidR="009A4161">
        <w:rPr>
          <w:rFonts w:cstheme="minorHAnsi"/>
        </w:rPr>
        <w:t>.</w:t>
      </w:r>
      <w:r w:rsidRPr="00BF6615">
        <w:rPr>
          <w:rFonts w:cstheme="minorHAnsi"/>
        </w:rPr>
        <w:t xml:space="preserve"> Liczba zidentyfikowanych problemów w zasadzie 2: Funkcjonalność (osoby z niepełnosprawnością intelektualną i ograniczeniami poznawczymi)</w:t>
      </w:r>
      <w:bookmarkEnd w:id="133"/>
      <w:bookmarkEnd w:id="134"/>
    </w:p>
    <w:tbl>
      <w:tblPr>
        <w:tblStyle w:val="PARP"/>
        <w:tblW w:w="5000" w:type="pct"/>
        <w:tblLook w:val="04A0" w:firstRow="1" w:lastRow="0" w:firstColumn="1" w:lastColumn="0" w:noHBand="0" w:noVBand="1"/>
        <w:tblCaption w:val="Liczba zidentyfikowanych problemów w zasadzie 2: Funkcjonalność (osoby z niepełnosprawnością intelektualną i ograniczeniami poznawczymi)"/>
        <w:tblDescription w:val="Liczba zidentyfikowanych problemów w zasadzie 2: Funkcjonalność (osoby z niepełnosprawnością intelektualną i ograniczeniami poznawczymi)"/>
      </w:tblPr>
      <w:tblGrid>
        <w:gridCol w:w="6778"/>
        <w:gridCol w:w="2284"/>
      </w:tblGrid>
      <w:tr w:rsidR="00B13433" w:rsidRPr="00BF6615" w14:paraId="6289FAD1" w14:textId="77777777">
        <w:trPr>
          <w:cnfStyle w:val="100000000000" w:firstRow="1" w:lastRow="0" w:firstColumn="0" w:lastColumn="0" w:oddVBand="0" w:evenVBand="0" w:oddHBand="0" w:evenHBand="0" w:firstRowFirstColumn="0" w:firstRowLastColumn="0" w:lastRowFirstColumn="0" w:lastRowLastColumn="0"/>
        </w:trPr>
        <w:tc>
          <w:tcPr>
            <w:tcW w:w="3697" w:type="pct"/>
            <w:hideMark/>
          </w:tcPr>
          <w:p w14:paraId="73799D40" w14:textId="77777777" w:rsidR="00B13433" w:rsidRPr="00BF6615" w:rsidRDefault="00B13433" w:rsidP="007E26B5">
            <w:pPr>
              <w:spacing w:after="160"/>
              <w:rPr>
                <w:rFonts w:cstheme="minorHAnsi"/>
                <w:b/>
                <w:bCs/>
              </w:rPr>
            </w:pPr>
            <w:r w:rsidRPr="00BF6615">
              <w:rPr>
                <w:rFonts w:cstheme="minorHAnsi"/>
                <w:b/>
                <w:bCs/>
              </w:rPr>
              <w:t>Nazwa kryterium</w:t>
            </w:r>
          </w:p>
        </w:tc>
        <w:tc>
          <w:tcPr>
            <w:tcW w:w="1245" w:type="pct"/>
            <w:hideMark/>
          </w:tcPr>
          <w:p w14:paraId="1B929C7C" w14:textId="77777777" w:rsidR="00B13433" w:rsidRPr="00BF6615" w:rsidRDefault="00B13433" w:rsidP="007E26B5">
            <w:pPr>
              <w:spacing w:after="160"/>
              <w:rPr>
                <w:rFonts w:cstheme="minorHAnsi"/>
                <w:b/>
                <w:bCs/>
              </w:rPr>
            </w:pPr>
            <w:r w:rsidRPr="00BF6615">
              <w:rPr>
                <w:rFonts w:cstheme="minorHAnsi"/>
                <w:b/>
                <w:bCs/>
              </w:rPr>
              <w:t>Liczba wystąpień</w:t>
            </w:r>
          </w:p>
        </w:tc>
      </w:tr>
      <w:tr w:rsidR="00B13433" w:rsidRPr="00BF6615" w14:paraId="7164033F" w14:textId="77777777">
        <w:trPr>
          <w:cnfStyle w:val="000000100000" w:firstRow="0" w:lastRow="0" w:firstColumn="0" w:lastColumn="0" w:oddVBand="0" w:evenVBand="0" w:oddHBand="1" w:evenHBand="0" w:firstRowFirstColumn="0" w:firstRowLastColumn="0" w:lastRowFirstColumn="0" w:lastRowLastColumn="0"/>
        </w:trPr>
        <w:tc>
          <w:tcPr>
            <w:tcW w:w="3697" w:type="pct"/>
          </w:tcPr>
          <w:p w14:paraId="6267FF7D" w14:textId="77777777" w:rsidR="00B13433" w:rsidRPr="00BF6615" w:rsidRDefault="00B13433" w:rsidP="007E26B5">
            <w:pPr>
              <w:spacing w:after="160"/>
              <w:rPr>
                <w:rFonts w:cstheme="minorHAnsi"/>
              </w:rPr>
            </w:pPr>
            <w:r w:rsidRPr="00BF6615">
              <w:rPr>
                <w:rFonts w:cstheme="minorHAnsi"/>
              </w:rPr>
              <w:t>2.4.4 – Cel linku</w:t>
            </w:r>
          </w:p>
        </w:tc>
        <w:tc>
          <w:tcPr>
            <w:tcW w:w="1245" w:type="pct"/>
          </w:tcPr>
          <w:p w14:paraId="4AC136E6" w14:textId="77777777" w:rsidR="00B13433" w:rsidRPr="00BF6615" w:rsidRDefault="00B13433" w:rsidP="007E26B5">
            <w:pPr>
              <w:spacing w:after="160"/>
              <w:rPr>
                <w:rFonts w:cstheme="minorHAnsi"/>
              </w:rPr>
            </w:pPr>
            <w:r w:rsidRPr="00BF6615">
              <w:rPr>
                <w:rFonts w:cstheme="minorHAnsi"/>
              </w:rPr>
              <w:t>8</w:t>
            </w:r>
          </w:p>
        </w:tc>
      </w:tr>
      <w:tr w:rsidR="00B13433" w:rsidRPr="00BF6615" w14:paraId="1668B62E" w14:textId="77777777">
        <w:trPr>
          <w:cnfStyle w:val="000000010000" w:firstRow="0" w:lastRow="0" w:firstColumn="0" w:lastColumn="0" w:oddVBand="0" w:evenVBand="0" w:oddHBand="0" w:evenHBand="1" w:firstRowFirstColumn="0" w:firstRowLastColumn="0" w:lastRowFirstColumn="0" w:lastRowLastColumn="0"/>
        </w:trPr>
        <w:tc>
          <w:tcPr>
            <w:tcW w:w="3697" w:type="pct"/>
          </w:tcPr>
          <w:p w14:paraId="24DD8518" w14:textId="77777777" w:rsidR="00B13433" w:rsidRPr="00BF6615" w:rsidRDefault="00B13433" w:rsidP="007E26B5">
            <w:pPr>
              <w:spacing w:after="160"/>
              <w:rPr>
                <w:rFonts w:cstheme="minorHAnsi"/>
              </w:rPr>
            </w:pPr>
            <w:r w:rsidRPr="00BF6615">
              <w:rPr>
                <w:rFonts w:cstheme="minorHAnsi"/>
              </w:rPr>
              <w:t>2.4.5 – Wiele dróg</w:t>
            </w:r>
          </w:p>
        </w:tc>
        <w:tc>
          <w:tcPr>
            <w:tcW w:w="1245" w:type="pct"/>
          </w:tcPr>
          <w:p w14:paraId="6147B146" w14:textId="77777777" w:rsidR="00B13433" w:rsidRPr="00BF6615" w:rsidRDefault="00B13433" w:rsidP="007E26B5">
            <w:pPr>
              <w:spacing w:after="160"/>
              <w:rPr>
                <w:rFonts w:cstheme="minorHAnsi"/>
              </w:rPr>
            </w:pPr>
            <w:r w:rsidRPr="00BF6615">
              <w:rPr>
                <w:rFonts w:cstheme="minorHAnsi"/>
              </w:rPr>
              <w:t>4</w:t>
            </w:r>
          </w:p>
        </w:tc>
      </w:tr>
      <w:tr w:rsidR="00B13433" w:rsidRPr="00BF6615" w14:paraId="3BAC3969" w14:textId="77777777">
        <w:trPr>
          <w:cnfStyle w:val="000000100000" w:firstRow="0" w:lastRow="0" w:firstColumn="0" w:lastColumn="0" w:oddVBand="0" w:evenVBand="0" w:oddHBand="1" w:evenHBand="0" w:firstRowFirstColumn="0" w:firstRowLastColumn="0" w:lastRowFirstColumn="0" w:lastRowLastColumn="0"/>
        </w:trPr>
        <w:tc>
          <w:tcPr>
            <w:tcW w:w="3697" w:type="pct"/>
          </w:tcPr>
          <w:p w14:paraId="4A21BDD4" w14:textId="77777777" w:rsidR="00B13433" w:rsidRPr="00BF6615" w:rsidRDefault="00B13433" w:rsidP="007E26B5">
            <w:pPr>
              <w:spacing w:after="160"/>
              <w:rPr>
                <w:rFonts w:cstheme="minorHAnsi"/>
              </w:rPr>
            </w:pPr>
            <w:r w:rsidRPr="00BF6615">
              <w:rPr>
                <w:rFonts w:cstheme="minorHAnsi"/>
              </w:rPr>
              <w:t>2.2.2 – Pauza, zatrzymanie, ukrycie</w:t>
            </w:r>
          </w:p>
        </w:tc>
        <w:tc>
          <w:tcPr>
            <w:tcW w:w="1245" w:type="pct"/>
          </w:tcPr>
          <w:p w14:paraId="0B7C53EC" w14:textId="77777777" w:rsidR="00B13433" w:rsidRPr="00BF6615" w:rsidRDefault="00B13433" w:rsidP="007E26B5">
            <w:pPr>
              <w:spacing w:after="160"/>
              <w:rPr>
                <w:rFonts w:cstheme="minorHAnsi"/>
              </w:rPr>
            </w:pPr>
            <w:r w:rsidRPr="00BF6615">
              <w:rPr>
                <w:rFonts w:cstheme="minorHAnsi"/>
              </w:rPr>
              <w:t>3</w:t>
            </w:r>
          </w:p>
        </w:tc>
      </w:tr>
      <w:tr w:rsidR="00B13433" w:rsidRPr="00BF6615" w14:paraId="1DBB87E7" w14:textId="77777777">
        <w:trPr>
          <w:cnfStyle w:val="000000010000" w:firstRow="0" w:lastRow="0" w:firstColumn="0" w:lastColumn="0" w:oddVBand="0" w:evenVBand="0" w:oddHBand="0" w:evenHBand="1" w:firstRowFirstColumn="0" w:firstRowLastColumn="0" w:lastRowFirstColumn="0" w:lastRowLastColumn="0"/>
        </w:trPr>
        <w:tc>
          <w:tcPr>
            <w:tcW w:w="3697" w:type="pct"/>
          </w:tcPr>
          <w:p w14:paraId="59233F38" w14:textId="77777777" w:rsidR="00B13433" w:rsidRPr="00BF6615" w:rsidRDefault="00B13433" w:rsidP="007E26B5">
            <w:pPr>
              <w:spacing w:after="160"/>
              <w:rPr>
                <w:rFonts w:cstheme="minorHAnsi"/>
              </w:rPr>
            </w:pPr>
            <w:r w:rsidRPr="00BF6615">
              <w:rPr>
                <w:rFonts w:cstheme="minorHAnsi"/>
              </w:rPr>
              <w:t>2.4.3 – Kolejność fokusu</w:t>
            </w:r>
          </w:p>
        </w:tc>
        <w:tc>
          <w:tcPr>
            <w:tcW w:w="1245" w:type="pct"/>
          </w:tcPr>
          <w:p w14:paraId="383D2B86" w14:textId="77777777" w:rsidR="00B13433" w:rsidRPr="00BF6615" w:rsidRDefault="00B13433" w:rsidP="007E26B5">
            <w:pPr>
              <w:spacing w:after="160"/>
              <w:rPr>
                <w:rFonts w:cstheme="minorHAnsi"/>
              </w:rPr>
            </w:pPr>
            <w:r w:rsidRPr="00BF6615">
              <w:rPr>
                <w:rFonts w:cstheme="minorHAnsi"/>
              </w:rPr>
              <w:t>3</w:t>
            </w:r>
          </w:p>
        </w:tc>
      </w:tr>
      <w:tr w:rsidR="00B13433" w:rsidRPr="00BF6615" w14:paraId="5AAA67FD" w14:textId="77777777">
        <w:trPr>
          <w:cnfStyle w:val="000000100000" w:firstRow="0" w:lastRow="0" w:firstColumn="0" w:lastColumn="0" w:oddVBand="0" w:evenVBand="0" w:oddHBand="1" w:evenHBand="0" w:firstRowFirstColumn="0" w:firstRowLastColumn="0" w:lastRowFirstColumn="0" w:lastRowLastColumn="0"/>
        </w:trPr>
        <w:tc>
          <w:tcPr>
            <w:tcW w:w="3697" w:type="pct"/>
          </w:tcPr>
          <w:p w14:paraId="3E5962B0" w14:textId="77777777" w:rsidR="00B13433" w:rsidRPr="00BF6615" w:rsidRDefault="00B13433" w:rsidP="007E26B5">
            <w:pPr>
              <w:spacing w:after="160"/>
              <w:rPr>
                <w:rFonts w:cstheme="minorHAnsi"/>
              </w:rPr>
            </w:pPr>
            <w:r w:rsidRPr="00BF6615">
              <w:rPr>
                <w:rFonts w:cstheme="minorHAnsi"/>
              </w:rPr>
              <w:t>2.4.1 – Możliwość pominięcia bloków</w:t>
            </w:r>
          </w:p>
        </w:tc>
        <w:tc>
          <w:tcPr>
            <w:tcW w:w="1245" w:type="pct"/>
          </w:tcPr>
          <w:p w14:paraId="062BD581" w14:textId="77777777" w:rsidR="00B13433" w:rsidRPr="00BF6615" w:rsidRDefault="00B13433" w:rsidP="007E26B5">
            <w:pPr>
              <w:spacing w:after="160"/>
              <w:rPr>
                <w:rFonts w:cstheme="minorHAnsi"/>
              </w:rPr>
            </w:pPr>
            <w:r w:rsidRPr="00BF6615">
              <w:rPr>
                <w:rFonts w:cstheme="minorHAnsi"/>
              </w:rPr>
              <w:t>3</w:t>
            </w:r>
          </w:p>
        </w:tc>
      </w:tr>
      <w:tr w:rsidR="00B13433" w:rsidRPr="00BF6615" w14:paraId="69249EA6" w14:textId="77777777">
        <w:trPr>
          <w:cnfStyle w:val="000000010000" w:firstRow="0" w:lastRow="0" w:firstColumn="0" w:lastColumn="0" w:oddVBand="0" w:evenVBand="0" w:oddHBand="0" w:evenHBand="1" w:firstRowFirstColumn="0" w:firstRowLastColumn="0" w:lastRowFirstColumn="0" w:lastRowLastColumn="0"/>
        </w:trPr>
        <w:tc>
          <w:tcPr>
            <w:tcW w:w="3697" w:type="pct"/>
          </w:tcPr>
          <w:p w14:paraId="5664429B" w14:textId="77777777" w:rsidR="00B13433" w:rsidRPr="00BF6615" w:rsidRDefault="00B13433" w:rsidP="007E26B5">
            <w:pPr>
              <w:spacing w:after="160"/>
              <w:rPr>
                <w:rFonts w:cstheme="minorHAnsi"/>
              </w:rPr>
            </w:pPr>
            <w:r w:rsidRPr="00BF6615">
              <w:rPr>
                <w:rFonts w:cstheme="minorHAnsi"/>
              </w:rPr>
              <w:t>2.4.6 – Nagłówki i etykiety</w:t>
            </w:r>
          </w:p>
        </w:tc>
        <w:tc>
          <w:tcPr>
            <w:tcW w:w="1245" w:type="pct"/>
          </w:tcPr>
          <w:p w14:paraId="5F5C0B26" w14:textId="77777777" w:rsidR="00B13433" w:rsidRPr="00BF6615" w:rsidRDefault="00B13433" w:rsidP="007E26B5">
            <w:pPr>
              <w:spacing w:after="160"/>
              <w:rPr>
                <w:rFonts w:cstheme="minorHAnsi"/>
              </w:rPr>
            </w:pPr>
            <w:r w:rsidRPr="00BF6615">
              <w:rPr>
                <w:rFonts w:cstheme="minorHAnsi"/>
              </w:rPr>
              <w:t>2</w:t>
            </w:r>
          </w:p>
        </w:tc>
      </w:tr>
      <w:tr w:rsidR="00B13433" w:rsidRPr="00BF6615" w14:paraId="62CB7EF6" w14:textId="77777777">
        <w:trPr>
          <w:cnfStyle w:val="000000100000" w:firstRow="0" w:lastRow="0" w:firstColumn="0" w:lastColumn="0" w:oddVBand="0" w:evenVBand="0" w:oddHBand="1" w:evenHBand="0" w:firstRowFirstColumn="0" w:firstRowLastColumn="0" w:lastRowFirstColumn="0" w:lastRowLastColumn="0"/>
        </w:trPr>
        <w:tc>
          <w:tcPr>
            <w:tcW w:w="3697" w:type="pct"/>
          </w:tcPr>
          <w:p w14:paraId="3CE72B15" w14:textId="77777777" w:rsidR="00B13433" w:rsidRPr="00BF6615" w:rsidRDefault="00B13433" w:rsidP="007E26B5">
            <w:pPr>
              <w:spacing w:after="160"/>
              <w:rPr>
                <w:rFonts w:cstheme="minorHAnsi"/>
              </w:rPr>
            </w:pPr>
            <w:r w:rsidRPr="00BF6615">
              <w:rPr>
                <w:rFonts w:cstheme="minorHAnsi"/>
              </w:rPr>
              <w:t>2.1.1 – Klawiatura</w:t>
            </w:r>
          </w:p>
        </w:tc>
        <w:tc>
          <w:tcPr>
            <w:tcW w:w="1245" w:type="pct"/>
          </w:tcPr>
          <w:p w14:paraId="0B6CAA3C" w14:textId="77777777" w:rsidR="00B13433" w:rsidRPr="00BF6615" w:rsidRDefault="00B13433" w:rsidP="007E26B5">
            <w:pPr>
              <w:spacing w:after="160"/>
              <w:rPr>
                <w:rFonts w:cstheme="minorHAnsi"/>
              </w:rPr>
            </w:pPr>
            <w:r w:rsidRPr="00BF6615">
              <w:rPr>
                <w:rFonts w:cstheme="minorHAnsi"/>
              </w:rPr>
              <w:t>1</w:t>
            </w:r>
          </w:p>
        </w:tc>
      </w:tr>
    </w:tbl>
    <w:p w14:paraId="33D281EE" w14:textId="77777777" w:rsidR="00B13433" w:rsidRPr="00BF6615" w:rsidRDefault="00B13433" w:rsidP="007E26B5">
      <w:pPr>
        <w:rPr>
          <w:b/>
        </w:rPr>
      </w:pPr>
      <w:r w:rsidRPr="00BF6615">
        <w:t>Źródło: opracowanie własne.</w:t>
      </w:r>
    </w:p>
    <w:p w14:paraId="2DCF43C8" w14:textId="77777777" w:rsidR="00B13433" w:rsidRPr="00BF6615" w:rsidRDefault="00B13433" w:rsidP="00B271C3">
      <w:pPr>
        <w:pStyle w:val="Nagwek4"/>
        <w:rPr>
          <w:rFonts w:cstheme="minorHAnsi"/>
          <w:bCs/>
        </w:rPr>
      </w:pPr>
      <w:r w:rsidRPr="00BF6615">
        <w:rPr>
          <w:rFonts w:cstheme="minorHAnsi"/>
          <w:bCs/>
        </w:rPr>
        <w:t xml:space="preserve">Zasada 3: </w:t>
      </w:r>
      <w:r w:rsidRPr="00B271C3">
        <w:rPr>
          <w:rStyle w:val="Nagwek4Znak"/>
          <w:b/>
        </w:rPr>
        <w:t>Zrozumiałość</w:t>
      </w:r>
    </w:p>
    <w:p w14:paraId="03680B9A" w14:textId="77777777" w:rsidR="00B13433" w:rsidRPr="00BF6615" w:rsidRDefault="00B13433" w:rsidP="007E26B5">
      <w:pPr>
        <w:rPr>
          <w:rFonts w:cstheme="minorHAnsi"/>
        </w:rPr>
      </w:pPr>
      <w:r w:rsidRPr="00BF6615">
        <w:rPr>
          <w:rFonts w:cstheme="minorHAnsi"/>
        </w:rPr>
        <w:t>Wyniki analizy występujących błędów wskazują, że najczęściej występowały w kryterium 3.3.2 – Etykiety lub instrukcje (9).</w:t>
      </w:r>
    </w:p>
    <w:p w14:paraId="4991D269" w14:textId="6C099103" w:rsidR="00B13433" w:rsidRPr="00BF6615" w:rsidRDefault="00B13433" w:rsidP="007E26B5">
      <w:pPr>
        <w:pStyle w:val="Legenda"/>
        <w:spacing w:line="276" w:lineRule="auto"/>
        <w:rPr>
          <w:rFonts w:cstheme="minorHAnsi"/>
        </w:rPr>
      </w:pPr>
      <w:bookmarkStart w:id="135" w:name="_Toc196335284"/>
      <w:bookmarkStart w:id="136" w:name="_Toc204179117"/>
      <w:r w:rsidRPr="00BF6615">
        <w:rPr>
          <w:rFonts w:cstheme="minorHAnsi"/>
        </w:rPr>
        <w:lastRenderedPageBreak/>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19</w:t>
      </w:r>
      <w:r w:rsidRPr="00BF6615">
        <w:rPr>
          <w:rFonts w:cstheme="minorHAnsi"/>
        </w:rPr>
        <w:fldChar w:fldCharType="end"/>
      </w:r>
      <w:r w:rsidR="002F6492">
        <w:rPr>
          <w:rFonts w:cstheme="minorHAnsi"/>
        </w:rPr>
        <w:t>.</w:t>
      </w:r>
      <w:r w:rsidRPr="00BF6615">
        <w:rPr>
          <w:rFonts w:cstheme="minorHAnsi"/>
        </w:rPr>
        <w:t xml:space="preserve"> Liczba zidentyfikowanych problemów w zasadzie 3: Zrozumiałość (osoby z niepełnosprawnością intelektualną i ograniczeniami poznawczymi)</w:t>
      </w:r>
      <w:bookmarkEnd w:id="135"/>
      <w:bookmarkEnd w:id="136"/>
    </w:p>
    <w:tbl>
      <w:tblPr>
        <w:tblStyle w:val="PARP"/>
        <w:tblW w:w="5000" w:type="pct"/>
        <w:tblLook w:val="04A0" w:firstRow="1" w:lastRow="0" w:firstColumn="1" w:lastColumn="0" w:noHBand="0" w:noVBand="1"/>
        <w:tblCaption w:val="Liczba zidentyfikowanych problemów w zasadzie 3: Zrozumiałość (osoby z niepełnosprawnością intelektualną i ograniczeniami poznawczymi)"/>
        <w:tblDescription w:val="Liczba zidentyfikowanych problemów w zasadzie 3: Zrozumiałość (osoby z niepełnosprawnością intelektualną i ograniczeniami poznawczymi)"/>
      </w:tblPr>
      <w:tblGrid>
        <w:gridCol w:w="6780"/>
        <w:gridCol w:w="2282"/>
      </w:tblGrid>
      <w:tr w:rsidR="00B13433" w:rsidRPr="00BF6615" w14:paraId="53C09C3A" w14:textId="77777777">
        <w:trPr>
          <w:cnfStyle w:val="100000000000" w:firstRow="1" w:lastRow="0" w:firstColumn="0" w:lastColumn="0" w:oddVBand="0" w:evenVBand="0" w:oddHBand="0" w:evenHBand="0" w:firstRowFirstColumn="0" w:firstRowLastColumn="0" w:lastRowFirstColumn="0" w:lastRowLastColumn="0"/>
        </w:trPr>
        <w:tc>
          <w:tcPr>
            <w:tcW w:w="3741" w:type="pct"/>
            <w:hideMark/>
          </w:tcPr>
          <w:p w14:paraId="7A41DA36" w14:textId="77777777" w:rsidR="00B13433" w:rsidRPr="00BF6615" w:rsidRDefault="00B13433" w:rsidP="007E26B5">
            <w:pPr>
              <w:spacing w:after="160"/>
              <w:rPr>
                <w:rFonts w:cstheme="minorHAnsi"/>
                <w:b/>
                <w:bCs/>
              </w:rPr>
            </w:pPr>
            <w:r w:rsidRPr="00BF6615">
              <w:rPr>
                <w:rFonts w:cstheme="minorHAnsi"/>
                <w:b/>
                <w:bCs/>
              </w:rPr>
              <w:t>Nazwa problemu</w:t>
            </w:r>
          </w:p>
        </w:tc>
        <w:tc>
          <w:tcPr>
            <w:tcW w:w="1259" w:type="pct"/>
            <w:hideMark/>
          </w:tcPr>
          <w:p w14:paraId="4B5D422D" w14:textId="77777777" w:rsidR="00B13433" w:rsidRPr="00BF6615" w:rsidRDefault="00B13433" w:rsidP="007E26B5">
            <w:pPr>
              <w:spacing w:after="160"/>
              <w:rPr>
                <w:rFonts w:cstheme="minorHAnsi"/>
                <w:b/>
                <w:bCs/>
              </w:rPr>
            </w:pPr>
            <w:r w:rsidRPr="00BF6615">
              <w:rPr>
                <w:rFonts w:cstheme="minorHAnsi"/>
                <w:b/>
                <w:bCs/>
              </w:rPr>
              <w:t>Liczba wystąpień</w:t>
            </w:r>
          </w:p>
        </w:tc>
      </w:tr>
      <w:tr w:rsidR="00B13433" w:rsidRPr="00BF6615" w14:paraId="62A791B5" w14:textId="77777777">
        <w:trPr>
          <w:cnfStyle w:val="000000100000" w:firstRow="0" w:lastRow="0" w:firstColumn="0" w:lastColumn="0" w:oddVBand="0" w:evenVBand="0" w:oddHBand="1" w:evenHBand="0" w:firstRowFirstColumn="0" w:firstRowLastColumn="0" w:lastRowFirstColumn="0" w:lastRowLastColumn="0"/>
        </w:trPr>
        <w:tc>
          <w:tcPr>
            <w:tcW w:w="3741" w:type="pct"/>
            <w:hideMark/>
          </w:tcPr>
          <w:p w14:paraId="1F363BC8" w14:textId="77777777" w:rsidR="00B13433" w:rsidRPr="00BF6615" w:rsidRDefault="00B13433" w:rsidP="007E26B5">
            <w:pPr>
              <w:spacing w:after="160"/>
              <w:rPr>
                <w:rFonts w:cstheme="minorHAnsi"/>
              </w:rPr>
            </w:pPr>
            <w:r w:rsidRPr="00BF6615">
              <w:rPr>
                <w:rFonts w:cstheme="minorHAnsi"/>
              </w:rPr>
              <w:t>3.3.2 – Etykiety lub instrukcje</w:t>
            </w:r>
          </w:p>
        </w:tc>
        <w:tc>
          <w:tcPr>
            <w:tcW w:w="1259" w:type="pct"/>
            <w:hideMark/>
          </w:tcPr>
          <w:p w14:paraId="7EA031E8" w14:textId="77777777" w:rsidR="00B13433" w:rsidRPr="00BF6615" w:rsidRDefault="00B13433" w:rsidP="007E26B5">
            <w:pPr>
              <w:spacing w:after="160"/>
              <w:rPr>
                <w:rFonts w:cstheme="minorHAnsi"/>
              </w:rPr>
            </w:pPr>
            <w:r w:rsidRPr="00BF6615">
              <w:rPr>
                <w:rFonts w:cstheme="minorHAnsi"/>
              </w:rPr>
              <w:t>9</w:t>
            </w:r>
          </w:p>
        </w:tc>
      </w:tr>
      <w:tr w:rsidR="00B13433" w:rsidRPr="00BF6615" w14:paraId="4CC1B769" w14:textId="77777777">
        <w:trPr>
          <w:cnfStyle w:val="000000010000" w:firstRow="0" w:lastRow="0" w:firstColumn="0" w:lastColumn="0" w:oddVBand="0" w:evenVBand="0" w:oddHBand="0" w:evenHBand="1" w:firstRowFirstColumn="0" w:firstRowLastColumn="0" w:lastRowFirstColumn="0" w:lastRowLastColumn="0"/>
        </w:trPr>
        <w:tc>
          <w:tcPr>
            <w:tcW w:w="3741" w:type="pct"/>
          </w:tcPr>
          <w:p w14:paraId="518DB37B" w14:textId="77777777" w:rsidR="00B13433" w:rsidRPr="00BF6615" w:rsidRDefault="00B13433" w:rsidP="007E26B5">
            <w:pPr>
              <w:spacing w:after="160"/>
              <w:rPr>
                <w:rFonts w:cstheme="minorHAnsi"/>
              </w:rPr>
            </w:pPr>
            <w:r w:rsidRPr="00BF6615">
              <w:rPr>
                <w:rFonts w:cstheme="minorHAnsi"/>
              </w:rPr>
              <w:t>3.3.3 – Sugestie korekty błędów</w:t>
            </w:r>
          </w:p>
        </w:tc>
        <w:tc>
          <w:tcPr>
            <w:tcW w:w="1259" w:type="pct"/>
          </w:tcPr>
          <w:p w14:paraId="442B50A6" w14:textId="77777777" w:rsidR="00B13433" w:rsidRPr="00BF6615" w:rsidRDefault="00B13433" w:rsidP="007E26B5">
            <w:pPr>
              <w:spacing w:after="160"/>
              <w:rPr>
                <w:rFonts w:cstheme="minorHAnsi"/>
              </w:rPr>
            </w:pPr>
            <w:r w:rsidRPr="00BF6615">
              <w:rPr>
                <w:rFonts w:cstheme="minorHAnsi"/>
              </w:rPr>
              <w:t>5</w:t>
            </w:r>
          </w:p>
        </w:tc>
      </w:tr>
      <w:tr w:rsidR="00B13433" w:rsidRPr="00BF6615" w14:paraId="5BDBC3A1" w14:textId="77777777">
        <w:trPr>
          <w:cnfStyle w:val="000000100000" w:firstRow="0" w:lastRow="0" w:firstColumn="0" w:lastColumn="0" w:oddVBand="0" w:evenVBand="0" w:oddHBand="1" w:evenHBand="0" w:firstRowFirstColumn="0" w:firstRowLastColumn="0" w:lastRowFirstColumn="0" w:lastRowLastColumn="0"/>
        </w:trPr>
        <w:tc>
          <w:tcPr>
            <w:tcW w:w="3741" w:type="pct"/>
          </w:tcPr>
          <w:p w14:paraId="3EA61F72" w14:textId="77777777" w:rsidR="00B13433" w:rsidRPr="00BF6615" w:rsidRDefault="00B13433" w:rsidP="007E26B5">
            <w:pPr>
              <w:spacing w:after="160"/>
              <w:rPr>
                <w:rFonts w:cstheme="minorHAnsi"/>
              </w:rPr>
            </w:pPr>
            <w:r w:rsidRPr="00BF6615">
              <w:rPr>
                <w:rFonts w:cstheme="minorHAnsi"/>
              </w:rPr>
              <w:t>3.3.1 – Identyfikacja błędu</w:t>
            </w:r>
          </w:p>
        </w:tc>
        <w:tc>
          <w:tcPr>
            <w:tcW w:w="1259" w:type="pct"/>
          </w:tcPr>
          <w:p w14:paraId="06112C43" w14:textId="77777777" w:rsidR="00B13433" w:rsidRPr="00BF6615" w:rsidRDefault="00B13433" w:rsidP="007E26B5">
            <w:pPr>
              <w:spacing w:after="160"/>
              <w:rPr>
                <w:rFonts w:cstheme="minorHAnsi"/>
              </w:rPr>
            </w:pPr>
            <w:r w:rsidRPr="00BF6615">
              <w:rPr>
                <w:rFonts w:cstheme="minorHAnsi"/>
              </w:rPr>
              <w:t>4</w:t>
            </w:r>
          </w:p>
        </w:tc>
      </w:tr>
      <w:tr w:rsidR="00B13433" w:rsidRPr="00BF6615" w14:paraId="6DF32F3E" w14:textId="77777777">
        <w:trPr>
          <w:cnfStyle w:val="000000010000" w:firstRow="0" w:lastRow="0" w:firstColumn="0" w:lastColumn="0" w:oddVBand="0" w:evenVBand="0" w:oddHBand="0" w:evenHBand="1" w:firstRowFirstColumn="0" w:firstRowLastColumn="0" w:lastRowFirstColumn="0" w:lastRowLastColumn="0"/>
        </w:trPr>
        <w:tc>
          <w:tcPr>
            <w:tcW w:w="3741" w:type="pct"/>
          </w:tcPr>
          <w:p w14:paraId="18ECE7A9" w14:textId="77777777" w:rsidR="00B13433" w:rsidRPr="00BF6615" w:rsidRDefault="00B13433" w:rsidP="007E26B5">
            <w:pPr>
              <w:spacing w:after="160"/>
              <w:rPr>
                <w:rFonts w:cstheme="minorHAnsi"/>
              </w:rPr>
            </w:pPr>
            <w:r w:rsidRPr="00BF6615">
              <w:rPr>
                <w:rFonts w:cstheme="minorHAnsi"/>
              </w:rPr>
              <w:t>3.2.3 – Spójna nawigacja</w:t>
            </w:r>
          </w:p>
        </w:tc>
        <w:tc>
          <w:tcPr>
            <w:tcW w:w="1259" w:type="pct"/>
          </w:tcPr>
          <w:p w14:paraId="537FEEA6" w14:textId="77777777" w:rsidR="00B13433" w:rsidRPr="00BF6615" w:rsidRDefault="00B13433" w:rsidP="007E26B5">
            <w:pPr>
              <w:spacing w:after="160"/>
              <w:rPr>
                <w:rFonts w:cstheme="minorHAnsi"/>
              </w:rPr>
            </w:pPr>
            <w:r w:rsidRPr="00BF6615">
              <w:rPr>
                <w:rFonts w:cstheme="minorHAnsi"/>
              </w:rPr>
              <w:t>3</w:t>
            </w:r>
          </w:p>
        </w:tc>
      </w:tr>
    </w:tbl>
    <w:p w14:paraId="25684EAB" w14:textId="77777777" w:rsidR="00B13433" w:rsidRPr="00BF6615" w:rsidRDefault="00B13433" w:rsidP="007E26B5">
      <w:pPr>
        <w:rPr>
          <w:b/>
        </w:rPr>
      </w:pPr>
      <w:r w:rsidRPr="00BF6615">
        <w:t>Źródło: opracowanie własne.</w:t>
      </w:r>
    </w:p>
    <w:p w14:paraId="2D9EB463" w14:textId="77777777" w:rsidR="00B13433" w:rsidRPr="00BF6615" w:rsidRDefault="00B13433" w:rsidP="00B271C3">
      <w:pPr>
        <w:pStyle w:val="Nagwek4"/>
        <w:rPr>
          <w:rFonts w:cstheme="minorHAnsi"/>
          <w:bCs/>
        </w:rPr>
      </w:pPr>
      <w:r w:rsidRPr="00BF6615">
        <w:rPr>
          <w:rFonts w:cstheme="minorHAnsi"/>
          <w:bCs/>
        </w:rPr>
        <w:t xml:space="preserve">Zasada 4: </w:t>
      </w:r>
      <w:r w:rsidRPr="00B271C3">
        <w:rPr>
          <w:rStyle w:val="Nagwek4Znak"/>
          <w:b/>
        </w:rPr>
        <w:t>Kompatybilność</w:t>
      </w:r>
    </w:p>
    <w:p w14:paraId="3C7B11A2" w14:textId="77777777" w:rsidR="00B13433" w:rsidRPr="00BF6615" w:rsidRDefault="00B13433" w:rsidP="007E26B5">
      <w:pPr>
        <w:spacing w:after="160"/>
        <w:rPr>
          <w:rFonts w:cstheme="minorHAnsi"/>
        </w:rPr>
      </w:pPr>
      <w:r w:rsidRPr="00BF6615">
        <w:rPr>
          <w:rFonts w:cstheme="minorHAnsi"/>
        </w:rPr>
        <w:t xml:space="preserve">W tej zasadzie, podczas realizacji testów, jednostkowo odnotowano problem. Dotyczył on kryterium 4.1.2 – Nazwa, rola, wartość. </w:t>
      </w:r>
    </w:p>
    <w:p w14:paraId="58603B42" w14:textId="7A184C4B" w:rsidR="00B13433" w:rsidRPr="00BF6615" w:rsidRDefault="00B13433" w:rsidP="00B271C3">
      <w:pPr>
        <w:pStyle w:val="Nagwek4"/>
      </w:pPr>
      <w:r w:rsidRPr="338987BF">
        <w:t xml:space="preserve">Jak użytkownicy i </w:t>
      </w:r>
      <w:r w:rsidRPr="00B271C3">
        <w:rPr>
          <w:rStyle w:val="Nagwek4Znak"/>
          <w:b/>
        </w:rPr>
        <w:t>użytkowniczki</w:t>
      </w:r>
      <w:r w:rsidRPr="338987BF">
        <w:t xml:space="preserve"> próbowali pokonać trudności?</w:t>
      </w:r>
    </w:p>
    <w:p w14:paraId="7ECE30C9" w14:textId="77777777" w:rsidR="00B13433" w:rsidRPr="00BF6615" w:rsidRDefault="00B13433" w:rsidP="007E26B5">
      <w:pPr>
        <w:rPr>
          <w:rFonts w:cstheme="minorHAnsi"/>
        </w:rPr>
      </w:pPr>
      <w:r w:rsidRPr="00BF6615">
        <w:rPr>
          <w:rFonts w:cstheme="minorHAnsi"/>
        </w:rPr>
        <w:t>Użytkownicy każdorazowo podejmowali kolejne próby pokonania trudności. W poszczególnych zasadach nie zaobserwowano różnic w podejściu. Zdarzało się, że ponowne przeczytanie tekstu nie wpływało na możliwość wykonania zadania tekst był zbyt skomplikowany.</w:t>
      </w:r>
    </w:p>
    <w:p w14:paraId="473278BE" w14:textId="0E68F43F" w:rsidR="00B13433" w:rsidRPr="00BF6615" w:rsidRDefault="00B13433" w:rsidP="00B271C3">
      <w:pPr>
        <w:pStyle w:val="Nagwek4"/>
      </w:pPr>
      <w:r w:rsidRPr="338987BF">
        <w:t xml:space="preserve">Stany emocjonalne </w:t>
      </w:r>
      <w:r w:rsidRPr="00B271C3">
        <w:rPr>
          <w:rStyle w:val="Nagwek4Znak"/>
          <w:b/>
        </w:rPr>
        <w:t>użytkowniczek</w:t>
      </w:r>
      <w:r w:rsidRPr="338987BF">
        <w:t xml:space="preserve"> i użytkowników podczas testów</w:t>
      </w:r>
    </w:p>
    <w:p w14:paraId="764EF640" w14:textId="77777777" w:rsidR="00B13433" w:rsidRPr="00BF6615" w:rsidRDefault="00B13433" w:rsidP="007E26B5">
      <w:pPr>
        <w:spacing w:after="160"/>
        <w:rPr>
          <w:rFonts w:cstheme="minorHAnsi"/>
        </w:rPr>
      </w:pPr>
      <w:r w:rsidRPr="00BF6615">
        <w:rPr>
          <w:rFonts w:cstheme="minorHAnsi"/>
        </w:rPr>
        <w:t>Spokój uczestniczek i uczestników testów dominował zarówno na stronach internetowych (58%), jak i w aplikacjach mobilnych (50,0%). Zadowolenie występowało rzadziej (po 17% dla stron i aplikacji).</w:t>
      </w:r>
    </w:p>
    <w:p w14:paraId="4E49DE4D" w14:textId="77777777" w:rsidR="00B13433" w:rsidRPr="00BF6615" w:rsidRDefault="00B13433" w:rsidP="007E26B5">
      <w:pPr>
        <w:spacing w:after="160"/>
        <w:rPr>
          <w:rFonts w:cstheme="minorHAnsi"/>
        </w:rPr>
      </w:pPr>
      <w:r w:rsidRPr="00BF6615">
        <w:rPr>
          <w:rFonts w:cstheme="minorHAnsi"/>
        </w:rPr>
        <w:t>Negatywne emocje: Frustracja i zdenerwowanie były wyższe w aplikacjach (frustracja – 33%, zdenerwowanie – 33%), natomiast na stronach praktycznie nie występowały.</w:t>
      </w:r>
    </w:p>
    <w:p w14:paraId="02E1FCEE" w14:textId="77777777" w:rsidR="00B13433" w:rsidRPr="00BF6615" w:rsidRDefault="00B13433" w:rsidP="007E26B5">
      <w:pPr>
        <w:spacing w:after="160"/>
        <w:rPr>
          <w:rFonts w:cstheme="minorHAnsi"/>
        </w:rPr>
      </w:pPr>
      <w:r w:rsidRPr="00BF6615">
        <w:rPr>
          <w:rFonts w:cstheme="minorHAnsi"/>
        </w:rPr>
        <w:t>Zniechęcenie było zauważalne na podobnym poziomie w obu przypadkach (17%).</w:t>
      </w:r>
    </w:p>
    <w:p w14:paraId="32B0D87B" w14:textId="77777777" w:rsidR="00B13433" w:rsidRPr="00BF6615" w:rsidRDefault="00B13433" w:rsidP="007E26B5">
      <w:pPr>
        <w:rPr>
          <w:rFonts w:cstheme="minorHAnsi"/>
        </w:rPr>
      </w:pPr>
      <w:r w:rsidRPr="00BF6615">
        <w:rPr>
          <w:rFonts w:cstheme="minorHAnsi"/>
        </w:rPr>
        <w:t>Stany emocjonalne użytkowniczek i użytkowników podczas testów zasadniczo można uznać za stabilne, przy czym należy zwrócić uwagę na to, że pomimo frustracji czy zdenerwowania zniechęcenie występowało stosunkowo rzadko, może to jednak mieć związek z formą, jaką był test i poczuciem konieczności ukończenia zadania.</w:t>
      </w:r>
    </w:p>
    <w:p w14:paraId="456DABFF" w14:textId="167EED23" w:rsidR="00B13433" w:rsidRPr="00BF6615" w:rsidRDefault="00B13433" w:rsidP="00B271C3">
      <w:pPr>
        <w:pStyle w:val="Nagwek4"/>
      </w:pPr>
      <w:r w:rsidRPr="338987BF">
        <w:t>Opinie użytkowników i użytkowniczek o procesie testowania</w:t>
      </w:r>
    </w:p>
    <w:p w14:paraId="1B6C20CB" w14:textId="3DB8E62A" w:rsidR="00B13433" w:rsidRDefault="00B13433" w:rsidP="007E26B5">
      <w:r w:rsidRPr="338987BF">
        <w:t>Użytkownicy wskazywali na liczne problemy podczas testów, które powodowały zdenerwowanie. Powtarzały się opinie o konieczności uproszczenia języka na stronach, czy braku ich intuicyjności – te dwa elementy wskazywano jako te, które są najbardziej istotne i wymagające natychmiastowej interwencji – poprawy. Stany emocjonalne użytkowników, jak zdenerwowanie i frustracja, które często towarzyszyły testom dobrze opisuje wypowiedź jednej z osób badanych: „Na widoku powinna być informacja np. awaria prądu. Ludzie potrzebują szybko tej informacji!”.”</w:t>
      </w:r>
    </w:p>
    <w:p w14:paraId="1E32C658" w14:textId="77777777" w:rsidR="00B13433" w:rsidRPr="00BF6615" w:rsidRDefault="00B13433" w:rsidP="00B271C3">
      <w:pPr>
        <w:pStyle w:val="Nagwek4"/>
      </w:pPr>
      <w:r w:rsidRPr="338987BF">
        <w:lastRenderedPageBreak/>
        <w:t xml:space="preserve">Podsumowanie </w:t>
      </w:r>
      <w:r w:rsidRPr="00B271C3">
        <w:rPr>
          <w:rStyle w:val="Nagwek4Znak"/>
          <w:b/>
        </w:rPr>
        <w:t>testów</w:t>
      </w:r>
    </w:p>
    <w:p w14:paraId="1CEFD318" w14:textId="77777777" w:rsidR="00B13433" w:rsidRPr="00BF6615" w:rsidRDefault="00B13433" w:rsidP="007E26B5">
      <w:pPr>
        <w:rPr>
          <w:rFonts w:cstheme="minorHAnsi"/>
        </w:rPr>
      </w:pPr>
      <w:r w:rsidRPr="00BF6615">
        <w:rPr>
          <w:rFonts w:cstheme="minorHAnsi"/>
        </w:rPr>
        <w:t>Osoby z niepełnosprawnościami intelektualnymi napotkały liczne trudności podczas testów stron internetowych i aplikacji mobilnych podmiotów publicznych. Największe problemy dotyczyły skomplikowanego języka, nadmiaru treści i nieintuicyjnej nawigacji. Często nie rozumiały używanych terminów, miały trudności z odnalezieniem potrzebnych informacji i nie potrafiły obsługiwać formularzy.</w:t>
      </w:r>
    </w:p>
    <w:p w14:paraId="3782113E" w14:textId="77777777" w:rsidR="00B13433" w:rsidRPr="00BF6615" w:rsidRDefault="00B13433" w:rsidP="007E26B5">
      <w:pPr>
        <w:rPr>
          <w:rFonts w:cstheme="minorHAnsi"/>
        </w:rPr>
      </w:pPr>
      <w:r w:rsidRPr="00BF6615">
        <w:rPr>
          <w:rFonts w:cstheme="minorHAnsi"/>
        </w:rPr>
        <w:t>Analiza zgodności z zasadami dostępności WCAG wykazała, że największe trudności dotyczyły postrzegalności, funkcjonalności i zrozumiałości stron. Wśród najczęściej występujących problemów znalazły się niewłaściwe oznaczenia linków, czy problem z obrazami tekstu. Podczas testów użytkownicy w większości byli spokojni, choć w przypadku aplikacji mobilnych częściej odczuwali frustrację i zdenerwowanie. Mimo trudności zniechęcenie występowało stosunkowo rzadko, co może wynikać z faktu, że testy wymagały ukończenia zadania.</w:t>
      </w:r>
    </w:p>
    <w:p w14:paraId="0402474B" w14:textId="77777777" w:rsidR="00B13433" w:rsidRPr="009429ED" w:rsidRDefault="00B13433" w:rsidP="00B271C3">
      <w:pPr>
        <w:pStyle w:val="Nagwek4"/>
        <w:rPr>
          <w:bCs/>
        </w:rPr>
      </w:pPr>
      <w:bookmarkStart w:id="137" w:name="_Toc196827606"/>
      <w:r w:rsidRPr="009429ED">
        <w:rPr>
          <w:bCs/>
        </w:rPr>
        <w:t xml:space="preserve">Hierarchia potrzeb osób z niepełnosprawnością intelektualną i trudnościami poznawczymi w zakresie stron </w:t>
      </w:r>
      <w:r w:rsidRPr="00B271C3">
        <w:rPr>
          <w:rStyle w:val="Nagwek4Znak"/>
          <w:b/>
          <w:iCs/>
        </w:rPr>
        <w:t>internetowych</w:t>
      </w:r>
      <w:r w:rsidRPr="009429ED">
        <w:rPr>
          <w:bCs/>
        </w:rPr>
        <w:t xml:space="preserve"> i aplikacji podmiotów publicznych</w:t>
      </w:r>
      <w:bookmarkEnd w:id="137"/>
      <w:r w:rsidRPr="009429ED">
        <w:rPr>
          <w:rStyle w:val="Nagwek4Znak"/>
          <w:bCs/>
        </w:rPr>
        <w:t xml:space="preserve"> </w:t>
      </w:r>
    </w:p>
    <w:p w14:paraId="6675ACE2" w14:textId="77777777" w:rsidR="00B13433" w:rsidRPr="00BF6615" w:rsidRDefault="00B13433">
      <w:pPr>
        <w:numPr>
          <w:ilvl w:val="0"/>
          <w:numId w:val="18"/>
        </w:numPr>
        <w:spacing w:after="0"/>
        <w:ind w:hanging="357"/>
        <w:rPr>
          <w:rFonts w:cstheme="minorHAnsi"/>
        </w:rPr>
      </w:pPr>
      <w:bookmarkStart w:id="138" w:name="_Hlk194401860"/>
      <w:r w:rsidRPr="00BF6615">
        <w:rPr>
          <w:rFonts w:cstheme="minorHAnsi"/>
          <w:b/>
          <w:bCs/>
        </w:rPr>
        <w:t>Prostszy, bardziej zrozumiały język (najwyższy priorytet)</w:t>
      </w:r>
    </w:p>
    <w:p w14:paraId="4B76537C" w14:textId="77777777" w:rsidR="00B13433" w:rsidRPr="00BF6615" w:rsidRDefault="00B13433">
      <w:pPr>
        <w:numPr>
          <w:ilvl w:val="0"/>
          <w:numId w:val="40"/>
        </w:numPr>
        <w:tabs>
          <w:tab w:val="clear" w:pos="720"/>
          <w:tab w:val="num" w:pos="1134"/>
        </w:tabs>
        <w:spacing w:after="0"/>
        <w:ind w:left="993" w:hanging="357"/>
        <w:rPr>
          <w:rFonts w:cstheme="minorHAnsi"/>
        </w:rPr>
      </w:pPr>
      <w:bookmarkStart w:id="139" w:name="_Hlk194401741"/>
      <w:bookmarkEnd w:id="138"/>
      <w:r w:rsidRPr="00BF6615">
        <w:rPr>
          <w:rFonts w:cstheme="minorHAnsi"/>
        </w:rPr>
        <w:t>Unikanie specjalistycznych terminów, trudnych wyrażeń.</w:t>
      </w:r>
    </w:p>
    <w:p w14:paraId="156D9FC8"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Skracanie tekstów i dzielenie ich na proste sekcje.</w:t>
      </w:r>
    </w:p>
    <w:p w14:paraId="29976611"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Stosowanie jasnych instrukcji i podpowiedzi krok po kroku.</w:t>
      </w:r>
    </w:p>
    <w:p w14:paraId="30336CAC" w14:textId="77777777" w:rsidR="00B13433" w:rsidRPr="00BF6615" w:rsidRDefault="00B13433">
      <w:pPr>
        <w:numPr>
          <w:ilvl w:val="0"/>
          <w:numId w:val="18"/>
        </w:numPr>
        <w:spacing w:after="0"/>
        <w:ind w:hanging="357"/>
        <w:rPr>
          <w:rFonts w:cstheme="minorHAnsi"/>
        </w:rPr>
      </w:pPr>
      <w:bookmarkStart w:id="140" w:name="_Hlk194401837"/>
      <w:bookmarkEnd w:id="139"/>
      <w:r w:rsidRPr="00BF6615">
        <w:rPr>
          <w:rFonts w:cstheme="minorHAnsi"/>
          <w:b/>
          <w:bCs/>
        </w:rPr>
        <w:t>Ograniczenie liczby informacji na jednej stronie</w:t>
      </w:r>
    </w:p>
    <w:p w14:paraId="3FDCDBCD" w14:textId="77777777" w:rsidR="00B13433" w:rsidRPr="00BF6615" w:rsidRDefault="00B13433">
      <w:pPr>
        <w:numPr>
          <w:ilvl w:val="0"/>
          <w:numId w:val="40"/>
        </w:numPr>
        <w:tabs>
          <w:tab w:val="clear" w:pos="720"/>
          <w:tab w:val="num" w:pos="1134"/>
        </w:tabs>
        <w:spacing w:after="0"/>
        <w:ind w:left="993" w:hanging="357"/>
        <w:rPr>
          <w:rFonts w:cstheme="minorHAnsi"/>
        </w:rPr>
      </w:pPr>
      <w:bookmarkStart w:id="141" w:name="_Hlk194401765"/>
      <w:bookmarkEnd w:id="140"/>
      <w:r w:rsidRPr="00BF6615">
        <w:rPr>
          <w:rFonts w:cstheme="minorHAnsi"/>
        </w:rPr>
        <w:t>Prezentowanie tylko kluczowych informacji, bez zbędnych szczegółów.</w:t>
      </w:r>
    </w:p>
    <w:p w14:paraId="16E90EBB"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Możliwość stopniowego rozwijania treści dla osób, które chcą dowiedzieć się więcej.</w:t>
      </w:r>
    </w:p>
    <w:p w14:paraId="05E6EBD0"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Podkreślenie najważniejszych treści w widocznym miejscu.</w:t>
      </w:r>
    </w:p>
    <w:p w14:paraId="06F12FCE" w14:textId="77777777" w:rsidR="00B13433" w:rsidRPr="00BF6615" w:rsidRDefault="00B13433">
      <w:pPr>
        <w:numPr>
          <w:ilvl w:val="0"/>
          <w:numId w:val="18"/>
        </w:numPr>
        <w:spacing w:after="0"/>
        <w:ind w:hanging="357"/>
        <w:rPr>
          <w:rFonts w:cstheme="minorHAnsi"/>
        </w:rPr>
      </w:pPr>
      <w:bookmarkStart w:id="142" w:name="_Hlk194401880"/>
      <w:bookmarkEnd w:id="141"/>
      <w:r w:rsidRPr="00BF6615">
        <w:rPr>
          <w:rFonts w:cstheme="minorHAnsi"/>
          <w:b/>
          <w:bCs/>
        </w:rPr>
        <w:t>Lepsza organizacja treści i nawigacja</w:t>
      </w:r>
    </w:p>
    <w:p w14:paraId="6DC3AFE0"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Mniej skomplikowane menu, ograniczenie liczby opcji na jednej stronie.</w:t>
      </w:r>
    </w:p>
    <w:p w14:paraId="073F0D81"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Intuicyjne przyciski, dobrze oznaczone ikony z podpisami.</w:t>
      </w:r>
    </w:p>
    <w:p w14:paraId="18F5BB59"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Widoczna opcja powrotu do strony głównej lub kluczowych sekcji.</w:t>
      </w:r>
    </w:p>
    <w:bookmarkEnd w:id="142"/>
    <w:p w14:paraId="262102A0" w14:textId="77777777" w:rsidR="00B13433" w:rsidRPr="00BF6615" w:rsidRDefault="00B13433">
      <w:pPr>
        <w:numPr>
          <w:ilvl w:val="0"/>
          <w:numId w:val="18"/>
        </w:numPr>
        <w:spacing w:after="0"/>
        <w:ind w:hanging="357"/>
        <w:rPr>
          <w:rFonts w:cstheme="minorHAnsi"/>
        </w:rPr>
      </w:pPr>
      <w:r w:rsidRPr="00BF6615">
        <w:rPr>
          <w:rFonts w:cstheme="minorHAnsi"/>
          <w:b/>
          <w:bCs/>
        </w:rPr>
        <w:t>Większa interaktywność i wykorzystanie elementów wizualnych</w:t>
      </w:r>
    </w:p>
    <w:p w14:paraId="5B6E7DEE"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Obrazy, infografiki i proste piktogramy zamiast samego tekstu.</w:t>
      </w:r>
    </w:p>
    <w:p w14:paraId="38E1EA14"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Animowane podpowiedzi, które pomagają zrozumieć funkcje strony.</w:t>
      </w:r>
    </w:p>
    <w:p w14:paraId="4DDDDA34"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Możliwość odsłuchania treści zamiast czytania.</w:t>
      </w:r>
    </w:p>
    <w:p w14:paraId="5308EE08" w14:textId="77777777" w:rsidR="00B13433" w:rsidRPr="00BF6615" w:rsidRDefault="00B13433">
      <w:pPr>
        <w:numPr>
          <w:ilvl w:val="0"/>
          <w:numId w:val="18"/>
        </w:numPr>
        <w:spacing w:after="0"/>
        <w:ind w:hanging="357"/>
        <w:rPr>
          <w:rFonts w:cstheme="minorHAnsi"/>
        </w:rPr>
      </w:pPr>
      <w:bookmarkStart w:id="143" w:name="_Hlk194401988"/>
      <w:r w:rsidRPr="00BF6615">
        <w:rPr>
          <w:rFonts w:cstheme="minorHAnsi"/>
          <w:b/>
          <w:bCs/>
        </w:rPr>
        <w:t>Łatwiejsza obsługa interaktywnych funkcji</w:t>
      </w:r>
    </w:p>
    <w:p w14:paraId="18A08D63"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Jasne komunikaty o tym, co należy zrobić w danej chwili (np. „kliknij tutaj, aby zapisać”).</w:t>
      </w:r>
    </w:p>
    <w:p w14:paraId="625CD8B1"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Prostsze formularze – mniejsza liczba pól do uzupełnienia, jednoznaczne pytania.</w:t>
      </w:r>
    </w:p>
    <w:p w14:paraId="1EF1F451"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Większe i łatwiejsze do kliknięcia przyciski.</w:t>
      </w:r>
    </w:p>
    <w:bookmarkEnd w:id="143"/>
    <w:p w14:paraId="43367E20" w14:textId="77777777" w:rsidR="00B13433" w:rsidRPr="00BF6615" w:rsidRDefault="00B13433">
      <w:pPr>
        <w:numPr>
          <w:ilvl w:val="0"/>
          <w:numId w:val="18"/>
        </w:numPr>
        <w:spacing w:after="0"/>
        <w:ind w:hanging="357"/>
        <w:rPr>
          <w:rFonts w:cstheme="minorHAnsi"/>
        </w:rPr>
      </w:pPr>
      <w:r w:rsidRPr="00BF6615">
        <w:rPr>
          <w:rFonts w:cstheme="minorHAnsi"/>
          <w:b/>
          <w:bCs/>
        </w:rPr>
        <w:t>Poprawa komunikatów systemowych</w:t>
      </w:r>
    </w:p>
    <w:p w14:paraId="1C915C08"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Czytelne powiadomienia o błędach – np. „Nie wpisałeś swojego numeru telefonu. Spróbuj ponownie.” zamiast „Błąd 403”.</w:t>
      </w:r>
    </w:p>
    <w:p w14:paraId="0F84608C"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Automatyczne podpowiedzi pomagające wypełnić formularze.</w:t>
      </w:r>
    </w:p>
    <w:p w14:paraId="647892D4"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lastRenderedPageBreak/>
        <w:t>Możliwość cofnięcia ostatniej akcji bez konsekwencji.</w:t>
      </w:r>
    </w:p>
    <w:p w14:paraId="00A5C329" w14:textId="77777777" w:rsidR="00B13433" w:rsidRPr="00BF6615" w:rsidRDefault="00B13433">
      <w:pPr>
        <w:numPr>
          <w:ilvl w:val="0"/>
          <w:numId w:val="18"/>
        </w:numPr>
        <w:spacing w:after="0"/>
        <w:ind w:hanging="357"/>
        <w:rPr>
          <w:rFonts w:cstheme="minorHAnsi"/>
        </w:rPr>
      </w:pPr>
      <w:bookmarkStart w:id="144" w:name="_Hlk194402024"/>
      <w:r w:rsidRPr="00BF6615">
        <w:rPr>
          <w:rFonts w:cstheme="minorHAnsi"/>
          <w:b/>
          <w:bCs/>
        </w:rPr>
        <w:t>Personalizacja stron/aplikacji pod użytkownika</w:t>
      </w:r>
    </w:p>
    <w:p w14:paraId="723C9DD6"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Możliwość wyboru trybu uproszczonego z mniejszą ilością informacji i uproszczonym językiem.</w:t>
      </w:r>
    </w:p>
    <w:p w14:paraId="1A7FFF73"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Opcja zmiany wyglądu strony (np. powiększenie przycisków, prostszy układ).</w:t>
      </w:r>
    </w:p>
    <w:p w14:paraId="3B77A297" w14:textId="77777777" w:rsidR="00B13433" w:rsidRPr="00BF6615" w:rsidRDefault="00B13433">
      <w:pPr>
        <w:numPr>
          <w:ilvl w:val="0"/>
          <w:numId w:val="40"/>
        </w:numPr>
        <w:tabs>
          <w:tab w:val="clear" w:pos="720"/>
          <w:tab w:val="num" w:pos="1134"/>
        </w:tabs>
        <w:spacing w:after="0"/>
        <w:ind w:left="993" w:hanging="357"/>
        <w:rPr>
          <w:rFonts w:cstheme="minorHAnsi"/>
        </w:rPr>
      </w:pPr>
      <w:r w:rsidRPr="00BF6615">
        <w:rPr>
          <w:rFonts w:cstheme="minorHAnsi"/>
        </w:rPr>
        <w:t>Dostosowanie komunikatów i instrukcji do poziomu użytkownika.</w:t>
      </w:r>
    </w:p>
    <w:p w14:paraId="77A53D17" w14:textId="77777777" w:rsidR="00B13433" w:rsidRPr="00BF6615" w:rsidRDefault="00B13433" w:rsidP="007E26B5">
      <w:pPr>
        <w:spacing w:before="120"/>
        <w:rPr>
          <w:rFonts w:cstheme="minorHAnsi"/>
        </w:rPr>
      </w:pPr>
      <w:bookmarkStart w:id="145" w:name="_Hlk194401622"/>
      <w:bookmarkEnd w:id="144"/>
      <w:r w:rsidRPr="00BF6615">
        <w:rPr>
          <w:rFonts w:cstheme="minorHAnsi"/>
        </w:rPr>
        <w:t>Dostosowanie stron i aplikacji do wskazanej hierarchii potrzeb pozwoliłoby na bardziej samodzielne i efektywne korzystanie z stron/aplikacji publicznych przez osoby z niepełnosprawnością intelektualną.</w:t>
      </w:r>
    </w:p>
    <w:bookmarkEnd w:id="145"/>
    <w:p w14:paraId="19258B14" w14:textId="77777777" w:rsidR="00B13433" w:rsidRPr="00BF6615" w:rsidRDefault="00B13433" w:rsidP="007E26B5">
      <w:pPr>
        <w:rPr>
          <w:rFonts w:cstheme="minorHAnsi"/>
        </w:rPr>
      </w:pPr>
    </w:p>
    <w:p w14:paraId="50552B26" w14:textId="77777777" w:rsidR="00B13433" w:rsidRPr="00BF6615" w:rsidRDefault="00B13433" w:rsidP="007E26B5">
      <w:pPr>
        <w:rPr>
          <w:rFonts w:cstheme="minorHAnsi"/>
        </w:rPr>
      </w:pPr>
    </w:p>
    <w:p w14:paraId="6E652313" w14:textId="77777777" w:rsidR="00B13433" w:rsidRPr="00BF6615" w:rsidRDefault="00B13433" w:rsidP="007E26B5">
      <w:pPr>
        <w:rPr>
          <w:rFonts w:cstheme="minorHAnsi"/>
        </w:rPr>
      </w:pPr>
    </w:p>
    <w:p w14:paraId="38FF7AAD" w14:textId="77777777" w:rsidR="00B13433" w:rsidRPr="00BF6615" w:rsidRDefault="00B13433" w:rsidP="007E26B5">
      <w:pPr>
        <w:spacing w:after="160"/>
        <w:rPr>
          <w:rFonts w:eastAsiaTheme="majorEastAsia" w:cstheme="minorHAnsi"/>
          <w:b/>
          <w:bCs/>
          <w:color w:val="000000" w:themeColor="text1"/>
          <w:sz w:val="28"/>
          <w:szCs w:val="28"/>
        </w:rPr>
      </w:pPr>
      <w:r w:rsidRPr="00BF6615">
        <w:rPr>
          <w:rFonts w:cstheme="minorHAnsi"/>
        </w:rPr>
        <w:br w:type="page"/>
      </w:r>
    </w:p>
    <w:p w14:paraId="3C12128B" w14:textId="1377FA8A" w:rsidR="00B13433" w:rsidRPr="00BF6615" w:rsidRDefault="00B13433">
      <w:pPr>
        <w:pStyle w:val="Nagwek3"/>
        <w:numPr>
          <w:ilvl w:val="1"/>
          <w:numId w:val="6"/>
        </w:numPr>
      </w:pPr>
      <w:bookmarkStart w:id="146" w:name="_Toc196827607"/>
      <w:bookmarkStart w:id="147" w:name="_Toc204179237"/>
      <w:r w:rsidRPr="00BF6615">
        <w:lastRenderedPageBreak/>
        <w:t>Osoby, które ukończyły 60 rok życia</w:t>
      </w:r>
      <w:bookmarkEnd w:id="146"/>
      <w:bookmarkEnd w:id="147"/>
    </w:p>
    <w:p w14:paraId="1C5E3437" w14:textId="77777777" w:rsidR="00B13433" w:rsidRPr="00BF6615" w:rsidRDefault="00B13433" w:rsidP="00B271C3">
      <w:pPr>
        <w:pStyle w:val="Nagwek4"/>
      </w:pPr>
      <w:bookmarkStart w:id="148" w:name="_Toc196827608"/>
      <w:r w:rsidRPr="00B271C3">
        <w:rPr>
          <w:rStyle w:val="Nagwek4Znak"/>
          <w:b/>
        </w:rPr>
        <w:t>Wprowadzenie</w:t>
      </w:r>
      <w:bookmarkEnd w:id="148"/>
    </w:p>
    <w:p w14:paraId="6505F406" w14:textId="77777777" w:rsidR="00B13433" w:rsidRPr="00BF6615" w:rsidRDefault="00B13433" w:rsidP="007E26B5">
      <w:pPr>
        <w:spacing w:after="160"/>
        <w:rPr>
          <w:rFonts w:cstheme="minorHAnsi"/>
        </w:rPr>
      </w:pPr>
      <w:r w:rsidRPr="00BF6615">
        <w:rPr>
          <w:rFonts w:cstheme="minorHAnsi"/>
        </w:rPr>
        <w:t>Osoby, które ukończyły 60 rok życia, napotkały wiele problemów podczas testowania stron i aplikacji. Największe trudności dotyczyły nadmiaru treści na ekranie oraz zbyt skomplikowanego języka użytego na stronach. „Zbyt dużo tekstu i trudny język” – jak zauważył jeden z badanych seniorów. Dodatkowo wskazywano na nieintuicyjną nawigację, co utrudniało odnalezienie potrzebnych informacji. Użytkownicy mieli też problemy z brakiem wyraźnych podpowiedzi w interfejsie (np. nieoznaczone elementy, nieskuteczne narzędzia wyszukiwania). Żaden z seniorów nie korzystał podczas testów z technologii asystujących.</w:t>
      </w:r>
    </w:p>
    <w:p w14:paraId="306F8669" w14:textId="77777777" w:rsidR="00B13433" w:rsidRPr="00BF6615" w:rsidRDefault="00B13433" w:rsidP="007E26B5">
      <w:pPr>
        <w:spacing w:after="160"/>
        <w:rPr>
          <w:rFonts w:cstheme="minorHAnsi"/>
        </w:rPr>
      </w:pPr>
      <w:r w:rsidRPr="00BF6615">
        <w:rPr>
          <w:rFonts w:cstheme="minorHAnsi"/>
        </w:rPr>
        <w:t>Najczęstsze problemy wskazane przez osoby 60+:</w:t>
      </w:r>
    </w:p>
    <w:p w14:paraId="41844A21" w14:textId="77777777" w:rsidR="00B13433" w:rsidRPr="00BF6615" w:rsidRDefault="00B13433">
      <w:pPr>
        <w:numPr>
          <w:ilvl w:val="0"/>
          <w:numId w:val="41"/>
        </w:numPr>
        <w:spacing w:after="160"/>
        <w:rPr>
          <w:rFonts w:cstheme="minorHAnsi"/>
        </w:rPr>
      </w:pPr>
      <w:r w:rsidRPr="00BF6615">
        <w:rPr>
          <w:rFonts w:cstheme="minorHAnsi"/>
        </w:rPr>
        <w:t>Trudny język – specjalistyczne terminy, zbyt rozbudowane opisy.</w:t>
      </w:r>
    </w:p>
    <w:p w14:paraId="0B1CA19E" w14:textId="77777777" w:rsidR="00B13433" w:rsidRPr="00BF6615" w:rsidRDefault="00B13433">
      <w:pPr>
        <w:numPr>
          <w:ilvl w:val="0"/>
          <w:numId w:val="41"/>
        </w:numPr>
        <w:spacing w:after="160"/>
        <w:rPr>
          <w:rFonts w:cstheme="minorHAnsi"/>
        </w:rPr>
      </w:pPr>
      <w:r w:rsidRPr="00BF6615">
        <w:rPr>
          <w:rFonts w:cstheme="minorHAnsi"/>
        </w:rPr>
        <w:t>Nadmiar treści na stronach – zbyt dużo informacji naraz, przeciążenie treścią.</w:t>
      </w:r>
    </w:p>
    <w:p w14:paraId="6470E4C4" w14:textId="77777777" w:rsidR="00B13433" w:rsidRPr="00BF6615" w:rsidRDefault="00B13433">
      <w:pPr>
        <w:numPr>
          <w:ilvl w:val="0"/>
          <w:numId w:val="41"/>
        </w:numPr>
        <w:spacing w:after="160"/>
        <w:rPr>
          <w:rFonts w:cstheme="minorHAnsi"/>
        </w:rPr>
      </w:pPr>
      <w:r w:rsidRPr="00BF6615">
        <w:rPr>
          <w:rFonts w:cstheme="minorHAnsi"/>
        </w:rPr>
        <w:t>Nieintuicyjna nawigacja – kłopot z szybkim odnalezieniem potrzebnych sekcji.</w:t>
      </w:r>
    </w:p>
    <w:p w14:paraId="5A052026" w14:textId="77777777" w:rsidR="00B13433" w:rsidRPr="00BF6615" w:rsidRDefault="00B13433">
      <w:pPr>
        <w:numPr>
          <w:ilvl w:val="0"/>
          <w:numId w:val="41"/>
        </w:numPr>
        <w:spacing w:after="160"/>
        <w:rPr>
          <w:rFonts w:cstheme="minorHAnsi"/>
        </w:rPr>
      </w:pPr>
      <w:r w:rsidRPr="00BF6615">
        <w:rPr>
          <w:rFonts w:cstheme="minorHAnsi"/>
        </w:rPr>
        <w:t>Brak czytelnych podpowiedzi – niejasne oznaczenia elementów interfejsu, brak wskazówek.</w:t>
      </w:r>
    </w:p>
    <w:p w14:paraId="11AF2FB1" w14:textId="77777777" w:rsidR="00B13433" w:rsidRPr="00BF6615" w:rsidRDefault="00B13433">
      <w:pPr>
        <w:numPr>
          <w:ilvl w:val="0"/>
          <w:numId w:val="41"/>
        </w:numPr>
        <w:spacing w:after="160"/>
        <w:rPr>
          <w:rFonts w:cstheme="minorHAnsi"/>
        </w:rPr>
      </w:pPr>
      <w:r w:rsidRPr="00BF6615">
        <w:rPr>
          <w:rFonts w:cstheme="minorHAnsi"/>
        </w:rPr>
        <w:t>Brak narzędzi ułatwiających wyszukiwanie – np. brak wyszukiwarki lub nieskuteczny asystent.</w:t>
      </w:r>
    </w:p>
    <w:p w14:paraId="178BF886" w14:textId="77777777" w:rsidR="00B13433" w:rsidRPr="00BF6615" w:rsidRDefault="00B13433" w:rsidP="007E26B5">
      <w:pPr>
        <w:spacing w:after="160"/>
        <w:rPr>
          <w:rFonts w:cstheme="minorHAnsi"/>
        </w:rPr>
      </w:pPr>
      <w:r w:rsidRPr="00BF6615">
        <w:rPr>
          <w:rFonts w:cstheme="minorHAnsi"/>
        </w:rPr>
        <w:t>Testy przeprowadzono z udziałem 6 osób 60+, z których każda testowała dwie strony internetowe oraz jedną aplikację mobilną. Obserwacje z testów zostały zebrane i przeanalizowane jakościowo oraz ilościowo (m.in. oceny realizacji zadań, napotkane problemy, reakcje emocjonalne). Poniżej przedstawiono wyniki tych analiz.</w:t>
      </w:r>
    </w:p>
    <w:p w14:paraId="6FC9E8C5" w14:textId="5ED04089" w:rsidR="00B13433" w:rsidRPr="00BF6615" w:rsidRDefault="00B13433" w:rsidP="00B271C3">
      <w:pPr>
        <w:pStyle w:val="Nagwek4"/>
      </w:pPr>
      <w:r w:rsidRPr="338987BF">
        <w:t xml:space="preserve">Problemy według </w:t>
      </w:r>
      <w:r w:rsidRPr="00B271C3">
        <w:rPr>
          <w:rStyle w:val="Nagwek4Znak"/>
          <w:b/>
        </w:rPr>
        <w:t>rodzajów</w:t>
      </w:r>
      <w:r w:rsidRPr="338987BF">
        <w:t xml:space="preserve"> testowanych stron i aplikacji podmiotów publicznych</w:t>
      </w:r>
    </w:p>
    <w:p w14:paraId="2FF3C155" w14:textId="77777777" w:rsidR="00B13433" w:rsidRPr="00BF6615" w:rsidRDefault="00B13433" w:rsidP="007E26B5">
      <w:pPr>
        <w:spacing w:after="160"/>
        <w:rPr>
          <w:rFonts w:cstheme="minorHAnsi"/>
        </w:rPr>
      </w:pPr>
      <w:r w:rsidRPr="00BF6615">
        <w:rPr>
          <w:rFonts w:cstheme="minorHAnsi"/>
        </w:rPr>
        <w:t>Grupa użytkowników 60+ testowała m.in. stronę samorządową, strony służby zdrowia, strony instytucji kultury i sportu, a także aplikacje mobilne (w tym aplikacje służby zdrowia, aplikację turystyczną oraz aplikacje ostrzegawcze). Podczas testów seniorki i seniorzy napotkali następujące trudności:</w:t>
      </w:r>
    </w:p>
    <w:p w14:paraId="354CA5C8" w14:textId="77777777" w:rsidR="00B13433" w:rsidRPr="00BF6615" w:rsidRDefault="00B13433">
      <w:pPr>
        <w:numPr>
          <w:ilvl w:val="0"/>
          <w:numId w:val="41"/>
        </w:numPr>
        <w:spacing w:after="160"/>
        <w:rPr>
          <w:rFonts w:cstheme="minorHAnsi"/>
        </w:rPr>
      </w:pPr>
      <w:r w:rsidRPr="00BF6615">
        <w:rPr>
          <w:rFonts w:cstheme="minorHAnsi"/>
        </w:rPr>
        <w:t>Strony/aplikacje służby zdrowia – trudności z odczytaniem i zrozumieniem informacji medycznych, skomplikowane procedury (np. logowanie, rejestracja), brak czytelnych instrukcji obsługi.</w:t>
      </w:r>
    </w:p>
    <w:p w14:paraId="5880C392" w14:textId="77777777" w:rsidR="00B13433" w:rsidRPr="00BF6615" w:rsidRDefault="00B13433">
      <w:pPr>
        <w:numPr>
          <w:ilvl w:val="0"/>
          <w:numId w:val="41"/>
        </w:numPr>
        <w:spacing w:after="160"/>
        <w:rPr>
          <w:rFonts w:cstheme="minorHAnsi"/>
        </w:rPr>
      </w:pPr>
      <w:r w:rsidRPr="00BF6615">
        <w:rPr>
          <w:rFonts w:cstheme="minorHAnsi"/>
        </w:rPr>
        <w:t>Strona samorządowa – złożona struktura witryny, niejasny podział na kategorie, problemy z wypełnianiem ewentualnych formularzy urzędowych.</w:t>
      </w:r>
    </w:p>
    <w:p w14:paraId="5EDB90AD" w14:textId="77777777" w:rsidR="00B13433" w:rsidRPr="00BF6615" w:rsidRDefault="00B13433">
      <w:pPr>
        <w:numPr>
          <w:ilvl w:val="0"/>
          <w:numId w:val="41"/>
        </w:numPr>
        <w:spacing w:after="160"/>
        <w:rPr>
          <w:rFonts w:cstheme="minorHAnsi"/>
        </w:rPr>
      </w:pPr>
      <w:r w:rsidRPr="00BF6615">
        <w:rPr>
          <w:rFonts w:cstheme="minorHAnsi"/>
        </w:rPr>
        <w:t>Strony instytucji kultury i sportu – kłopot ze znalezieniem informacji o wydarzeniach lub usługach, brak czytelnych wskazówek dot. rezerwacji czy zakupu biletów.</w:t>
      </w:r>
    </w:p>
    <w:p w14:paraId="284A387B" w14:textId="77777777" w:rsidR="00B13433" w:rsidRPr="00BF6615" w:rsidRDefault="00B13433">
      <w:pPr>
        <w:numPr>
          <w:ilvl w:val="0"/>
          <w:numId w:val="41"/>
        </w:numPr>
        <w:spacing w:after="160"/>
        <w:rPr>
          <w:rFonts w:cstheme="minorHAnsi"/>
        </w:rPr>
      </w:pPr>
      <w:r w:rsidRPr="00BF6615">
        <w:rPr>
          <w:rFonts w:cstheme="minorHAnsi"/>
        </w:rPr>
        <w:lastRenderedPageBreak/>
        <w:t>Aplikacja ostrzegawcza – trudności w interpretacji komunikatów, obawy przed przypadkowym wywołaniem alarmu, brak prostych instrukcji działania w sytuacjach kryzysowych.</w:t>
      </w:r>
    </w:p>
    <w:p w14:paraId="42659549" w14:textId="77777777" w:rsidR="00B13433" w:rsidRPr="00BF6615" w:rsidRDefault="00B13433">
      <w:pPr>
        <w:numPr>
          <w:ilvl w:val="0"/>
          <w:numId w:val="41"/>
        </w:numPr>
        <w:spacing w:after="160"/>
        <w:rPr>
          <w:rFonts w:cstheme="minorHAnsi"/>
        </w:rPr>
      </w:pPr>
      <w:r w:rsidRPr="00BF6615">
        <w:rPr>
          <w:rFonts w:cstheme="minorHAnsi"/>
        </w:rPr>
        <w:t>Aplikacja turystyczna – nieintuicyjny interfejs, przeładowanie informacjami, trudność w szybkim wyszukaniu konkretnych danych</w:t>
      </w:r>
    </w:p>
    <w:p w14:paraId="4E1CD9C0" w14:textId="77777777" w:rsidR="00B13433" w:rsidRPr="00BF6615" w:rsidRDefault="00B13433">
      <w:pPr>
        <w:numPr>
          <w:ilvl w:val="0"/>
          <w:numId w:val="41"/>
        </w:numPr>
        <w:spacing w:after="160"/>
        <w:rPr>
          <w:rFonts w:cstheme="minorHAnsi"/>
        </w:rPr>
      </w:pPr>
      <w:r w:rsidRPr="00BF6615">
        <w:rPr>
          <w:rFonts w:cstheme="minorHAnsi"/>
        </w:rPr>
        <w:t>Strona podatkowa – długi czas dotarcia do informacji, przeładowanie informacjami.</w:t>
      </w:r>
    </w:p>
    <w:p w14:paraId="43DA787C" w14:textId="77777777" w:rsidR="00B13433" w:rsidRPr="00BF6615" w:rsidRDefault="00B13433" w:rsidP="007E26B5">
      <w:pPr>
        <w:rPr>
          <w:rFonts w:cstheme="minorHAnsi"/>
        </w:rPr>
      </w:pPr>
      <w:r w:rsidRPr="00BF6615">
        <w:rPr>
          <w:rFonts w:cstheme="minorHAnsi"/>
        </w:rPr>
        <w:t>Najwięcej problemów odnotowano przy realizacji zadań na stronach dotyczących zdrowia oraz w aplikacjach mobilnych (szczególnie w aplikacji turystycznej), natomiast najmniejsze trudności sprawiły seniorom strony ostrzegawcze.</w:t>
      </w:r>
    </w:p>
    <w:p w14:paraId="2F4D0FCE" w14:textId="75CD509A" w:rsidR="00B13433" w:rsidRPr="00BF6615" w:rsidRDefault="00B13433" w:rsidP="007E26B5">
      <w:pPr>
        <w:pStyle w:val="Legenda"/>
        <w:spacing w:line="276" w:lineRule="auto"/>
        <w:rPr>
          <w:rFonts w:cstheme="minorHAnsi"/>
        </w:rPr>
      </w:pPr>
      <w:bookmarkStart w:id="149" w:name="_Toc196335299"/>
      <w:bookmarkStart w:id="150" w:name="_Toc204179157"/>
      <w:r w:rsidRPr="00BF6615">
        <w:rPr>
          <w:rFonts w:cstheme="minorHAnsi"/>
        </w:rPr>
        <w:t xml:space="preserve">Wykres </w:t>
      </w:r>
      <w:r w:rsidRPr="00BF6615">
        <w:rPr>
          <w:rFonts w:cstheme="minorHAnsi"/>
        </w:rPr>
        <w:fldChar w:fldCharType="begin"/>
      </w:r>
      <w:r w:rsidRPr="00BF6615">
        <w:rPr>
          <w:rFonts w:cstheme="minorHAnsi"/>
        </w:rPr>
        <w:instrText xml:space="preserve"> SEQ Wykres \* ARABIC </w:instrText>
      </w:r>
      <w:r w:rsidRPr="00BF6615">
        <w:rPr>
          <w:rFonts w:cstheme="minorHAnsi"/>
        </w:rPr>
        <w:fldChar w:fldCharType="separate"/>
      </w:r>
      <w:r w:rsidR="00FD0843">
        <w:rPr>
          <w:rFonts w:cstheme="minorHAnsi"/>
          <w:noProof/>
        </w:rPr>
        <w:t>11</w:t>
      </w:r>
      <w:r w:rsidRPr="00BF6615">
        <w:rPr>
          <w:rFonts w:cstheme="minorHAnsi"/>
        </w:rPr>
        <w:fldChar w:fldCharType="end"/>
      </w:r>
      <w:r w:rsidR="002F6492">
        <w:rPr>
          <w:rFonts w:cstheme="minorHAnsi"/>
        </w:rPr>
        <w:t>.</w:t>
      </w:r>
      <w:r w:rsidRPr="00BF6615">
        <w:rPr>
          <w:rFonts w:cstheme="minorHAnsi"/>
        </w:rPr>
        <w:t xml:space="preserve"> Poziom realizacji zadań według rodzajów stron i aplikacji (skala 1 – niezrealizowane do 5 – zrealizowane bez problemu) (osoby, które ukończyły 60 rok życia)</w:t>
      </w:r>
      <w:bookmarkEnd w:id="149"/>
      <w:bookmarkEnd w:id="150"/>
    </w:p>
    <w:p w14:paraId="3A6414BF" w14:textId="77777777" w:rsidR="00B13433" w:rsidRPr="00BF6615" w:rsidRDefault="00B13433" w:rsidP="007E26B5">
      <w:pPr>
        <w:spacing w:after="160"/>
        <w:rPr>
          <w:rFonts w:cstheme="minorHAnsi"/>
        </w:rPr>
      </w:pPr>
      <w:r w:rsidRPr="00BF6615">
        <w:rPr>
          <w:rFonts w:cstheme="minorHAnsi"/>
          <w:noProof/>
          <w:lang w:eastAsia="pl-PL"/>
        </w:rPr>
        <w:drawing>
          <wp:inline distT="0" distB="0" distL="0" distR="0" wp14:anchorId="64114687" wp14:editId="059F0085">
            <wp:extent cx="6172200" cy="3264195"/>
            <wp:effectExtent l="0" t="0" r="0" b="0"/>
            <wp:docPr id="1472597879" name="Wykres 1" descr="Kategoria serwisów Średni poziom trudności&#10;Serwisy służby zdrowia  3,50 &#10;Serwisy kultury i sportu  3,87 &#10;Serwis podatkowy  4,00 &#10;Serwisy samorządowe  4,00 &#10;Serwis transportowy  4,00 &#10;Serwisy ostrzegawcze i ratunkowe   4,04 &#10;">
              <a:extLst xmlns:a="http://schemas.openxmlformats.org/drawingml/2006/main">
                <a:ext uri="{FF2B5EF4-FFF2-40B4-BE49-F238E27FC236}">
                  <a16:creationId xmlns:a16="http://schemas.microsoft.com/office/drawing/2014/main" id="{ADFB4EB4-48A4-4E59-9335-87AFD3EDCF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C7CC518" w14:textId="77777777" w:rsidR="00B13433" w:rsidRPr="00BF6615" w:rsidRDefault="00B13433" w:rsidP="007E26B5">
      <w:r w:rsidRPr="00BF6615">
        <w:t>Źródło: opracowanie własne.</w:t>
      </w:r>
    </w:p>
    <w:p w14:paraId="49A1FE2A" w14:textId="5EF9067A" w:rsidR="00B13433" w:rsidRPr="00BF6615" w:rsidRDefault="00B13433" w:rsidP="00B271C3">
      <w:pPr>
        <w:pStyle w:val="Nagwek4"/>
      </w:pPr>
      <w:r w:rsidRPr="338987BF">
        <w:t>Problemy i bariery napotkane podczas korzystania z testowanych stron i aplikacji podmiotów publicznych</w:t>
      </w:r>
    </w:p>
    <w:p w14:paraId="66A05FEE" w14:textId="77777777" w:rsidR="00B13433" w:rsidRPr="00BF6615" w:rsidRDefault="00B13433" w:rsidP="007E26B5">
      <w:pPr>
        <w:spacing w:after="160"/>
        <w:rPr>
          <w:rFonts w:cstheme="minorHAnsi"/>
        </w:rPr>
      </w:pPr>
      <w:r w:rsidRPr="00BF6615">
        <w:rPr>
          <w:rFonts w:cstheme="minorHAnsi"/>
        </w:rPr>
        <w:t>Najczęściej zgłaszane problemy obejmowały:</w:t>
      </w:r>
    </w:p>
    <w:p w14:paraId="318D2306" w14:textId="77777777" w:rsidR="00B13433" w:rsidRPr="00BF6615" w:rsidRDefault="00B13433">
      <w:pPr>
        <w:numPr>
          <w:ilvl w:val="0"/>
          <w:numId w:val="41"/>
        </w:numPr>
        <w:spacing w:after="160"/>
        <w:rPr>
          <w:rFonts w:cstheme="minorHAnsi"/>
        </w:rPr>
      </w:pPr>
      <w:r w:rsidRPr="00BF6615">
        <w:rPr>
          <w:rFonts w:cstheme="minorHAnsi"/>
        </w:rPr>
        <w:t>Zbyt trudny język – długie zdania, specjalistyczne słownictwo (15 zgłoszeń).</w:t>
      </w:r>
    </w:p>
    <w:p w14:paraId="0E8576CC" w14:textId="77777777" w:rsidR="00B13433" w:rsidRPr="00BF6615" w:rsidRDefault="00B13433">
      <w:pPr>
        <w:numPr>
          <w:ilvl w:val="0"/>
          <w:numId w:val="41"/>
        </w:numPr>
        <w:spacing w:after="160"/>
        <w:rPr>
          <w:rFonts w:cstheme="minorHAnsi"/>
        </w:rPr>
      </w:pPr>
      <w:r w:rsidRPr="00BF6615">
        <w:rPr>
          <w:rFonts w:cstheme="minorHAnsi"/>
        </w:rPr>
        <w:t>Zbyt dużo treści na jednej stronie – przeciążenie informacjami (14).</w:t>
      </w:r>
    </w:p>
    <w:p w14:paraId="312B2CE1" w14:textId="77777777" w:rsidR="00B13433" w:rsidRPr="00BF6615" w:rsidRDefault="00B13433">
      <w:pPr>
        <w:numPr>
          <w:ilvl w:val="0"/>
          <w:numId w:val="41"/>
        </w:numPr>
        <w:spacing w:after="160"/>
        <w:rPr>
          <w:rFonts w:cstheme="minorHAnsi"/>
        </w:rPr>
      </w:pPr>
      <w:r w:rsidRPr="00BF6615">
        <w:rPr>
          <w:rFonts w:cstheme="minorHAnsi"/>
        </w:rPr>
        <w:t>Nieintuicyjna nawigacja – trudność w odnalezieniu potrzebnych sekcji (12).</w:t>
      </w:r>
    </w:p>
    <w:p w14:paraId="60657320" w14:textId="77777777" w:rsidR="00B13433" w:rsidRPr="00BF6615" w:rsidRDefault="00B13433">
      <w:pPr>
        <w:numPr>
          <w:ilvl w:val="0"/>
          <w:numId w:val="41"/>
        </w:numPr>
        <w:spacing w:after="160"/>
        <w:rPr>
          <w:rFonts w:cstheme="minorHAnsi"/>
        </w:rPr>
      </w:pPr>
      <w:r w:rsidRPr="00BF6615">
        <w:rPr>
          <w:rFonts w:cstheme="minorHAnsi"/>
        </w:rPr>
        <w:t>Nieczytelny układ strony i brak wskazówek – brak jasnych podpowiedzi co do obsługi (11).</w:t>
      </w:r>
    </w:p>
    <w:p w14:paraId="2EFE8617" w14:textId="77777777" w:rsidR="00B13433" w:rsidRPr="00BF6615" w:rsidRDefault="00B13433">
      <w:pPr>
        <w:numPr>
          <w:ilvl w:val="0"/>
          <w:numId w:val="41"/>
        </w:numPr>
        <w:spacing w:after="160"/>
        <w:rPr>
          <w:rFonts w:cstheme="minorHAnsi"/>
        </w:rPr>
      </w:pPr>
      <w:r w:rsidRPr="00BF6615">
        <w:rPr>
          <w:rFonts w:cstheme="minorHAnsi"/>
        </w:rPr>
        <w:t>Brak wyszukiwarki – np. brak możliwości szybkiego przeszukania strony (10).</w:t>
      </w:r>
    </w:p>
    <w:p w14:paraId="756AF6AC" w14:textId="77777777" w:rsidR="00B13433" w:rsidRPr="00BF6615" w:rsidRDefault="00B13433" w:rsidP="007E26B5">
      <w:pPr>
        <w:rPr>
          <w:rFonts w:cstheme="minorHAnsi"/>
        </w:rPr>
      </w:pPr>
    </w:p>
    <w:p w14:paraId="238607EB" w14:textId="3222E150" w:rsidR="00B13433" w:rsidRPr="00BF6615" w:rsidRDefault="00B13433" w:rsidP="007E26B5">
      <w:pPr>
        <w:pStyle w:val="Legenda"/>
        <w:spacing w:line="276" w:lineRule="auto"/>
        <w:rPr>
          <w:rFonts w:cstheme="minorHAnsi"/>
          <w:iCs w:val="0"/>
        </w:rPr>
      </w:pPr>
      <w:bookmarkStart w:id="151" w:name="_Toc196335300"/>
      <w:bookmarkStart w:id="152" w:name="_Toc204179158"/>
      <w:r w:rsidRPr="00BF6615">
        <w:rPr>
          <w:rFonts w:cstheme="minorHAnsi"/>
          <w:iCs w:val="0"/>
        </w:rPr>
        <w:lastRenderedPageBreak/>
        <w:t xml:space="preserve">Wykres </w:t>
      </w:r>
      <w:r w:rsidRPr="00BF6615">
        <w:rPr>
          <w:rFonts w:cstheme="minorHAnsi"/>
          <w:iCs w:val="0"/>
        </w:rPr>
        <w:fldChar w:fldCharType="begin"/>
      </w:r>
      <w:r w:rsidRPr="00BF6615">
        <w:rPr>
          <w:rFonts w:cstheme="minorHAnsi"/>
          <w:iCs w:val="0"/>
        </w:rPr>
        <w:instrText xml:space="preserve"> SEQ Wykres \* ARABIC </w:instrText>
      </w:r>
      <w:r w:rsidRPr="00BF6615">
        <w:rPr>
          <w:rFonts w:cstheme="minorHAnsi"/>
          <w:iCs w:val="0"/>
        </w:rPr>
        <w:fldChar w:fldCharType="separate"/>
      </w:r>
      <w:r w:rsidR="00FD0843">
        <w:rPr>
          <w:rFonts w:cstheme="minorHAnsi"/>
          <w:iCs w:val="0"/>
          <w:noProof/>
        </w:rPr>
        <w:t>12</w:t>
      </w:r>
      <w:r w:rsidRPr="00BF6615">
        <w:rPr>
          <w:rFonts w:cstheme="minorHAnsi"/>
          <w:iCs w:val="0"/>
        </w:rPr>
        <w:fldChar w:fldCharType="end"/>
      </w:r>
      <w:r w:rsidR="002F6492">
        <w:rPr>
          <w:rFonts w:cstheme="minorHAnsi"/>
          <w:iCs w:val="0"/>
        </w:rPr>
        <w:t>.</w:t>
      </w:r>
      <w:r w:rsidRPr="00BF6615">
        <w:rPr>
          <w:rFonts w:cstheme="minorHAnsi"/>
          <w:iCs w:val="0"/>
        </w:rPr>
        <w:t xml:space="preserve"> Najczęściej zgłaszane problemy na stronach i w aplikacjach (liczba zgłoszeń) </w:t>
      </w:r>
      <w:r w:rsidRPr="00BF6615">
        <w:rPr>
          <w:rFonts w:cstheme="minorHAnsi"/>
        </w:rPr>
        <w:t>(osoby, które ukończyły 60 rok życia)</w:t>
      </w:r>
      <w:bookmarkEnd w:id="151"/>
      <w:bookmarkEnd w:id="152"/>
    </w:p>
    <w:p w14:paraId="67EA7758" w14:textId="77777777" w:rsidR="00B13433" w:rsidRPr="00BF6615" w:rsidRDefault="00B13433" w:rsidP="007E26B5">
      <w:pPr>
        <w:pStyle w:val="Legenda"/>
        <w:spacing w:line="276" w:lineRule="auto"/>
        <w:rPr>
          <w:rFonts w:cstheme="minorHAnsi"/>
          <w:iCs w:val="0"/>
        </w:rPr>
      </w:pPr>
      <w:r w:rsidRPr="00BF6615">
        <w:rPr>
          <w:rFonts w:cstheme="minorHAnsi"/>
          <w:iCs w:val="0"/>
          <w:noProof/>
          <w:lang w:eastAsia="pl-PL"/>
        </w:rPr>
        <w:drawing>
          <wp:inline distT="0" distB="0" distL="0" distR="0" wp14:anchorId="6BE76415" wp14:editId="78BB3B45">
            <wp:extent cx="5907820" cy="2743200"/>
            <wp:effectExtent l="0" t="0" r="0" b="0"/>
            <wp:docPr id="678937814" name="Wykres 1" descr="Rodzaj problemu Liczba zgłoszeń&#10;Trudny język 15&#10;Nadmiar treści 14&#10;Nieintuicyjna nawigacja 12&#10;Nieczytelny układ strony i brak wskazówek 11&#10;Brak wyszukiwarki 10&#10;&#10;">
              <a:extLst xmlns:a="http://schemas.openxmlformats.org/drawingml/2006/main">
                <a:ext uri="{FF2B5EF4-FFF2-40B4-BE49-F238E27FC236}">
                  <a16:creationId xmlns:a16="http://schemas.microsoft.com/office/drawing/2014/main" id="{B5C1979C-EB92-4E69-A17A-26CE5544C3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8F154EB" w14:textId="77777777" w:rsidR="00B13433" w:rsidRPr="00BF6615" w:rsidRDefault="00B13433" w:rsidP="007E26B5">
      <w:r w:rsidRPr="00BF6615">
        <w:t>Źródło: opracowanie własne.</w:t>
      </w:r>
    </w:p>
    <w:p w14:paraId="4D538F11" w14:textId="79A70376" w:rsidR="00B13433" w:rsidRPr="00BF6615" w:rsidRDefault="00B13433" w:rsidP="00B271C3">
      <w:pPr>
        <w:pStyle w:val="Nagwek4"/>
      </w:pPr>
      <w:r w:rsidRPr="338987BF">
        <w:t xml:space="preserve">Zakres wymagający poprawy według rodzajów </w:t>
      </w:r>
      <w:r w:rsidR="47F23429" w:rsidRPr="338987BF">
        <w:rPr>
          <w:bCs/>
        </w:rPr>
        <w:t>i</w:t>
      </w:r>
      <w:r w:rsidRPr="338987BF">
        <w:t xml:space="preserve"> typów testowanych stron i aplikacji podmiotów </w:t>
      </w:r>
      <w:r w:rsidRPr="00B271C3">
        <w:rPr>
          <w:rStyle w:val="Nagwek4Znak"/>
          <w:b/>
        </w:rPr>
        <w:t>publicznych</w:t>
      </w:r>
    </w:p>
    <w:p w14:paraId="19A454E5" w14:textId="77777777" w:rsidR="00B13433" w:rsidRPr="00BF6615" w:rsidRDefault="00B13433">
      <w:pPr>
        <w:numPr>
          <w:ilvl w:val="0"/>
          <w:numId w:val="41"/>
        </w:numPr>
        <w:spacing w:after="160"/>
        <w:rPr>
          <w:rFonts w:cstheme="minorHAnsi"/>
        </w:rPr>
      </w:pPr>
      <w:r w:rsidRPr="00BF6615">
        <w:rPr>
          <w:rFonts w:cstheme="minorHAnsi"/>
        </w:rPr>
        <w:t>Strony służby zdrowia – uproszczenie procesu logowania/rejestracji, czytelniejsza prezentacja wyników badań i informacji medycznych.</w:t>
      </w:r>
    </w:p>
    <w:p w14:paraId="5059A73D" w14:textId="77777777" w:rsidR="00B13433" w:rsidRPr="00BF6615" w:rsidRDefault="00B13433">
      <w:pPr>
        <w:numPr>
          <w:ilvl w:val="0"/>
          <w:numId w:val="41"/>
        </w:numPr>
        <w:spacing w:after="160"/>
        <w:rPr>
          <w:rFonts w:cstheme="minorHAnsi"/>
        </w:rPr>
      </w:pPr>
      <w:r w:rsidRPr="00BF6615">
        <w:rPr>
          <w:rFonts w:cstheme="minorHAnsi"/>
        </w:rPr>
        <w:t>Strony samorządowe – prostsze formularze online, jasne i zwięzłe komunikaty dla użytkownika.</w:t>
      </w:r>
    </w:p>
    <w:p w14:paraId="1A71A508" w14:textId="77777777" w:rsidR="00B13433" w:rsidRPr="00BF6615" w:rsidRDefault="00B13433">
      <w:pPr>
        <w:numPr>
          <w:ilvl w:val="0"/>
          <w:numId w:val="41"/>
        </w:numPr>
        <w:spacing w:after="160"/>
        <w:rPr>
          <w:rFonts w:cstheme="minorHAnsi"/>
        </w:rPr>
      </w:pPr>
      <w:r w:rsidRPr="00BF6615">
        <w:rPr>
          <w:rFonts w:cstheme="minorHAnsi"/>
        </w:rPr>
        <w:t>Strony kultury i sportu – wyeksponowanie informacji o wydarzeniach (terminy, lokalizacje), uproszczenie procesu rezerwacji biletów.</w:t>
      </w:r>
    </w:p>
    <w:p w14:paraId="14D4DD87" w14:textId="77777777" w:rsidR="00B13433" w:rsidRPr="00BF6615" w:rsidRDefault="00B13433">
      <w:pPr>
        <w:numPr>
          <w:ilvl w:val="0"/>
          <w:numId w:val="41"/>
        </w:numPr>
        <w:spacing w:after="160"/>
        <w:rPr>
          <w:rFonts w:cstheme="minorHAnsi"/>
        </w:rPr>
      </w:pPr>
      <w:r w:rsidRPr="00BF6615">
        <w:rPr>
          <w:rFonts w:cstheme="minorHAnsi"/>
        </w:rPr>
        <w:t>Strony ostrzegawcze – zapewnienie zrozumiałych, prostych instrukcji postępowania w sytuacjach zagrożenia.</w:t>
      </w:r>
    </w:p>
    <w:p w14:paraId="454351AB" w14:textId="77777777" w:rsidR="00B13433" w:rsidRPr="00BF6615" w:rsidRDefault="00B13433">
      <w:pPr>
        <w:numPr>
          <w:ilvl w:val="0"/>
          <w:numId w:val="41"/>
        </w:numPr>
        <w:spacing w:after="160"/>
        <w:rPr>
          <w:rFonts w:cstheme="minorHAnsi"/>
        </w:rPr>
      </w:pPr>
      <w:r w:rsidRPr="00BF6615">
        <w:rPr>
          <w:rFonts w:cstheme="minorHAnsi"/>
        </w:rPr>
        <w:t>Aplikacje mobilne – intuicyjny interfejs dostosowany do potrzeb seniorów (większe czcionki, czytelne ikony), możliwość zapoznania się z funkcjami bez ryzyka wywołania alarmu.</w:t>
      </w:r>
    </w:p>
    <w:p w14:paraId="42A0EDDB" w14:textId="0E235958" w:rsidR="00B13433" w:rsidRPr="00BF6615" w:rsidRDefault="00B13433" w:rsidP="00B271C3">
      <w:pPr>
        <w:pStyle w:val="Nagwek4"/>
      </w:pPr>
      <w:r w:rsidRPr="338987BF">
        <w:t xml:space="preserve">Problemy </w:t>
      </w:r>
      <w:r w:rsidRPr="00B271C3">
        <w:rPr>
          <w:rStyle w:val="Nagwek4Znak"/>
          <w:b/>
        </w:rPr>
        <w:t>występujące</w:t>
      </w:r>
      <w:r w:rsidRPr="338987BF">
        <w:t xml:space="preserve"> podczas testów według zasad dostępności WCAG</w:t>
      </w:r>
    </w:p>
    <w:p w14:paraId="32D1B124" w14:textId="77777777" w:rsidR="00B13433" w:rsidRPr="00BF6615" w:rsidRDefault="00B13433" w:rsidP="007E26B5">
      <w:pPr>
        <w:spacing w:after="160"/>
        <w:rPr>
          <w:rFonts w:cstheme="minorHAnsi"/>
        </w:rPr>
      </w:pPr>
      <w:r w:rsidRPr="00BF6615">
        <w:rPr>
          <w:rFonts w:cstheme="minorHAnsi"/>
        </w:rPr>
        <w:t>Poniżej przedstawiono tabele z liczbą wystąpień zidentyfikowanych problemów w podziale na cztery zasady dostępności: Postrzegalność (Zasada 1), Funkcjonalność (Zasada 2), Zrozumiałość (Zasada 3) oraz Kompatybilność (Zasada 4). W każdej tabeli dla każdej kategorii problemu podano: nazwę problemu, liczbę wystąpień w grupie, o ile przekroczyły one liczbę 3 wystąpień.</w:t>
      </w:r>
      <w:r w:rsidRPr="00BF6615">
        <w:rPr>
          <w:rFonts w:cstheme="minorHAnsi"/>
        </w:rPr>
        <w:br/>
        <w:t>Dane w tabelach zostały posortowane malejąco według łącznej liczby wystąpień (od problemów najczęściej występujących do najrzadszych).</w:t>
      </w:r>
    </w:p>
    <w:p w14:paraId="31858FF7" w14:textId="77777777" w:rsidR="00B13433" w:rsidRPr="00BF6615" w:rsidRDefault="00B13433" w:rsidP="007E26B5">
      <w:pPr>
        <w:spacing w:after="160"/>
        <w:rPr>
          <w:rFonts w:cstheme="minorHAnsi"/>
        </w:rPr>
      </w:pPr>
      <w:r w:rsidRPr="00BF6615">
        <w:rPr>
          <w:rFonts w:cstheme="minorHAnsi"/>
        </w:rPr>
        <w:t>Suma trudności według poszczególnych zasad WCAG:</w:t>
      </w:r>
    </w:p>
    <w:p w14:paraId="6BF0C10F" w14:textId="77777777" w:rsidR="00B13433" w:rsidRPr="00BF6615" w:rsidRDefault="00B13433">
      <w:pPr>
        <w:numPr>
          <w:ilvl w:val="0"/>
          <w:numId w:val="41"/>
        </w:numPr>
        <w:spacing w:after="160"/>
        <w:rPr>
          <w:rFonts w:cstheme="minorHAnsi"/>
        </w:rPr>
      </w:pPr>
      <w:r w:rsidRPr="00BF6615">
        <w:rPr>
          <w:rFonts w:cstheme="minorHAnsi"/>
        </w:rPr>
        <w:t>Zasada 1: postrzegalność – 21</w:t>
      </w:r>
    </w:p>
    <w:p w14:paraId="0E2B3D7C" w14:textId="77777777" w:rsidR="00B13433" w:rsidRPr="00BF6615" w:rsidRDefault="00B13433">
      <w:pPr>
        <w:numPr>
          <w:ilvl w:val="0"/>
          <w:numId w:val="41"/>
        </w:numPr>
        <w:spacing w:after="160"/>
        <w:rPr>
          <w:rFonts w:cstheme="minorHAnsi"/>
        </w:rPr>
      </w:pPr>
      <w:r w:rsidRPr="00BF6615">
        <w:rPr>
          <w:rFonts w:cstheme="minorHAnsi"/>
        </w:rPr>
        <w:lastRenderedPageBreak/>
        <w:t>Zasada 2: funkcjonalność – 29</w:t>
      </w:r>
    </w:p>
    <w:p w14:paraId="2BE27A37" w14:textId="77777777" w:rsidR="00B13433" w:rsidRPr="00BF6615" w:rsidRDefault="00B13433">
      <w:pPr>
        <w:numPr>
          <w:ilvl w:val="0"/>
          <w:numId w:val="41"/>
        </w:numPr>
        <w:spacing w:after="160"/>
        <w:rPr>
          <w:rFonts w:cstheme="minorHAnsi"/>
        </w:rPr>
      </w:pPr>
      <w:r w:rsidRPr="00BF6615">
        <w:rPr>
          <w:rFonts w:cstheme="minorHAnsi"/>
        </w:rPr>
        <w:t>Zasada 3: zrozumiałość – 19</w:t>
      </w:r>
    </w:p>
    <w:p w14:paraId="2A77645A" w14:textId="77777777" w:rsidR="00B13433" w:rsidRPr="00BF6615" w:rsidRDefault="00B13433">
      <w:pPr>
        <w:numPr>
          <w:ilvl w:val="0"/>
          <w:numId w:val="41"/>
        </w:numPr>
        <w:spacing w:after="160"/>
        <w:rPr>
          <w:rFonts w:cstheme="minorHAnsi"/>
        </w:rPr>
      </w:pPr>
      <w:r w:rsidRPr="00BF6615">
        <w:rPr>
          <w:rFonts w:cstheme="minorHAnsi"/>
        </w:rPr>
        <w:t>Zasada 4: kompatybilność – 2</w:t>
      </w:r>
    </w:p>
    <w:p w14:paraId="72F20B63" w14:textId="77777777" w:rsidR="00755A4B" w:rsidRPr="00755A4B" w:rsidRDefault="00B13433" w:rsidP="00B271C3">
      <w:pPr>
        <w:pStyle w:val="Nagwek4"/>
      </w:pPr>
      <w:r w:rsidRPr="00755A4B">
        <w:t>Zasada 1: Postrzegalność</w:t>
      </w:r>
    </w:p>
    <w:p w14:paraId="41519867" w14:textId="3DD4822B" w:rsidR="00B13433" w:rsidRPr="00BF6615" w:rsidRDefault="00B13433" w:rsidP="007E26B5">
      <w:pPr>
        <w:spacing w:after="160"/>
        <w:rPr>
          <w:rFonts w:cstheme="minorHAnsi"/>
        </w:rPr>
      </w:pPr>
      <w:r w:rsidRPr="00BF6615">
        <w:rPr>
          <w:rFonts w:cstheme="minorHAnsi"/>
        </w:rPr>
        <w:t xml:space="preserve">Wyniki analizy błędów wskazują, że najczęściej występowały problemy związane z brakiem alternatywnych opisów dla grafik oraz instrukcjami polegającymi wyłącznie na cechach zmysłowych (kolor, kształt). Najczęstsze problemy dotyczyły kryterium 1.1.1 – Treść nietekstowa (7 razy). Pomimo że uczestnicy testów byli osobami widzącymi, bez widocznych trudności poznawczych i korzystającymi na co dzień z Internetu, napotykali oni szereg problemów wynikających z różnych czynników – m.in. ograniczonego doświadczenia z bardziej złożonymi interfejsami stron WWW czy też pogorszonego wzroku. Trudności dotyczyły treści nietekstowych, np. brak opisów i wyjaśnień do zamieszczonych zdjęć, złożone dokumenty i schematy przedstawione w formie skanów papierowych dokumentów czy też trudno dostępne wizualnie zabezpieczenia typu </w:t>
      </w:r>
      <w:proofErr w:type="spellStart"/>
      <w:r w:rsidRPr="00BF6615">
        <w:rPr>
          <w:rFonts w:cstheme="minorHAnsi"/>
        </w:rPr>
        <w:t>captcha</w:t>
      </w:r>
      <w:proofErr w:type="spellEnd"/>
      <w:r w:rsidRPr="00BF6615">
        <w:rPr>
          <w:rFonts w:cstheme="minorHAnsi"/>
        </w:rPr>
        <w:t xml:space="preserve">. W grupie testowej pojawiły się również trudności związane z obsługą narzędzi zwiększających dostępność stron, gdzie mało intuicyjne ikony były zamieszczone bez opisów tekstowych. </w:t>
      </w:r>
    </w:p>
    <w:p w14:paraId="72507ABC" w14:textId="50CB249A" w:rsidR="00B13433" w:rsidRPr="00BF6615" w:rsidRDefault="00B13433" w:rsidP="007E26B5">
      <w:pPr>
        <w:pStyle w:val="Legenda"/>
        <w:spacing w:line="276" w:lineRule="auto"/>
        <w:rPr>
          <w:rFonts w:cstheme="minorHAnsi"/>
        </w:rPr>
      </w:pPr>
      <w:bookmarkStart w:id="153" w:name="_Toc196335285"/>
      <w:bookmarkStart w:id="154" w:name="_Toc204179118"/>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20</w:t>
      </w:r>
      <w:r w:rsidRPr="00BF6615">
        <w:rPr>
          <w:rFonts w:cstheme="minorHAnsi"/>
        </w:rPr>
        <w:fldChar w:fldCharType="end"/>
      </w:r>
      <w:r w:rsidR="002F6492">
        <w:rPr>
          <w:rFonts w:cstheme="minorHAnsi"/>
        </w:rPr>
        <w:t>.</w:t>
      </w:r>
      <w:r w:rsidRPr="00BF6615">
        <w:rPr>
          <w:rFonts w:cstheme="minorHAnsi"/>
        </w:rPr>
        <w:t xml:space="preserve"> Liczba zidentyfikowanych problemów w zasadzie 1: Postrzegalność (osoby, które ukończyły 60 rok życia)</w:t>
      </w:r>
      <w:bookmarkEnd w:id="153"/>
      <w:bookmarkEnd w:id="154"/>
    </w:p>
    <w:tbl>
      <w:tblPr>
        <w:tblStyle w:val="PARP"/>
        <w:tblW w:w="5000" w:type="pct"/>
        <w:tblLook w:val="04A0" w:firstRow="1" w:lastRow="0" w:firstColumn="1" w:lastColumn="0" w:noHBand="0" w:noVBand="1"/>
        <w:tblCaption w:val="Liczba zidentyfikowanych problemów w zasadzie 1: Postrzegalność (osoby, które ukończyły 60 rok życia)"/>
        <w:tblDescription w:val="Liczba zidentyfikowanych problemów w zasadzie 1: Postrzegalność (osoby, które ukończyły 60 rok życia)"/>
      </w:tblPr>
      <w:tblGrid>
        <w:gridCol w:w="6925"/>
        <w:gridCol w:w="2137"/>
      </w:tblGrid>
      <w:tr w:rsidR="00B13433" w:rsidRPr="00BF6615" w14:paraId="7934F01E" w14:textId="77777777">
        <w:trPr>
          <w:cnfStyle w:val="100000000000" w:firstRow="1" w:lastRow="0" w:firstColumn="0" w:lastColumn="0" w:oddVBand="0" w:evenVBand="0" w:oddHBand="0" w:evenHBand="0" w:firstRowFirstColumn="0" w:firstRowLastColumn="0" w:lastRowFirstColumn="0" w:lastRowLastColumn="0"/>
        </w:trPr>
        <w:tc>
          <w:tcPr>
            <w:tcW w:w="3774" w:type="pct"/>
            <w:hideMark/>
          </w:tcPr>
          <w:p w14:paraId="14817DE7" w14:textId="77777777" w:rsidR="00B13433" w:rsidRPr="00BF6615" w:rsidRDefault="00B13433" w:rsidP="007E26B5">
            <w:pPr>
              <w:spacing w:after="160"/>
              <w:rPr>
                <w:rFonts w:cstheme="minorHAnsi"/>
              </w:rPr>
            </w:pPr>
            <w:r w:rsidRPr="00BF6615">
              <w:rPr>
                <w:rFonts w:cstheme="minorHAnsi"/>
              </w:rPr>
              <w:t>Nazwa kryterium</w:t>
            </w:r>
          </w:p>
        </w:tc>
        <w:tc>
          <w:tcPr>
            <w:tcW w:w="1164" w:type="pct"/>
            <w:hideMark/>
          </w:tcPr>
          <w:p w14:paraId="46C7C748" w14:textId="77777777" w:rsidR="00B13433" w:rsidRPr="00BF6615" w:rsidRDefault="00B13433" w:rsidP="007E26B5">
            <w:pPr>
              <w:spacing w:after="160"/>
              <w:rPr>
                <w:rFonts w:cstheme="minorHAnsi"/>
              </w:rPr>
            </w:pPr>
            <w:r w:rsidRPr="00BF6615">
              <w:rPr>
                <w:rFonts w:cstheme="minorHAnsi"/>
              </w:rPr>
              <w:t>Liczba wystąpień</w:t>
            </w:r>
          </w:p>
        </w:tc>
      </w:tr>
      <w:tr w:rsidR="00B13433" w:rsidRPr="00BF6615" w14:paraId="3095B192" w14:textId="77777777">
        <w:trPr>
          <w:cnfStyle w:val="000000100000" w:firstRow="0" w:lastRow="0" w:firstColumn="0" w:lastColumn="0" w:oddVBand="0" w:evenVBand="0" w:oddHBand="1" w:evenHBand="0" w:firstRowFirstColumn="0" w:firstRowLastColumn="0" w:lastRowFirstColumn="0" w:lastRowLastColumn="0"/>
        </w:trPr>
        <w:tc>
          <w:tcPr>
            <w:tcW w:w="3774" w:type="pct"/>
            <w:hideMark/>
          </w:tcPr>
          <w:p w14:paraId="7EEC9C5D" w14:textId="77777777" w:rsidR="00B13433" w:rsidRPr="00BF6615" w:rsidRDefault="00B13433" w:rsidP="007E26B5">
            <w:pPr>
              <w:spacing w:after="160"/>
              <w:rPr>
                <w:rFonts w:cstheme="minorHAnsi"/>
              </w:rPr>
            </w:pPr>
            <w:r w:rsidRPr="00BF6615">
              <w:rPr>
                <w:rFonts w:cstheme="minorHAnsi"/>
              </w:rPr>
              <w:t>1.1.1 – Treść nietekstowa (brak opisów alternatywnych)</w:t>
            </w:r>
          </w:p>
        </w:tc>
        <w:tc>
          <w:tcPr>
            <w:tcW w:w="1164" w:type="pct"/>
            <w:hideMark/>
          </w:tcPr>
          <w:p w14:paraId="5637AA86" w14:textId="77777777" w:rsidR="00B13433" w:rsidRPr="00BF6615" w:rsidRDefault="00B13433" w:rsidP="007E26B5">
            <w:pPr>
              <w:spacing w:after="160"/>
              <w:rPr>
                <w:rFonts w:cstheme="minorHAnsi"/>
              </w:rPr>
            </w:pPr>
            <w:r w:rsidRPr="00BF6615">
              <w:rPr>
                <w:rFonts w:cstheme="minorHAnsi"/>
              </w:rPr>
              <w:t>7</w:t>
            </w:r>
          </w:p>
        </w:tc>
      </w:tr>
      <w:tr w:rsidR="00B13433" w:rsidRPr="00BF6615" w14:paraId="22CCF91D" w14:textId="77777777">
        <w:trPr>
          <w:cnfStyle w:val="000000010000" w:firstRow="0" w:lastRow="0" w:firstColumn="0" w:lastColumn="0" w:oddVBand="0" w:evenVBand="0" w:oddHBand="0" w:evenHBand="1" w:firstRowFirstColumn="0" w:firstRowLastColumn="0" w:lastRowFirstColumn="0" w:lastRowLastColumn="0"/>
        </w:trPr>
        <w:tc>
          <w:tcPr>
            <w:tcW w:w="3774" w:type="pct"/>
            <w:hideMark/>
          </w:tcPr>
          <w:p w14:paraId="79C9EE2D" w14:textId="77777777" w:rsidR="00B13433" w:rsidRPr="00BF6615" w:rsidRDefault="00B13433" w:rsidP="007E26B5">
            <w:pPr>
              <w:spacing w:after="160"/>
              <w:rPr>
                <w:rFonts w:cstheme="minorHAnsi"/>
              </w:rPr>
            </w:pPr>
            <w:r w:rsidRPr="00BF6615">
              <w:rPr>
                <w:rFonts w:cstheme="minorHAnsi"/>
              </w:rPr>
              <w:t>1.3.3 – Właściwości zmysłowe</w:t>
            </w:r>
          </w:p>
        </w:tc>
        <w:tc>
          <w:tcPr>
            <w:tcW w:w="1164" w:type="pct"/>
            <w:hideMark/>
          </w:tcPr>
          <w:p w14:paraId="52C320C5" w14:textId="77777777" w:rsidR="00B13433" w:rsidRPr="00BF6615" w:rsidRDefault="00B13433" w:rsidP="007E26B5">
            <w:pPr>
              <w:spacing w:after="160"/>
              <w:rPr>
                <w:rFonts w:cstheme="minorHAnsi"/>
              </w:rPr>
            </w:pPr>
            <w:r w:rsidRPr="00BF6615">
              <w:rPr>
                <w:rFonts w:cstheme="minorHAnsi"/>
              </w:rPr>
              <w:t>6</w:t>
            </w:r>
          </w:p>
        </w:tc>
      </w:tr>
      <w:tr w:rsidR="00B13433" w:rsidRPr="00BF6615" w14:paraId="79652799" w14:textId="77777777">
        <w:trPr>
          <w:cnfStyle w:val="000000100000" w:firstRow="0" w:lastRow="0" w:firstColumn="0" w:lastColumn="0" w:oddVBand="0" w:evenVBand="0" w:oddHBand="1" w:evenHBand="0" w:firstRowFirstColumn="0" w:firstRowLastColumn="0" w:lastRowFirstColumn="0" w:lastRowLastColumn="0"/>
        </w:trPr>
        <w:tc>
          <w:tcPr>
            <w:tcW w:w="3774" w:type="pct"/>
          </w:tcPr>
          <w:p w14:paraId="2C7D9551" w14:textId="77777777" w:rsidR="00B13433" w:rsidRPr="00BF6615" w:rsidRDefault="00B13433" w:rsidP="007E26B5">
            <w:pPr>
              <w:spacing w:after="160"/>
              <w:rPr>
                <w:rFonts w:cstheme="minorHAnsi"/>
              </w:rPr>
            </w:pPr>
            <w:r w:rsidRPr="00BF6615">
              <w:rPr>
                <w:rFonts w:cstheme="minorHAnsi"/>
              </w:rPr>
              <w:t>1.4.4 – Zmiana rozmiaru tekstu</w:t>
            </w:r>
          </w:p>
        </w:tc>
        <w:tc>
          <w:tcPr>
            <w:tcW w:w="1164" w:type="pct"/>
          </w:tcPr>
          <w:p w14:paraId="68D61EB6" w14:textId="77777777" w:rsidR="00B13433" w:rsidRPr="00BF6615" w:rsidRDefault="00B13433" w:rsidP="007E26B5">
            <w:pPr>
              <w:spacing w:after="160"/>
              <w:rPr>
                <w:rFonts w:cstheme="minorHAnsi"/>
              </w:rPr>
            </w:pPr>
            <w:r w:rsidRPr="00BF6615">
              <w:rPr>
                <w:rFonts w:cstheme="minorHAnsi"/>
              </w:rPr>
              <w:t>3</w:t>
            </w:r>
          </w:p>
        </w:tc>
      </w:tr>
      <w:tr w:rsidR="00B13433" w:rsidRPr="00BF6615" w14:paraId="4F984C4C" w14:textId="77777777">
        <w:trPr>
          <w:cnfStyle w:val="000000010000" w:firstRow="0" w:lastRow="0" w:firstColumn="0" w:lastColumn="0" w:oddVBand="0" w:evenVBand="0" w:oddHBand="0" w:evenHBand="1" w:firstRowFirstColumn="0" w:firstRowLastColumn="0" w:lastRowFirstColumn="0" w:lastRowLastColumn="0"/>
        </w:trPr>
        <w:tc>
          <w:tcPr>
            <w:tcW w:w="3774" w:type="pct"/>
          </w:tcPr>
          <w:p w14:paraId="38ACFF9C" w14:textId="77777777" w:rsidR="00B13433" w:rsidRPr="00BF6615" w:rsidRDefault="00B13433" w:rsidP="007E26B5">
            <w:pPr>
              <w:spacing w:after="160"/>
              <w:rPr>
                <w:rFonts w:cstheme="minorHAnsi"/>
              </w:rPr>
            </w:pPr>
            <w:r w:rsidRPr="00BF6615">
              <w:rPr>
                <w:rFonts w:cstheme="minorHAnsi"/>
              </w:rPr>
              <w:t>1.4.5 – Obrazy tekstu</w:t>
            </w:r>
          </w:p>
        </w:tc>
        <w:tc>
          <w:tcPr>
            <w:tcW w:w="1164" w:type="pct"/>
          </w:tcPr>
          <w:p w14:paraId="5FD6D438" w14:textId="77777777" w:rsidR="00B13433" w:rsidRPr="00BF6615" w:rsidRDefault="00B13433" w:rsidP="007E26B5">
            <w:pPr>
              <w:spacing w:after="160"/>
              <w:rPr>
                <w:rFonts w:cstheme="minorHAnsi"/>
              </w:rPr>
            </w:pPr>
            <w:r w:rsidRPr="00BF6615">
              <w:rPr>
                <w:rFonts w:cstheme="minorHAnsi"/>
              </w:rPr>
              <w:t>3</w:t>
            </w:r>
          </w:p>
        </w:tc>
      </w:tr>
    </w:tbl>
    <w:p w14:paraId="20B3E54A" w14:textId="77777777" w:rsidR="00B13433" w:rsidRPr="00BF6615" w:rsidRDefault="00B13433" w:rsidP="007E26B5">
      <w:r w:rsidRPr="00BF6615">
        <w:t>Źródło: opracowanie własne.</w:t>
      </w:r>
    </w:p>
    <w:p w14:paraId="105C2E1A" w14:textId="77777777" w:rsidR="00755A4B" w:rsidRDefault="00B13433" w:rsidP="00755A4B">
      <w:pPr>
        <w:pStyle w:val="Nagwek4"/>
      </w:pPr>
      <w:r w:rsidRPr="00BF6615">
        <w:rPr>
          <w:rFonts w:cstheme="minorHAnsi"/>
          <w:bCs/>
        </w:rPr>
        <w:t xml:space="preserve">Zasada 2: </w:t>
      </w:r>
      <w:r w:rsidRPr="00755A4B">
        <w:t>Funkcjonalność</w:t>
      </w:r>
    </w:p>
    <w:p w14:paraId="5FEF0C76" w14:textId="1C928D54" w:rsidR="009429ED" w:rsidRDefault="00B13433" w:rsidP="00B271C3">
      <w:r w:rsidRPr="00BF6615">
        <w:t>Najczęściej występującym problemem w tej kategorii był brak możliwości szybkiego przejścia do głównej treści lub sekcji (np. brak linku „Przejdź do treści” oraz mechanizmów alternatywnej nawigacji). To odzwierciedla kryterium 2.4.5 – Wiele dróg (16 przypadków).</w:t>
      </w:r>
      <w:bookmarkStart w:id="155" w:name="_Toc196335286"/>
    </w:p>
    <w:p w14:paraId="55D689E4" w14:textId="0A30EEE3" w:rsidR="00B13433" w:rsidRPr="00BF6615" w:rsidRDefault="00B13433" w:rsidP="007E26B5">
      <w:pPr>
        <w:pStyle w:val="Legenda"/>
      </w:pPr>
      <w:bookmarkStart w:id="156" w:name="_Toc204179119"/>
      <w:r w:rsidRPr="00BF6615">
        <w:t xml:space="preserve">Tabela </w:t>
      </w:r>
      <w:r w:rsidRPr="00BF6615">
        <w:fldChar w:fldCharType="begin"/>
      </w:r>
      <w:r w:rsidRPr="00BF6615">
        <w:instrText xml:space="preserve"> SEQ Tabela \* ARABIC </w:instrText>
      </w:r>
      <w:r w:rsidRPr="00BF6615">
        <w:fldChar w:fldCharType="separate"/>
      </w:r>
      <w:r w:rsidR="00FD0843">
        <w:rPr>
          <w:noProof/>
        </w:rPr>
        <w:t>21</w:t>
      </w:r>
      <w:r w:rsidRPr="00BF6615">
        <w:fldChar w:fldCharType="end"/>
      </w:r>
      <w:r w:rsidR="002F6492">
        <w:t>.</w:t>
      </w:r>
      <w:r w:rsidRPr="00BF6615">
        <w:t xml:space="preserve"> Liczba zidentyfikowanych problemów w zasadzie 2: Funkcjonalność (osoby, które ukończyły 60 rok życia)</w:t>
      </w:r>
      <w:bookmarkEnd w:id="155"/>
      <w:bookmarkEnd w:id="156"/>
    </w:p>
    <w:tbl>
      <w:tblPr>
        <w:tblStyle w:val="PARP"/>
        <w:tblW w:w="5000" w:type="pct"/>
        <w:tblLook w:val="04A0" w:firstRow="1" w:lastRow="0" w:firstColumn="1" w:lastColumn="0" w:noHBand="0" w:noVBand="1"/>
        <w:tblCaption w:val="Liczba zidentyfikowanych problemów w zasadzie 2: Funkcjonalność (osoby, które ukończyły 60 rok życia)"/>
        <w:tblDescription w:val="Liczba zidentyfikowanych problemów w zasadzie 2: Funkcjonalność (osoby, które ukończyły 60 rok życia)"/>
      </w:tblPr>
      <w:tblGrid>
        <w:gridCol w:w="6171"/>
        <w:gridCol w:w="2891"/>
      </w:tblGrid>
      <w:tr w:rsidR="00B13433" w:rsidRPr="00BF6615" w14:paraId="65D403AF" w14:textId="77777777">
        <w:trPr>
          <w:cnfStyle w:val="100000000000" w:firstRow="1" w:lastRow="0" w:firstColumn="0" w:lastColumn="0" w:oddVBand="0" w:evenVBand="0" w:oddHBand="0" w:evenHBand="0" w:firstRowFirstColumn="0" w:firstRowLastColumn="0" w:lastRowFirstColumn="0" w:lastRowLastColumn="0"/>
        </w:trPr>
        <w:tc>
          <w:tcPr>
            <w:tcW w:w="3405" w:type="pct"/>
            <w:hideMark/>
          </w:tcPr>
          <w:p w14:paraId="2274D2E3" w14:textId="77777777" w:rsidR="00B13433" w:rsidRPr="00BF6615" w:rsidRDefault="00B13433" w:rsidP="007E26B5">
            <w:pPr>
              <w:spacing w:after="160"/>
              <w:rPr>
                <w:rFonts w:cstheme="minorHAnsi"/>
              </w:rPr>
            </w:pPr>
            <w:r w:rsidRPr="00BF6615">
              <w:rPr>
                <w:rFonts w:cstheme="minorHAnsi"/>
              </w:rPr>
              <w:t>Nazwa kryterium</w:t>
            </w:r>
          </w:p>
        </w:tc>
        <w:tc>
          <w:tcPr>
            <w:tcW w:w="1595" w:type="pct"/>
            <w:hideMark/>
          </w:tcPr>
          <w:p w14:paraId="76CB06E2" w14:textId="77777777" w:rsidR="00B13433" w:rsidRPr="00BF6615" w:rsidRDefault="00B13433" w:rsidP="007E26B5">
            <w:pPr>
              <w:spacing w:after="160"/>
              <w:rPr>
                <w:rFonts w:cstheme="minorHAnsi"/>
              </w:rPr>
            </w:pPr>
            <w:r w:rsidRPr="00BF6615">
              <w:rPr>
                <w:rFonts w:cstheme="minorHAnsi"/>
              </w:rPr>
              <w:t>Liczba wystąpień</w:t>
            </w:r>
          </w:p>
        </w:tc>
      </w:tr>
      <w:tr w:rsidR="00B13433" w:rsidRPr="00BF6615" w14:paraId="4DF061CE" w14:textId="77777777">
        <w:trPr>
          <w:cnfStyle w:val="000000100000" w:firstRow="0" w:lastRow="0" w:firstColumn="0" w:lastColumn="0" w:oddVBand="0" w:evenVBand="0" w:oddHBand="1" w:evenHBand="0" w:firstRowFirstColumn="0" w:firstRowLastColumn="0" w:lastRowFirstColumn="0" w:lastRowLastColumn="0"/>
        </w:trPr>
        <w:tc>
          <w:tcPr>
            <w:tcW w:w="3405" w:type="pct"/>
            <w:hideMark/>
          </w:tcPr>
          <w:p w14:paraId="119E4CE2" w14:textId="77777777" w:rsidR="00B13433" w:rsidRPr="00BF6615" w:rsidRDefault="00B13433" w:rsidP="007E26B5">
            <w:pPr>
              <w:spacing w:after="160"/>
              <w:rPr>
                <w:rFonts w:cstheme="minorHAnsi"/>
              </w:rPr>
            </w:pPr>
            <w:r w:rsidRPr="00BF6615">
              <w:rPr>
                <w:rFonts w:cstheme="minorHAnsi"/>
              </w:rPr>
              <w:t>2.4.5 – Wiele dróg</w:t>
            </w:r>
          </w:p>
        </w:tc>
        <w:tc>
          <w:tcPr>
            <w:tcW w:w="1595" w:type="pct"/>
            <w:hideMark/>
          </w:tcPr>
          <w:p w14:paraId="00F83AB2" w14:textId="77777777" w:rsidR="00B13433" w:rsidRPr="00BF6615" w:rsidRDefault="00B13433" w:rsidP="007E26B5">
            <w:pPr>
              <w:spacing w:after="160"/>
              <w:rPr>
                <w:rFonts w:cstheme="minorHAnsi"/>
              </w:rPr>
            </w:pPr>
            <w:r w:rsidRPr="00BF6615">
              <w:rPr>
                <w:rFonts w:cstheme="minorHAnsi"/>
              </w:rPr>
              <w:t>16</w:t>
            </w:r>
          </w:p>
        </w:tc>
      </w:tr>
      <w:tr w:rsidR="00B13433" w:rsidRPr="00BF6615" w14:paraId="2B731651" w14:textId="77777777">
        <w:trPr>
          <w:cnfStyle w:val="000000010000" w:firstRow="0" w:lastRow="0" w:firstColumn="0" w:lastColumn="0" w:oddVBand="0" w:evenVBand="0" w:oddHBand="0" w:evenHBand="1" w:firstRowFirstColumn="0" w:firstRowLastColumn="0" w:lastRowFirstColumn="0" w:lastRowLastColumn="0"/>
        </w:trPr>
        <w:tc>
          <w:tcPr>
            <w:tcW w:w="3405" w:type="pct"/>
            <w:hideMark/>
          </w:tcPr>
          <w:p w14:paraId="19E4FCF2" w14:textId="77777777" w:rsidR="00B13433" w:rsidRPr="00BF6615" w:rsidRDefault="00B13433" w:rsidP="007E26B5">
            <w:pPr>
              <w:spacing w:after="160"/>
              <w:rPr>
                <w:rFonts w:cstheme="minorHAnsi"/>
              </w:rPr>
            </w:pPr>
            <w:r w:rsidRPr="00BF6615">
              <w:rPr>
                <w:rFonts w:cstheme="minorHAnsi"/>
              </w:rPr>
              <w:t>2.4.1 – Możliwość pominięcia bloków</w:t>
            </w:r>
          </w:p>
        </w:tc>
        <w:tc>
          <w:tcPr>
            <w:tcW w:w="1595" w:type="pct"/>
            <w:hideMark/>
          </w:tcPr>
          <w:p w14:paraId="00C89E71" w14:textId="77777777" w:rsidR="00B13433" w:rsidRPr="00BF6615" w:rsidRDefault="00B13433" w:rsidP="007E26B5">
            <w:pPr>
              <w:spacing w:after="160"/>
              <w:rPr>
                <w:rFonts w:cstheme="minorHAnsi"/>
              </w:rPr>
            </w:pPr>
            <w:r w:rsidRPr="00BF6615">
              <w:rPr>
                <w:rFonts w:cstheme="minorHAnsi"/>
              </w:rPr>
              <w:t>10</w:t>
            </w:r>
          </w:p>
        </w:tc>
      </w:tr>
      <w:tr w:rsidR="00B13433" w:rsidRPr="00BF6615" w14:paraId="49EDBFCE" w14:textId="77777777">
        <w:trPr>
          <w:cnfStyle w:val="000000100000" w:firstRow="0" w:lastRow="0" w:firstColumn="0" w:lastColumn="0" w:oddVBand="0" w:evenVBand="0" w:oddHBand="1" w:evenHBand="0" w:firstRowFirstColumn="0" w:firstRowLastColumn="0" w:lastRowFirstColumn="0" w:lastRowLastColumn="0"/>
        </w:trPr>
        <w:tc>
          <w:tcPr>
            <w:tcW w:w="3405" w:type="pct"/>
            <w:hideMark/>
          </w:tcPr>
          <w:p w14:paraId="792BDCEB" w14:textId="77777777" w:rsidR="00B13433" w:rsidRPr="00BF6615" w:rsidRDefault="00B13433" w:rsidP="007E26B5">
            <w:pPr>
              <w:spacing w:after="160"/>
              <w:rPr>
                <w:rFonts w:cstheme="minorHAnsi"/>
              </w:rPr>
            </w:pPr>
            <w:r w:rsidRPr="00BF6615">
              <w:rPr>
                <w:rFonts w:cstheme="minorHAnsi"/>
              </w:rPr>
              <w:lastRenderedPageBreak/>
              <w:t>2.4.4 – Cel linku (w kontekście)</w:t>
            </w:r>
          </w:p>
        </w:tc>
        <w:tc>
          <w:tcPr>
            <w:tcW w:w="1595" w:type="pct"/>
            <w:hideMark/>
          </w:tcPr>
          <w:p w14:paraId="22C71141" w14:textId="77777777" w:rsidR="00B13433" w:rsidRPr="00BF6615" w:rsidRDefault="00B13433" w:rsidP="007E26B5">
            <w:pPr>
              <w:spacing w:after="160"/>
              <w:rPr>
                <w:rFonts w:cstheme="minorHAnsi"/>
              </w:rPr>
            </w:pPr>
            <w:r w:rsidRPr="00BF6615">
              <w:rPr>
                <w:rFonts w:cstheme="minorHAnsi"/>
              </w:rPr>
              <w:t>6</w:t>
            </w:r>
          </w:p>
        </w:tc>
      </w:tr>
      <w:tr w:rsidR="00B13433" w:rsidRPr="00BF6615" w14:paraId="186D454C" w14:textId="77777777">
        <w:trPr>
          <w:cnfStyle w:val="000000010000" w:firstRow="0" w:lastRow="0" w:firstColumn="0" w:lastColumn="0" w:oddVBand="0" w:evenVBand="0" w:oddHBand="0" w:evenHBand="1" w:firstRowFirstColumn="0" w:firstRowLastColumn="0" w:lastRowFirstColumn="0" w:lastRowLastColumn="0"/>
        </w:trPr>
        <w:tc>
          <w:tcPr>
            <w:tcW w:w="3405" w:type="pct"/>
            <w:hideMark/>
          </w:tcPr>
          <w:p w14:paraId="40E42FD5" w14:textId="77777777" w:rsidR="00B13433" w:rsidRPr="00BF6615" w:rsidRDefault="00B13433" w:rsidP="007E26B5">
            <w:pPr>
              <w:spacing w:after="160"/>
              <w:rPr>
                <w:rFonts w:cstheme="minorHAnsi"/>
              </w:rPr>
            </w:pPr>
            <w:r w:rsidRPr="00BF6615">
              <w:rPr>
                <w:rFonts w:cstheme="minorHAnsi"/>
              </w:rPr>
              <w:t>2.4.6 – Nagłówki i etykiety</w:t>
            </w:r>
          </w:p>
        </w:tc>
        <w:tc>
          <w:tcPr>
            <w:tcW w:w="1595" w:type="pct"/>
            <w:hideMark/>
          </w:tcPr>
          <w:p w14:paraId="0D0BCABC" w14:textId="77777777" w:rsidR="00B13433" w:rsidRPr="00BF6615" w:rsidRDefault="00B13433" w:rsidP="007E26B5">
            <w:pPr>
              <w:spacing w:after="160"/>
              <w:rPr>
                <w:rFonts w:cstheme="minorHAnsi"/>
              </w:rPr>
            </w:pPr>
            <w:r w:rsidRPr="00BF6615">
              <w:rPr>
                <w:rFonts w:cstheme="minorHAnsi"/>
              </w:rPr>
              <w:t>5</w:t>
            </w:r>
          </w:p>
        </w:tc>
      </w:tr>
      <w:tr w:rsidR="00B13433" w:rsidRPr="00BF6615" w14:paraId="44E6EDFF" w14:textId="77777777">
        <w:trPr>
          <w:cnfStyle w:val="000000100000" w:firstRow="0" w:lastRow="0" w:firstColumn="0" w:lastColumn="0" w:oddVBand="0" w:evenVBand="0" w:oddHBand="1" w:evenHBand="0" w:firstRowFirstColumn="0" w:firstRowLastColumn="0" w:lastRowFirstColumn="0" w:lastRowLastColumn="0"/>
        </w:trPr>
        <w:tc>
          <w:tcPr>
            <w:tcW w:w="3405" w:type="pct"/>
          </w:tcPr>
          <w:p w14:paraId="33083486" w14:textId="77777777" w:rsidR="00B13433" w:rsidRPr="00BF6615" w:rsidRDefault="00B13433" w:rsidP="007E26B5">
            <w:pPr>
              <w:spacing w:after="160"/>
              <w:rPr>
                <w:rFonts w:cstheme="minorHAnsi"/>
              </w:rPr>
            </w:pPr>
            <w:r w:rsidRPr="00BF6615">
              <w:rPr>
                <w:rFonts w:cstheme="minorHAnsi"/>
              </w:rPr>
              <w:t>2.2.2 – Pauza, zatrzymanie, ukrycie</w:t>
            </w:r>
          </w:p>
        </w:tc>
        <w:tc>
          <w:tcPr>
            <w:tcW w:w="1595" w:type="pct"/>
          </w:tcPr>
          <w:p w14:paraId="5CD3D032" w14:textId="77777777" w:rsidR="00B13433" w:rsidRPr="00BF6615" w:rsidRDefault="00B13433" w:rsidP="007E26B5">
            <w:pPr>
              <w:spacing w:after="160"/>
              <w:rPr>
                <w:rFonts w:cstheme="minorHAnsi"/>
              </w:rPr>
            </w:pPr>
            <w:r w:rsidRPr="00BF6615">
              <w:rPr>
                <w:rFonts w:cstheme="minorHAnsi"/>
              </w:rPr>
              <w:t>3</w:t>
            </w:r>
          </w:p>
        </w:tc>
      </w:tr>
    </w:tbl>
    <w:p w14:paraId="6A4535B0" w14:textId="77777777" w:rsidR="00B13433" w:rsidRPr="00BF6615" w:rsidRDefault="00B13433" w:rsidP="007E26B5">
      <w:r w:rsidRPr="00BF6615">
        <w:t>Źródło: opracowanie własne.</w:t>
      </w:r>
    </w:p>
    <w:p w14:paraId="0D572599" w14:textId="77777777" w:rsidR="00755A4B" w:rsidRDefault="00B13433" w:rsidP="00B271C3">
      <w:pPr>
        <w:pStyle w:val="Nagwek4"/>
        <w:rPr>
          <w:rFonts w:cstheme="minorHAnsi"/>
          <w:bCs/>
        </w:rPr>
      </w:pPr>
      <w:r w:rsidRPr="00BF6615">
        <w:rPr>
          <w:rFonts w:cstheme="minorHAnsi"/>
          <w:bCs/>
        </w:rPr>
        <w:t>Zasada 3: Zrozumiałość</w:t>
      </w:r>
    </w:p>
    <w:p w14:paraId="7C2989E9" w14:textId="60A1F414" w:rsidR="00B13433" w:rsidRPr="00BF6615" w:rsidRDefault="00B13433" w:rsidP="007E26B5">
      <w:pPr>
        <w:spacing w:after="160"/>
        <w:rPr>
          <w:rFonts w:cstheme="minorHAnsi"/>
        </w:rPr>
      </w:pPr>
      <w:r w:rsidRPr="00BF6615">
        <w:rPr>
          <w:rFonts w:cstheme="minorHAnsi"/>
        </w:rPr>
        <w:t>Najczęściej odnotowane problemy w tej zasadzie dotyczyły braku etykiet lub instrukcji przy polach formularzy (kryterium 3.3.2 – 8 przypadków) oraz niespójnej nawigacji (kryterium 3.2.3 – 9 przypadków).</w:t>
      </w:r>
    </w:p>
    <w:p w14:paraId="609C9BD7" w14:textId="1C402657" w:rsidR="00B13433" w:rsidRPr="00BF6615" w:rsidRDefault="00B13433" w:rsidP="007E26B5">
      <w:pPr>
        <w:pStyle w:val="Legenda"/>
        <w:spacing w:line="276" w:lineRule="auto"/>
        <w:rPr>
          <w:rFonts w:cstheme="minorHAnsi"/>
        </w:rPr>
      </w:pPr>
      <w:bookmarkStart w:id="157" w:name="_Toc196335287"/>
      <w:bookmarkStart w:id="158" w:name="_Toc204179120"/>
      <w:r w:rsidRPr="00BF6615">
        <w:rPr>
          <w:rFonts w:cstheme="minorHAnsi"/>
        </w:rPr>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22</w:t>
      </w:r>
      <w:r w:rsidRPr="00BF6615">
        <w:rPr>
          <w:rFonts w:cstheme="minorHAnsi"/>
        </w:rPr>
        <w:fldChar w:fldCharType="end"/>
      </w:r>
      <w:r w:rsidR="002F6492">
        <w:rPr>
          <w:rFonts w:cstheme="minorHAnsi"/>
        </w:rPr>
        <w:t>.</w:t>
      </w:r>
      <w:r w:rsidRPr="00BF6615">
        <w:rPr>
          <w:rFonts w:cstheme="minorHAnsi"/>
        </w:rPr>
        <w:t xml:space="preserve"> Liczba zidentyfikowanych problemów w zasadzie 3: Zrozumiałość (osoby, które ukończyły 60 rok życia)</w:t>
      </w:r>
      <w:bookmarkEnd w:id="157"/>
      <w:bookmarkEnd w:id="158"/>
    </w:p>
    <w:tbl>
      <w:tblPr>
        <w:tblStyle w:val="PARP"/>
        <w:tblW w:w="5000" w:type="pct"/>
        <w:tblLook w:val="04A0" w:firstRow="1" w:lastRow="0" w:firstColumn="1" w:lastColumn="0" w:noHBand="0" w:noVBand="1"/>
        <w:tblCaption w:val="Liczba zidentyfikowanych problemów w zasadzie 3: Zrozumiałość (osoby, które ukończyły 60 rok życia)"/>
        <w:tblDescription w:val="Liczba zidentyfikowanych problemów w zasadzie 3: Zrozumiałość (osoby, które ukończyły 60 rok życia)"/>
      </w:tblPr>
      <w:tblGrid>
        <w:gridCol w:w="5863"/>
        <w:gridCol w:w="3199"/>
      </w:tblGrid>
      <w:tr w:rsidR="00B13433" w:rsidRPr="00BF6615" w14:paraId="4DE18CD9" w14:textId="77777777">
        <w:trPr>
          <w:cnfStyle w:val="100000000000" w:firstRow="1" w:lastRow="0" w:firstColumn="0" w:lastColumn="0" w:oddVBand="0" w:evenVBand="0" w:oddHBand="0" w:evenHBand="0" w:firstRowFirstColumn="0" w:firstRowLastColumn="0" w:lastRowFirstColumn="0" w:lastRowLastColumn="0"/>
        </w:trPr>
        <w:tc>
          <w:tcPr>
            <w:tcW w:w="3235" w:type="pct"/>
            <w:hideMark/>
          </w:tcPr>
          <w:p w14:paraId="73136C08" w14:textId="77777777" w:rsidR="00B13433" w:rsidRPr="00BF6615" w:rsidRDefault="00B13433" w:rsidP="007E26B5">
            <w:pPr>
              <w:spacing w:after="160"/>
              <w:rPr>
                <w:rFonts w:cstheme="minorHAnsi"/>
              </w:rPr>
            </w:pPr>
            <w:r w:rsidRPr="00BF6615">
              <w:rPr>
                <w:rFonts w:cstheme="minorHAnsi"/>
              </w:rPr>
              <w:t>Nazwa kryterium</w:t>
            </w:r>
          </w:p>
        </w:tc>
        <w:tc>
          <w:tcPr>
            <w:tcW w:w="1765" w:type="pct"/>
            <w:hideMark/>
          </w:tcPr>
          <w:p w14:paraId="4B246272" w14:textId="77777777" w:rsidR="00B13433" w:rsidRPr="00BF6615" w:rsidRDefault="00B13433" w:rsidP="007E26B5">
            <w:pPr>
              <w:spacing w:after="160"/>
              <w:rPr>
                <w:rFonts w:cstheme="minorHAnsi"/>
              </w:rPr>
            </w:pPr>
            <w:r w:rsidRPr="00BF6615">
              <w:rPr>
                <w:rFonts w:cstheme="minorHAnsi"/>
              </w:rPr>
              <w:t>Liczba wystąpień</w:t>
            </w:r>
          </w:p>
        </w:tc>
      </w:tr>
      <w:tr w:rsidR="00B13433" w:rsidRPr="00BF6615" w14:paraId="59B1BB9A" w14:textId="77777777">
        <w:trPr>
          <w:cnfStyle w:val="000000100000" w:firstRow="0" w:lastRow="0" w:firstColumn="0" w:lastColumn="0" w:oddVBand="0" w:evenVBand="0" w:oddHBand="1" w:evenHBand="0" w:firstRowFirstColumn="0" w:firstRowLastColumn="0" w:lastRowFirstColumn="0" w:lastRowLastColumn="0"/>
        </w:trPr>
        <w:tc>
          <w:tcPr>
            <w:tcW w:w="3235" w:type="pct"/>
            <w:hideMark/>
          </w:tcPr>
          <w:p w14:paraId="60E54E13" w14:textId="77777777" w:rsidR="00B13433" w:rsidRPr="00BF6615" w:rsidRDefault="00B13433" w:rsidP="007E26B5">
            <w:pPr>
              <w:spacing w:after="160"/>
              <w:rPr>
                <w:rFonts w:cstheme="minorHAnsi"/>
              </w:rPr>
            </w:pPr>
            <w:r w:rsidRPr="00BF6615">
              <w:rPr>
                <w:rFonts w:cstheme="minorHAnsi"/>
              </w:rPr>
              <w:t>3.2.3 – Spójna nawigacja</w:t>
            </w:r>
          </w:p>
        </w:tc>
        <w:tc>
          <w:tcPr>
            <w:tcW w:w="1765" w:type="pct"/>
            <w:hideMark/>
          </w:tcPr>
          <w:p w14:paraId="57F128A9" w14:textId="77777777" w:rsidR="00B13433" w:rsidRPr="00BF6615" w:rsidRDefault="00B13433" w:rsidP="007E26B5">
            <w:pPr>
              <w:spacing w:after="160"/>
              <w:rPr>
                <w:rFonts w:cstheme="minorHAnsi"/>
              </w:rPr>
            </w:pPr>
            <w:r w:rsidRPr="00BF6615">
              <w:rPr>
                <w:rFonts w:cstheme="minorHAnsi"/>
              </w:rPr>
              <w:t>9</w:t>
            </w:r>
          </w:p>
        </w:tc>
      </w:tr>
      <w:tr w:rsidR="00B13433" w:rsidRPr="00BF6615" w14:paraId="35074702" w14:textId="77777777">
        <w:trPr>
          <w:cnfStyle w:val="000000010000" w:firstRow="0" w:lastRow="0" w:firstColumn="0" w:lastColumn="0" w:oddVBand="0" w:evenVBand="0" w:oddHBand="0" w:evenHBand="1" w:firstRowFirstColumn="0" w:firstRowLastColumn="0" w:lastRowFirstColumn="0" w:lastRowLastColumn="0"/>
        </w:trPr>
        <w:tc>
          <w:tcPr>
            <w:tcW w:w="3235" w:type="pct"/>
            <w:hideMark/>
          </w:tcPr>
          <w:p w14:paraId="1276E57B" w14:textId="77777777" w:rsidR="00B13433" w:rsidRPr="00BF6615" w:rsidRDefault="00B13433" w:rsidP="007E26B5">
            <w:pPr>
              <w:spacing w:after="160"/>
              <w:rPr>
                <w:rFonts w:cstheme="minorHAnsi"/>
              </w:rPr>
            </w:pPr>
            <w:r w:rsidRPr="00BF6615">
              <w:rPr>
                <w:rFonts w:cstheme="minorHAnsi"/>
              </w:rPr>
              <w:t>3.3.2 – Etykiety lub instrukcje</w:t>
            </w:r>
          </w:p>
        </w:tc>
        <w:tc>
          <w:tcPr>
            <w:tcW w:w="1765" w:type="pct"/>
            <w:hideMark/>
          </w:tcPr>
          <w:p w14:paraId="764E4DB0" w14:textId="77777777" w:rsidR="00B13433" w:rsidRPr="00BF6615" w:rsidRDefault="00B13433" w:rsidP="007E26B5">
            <w:pPr>
              <w:spacing w:after="160"/>
              <w:rPr>
                <w:rFonts w:cstheme="minorHAnsi"/>
              </w:rPr>
            </w:pPr>
            <w:r w:rsidRPr="00BF6615">
              <w:rPr>
                <w:rFonts w:cstheme="minorHAnsi"/>
              </w:rPr>
              <w:t>8</w:t>
            </w:r>
          </w:p>
        </w:tc>
      </w:tr>
      <w:tr w:rsidR="00B13433" w:rsidRPr="00BF6615" w14:paraId="15C4B221" w14:textId="77777777">
        <w:trPr>
          <w:cnfStyle w:val="000000100000" w:firstRow="0" w:lastRow="0" w:firstColumn="0" w:lastColumn="0" w:oddVBand="0" w:evenVBand="0" w:oddHBand="1" w:evenHBand="0" w:firstRowFirstColumn="0" w:firstRowLastColumn="0" w:lastRowFirstColumn="0" w:lastRowLastColumn="0"/>
        </w:trPr>
        <w:tc>
          <w:tcPr>
            <w:tcW w:w="3235" w:type="pct"/>
            <w:hideMark/>
          </w:tcPr>
          <w:p w14:paraId="733BEB1E" w14:textId="77777777" w:rsidR="00B13433" w:rsidRPr="00BF6615" w:rsidRDefault="00B13433" w:rsidP="007E26B5">
            <w:pPr>
              <w:spacing w:after="160"/>
              <w:rPr>
                <w:rFonts w:cstheme="minorHAnsi"/>
              </w:rPr>
            </w:pPr>
            <w:r w:rsidRPr="00BF6615">
              <w:rPr>
                <w:rFonts w:cstheme="minorHAnsi"/>
              </w:rPr>
              <w:t>3.3.3 – Sugestie korekty błędów</w:t>
            </w:r>
          </w:p>
        </w:tc>
        <w:tc>
          <w:tcPr>
            <w:tcW w:w="1765" w:type="pct"/>
            <w:hideMark/>
          </w:tcPr>
          <w:p w14:paraId="5CB7E478" w14:textId="77777777" w:rsidR="00B13433" w:rsidRPr="00BF6615" w:rsidRDefault="00B13433" w:rsidP="007E26B5">
            <w:pPr>
              <w:spacing w:after="160"/>
              <w:rPr>
                <w:rFonts w:cstheme="minorHAnsi"/>
              </w:rPr>
            </w:pPr>
            <w:r w:rsidRPr="00BF6615">
              <w:rPr>
                <w:rFonts w:cstheme="minorHAnsi"/>
              </w:rPr>
              <w:t>4</w:t>
            </w:r>
          </w:p>
        </w:tc>
      </w:tr>
    </w:tbl>
    <w:p w14:paraId="35F249FF" w14:textId="77777777" w:rsidR="00B13433" w:rsidRPr="00BF6615" w:rsidRDefault="00B13433" w:rsidP="007E26B5">
      <w:r w:rsidRPr="00BF6615">
        <w:t>Źródło: opracowanie własne.</w:t>
      </w:r>
    </w:p>
    <w:p w14:paraId="1F209219" w14:textId="77777777" w:rsidR="00755A4B" w:rsidRDefault="00B13433" w:rsidP="00B271C3">
      <w:pPr>
        <w:pStyle w:val="Nagwek4"/>
        <w:rPr>
          <w:rFonts w:cstheme="minorHAnsi"/>
          <w:bCs/>
        </w:rPr>
      </w:pPr>
      <w:r w:rsidRPr="00BF6615">
        <w:rPr>
          <w:rFonts w:cstheme="minorHAnsi"/>
          <w:bCs/>
        </w:rPr>
        <w:t>Zasada 4: Kompatybilność</w:t>
      </w:r>
    </w:p>
    <w:p w14:paraId="2B0D8358" w14:textId="401D8486" w:rsidR="00B13433" w:rsidRPr="00BF6615" w:rsidRDefault="00B13433" w:rsidP="007E26B5">
      <w:pPr>
        <w:spacing w:after="160"/>
        <w:rPr>
          <w:rFonts w:cstheme="minorHAnsi"/>
        </w:rPr>
      </w:pPr>
      <w:r w:rsidRPr="00BF6615">
        <w:rPr>
          <w:rFonts w:cstheme="minorHAnsi"/>
        </w:rPr>
        <w:t>W ramach tej zasady odnotowano tylko pojedyncze problemy, m.in. związane z niepełnymi danymi dla elementów interfejsu oraz brakiem komunikatów o stanie po wykonaniu akcji.</w:t>
      </w:r>
    </w:p>
    <w:p w14:paraId="40749A4A" w14:textId="417EB272" w:rsidR="00B13433" w:rsidRPr="00BF6615" w:rsidRDefault="00B13433" w:rsidP="00B271C3">
      <w:pPr>
        <w:pStyle w:val="Nagwek4"/>
      </w:pPr>
      <w:r w:rsidRPr="338987BF">
        <w:t xml:space="preserve">Jak użytkownicy i </w:t>
      </w:r>
      <w:r w:rsidRPr="00755A4B">
        <w:rPr>
          <w:rFonts w:cstheme="minorHAnsi"/>
          <w:bCs/>
        </w:rPr>
        <w:t>użytkowniczki</w:t>
      </w:r>
      <w:r w:rsidRPr="338987BF">
        <w:t xml:space="preserve"> próbowali pokonać trudności?</w:t>
      </w:r>
    </w:p>
    <w:p w14:paraId="544FE21F" w14:textId="77777777" w:rsidR="00B13433" w:rsidRPr="00BF6615" w:rsidRDefault="00B13433" w:rsidP="007E26B5">
      <w:pPr>
        <w:rPr>
          <w:rFonts w:cstheme="minorHAnsi"/>
        </w:rPr>
      </w:pPr>
      <w:r w:rsidRPr="00BF6615">
        <w:rPr>
          <w:rFonts w:cstheme="minorHAnsi"/>
        </w:rPr>
        <w:t>Dla problemów w zasadzie1: postrzegalność użytkownicy każdorazowo próbowali pokonać problemy metoda prób i błędów. Te samą metodę pokonania problemów próbowali zastosować w eliminacji problemów w pozostałych zasadach.</w:t>
      </w:r>
    </w:p>
    <w:p w14:paraId="17A2A5EB" w14:textId="2C14901D" w:rsidR="00B13433" w:rsidRPr="00BF6615" w:rsidRDefault="00B13433" w:rsidP="00B271C3">
      <w:pPr>
        <w:pStyle w:val="Nagwek4"/>
      </w:pPr>
      <w:r w:rsidRPr="338987BF">
        <w:t xml:space="preserve">Stany emocjonalne </w:t>
      </w:r>
      <w:r w:rsidRPr="00755A4B">
        <w:rPr>
          <w:rFonts w:cstheme="minorHAnsi"/>
          <w:bCs/>
        </w:rPr>
        <w:t>użytkowniczek</w:t>
      </w:r>
      <w:r w:rsidRPr="338987BF">
        <w:t xml:space="preserve"> i użytkowników podczas testów</w:t>
      </w:r>
    </w:p>
    <w:p w14:paraId="55C3D600" w14:textId="77777777" w:rsidR="00B13433" w:rsidRPr="00BF6615" w:rsidRDefault="00B13433" w:rsidP="007E26B5">
      <w:pPr>
        <w:spacing w:after="160"/>
        <w:rPr>
          <w:rFonts w:cstheme="minorHAnsi"/>
        </w:rPr>
      </w:pPr>
      <w:r w:rsidRPr="00BF6615">
        <w:rPr>
          <w:rFonts w:cstheme="minorHAnsi"/>
        </w:rPr>
        <w:t>Spokój uczestników dominował podczas korzystania ze stron internetowych (około 83% przypadków), natomiast w aplikacjach mobilnych był obserwowany znacznie rzadziej (ok. 33%). Zadowolenie pojawiało się rzadziej – mniej więcej w połowie testów stron (50%) i w ok. jednej trzeciej testów aplikacji (33%). Negatywne emocje: frustracja i zdenerwowanie znacznie częściej towarzyszyły korzystaniu z aplikacji (frustracja 83%, zdenerwowanie 33%), podczas gdy na stronach były sporadyczne (frustracja 17%, zdenerwowanie 8%). Zniechęcenie praktycznie nie wystąpiło (0% na stronach, 17% w aplikacjach).</w:t>
      </w:r>
    </w:p>
    <w:p w14:paraId="54F5AF97" w14:textId="77777777" w:rsidR="00B13433" w:rsidRPr="00BF6615" w:rsidRDefault="00B13433" w:rsidP="007E26B5">
      <w:pPr>
        <w:spacing w:after="160"/>
        <w:rPr>
          <w:rFonts w:cstheme="minorHAnsi"/>
        </w:rPr>
      </w:pPr>
      <w:r w:rsidRPr="00BF6615">
        <w:rPr>
          <w:rFonts w:cstheme="minorHAnsi"/>
        </w:rPr>
        <w:t xml:space="preserve">Stany emocjonalne seniorów można więc uznać za względnie stabilne w trakcie testów stron, z przewagą spokoju i miejscami zadowolenia. W przypadku aplikacji mobilnych częściej </w:t>
      </w:r>
      <w:r w:rsidRPr="00BF6615">
        <w:rPr>
          <w:rFonts w:cstheme="minorHAnsi"/>
        </w:rPr>
        <w:lastRenderedPageBreak/>
        <w:t>pojawiały się negatywne odczucia, jednak pomimo frustracji i zdenerwowania badani rzadko całkowicie się zniechęcali do wykonania zadania (starali się doprowadzić test do końca).</w:t>
      </w:r>
    </w:p>
    <w:p w14:paraId="705E1BC7" w14:textId="33CEE181" w:rsidR="00B13433" w:rsidRPr="00BF6615" w:rsidRDefault="00B13433" w:rsidP="00B271C3">
      <w:pPr>
        <w:pStyle w:val="Nagwek4"/>
      </w:pPr>
      <w:r w:rsidRPr="338987BF">
        <w:t xml:space="preserve">Opinie użytkowników i </w:t>
      </w:r>
      <w:r w:rsidRPr="00755A4B">
        <w:rPr>
          <w:rFonts w:cstheme="minorHAnsi"/>
          <w:bCs/>
        </w:rPr>
        <w:t>użytkowniczek</w:t>
      </w:r>
      <w:r w:rsidRPr="338987BF">
        <w:t xml:space="preserve"> o procesie testowania</w:t>
      </w:r>
    </w:p>
    <w:p w14:paraId="655C9F05" w14:textId="77777777" w:rsidR="00B13433" w:rsidRDefault="00B13433" w:rsidP="007E26B5">
      <w:pPr>
        <w:spacing w:after="160"/>
        <w:rPr>
          <w:rFonts w:cstheme="minorHAnsi"/>
        </w:rPr>
      </w:pPr>
      <w:r w:rsidRPr="00BF6615">
        <w:rPr>
          <w:rFonts w:cstheme="minorHAnsi"/>
        </w:rPr>
        <w:t>Uczestnicy testów zwracali uwagę na liczne problemy napotkane podczas zadań, które wywoływały u nich zdenerwowanie i frustrację. Powtarzały się opinie o potrzebie uproszczenia języka na stronach oraz poprawy ich intuicyjności – te dwa elementy wskazywano jako najbardziej istotne i wymagające natychmiastowej poprawy. Negatywne emocje towarzyszące testom dobrze oddaje wypowiedź jednego z seniorów: „Nic nie było intuicyjne.” Byli także uczestnicy, którzy mieli na tyle wysokie kompetencje cyfrowe, że żadne z zadań nie stanowiło dla nich problemów. Mimo napotkanych trudności większość badanych starała się realizować zadania do końca, licząc na to, że uda się pokonać przeszkody.</w:t>
      </w:r>
    </w:p>
    <w:p w14:paraId="2D4D7B3A" w14:textId="77777777" w:rsidR="00B13433" w:rsidRPr="00BF6615" w:rsidRDefault="00B13433" w:rsidP="00B271C3">
      <w:pPr>
        <w:pStyle w:val="Nagwek4"/>
      </w:pPr>
      <w:r w:rsidRPr="00755A4B">
        <w:rPr>
          <w:rFonts w:cstheme="minorHAnsi"/>
          <w:bCs/>
        </w:rPr>
        <w:t>Podsumowanie</w:t>
      </w:r>
      <w:r w:rsidRPr="338987BF">
        <w:t xml:space="preserve"> testów</w:t>
      </w:r>
    </w:p>
    <w:p w14:paraId="107D35F1" w14:textId="77777777" w:rsidR="00B13433" w:rsidRPr="00BF6615" w:rsidRDefault="00B13433" w:rsidP="007E26B5">
      <w:pPr>
        <w:spacing w:after="160"/>
        <w:rPr>
          <w:rFonts w:cstheme="minorHAnsi"/>
        </w:rPr>
      </w:pPr>
      <w:r w:rsidRPr="00BF6615">
        <w:rPr>
          <w:rFonts w:cstheme="minorHAnsi"/>
        </w:rPr>
        <w:t>Osoby z grupy 60+ napotkały wiele trudności podczas testów stron internetowych i aplikacji mobilnych podmiotów publicznych. Największe problemy wynikały ze zbyt złożonego języka treści, nadmiaru informacji oraz nieintuicyjnej nawigacji. Seniorzy często nie rozumieli specjalistycznych terminów, mieli kłopot z odnalezieniem potrzebnych informacji i natrafiali na bariery w obsłudze interfejsu (np. nieoznaczone elementy, brak wyszukiwarki).</w:t>
      </w:r>
    </w:p>
    <w:p w14:paraId="2E8B182C" w14:textId="77777777" w:rsidR="00B13433" w:rsidRPr="00BF6615" w:rsidRDefault="00B13433" w:rsidP="007E26B5">
      <w:pPr>
        <w:spacing w:after="160"/>
        <w:rPr>
          <w:rFonts w:cstheme="minorHAnsi"/>
        </w:rPr>
      </w:pPr>
      <w:r w:rsidRPr="00BF6615">
        <w:rPr>
          <w:rFonts w:cstheme="minorHAnsi"/>
        </w:rPr>
        <w:t>Analiza wyników pod kątem zasad dostępności WCAG wykazała, że najwięcej problemów dotyczyło zasad Postrzegalność, Funkcjonalność i Zrozumiałość. Wśród najczęściej występujących problemów znalazły się m.in. brak opisów dla elementów graficznych oraz niejednoznaczne linki, które utrudniały nawigację. Podczas testów użytkownicy w większości zachowywali spokój na stronach WWW, choć w przypadku aplikacji mobilnych częściej odczuwali frustrację i zdenerwowanie. Mimo trudności zniechęcenie występowało rzadko, co może wynikać z determinacji seniorów i chęci ukończenia zadania.</w:t>
      </w:r>
    </w:p>
    <w:p w14:paraId="2330BE5E" w14:textId="4771D9AD" w:rsidR="00B13433" w:rsidRPr="009429ED" w:rsidRDefault="00B13433" w:rsidP="00B271C3">
      <w:pPr>
        <w:pStyle w:val="Nagwek4"/>
        <w:rPr>
          <w:bCs/>
        </w:rPr>
      </w:pPr>
      <w:bookmarkStart w:id="159" w:name="_Toc196827610"/>
      <w:r w:rsidRPr="338987BF">
        <w:t xml:space="preserve">Hierarchia potrzeb osób, które ukończyły 60 rok życia </w:t>
      </w:r>
      <w:r w:rsidRPr="009429ED">
        <w:rPr>
          <w:bCs/>
        </w:rPr>
        <w:t xml:space="preserve">w zakresie stron internetowych </w:t>
      </w:r>
      <w:r w:rsidR="000A692A" w:rsidRPr="009429ED">
        <w:rPr>
          <w:bCs/>
        </w:rPr>
        <w:t>i</w:t>
      </w:r>
      <w:r w:rsidR="000A692A">
        <w:rPr>
          <w:bCs/>
        </w:rPr>
        <w:t> </w:t>
      </w:r>
      <w:r w:rsidRPr="009429ED">
        <w:rPr>
          <w:bCs/>
        </w:rPr>
        <w:t xml:space="preserve">aplikacji podmiotów </w:t>
      </w:r>
      <w:r w:rsidRPr="00755A4B">
        <w:rPr>
          <w:rFonts w:cstheme="minorHAnsi"/>
          <w:bCs/>
        </w:rPr>
        <w:t>publicznych</w:t>
      </w:r>
      <w:bookmarkEnd w:id="159"/>
      <w:r w:rsidRPr="009429ED">
        <w:rPr>
          <w:bCs/>
        </w:rPr>
        <w:t xml:space="preserve"> </w:t>
      </w:r>
    </w:p>
    <w:p w14:paraId="2003D3D3" w14:textId="77777777" w:rsidR="00B13433" w:rsidRPr="00BF6615" w:rsidRDefault="00B13433">
      <w:pPr>
        <w:numPr>
          <w:ilvl w:val="0"/>
          <w:numId w:val="20"/>
        </w:numPr>
        <w:spacing w:after="0"/>
        <w:ind w:hanging="357"/>
        <w:contextualSpacing/>
        <w:rPr>
          <w:rFonts w:cstheme="minorHAnsi"/>
          <w:b/>
          <w:bCs/>
        </w:rPr>
      </w:pPr>
      <w:r w:rsidRPr="00BF6615">
        <w:rPr>
          <w:rFonts w:cstheme="minorHAnsi"/>
          <w:b/>
          <w:bCs/>
        </w:rPr>
        <w:t xml:space="preserve">Prostszy, bardziej zrozumiały język (najwyższy priorytet) </w:t>
      </w:r>
    </w:p>
    <w:p w14:paraId="4DE1F78E"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Unikanie specjalistycznych terminów, trudnych wyrażeń.</w:t>
      </w:r>
    </w:p>
    <w:p w14:paraId="70E2DB60"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Skracanie tekstów i dzielenie ich na proste sekcje.</w:t>
      </w:r>
    </w:p>
    <w:p w14:paraId="4A06D514"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Stosowanie jasnych instrukcji i podpowiedzi krok po kroku.</w:t>
      </w:r>
    </w:p>
    <w:p w14:paraId="03294CFE" w14:textId="77777777" w:rsidR="00B13433" w:rsidRPr="00BF6615" w:rsidRDefault="00B13433">
      <w:pPr>
        <w:numPr>
          <w:ilvl w:val="0"/>
          <w:numId w:val="20"/>
        </w:numPr>
        <w:spacing w:after="0"/>
        <w:ind w:hanging="357"/>
        <w:contextualSpacing/>
        <w:rPr>
          <w:rFonts w:cstheme="minorHAnsi"/>
          <w:b/>
          <w:bCs/>
        </w:rPr>
      </w:pPr>
      <w:r w:rsidRPr="00BF6615">
        <w:rPr>
          <w:rFonts w:cstheme="minorHAnsi"/>
          <w:b/>
          <w:bCs/>
        </w:rPr>
        <w:t>Ograniczenie liczby informacji na jednej stronie</w:t>
      </w:r>
    </w:p>
    <w:p w14:paraId="627B4EE3"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Prezentowanie tylko kluczowych informacji, bez zbędnych szczegółów.</w:t>
      </w:r>
    </w:p>
    <w:p w14:paraId="2F8E5786"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Dzielenie informacji na mniejsze sekcje.</w:t>
      </w:r>
    </w:p>
    <w:p w14:paraId="02C0803B"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Możliwość stopniowego rozwijania treści dla osób, które chcą dowiedzieć się więcej.</w:t>
      </w:r>
    </w:p>
    <w:p w14:paraId="2E041507" w14:textId="77777777" w:rsidR="00B13433" w:rsidRPr="00BF6615" w:rsidRDefault="00B13433">
      <w:pPr>
        <w:pStyle w:val="Akapitzlist"/>
        <w:numPr>
          <w:ilvl w:val="0"/>
          <w:numId w:val="20"/>
        </w:numPr>
        <w:spacing w:after="0"/>
        <w:ind w:hanging="357"/>
        <w:rPr>
          <w:rFonts w:cstheme="minorHAnsi"/>
          <w:b/>
          <w:bCs/>
        </w:rPr>
      </w:pPr>
      <w:r w:rsidRPr="00BF6615">
        <w:rPr>
          <w:rFonts w:cstheme="minorHAnsi"/>
          <w:b/>
          <w:bCs/>
        </w:rPr>
        <w:t>Lepsza organizacja treści i nawigacja</w:t>
      </w:r>
    </w:p>
    <w:p w14:paraId="6DA76CDB"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Mniej skomplikowane menu, ograniczenie liczby opcji na jednej stronie.</w:t>
      </w:r>
    </w:p>
    <w:p w14:paraId="4B08110F"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Widoczna funkcja wyszukiwania informacji.</w:t>
      </w:r>
    </w:p>
    <w:p w14:paraId="0F833DE6"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Spójny układ elementów na wszystkich podstronach.</w:t>
      </w:r>
    </w:p>
    <w:p w14:paraId="38EA650A" w14:textId="77777777" w:rsidR="00B13433" w:rsidRPr="00BF6615" w:rsidRDefault="00B13433">
      <w:pPr>
        <w:pStyle w:val="Akapitzlist"/>
        <w:numPr>
          <w:ilvl w:val="0"/>
          <w:numId w:val="20"/>
        </w:numPr>
        <w:spacing w:after="0"/>
        <w:ind w:hanging="357"/>
        <w:rPr>
          <w:rFonts w:cstheme="minorHAnsi"/>
          <w:b/>
          <w:bCs/>
        </w:rPr>
      </w:pPr>
      <w:r w:rsidRPr="00BF6615">
        <w:rPr>
          <w:rFonts w:cstheme="minorHAnsi"/>
          <w:b/>
          <w:bCs/>
        </w:rPr>
        <w:lastRenderedPageBreak/>
        <w:t>Czytelność interfejsu</w:t>
      </w:r>
    </w:p>
    <w:p w14:paraId="13330B39"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Odpowiedni kontrast kolorów.</w:t>
      </w:r>
    </w:p>
    <w:p w14:paraId="28425456"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 xml:space="preserve">Większa czcionka i czytelne </w:t>
      </w:r>
      <w:proofErr w:type="spellStart"/>
      <w:r w:rsidRPr="00BF6615">
        <w:rPr>
          <w:rFonts w:cstheme="minorHAnsi"/>
        </w:rPr>
        <w:t>fonty</w:t>
      </w:r>
      <w:proofErr w:type="spellEnd"/>
      <w:r w:rsidRPr="00BF6615">
        <w:rPr>
          <w:rFonts w:cstheme="minorHAnsi"/>
        </w:rPr>
        <w:t xml:space="preserve">. </w:t>
      </w:r>
    </w:p>
    <w:p w14:paraId="13AA3DCA"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Wyraźne ikony z podpisami.</w:t>
      </w:r>
    </w:p>
    <w:p w14:paraId="051119FF" w14:textId="77777777" w:rsidR="00B13433" w:rsidRPr="00BF6615" w:rsidRDefault="00B13433">
      <w:pPr>
        <w:pStyle w:val="Akapitzlist"/>
        <w:numPr>
          <w:ilvl w:val="0"/>
          <w:numId w:val="20"/>
        </w:numPr>
        <w:spacing w:after="0"/>
        <w:ind w:hanging="357"/>
        <w:rPr>
          <w:rFonts w:cstheme="minorHAnsi"/>
          <w:b/>
          <w:bCs/>
        </w:rPr>
      </w:pPr>
      <w:r w:rsidRPr="00BF6615">
        <w:rPr>
          <w:rFonts w:cstheme="minorHAnsi"/>
          <w:b/>
          <w:bCs/>
        </w:rPr>
        <w:t>Wsparcie dla użytkownika</w:t>
      </w:r>
    </w:p>
    <w:p w14:paraId="7C1EF42B"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Jasne instrukcje krok po kroku przy realizacji zadań.</w:t>
      </w:r>
    </w:p>
    <w:p w14:paraId="4A8A2017"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Czytelne komunikaty (np. potwierdzenia akcji, informacje o błędach w zrozumiałym języku).</w:t>
      </w:r>
    </w:p>
    <w:p w14:paraId="2FFDDF9C" w14:textId="77777777" w:rsidR="00B13433" w:rsidRPr="00BF6615" w:rsidRDefault="00B13433">
      <w:pPr>
        <w:pStyle w:val="Akapitzlist"/>
        <w:numPr>
          <w:ilvl w:val="0"/>
          <w:numId w:val="20"/>
        </w:numPr>
        <w:spacing w:after="0"/>
        <w:ind w:hanging="357"/>
        <w:rPr>
          <w:rFonts w:cstheme="minorHAnsi"/>
          <w:b/>
          <w:bCs/>
        </w:rPr>
      </w:pPr>
      <w:r w:rsidRPr="00BF6615">
        <w:rPr>
          <w:rFonts w:cstheme="minorHAnsi"/>
          <w:b/>
          <w:bCs/>
        </w:rPr>
        <w:t>Łatwiejsza obsługa interaktywnych funkcji</w:t>
      </w:r>
    </w:p>
    <w:p w14:paraId="39782190"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Jasne komunikaty o tym, co należy zrobić w danej chwili (np. „kliknij tutaj, aby zapisać”).</w:t>
      </w:r>
    </w:p>
    <w:p w14:paraId="50AC6C80"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Prostsze formularze – mniejsza liczba pól do uzupełnienia, jednoznaczne pytania.</w:t>
      </w:r>
    </w:p>
    <w:p w14:paraId="01CB4684"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Większe i łatwiejsze do kliknięcia przyciski.</w:t>
      </w:r>
    </w:p>
    <w:p w14:paraId="6E5CEB86" w14:textId="77777777" w:rsidR="00B13433" w:rsidRPr="00BF6615" w:rsidRDefault="00B13433">
      <w:pPr>
        <w:pStyle w:val="Akapitzlist"/>
        <w:numPr>
          <w:ilvl w:val="0"/>
          <w:numId w:val="20"/>
        </w:numPr>
        <w:spacing w:after="0"/>
        <w:ind w:hanging="357"/>
        <w:rPr>
          <w:rFonts w:cstheme="minorHAnsi"/>
          <w:b/>
          <w:bCs/>
        </w:rPr>
      </w:pPr>
      <w:r w:rsidRPr="00BF6615">
        <w:rPr>
          <w:rFonts w:cstheme="minorHAnsi"/>
          <w:b/>
          <w:bCs/>
        </w:rPr>
        <w:t>Personalizacja stron/aplikacji pod użytkownika</w:t>
      </w:r>
    </w:p>
    <w:p w14:paraId="7DC46F03"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 xml:space="preserve">Opcje dostosowania wielkości tekstu. </w:t>
      </w:r>
    </w:p>
    <w:p w14:paraId="73E3B641" w14:textId="77777777" w:rsidR="00B13433" w:rsidRPr="00BF6615" w:rsidRDefault="00B13433">
      <w:pPr>
        <w:numPr>
          <w:ilvl w:val="0"/>
          <w:numId w:val="41"/>
        </w:numPr>
        <w:tabs>
          <w:tab w:val="clear" w:pos="720"/>
          <w:tab w:val="num" w:pos="1134"/>
        </w:tabs>
        <w:spacing w:after="0"/>
        <w:ind w:left="1134" w:hanging="357"/>
        <w:contextualSpacing/>
        <w:rPr>
          <w:rFonts w:cstheme="minorHAnsi"/>
        </w:rPr>
      </w:pPr>
      <w:r w:rsidRPr="00BF6615">
        <w:rPr>
          <w:rFonts w:cstheme="minorHAnsi"/>
        </w:rPr>
        <w:t xml:space="preserve">Możliwość wyboru trybu wysokiego kontrastu. </w:t>
      </w:r>
    </w:p>
    <w:p w14:paraId="227F004C" w14:textId="77777777" w:rsidR="00073594" w:rsidRPr="00BF6615" w:rsidRDefault="00073594" w:rsidP="007E26B5">
      <w:pPr>
        <w:spacing w:after="160" w:line="259" w:lineRule="auto"/>
        <w:rPr>
          <w:rFonts w:eastAsiaTheme="majorEastAsia" w:cstheme="minorHAnsi"/>
          <w:b/>
          <w:bCs/>
          <w:color w:val="C00000"/>
          <w:sz w:val="36"/>
          <w:szCs w:val="28"/>
        </w:rPr>
      </w:pPr>
      <w:bookmarkStart w:id="160" w:name="_Toc196827611"/>
      <w:r w:rsidRPr="00BF6615">
        <w:br w:type="page"/>
      </w:r>
    </w:p>
    <w:p w14:paraId="1EB189C3" w14:textId="29A89D2A" w:rsidR="00073594" w:rsidRPr="00BF6615" w:rsidRDefault="00073594" w:rsidP="007E26B5">
      <w:pPr>
        <w:pStyle w:val="Nagwek2"/>
      </w:pPr>
      <w:bookmarkStart w:id="161" w:name="_Toc204179238"/>
      <w:r w:rsidRPr="00BF6615">
        <w:lastRenderedPageBreak/>
        <w:t>Hierarchia potrzeb cyfrowych użytkowników</w:t>
      </w:r>
      <w:bookmarkEnd w:id="161"/>
    </w:p>
    <w:p w14:paraId="1BFECF24" w14:textId="77777777" w:rsidR="00073594" w:rsidRPr="00BF6615" w:rsidRDefault="00073594" w:rsidP="007E26B5">
      <w:pPr>
        <w:spacing w:after="160"/>
        <w:rPr>
          <w:rFonts w:cstheme="minorHAnsi"/>
        </w:rPr>
      </w:pPr>
      <w:r w:rsidRPr="00BF6615">
        <w:rPr>
          <w:rFonts w:cstheme="minorHAnsi"/>
        </w:rPr>
        <w:t>Wyniki badań jakościowych przeprowadzonych wśród sześciu grup osób ze szczególnymi potrzebami pokazują, że choć wiele potrzeb ma charakter wspólny, występują również potrzeby ściśle związane ze specyfiką niepełnosprawności. Poniżej przedstawiono porównanie hierarchii potrzeb zgłaszanych przez każdą z grup oraz wskazano, które potrzeby były uniwersalne, a które charakterystyczne tylko dla jednej lub dwóch grup.</w:t>
      </w:r>
    </w:p>
    <w:p w14:paraId="195D4EA1" w14:textId="77777777" w:rsidR="00073594" w:rsidRPr="00BF6615" w:rsidRDefault="00073594" w:rsidP="007E26B5">
      <w:pPr>
        <w:spacing w:after="160"/>
        <w:rPr>
          <w:rFonts w:cstheme="minorHAnsi"/>
        </w:rPr>
      </w:pPr>
      <w:r w:rsidRPr="00BF6615">
        <w:rPr>
          <w:rFonts w:cstheme="minorHAnsi"/>
        </w:rPr>
        <w:t xml:space="preserve">W analizie hierarchii potrzeb na pierwszym miejscu u większości grup pojawiła się </w:t>
      </w:r>
      <w:r w:rsidRPr="00BF6615">
        <w:rPr>
          <w:rFonts w:cstheme="minorHAnsi"/>
          <w:b/>
          <w:bCs/>
        </w:rPr>
        <w:t>potrzeba uproszczonej i logicznej struktury stron</w:t>
      </w:r>
      <w:r w:rsidRPr="00BF6615">
        <w:rPr>
          <w:rFonts w:cstheme="minorHAnsi"/>
        </w:rPr>
        <w:t xml:space="preserve">, która ułatwia odnalezienie potrzebnych informacji i nawigację. Ta potrzeba została wskazana przez wszystkie grupy jako kluczowa. Równie często, bo przez co najmniej pięć z sześciu grup, pojawiły się potrzeby takie jak: </w:t>
      </w:r>
      <w:r w:rsidRPr="00BF6615">
        <w:rPr>
          <w:rFonts w:cstheme="minorHAnsi"/>
          <w:b/>
          <w:bCs/>
        </w:rPr>
        <w:t>zwiększenie czytelności treści (czcionki, kontrast)</w:t>
      </w:r>
      <w:r w:rsidRPr="00BF6615">
        <w:rPr>
          <w:rFonts w:cstheme="minorHAnsi"/>
        </w:rPr>
        <w:t xml:space="preserve">, </w:t>
      </w:r>
      <w:r w:rsidRPr="00BF6615">
        <w:rPr>
          <w:rFonts w:cstheme="minorHAnsi"/>
          <w:b/>
          <w:bCs/>
        </w:rPr>
        <w:t>możliwość łatwego powiększania strony</w:t>
      </w:r>
      <w:r w:rsidRPr="00BF6615">
        <w:rPr>
          <w:rFonts w:cstheme="minorHAnsi"/>
        </w:rPr>
        <w:t xml:space="preserve"> oraz </w:t>
      </w:r>
      <w:r w:rsidRPr="00BF6615">
        <w:rPr>
          <w:rFonts w:cstheme="minorHAnsi"/>
          <w:b/>
          <w:bCs/>
        </w:rPr>
        <w:t>intuicyjna obsługa formularzy online</w:t>
      </w:r>
      <w:r w:rsidRPr="00BF6615">
        <w:rPr>
          <w:rFonts w:cstheme="minorHAnsi"/>
        </w:rPr>
        <w:t>.</w:t>
      </w:r>
    </w:p>
    <w:p w14:paraId="2B9E32F5" w14:textId="70C0E191" w:rsidR="00073594" w:rsidRPr="00BF6615" w:rsidRDefault="00073594" w:rsidP="007E26B5">
      <w:pPr>
        <w:spacing w:after="160"/>
        <w:rPr>
          <w:rFonts w:cstheme="minorHAnsi"/>
        </w:rPr>
      </w:pPr>
      <w:r w:rsidRPr="00BF6615">
        <w:rPr>
          <w:rFonts w:cstheme="minorHAnsi"/>
        </w:rPr>
        <w:t xml:space="preserve">Potrzeby specyficzne, wskazywane przez mniejszość grup, dotyczyły najczęściej form komunikacji. Przykładowo, </w:t>
      </w:r>
      <w:r w:rsidRPr="00BF6615">
        <w:rPr>
          <w:rFonts w:cstheme="minorHAnsi"/>
          <w:b/>
          <w:bCs/>
        </w:rPr>
        <w:t>obecność tłumacza PJM</w:t>
      </w:r>
      <w:r w:rsidRPr="00BF6615">
        <w:rPr>
          <w:rFonts w:cstheme="minorHAnsi"/>
        </w:rPr>
        <w:t xml:space="preserve"> jako jedno z najważniejszych oczekiwań pojawiła się wyłącznie w grupie osób słabosłyszących i niesłyszących. Z kolei </w:t>
      </w:r>
      <w:r w:rsidRPr="00BF6615">
        <w:rPr>
          <w:rFonts w:cstheme="minorHAnsi"/>
          <w:b/>
          <w:bCs/>
        </w:rPr>
        <w:t>zgodność z czytnikami ekranu i poprawne opisy alternatywne (ALT)</w:t>
      </w:r>
      <w:r w:rsidRPr="00BF6615">
        <w:rPr>
          <w:rFonts w:cstheme="minorHAnsi"/>
        </w:rPr>
        <w:t xml:space="preserve"> wskazywały głównie osoby niewidome. Osoby z niepełnosprawnością intelektualną częściej niż inne grupy podkreślały potrzebę </w:t>
      </w:r>
      <w:r w:rsidRPr="00BF6615">
        <w:rPr>
          <w:rFonts w:cstheme="minorHAnsi"/>
          <w:b/>
          <w:bCs/>
        </w:rPr>
        <w:t>języka łatwego do czytania i zrozumienia (ETR)</w:t>
      </w:r>
      <w:r w:rsidRPr="00BF6615">
        <w:rPr>
          <w:rFonts w:cstheme="minorHAnsi"/>
        </w:rPr>
        <w:t xml:space="preserve"> i unikania długich bloków tekstu. Dla osób 60+ kluczowe okazały się m.in. </w:t>
      </w:r>
      <w:r w:rsidRPr="00BF6615">
        <w:rPr>
          <w:rFonts w:cstheme="minorHAnsi"/>
          <w:b/>
          <w:bCs/>
        </w:rPr>
        <w:t>widoczne przyciski, proste ikony i uproszczone wersje stron/aplikacji</w:t>
      </w:r>
      <w:r w:rsidRPr="00BF6615">
        <w:rPr>
          <w:rFonts w:cstheme="minorHAnsi"/>
        </w:rPr>
        <w:t xml:space="preserve">, co również wskazywało na potrzebę minimalizmu i czytelności. Osoby z niepełnosprawnością ruchu zwracały większą uwagę niż inne grupy na </w:t>
      </w:r>
      <w:r w:rsidRPr="00BF6615">
        <w:rPr>
          <w:rFonts w:cstheme="minorHAnsi"/>
          <w:b/>
          <w:bCs/>
        </w:rPr>
        <w:t>możliwość obsługi stron/aplikacji bez konieczności wykonywania precyzyjnych kliknięć lub przesuwania elementów</w:t>
      </w:r>
      <w:r w:rsidRPr="00BF6615">
        <w:rPr>
          <w:rFonts w:cstheme="minorHAnsi"/>
        </w:rPr>
        <w:t xml:space="preserve">, czyli potrzebę zgodności z urządzeniami alternatywnymi (np. przełącznikami, joystickami, klawiaturą </w:t>
      </w:r>
      <w:r w:rsidR="00AA7746">
        <w:rPr>
          <w:rFonts w:cstheme="minorHAnsi"/>
        </w:rPr>
        <w:t>zewnętrzną</w:t>
      </w:r>
      <w:r w:rsidRPr="00BF6615">
        <w:rPr>
          <w:rFonts w:cstheme="minorHAnsi"/>
        </w:rPr>
        <w:t>).</w:t>
      </w:r>
    </w:p>
    <w:p w14:paraId="6F15AAE1" w14:textId="77777777" w:rsidR="00073594" w:rsidRPr="00BF6615" w:rsidRDefault="00073594" w:rsidP="007E26B5">
      <w:pPr>
        <w:rPr>
          <w:rFonts w:cstheme="minorHAnsi"/>
        </w:rPr>
      </w:pPr>
      <w:r w:rsidRPr="00BF6615">
        <w:rPr>
          <w:rFonts w:cstheme="minorHAnsi"/>
        </w:rPr>
        <w:t xml:space="preserve">Interesującym wnioskiem jest również to, że </w:t>
      </w:r>
      <w:r w:rsidRPr="00BF6615">
        <w:rPr>
          <w:rFonts w:cstheme="minorHAnsi"/>
          <w:b/>
          <w:bCs/>
        </w:rPr>
        <w:t>potrzeba wersji mobilnych dobrze działających aplikacji</w:t>
      </w:r>
      <w:r w:rsidRPr="00BF6615">
        <w:rPr>
          <w:rFonts w:cstheme="minorHAnsi"/>
        </w:rPr>
        <w:t xml:space="preserve"> pojawiła się w niemal każdej grupie, co pokazuje rosnące znaczenie urządzeń przenośnych w dostępie do usług publicznych. </w:t>
      </w:r>
    </w:p>
    <w:p w14:paraId="2D497DB0" w14:textId="77777777" w:rsidR="00073594" w:rsidRPr="00BF6615" w:rsidRDefault="00073594" w:rsidP="007E26B5">
      <w:pPr>
        <w:rPr>
          <w:rFonts w:cstheme="minorHAnsi"/>
        </w:rPr>
      </w:pPr>
      <w:r w:rsidRPr="00BF6615">
        <w:rPr>
          <w:rFonts w:cstheme="minorHAnsi"/>
        </w:rPr>
        <w:br w:type="page"/>
      </w:r>
    </w:p>
    <w:p w14:paraId="77679DD4" w14:textId="77777777" w:rsidR="00073594" w:rsidRPr="00BF6615" w:rsidRDefault="00073594" w:rsidP="007E26B5">
      <w:pPr>
        <w:pStyle w:val="Legenda"/>
        <w:spacing w:line="276" w:lineRule="auto"/>
        <w:rPr>
          <w:rFonts w:cstheme="minorHAnsi"/>
        </w:rPr>
        <w:sectPr w:rsidR="00073594" w:rsidRPr="00BF6615" w:rsidSect="00073594">
          <w:pgSz w:w="11906" w:h="16838"/>
          <w:pgMar w:top="851" w:right="1417" w:bottom="1417" w:left="1417" w:header="708" w:footer="708" w:gutter="0"/>
          <w:cols w:space="708"/>
          <w:docGrid w:linePitch="360"/>
        </w:sectPr>
      </w:pPr>
    </w:p>
    <w:p w14:paraId="5D1EC680" w14:textId="4A933548" w:rsidR="00073594" w:rsidRPr="00BF6615" w:rsidRDefault="00073594" w:rsidP="007E26B5">
      <w:pPr>
        <w:pStyle w:val="Legenda"/>
        <w:spacing w:line="276" w:lineRule="auto"/>
        <w:rPr>
          <w:rFonts w:cstheme="minorHAnsi"/>
        </w:rPr>
      </w:pPr>
      <w:bookmarkStart w:id="162" w:name="_Toc196335288"/>
      <w:bookmarkStart w:id="163" w:name="_Toc204179121"/>
      <w:r w:rsidRPr="00BF6615">
        <w:rPr>
          <w:rFonts w:cstheme="minorHAnsi"/>
        </w:rPr>
        <w:lastRenderedPageBreak/>
        <w:t xml:space="preserve">Tabela </w:t>
      </w:r>
      <w:r w:rsidRPr="00BF6615">
        <w:rPr>
          <w:rFonts w:cstheme="minorHAnsi"/>
        </w:rPr>
        <w:fldChar w:fldCharType="begin"/>
      </w:r>
      <w:r w:rsidRPr="00BF6615">
        <w:rPr>
          <w:rFonts w:cstheme="minorHAnsi"/>
        </w:rPr>
        <w:instrText xml:space="preserve"> SEQ Tabela \* ARABIC </w:instrText>
      </w:r>
      <w:r w:rsidRPr="00BF6615">
        <w:rPr>
          <w:rFonts w:cstheme="minorHAnsi"/>
        </w:rPr>
        <w:fldChar w:fldCharType="separate"/>
      </w:r>
      <w:r w:rsidR="00FD0843">
        <w:rPr>
          <w:rFonts w:cstheme="minorHAnsi"/>
          <w:noProof/>
        </w:rPr>
        <w:t>23</w:t>
      </w:r>
      <w:r w:rsidRPr="00BF6615">
        <w:rPr>
          <w:rFonts w:cstheme="minorHAnsi"/>
        </w:rPr>
        <w:fldChar w:fldCharType="end"/>
      </w:r>
      <w:r w:rsidR="002F6492">
        <w:rPr>
          <w:rFonts w:cstheme="minorHAnsi"/>
        </w:rPr>
        <w:t>.</w:t>
      </w:r>
      <w:r w:rsidRPr="00BF6615">
        <w:rPr>
          <w:rFonts w:cstheme="minorHAnsi"/>
        </w:rPr>
        <w:t xml:space="preserve"> Zestawienie hierarchii potrzeb wspólnych dla grup badanych</w:t>
      </w:r>
      <w:bookmarkEnd w:id="162"/>
      <w:bookmarkEnd w:id="163"/>
    </w:p>
    <w:tbl>
      <w:tblPr>
        <w:tblStyle w:val="PARP"/>
        <w:tblW w:w="13344" w:type="dxa"/>
        <w:tblLook w:val="04A0" w:firstRow="1" w:lastRow="0" w:firstColumn="1" w:lastColumn="0" w:noHBand="0" w:noVBand="1"/>
        <w:tblCaption w:val="Zestawienie hierarchii potrzeb wspólnych dla grup badanych"/>
        <w:tblDescription w:val="Zestawienie hierarchii potrzeb wspólnych dla grup badanych"/>
      </w:tblPr>
      <w:tblGrid>
        <w:gridCol w:w="2830"/>
        <w:gridCol w:w="1860"/>
        <w:gridCol w:w="1401"/>
        <w:gridCol w:w="1559"/>
        <w:gridCol w:w="1558"/>
        <w:gridCol w:w="2232"/>
        <w:gridCol w:w="1904"/>
      </w:tblGrid>
      <w:tr w:rsidR="00073594" w:rsidRPr="00BF6615" w14:paraId="21EE4834" w14:textId="77777777">
        <w:trPr>
          <w:cnfStyle w:val="100000000000" w:firstRow="1" w:lastRow="0" w:firstColumn="0" w:lastColumn="0" w:oddVBand="0" w:evenVBand="0" w:oddHBand="0" w:evenHBand="0" w:firstRowFirstColumn="0" w:firstRowLastColumn="0" w:lastRowFirstColumn="0" w:lastRowLastColumn="0"/>
          <w:trHeight w:val="290"/>
        </w:trPr>
        <w:tc>
          <w:tcPr>
            <w:tcW w:w="2830" w:type="dxa"/>
            <w:noWrap/>
            <w:hideMark/>
          </w:tcPr>
          <w:p w14:paraId="00B1F957" w14:textId="77777777" w:rsidR="00073594" w:rsidRPr="00BF6615" w:rsidRDefault="00073594" w:rsidP="002F6492">
            <w:pPr>
              <w:spacing w:before="0"/>
              <w:rPr>
                <w:rFonts w:asciiTheme="minorHAnsi" w:hAnsiTheme="minorHAnsi" w:cstheme="minorHAnsi"/>
                <w:b/>
                <w:bCs/>
                <w:sz w:val="22"/>
                <w:szCs w:val="20"/>
                <w:lang w:eastAsia="pl-PL"/>
              </w:rPr>
            </w:pPr>
            <w:r w:rsidRPr="00BF6615">
              <w:rPr>
                <w:rFonts w:cstheme="minorHAnsi"/>
                <w:b/>
                <w:bCs/>
                <w:sz w:val="22"/>
                <w:szCs w:val="20"/>
                <w:lang w:eastAsia="pl-PL"/>
              </w:rPr>
              <w:t>Potrzeba</w:t>
            </w:r>
          </w:p>
        </w:tc>
        <w:tc>
          <w:tcPr>
            <w:tcW w:w="1860" w:type="dxa"/>
            <w:noWrap/>
            <w:hideMark/>
          </w:tcPr>
          <w:p w14:paraId="46B7341B" w14:textId="77777777" w:rsidR="00073594" w:rsidRPr="00BF6615" w:rsidRDefault="00073594" w:rsidP="002F6492">
            <w:pPr>
              <w:spacing w:before="0"/>
              <w:rPr>
                <w:rFonts w:asciiTheme="minorHAnsi" w:hAnsiTheme="minorHAnsi" w:cstheme="minorHAnsi"/>
                <w:b/>
                <w:bCs/>
                <w:sz w:val="22"/>
                <w:szCs w:val="20"/>
                <w:lang w:eastAsia="pl-PL"/>
              </w:rPr>
            </w:pPr>
            <w:r w:rsidRPr="00BF6615">
              <w:rPr>
                <w:rFonts w:cstheme="minorHAnsi"/>
                <w:b/>
                <w:bCs/>
                <w:sz w:val="22"/>
                <w:szCs w:val="20"/>
                <w:lang w:eastAsia="pl-PL"/>
              </w:rPr>
              <w:t>Osoby ociemniałe lub niewidome</w:t>
            </w:r>
          </w:p>
        </w:tc>
        <w:tc>
          <w:tcPr>
            <w:tcW w:w="1401" w:type="dxa"/>
            <w:noWrap/>
            <w:hideMark/>
          </w:tcPr>
          <w:p w14:paraId="7D56BDCF" w14:textId="77777777" w:rsidR="00073594" w:rsidRPr="00BF6615" w:rsidRDefault="00073594" w:rsidP="002F6492">
            <w:pPr>
              <w:spacing w:before="0"/>
              <w:rPr>
                <w:rFonts w:asciiTheme="minorHAnsi" w:hAnsiTheme="minorHAnsi" w:cstheme="minorHAnsi"/>
                <w:b/>
                <w:bCs/>
                <w:sz w:val="22"/>
                <w:szCs w:val="20"/>
                <w:lang w:eastAsia="pl-PL"/>
              </w:rPr>
            </w:pPr>
            <w:r w:rsidRPr="00BF6615">
              <w:rPr>
                <w:rFonts w:cstheme="minorHAnsi"/>
                <w:b/>
                <w:bCs/>
                <w:sz w:val="22"/>
                <w:szCs w:val="20"/>
                <w:lang w:eastAsia="pl-PL"/>
              </w:rPr>
              <w:t>Osoby słabowidzące</w:t>
            </w:r>
          </w:p>
        </w:tc>
        <w:tc>
          <w:tcPr>
            <w:tcW w:w="1559" w:type="dxa"/>
            <w:noWrap/>
            <w:hideMark/>
          </w:tcPr>
          <w:p w14:paraId="03BC96E1" w14:textId="77777777" w:rsidR="00073594" w:rsidRPr="00BF6615" w:rsidRDefault="00073594" w:rsidP="002F6492">
            <w:pPr>
              <w:spacing w:before="0"/>
              <w:rPr>
                <w:rFonts w:asciiTheme="minorHAnsi" w:hAnsiTheme="minorHAnsi" w:cstheme="minorHAnsi"/>
                <w:b/>
                <w:bCs/>
                <w:sz w:val="22"/>
                <w:szCs w:val="20"/>
                <w:lang w:eastAsia="pl-PL"/>
              </w:rPr>
            </w:pPr>
            <w:r w:rsidRPr="00BF6615">
              <w:rPr>
                <w:rFonts w:cstheme="minorHAnsi"/>
                <w:b/>
                <w:bCs/>
                <w:sz w:val="22"/>
                <w:szCs w:val="20"/>
                <w:lang w:eastAsia="pl-PL"/>
              </w:rPr>
              <w:t>Osoby słabosłyszące lub niesłyszące</w:t>
            </w:r>
          </w:p>
        </w:tc>
        <w:tc>
          <w:tcPr>
            <w:tcW w:w="1558" w:type="dxa"/>
            <w:noWrap/>
            <w:hideMark/>
          </w:tcPr>
          <w:p w14:paraId="74F4DFC5" w14:textId="77777777" w:rsidR="00073594" w:rsidRPr="00BF6615" w:rsidRDefault="00073594" w:rsidP="002F6492">
            <w:pPr>
              <w:spacing w:before="0"/>
              <w:rPr>
                <w:rFonts w:asciiTheme="minorHAnsi" w:hAnsiTheme="minorHAnsi" w:cstheme="minorHAnsi"/>
                <w:b/>
                <w:bCs/>
                <w:sz w:val="22"/>
                <w:szCs w:val="20"/>
                <w:lang w:eastAsia="pl-PL"/>
              </w:rPr>
            </w:pPr>
            <w:r w:rsidRPr="00BF6615">
              <w:rPr>
                <w:rFonts w:cstheme="minorHAnsi"/>
                <w:b/>
                <w:bCs/>
                <w:sz w:val="22"/>
                <w:szCs w:val="20"/>
                <w:lang w:eastAsia="pl-PL"/>
              </w:rPr>
              <w:t>Osoby z dysfunkcją narządu ruchu</w:t>
            </w:r>
          </w:p>
        </w:tc>
        <w:tc>
          <w:tcPr>
            <w:tcW w:w="2232" w:type="dxa"/>
            <w:noWrap/>
            <w:hideMark/>
          </w:tcPr>
          <w:p w14:paraId="713984F2" w14:textId="77777777" w:rsidR="00073594" w:rsidRPr="00BF6615" w:rsidRDefault="00073594" w:rsidP="002F6492">
            <w:pPr>
              <w:spacing w:before="0"/>
              <w:rPr>
                <w:rFonts w:asciiTheme="minorHAnsi" w:hAnsiTheme="minorHAnsi" w:cstheme="minorHAnsi"/>
                <w:b/>
                <w:bCs/>
                <w:sz w:val="22"/>
                <w:szCs w:val="20"/>
                <w:lang w:eastAsia="pl-PL"/>
              </w:rPr>
            </w:pPr>
            <w:r w:rsidRPr="00BF6615">
              <w:rPr>
                <w:rFonts w:cstheme="minorHAnsi"/>
                <w:b/>
                <w:bCs/>
                <w:sz w:val="22"/>
                <w:szCs w:val="20"/>
                <w:lang w:eastAsia="pl-PL"/>
              </w:rPr>
              <w:t>Osoby z niepełnosprawnością intelektualną i ograniczeniami poznawczymi</w:t>
            </w:r>
          </w:p>
        </w:tc>
        <w:tc>
          <w:tcPr>
            <w:tcW w:w="1904" w:type="dxa"/>
            <w:noWrap/>
            <w:hideMark/>
          </w:tcPr>
          <w:p w14:paraId="46AE25D5" w14:textId="77777777" w:rsidR="00073594" w:rsidRPr="00BF6615" w:rsidRDefault="00073594" w:rsidP="002F6492">
            <w:pPr>
              <w:spacing w:before="0"/>
              <w:rPr>
                <w:rFonts w:asciiTheme="minorHAnsi" w:hAnsiTheme="minorHAnsi" w:cstheme="minorHAnsi"/>
                <w:b/>
                <w:bCs/>
                <w:sz w:val="22"/>
                <w:szCs w:val="20"/>
                <w:lang w:eastAsia="pl-PL"/>
              </w:rPr>
            </w:pPr>
            <w:r w:rsidRPr="00BF6615">
              <w:rPr>
                <w:rFonts w:cstheme="minorHAnsi"/>
                <w:b/>
                <w:bCs/>
                <w:sz w:val="22"/>
                <w:szCs w:val="20"/>
                <w:lang w:eastAsia="pl-PL"/>
              </w:rPr>
              <w:t>Osoby, które ukończyły 60 rok życia</w:t>
            </w:r>
          </w:p>
        </w:tc>
      </w:tr>
      <w:tr w:rsidR="00073594" w:rsidRPr="00BF6615" w14:paraId="6BD21843" w14:textId="77777777">
        <w:trPr>
          <w:cnfStyle w:val="000000100000" w:firstRow="0" w:lastRow="0" w:firstColumn="0" w:lastColumn="0" w:oddVBand="0" w:evenVBand="0" w:oddHBand="1" w:evenHBand="0" w:firstRowFirstColumn="0" w:firstRowLastColumn="0" w:lastRowFirstColumn="0" w:lastRowLastColumn="0"/>
          <w:trHeight w:val="290"/>
        </w:trPr>
        <w:tc>
          <w:tcPr>
            <w:tcW w:w="2830" w:type="dxa"/>
            <w:noWrap/>
            <w:hideMark/>
          </w:tcPr>
          <w:p w14:paraId="4D54B4FA"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Uproszczona struktura / intuicyjna nawigacja</w:t>
            </w:r>
          </w:p>
        </w:tc>
        <w:tc>
          <w:tcPr>
            <w:tcW w:w="1860" w:type="dxa"/>
            <w:noWrap/>
            <w:hideMark/>
          </w:tcPr>
          <w:p w14:paraId="45AFBC9A"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401" w:type="dxa"/>
            <w:noWrap/>
            <w:hideMark/>
          </w:tcPr>
          <w:p w14:paraId="01E33B5D"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9" w:type="dxa"/>
            <w:noWrap/>
            <w:hideMark/>
          </w:tcPr>
          <w:p w14:paraId="056902FB"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8" w:type="dxa"/>
            <w:noWrap/>
            <w:hideMark/>
          </w:tcPr>
          <w:p w14:paraId="28A40066"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2232" w:type="dxa"/>
            <w:noWrap/>
            <w:hideMark/>
          </w:tcPr>
          <w:p w14:paraId="36B00FC7"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904" w:type="dxa"/>
            <w:noWrap/>
            <w:hideMark/>
          </w:tcPr>
          <w:p w14:paraId="1B5A21DF"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r>
      <w:tr w:rsidR="00073594" w:rsidRPr="00BF6615" w14:paraId="61B4EFCA" w14:textId="77777777">
        <w:trPr>
          <w:cnfStyle w:val="000000010000" w:firstRow="0" w:lastRow="0" w:firstColumn="0" w:lastColumn="0" w:oddVBand="0" w:evenVBand="0" w:oddHBand="0" w:evenHBand="1" w:firstRowFirstColumn="0" w:firstRowLastColumn="0" w:lastRowFirstColumn="0" w:lastRowLastColumn="0"/>
          <w:trHeight w:val="290"/>
        </w:trPr>
        <w:tc>
          <w:tcPr>
            <w:tcW w:w="2830" w:type="dxa"/>
            <w:noWrap/>
            <w:hideMark/>
          </w:tcPr>
          <w:p w14:paraId="75F9C1A4"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Jasny, prosty język / unika – urzędowego żargonu</w:t>
            </w:r>
          </w:p>
        </w:tc>
        <w:tc>
          <w:tcPr>
            <w:tcW w:w="1860" w:type="dxa"/>
            <w:noWrap/>
            <w:hideMark/>
          </w:tcPr>
          <w:p w14:paraId="0986A1CC"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401" w:type="dxa"/>
            <w:noWrap/>
            <w:hideMark/>
          </w:tcPr>
          <w:p w14:paraId="0CF9D446"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9" w:type="dxa"/>
            <w:noWrap/>
            <w:hideMark/>
          </w:tcPr>
          <w:p w14:paraId="675127A4"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8" w:type="dxa"/>
            <w:noWrap/>
            <w:hideMark/>
          </w:tcPr>
          <w:p w14:paraId="2F6AB0D8"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2232" w:type="dxa"/>
            <w:noWrap/>
            <w:hideMark/>
          </w:tcPr>
          <w:p w14:paraId="2B0F2862"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904" w:type="dxa"/>
            <w:noWrap/>
            <w:hideMark/>
          </w:tcPr>
          <w:p w14:paraId="7F8D103D"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r>
      <w:tr w:rsidR="00073594" w:rsidRPr="00BF6615" w14:paraId="1B0D4822" w14:textId="77777777">
        <w:trPr>
          <w:cnfStyle w:val="000000100000" w:firstRow="0" w:lastRow="0" w:firstColumn="0" w:lastColumn="0" w:oddVBand="0" w:evenVBand="0" w:oddHBand="1" w:evenHBand="0" w:firstRowFirstColumn="0" w:firstRowLastColumn="0" w:lastRowFirstColumn="0" w:lastRowLastColumn="0"/>
          <w:trHeight w:val="290"/>
        </w:trPr>
        <w:tc>
          <w:tcPr>
            <w:tcW w:w="2830" w:type="dxa"/>
            <w:noWrap/>
            <w:hideMark/>
          </w:tcPr>
          <w:p w14:paraId="75600D7E"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Zrozumiałe formularze i komunikaty systemowe</w:t>
            </w:r>
          </w:p>
        </w:tc>
        <w:tc>
          <w:tcPr>
            <w:tcW w:w="1860" w:type="dxa"/>
            <w:noWrap/>
            <w:hideMark/>
          </w:tcPr>
          <w:p w14:paraId="00F2974F"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401" w:type="dxa"/>
            <w:noWrap/>
            <w:hideMark/>
          </w:tcPr>
          <w:p w14:paraId="75A360FA"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9" w:type="dxa"/>
            <w:noWrap/>
            <w:hideMark/>
          </w:tcPr>
          <w:p w14:paraId="17CC4844"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8" w:type="dxa"/>
            <w:noWrap/>
            <w:hideMark/>
          </w:tcPr>
          <w:p w14:paraId="12FD17DF"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2232" w:type="dxa"/>
            <w:noWrap/>
            <w:hideMark/>
          </w:tcPr>
          <w:p w14:paraId="12897E36"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904" w:type="dxa"/>
            <w:noWrap/>
            <w:hideMark/>
          </w:tcPr>
          <w:p w14:paraId="3FBB99EF"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r>
      <w:tr w:rsidR="00073594" w:rsidRPr="00BF6615" w14:paraId="1832AD92" w14:textId="77777777">
        <w:trPr>
          <w:cnfStyle w:val="000000010000" w:firstRow="0" w:lastRow="0" w:firstColumn="0" w:lastColumn="0" w:oddVBand="0" w:evenVBand="0" w:oddHBand="0" w:evenHBand="1" w:firstRowFirstColumn="0" w:firstRowLastColumn="0" w:lastRowFirstColumn="0" w:lastRowLastColumn="0"/>
          <w:trHeight w:val="290"/>
        </w:trPr>
        <w:tc>
          <w:tcPr>
            <w:tcW w:w="2830" w:type="dxa"/>
            <w:noWrap/>
          </w:tcPr>
          <w:p w14:paraId="6794FFD0"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Czytelność treści (czcionka, kontrast, podział treści)</w:t>
            </w:r>
          </w:p>
        </w:tc>
        <w:tc>
          <w:tcPr>
            <w:tcW w:w="1860" w:type="dxa"/>
            <w:noWrap/>
          </w:tcPr>
          <w:p w14:paraId="5A26C8FE"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w:t>
            </w:r>
          </w:p>
        </w:tc>
        <w:tc>
          <w:tcPr>
            <w:tcW w:w="1401" w:type="dxa"/>
            <w:noWrap/>
          </w:tcPr>
          <w:p w14:paraId="1CF9B0D6"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9" w:type="dxa"/>
            <w:noWrap/>
          </w:tcPr>
          <w:p w14:paraId="3201BF2F"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8" w:type="dxa"/>
            <w:noWrap/>
          </w:tcPr>
          <w:p w14:paraId="081045D2"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2232" w:type="dxa"/>
            <w:noWrap/>
          </w:tcPr>
          <w:p w14:paraId="7353314C"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904" w:type="dxa"/>
            <w:noWrap/>
          </w:tcPr>
          <w:p w14:paraId="599730A9"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r>
      <w:tr w:rsidR="00073594" w:rsidRPr="00BF6615" w14:paraId="4FE83A11" w14:textId="77777777">
        <w:trPr>
          <w:cnfStyle w:val="000000100000" w:firstRow="0" w:lastRow="0" w:firstColumn="0" w:lastColumn="0" w:oddVBand="0" w:evenVBand="0" w:oddHBand="1" w:evenHBand="0" w:firstRowFirstColumn="0" w:firstRowLastColumn="0" w:lastRowFirstColumn="0" w:lastRowLastColumn="0"/>
          <w:trHeight w:val="290"/>
        </w:trPr>
        <w:tc>
          <w:tcPr>
            <w:tcW w:w="2830" w:type="dxa"/>
            <w:noWrap/>
            <w:hideMark/>
          </w:tcPr>
          <w:p w14:paraId="6B397C46"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Możliwość powiększania, zmiany kontrastu, układu</w:t>
            </w:r>
          </w:p>
        </w:tc>
        <w:tc>
          <w:tcPr>
            <w:tcW w:w="1860" w:type="dxa"/>
            <w:noWrap/>
            <w:hideMark/>
          </w:tcPr>
          <w:p w14:paraId="17617927"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 xml:space="preserve"> -</w:t>
            </w:r>
          </w:p>
        </w:tc>
        <w:tc>
          <w:tcPr>
            <w:tcW w:w="1401" w:type="dxa"/>
            <w:noWrap/>
            <w:hideMark/>
          </w:tcPr>
          <w:p w14:paraId="11717A0E"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9" w:type="dxa"/>
            <w:noWrap/>
            <w:hideMark/>
          </w:tcPr>
          <w:p w14:paraId="496416FE"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8" w:type="dxa"/>
            <w:noWrap/>
            <w:hideMark/>
          </w:tcPr>
          <w:p w14:paraId="1FD2F90C"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2232" w:type="dxa"/>
            <w:noWrap/>
            <w:hideMark/>
          </w:tcPr>
          <w:p w14:paraId="7BA914FA"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904" w:type="dxa"/>
            <w:noWrap/>
            <w:hideMark/>
          </w:tcPr>
          <w:p w14:paraId="2096AFEF"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r>
      <w:tr w:rsidR="00073594" w:rsidRPr="00BF6615" w14:paraId="4877014A" w14:textId="77777777">
        <w:trPr>
          <w:cnfStyle w:val="000000010000" w:firstRow="0" w:lastRow="0" w:firstColumn="0" w:lastColumn="0" w:oddVBand="0" w:evenVBand="0" w:oddHBand="0" w:evenHBand="1" w:firstRowFirstColumn="0" w:firstRowLastColumn="0" w:lastRowFirstColumn="0" w:lastRowLastColumn="0"/>
          <w:trHeight w:val="290"/>
        </w:trPr>
        <w:tc>
          <w:tcPr>
            <w:tcW w:w="2830" w:type="dxa"/>
            <w:noWrap/>
            <w:hideMark/>
          </w:tcPr>
          <w:p w14:paraId="1B087AA4"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Obecność materiałów wizualnych i instrukcji krok po kroku</w:t>
            </w:r>
          </w:p>
        </w:tc>
        <w:tc>
          <w:tcPr>
            <w:tcW w:w="1860" w:type="dxa"/>
            <w:noWrap/>
            <w:hideMark/>
          </w:tcPr>
          <w:p w14:paraId="2F559E9A"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 xml:space="preserve"> -</w:t>
            </w:r>
          </w:p>
        </w:tc>
        <w:tc>
          <w:tcPr>
            <w:tcW w:w="1401" w:type="dxa"/>
            <w:noWrap/>
            <w:hideMark/>
          </w:tcPr>
          <w:p w14:paraId="02B23631"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9" w:type="dxa"/>
            <w:noWrap/>
            <w:hideMark/>
          </w:tcPr>
          <w:p w14:paraId="09D5AAC7"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8" w:type="dxa"/>
            <w:noWrap/>
            <w:hideMark/>
          </w:tcPr>
          <w:p w14:paraId="650557E1"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 xml:space="preserve"> -</w:t>
            </w:r>
          </w:p>
        </w:tc>
        <w:tc>
          <w:tcPr>
            <w:tcW w:w="2232" w:type="dxa"/>
            <w:noWrap/>
            <w:hideMark/>
          </w:tcPr>
          <w:p w14:paraId="19093D6E"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904" w:type="dxa"/>
            <w:noWrap/>
            <w:hideMark/>
          </w:tcPr>
          <w:p w14:paraId="12866255"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r>
      <w:tr w:rsidR="00073594" w:rsidRPr="00BF6615" w14:paraId="164C99B1" w14:textId="77777777">
        <w:trPr>
          <w:cnfStyle w:val="000000100000" w:firstRow="0" w:lastRow="0" w:firstColumn="0" w:lastColumn="0" w:oddVBand="0" w:evenVBand="0" w:oddHBand="1" w:evenHBand="0" w:firstRowFirstColumn="0" w:firstRowLastColumn="0" w:lastRowFirstColumn="0" w:lastRowLastColumn="0"/>
          <w:trHeight w:val="290"/>
        </w:trPr>
        <w:tc>
          <w:tcPr>
            <w:tcW w:w="2830" w:type="dxa"/>
            <w:noWrap/>
            <w:hideMark/>
          </w:tcPr>
          <w:p w14:paraId="18794662"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Kompatybilność stron/aplikacji z technologiami wspomagającymi</w:t>
            </w:r>
          </w:p>
        </w:tc>
        <w:tc>
          <w:tcPr>
            <w:tcW w:w="1860" w:type="dxa"/>
            <w:noWrap/>
            <w:hideMark/>
          </w:tcPr>
          <w:p w14:paraId="7F8DD08D"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401" w:type="dxa"/>
            <w:noWrap/>
            <w:hideMark/>
          </w:tcPr>
          <w:p w14:paraId="7E869ED7" w14:textId="77777777" w:rsidR="00073594" w:rsidRPr="00BF6615" w:rsidRDefault="00073594" w:rsidP="002F6492">
            <w:pPr>
              <w:spacing w:before="0"/>
              <w:rPr>
                <w:rFonts w:cstheme="minorHAnsi"/>
                <w:b/>
                <w:bCs/>
                <w:color w:val="000000"/>
                <w:sz w:val="22"/>
                <w:szCs w:val="20"/>
                <w:lang w:eastAsia="pl-PL"/>
              </w:rPr>
            </w:pPr>
            <w:r w:rsidRPr="00BF6615">
              <w:rPr>
                <w:rFonts w:cstheme="minorHAnsi"/>
                <w:b/>
                <w:bCs/>
                <w:color w:val="000000"/>
                <w:sz w:val="22"/>
                <w:szCs w:val="20"/>
                <w:lang w:eastAsia="pl-PL"/>
              </w:rPr>
              <w:t>tak</w:t>
            </w:r>
          </w:p>
        </w:tc>
        <w:tc>
          <w:tcPr>
            <w:tcW w:w="1559" w:type="dxa"/>
            <w:noWrap/>
            <w:hideMark/>
          </w:tcPr>
          <w:p w14:paraId="0D88946C"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 xml:space="preserve"> -</w:t>
            </w:r>
          </w:p>
        </w:tc>
        <w:tc>
          <w:tcPr>
            <w:tcW w:w="1558" w:type="dxa"/>
            <w:noWrap/>
            <w:hideMark/>
          </w:tcPr>
          <w:p w14:paraId="4BB29F84" w14:textId="77777777" w:rsidR="00073594" w:rsidRPr="00BF6615" w:rsidRDefault="00073594" w:rsidP="002F6492">
            <w:pPr>
              <w:spacing w:before="0"/>
              <w:rPr>
                <w:rFonts w:cstheme="minorHAnsi"/>
                <w:color w:val="000000"/>
                <w:sz w:val="22"/>
                <w:szCs w:val="20"/>
                <w:lang w:eastAsia="pl-PL"/>
              </w:rPr>
            </w:pPr>
            <w:r w:rsidRPr="00BF6615">
              <w:rPr>
                <w:rFonts w:cstheme="minorHAnsi"/>
                <w:b/>
                <w:bCs/>
                <w:color w:val="000000"/>
                <w:sz w:val="22"/>
                <w:szCs w:val="20"/>
                <w:lang w:eastAsia="pl-PL"/>
              </w:rPr>
              <w:t>tak</w:t>
            </w:r>
          </w:p>
        </w:tc>
        <w:tc>
          <w:tcPr>
            <w:tcW w:w="2232" w:type="dxa"/>
            <w:noWrap/>
            <w:hideMark/>
          </w:tcPr>
          <w:p w14:paraId="1E9E7235"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 xml:space="preserve"> -</w:t>
            </w:r>
          </w:p>
        </w:tc>
        <w:tc>
          <w:tcPr>
            <w:tcW w:w="1904" w:type="dxa"/>
            <w:noWrap/>
            <w:hideMark/>
          </w:tcPr>
          <w:p w14:paraId="3F901A45" w14:textId="77777777" w:rsidR="00073594" w:rsidRPr="00BF6615" w:rsidRDefault="00073594" w:rsidP="002F6492">
            <w:pPr>
              <w:spacing w:before="0"/>
              <w:rPr>
                <w:rFonts w:cstheme="minorHAnsi"/>
                <w:color w:val="000000"/>
                <w:sz w:val="22"/>
                <w:szCs w:val="20"/>
                <w:lang w:eastAsia="pl-PL"/>
              </w:rPr>
            </w:pPr>
            <w:r w:rsidRPr="00BF6615">
              <w:rPr>
                <w:rFonts w:cstheme="minorHAnsi"/>
                <w:color w:val="000000"/>
                <w:sz w:val="22"/>
                <w:szCs w:val="20"/>
                <w:lang w:eastAsia="pl-PL"/>
              </w:rPr>
              <w:t xml:space="preserve"> -</w:t>
            </w:r>
          </w:p>
        </w:tc>
      </w:tr>
    </w:tbl>
    <w:p w14:paraId="347F2131" w14:textId="3CF0DAE5" w:rsidR="00073594" w:rsidRPr="00BF6615" w:rsidRDefault="00073594" w:rsidP="002F6492">
      <w:pPr>
        <w:pStyle w:val="Legenda"/>
        <w:rPr>
          <w:rFonts w:eastAsiaTheme="majorEastAsia" w:cstheme="minorHAnsi"/>
          <w:b/>
          <w:bCs/>
          <w:sz w:val="36"/>
          <w:szCs w:val="28"/>
        </w:rPr>
      </w:pPr>
      <w:r w:rsidRPr="000F4CC1">
        <w:rPr>
          <w:color w:val="auto"/>
        </w:rPr>
        <w:t>Źródło: opracowanie własne</w:t>
      </w:r>
      <w:r w:rsidR="000F4CC1">
        <w:rPr>
          <w:color w:val="auto"/>
        </w:rPr>
        <w:t>.</w:t>
      </w:r>
      <w:r w:rsidRPr="00BF6615">
        <w:br w:type="page"/>
      </w:r>
    </w:p>
    <w:p w14:paraId="49EA62CB" w14:textId="77777777" w:rsidR="00073594" w:rsidRPr="00BF6615" w:rsidRDefault="00073594" w:rsidP="007E26B5">
      <w:pPr>
        <w:pStyle w:val="Nagwek2"/>
        <w:sectPr w:rsidR="00073594" w:rsidRPr="00BF6615" w:rsidSect="00073594">
          <w:footerReference w:type="default" r:id="rId33"/>
          <w:pgSz w:w="15840" w:h="12240" w:orient="landscape"/>
          <w:pgMar w:top="1797" w:right="1440" w:bottom="1797" w:left="1440" w:header="720" w:footer="720" w:gutter="0"/>
          <w:cols w:space="720"/>
          <w:docGrid w:linePitch="360"/>
        </w:sectPr>
      </w:pPr>
    </w:p>
    <w:p w14:paraId="01D3D8AC" w14:textId="0388DC7C" w:rsidR="00B13433" w:rsidRPr="00BF6615" w:rsidRDefault="00B13433" w:rsidP="007E26B5">
      <w:pPr>
        <w:pStyle w:val="Nagwek2"/>
      </w:pPr>
      <w:bookmarkStart w:id="164" w:name="_Toc204179239"/>
      <w:r w:rsidRPr="00BF6615">
        <w:lastRenderedPageBreak/>
        <w:t>Podsumowanie badania</w:t>
      </w:r>
      <w:bookmarkEnd w:id="160"/>
      <w:r w:rsidR="00972F54" w:rsidRPr="00BF6615">
        <w:t xml:space="preserve"> jakościowego</w:t>
      </w:r>
      <w:bookmarkEnd w:id="164"/>
    </w:p>
    <w:p w14:paraId="372BF81B" w14:textId="4A76C501" w:rsidR="00B13433" w:rsidRPr="00BF6615" w:rsidRDefault="00B13433">
      <w:pPr>
        <w:pStyle w:val="Nagwek3"/>
        <w:numPr>
          <w:ilvl w:val="1"/>
          <w:numId w:val="6"/>
        </w:numPr>
      </w:pPr>
      <w:bookmarkStart w:id="165" w:name="_Toc196827612"/>
      <w:bookmarkStart w:id="166" w:name="_Toc204179240"/>
      <w:r w:rsidRPr="00BF6615">
        <w:t>Podsumowanie ogólne</w:t>
      </w:r>
      <w:bookmarkEnd w:id="165"/>
      <w:bookmarkEnd w:id="166"/>
    </w:p>
    <w:p w14:paraId="2CD9F170" w14:textId="75B8A93F" w:rsidR="00B13433" w:rsidRPr="00BF6615" w:rsidRDefault="00B13433" w:rsidP="007E26B5">
      <w:pPr>
        <w:spacing w:after="160"/>
        <w:rPr>
          <w:rFonts w:cstheme="minorHAnsi"/>
        </w:rPr>
      </w:pPr>
      <w:r w:rsidRPr="00BF6615">
        <w:rPr>
          <w:rFonts w:cstheme="minorHAnsi"/>
        </w:rPr>
        <w:t xml:space="preserve">Podsumowując wyniki badania, należy jednoznacznie stwierdzić, że </w:t>
      </w:r>
      <w:r w:rsidRPr="00BF6615">
        <w:rPr>
          <w:rFonts w:cstheme="minorHAnsi"/>
          <w:b/>
          <w:bCs/>
        </w:rPr>
        <w:t>dostępność cyfrowa stron i aplikacji publicznych nie spełnia oczekiwań</w:t>
      </w:r>
      <w:r w:rsidRPr="00BF6615">
        <w:rPr>
          <w:rFonts w:cstheme="minorHAnsi"/>
        </w:rPr>
        <w:t xml:space="preserve"> użytkowników ze szczególnymi potrzebami, w szczególności osób z niepełnosprawnościami oraz starszych. Dane jakościowe pokazały, że większość respondentów napotyka istotne trudności podczas prób korzystania z e-usług publicznych – co potwierdza wcześniejsze obserwacje </w:t>
      </w:r>
      <w:r w:rsidR="000A692A" w:rsidRPr="00BF6615">
        <w:rPr>
          <w:rFonts w:cstheme="minorHAnsi"/>
        </w:rPr>
        <w:t>z</w:t>
      </w:r>
      <w:r w:rsidR="000A692A">
        <w:rPr>
          <w:rFonts w:cstheme="minorHAnsi"/>
        </w:rPr>
        <w:t> </w:t>
      </w:r>
      <w:r w:rsidRPr="00BF6615">
        <w:rPr>
          <w:rFonts w:cstheme="minorHAnsi"/>
        </w:rPr>
        <w:t xml:space="preserve">raportów i danych zastanych. </w:t>
      </w:r>
      <w:r w:rsidRPr="00BF6615">
        <w:rPr>
          <w:rFonts w:cstheme="minorHAnsi"/>
          <w:b/>
          <w:bCs/>
        </w:rPr>
        <w:t>Z danych tych wynika, że 36% stron publicznych spełnia tylko minimalne wymogi dostępności WCAG</w:t>
      </w:r>
      <w:r w:rsidRPr="00BF6615">
        <w:rPr>
          <w:rFonts w:cstheme="minorHAnsi"/>
        </w:rPr>
        <w:t xml:space="preserve">, co znalazło odzwierciedlenie w licznych negatywnych doświadczeniach badanych. </w:t>
      </w:r>
      <w:r w:rsidRPr="00BF6615">
        <w:rPr>
          <w:rFonts w:cstheme="minorHAnsi"/>
          <w:b/>
          <w:bCs/>
        </w:rPr>
        <w:t>Pomimo formalnej zgodności wielu stron/aplikacji z wymogami prawnymi, użytkownicy wskazują na ich realną nieużyteczność</w:t>
      </w:r>
      <w:r w:rsidRPr="00BF6615">
        <w:rPr>
          <w:rFonts w:cstheme="minorHAnsi"/>
        </w:rPr>
        <w:t>, co oznacza rozbieżność między deklarowaną a faktyczną dostępnością.</w:t>
      </w:r>
    </w:p>
    <w:p w14:paraId="4010270F" w14:textId="4841C934" w:rsidR="00B13433" w:rsidRPr="00BF6615" w:rsidRDefault="00B13433" w:rsidP="007E26B5">
      <w:pPr>
        <w:spacing w:after="160"/>
        <w:rPr>
          <w:rFonts w:cstheme="minorHAnsi"/>
        </w:rPr>
      </w:pPr>
      <w:r w:rsidRPr="00BF6615">
        <w:rPr>
          <w:rFonts w:cstheme="minorHAnsi"/>
        </w:rPr>
        <w:t xml:space="preserve">Dane zastane wskazują również, </w:t>
      </w:r>
      <w:r w:rsidRPr="00BF6615">
        <w:rPr>
          <w:rFonts w:cstheme="minorHAnsi"/>
          <w:b/>
          <w:bCs/>
        </w:rPr>
        <w:t>najmniejszą dostępność cyfrową mają strony administracji lokalnej oraz zdrowotne</w:t>
      </w:r>
      <w:r w:rsidRPr="00BF6615">
        <w:rPr>
          <w:rFonts w:cstheme="minorHAnsi"/>
        </w:rPr>
        <w:t xml:space="preserve"> – co zostało potwierdzone przez respondentów, którzy właśnie te obszary oceniali najgorzej. Dane wskazujące na niski poziom wiedzy społecznej o dostępności cyfrowej znalazły odzwierciedlenie w opiniach badanych, którzy często nie wiedzieli, czym są deklaracje dostępności, ani że mogą zgłaszać problemy z korzystaniem z stron/aplikacji. </w:t>
      </w:r>
      <w:r w:rsidRPr="00BF6615">
        <w:rPr>
          <w:rFonts w:cstheme="minorHAnsi"/>
          <w:b/>
          <w:bCs/>
        </w:rPr>
        <w:t xml:space="preserve">Podobnie jak w analizie kontekstowej </w:t>
      </w:r>
      <w:r w:rsidR="000A692A" w:rsidRPr="00BF6615">
        <w:rPr>
          <w:rFonts w:cstheme="minorHAnsi"/>
          <w:b/>
          <w:bCs/>
        </w:rPr>
        <w:t>z</w:t>
      </w:r>
      <w:r w:rsidR="000A692A">
        <w:rPr>
          <w:rFonts w:cstheme="minorHAnsi"/>
          <w:b/>
          <w:bCs/>
        </w:rPr>
        <w:t> </w:t>
      </w:r>
      <w:r w:rsidRPr="00BF6615">
        <w:rPr>
          <w:rFonts w:cstheme="minorHAnsi"/>
          <w:b/>
          <w:bCs/>
        </w:rPr>
        <w:t>pierwszej części raportu, badani wykazywali dużą zależność od pomocy osób trzecich</w:t>
      </w:r>
      <w:r w:rsidRPr="00BF6615">
        <w:rPr>
          <w:rFonts w:cstheme="minorHAnsi"/>
        </w:rPr>
        <w:t>, szczególnie w sytuacjach wymagających kontaktu z administracją online. Wielu uczestników badania rezygnowało z prób samodzielnego załatwienia sprawy przez Internet.</w:t>
      </w:r>
    </w:p>
    <w:p w14:paraId="46B74E54" w14:textId="1ED09859" w:rsidR="00B13433" w:rsidRPr="00BF6615" w:rsidRDefault="00B13433" w:rsidP="007E26B5">
      <w:pPr>
        <w:spacing w:after="160"/>
        <w:rPr>
          <w:rFonts w:cstheme="minorHAnsi"/>
        </w:rPr>
      </w:pPr>
      <w:r w:rsidRPr="00BF6615">
        <w:rPr>
          <w:rFonts w:cstheme="minorHAnsi"/>
        </w:rPr>
        <w:t xml:space="preserve">Jednocześnie badanie potwierdziło, że użytkownicy dostrzegają wartość e-usług </w:t>
      </w:r>
      <w:r w:rsidR="000A692A" w:rsidRPr="00BF6615">
        <w:rPr>
          <w:rFonts w:cstheme="minorHAnsi"/>
        </w:rPr>
        <w:t>i</w:t>
      </w:r>
      <w:r w:rsidR="000A692A">
        <w:rPr>
          <w:rFonts w:cstheme="minorHAnsi"/>
        </w:rPr>
        <w:t> </w:t>
      </w:r>
      <w:r w:rsidRPr="00BF6615">
        <w:rPr>
          <w:rFonts w:cstheme="minorHAnsi"/>
        </w:rPr>
        <w:t xml:space="preserve">chcieliby z nich korzystać – pod warunkiem ich realnej dostępności. Najczęściej wskazywane bariery to nieczytelność treści, zbyt złożony język, brak intuicyjnej nawigacji oraz niespójność działania aplikacji mobilnych. Warto podkreślić, że </w:t>
      </w:r>
      <w:r w:rsidRPr="00BF6615">
        <w:rPr>
          <w:rFonts w:cstheme="minorHAnsi"/>
          <w:b/>
          <w:bCs/>
        </w:rPr>
        <w:t xml:space="preserve">potrzeby użytkowników z różnych grup były zbliżone, co otwiera możliwość wdrażania uniwersalnych rozwiązań </w:t>
      </w:r>
      <w:proofErr w:type="spellStart"/>
      <w:r w:rsidRPr="00BF6615">
        <w:rPr>
          <w:rFonts w:cstheme="minorHAnsi"/>
          <w:b/>
          <w:bCs/>
        </w:rPr>
        <w:t>dostępnościowych</w:t>
      </w:r>
      <w:proofErr w:type="spellEnd"/>
      <w:r w:rsidRPr="00BF6615">
        <w:rPr>
          <w:rFonts w:cstheme="minorHAnsi"/>
        </w:rPr>
        <w:t>. Uczestnicy oczekują m.in. uproszczonych wersji stron, zrozumiałych treści, jasnych komunikatów, tłumaczenia PJM, możliwości zwiększenia kontrastu i ułatwionej obsługi formularzy.</w:t>
      </w:r>
    </w:p>
    <w:p w14:paraId="0144CB3B" w14:textId="43715A9C" w:rsidR="00B13433" w:rsidRPr="00BF6615" w:rsidRDefault="00B13433" w:rsidP="007E26B5">
      <w:pPr>
        <w:spacing w:after="160"/>
        <w:rPr>
          <w:rFonts w:cstheme="minorHAnsi"/>
        </w:rPr>
      </w:pPr>
      <w:r w:rsidRPr="00BF6615">
        <w:rPr>
          <w:rFonts w:cstheme="minorHAnsi"/>
        </w:rPr>
        <w:t xml:space="preserve">Wyniki jakościowe są zbieżne z wcześniejszymi analizami dotyczącymi poziomu wykluczenia cyfrowego – szczególnie wśród osób starszych oraz z niepełnosprawnością intelektualną i wzroku. Badani zgodnie wskazali, że </w:t>
      </w:r>
      <w:r w:rsidRPr="00BF6615">
        <w:rPr>
          <w:rFonts w:cstheme="minorHAnsi"/>
          <w:b/>
          <w:bCs/>
        </w:rPr>
        <w:t>kluczowe do poprawy są strony zdrowotne, socjalne i lokalne</w:t>
      </w:r>
      <w:r w:rsidRPr="00BF6615">
        <w:rPr>
          <w:rFonts w:cstheme="minorHAnsi"/>
        </w:rPr>
        <w:t xml:space="preserve">, a ich obecny stan utrudnia codzienne funkcjonowanie. </w:t>
      </w:r>
      <w:r w:rsidRPr="00BF6615">
        <w:rPr>
          <w:rFonts w:cstheme="minorHAnsi"/>
        </w:rPr>
        <w:lastRenderedPageBreak/>
        <w:t xml:space="preserve">Widać wyraźnie, że </w:t>
      </w:r>
      <w:r w:rsidRPr="00BF6615">
        <w:rPr>
          <w:rFonts w:cstheme="minorHAnsi"/>
          <w:b/>
          <w:bCs/>
        </w:rPr>
        <w:t>formalna zgodność z przepisami nie wystarcza – potrzebne są działania realne, oparte na testach z użytkownikami</w:t>
      </w:r>
      <w:r w:rsidRPr="00BF6615">
        <w:rPr>
          <w:rFonts w:cstheme="minorHAnsi"/>
        </w:rPr>
        <w:t xml:space="preserve">. Uczestnicy wskazywali też, że </w:t>
      </w:r>
      <w:r w:rsidRPr="00BF6615">
        <w:rPr>
          <w:rFonts w:cstheme="minorHAnsi"/>
          <w:b/>
          <w:bCs/>
        </w:rPr>
        <w:t xml:space="preserve">deklaracje dostępności nie spełniają swojej roli, są niezrozumiałe i trudne </w:t>
      </w:r>
      <w:r w:rsidR="000A692A" w:rsidRPr="00BF6615">
        <w:rPr>
          <w:rFonts w:cstheme="minorHAnsi"/>
          <w:b/>
          <w:bCs/>
        </w:rPr>
        <w:t>do</w:t>
      </w:r>
      <w:r w:rsidR="000A692A">
        <w:rPr>
          <w:rFonts w:cstheme="minorHAnsi"/>
          <w:b/>
          <w:bCs/>
        </w:rPr>
        <w:t> </w:t>
      </w:r>
      <w:r w:rsidRPr="00BF6615">
        <w:rPr>
          <w:rFonts w:cstheme="minorHAnsi"/>
          <w:b/>
          <w:bCs/>
        </w:rPr>
        <w:t>znalezienia</w:t>
      </w:r>
      <w:r w:rsidRPr="00BF6615">
        <w:rPr>
          <w:rFonts w:cstheme="minorHAnsi"/>
        </w:rPr>
        <w:t>.</w:t>
      </w:r>
    </w:p>
    <w:p w14:paraId="47353A53" w14:textId="77777777" w:rsidR="00B13433" w:rsidRPr="00BF6615" w:rsidRDefault="00B13433" w:rsidP="007E26B5">
      <w:pPr>
        <w:spacing w:after="160"/>
        <w:rPr>
          <w:rFonts w:cstheme="minorHAnsi"/>
        </w:rPr>
      </w:pPr>
      <w:r w:rsidRPr="00BF6615">
        <w:rPr>
          <w:rFonts w:cstheme="minorHAnsi"/>
        </w:rPr>
        <w:t xml:space="preserve">Podsumowując, badanie jakościowe potwierdza tezy zawarte w analizie kontekstu: bariery cyfrowe są powszechne, głęboko odczuwane i wynikają z nieefektywnego wdrażania dostępności. Osoby z niepełnosprawnościami i starsze chcą być aktywnymi obywatelami, ale obecne rozwiązania im to uniemożliwiają. </w:t>
      </w:r>
      <w:r w:rsidRPr="00BF6615">
        <w:rPr>
          <w:rFonts w:cstheme="minorHAnsi"/>
          <w:b/>
          <w:bCs/>
        </w:rPr>
        <w:t>Realna poprawa dostępności cyfrowej musi stać się priorytetem</w:t>
      </w:r>
      <w:r w:rsidRPr="00BF6615">
        <w:rPr>
          <w:rFonts w:cstheme="minorHAnsi"/>
        </w:rPr>
        <w:t xml:space="preserve"> w projektowaniu stron/aplikacji publicznych – nie tylko jako obowiązek prawny, ale przede wszystkim jako zobowiązanie społeczne.</w:t>
      </w:r>
    </w:p>
    <w:p w14:paraId="600B5C37" w14:textId="6EADE910" w:rsidR="00B13433" w:rsidRPr="00BF6615" w:rsidRDefault="00B13433" w:rsidP="007E26B5">
      <w:pPr>
        <w:rPr>
          <w:rFonts w:cstheme="minorHAnsi"/>
        </w:rPr>
      </w:pPr>
      <w:r w:rsidRPr="00BF6615">
        <w:rPr>
          <w:rFonts w:cstheme="minorHAnsi"/>
        </w:rPr>
        <w:t xml:space="preserve">Warto zaznaczyć, że osoby z badanych grup wykazywały niską ufność wobec e-usług, </w:t>
      </w:r>
      <w:r w:rsidR="000A692A" w:rsidRPr="00BF6615">
        <w:rPr>
          <w:rFonts w:cstheme="minorHAnsi"/>
        </w:rPr>
        <w:t>co</w:t>
      </w:r>
      <w:r w:rsidR="000A692A">
        <w:rPr>
          <w:rFonts w:cstheme="minorHAnsi"/>
        </w:rPr>
        <w:t> </w:t>
      </w:r>
      <w:r w:rsidRPr="00BF6615">
        <w:rPr>
          <w:rFonts w:cstheme="minorHAnsi"/>
        </w:rPr>
        <w:t>miało bezpośredni wpływ na ich zachowania podczas testów. Już na etapie rekrutacji wiele osób zgłaszało obawy nie tylko przed samym udziałem w badaniu, ale również przed codziennym korzystaniem ze stron i aplikacji publicznych. Najczęściej wskazywano lęk o bezpieczeństwo danych osobowych oraz obawę przed potencjalnym wyłudzeniem informacji — zwłaszcza podczas logowania czy wypełniania formularzy online. Pojawiały się też wątpliwości, czy dana strona rzeczywiście należy do instytucji publicznej i jest bezpieczna.</w:t>
      </w:r>
    </w:p>
    <w:p w14:paraId="2EDD9C06" w14:textId="77777777" w:rsidR="00B13433" w:rsidRPr="00BF6615" w:rsidRDefault="00B13433" w:rsidP="007E26B5">
      <w:pPr>
        <w:rPr>
          <w:rFonts w:cstheme="minorHAnsi"/>
        </w:rPr>
      </w:pPr>
      <w:r w:rsidRPr="00BF6615">
        <w:rPr>
          <w:rFonts w:cstheme="minorHAnsi"/>
        </w:rPr>
        <w:t>Sytuacja ta pokazuje, że istnieje silna potrzeba prowadzenia działań edukacyjnych i świadomościowych — nie tylko promujących korzyści z korzystania z e-usług, ale też budujących poczucie bezpieczeństwa. Jak postulowali uczestnicy badania, komunikaty kierowane do użytkowników powinny koncentrować się nie na samym zagrożeniu (tak, jak to ma miejsce np. w obecnych kampaniach społecznych), lecz na praktycznych wskazówkach dotyczących bezpiecznego korzystania z usług cyfrowych: jak rozpoznać bezpieczną stronę, na co zwrócić uwagę przy logowaniu, jakie są typowe mechanizmy ochrony danych.</w:t>
      </w:r>
    </w:p>
    <w:p w14:paraId="06B75731" w14:textId="77777777" w:rsidR="00B13433" w:rsidRPr="00BF6615" w:rsidRDefault="00B13433" w:rsidP="007E26B5">
      <w:pPr>
        <w:rPr>
          <w:rFonts w:cstheme="minorHAnsi"/>
        </w:rPr>
      </w:pPr>
      <w:r w:rsidRPr="00BF6615">
        <w:rPr>
          <w:rFonts w:cstheme="minorHAnsi"/>
        </w:rPr>
        <w:t>Działania te powinny być projektowane z uwzględnieniem potrzeb różnych grup użytkowników — w tym osób starszych, z niepełnosprawnościami oraz tych, którzy rzadziej korzystają z Internetu — aby budować ich cyfrową pewność siebie i zaufanie do instytucji publicznych w środowisku online.</w:t>
      </w:r>
    </w:p>
    <w:p w14:paraId="4298B171" w14:textId="60F61529" w:rsidR="00B13433" w:rsidRPr="00BF6615" w:rsidRDefault="00B13433">
      <w:pPr>
        <w:pStyle w:val="Nagwek3"/>
        <w:pageBreakBefore/>
        <w:numPr>
          <w:ilvl w:val="1"/>
          <w:numId w:val="6"/>
        </w:numPr>
        <w:ind w:left="1072"/>
      </w:pPr>
      <w:bookmarkStart w:id="167" w:name="_Toc196827539"/>
      <w:bookmarkStart w:id="168" w:name="_Toc196827613"/>
      <w:bookmarkStart w:id="169" w:name="_Toc196827540"/>
      <w:bookmarkStart w:id="170" w:name="_Toc196827614"/>
      <w:bookmarkStart w:id="171" w:name="_Toc196827615"/>
      <w:bookmarkStart w:id="172" w:name="_Toc204179241"/>
      <w:bookmarkEnd w:id="167"/>
      <w:bookmarkEnd w:id="168"/>
      <w:bookmarkEnd w:id="169"/>
      <w:bookmarkEnd w:id="170"/>
      <w:r w:rsidRPr="00BF6615">
        <w:lastRenderedPageBreak/>
        <w:t>Szczegółowe podsumowanie badania</w:t>
      </w:r>
      <w:bookmarkEnd w:id="171"/>
      <w:bookmarkEnd w:id="172"/>
    </w:p>
    <w:p w14:paraId="76DC1031" w14:textId="77777777" w:rsidR="00B13433" w:rsidRPr="00BF6615" w:rsidRDefault="00B13433" w:rsidP="00B271C3">
      <w:pPr>
        <w:pStyle w:val="Nagwek4"/>
      </w:pPr>
      <w:bookmarkStart w:id="173" w:name="_Toc196827616"/>
      <w:r w:rsidRPr="338987BF">
        <w:t>Powody i cele korzystania z Internetu</w:t>
      </w:r>
      <w:bookmarkEnd w:id="173"/>
    </w:p>
    <w:p w14:paraId="73662753" w14:textId="77777777" w:rsidR="00B13433" w:rsidRPr="00BF6615" w:rsidRDefault="00B13433" w:rsidP="007E26B5">
      <w:pPr>
        <w:rPr>
          <w:rFonts w:cstheme="minorHAnsi"/>
        </w:rPr>
      </w:pPr>
      <w:r w:rsidRPr="00BF6615">
        <w:rPr>
          <w:rFonts w:cstheme="minorHAnsi"/>
        </w:rPr>
        <w:t>Osoby z badanych grup korzystają z Internetu w różnych celach, najczęściej praktycznych i informacyjnych – cele te są zbliżone dla każdej z grup badanych.</w:t>
      </w:r>
    </w:p>
    <w:p w14:paraId="30FFA15A" w14:textId="77777777" w:rsidR="00B13433" w:rsidRPr="00BF6615" w:rsidRDefault="00B13433" w:rsidP="007E26B5">
      <w:pPr>
        <w:rPr>
          <w:rFonts w:cstheme="minorHAnsi"/>
        </w:rPr>
      </w:pPr>
      <w:r w:rsidRPr="00BF6615">
        <w:rPr>
          <w:rFonts w:cstheme="minorHAnsi"/>
          <w:b/>
          <w:bCs/>
        </w:rPr>
        <w:t>Osoby ociemniałe i niewidome</w:t>
      </w:r>
      <w:r w:rsidRPr="00BF6615">
        <w:rPr>
          <w:rFonts w:cstheme="minorHAnsi"/>
        </w:rPr>
        <w:t xml:space="preserve"> używają sieci codziennie – do zdobywania informacji, załatwiania spraw życia codziennego (bankowość, zakupy online, rozkłady jazdy) oraz rozrywki i nauki. Podkreślają, że Internet stał się niezbędny w ich życiu, porównując jego brak do braku telefonu. </w:t>
      </w:r>
    </w:p>
    <w:p w14:paraId="59DDB975" w14:textId="77777777" w:rsidR="00B13433" w:rsidRPr="00BF6615" w:rsidRDefault="00B13433" w:rsidP="007E26B5">
      <w:pPr>
        <w:rPr>
          <w:rFonts w:cstheme="minorHAnsi"/>
        </w:rPr>
      </w:pPr>
      <w:r w:rsidRPr="00BF6615">
        <w:rPr>
          <w:rFonts w:cstheme="minorHAnsi"/>
          <w:b/>
          <w:bCs/>
        </w:rPr>
        <w:t>Osoby słabowidzące</w:t>
      </w:r>
      <w:r w:rsidRPr="00BF6615">
        <w:rPr>
          <w:rFonts w:cstheme="minorHAnsi"/>
        </w:rPr>
        <w:t xml:space="preserve"> również koncentrują się na praktycznych zastosowaniach: wyszukują informacje, uczą się i załatwiają codzienne sprawy przez Internet. Wymieniają przy tym czynności finansowe (np. opłacanie rachunków, kontrola konta bankowego) oraz rozrywkę i hobby (śledzenie sportu, przepisy kulinarne). Internet służy im także do komunikacji (np. poczta e-mail) i pozyskiwania wiedzy na co dzień. </w:t>
      </w:r>
    </w:p>
    <w:p w14:paraId="2A20AD73" w14:textId="5815EFC2" w:rsidR="00B13433" w:rsidRPr="00BF6615" w:rsidRDefault="00B13433" w:rsidP="007E26B5">
      <w:pPr>
        <w:rPr>
          <w:rFonts w:cstheme="minorHAnsi"/>
        </w:rPr>
      </w:pPr>
      <w:r w:rsidRPr="00BF6615">
        <w:rPr>
          <w:rFonts w:cstheme="minorHAnsi"/>
          <w:b/>
          <w:bCs/>
        </w:rPr>
        <w:t>Osoby niesłyszące i słabosłyszące</w:t>
      </w:r>
      <w:r w:rsidRPr="00BF6615">
        <w:rPr>
          <w:rFonts w:cstheme="minorHAnsi"/>
        </w:rPr>
        <w:t xml:space="preserve"> wykorzystują Internet głównie jako źródło informacji, nauki oraz rozrywki. Często dokonują zakupów online, oglądają filmy (korzystając </w:t>
      </w:r>
      <w:r w:rsidR="000A692A" w:rsidRPr="00BF6615">
        <w:rPr>
          <w:rFonts w:cstheme="minorHAnsi"/>
        </w:rPr>
        <w:t>z</w:t>
      </w:r>
      <w:r w:rsidR="000A692A">
        <w:rPr>
          <w:rFonts w:cstheme="minorHAnsi"/>
        </w:rPr>
        <w:t> </w:t>
      </w:r>
      <w:r w:rsidRPr="00BF6615">
        <w:rPr>
          <w:rFonts w:cstheme="minorHAnsi"/>
        </w:rPr>
        <w:t xml:space="preserve">napisów), sprawdzają rozkłady jazdy i szukają ofert pracy. Dla części jest to także przestrzeń twórczości – np. jeden z badanych tworzy treści humorystyczne na YouTube skierowane do niesłyszących. Internet pełni w tej grupie ważną rolę komunikacyjną – dzięki mediom społecznościowym utrzymują kontakt ze znajomymi na odległość. Ze względu na rodzaj niepełnosprawności polegają głównie na treściach wizualnych </w:t>
      </w:r>
      <w:r w:rsidR="000A692A" w:rsidRPr="00BF6615">
        <w:rPr>
          <w:rFonts w:cstheme="minorHAnsi"/>
        </w:rPr>
        <w:t>i</w:t>
      </w:r>
      <w:r w:rsidR="000A692A">
        <w:rPr>
          <w:rFonts w:cstheme="minorHAnsi"/>
        </w:rPr>
        <w:t> </w:t>
      </w:r>
      <w:r w:rsidRPr="00BF6615">
        <w:rPr>
          <w:rFonts w:cstheme="minorHAnsi"/>
        </w:rPr>
        <w:t xml:space="preserve">tekstowych, które zastępują im przekaz głosowy. </w:t>
      </w:r>
    </w:p>
    <w:p w14:paraId="42AAD67D" w14:textId="77777777" w:rsidR="00B13433" w:rsidRPr="00BF6615" w:rsidRDefault="00B13433" w:rsidP="007E26B5">
      <w:pPr>
        <w:rPr>
          <w:rFonts w:cstheme="minorHAnsi"/>
        </w:rPr>
      </w:pPr>
      <w:r w:rsidRPr="00BF6615">
        <w:rPr>
          <w:rFonts w:cstheme="minorHAnsi"/>
          <w:b/>
          <w:bCs/>
        </w:rPr>
        <w:t>Osoby z dysfunkcją narządu ruchu</w:t>
      </w:r>
      <w:r w:rsidRPr="00BF6615">
        <w:rPr>
          <w:rFonts w:cstheme="minorHAnsi"/>
        </w:rPr>
        <w:t xml:space="preserve"> korzystają z sieci zarówno w celach praktycznych, jak i rozrywkowych czy zawodowych. Dla wielu jest to „główne źródło wiedzy” i narzędzie pracy, a jednocześnie codzienna pomoc w komunikacji, zakupach i organizacji życia. Internet umożliwia im ograniczenie wychodzenia z domu, co bywa kluczowe w ich sytuacji. Jak stwierdził jeden z respondentów, „Internet… to część mnie”, podkreślając ścisłe związanie życia z dostępem do sieci. Osoby z tej grupy wskazują, że w Internecie szukają także informacji o zdrowiu, podatkach oraz dostępnych formach wsparcia dla osób z niepełnosprawnościami.</w:t>
      </w:r>
    </w:p>
    <w:p w14:paraId="2EF35EB7" w14:textId="5C9BC8D4" w:rsidR="00B13433" w:rsidRPr="00BF6615" w:rsidRDefault="00B13433" w:rsidP="007E26B5">
      <w:pPr>
        <w:rPr>
          <w:rFonts w:cstheme="minorHAnsi"/>
        </w:rPr>
      </w:pPr>
      <w:r w:rsidRPr="00BF6615">
        <w:rPr>
          <w:rFonts w:cstheme="minorHAnsi"/>
          <w:b/>
          <w:bCs/>
        </w:rPr>
        <w:t>Osoby z niepełnosprawnością intelektualną i ograniczeniami poznawczymi</w:t>
      </w:r>
      <w:r w:rsidRPr="00BF6615">
        <w:rPr>
          <w:rFonts w:cstheme="minorHAnsi"/>
        </w:rPr>
        <w:t xml:space="preserve"> używają Internetu głównie dla informacji, komunikacji i rozrywki. Najczęściej poszukują wiadomości o zdrowiu i usługach medycznych oraz sprawdzają swoją pocztę e-mail. Jak powiedziała jedna z badanych: „Głównie to sprawdzam pocztę, jakieś informacje dotyczące szpitali, leczenia”, co wskazuje na duże znaczenie kwestii zdrowotnych. Internet służy im też do kontaktu z bliskimi, zwłaszcza mieszkającymi daleko. Niektórzy </w:t>
      </w:r>
      <w:r w:rsidRPr="00BF6615">
        <w:rPr>
          <w:rFonts w:cstheme="minorHAnsi"/>
        </w:rPr>
        <w:lastRenderedPageBreak/>
        <w:t xml:space="preserve">wykorzystują go do załatwiania spraw urzędowych, np. rejestracji na studia czy opłacania rachunków, choć edukacyjne i zawodowe zastosowania są rzadsze. Osoby </w:t>
      </w:r>
      <w:r w:rsidR="000A692A" w:rsidRPr="00BF6615">
        <w:rPr>
          <w:rFonts w:cstheme="minorHAnsi"/>
        </w:rPr>
        <w:t>o</w:t>
      </w:r>
      <w:r w:rsidR="000A692A">
        <w:rPr>
          <w:rFonts w:cstheme="minorHAnsi"/>
        </w:rPr>
        <w:t> </w:t>
      </w:r>
      <w:r w:rsidRPr="00BF6615">
        <w:rPr>
          <w:rFonts w:cstheme="minorHAnsi"/>
        </w:rPr>
        <w:t xml:space="preserve">mniejszych umiejętnościach cyfrowych korzystają z sieci niechętnie, częściej wybierając tradycyjne sposoby realizacji swoich potrzeb. </w:t>
      </w:r>
    </w:p>
    <w:p w14:paraId="49855C22" w14:textId="77777777" w:rsidR="00B13433" w:rsidRPr="00BF6615" w:rsidRDefault="00B13433" w:rsidP="007E26B5">
      <w:pPr>
        <w:rPr>
          <w:rFonts w:cstheme="minorHAnsi"/>
        </w:rPr>
      </w:pPr>
      <w:r w:rsidRPr="00BF6615">
        <w:rPr>
          <w:rFonts w:cstheme="minorHAnsi"/>
          <w:b/>
          <w:bCs/>
        </w:rPr>
        <w:t>Osoby, które ukończyły 60 rok życia</w:t>
      </w:r>
      <w:r w:rsidRPr="00BF6615">
        <w:rPr>
          <w:rFonts w:cstheme="minorHAnsi"/>
        </w:rPr>
        <w:t xml:space="preserve"> traktują Internet głównie jako źródło informacji, rozrywki oraz narzędzie do codziennych czynności. Przeglądają wiadomości i wydarzenia (społeczne, sportowe), grają w proste gry online lub oglądają treści popularnonaukowe. Część seniorów używa sieci również w celach zawodowych (np. składanie zamówień, prowadzenie rozliczeń) albo do płacenia rachunków i komunikacji e-mailowej. Dla większości jest to wygodne narzędzie, ale nie zawsze niezbędne – część osób 60+ wciąż woli załatwiać sprawy osobiście lub telefonicznie z obawy o prywatność i bezpieczeństwo. „Nie chciałbym za dużo danych wprowadzać do Internetu, nie mam takiego zaufania” – przyznał jeden z badanych seniorów, wyjaśniając dystans do załatwiania wszystkich spraw w sieci.</w:t>
      </w:r>
    </w:p>
    <w:p w14:paraId="1C2C7366" w14:textId="0FBA1897" w:rsidR="00B13433" w:rsidRPr="00BF6615" w:rsidRDefault="00B13433" w:rsidP="007E26B5">
      <w:pPr>
        <w:rPr>
          <w:rFonts w:cstheme="minorHAnsi"/>
          <w:b/>
          <w:bCs/>
        </w:rPr>
      </w:pPr>
      <w:r w:rsidRPr="00BF6615">
        <w:rPr>
          <w:rFonts w:cstheme="minorHAnsi"/>
          <w:b/>
          <w:bCs/>
        </w:rPr>
        <w:t>Internet stanowi zatem dla osób z niepełnosprawnościami i seniorów ważne narzędzie umożliwiające dostęp do informacji, usług i kontaktów społecznych.</w:t>
      </w:r>
      <w:r w:rsidRPr="00BF6615">
        <w:rPr>
          <w:rFonts w:cstheme="minorHAnsi"/>
        </w:rPr>
        <w:t xml:space="preserve"> Jak wskazuje kontekst badania, </w:t>
      </w:r>
      <w:r w:rsidR="00AA7746" w:rsidRPr="00BF6615">
        <w:rPr>
          <w:rFonts w:cstheme="minorHAnsi"/>
        </w:rPr>
        <w:t xml:space="preserve">dostępność </w:t>
      </w:r>
      <w:r w:rsidRPr="00BF6615">
        <w:rPr>
          <w:rFonts w:cstheme="minorHAnsi"/>
        </w:rPr>
        <w:t xml:space="preserve">cyfrowa stron i aplikacji pozwala im pełniej uczestniczyć </w:t>
      </w:r>
      <w:r w:rsidR="000A692A" w:rsidRPr="00BF6615">
        <w:rPr>
          <w:rFonts w:cstheme="minorHAnsi"/>
        </w:rPr>
        <w:t>w</w:t>
      </w:r>
      <w:r w:rsidR="000A692A">
        <w:rPr>
          <w:rFonts w:cstheme="minorHAnsi"/>
        </w:rPr>
        <w:t> </w:t>
      </w:r>
      <w:r w:rsidRPr="00BF6615">
        <w:rPr>
          <w:rFonts w:cstheme="minorHAnsi"/>
        </w:rPr>
        <w:t xml:space="preserve">życiu społecznym i radzić sobie z wyzwaniami dnia codziennego. </w:t>
      </w:r>
      <w:r w:rsidRPr="00BF6615">
        <w:rPr>
          <w:rFonts w:cstheme="minorHAnsi"/>
          <w:b/>
          <w:bCs/>
        </w:rPr>
        <w:t xml:space="preserve">Mimo różnic </w:t>
      </w:r>
      <w:r w:rsidR="000A692A" w:rsidRPr="00BF6615">
        <w:rPr>
          <w:rFonts w:cstheme="minorHAnsi"/>
          <w:b/>
          <w:bCs/>
        </w:rPr>
        <w:t>w</w:t>
      </w:r>
      <w:r w:rsidR="000A692A">
        <w:rPr>
          <w:rFonts w:cstheme="minorHAnsi"/>
          <w:b/>
          <w:bCs/>
        </w:rPr>
        <w:t> </w:t>
      </w:r>
      <w:r w:rsidRPr="00BF6615">
        <w:rPr>
          <w:rFonts w:cstheme="minorHAnsi"/>
          <w:b/>
          <w:bCs/>
        </w:rPr>
        <w:t>intensywności i celach korzystania z sieci, wszystkie grupy czerpią z Internetu korzyści w postaci samodzielnego załatwiania wielu spraw – o ile mają ku temu odpowiednie warunki.</w:t>
      </w:r>
    </w:p>
    <w:p w14:paraId="7053CADF" w14:textId="77777777" w:rsidR="00B13433" w:rsidRPr="00BF6615" w:rsidRDefault="00B13433" w:rsidP="00B271C3">
      <w:pPr>
        <w:pStyle w:val="Nagwek4"/>
      </w:pPr>
      <w:bookmarkStart w:id="174" w:name="_Toc196827617"/>
      <w:r w:rsidRPr="338987BF">
        <w:t>Korzystanie z aplikacji i stron podmiotów publicznych</w:t>
      </w:r>
      <w:bookmarkEnd w:id="174"/>
    </w:p>
    <w:p w14:paraId="599ABD67" w14:textId="714E09EE" w:rsidR="00B13433" w:rsidRPr="00BF6615" w:rsidRDefault="00B13433" w:rsidP="007E26B5">
      <w:pPr>
        <w:rPr>
          <w:rFonts w:cstheme="minorHAnsi"/>
        </w:rPr>
      </w:pPr>
      <w:r w:rsidRPr="00BF6615">
        <w:rPr>
          <w:rFonts w:cstheme="minorHAnsi"/>
        </w:rPr>
        <w:t xml:space="preserve">We wszystkich badanych grupach korzystanie z stron/aplikacji i aplikacji publicznych (np. urzędowych, państwowych) odbywa się przede wszystkim z konieczności, a nie </w:t>
      </w:r>
      <w:r w:rsidR="000A692A" w:rsidRPr="00BF6615">
        <w:rPr>
          <w:rFonts w:cstheme="minorHAnsi"/>
        </w:rPr>
        <w:t>z</w:t>
      </w:r>
      <w:r w:rsidR="000A692A">
        <w:rPr>
          <w:rFonts w:cstheme="minorHAnsi"/>
        </w:rPr>
        <w:t> </w:t>
      </w:r>
      <w:r w:rsidRPr="00BF6615">
        <w:rPr>
          <w:rFonts w:cstheme="minorHAnsi"/>
        </w:rPr>
        <w:t xml:space="preserve">chęci czy dla wygody. </w:t>
      </w:r>
    </w:p>
    <w:p w14:paraId="206103F1" w14:textId="7ED4C042" w:rsidR="00B13433" w:rsidRPr="00BF6615" w:rsidRDefault="00B13433" w:rsidP="007E26B5">
      <w:pPr>
        <w:rPr>
          <w:rFonts w:cstheme="minorHAnsi"/>
        </w:rPr>
      </w:pPr>
      <w:r w:rsidRPr="00BF6615">
        <w:rPr>
          <w:rFonts w:cstheme="minorHAnsi"/>
          <w:b/>
          <w:bCs/>
        </w:rPr>
        <w:t>Osoby ociemniałe niewidome</w:t>
      </w:r>
      <w:r w:rsidRPr="00BF6615">
        <w:rPr>
          <w:rFonts w:cstheme="minorHAnsi"/>
        </w:rPr>
        <w:t xml:space="preserve"> deklarują, że zakres ich korzystania z e-usług publicznych jest dość ograniczony – sprowadza się do najbardziej potrzebnych sytuacji. Najczęściej wskazywane przez nich strony to strony związane z transportem (np. wyszukiwarki połączeń kolejowych) oraz ochroną zdrowia (Internetowe Konto Pacjenta). Strony urzędów odwiedzają bardzo rzadko i zwykle tylko przy wsparciu osoby widzącej. Pojedyncze osoby wspomniały o aplikacji </w:t>
      </w:r>
      <w:proofErr w:type="spellStart"/>
      <w:r w:rsidRPr="00BF6615">
        <w:rPr>
          <w:rFonts w:cstheme="minorHAnsi"/>
        </w:rPr>
        <w:t>mObywatel</w:t>
      </w:r>
      <w:proofErr w:type="spellEnd"/>
      <w:r w:rsidRPr="00BF6615">
        <w:rPr>
          <w:rFonts w:cstheme="minorHAnsi"/>
        </w:rPr>
        <w:t xml:space="preserve">, jednak nie używają jej regularnie </w:t>
      </w:r>
      <w:r w:rsidR="000A692A" w:rsidRPr="00BF6615">
        <w:rPr>
          <w:rFonts w:cstheme="minorHAnsi"/>
        </w:rPr>
        <w:t>z</w:t>
      </w:r>
      <w:r w:rsidR="000A692A">
        <w:rPr>
          <w:rFonts w:cstheme="minorHAnsi"/>
        </w:rPr>
        <w:t> </w:t>
      </w:r>
      <w:r w:rsidRPr="00BF6615">
        <w:rPr>
          <w:rFonts w:cstheme="minorHAnsi"/>
        </w:rPr>
        <w:t xml:space="preserve">powodu braków w dostępności. Większość niewidomych nie korzysta w ogóle </w:t>
      </w:r>
      <w:r w:rsidR="000A692A" w:rsidRPr="00BF6615">
        <w:rPr>
          <w:rFonts w:cstheme="minorHAnsi"/>
        </w:rPr>
        <w:t>z</w:t>
      </w:r>
      <w:r w:rsidR="000A692A">
        <w:rPr>
          <w:rFonts w:cstheme="minorHAnsi"/>
        </w:rPr>
        <w:t> </w:t>
      </w:r>
      <w:r w:rsidRPr="00BF6615">
        <w:rPr>
          <w:rFonts w:cstheme="minorHAnsi"/>
        </w:rPr>
        <w:t xml:space="preserve">mobilnych aplikacji instytucji publicznych – „Aplikacji to nie mam żadnej, sprawdzam tylko rozkład jazdy” stwierdził jeden z respondentów, sugerując, że poza podstawowymi informacjami (jak rozkłady jazdy) niewiele da się samemu załatwić online. Główną </w:t>
      </w:r>
      <w:r w:rsidRPr="00BF6615">
        <w:rPr>
          <w:rFonts w:cstheme="minorHAnsi"/>
        </w:rPr>
        <w:lastRenderedPageBreak/>
        <w:t>barierą zniechęcającą osoby niewidome do e-usług publicznych jest brak ich dostosowania do technologii asystujących (np. niedostosowanie do czytników ekranu).</w:t>
      </w:r>
    </w:p>
    <w:p w14:paraId="44E10121" w14:textId="77777777" w:rsidR="00B13433" w:rsidRPr="00BF6615" w:rsidRDefault="00B13433" w:rsidP="007E26B5">
      <w:pPr>
        <w:rPr>
          <w:rFonts w:cstheme="minorHAnsi"/>
        </w:rPr>
      </w:pPr>
      <w:r w:rsidRPr="00BF6615">
        <w:rPr>
          <w:rFonts w:cstheme="minorHAnsi"/>
          <w:b/>
          <w:bCs/>
        </w:rPr>
        <w:t>Osoby słabowidzące</w:t>
      </w:r>
      <w:r w:rsidRPr="00BF6615">
        <w:rPr>
          <w:rFonts w:cstheme="minorHAnsi"/>
        </w:rPr>
        <w:t xml:space="preserve"> również korzystają ze stron i aplikacji publicznych tylko wtedy, gdy wymaga tego konkretna sytuacja. Zgodnie z ich relacjami, sięgają po nie głównie z konieczności załatwienia określonej sprawy, a nie z własnej inicjatywy. Najczęściej motywuje ich potrzeba uzyskania informacji lub dokonania konkretnej operacji urzędowej online – np. zakupu biletu komunikacji, sprawdzenia rozkładu jazdy czy złożenia wniosku. Poza takimi przypadkami wiele osób słabowidzących unika stron/aplikacji urzędowych. </w:t>
      </w:r>
    </w:p>
    <w:p w14:paraId="06F51AE5" w14:textId="3D947B37" w:rsidR="00B13433" w:rsidRPr="00BF6615" w:rsidRDefault="00B13433" w:rsidP="007E26B5">
      <w:pPr>
        <w:rPr>
          <w:rFonts w:cstheme="minorHAnsi"/>
        </w:rPr>
      </w:pPr>
      <w:r w:rsidRPr="00BF6615">
        <w:rPr>
          <w:rFonts w:cstheme="minorHAnsi"/>
          <w:b/>
          <w:bCs/>
        </w:rPr>
        <w:t>Osoby słabosłyszące lub niesłyszące</w:t>
      </w:r>
      <w:r w:rsidRPr="00BF6615">
        <w:rPr>
          <w:rFonts w:cstheme="minorHAnsi"/>
        </w:rPr>
        <w:t xml:space="preserve"> korzystają z aplikacji i stron instytucji publicznych bardzo rzadko. Zgodnie z ich wypowiedziami, te strony są dla nich w dużej mierze niedostępne językowo (brak tłumaczeń na PJM) i nieprzyjazne, więc unikają ich samodzielnego używania. Jeśli już, to wskazywali głównie strony transportowe, np. kolejowe (PKP, PKS) lub aplikacje do kupna biletów oferowane przez podmioty komercyjne. Strony urzędów państwowych odwiedzane są przez nich sporadycznie </w:t>
      </w:r>
      <w:r w:rsidR="000A692A" w:rsidRPr="00BF6615">
        <w:rPr>
          <w:rFonts w:cstheme="minorHAnsi"/>
        </w:rPr>
        <w:t>i</w:t>
      </w:r>
      <w:r w:rsidR="000A692A">
        <w:rPr>
          <w:rFonts w:cstheme="minorHAnsi"/>
        </w:rPr>
        <w:t> </w:t>
      </w:r>
      <w:r w:rsidRPr="00BF6615">
        <w:rPr>
          <w:rFonts w:cstheme="minorHAnsi"/>
        </w:rPr>
        <w:t xml:space="preserve">często jedynie przy wsparciu osób trzecich. Wymieniano także strony urzędów pracy oraz aplikację </w:t>
      </w:r>
      <w:proofErr w:type="spellStart"/>
      <w:r w:rsidRPr="00BF6615">
        <w:rPr>
          <w:rFonts w:cstheme="minorHAnsi"/>
        </w:rPr>
        <w:t>mObywatel</w:t>
      </w:r>
      <w:proofErr w:type="spellEnd"/>
      <w:r w:rsidRPr="00BF6615">
        <w:rPr>
          <w:rFonts w:cstheme="minorHAnsi"/>
        </w:rPr>
        <w:t xml:space="preserve">, ale również one nie są używane regularnie. Większość osób </w:t>
      </w:r>
      <w:r w:rsidR="000A692A" w:rsidRPr="00BF6615">
        <w:rPr>
          <w:rFonts w:cstheme="minorHAnsi"/>
        </w:rPr>
        <w:t>z</w:t>
      </w:r>
      <w:r w:rsidR="000A692A">
        <w:rPr>
          <w:rFonts w:cstheme="minorHAnsi"/>
        </w:rPr>
        <w:t> </w:t>
      </w:r>
      <w:r w:rsidRPr="00BF6615">
        <w:rPr>
          <w:rFonts w:cstheme="minorHAnsi"/>
        </w:rPr>
        <w:t>tej grupy w ogóle nie korzysta z aplikacji mobilnych urzędów – głównie z powodu barier językowych i braku tłumaczeń na PJM w tych aplikacjach.</w:t>
      </w:r>
    </w:p>
    <w:p w14:paraId="041576BF" w14:textId="24758E83" w:rsidR="00B13433" w:rsidRPr="00BF6615" w:rsidRDefault="00B13433" w:rsidP="007E26B5">
      <w:pPr>
        <w:rPr>
          <w:rFonts w:cstheme="minorHAnsi"/>
        </w:rPr>
      </w:pPr>
      <w:r w:rsidRPr="00BF6615">
        <w:rPr>
          <w:rFonts w:cstheme="minorHAnsi"/>
          <w:b/>
          <w:bCs/>
        </w:rPr>
        <w:t>Osoby z niepełnosprawnością ruchu</w:t>
      </w:r>
      <w:r w:rsidRPr="00BF6615">
        <w:rPr>
          <w:rFonts w:cstheme="minorHAnsi"/>
        </w:rPr>
        <w:t xml:space="preserve"> wyróżniają się na tle innych grup częstszym korzystaniem z e-usług publicznych. Wielu respondentów z tej grupy regularnie używa aplikacji takich jak </w:t>
      </w:r>
      <w:proofErr w:type="spellStart"/>
      <w:r w:rsidRPr="00BF6615">
        <w:rPr>
          <w:rFonts w:cstheme="minorHAnsi"/>
        </w:rPr>
        <w:t>mObywatel</w:t>
      </w:r>
      <w:proofErr w:type="spellEnd"/>
      <w:r w:rsidRPr="00BF6615">
        <w:rPr>
          <w:rFonts w:cstheme="minorHAnsi"/>
        </w:rPr>
        <w:t xml:space="preserve">, Internetowe Konto Pacjenta (IKP), e-Podatki, PUE ZUS czy strony urzędów miast. Narzędzia te służą im do składania wniosków urzędowych, sprawdzania statusów spraw, rejestracji do lekarzy itp. „Jeśli tylko się da, to online” – podkreśliła jedna z badanych osób, wyrażając preferencję załatwiania spraw urzędowych drogą cyfrową. Jednocześnie część osób w tej grupie wciąż wybiera kontakt osobisty lub telefoniczny, co tłumaczą barierami technicznymi na stronach/w aplikacjach bądź ograniczonym zaufaniem do ich skuteczności. Wskazuje to, że choć osoby </w:t>
      </w:r>
      <w:r w:rsidR="000A692A" w:rsidRPr="00BF6615">
        <w:rPr>
          <w:rFonts w:cstheme="minorHAnsi"/>
        </w:rPr>
        <w:t>z</w:t>
      </w:r>
      <w:r w:rsidR="000A692A">
        <w:rPr>
          <w:rFonts w:cstheme="minorHAnsi"/>
        </w:rPr>
        <w:t> </w:t>
      </w:r>
      <w:r w:rsidRPr="00BF6615">
        <w:rPr>
          <w:rFonts w:cstheme="minorHAnsi"/>
        </w:rPr>
        <w:t xml:space="preserve">dysfunkcją narządu ruchu chętnie korzystają z dostępnych e-rozwiązań (aby nie musieć jechać osobiście do urzędu), to natrafiane problemy techniczne czasem zmuszają je do powrotu do tradycyjnych metod. </w:t>
      </w:r>
    </w:p>
    <w:p w14:paraId="46792FAA" w14:textId="77777777" w:rsidR="00B13433" w:rsidRPr="00BF6615" w:rsidRDefault="00B13433" w:rsidP="007E26B5">
      <w:pPr>
        <w:rPr>
          <w:rFonts w:cstheme="minorHAnsi"/>
        </w:rPr>
      </w:pPr>
      <w:r w:rsidRPr="00BF6615">
        <w:rPr>
          <w:rFonts w:cstheme="minorHAnsi"/>
          <w:b/>
          <w:bCs/>
        </w:rPr>
        <w:t>Osoby z niepełnosprawnością intelektualną i ograniczeniami poznawczymi</w:t>
      </w:r>
      <w:r w:rsidRPr="00BF6615">
        <w:rPr>
          <w:rFonts w:cstheme="minorHAnsi"/>
        </w:rPr>
        <w:t xml:space="preserve"> korzystają ze stron podmiotów publicznych bardzo rzadko albo wcale. Wiele z nich przyznaje, że woli osobistą wizytę w urzędzie, która wydaje się prostsza i bezpieczniejsza. „Nie szukam na stronach urzędowych, bo jestem za nerwowa” – wyznała jedna z uczestniczek, wskazując, że stres i emocje stanowią barierę przed odwiedzaniem stron urzędowych. Ci, którzy jednak zaglądają na strony instytucji, robią to głównie w poszukiwaniu </w:t>
      </w:r>
      <w:r w:rsidRPr="00BF6615">
        <w:rPr>
          <w:rFonts w:cstheme="minorHAnsi"/>
        </w:rPr>
        <w:lastRenderedPageBreak/>
        <w:t>informacji o świadczeniach społecznych, zdrowiu lub wydarzeniach lokalnych. Zdarza się korzystanie ze stron urzędów gminy czy placówek medycznych (np. szpitali), jednak nikt z tej grupy nie używa aplikacji mobilnych instytucji publicznych – smartfony służą im raczej do celów prywatnych i rozrywkowych.</w:t>
      </w:r>
    </w:p>
    <w:p w14:paraId="32266207" w14:textId="77777777" w:rsidR="00B13433" w:rsidRPr="00BF6615" w:rsidRDefault="00B13433" w:rsidP="007E26B5">
      <w:pPr>
        <w:rPr>
          <w:rFonts w:cstheme="minorHAnsi"/>
        </w:rPr>
      </w:pPr>
      <w:r w:rsidRPr="00BF6615">
        <w:rPr>
          <w:rFonts w:cstheme="minorHAnsi"/>
          <w:b/>
          <w:bCs/>
        </w:rPr>
        <w:t>Osoby 60+</w:t>
      </w:r>
      <w:r w:rsidRPr="00BF6615">
        <w:rPr>
          <w:rFonts w:cstheme="minorHAnsi"/>
        </w:rPr>
        <w:t xml:space="preserve"> wymieniły różnorodne rodzaje stron/aplikacji publicznych, z których korzystają, choć i w tej grupie są tacy, którzy korzystają z nich sporadycznie. Najczęściej wskazywane przez seniorów były strony służby zdrowia (np. przychodni, szpitali, Internetowego Konta Pacjenta), portale samorządowe (miast/gmin), aplikacja ostrzegawcze (do alarmowania o zagrożeniach) oraz systemy dotyczące spraw </w:t>
      </w:r>
      <w:proofErr w:type="spellStart"/>
      <w:r w:rsidRPr="00BF6615">
        <w:rPr>
          <w:rFonts w:cstheme="minorHAnsi"/>
        </w:rPr>
        <w:t>społeczno</w:t>
      </w:r>
      <w:proofErr w:type="spellEnd"/>
      <w:r w:rsidRPr="00BF6615">
        <w:rPr>
          <w:rFonts w:cstheme="minorHAnsi"/>
        </w:rPr>
        <w:t xml:space="preserve"> -emerytalnych. Wykorzystują je do uzyskiwania potrzebnych informacji, załatwiania spraw urzędowych. Część badanych seniorów jednak w ogóle nie sięga po takie rozwiązania. Powodem są trudności techniczne bądź przyzwyczajenie do tradycyjnych metod – jak stwierdził jeden z uczestników: „Nie korzystam. Raczej załatwiam sprawy osobiście albo przez telefon”. </w:t>
      </w:r>
    </w:p>
    <w:p w14:paraId="058B7526" w14:textId="51D6CA1F" w:rsidR="00B13433" w:rsidRPr="00BF6615" w:rsidRDefault="00B13433" w:rsidP="007E26B5">
      <w:pPr>
        <w:rPr>
          <w:rFonts w:cstheme="minorHAnsi"/>
        </w:rPr>
      </w:pPr>
      <w:r w:rsidRPr="00BF6615">
        <w:rPr>
          <w:rFonts w:cstheme="minorHAnsi"/>
        </w:rPr>
        <w:t xml:space="preserve">Podsumowując, im młodsza i bardziej obeznana z technologią grupa, tym chętniej próbuje korzystać z cyfrowych usług publicznych, choć prawie zawsze tylko wtedy, gdy jest do tego zmuszona sytuacją. </w:t>
      </w:r>
      <w:r w:rsidRPr="00BF6615">
        <w:rPr>
          <w:rFonts w:cstheme="minorHAnsi"/>
          <w:b/>
          <w:bCs/>
        </w:rPr>
        <w:t>Grupy o niższych kompetencjach cyfrowych lub napotykające bariery (jak osoby z niepełnosprawnością intelektualną czy część seniorów) w dużej mierze unikają stron urzędowych, wybierając tradycyjne sposoby.</w:t>
      </w:r>
      <w:r w:rsidRPr="00BF6615">
        <w:rPr>
          <w:rFonts w:cstheme="minorHAnsi"/>
        </w:rPr>
        <w:t xml:space="preserve"> W efekcie stopień wykorzystania usług cyfrowych administracji jest ograniczony we wszystkich grupach – korzystają z nich głównie ci, którzy muszą, a nie ci, którzy </w:t>
      </w:r>
      <w:r w:rsidR="000A692A" w:rsidRPr="00BF6615">
        <w:rPr>
          <w:rFonts w:cstheme="minorHAnsi"/>
        </w:rPr>
        <w:t>by</w:t>
      </w:r>
      <w:r w:rsidR="000A692A">
        <w:rPr>
          <w:rFonts w:cstheme="minorHAnsi"/>
        </w:rPr>
        <w:t> </w:t>
      </w:r>
      <w:r w:rsidRPr="00BF6615">
        <w:rPr>
          <w:rFonts w:cstheme="minorHAnsi"/>
        </w:rPr>
        <w:t>chcieli.</w:t>
      </w:r>
    </w:p>
    <w:p w14:paraId="5219D4AC" w14:textId="77777777" w:rsidR="00B13433" w:rsidRPr="00BF6615" w:rsidRDefault="00B13433" w:rsidP="00B271C3">
      <w:pPr>
        <w:pStyle w:val="Nagwek4"/>
      </w:pPr>
      <w:bookmarkStart w:id="175" w:name="_Toc196827618"/>
      <w:r w:rsidRPr="338987BF">
        <w:t>Ocena użyteczności stron i aplikacji podmiotów publicznych</w:t>
      </w:r>
      <w:bookmarkEnd w:id="175"/>
    </w:p>
    <w:p w14:paraId="4400A838" w14:textId="77777777" w:rsidR="00B13433" w:rsidRPr="00BF6615" w:rsidRDefault="00B13433" w:rsidP="007E26B5">
      <w:pPr>
        <w:rPr>
          <w:rFonts w:cstheme="minorHAnsi"/>
        </w:rPr>
      </w:pPr>
      <w:r w:rsidRPr="00BF6615">
        <w:rPr>
          <w:rFonts w:cstheme="minorHAnsi"/>
        </w:rPr>
        <w:t xml:space="preserve">We wszystkich grupach badanych ocena użyteczności stron i aplikacji publicznych wypada krytycznie. </w:t>
      </w:r>
    </w:p>
    <w:p w14:paraId="68424F19" w14:textId="039C1715" w:rsidR="00B13433" w:rsidRPr="00BF6615" w:rsidRDefault="00B13433" w:rsidP="007E26B5">
      <w:pPr>
        <w:rPr>
          <w:rFonts w:cstheme="minorHAnsi"/>
        </w:rPr>
      </w:pPr>
      <w:r w:rsidRPr="00BF6615">
        <w:rPr>
          <w:b/>
        </w:rPr>
        <w:t>Osoby niewidome</w:t>
      </w:r>
      <w:r w:rsidRPr="00BF6615">
        <w:rPr>
          <w:rFonts w:cstheme="minorHAnsi"/>
        </w:rPr>
        <w:t xml:space="preserve"> postrzegają strony urzędowe jako zbyt skomplikowane, nieintuicyjne i trudne w obsłudze bez pomocy – wiele czynności (logowanie, wypełnianie wniosków) okazuje się dla nich niemożliwych do wykonania samodzielnie. Żaden z respondentów </w:t>
      </w:r>
      <w:r w:rsidR="000A692A" w:rsidRPr="00BF6615">
        <w:rPr>
          <w:rFonts w:cstheme="minorHAnsi"/>
        </w:rPr>
        <w:t>w</w:t>
      </w:r>
      <w:r w:rsidR="000A692A">
        <w:rPr>
          <w:rFonts w:cstheme="minorHAnsi"/>
        </w:rPr>
        <w:t> </w:t>
      </w:r>
      <w:r w:rsidRPr="00BF6615">
        <w:rPr>
          <w:rFonts w:cstheme="minorHAnsi"/>
        </w:rPr>
        <w:t>tej grupie nie wskazał strony publicznej, którą uznałby za w pełni przyjazną i dostępną. Przeciwnie – dominują opinie o poważnych trudnościach w obsłudze tych stron. „</w:t>
      </w:r>
      <w:r w:rsidR="00D024E8">
        <w:rPr>
          <w:rFonts w:cstheme="minorHAnsi"/>
        </w:rPr>
        <w:t>.</w:t>
      </w:r>
      <w:r w:rsidRPr="00BF6615">
        <w:rPr>
          <w:rFonts w:cstheme="minorHAnsi"/>
        </w:rPr>
        <w:t xml:space="preserve">.to jest nierealne, żeby to zrobić bezwzrokowo” – przyznała jedna z osób niewidomych, opisując próbę samodzielnego skorzystania z strony przewoźnika kolejowego. Pojedyncze strony (np. portal pacjenta IKP) oceniano co najwyżej jako „działające całkiem spoko”, ale nawet one miały istotne braki w dostępności </w:t>
      </w:r>
    </w:p>
    <w:p w14:paraId="52E15B5B" w14:textId="16E3B367" w:rsidR="00B13433" w:rsidRPr="00BF6615" w:rsidRDefault="00B13433" w:rsidP="007E26B5">
      <w:pPr>
        <w:rPr>
          <w:rFonts w:cstheme="minorHAnsi"/>
        </w:rPr>
      </w:pPr>
      <w:r w:rsidRPr="00BF6615">
        <w:rPr>
          <w:rFonts w:cstheme="minorHAnsi"/>
          <w:b/>
          <w:bCs/>
        </w:rPr>
        <w:t>Osoby słabowidzące</w:t>
      </w:r>
      <w:r w:rsidRPr="00BF6615">
        <w:rPr>
          <w:rFonts w:cstheme="minorHAnsi"/>
        </w:rPr>
        <w:t xml:space="preserve"> również nie potrafiły wskazać żadnej strony publicznej, którą uznałyby za w pełni przyjazną i wygodną – wręcz przeciwnie, podkreślały liczne </w:t>
      </w:r>
      <w:r w:rsidRPr="00BF6615">
        <w:rPr>
          <w:rFonts w:cstheme="minorHAnsi"/>
        </w:rPr>
        <w:lastRenderedPageBreak/>
        <w:t xml:space="preserve">trudności w obsłudze i zrozumieniu treści takich stron/aplikacji. Użytkownicy </w:t>
      </w:r>
      <w:r w:rsidR="000A692A" w:rsidRPr="00BF6615">
        <w:rPr>
          <w:rFonts w:cstheme="minorHAnsi"/>
        </w:rPr>
        <w:t>i</w:t>
      </w:r>
      <w:r w:rsidR="000A692A">
        <w:rPr>
          <w:rFonts w:cstheme="minorHAnsi"/>
        </w:rPr>
        <w:t> </w:t>
      </w:r>
      <w:r w:rsidRPr="00BF6615">
        <w:rPr>
          <w:rFonts w:cstheme="minorHAnsi"/>
        </w:rPr>
        <w:t>użytkowniczki ci narzekali, że treści na stronach są mało czytelne, a nawigacja mało intuicyjna, co bywa wręcz frustrujące.</w:t>
      </w:r>
    </w:p>
    <w:p w14:paraId="2A7A93C4" w14:textId="77777777" w:rsidR="00B13433" w:rsidRPr="00BF6615" w:rsidRDefault="00B13433" w:rsidP="007E26B5">
      <w:pPr>
        <w:rPr>
          <w:rFonts w:cstheme="minorHAnsi"/>
        </w:rPr>
      </w:pPr>
      <w:r w:rsidRPr="00BF6615">
        <w:rPr>
          <w:rFonts w:cstheme="minorHAnsi"/>
          <w:b/>
          <w:bCs/>
        </w:rPr>
        <w:t>Osoby niesłyszące i słabosłyszące</w:t>
      </w:r>
      <w:r w:rsidRPr="00BF6615">
        <w:rPr>
          <w:rFonts w:cstheme="minorHAnsi"/>
        </w:rPr>
        <w:t xml:space="preserve"> również nie wskazały żadnego strony publicznego jako w pełni przyjaznego. Najczęściej mówiły o trudnościach z obsługą i rozumieniem treści na takich stronach. „Nigdzie nie ma tłumacza PJM, więc nic nie jest dla nas dostosowane” – zauważył jeden z badanych. Zdarzało się, że niektóre strony spoza sektora publicznego oceniali pozytywniej, ale podkreślano, że nie są to strony instytucji publicznych. Oficjalne strony urzędowe odbierane są przez osoby z tej grupy jako zbyt skomplikowane, nieintuicyjne i pozbawione wsparcia wizualnego (brak filmów czy tłumaczeń migowych). Również formularze i procedury logowania okazały się często nie do przejścia bez pomocy osoby słyszącej.</w:t>
      </w:r>
    </w:p>
    <w:p w14:paraId="3B839AA6" w14:textId="77777777" w:rsidR="00B13433" w:rsidRPr="00BF6615" w:rsidRDefault="00B13433" w:rsidP="007E26B5">
      <w:pPr>
        <w:rPr>
          <w:rFonts w:cstheme="minorHAnsi"/>
        </w:rPr>
      </w:pPr>
      <w:r w:rsidRPr="00BF6615">
        <w:rPr>
          <w:rFonts w:cstheme="minorHAnsi"/>
          <w:b/>
          <w:bCs/>
        </w:rPr>
        <w:t>Osoby z dysfunkcją narządu ruchu</w:t>
      </w:r>
      <w:r w:rsidRPr="00BF6615">
        <w:rPr>
          <w:rFonts w:cstheme="minorHAnsi"/>
        </w:rPr>
        <w:t xml:space="preserve"> wyraziły nieco bardziej zróżnicowane opinie na temat użyteczności e-stron/aplikacji publicznych. Pojawiły się nieliczne pozytywne przykłady – np. aplikacja </w:t>
      </w:r>
      <w:proofErr w:type="spellStart"/>
      <w:r w:rsidRPr="00BF6615">
        <w:rPr>
          <w:rFonts w:cstheme="minorHAnsi"/>
        </w:rPr>
        <w:t>mObywatel</w:t>
      </w:r>
      <w:proofErr w:type="spellEnd"/>
      <w:r w:rsidRPr="00BF6615">
        <w:rPr>
          <w:rFonts w:cstheme="minorHAnsi"/>
        </w:rPr>
        <w:t xml:space="preserve"> została pochwalona za prostotę i funkcjonalność. Większość ocen była jednak negatywna: strony takie jak PUE ZUS, strony BIP czy portale rejestracji do szpitali określono jako „straszne”, „nieintuicyjne” i „niedostosowane Problemem jest również brak spójności – zwrócono uwagę, że np. Biuletyny Informacji Publicznej (BIP) w różnych miastach mają zupełnie inne struktury, co wprowadza chaos. Wiele stron jest przeładowanych informacjami napisanymi trudnym, urzędowym językiem i brakuje na nich logicznego pogrupowania treści. </w:t>
      </w:r>
    </w:p>
    <w:p w14:paraId="42D0A0FB" w14:textId="386622A0" w:rsidR="00B13433" w:rsidRPr="00BF6615" w:rsidRDefault="00B13433" w:rsidP="007E26B5">
      <w:pPr>
        <w:rPr>
          <w:rFonts w:cstheme="minorHAnsi"/>
        </w:rPr>
      </w:pPr>
      <w:r w:rsidRPr="00BF6615">
        <w:rPr>
          <w:rFonts w:cstheme="minorHAnsi"/>
          <w:b/>
          <w:bCs/>
        </w:rPr>
        <w:t>Osoby z niepełnosprawnością intelektualną</w:t>
      </w:r>
      <w:r w:rsidRPr="00BF6615">
        <w:rPr>
          <w:rFonts w:cstheme="minorHAnsi"/>
        </w:rPr>
        <w:t xml:space="preserve"> również nie uznały żadnej strony publicznej za przyjazną. Ich oceny były w większości negatywne – najczęściej krytykowały nieintuicyjny układ stron i nadmiar informacji na nich zawartych. „Często muszę wchodzić w różne zakładki, żeby tego szukać, bo jest tego za dużo” – opisywała jedna </w:t>
      </w:r>
      <w:r w:rsidR="000A692A" w:rsidRPr="00BF6615">
        <w:rPr>
          <w:rFonts w:cstheme="minorHAnsi"/>
        </w:rPr>
        <w:t>z</w:t>
      </w:r>
      <w:r w:rsidR="000A692A">
        <w:rPr>
          <w:rFonts w:cstheme="minorHAnsi"/>
        </w:rPr>
        <w:t> </w:t>
      </w:r>
      <w:r w:rsidRPr="00BF6615">
        <w:rPr>
          <w:rFonts w:cstheme="minorHAnsi"/>
        </w:rPr>
        <w:t xml:space="preserve">osób, wskazując, że przeładowanie treścią utrudnia znalezienie czegokolwiek. Strony są dla nich trudne w obsłudze i szybko zniechęcają. Brak aktualizacji informacji na stronach dodatkowo obniża ich użyteczność (bo np. dane mogą być nieaktualne, co wprowadza w błąd). Użytkownicy i użytkowniczki z tej grupy często nie wiedzą, czego szukać na stronie i gdzie to znaleźć – przyznają, że gubią się w strukturze. Mobilne aplikacje publiczne są im zupełnie obce; nikt z badanych z tej grupy nigdy z takich aplikacji nie korzystał. </w:t>
      </w:r>
    </w:p>
    <w:p w14:paraId="58BC8C62" w14:textId="414B3468" w:rsidR="00B13433" w:rsidRPr="00BF6615" w:rsidRDefault="00B13433" w:rsidP="007E26B5">
      <w:pPr>
        <w:rPr>
          <w:rFonts w:cstheme="minorHAnsi"/>
        </w:rPr>
      </w:pPr>
      <w:r w:rsidRPr="00BF6615">
        <w:rPr>
          <w:rFonts w:cstheme="minorHAnsi"/>
          <w:b/>
          <w:bCs/>
        </w:rPr>
        <w:t>Osoby 60+</w:t>
      </w:r>
      <w:r w:rsidRPr="00BF6615">
        <w:rPr>
          <w:rFonts w:cstheme="minorHAnsi"/>
        </w:rPr>
        <w:t xml:space="preserve"> miały najbardziej zróżnicowane doświadczenia. Z jednej strony potrafiły wskazać strony, które uznały za dość przyjazne – chwalono np. portale ostrzegawcze czy strony instytucji kultury i sportu za ich przejrzystość oraz intuicyjność. Podkreślano, że na tych stronach „wszystko bardzo ładnie widać – dokumenty, punkty karne”, co oznacza czytelność i łatwy dostęp do potrzebnych informacji. Z drugiej strony jednak </w:t>
      </w:r>
      <w:r w:rsidRPr="00BF6615">
        <w:rPr>
          <w:rFonts w:cstheme="minorHAnsi"/>
        </w:rPr>
        <w:lastRenderedPageBreak/>
        <w:t xml:space="preserve">nawet seniorzy wskazywali wiele problematycznych platform, szczególnie </w:t>
      </w:r>
      <w:r w:rsidR="000A692A" w:rsidRPr="00BF6615">
        <w:rPr>
          <w:rFonts w:cstheme="minorHAnsi"/>
        </w:rPr>
        <w:t>o</w:t>
      </w:r>
      <w:r w:rsidR="000A692A">
        <w:rPr>
          <w:rFonts w:cstheme="minorHAnsi"/>
        </w:rPr>
        <w:t> </w:t>
      </w:r>
      <w:r w:rsidRPr="00BF6615">
        <w:rPr>
          <w:rFonts w:cstheme="minorHAnsi"/>
        </w:rPr>
        <w:t xml:space="preserve">skomplikowanej strukturze. Strony związane z systemem ubezpieczeń społecznych były często przywoływane jako sprawiające duże trudności, np. już na etapie logowania. </w:t>
      </w:r>
    </w:p>
    <w:p w14:paraId="54626537" w14:textId="7D266347" w:rsidR="00B13433" w:rsidRPr="00BF6615" w:rsidRDefault="00B13433" w:rsidP="007E26B5">
      <w:pPr>
        <w:rPr>
          <w:rFonts w:cstheme="minorHAnsi"/>
        </w:rPr>
      </w:pPr>
      <w:r w:rsidRPr="00BF6615">
        <w:rPr>
          <w:rFonts w:cstheme="minorHAnsi"/>
          <w:b/>
          <w:bCs/>
        </w:rPr>
        <w:t>Warto zauważyć, że pomimo obowiązywania w Polsce przepisów prawnych nakładających na podmioty publiczne obowiązek zapewnienia dostępności cyfrowej, użytkownicy i użytkowniczki nie dostrzegają w praktyce stron/aplikacji całkowicie spełniających te wymagania.</w:t>
      </w:r>
      <w:r w:rsidRPr="00BF6615">
        <w:rPr>
          <w:rFonts w:cstheme="minorHAnsi"/>
        </w:rPr>
        <w:t xml:space="preserve"> We wszystkich grupach panuje przekonanie, że strony/aplikacje administracji publicznej nie są zaprojektowane z myślą o ich potrzebach i nie zapewniają komfortowego, samodzielnego korzystania. Lepsze oceny otrzymywały nieliczne wyjątki (np. aplikacja </w:t>
      </w:r>
      <w:proofErr w:type="spellStart"/>
      <w:r w:rsidRPr="00BF6615">
        <w:rPr>
          <w:rFonts w:cstheme="minorHAnsi"/>
        </w:rPr>
        <w:t>mObywatel</w:t>
      </w:r>
      <w:proofErr w:type="spellEnd"/>
      <w:r w:rsidRPr="00BF6615">
        <w:rPr>
          <w:rFonts w:cstheme="minorHAnsi"/>
        </w:rPr>
        <w:t xml:space="preserve"> doceniona przez część osób z dysfunkcją ruchu czy proste aplikacje alarmowe cenione przez osoby 60+ ), ale były to raczej pojedyncze przypadki. Ogólny obraz jest wyraźnie negatywny – publiczne strony internetowe uchodzą w oczach badanych za trudne w obsłudze, mało intuicyjne </w:t>
      </w:r>
      <w:r w:rsidR="000A692A" w:rsidRPr="00BF6615">
        <w:rPr>
          <w:rFonts w:cstheme="minorHAnsi"/>
        </w:rPr>
        <w:t>i</w:t>
      </w:r>
      <w:r w:rsidR="000A692A">
        <w:rPr>
          <w:rFonts w:cstheme="minorHAnsi"/>
        </w:rPr>
        <w:t> </w:t>
      </w:r>
      <w:r w:rsidRPr="00BF6615">
        <w:rPr>
          <w:rFonts w:cstheme="minorHAnsi"/>
        </w:rPr>
        <w:t>niedostosowane do ich ograniczeń.</w:t>
      </w:r>
    </w:p>
    <w:p w14:paraId="5DD1D21C" w14:textId="77777777" w:rsidR="00B13433" w:rsidRPr="00BF6615" w:rsidRDefault="00B13433" w:rsidP="00B271C3">
      <w:pPr>
        <w:pStyle w:val="Nagwek4"/>
      </w:pPr>
      <w:bookmarkStart w:id="176" w:name="_Toc196827619"/>
      <w:r w:rsidRPr="338987BF">
        <w:t>Przyczyny korzystania ze stron i aplikacji podmiotów publicznych</w:t>
      </w:r>
      <w:bookmarkEnd w:id="176"/>
    </w:p>
    <w:p w14:paraId="557661EC" w14:textId="77777777" w:rsidR="00B13433" w:rsidRPr="00BF6615" w:rsidRDefault="00B13433" w:rsidP="007E26B5">
      <w:pPr>
        <w:rPr>
          <w:rFonts w:cstheme="minorHAnsi"/>
        </w:rPr>
      </w:pPr>
      <w:r w:rsidRPr="00BF6615">
        <w:rPr>
          <w:rFonts w:cstheme="minorHAnsi"/>
        </w:rPr>
        <w:t xml:space="preserve">Głównym powodem, dla którego osoby z badanych grup sięgają po strony internetowe i aplikacje instytucji publicznych, jest konieczność załatwienia konkretnej sprawy. Korzystanie z e-usług wynika więc raczej z przymusu niż z wygody czy chęci. </w:t>
      </w:r>
    </w:p>
    <w:p w14:paraId="39978E33" w14:textId="44BB9168" w:rsidR="00B13433" w:rsidRPr="00BF6615" w:rsidRDefault="00B13433" w:rsidP="007E26B5">
      <w:pPr>
        <w:rPr>
          <w:rFonts w:cstheme="minorHAnsi"/>
        </w:rPr>
      </w:pPr>
      <w:r w:rsidRPr="00BF6615">
        <w:rPr>
          <w:rFonts w:cstheme="minorHAnsi"/>
          <w:b/>
          <w:bCs/>
        </w:rPr>
        <w:t>Osoby niewidome</w:t>
      </w:r>
      <w:r w:rsidRPr="00BF6615">
        <w:rPr>
          <w:rFonts w:cstheme="minorHAnsi"/>
        </w:rPr>
        <w:t xml:space="preserve"> przyznają, że odwiedzają strony urzędowe czy rządowe głównie wtedy, gdy muszą coś załatwić – np. kupić bilet, złożyć wniosek o dofinansowanie albo uzyskać informację urzędową. Robią to, by zdobyć potrzebne dane lub zrealizować usługę bez wychodzenia z domu. „Muszę z tego korzystać” – stwierdziła jedna </w:t>
      </w:r>
      <w:r w:rsidR="000A692A" w:rsidRPr="00BF6615">
        <w:rPr>
          <w:rFonts w:cstheme="minorHAnsi"/>
        </w:rPr>
        <w:t>z</w:t>
      </w:r>
      <w:r w:rsidR="000A692A">
        <w:rPr>
          <w:rFonts w:cstheme="minorHAnsi"/>
        </w:rPr>
        <w:t> </w:t>
      </w:r>
      <w:r w:rsidRPr="00BF6615">
        <w:rPr>
          <w:rFonts w:cstheme="minorHAnsi"/>
        </w:rPr>
        <w:t xml:space="preserve">badanych niewidomych, podkreślając brak alternatywy w przypadku niektórych </w:t>
      </w:r>
      <w:proofErr w:type="spellStart"/>
      <w:r w:rsidRPr="00BF6615">
        <w:rPr>
          <w:rFonts w:cstheme="minorHAnsi"/>
        </w:rPr>
        <w:t>uslug</w:t>
      </w:r>
      <w:proofErr w:type="spellEnd"/>
      <w:r w:rsidRPr="00BF6615">
        <w:rPr>
          <w:rFonts w:cstheme="minorHAnsi"/>
        </w:rPr>
        <w:t xml:space="preserve">. Wielu niewidomych zaznacza, że woli załatwić sprawę zdalnie zamiast osobiście, o ile jest to możliwe – niestety obecnie strony publiczne nie ułatwiają im tego, a często stają się kolejną przeszkodą. </w:t>
      </w:r>
    </w:p>
    <w:p w14:paraId="063710D9" w14:textId="77777777" w:rsidR="00B13433" w:rsidRPr="00BF6615" w:rsidRDefault="00B13433" w:rsidP="007E26B5">
      <w:pPr>
        <w:rPr>
          <w:rFonts w:cstheme="minorHAnsi"/>
        </w:rPr>
      </w:pPr>
      <w:r w:rsidRPr="00BF6615">
        <w:rPr>
          <w:rFonts w:cstheme="minorHAnsi"/>
          <w:b/>
          <w:bCs/>
        </w:rPr>
        <w:t>Osoby słabowidzące</w:t>
      </w:r>
      <w:r w:rsidRPr="00BF6615">
        <w:rPr>
          <w:rFonts w:cstheme="minorHAnsi"/>
        </w:rPr>
        <w:t>, podobnie, jak osoby niewidome wskazują, że po strony publiczne sięgają głównie z konieczności załatwienia czegoś, a rzadko z własnej inicjatywy czy dla wygody. Typowe sytuacje to potrzeba uzyskania ważnej informacji (np. o świadczeniu) lub dokonania operacji urzędowej online, jak złożenie wniosku czy kupno biletu.</w:t>
      </w:r>
    </w:p>
    <w:p w14:paraId="098E11E7" w14:textId="77777777" w:rsidR="00B13433" w:rsidRPr="00BF6615" w:rsidRDefault="00B13433" w:rsidP="007E26B5">
      <w:pPr>
        <w:rPr>
          <w:rFonts w:cstheme="minorHAnsi"/>
        </w:rPr>
      </w:pPr>
      <w:r w:rsidRPr="00BF6615">
        <w:rPr>
          <w:rFonts w:cstheme="minorHAnsi"/>
          <w:b/>
          <w:bCs/>
        </w:rPr>
        <w:t>Osoby słabosłyszące i niesłyszące</w:t>
      </w:r>
      <w:r w:rsidRPr="00BF6615">
        <w:rPr>
          <w:rFonts w:cstheme="minorHAnsi"/>
        </w:rPr>
        <w:t xml:space="preserve"> również deklarują, że korzystają ze stron urzędowych tylko wtedy, gdy muszą załatwić konkretną sprawę, na przykład kupić bilet komunikacyjny, sprawdzić dokumenty lub informacje związane z pracą czy podróżą. Nawet jednak przy prostych sprawach, takich jak logowanie czy wypełnienie formularza, często potrzebują pomocy osoby słyszącej – podkreślają więc, że ich korzystanie wynika z potrzeby, ale same strony nie są wsparciem, lecz barierą. </w:t>
      </w:r>
    </w:p>
    <w:p w14:paraId="2A517FD2" w14:textId="3B39CAAB" w:rsidR="00B13433" w:rsidRPr="00BF6615" w:rsidRDefault="00B13433" w:rsidP="007E26B5">
      <w:pPr>
        <w:rPr>
          <w:rFonts w:cstheme="minorHAnsi"/>
        </w:rPr>
      </w:pPr>
      <w:r w:rsidRPr="00BF6615">
        <w:rPr>
          <w:rFonts w:cstheme="minorHAnsi"/>
          <w:b/>
          <w:bCs/>
        </w:rPr>
        <w:lastRenderedPageBreak/>
        <w:t>Osoby z niepełnosprawnością ruchu</w:t>
      </w:r>
      <w:r w:rsidRPr="00BF6615">
        <w:rPr>
          <w:rFonts w:cstheme="minorHAnsi"/>
        </w:rPr>
        <w:t xml:space="preserve"> jako główną motywację korzystania </w:t>
      </w:r>
      <w:r w:rsidR="000A692A" w:rsidRPr="00BF6615">
        <w:rPr>
          <w:rFonts w:cstheme="minorHAnsi"/>
        </w:rPr>
        <w:t>z</w:t>
      </w:r>
      <w:r w:rsidR="000A692A">
        <w:rPr>
          <w:rFonts w:cstheme="minorHAnsi"/>
        </w:rPr>
        <w:t> </w:t>
      </w:r>
      <w:r w:rsidRPr="00BF6615">
        <w:rPr>
          <w:rFonts w:cstheme="minorHAnsi"/>
        </w:rPr>
        <w:t xml:space="preserve">stron/aplikacji publicznych wskazują chęć ograniczenia konieczności wychodzenia </w:t>
      </w:r>
      <w:r w:rsidR="000A692A" w:rsidRPr="00BF6615">
        <w:rPr>
          <w:rFonts w:cstheme="minorHAnsi"/>
        </w:rPr>
        <w:t>z</w:t>
      </w:r>
      <w:r w:rsidR="000A692A">
        <w:rPr>
          <w:rFonts w:cstheme="minorHAnsi"/>
        </w:rPr>
        <w:t> </w:t>
      </w:r>
      <w:r w:rsidRPr="00BF6615">
        <w:rPr>
          <w:rFonts w:cstheme="minorHAnsi"/>
        </w:rPr>
        <w:t xml:space="preserve">domu. Internet wykorzystują one do składania wniosków (np. o dofinansowania </w:t>
      </w:r>
      <w:r w:rsidR="000A692A" w:rsidRPr="00BF6615">
        <w:rPr>
          <w:rFonts w:cstheme="minorHAnsi"/>
        </w:rPr>
        <w:t>z</w:t>
      </w:r>
      <w:r w:rsidR="000A692A">
        <w:rPr>
          <w:rFonts w:cstheme="minorHAnsi"/>
        </w:rPr>
        <w:t> </w:t>
      </w:r>
      <w:r w:rsidRPr="00BF6615">
        <w:rPr>
          <w:rFonts w:cstheme="minorHAnsi"/>
        </w:rPr>
        <w:t>PFRON), opłacania rachunków i podatków, kontaktu z urzędami czy zamawiania dokumentów. „Dzięki temu nie muszę jechać do urzędu, mogę to załatwić zdalnie” – zauważyła jedna z osób, podkreślając bezpośrednią korzyść z e-usług w postaci uniknięcia fizycznej wizyty. Internet daje też dostęp do informacji o przysługujących świadczeniach i ulgach, co zmniejsza potrzebę chodzenia osobiście do różnych instytucji.</w:t>
      </w:r>
    </w:p>
    <w:p w14:paraId="13A157E9" w14:textId="3320D298" w:rsidR="00B13433" w:rsidRPr="00BF6615" w:rsidRDefault="00B13433" w:rsidP="007E26B5">
      <w:pPr>
        <w:rPr>
          <w:rFonts w:cstheme="minorHAnsi"/>
        </w:rPr>
      </w:pPr>
      <w:r w:rsidRPr="00BF6615">
        <w:rPr>
          <w:rFonts w:cstheme="minorHAnsi"/>
          <w:b/>
          <w:bCs/>
        </w:rPr>
        <w:t>Osoby z niepełnosprawnością intelektualną</w:t>
      </w:r>
      <w:r w:rsidRPr="00BF6615">
        <w:rPr>
          <w:rFonts w:cstheme="minorHAnsi"/>
        </w:rPr>
        <w:t xml:space="preserve"> odwiedzają strony urzędowe głównie po to, by zdobyć informacje lub załatwić jakąś prostą sprawę. Interesują ich np. aktualności lokalne, rozkłady jazdy, tematy zdrowotne czy informacje o świadczeniach społecznych: „Sprawdzam informacje z gminy, czy jest jakaś pomoc w ośrodku pomocy społecznej. Jeśli osoby z tej grupy korzystają z e-usług, to przeważnie tylko przy bardzo prostych czynnościach; w trudniejszych przypadkach albo proszą o pomoc bliskich, albo w ogóle rezygnują. Podkreślają, że korzystanie z stron/aplikacji publicznych wynika raczej </w:t>
      </w:r>
      <w:r w:rsidR="000A692A" w:rsidRPr="00BF6615">
        <w:rPr>
          <w:rFonts w:cstheme="minorHAnsi"/>
        </w:rPr>
        <w:t>z</w:t>
      </w:r>
      <w:r w:rsidR="000A692A">
        <w:rPr>
          <w:rFonts w:cstheme="minorHAnsi"/>
        </w:rPr>
        <w:t> </w:t>
      </w:r>
      <w:r w:rsidRPr="00BF6615">
        <w:rPr>
          <w:rFonts w:cstheme="minorHAnsi"/>
        </w:rPr>
        <w:t xml:space="preserve">konieczności niż z wygody, a brak zaufania do przejrzystości i funkcjonalności tych stron/aplikacji sprawia, że podchodzą do nich niechętnie. </w:t>
      </w:r>
    </w:p>
    <w:p w14:paraId="2FB63719" w14:textId="0D3BEE35" w:rsidR="00B13433" w:rsidRPr="00BF6615" w:rsidRDefault="00B13433" w:rsidP="007E26B5">
      <w:pPr>
        <w:rPr>
          <w:rFonts w:cstheme="minorHAnsi"/>
        </w:rPr>
      </w:pPr>
      <w:r w:rsidRPr="00BF6615">
        <w:rPr>
          <w:rFonts w:cstheme="minorHAnsi"/>
          <w:b/>
          <w:bCs/>
        </w:rPr>
        <w:t>Osoby 60+</w:t>
      </w:r>
      <w:r w:rsidRPr="00BF6615">
        <w:rPr>
          <w:rFonts w:cstheme="minorHAnsi"/>
        </w:rPr>
        <w:t xml:space="preserve"> najczęściej korzystają ze stron i aplikacji urzędowych, aby załatwić sprawy urzędowe lub uzyskać ważne informacje. Przykłady podawane przez tę grupę to złożenie deklaracji podatkowej, potwierdzenie meldunku, sprawdzenie danych medycznych (np. wyników badań) czy aktualizacja swoich danych w bazach urzędowych. „Zameldowania do aplikacji miejskiej – też przez Internet robiłam” – opisała jedna </w:t>
      </w:r>
      <w:r w:rsidR="000A692A" w:rsidRPr="00BF6615">
        <w:rPr>
          <w:rFonts w:cstheme="minorHAnsi"/>
        </w:rPr>
        <w:t>z</w:t>
      </w:r>
      <w:r w:rsidR="000A692A">
        <w:rPr>
          <w:rFonts w:cstheme="minorHAnsi"/>
        </w:rPr>
        <w:t> </w:t>
      </w:r>
      <w:r w:rsidRPr="00BF6615">
        <w:rPr>
          <w:rFonts w:cstheme="minorHAnsi"/>
        </w:rPr>
        <w:t xml:space="preserve">uczestniczek, pokazując, że nawet formalności meldunkowe można załatwić online. Ogólnie seniorzy korzystają </w:t>
      </w:r>
      <w:r w:rsidRPr="00BF6615">
        <w:rPr>
          <w:rFonts w:cstheme="minorHAnsi"/>
        </w:rPr>
        <w:br/>
        <w:t>z e-administracji przede wszystkim wtedy, gdy mogą w ten sposób zaoszczędzić sobie wycieczki do urzędu lub usprawnić jakąś procedurę – czyli podobnie jak inni, z pobudek praktycznych.</w:t>
      </w:r>
    </w:p>
    <w:p w14:paraId="7C6C8F6C" w14:textId="4F2E2AB0" w:rsidR="00B13433" w:rsidRPr="00BF6615" w:rsidRDefault="00B13433" w:rsidP="007E26B5">
      <w:pPr>
        <w:rPr>
          <w:rFonts w:cstheme="minorHAnsi"/>
        </w:rPr>
      </w:pPr>
      <w:r w:rsidRPr="00BF6615">
        <w:rPr>
          <w:rFonts w:cstheme="minorHAnsi"/>
          <w:b/>
          <w:bCs/>
        </w:rPr>
        <w:t>Reasumując, wszystkie grupy korzystają z stron/aplikacji publicznych głównie dlatego, że muszą, a nie dlatego, że chcą. Gdy istnieje możliwość wyboru, często woleliby załatwić sprawę tradycyjnie</w:t>
      </w:r>
      <w:r w:rsidRPr="00BF6615">
        <w:rPr>
          <w:rFonts w:cstheme="minorHAnsi"/>
        </w:rPr>
        <w:t xml:space="preserve">, ale rosnąca cyfryzacja administracji często wymusza użycie Internetu, nawet jeśli jest to dla nich trudne. Dlatego tak ważne jest, by strony te były dostępne – inaczej osoby z niepełnosprawnościami i seniorzy są zmuszeni prosić </w:t>
      </w:r>
      <w:r w:rsidR="000A692A" w:rsidRPr="00BF6615">
        <w:rPr>
          <w:rFonts w:cstheme="minorHAnsi"/>
        </w:rPr>
        <w:t>o</w:t>
      </w:r>
      <w:r w:rsidR="000A692A">
        <w:rPr>
          <w:rFonts w:cstheme="minorHAnsi"/>
        </w:rPr>
        <w:t> </w:t>
      </w:r>
      <w:r w:rsidRPr="00BF6615">
        <w:rPr>
          <w:rFonts w:cstheme="minorHAnsi"/>
        </w:rPr>
        <w:t>pomoc lub rezygnować z załatwienia danej sprawy. Brak możliwości załatwienia sprawy online powoduje nie tylko wykluczenie cyfrowe, ale w szerszym kontekście powoduje także wykluczenie społeczne oraz nierówny dostęp dla obywateli.</w:t>
      </w:r>
    </w:p>
    <w:p w14:paraId="6BC71E2A" w14:textId="77777777" w:rsidR="00B13433" w:rsidRPr="00CA1398" w:rsidRDefault="00B13433" w:rsidP="00B271C3">
      <w:pPr>
        <w:pStyle w:val="Nagwek4"/>
        <w:rPr>
          <w:bCs/>
        </w:rPr>
      </w:pPr>
      <w:bookmarkStart w:id="177" w:name="_Toc196827620"/>
      <w:r w:rsidRPr="00CA1398">
        <w:rPr>
          <w:bCs/>
        </w:rPr>
        <w:lastRenderedPageBreak/>
        <w:t xml:space="preserve">Strony i aplikacje </w:t>
      </w:r>
      <w:r w:rsidRPr="00003348">
        <w:t>podmiotów</w:t>
      </w:r>
      <w:r w:rsidRPr="00CA1398">
        <w:rPr>
          <w:bCs/>
        </w:rPr>
        <w:t xml:space="preserve"> publicznych wymagające poprawy</w:t>
      </w:r>
      <w:bookmarkEnd w:id="177"/>
    </w:p>
    <w:p w14:paraId="50DD1BE1" w14:textId="63DEB368" w:rsidR="00B13433" w:rsidRPr="00BF6615" w:rsidRDefault="00B13433" w:rsidP="007E26B5">
      <w:pPr>
        <w:rPr>
          <w:rFonts w:cstheme="minorHAnsi"/>
        </w:rPr>
      </w:pPr>
      <w:r w:rsidRPr="00BF6615">
        <w:rPr>
          <w:rFonts w:cstheme="minorHAnsi"/>
        </w:rPr>
        <w:t xml:space="preserve">Zapytani o to, które strony publiczne sprawiają im największe trudności i wymagają pilnej poprawy, respondenci z różnych grup najczęściej wymieniali kilka powtarzających się kategorii stron. </w:t>
      </w:r>
      <w:r w:rsidRPr="00BF6615">
        <w:rPr>
          <w:rFonts w:cstheme="minorHAnsi"/>
          <w:b/>
          <w:bCs/>
        </w:rPr>
        <w:t>Strony lokalnych urzędów (miast i gmin) pojawiały się na czele listy</w:t>
      </w:r>
      <w:r w:rsidRPr="00BF6615">
        <w:rPr>
          <w:rFonts w:cstheme="minorHAnsi"/>
        </w:rPr>
        <w:t xml:space="preserve"> problematycznych stron/aplikacji praktycznie w każdej grupie. Zawierają one co prawda istotne informacje (np. o sprawach lokalnych, świadczeniach), ale ich chaotyczna forma i nieprzystępny układ zniechęcają użytkowników. „Jest wiele rzeczy, których nie rozumiem, nawet nie wiem, do czego one służą” – stwierdziła uczestniczka </w:t>
      </w:r>
      <w:r w:rsidR="000A692A" w:rsidRPr="00BF6615">
        <w:rPr>
          <w:rFonts w:cstheme="minorHAnsi"/>
        </w:rPr>
        <w:t>z</w:t>
      </w:r>
      <w:r w:rsidR="000A692A">
        <w:rPr>
          <w:rFonts w:cstheme="minorHAnsi"/>
        </w:rPr>
        <w:t> </w:t>
      </w:r>
      <w:r w:rsidRPr="00BF6615">
        <w:rPr>
          <w:rFonts w:cstheme="minorHAnsi"/>
        </w:rPr>
        <w:t xml:space="preserve">niepełnosprawnością intelektualną, mówiąc o stronie internetowej swojej gminy. Podobne odczucia mają osoby niewidome i słabowidzące wobec stron miast: są one często nieuporządkowane, pełne nieopisanych elementów lub mało czytelne. Wiele osób – nie tylko z niepełnosprawnościami poznawczymi, ale i seniorów – wybiera osobistą wizytę w urzędzie właśnie po to, by uniknąć korzystania z nieprzejrzystych </w:t>
      </w:r>
      <w:r w:rsidR="000A692A" w:rsidRPr="00BF6615">
        <w:rPr>
          <w:rFonts w:cstheme="minorHAnsi"/>
        </w:rPr>
        <w:t>stron</w:t>
      </w:r>
      <w:r w:rsidR="000A692A">
        <w:rPr>
          <w:rFonts w:cstheme="minorHAnsi"/>
        </w:rPr>
        <w:t> </w:t>
      </w:r>
      <w:r w:rsidRPr="00BF6615">
        <w:rPr>
          <w:rFonts w:cstheme="minorHAnsi"/>
        </w:rPr>
        <w:t>internetowych.</w:t>
      </w:r>
    </w:p>
    <w:p w14:paraId="4D8372DC" w14:textId="77777777" w:rsidR="00B13433" w:rsidRPr="00BF6615" w:rsidRDefault="00B13433" w:rsidP="007E26B5">
      <w:pPr>
        <w:rPr>
          <w:rFonts w:cstheme="minorHAnsi"/>
        </w:rPr>
      </w:pPr>
      <w:r w:rsidRPr="00BF6615">
        <w:rPr>
          <w:rFonts w:cstheme="minorHAnsi"/>
          <w:b/>
          <w:bCs/>
        </w:rPr>
        <w:t>Drugą kluczową kategorią wymagającą poprawy są strony kluczowych instytucji administracyjnych na szczeblu centralnym</w:t>
      </w:r>
      <w:r w:rsidRPr="00BF6615">
        <w:rPr>
          <w:rFonts w:cstheme="minorHAnsi"/>
        </w:rPr>
        <w:t>, takich jak ZUS czy urzędy skarbowe. Osoby z dysfunkcją narządu ruchu najczęściej wskazywały strony z tej grupy, jako sprawiające ogromne trudności. Problemy dotyczyły m.in. integracji formularzy w tych systemach – użytkownicy i użytkowniczki muszą wielokrotnie wprowadzać te same dane, co jest uciążliwe. Również Profil Zaufany – kluczowy system uwierzytelniania w e-administracji – został wskazany przez różne osoby (np. niesłyszące i niewidome) jako zbyt skomplikowany w obsłudze. Ogólnie strony/aplikacje administracji centralnej były częstym źródłem frustracji we wszystkich grupach.</w:t>
      </w:r>
    </w:p>
    <w:p w14:paraId="46DA3FE2" w14:textId="6335B654" w:rsidR="00B13433" w:rsidRPr="00BF6615" w:rsidRDefault="00B13433" w:rsidP="007E26B5">
      <w:pPr>
        <w:rPr>
          <w:rFonts w:cstheme="minorHAnsi"/>
        </w:rPr>
      </w:pPr>
      <w:r w:rsidRPr="00BF6615">
        <w:rPr>
          <w:rFonts w:cstheme="minorHAnsi"/>
          <w:b/>
          <w:bCs/>
        </w:rPr>
        <w:t>Kolejnym obszarem są strony związane ze służbą zdrowia</w:t>
      </w:r>
      <w:r w:rsidRPr="00BF6615">
        <w:rPr>
          <w:rFonts w:cstheme="minorHAnsi"/>
        </w:rPr>
        <w:t xml:space="preserve">. Problemy sprawiają zarówno strony internetowe placówek medycznych (przychodni, szpitali), jak i aplikacje do </w:t>
      </w:r>
      <w:r w:rsidR="000A692A">
        <w:rPr>
          <w:rFonts w:cstheme="minorHAnsi"/>
        </w:rPr>
        <w:br/>
      </w:r>
      <w:r w:rsidRPr="00BF6615">
        <w:rPr>
          <w:rFonts w:cstheme="minorHAnsi"/>
        </w:rPr>
        <w:t xml:space="preserve">e-zdrowia (Internetowe Konto Pacjenta, systemy rejestracji wizyt). Osoby z dysfunkcją narządu ruchu skarżyły się, że rejestracja online do szpitala nigdy u nich nie zadziałała. Seniorzy mówili, że procedury w aplikacjach medycznych są zbyt złożone. Strony samych przychodni i szpitali bywają nieczytelne i pełne niezrozumiałych komunikatów, co również podkreślano. </w:t>
      </w:r>
    </w:p>
    <w:p w14:paraId="3DD19266" w14:textId="71959470" w:rsidR="00B13433" w:rsidRPr="00BF6615" w:rsidRDefault="00B13433" w:rsidP="007E26B5">
      <w:pPr>
        <w:rPr>
          <w:rFonts w:cstheme="minorHAnsi"/>
        </w:rPr>
      </w:pPr>
      <w:r w:rsidRPr="00BF6615">
        <w:rPr>
          <w:rFonts w:cstheme="minorHAnsi"/>
        </w:rPr>
        <w:t xml:space="preserve">Wreszcie, </w:t>
      </w:r>
      <w:r w:rsidRPr="00BF6615">
        <w:rPr>
          <w:rFonts w:cstheme="minorHAnsi"/>
          <w:b/>
          <w:bCs/>
        </w:rPr>
        <w:t>strony transportowe (kolejowe, komunikacji miejskiej)</w:t>
      </w:r>
      <w:r w:rsidRPr="00BF6615">
        <w:rPr>
          <w:rFonts w:cstheme="minorHAnsi"/>
        </w:rPr>
        <w:t xml:space="preserve"> zostały mocno skrytykowane przez osoby niewidome i słabowidzące. Przykładowo strona przewoźnika kolejowego PKP okazała się dla niewidomych praktycznie nie do użytku ze względu na graficzny interfejs wyboru miejsc w pociągu, którego, w opinii badanych, nie da się obsłużyć bez wzroku. Również osoby niesłyszące wskazywały strony transportowe jako istotne, a jednocześnie niedostosowane (brak tam np. filmów z tłumaczem migowym, </w:t>
      </w:r>
      <w:r w:rsidR="000A692A" w:rsidRPr="00BF6615">
        <w:rPr>
          <w:rFonts w:cstheme="minorHAnsi"/>
        </w:rPr>
        <w:t>a</w:t>
      </w:r>
      <w:r w:rsidR="000A692A">
        <w:rPr>
          <w:rFonts w:cstheme="minorHAnsi"/>
        </w:rPr>
        <w:t> </w:t>
      </w:r>
      <w:r w:rsidRPr="00BF6615">
        <w:rPr>
          <w:rFonts w:cstheme="minorHAnsi"/>
        </w:rPr>
        <w:t>sam tekst jest trudny).</w:t>
      </w:r>
    </w:p>
    <w:p w14:paraId="2BEA2FF8" w14:textId="126C8FF7" w:rsidR="00B13433" w:rsidRPr="00BF6615" w:rsidRDefault="00B13433" w:rsidP="007E26B5">
      <w:pPr>
        <w:rPr>
          <w:rFonts w:cstheme="minorHAnsi"/>
          <w:b/>
          <w:bCs/>
        </w:rPr>
      </w:pPr>
      <w:r w:rsidRPr="00BF6615">
        <w:rPr>
          <w:rFonts w:cstheme="minorHAnsi"/>
        </w:rPr>
        <w:lastRenderedPageBreak/>
        <w:t xml:space="preserve">Pojawiały się też inne przykłady: osoby niewidome wspominały o portalach edukacyjnych (np. stronach szkół i uczelni) jako zupełnie niedostępnych. </w:t>
      </w:r>
      <w:r w:rsidRPr="00BF6615">
        <w:rPr>
          <w:rFonts w:cstheme="minorHAnsi"/>
          <w:b/>
          <w:bCs/>
        </w:rPr>
        <w:t xml:space="preserve">Ogólny wydźwięk jest jednak spójny: te obszary życia, które są najbardziej potrzebne na co dzień – administracja lokalna, zdrowie, transport, finanse publiczne – są jednocześnie tymi, gdzie braki dostępności odczuwane są najdotkliwiej i które należy poprawić </w:t>
      </w:r>
      <w:r w:rsidR="000A692A" w:rsidRPr="00BF6615">
        <w:rPr>
          <w:rFonts w:cstheme="minorHAnsi"/>
          <w:b/>
          <w:bCs/>
        </w:rPr>
        <w:t>w</w:t>
      </w:r>
      <w:r w:rsidR="000A692A">
        <w:rPr>
          <w:rFonts w:cstheme="minorHAnsi"/>
          <w:b/>
          <w:bCs/>
        </w:rPr>
        <w:t> </w:t>
      </w:r>
      <w:r w:rsidRPr="00BF6615">
        <w:rPr>
          <w:rFonts w:cstheme="minorHAnsi"/>
          <w:b/>
          <w:bCs/>
        </w:rPr>
        <w:t>pierwszej kolejności.</w:t>
      </w:r>
    </w:p>
    <w:p w14:paraId="523EF98F" w14:textId="77777777" w:rsidR="00B13433" w:rsidRPr="00BF6615" w:rsidRDefault="00B13433" w:rsidP="00B271C3">
      <w:pPr>
        <w:pStyle w:val="Nagwek4"/>
      </w:pPr>
      <w:bookmarkStart w:id="178" w:name="_Toc196827621"/>
      <w:r w:rsidRPr="338987BF">
        <w:t>Najczęściej napotykane trudności</w:t>
      </w:r>
      <w:bookmarkEnd w:id="178"/>
    </w:p>
    <w:p w14:paraId="54F8D331" w14:textId="77777777" w:rsidR="00B13433" w:rsidRPr="00BF6615" w:rsidRDefault="00B13433" w:rsidP="007E26B5">
      <w:pPr>
        <w:rPr>
          <w:rFonts w:cstheme="minorHAnsi"/>
        </w:rPr>
      </w:pPr>
      <w:r w:rsidRPr="00BF6615">
        <w:rPr>
          <w:rFonts w:cstheme="minorHAnsi"/>
        </w:rPr>
        <w:t xml:space="preserve">Podczas korzystania z internetowych stron/aplikacji publicznych osoby z badanych grup napotykają na liczne bariery. Niektóre trudności mają charakter wspólny, inne są specyficzne dla danej niepełnosprawności. </w:t>
      </w:r>
    </w:p>
    <w:p w14:paraId="68CADC62" w14:textId="69DBB332" w:rsidR="00B13433" w:rsidRPr="00BF6615" w:rsidRDefault="00B13433" w:rsidP="007E26B5">
      <w:pPr>
        <w:rPr>
          <w:rFonts w:cstheme="minorHAnsi"/>
        </w:rPr>
      </w:pPr>
      <w:r w:rsidRPr="00BF6615">
        <w:rPr>
          <w:rFonts w:cstheme="minorHAnsi"/>
        </w:rPr>
        <w:t xml:space="preserve">Najpowszechniejszą barierą dla </w:t>
      </w:r>
      <w:r w:rsidRPr="00BF6615">
        <w:rPr>
          <w:rFonts w:cstheme="minorHAnsi"/>
          <w:b/>
          <w:bCs/>
        </w:rPr>
        <w:t>osób niewidomych</w:t>
      </w:r>
      <w:r w:rsidRPr="00BF6615">
        <w:rPr>
          <w:rFonts w:cstheme="minorHAnsi"/>
        </w:rPr>
        <w:t xml:space="preserve"> okazały się elementy niedostosowane do czytników ekranu – informacje prezentowane tylko w formie obrazków czy schematów bez tekstów alternatywnych są dla nich niewidoczne. W takich przypadkach program odczytu ekranu wypowiada jedynie ogólnikowo „grafika”, uniemożliwiając zrozumienie treści. Podobnie nieopisane przyciski i pola formularzy sprawiają, że użytkownik nie wie, co dany element oznacza lub jaką akcję wykona. Brak klarownej, logicznej struktury strony zmusza osoby niewidome do czasochłonnego przeszukiwania zawartości metodą prób i błędów. Gdy natrafiają na przeszkodę, której nie da się obejść czytnikiem (np. kluczowa informacja zakodowana w obrazie), wiele osób odczuwa bezradność i rezygnuje z dalszych prób. „To nie jest bariera, którą da się pokonać” – przyznano w odniesieniu do sytuacji, gdy technologia asystująca nie jest </w:t>
      </w:r>
      <w:r w:rsidR="000A692A" w:rsidRPr="00BF6615">
        <w:rPr>
          <w:rFonts w:cstheme="minorHAnsi"/>
        </w:rPr>
        <w:t>w</w:t>
      </w:r>
      <w:r w:rsidR="000A692A">
        <w:rPr>
          <w:rFonts w:cstheme="minorHAnsi"/>
        </w:rPr>
        <w:t> </w:t>
      </w:r>
      <w:r w:rsidRPr="00BF6615">
        <w:rPr>
          <w:rFonts w:cstheme="minorHAnsi"/>
        </w:rPr>
        <w:t>stanie „przeczytać” istotnego komunikatu na stronie.</w:t>
      </w:r>
    </w:p>
    <w:p w14:paraId="497596C9" w14:textId="053E653C" w:rsidR="00B13433" w:rsidRPr="00BF6615" w:rsidRDefault="00B13433" w:rsidP="007E26B5">
      <w:pPr>
        <w:rPr>
          <w:rFonts w:cstheme="minorHAnsi"/>
        </w:rPr>
      </w:pPr>
      <w:r w:rsidRPr="00BF6615">
        <w:rPr>
          <w:rFonts w:cstheme="minorHAnsi"/>
          <w:b/>
          <w:bCs/>
        </w:rPr>
        <w:t>Osoby słabowidzące</w:t>
      </w:r>
      <w:r w:rsidRPr="00BF6615">
        <w:rPr>
          <w:rFonts w:cstheme="minorHAnsi"/>
        </w:rPr>
        <w:t xml:space="preserve"> za największe bariery uznają problemy z czytelnością strony i nawigacją. Zbyt mała czcionka, niski kontrast tekstu i tła, a także brak możliwości łatwego powiększenia zawartości sprawiają, że tekst „zlewa się” i jest trudny do odczytania. Jeden z badanych opisał to tak: „Małe czcionki i małe przerwy między linijkami</w:t>
      </w:r>
      <w:r w:rsidR="00D024E8">
        <w:rPr>
          <w:rFonts w:cstheme="minorHAnsi"/>
        </w:rPr>
        <w:t>.</w:t>
      </w:r>
      <w:r w:rsidRPr="00BF6615">
        <w:rPr>
          <w:rFonts w:cstheme="minorHAnsi"/>
        </w:rPr>
        <w:t xml:space="preserve">. słowa się zlewają”. Równie uciążliwy bywa nieczytelny układ elementów – jeżeli strona nie jest przejrzyście zaprojektowana, osoby słabowidzące gubią się i muszą spędzać wiele czasu na odnalezieniu potrzebnej informacji. </w:t>
      </w:r>
    </w:p>
    <w:p w14:paraId="3F26682C" w14:textId="2C767568" w:rsidR="00B13433" w:rsidRPr="00BF6615" w:rsidRDefault="00B13433" w:rsidP="007E26B5">
      <w:pPr>
        <w:rPr>
          <w:rFonts w:cstheme="minorHAnsi"/>
        </w:rPr>
      </w:pPr>
      <w:r w:rsidRPr="00BF6615">
        <w:rPr>
          <w:rFonts w:cstheme="minorHAnsi"/>
          <w:b/>
          <w:bCs/>
        </w:rPr>
        <w:t>Osoby niesłyszące i niedosłyszące</w:t>
      </w:r>
      <w:r w:rsidRPr="00BF6615">
        <w:rPr>
          <w:rFonts w:cstheme="minorHAnsi"/>
        </w:rPr>
        <w:t xml:space="preserve"> przede wszystkim zwracają uwagę na brak komunikacji w języku migowym na stronach. Jak zauważono, „nigdzie nie ma tłumacza PJM”, co oznacza, że materiały wideo nie mają tłumaczeń, a treści pisane są często zbyt trudne. Zbyt skomplikowany język tekstów (urzędowy, specjalistyczny) stanowi istotną przeszkodę – osoby z tej grupy nie zawsze opanowały język polski w piśmie na tyle, by swobodnie rozumieć zawikłane instrukcje. Przykładowo, ktoś wspomniał o problemie </w:t>
      </w:r>
      <w:r w:rsidR="000A692A" w:rsidRPr="00BF6615">
        <w:rPr>
          <w:rFonts w:cstheme="minorHAnsi"/>
        </w:rPr>
        <w:t>z</w:t>
      </w:r>
      <w:r w:rsidR="000A692A">
        <w:rPr>
          <w:rFonts w:cstheme="minorHAnsi"/>
        </w:rPr>
        <w:t> </w:t>
      </w:r>
      <w:r w:rsidRPr="00BF6615">
        <w:rPr>
          <w:rFonts w:cstheme="minorHAnsi"/>
        </w:rPr>
        <w:t xml:space="preserve">odzyskaniem hasła do konta – formularz był niejasny, a brak tłumacza na PJM </w:t>
      </w:r>
      <w:r w:rsidRPr="00BF6615">
        <w:rPr>
          <w:rFonts w:cstheme="minorHAnsi"/>
        </w:rPr>
        <w:lastRenderedPageBreak/>
        <w:t>uniemożliwiał zrozumienie kolejnych kroków. Ponadto brak materiałów wizualnych (ikon, infografik) wspierających tekst powoduje, że strony są dla niesłyszących mało przystępne i „nic nie jest dla nas dostosowane”.</w:t>
      </w:r>
    </w:p>
    <w:p w14:paraId="3F7740F1" w14:textId="62AA8B3F" w:rsidR="00B13433" w:rsidRPr="00BF6615" w:rsidRDefault="00B13433" w:rsidP="007E26B5">
      <w:pPr>
        <w:rPr>
          <w:rFonts w:cstheme="minorHAnsi"/>
          <w:b/>
          <w:bCs/>
        </w:rPr>
      </w:pPr>
      <w:r w:rsidRPr="00BF6615">
        <w:rPr>
          <w:rFonts w:cstheme="minorHAnsi"/>
          <w:b/>
          <w:bCs/>
        </w:rPr>
        <w:t>Osoby z niepełnosprawnością ruchu</w:t>
      </w:r>
      <w:r w:rsidRPr="00BF6615">
        <w:rPr>
          <w:rFonts w:cstheme="minorHAnsi"/>
        </w:rPr>
        <w:t xml:space="preserve"> wymieniały bariery związane z obsługą interfejsu: nieczytelny układ strony, brak dostosowania do powiększenia i obsługi na różnych urządzeniach, wyskakujące okienka (pop-</w:t>
      </w:r>
      <w:proofErr w:type="spellStart"/>
      <w:r w:rsidRPr="00BF6615">
        <w:rPr>
          <w:rFonts w:cstheme="minorHAnsi"/>
        </w:rPr>
        <w:t>upy</w:t>
      </w:r>
      <w:proofErr w:type="spellEnd"/>
      <w:r w:rsidRPr="00BF6615">
        <w:rPr>
          <w:rFonts w:cstheme="minorHAnsi"/>
        </w:rPr>
        <w:t xml:space="preserve">) zasłaniające treść oraz problemy z logowaniem. Często wskazywano, że po powiększeniu strony (co jest konieczne np. przy obsłudze na smartfonie lub dla osób o ograniczonej sprawności rąk) elementy rozjeżdżają się lub stają nieczytelne. Wyskakujące banery dezorientują i utrudniają dotarcie do właściwej treści, zwłaszcza jeśli trudno je zamknąć. Z kolei skomplikowane mechanizmy logowania (wielostopniowe, z </w:t>
      </w:r>
      <w:proofErr w:type="spellStart"/>
      <w:r w:rsidRPr="00BF6615">
        <w:rPr>
          <w:rFonts w:cstheme="minorHAnsi"/>
        </w:rPr>
        <w:t>Captcha</w:t>
      </w:r>
      <w:proofErr w:type="spellEnd"/>
      <w:r w:rsidRPr="00BF6615">
        <w:rPr>
          <w:rFonts w:cstheme="minorHAnsi"/>
        </w:rPr>
        <w:t xml:space="preserve">, wymagające szybkiego wpisywania kodów SMS itp.) są barierą dla osób, które wolniej piszą lub mają problem </w:t>
      </w:r>
      <w:r w:rsidR="000A692A" w:rsidRPr="00BF6615">
        <w:rPr>
          <w:rFonts w:cstheme="minorHAnsi"/>
        </w:rPr>
        <w:t>z</w:t>
      </w:r>
      <w:r w:rsidR="000A692A">
        <w:rPr>
          <w:rFonts w:cstheme="minorHAnsi"/>
        </w:rPr>
        <w:t> </w:t>
      </w:r>
      <w:r w:rsidRPr="00BF6615">
        <w:rPr>
          <w:rFonts w:cstheme="minorHAnsi"/>
        </w:rPr>
        <w:t>wykonywaniem precyzyjnych ruchów.</w:t>
      </w:r>
      <w:r w:rsidRPr="00BF6615">
        <w:rPr>
          <w:rFonts w:cstheme="minorHAnsi"/>
          <w:b/>
          <w:bCs/>
        </w:rPr>
        <w:t xml:space="preserve"> </w:t>
      </w:r>
      <w:r w:rsidRPr="00BF6615">
        <w:rPr>
          <w:rFonts w:cstheme="minorHAnsi"/>
          <w:b/>
          <w:bCs/>
        </w:rPr>
        <w:br/>
        <w:t>Osoby z niepełnosprawnością intelektualną</w:t>
      </w:r>
      <w:r w:rsidRPr="00BF6615">
        <w:rPr>
          <w:rFonts w:cstheme="minorHAnsi"/>
        </w:rPr>
        <w:t xml:space="preserve"> mają największe trudności z nieczytelną strukturą stron i zawiłą nawigacją. Użytkownicy i użytkowniczki ci szybko czują się zagubieni na stronie pełnej zakładek, sekcji i linków – nie wiedzą, gdzie kliknąć, by znaleźć to, czego szukają. Efektem jest często rezygnacja z dalszych prób. „Jak coś zrobię źle, to się od razu denerwuję, więc wolę nie wchodzić” – przyznała jedna z badanych, tłumacząc, że obawa przed popełnieniem błędu i frustracja z niepowodzeń sprawiają, </w:t>
      </w:r>
      <w:r w:rsidR="000A692A" w:rsidRPr="00BF6615">
        <w:rPr>
          <w:rFonts w:cstheme="minorHAnsi"/>
        </w:rPr>
        <w:t>iż</w:t>
      </w:r>
      <w:r w:rsidR="000A692A">
        <w:rPr>
          <w:rFonts w:cstheme="minorHAnsi"/>
        </w:rPr>
        <w:t> </w:t>
      </w:r>
      <w:r w:rsidRPr="00BF6615">
        <w:rPr>
          <w:rFonts w:cstheme="minorHAnsi"/>
        </w:rPr>
        <w:t xml:space="preserve">unika wchodzenia na strony urzędowe. Dla tej grupy również niewystarczająca czytelność wizualna bywa przeszkodą – badani zwracali uwagę na zbyt mały kontrast i za drobną czcionkę, podobnie jak grupa słabowidzących. Zbyt szczegółowe, przeładowane informacjami treści powodują, że osoby mniej pewne technologii czują się przytłoczone </w:t>
      </w:r>
      <w:r w:rsidR="000A692A" w:rsidRPr="00BF6615">
        <w:rPr>
          <w:rFonts w:cstheme="minorHAnsi"/>
        </w:rPr>
        <w:t>i</w:t>
      </w:r>
      <w:r w:rsidR="000A692A">
        <w:rPr>
          <w:rFonts w:cstheme="minorHAnsi"/>
        </w:rPr>
        <w:t> </w:t>
      </w:r>
      <w:r w:rsidRPr="00BF6615">
        <w:rPr>
          <w:rFonts w:cstheme="minorHAnsi"/>
        </w:rPr>
        <w:t>boją się pomyłek. W razie problemów często muszą prosić o pomoc kogoś bliskiego albo całkowicie rezygnują z danej usługi.</w:t>
      </w:r>
    </w:p>
    <w:p w14:paraId="5D033909" w14:textId="77777777" w:rsidR="00B13433" w:rsidRPr="00BF6615" w:rsidRDefault="00B13433" w:rsidP="007E26B5">
      <w:pPr>
        <w:rPr>
          <w:rFonts w:cstheme="minorHAnsi"/>
        </w:rPr>
      </w:pPr>
      <w:r w:rsidRPr="00BF6615">
        <w:rPr>
          <w:rFonts w:cstheme="minorHAnsi"/>
          <w:b/>
          <w:bCs/>
        </w:rPr>
        <w:t>Osoby 60+</w:t>
      </w:r>
      <w:r w:rsidRPr="00BF6615">
        <w:rPr>
          <w:rFonts w:cstheme="minorHAnsi"/>
        </w:rPr>
        <w:t xml:space="preserve"> najczęściej napotykają trudności wynikające z przeładowania treści i nieintuicyjnej nawigacji. Strony urzędowe bywają dla nich zbyt informacyjnie zagęszczone – seniorzy nie wiedzą, na co patrzeć, gdy ekran jest pełen tekstu i linków. Brakuje im prostych instrukcji w języku potocznym; wiele komunikatów jest napisanych urzędowo, co bywa niezrozumiałe. Często problemem jest też procedura logowania – generowanie haseł, profile zaufane, potwierdzanie SMS -ów – to wszystko bywa dla części osób starszych zbyt skomplikowane technicznie. W takich sytuacjach seniorzy często zwracają się o pomoc do młodszych osób z rodziny. „Jak potrzebuję czegoś bardziej zaawansowanego, to proszę młodszych” – przyznał jeden z rozmówców, ilustrując w ten sposób uzależnienie wielu badanych w tej grupie od wsparcia technicznego ze strony dzieci czy wnuków. Gdy brakuje jasnych instrukcji lub </w:t>
      </w:r>
      <w:r w:rsidRPr="00BF6615">
        <w:rPr>
          <w:rFonts w:cstheme="minorHAnsi"/>
        </w:rPr>
        <w:lastRenderedPageBreak/>
        <w:t>przewodników, seniorzy po prostu rezygnują z niektórych e-usług – uznając, że łatwiej daną sprawę załatwić tradycyjnie niż walczyć z niejasną stroną.</w:t>
      </w:r>
    </w:p>
    <w:p w14:paraId="5FB00627" w14:textId="504A9C46" w:rsidR="00B13433" w:rsidRPr="00BF6615" w:rsidRDefault="00B13433" w:rsidP="007E26B5">
      <w:pPr>
        <w:rPr>
          <w:rFonts w:cstheme="minorHAnsi"/>
        </w:rPr>
      </w:pPr>
      <w:r w:rsidRPr="00BF6615">
        <w:rPr>
          <w:rFonts w:cstheme="minorHAnsi"/>
          <w:b/>
          <w:bCs/>
        </w:rPr>
        <w:t xml:space="preserve">Pomimo różnic, pewne trudności są wspólne dla wszystkich grup. Należą do nich przede wszystkim: zbyt duża złożoność i </w:t>
      </w:r>
      <w:proofErr w:type="spellStart"/>
      <w:r w:rsidRPr="00BF6615">
        <w:rPr>
          <w:rFonts w:cstheme="minorHAnsi"/>
          <w:b/>
          <w:bCs/>
        </w:rPr>
        <w:t>nieintuicyjność</w:t>
      </w:r>
      <w:proofErr w:type="spellEnd"/>
      <w:r w:rsidRPr="00BF6615">
        <w:rPr>
          <w:rFonts w:cstheme="minorHAnsi"/>
          <w:b/>
          <w:bCs/>
        </w:rPr>
        <w:t xml:space="preserve"> stron/aplikacji, nadmiar trudno sformatowanych treści oraz brak dostosowania do potrzeb różnych niepełnosprawności</w:t>
      </w:r>
      <w:r w:rsidRPr="00BF6615">
        <w:rPr>
          <w:rFonts w:cstheme="minorHAnsi"/>
        </w:rPr>
        <w:t xml:space="preserve"> (brak napisów, tłumaczeń migowych, opisów do grafik, opcji powiększania itp.). Te uniwersalne bariery sprawiają, że użytkownicy i użytkowniczki często czują frustrację i bezradność, a deklarowana </w:t>
      </w:r>
      <w:r w:rsidR="00AA7746" w:rsidRPr="00BF6615">
        <w:rPr>
          <w:rFonts w:cstheme="minorHAnsi"/>
        </w:rPr>
        <w:t xml:space="preserve">dostępność </w:t>
      </w:r>
      <w:r w:rsidRPr="00BF6615">
        <w:rPr>
          <w:rFonts w:cstheme="minorHAnsi"/>
        </w:rPr>
        <w:t xml:space="preserve">cyfrowa stron publicznych nie przekłada się na ich realne doświadczenia. </w:t>
      </w:r>
      <w:r w:rsidRPr="00BF6615">
        <w:rPr>
          <w:rFonts w:cstheme="minorHAnsi"/>
          <w:b/>
          <w:bCs/>
        </w:rPr>
        <w:t>Co więcej, wszystkie grupy wskazały, że w obliczu napotkanych przeszkód często muszą polegać na wsparciu osób trzecich lub porzucają próbę załatwienia sprawy online</w:t>
      </w:r>
      <w:r w:rsidRPr="00BF6615">
        <w:rPr>
          <w:rFonts w:cstheme="minorHAnsi"/>
        </w:rPr>
        <w:t>. Taka sytuacja jest zaprzeczeniem idei dostępności – zamiast wyrównywać szanse, niedostosowane strony pogłębiają wykluczenie cyfrowe tych osób.</w:t>
      </w:r>
    </w:p>
    <w:p w14:paraId="7EE8F7FB" w14:textId="77777777" w:rsidR="00B13433" w:rsidRPr="00BF6615" w:rsidRDefault="00B13433" w:rsidP="00B271C3">
      <w:pPr>
        <w:pStyle w:val="Nagwek4"/>
      </w:pPr>
      <w:bookmarkStart w:id="179" w:name="_Toc196827548"/>
      <w:bookmarkStart w:id="180" w:name="_Toc196827622"/>
      <w:bookmarkStart w:id="181" w:name="_Toc196827623"/>
      <w:bookmarkEnd w:id="179"/>
      <w:bookmarkEnd w:id="180"/>
      <w:r w:rsidRPr="338987BF">
        <w:t>Największe problemy i potrzeby</w:t>
      </w:r>
      <w:bookmarkEnd w:id="181"/>
    </w:p>
    <w:p w14:paraId="4A7E5504" w14:textId="77777777" w:rsidR="00B13433" w:rsidRPr="00BF6615" w:rsidRDefault="00B13433" w:rsidP="007E26B5">
      <w:pPr>
        <w:rPr>
          <w:rFonts w:cstheme="minorHAnsi"/>
        </w:rPr>
      </w:pPr>
      <w:r w:rsidRPr="00BF6615">
        <w:rPr>
          <w:rFonts w:cstheme="minorHAnsi"/>
        </w:rPr>
        <w:t xml:space="preserve">Podsumowując zidentyfikowane bariery, uczestnicy badania wskazali również najpoważniejsze problemy, które wymagają rozwiązania, oraz swoje najważniejsze potrzeby odnośnie stron/aplikacji publicznych. </w:t>
      </w:r>
    </w:p>
    <w:p w14:paraId="6B90459B" w14:textId="77777777" w:rsidR="00B13433" w:rsidRPr="00BF6615" w:rsidRDefault="00B13433" w:rsidP="007E26B5">
      <w:pPr>
        <w:rPr>
          <w:rFonts w:cstheme="minorHAnsi"/>
        </w:rPr>
      </w:pPr>
      <w:r w:rsidRPr="00BF6615">
        <w:rPr>
          <w:rFonts w:cstheme="minorHAnsi"/>
          <w:b/>
          <w:bCs/>
        </w:rPr>
        <w:t>Osoby niewidome</w:t>
      </w:r>
      <w:r w:rsidRPr="00BF6615">
        <w:rPr>
          <w:rFonts w:cstheme="minorHAnsi"/>
        </w:rPr>
        <w:t xml:space="preserve"> za najpoważniejsze problemy uznały brak dostępności elementów wizualnych (grafik, ikon) oraz nieprzyjazną nawigację. Strony przeładowane obrazkami czy ikonami bez opisów powodują, że użytkownicy i użytkowniczki ci czują się zagubieni, nie mogąc znaleźć potrzebnych informacji. Zwracano uwagę na niewystarczające dostosowanie formularzy i procedur – brak opisów pól, brak komunikatów o błędach – co uniemożliwia samodzielne załatwienie sprawy od początku do końca. Kluczową potrzebą osób niewidomych jest poprawa opisu i struktury stron/aplikacji. Priorytetem jest zapewnienie tekstowych odpowiedników dla wszystkich elementów graficznych oraz uporządkowanie treści w logiczny, hierarchiczny sposób. „Najważniejsze jest to, żeby grafiki były opisane, czego dotyczą” – podkreślano w rozmowach, wskazując na fundamentalną rolę opisów alternatywnych. Uczestnicy z tej grupy zaznaczyli też potrzebę umożliwienia powiększania czcionki i poprawy kontrastu dla osób słabowidzących, pokazując solidarność z innymi niepełnosprawnościami wzroku. Ogólnie najistotniejsza dla niewidomych jest niezależność – strona/aplikacja powinna pozwolić im załatwić całą sprawę od początku do końca bez udziału osoby trzeciej.</w:t>
      </w:r>
    </w:p>
    <w:p w14:paraId="18CB2C45" w14:textId="43ACD0D8" w:rsidR="00B13433" w:rsidRPr="00BF6615" w:rsidRDefault="00B13433" w:rsidP="007E26B5">
      <w:pPr>
        <w:rPr>
          <w:rFonts w:cstheme="minorHAnsi"/>
        </w:rPr>
      </w:pPr>
      <w:r w:rsidRPr="00BF6615">
        <w:rPr>
          <w:rFonts w:cstheme="minorHAnsi"/>
        </w:rPr>
        <w:t xml:space="preserve">Zdaniem </w:t>
      </w:r>
      <w:r w:rsidRPr="00BF6615">
        <w:rPr>
          <w:rFonts w:cstheme="minorHAnsi"/>
          <w:b/>
          <w:bCs/>
        </w:rPr>
        <w:t>osób słabowidzących</w:t>
      </w:r>
      <w:r w:rsidRPr="00BF6615">
        <w:rPr>
          <w:rFonts w:cstheme="minorHAnsi"/>
        </w:rPr>
        <w:t xml:space="preserve"> najpoważniejsze problemy wymagające uwagi to kwestie </w:t>
      </w:r>
      <w:proofErr w:type="spellStart"/>
      <w:r w:rsidRPr="00BF6615">
        <w:rPr>
          <w:rFonts w:cstheme="minorHAnsi"/>
        </w:rPr>
        <w:t>techniczno</w:t>
      </w:r>
      <w:proofErr w:type="spellEnd"/>
      <w:r w:rsidRPr="00BF6615">
        <w:rPr>
          <w:rFonts w:cstheme="minorHAnsi"/>
        </w:rPr>
        <w:t xml:space="preserve"> -wizualne oraz przejrzystość informacji. Wymieniano przede wszystkim brak dostosowania interfejsu do ich potrzeb – mała czcionka i słaby kontrast są tutaj sztandarowymi przykładami. Drugi kluczowy problem to ogólny brak intuicyjności wielu </w:t>
      </w:r>
      <w:r w:rsidRPr="00BF6615">
        <w:rPr>
          <w:rFonts w:cstheme="minorHAnsi"/>
        </w:rPr>
        <w:lastRenderedPageBreak/>
        <w:t xml:space="preserve">stron/aplikacji. Użytkownicy i użytkowniczki podkreślali, że strony nie są projektowane z myślą o nich – często nie prowadzą użytkownika za rękę, a zawarte na nich treści nie są przedstawione w prosty, zrozumiały sposób. „Dobrze dobrana czcionka i zrozumiałe od razu na pierwszy rzut oka informacje” – tego, zdaniem jednego z badanych słabowidzących, najbardziej brakuje obecnie na stronach publicznych. Osoby </w:t>
      </w:r>
      <w:r w:rsidR="000A692A" w:rsidRPr="00BF6615">
        <w:rPr>
          <w:rFonts w:cstheme="minorHAnsi"/>
        </w:rPr>
        <w:t>z</w:t>
      </w:r>
      <w:r w:rsidR="000A692A">
        <w:rPr>
          <w:rFonts w:cstheme="minorHAnsi"/>
        </w:rPr>
        <w:t> </w:t>
      </w:r>
      <w:r w:rsidRPr="00BF6615">
        <w:rPr>
          <w:rFonts w:cstheme="minorHAnsi"/>
        </w:rPr>
        <w:t>ograniczonym wzrokiem wskazywały czytelność jako palącą potrzebę – chciałyby móc od razu odczytać komunikaty bez konieczności powiększania każdej strony. Dla innych priorytetem jest logiczna struktura i jasny język informacji. Wszyscy zgodnie podkreślali potrzebę większej dostępności – tak, aby mogli samodzielnie i bez przeszkód załatwić online sprawy, które obecnie często wymagają wsparcia lub wizyty osobistej.</w:t>
      </w:r>
    </w:p>
    <w:p w14:paraId="456E0857" w14:textId="57D4C9F4" w:rsidR="00B13433" w:rsidRPr="00BF6615" w:rsidRDefault="00B13433" w:rsidP="007E26B5">
      <w:pPr>
        <w:rPr>
          <w:rFonts w:cstheme="minorHAnsi"/>
        </w:rPr>
      </w:pPr>
      <w:r w:rsidRPr="00BF6615">
        <w:rPr>
          <w:rFonts w:cstheme="minorHAnsi"/>
        </w:rPr>
        <w:t xml:space="preserve">W przypadku </w:t>
      </w:r>
      <w:r w:rsidRPr="00BF6615">
        <w:rPr>
          <w:rFonts w:cstheme="minorHAnsi"/>
          <w:b/>
          <w:bCs/>
        </w:rPr>
        <w:t>osób niesłyszących i słabosłyszących</w:t>
      </w:r>
      <w:r w:rsidRPr="00BF6615">
        <w:rPr>
          <w:rFonts w:cstheme="minorHAnsi"/>
        </w:rPr>
        <w:t xml:space="preserve"> główne problemy to brak tłumaczenia treści na język migowy, zbyt trudny (pisany) język komunikatów oraz nieintuicyjna nawigacja stron/aplikacji. Strony urzędowe nie prowadzą użytkownika krok po kroku i nie oferują żadnego wsparcia w sytuacjach trudnych. Osoby słabosłyszące </w:t>
      </w:r>
      <w:r w:rsidR="000A692A" w:rsidRPr="00BF6615">
        <w:rPr>
          <w:rFonts w:cstheme="minorHAnsi"/>
        </w:rPr>
        <w:t>i</w:t>
      </w:r>
      <w:r w:rsidR="000A692A">
        <w:rPr>
          <w:rFonts w:cstheme="minorHAnsi"/>
        </w:rPr>
        <w:t> </w:t>
      </w:r>
      <w:r w:rsidRPr="00BF6615">
        <w:rPr>
          <w:rFonts w:cstheme="minorHAnsi"/>
        </w:rPr>
        <w:t>niesłyszące czują się zagubione, gdy nie mogą znaleźć informacji w dostępnej dla siebie formie (tj. w PJM lub prostym wizualnym komunikacie). Najważniejszą potrzebą tej grupy jest uproszczenie stron/aplikacji pod względem języka i formy oraz zapewnienie obecności języka migowego. Badani chcieliby, by treści były przekazywane w przejrzysty i czytelny sposób, najlepiej z towarzyszeniem filmów w PJM, co ułatwi im zrozumienie. Formularze i komunikaty powinny być dostosowane do osób mających trudności ze zrozumieniem tekstu pisanego. Użytkownicy i użytkowniczki niesłyszący oczekują również, by strony działały podobnie i przewidywalnie – czyli domagają się spójności między stronami, by nie musieć za każdym razem uczyć się interfejsu od nowa. Podkreślają także brak możliwości bezpośredniego kontaktu wizualnego z urzędem – np. poprzez czat z tłumaczem PJM – co również jest ich potrzebą.</w:t>
      </w:r>
    </w:p>
    <w:p w14:paraId="2942D111" w14:textId="77777777" w:rsidR="00B13433" w:rsidRPr="00BF6615" w:rsidRDefault="00B13433" w:rsidP="007E26B5">
      <w:pPr>
        <w:rPr>
          <w:rFonts w:cstheme="minorHAnsi"/>
        </w:rPr>
      </w:pPr>
      <w:r w:rsidRPr="00BF6615">
        <w:rPr>
          <w:rFonts w:cstheme="minorHAnsi"/>
        </w:rPr>
        <w:t xml:space="preserve">Dla </w:t>
      </w:r>
      <w:r w:rsidRPr="00BF6615">
        <w:rPr>
          <w:rFonts w:cstheme="minorHAnsi"/>
          <w:b/>
          <w:bCs/>
        </w:rPr>
        <w:t>osób z dysfunkcją ruchu</w:t>
      </w:r>
      <w:r w:rsidRPr="00BF6615">
        <w:rPr>
          <w:rFonts w:cstheme="minorHAnsi"/>
        </w:rPr>
        <w:t xml:space="preserve"> najistotniejsze problemy to: brak intuicyjnej nawigacji, niedostosowanie stron/aplikacji do różnych urządzeń (np. słaba </w:t>
      </w:r>
      <w:proofErr w:type="spellStart"/>
      <w:r w:rsidRPr="00BF6615">
        <w:rPr>
          <w:rFonts w:cstheme="minorHAnsi"/>
        </w:rPr>
        <w:t>responsywność</w:t>
      </w:r>
      <w:proofErr w:type="spellEnd"/>
      <w:r w:rsidRPr="00BF6615">
        <w:rPr>
          <w:rFonts w:cstheme="minorHAnsi"/>
        </w:rPr>
        <w:t xml:space="preserve"> na smartfonach), zbyt zawiły język oraz brak logiki w rozmieszczeniu treści. Mówiąc inaczej, strony są często projektowane bez myśli o użytkownikach o ograniczonej sprawności – zakładają np. używanie myszki do najechania na rozwijane menu (co dla niektórych jest trudne) albo szybko znikające elementy, których nie zdążą kliknąć. Ponadto osoby te wskazują, że brak spójności między różnymi stronami utrudnia im korzystanie – za każdym razem muszą się uczyć nowego systemu. Kluczową potrzebą tej grupy jest uproszczenie interfejsów i zapewnienie ich poprawnego działania na różnych urządzeniach i przy różnych metodach obsługi (klawiatura, urządzenia zastępujące mysz itp.). Oczekują również prostszego języka – komunikaty powinny być zwięzłe i jasne, bez urzędowego żargonu.</w:t>
      </w:r>
    </w:p>
    <w:p w14:paraId="035B3C64" w14:textId="5BC63F7F" w:rsidR="00B13433" w:rsidRPr="00BF6615" w:rsidRDefault="00B13433" w:rsidP="007E26B5">
      <w:pPr>
        <w:rPr>
          <w:rFonts w:cstheme="minorHAnsi"/>
        </w:rPr>
      </w:pPr>
      <w:r w:rsidRPr="00BF6615">
        <w:rPr>
          <w:rFonts w:cstheme="minorHAnsi"/>
          <w:b/>
          <w:bCs/>
        </w:rPr>
        <w:lastRenderedPageBreak/>
        <w:t>Osoby z niepełnosprawnością intelektualną</w:t>
      </w:r>
      <w:r w:rsidRPr="00BF6615">
        <w:rPr>
          <w:rFonts w:cstheme="minorHAnsi"/>
        </w:rPr>
        <w:t xml:space="preserve"> jako główne problemy wskazują złożoność stron/aplikacji, swoje własne niskie kompetencje cyfrowe oraz bariery wizualne (czyli nieczytelny wygląd). Strony są dla nich zbyt skomplikowane i nie prowadzą użytkownika krok po kroku, co wywołuje dezorientację. Osoby te obawiają się popełnienia błędów </w:t>
      </w:r>
      <w:r w:rsidR="000A692A" w:rsidRPr="00BF6615">
        <w:rPr>
          <w:rFonts w:cstheme="minorHAnsi"/>
        </w:rPr>
        <w:t>i</w:t>
      </w:r>
      <w:r w:rsidR="000A692A">
        <w:rPr>
          <w:rFonts w:cstheme="minorHAnsi"/>
        </w:rPr>
        <w:t> </w:t>
      </w:r>
      <w:r w:rsidRPr="00BF6615">
        <w:rPr>
          <w:rFonts w:cstheme="minorHAnsi"/>
        </w:rPr>
        <w:t xml:space="preserve">czują się przytłoczone nadmiarem opcji. Stąd kluczowa potrzeba to uproszczenie układu stron i procesów na nich – marzą o stronach/aplikacjach, które dosłownie prowadzą „za rękę” i nie pozwalają się zgubić. Wskazywano też na potrzebę edukacji </w:t>
      </w:r>
      <w:r w:rsidR="000A692A" w:rsidRPr="00BF6615">
        <w:rPr>
          <w:rFonts w:cstheme="minorHAnsi"/>
        </w:rPr>
        <w:t>i</w:t>
      </w:r>
      <w:r w:rsidR="000A692A">
        <w:rPr>
          <w:rFonts w:cstheme="minorHAnsi"/>
        </w:rPr>
        <w:t> </w:t>
      </w:r>
      <w:r w:rsidRPr="00BF6615">
        <w:rPr>
          <w:rFonts w:cstheme="minorHAnsi"/>
        </w:rPr>
        <w:t xml:space="preserve">wsparcia dla mniej zaawansowanych cyfrowo – czyli np. proste poradniki, programy szkoleń, które pomogłyby im nabrać pewności siebie. W warstwie interfejsu osoby te oczekują poprawy kontrastu, większych czcionek oraz spokojniejszego wyglądu stron (mniej migających czy rozpraszających elementów). Wszystko to miałoby docelowo zwiększyć ich niezależność – by mogli sami korzystać z e-usług bez stresu. </w:t>
      </w:r>
    </w:p>
    <w:p w14:paraId="5E28792E" w14:textId="77777777" w:rsidR="00B13433" w:rsidRPr="00BF6615" w:rsidRDefault="00B13433" w:rsidP="007E26B5">
      <w:pPr>
        <w:rPr>
          <w:rFonts w:cstheme="minorHAnsi"/>
        </w:rPr>
      </w:pPr>
      <w:r w:rsidRPr="00BF6615">
        <w:rPr>
          <w:rFonts w:cstheme="minorHAnsi"/>
          <w:b/>
          <w:bCs/>
        </w:rPr>
        <w:t>Osoby 60+</w:t>
      </w:r>
      <w:r w:rsidRPr="00BF6615">
        <w:rPr>
          <w:rFonts w:cstheme="minorHAnsi"/>
        </w:rPr>
        <w:t xml:space="preserve"> za największą barierę uznały złożoność stron/aplikacji i ich niską intuicyjność. Część badanych wskazuje także na ograniczone zaufanie do rozwiązań cyfrowych – wolą kontakt osobisty, są przyzwyczajeni do papieru, co sprawia, że nowoczesne e-usługi budzą w nich rezerwę. „Jak emeryt ma do wyboru komputer czy gazetę, to weźmie gazetę” – zauważył jeden z respondentów, obrazowo wskazując, że dla wielu osób starszych tradycyjne źródła informacji są wciąż bardziej przyjazne. Seniorzy potrzebują uproszczenia procedur i logicznego układu stron, aby móc z nich korzystać. Ich potrzeby pokrywają się więc z potrzebami innych grup: prostota, przejrzystość, możliwość dopytania kogoś w razie wątpliwości.</w:t>
      </w:r>
    </w:p>
    <w:p w14:paraId="51BDC409" w14:textId="77777777" w:rsidR="00B13433" w:rsidRPr="00BF6615" w:rsidRDefault="00B13433" w:rsidP="007E26B5">
      <w:pPr>
        <w:rPr>
          <w:rFonts w:cstheme="minorHAnsi"/>
        </w:rPr>
      </w:pPr>
      <w:r w:rsidRPr="00BF6615">
        <w:rPr>
          <w:rFonts w:cstheme="minorHAnsi"/>
          <w:b/>
          <w:bCs/>
        </w:rPr>
        <w:t>Patrząc przekrojowo, wszyscy użytkownicy i użytkowniczki oczekują stron/aplikacji prostszych, bardziej przejrzystych i dostosowanych do ich ograniczeń.</w:t>
      </w:r>
      <w:r w:rsidRPr="00BF6615">
        <w:rPr>
          <w:rFonts w:cstheme="minorHAnsi"/>
        </w:rPr>
        <w:t xml:space="preserve"> Brak dostępności cyfrowej oznacza dla nich realne bariery w dostępie do usług publicznych, a zarazem naruszenie zasady równego traktowania. Nic dziwnego więc, że domagają się oni zmian, które pozwolą im korzystać z Internetu na równi z innymi obywatelami.</w:t>
      </w:r>
    </w:p>
    <w:p w14:paraId="78165D71" w14:textId="77777777" w:rsidR="00B13433" w:rsidRPr="00BF6615" w:rsidRDefault="00B13433" w:rsidP="00B271C3">
      <w:pPr>
        <w:pStyle w:val="Nagwek4"/>
      </w:pPr>
      <w:bookmarkStart w:id="182" w:name="_Toc196827624"/>
      <w:r w:rsidRPr="338987BF">
        <w:t>Proponowane rozwiązania</w:t>
      </w:r>
      <w:bookmarkEnd w:id="182"/>
    </w:p>
    <w:p w14:paraId="0D0B9F88" w14:textId="77777777" w:rsidR="00B13433" w:rsidRPr="00BF6615" w:rsidRDefault="00B13433" w:rsidP="007E26B5">
      <w:pPr>
        <w:rPr>
          <w:rFonts w:cstheme="minorHAnsi"/>
        </w:rPr>
      </w:pPr>
      <w:r w:rsidRPr="00BF6615">
        <w:rPr>
          <w:rFonts w:cstheme="minorHAnsi"/>
        </w:rPr>
        <w:t xml:space="preserve">Zapytani o to, jakie zmiany poprawiłyby dostępność stron/aplikacji publicznych, respondenci przedstawili wiele zbieżnych pomysłów. Większość propozycji dotyczy usprawnień technicznych i projektowych w interfejsach stron oraz dodatkowego wsparcia dla użytkowników. </w:t>
      </w:r>
    </w:p>
    <w:p w14:paraId="11F3D20A" w14:textId="5F7EC19A" w:rsidR="00B13433" w:rsidRPr="00BF6615" w:rsidRDefault="00B13433" w:rsidP="007E26B5">
      <w:pPr>
        <w:rPr>
          <w:rFonts w:cstheme="minorHAnsi"/>
        </w:rPr>
      </w:pPr>
      <w:r w:rsidRPr="00BF6615">
        <w:rPr>
          <w:rFonts w:cstheme="minorHAnsi"/>
          <w:b/>
          <w:bCs/>
        </w:rPr>
        <w:t>Osoby niewidome</w:t>
      </w:r>
      <w:r w:rsidRPr="00BF6615">
        <w:rPr>
          <w:rFonts w:cstheme="minorHAnsi"/>
        </w:rPr>
        <w:t xml:space="preserve"> kładły nacisk na poprawę dostępności interfejsu poprzez dodanie opisów alternatywnych do wszystkich obrazów, ikon i innych elementów graficznych na stronie. Sugerowano, by strony publiczne były wolne od zbędnych ozdobników – „strona publiczna powinna być bez zbędnych obrazków i animacji” – tak aby treść istotna dla użytkownika była łatwo dostępna. Ważnym rozwiązaniem miałaby być również </w:t>
      </w:r>
      <w:r w:rsidRPr="00BF6615">
        <w:rPr>
          <w:rFonts w:cstheme="minorHAnsi"/>
        </w:rPr>
        <w:lastRenderedPageBreak/>
        <w:t xml:space="preserve">ulepszona nawigacja: wprowadzenie przejrzystego podziału strony na sekcje, odpowiednich nagłówków i menu, co umożliwi szybkie odnalezienie potrzebnych informacji (np. poprzez listę sekcji czy nagłówków, z której może skorzystać czytnik ekranu). Kilkoro badanych postulowało dodanie brakujących funkcjonalności </w:t>
      </w:r>
      <w:r w:rsidR="000A692A" w:rsidRPr="00BF6615">
        <w:rPr>
          <w:rFonts w:cstheme="minorHAnsi"/>
        </w:rPr>
        <w:t>w</w:t>
      </w:r>
      <w:r w:rsidR="000A692A">
        <w:rPr>
          <w:rFonts w:cstheme="minorHAnsi"/>
        </w:rPr>
        <w:t> </w:t>
      </w:r>
      <w:r w:rsidRPr="00BF6615">
        <w:rPr>
          <w:rFonts w:cstheme="minorHAnsi"/>
        </w:rPr>
        <w:t xml:space="preserve">istniejących e-usługach. Jako przykład podano aplikację </w:t>
      </w:r>
      <w:proofErr w:type="spellStart"/>
      <w:r w:rsidRPr="00BF6615">
        <w:rPr>
          <w:rFonts w:cstheme="minorHAnsi"/>
        </w:rPr>
        <w:t>mObywatel</w:t>
      </w:r>
      <w:proofErr w:type="spellEnd"/>
      <w:r w:rsidRPr="00BF6615">
        <w:rPr>
          <w:rFonts w:cstheme="minorHAnsi"/>
        </w:rPr>
        <w:t xml:space="preserve"> – zdaniem respondentów powinna ona uwzględniać także potrzeby osób z niepełnosprawnościami (np. możliwość dodania legitymacji osoby niepełnosprawnej), co zachęciłoby niewidomych do korzystania z niej na równi z innymi obywatelami.</w:t>
      </w:r>
    </w:p>
    <w:p w14:paraId="51CD94DC" w14:textId="77777777" w:rsidR="00B13433" w:rsidRPr="00BF6615" w:rsidRDefault="00B13433" w:rsidP="007E26B5">
      <w:pPr>
        <w:rPr>
          <w:rFonts w:cstheme="minorHAnsi"/>
        </w:rPr>
      </w:pPr>
      <w:r w:rsidRPr="00BF6615">
        <w:rPr>
          <w:rFonts w:cstheme="minorHAnsi"/>
          <w:b/>
          <w:bCs/>
        </w:rPr>
        <w:t>Osoby słabowidzące</w:t>
      </w:r>
      <w:r w:rsidRPr="00BF6615">
        <w:rPr>
          <w:rFonts w:cstheme="minorHAnsi"/>
        </w:rPr>
        <w:t xml:space="preserve"> proponowały przede wszystkim usprawnienia poprawiające warstwę wizualną i nawigacyjną stron/aplikacji. Zgodnie wskazywano na konieczność wprowadzenia opcji ułatwiających czytanie i poruszanie się po stronach – czyli możliwości łatwej zmiany wielkości tekstu, regulacji kontrastu, a także zapewnienia prostego układu nawigacyjnego. „Czcionka i kolory przede wszystkim… druga sprawa to formularze, to też trzeba poprawić” – wyliczał jeden z uczestników słabowidzących, podkreślając potrzebę większej czytelności i uproszczenia formularzy online. Rekomendowano dodanie funkcji powiększania tekstu i zmiany kontrastu na stronach, tak aby każdy mógł dostosować wygląd do swoich potrzeb. Pomocne byłyby także usprawnienia w nawigacji: wyszukiwarki i wyraźne ikony, pozwalające szybciej odnaleźć konkretne informacje. Kolejnym postulatem jest uproszczenie treści i procedur – więcej prostego języka, krótsze komunikaty, mniej urzędowego żargonu i zbędnych powtórzeń. Niektórzy sugerowali również wprowadzenie łatwiejszych płatności online we wszystkich usługach (tak, by nie okazywało się, że pewnych opłat nie da się uregulować przez Internet) oraz zapewnienie szybkiego kontaktu z obsługą klienta w razie problemów.</w:t>
      </w:r>
    </w:p>
    <w:p w14:paraId="56D4A3D9" w14:textId="5DEF2A15" w:rsidR="00B13433" w:rsidRPr="00BF6615" w:rsidRDefault="00B13433" w:rsidP="007E26B5">
      <w:pPr>
        <w:rPr>
          <w:rFonts w:cstheme="minorHAnsi"/>
        </w:rPr>
      </w:pPr>
      <w:r w:rsidRPr="00BF6615">
        <w:rPr>
          <w:rFonts w:cstheme="minorHAnsi"/>
          <w:b/>
          <w:bCs/>
        </w:rPr>
        <w:t>Osoby słabosłyszące i niesłyszące</w:t>
      </w:r>
      <w:r w:rsidRPr="00BF6615">
        <w:rPr>
          <w:rFonts w:cstheme="minorHAnsi"/>
        </w:rPr>
        <w:t xml:space="preserve"> podkreślały, że strony publiczne powinny zawierać tłumaczenia na język migowy oraz proste instrukcje wideo. Potrzebna jest logiczna, intuicyjna nawigacja i ograniczenie ilości tekstu na stronach, bo tekst stanowi dla wielu barierę. „Najbardziej potrzebne to, żeby wszystko można było intuicyjnie i szybko znaleźć” – podsumowała jedna z badanych osób, domagając się uproszczenia nawigacji. Wskazywano też potrzebę większej spójności między stronami – aby użytkownik nie musiał uczyć się obsługi każdej strony od nowa, tylko żeby podstawowe zasady działania były podobne. Ważne jest wprowadzenie wizualnych podpowiedzi, większych czcionek </w:t>
      </w:r>
      <w:r w:rsidR="000A692A" w:rsidRPr="00BF6615">
        <w:rPr>
          <w:rFonts w:cstheme="minorHAnsi"/>
        </w:rPr>
        <w:t>i</w:t>
      </w:r>
      <w:r w:rsidR="000A692A">
        <w:rPr>
          <w:rFonts w:cstheme="minorHAnsi"/>
        </w:rPr>
        <w:t> </w:t>
      </w:r>
      <w:r w:rsidRPr="00BF6615">
        <w:rPr>
          <w:rFonts w:cstheme="minorHAnsi"/>
        </w:rPr>
        <w:t xml:space="preserve">opcji dostosowania kontrastu (co przysłuży się także słabowidzącym). Respondenci z tej grupy zasugerowali ponadto wprowadzenie możliwości bezpośredniego kontaktu </w:t>
      </w:r>
      <w:r w:rsidR="000A692A" w:rsidRPr="00BF6615">
        <w:rPr>
          <w:rFonts w:cstheme="minorHAnsi"/>
        </w:rPr>
        <w:t>z</w:t>
      </w:r>
      <w:r w:rsidR="000A692A">
        <w:rPr>
          <w:rFonts w:cstheme="minorHAnsi"/>
        </w:rPr>
        <w:t> </w:t>
      </w:r>
      <w:r w:rsidRPr="00BF6615">
        <w:rPr>
          <w:rFonts w:cstheme="minorHAnsi"/>
        </w:rPr>
        <w:t>instytucją w formie innej niż głosowa – np. poprzez czat z tłumaczem PJM. Niektórzy wspomnieli również o potrzebie organizacji warsztatów i poradników dla osób niesłyszących z obsługi e-usług, co pomogłoby im pewniej z nich korzystać.</w:t>
      </w:r>
    </w:p>
    <w:p w14:paraId="369E9333" w14:textId="77777777" w:rsidR="00B13433" w:rsidRPr="00BF6615" w:rsidRDefault="00B13433" w:rsidP="007E26B5">
      <w:pPr>
        <w:rPr>
          <w:rFonts w:cstheme="minorHAnsi"/>
        </w:rPr>
      </w:pPr>
      <w:r w:rsidRPr="00BF6615">
        <w:rPr>
          <w:rFonts w:cstheme="minorHAnsi"/>
          <w:b/>
          <w:bCs/>
        </w:rPr>
        <w:lastRenderedPageBreak/>
        <w:t>Osoby z dysfunkcją narządu ruchu</w:t>
      </w:r>
      <w:r w:rsidRPr="00BF6615">
        <w:rPr>
          <w:rFonts w:cstheme="minorHAnsi"/>
        </w:rPr>
        <w:t xml:space="preserve"> sugerowały wiele rozwiązań zbliżonych do postulatów innych grup. Proponowano m.in.: uproszczenie języka stosowanego na stronach (krótsze i zrozumiałe komunikaty), logiczne pogrupowanie treści i uproszczenie struktury menu, eliminację nieczytelnych pop-</w:t>
      </w:r>
      <w:proofErr w:type="spellStart"/>
      <w:r w:rsidRPr="00BF6615">
        <w:rPr>
          <w:rFonts w:cstheme="minorHAnsi"/>
        </w:rPr>
        <w:t>upów</w:t>
      </w:r>
      <w:proofErr w:type="spellEnd"/>
      <w:r w:rsidRPr="00BF6615">
        <w:rPr>
          <w:rFonts w:cstheme="minorHAnsi"/>
        </w:rPr>
        <w:t xml:space="preserve"> utrudniających obsługę, a także integrację danych między różnymi systemami. Ten ostatni postulat wynika z problemu, że obecnie użytkownik musi wielokrotnie podawać te same informacje na różnych stronach – np. osobno rejestrować się w każdej instytucji. Zamiast tego proponowano lepsze zintegrowanie usług (jedno konto do wielu usług) lub przynajmniej automatyczne przenoszenie danych między powiązanymi systemami. Osoby z tej grupy chciałyby też, aby strony były bardziej niezawodne technicznie – wskazywały potrzebę wyeliminowania błędów uniemożliwiających dokończenie spraw (np. poprawy niedziałających formularzy rejestracji wizyt lekarskich).</w:t>
      </w:r>
    </w:p>
    <w:p w14:paraId="7C81DD6C" w14:textId="3B2E4B5C" w:rsidR="00B13433" w:rsidRPr="00BF6615" w:rsidRDefault="00B13433" w:rsidP="007E26B5">
      <w:pPr>
        <w:rPr>
          <w:rFonts w:cstheme="minorHAnsi"/>
        </w:rPr>
      </w:pPr>
      <w:r w:rsidRPr="00BF6615">
        <w:rPr>
          <w:rFonts w:cstheme="minorHAnsi"/>
          <w:b/>
          <w:bCs/>
        </w:rPr>
        <w:t>Osoby z niepełnosprawnością intelektualną</w:t>
      </w:r>
      <w:r w:rsidRPr="00BF6615">
        <w:rPr>
          <w:rFonts w:cstheme="minorHAnsi"/>
        </w:rPr>
        <w:t xml:space="preserve"> wskazały dwa główne kierunki działań: uproszczenie stron/aplikacji i większe wsparcie użytkowników. Strony powinny być maksymalnie intuicyjne, z czytelnym układem i łatwym dostępem do kluczowych informacji. „Ujednolicenie wyglądu różnych stron ułatwiłoby poruszanie się po nich” – zauważono, postulując standaryzację interfejsów między różnymi portalami. Również </w:t>
      </w:r>
      <w:r w:rsidR="000A692A" w:rsidRPr="00BF6615">
        <w:rPr>
          <w:rFonts w:cstheme="minorHAnsi"/>
        </w:rPr>
        <w:t>w</w:t>
      </w:r>
      <w:r w:rsidR="000A692A">
        <w:rPr>
          <w:rFonts w:cstheme="minorHAnsi"/>
        </w:rPr>
        <w:t> </w:t>
      </w:r>
      <w:r w:rsidRPr="00BF6615">
        <w:rPr>
          <w:rFonts w:cstheme="minorHAnsi"/>
        </w:rPr>
        <w:t xml:space="preserve">tej grupie powtarzał się wniosek o eliminację zbędnych animacji i chaosu graficznego na stronach. Co ważne, osoby te podkreśliły konieczność zapewnienia instrukcji, poradników i szkoleń dla użytkowników. Tylko wtedy wzrośnie ich chęć do samodzielnego korzystania – wiedząc, jak to zrobić, będą mniej się bali i bardziej zaufają stronom/aplikacjom. </w:t>
      </w:r>
    </w:p>
    <w:p w14:paraId="1D186688" w14:textId="7A0DD931" w:rsidR="00B13433" w:rsidRPr="00BF6615" w:rsidRDefault="00B13433" w:rsidP="007E26B5">
      <w:pPr>
        <w:rPr>
          <w:rFonts w:cstheme="minorHAnsi"/>
        </w:rPr>
      </w:pPr>
      <w:r w:rsidRPr="00BF6615">
        <w:rPr>
          <w:rFonts w:cstheme="minorHAnsi"/>
          <w:b/>
          <w:bCs/>
        </w:rPr>
        <w:t>Osoby starsze</w:t>
      </w:r>
      <w:r w:rsidRPr="00BF6615">
        <w:rPr>
          <w:rFonts w:cstheme="minorHAnsi"/>
        </w:rPr>
        <w:t xml:space="preserve"> wysunęły postulat połączenia różnych stron/aplikacji publicznych w jeden wspólny portal. Taka centralna platforma pozwoliłaby uniknąć konieczności wielokrotnego logowania się i uczenia obsługi wielu odmiennych witryn. „Byłoby fajnie, żeby nie trzeba było zmieniać strony za każdym razem, tylko wszystko było w jednym miejscu” – zaproponowała jedna z uczestniczek, postulując jedna stronę dla usług publicznych. Ponadto seniorzy oczekują prostych formularzy, jasnych instrukcji </w:t>
      </w:r>
      <w:r w:rsidR="000A692A" w:rsidRPr="00BF6615">
        <w:rPr>
          <w:rFonts w:cstheme="minorHAnsi"/>
        </w:rPr>
        <w:t>i</w:t>
      </w:r>
      <w:r w:rsidR="000A692A">
        <w:rPr>
          <w:rFonts w:cstheme="minorHAnsi"/>
        </w:rPr>
        <w:t> </w:t>
      </w:r>
      <w:r w:rsidRPr="00BF6615">
        <w:rPr>
          <w:rFonts w:cstheme="minorHAnsi"/>
        </w:rPr>
        <w:t xml:space="preserve">intuicyjnych interfejsów we wszystkich </w:t>
      </w:r>
      <w:r w:rsidRPr="00BF6615">
        <w:rPr>
          <w:rFonts w:cstheme="minorHAnsi"/>
        </w:rPr>
        <w:br/>
        <w:t>e-usługach. Jako przykład podano systemy rejestracji wizyt lekarskich – chcieliby, by po zgłoszeniu chęci wizyty system od razu pokazywał dostępne terminy, zamiast zmuszać do przeszukiwania wielu placówek. Podobnie formularze urzędowe powinny być skrócone do niezbędnych pól i opatrzone objaśnieniami. Osoby powyżej 60 roku życia wskazały też, że nie chcą czuć się pozostawione bez pomocy – stąd ważne jest zapewnienie łatwej możliwości kontaktu (np. czatu, infolinii) w razie kłopotów.</w:t>
      </w:r>
    </w:p>
    <w:p w14:paraId="4C223145" w14:textId="6A7B9DC8" w:rsidR="00B13433" w:rsidRPr="00BF6615" w:rsidRDefault="00B13433" w:rsidP="007E26B5">
      <w:pPr>
        <w:rPr>
          <w:rFonts w:cstheme="minorHAnsi"/>
        </w:rPr>
      </w:pPr>
      <w:r w:rsidRPr="00BF6615">
        <w:rPr>
          <w:rFonts w:cstheme="minorHAnsi"/>
          <w:b/>
          <w:bCs/>
        </w:rPr>
        <w:t xml:space="preserve">Przedstawione propozycje pokazują zbieżność oczekiwań różnych grup. Sprowadzają się one do kilku uniwersalnych postulatów: uprościć, ujednolicić i uczynić strony </w:t>
      </w:r>
      <w:r w:rsidRPr="00BF6615">
        <w:rPr>
          <w:rFonts w:cstheme="minorHAnsi"/>
          <w:b/>
          <w:bCs/>
        </w:rPr>
        <w:lastRenderedPageBreak/>
        <w:t>bardziej przyjaznymi oraz zapewnić alternatywne formy dostępu do treści</w:t>
      </w:r>
      <w:r w:rsidRPr="00BF6615">
        <w:rPr>
          <w:rFonts w:cstheme="minorHAnsi"/>
        </w:rPr>
        <w:t xml:space="preserve"> (czy to poprzez PJM, </w:t>
      </w:r>
      <w:proofErr w:type="spellStart"/>
      <w:r w:rsidRPr="00BF6615">
        <w:rPr>
          <w:rFonts w:cstheme="minorHAnsi"/>
        </w:rPr>
        <w:t>audiodeskrypcje</w:t>
      </w:r>
      <w:proofErr w:type="spellEnd"/>
      <w:r w:rsidRPr="00BF6615">
        <w:rPr>
          <w:rFonts w:cstheme="minorHAnsi"/>
        </w:rPr>
        <w:t xml:space="preserve">, większy tekst, czy prosty język). Warto zaznaczyć, że wiele z tych rozwiązań jest zgodnych z istniejącymi wymaganiami prawnymi </w:t>
      </w:r>
      <w:r w:rsidR="000A692A" w:rsidRPr="00BF6615">
        <w:rPr>
          <w:rFonts w:cstheme="minorHAnsi"/>
        </w:rPr>
        <w:t>i</w:t>
      </w:r>
      <w:r w:rsidR="000A692A">
        <w:rPr>
          <w:rFonts w:cstheme="minorHAnsi"/>
        </w:rPr>
        <w:t> </w:t>
      </w:r>
      <w:r w:rsidRPr="00BF6615">
        <w:rPr>
          <w:rFonts w:cstheme="minorHAnsi"/>
        </w:rPr>
        <w:t xml:space="preserve">standardami (WCAG) – chodzi zatem o ich rzetelne wdrożenie. Użytkownicy </w:t>
      </w:r>
      <w:r w:rsidR="000A692A" w:rsidRPr="00BF6615">
        <w:rPr>
          <w:rFonts w:cstheme="minorHAnsi"/>
        </w:rPr>
        <w:t>i</w:t>
      </w:r>
      <w:r w:rsidR="000A692A">
        <w:rPr>
          <w:rFonts w:cstheme="minorHAnsi"/>
        </w:rPr>
        <w:t> </w:t>
      </w:r>
      <w:r w:rsidRPr="00BF6615">
        <w:rPr>
          <w:rFonts w:cstheme="minorHAnsi"/>
        </w:rPr>
        <w:t>użytkowniczki wyraźnie komunikują, że oczekują realnych działań naprawczych, a nie tylko deklaracji.</w:t>
      </w:r>
    </w:p>
    <w:p w14:paraId="56C8F0F1" w14:textId="77777777" w:rsidR="00B13433" w:rsidRPr="00BF6615" w:rsidRDefault="00B13433" w:rsidP="00B271C3">
      <w:pPr>
        <w:pStyle w:val="Nagwek4"/>
      </w:pPr>
      <w:bookmarkStart w:id="183" w:name="_Toc196827625"/>
      <w:r w:rsidRPr="338987BF">
        <w:t>Oczekiwania wobec dostępności cyfrowej</w:t>
      </w:r>
      <w:bookmarkEnd w:id="183"/>
    </w:p>
    <w:p w14:paraId="75D03553" w14:textId="77777777" w:rsidR="00B13433" w:rsidRPr="00BF6615" w:rsidRDefault="00B13433" w:rsidP="007E26B5">
      <w:pPr>
        <w:rPr>
          <w:rFonts w:cstheme="minorHAnsi"/>
        </w:rPr>
      </w:pPr>
      <w:r w:rsidRPr="00BF6615">
        <w:rPr>
          <w:rFonts w:cstheme="minorHAnsi"/>
          <w:b/>
          <w:bCs/>
        </w:rPr>
        <w:t>Oczekiwania wszystkich badanych grup względem dostępności cyfrowej są bardzo podobne i można je streścić jednym słowem: prostota</w:t>
      </w:r>
      <w:r w:rsidRPr="00BF6615">
        <w:rPr>
          <w:rFonts w:cstheme="minorHAnsi"/>
        </w:rPr>
        <w:t>. Respondenci pragną, by strony publiczne były w pełni użyteczne i łatwe w obsłudze. Kluczowa jest klarowna struktura i intuicyjna nawigacja – wszystkie ważne informacje i funkcje powinny być łatwo dostępne na stronie. Użytkownicy i użytkowniczki chcieliby wchodzić na stronę i od razu wiedzieć, gdzie się udać po daną usługę, bez błądzenia. Jeden z badanych niewidomych ujął to krótko: „Klikam – i działa”. To zdanie dobrze obrazuje podstawowe wymaganie: każda funkcja interfejsu powinna działać niezawodnie i przewidywalnie. Wszyscy kładą nacisk na czytelność prezentowanych treści. Oznacza to nie tylko odpowiednią wielkość czcionki i kontrast (możliwość ich dostosowania do indywidualnych potrzeb), ale też jasny, zrozumiały przekaz. Treści powinny być przedstawione w sposób od razu zrozumiały na pierwszy rzut oka – jak powiedzieli słabowidzący.</w:t>
      </w:r>
    </w:p>
    <w:p w14:paraId="4F9AA0F2" w14:textId="2360F640" w:rsidR="00B13433" w:rsidRPr="00BF6615" w:rsidRDefault="00B13433" w:rsidP="007E26B5">
      <w:pPr>
        <w:rPr>
          <w:rFonts w:cstheme="minorHAnsi"/>
        </w:rPr>
      </w:pPr>
      <w:r w:rsidRPr="00BF6615">
        <w:rPr>
          <w:rFonts w:cstheme="minorHAnsi"/>
        </w:rPr>
        <w:t xml:space="preserve">Ponadto badani oczekują się, że układ informacji będzie przewidywalny i znajomy. Użytkownicy i użytkowniczki chcą czuć się pewnie, poruszając się po różnych stronach/aplikacjach – najlepiej, by działały one według podobnych schematów (np. menu w zbliżonych miejscach, podobne ikony dla tych samych funkcji). Spójność między stronami zwiększy poczucie bezpieczeństwa i komfortu, szczególnie u osób mniej obeznanych z technologią. Ważne informacje muszą być łatwo dostępne – bez przekopywania się przez dziesiątki podstron. „Żeby po prostu człowiek miał klarownie pokazane wszystkie rzeczy, które na danej stronie można załatwić” – tak to ujęła jedna </w:t>
      </w:r>
      <w:r w:rsidR="000A692A" w:rsidRPr="00BF6615">
        <w:rPr>
          <w:rFonts w:cstheme="minorHAnsi"/>
        </w:rPr>
        <w:t>z</w:t>
      </w:r>
      <w:r w:rsidR="000A692A">
        <w:rPr>
          <w:rFonts w:cstheme="minorHAnsi"/>
        </w:rPr>
        <w:t> </w:t>
      </w:r>
      <w:r w:rsidRPr="00BF6615">
        <w:rPr>
          <w:rFonts w:cstheme="minorHAnsi"/>
        </w:rPr>
        <w:t>rozmówczyń – osoba 60+. Oznacza to, że strony główne stron/aplikacji powinny prezentować czytelne menu głównych spraw do załatwienia, a nie chować je pod kilkoma poziomami zagłębień.</w:t>
      </w:r>
    </w:p>
    <w:p w14:paraId="7A1D3E0D" w14:textId="77777777" w:rsidR="00B13433" w:rsidRPr="00BF6615" w:rsidRDefault="00B13433" w:rsidP="007E26B5">
      <w:pPr>
        <w:rPr>
          <w:rFonts w:cstheme="minorHAnsi"/>
        </w:rPr>
      </w:pPr>
      <w:r w:rsidRPr="00BF6615">
        <w:rPr>
          <w:rFonts w:cstheme="minorHAnsi"/>
          <w:b/>
          <w:bCs/>
        </w:rPr>
        <w:t>Osoby niewidome i słabowidzące</w:t>
      </w:r>
      <w:r w:rsidRPr="00BF6615">
        <w:rPr>
          <w:rFonts w:cstheme="minorHAnsi"/>
        </w:rPr>
        <w:t xml:space="preserve"> oczekują przede wszystkim, że strony będą w pełni kompatybilne z ich technologiami wspierającymi oraz czytelne wizualnie. Dla niewidomych oznacza to pełne wsparcie dla czytników ekranu – każdy element strony powinien mieć opis tekstowy, a cała struktura powinna być dostępna poprzez nawigację klawiaturą. </w:t>
      </w:r>
    </w:p>
    <w:p w14:paraId="4EE26644" w14:textId="77777777" w:rsidR="00B13433" w:rsidRPr="00BF6615" w:rsidRDefault="00B13433" w:rsidP="007E26B5">
      <w:pPr>
        <w:rPr>
          <w:rFonts w:cstheme="minorHAnsi"/>
        </w:rPr>
      </w:pPr>
      <w:r w:rsidRPr="00BF6615">
        <w:rPr>
          <w:rFonts w:cstheme="minorHAnsi"/>
        </w:rPr>
        <w:lastRenderedPageBreak/>
        <w:t xml:space="preserve">Dla </w:t>
      </w:r>
      <w:r w:rsidRPr="00BF6615">
        <w:rPr>
          <w:rFonts w:cstheme="minorHAnsi"/>
          <w:b/>
          <w:bCs/>
        </w:rPr>
        <w:t>słabowidzących</w:t>
      </w:r>
      <w:r w:rsidRPr="00BF6615">
        <w:rPr>
          <w:rFonts w:cstheme="minorHAnsi"/>
        </w:rPr>
        <w:t xml:space="preserve"> – możliwość powiększenia tekstu bez rozjeżdżania się strony oraz zapewnienie dobrego kontrastu i wyraźnych czcionek. </w:t>
      </w:r>
    </w:p>
    <w:p w14:paraId="5E7A2E1F" w14:textId="77777777" w:rsidR="00B13433" w:rsidRPr="00BF6615" w:rsidRDefault="00B13433" w:rsidP="007E26B5">
      <w:pPr>
        <w:rPr>
          <w:rFonts w:cstheme="minorHAnsi"/>
        </w:rPr>
      </w:pPr>
      <w:r w:rsidRPr="00BF6615">
        <w:rPr>
          <w:rFonts w:cstheme="minorHAnsi"/>
          <w:b/>
          <w:bCs/>
        </w:rPr>
        <w:t>Osoby niesłyszące</w:t>
      </w:r>
      <w:r w:rsidRPr="00BF6615">
        <w:rPr>
          <w:rFonts w:cstheme="minorHAnsi"/>
        </w:rPr>
        <w:t xml:space="preserve"> skupiają swoje oczekiwania na obecności języka migowego oraz czytelności przekazu wizualnego. Chcą widzieć na stronach filmy z tłumaczem PJM objaśniające kluczowe sprawy, a także prosty język i czytelne grafiki zamiast długich bloków tekstu. </w:t>
      </w:r>
    </w:p>
    <w:p w14:paraId="104838ED" w14:textId="77777777" w:rsidR="00B13433" w:rsidRPr="00BF6615" w:rsidRDefault="00B13433" w:rsidP="007E26B5">
      <w:pPr>
        <w:rPr>
          <w:rFonts w:cstheme="minorHAnsi"/>
        </w:rPr>
      </w:pPr>
      <w:r w:rsidRPr="00BF6615">
        <w:rPr>
          <w:rFonts w:cstheme="minorHAnsi"/>
          <w:b/>
          <w:bCs/>
        </w:rPr>
        <w:t>Osoby z niepełnosprawnością ruchu</w:t>
      </w:r>
      <w:r w:rsidRPr="00BF6615">
        <w:rPr>
          <w:rFonts w:cstheme="minorHAnsi"/>
        </w:rPr>
        <w:t xml:space="preserve"> oczekują prostego układu i szybkiego działania stron, a także tego, że strony będą działały zarówno na komputerze, jak i na urządzeniach mobilnych bez utraty funkcjonalności. </w:t>
      </w:r>
    </w:p>
    <w:p w14:paraId="3DBC9186" w14:textId="77777777" w:rsidR="00B13433" w:rsidRPr="00BF6615" w:rsidRDefault="00B13433" w:rsidP="007E26B5">
      <w:pPr>
        <w:rPr>
          <w:rFonts w:cstheme="minorHAnsi"/>
        </w:rPr>
      </w:pPr>
      <w:r w:rsidRPr="00BF6615">
        <w:rPr>
          <w:rFonts w:cstheme="minorHAnsi"/>
        </w:rPr>
        <w:t xml:space="preserve">Z kolei </w:t>
      </w:r>
      <w:r w:rsidRPr="00BF6615">
        <w:rPr>
          <w:rFonts w:cstheme="minorHAnsi"/>
          <w:b/>
          <w:bCs/>
        </w:rPr>
        <w:t>osoby z niepełnosprawnością intelektualną</w:t>
      </w:r>
      <w:r w:rsidRPr="00BF6615">
        <w:rPr>
          <w:rFonts w:cstheme="minorHAnsi"/>
        </w:rPr>
        <w:t xml:space="preserve"> chcą stron przejrzystych, logicznie poukładanych i przewidywalnych. Ważne jest dla nich, by łatwo znajdować najważniejsze informacje bez zbędnego klikania i by nic ich nie zaskakiwało (np. brak nagłych zmian kontekstu, wyskakujących okien itp.). Zwracają też uwagę na kwestie kolorystyki – należy unikać nieczytelnych zestawień kolorów, takich jak wspomniane „żółte na białym”, które sprawiają problem nawet osobom bez dysfunkcji wzroku. </w:t>
      </w:r>
    </w:p>
    <w:p w14:paraId="062788B7" w14:textId="59D3A906" w:rsidR="00B13433" w:rsidRPr="00BF6615" w:rsidRDefault="00B13433" w:rsidP="007E26B5">
      <w:pPr>
        <w:rPr>
          <w:rFonts w:cstheme="minorHAnsi"/>
        </w:rPr>
      </w:pPr>
      <w:r w:rsidRPr="00BF6615">
        <w:rPr>
          <w:rFonts w:cstheme="minorHAnsi"/>
          <w:b/>
          <w:bCs/>
        </w:rPr>
        <w:t>Osoby 60+</w:t>
      </w:r>
      <w:r w:rsidRPr="00BF6615">
        <w:rPr>
          <w:rFonts w:cstheme="minorHAnsi"/>
        </w:rPr>
        <w:t xml:space="preserve"> formułują bardzo podobne oczekiwania: przejrzystość, prostota i logiczny układ treści pojawiają się na czele listy. Dodatkowo seniorzy akcentują możliwość łatwego kontaktu z pomocą techniczną w razie trudności. Chcieliby mieć pewność, </w:t>
      </w:r>
      <w:r w:rsidR="000A692A" w:rsidRPr="00BF6615">
        <w:rPr>
          <w:rFonts w:cstheme="minorHAnsi"/>
        </w:rPr>
        <w:t>że</w:t>
      </w:r>
      <w:r w:rsidR="000A692A">
        <w:rPr>
          <w:rFonts w:cstheme="minorHAnsi"/>
        </w:rPr>
        <w:t> </w:t>
      </w:r>
      <w:r w:rsidRPr="00BF6615">
        <w:rPr>
          <w:rFonts w:cstheme="minorHAnsi"/>
        </w:rPr>
        <w:t xml:space="preserve">jeśli czegoś nie zrozumieją, mogą szybko uzyskać wsparcie (np. telefoniczne). </w:t>
      </w:r>
    </w:p>
    <w:p w14:paraId="35B48F73" w14:textId="5E750079" w:rsidR="00B13433" w:rsidRPr="00BF6615" w:rsidRDefault="00B13433" w:rsidP="007E26B5">
      <w:pPr>
        <w:rPr>
          <w:rFonts w:cstheme="minorHAnsi"/>
        </w:rPr>
      </w:pPr>
      <w:r w:rsidRPr="00BF6615">
        <w:rPr>
          <w:rFonts w:cstheme="minorHAnsi"/>
          <w:b/>
          <w:bCs/>
        </w:rPr>
        <w:t>Wszyscy zgodnie podkreślają natomiast nadrzędny cel: dzięki spełnieniu tych oczekiwań strony i aplikacje publiczne pozwolą im samodzielnie i wygodnie z nich korzystać, bez barier i dyskryminacji.</w:t>
      </w:r>
      <w:r w:rsidRPr="00BF6615">
        <w:rPr>
          <w:rFonts w:cstheme="minorHAnsi"/>
        </w:rPr>
        <w:t xml:space="preserve"> Spełnienie konkretnych standardów dostępności (WCAG na poziomie AA, wymaganych prawnie) jest dla użytkowników równoznaczne </w:t>
      </w:r>
      <w:r w:rsidR="000A692A" w:rsidRPr="00BF6615">
        <w:rPr>
          <w:rFonts w:cstheme="minorHAnsi"/>
        </w:rPr>
        <w:t>z</w:t>
      </w:r>
      <w:r w:rsidR="000A692A">
        <w:rPr>
          <w:rFonts w:cstheme="minorHAnsi"/>
        </w:rPr>
        <w:t> </w:t>
      </w:r>
      <w:r w:rsidRPr="00BF6615">
        <w:rPr>
          <w:rFonts w:cstheme="minorHAnsi"/>
        </w:rPr>
        <w:t xml:space="preserve">możliwością pełnego uczestnictwa w życiu społecznym i załatwiania spraw na równi </w:t>
      </w:r>
      <w:r w:rsidR="000A692A" w:rsidRPr="00BF6615">
        <w:rPr>
          <w:rFonts w:cstheme="minorHAnsi"/>
        </w:rPr>
        <w:t>z</w:t>
      </w:r>
      <w:r w:rsidR="000A692A">
        <w:rPr>
          <w:rFonts w:cstheme="minorHAnsi"/>
        </w:rPr>
        <w:t> </w:t>
      </w:r>
      <w:r w:rsidRPr="00BF6615">
        <w:rPr>
          <w:rFonts w:cstheme="minorHAnsi"/>
        </w:rPr>
        <w:t>innymi.</w:t>
      </w:r>
    </w:p>
    <w:p w14:paraId="6AF006BE" w14:textId="77777777" w:rsidR="00B13433" w:rsidRPr="00BF6615" w:rsidRDefault="00B13433" w:rsidP="007E26B5">
      <w:pPr>
        <w:rPr>
          <w:b/>
        </w:rPr>
      </w:pPr>
      <w:bookmarkStart w:id="184" w:name="_Toc196827626"/>
      <w:r w:rsidRPr="338987BF">
        <w:rPr>
          <w:b/>
        </w:rPr>
        <w:t>Priorytetowe strony i aplikacje podmiotów publicznych wymagające poprawy</w:t>
      </w:r>
      <w:bookmarkEnd w:id="184"/>
    </w:p>
    <w:p w14:paraId="153F8A4E" w14:textId="49A0180B" w:rsidR="00B13433" w:rsidRPr="00BF6615" w:rsidRDefault="00B13433" w:rsidP="007E26B5">
      <w:pPr>
        <w:rPr>
          <w:rFonts w:cstheme="minorHAnsi"/>
        </w:rPr>
      </w:pPr>
      <w:r w:rsidRPr="00BF6615">
        <w:rPr>
          <w:rFonts w:cstheme="minorHAnsi"/>
        </w:rPr>
        <w:t xml:space="preserve">Uczestnicy badania wskazali również, które strony i aplikacje publiczne powinny zostać poprawione w pierwszej kolejności pod kątem dostępności. Najczęściej wymieniano te obszary, które są niezbędne w życiu codziennym. </w:t>
      </w:r>
      <w:r w:rsidRPr="00BF6615">
        <w:rPr>
          <w:rFonts w:cstheme="minorHAnsi"/>
          <w:b/>
          <w:bCs/>
        </w:rPr>
        <w:t>Lokalne strony urzędów (miast i gmin) pojawiały się priorytetowo niemal w każdej grupie</w:t>
      </w:r>
      <w:r w:rsidRPr="00BF6615">
        <w:rPr>
          <w:rFonts w:cstheme="minorHAnsi"/>
        </w:rPr>
        <w:t xml:space="preserve"> – to z nich osoby </w:t>
      </w:r>
      <w:r w:rsidR="000A692A" w:rsidRPr="00BF6615">
        <w:rPr>
          <w:rFonts w:cstheme="minorHAnsi"/>
        </w:rPr>
        <w:t>z</w:t>
      </w:r>
      <w:r w:rsidR="000A692A">
        <w:rPr>
          <w:rFonts w:cstheme="minorHAnsi"/>
        </w:rPr>
        <w:t> </w:t>
      </w:r>
      <w:r w:rsidRPr="00BF6615">
        <w:rPr>
          <w:rFonts w:cstheme="minorHAnsi"/>
        </w:rPr>
        <w:t xml:space="preserve">niepełnosprawnościami często muszą korzystać, szukając informacji o sprawach urzędowych czy świadczeniach. Sektor ochrony zdrowia jest równie istotny: strony przychodni, szpitali oraz aplikacje </w:t>
      </w:r>
      <w:proofErr w:type="spellStart"/>
      <w:r w:rsidRPr="00BF6615">
        <w:rPr>
          <w:rFonts w:cstheme="minorHAnsi"/>
        </w:rPr>
        <w:t>pacjenckie</w:t>
      </w:r>
      <w:proofErr w:type="spellEnd"/>
      <w:r w:rsidRPr="00BF6615">
        <w:rPr>
          <w:rFonts w:cstheme="minorHAnsi"/>
        </w:rPr>
        <w:t xml:space="preserve"> (np. Internetowe Konto Pacjenta) bezpośrednio wpływają na zdrowie i samodzielność użytkowników, stąd ich dostępność uznano za krytyczną.</w:t>
      </w:r>
    </w:p>
    <w:p w14:paraId="41A99FBD" w14:textId="003CCCD4" w:rsidR="00B13433" w:rsidRPr="00BF6615" w:rsidRDefault="00B13433" w:rsidP="007E26B5">
      <w:pPr>
        <w:rPr>
          <w:rFonts w:cstheme="minorHAnsi"/>
        </w:rPr>
      </w:pPr>
      <w:r w:rsidRPr="00BF6615">
        <w:rPr>
          <w:rFonts w:cstheme="minorHAnsi"/>
          <w:b/>
          <w:bCs/>
        </w:rPr>
        <w:lastRenderedPageBreak/>
        <w:t xml:space="preserve">Kolejnym priorytetem są kluczowe usługi administracyjne na szczeblu centralnym. </w:t>
      </w:r>
      <w:r w:rsidRPr="00BF6615">
        <w:rPr>
          <w:rFonts w:cstheme="minorHAnsi"/>
        </w:rPr>
        <w:t xml:space="preserve">Wiele grup wymieniało tutaj ZUS (obsługa emerytur, rent, zasiłków), podatki </w:t>
      </w:r>
      <w:r w:rsidR="000A692A">
        <w:rPr>
          <w:rFonts w:cstheme="minorHAnsi"/>
        </w:rPr>
        <w:br/>
      </w:r>
      <w:r w:rsidRPr="00BF6615">
        <w:rPr>
          <w:rFonts w:cstheme="minorHAnsi"/>
        </w:rPr>
        <w:t xml:space="preserve">(e-deklaracje, e-PIT) oraz platformy typu </w:t>
      </w:r>
      <w:proofErr w:type="spellStart"/>
      <w:r w:rsidRPr="00BF6615">
        <w:rPr>
          <w:rFonts w:cstheme="minorHAnsi"/>
        </w:rPr>
        <w:t>ePUAP</w:t>
      </w:r>
      <w:proofErr w:type="spellEnd"/>
      <w:r w:rsidRPr="00BF6615">
        <w:rPr>
          <w:rFonts w:cstheme="minorHAnsi"/>
        </w:rPr>
        <w:t>/</w:t>
      </w:r>
      <w:proofErr w:type="spellStart"/>
      <w:r w:rsidRPr="00BF6615">
        <w:rPr>
          <w:rFonts w:cstheme="minorHAnsi"/>
        </w:rPr>
        <w:t>mObywatel</w:t>
      </w:r>
      <w:proofErr w:type="spellEnd"/>
      <w:r w:rsidRPr="00BF6615">
        <w:rPr>
          <w:rFonts w:cstheme="minorHAnsi"/>
        </w:rPr>
        <w:t xml:space="preserve"> do kontaktu z administracją. Osoby z dysfunkcją narządu ruchu dodatkowo podkreślały znaczenie stron/aplikacji PFRON – dla nich kluczowych – co uczyniło PFRON jednym z najczęściej wskazywanych do poprawy (pod kątem uproszczenia i naprawy błędów). </w:t>
      </w:r>
      <w:r w:rsidRPr="00BF6615">
        <w:rPr>
          <w:rFonts w:cstheme="minorHAnsi"/>
          <w:b/>
          <w:bCs/>
        </w:rPr>
        <w:t>Strony związane z transportem publicznym</w:t>
      </w:r>
      <w:r w:rsidRPr="00BF6615">
        <w:rPr>
          <w:rFonts w:cstheme="minorHAnsi"/>
        </w:rPr>
        <w:t xml:space="preserve"> również znalazły się wysoko na liście priorytetów. Zwłaszcza osoby niewidome, słabowidzące i słabosłyszące zaznaczały, że portale </w:t>
      </w:r>
      <w:r w:rsidR="000A692A" w:rsidRPr="00BF6615">
        <w:rPr>
          <w:rFonts w:cstheme="minorHAnsi"/>
        </w:rPr>
        <w:t>z</w:t>
      </w:r>
      <w:r w:rsidR="000A692A">
        <w:rPr>
          <w:rFonts w:cstheme="minorHAnsi"/>
        </w:rPr>
        <w:t> </w:t>
      </w:r>
      <w:r w:rsidRPr="00BF6615">
        <w:rPr>
          <w:rFonts w:cstheme="minorHAnsi"/>
        </w:rPr>
        <w:t xml:space="preserve">rozkładami jazdy, systemy sprzedaży biletów oraz aplikacje komunikacyjne muszą zostać poprawione, ponieważ od nich zależy ich samodzielne poruszanie się. Poza tym pojawiały się też inne obszary: </w:t>
      </w:r>
      <w:r w:rsidRPr="00BF6615">
        <w:rPr>
          <w:rFonts w:cstheme="minorHAnsi"/>
          <w:b/>
          <w:bCs/>
        </w:rPr>
        <w:t>edukacja</w:t>
      </w:r>
      <w:r w:rsidRPr="00BF6615">
        <w:rPr>
          <w:rFonts w:cstheme="minorHAnsi"/>
        </w:rPr>
        <w:t xml:space="preserve"> (osoby niewidome wspominały o stronach uczelni i szkół ), </w:t>
      </w:r>
      <w:r w:rsidRPr="00BF6615">
        <w:rPr>
          <w:rFonts w:cstheme="minorHAnsi"/>
          <w:b/>
          <w:bCs/>
        </w:rPr>
        <w:t>kultura i sport</w:t>
      </w:r>
      <w:r w:rsidRPr="00BF6615">
        <w:rPr>
          <w:rFonts w:cstheme="minorHAnsi"/>
        </w:rPr>
        <w:t xml:space="preserve"> (seniorzy docenili akurat te już działające dobrze, ale pewnie sugerowali utrzymanie ich dostępności) czy </w:t>
      </w:r>
      <w:r w:rsidRPr="00BF6615">
        <w:rPr>
          <w:rFonts w:cstheme="minorHAnsi"/>
          <w:b/>
          <w:bCs/>
        </w:rPr>
        <w:t>ostrzeżenia publiczne</w:t>
      </w:r>
      <w:r w:rsidRPr="00BF6615">
        <w:rPr>
          <w:rFonts w:cstheme="minorHAnsi"/>
        </w:rPr>
        <w:t xml:space="preserve"> (aplikacje alarmowe, które akurat działały nieźle, ale wymagają dalszego dostosowania do </w:t>
      </w:r>
      <w:r w:rsidR="000A692A" w:rsidRPr="00BF6615">
        <w:rPr>
          <w:rFonts w:cstheme="minorHAnsi"/>
        </w:rPr>
        <w:t>różnych</w:t>
      </w:r>
      <w:r w:rsidR="000A692A">
        <w:rPr>
          <w:rFonts w:cstheme="minorHAnsi"/>
        </w:rPr>
        <w:t> </w:t>
      </w:r>
      <w:r w:rsidRPr="00BF6615">
        <w:rPr>
          <w:rFonts w:cstheme="minorHAnsi"/>
        </w:rPr>
        <w:t>grup).</w:t>
      </w:r>
    </w:p>
    <w:p w14:paraId="2361E17D" w14:textId="77777777" w:rsidR="00B13433" w:rsidRPr="00BF6615" w:rsidRDefault="00B13433" w:rsidP="007E26B5">
      <w:pPr>
        <w:rPr>
          <w:rFonts w:cstheme="minorHAnsi"/>
        </w:rPr>
      </w:pPr>
      <w:r w:rsidRPr="00BF6615">
        <w:rPr>
          <w:rFonts w:cstheme="minorHAnsi"/>
        </w:rPr>
        <w:t>W poszczególnych grupach akcenty nieco się różniły:</w:t>
      </w:r>
    </w:p>
    <w:p w14:paraId="7D144B5A" w14:textId="77777777" w:rsidR="00B13433" w:rsidRPr="00BF6615" w:rsidRDefault="00B13433">
      <w:pPr>
        <w:pStyle w:val="Akapitzlist"/>
        <w:numPr>
          <w:ilvl w:val="1"/>
          <w:numId w:val="51"/>
        </w:numPr>
        <w:rPr>
          <w:rFonts w:cstheme="minorHAnsi"/>
        </w:rPr>
      </w:pPr>
      <w:r w:rsidRPr="00BF6615">
        <w:rPr>
          <w:rFonts w:cstheme="minorHAnsi"/>
          <w:b/>
          <w:bCs/>
        </w:rPr>
        <w:t>Osoby niewidome</w:t>
      </w:r>
      <w:r w:rsidRPr="00BF6615">
        <w:rPr>
          <w:rFonts w:cstheme="minorHAnsi"/>
        </w:rPr>
        <w:t xml:space="preserve"> uznały za kluczowe do poprawy strony związane ze zdrowiem, administracją i komunikacją (transport). Najczęściej wskazywały Internetowe Konto Pacjenta, aplikację </w:t>
      </w:r>
      <w:proofErr w:type="spellStart"/>
      <w:r w:rsidRPr="00BF6615">
        <w:rPr>
          <w:rFonts w:cstheme="minorHAnsi"/>
        </w:rPr>
        <w:t>mObywatel</w:t>
      </w:r>
      <w:proofErr w:type="spellEnd"/>
      <w:r w:rsidRPr="00BF6615">
        <w:rPr>
          <w:rFonts w:cstheme="minorHAnsi"/>
        </w:rPr>
        <w:t xml:space="preserve"> oraz strony urzędów miejskich/gminnych. Podkreślano, że to strony najbardziej potrzebne na co dzień, więc powinny zostać dostosowane w pierwszej kolejności.</w:t>
      </w:r>
    </w:p>
    <w:p w14:paraId="0E9BBED3" w14:textId="5C9D1E5B" w:rsidR="00B13433" w:rsidRPr="00BF6615" w:rsidRDefault="00B13433">
      <w:pPr>
        <w:pStyle w:val="Akapitzlist"/>
        <w:numPr>
          <w:ilvl w:val="1"/>
          <w:numId w:val="51"/>
        </w:numPr>
        <w:rPr>
          <w:rFonts w:cstheme="minorHAnsi"/>
        </w:rPr>
      </w:pPr>
      <w:r w:rsidRPr="00BF6615">
        <w:rPr>
          <w:rFonts w:cstheme="minorHAnsi"/>
          <w:b/>
          <w:bCs/>
        </w:rPr>
        <w:t>Osoby słabowidzące</w:t>
      </w:r>
      <w:r w:rsidRPr="00BF6615">
        <w:rPr>
          <w:rFonts w:cstheme="minorHAnsi"/>
        </w:rPr>
        <w:t xml:space="preserve"> najczęściej wskazywały lokalne strony urzędowe oraz sektor ochrony zdrowia jako priorytetowe do poprawy. To z nimi miały najwięcej trudności i uważały, że ich usprawnienie przyniosłoby największe korzyści. Równie istotny okazał się obszar komunikacji publicznej – systemy informacyjne transportu (rozkłady jazdy, aplikacje miejskie) powinny być czytelniejsze, by każdy pasażer mógł z nich swobodnie korzystać. Poza zdrowiem, edukacją </w:t>
      </w:r>
      <w:r w:rsidR="000A692A" w:rsidRPr="00BF6615">
        <w:rPr>
          <w:rFonts w:cstheme="minorHAnsi"/>
        </w:rPr>
        <w:t>i</w:t>
      </w:r>
      <w:r w:rsidR="000A692A">
        <w:rPr>
          <w:rFonts w:cstheme="minorHAnsi"/>
        </w:rPr>
        <w:t> </w:t>
      </w:r>
      <w:r w:rsidRPr="00BF6615">
        <w:rPr>
          <w:rFonts w:cstheme="minorHAnsi"/>
        </w:rPr>
        <w:t xml:space="preserve">transportem wymieniano także strony związane z rynkiem pracy </w:t>
      </w:r>
      <w:r w:rsidR="000A692A" w:rsidRPr="00BF6615">
        <w:rPr>
          <w:rFonts w:cstheme="minorHAnsi"/>
        </w:rPr>
        <w:t>i</w:t>
      </w:r>
      <w:r w:rsidR="000A692A">
        <w:rPr>
          <w:rFonts w:cstheme="minorHAnsi"/>
        </w:rPr>
        <w:t> </w:t>
      </w:r>
      <w:r w:rsidRPr="00BF6615">
        <w:rPr>
          <w:rFonts w:cstheme="minorHAnsi"/>
        </w:rPr>
        <w:t>świadczeniami społecznymi.</w:t>
      </w:r>
    </w:p>
    <w:p w14:paraId="07F45356" w14:textId="12A276FB" w:rsidR="00B13433" w:rsidRPr="00BF6615" w:rsidRDefault="00B13433">
      <w:pPr>
        <w:pStyle w:val="Akapitzlist"/>
        <w:numPr>
          <w:ilvl w:val="1"/>
          <w:numId w:val="51"/>
        </w:numPr>
        <w:rPr>
          <w:rFonts w:cstheme="minorHAnsi"/>
        </w:rPr>
      </w:pPr>
      <w:r w:rsidRPr="00BF6615">
        <w:rPr>
          <w:rFonts w:cstheme="minorHAnsi"/>
          <w:b/>
          <w:bCs/>
        </w:rPr>
        <w:t>Osoby niesłyszące i słabosłyszące</w:t>
      </w:r>
      <w:r w:rsidRPr="00BF6615">
        <w:rPr>
          <w:rFonts w:cstheme="minorHAnsi"/>
        </w:rPr>
        <w:t xml:space="preserve"> wskazywały jako priorytet przede wszystkim lokalne strony urzędów, strony zdrowotne oraz aplikacje do dokumentów cyfrowych. W praktyce jednak w ich wypowiedziach najczęściej padały konkretne nazwy: strony urzędów miast i gmin, Internetowe Konto Pacjenta, aplikacja </w:t>
      </w:r>
      <w:proofErr w:type="spellStart"/>
      <w:r w:rsidRPr="00BF6615">
        <w:rPr>
          <w:rFonts w:cstheme="minorHAnsi"/>
        </w:rPr>
        <w:t>mObywatel</w:t>
      </w:r>
      <w:proofErr w:type="spellEnd"/>
      <w:r w:rsidRPr="00BF6615">
        <w:rPr>
          <w:rFonts w:cstheme="minorHAnsi"/>
        </w:rPr>
        <w:t xml:space="preserve"> a także portale transportowe. Podkreślano, że bez poprawy tych stron/aplikacji osoby z problemami słuchu pozostaną wykluczone z korzystania </w:t>
      </w:r>
      <w:r w:rsidR="000A692A" w:rsidRPr="00BF6615">
        <w:rPr>
          <w:rFonts w:cstheme="minorHAnsi"/>
        </w:rPr>
        <w:t>z</w:t>
      </w:r>
      <w:r w:rsidR="000A692A">
        <w:rPr>
          <w:rFonts w:cstheme="minorHAnsi"/>
        </w:rPr>
        <w:t> </w:t>
      </w:r>
      <w:r w:rsidRPr="00BF6615">
        <w:rPr>
          <w:rFonts w:cstheme="minorHAnsi"/>
        </w:rPr>
        <w:t>usług publicznych online.</w:t>
      </w:r>
    </w:p>
    <w:p w14:paraId="432DC3F0" w14:textId="7DBB4090" w:rsidR="00B13433" w:rsidRPr="00BF6615" w:rsidRDefault="00B13433">
      <w:pPr>
        <w:pStyle w:val="Akapitzlist"/>
        <w:numPr>
          <w:ilvl w:val="1"/>
          <w:numId w:val="51"/>
        </w:numPr>
        <w:rPr>
          <w:rFonts w:cstheme="minorHAnsi"/>
        </w:rPr>
      </w:pPr>
      <w:r w:rsidRPr="00BF6615">
        <w:rPr>
          <w:rFonts w:cstheme="minorHAnsi"/>
          <w:b/>
          <w:bCs/>
        </w:rPr>
        <w:lastRenderedPageBreak/>
        <w:t>Osoby z dysfunkcją narządu ruchu</w:t>
      </w:r>
      <w:r w:rsidRPr="00BF6615">
        <w:rPr>
          <w:rFonts w:cstheme="minorHAnsi"/>
        </w:rPr>
        <w:t xml:space="preserve"> za najważniejsze do poprawy uznały platformy PFRON, systemy rejestracji medycznej, portale ZUS, a także portale miast i platformy podatkowe. Również rozproszone i chaotyczne strony BIP-ów miejskich wymagają ich zdaniem pilnych zmian.</w:t>
      </w:r>
    </w:p>
    <w:p w14:paraId="4DC2A2C8" w14:textId="13A8DC29" w:rsidR="00B13433" w:rsidRPr="00BF6615" w:rsidRDefault="00B13433">
      <w:pPr>
        <w:pStyle w:val="Akapitzlist"/>
        <w:numPr>
          <w:ilvl w:val="1"/>
          <w:numId w:val="51"/>
        </w:numPr>
        <w:rPr>
          <w:rFonts w:cstheme="minorHAnsi"/>
        </w:rPr>
      </w:pPr>
      <w:r w:rsidRPr="00BF6615">
        <w:rPr>
          <w:rFonts w:cstheme="minorHAnsi"/>
          <w:b/>
          <w:bCs/>
        </w:rPr>
        <w:t>Osoby z niepełnosprawnością intelektualną i trudnościami poznawczymi</w:t>
      </w:r>
      <w:r w:rsidRPr="00BF6615">
        <w:rPr>
          <w:rFonts w:cstheme="minorHAnsi"/>
        </w:rPr>
        <w:t xml:space="preserve"> jednomyślnie wskazały lokalne strony urzędów – gmin i miast jako najważniejsze do poprawy. To z nich najczęściej korzystają (szukając informacji </w:t>
      </w:r>
      <w:r w:rsidR="000A692A" w:rsidRPr="00BF6615">
        <w:rPr>
          <w:rFonts w:cstheme="minorHAnsi"/>
        </w:rPr>
        <w:t>o</w:t>
      </w:r>
      <w:r w:rsidR="000A692A">
        <w:rPr>
          <w:rFonts w:cstheme="minorHAnsi"/>
        </w:rPr>
        <w:t> </w:t>
      </w:r>
      <w:r w:rsidRPr="00BF6615">
        <w:rPr>
          <w:rFonts w:cstheme="minorHAnsi"/>
        </w:rPr>
        <w:t>świadczeniach), a jednocześnie sprawiają im one najwięcej trudności. Równie istotne są strony dotyczące zdrowia – przychodni, szpitali, Internetowe Konto Pacjenta – bo ich dostępność wpływa bezpośrednio na zdrowie i samodzielność użytkowników. Wskazywano także potrzeby w obszarze transportu (rozkłady jazdy, planowanie podróży) oraz spraw finansowych (strony do opłacania rachunków i podatków). Wszystkie te strony są niezbędne w codziennym życiu, dlatego powinny być priorytetowo dostosowane.</w:t>
      </w:r>
    </w:p>
    <w:p w14:paraId="3EEBAF45" w14:textId="77777777" w:rsidR="00B13433" w:rsidRPr="00BF6615" w:rsidRDefault="00B13433">
      <w:pPr>
        <w:pStyle w:val="Akapitzlist"/>
        <w:numPr>
          <w:ilvl w:val="1"/>
          <w:numId w:val="51"/>
        </w:numPr>
        <w:rPr>
          <w:rFonts w:cstheme="minorHAnsi"/>
        </w:rPr>
      </w:pPr>
      <w:r w:rsidRPr="00BF6615">
        <w:rPr>
          <w:rFonts w:cstheme="minorHAnsi"/>
          <w:b/>
          <w:bCs/>
        </w:rPr>
        <w:t>Osoby powyżej 60 roku życia</w:t>
      </w:r>
      <w:r w:rsidRPr="00BF6615">
        <w:rPr>
          <w:rFonts w:cstheme="minorHAnsi"/>
        </w:rPr>
        <w:t xml:space="preserve"> za najpilniejsze do usprawnienia uznały strony służby zdrowia – zwłaszcza systemy zapisów do lekarzy specjalistów – oraz portale samorządowe. Seniorzy chcieliby, aby np. rejestracja do lekarza była bardziej przyjazna: „Chciałabym, żeby od razu było pokazane, gdzie mogę się umówić do endokrynologa” – mówiła jedna z uczestniczek, wskazując na potrzebę przejrzystości i natychmiastowej informacji o dostępnych terminach. Równie ważna jest dla nich przejrzystość lokalnych stron/aplikacji dot. spraw mieszkaniowych czy meldunkowych. bo to często z tych usług korzystają. Generalnie seniorzy </w:t>
      </w:r>
      <w:proofErr w:type="spellStart"/>
      <w:r w:rsidRPr="00BF6615">
        <w:rPr>
          <w:rFonts w:cstheme="minorHAnsi"/>
        </w:rPr>
        <w:t>priorytetyzują</w:t>
      </w:r>
      <w:proofErr w:type="spellEnd"/>
      <w:r w:rsidRPr="00BF6615">
        <w:rPr>
          <w:rFonts w:cstheme="minorHAnsi"/>
        </w:rPr>
        <w:t xml:space="preserve"> te obszary, które dotyczą ich codziennych potrzeb bytowych (zdrowie, mieszkanie, świadczenia).</w:t>
      </w:r>
    </w:p>
    <w:p w14:paraId="72AFB105" w14:textId="77777777" w:rsidR="00B13433" w:rsidRPr="00BF6615" w:rsidRDefault="00B13433" w:rsidP="007E26B5">
      <w:pPr>
        <w:rPr>
          <w:rFonts w:cstheme="minorHAnsi"/>
        </w:rPr>
      </w:pPr>
      <w:r w:rsidRPr="00BF6615">
        <w:rPr>
          <w:rFonts w:cstheme="minorHAnsi"/>
          <w:b/>
          <w:bCs/>
        </w:rPr>
        <w:t>Widać wyraźnie, że najwyższy priorytet użytkownicy i użytkowniczki nadają tym stronom/aplikacją, które odpowiadają za kluczowe sfery ich życia: zdrowie, komunikacja, sprawy urzędowe i socjalne.</w:t>
      </w:r>
      <w:r w:rsidRPr="00BF6615">
        <w:rPr>
          <w:rFonts w:cstheme="minorHAnsi"/>
        </w:rPr>
        <w:t xml:space="preserve"> To właśnie w tych obszarach brak dostępności najbardziej daje im się we znaki, więc poprawa będzie miała najszerszy pozytywny efekt.</w:t>
      </w:r>
    </w:p>
    <w:p w14:paraId="59270D8B" w14:textId="77777777" w:rsidR="00B13433" w:rsidRPr="00BF6615" w:rsidRDefault="00B13433" w:rsidP="00B271C3">
      <w:pPr>
        <w:pStyle w:val="Nagwek4"/>
      </w:pPr>
      <w:bookmarkStart w:id="185" w:name="_Toc196827627"/>
      <w:r w:rsidRPr="338987BF">
        <w:t>Technologie wspomagające</w:t>
      </w:r>
      <w:bookmarkEnd w:id="185"/>
    </w:p>
    <w:p w14:paraId="4A3F69BC" w14:textId="77777777" w:rsidR="00B13433" w:rsidRPr="00BF6615" w:rsidRDefault="00B13433" w:rsidP="007E26B5">
      <w:pPr>
        <w:rPr>
          <w:rFonts w:cstheme="minorHAnsi"/>
        </w:rPr>
      </w:pPr>
      <w:r w:rsidRPr="00BF6615">
        <w:rPr>
          <w:rFonts w:cstheme="minorHAnsi"/>
        </w:rPr>
        <w:t xml:space="preserve">Podczas badania zwrócono uwagę, że uczestnicy korzystają z różnych technologii wspierających (asystujących), które pomagają im obsługiwać komputer czy smartfon. </w:t>
      </w:r>
    </w:p>
    <w:p w14:paraId="7DC81BC6" w14:textId="77777777" w:rsidR="00B13433" w:rsidRPr="00BF6615" w:rsidRDefault="00B13433" w:rsidP="007E26B5">
      <w:pPr>
        <w:rPr>
          <w:rFonts w:cstheme="minorHAnsi"/>
        </w:rPr>
      </w:pPr>
      <w:r w:rsidRPr="00BF6615">
        <w:rPr>
          <w:rFonts w:cstheme="minorHAnsi"/>
          <w:b/>
          <w:bCs/>
        </w:rPr>
        <w:t>Osoby niewidome</w:t>
      </w:r>
      <w:r w:rsidRPr="00BF6615">
        <w:rPr>
          <w:rFonts w:cstheme="minorHAnsi"/>
        </w:rPr>
        <w:t xml:space="preserve"> używają przede wszystkim programów czytających ekran (tzw. czytników ekranu). Dzięki nim cała zawartość ekranu jest odczytywana głosowo. Niektórzy posługują się także brajlowskimi urządzeniami. W codziennym życiu niewidomi korzystają również z asystentów głosowych (np. </w:t>
      </w:r>
      <w:proofErr w:type="spellStart"/>
      <w:r w:rsidRPr="00BF6615">
        <w:rPr>
          <w:rFonts w:cstheme="minorHAnsi"/>
        </w:rPr>
        <w:t>Siri</w:t>
      </w:r>
      <w:proofErr w:type="spellEnd"/>
      <w:r w:rsidRPr="00BF6615">
        <w:rPr>
          <w:rFonts w:cstheme="minorHAnsi"/>
        </w:rPr>
        <w:t xml:space="preserve">, Asystent Google) – </w:t>
      </w:r>
      <w:r w:rsidRPr="00BF6615">
        <w:rPr>
          <w:rFonts w:cstheme="minorHAnsi"/>
        </w:rPr>
        <w:lastRenderedPageBreak/>
        <w:t xml:space="preserve">podczas testów w badaniu paru uczestników wydawało komendy głosowe Asystentowi Google, by ominąć pewne bariery interfejsu. </w:t>
      </w:r>
    </w:p>
    <w:p w14:paraId="00DE69E7" w14:textId="5012D082" w:rsidR="00B13433" w:rsidRPr="00BF6615" w:rsidRDefault="00B13433" w:rsidP="007E26B5">
      <w:pPr>
        <w:rPr>
          <w:rFonts w:cstheme="minorHAnsi"/>
        </w:rPr>
      </w:pPr>
      <w:r w:rsidRPr="00BF6615">
        <w:rPr>
          <w:rFonts w:cstheme="minorHAnsi"/>
          <w:b/>
          <w:bCs/>
        </w:rPr>
        <w:t>Osoby słabowidzące</w:t>
      </w:r>
      <w:r w:rsidRPr="00BF6615">
        <w:rPr>
          <w:rFonts w:cstheme="minorHAnsi"/>
        </w:rPr>
        <w:t xml:space="preserve"> stosują oprogramowanie powiększające ekran (zoom) oraz zmieniające kontrast kolorów. Często korzystają z wbudowanych w system operacyjny lup, powiększają czcionki w przeglądarce, ustawiają wysoki kontrast albo używają dedykowanych aplikacji. Ważnym „narzędziem” bywa też dla nich duży monitor </w:t>
      </w:r>
      <w:r w:rsidR="000A692A" w:rsidRPr="00BF6615">
        <w:rPr>
          <w:rFonts w:cstheme="minorHAnsi"/>
        </w:rPr>
        <w:t>o</w:t>
      </w:r>
      <w:r w:rsidR="000A692A">
        <w:rPr>
          <w:rFonts w:cstheme="minorHAnsi"/>
        </w:rPr>
        <w:t> </w:t>
      </w:r>
      <w:r w:rsidRPr="00BF6615">
        <w:rPr>
          <w:rFonts w:cstheme="minorHAnsi"/>
        </w:rPr>
        <w:t>wysokiej rozdzielczości.</w:t>
      </w:r>
    </w:p>
    <w:p w14:paraId="6F9176D7" w14:textId="35FAE0C1" w:rsidR="00B13433" w:rsidRPr="00BF6615" w:rsidRDefault="00B13433" w:rsidP="007E26B5">
      <w:pPr>
        <w:rPr>
          <w:rFonts w:cstheme="minorHAnsi"/>
        </w:rPr>
      </w:pPr>
      <w:r w:rsidRPr="00BF6615">
        <w:rPr>
          <w:rFonts w:cstheme="minorHAnsi"/>
          <w:b/>
          <w:bCs/>
        </w:rPr>
        <w:t>Osoby niesłyszące i słabosłyszące</w:t>
      </w:r>
      <w:r w:rsidRPr="00BF6615">
        <w:rPr>
          <w:rFonts w:cstheme="minorHAnsi"/>
        </w:rPr>
        <w:t xml:space="preserve"> nie potrzebują specjalnych urządzeń do obsługi stron internetowych (poza standardowymi aparatami słuchowymi czy implantami ślimakowymi, które poprawiają im słuch w życiu codziennym). Bardziej istotne jest dla nich dostosowanie treści – dlatego często korzystają z napisów do materiałów wideo </w:t>
      </w:r>
      <w:r w:rsidR="000A692A" w:rsidRPr="00BF6615">
        <w:rPr>
          <w:rFonts w:cstheme="minorHAnsi"/>
        </w:rPr>
        <w:t>i</w:t>
      </w:r>
      <w:r w:rsidR="000A692A">
        <w:rPr>
          <w:rFonts w:cstheme="minorHAnsi"/>
        </w:rPr>
        <w:t> </w:t>
      </w:r>
      <w:r w:rsidRPr="00BF6615">
        <w:rPr>
          <w:rFonts w:cstheme="minorHAnsi"/>
        </w:rPr>
        <w:t xml:space="preserve">cenią możliwość włączenia transkrypcji automatycznej. W trakcie badania </w:t>
      </w:r>
      <w:r w:rsidR="000A692A" w:rsidRPr="00BF6615">
        <w:rPr>
          <w:rFonts w:cstheme="minorHAnsi"/>
        </w:rPr>
        <w:t>w</w:t>
      </w:r>
      <w:r w:rsidR="000A692A">
        <w:rPr>
          <w:rFonts w:cstheme="minorHAnsi"/>
        </w:rPr>
        <w:t> </w:t>
      </w:r>
      <w:r w:rsidRPr="00BF6615">
        <w:rPr>
          <w:rFonts w:cstheme="minorHAnsi"/>
        </w:rPr>
        <w:t>wywiadach tym osobom asystowali tłumacze języka migowego PJM. Badani w tej grupie podkreślali, że powinien być kontakt online z tłumaczem PJM aby sprawniej załatwiać urzędowe sprawy.</w:t>
      </w:r>
    </w:p>
    <w:p w14:paraId="3A891197" w14:textId="748D0A60" w:rsidR="00B13433" w:rsidRPr="00BF6615" w:rsidRDefault="00B13433" w:rsidP="007E26B5">
      <w:pPr>
        <w:rPr>
          <w:rFonts w:cstheme="minorHAnsi"/>
        </w:rPr>
      </w:pPr>
      <w:r w:rsidRPr="00BF6615">
        <w:rPr>
          <w:rFonts w:cstheme="minorHAnsi"/>
          <w:b/>
          <w:bCs/>
        </w:rPr>
        <w:t>Osoby z dysfunkcją narządu ruchu</w:t>
      </w:r>
      <w:r w:rsidRPr="00BF6615">
        <w:rPr>
          <w:rFonts w:cstheme="minorHAnsi"/>
        </w:rPr>
        <w:t xml:space="preserve"> często korzystają z niestandardowych urządzeń sterujących przy obsłudze komputera. W zależności od stopnia i rodzaju niepełnosprawności mogą to być np. przełączniki sterujące obsługiwane głową lub stopą, trackballe zastępujące mysz, joysticki komputerowe czy nawet interfejsy obsługiwane ruchami gałek ocznych. W badaniu zapewniono im możliwość korzystania </w:t>
      </w:r>
      <w:r w:rsidR="000A692A" w:rsidRPr="00BF6615">
        <w:rPr>
          <w:rFonts w:cstheme="minorHAnsi"/>
        </w:rPr>
        <w:t>z</w:t>
      </w:r>
      <w:r w:rsidR="000A692A">
        <w:rPr>
          <w:rFonts w:cstheme="minorHAnsi"/>
        </w:rPr>
        <w:t> </w:t>
      </w:r>
      <w:r w:rsidRPr="00BF6615">
        <w:rPr>
          <w:rFonts w:cstheme="minorHAnsi"/>
        </w:rPr>
        <w:t>własnych urządzeń, jeśli takie mieli. Część osób z tej grupy radzi sobie też stosując dyktowanie mowy – zamiast pisać na klawiaturze, dyktują tekst. Ogólnie grupa ta charakteryzuje się wysoką kreatywnością w doborze narzędzi: np. jeśli ktoś ma niesprawne ręce, może używać rysika trzymanego w ustach do obsługi tabletu – wszystko zależy od indywidualnych potrzeb. Ważne jednak, by strony były z tym kompatybilne (np. dały się obsłużyć samą klawiaturą lub prostymi przełącznikami).</w:t>
      </w:r>
    </w:p>
    <w:p w14:paraId="37749A0F" w14:textId="77777777" w:rsidR="00B13433" w:rsidRPr="00BF6615" w:rsidRDefault="00B13433" w:rsidP="007E26B5">
      <w:pPr>
        <w:rPr>
          <w:rFonts w:cstheme="minorHAnsi"/>
        </w:rPr>
      </w:pPr>
      <w:r w:rsidRPr="00BF6615">
        <w:rPr>
          <w:rFonts w:cstheme="minorHAnsi"/>
          <w:b/>
          <w:bCs/>
        </w:rPr>
        <w:t>Osoby z niepełnosprawnością intelektualną</w:t>
      </w:r>
      <w:r w:rsidRPr="00BF6615">
        <w:rPr>
          <w:rFonts w:cstheme="minorHAnsi"/>
        </w:rPr>
        <w:t xml:space="preserve"> na ogół nie korzystają z żadnych specjalistycznych technologii wspomagających – używają standardowych komputerów, smartfonów, często pod okiem asystentów. Dla nich „technologią wspomagającą” bywa po prostu obecność drugiej osoby, która w razie czego pomoże. Rzeczywiście, wielu badanych z tej grupy przyznało, że w razie trudności proszą o pomoc kogoś bliskiego zamiast próbować samodzielnie pokonać problem techniczny. Z punktu widzenia dostępności warto więc tworzyć takie funkcje, które ułatwią też asystowanie – np. tryb „łatwy” strony, z którego może korzystać osoba z niepełnosprawnością intelektualną lub trudnościami poznawczymi. </w:t>
      </w:r>
    </w:p>
    <w:p w14:paraId="0F4700E0" w14:textId="77777777" w:rsidR="00B13433" w:rsidRPr="00BF6615" w:rsidRDefault="00B13433" w:rsidP="007E26B5">
      <w:pPr>
        <w:rPr>
          <w:rFonts w:cstheme="minorHAnsi"/>
        </w:rPr>
      </w:pPr>
      <w:r w:rsidRPr="00BF6615">
        <w:rPr>
          <w:rFonts w:cstheme="minorHAnsi"/>
          <w:b/>
          <w:bCs/>
        </w:rPr>
        <w:lastRenderedPageBreak/>
        <w:t>Osoby 60+</w:t>
      </w:r>
      <w:r w:rsidRPr="00BF6615">
        <w:rPr>
          <w:rFonts w:cstheme="minorHAnsi"/>
        </w:rPr>
        <w:t xml:space="preserve"> również zwykle nie używają specjalnych urządzeń wspomagających. Wielu seniorów nawet nie zna np. możliwości powiększenia strony przeglądarki, choć niektórzy z nich instynktownie zwiększają skalę tekstu. Część posługuje się podstawowymi ustawieniami ułatwień (większy wskaźnik myszy, prosty telefon z dużymi przyciskami). W razie problemów seniorzy często zwracają się do dzieci lub wnuków o pomoc.</w:t>
      </w:r>
    </w:p>
    <w:p w14:paraId="31F95988" w14:textId="1D8045D7" w:rsidR="00B13433" w:rsidRPr="00BF6615" w:rsidRDefault="00B13433" w:rsidP="007E26B5">
      <w:pPr>
        <w:rPr>
          <w:rFonts w:cstheme="minorHAnsi"/>
        </w:rPr>
      </w:pPr>
      <w:r w:rsidRPr="00BF6615">
        <w:rPr>
          <w:rFonts w:cstheme="minorHAnsi"/>
          <w:b/>
          <w:bCs/>
        </w:rPr>
        <w:t>Podsumowując, osoby z niepełnosprawnościami korzystają z różnych narzędzi ułatwiających im obsługę urządzeń, lecz to na twórcach stron/aplikacji spoczywa obowiązek, by strony były z tymi narzędziami kompatybilne.</w:t>
      </w:r>
      <w:r w:rsidRPr="00BF6615">
        <w:rPr>
          <w:rFonts w:cstheme="minorHAnsi"/>
        </w:rPr>
        <w:t xml:space="preserve"> Prawo wymaga, by strony spełniały standardy dostępności właśnie m.in. po to, aby współpracowały z czytnikami ekranu, lupami czy przełącznikami. </w:t>
      </w:r>
      <w:r w:rsidRPr="00BF6615">
        <w:rPr>
          <w:rFonts w:cstheme="minorHAnsi"/>
          <w:b/>
          <w:bCs/>
        </w:rPr>
        <w:t>Niestety, gdy tego brakuje, nawet najlepsza technologia asystująca nie pomoże – i wielu użytkowników pozostaje bezradnych, mimo że teoretycznie mają narzędzia</w:t>
      </w:r>
      <w:r w:rsidRPr="00BF6615">
        <w:rPr>
          <w:rFonts w:cstheme="minorHAnsi"/>
        </w:rPr>
        <w:t xml:space="preserve"> (np. niewidomy z doskonałym czytnikiem ekranu nic nie wskóra na stronie, gdzie wszystko jest grafiką bez opisu). Stąd tak ważne są</w:t>
      </w:r>
      <w:r w:rsidR="000A692A">
        <w:rPr>
          <w:rFonts w:cstheme="minorHAnsi"/>
        </w:rPr>
        <w:t> </w:t>
      </w:r>
      <w:r w:rsidRPr="00BF6615">
        <w:rPr>
          <w:rFonts w:cstheme="minorHAnsi"/>
        </w:rPr>
        <w:t xml:space="preserve">wszystkie postulaty zgłaszane przez badanych, aby zlikwidować bariery na </w:t>
      </w:r>
      <w:r w:rsidR="000A692A" w:rsidRPr="00BF6615">
        <w:rPr>
          <w:rFonts w:cstheme="minorHAnsi"/>
        </w:rPr>
        <w:t>poziomie</w:t>
      </w:r>
      <w:r w:rsidR="000A692A">
        <w:rPr>
          <w:rFonts w:cstheme="minorHAnsi"/>
        </w:rPr>
        <w:t> </w:t>
      </w:r>
      <w:r w:rsidRPr="00BF6615">
        <w:rPr>
          <w:rFonts w:cstheme="minorHAnsi"/>
        </w:rPr>
        <w:t>strony.</w:t>
      </w:r>
    </w:p>
    <w:p w14:paraId="45EC8D2C" w14:textId="77777777" w:rsidR="00B13433" w:rsidRPr="00BF6615" w:rsidRDefault="00B13433" w:rsidP="00B271C3">
      <w:pPr>
        <w:pStyle w:val="Nagwek4"/>
      </w:pPr>
      <w:bookmarkStart w:id="186" w:name="_Toc196827628"/>
      <w:r w:rsidRPr="338987BF">
        <w:t>Deklaracja dostępności</w:t>
      </w:r>
      <w:bookmarkEnd w:id="186"/>
    </w:p>
    <w:p w14:paraId="1EF0B7DD" w14:textId="7FACB2E3" w:rsidR="00B13433" w:rsidRPr="00BF6615" w:rsidRDefault="00B13433" w:rsidP="007E26B5">
      <w:pPr>
        <w:rPr>
          <w:rFonts w:cstheme="minorHAnsi"/>
        </w:rPr>
      </w:pPr>
      <w:r w:rsidRPr="00BF6615">
        <w:rPr>
          <w:rFonts w:cstheme="minorHAnsi"/>
        </w:rPr>
        <w:t xml:space="preserve">Deklaracja dostępności to dokument zamieszczany na stronie instytucji publicznej, który opisuje stan jej dostosowania do wymogów prawnych. Choć zgodnie z ustawą </w:t>
      </w:r>
      <w:r w:rsidR="00A42EFD" w:rsidRPr="00BF6615">
        <w:rPr>
          <w:rFonts w:cstheme="minorHAnsi"/>
        </w:rPr>
        <w:t>o</w:t>
      </w:r>
      <w:r w:rsidR="00A42EFD">
        <w:rPr>
          <w:rFonts w:cstheme="minorHAnsi"/>
        </w:rPr>
        <w:t> </w:t>
      </w:r>
      <w:r w:rsidRPr="00BF6615">
        <w:rPr>
          <w:rFonts w:cstheme="minorHAnsi"/>
        </w:rPr>
        <w:t xml:space="preserve">dostępności cyfrowej każda strona/aplikacja publiczna powinna posiadać taką deklarację i określoną zawartość w jej treści, w praktyce badani użytkownicy </w:t>
      </w:r>
      <w:r w:rsidR="00A42EFD" w:rsidRPr="00BF6615">
        <w:rPr>
          <w:rFonts w:cstheme="minorHAnsi"/>
        </w:rPr>
        <w:t>i</w:t>
      </w:r>
      <w:r w:rsidR="00A42EFD">
        <w:rPr>
          <w:rFonts w:cstheme="minorHAnsi"/>
        </w:rPr>
        <w:t> </w:t>
      </w:r>
      <w:r w:rsidRPr="00BF6615">
        <w:rPr>
          <w:rFonts w:cstheme="minorHAnsi"/>
        </w:rPr>
        <w:t>użytkowniczki prawie w ogóle z nich nie korzystają. Większość badanych nigdy nie miała styczności z deklaracjami dostępności albo nawet nie słyszała o ich istnieniu. Osoby z niepełnosprawnością intelektualną przyznały, że nie znają tych deklaracji i nie zaglądają do nich. Nie potrafią też wskazać, czego mogłyby od takiego dokumentu oczekiwać – koncentrują się raczej na praktycznej funkcjonalności strony, a nie na formalnych zapisach.</w:t>
      </w:r>
    </w:p>
    <w:p w14:paraId="13CA5BD3" w14:textId="03A372FA" w:rsidR="00B13433" w:rsidRPr="00BF6615" w:rsidRDefault="00B13433" w:rsidP="007E26B5">
      <w:pPr>
        <w:rPr>
          <w:rFonts w:cstheme="minorHAnsi"/>
        </w:rPr>
      </w:pPr>
      <w:r w:rsidRPr="00BF6615">
        <w:rPr>
          <w:rFonts w:cstheme="minorHAnsi"/>
        </w:rPr>
        <w:t xml:space="preserve">Nieliczni respondenci, którzy zetknęli się z deklaracjami, zauważyli często rozbieżność między ich treścią a rzeczywistością. „To, co jest zadeklarowane, nie pokrywa się </w:t>
      </w:r>
      <w:r w:rsidR="00A42EFD" w:rsidRPr="00BF6615">
        <w:rPr>
          <w:rFonts w:cstheme="minorHAnsi"/>
        </w:rPr>
        <w:t>z</w:t>
      </w:r>
      <w:r w:rsidR="00A42EFD">
        <w:rPr>
          <w:rFonts w:cstheme="minorHAnsi"/>
        </w:rPr>
        <w:t> </w:t>
      </w:r>
      <w:r w:rsidRPr="00BF6615">
        <w:rPr>
          <w:rFonts w:cstheme="minorHAnsi"/>
        </w:rPr>
        <w:t xml:space="preserve">faktyczną dostępnością” – zauważono w jednej z rozmów. Osoby niewidome, które czytały deklaracje, stwierdziły, że często są one napisane w sposób dla nich niezrozumiały i że niewiele z nich wynika. Dla badanych liczy się realna użyteczność strony, a nie formalne zapewnienia. </w:t>
      </w:r>
      <w:r w:rsidRPr="00BF6615">
        <w:rPr>
          <w:rFonts w:cstheme="minorHAnsi"/>
          <w:b/>
          <w:bCs/>
        </w:rPr>
        <w:t>W obecnej formie deklaracje dostępności oceniane są jako mało pomocne – dopóki nie niosą za sobą faktycznych usprawnień (np. dopóki nie są aktualizowane i weryfikowane w praktyce), wiele osób je pomija</w:t>
      </w:r>
      <w:r w:rsidRPr="00BF6615">
        <w:rPr>
          <w:rFonts w:cstheme="minorHAnsi"/>
        </w:rPr>
        <w:t>. Osoby 60+ również nie znały pojęcia deklaracji dostępności – żaden z uczestników nie przypominał sobie, by widział lub używał takiego dokumentu, a niektórzy wprost dopytywali, „</w:t>
      </w:r>
      <w:r w:rsidR="00A42EFD" w:rsidRPr="00BF6615">
        <w:rPr>
          <w:rFonts w:cstheme="minorHAnsi"/>
        </w:rPr>
        <w:t>O</w:t>
      </w:r>
      <w:r w:rsidR="00A42EFD">
        <w:rPr>
          <w:rFonts w:cstheme="minorHAnsi"/>
        </w:rPr>
        <w:t> </w:t>
      </w:r>
      <w:r w:rsidRPr="00BF6615">
        <w:rPr>
          <w:rFonts w:cstheme="minorHAnsi"/>
        </w:rPr>
        <w:t>jakiej deklaracji mowa?”.</w:t>
      </w:r>
    </w:p>
    <w:p w14:paraId="55316C84" w14:textId="77777777" w:rsidR="00B13433" w:rsidRPr="00BF6615" w:rsidRDefault="00B13433" w:rsidP="007E26B5">
      <w:pPr>
        <w:rPr>
          <w:rFonts w:cstheme="minorHAnsi"/>
        </w:rPr>
      </w:pPr>
      <w:r w:rsidRPr="00BF6615">
        <w:rPr>
          <w:rFonts w:cstheme="minorHAnsi"/>
          <w:b/>
          <w:bCs/>
        </w:rPr>
        <w:lastRenderedPageBreak/>
        <w:t>Ogólny wniosek jest taki, że deklaracje dostępności funkcjonują raczej na papierze (spełniając wymóg prawny) niż w świadomości użytkowników</w:t>
      </w:r>
      <w:r w:rsidRPr="00BF6615">
        <w:rPr>
          <w:rFonts w:cstheme="minorHAnsi"/>
        </w:rPr>
        <w:t xml:space="preserve">. Osoby z niepełnosprawnościami i seniorzy albo nie wiedzą o ich istnieniu, albo nie bardzo rozumieją, czemu miałyby one służyć. </w:t>
      </w:r>
      <w:r w:rsidRPr="00BF6615">
        <w:rPr>
          <w:rFonts w:cstheme="minorHAnsi"/>
          <w:b/>
          <w:bCs/>
        </w:rPr>
        <w:t>Respondenci podkreślali, że dla nich dostępność to coś, co się odczuwa podczas korzystania ze strony, a nie informacja w deklaracji</w:t>
      </w:r>
      <w:r w:rsidRPr="00BF6615">
        <w:rPr>
          <w:rFonts w:cstheme="minorHAnsi"/>
        </w:rPr>
        <w:t>. Z perspektywy użytkowniczki i użytkownika deklaracja dostępności może więc być przydatna tylko wtedy, gdy jest wiarygodna, zrozumiała i powiązana z realnymi mechanizmami poprawy – inaczej pozostaje martwym obowiązkiem prawnym, który nie przekłada się na doświadczenie korzystania z strony.</w:t>
      </w:r>
    </w:p>
    <w:p w14:paraId="641CED00" w14:textId="77777777" w:rsidR="00B13433" w:rsidRPr="00BF6615" w:rsidRDefault="00B13433" w:rsidP="007E26B5">
      <w:pPr>
        <w:rPr>
          <w:rFonts w:cstheme="minorHAnsi"/>
        </w:rPr>
      </w:pPr>
    </w:p>
    <w:p w14:paraId="54395DF6" w14:textId="77777777" w:rsidR="00AE3EEB" w:rsidRDefault="00AE3EEB" w:rsidP="007E26B5">
      <w:pPr>
        <w:spacing w:after="160" w:line="259" w:lineRule="auto"/>
        <w:rPr>
          <w:rFonts w:eastAsiaTheme="majorEastAsia" w:cstheme="minorHAnsi"/>
          <w:b/>
          <w:bCs/>
          <w:color w:val="C00000"/>
          <w:sz w:val="36"/>
          <w:szCs w:val="28"/>
        </w:rPr>
      </w:pPr>
      <w:bookmarkStart w:id="187" w:name="_Toc196827629"/>
      <w:r>
        <w:br w:type="page"/>
      </w:r>
    </w:p>
    <w:p w14:paraId="44BD0C2A" w14:textId="3CA9AC07" w:rsidR="00B13433" w:rsidRPr="00BF6615" w:rsidRDefault="00B13433" w:rsidP="007E26B5">
      <w:pPr>
        <w:pStyle w:val="Nagwek2"/>
      </w:pPr>
      <w:bookmarkStart w:id="188" w:name="_Toc204179242"/>
      <w:r w:rsidRPr="00BF6615">
        <w:lastRenderedPageBreak/>
        <w:t>Wnioski z badania</w:t>
      </w:r>
      <w:bookmarkEnd w:id="187"/>
      <w:r w:rsidR="00EA6C9B" w:rsidRPr="00BF6615">
        <w:t xml:space="preserve"> jakościowego</w:t>
      </w:r>
      <w:bookmarkEnd w:id="188"/>
    </w:p>
    <w:p w14:paraId="47D8C1BA" w14:textId="222C3220" w:rsidR="00B13433" w:rsidRPr="00BF6615" w:rsidRDefault="00B13433" w:rsidP="007E26B5">
      <w:pPr>
        <w:rPr>
          <w:rFonts w:cstheme="minorHAnsi"/>
        </w:rPr>
      </w:pPr>
      <w:r w:rsidRPr="00BF6615">
        <w:rPr>
          <w:rFonts w:cstheme="minorHAnsi"/>
        </w:rPr>
        <w:t>Na podstawie analizy wyników badań jakościowych sformułowano kilka kluczowych wniosków, które wskazują na pilną potrzebę poprawy stron i aplikacji publicznych dla zapewnienia dostępności dla osób ze szczególnymi potrzebami.</w:t>
      </w:r>
    </w:p>
    <w:p w14:paraId="618CD655" w14:textId="4B10140B" w:rsidR="00B13433" w:rsidRPr="00BF6615" w:rsidRDefault="00B13433" w:rsidP="007E26B5">
      <w:pPr>
        <w:rPr>
          <w:rFonts w:cstheme="minorHAnsi"/>
        </w:rPr>
      </w:pPr>
      <w:r w:rsidRPr="00BF6615">
        <w:rPr>
          <w:rFonts w:cstheme="minorHAnsi"/>
          <w:b/>
          <w:bCs/>
        </w:rPr>
        <w:t>Powszechne bariery</w:t>
      </w:r>
      <w:r w:rsidR="002F6492">
        <w:rPr>
          <w:rFonts w:cstheme="minorHAnsi"/>
        </w:rPr>
        <w:t>.</w:t>
      </w:r>
      <w:r w:rsidRPr="00BF6615">
        <w:rPr>
          <w:rFonts w:cstheme="minorHAnsi"/>
        </w:rPr>
        <w:t xml:space="preserve"> Żaden z badanych nie ocenia obecnych stron/aplikacji publicznych jako w pełni dostępnych – we wszystkich grupach występują poważne bariery, które uniemożliwiają samodzielne korzystanie z e-usług. Najczęściej powtarzają się problemy z nawigacją i czytelnością (chaotyczny układ, przeładowanie treścią, mała czcionka, niski kontrast) oraz brak dostosowania do technologii asystujących czy do szczególnych potrzeb danej grupy (np. brak opisów dla grafik, brak tłumaczeń na język migowy).</w:t>
      </w:r>
    </w:p>
    <w:p w14:paraId="73076BF1" w14:textId="52BFA29E" w:rsidR="00B13433" w:rsidRPr="00BF6615" w:rsidRDefault="00B13433" w:rsidP="007E26B5">
      <w:pPr>
        <w:rPr>
          <w:rFonts w:cstheme="minorHAnsi"/>
        </w:rPr>
      </w:pPr>
      <w:r w:rsidRPr="00BF6615">
        <w:rPr>
          <w:rFonts w:cstheme="minorHAnsi"/>
          <w:b/>
          <w:bCs/>
        </w:rPr>
        <w:t>Efekt barier – wykluczenie cyfrowe</w:t>
      </w:r>
      <w:r w:rsidR="002F6492">
        <w:rPr>
          <w:rFonts w:cstheme="minorHAnsi"/>
        </w:rPr>
        <w:t>.</w:t>
      </w:r>
      <w:r w:rsidRPr="00BF6615">
        <w:rPr>
          <w:rFonts w:cstheme="minorHAnsi"/>
        </w:rPr>
        <w:t xml:space="preserve"> W rezultacie osoby z niepełnosprawnościami oraz wielu seniorów często rezygnuje z korzystania z usług publicznych online lub są zmuszeni szukać pomocy u innych. Cyfryzacja, która miała ułatwiać załatwianie spraw, dla tych grup bywa kolejną przeszkodą – prowadzi do uzależnienia od asystenta lub do konieczności załatwiania spraw tradycyjnie, co oznacza de facto cyfrowe wykluczenie tych osób.</w:t>
      </w:r>
    </w:p>
    <w:p w14:paraId="7EC5006C" w14:textId="307E8889" w:rsidR="00B13433" w:rsidRPr="00BF6615" w:rsidRDefault="00B13433" w:rsidP="007E26B5">
      <w:pPr>
        <w:rPr>
          <w:rFonts w:cstheme="minorHAnsi"/>
        </w:rPr>
      </w:pPr>
      <w:r w:rsidRPr="00BF6615">
        <w:rPr>
          <w:rFonts w:cstheme="minorHAnsi"/>
          <w:b/>
          <w:bCs/>
        </w:rPr>
        <w:t>Kluczowe oczekiwania</w:t>
      </w:r>
      <w:r w:rsidR="002F6492">
        <w:rPr>
          <w:rFonts w:cstheme="minorHAnsi"/>
        </w:rPr>
        <w:t>.</w:t>
      </w:r>
      <w:r w:rsidRPr="00BF6615">
        <w:rPr>
          <w:rFonts w:cstheme="minorHAnsi"/>
        </w:rPr>
        <w:t xml:space="preserve"> Wszyscy badani oczekują gruntownego uproszczenia </w:t>
      </w:r>
      <w:r w:rsidR="00A42EFD" w:rsidRPr="00BF6615">
        <w:rPr>
          <w:rFonts w:cstheme="minorHAnsi"/>
        </w:rPr>
        <w:t>i</w:t>
      </w:r>
      <w:r w:rsidR="00A42EFD">
        <w:rPr>
          <w:rFonts w:cstheme="minorHAnsi"/>
        </w:rPr>
        <w:t> </w:t>
      </w:r>
      <w:r w:rsidRPr="00BF6615">
        <w:rPr>
          <w:rFonts w:cstheme="minorHAnsi"/>
        </w:rPr>
        <w:t>uczytelnienia stron/aplikacji publicznych. Podkreślają potrzebę przejrzystego, intuicyjnego układu, prostego języka komunikatów oraz możliwości dostosowania wyglądu (skalowania tekstu, zmiany kontrastu) do własnych potrzeb. Celem jest umożliwienie im pełnej samodzielności w załatwianiu spraw drogą elektroniczną – bez barier na żadnym etapie procesu.</w:t>
      </w:r>
    </w:p>
    <w:p w14:paraId="66AE2372" w14:textId="69D491CF" w:rsidR="00B13433" w:rsidRPr="00BF6615" w:rsidRDefault="00B13433" w:rsidP="007E26B5">
      <w:pPr>
        <w:rPr>
          <w:rFonts w:cstheme="minorHAnsi"/>
        </w:rPr>
      </w:pPr>
      <w:r w:rsidRPr="00BF6615">
        <w:rPr>
          <w:rFonts w:cstheme="minorHAnsi"/>
          <w:b/>
          <w:bCs/>
        </w:rPr>
        <w:t>Priorytetowe obszary do poprawy</w:t>
      </w:r>
      <w:r w:rsidR="002F6492">
        <w:rPr>
          <w:rFonts w:cstheme="minorHAnsi"/>
        </w:rPr>
        <w:t>.</w:t>
      </w:r>
      <w:r w:rsidRPr="00BF6615">
        <w:rPr>
          <w:rFonts w:cstheme="minorHAnsi"/>
        </w:rPr>
        <w:t xml:space="preserve"> Najważniejsze dla użytkowników jest poprawienie dostępności tych stron/aplikacji, które dotyczą codziennego życia</w:t>
      </w:r>
      <w:r w:rsidR="002F6492">
        <w:rPr>
          <w:rFonts w:cstheme="minorHAnsi"/>
        </w:rPr>
        <w:t>.</w:t>
      </w:r>
      <w:r w:rsidRPr="00BF6615">
        <w:rPr>
          <w:rFonts w:cstheme="minorHAnsi"/>
        </w:rPr>
        <w:t xml:space="preserve"> lokalnych portali samorządowych, systemów opieki zdrowotnej, platform komunikacji (transport) oraz kluczowych usług administracyjnych (ZUS, podatki, PFRON itp.). To właśnie w tych obszarach brak dostępności najbardziej odczuwają i to ich usprawnienie przyniesie najszybsze i największe efekty.</w:t>
      </w:r>
    </w:p>
    <w:p w14:paraId="4192C220" w14:textId="375AFBA5" w:rsidR="00B13433" w:rsidRPr="00BF6615" w:rsidRDefault="00B13433" w:rsidP="007E26B5">
      <w:pPr>
        <w:rPr>
          <w:rFonts w:cstheme="minorHAnsi"/>
        </w:rPr>
      </w:pPr>
      <w:r w:rsidRPr="00BF6615">
        <w:rPr>
          <w:rFonts w:cstheme="minorHAnsi"/>
          <w:b/>
          <w:bCs/>
        </w:rPr>
        <w:t>Rzeczywista kontra formalna dostępność</w:t>
      </w:r>
      <w:r w:rsidR="002F6492">
        <w:rPr>
          <w:rFonts w:cstheme="minorHAnsi"/>
        </w:rPr>
        <w:t>.</w:t>
      </w:r>
      <w:r w:rsidRPr="00BF6615">
        <w:rPr>
          <w:rFonts w:cstheme="minorHAnsi"/>
        </w:rPr>
        <w:t xml:space="preserve"> Istnieje rozdźwięk między formalnymi deklaracjami a rzeczywistością – deklaracje dostępności, choć wymagane prawem, są nieznane lub niezrozumiałe dla użytkowników i nie wpływają na ich doświadczenia korzystania ze stron/aplikacji. Użytkownicy i użytkowniczki oceniają strony po faktycznej użyteczności. Dlatego kluczowym wnioskiem jest konieczność przekucia wymogów prawnych na realne działanie stron/aplikacji. Bez tego osoby z niepełnosprawnościami pozostaną wykluczone z pełnego korzystania z cyfrowych usług publicznych.</w:t>
      </w:r>
    </w:p>
    <w:p w14:paraId="362E2D2D" w14:textId="5C3827B6" w:rsidR="00B13433" w:rsidRPr="00BF6615" w:rsidRDefault="00B13433" w:rsidP="007E26B5">
      <w:pPr>
        <w:rPr>
          <w:rFonts w:cstheme="minorHAnsi"/>
        </w:rPr>
      </w:pPr>
      <w:r w:rsidRPr="00BF6615">
        <w:rPr>
          <w:rFonts w:cstheme="minorHAnsi"/>
          <w:b/>
          <w:bCs/>
        </w:rPr>
        <w:lastRenderedPageBreak/>
        <w:t>Narzędzia dostępu implementowane na stronach</w:t>
      </w:r>
      <w:r w:rsidR="002F6492">
        <w:rPr>
          <w:rFonts w:cstheme="minorHAnsi"/>
        </w:rPr>
        <w:t>.</w:t>
      </w:r>
      <w:r w:rsidRPr="00BF6615">
        <w:rPr>
          <w:rFonts w:cstheme="minorHAnsi"/>
        </w:rPr>
        <w:t xml:space="preserve"> W toku przeprowadzonych badań jakościowych (testy z użytkownikami) zaobserwowano problem związany z percepcją i identyfikacją funkcji ułatwiających dostępność na stronach internetowych. Uczestnicy badania często nie byli świadomi istnienia mechanizmów wspierających dostępność, takich jak możliwość zmiany rozmiaru czcionki, czy przełączenia wersji wysokokontrastowej. Problemem był również brak standaryzacji ikon. </w:t>
      </w:r>
      <w:r w:rsidR="00A42EFD" w:rsidRPr="00BF6615">
        <w:rPr>
          <w:rFonts w:cstheme="minorHAnsi"/>
        </w:rPr>
        <w:t>W</w:t>
      </w:r>
      <w:r w:rsidR="00A42EFD">
        <w:rPr>
          <w:rFonts w:cstheme="minorHAnsi"/>
        </w:rPr>
        <w:t> </w:t>
      </w:r>
      <w:r w:rsidRPr="00BF6615">
        <w:rPr>
          <w:rFonts w:cstheme="minorHAnsi"/>
        </w:rPr>
        <w:t xml:space="preserve">przeciwieństwie do powszechnie rozpoznawalnych ikon (np. kosz na śmieci, lupa do wyszukiwania), ikony związane z dostępnością (np. oko, postać człowieka w kole, symbol "A </w:t>
      </w:r>
      <w:proofErr w:type="spellStart"/>
      <w:r w:rsidRPr="00BF6615">
        <w:rPr>
          <w:rFonts w:cstheme="minorHAnsi"/>
        </w:rPr>
        <w:t>A</w:t>
      </w:r>
      <w:proofErr w:type="spellEnd"/>
      <w:r w:rsidRPr="00BF6615">
        <w:rPr>
          <w:rFonts w:cstheme="minorHAnsi"/>
        </w:rPr>
        <w:t>", suwak, ręka, itd.) nie są ujednolicone ani powszechnie rozpoznawalne. Ich interpretacja może być zależna od kontekstu, doświadczenia użytkownika i poziomu jego kompetencji cyfrowych.</w:t>
      </w:r>
      <w:r w:rsidRPr="00BF6615">
        <w:t xml:space="preserve"> Dodatkowo trudność stanowił b</w:t>
      </w:r>
      <w:r w:rsidRPr="00BF6615">
        <w:rPr>
          <w:rFonts w:cstheme="minorHAnsi"/>
        </w:rPr>
        <w:t xml:space="preserve">rak spójnego miejsca na stronie z paskiem narzędzi zwiększających dostępność, pomimo, że to rozwiązanie </w:t>
      </w:r>
      <w:r w:rsidR="00A42EFD" w:rsidRPr="00BF6615">
        <w:rPr>
          <w:rFonts w:cstheme="minorHAnsi"/>
        </w:rPr>
        <w:t>z</w:t>
      </w:r>
      <w:r w:rsidR="00A42EFD">
        <w:rPr>
          <w:rFonts w:cstheme="minorHAnsi"/>
        </w:rPr>
        <w:t> </w:t>
      </w:r>
      <w:r w:rsidRPr="00BF6615">
        <w:rPr>
          <w:rFonts w:cstheme="minorHAnsi"/>
        </w:rPr>
        <w:t xml:space="preserve">punktu widzenia dostępności stron nie jest rekomendowane, było zgłaszane przez osoby badane. Często użytkownicy nie wiedzą, gdzie szukać tych funkcji, bo są one rozmieszczane w różnych miejscach, czasem schowane w menu, czasem jako pływające przyciski, czasem dostępne tylko w wersji mobilnej. Rezultatem tych problemów był praktycznie brak korzystania z tych funkcji przez uczestników testów. </w:t>
      </w:r>
    </w:p>
    <w:p w14:paraId="3B68BE45" w14:textId="77777777" w:rsidR="00AE3EEB" w:rsidRDefault="00AE3EEB" w:rsidP="007E26B5">
      <w:pPr>
        <w:spacing w:after="160" w:line="259" w:lineRule="auto"/>
        <w:rPr>
          <w:rFonts w:eastAsiaTheme="majorEastAsia" w:cstheme="minorHAnsi"/>
          <w:b/>
          <w:bCs/>
          <w:color w:val="C00000"/>
          <w:sz w:val="36"/>
          <w:szCs w:val="28"/>
        </w:rPr>
      </w:pPr>
      <w:bookmarkStart w:id="189" w:name="_Toc196827631"/>
      <w:r>
        <w:br w:type="page"/>
      </w:r>
    </w:p>
    <w:p w14:paraId="2487F23D" w14:textId="37D682E8" w:rsidR="00B13433" w:rsidRPr="00BF6615" w:rsidRDefault="00B13433" w:rsidP="007E26B5">
      <w:pPr>
        <w:pStyle w:val="Nagwek2"/>
      </w:pPr>
      <w:bookmarkStart w:id="190" w:name="_Toc204179243"/>
      <w:r w:rsidRPr="00BF6615">
        <w:lastRenderedPageBreak/>
        <w:t xml:space="preserve">Wnioski z badania </w:t>
      </w:r>
      <w:r w:rsidR="00EA6C9B" w:rsidRPr="00BF6615">
        <w:t xml:space="preserve">jakościowego </w:t>
      </w:r>
      <w:r w:rsidRPr="00BF6615">
        <w:t>w podziale na poszczególne grupy badane</w:t>
      </w:r>
      <w:bookmarkEnd w:id="189"/>
      <w:bookmarkEnd w:id="190"/>
    </w:p>
    <w:p w14:paraId="0E64CE4D" w14:textId="77777777" w:rsidR="00B13433" w:rsidRPr="00BF6615" w:rsidRDefault="00B13433" w:rsidP="007E26B5">
      <w:pPr>
        <w:rPr>
          <w:rFonts w:cstheme="minorHAnsi"/>
        </w:rPr>
      </w:pPr>
      <w:r w:rsidRPr="00BF6615">
        <w:rPr>
          <w:rFonts w:cstheme="minorHAnsi"/>
        </w:rPr>
        <w:t>Wnioski z badań jakościowych poddano także indywidualizacji według badanych grup, co zaprezentowano poniżej. Dla każdej z grupy wskazano najważniejsze wnioski – występujące problemy, oczekiwania, priorytety.</w:t>
      </w:r>
    </w:p>
    <w:p w14:paraId="4C4B2608" w14:textId="71585140" w:rsidR="00B13433" w:rsidRPr="00BF6615" w:rsidRDefault="00B13433" w:rsidP="007E26B5">
      <w:pPr>
        <w:rPr>
          <w:rFonts w:cstheme="minorHAnsi"/>
        </w:rPr>
      </w:pPr>
      <w:r w:rsidRPr="00BF6615">
        <w:rPr>
          <w:rFonts w:cstheme="minorHAnsi"/>
          <w:b/>
          <w:bCs/>
        </w:rPr>
        <w:t>Osoby niewidome</w:t>
      </w:r>
      <w:r w:rsidR="002F6492">
        <w:rPr>
          <w:rFonts w:cstheme="minorHAnsi"/>
        </w:rPr>
        <w:t>.</w:t>
      </w:r>
      <w:r w:rsidRPr="00BF6615">
        <w:rPr>
          <w:rFonts w:cstheme="minorHAnsi"/>
        </w:rPr>
        <w:t xml:space="preserve"> Internet jest dla nich niezbędny w codziennym życiu, ale większość stron/aplikacji publicznych jest obecnie praktycznie niedostępna bez pomocy osoby widzącej. Główne problemy to brak opisów dla elementów graficznych i nieuporządkowana nawigacja. Kluczowe potrzeby to pełna kompatybilność stron </w:t>
      </w:r>
      <w:r w:rsidR="00A42EFD" w:rsidRPr="00BF6615">
        <w:rPr>
          <w:rFonts w:cstheme="minorHAnsi"/>
        </w:rPr>
        <w:t>z</w:t>
      </w:r>
      <w:r w:rsidR="00A42EFD">
        <w:rPr>
          <w:rFonts w:cstheme="minorHAnsi"/>
        </w:rPr>
        <w:t> </w:t>
      </w:r>
      <w:r w:rsidRPr="00BF6615">
        <w:rPr>
          <w:rFonts w:cstheme="minorHAnsi"/>
        </w:rPr>
        <w:t>czytnikami ekranu (opisy alternatywne, odpowiednie znaczniki) oraz uproszczenie struktury tak, by mogli samodzielnie załatwiać wszystkie sprawy online – od wypełnienia formularza po odbiór potwierdzenia. Priorytetem dla tej grupy jest dostępność stron/aplikacji związanych ze zdrowiem, komunikacją (transport) i lokalnej administracji, bo z nich muszą korzystać, a dziś często nie mogą tego zrobić bez wsparcia.</w:t>
      </w:r>
    </w:p>
    <w:p w14:paraId="79FED460" w14:textId="152E8C97" w:rsidR="00B13433" w:rsidRPr="00BF6615" w:rsidRDefault="00B13433" w:rsidP="007E26B5">
      <w:pPr>
        <w:rPr>
          <w:rFonts w:cstheme="minorHAnsi"/>
        </w:rPr>
      </w:pPr>
      <w:r w:rsidRPr="00BF6615">
        <w:rPr>
          <w:rFonts w:cstheme="minorHAnsi"/>
          <w:b/>
          <w:bCs/>
        </w:rPr>
        <w:t>Osoby słabowidzące</w:t>
      </w:r>
      <w:r w:rsidR="002F6492">
        <w:rPr>
          <w:rFonts w:cstheme="minorHAnsi"/>
        </w:rPr>
        <w:t>.</w:t>
      </w:r>
      <w:r w:rsidRPr="00BF6615">
        <w:rPr>
          <w:rFonts w:cstheme="minorHAnsi"/>
        </w:rPr>
        <w:t xml:space="preserve"> Ich największym utrudnieniem jest niska czytelność interfejsów – małe, ściśnięte litery, słaby kontrast, niemożność powiększenia elementów powodują, że informacje są dla nich niedostępne. Potrzebują możliwości skalowania tekstu, wysokiego kontrastu i prostego układu graficznego. Część stron/aplikacji (zwłaszcza urzędowych i medycznych) jest dla nich nieużyteczna i wolą załatwiać sprawy osobiście. Poprawa dostępności wizualnej tych stron/aplikacji (większe </w:t>
      </w:r>
      <w:proofErr w:type="spellStart"/>
      <w:r w:rsidRPr="00BF6615">
        <w:rPr>
          <w:rFonts w:cstheme="minorHAnsi"/>
        </w:rPr>
        <w:t>fonty</w:t>
      </w:r>
      <w:proofErr w:type="spellEnd"/>
      <w:r w:rsidRPr="00BF6615">
        <w:rPr>
          <w:rFonts w:cstheme="minorHAnsi"/>
        </w:rPr>
        <w:t xml:space="preserve">, </w:t>
      </w:r>
      <w:proofErr w:type="spellStart"/>
      <w:r w:rsidRPr="00BF6615">
        <w:rPr>
          <w:rFonts w:cstheme="minorHAnsi"/>
        </w:rPr>
        <w:t>responsywność</w:t>
      </w:r>
      <w:proofErr w:type="spellEnd"/>
      <w:r w:rsidRPr="00BF6615">
        <w:rPr>
          <w:rFonts w:cstheme="minorHAnsi"/>
        </w:rPr>
        <w:t>, kontrast) znacząco zwiększy ich samodzielność w korzystaniu z e-administracji.</w:t>
      </w:r>
    </w:p>
    <w:p w14:paraId="40264E0D" w14:textId="2C0C337D" w:rsidR="00B13433" w:rsidRPr="00BF6615" w:rsidRDefault="00B13433" w:rsidP="007E26B5">
      <w:pPr>
        <w:rPr>
          <w:rFonts w:cstheme="minorHAnsi"/>
        </w:rPr>
      </w:pPr>
      <w:r w:rsidRPr="00BF6615">
        <w:rPr>
          <w:rFonts w:cstheme="minorHAnsi"/>
          <w:b/>
          <w:bCs/>
        </w:rPr>
        <w:t>Osoby niesłyszące i słabosłyszące</w:t>
      </w:r>
      <w:r w:rsidR="002F6492">
        <w:rPr>
          <w:rFonts w:cstheme="minorHAnsi"/>
        </w:rPr>
        <w:t>.</w:t>
      </w:r>
      <w:r w:rsidRPr="00BF6615">
        <w:rPr>
          <w:rFonts w:cstheme="minorHAnsi"/>
        </w:rPr>
        <w:t xml:space="preserve"> Dla tej grupy kluczowe jest zniesienie bariery językowej. Obecnie strony publiczne są dla nich w większości niedostępne – brak tłumaczeń na PJM, a tekst pisany bywa zbyt trudny, przez co wiele osób unika  samodzielnego korzystania i muszą szukać pomocy u słyszących bliskich. Potrzebują wbudowanych tłumaczeń na język migowy, uproszczonego języka treści oraz więcej elementów wizualnych (piktogramów, instrukcji obrazkowych). Priorytetowe jest również stworzenie możliwości łatwego kontaktu z urzędem w formie migowej (np. czat z tłumaczem). Bez takich zmian osoby głuche i niedosłyszące pozostaną w znacznym stopniu wykluczone z e-usług.</w:t>
      </w:r>
    </w:p>
    <w:p w14:paraId="188D2736" w14:textId="6431EB46" w:rsidR="00B13433" w:rsidRPr="00BF6615" w:rsidRDefault="00B13433" w:rsidP="007E26B5">
      <w:r w:rsidRPr="338987BF">
        <w:rPr>
          <w:b/>
        </w:rPr>
        <w:t>Osoby z dysfunkcją narządu ruchu</w:t>
      </w:r>
      <w:r w:rsidR="002F6492">
        <w:t>.</w:t>
      </w:r>
      <w:r w:rsidRPr="338987BF">
        <w:t xml:space="preserve"> Dla tej grupy Internet ma ogromny potencjał – umożliwia im załatwianie spraw bez fizycznego wysiłku i wychodzenia z domu, co jest kluczowe. Wykorzystują oni wiele e-usług, ale napotykają na błędy i nieintuicyjne rozwiązania na stronach (np. niedziałające formularze rejestracji wizyt, różnice między portalami). To zniechęca i podważa zaufanie. Potrzebują niezawodnych, spójnych </w:t>
      </w:r>
      <w:r w:rsidRPr="338987BF">
        <w:lastRenderedPageBreak/>
        <w:t xml:space="preserve">systemów – by każdą sprawę dało się faktycznie do końca załatwić online, bez konieczności „ratowania się” telefonem lub wizytą. Ujednolicenie interfejsów </w:t>
      </w:r>
      <w:r w:rsidR="00A42EFD" w:rsidRPr="338987BF">
        <w:t>i</w:t>
      </w:r>
      <w:r w:rsidR="00A42EFD">
        <w:t> </w:t>
      </w:r>
      <w:r w:rsidRPr="338987BF">
        <w:t>wyeliminowanie błędów</w:t>
      </w:r>
      <w:r w:rsidR="5EC2D2AC" w:rsidRPr="338987BF">
        <w:t>,</w:t>
      </w:r>
      <w:r w:rsidRPr="338987BF">
        <w:t xml:space="preserve"> pozwoli tej grupie w pełni wykorzystać internetowe kanały zamiast urzędowych kolejek.</w:t>
      </w:r>
    </w:p>
    <w:p w14:paraId="7A25F7F7" w14:textId="2D729EFA" w:rsidR="00B13433" w:rsidRPr="00BF6615" w:rsidRDefault="00B13433" w:rsidP="007E26B5">
      <w:pPr>
        <w:rPr>
          <w:rFonts w:cstheme="minorHAnsi"/>
        </w:rPr>
      </w:pPr>
      <w:r w:rsidRPr="00BF6615">
        <w:rPr>
          <w:rFonts w:cstheme="minorHAnsi"/>
          <w:b/>
          <w:bCs/>
        </w:rPr>
        <w:t>Osoby z niepełnosprawnością intelektualną i trudnościami poznawczymi</w:t>
      </w:r>
      <w:r w:rsidR="002F6492">
        <w:rPr>
          <w:rFonts w:cstheme="minorHAnsi"/>
        </w:rPr>
        <w:t>.</w:t>
      </w:r>
      <w:r w:rsidRPr="00BF6615">
        <w:rPr>
          <w:rFonts w:cstheme="minorHAnsi"/>
        </w:rPr>
        <w:t xml:space="preserve"> Obecnie korzystają one z usług publicznych online bardzo rzadko, głównie z powodu trudności w obsłudze stron/aplikacji i niskiego zaufania do swoich umiejętności. Strony są dla nich zbyt skomplikowane, przez co szybko się zniechęcają. Kluczowe jest maksymalne uproszczenie interfejsów i procedur – strony muszą prowadzić za rękę, aby były dla nich użyteczne. Ponadto potrzebują wsparcia edukacyjnego</w:t>
      </w:r>
      <w:r w:rsidR="002F6492">
        <w:rPr>
          <w:rFonts w:cstheme="minorHAnsi"/>
        </w:rPr>
        <w:t>.</w:t>
      </w:r>
      <w:r w:rsidRPr="00BF6615">
        <w:rPr>
          <w:rFonts w:cstheme="minorHAnsi"/>
        </w:rPr>
        <w:t xml:space="preserve"> prostych instrukcji, poradników, a nawet szkoleń, by nabrać pewności w korzystaniu z Internetu. Jeśli nic się nie zmieni, ta grupa pozostanie w dużej mierze wykluczona cyfrowo – wybierając zawsze tradycyjną drogę załatwiania spraw lub rezygnując z części usług, które inni obywatele mają na wyciągnięcie ręki online.</w:t>
      </w:r>
    </w:p>
    <w:p w14:paraId="1DA6A529" w14:textId="2122A366" w:rsidR="00B13433" w:rsidRPr="00BF6615" w:rsidRDefault="00B13433" w:rsidP="007E26B5">
      <w:pPr>
        <w:rPr>
          <w:rFonts w:cstheme="minorHAnsi"/>
        </w:rPr>
      </w:pPr>
      <w:r w:rsidRPr="00BF6615">
        <w:rPr>
          <w:rFonts w:cstheme="minorHAnsi"/>
          <w:b/>
          <w:bCs/>
        </w:rPr>
        <w:t>Osoby 60+</w:t>
      </w:r>
      <w:r w:rsidR="002F6492">
        <w:rPr>
          <w:rFonts w:cstheme="minorHAnsi"/>
        </w:rPr>
        <w:t>.</w:t>
      </w:r>
      <w:r w:rsidRPr="00BF6615">
        <w:rPr>
          <w:rFonts w:cstheme="minorHAnsi"/>
        </w:rPr>
        <w:t xml:space="preserve"> W grupie seniorów występuje duże zróżnicowanie – od zaawansowanych użytkowników Internetu po osoby całkowicie stroniące od cyfrowych usług. Wspólnym mianownikiem jest jednak to, że cenią proste i przejrzyste strony, niewymagające eksperckiej wiedzy komputerowej. Największe problemy sprawiają im rozbudowane procedury na stronach samorządowych i zdrowotnych – zbyt zawiłe instrukcje, wieloetapowe formularze. Seniorzy oczekują uproszczenia procesów, integracji usług (jedna wspólna platforma różnych urzędów) oraz łatwej możliwości uzyskania pomocy. Wielu z nich postulowało stworzenie centralnego portalu z prostszymi formularzami, żeby nie musieli „skakać” po różnych stronach. Ważne jest też uświadomienie osobom 60+ dostępnych ułatwień (np. zmiana wielkości tekstu) – obecnie nie wszyscy z tego korzystają. </w:t>
      </w:r>
    </w:p>
    <w:p w14:paraId="1D1AD510" w14:textId="6A1BD357" w:rsidR="00B13433" w:rsidRPr="00BF6615" w:rsidRDefault="00B13433" w:rsidP="007E26B5">
      <w:pPr>
        <w:rPr>
          <w:rFonts w:cstheme="minorHAnsi"/>
        </w:rPr>
      </w:pPr>
      <w:r w:rsidRPr="00BF6615">
        <w:rPr>
          <w:rFonts w:cstheme="minorHAnsi"/>
          <w:b/>
          <w:bCs/>
        </w:rPr>
        <w:t>Osoby 60+, osoby z niepełnosprawnością intelektualną i trudnościami poznawczymi</w:t>
      </w:r>
      <w:r w:rsidR="002F6492">
        <w:rPr>
          <w:rFonts w:cstheme="minorHAnsi"/>
        </w:rPr>
        <w:t>.</w:t>
      </w:r>
      <w:r w:rsidRPr="00BF6615">
        <w:rPr>
          <w:rFonts w:cstheme="minorHAnsi"/>
        </w:rPr>
        <w:t xml:space="preserve"> Na etapie rekrutacji można zauważyć sporą obawę w tych grupach użytkowników przed udziałem w testach. Wynika to z ogólnych i dość powszechnych w tych grupach obaw przed bezpieczeństwem cyfrowym (np. obawa przed utratą danych czy też środków finansowych). Obawy te wynikają z dość powszechnych przekazów w mediach </w:t>
      </w:r>
      <w:r w:rsidR="00A42EFD" w:rsidRPr="00BF6615">
        <w:rPr>
          <w:rFonts w:cstheme="minorHAnsi"/>
        </w:rPr>
        <w:t>w</w:t>
      </w:r>
      <w:r w:rsidR="00A42EFD">
        <w:rPr>
          <w:rFonts w:cstheme="minorHAnsi"/>
        </w:rPr>
        <w:t> </w:t>
      </w:r>
      <w:r w:rsidRPr="00BF6615">
        <w:rPr>
          <w:rFonts w:cstheme="minorHAnsi"/>
        </w:rPr>
        <w:t xml:space="preserve">zakresie zagrożeń związanych np. z udzieleniem dostępu do różnego typu usług internetowych (przede wszystkim finansowych). Stanowi to przesłankę dla stworzenia kompleksowych programów o charakterze informacyjnym i szkoleniowym, których wiodącym przekazem nie będzie informacja o ryzykach, ale o sposobach na bezpieczne korzystanie w usług internetowych. </w:t>
      </w:r>
    </w:p>
    <w:p w14:paraId="10FAA3D3" w14:textId="77777777" w:rsidR="00B31923" w:rsidRPr="00BF6615" w:rsidRDefault="00B31923" w:rsidP="007E26B5">
      <w:pPr>
        <w:spacing w:after="160" w:line="259" w:lineRule="auto"/>
        <w:rPr>
          <w:rFonts w:eastAsiaTheme="majorEastAsia" w:cstheme="minorHAnsi"/>
          <w:b/>
          <w:bCs/>
          <w:color w:val="C00000"/>
          <w:sz w:val="36"/>
          <w:szCs w:val="28"/>
        </w:rPr>
      </w:pPr>
      <w:r w:rsidRPr="00BF6615">
        <w:br w:type="page"/>
      </w:r>
    </w:p>
    <w:p w14:paraId="0209DDB8" w14:textId="070A4F9E" w:rsidR="00DF4488" w:rsidRPr="00BF6615" w:rsidRDefault="00DF4488" w:rsidP="007E26B5">
      <w:pPr>
        <w:pStyle w:val="Nagwek1"/>
      </w:pPr>
      <w:bookmarkStart w:id="191" w:name="_Toc204179244"/>
      <w:r w:rsidRPr="00BF6615">
        <w:lastRenderedPageBreak/>
        <w:t>Badanie ilościowe</w:t>
      </w:r>
      <w:bookmarkEnd w:id="191"/>
    </w:p>
    <w:p w14:paraId="15201BF9" w14:textId="4509CC05" w:rsidR="00DF4488" w:rsidRPr="00BF6615" w:rsidRDefault="00DF4488" w:rsidP="007E26B5">
      <w:pPr>
        <w:pStyle w:val="Nagwek2"/>
      </w:pPr>
      <w:bookmarkStart w:id="192" w:name="_Toc204179245"/>
      <w:r w:rsidRPr="00BF6615">
        <w:t>Opis metod</w:t>
      </w:r>
      <w:r w:rsidR="00A91937" w:rsidRPr="00BF6615">
        <w:t xml:space="preserve"> i zastosowanych technik badawczych wraz z uzasadnieniem</w:t>
      </w:r>
      <w:bookmarkEnd w:id="192"/>
    </w:p>
    <w:p w14:paraId="49B1DA99" w14:textId="346EAD47" w:rsidR="00E61449" w:rsidRPr="00BF6615" w:rsidRDefault="00E61449">
      <w:pPr>
        <w:pStyle w:val="Nagwek3"/>
        <w:numPr>
          <w:ilvl w:val="1"/>
          <w:numId w:val="6"/>
        </w:numPr>
        <w:rPr>
          <w:rFonts w:ascii="Aptos" w:eastAsiaTheme="minorHAnsi" w:hAnsi="Aptos"/>
        </w:rPr>
      </w:pPr>
      <w:bookmarkStart w:id="193" w:name="_Toc185585299"/>
      <w:bookmarkStart w:id="194" w:name="_Toc188482391"/>
      <w:bookmarkStart w:id="195" w:name="_Toc189008703"/>
      <w:bookmarkStart w:id="196" w:name="_Toc204179246"/>
      <w:r w:rsidRPr="00BF6615">
        <w:t>Wywiady bezpośrednie (CAPI, CATI, CAWI, PAPI)</w:t>
      </w:r>
      <w:bookmarkEnd w:id="193"/>
      <w:bookmarkEnd w:id="194"/>
      <w:bookmarkEnd w:id="195"/>
      <w:bookmarkEnd w:id="196"/>
    </w:p>
    <w:p w14:paraId="471BF42D" w14:textId="0D5D0229" w:rsidR="00E61449" w:rsidRPr="00BF6615" w:rsidRDefault="00E949A3" w:rsidP="007E26B5">
      <w:pPr>
        <w:rPr>
          <w:rFonts w:ascii="Calibri" w:hAnsi="Calibri"/>
        </w:rPr>
      </w:pPr>
      <w:r w:rsidRPr="00BF6615">
        <w:t xml:space="preserve">W realizacji badania wykorzystano </w:t>
      </w:r>
      <w:r w:rsidR="00E61449" w:rsidRPr="00BF6615">
        <w:t>techniki ilościowe, które będą indywidualnie dobierane do potrzeb danej osoby, w tym:</w:t>
      </w:r>
    </w:p>
    <w:p w14:paraId="16734A6D" w14:textId="77777777" w:rsidR="00E61449" w:rsidRPr="00BF6615" w:rsidRDefault="00E61449">
      <w:pPr>
        <w:pStyle w:val="Akapitzlist"/>
        <w:numPr>
          <w:ilvl w:val="0"/>
          <w:numId w:val="52"/>
        </w:numPr>
        <w:spacing w:before="120" w:after="0"/>
      </w:pPr>
      <w:r w:rsidRPr="00BF6615">
        <w:t xml:space="preserve">CAPI (ang. </w:t>
      </w:r>
      <w:proofErr w:type="spellStart"/>
      <w:r w:rsidRPr="00BF6615">
        <w:t>Computer</w:t>
      </w:r>
      <w:proofErr w:type="spellEnd"/>
      <w:r w:rsidRPr="00BF6615">
        <w:t xml:space="preserve"> </w:t>
      </w:r>
      <w:proofErr w:type="spellStart"/>
      <w:r w:rsidRPr="00BF6615">
        <w:t>Assisted</w:t>
      </w:r>
      <w:proofErr w:type="spellEnd"/>
      <w:r w:rsidRPr="00BF6615">
        <w:t xml:space="preserve"> Personal Interview) tj. wywiad personalny, wspomagany komputerowo,</w:t>
      </w:r>
    </w:p>
    <w:p w14:paraId="39D0D5CA" w14:textId="645F6974" w:rsidR="00E61449" w:rsidRPr="00BF6615" w:rsidRDefault="00E61449">
      <w:pPr>
        <w:pStyle w:val="Akapitzlist"/>
        <w:numPr>
          <w:ilvl w:val="0"/>
          <w:numId w:val="52"/>
        </w:numPr>
        <w:spacing w:before="120" w:after="0"/>
      </w:pPr>
      <w:r w:rsidRPr="00BF6615">
        <w:t xml:space="preserve">CAWI (ang. </w:t>
      </w:r>
      <w:proofErr w:type="spellStart"/>
      <w:r w:rsidRPr="00BF6615">
        <w:t>Computer-Assisted</w:t>
      </w:r>
      <w:proofErr w:type="spellEnd"/>
      <w:r w:rsidRPr="00BF6615">
        <w:t xml:space="preserve"> Web Interview), tj. wspomagany komputerowo wywiad internetowy</w:t>
      </w:r>
      <w:r w:rsidR="00E949A3" w:rsidRPr="00BF6615">
        <w:t>.</w:t>
      </w:r>
    </w:p>
    <w:p w14:paraId="5AFF99FE" w14:textId="1FAAB1BE" w:rsidR="00E61449" w:rsidRPr="00BF6615" w:rsidRDefault="007E563D" w:rsidP="007E26B5">
      <w:r w:rsidRPr="00BF6615">
        <w:t>Elastyczność</w:t>
      </w:r>
      <w:r w:rsidR="00E61449" w:rsidRPr="00BF6615">
        <w:t xml:space="preserve"> podejścia do pozyskania danych od odbiorców usług miała istotne znaczenie w zakresie zapewnienia dostępności osobom ze szczególnymi potrzebami.</w:t>
      </w:r>
    </w:p>
    <w:p w14:paraId="1AC395AB" w14:textId="4887948F" w:rsidR="00E61449" w:rsidRPr="00BF6615" w:rsidRDefault="0070634A" w:rsidP="007E26B5">
      <w:r w:rsidRPr="00BF6615">
        <w:t xml:space="preserve">W realizacji badania </w:t>
      </w:r>
      <w:r w:rsidR="00D4345D" w:rsidRPr="00BF6615">
        <w:t xml:space="preserve">z grupa osób z niepełnosprawnościami </w:t>
      </w:r>
      <w:r w:rsidRPr="00BF6615">
        <w:t xml:space="preserve">współpracowaliśmy </w:t>
      </w:r>
      <w:r w:rsidR="00A42EFD" w:rsidRPr="00BF6615">
        <w:t>z</w:t>
      </w:r>
      <w:r w:rsidR="00A42EFD">
        <w:t> </w:t>
      </w:r>
      <w:r w:rsidR="00E61449" w:rsidRPr="00BF6615">
        <w:t>trzecim sektorem</w:t>
      </w:r>
      <w:r w:rsidR="00D4345D" w:rsidRPr="00BF6615">
        <w:t xml:space="preserve">, a badanie zostało zrealizowane w większości </w:t>
      </w:r>
      <w:r w:rsidR="00E61449" w:rsidRPr="00BF6615">
        <w:t>techniką CAPI</w:t>
      </w:r>
      <w:r w:rsidR="007C28E3" w:rsidRPr="00BF6615">
        <w:t xml:space="preserve">. Dla grupy </w:t>
      </w:r>
      <w:r w:rsidR="00E61449" w:rsidRPr="00BF6615">
        <w:t>obywateli niebędących osobami z niepełnosprawnościami,</w:t>
      </w:r>
      <w:r w:rsidR="007C28E3" w:rsidRPr="00BF6615">
        <w:t xml:space="preserve"> wykorzystaliśmy technikę </w:t>
      </w:r>
      <w:r w:rsidR="00E61449" w:rsidRPr="00BF6615">
        <w:t>CAWI</w:t>
      </w:r>
      <w:r w:rsidR="007C28E3" w:rsidRPr="00BF6615">
        <w:t>.</w:t>
      </w:r>
    </w:p>
    <w:p w14:paraId="3E9944BC" w14:textId="145B17A1" w:rsidR="00E61449" w:rsidRPr="00BF6615" w:rsidRDefault="007F7BB3" w:rsidP="007E26B5">
      <w:r w:rsidRPr="00BF6615">
        <w:t>Przyjęty</w:t>
      </w:r>
      <w:r w:rsidR="007C28E3" w:rsidRPr="00BF6615">
        <w:t xml:space="preserve"> sposób realizacji i dobrane techniki pozwoliły na </w:t>
      </w:r>
      <w:r w:rsidRPr="00BF6615">
        <w:t>uzyskanie</w:t>
      </w:r>
      <w:r w:rsidR="007C28E3" w:rsidRPr="00BF6615">
        <w:t xml:space="preserve"> </w:t>
      </w:r>
      <w:r w:rsidRPr="00BF6615">
        <w:t>zakładanego</w:t>
      </w:r>
      <w:r w:rsidR="007C28E3" w:rsidRPr="00BF6615">
        <w:t xml:space="preserve"> zwrotu z ankiet</w:t>
      </w:r>
      <w:r w:rsidR="00E61449" w:rsidRPr="00BF6615">
        <w:t xml:space="preserve"> w wystandaryzowanej formie. Badanie ankietowe </w:t>
      </w:r>
      <w:r w:rsidRPr="00BF6615">
        <w:t>pozwoliło</w:t>
      </w:r>
      <w:r w:rsidR="00E61449" w:rsidRPr="00BF6615">
        <w:t xml:space="preserve"> na poznanie </w:t>
      </w:r>
      <w:r w:rsidR="00A42EFD" w:rsidRPr="00BF6615">
        <w:t>i</w:t>
      </w:r>
      <w:r w:rsidR="00A42EFD">
        <w:t> </w:t>
      </w:r>
      <w:r w:rsidR="00E61449" w:rsidRPr="00BF6615">
        <w:t>zidentyfikowanie najważniejszych potrzeb, oczekiwań, związanych z dostępnością cyfrową stron i aplikacji mobilnych podmiotów publicznych z perspektywy użytkowników tych stron/aplikacji.</w:t>
      </w:r>
    </w:p>
    <w:p w14:paraId="2BF52515" w14:textId="548EF805" w:rsidR="00A91937" w:rsidRPr="00BF6615" w:rsidRDefault="00A91937" w:rsidP="007E26B5">
      <w:pPr>
        <w:spacing w:after="160" w:line="259" w:lineRule="auto"/>
        <w:rPr>
          <w:rFonts w:eastAsiaTheme="majorEastAsia" w:cstheme="minorHAnsi"/>
          <w:b/>
          <w:bCs/>
          <w:color w:val="C00000"/>
          <w:sz w:val="36"/>
          <w:szCs w:val="28"/>
        </w:rPr>
      </w:pPr>
    </w:p>
    <w:p w14:paraId="01412508" w14:textId="77777777" w:rsidR="00D7681A" w:rsidRPr="00BF6615" w:rsidRDefault="00D7681A" w:rsidP="007E26B5">
      <w:pPr>
        <w:spacing w:after="160" w:line="259" w:lineRule="auto"/>
        <w:rPr>
          <w:rFonts w:eastAsiaTheme="majorEastAsia" w:cstheme="minorHAnsi"/>
          <w:b/>
          <w:bCs/>
          <w:color w:val="C00000"/>
          <w:sz w:val="36"/>
          <w:szCs w:val="28"/>
        </w:rPr>
      </w:pPr>
      <w:r w:rsidRPr="00BF6615">
        <w:br w:type="page"/>
      </w:r>
    </w:p>
    <w:p w14:paraId="5FAFF1D0" w14:textId="618D3543" w:rsidR="00DF4488" w:rsidRPr="00BF6615" w:rsidRDefault="00DF4488" w:rsidP="007E26B5">
      <w:pPr>
        <w:pStyle w:val="Nagwek2"/>
      </w:pPr>
      <w:bookmarkStart w:id="197" w:name="_Toc204179247"/>
      <w:r w:rsidRPr="00BF6615">
        <w:lastRenderedPageBreak/>
        <w:t>Opis próby, procedury jej doboru wraz z uzasadnieniem, kontroli doboru próby i skuteczności doboru</w:t>
      </w:r>
      <w:bookmarkEnd w:id="197"/>
    </w:p>
    <w:p w14:paraId="56E81127" w14:textId="77777777" w:rsidR="00D7681A" w:rsidRPr="00BF6615" w:rsidRDefault="00D7681A" w:rsidP="00B271C3">
      <w:pPr>
        <w:pStyle w:val="Nagwek4"/>
        <w:rPr>
          <w:rFonts w:ascii="Calibri" w:hAnsi="Calibri"/>
        </w:rPr>
      </w:pPr>
      <w:bookmarkStart w:id="198" w:name="_Toc185585300"/>
      <w:bookmarkStart w:id="199" w:name="_Toc188482392"/>
      <w:bookmarkStart w:id="200" w:name="_Toc189008704"/>
      <w:r w:rsidRPr="00BF6615">
        <w:t>Próba badawcza</w:t>
      </w:r>
      <w:bookmarkEnd w:id="198"/>
      <w:bookmarkEnd w:id="199"/>
      <w:bookmarkEnd w:id="200"/>
    </w:p>
    <w:p w14:paraId="1FE6D8DD" w14:textId="05A641A0" w:rsidR="00D7681A" w:rsidRPr="00BF6615" w:rsidRDefault="00D7681A" w:rsidP="007E26B5">
      <w:r w:rsidRPr="00BF6615">
        <w:t xml:space="preserve">Próba </w:t>
      </w:r>
      <w:r w:rsidR="002F6492">
        <w:t>obejmowała</w:t>
      </w:r>
      <w:r w:rsidRPr="00BF6615">
        <w:t xml:space="preserve"> osoby korzystające ze stron internetowych oraz aplikacji mobilnych </w:t>
      </w:r>
      <w:r w:rsidR="00A42EFD" w:rsidRPr="00BF6615">
        <w:t>z</w:t>
      </w:r>
      <w:r w:rsidR="00A42EFD">
        <w:t> </w:t>
      </w:r>
      <w:r w:rsidRPr="00BF6615">
        <w:t>trzech poniższych grup:</w:t>
      </w:r>
    </w:p>
    <w:p w14:paraId="6EAE3468" w14:textId="40BD83C6" w:rsidR="00D7681A" w:rsidRPr="00BF6615" w:rsidRDefault="00D7681A">
      <w:pPr>
        <w:pStyle w:val="Akapitzlist"/>
        <w:numPr>
          <w:ilvl w:val="0"/>
          <w:numId w:val="53"/>
        </w:numPr>
      </w:pPr>
      <w:r w:rsidRPr="002F6492">
        <w:rPr>
          <w:b/>
          <w:bCs/>
        </w:rPr>
        <w:t xml:space="preserve">Obywatele, </w:t>
      </w:r>
      <w:r w:rsidRPr="00BF6615">
        <w:t>tj. osoby od 18 do 60 roku życia (nie będące osobami niepełnosprawnymi),</w:t>
      </w:r>
    </w:p>
    <w:p w14:paraId="2C1D7617" w14:textId="77777777" w:rsidR="00D7681A" w:rsidRPr="00BF6615" w:rsidRDefault="00D7681A">
      <w:pPr>
        <w:pStyle w:val="Akapitzlist"/>
        <w:numPr>
          <w:ilvl w:val="0"/>
          <w:numId w:val="53"/>
        </w:numPr>
      </w:pPr>
      <w:r w:rsidRPr="00BF6615">
        <w:rPr>
          <w:b/>
          <w:bCs/>
        </w:rPr>
        <w:t xml:space="preserve">Osoby starsze, </w:t>
      </w:r>
      <w:r w:rsidRPr="00BF6615">
        <w:t>tj. osoby, które ukończyły 60 rok życia,</w:t>
      </w:r>
    </w:p>
    <w:p w14:paraId="01481106" w14:textId="56304B33" w:rsidR="00D7681A" w:rsidRPr="00BF6615" w:rsidRDefault="00D7681A">
      <w:pPr>
        <w:pStyle w:val="Akapitzlist"/>
        <w:numPr>
          <w:ilvl w:val="0"/>
          <w:numId w:val="53"/>
        </w:numPr>
      </w:pPr>
      <w:r w:rsidRPr="00BF6615">
        <w:rPr>
          <w:b/>
          <w:bCs/>
        </w:rPr>
        <w:t xml:space="preserve">Osoby niepełnosprawne </w:t>
      </w:r>
      <w:r w:rsidRPr="00BF6615">
        <w:t xml:space="preserve">- grupa osób niepełnosprawnych </w:t>
      </w:r>
      <w:r w:rsidR="001631F6">
        <w:rPr>
          <w:b/>
          <w:bCs/>
        </w:rPr>
        <w:t>ujęta</w:t>
      </w:r>
      <w:r w:rsidRPr="00BF6615">
        <w:rPr>
          <w:b/>
          <w:bCs/>
        </w:rPr>
        <w:t xml:space="preserve"> </w:t>
      </w:r>
      <w:r w:rsidR="001631F6">
        <w:rPr>
          <w:b/>
          <w:bCs/>
        </w:rPr>
        <w:t xml:space="preserve">w </w:t>
      </w:r>
      <w:r w:rsidRPr="00BF6615">
        <w:rPr>
          <w:b/>
          <w:bCs/>
        </w:rPr>
        <w:t xml:space="preserve">możliwie równych proporcjach wg </w:t>
      </w:r>
      <w:r w:rsidRPr="00BF6615">
        <w:t xml:space="preserve">następujących podgrup (definicje grup zgodne </w:t>
      </w:r>
      <w:r w:rsidR="00A42EFD" w:rsidRPr="00BF6615">
        <w:t>z</w:t>
      </w:r>
      <w:r w:rsidR="00A42EFD">
        <w:t> </w:t>
      </w:r>
      <w:r w:rsidRPr="00BF6615">
        <w:t>definicjami sprecyzowanymi w badaniach jakościowych):</w:t>
      </w:r>
    </w:p>
    <w:p w14:paraId="44C1BD4A" w14:textId="77777777" w:rsidR="00D7681A" w:rsidRPr="00BF6615" w:rsidRDefault="00D7681A">
      <w:pPr>
        <w:pStyle w:val="Akapitzlist"/>
        <w:numPr>
          <w:ilvl w:val="0"/>
          <w:numId w:val="54"/>
        </w:numPr>
        <w:spacing w:before="120" w:after="0"/>
      </w:pPr>
      <w:r w:rsidRPr="00BF6615">
        <w:t>osoby ociemniałe lub niewidome,</w:t>
      </w:r>
    </w:p>
    <w:p w14:paraId="57879CDE" w14:textId="77777777" w:rsidR="00D7681A" w:rsidRPr="00BF6615" w:rsidRDefault="00D7681A">
      <w:pPr>
        <w:pStyle w:val="Akapitzlist"/>
        <w:numPr>
          <w:ilvl w:val="0"/>
          <w:numId w:val="54"/>
        </w:numPr>
        <w:spacing w:before="120" w:after="0"/>
      </w:pPr>
      <w:r w:rsidRPr="00BF6615">
        <w:t>osoby słabowidzące,</w:t>
      </w:r>
    </w:p>
    <w:p w14:paraId="0899E5EA" w14:textId="6249AC13" w:rsidR="00D7681A" w:rsidRPr="00BF6615" w:rsidRDefault="00D7681A">
      <w:pPr>
        <w:pStyle w:val="Akapitzlist"/>
        <w:numPr>
          <w:ilvl w:val="0"/>
          <w:numId w:val="54"/>
        </w:numPr>
        <w:spacing w:before="120" w:after="0"/>
      </w:pPr>
      <w:r w:rsidRPr="00BF6615">
        <w:t xml:space="preserve">osoby głuche lub </w:t>
      </w:r>
      <w:r w:rsidR="00AA7746">
        <w:t>słabosłyszące</w:t>
      </w:r>
      <w:r w:rsidRPr="00BF6615">
        <w:t>,</w:t>
      </w:r>
    </w:p>
    <w:p w14:paraId="1315FFC0" w14:textId="77777777" w:rsidR="00D7681A" w:rsidRPr="00BF6615" w:rsidRDefault="00D7681A">
      <w:pPr>
        <w:pStyle w:val="Akapitzlist"/>
        <w:numPr>
          <w:ilvl w:val="0"/>
          <w:numId w:val="54"/>
        </w:numPr>
        <w:spacing w:before="120" w:after="0"/>
      </w:pPr>
      <w:r w:rsidRPr="00BF6615">
        <w:t>osoby niepełnosprawne z dysfunkcją narządu ruchu (niepełnosprawność kończyn</w:t>
      </w:r>
    </w:p>
    <w:p w14:paraId="4E013600" w14:textId="77777777" w:rsidR="00D7681A" w:rsidRPr="00BF6615" w:rsidRDefault="00D7681A">
      <w:pPr>
        <w:pStyle w:val="Akapitzlist"/>
        <w:numPr>
          <w:ilvl w:val="0"/>
          <w:numId w:val="54"/>
        </w:numPr>
        <w:spacing w:before="120" w:after="0"/>
      </w:pPr>
      <w:r w:rsidRPr="00BF6615">
        <w:t>górnych),</w:t>
      </w:r>
    </w:p>
    <w:p w14:paraId="1F818242" w14:textId="77777777" w:rsidR="00D7681A" w:rsidRPr="00BF6615" w:rsidRDefault="00D7681A">
      <w:pPr>
        <w:pStyle w:val="Akapitzlist"/>
        <w:numPr>
          <w:ilvl w:val="0"/>
          <w:numId w:val="54"/>
        </w:numPr>
        <w:spacing w:before="120" w:after="0"/>
      </w:pPr>
      <w:r w:rsidRPr="00BF6615">
        <w:t>osoby z niepełnosprawnością intelektualną, problemami poznawczymi.</w:t>
      </w:r>
    </w:p>
    <w:p w14:paraId="466ED2CD" w14:textId="74EEA385" w:rsidR="00D7681A" w:rsidRPr="00D075D1" w:rsidRDefault="001631F6" w:rsidP="00D075D1">
      <w:pPr>
        <w:rPr>
          <w:b/>
          <w:bCs/>
        </w:rPr>
      </w:pPr>
      <w:r>
        <w:rPr>
          <w:b/>
          <w:bCs/>
        </w:rPr>
        <w:t xml:space="preserve">Zakładana </w:t>
      </w:r>
      <w:r w:rsidR="00AA7746">
        <w:rPr>
          <w:b/>
          <w:bCs/>
        </w:rPr>
        <w:t xml:space="preserve">była </w:t>
      </w:r>
      <w:r>
        <w:rPr>
          <w:b/>
          <w:bCs/>
        </w:rPr>
        <w:t>m</w:t>
      </w:r>
      <w:r w:rsidR="00D7681A" w:rsidRPr="00D075D1">
        <w:rPr>
          <w:b/>
          <w:bCs/>
        </w:rPr>
        <w:t>inimalna liczebność próby: N=300.</w:t>
      </w:r>
    </w:p>
    <w:p w14:paraId="5B0E3E36" w14:textId="3C65BDDF" w:rsidR="00AA7746" w:rsidRPr="00BF6615" w:rsidRDefault="00D7681A" w:rsidP="00AA7746">
      <w:r w:rsidRPr="00AA7746">
        <w:t>Każda z 3 grup tworzących próbę objętych badaniem ilościowym powinna stanowi</w:t>
      </w:r>
      <w:r w:rsidR="00AA7746" w:rsidRPr="00AA7746">
        <w:t>ła</w:t>
      </w:r>
      <w:r w:rsidRPr="00AA7746">
        <w:t xml:space="preserve"> ok. 1/3 pełnej próby wylosowanej do badania, tj. po </w:t>
      </w:r>
      <w:r w:rsidRPr="00AA7746">
        <w:rPr>
          <w:b/>
          <w:bCs/>
        </w:rPr>
        <w:t>ok. 100 osób.</w:t>
      </w:r>
      <w:r w:rsidR="00EE6B79" w:rsidRPr="00AA7746">
        <w:rPr>
          <w:b/>
          <w:bCs/>
        </w:rPr>
        <w:t xml:space="preserve"> </w:t>
      </w:r>
      <w:r w:rsidR="001631F6" w:rsidRPr="00AA7746">
        <w:t>W badaniu z</w:t>
      </w:r>
      <w:r w:rsidRPr="00AA7746">
        <w:t>astosowan</w:t>
      </w:r>
      <w:r w:rsidR="00AA7746" w:rsidRPr="00AA7746">
        <w:t>o</w:t>
      </w:r>
      <w:r w:rsidRPr="00AA7746">
        <w:t xml:space="preserve"> dobór celowy</w:t>
      </w:r>
      <w:r w:rsidR="00EE6B79" w:rsidRPr="00AA7746">
        <w:t xml:space="preserve">. </w:t>
      </w:r>
      <w:r w:rsidR="00AA7746" w:rsidRPr="00BF6615">
        <w:t xml:space="preserve">Do badania </w:t>
      </w:r>
      <w:r w:rsidR="00AA7746">
        <w:t xml:space="preserve">została </w:t>
      </w:r>
      <w:r w:rsidR="00AA7746" w:rsidRPr="00BF6615">
        <w:t xml:space="preserve">dobrana grupa osób spełniających powyższe kryteria. Na potrzeby badania </w:t>
      </w:r>
      <w:r w:rsidR="00AA7746">
        <w:t xml:space="preserve">została </w:t>
      </w:r>
      <w:r w:rsidR="00AA7746" w:rsidRPr="00BF6615">
        <w:t xml:space="preserve">stworzona baza </w:t>
      </w:r>
      <w:r w:rsidR="00AA7746">
        <w:t xml:space="preserve">licząca ponad </w:t>
      </w:r>
      <w:r w:rsidR="00AA7746" w:rsidRPr="00BF6615">
        <w:t>3000 rekordów, z któr</w:t>
      </w:r>
      <w:r w:rsidR="00AA7746">
        <w:t>ych</w:t>
      </w:r>
      <w:r w:rsidR="00AA7746" w:rsidRPr="00BF6615">
        <w:t xml:space="preserve"> </w:t>
      </w:r>
      <w:r w:rsidR="00AA7746">
        <w:t xml:space="preserve">dokonano losowania podstawowej próby </w:t>
      </w:r>
      <w:r w:rsidR="00AA7746" w:rsidRPr="00BF6615">
        <w:t>300 osób do badania</w:t>
      </w:r>
      <w:r w:rsidR="00AA7746">
        <w:t xml:space="preserve"> oraz prób rezerwowych</w:t>
      </w:r>
      <w:r w:rsidR="00AA7746" w:rsidRPr="00BF6615">
        <w:t xml:space="preserve">. </w:t>
      </w:r>
    </w:p>
    <w:p w14:paraId="0314D33B" w14:textId="4C7578A8" w:rsidR="00AA7746" w:rsidRPr="00BF6615" w:rsidRDefault="00AA7746" w:rsidP="00AA7746">
      <w:r w:rsidRPr="00AA7746">
        <w:t>Ostatecznie w badaniu</w:t>
      </w:r>
      <w:r w:rsidRPr="00BF6615">
        <w:t xml:space="preserve"> udział wzięło 306 osób. W grupie badanej znalazło się:</w:t>
      </w:r>
    </w:p>
    <w:p w14:paraId="50F82E9D" w14:textId="77777777" w:rsidR="00AA7746" w:rsidRPr="00BF6615" w:rsidRDefault="00AA7746" w:rsidP="00AA7746">
      <w:pPr>
        <w:pStyle w:val="Akapitzlist"/>
        <w:numPr>
          <w:ilvl w:val="0"/>
          <w:numId w:val="3"/>
        </w:numPr>
      </w:pPr>
      <w:r w:rsidRPr="00BF6615">
        <w:t>106 osób z niepełnosprawnościami, w tym:</w:t>
      </w:r>
    </w:p>
    <w:p w14:paraId="5C210F02" w14:textId="77777777" w:rsidR="00AA7746" w:rsidRPr="00BF6615" w:rsidRDefault="00AA7746" w:rsidP="00AA7746">
      <w:pPr>
        <w:pStyle w:val="Akapitzlist"/>
        <w:numPr>
          <w:ilvl w:val="1"/>
          <w:numId w:val="3"/>
        </w:numPr>
      </w:pPr>
      <w:r w:rsidRPr="00BF6615">
        <w:t>20 osób głuchych lub niedosłyszących,</w:t>
      </w:r>
    </w:p>
    <w:p w14:paraId="7B49A5A0" w14:textId="77777777" w:rsidR="00AA7746" w:rsidRPr="00BF6615" w:rsidRDefault="00AA7746" w:rsidP="00AA7746">
      <w:pPr>
        <w:pStyle w:val="Akapitzlist"/>
        <w:numPr>
          <w:ilvl w:val="1"/>
          <w:numId w:val="3"/>
        </w:numPr>
      </w:pPr>
      <w:r w:rsidRPr="00BF6615">
        <w:t>20 osób ociemniałych lub niewidomych,</w:t>
      </w:r>
      <w:r w:rsidRPr="00BF6615">
        <w:tab/>
      </w:r>
      <w:r w:rsidRPr="00BF6615">
        <w:tab/>
      </w:r>
    </w:p>
    <w:p w14:paraId="5363EC86" w14:textId="77777777" w:rsidR="00AA7746" w:rsidRPr="00BF6615" w:rsidRDefault="00AA7746" w:rsidP="00AA7746">
      <w:pPr>
        <w:pStyle w:val="Akapitzlist"/>
        <w:numPr>
          <w:ilvl w:val="1"/>
          <w:numId w:val="3"/>
        </w:numPr>
      </w:pPr>
      <w:r w:rsidRPr="00BF6615">
        <w:t>20 osób słabowidzących,</w:t>
      </w:r>
      <w:r w:rsidRPr="00BF6615">
        <w:tab/>
      </w:r>
      <w:r w:rsidRPr="00BF6615">
        <w:tab/>
      </w:r>
      <w:r w:rsidRPr="00BF6615">
        <w:tab/>
      </w:r>
      <w:r w:rsidRPr="00BF6615">
        <w:tab/>
      </w:r>
      <w:r w:rsidRPr="00BF6615">
        <w:tab/>
      </w:r>
      <w:r w:rsidRPr="00BF6615">
        <w:tab/>
      </w:r>
    </w:p>
    <w:p w14:paraId="3B75C532" w14:textId="77777777" w:rsidR="00AA7746" w:rsidRPr="00BF6615" w:rsidRDefault="00AA7746" w:rsidP="00AA7746">
      <w:pPr>
        <w:pStyle w:val="Akapitzlist"/>
        <w:numPr>
          <w:ilvl w:val="1"/>
          <w:numId w:val="3"/>
        </w:numPr>
      </w:pPr>
      <w:r w:rsidRPr="00BF6615">
        <w:t>20 osób z niepełnosprawnością intelektualną lub ograniczeniami poznawczymi,</w:t>
      </w:r>
      <w:r w:rsidRPr="00BF6615">
        <w:tab/>
      </w:r>
    </w:p>
    <w:p w14:paraId="301AD3F3" w14:textId="77777777" w:rsidR="00AA7746" w:rsidRPr="00BF6615" w:rsidRDefault="00AA7746" w:rsidP="00AA7746">
      <w:pPr>
        <w:pStyle w:val="Akapitzlist"/>
        <w:numPr>
          <w:ilvl w:val="1"/>
          <w:numId w:val="3"/>
        </w:numPr>
      </w:pPr>
      <w:r w:rsidRPr="00BF6615">
        <w:t>26 osób z niepełnosprawnością narządu ruchu (niepełnosprawność kończyn górnych),</w:t>
      </w:r>
    </w:p>
    <w:p w14:paraId="1041E161" w14:textId="77777777" w:rsidR="00AA7746" w:rsidRPr="00BF6615" w:rsidRDefault="00AA7746" w:rsidP="00AA7746">
      <w:pPr>
        <w:pStyle w:val="Akapitzlist"/>
        <w:numPr>
          <w:ilvl w:val="0"/>
          <w:numId w:val="3"/>
        </w:numPr>
      </w:pPr>
      <w:r w:rsidRPr="00BF6615">
        <w:lastRenderedPageBreak/>
        <w:t xml:space="preserve">100 osób w wieku powyżej 60 lat, </w:t>
      </w:r>
    </w:p>
    <w:p w14:paraId="4A700062" w14:textId="77777777" w:rsidR="00AA7746" w:rsidRPr="00BF6615" w:rsidRDefault="00AA7746" w:rsidP="00AA7746">
      <w:pPr>
        <w:pStyle w:val="Akapitzlist"/>
        <w:numPr>
          <w:ilvl w:val="0"/>
          <w:numId w:val="3"/>
        </w:numPr>
      </w:pPr>
      <w:r w:rsidRPr="00BF6615">
        <w:t>100 osób bez niepełnosprawności w wieku 18-59 lat.</w:t>
      </w:r>
    </w:p>
    <w:p w14:paraId="67E5B0BC" w14:textId="3C99EE45" w:rsidR="009B4F3E" w:rsidRPr="00EE6B79" w:rsidRDefault="00EE6B79" w:rsidP="00B271C3">
      <w:pPr>
        <w:pStyle w:val="Nagwek4"/>
        <w:rPr>
          <w:bCs/>
        </w:rPr>
      </w:pPr>
      <w:r w:rsidRPr="00EE6B79">
        <w:rPr>
          <w:bCs/>
        </w:rPr>
        <w:t xml:space="preserve">Zastosowane metody kontroli </w:t>
      </w:r>
    </w:p>
    <w:p w14:paraId="71BA1AB3" w14:textId="77777777" w:rsidR="009B4F3E" w:rsidRPr="00BF6615" w:rsidRDefault="009B4F3E">
      <w:pPr>
        <w:pStyle w:val="Akapitzlist"/>
        <w:numPr>
          <w:ilvl w:val="0"/>
          <w:numId w:val="73"/>
        </w:numPr>
        <w:spacing w:after="160" w:line="259" w:lineRule="auto"/>
      </w:pPr>
      <w:r w:rsidRPr="00BF6615">
        <w:t>Rejestracja czasu trwania wywiadów i ich logiczna spójność,</w:t>
      </w:r>
    </w:p>
    <w:p w14:paraId="0B9F2F47" w14:textId="58D2BE44" w:rsidR="009B4F3E" w:rsidRPr="00BF6615" w:rsidRDefault="009B4F3E">
      <w:pPr>
        <w:pStyle w:val="Akapitzlist"/>
        <w:numPr>
          <w:ilvl w:val="0"/>
          <w:numId w:val="73"/>
        </w:numPr>
        <w:spacing w:after="160" w:line="259" w:lineRule="auto"/>
      </w:pPr>
      <w:r w:rsidRPr="00BF6615">
        <w:t>Codzienny monitoring realizacji przez koordynatora badania</w:t>
      </w:r>
      <w:r w:rsidR="00D075D1">
        <w:t>.</w:t>
      </w:r>
    </w:p>
    <w:p w14:paraId="74E58025" w14:textId="77777777" w:rsidR="009B4F3E" w:rsidRPr="00D075D1" w:rsidRDefault="009B4F3E" w:rsidP="00B271C3">
      <w:pPr>
        <w:pStyle w:val="Nagwek4"/>
        <w:rPr>
          <w:bCs/>
        </w:rPr>
      </w:pPr>
      <w:r w:rsidRPr="00D075D1">
        <w:rPr>
          <w:bCs/>
        </w:rPr>
        <w:t xml:space="preserve">Etyka i </w:t>
      </w:r>
      <w:r w:rsidRPr="001C11F9">
        <w:t>RODO</w:t>
      </w:r>
    </w:p>
    <w:p w14:paraId="6835B645" w14:textId="7EF66FE6" w:rsidR="009B4F3E" w:rsidRDefault="009B4F3E" w:rsidP="007E26B5">
      <w:pPr>
        <w:spacing w:after="160" w:line="259" w:lineRule="auto"/>
      </w:pPr>
      <w:r w:rsidRPr="00BF6615">
        <w:t>Respondenci byli informowani o celu badania, zasadach anonimowości i możliwości rezygnacji</w:t>
      </w:r>
      <w:r w:rsidR="00B8062F">
        <w:t xml:space="preserve">.  </w:t>
      </w:r>
      <w:r w:rsidRPr="00BF6615">
        <w:t xml:space="preserve">Dane były przetwarzane zgodnie z RODO – zastosowano szyfrowanie danych i </w:t>
      </w:r>
      <w:proofErr w:type="spellStart"/>
      <w:r w:rsidRPr="00BF6615">
        <w:t>pseudonimizację</w:t>
      </w:r>
      <w:proofErr w:type="spellEnd"/>
      <w:r w:rsidRPr="00BF6615">
        <w:t xml:space="preserve"> na platformie SURNEO należącej do Grupy Badawczej DSC</w:t>
      </w:r>
    </w:p>
    <w:p w14:paraId="6411B9BB" w14:textId="123645A6" w:rsidR="00D9538D" w:rsidRPr="00D9538D" w:rsidRDefault="00B8062F" w:rsidP="00B271C3">
      <w:pPr>
        <w:pStyle w:val="Nagwek4"/>
        <w:rPr>
          <w:bCs/>
        </w:rPr>
      </w:pPr>
      <w:r w:rsidRPr="001C11F9">
        <w:t>Podsumowanie</w:t>
      </w:r>
      <w:r w:rsidRPr="00D9538D">
        <w:rPr>
          <w:bCs/>
        </w:rPr>
        <w:t xml:space="preserve"> </w:t>
      </w:r>
      <w:r w:rsidR="00D9538D" w:rsidRPr="00D9538D">
        <w:rPr>
          <w:bCs/>
        </w:rPr>
        <w:t>realizacji próby</w:t>
      </w:r>
    </w:p>
    <w:p w14:paraId="76CB5545" w14:textId="626C96DF" w:rsidR="001C11F9" w:rsidRDefault="001C11F9" w:rsidP="001C11F9">
      <w:pPr>
        <w:spacing w:after="160" w:line="259" w:lineRule="auto"/>
      </w:pPr>
      <w:r>
        <w:t>W trakcie realizacji wykonano łącznie 1 891 prób kontaktu z potencjalnymi respondentami. Spośród nich 306 zakończyło się pełnym, poprawnym wywiadem, co</w:t>
      </w:r>
      <w:r w:rsidR="00A42EFD">
        <w:t> </w:t>
      </w:r>
      <w:r>
        <w:t>stanowi 16,2% wszystkich kontaktów. Wywiady te zajęły łącznie ponad 71 godzin, a</w:t>
      </w:r>
      <w:r w:rsidR="00A42EFD">
        <w:t> </w:t>
      </w:r>
      <w:r>
        <w:t>średni czas trwania jednego poprawnego wywiadu wyniósł 13 minut i 56 sekund. Uzyskany wynik świadczy o umiarkowanej długości kwestionariusza i prawdopodobnie dobrze dobranym zakresie tematycznym, który pozwalał na zachowanie zaangażowania respondentów bez nadmiernego obciążania ich czasowo.</w:t>
      </w:r>
    </w:p>
    <w:p w14:paraId="71932383" w14:textId="77777777" w:rsidR="001C11F9" w:rsidRDefault="001C11F9" w:rsidP="001C11F9">
      <w:pPr>
        <w:spacing w:after="160" w:line="259" w:lineRule="auto"/>
      </w:pPr>
      <w:r>
        <w:t>Na podstawie dostarczonych dokumentów, przygotowano poniższy fragment raportu, który uzupełnia sekcję dotyczącą metodologii badania ilościowego o wymagane w Opisie Przedmiotu Zamówienia (OPZ) wskaźniki skuteczności doboru próby.</w:t>
      </w:r>
    </w:p>
    <w:p w14:paraId="34C644B6" w14:textId="1E06CB4A" w:rsidR="001C11F9" w:rsidRPr="00BD5887" w:rsidRDefault="001C11F9" w:rsidP="00B271C3">
      <w:pPr>
        <w:pStyle w:val="Nagwek4"/>
      </w:pPr>
      <w:r w:rsidRPr="00BD5887">
        <w:t>Opis próby, procedury jej doboru wraz z uzasadnieniem, kontroli doboru próby i</w:t>
      </w:r>
      <w:r w:rsidR="00A42EFD">
        <w:t> </w:t>
      </w:r>
      <w:r w:rsidRPr="00BD5887">
        <w:t>skuteczności doboru</w:t>
      </w:r>
    </w:p>
    <w:p w14:paraId="79DF286E" w14:textId="77777777" w:rsidR="001C11F9" w:rsidRDefault="001C11F9" w:rsidP="001C11F9">
      <w:pPr>
        <w:spacing w:after="160" w:line="259" w:lineRule="auto"/>
      </w:pPr>
      <w:r>
        <w:t>W badaniu ilościowym wzięło udział łącznie 306 respondentów podzielonych na trzy kluczowe grupy w celu zidentyfikowania ich specyficznych potrzeb i oczekiwań</w:t>
      </w:r>
    </w:p>
    <w:p w14:paraId="011F031E" w14:textId="4447A9A2" w:rsidR="001C11F9" w:rsidRDefault="001C11F9" w:rsidP="001C11F9">
      <w:pPr>
        <w:pStyle w:val="Akapitzlist"/>
        <w:numPr>
          <w:ilvl w:val="0"/>
          <w:numId w:val="89"/>
        </w:numPr>
        <w:spacing w:after="160" w:line="259" w:lineRule="auto"/>
      </w:pPr>
      <w:r>
        <w:t>Obywatele – 100 osób w wieku od 18 do 59 lat, niebędące osobami z</w:t>
      </w:r>
      <w:r w:rsidR="00A42EFD">
        <w:t> </w:t>
      </w:r>
      <w:r>
        <w:t>niepełnosprawnościami</w:t>
      </w:r>
    </w:p>
    <w:p w14:paraId="1DC752D1" w14:textId="77777777" w:rsidR="001C11F9" w:rsidRDefault="001C11F9" w:rsidP="001C11F9">
      <w:pPr>
        <w:pStyle w:val="Akapitzlist"/>
        <w:numPr>
          <w:ilvl w:val="0"/>
          <w:numId w:val="89"/>
        </w:numPr>
        <w:spacing w:after="160" w:line="259" w:lineRule="auto"/>
      </w:pPr>
      <w:r>
        <w:t>Osoby starsze – 100 osób, które ukończyły 60. rok życia</w:t>
      </w:r>
    </w:p>
    <w:p w14:paraId="02C0E942" w14:textId="05D1F909" w:rsidR="001C11F9" w:rsidRDefault="001C11F9" w:rsidP="001C11F9">
      <w:pPr>
        <w:pStyle w:val="Akapitzlist"/>
        <w:numPr>
          <w:ilvl w:val="0"/>
          <w:numId w:val="89"/>
        </w:numPr>
        <w:spacing w:after="160" w:line="259" w:lineRule="auto"/>
      </w:pPr>
      <w:r>
        <w:t>Osoby z niepełnosprawnościami – 106 osób, w tym reprezentanci pięciu podgrup: osoby niewidome lub ociemniałe, słabowidzące, głuche lub słabosłyszące, z dysfunkcją narządu ruchu (kończyn górnych) oraz z</w:t>
      </w:r>
      <w:r w:rsidR="00A42EFD">
        <w:t> </w:t>
      </w:r>
      <w:r>
        <w:t>niepełnosprawnością intelektualną lub ograniczeniami poznawczymi.</w:t>
      </w:r>
    </w:p>
    <w:p w14:paraId="3DC132F9" w14:textId="77A3B20C" w:rsidR="001C11F9" w:rsidRDefault="001C11F9" w:rsidP="001C11F9">
      <w:pPr>
        <w:spacing w:after="160" w:line="259" w:lineRule="auto"/>
      </w:pPr>
      <w:r>
        <w:t>Zastosowano celowy dobór próby, aby zapewnić odpowiednią reprezentację grup kluczowych dla celów badania. W tym celu stworzono bazę ponad 3000 rekordów, z</w:t>
      </w:r>
      <w:r w:rsidR="00A42EFD">
        <w:t> </w:t>
      </w:r>
      <w:r>
        <w:t xml:space="preserve">której wylosowano próbę podstawową (N=300) oraz próby rezerwowe. Procedura badawcza została dostosowana do potrzeb respondentów – w grupie obywateli </w:t>
      </w:r>
      <w:r>
        <w:lastRenderedPageBreak/>
        <w:t>wykorzystano technikę CAWI (ankieta internetowa), natomiast w grupie osób z</w:t>
      </w:r>
      <w:r w:rsidR="00A42EFD">
        <w:t> </w:t>
      </w:r>
      <w:r>
        <w:t>niepełnosprawnościami oraz seniorów dominowała technika CAPI (wywiad osobisty wspomagany komputerowo), co pozwoliło na zapewnienie dostępności badania. Wszyscy uczestnicy musieli posiadać minimum podstawowe kompetencje cyfrowe i</w:t>
      </w:r>
      <w:r w:rsidR="00A42EFD">
        <w:t> </w:t>
      </w:r>
      <w:r>
        <w:t>regularnie korzystać z Internetu.</w:t>
      </w:r>
    </w:p>
    <w:p w14:paraId="37CD602D" w14:textId="77777777" w:rsidR="001C11F9" w:rsidRPr="00BD5887" w:rsidRDefault="001C11F9" w:rsidP="00B271C3">
      <w:pPr>
        <w:pStyle w:val="Nagwek4"/>
      </w:pPr>
      <w:r w:rsidRPr="00BD5887">
        <w:t>Kontrola doboru próby</w:t>
      </w:r>
    </w:p>
    <w:p w14:paraId="5CEF6BBF" w14:textId="77777777" w:rsidR="001C11F9" w:rsidRDefault="001C11F9" w:rsidP="001C11F9">
      <w:pPr>
        <w:spacing w:after="160" w:line="259" w:lineRule="auto"/>
      </w:pPr>
      <w:r>
        <w:t>Proces doboru próby podlegał stałej kontroli w celu zapewnienia rzetelności zebranych danych. Zastosowano następujące metody kontrolne:</w:t>
      </w:r>
    </w:p>
    <w:p w14:paraId="68057093" w14:textId="58516DF5" w:rsidR="001C11F9" w:rsidRDefault="001C11F9" w:rsidP="00B271C3">
      <w:pPr>
        <w:pStyle w:val="Akapitzlist"/>
        <w:numPr>
          <w:ilvl w:val="0"/>
          <w:numId w:val="90"/>
        </w:numPr>
        <w:spacing w:after="160" w:line="259" w:lineRule="auto"/>
      </w:pPr>
      <w:r>
        <w:t>Monitoring ankieterski realizowany przez koordynatora badania, który na bieżąco nadzorował proces realizacji wywiadów.</w:t>
      </w:r>
    </w:p>
    <w:p w14:paraId="33BCB0B6" w14:textId="77777777" w:rsidR="001C11F9" w:rsidRDefault="001C11F9" w:rsidP="00B271C3">
      <w:pPr>
        <w:pStyle w:val="Akapitzlist"/>
        <w:numPr>
          <w:ilvl w:val="0"/>
          <w:numId w:val="90"/>
        </w:numPr>
        <w:spacing w:after="160" w:line="259" w:lineRule="auto"/>
      </w:pPr>
      <w:r>
        <w:t>Kontrola logiczna i czasowa polegająca na rejestracji czasu trwania wywiadów oraz weryfikacji spójności udzielanych odpowiedzi.</w:t>
      </w:r>
    </w:p>
    <w:p w14:paraId="68D412E0" w14:textId="77777777" w:rsidR="001C11F9" w:rsidRPr="00BD5887" w:rsidRDefault="001C11F9" w:rsidP="00B271C3">
      <w:pPr>
        <w:pStyle w:val="Nagwek4"/>
        <w:rPr>
          <w:bCs/>
        </w:rPr>
      </w:pPr>
      <w:r w:rsidRPr="00BD5887">
        <w:rPr>
          <w:bCs/>
        </w:rPr>
        <w:t xml:space="preserve">Skuteczność </w:t>
      </w:r>
      <w:r w:rsidRPr="001C11F9">
        <w:t>doboru</w:t>
      </w:r>
      <w:r w:rsidRPr="00BD5887">
        <w:rPr>
          <w:bCs/>
        </w:rPr>
        <w:t xml:space="preserve"> próby</w:t>
      </w:r>
    </w:p>
    <w:p w14:paraId="2AE516A2" w14:textId="77777777" w:rsidR="001C11F9" w:rsidRDefault="001C11F9" w:rsidP="001C11F9">
      <w:pPr>
        <w:spacing w:after="160" w:line="259" w:lineRule="auto"/>
      </w:pPr>
      <w:r>
        <w:t>Skuteczność doboru próby oceniono na podstawie standardowych wskaźników stosowanych w badaniach społecznych, w tym wskaźnika odpowiedzi (</w:t>
      </w:r>
      <w:proofErr w:type="spellStart"/>
      <w:r>
        <w:t>response</w:t>
      </w:r>
      <w:proofErr w:type="spellEnd"/>
      <w:r>
        <w:t xml:space="preserve"> </w:t>
      </w:r>
      <w:proofErr w:type="spellStart"/>
      <w:r>
        <w:t>rate</w:t>
      </w:r>
      <w:proofErr w:type="spellEnd"/>
      <w:r>
        <w:t>) oraz wskaźnika kwalifikacji.</w:t>
      </w:r>
    </w:p>
    <w:p w14:paraId="31A216F9" w14:textId="77777777" w:rsidR="001C11F9" w:rsidRDefault="001C11F9" w:rsidP="001C11F9">
      <w:pPr>
        <w:spacing w:after="160" w:line="259" w:lineRule="auto"/>
      </w:pPr>
      <w:r>
        <w:t>W ramach badania podjęto łącznie 1891 prób kontaktu z potencjalnymi respondentami. Analiza tych prób pozwala na obliczenie kluczowych wskaźników efektywności rekrutacji.</w:t>
      </w:r>
    </w:p>
    <w:p w14:paraId="32582B4B" w14:textId="77777777" w:rsidR="001C11F9" w:rsidRDefault="001C11F9" w:rsidP="001C11F9">
      <w:pPr>
        <w:spacing w:after="160" w:line="259" w:lineRule="auto"/>
      </w:pPr>
      <w:r>
        <w:t>Wskaźnik odpowiedzi</w:t>
      </w:r>
      <w:r>
        <w:rPr>
          <w:rStyle w:val="Odwoanieprzypisudolnego"/>
        </w:rPr>
        <w:footnoteReference w:id="24"/>
      </w:r>
      <w:r>
        <w:t>: z wszystkich podjętych prób kontaktu, 306 zakończyło się przeprowadzeniem pełnego, poprawnego wywiadu. Stanowi to wskaźnik odpowiedzi na poziomie 16,2% wszystkich prób kontaktu. Tak niski ogólny wskaźnik wynika z faktu, że dla 850 kontaktów (44,9%) kwota dla danego profilu respondenta była już wyczerpana. Po wykluczeniu przypadków, w których badanie nie mogło być zrealizowane z przyczyn losowych (np. wyczerpana kwota), wskaźnik odpowiedzi jest znacznie wyższy, co świadczy o wysokim zainteresowaniu tematem badania wśród osób, które spełniały kryteria.</w:t>
      </w:r>
    </w:p>
    <w:p w14:paraId="7B81B81B" w14:textId="189FDC41" w:rsidR="001C11F9" w:rsidRDefault="001C11F9" w:rsidP="001C11F9">
      <w:pPr>
        <w:spacing w:after="160" w:line="259" w:lineRule="auto"/>
      </w:pPr>
      <w:r>
        <w:t>Wskaźnik kwalifikacji</w:t>
      </w:r>
      <w:r>
        <w:rPr>
          <w:rStyle w:val="Odwoanieprzypisudolnego"/>
        </w:rPr>
        <w:footnoteReference w:id="25"/>
      </w:r>
      <w:r>
        <w:t xml:space="preserve"> określa odsetek osób, które po skontaktowaniu się i wstępnej weryfikacji okazały się kwalifikować do udziału w badaniu. W procesie rekrutacji 187 osób nie spełniło wymogów formalnych (np. wiekowych lub dotyczących niepełnosprawności). Biorąc pod uwagę wszystkie osoby, których status udało się określić (1 431), liczba respondentów kwalifikujących się (N=1 244) w stosunku do liczby wszystkich zweryfikowanych (N=1 431) pozwala oszacować wskaźnik kwalifikacji</w:t>
      </w:r>
      <w:r>
        <w:rPr>
          <w:rStyle w:val="Odwoanieprzypisudolnego"/>
        </w:rPr>
        <w:footnoteReference w:id="26"/>
      </w:r>
      <w:r>
        <w:t xml:space="preserve"> na </w:t>
      </w:r>
      <w:r>
        <w:lastRenderedPageBreak/>
        <w:t>poziomie 86,9%. Tak wysoki wskaźnik jest rezultatem precyzyjnego dotarcia do badanych grup dzięki współpracy z wyspecjalizowanymi panelami badawczymi i</w:t>
      </w:r>
      <w:r w:rsidR="00A42EFD">
        <w:t> </w:t>
      </w:r>
      <w:r>
        <w:t>organizacjami pozarządowymi.</w:t>
      </w:r>
    </w:p>
    <w:p w14:paraId="3A80D82C" w14:textId="657995B3" w:rsidR="001C11F9" w:rsidRDefault="001C11F9" w:rsidP="001C11F9">
      <w:pPr>
        <w:spacing w:after="160" w:line="259" w:lineRule="auto"/>
      </w:pPr>
      <w:r>
        <w:t>Niewielki odsetek kontaktów, bo jedynie 1,3% (24 przypadki), zakończył się odmową udziału w badaniu ze strony respondenta. Tak niski poziom odmów może świadczyć o</w:t>
      </w:r>
      <w:r w:rsidR="00A42EFD">
        <w:t> </w:t>
      </w:r>
      <w:r>
        <w:t xml:space="preserve">skutecznej rekrutacji oraz o dużej adekwatności tematu badania względem zainteresowań lub doświadczeń respondentów. </w:t>
      </w:r>
    </w:p>
    <w:p w14:paraId="7BF1ED44" w14:textId="77777777" w:rsidR="001C11F9" w:rsidRDefault="001C11F9" w:rsidP="001C11F9">
      <w:pPr>
        <w:spacing w:after="160" w:line="259" w:lineRule="auto"/>
      </w:pPr>
      <w:r w:rsidRPr="00D93F59">
        <w:t xml:space="preserve">Największą kategorią wśród wszystkich prób kontaktu były przypadki oznaczone jako „kwota wyczerpana”, których odnotowano 850. Oznacza to, że dla wielu połączeń system zakończył rekrutację, ponieważ dany profil respondenta (np. według wieku, </w:t>
      </w:r>
      <w:r>
        <w:t>kategorii niepełnosprawności</w:t>
      </w:r>
      <w:r w:rsidRPr="00D93F59">
        <w:t>) został już w pełni zrealizowany w ramach wcześniej przeprowadzonych wywiadów.</w:t>
      </w:r>
    </w:p>
    <w:p w14:paraId="0B284F61" w14:textId="77777777" w:rsidR="001C11F9" w:rsidRDefault="001C11F9" w:rsidP="001C11F9">
      <w:pPr>
        <w:spacing w:after="160" w:line="259" w:lineRule="auto"/>
      </w:pPr>
      <w:r>
        <w:t xml:space="preserve">W 64 przypadkach (3,4%) doszło do przerwania wywiadu w jego trakcie – przyczyną były m.in. problemy techniczne, rozłączenie się respondenta lub inne nieprzewidziane okoliczności. </w:t>
      </w:r>
    </w:p>
    <w:p w14:paraId="2479F184" w14:textId="77777777" w:rsidR="001C11F9" w:rsidRDefault="001C11F9" w:rsidP="001C11F9">
      <w:pPr>
        <w:spacing w:after="160" w:line="259" w:lineRule="auto"/>
      </w:pPr>
      <w:r>
        <w:t xml:space="preserve">Dodatkową grupą są przypadki oznaczone jako „wymogi” – dotyczyły one osób, które nie spełniały określonych kryteriów do udziału w badaniu (np. wiek, kategoria niepełnosprawności). Takich sytuacji było 187, co stanowi 9,9% kontaktów. </w:t>
      </w:r>
    </w:p>
    <w:p w14:paraId="75330E0C" w14:textId="77777777" w:rsidR="001C11F9" w:rsidRDefault="001C11F9" w:rsidP="001C11F9">
      <w:pPr>
        <w:pStyle w:val="Legenda"/>
      </w:pPr>
      <w:bookmarkStart w:id="201" w:name="_Toc204179122"/>
      <w:r>
        <w:t xml:space="preserve">Tabela </w:t>
      </w:r>
      <w:r>
        <w:fldChar w:fldCharType="begin"/>
      </w:r>
      <w:r>
        <w:instrText xml:space="preserve"> SEQ Tabela \* ARABIC </w:instrText>
      </w:r>
      <w:r>
        <w:fldChar w:fldCharType="separate"/>
      </w:r>
      <w:r>
        <w:rPr>
          <w:noProof/>
        </w:rPr>
        <w:t>24</w:t>
      </w:r>
      <w:r>
        <w:fldChar w:fldCharType="end"/>
      </w:r>
      <w:r>
        <w:t>. Podsumowanie realizacji próby</w:t>
      </w:r>
      <w:bookmarkEnd w:id="201"/>
    </w:p>
    <w:tbl>
      <w:tblPr>
        <w:tblStyle w:val="PARP"/>
        <w:tblW w:w="8717" w:type="dxa"/>
        <w:tblLook w:val="04A0" w:firstRow="1" w:lastRow="0" w:firstColumn="1" w:lastColumn="0" w:noHBand="0" w:noVBand="1"/>
        <w:tblCaption w:val="Podsumowanie realizacji próby"/>
        <w:tblDescription w:val="Podsumowanie realizacji próby"/>
      </w:tblPr>
      <w:tblGrid>
        <w:gridCol w:w="3539"/>
        <w:gridCol w:w="1726"/>
        <w:gridCol w:w="1726"/>
        <w:gridCol w:w="1726"/>
      </w:tblGrid>
      <w:tr w:rsidR="001C11F9" w14:paraId="39D17507" w14:textId="77777777" w:rsidTr="00D80DC0">
        <w:trPr>
          <w:cnfStyle w:val="100000000000" w:firstRow="1" w:lastRow="0" w:firstColumn="0" w:lastColumn="0" w:oddVBand="0" w:evenVBand="0" w:oddHBand="0" w:evenHBand="0" w:firstRowFirstColumn="0" w:firstRowLastColumn="0" w:lastRowFirstColumn="0" w:lastRowLastColumn="0"/>
        </w:trPr>
        <w:tc>
          <w:tcPr>
            <w:tcW w:w="3539" w:type="dxa"/>
          </w:tcPr>
          <w:p w14:paraId="42AECBEF" w14:textId="77777777" w:rsidR="001C11F9" w:rsidRDefault="001C11F9" w:rsidP="00D80DC0">
            <w:pPr>
              <w:spacing w:before="0" w:after="0" w:line="259" w:lineRule="auto"/>
            </w:pPr>
          </w:p>
        </w:tc>
        <w:tc>
          <w:tcPr>
            <w:tcW w:w="1726" w:type="dxa"/>
          </w:tcPr>
          <w:p w14:paraId="46D2671E" w14:textId="77777777" w:rsidR="001C11F9" w:rsidRDefault="001C11F9" w:rsidP="00D80DC0">
            <w:pPr>
              <w:spacing w:before="0" w:after="0" w:line="259" w:lineRule="auto"/>
            </w:pPr>
            <w:r>
              <w:t>N – liczba odpowiedzi</w:t>
            </w:r>
          </w:p>
        </w:tc>
        <w:tc>
          <w:tcPr>
            <w:tcW w:w="1726" w:type="dxa"/>
          </w:tcPr>
          <w:p w14:paraId="10CAB4D4" w14:textId="77777777" w:rsidR="001C11F9" w:rsidRDefault="001C11F9" w:rsidP="00D80DC0">
            <w:pPr>
              <w:spacing w:before="0" w:after="0" w:line="259" w:lineRule="auto"/>
            </w:pPr>
            <w:r>
              <w:t>% odpowiedzi</w:t>
            </w:r>
          </w:p>
        </w:tc>
        <w:tc>
          <w:tcPr>
            <w:tcW w:w="1726" w:type="dxa"/>
          </w:tcPr>
          <w:p w14:paraId="4B87F511" w14:textId="77777777" w:rsidR="001C11F9" w:rsidRDefault="001C11F9" w:rsidP="00D80DC0">
            <w:pPr>
              <w:spacing w:before="0" w:after="0" w:line="259" w:lineRule="auto"/>
            </w:pPr>
            <w:r>
              <w:t>Czas trwania</w:t>
            </w:r>
          </w:p>
        </w:tc>
      </w:tr>
      <w:tr w:rsidR="001C11F9" w14:paraId="174A2337" w14:textId="77777777" w:rsidTr="00D80DC0">
        <w:trPr>
          <w:cnfStyle w:val="000000100000" w:firstRow="0" w:lastRow="0" w:firstColumn="0" w:lastColumn="0" w:oddVBand="0" w:evenVBand="0" w:oddHBand="1" w:evenHBand="0" w:firstRowFirstColumn="0" w:firstRowLastColumn="0" w:lastRowFirstColumn="0" w:lastRowLastColumn="0"/>
        </w:trPr>
        <w:tc>
          <w:tcPr>
            <w:tcW w:w="3539" w:type="dxa"/>
          </w:tcPr>
          <w:p w14:paraId="33835DF1" w14:textId="77777777" w:rsidR="001C11F9" w:rsidRDefault="001C11F9" w:rsidP="00D80DC0">
            <w:pPr>
              <w:spacing w:before="0" w:after="0" w:line="259" w:lineRule="auto"/>
            </w:pPr>
            <w:r>
              <w:t>Wywiad</w:t>
            </w:r>
          </w:p>
        </w:tc>
        <w:tc>
          <w:tcPr>
            <w:tcW w:w="1726" w:type="dxa"/>
          </w:tcPr>
          <w:p w14:paraId="51B7BC91" w14:textId="77777777" w:rsidR="001C11F9" w:rsidRDefault="001C11F9" w:rsidP="00D80DC0">
            <w:pPr>
              <w:spacing w:before="0" w:after="0" w:line="259" w:lineRule="auto"/>
            </w:pPr>
            <w:r>
              <w:t>306</w:t>
            </w:r>
          </w:p>
        </w:tc>
        <w:tc>
          <w:tcPr>
            <w:tcW w:w="1726" w:type="dxa"/>
          </w:tcPr>
          <w:p w14:paraId="10C9F499" w14:textId="77777777" w:rsidR="001C11F9" w:rsidRDefault="001C11F9" w:rsidP="00D80DC0">
            <w:pPr>
              <w:spacing w:before="0" w:after="0" w:line="259" w:lineRule="auto"/>
            </w:pPr>
            <w:r>
              <w:t>16,2</w:t>
            </w:r>
          </w:p>
        </w:tc>
        <w:tc>
          <w:tcPr>
            <w:tcW w:w="1726" w:type="dxa"/>
          </w:tcPr>
          <w:p w14:paraId="2EB956F8" w14:textId="77777777" w:rsidR="001C11F9" w:rsidRDefault="001C11F9" w:rsidP="00D80DC0">
            <w:pPr>
              <w:spacing w:before="0" w:after="0" w:line="259" w:lineRule="auto"/>
            </w:pPr>
            <w:r>
              <w:t>71:04:20</w:t>
            </w:r>
          </w:p>
        </w:tc>
      </w:tr>
      <w:tr w:rsidR="001C11F9" w14:paraId="01315BA1" w14:textId="77777777" w:rsidTr="00D80DC0">
        <w:trPr>
          <w:cnfStyle w:val="000000010000" w:firstRow="0" w:lastRow="0" w:firstColumn="0" w:lastColumn="0" w:oddVBand="0" w:evenVBand="0" w:oddHBand="0" w:evenHBand="1" w:firstRowFirstColumn="0" w:firstRowLastColumn="0" w:lastRowFirstColumn="0" w:lastRowLastColumn="0"/>
        </w:trPr>
        <w:tc>
          <w:tcPr>
            <w:tcW w:w="3539" w:type="dxa"/>
          </w:tcPr>
          <w:p w14:paraId="1235B486" w14:textId="77777777" w:rsidR="001C11F9" w:rsidRDefault="001C11F9" w:rsidP="00D80DC0">
            <w:pPr>
              <w:spacing w:before="0" w:after="0" w:line="259" w:lineRule="auto"/>
            </w:pPr>
            <w:r>
              <w:t xml:space="preserve">Odmowa </w:t>
            </w:r>
          </w:p>
        </w:tc>
        <w:tc>
          <w:tcPr>
            <w:tcW w:w="1726" w:type="dxa"/>
          </w:tcPr>
          <w:p w14:paraId="315B2D5B" w14:textId="77777777" w:rsidR="001C11F9" w:rsidRDefault="001C11F9" w:rsidP="00D80DC0">
            <w:pPr>
              <w:spacing w:before="0" w:after="0" w:line="259" w:lineRule="auto"/>
            </w:pPr>
            <w:r>
              <w:t>24</w:t>
            </w:r>
          </w:p>
        </w:tc>
        <w:tc>
          <w:tcPr>
            <w:tcW w:w="1726" w:type="dxa"/>
          </w:tcPr>
          <w:p w14:paraId="11E7CA23" w14:textId="77777777" w:rsidR="001C11F9" w:rsidRDefault="001C11F9" w:rsidP="00D80DC0">
            <w:pPr>
              <w:spacing w:before="0" w:after="0" w:line="259" w:lineRule="auto"/>
            </w:pPr>
            <w:r>
              <w:t>1,3</w:t>
            </w:r>
          </w:p>
        </w:tc>
        <w:tc>
          <w:tcPr>
            <w:tcW w:w="1726" w:type="dxa"/>
          </w:tcPr>
          <w:p w14:paraId="04425E89" w14:textId="77777777" w:rsidR="001C11F9" w:rsidRDefault="001C11F9" w:rsidP="00D80DC0">
            <w:pPr>
              <w:spacing w:before="0" w:after="0" w:line="259" w:lineRule="auto"/>
            </w:pPr>
            <w:r>
              <w:t>-</w:t>
            </w:r>
          </w:p>
        </w:tc>
      </w:tr>
      <w:tr w:rsidR="001C11F9" w14:paraId="056EEF9F" w14:textId="77777777" w:rsidTr="00D80DC0">
        <w:trPr>
          <w:cnfStyle w:val="000000100000" w:firstRow="0" w:lastRow="0" w:firstColumn="0" w:lastColumn="0" w:oddVBand="0" w:evenVBand="0" w:oddHBand="1" w:evenHBand="0" w:firstRowFirstColumn="0" w:firstRowLastColumn="0" w:lastRowFirstColumn="0" w:lastRowLastColumn="0"/>
        </w:trPr>
        <w:tc>
          <w:tcPr>
            <w:tcW w:w="3539" w:type="dxa"/>
          </w:tcPr>
          <w:p w14:paraId="5D94E942" w14:textId="77777777" w:rsidR="001C11F9" w:rsidRDefault="001C11F9" w:rsidP="00D80DC0">
            <w:pPr>
              <w:spacing w:before="0" w:after="0" w:line="259" w:lineRule="auto"/>
            </w:pPr>
            <w:r>
              <w:t>Kwota wyczerpana</w:t>
            </w:r>
          </w:p>
        </w:tc>
        <w:tc>
          <w:tcPr>
            <w:tcW w:w="1726" w:type="dxa"/>
          </w:tcPr>
          <w:p w14:paraId="34C5648B" w14:textId="77777777" w:rsidR="001C11F9" w:rsidRDefault="001C11F9" w:rsidP="00D80DC0">
            <w:pPr>
              <w:spacing w:before="0" w:after="0" w:line="259" w:lineRule="auto"/>
            </w:pPr>
            <w:r>
              <w:t>850</w:t>
            </w:r>
          </w:p>
        </w:tc>
        <w:tc>
          <w:tcPr>
            <w:tcW w:w="1726" w:type="dxa"/>
          </w:tcPr>
          <w:p w14:paraId="13AEE617" w14:textId="77777777" w:rsidR="001C11F9" w:rsidRDefault="001C11F9" w:rsidP="00D80DC0">
            <w:pPr>
              <w:spacing w:before="0" w:after="0" w:line="259" w:lineRule="auto"/>
            </w:pPr>
            <w:r>
              <w:t>44,9</w:t>
            </w:r>
          </w:p>
        </w:tc>
        <w:tc>
          <w:tcPr>
            <w:tcW w:w="1726" w:type="dxa"/>
          </w:tcPr>
          <w:p w14:paraId="37BDBFAC" w14:textId="77777777" w:rsidR="001C11F9" w:rsidRDefault="001C11F9" w:rsidP="00D80DC0">
            <w:pPr>
              <w:spacing w:before="0" w:after="0" w:line="259" w:lineRule="auto"/>
            </w:pPr>
            <w:r>
              <w:t>-</w:t>
            </w:r>
          </w:p>
        </w:tc>
      </w:tr>
      <w:tr w:rsidR="001C11F9" w14:paraId="5FEE4073" w14:textId="77777777" w:rsidTr="00D80DC0">
        <w:trPr>
          <w:cnfStyle w:val="000000010000" w:firstRow="0" w:lastRow="0" w:firstColumn="0" w:lastColumn="0" w:oddVBand="0" w:evenVBand="0" w:oddHBand="0" w:evenHBand="1" w:firstRowFirstColumn="0" w:firstRowLastColumn="0" w:lastRowFirstColumn="0" w:lastRowLastColumn="0"/>
        </w:trPr>
        <w:tc>
          <w:tcPr>
            <w:tcW w:w="3539" w:type="dxa"/>
          </w:tcPr>
          <w:p w14:paraId="0BEB5AD7" w14:textId="77777777" w:rsidR="001C11F9" w:rsidRDefault="001C11F9" w:rsidP="00D80DC0">
            <w:pPr>
              <w:spacing w:before="0" w:after="0" w:line="259" w:lineRule="auto"/>
            </w:pPr>
            <w:r>
              <w:t>Przerwany</w:t>
            </w:r>
          </w:p>
        </w:tc>
        <w:tc>
          <w:tcPr>
            <w:tcW w:w="1726" w:type="dxa"/>
          </w:tcPr>
          <w:p w14:paraId="5F08A6CC" w14:textId="77777777" w:rsidR="001C11F9" w:rsidRDefault="001C11F9" w:rsidP="00D80DC0">
            <w:pPr>
              <w:spacing w:before="0" w:after="0" w:line="259" w:lineRule="auto"/>
            </w:pPr>
            <w:r>
              <w:t>64</w:t>
            </w:r>
          </w:p>
        </w:tc>
        <w:tc>
          <w:tcPr>
            <w:tcW w:w="1726" w:type="dxa"/>
          </w:tcPr>
          <w:p w14:paraId="69F3BEE4" w14:textId="77777777" w:rsidR="001C11F9" w:rsidRDefault="001C11F9" w:rsidP="00D80DC0">
            <w:pPr>
              <w:spacing w:before="0" w:after="0" w:line="259" w:lineRule="auto"/>
            </w:pPr>
            <w:r>
              <w:t>3,4</w:t>
            </w:r>
          </w:p>
        </w:tc>
        <w:tc>
          <w:tcPr>
            <w:tcW w:w="1726" w:type="dxa"/>
          </w:tcPr>
          <w:p w14:paraId="46EF286A" w14:textId="77777777" w:rsidR="001C11F9" w:rsidRDefault="001C11F9" w:rsidP="00D80DC0">
            <w:pPr>
              <w:spacing w:before="0" w:after="0" w:line="259" w:lineRule="auto"/>
            </w:pPr>
            <w:r>
              <w:t>2:08:51</w:t>
            </w:r>
          </w:p>
        </w:tc>
      </w:tr>
      <w:tr w:rsidR="001C11F9" w14:paraId="7FDB0043" w14:textId="77777777" w:rsidTr="00D80DC0">
        <w:trPr>
          <w:cnfStyle w:val="000000100000" w:firstRow="0" w:lastRow="0" w:firstColumn="0" w:lastColumn="0" w:oddVBand="0" w:evenVBand="0" w:oddHBand="1" w:evenHBand="0" w:firstRowFirstColumn="0" w:firstRowLastColumn="0" w:lastRowFirstColumn="0" w:lastRowLastColumn="0"/>
        </w:trPr>
        <w:tc>
          <w:tcPr>
            <w:tcW w:w="3539" w:type="dxa"/>
          </w:tcPr>
          <w:p w14:paraId="522B62BA" w14:textId="77777777" w:rsidR="001C11F9" w:rsidRDefault="001C11F9" w:rsidP="00D80DC0">
            <w:pPr>
              <w:spacing w:before="0" w:after="0" w:line="259" w:lineRule="auto"/>
            </w:pPr>
            <w:r>
              <w:t>Wymogi</w:t>
            </w:r>
          </w:p>
        </w:tc>
        <w:tc>
          <w:tcPr>
            <w:tcW w:w="1726" w:type="dxa"/>
          </w:tcPr>
          <w:p w14:paraId="65776970" w14:textId="77777777" w:rsidR="001C11F9" w:rsidRDefault="001C11F9" w:rsidP="00D80DC0">
            <w:pPr>
              <w:spacing w:before="0" w:after="0" w:line="259" w:lineRule="auto"/>
            </w:pPr>
            <w:r>
              <w:t>187</w:t>
            </w:r>
          </w:p>
        </w:tc>
        <w:tc>
          <w:tcPr>
            <w:tcW w:w="1726" w:type="dxa"/>
          </w:tcPr>
          <w:p w14:paraId="3114CECC" w14:textId="77777777" w:rsidR="001C11F9" w:rsidRDefault="001C11F9" w:rsidP="00D80DC0">
            <w:pPr>
              <w:spacing w:before="0" w:after="0" w:line="259" w:lineRule="auto"/>
            </w:pPr>
            <w:r>
              <w:t>9,9%</w:t>
            </w:r>
          </w:p>
        </w:tc>
        <w:tc>
          <w:tcPr>
            <w:tcW w:w="1726" w:type="dxa"/>
          </w:tcPr>
          <w:p w14:paraId="064E2B2D" w14:textId="77777777" w:rsidR="001C11F9" w:rsidRDefault="001C11F9" w:rsidP="00D80DC0">
            <w:pPr>
              <w:spacing w:before="0" w:after="0" w:line="259" w:lineRule="auto"/>
            </w:pPr>
            <w:r>
              <w:t>-</w:t>
            </w:r>
          </w:p>
        </w:tc>
      </w:tr>
      <w:tr w:rsidR="001C11F9" w14:paraId="20F40A3A" w14:textId="77777777" w:rsidTr="00D80DC0">
        <w:trPr>
          <w:cnfStyle w:val="000000010000" w:firstRow="0" w:lastRow="0" w:firstColumn="0" w:lastColumn="0" w:oddVBand="0" w:evenVBand="0" w:oddHBand="0" w:evenHBand="1" w:firstRowFirstColumn="0" w:firstRowLastColumn="0" w:lastRowFirstColumn="0" w:lastRowLastColumn="0"/>
        </w:trPr>
        <w:tc>
          <w:tcPr>
            <w:tcW w:w="3539" w:type="dxa"/>
          </w:tcPr>
          <w:p w14:paraId="0FA5FCE9" w14:textId="77777777" w:rsidR="001C11F9" w:rsidRDefault="001C11F9" w:rsidP="00D80DC0">
            <w:pPr>
              <w:spacing w:after="0" w:line="259" w:lineRule="auto"/>
            </w:pPr>
          </w:p>
        </w:tc>
        <w:tc>
          <w:tcPr>
            <w:tcW w:w="1726" w:type="dxa"/>
          </w:tcPr>
          <w:p w14:paraId="6DE41FC7" w14:textId="77777777" w:rsidR="001C11F9" w:rsidRDefault="001C11F9" w:rsidP="00D80DC0">
            <w:pPr>
              <w:spacing w:after="0" w:line="259" w:lineRule="auto"/>
            </w:pPr>
          </w:p>
        </w:tc>
        <w:tc>
          <w:tcPr>
            <w:tcW w:w="1726" w:type="dxa"/>
          </w:tcPr>
          <w:p w14:paraId="63A40AC7" w14:textId="77777777" w:rsidR="001C11F9" w:rsidRDefault="001C11F9" w:rsidP="00D80DC0">
            <w:pPr>
              <w:spacing w:after="0" w:line="259" w:lineRule="auto"/>
            </w:pPr>
          </w:p>
        </w:tc>
        <w:tc>
          <w:tcPr>
            <w:tcW w:w="1726" w:type="dxa"/>
          </w:tcPr>
          <w:p w14:paraId="273E6D4E" w14:textId="77777777" w:rsidR="001C11F9" w:rsidRDefault="001C11F9" w:rsidP="00D80DC0">
            <w:pPr>
              <w:spacing w:after="0" w:line="259" w:lineRule="auto"/>
            </w:pPr>
          </w:p>
        </w:tc>
      </w:tr>
    </w:tbl>
    <w:p w14:paraId="4D391216" w14:textId="77777777" w:rsidR="001C11F9" w:rsidRPr="00BF6615" w:rsidRDefault="001C11F9" w:rsidP="001C11F9">
      <w:pPr>
        <w:spacing w:after="160" w:line="259" w:lineRule="auto"/>
        <w:rPr>
          <w:rFonts w:eastAsiaTheme="majorEastAsia" w:cstheme="minorHAnsi"/>
          <w:b/>
          <w:bCs/>
          <w:color w:val="C00000"/>
          <w:sz w:val="36"/>
          <w:szCs w:val="28"/>
        </w:rPr>
      </w:pPr>
      <w:r>
        <w:t xml:space="preserve">Źródło: opracowanie własne na podstawie wygenerowanej informacji z systemu ankieterskiego. </w:t>
      </w:r>
    </w:p>
    <w:p w14:paraId="74CAE694" w14:textId="56479CA2" w:rsidR="00DF4488" w:rsidRPr="00BF6615" w:rsidRDefault="00DF4488" w:rsidP="00B271C3">
      <w:pPr>
        <w:pStyle w:val="Nagwek2"/>
        <w:pageBreakBefore/>
        <w:ind w:left="357" w:hanging="357"/>
      </w:pPr>
      <w:bookmarkStart w:id="202" w:name="_Toc204179248"/>
      <w:bookmarkStart w:id="203" w:name="_Toc204179249"/>
      <w:bookmarkStart w:id="204" w:name="_Toc204179250"/>
      <w:bookmarkStart w:id="205" w:name="_Toc204179251"/>
      <w:bookmarkStart w:id="206" w:name="_Toc204179252"/>
      <w:bookmarkStart w:id="207" w:name="_Toc204179253"/>
      <w:bookmarkStart w:id="208" w:name="_Toc204179254"/>
      <w:bookmarkStart w:id="209" w:name="_Toc204179255"/>
      <w:bookmarkStart w:id="210" w:name="_Toc204179285"/>
      <w:bookmarkStart w:id="211" w:name="_Toc204179290"/>
      <w:bookmarkStart w:id="212" w:name="_Toc204179291"/>
      <w:bookmarkEnd w:id="202"/>
      <w:bookmarkEnd w:id="203"/>
      <w:bookmarkEnd w:id="204"/>
      <w:bookmarkEnd w:id="205"/>
      <w:bookmarkEnd w:id="206"/>
      <w:bookmarkEnd w:id="207"/>
      <w:bookmarkEnd w:id="208"/>
      <w:bookmarkEnd w:id="209"/>
      <w:bookmarkEnd w:id="210"/>
      <w:bookmarkEnd w:id="211"/>
      <w:r w:rsidRPr="00BF6615">
        <w:lastRenderedPageBreak/>
        <w:t>Przebieg realizacji badania</w:t>
      </w:r>
      <w:bookmarkEnd w:id="212"/>
      <w:r w:rsidRPr="00BF6615">
        <w:t xml:space="preserve"> </w:t>
      </w:r>
    </w:p>
    <w:p w14:paraId="78E30AD9" w14:textId="3E4462F1" w:rsidR="00EB2CAC" w:rsidRPr="00BF6615" w:rsidRDefault="001C11F9" w:rsidP="007E26B5">
      <w:pPr>
        <w:spacing w:after="160" w:line="259" w:lineRule="auto"/>
      </w:pPr>
      <w:r>
        <w:t>Termin realizacji badania właściwego</w:t>
      </w:r>
      <w:r w:rsidR="00EB2CAC" w:rsidRPr="00BF6615">
        <w:t xml:space="preserve">: od 20.05.2025 r. do 08.06.2025 r.  </w:t>
      </w:r>
    </w:p>
    <w:p w14:paraId="28FADAF2" w14:textId="609493A3" w:rsidR="00EB2CAC" w:rsidRPr="00BF6615" w:rsidRDefault="00EB2CAC" w:rsidP="007E26B5">
      <w:pPr>
        <w:spacing w:after="160" w:line="259" w:lineRule="auto"/>
      </w:pPr>
      <w:r w:rsidRPr="00BF6615">
        <w:t xml:space="preserve">Celem badania było zidentyfikowanie najważniejszych potrzeb, oczekiwań, związanych </w:t>
      </w:r>
      <w:r w:rsidR="00A42EFD" w:rsidRPr="00BF6615">
        <w:t>z</w:t>
      </w:r>
      <w:r w:rsidR="00A42EFD">
        <w:t> </w:t>
      </w:r>
      <w:r w:rsidRPr="00BF6615">
        <w:t>dostępnością cyfrową stron i aplikacji mobilnych podmiotów publicznych z perspektywy użytkowników tych stron/aplikacji w trzech grupach respondentów:</w:t>
      </w:r>
    </w:p>
    <w:p w14:paraId="4825DF9A" w14:textId="77777777" w:rsidR="00EB2CAC" w:rsidRPr="00BF6615" w:rsidRDefault="00EB2CAC">
      <w:pPr>
        <w:pStyle w:val="Akapitzlist"/>
        <w:numPr>
          <w:ilvl w:val="0"/>
          <w:numId w:val="59"/>
        </w:numPr>
        <w:spacing w:after="160" w:line="259" w:lineRule="auto"/>
      </w:pPr>
      <w:r w:rsidRPr="00BF6615">
        <w:t>osób pełnosprawnych (18+),</w:t>
      </w:r>
    </w:p>
    <w:p w14:paraId="6FFFEBFC" w14:textId="230BD750" w:rsidR="00EB2CAC" w:rsidRPr="00BF6615" w:rsidRDefault="00EB2CAC">
      <w:pPr>
        <w:pStyle w:val="Akapitzlist"/>
        <w:numPr>
          <w:ilvl w:val="0"/>
          <w:numId w:val="59"/>
        </w:numPr>
        <w:spacing w:after="160" w:line="259" w:lineRule="auto"/>
      </w:pPr>
      <w:r w:rsidRPr="00BF6615">
        <w:t>osób z niepełnosprawnościami</w:t>
      </w:r>
      <w:r w:rsidR="006D6BC1">
        <w:t>,</w:t>
      </w:r>
    </w:p>
    <w:p w14:paraId="480D28F8" w14:textId="77777777" w:rsidR="00EB2CAC" w:rsidRPr="00BF6615" w:rsidRDefault="00EB2CAC">
      <w:pPr>
        <w:pStyle w:val="Akapitzlist"/>
        <w:numPr>
          <w:ilvl w:val="0"/>
          <w:numId w:val="59"/>
        </w:numPr>
        <w:spacing w:after="160" w:line="259" w:lineRule="auto"/>
      </w:pPr>
      <w:r w:rsidRPr="00BF6615">
        <w:t>osób w wieku 60 lat i więcej.</w:t>
      </w:r>
    </w:p>
    <w:p w14:paraId="3BE986D7" w14:textId="77777777" w:rsidR="00EB2CAC" w:rsidRPr="002D0786" w:rsidRDefault="00EB2CAC" w:rsidP="00B271C3">
      <w:pPr>
        <w:pStyle w:val="Nagwek4"/>
        <w:rPr>
          <w:bCs/>
        </w:rPr>
      </w:pPr>
      <w:r w:rsidRPr="002D0786">
        <w:rPr>
          <w:bCs/>
        </w:rPr>
        <w:t xml:space="preserve">Metody </w:t>
      </w:r>
      <w:r w:rsidRPr="001C11F9">
        <w:t>badawcze</w:t>
      </w:r>
    </w:p>
    <w:p w14:paraId="08E6AA4B" w14:textId="77777777" w:rsidR="00EB2CAC" w:rsidRPr="00BF6615" w:rsidRDefault="00EB2CAC" w:rsidP="007E26B5">
      <w:pPr>
        <w:spacing w:after="160" w:line="259" w:lineRule="auto"/>
      </w:pPr>
      <w:r w:rsidRPr="00BF6615">
        <w:t>Zastosowano dwie techniki badawcze:</w:t>
      </w:r>
    </w:p>
    <w:p w14:paraId="20C7617B" w14:textId="77777777" w:rsidR="00EB2CAC" w:rsidRPr="00BF6615" w:rsidRDefault="00EB2CAC">
      <w:pPr>
        <w:pStyle w:val="Akapitzlist"/>
        <w:numPr>
          <w:ilvl w:val="0"/>
          <w:numId w:val="58"/>
        </w:numPr>
        <w:spacing w:after="160" w:line="259" w:lineRule="auto"/>
      </w:pPr>
      <w:r w:rsidRPr="00BF6615">
        <w:t>CAWI (</w:t>
      </w:r>
      <w:proofErr w:type="spellStart"/>
      <w:r w:rsidRPr="00BF6615">
        <w:t>Computer-Assisted</w:t>
      </w:r>
      <w:proofErr w:type="spellEnd"/>
      <w:r w:rsidRPr="00BF6615">
        <w:t xml:space="preserve"> Web Interview) – wywiady internetowe samodzielnie wypełniane przez respondentów na platformie badawczej;</w:t>
      </w:r>
    </w:p>
    <w:p w14:paraId="1BF380BB" w14:textId="77777777" w:rsidR="00EB2CAC" w:rsidRPr="00BF6615" w:rsidRDefault="00EB2CAC">
      <w:pPr>
        <w:pStyle w:val="Akapitzlist"/>
        <w:numPr>
          <w:ilvl w:val="0"/>
          <w:numId w:val="58"/>
        </w:numPr>
        <w:spacing w:after="160" w:line="259" w:lineRule="auto"/>
      </w:pPr>
      <w:r w:rsidRPr="00BF6615">
        <w:t>CAPI (</w:t>
      </w:r>
      <w:proofErr w:type="spellStart"/>
      <w:r w:rsidRPr="00BF6615">
        <w:t>Computer-Assisted</w:t>
      </w:r>
      <w:proofErr w:type="spellEnd"/>
      <w:r w:rsidRPr="00BF6615">
        <w:t xml:space="preserve"> Personal Interview) – wywiady osobiste realizowane przez przeszkolonych ankieterów przy użyciu tabletów lub laptopów, w miejscu zamieszkania lub w przestrzeni publicznej.</w:t>
      </w:r>
    </w:p>
    <w:p w14:paraId="679E3FA0" w14:textId="77777777" w:rsidR="00EB2CAC" w:rsidRPr="002D0786" w:rsidRDefault="00EB2CAC" w:rsidP="00B271C3">
      <w:pPr>
        <w:pStyle w:val="Nagwek4"/>
        <w:rPr>
          <w:bCs/>
        </w:rPr>
      </w:pPr>
      <w:r w:rsidRPr="002D0786">
        <w:rPr>
          <w:bCs/>
        </w:rPr>
        <w:t xml:space="preserve">Rekrutacja </w:t>
      </w:r>
      <w:r w:rsidRPr="001C11F9">
        <w:t>respondentów</w:t>
      </w:r>
    </w:p>
    <w:p w14:paraId="3CFBD815" w14:textId="77777777" w:rsidR="00EB2CAC" w:rsidRPr="00BF6615" w:rsidRDefault="00EB2CAC">
      <w:pPr>
        <w:pStyle w:val="Akapitzlist"/>
        <w:numPr>
          <w:ilvl w:val="0"/>
          <w:numId w:val="60"/>
        </w:numPr>
        <w:spacing w:after="160" w:line="259" w:lineRule="auto"/>
      </w:pPr>
      <w:r w:rsidRPr="00BF6615">
        <w:t xml:space="preserve">Osoby pełnosprawne zostały zrekrutowane głównie za pomocą </w:t>
      </w:r>
      <w:proofErr w:type="spellStart"/>
      <w:r w:rsidRPr="00BF6615">
        <w:t>National</w:t>
      </w:r>
      <w:proofErr w:type="spellEnd"/>
      <w:r w:rsidRPr="00BF6615">
        <w:t xml:space="preserve"> </w:t>
      </w:r>
      <w:proofErr w:type="spellStart"/>
      <w:r w:rsidRPr="00BF6615">
        <w:t>Sample</w:t>
      </w:r>
      <w:proofErr w:type="spellEnd"/>
      <w:r w:rsidRPr="00BF6615">
        <w:t xml:space="preserve"> </w:t>
      </w:r>
      <w:proofErr w:type="spellStart"/>
      <w:r w:rsidRPr="00BF6615">
        <w:t>sro</w:t>
      </w:r>
      <w:proofErr w:type="spellEnd"/>
      <w:r w:rsidRPr="00BF6615">
        <w:t xml:space="preserve"> (wcześniej znana jako </w:t>
      </w:r>
      <w:proofErr w:type="spellStart"/>
      <w:r w:rsidRPr="00BF6615">
        <w:t>European</w:t>
      </w:r>
      <w:proofErr w:type="spellEnd"/>
      <w:r w:rsidRPr="00BF6615">
        <w:t xml:space="preserve"> </w:t>
      </w:r>
      <w:proofErr w:type="spellStart"/>
      <w:r w:rsidRPr="00BF6615">
        <w:t>National</w:t>
      </w:r>
      <w:proofErr w:type="spellEnd"/>
      <w:r w:rsidRPr="00BF6615">
        <w:t xml:space="preserve"> </w:t>
      </w:r>
      <w:proofErr w:type="spellStart"/>
      <w:r w:rsidRPr="00BF6615">
        <w:t>Panels</w:t>
      </w:r>
      <w:proofErr w:type="spellEnd"/>
      <w:r w:rsidRPr="00BF6615">
        <w:t>) https://nationalsample.com/</w:t>
      </w:r>
    </w:p>
    <w:p w14:paraId="249D7A3E" w14:textId="77777777" w:rsidR="00EB2CAC" w:rsidRPr="00BF6615" w:rsidRDefault="00EB2CAC">
      <w:pPr>
        <w:pStyle w:val="Akapitzlist"/>
        <w:numPr>
          <w:ilvl w:val="0"/>
          <w:numId w:val="60"/>
        </w:numPr>
        <w:spacing w:after="160" w:line="259" w:lineRule="auto"/>
      </w:pPr>
      <w:r w:rsidRPr="00BF6615">
        <w:t xml:space="preserve">Osoby z niepełnosprawnościami rekrutowano we współpracy z organizacjami pozarządowymi oraz za pomocą </w:t>
      </w:r>
      <w:proofErr w:type="spellStart"/>
      <w:r w:rsidRPr="00BF6615">
        <w:t>National</w:t>
      </w:r>
      <w:proofErr w:type="spellEnd"/>
      <w:r w:rsidRPr="00BF6615">
        <w:t xml:space="preserve"> </w:t>
      </w:r>
      <w:proofErr w:type="spellStart"/>
      <w:r w:rsidRPr="00BF6615">
        <w:t>Sample</w:t>
      </w:r>
      <w:proofErr w:type="spellEnd"/>
      <w:r w:rsidRPr="00BF6615">
        <w:t xml:space="preserve"> </w:t>
      </w:r>
      <w:proofErr w:type="spellStart"/>
      <w:r w:rsidRPr="00BF6615">
        <w:t>sro</w:t>
      </w:r>
      <w:proofErr w:type="spellEnd"/>
    </w:p>
    <w:p w14:paraId="4867637B" w14:textId="77777777" w:rsidR="00EB2CAC" w:rsidRPr="00BF6615" w:rsidRDefault="00EB2CAC">
      <w:pPr>
        <w:pStyle w:val="Akapitzlist"/>
        <w:numPr>
          <w:ilvl w:val="0"/>
          <w:numId w:val="60"/>
        </w:numPr>
        <w:spacing w:after="160" w:line="259" w:lineRule="auto"/>
      </w:pPr>
      <w:r w:rsidRPr="00BF6615">
        <w:t xml:space="preserve">Osoby 60+ rekrutowano za pomocą </w:t>
      </w:r>
      <w:proofErr w:type="spellStart"/>
      <w:r w:rsidRPr="00BF6615">
        <w:t>National</w:t>
      </w:r>
      <w:proofErr w:type="spellEnd"/>
      <w:r w:rsidRPr="00BF6615">
        <w:t xml:space="preserve"> </w:t>
      </w:r>
      <w:proofErr w:type="spellStart"/>
      <w:r w:rsidRPr="00BF6615">
        <w:t>Sample</w:t>
      </w:r>
      <w:proofErr w:type="spellEnd"/>
      <w:r w:rsidRPr="00BF6615">
        <w:t xml:space="preserve"> </w:t>
      </w:r>
      <w:proofErr w:type="spellStart"/>
      <w:r w:rsidRPr="00BF6615">
        <w:t>sro</w:t>
      </w:r>
      <w:proofErr w:type="spellEnd"/>
    </w:p>
    <w:p w14:paraId="4160400C" w14:textId="77777777" w:rsidR="00EB2CAC" w:rsidRPr="002D0786" w:rsidRDefault="00EB2CAC" w:rsidP="00B271C3">
      <w:pPr>
        <w:pStyle w:val="Nagwek4"/>
        <w:rPr>
          <w:bCs/>
        </w:rPr>
      </w:pPr>
      <w:r w:rsidRPr="002D0786">
        <w:rPr>
          <w:bCs/>
        </w:rPr>
        <w:t xml:space="preserve">Przebieg </w:t>
      </w:r>
      <w:r w:rsidRPr="001C11F9">
        <w:t>realizacji</w:t>
      </w:r>
      <w:r w:rsidRPr="002D0786">
        <w:rPr>
          <w:bCs/>
        </w:rPr>
        <w:t xml:space="preserve"> badania</w:t>
      </w:r>
    </w:p>
    <w:p w14:paraId="2485E873" w14:textId="27058AA1" w:rsidR="00EB2CAC" w:rsidRPr="00B271C3" w:rsidRDefault="00EB2CAC" w:rsidP="007E26B5">
      <w:pPr>
        <w:spacing w:after="160" w:line="259" w:lineRule="auto"/>
      </w:pPr>
      <w:r w:rsidRPr="00B271C3">
        <w:t>Faza przygotowawcza</w:t>
      </w:r>
      <w:r w:rsidR="001C11F9">
        <w:t>:</w:t>
      </w:r>
    </w:p>
    <w:p w14:paraId="09375AA4" w14:textId="77777777" w:rsidR="00EB2CAC" w:rsidRPr="00BF6615" w:rsidRDefault="00EB2CAC">
      <w:pPr>
        <w:pStyle w:val="Akapitzlist"/>
        <w:numPr>
          <w:ilvl w:val="0"/>
          <w:numId w:val="61"/>
        </w:numPr>
        <w:spacing w:after="160" w:line="259" w:lineRule="auto"/>
      </w:pPr>
      <w:r w:rsidRPr="00BF6615">
        <w:t>opracowanie narzędzia badawczego dostosowanego do różnych grup (m.in. uproszczony język, większa czcionka, wersje audio),</w:t>
      </w:r>
    </w:p>
    <w:p w14:paraId="2B9CF8AE" w14:textId="77777777" w:rsidR="00EB2CAC" w:rsidRPr="00BF6615" w:rsidRDefault="00EB2CAC">
      <w:pPr>
        <w:pStyle w:val="Akapitzlist"/>
        <w:numPr>
          <w:ilvl w:val="0"/>
          <w:numId w:val="61"/>
        </w:numPr>
        <w:spacing w:after="160" w:line="259" w:lineRule="auto"/>
      </w:pPr>
      <w:r w:rsidRPr="00BF6615">
        <w:t>przetestowanie kwestionariusza (pilotaż),</w:t>
      </w:r>
    </w:p>
    <w:p w14:paraId="3FFD0068" w14:textId="3EF0B71F" w:rsidR="00EB2CAC" w:rsidRPr="00BF6615" w:rsidRDefault="00EB2CAC">
      <w:pPr>
        <w:pStyle w:val="Akapitzlist"/>
        <w:numPr>
          <w:ilvl w:val="0"/>
          <w:numId w:val="61"/>
        </w:numPr>
        <w:spacing w:after="160" w:line="259" w:lineRule="auto"/>
      </w:pPr>
      <w:r w:rsidRPr="00BF6615">
        <w:t xml:space="preserve">przeszkolenie ankieterów, szczególnie w zakresie komunikacji z osobami </w:t>
      </w:r>
      <w:r w:rsidR="00A42EFD" w:rsidRPr="00BF6615">
        <w:t>z</w:t>
      </w:r>
      <w:r w:rsidR="00A42EFD">
        <w:t> </w:t>
      </w:r>
      <w:r w:rsidRPr="00BF6615">
        <w:t>niepełnosprawnościami i osobami starszymi.</w:t>
      </w:r>
    </w:p>
    <w:p w14:paraId="68055D69" w14:textId="6509C62B" w:rsidR="00EB2CAC" w:rsidRPr="00B271C3" w:rsidRDefault="00EB2CAC" w:rsidP="007E26B5">
      <w:pPr>
        <w:spacing w:after="160" w:line="259" w:lineRule="auto"/>
      </w:pPr>
      <w:r w:rsidRPr="00B271C3">
        <w:t>Realizacja CAWI</w:t>
      </w:r>
      <w:r w:rsidR="001C11F9">
        <w:t>:</w:t>
      </w:r>
    </w:p>
    <w:p w14:paraId="3B4C1048" w14:textId="33ADF11C" w:rsidR="00EB2CAC" w:rsidRPr="00BF6615" w:rsidRDefault="00EB2CAC">
      <w:pPr>
        <w:pStyle w:val="Akapitzlist"/>
        <w:numPr>
          <w:ilvl w:val="0"/>
          <w:numId w:val="62"/>
        </w:numPr>
        <w:spacing w:after="160" w:line="259" w:lineRule="auto"/>
      </w:pPr>
      <w:r w:rsidRPr="00BF6615">
        <w:t xml:space="preserve">rozesłanie zaproszeń do badania za pomocą e-maili, SMS-ów oraz postów </w:t>
      </w:r>
      <w:r w:rsidR="00A42EFD" w:rsidRPr="00BF6615">
        <w:t>w</w:t>
      </w:r>
      <w:r w:rsidR="00A42EFD">
        <w:t> </w:t>
      </w:r>
      <w:r w:rsidRPr="00BF6615">
        <w:t>mediach społecznościowych,</w:t>
      </w:r>
    </w:p>
    <w:p w14:paraId="7019806E" w14:textId="77777777" w:rsidR="00EB2CAC" w:rsidRPr="00BF6615" w:rsidRDefault="00EB2CAC">
      <w:pPr>
        <w:pStyle w:val="Akapitzlist"/>
        <w:numPr>
          <w:ilvl w:val="0"/>
          <w:numId w:val="62"/>
        </w:numPr>
        <w:spacing w:after="160" w:line="259" w:lineRule="auto"/>
      </w:pPr>
      <w:r w:rsidRPr="00BF6615">
        <w:t>zapewnienie dostępności kwestionariusza: kontrastowe kolory, możliwość powiększenia tekstu, wersje zgodne z czytnikami ekranu.</w:t>
      </w:r>
    </w:p>
    <w:p w14:paraId="1D60F9D8" w14:textId="5EB3702B" w:rsidR="00EB2CAC" w:rsidRPr="00B271C3" w:rsidRDefault="00EB2CAC" w:rsidP="007E26B5">
      <w:pPr>
        <w:spacing w:after="160" w:line="259" w:lineRule="auto"/>
      </w:pPr>
      <w:r w:rsidRPr="00B271C3">
        <w:lastRenderedPageBreak/>
        <w:t>Realizacja CAPI</w:t>
      </w:r>
      <w:r w:rsidR="001C11F9">
        <w:t>:</w:t>
      </w:r>
    </w:p>
    <w:p w14:paraId="1BF4B93E" w14:textId="77777777" w:rsidR="00EB2CAC" w:rsidRPr="00BF6615" w:rsidRDefault="00EB2CAC">
      <w:pPr>
        <w:pStyle w:val="Akapitzlist"/>
        <w:numPr>
          <w:ilvl w:val="0"/>
          <w:numId w:val="63"/>
        </w:numPr>
        <w:spacing w:after="160" w:line="259" w:lineRule="auto"/>
      </w:pPr>
      <w:r w:rsidRPr="00BF6615">
        <w:t>wywiady realizowane w terenie przez ankieterów wyposażonych w urządzenia mobilne,</w:t>
      </w:r>
    </w:p>
    <w:p w14:paraId="471593C9" w14:textId="28F4637B" w:rsidR="00EB2CAC" w:rsidRPr="00BF6615" w:rsidRDefault="00EB2CAC">
      <w:pPr>
        <w:pStyle w:val="Akapitzlist"/>
        <w:numPr>
          <w:ilvl w:val="0"/>
          <w:numId w:val="63"/>
        </w:numPr>
        <w:spacing w:after="160" w:line="259" w:lineRule="auto"/>
      </w:pPr>
      <w:r w:rsidRPr="00BF6615">
        <w:t>w przypadku niektórych osób z niepełnosprawnościami (osobami niewidome / niedowidzące / niesłyszące) ankieterzy zapewniali wsparcie w komunikacji (np. kontakt z tłumaczem PJM lub asystentem osoby niepełnosprawnej)</w:t>
      </w:r>
      <w:r w:rsidR="002111CE">
        <w:t>.</w:t>
      </w:r>
    </w:p>
    <w:p w14:paraId="21D350F3" w14:textId="77777777" w:rsidR="00EB2CAC" w:rsidRPr="00BF6615" w:rsidRDefault="00EB2CAC" w:rsidP="007E26B5">
      <w:pPr>
        <w:spacing w:after="160" w:line="259" w:lineRule="auto"/>
      </w:pPr>
    </w:p>
    <w:p w14:paraId="42D54654" w14:textId="77777777" w:rsidR="00EB2CAC" w:rsidRPr="00BF6615" w:rsidRDefault="00EB2CAC" w:rsidP="007E26B5">
      <w:pPr>
        <w:spacing w:after="160" w:line="259" w:lineRule="auto"/>
      </w:pPr>
    </w:p>
    <w:p w14:paraId="5781457E" w14:textId="25165E26" w:rsidR="00FF5049" w:rsidRPr="00BF6615" w:rsidRDefault="00FF5049" w:rsidP="007E26B5">
      <w:pPr>
        <w:spacing w:after="160" w:line="259" w:lineRule="auto"/>
        <w:rPr>
          <w:rFonts w:eastAsiaTheme="majorEastAsia" w:cstheme="minorHAnsi"/>
          <w:b/>
          <w:bCs/>
          <w:color w:val="000000" w:themeColor="text1"/>
          <w:sz w:val="28"/>
          <w:szCs w:val="28"/>
        </w:rPr>
      </w:pPr>
    </w:p>
    <w:p w14:paraId="679ACDE5" w14:textId="77777777" w:rsidR="00754CAC" w:rsidRPr="00BF6615" w:rsidRDefault="00754CAC" w:rsidP="007E26B5">
      <w:pPr>
        <w:spacing w:after="160" w:line="259" w:lineRule="auto"/>
        <w:rPr>
          <w:rFonts w:eastAsiaTheme="majorEastAsia" w:cstheme="minorHAnsi"/>
          <w:b/>
          <w:bCs/>
          <w:color w:val="C00000"/>
          <w:sz w:val="36"/>
          <w:szCs w:val="28"/>
        </w:rPr>
      </w:pPr>
      <w:r w:rsidRPr="00BF6615">
        <w:br w:type="page"/>
      </w:r>
    </w:p>
    <w:p w14:paraId="7BDCAA60" w14:textId="556A3C5E" w:rsidR="00DF4488" w:rsidRPr="00BF6615" w:rsidRDefault="00DF4488" w:rsidP="007E26B5">
      <w:pPr>
        <w:pStyle w:val="Nagwek2"/>
      </w:pPr>
      <w:bookmarkStart w:id="213" w:name="_Toc204179292"/>
      <w:r w:rsidRPr="00BF6615">
        <w:lastRenderedPageBreak/>
        <w:t>Opis przeprowadzonych analiz wraz z uzasadnieniem</w:t>
      </w:r>
      <w:bookmarkEnd w:id="213"/>
    </w:p>
    <w:p w14:paraId="4189AC46" w14:textId="330798A3" w:rsidR="4EE11E11"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Analiza zebranych danych ilościowych została przeprowadzona w sposób systematyczny i wielowymiarowy, z uwzględnieniem zarówno całej badanej populacji, jak </w:t>
      </w:r>
      <w:r w:rsidR="00A42EFD" w:rsidRPr="00BF6615">
        <w:rPr>
          <w:rFonts w:ascii="Calibri" w:eastAsia="Calibri" w:hAnsi="Calibri" w:cs="Calibri"/>
          <w:szCs w:val="24"/>
        </w:rPr>
        <w:t>i</w:t>
      </w:r>
      <w:r w:rsidR="00A42EFD">
        <w:rPr>
          <w:rFonts w:ascii="Calibri" w:eastAsia="Calibri" w:hAnsi="Calibri" w:cs="Calibri"/>
          <w:szCs w:val="24"/>
        </w:rPr>
        <w:t> </w:t>
      </w:r>
      <w:r w:rsidRPr="00BF6615">
        <w:rPr>
          <w:rFonts w:ascii="Calibri" w:eastAsia="Calibri" w:hAnsi="Calibri" w:cs="Calibri"/>
          <w:szCs w:val="24"/>
        </w:rPr>
        <w:t xml:space="preserve">wyodrębnionych grup respondentów. </w:t>
      </w:r>
      <w:r w:rsidR="008166E8" w:rsidRPr="00BF6615">
        <w:rPr>
          <w:rFonts w:ascii="Calibri" w:eastAsia="Calibri" w:hAnsi="Calibri" w:cs="Calibri"/>
          <w:szCs w:val="24"/>
        </w:rPr>
        <w:t>N</w:t>
      </w:r>
      <w:r w:rsidRPr="00BF6615">
        <w:rPr>
          <w:rFonts w:ascii="Calibri" w:eastAsia="Calibri" w:hAnsi="Calibri" w:cs="Calibri"/>
          <w:szCs w:val="24"/>
        </w:rPr>
        <w:t>a etapie opracowania wyników przyjęto logikę struktury analizy, w której najpierw przedstawiono wyniki dla pełnej próby, następnie dokonano analizy wyników w podziale na kluczowe grupy badane, a na końcu przeprowadzono pogłębione analizy porównawcze i interpretacyjne. Takie podejście umożliwia zarysowanie ogólnych trendów i prawidłowości dla wszystkich respondentów, po czym pozwala ukazać specyfikę poszczególnych segmentów uczestników badania, zapewniając pełniejszy obraz zjawiska.</w:t>
      </w:r>
    </w:p>
    <w:p w14:paraId="65EFDE8D" w14:textId="72DC7F6E" w:rsidR="008E23A2" w:rsidRPr="001C11F9" w:rsidRDefault="4EE11E11" w:rsidP="00B271C3">
      <w:pPr>
        <w:pStyle w:val="Nagwek4"/>
        <w:rPr>
          <w:rStyle w:val="Pogrubienie"/>
          <w:bCs w:val="0"/>
        </w:rPr>
      </w:pPr>
      <w:r w:rsidRPr="001C11F9">
        <w:rPr>
          <w:rStyle w:val="Pogrubienie"/>
          <w:b/>
          <w:bCs w:val="0"/>
        </w:rPr>
        <w:t>Grupowanie danych i kryteria klasyfikacji</w:t>
      </w:r>
    </w:p>
    <w:p w14:paraId="07B6D406" w14:textId="77777777" w:rsidR="001C05CB" w:rsidRPr="00BF6615"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W badaniu wyróżniono trzy zasadnicze kategorie respondentów: </w:t>
      </w:r>
    </w:p>
    <w:p w14:paraId="0E452507" w14:textId="77777777" w:rsidR="001C05CB" w:rsidRPr="00BF6615" w:rsidRDefault="4EE11E11">
      <w:pPr>
        <w:pStyle w:val="Akapitzlist"/>
        <w:numPr>
          <w:ilvl w:val="0"/>
          <w:numId w:val="64"/>
        </w:numPr>
        <w:spacing w:before="240" w:after="240"/>
        <w:rPr>
          <w:rFonts w:ascii="Calibri" w:eastAsia="Calibri" w:hAnsi="Calibri" w:cs="Calibri"/>
          <w:szCs w:val="24"/>
        </w:rPr>
      </w:pPr>
      <w:r w:rsidRPr="00BF6615">
        <w:rPr>
          <w:rFonts w:ascii="Calibri" w:eastAsia="Calibri" w:hAnsi="Calibri" w:cs="Calibri"/>
          <w:szCs w:val="24"/>
        </w:rPr>
        <w:t xml:space="preserve">osoby z niepełnosprawnościami, </w:t>
      </w:r>
    </w:p>
    <w:p w14:paraId="549D64B2" w14:textId="77777777" w:rsidR="001C05CB" w:rsidRPr="00BF6615" w:rsidRDefault="4EE11E11">
      <w:pPr>
        <w:pStyle w:val="Akapitzlist"/>
        <w:numPr>
          <w:ilvl w:val="0"/>
          <w:numId w:val="64"/>
        </w:numPr>
        <w:spacing w:before="240" w:after="240"/>
        <w:rPr>
          <w:rFonts w:ascii="Calibri" w:eastAsia="Calibri" w:hAnsi="Calibri" w:cs="Calibri"/>
          <w:szCs w:val="24"/>
        </w:rPr>
      </w:pPr>
      <w:r w:rsidRPr="00BF6615">
        <w:rPr>
          <w:rFonts w:ascii="Calibri" w:eastAsia="Calibri" w:hAnsi="Calibri" w:cs="Calibri"/>
          <w:szCs w:val="24"/>
        </w:rPr>
        <w:t xml:space="preserve">seniorów (osoby w wieku 60 lat i więcej) </w:t>
      </w:r>
    </w:p>
    <w:p w14:paraId="159C0EF8" w14:textId="77777777" w:rsidR="001C05CB" w:rsidRPr="00BF6615" w:rsidRDefault="4EE11E11">
      <w:pPr>
        <w:pStyle w:val="Akapitzlist"/>
        <w:numPr>
          <w:ilvl w:val="0"/>
          <w:numId w:val="64"/>
        </w:numPr>
        <w:spacing w:before="240" w:after="240"/>
        <w:rPr>
          <w:rFonts w:ascii="Calibri" w:eastAsia="Calibri" w:hAnsi="Calibri" w:cs="Calibri"/>
          <w:szCs w:val="24"/>
        </w:rPr>
      </w:pPr>
      <w:r w:rsidRPr="00BF6615">
        <w:rPr>
          <w:rFonts w:ascii="Calibri" w:eastAsia="Calibri" w:hAnsi="Calibri" w:cs="Calibri"/>
          <w:szCs w:val="24"/>
        </w:rPr>
        <w:t xml:space="preserve">oraz obywateli bez niepełnosprawności w wieku 18–59 lat. </w:t>
      </w:r>
    </w:p>
    <w:p w14:paraId="604FE569" w14:textId="0E18AE05" w:rsidR="4EE11E11" w:rsidRPr="00BF6615"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Kryteria tej klasyfikacji zostały przyjęte celowo – podział ten odzwierciedla kluczowe różnice w potencjalnych potrzebach i doświadczeniach użytkowników cyfrowych usług publicznych. Grupa osób z niepełnosprawnościami była wewnętrznie zróżnicowana pod względem rodzaju niepełnosprawności (obejmowała m.in. osoby z dysfunkcjami słuchu, wzroku, poznawczymi oraz ograniczeniami ruchowymi), co zapewniło reprezentatywność różnych perspektyw w obrębie tej kategorii. Seniorów zdefiniowano poprzez kryterium wieku 60+, co odpowiada często przyjmowanej granicy wieku emerytalnego i pozwala uchwycić specyficzne potrzeby osób starszych w kontekście dostępności cyfrowej. Z kolei grupa pozostałych obywateli (18–59 lat bez niepełnosprawności) stanowiła punkt odniesienia jako ogólna populacja dorosłych użytkowników bez szczególnych </w:t>
      </w:r>
      <w:r w:rsidR="0022695E" w:rsidRPr="00BF6615">
        <w:rPr>
          <w:rFonts w:ascii="Calibri" w:eastAsia="Calibri" w:hAnsi="Calibri" w:cs="Calibri"/>
          <w:szCs w:val="24"/>
        </w:rPr>
        <w:t>potrzeb</w:t>
      </w:r>
      <w:r w:rsidRPr="00BF6615">
        <w:rPr>
          <w:rFonts w:ascii="Calibri" w:eastAsia="Calibri" w:hAnsi="Calibri" w:cs="Calibri"/>
          <w:szCs w:val="24"/>
        </w:rPr>
        <w:t>. Takie grupowanie danych umożliwiło przeprowadzenie analiz porównawczych między tymi segmentami w sposób rzetelny. Jednocześnie jasno zdefiniowane kryteria przypisania do grup (deklaracja niepełnosprawności, wiek) zapewniły spójność klasyfikacji i brak nakładania się kategorii.</w:t>
      </w:r>
    </w:p>
    <w:p w14:paraId="5B55C2BE" w14:textId="77777777" w:rsidR="00693A82" w:rsidRPr="001E074F" w:rsidRDefault="4EE11E11" w:rsidP="00B271C3">
      <w:pPr>
        <w:pStyle w:val="Nagwek4"/>
        <w:rPr>
          <w:bCs/>
        </w:rPr>
      </w:pPr>
      <w:r w:rsidRPr="001E074F">
        <w:rPr>
          <w:bCs/>
        </w:rPr>
        <w:t xml:space="preserve">Zróżnicowanie </w:t>
      </w:r>
      <w:r w:rsidRPr="00B271C3">
        <w:rPr>
          <w:rStyle w:val="Pogrubienie"/>
          <w:b/>
        </w:rPr>
        <w:t>demograficzne</w:t>
      </w:r>
      <w:r w:rsidRPr="001E074F">
        <w:rPr>
          <w:bCs/>
        </w:rPr>
        <w:t xml:space="preserve"> i społeczno-ekonomiczne</w:t>
      </w:r>
    </w:p>
    <w:p w14:paraId="44CA5608" w14:textId="75D8FFA4" w:rsidR="4EE11E11"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W toku analizy wyników uwzględniono zróżnicowanie cech demograficznych </w:t>
      </w:r>
      <w:r w:rsidR="00A42EFD" w:rsidRPr="00BF6615">
        <w:rPr>
          <w:rFonts w:ascii="Calibri" w:eastAsia="Calibri" w:hAnsi="Calibri" w:cs="Calibri"/>
          <w:szCs w:val="24"/>
        </w:rPr>
        <w:t>i</w:t>
      </w:r>
      <w:r w:rsidR="00A42EFD">
        <w:rPr>
          <w:rFonts w:ascii="Calibri" w:eastAsia="Calibri" w:hAnsi="Calibri" w:cs="Calibri"/>
          <w:szCs w:val="24"/>
        </w:rPr>
        <w:t> </w:t>
      </w:r>
      <w:r w:rsidRPr="00BF6615">
        <w:rPr>
          <w:rFonts w:ascii="Calibri" w:eastAsia="Calibri" w:hAnsi="Calibri" w:cs="Calibri"/>
          <w:szCs w:val="24"/>
        </w:rPr>
        <w:t xml:space="preserve">społeczno-ekonomicznych respondentów. Oprócz podziału na wymienione wyżej </w:t>
      </w:r>
      <w:r w:rsidRPr="00BF6615">
        <w:rPr>
          <w:rFonts w:ascii="Calibri" w:eastAsia="Calibri" w:hAnsi="Calibri" w:cs="Calibri"/>
          <w:szCs w:val="24"/>
        </w:rPr>
        <w:lastRenderedPageBreak/>
        <w:t xml:space="preserve">główne grupy, przeanalizowano strukturę badanej próby pod kątem takich zmiennych jak wiek, miejsce zamieszkania czy status zawodowy, aby ocenić, w jakim stopniu czynniki te mogą wpływać na postrzeganie dostępności cyfrowej. Respondenci pochodzili z miejscowości różnej wielkości – od małych wsi po duże miasta – co zapewniło zróżnicowanie tła środowiskowego. Również sytuacja społeczno-zawodowa uczestników była zróżnicowana: w próbie znaleźli się zarówno pracujący zawodowo (stanowiący największy odsetek), jak i emeryci, uczniowie/studenci czy osoby nieaktywne zawodowo. Taka różnorodność próby pozwoliła na analizowanie wyników </w:t>
      </w:r>
      <w:r w:rsidR="00A42EFD" w:rsidRPr="00BF6615">
        <w:rPr>
          <w:rFonts w:ascii="Calibri" w:eastAsia="Calibri" w:hAnsi="Calibri" w:cs="Calibri"/>
          <w:szCs w:val="24"/>
        </w:rPr>
        <w:t>w</w:t>
      </w:r>
      <w:r w:rsidR="00A42EFD">
        <w:rPr>
          <w:rFonts w:ascii="Calibri" w:eastAsia="Calibri" w:hAnsi="Calibri" w:cs="Calibri"/>
          <w:szCs w:val="24"/>
        </w:rPr>
        <w:t> </w:t>
      </w:r>
      <w:r w:rsidRPr="00BF6615">
        <w:rPr>
          <w:rFonts w:ascii="Calibri" w:eastAsia="Calibri" w:hAnsi="Calibri" w:cs="Calibri"/>
          <w:szCs w:val="24"/>
        </w:rPr>
        <w:t xml:space="preserve">kontekście profilu respondenta – np. sprawdzano, czy wiek lub status na rynku pracy wiąże się z odmiennym odbiorem dostępności serwisów cyfrowych. Uwzględnienie zmiennych demograficznych i społeczno-ekonomicznych w analizie ma uzasadnienie badawcze: różne grupy społeczne mogą cechować się odmiennymi kompetencjami cyfrowymi oraz potrzebami, co mogło przekładać się na zróżnicowane doświadczenia </w:t>
      </w:r>
      <w:r w:rsidR="00A42EFD" w:rsidRPr="00BF6615">
        <w:rPr>
          <w:rFonts w:ascii="Calibri" w:eastAsia="Calibri" w:hAnsi="Calibri" w:cs="Calibri"/>
          <w:szCs w:val="24"/>
        </w:rPr>
        <w:t>w</w:t>
      </w:r>
      <w:r w:rsidR="00A42EFD">
        <w:rPr>
          <w:rFonts w:ascii="Calibri" w:eastAsia="Calibri" w:hAnsi="Calibri" w:cs="Calibri"/>
          <w:szCs w:val="24"/>
        </w:rPr>
        <w:t> </w:t>
      </w:r>
      <w:r w:rsidRPr="00BF6615">
        <w:rPr>
          <w:rFonts w:ascii="Calibri" w:eastAsia="Calibri" w:hAnsi="Calibri" w:cs="Calibri"/>
          <w:szCs w:val="24"/>
        </w:rPr>
        <w:t>korzystaniu ze stron i aplikacji publicznych. Dlatego też analiza wyników została zaplanowana tak, aby możliwe było wychwycenie ewentualnych zależności lub różnic wynikających z tła demograficznego respondentów.</w:t>
      </w:r>
    </w:p>
    <w:p w14:paraId="609943F6" w14:textId="77777777" w:rsidR="00D22DD6" w:rsidRPr="001E074F" w:rsidRDefault="4EE11E11" w:rsidP="00B271C3">
      <w:pPr>
        <w:pStyle w:val="Nagwek4"/>
        <w:rPr>
          <w:bCs/>
        </w:rPr>
      </w:pPr>
      <w:r w:rsidRPr="001E074F">
        <w:rPr>
          <w:bCs/>
        </w:rPr>
        <w:t xml:space="preserve">Analiza </w:t>
      </w:r>
      <w:r w:rsidRPr="00B271C3">
        <w:rPr>
          <w:rStyle w:val="Pogrubienie"/>
          <w:b/>
        </w:rPr>
        <w:t>porównawcza</w:t>
      </w:r>
      <w:r w:rsidRPr="001E074F">
        <w:rPr>
          <w:bCs/>
        </w:rPr>
        <w:t xml:space="preserve"> między grupami</w:t>
      </w:r>
    </w:p>
    <w:p w14:paraId="48AB17F4" w14:textId="4F106882" w:rsidR="4EE11E11"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Istotnym elementem opracowania wyników było porównywanie wyników pomiędzy wyróżnionymi grupami respondentów. Dla każdego kluczowego zagadnienia badawczego (np. oceny dostępności stron, częstotliwości i sposobu korzystania z usług cyfrowych, napotykanych barier) sprawdzano, jak kształtują się wyniki w grupie osób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niepełnosprawnościami, jak w grupie seniorów, a jak w grupie pozostałych użytkowników. Analiza międzygrupowa pozwoliła zidentyfikować obszary, w których różnice między tymi populacjami są najbardziej wyraźne – np. czy osoby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niepełnosprawnościami oceniają pewne aspekty dostępności niżej od osób bez niepełnosprawności, albo czy seniorzy napotykają inne trudności niż młodsi dorośli. Takie porównania dostarczają cennych informacji o tym, które kwestie dostępności są uniwersalne, a które specyficzne dla danej grupy. Dokonywanie porównań statystycznych między grupami odbywało się poprzez zestawianie rozkładów odpowiedzi oraz średnich ocen dla poszczególnych grup i ocenie skali zaobserwowanych różnic. Tam, gdzie było to zasadne, wyniki porównawcze zostały poddane interpretacji pod kątem istotności i konsekwencji praktycznych. Dzięki temu analiza wyników nie ograniczała się do opisania każdej grupy z osobna, ale również wskazywała na relacje </w:t>
      </w:r>
      <w:r w:rsidR="00A42EFD" w:rsidRPr="00BF6615">
        <w:rPr>
          <w:rFonts w:ascii="Calibri" w:eastAsia="Calibri" w:hAnsi="Calibri" w:cs="Calibri"/>
          <w:szCs w:val="24"/>
        </w:rPr>
        <w:t>i</w:t>
      </w:r>
      <w:r w:rsidR="00A42EFD">
        <w:rPr>
          <w:rFonts w:ascii="Calibri" w:eastAsia="Calibri" w:hAnsi="Calibri" w:cs="Calibri"/>
          <w:szCs w:val="24"/>
        </w:rPr>
        <w:t> </w:t>
      </w:r>
      <w:r w:rsidRPr="00BF6615">
        <w:rPr>
          <w:rFonts w:ascii="Calibri" w:eastAsia="Calibri" w:hAnsi="Calibri" w:cs="Calibri"/>
          <w:szCs w:val="24"/>
        </w:rPr>
        <w:t>dysproporcje między grupami, co jest kluczowe z punktu widzenia formułowania wniosków i rekomendacji dostosowanych do specyficznych potrzeb użytkowników.</w:t>
      </w:r>
    </w:p>
    <w:p w14:paraId="4C2F1864" w14:textId="77777777" w:rsidR="001E074F" w:rsidRPr="00BF6615" w:rsidRDefault="001E074F" w:rsidP="007E26B5">
      <w:pPr>
        <w:spacing w:before="240" w:after="240"/>
        <w:rPr>
          <w:rFonts w:ascii="Calibri" w:eastAsia="Calibri" w:hAnsi="Calibri" w:cs="Calibri"/>
          <w:szCs w:val="24"/>
        </w:rPr>
      </w:pPr>
    </w:p>
    <w:p w14:paraId="1156A758" w14:textId="77777777" w:rsidR="00B243C7" w:rsidRPr="001E074F" w:rsidRDefault="4EE11E11" w:rsidP="00B271C3">
      <w:pPr>
        <w:pStyle w:val="Nagwek4"/>
        <w:rPr>
          <w:bCs/>
        </w:rPr>
      </w:pPr>
      <w:r w:rsidRPr="001E074F">
        <w:rPr>
          <w:bCs/>
        </w:rPr>
        <w:lastRenderedPageBreak/>
        <w:t xml:space="preserve">Analiza wewnątrz </w:t>
      </w:r>
      <w:r w:rsidRPr="00B271C3">
        <w:rPr>
          <w:rStyle w:val="Pogrubienie"/>
          <w:b/>
        </w:rPr>
        <w:t>poszczególnych</w:t>
      </w:r>
      <w:r w:rsidRPr="001E074F">
        <w:rPr>
          <w:bCs/>
        </w:rPr>
        <w:t xml:space="preserve"> grup</w:t>
      </w:r>
    </w:p>
    <w:p w14:paraId="26F221FE" w14:textId="7475424A" w:rsidR="4EE11E11"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Oprócz porównań między grupami, przeprowadzono także analizy wewnątrz każdej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wyróżnionych grup, tak aby zbadać zróżnicowanie odpowiedzi w ich obrębie. Tego typu analiza polegała na przyjrzeniu się, jak kształtują się rozkłady odpowiedzi i oceny poszczególnych aspektów w ramach danej grupy respondentów, bez porównywania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innymi grupami. Na przykład, w grupie osób z niepełnosprawnościami analizowano, czy pewne aspekty dostępności (np. nawigacja klawiaturą, dostosowanie treści multimedialnych) oceniane są przez tę grupę szczególnie nisko lub wysoko, co pozwalało wykryć wewnętrzne priorytety i problemy charakterystyczne dla tej kategorii użytkowników. Podobnie, wewnątrz grupy seniorów można było sprawdzić, które elementy korzystania z </w:t>
      </w:r>
      <w:proofErr w:type="spellStart"/>
      <w:r w:rsidRPr="00BF6615">
        <w:rPr>
          <w:rFonts w:ascii="Calibri" w:eastAsia="Calibri" w:hAnsi="Calibri" w:cs="Calibri"/>
          <w:szCs w:val="24"/>
        </w:rPr>
        <w:t>internetu</w:t>
      </w:r>
      <w:proofErr w:type="spellEnd"/>
      <w:r w:rsidRPr="00BF6615">
        <w:rPr>
          <w:rFonts w:ascii="Calibri" w:eastAsia="Calibri" w:hAnsi="Calibri" w:cs="Calibri"/>
          <w:szCs w:val="24"/>
        </w:rPr>
        <w:t xml:space="preserve"> sprawiają największe trudności, a które nie stanowią dla nich problemu. Analiza wewnątrzgrupowa objęła także ewentualne dalsze podziały – np. w grupie osób z niepełnosprawnościami można było porównać odpowiedzi osób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różnymi rodzajami niepełnosprawności, aby zobaczyć, czy np. osoby niewidome </w:t>
      </w:r>
      <w:r w:rsidR="00A42EFD" w:rsidRPr="00BF6615">
        <w:rPr>
          <w:rFonts w:ascii="Calibri" w:eastAsia="Calibri" w:hAnsi="Calibri" w:cs="Calibri"/>
          <w:szCs w:val="24"/>
        </w:rPr>
        <w:t>i</w:t>
      </w:r>
      <w:r w:rsidR="00A42EFD">
        <w:rPr>
          <w:rFonts w:ascii="Calibri" w:eastAsia="Calibri" w:hAnsi="Calibri" w:cs="Calibri"/>
          <w:szCs w:val="24"/>
        </w:rPr>
        <w:t> </w:t>
      </w:r>
      <w:r w:rsidRPr="00BF6615">
        <w:rPr>
          <w:rFonts w:ascii="Calibri" w:eastAsia="Calibri" w:hAnsi="Calibri" w:cs="Calibri"/>
          <w:szCs w:val="24"/>
        </w:rPr>
        <w:t xml:space="preserve">niesłyszące różnią się w swoich potrzebach (choć zasadniczo traktowano osoby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niepełnosprawnościami jako jedną grupę dla głównych analiz, to dodatkowo odnotowywano istotne różnice wynikające z typu niepełnosprawności, jeśli takie się pojawiły). Takie pogłębienie analizy w ramach grupy umożliwia dostrzeżenie, że grupy te nie są wewnętrznie jednorodne – na przykład osoby starsze mogą różnić się między sobą stopniem obycia z technologią w zależności od wieku czy poziomu wykształcenia, </w:t>
      </w:r>
      <w:r w:rsidR="00A42EFD" w:rsidRPr="00BF6615">
        <w:rPr>
          <w:rFonts w:ascii="Calibri" w:eastAsia="Calibri" w:hAnsi="Calibri" w:cs="Calibri"/>
          <w:szCs w:val="24"/>
        </w:rPr>
        <w:t>a</w:t>
      </w:r>
      <w:r w:rsidR="00A42EFD">
        <w:rPr>
          <w:rFonts w:ascii="Calibri" w:eastAsia="Calibri" w:hAnsi="Calibri" w:cs="Calibri"/>
          <w:szCs w:val="24"/>
        </w:rPr>
        <w:t> </w:t>
      </w:r>
      <w:r w:rsidRPr="00BF6615">
        <w:rPr>
          <w:rFonts w:ascii="Calibri" w:eastAsia="Calibri" w:hAnsi="Calibri" w:cs="Calibri"/>
          <w:szCs w:val="24"/>
        </w:rPr>
        <w:t>osoby z niepełnosprawnościami mogą raportować odmienne bariery w zależności od specyfiki ich niepełnosprawności. W rezultacie, analiza wewnątrzgrupowa dostarczyła dodatkowego kontekstu, uzupełniając obraz uzyskany z porównań między grupami.</w:t>
      </w:r>
    </w:p>
    <w:p w14:paraId="07535602" w14:textId="77777777" w:rsidR="000459FB" w:rsidRPr="001E074F" w:rsidRDefault="4EE11E11" w:rsidP="00B271C3">
      <w:pPr>
        <w:pStyle w:val="Nagwek4"/>
        <w:rPr>
          <w:bCs/>
        </w:rPr>
      </w:pPr>
      <w:r w:rsidRPr="001E074F">
        <w:rPr>
          <w:bCs/>
        </w:rPr>
        <w:t xml:space="preserve">Wykorzystanie danych </w:t>
      </w:r>
      <w:r w:rsidRPr="00B271C3">
        <w:rPr>
          <w:rStyle w:val="Pogrubienie"/>
          <w:b/>
        </w:rPr>
        <w:t>ilościowych</w:t>
      </w:r>
      <w:r w:rsidRPr="001E074F">
        <w:rPr>
          <w:bCs/>
        </w:rPr>
        <w:t xml:space="preserve"> do oceny subiektywnej dostępności</w:t>
      </w:r>
    </w:p>
    <w:p w14:paraId="458C3617" w14:textId="432B2B96" w:rsidR="4EE11E11"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Jednym z celów badania było zmierzenie subiektywnej oceny dostępności cyfrowej stron internetowych i aplikacji mobilnych podmiotów publicznych oczami użytkowników. </w:t>
      </w:r>
      <w:r w:rsidR="00A42EFD" w:rsidRPr="00BF6615">
        <w:rPr>
          <w:rFonts w:ascii="Calibri" w:eastAsia="Calibri" w:hAnsi="Calibri" w:cs="Calibri"/>
          <w:szCs w:val="24"/>
        </w:rPr>
        <w:t>W</w:t>
      </w:r>
      <w:r w:rsidR="00A42EFD">
        <w:rPr>
          <w:rFonts w:ascii="Calibri" w:eastAsia="Calibri" w:hAnsi="Calibri" w:cs="Calibri"/>
          <w:szCs w:val="24"/>
        </w:rPr>
        <w:t> </w:t>
      </w:r>
      <w:r w:rsidRPr="00BF6615">
        <w:rPr>
          <w:rFonts w:ascii="Calibri" w:eastAsia="Calibri" w:hAnsi="Calibri" w:cs="Calibri"/>
          <w:szCs w:val="24"/>
        </w:rPr>
        <w:t xml:space="preserve">tym celu zebrane zostały dane ilościowe od respondentów dotyczące ich odczuć </w:t>
      </w:r>
      <w:r w:rsidR="00A42EFD" w:rsidRPr="00BF6615">
        <w:rPr>
          <w:rFonts w:ascii="Calibri" w:eastAsia="Calibri" w:hAnsi="Calibri" w:cs="Calibri"/>
          <w:szCs w:val="24"/>
        </w:rPr>
        <w:t>i</w:t>
      </w:r>
      <w:r w:rsidR="00A42EFD">
        <w:rPr>
          <w:rFonts w:ascii="Calibri" w:eastAsia="Calibri" w:hAnsi="Calibri" w:cs="Calibri"/>
          <w:szCs w:val="24"/>
        </w:rPr>
        <w:t> </w:t>
      </w:r>
      <w:r w:rsidRPr="00BF6615">
        <w:rPr>
          <w:rFonts w:ascii="Calibri" w:eastAsia="Calibri" w:hAnsi="Calibri" w:cs="Calibri"/>
          <w:szCs w:val="24"/>
        </w:rPr>
        <w:t xml:space="preserve">opinii na temat dostępności – np. poproszono ich o ocenę różnych aspektów dostępności stron i aplikacji, takich jak czytelność treści, łatwość nawigacji, możliwość kontaktu z urzędem czy dostosowanie dla osób ze szczególnymi potrzebami. Oceny te miały charakter subiektywny (odzwierciedlały indywidualne wrażenia użytkowników), ale zebrane zostały w sposób usystematyzowany za pomocą </w:t>
      </w:r>
      <w:proofErr w:type="spellStart"/>
      <w:r w:rsidRPr="00BF6615">
        <w:rPr>
          <w:rFonts w:ascii="Calibri" w:eastAsia="Calibri" w:hAnsi="Calibri" w:cs="Calibri"/>
          <w:szCs w:val="24"/>
        </w:rPr>
        <w:t>skal</w:t>
      </w:r>
      <w:proofErr w:type="spellEnd"/>
      <w:r w:rsidRPr="00BF6615">
        <w:rPr>
          <w:rFonts w:ascii="Calibri" w:eastAsia="Calibri" w:hAnsi="Calibri" w:cs="Calibri"/>
          <w:szCs w:val="24"/>
        </w:rPr>
        <w:t xml:space="preserve"> numerycznych, co umożliwia ich zbiorczą analizę statystyczną. </w:t>
      </w:r>
      <w:r w:rsidR="00FA1E2D" w:rsidRPr="00BF6615">
        <w:rPr>
          <w:rFonts w:ascii="Calibri" w:eastAsia="Calibri" w:hAnsi="Calibri" w:cs="Calibri"/>
          <w:szCs w:val="24"/>
        </w:rPr>
        <w:t>Z</w:t>
      </w:r>
      <w:r w:rsidRPr="00BF6615">
        <w:rPr>
          <w:rFonts w:ascii="Calibri" w:eastAsia="Calibri" w:hAnsi="Calibri" w:cs="Calibri"/>
          <w:szCs w:val="24"/>
        </w:rPr>
        <w:t xml:space="preserve">astosowano pięciostopniową skalę ocen (1–5) do mierzenia satysfakcji z różnych elementów dostępności cyfrowej. Dzięki temu każda jakościowo subiektywna opinia została przekształcona w wartość liczbową, co pozwoliło obliczyć średnie oceny dla poszczególnych kryteriów dostępności oraz określić </w:t>
      </w:r>
      <w:r w:rsidRPr="00BF6615">
        <w:rPr>
          <w:rFonts w:ascii="Calibri" w:eastAsia="Calibri" w:hAnsi="Calibri" w:cs="Calibri"/>
          <w:szCs w:val="24"/>
        </w:rPr>
        <w:lastRenderedPageBreak/>
        <w:t xml:space="preserve">odsetki osób udzielających danej oceny. Takie ujęcie ilościowe subiektywnych odczuć umożliwiało ocenę poziomu dostępności w oczach użytkowników w sposób porównywalny – można było stwierdzić, czy średnia ocena danego aspektu przekracza np. 4 w skali 1–5 (co wskazywałoby na wysoki poziom zadowolenia), czy też lokuje się niżej. W analizie wyników wykorzystano te dane ilościowe do sformułowania wniosków na temat postrzeganej dostępności: na podstawie rozkładu ocen i średnich wartości wskazano, które obszary są relatywnie dobrze oceniane przez użytkowników, a które budzą najwięcej zastrzeżeń. Takie podejście jest uzasadnione, ponieważ subiektywna ocena dostępności bezpośrednio odzwierciedla doświadczenia użytkowników – stanowi więc ważną miarę efektywności wdrożonych rozwiązań </w:t>
      </w:r>
      <w:proofErr w:type="spellStart"/>
      <w:r w:rsidRPr="00BF6615">
        <w:rPr>
          <w:rFonts w:ascii="Calibri" w:eastAsia="Calibri" w:hAnsi="Calibri" w:cs="Calibri"/>
          <w:szCs w:val="24"/>
        </w:rPr>
        <w:t>dostępnościowych</w:t>
      </w:r>
      <w:proofErr w:type="spellEnd"/>
      <w:r w:rsidRPr="00BF6615">
        <w:rPr>
          <w:rFonts w:ascii="Calibri" w:eastAsia="Calibri" w:hAnsi="Calibri" w:cs="Calibri"/>
          <w:szCs w:val="24"/>
        </w:rPr>
        <w:t xml:space="preserve">. Dzięki analizie statystycznej tych subiektywnych danych, raport mógł przedstawić obiektywny obraz sumarycznych opinii (np. w formie średnich ocen czy odsetków zadowolonych użytkowników) zamiast pojedynczych </w:t>
      </w:r>
      <w:r w:rsidR="005B530C" w:rsidRPr="00BF6615">
        <w:rPr>
          <w:rFonts w:ascii="Calibri" w:eastAsia="Calibri" w:hAnsi="Calibri" w:cs="Calibri"/>
          <w:szCs w:val="24"/>
        </w:rPr>
        <w:t>opinii</w:t>
      </w:r>
      <w:r w:rsidRPr="00BF6615">
        <w:rPr>
          <w:rFonts w:ascii="Calibri" w:eastAsia="Calibri" w:hAnsi="Calibri" w:cs="Calibri"/>
          <w:szCs w:val="24"/>
        </w:rPr>
        <w:t>.</w:t>
      </w:r>
    </w:p>
    <w:p w14:paraId="1872FC4B" w14:textId="77777777" w:rsidR="005B530C" w:rsidRPr="001E074F" w:rsidRDefault="4EE11E11" w:rsidP="00B271C3">
      <w:pPr>
        <w:pStyle w:val="Nagwek4"/>
        <w:rPr>
          <w:bCs/>
        </w:rPr>
      </w:pPr>
      <w:r w:rsidRPr="001E074F">
        <w:rPr>
          <w:bCs/>
        </w:rPr>
        <w:t xml:space="preserve">Analiza pytań </w:t>
      </w:r>
      <w:r w:rsidRPr="00B271C3">
        <w:rPr>
          <w:rStyle w:val="Pogrubienie"/>
          <w:b/>
        </w:rPr>
        <w:t>zamkniętych</w:t>
      </w:r>
      <w:r w:rsidRPr="001E074F">
        <w:rPr>
          <w:bCs/>
        </w:rPr>
        <w:t xml:space="preserve"> i otwartych</w:t>
      </w:r>
    </w:p>
    <w:p w14:paraId="42A3DE62" w14:textId="26C5BC23" w:rsidR="4EE11E11"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Kwestionariusz badawczy obejmował zarówno pytania zamknięte (np. wielokrotnego wyboru, skale ocen), jak i pytania otwarte, gdzie respondenci mogli swobodnie wypowiedzieć się własnymi słowami. W procesie analizy wyników uwzględniono oba typy danych, stosując odpowiednie metody dla każdego z nich. Dane z pytań zamkniętych zostały poddane analizie ilościowej – obliczano częstości udzielanych odpowiedzi, procentowy udział poszczególnych opcji w całej próbie i w podgrupach, </w:t>
      </w:r>
      <w:r w:rsidR="00A42EFD" w:rsidRPr="00BF6615">
        <w:rPr>
          <w:rFonts w:ascii="Calibri" w:eastAsia="Calibri" w:hAnsi="Calibri" w:cs="Calibri"/>
          <w:szCs w:val="24"/>
        </w:rPr>
        <w:t>a</w:t>
      </w:r>
      <w:r w:rsidR="00A42EFD">
        <w:rPr>
          <w:rFonts w:ascii="Calibri" w:eastAsia="Calibri" w:hAnsi="Calibri" w:cs="Calibri"/>
          <w:szCs w:val="24"/>
        </w:rPr>
        <w:t> </w:t>
      </w:r>
      <w:r w:rsidRPr="00BF6615">
        <w:rPr>
          <w:rFonts w:ascii="Calibri" w:eastAsia="Calibri" w:hAnsi="Calibri" w:cs="Calibri"/>
          <w:szCs w:val="24"/>
        </w:rPr>
        <w:t xml:space="preserve">także wartości średnie i miary statystyczne tam, gdzie pytania tego typu to umożliwiały. Rezultaty pytań zamkniętych prezentowano w postaci tabel, wykresów </w:t>
      </w:r>
      <w:r w:rsidR="00A42EFD" w:rsidRPr="00BF6615">
        <w:rPr>
          <w:rFonts w:ascii="Calibri" w:eastAsia="Calibri" w:hAnsi="Calibri" w:cs="Calibri"/>
          <w:szCs w:val="24"/>
        </w:rPr>
        <w:t>i</w:t>
      </w:r>
      <w:r w:rsidR="00A42EFD">
        <w:rPr>
          <w:rFonts w:ascii="Calibri" w:eastAsia="Calibri" w:hAnsi="Calibri" w:cs="Calibri"/>
          <w:szCs w:val="24"/>
        </w:rPr>
        <w:t> </w:t>
      </w:r>
      <w:r w:rsidRPr="00BF6615">
        <w:rPr>
          <w:rFonts w:ascii="Calibri" w:eastAsia="Calibri" w:hAnsi="Calibri" w:cs="Calibri"/>
          <w:szCs w:val="24"/>
        </w:rPr>
        <w:t xml:space="preserve">wskaźników liczbowych, co umożliwia ich czytelne porównywanie między grupami oraz identyfikację najczęstszych odpowiedzi. Dane z pytań otwartych wymagały odmiennego podejścia analitycznego – zastosowano analizę jakościową zebranych wypowiedzi. Odpowiedzi te zostały poddane kategoryzacji i interpretacji: badacze przeglądali wszystkie udzielone odpowiedzi otwarte, starając się wyodrębnić powtarzające się tematy, opinie i wątki. Następnie pogrupowano zbliżone treści w kategorie tematyczne, co pozwoliło określić, jakie główne kwestie poruszali respondenci. Przykładowo, </w:t>
      </w:r>
      <w:r w:rsidR="00A42EFD" w:rsidRPr="00BF6615">
        <w:rPr>
          <w:rFonts w:ascii="Calibri" w:eastAsia="Calibri" w:hAnsi="Calibri" w:cs="Calibri"/>
          <w:szCs w:val="24"/>
        </w:rPr>
        <w:t>w</w:t>
      </w:r>
      <w:r w:rsidR="00A42EFD">
        <w:rPr>
          <w:rFonts w:ascii="Calibri" w:eastAsia="Calibri" w:hAnsi="Calibri" w:cs="Calibri"/>
          <w:szCs w:val="24"/>
        </w:rPr>
        <w:t> </w:t>
      </w:r>
      <w:r w:rsidRPr="00BF6615">
        <w:rPr>
          <w:rFonts w:ascii="Calibri" w:eastAsia="Calibri" w:hAnsi="Calibri" w:cs="Calibri"/>
          <w:szCs w:val="24"/>
        </w:rPr>
        <w:t xml:space="preserve">pytaniu otwartym dotyczącym informacji najczęściej poszukiwanych w sieci okazało się, że wiele odpowiedzi dotyczyło aktualności i wiadomości oraz prognozy pogody, inne zaś nawiązywały do zakupów online i poszukiwania opinii o produktach – tak wyłonione kategorie posłużyły do podsumowania wyników jakościowych w uporządkowany sposób. Tego rodzaju jakościowa analiza danych wykorzystuje historie i swobodne wypowiedzi respondentów, szukając w nich wspólnych tematów i obserwacji, które zapewniają kontekst i głębię wykraczającą poza same dane liczbowe. W raporcie końcowym wyniki analizy otwartych pytań zostały wykorzystane jako uzupełnienie </w:t>
      </w:r>
      <w:r w:rsidRPr="00BF6615">
        <w:rPr>
          <w:rFonts w:ascii="Calibri" w:eastAsia="Calibri" w:hAnsi="Calibri" w:cs="Calibri"/>
          <w:szCs w:val="24"/>
        </w:rPr>
        <w:lastRenderedPageBreak/>
        <w:t>danych ilościowych – przytoczono charakterystyczne opinie uczestników lub podsumowano najczęściej pojawiające się sugestie, aby zilustrować, dlaczego za danymi liczbowymi kryją się określone odczucia czy problemy. Takie połączenie danych zamkniętych i otwartych zwiększa wiarygodność wniosków: jeśli np. znaczny odsetek respondentów wskazał niską ocenę dostępności jakiegoś elementu strony, to odpowiedzi otwarte często wyjaśniały, na czym konkretnie polegała trudność (np. brak tłumacza języka migowego, zbyt skomplikowana nawigacja itp.). Integracja obu rodzajów danych stanowi więc formę triangulacji wewnątrz badania, gdzie wyniki ilościowe i jakościowe wzajemnie się uzupełniają.</w:t>
      </w:r>
    </w:p>
    <w:p w14:paraId="139C34D0" w14:textId="77777777" w:rsidR="00782058" w:rsidRPr="001E074F" w:rsidRDefault="4EE11E11" w:rsidP="00B271C3">
      <w:pPr>
        <w:pStyle w:val="Nagwek4"/>
        <w:rPr>
          <w:bCs/>
        </w:rPr>
      </w:pPr>
      <w:r w:rsidRPr="001E074F">
        <w:rPr>
          <w:bCs/>
        </w:rPr>
        <w:t xml:space="preserve">Analiza wyników w </w:t>
      </w:r>
      <w:r w:rsidRPr="00B271C3">
        <w:rPr>
          <w:rStyle w:val="Pogrubienie"/>
          <w:b/>
        </w:rPr>
        <w:t>kontekście</w:t>
      </w:r>
      <w:r w:rsidRPr="001E074F">
        <w:rPr>
          <w:bCs/>
        </w:rPr>
        <w:t xml:space="preserve"> danych zastanych</w:t>
      </w:r>
    </w:p>
    <w:p w14:paraId="60327488" w14:textId="51292F11" w:rsidR="4EE11E11"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Oprócz interpretacji samych surowych wyników ankiety, przeprowadzono analizę porównawczą z wykorzystaniem danych zastanych, tj. zewnętrznych źródeł danych dotyczących </w:t>
      </w:r>
      <w:r w:rsidR="009B1D86" w:rsidRPr="00BF6615">
        <w:rPr>
          <w:rFonts w:ascii="Calibri" w:eastAsia="Calibri" w:hAnsi="Calibri" w:cs="Calibri"/>
          <w:szCs w:val="24"/>
        </w:rPr>
        <w:t xml:space="preserve">polskiej </w:t>
      </w:r>
      <w:r w:rsidRPr="00BF6615">
        <w:rPr>
          <w:rFonts w:ascii="Calibri" w:eastAsia="Calibri" w:hAnsi="Calibri" w:cs="Calibri"/>
          <w:szCs w:val="24"/>
        </w:rPr>
        <w:t xml:space="preserve">populacji. W szczególności, odniesiono wybrane wyniki badania do danych zbieranych przez Główny Urząd Statystyczny (GUS) oraz inne dostępne badania dotyczące kompetencji cyfrowych i korzystania z Internetu przez Polaków. Taka analiza w szerszym kontekście pozwala zrozumieć, na ile wyniki uzyskane w naszym badaniu są zgodne z ogólnokrajowymi trendami, a na ile odstają od nich ze względu na specyfikę próby. Przykładowo, jeśli w badanej grupie odsetek osób codziennie korzystających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Internetu okazał się wyższy niż w populacji generalnej według danych GUS, zostało to odnotowane i zinterpretowane w raporcie. W takich przypadkach wskazywano potencjalne przyczyny różnic – np. fakt, że do badania celowo rekrutowano osoby przynajmniej minimalnie obyte z technologią cyfrową mógł zawyżać wskaźniki korzystania z Internetu w porównaniu z ogółem społeczeństwa. Analogicznie, gdy pewne wyniki naszego badania były niższe od danych ogólnopolskich (np. deklarowane kompetencje cyfrowe osób z niepełnosprawnościami </w:t>
      </w:r>
      <w:r w:rsidR="00ED1926" w:rsidRPr="00BF6615">
        <w:rPr>
          <w:rFonts w:ascii="Calibri" w:eastAsia="Calibri" w:hAnsi="Calibri" w:cs="Calibri"/>
          <w:szCs w:val="24"/>
        </w:rPr>
        <w:t>w stosunku do</w:t>
      </w:r>
      <w:r w:rsidRPr="00BF6615">
        <w:rPr>
          <w:rFonts w:ascii="Calibri" w:eastAsia="Calibri" w:hAnsi="Calibri" w:cs="Calibri"/>
          <w:szCs w:val="24"/>
        </w:rPr>
        <w:t xml:space="preserve"> całej populacji), interpretowano to przez pryzmat cech badanych grup (w tym przypadku większy udział osób starszych i z niepełnosprawnościami mógł obniżać średni poziom umiejętności cyfrowych w próbie). Włączenie do analizy takich danych zastanych pełniło ważną funkcję interpretacyjną – dzięki temu wyniki nabierały kontekstu i można było ocenić, czy zaobserwowane wartości mieszczą się w spodziewanych przedziałach, czy też sygnalizują jakieś odbiegające zjawiska warte uwagi. Co więcej, odwołanie do badań zewnętrznych (np. raportów GUS czy wcześniejszych badań nad dostępnością) zwiększa wiarygodność wniosków: jeżeli nasze ustalenia były zbieżne z danymi innych źródeł, stanowiło to potwierdzenie ich rzetelności; w przypadku rozbieżności – skłaniało to do pogłębionej analizy przyczyn. Tego rodzaju porównawcza perspektywa wpisuje się </w:t>
      </w:r>
      <w:r w:rsidR="00A42EFD" w:rsidRPr="00BF6615">
        <w:rPr>
          <w:rFonts w:ascii="Calibri" w:eastAsia="Calibri" w:hAnsi="Calibri" w:cs="Calibri"/>
          <w:szCs w:val="24"/>
        </w:rPr>
        <w:t>w</w:t>
      </w:r>
      <w:r w:rsidR="00A42EFD">
        <w:rPr>
          <w:rFonts w:ascii="Calibri" w:eastAsia="Calibri" w:hAnsi="Calibri" w:cs="Calibri"/>
          <w:szCs w:val="24"/>
        </w:rPr>
        <w:t> </w:t>
      </w:r>
      <w:r w:rsidRPr="00BF6615">
        <w:rPr>
          <w:rFonts w:ascii="Calibri" w:eastAsia="Calibri" w:hAnsi="Calibri" w:cs="Calibri"/>
          <w:szCs w:val="24"/>
        </w:rPr>
        <w:t>podejście naukowe, gdzie rezultaty badań własnych osadzane są w kontekście szerszej wiedzy o przedmiocie badania.</w:t>
      </w:r>
    </w:p>
    <w:p w14:paraId="668489BA" w14:textId="77777777" w:rsidR="00EF163A" w:rsidRPr="001E074F" w:rsidRDefault="4EE11E11" w:rsidP="00B271C3">
      <w:pPr>
        <w:pStyle w:val="Nagwek4"/>
        <w:rPr>
          <w:bCs/>
        </w:rPr>
      </w:pPr>
      <w:r w:rsidRPr="001E074F">
        <w:rPr>
          <w:bCs/>
        </w:rPr>
        <w:lastRenderedPageBreak/>
        <w:t xml:space="preserve">Metody statystyczne i </w:t>
      </w:r>
      <w:r w:rsidRPr="00B271C3">
        <w:rPr>
          <w:rStyle w:val="Pogrubienie"/>
          <w:b/>
        </w:rPr>
        <w:t>opracowanie</w:t>
      </w:r>
      <w:r w:rsidRPr="001E074F">
        <w:rPr>
          <w:bCs/>
        </w:rPr>
        <w:t xml:space="preserve"> wyników</w:t>
      </w:r>
    </w:p>
    <w:p w14:paraId="23D531D9" w14:textId="1E20ABDA" w:rsidR="4EE11E11"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Do opracowania danych zastosowano pakiet metod statystyki opisowej, adekwatny do charakteru pozyskanych zmiennych. W pierwszej kolejności dokonano oczyszczenia </w:t>
      </w:r>
      <w:r w:rsidR="00A42EFD" w:rsidRPr="00BF6615">
        <w:rPr>
          <w:rFonts w:ascii="Calibri" w:eastAsia="Calibri" w:hAnsi="Calibri" w:cs="Calibri"/>
          <w:szCs w:val="24"/>
        </w:rPr>
        <w:t>i</w:t>
      </w:r>
      <w:r w:rsidR="00A42EFD">
        <w:rPr>
          <w:rFonts w:ascii="Calibri" w:eastAsia="Calibri" w:hAnsi="Calibri" w:cs="Calibri"/>
          <w:szCs w:val="24"/>
        </w:rPr>
        <w:t> </w:t>
      </w:r>
      <w:r w:rsidRPr="00BF6615">
        <w:rPr>
          <w:rFonts w:ascii="Calibri" w:eastAsia="Calibri" w:hAnsi="Calibri" w:cs="Calibri"/>
          <w:szCs w:val="24"/>
        </w:rPr>
        <w:t xml:space="preserve">przygotowania danych – sprawdzono zebrane ankiety pod kątem kompletności oraz poprawności, eliminując ewentualne duplikaty i weryfikując brakujące odpowiedzi. Następnie wyliczono podstawowe wskaźniki statystyczne dla pytań zamkniętych: rozkłady częstości (w formie liczebności i procentów) dla wszystkich opcji odpowiedzi </w:t>
      </w:r>
      <w:r w:rsidR="00A42EFD" w:rsidRPr="00BF6615">
        <w:rPr>
          <w:rFonts w:ascii="Calibri" w:eastAsia="Calibri" w:hAnsi="Calibri" w:cs="Calibri"/>
          <w:szCs w:val="24"/>
        </w:rPr>
        <w:t>w</w:t>
      </w:r>
      <w:r w:rsidR="00A42EFD">
        <w:rPr>
          <w:rFonts w:ascii="Calibri" w:eastAsia="Calibri" w:hAnsi="Calibri" w:cs="Calibri"/>
          <w:szCs w:val="24"/>
        </w:rPr>
        <w:t> </w:t>
      </w:r>
      <w:r w:rsidRPr="00BF6615">
        <w:rPr>
          <w:rFonts w:ascii="Calibri" w:eastAsia="Calibri" w:hAnsi="Calibri" w:cs="Calibri"/>
          <w:szCs w:val="24"/>
        </w:rPr>
        <w:t xml:space="preserve">każdym pytaniu, a także miary tendencji centralnej (średnie arytmetyczne) </w:t>
      </w:r>
      <w:r w:rsidR="00A42EFD" w:rsidRPr="00BF6615">
        <w:rPr>
          <w:rFonts w:ascii="Calibri" w:eastAsia="Calibri" w:hAnsi="Calibri" w:cs="Calibri"/>
          <w:szCs w:val="24"/>
        </w:rPr>
        <w:t>w</w:t>
      </w:r>
      <w:r w:rsidR="00A42EFD">
        <w:rPr>
          <w:rFonts w:ascii="Calibri" w:eastAsia="Calibri" w:hAnsi="Calibri" w:cs="Calibri"/>
          <w:szCs w:val="24"/>
        </w:rPr>
        <w:t> </w:t>
      </w:r>
      <w:r w:rsidRPr="00BF6615">
        <w:rPr>
          <w:rFonts w:ascii="Calibri" w:eastAsia="Calibri" w:hAnsi="Calibri" w:cs="Calibri"/>
          <w:szCs w:val="24"/>
        </w:rPr>
        <w:t xml:space="preserve">przypadku pytań na skalach numerycznych. Przykładowo, dla pytań dotyczących ocen aspektów dostępności cyfrowej obliczono średnie oceny w skali 1–5 dla całej próby oraz odrębnie dla każdej z grup. Ponadto wyniki prezentowano w postaci tabel i wykresów, co ułatwia dostrzeżenie trendów i różnic między grupami. Takie podejście jest zgodne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zaleceniami analizy danych ilościowych – obejmuje m.in. obliczanie procentów, średnich i innych miar statystycznych oraz graficzną prezentację wyników w celu ich przejrzystego przedstawienia. </w:t>
      </w:r>
    </w:p>
    <w:p w14:paraId="17FDFD85" w14:textId="77777777" w:rsidR="00E269BA" w:rsidRPr="001E074F" w:rsidRDefault="4EE11E11" w:rsidP="00B271C3">
      <w:pPr>
        <w:pStyle w:val="Nagwek4"/>
        <w:rPr>
          <w:bCs/>
        </w:rPr>
      </w:pPr>
      <w:r w:rsidRPr="001E074F">
        <w:rPr>
          <w:bCs/>
        </w:rPr>
        <w:t xml:space="preserve">Triangulacja </w:t>
      </w:r>
      <w:r w:rsidRPr="00B271C3">
        <w:rPr>
          <w:rStyle w:val="Pogrubienie"/>
          <w:b/>
        </w:rPr>
        <w:t>danych</w:t>
      </w:r>
    </w:p>
    <w:p w14:paraId="21441BEC" w14:textId="6354D396" w:rsidR="4EE11E11" w:rsidRPr="00BF6615" w:rsidRDefault="4EE11E11" w:rsidP="007E26B5">
      <w:pPr>
        <w:spacing w:before="240" w:after="240"/>
        <w:rPr>
          <w:rFonts w:ascii="Calibri" w:eastAsia="Calibri" w:hAnsi="Calibri" w:cs="Calibri"/>
          <w:szCs w:val="24"/>
        </w:rPr>
      </w:pPr>
      <w:r w:rsidRPr="00BF6615">
        <w:rPr>
          <w:rFonts w:ascii="Calibri" w:eastAsia="Calibri" w:hAnsi="Calibri" w:cs="Calibri"/>
          <w:szCs w:val="24"/>
        </w:rPr>
        <w:t xml:space="preserve">Tam, gdzie było to możliwe, zastosowano zasadę triangulacji, czyli wykorzystania wielu źródeł danych i perspektyw badawczych w celu weryfikacji i uzupełnienia wyników. </w:t>
      </w:r>
      <w:r w:rsidR="00A42EFD" w:rsidRPr="00BF6615">
        <w:rPr>
          <w:rFonts w:ascii="Calibri" w:eastAsia="Calibri" w:hAnsi="Calibri" w:cs="Calibri"/>
          <w:szCs w:val="24"/>
        </w:rPr>
        <w:t>W</w:t>
      </w:r>
      <w:r w:rsidR="00A42EFD">
        <w:rPr>
          <w:rFonts w:ascii="Calibri" w:eastAsia="Calibri" w:hAnsi="Calibri" w:cs="Calibri"/>
          <w:szCs w:val="24"/>
        </w:rPr>
        <w:t> </w:t>
      </w:r>
      <w:r w:rsidRPr="00BF6615">
        <w:rPr>
          <w:rFonts w:ascii="Calibri" w:eastAsia="Calibri" w:hAnsi="Calibri" w:cs="Calibri"/>
          <w:szCs w:val="24"/>
        </w:rPr>
        <w:t xml:space="preserve">praktyce oznaczało to porównanie informacji uzyskanych różnymi metodami </w:t>
      </w:r>
      <w:r w:rsidR="00A42EFD" w:rsidRPr="00BF6615">
        <w:rPr>
          <w:rFonts w:ascii="Calibri" w:eastAsia="Calibri" w:hAnsi="Calibri" w:cs="Calibri"/>
          <w:szCs w:val="24"/>
        </w:rPr>
        <w:t>i</w:t>
      </w:r>
      <w:r w:rsidR="00A42EFD">
        <w:rPr>
          <w:rFonts w:ascii="Calibri" w:eastAsia="Calibri" w:hAnsi="Calibri" w:cs="Calibri"/>
          <w:szCs w:val="24"/>
        </w:rPr>
        <w:t>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różnych źródeł: danych ilościowych z ankiety, danych jakościowych z odpowiedzi otwartych, rezultatów wcześniejszego badania jakościowego (przeprowadzonego </w:t>
      </w:r>
      <w:r w:rsidR="00A42EFD" w:rsidRPr="00BF6615">
        <w:rPr>
          <w:rFonts w:ascii="Calibri" w:eastAsia="Calibri" w:hAnsi="Calibri" w:cs="Calibri"/>
          <w:szCs w:val="24"/>
        </w:rPr>
        <w:t>w</w:t>
      </w:r>
      <w:r w:rsidR="00A42EFD">
        <w:rPr>
          <w:rFonts w:ascii="Calibri" w:eastAsia="Calibri" w:hAnsi="Calibri" w:cs="Calibri"/>
          <w:szCs w:val="24"/>
        </w:rPr>
        <w:t> </w:t>
      </w:r>
      <w:r w:rsidRPr="00BF6615">
        <w:rPr>
          <w:rFonts w:ascii="Calibri" w:eastAsia="Calibri" w:hAnsi="Calibri" w:cs="Calibri"/>
          <w:szCs w:val="24"/>
        </w:rPr>
        <w:t>ramach tego projektu przed etapem ilościowym), a także wspomnianych danych zastanych z badań zewnętrznych. Na przykład, wnioski płynące z analizy ankiety konfrontowano z rezultatami bada</w:t>
      </w:r>
      <w:r w:rsidR="0059267E" w:rsidRPr="00BF6615">
        <w:rPr>
          <w:rFonts w:ascii="Calibri" w:eastAsia="Calibri" w:hAnsi="Calibri" w:cs="Calibri"/>
          <w:szCs w:val="24"/>
        </w:rPr>
        <w:t>ń jakościowych</w:t>
      </w:r>
      <w:r w:rsidRPr="00BF6615">
        <w:rPr>
          <w:rFonts w:ascii="Calibri" w:eastAsia="Calibri" w:hAnsi="Calibri" w:cs="Calibri"/>
          <w:szCs w:val="24"/>
        </w:rPr>
        <w:t xml:space="preserve"> – jeżeli uczestnicy wywiadów </w:t>
      </w:r>
      <w:r w:rsidR="0020617B" w:rsidRPr="00BF6615">
        <w:rPr>
          <w:rFonts w:ascii="Calibri" w:eastAsia="Calibri" w:hAnsi="Calibri" w:cs="Calibri"/>
          <w:szCs w:val="24"/>
        </w:rPr>
        <w:t>indywidualnych i testów</w:t>
      </w:r>
      <w:r w:rsidRPr="00BF6615">
        <w:rPr>
          <w:rFonts w:ascii="Calibri" w:eastAsia="Calibri" w:hAnsi="Calibri" w:cs="Calibri"/>
          <w:szCs w:val="24"/>
        </w:rPr>
        <w:t xml:space="preserve"> wskazywali na pewne problemy w dostępności, zweryfikowano, czy te same obszary pojawiły się jako istotne w wynikach ilościowych</w:t>
      </w:r>
      <w:r w:rsidR="001A5CB6" w:rsidRPr="00BF6615">
        <w:rPr>
          <w:rFonts w:ascii="Calibri" w:eastAsia="Calibri" w:hAnsi="Calibri" w:cs="Calibri"/>
          <w:szCs w:val="24"/>
        </w:rPr>
        <w:t>, co podsumowano we wnioskach końcowych</w:t>
      </w:r>
      <w:r w:rsidRPr="00BF6615">
        <w:rPr>
          <w:rFonts w:ascii="Calibri" w:eastAsia="Calibri" w:hAnsi="Calibri" w:cs="Calibri"/>
          <w:szCs w:val="24"/>
        </w:rPr>
        <w:t>. Taki wieloaspektowy ogląd zwiększa rzetelność i trafność wniosków: pozwala upewnić się, że obserwowane zjawiska nie są artefaktem jednej metody badawczej, a jednocześnie umożliwia głębsze zrozumienie mechanizmów stojących za liczbami. Triangulacja przyczynia się do uzyskania pełniejszego obrazu badanego zagadnienia – dzięki łączeniu perspektyw można lepiej wyjaśnić</w:t>
      </w:r>
      <w:r w:rsidR="07B99519" w:rsidRPr="00BF6615">
        <w:rPr>
          <w:rFonts w:ascii="Calibri" w:eastAsia="Calibri" w:hAnsi="Calibri" w:cs="Calibri"/>
        </w:rPr>
        <w:t>,</w:t>
      </w:r>
      <w:r w:rsidRPr="00BF6615">
        <w:rPr>
          <w:rFonts w:ascii="Calibri" w:eastAsia="Calibri" w:hAnsi="Calibri" w:cs="Calibri"/>
          <w:szCs w:val="24"/>
        </w:rPr>
        <w:t xml:space="preserve"> dlaczego pewne wyniki wyglądają tak, a nie inaczej. W niniejszym badaniu triangulacja danych przybrała formę uzupełniania analiz statystycznych komentarzami i przykładami </w:t>
      </w:r>
      <w:r w:rsidR="00A42EFD" w:rsidRPr="00BF6615">
        <w:rPr>
          <w:rFonts w:ascii="Calibri" w:eastAsia="Calibri" w:hAnsi="Calibri" w:cs="Calibri"/>
          <w:szCs w:val="24"/>
        </w:rPr>
        <w:t>z</w:t>
      </w:r>
      <w:r w:rsidR="00A42EFD">
        <w:rPr>
          <w:rFonts w:ascii="Calibri" w:eastAsia="Calibri" w:hAnsi="Calibri" w:cs="Calibri"/>
          <w:szCs w:val="24"/>
        </w:rPr>
        <w:t> </w:t>
      </w:r>
      <w:r w:rsidRPr="00BF6615">
        <w:rPr>
          <w:rFonts w:ascii="Calibri" w:eastAsia="Calibri" w:hAnsi="Calibri" w:cs="Calibri"/>
          <w:szCs w:val="24"/>
        </w:rPr>
        <w:t xml:space="preserve">materiału jakościowego oraz osadzania wyników w kontekście makrospołecznym poprzez odwołania do danych GUS. </w:t>
      </w:r>
    </w:p>
    <w:p w14:paraId="691FDD44" w14:textId="33CBAD35" w:rsidR="00DF4488" w:rsidRPr="00BF6615" w:rsidRDefault="00DF4488" w:rsidP="007E26B5">
      <w:pPr>
        <w:pStyle w:val="Nagwek2"/>
      </w:pPr>
      <w:bookmarkStart w:id="214" w:name="_Toc204179293"/>
      <w:r w:rsidRPr="00BF6615">
        <w:lastRenderedPageBreak/>
        <w:t xml:space="preserve">Wyniki </w:t>
      </w:r>
      <w:r w:rsidR="009E7151">
        <w:t>badania ilościowego</w:t>
      </w:r>
      <w:bookmarkEnd w:id="214"/>
    </w:p>
    <w:p w14:paraId="5E81E3E3" w14:textId="530FE6D9" w:rsidR="00D26BCE" w:rsidRPr="00BF6615" w:rsidRDefault="007E26B5">
      <w:pPr>
        <w:pStyle w:val="Nagwek3"/>
        <w:numPr>
          <w:ilvl w:val="1"/>
          <w:numId w:val="6"/>
        </w:numPr>
      </w:pPr>
      <w:bookmarkStart w:id="215" w:name="_Toc204179294"/>
      <w:r>
        <w:t>Pełna grupa badana</w:t>
      </w:r>
      <w:bookmarkEnd w:id="215"/>
    </w:p>
    <w:p w14:paraId="1FDC7A1C" w14:textId="21BE48EC" w:rsidR="004935BD" w:rsidRPr="001E074F" w:rsidRDefault="004935BD" w:rsidP="00B271C3">
      <w:pPr>
        <w:pStyle w:val="Nagwek4"/>
        <w:rPr>
          <w:bCs/>
        </w:rPr>
      </w:pPr>
      <w:r w:rsidRPr="001E074F">
        <w:rPr>
          <w:bCs/>
        </w:rPr>
        <w:t xml:space="preserve">Charakterystyka </w:t>
      </w:r>
      <w:r w:rsidRPr="00B271C3">
        <w:rPr>
          <w:rStyle w:val="Pogrubienie"/>
          <w:b/>
        </w:rPr>
        <w:t>grupy</w:t>
      </w:r>
      <w:r w:rsidRPr="001E074F">
        <w:rPr>
          <w:bCs/>
        </w:rPr>
        <w:t xml:space="preserve"> badanej</w:t>
      </w:r>
    </w:p>
    <w:p w14:paraId="5428EA0A" w14:textId="3DED1639" w:rsidR="004935BD" w:rsidRPr="00BF6615" w:rsidRDefault="00CE4731" w:rsidP="007E26B5">
      <w:r w:rsidRPr="00BF6615">
        <w:t>W badaniu udział wzięło 306 osób. W grupie badanej znalazło się:</w:t>
      </w:r>
    </w:p>
    <w:p w14:paraId="2906EA41" w14:textId="610EDF2B" w:rsidR="00BD73C5" w:rsidRPr="00BF6615" w:rsidRDefault="001B5426">
      <w:pPr>
        <w:pStyle w:val="Akapitzlist"/>
        <w:numPr>
          <w:ilvl w:val="0"/>
          <w:numId w:val="3"/>
        </w:numPr>
      </w:pPr>
      <w:r w:rsidRPr="00BF6615">
        <w:t>106 osób z niepełnosprawnościami</w:t>
      </w:r>
      <w:r w:rsidR="00774A20" w:rsidRPr="00BF6615">
        <w:t>, w tym</w:t>
      </w:r>
      <w:r w:rsidR="00BD73C5" w:rsidRPr="00BF6615">
        <w:t>:</w:t>
      </w:r>
    </w:p>
    <w:p w14:paraId="484E6483" w14:textId="77777777" w:rsidR="00774A20" w:rsidRPr="00BF6615" w:rsidRDefault="00774A20">
      <w:pPr>
        <w:pStyle w:val="Akapitzlist"/>
        <w:numPr>
          <w:ilvl w:val="1"/>
          <w:numId w:val="3"/>
        </w:numPr>
      </w:pPr>
      <w:r w:rsidRPr="00BF6615">
        <w:t xml:space="preserve">20 </w:t>
      </w:r>
      <w:r w:rsidR="00BD73C5" w:rsidRPr="00BF6615">
        <w:t>os</w:t>
      </w:r>
      <w:r w:rsidRPr="00BF6615">
        <w:t>ób</w:t>
      </w:r>
      <w:r w:rsidR="00BD73C5" w:rsidRPr="00BF6615">
        <w:t xml:space="preserve"> głuch</w:t>
      </w:r>
      <w:r w:rsidRPr="00BF6615">
        <w:t>ych</w:t>
      </w:r>
      <w:r w:rsidR="00BD73C5" w:rsidRPr="00BF6615">
        <w:t xml:space="preserve"> lub niedosłysząc</w:t>
      </w:r>
      <w:r w:rsidRPr="00BF6615">
        <w:t>ych,</w:t>
      </w:r>
    </w:p>
    <w:p w14:paraId="57589D48" w14:textId="37A3A6B3" w:rsidR="00BD73C5" w:rsidRPr="00BF6615" w:rsidRDefault="00774A20">
      <w:pPr>
        <w:pStyle w:val="Akapitzlist"/>
        <w:numPr>
          <w:ilvl w:val="1"/>
          <w:numId w:val="3"/>
        </w:numPr>
      </w:pPr>
      <w:r w:rsidRPr="00BF6615">
        <w:t xml:space="preserve">20 </w:t>
      </w:r>
      <w:r w:rsidR="00BD73C5" w:rsidRPr="00BF6615">
        <w:t>os</w:t>
      </w:r>
      <w:r w:rsidRPr="00BF6615">
        <w:t>ób</w:t>
      </w:r>
      <w:r w:rsidR="00BD73C5" w:rsidRPr="00BF6615">
        <w:t xml:space="preserve"> ociemniał</w:t>
      </w:r>
      <w:r w:rsidRPr="00BF6615">
        <w:t>ych</w:t>
      </w:r>
      <w:r w:rsidR="00BD73C5" w:rsidRPr="00BF6615">
        <w:t xml:space="preserve"> lub niewidom</w:t>
      </w:r>
      <w:r w:rsidRPr="00BF6615">
        <w:t>ych,</w:t>
      </w:r>
      <w:r w:rsidR="00BD73C5" w:rsidRPr="00BF6615">
        <w:tab/>
      </w:r>
      <w:r w:rsidR="00BD73C5" w:rsidRPr="00BF6615">
        <w:tab/>
      </w:r>
    </w:p>
    <w:p w14:paraId="7D96BD07" w14:textId="555358E4" w:rsidR="00BD73C5" w:rsidRPr="00BF6615" w:rsidRDefault="00774A20">
      <w:pPr>
        <w:pStyle w:val="Akapitzlist"/>
        <w:numPr>
          <w:ilvl w:val="1"/>
          <w:numId w:val="3"/>
        </w:numPr>
      </w:pPr>
      <w:r w:rsidRPr="00BF6615">
        <w:t xml:space="preserve">20 </w:t>
      </w:r>
      <w:r w:rsidR="00BD73C5" w:rsidRPr="00BF6615">
        <w:t>os</w:t>
      </w:r>
      <w:r w:rsidRPr="00BF6615">
        <w:t>ób</w:t>
      </w:r>
      <w:r w:rsidR="00BD73C5" w:rsidRPr="00BF6615">
        <w:t xml:space="preserve"> słabowidząc</w:t>
      </w:r>
      <w:r w:rsidRPr="00BF6615">
        <w:t>ych,</w:t>
      </w:r>
      <w:r w:rsidR="00BD73C5" w:rsidRPr="00BF6615">
        <w:tab/>
      </w:r>
      <w:r w:rsidR="00BD73C5" w:rsidRPr="00BF6615">
        <w:tab/>
      </w:r>
      <w:r w:rsidR="00BD73C5" w:rsidRPr="00BF6615">
        <w:tab/>
      </w:r>
      <w:r w:rsidR="00BD73C5" w:rsidRPr="00BF6615">
        <w:tab/>
      </w:r>
      <w:r w:rsidR="00BD73C5" w:rsidRPr="00BF6615">
        <w:tab/>
      </w:r>
      <w:r w:rsidR="00BD73C5" w:rsidRPr="00BF6615">
        <w:tab/>
      </w:r>
    </w:p>
    <w:p w14:paraId="1ADEA8A3" w14:textId="02EC665B" w:rsidR="00BD73C5" w:rsidRPr="00BF6615" w:rsidRDefault="00774A20">
      <w:pPr>
        <w:pStyle w:val="Akapitzlist"/>
        <w:numPr>
          <w:ilvl w:val="1"/>
          <w:numId w:val="3"/>
        </w:numPr>
      </w:pPr>
      <w:r w:rsidRPr="00BF6615">
        <w:t xml:space="preserve">20 </w:t>
      </w:r>
      <w:r w:rsidR="00BD73C5" w:rsidRPr="00BF6615">
        <w:t>os</w:t>
      </w:r>
      <w:r w:rsidRPr="00BF6615">
        <w:t>ób</w:t>
      </w:r>
      <w:r w:rsidR="00BD73C5" w:rsidRPr="00BF6615">
        <w:t xml:space="preserve"> z niepełnosprawnością intelektualną lub ograniczeniami poznawczymi</w:t>
      </w:r>
      <w:r w:rsidRPr="00BF6615">
        <w:t>,</w:t>
      </w:r>
      <w:r w:rsidR="00BD73C5" w:rsidRPr="00BF6615">
        <w:tab/>
      </w:r>
    </w:p>
    <w:p w14:paraId="31E6DDBD" w14:textId="1288F64F" w:rsidR="00CE4731" w:rsidRPr="00BF6615" w:rsidRDefault="00774A20">
      <w:pPr>
        <w:pStyle w:val="Akapitzlist"/>
        <w:numPr>
          <w:ilvl w:val="1"/>
          <w:numId w:val="3"/>
        </w:numPr>
      </w:pPr>
      <w:r w:rsidRPr="00BF6615">
        <w:t>26 osób</w:t>
      </w:r>
      <w:r w:rsidR="00BD73C5" w:rsidRPr="00BF6615">
        <w:t xml:space="preserve"> z niepełnosprawnością narządu ruchu (niepełnosprawność kończyn górnych)</w:t>
      </w:r>
      <w:r w:rsidRPr="00BF6615">
        <w:t>,</w:t>
      </w:r>
    </w:p>
    <w:p w14:paraId="35DBB086" w14:textId="72D204A4" w:rsidR="001B5426" w:rsidRPr="00BF6615" w:rsidRDefault="001B5426">
      <w:pPr>
        <w:pStyle w:val="Akapitzlist"/>
        <w:numPr>
          <w:ilvl w:val="0"/>
          <w:numId w:val="3"/>
        </w:numPr>
      </w:pPr>
      <w:r w:rsidRPr="00BF6615">
        <w:t xml:space="preserve">100 osób w wieku powyżej 60 lat, </w:t>
      </w:r>
    </w:p>
    <w:p w14:paraId="08E65628" w14:textId="56621192" w:rsidR="001B5426" w:rsidRPr="00BF6615" w:rsidRDefault="001B5426">
      <w:pPr>
        <w:pStyle w:val="Akapitzlist"/>
        <w:numPr>
          <w:ilvl w:val="0"/>
          <w:numId w:val="3"/>
        </w:numPr>
      </w:pPr>
      <w:r w:rsidRPr="00BF6615">
        <w:t>100 osób bez niepełnosprawności w wieku 18-59 lat.</w:t>
      </w:r>
    </w:p>
    <w:p w14:paraId="03AEFF1F" w14:textId="7C9961ED" w:rsidR="0082209F" w:rsidRPr="00BF6615" w:rsidRDefault="0082209F" w:rsidP="007E26B5">
      <w:r w:rsidRPr="00BF6615">
        <w:t xml:space="preserve">Osoby badane </w:t>
      </w:r>
      <w:r w:rsidR="00F554C6" w:rsidRPr="00BF6615">
        <w:t xml:space="preserve">zamieszkiwały w miejscowościach o różnej wielkości, </w:t>
      </w:r>
      <w:r w:rsidR="008863F1" w:rsidRPr="00BF6615">
        <w:t>przy czym najwięcej w miastach powyżej 20 tys. do 100 tys. mieszkańców.</w:t>
      </w:r>
    </w:p>
    <w:p w14:paraId="414BD326" w14:textId="650409CC" w:rsidR="008863F1" w:rsidRPr="00BF6615" w:rsidRDefault="008863F1" w:rsidP="007E26B5">
      <w:pPr>
        <w:pStyle w:val="Legenda"/>
        <w:keepNext/>
      </w:pPr>
      <w:bookmarkStart w:id="216" w:name="_Toc204179159"/>
      <w:r w:rsidRPr="00BF6615">
        <w:t xml:space="preserve">Wykres </w:t>
      </w:r>
      <w:r w:rsidRPr="00BF6615">
        <w:fldChar w:fldCharType="begin"/>
      </w:r>
      <w:r w:rsidRPr="00BF6615">
        <w:instrText xml:space="preserve"> SEQ Wykres \* ARABIC </w:instrText>
      </w:r>
      <w:r w:rsidRPr="00BF6615">
        <w:fldChar w:fldCharType="separate"/>
      </w:r>
      <w:r w:rsidR="00FD0843">
        <w:rPr>
          <w:noProof/>
        </w:rPr>
        <w:t>13</w:t>
      </w:r>
      <w:r w:rsidRPr="00BF6615">
        <w:fldChar w:fldCharType="end"/>
      </w:r>
      <w:r w:rsidR="002111CE">
        <w:t>.</w:t>
      </w:r>
      <w:r w:rsidRPr="00BF6615">
        <w:t xml:space="preserve"> </w:t>
      </w:r>
      <w:r w:rsidR="001B2120" w:rsidRPr="00BF6615">
        <w:t>Wielkość miejsca zamieszkania</w:t>
      </w:r>
      <w:r w:rsidR="0045235F" w:rsidRPr="00BF6615">
        <w:t xml:space="preserve"> w pełnej grupie badanej</w:t>
      </w:r>
      <w:r w:rsidRPr="00BF6615">
        <w:t xml:space="preserve"> (n=</w:t>
      </w:r>
      <w:r w:rsidR="001B2120" w:rsidRPr="00BF6615">
        <w:t>306</w:t>
      </w:r>
      <w:r w:rsidRPr="00BF6615">
        <w:t>)</w:t>
      </w:r>
      <w:bookmarkEnd w:id="216"/>
    </w:p>
    <w:p w14:paraId="55E80670" w14:textId="77777777" w:rsidR="008863F1" w:rsidRPr="00BF6615" w:rsidRDefault="008863F1" w:rsidP="007E26B5"/>
    <w:p w14:paraId="21FD1489" w14:textId="0A6FD53A" w:rsidR="00DB21A8" w:rsidRPr="00BF6615" w:rsidRDefault="00DB21A8" w:rsidP="007E26B5">
      <w:r w:rsidRPr="00BF6615">
        <w:rPr>
          <w:noProof/>
          <w:lang w:eastAsia="pl-PL"/>
        </w:rPr>
        <w:drawing>
          <wp:inline distT="0" distB="0" distL="0" distR="0" wp14:anchorId="7F53D5F4" wp14:editId="669ADC94">
            <wp:extent cx="5434314" cy="2806861"/>
            <wp:effectExtent l="0" t="0" r="0" b="0"/>
            <wp:docPr id="444094970" name="Wykres 1" descr="miasto powyżej 100 tys. do 500 tys. - 23%&#10;miasto powyżej 20 tys. do 100 tys. - 27%&#10;miasto powyżej 500 tys. - 24%&#10;wieś i małe miasto do 20 tys. -26%">
              <a:extLst xmlns:a="http://schemas.openxmlformats.org/drawingml/2006/main">
                <a:ext uri="{FF2B5EF4-FFF2-40B4-BE49-F238E27FC236}">
                  <a16:creationId xmlns:a16="http://schemas.microsoft.com/office/drawing/2014/main" id="{CDDB8505-79E4-4250-B868-40EABD12D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8DA9EEB" w14:textId="77777777" w:rsidR="001B2120" w:rsidRPr="002D0786" w:rsidRDefault="001B2120" w:rsidP="007E26B5">
      <w:pPr>
        <w:pStyle w:val="Legenda"/>
        <w:keepNext/>
        <w:rPr>
          <w:color w:val="auto"/>
        </w:rPr>
      </w:pPr>
      <w:r w:rsidRPr="002D0786">
        <w:rPr>
          <w:color w:val="auto"/>
        </w:rPr>
        <w:t>Źródło: opracowanie własne.</w:t>
      </w:r>
    </w:p>
    <w:p w14:paraId="614AC3E3" w14:textId="77777777" w:rsidR="005825BB" w:rsidRPr="00BF6615" w:rsidRDefault="005825BB" w:rsidP="007E26B5"/>
    <w:p w14:paraId="042D3275" w14:textId="3ABF57EB" w:rsidR="005825BB" w:rsidRPr="00BF6615" w:rsidRDefault="005825BB" w:rsidP="007E26B5">
      <w:r w:rsidRPr="00BF6615">
        <w:lastRenderedPageBreak/>
        <w:t xml:space="preserve">W przewadze respondenci badania deklarowali, że są osobami pracującymi </w:t>
      </w:r>
      <w:r w:rsidR="001800CC" w:rsidRPr="00BF6615">
        <w:t>(4</w:t>
      </w:r>
      <w:r w:rsidR="004C326C" w:rsidRPr="00BF6615">
        <w:t>5</w:t>
      </w:r>
      <w:r w:rsidR="001800CC" w:rsidRPr="00BF6615">
        <w:t xml:space="preserve">%), kolejną grupę stanowiły osoby na emeryturze, w tym wcześniejszej (29%). Najmniej </w:t>
      </w:r>
      <w:r w:rsidR="0060465B" w:rsidRPr="00BF6615">
        <w:t xml:space="preserve">liczna była grupa osób, które nie pracują, </w:t>
      </w:r>
      <w:r w:rsidR="004B50FA" w:rsidRPr="00BF6615">
        <w:t>a</w:t>
      </w:r>
      <w:r w:rsidR="0060465B" w:rsidRPr="00BF6615">
        <w:t>ni nie uczą się</w:t>
      </w:r>
      <w:r w:rsidR="004B50FA" w:rsidRPr="00BF6615">
        <w:t xml:space="preserve"> oraz osoby, które pracują i uczą się jednocześnie</w:t>
      </w:r>
      <w:r w:rsidR="0060465B" w:rsidRPr="00BF6615">
        <w:t xml:space="preserve"> (</w:t>
      </w:r>
      <w:r w:rsidR="004B50FA" w:rsidRPr="00BF6615">
        <w:t xml:space="preserve">po </w:t>
      </w:r>
      <w:r w:rsidR="0060465B" w:rsidRPr="00BF6615">
        <w:t>2%).</w:t>
      </w:r>
    </w:p>
    <w:p w14:paraId="28FA446F" w14:textId="661E80E7" w:rsidR="0060465B" w:rsidRPr="00BF6615" w:rsidRDefault="0060465B" w:rsidP="007E26B5">
      <w:pPr>
        <w:pStyle w:val="Legenda"/>
        <w:keepNext/>
      </w:pPr>
      <w:bookmarkStart w:id="217" w:name="_Toc204179160"/>
      <w:r w:rsidRPr="00BF6615">
        <w:t xml:space="preserve">Wykres </w:t>
      </w:r>
      <w:r w:rsidRPr="00BF6615">
        <w:fldChar w:fldCharType="begin"/>
      </w:r>
      <w:r w:rsidRPr="00BF6615">
        <w:instrText xml:space="preserve"> SEQ Wykres \* ARABIC </w:instrText>
      </w:r>
      <w:r w:rsidRPr="00BF6615">
        <w:fldChar w:fldCharType="separate"/>
      </w:r>
      <w:r w:rsidR="00FD0843">
        <w:rPr>
          <w:noProof/>
        </w:rPr>
        <w:t>14</w:t>
      </w:r>
      <w:r w:rsidRPr="00BF6615">
        <w:fldChar w:fldCharType="end"/>
      </w:r>
      <w:r w:rsidR="00FD0843">
        <w:t>.</w:t>
      </w:r>
      <w:r w:rsidRPr="00BF6615">
        <w:t xml:space="preserve"> Status na rynku pracy</w:t>
      </w:r>
      <w:r w:rsidR="001A6A71" w:rsidRPr="00BF6615">
        <w:t xml:space="preserve"> w pełnej grupie badanej</w:t>
      </w:r>
      <w:r w:rsidRPr="00BF6615">
        <w:t xml:space="preserve"> (n=306)</w:t>
      </w:r>
      <w:bookmarkEnd w:id="217"/>
    </w:p>
    <w:p w14:paraId="01F681B5" w14:textId="77777777" w:rsidR="001B2120" w:rsidRPr="00BF6615" w:rsidRDefault="001B2120" w:rsidP="007E26B5"/>
    <w:p w14:paraId="5D87EA53" w14:textId="2E670701" w:rsidR="00DB21A8" w:rsidRPr="00BF6615" w:rsidRDefault="00A21CF2" w:rsidP="007E26B5">
      <w:r w:rsidRPr="00BF6615">
        <w:rPr>
          <w:noProof/>
          <w:lang w:eastAsia="pl-PL"/>
        </w:rPr>
        <w:drawing>
          <wp:inline distT="0" distB="0" distL="0" distR="0" wp14:anchorId="28EBAE33" wp14:editId="34BBD285">
            <wp:extent cx="5486400" cy="3155795"/>
            <wp:effectExtent l="0" t="0" r="0" b="6985"/>
            <wp:docPr id="1213871611" name="Wykres 1" descr="osoba ucząca się 3%&#10;osoba prowadząca własną działalność gospodarczą - 4%&#10;osoba pracująca i ucząca- 2%&#10;osoba pracująca - 45%&#10;osoba niepracująca, poszukująca pracy - 7% &#10;osoba niepracująca i nieposzukująca pracy - 2%&#10;osoba na rencie - 8%&#10;osoba na emeryturze - 29%">
              <a:extLst xmlns:a="http://schemas.openxmlformats.org/drawingml/2006/main">
                <a:ext uri="{FF2B5EF4-FFF2-40B4-BE49-F238E27FC236}">
                  <a16:creationId xmlns:a16="http://schemas.microsoft.com/office/drawing/2014/main" id="{8C362EC6-797C-FE4C-AB38-55C9A621B5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A7A2C2E" w14:textId="09058577" w:rsidR="005825BB" w:rsidRPr="00BF6615" w:rsidRDefault="005825BB" w:rsidP="007E26B5"/>
    <w:p w14:paraId="14F5262C" w14:textId="77777777" w:rsidR="0060465B" w:rsidRPr="002D0786" w:rsidRDefault="0060465B" w:rsidP="007E26B5">
      <w:r w:rsidRPr="002D0786">
        <w:t>Źródło: opracowanie własne.</w:t>
      </w:r>
    </w:p>
    <w:p w14:paraId="700071CD" w14:textId="77777777" w:rsidR="00B913A5" w:rsidRPr="00060682" w:rsidRDefault="00B913A5" w:rsidP="00B271C3">
      <w:pPr>
        <w:pStyle w:val="Nagwek4"/>
        <w:rPr>
          <w:bCs/>
        </w:rPr>
      </w:pPr>
      <w:r w:rsidRPr="00060682">
        <w:rPr>
          <w:bCs/>
        </w:rPr>
        <w:t>Korzystanie z komputera i Internetu</w:t>
      </w:r>
    </w:p>
    <w:p w14:paraId="2EC6CFCC" w14:textId="61090A62" w:rsidR="004935BD" w:rsidRPr="00BF6615" w:rsidRDefault="004935BD" w:rsidP="007E26B5">
      <w:r w:rsidRPr="00BF6615">
        <w:t>W grupie badanej znalazły się osoby, które deklarowały, że potrafią posługiwać się komputerem w wystarczającym stopniu do ich potrzeb (31%). Pozostałe osoby wskazały, że potrafią bardzo dobrze posługiwać się komputerem (35%) oraz, że potrafią dobrze posługiwać się komputerem (34%)</w:t>
      </w:r>
      <w:r w:rsidR="00A05132" w:rsidRPr="00BF6615">
        <w:t>.</w:t>
      </w:r>
    </w:p>
    <w:p w14:paraId="1C1E8241" w14:textId="411265AE" w:rsidR="004935BD" w:rsidRPr="00BF6615" w:rsidRDefault="004935BD" w:rsidP="007E26B5">
      <w:r w:rsidRPr="00BF6615">
        <w:t xml:space="preserve">W badanej grupie 34% osób zadeklarowało, że ma umiejętności korzystania z </w:t>
      </w:r>
      <w:r w:rsidR="00D333F2" w:rsidRPr="00BF6615">
        <w:t>Internetu</w:t>
      </w:r>
      <w:r w:rsidRPr="00BF6615">
        <w:t xml:space="preserve"> wystarczające do swoich potrzeb. Wśród badanej grupy respondentów 36% osób zadeklarowało, że bardzo dobrze posługuje się </w:t>
      </w:r>
      <w:r w:rsidR="00F579FF" w:rsidRPr="00BF6615">
        <w:t>I</w:t>
      </w:r>
      <w:r w:rsidRPr="00BF6615">
        <w:t xml:space="preserve">nternetem, a w mniejszości były osoby, które odpowiedziały, że ich umiejętności korzystania z </w:t>
      </w:r>
      <w:r w:rsidR="00D333F2" w:rsidRPr="00BF6615">
        <w:t>Internetu</w:t>
      </w:r>
      <w:r w:rsidRPr="00BF6615">
        <w:t xml:space="preserve"> są dobre (30%)</w:t>
      </w:r>
      <w:r w:rsidR="00A42EFD">
        <w:t xml:space="preserve"> – </w:t>
      </w:r>
      <w:r w:rsidR="004E7062" w:rsidRPr="00BF6615">
        <w:t>co daje</w:t>
      </w:r>
      <w:r w:rsidR="00A05132" w:rsidRPr="00BF6615">
        <w:t xml:space="preserve"> </w:t>
      </w:r>
      <w:r w:rsidR="00F40C03" w:rsidRPr="00BF6615">
        <w:t>łącznie</w:t>
      </w:r>
      <w:r w:rsidR="004E7062" w:rsidRPr="00BF6615">
        <w:t xml:space="preserve"> </w:t>
      </w:r>
      <w:r w:rsidR="00A05132" w:rsidRPr="00BF6615">
        <w:t>66%</w:t>
      </w:r>
      <w:r w:rsidRPr="00BF6615">
        <w:t>.</w:t>
      </w:r>
      <w:r w:rsidR="004E7062" w:rsidRPr="00BF6615">
        <w:t xml:space="preserve"> Wynik ten jest niższy niż wynik badania GUS</w:t>
      </w:r>
      <w:r w:rsidR="00A05132" w:rsidRPr="00BF6615">
        <w:rPr>
          <w:rStyle w:val="Odwoanieprzypisudolnego"/>
        </w:rPr>
        <w:footnoteReference w:id="27"/>
      </w:r>
      <w:r w:rsidR="004E7062" w:rsidRPr="00BF6615">
        <w:t xml:space="preserve">, w którym 74,5% </w:t>
      </w:r>
      <w:r w:rsidR="004E7062" w:rsidRPr="00BF6615">
        <w:lastRenderedPageBreak/>
        <w:t>badanych deklaruje, że posiada ponadpodstawowe umiejętności korzystania z informacji i danych.</w:t>
      </w:r>
      <w:r w:rsidR="00C77EAF" w:rsidRPr="00BF6615">
        <w:t xml:space="preserve"> </w:t>
      </w:r>
      <w:r w:rsidR="00C77EAF" w:rsidRPr="00CC6DA8">
        <w:t xml:space="preserve">Niższy wynik może wynikać ze specyfiki grupy badanej- duży udział osób </w:t>
      </w:r>
      <w:r w:rsidR="00A42EFD" w:rsidRPr="00CC6DA8">
        <w:t>z</w:t>
      </w:r>
      <w:r w:rsidR="00A42EFD">
        <w:t> </w:t>
      </w:r>
      <w:r w:rsidR="00C77EAF" w:rsidRPr="00CC6DA8">
        <w:t xml:space="preserve">niepełnosprawnościami i osób starszych. </w:t>
      </w:r>
      <w:r w:rsidR="00C50155" w:rsidRPr="00CC6DA8">
        <w:t>85,5% o</w:t>
      </w:r>
      <w:r w:rsidR="00C77EAF" w:rsidRPr="00CC6DA8">
        <w:t>s</w:t>
      </w:r>
      <w:r w:rsidR="00C50155" w:rsidRPr="00CC6DA8">
        <w:t>ób</w:t>
      </w:r>
      <w:r w:rsidR="00C77EAF" w:rsidRPr="00CC6DA8">
        <w:t xml:space="preserve"> </w:t>
      </w:r>
      <w:r w:rsidR="0069752A" w:rsidRPr="00CC6DA8">
        <w:t>w wieku największej aktywności zawodowej we wspomnianym badaniu GUS deklaru</w:t>
      </w:r>
      <w:r w:rsidR="00C50155" w:rsidRPr="00CC6DA8">
        <w:t>je</w:t>
      </w:r>
      <w:r w:rsidR="006F713C" w:rsidRPr="00CC6DA8">
        <w:t xml:space="preserve"> ponadpodstawowe umiejętności korzystania z informacji i danych, podczas gry w grupie osób z niepełnosprawnościami jest to</w:t>
      </w:r>
      <w:r w:rsidR="007041A8" w:rsidRPr="00CC6DA8">
        <w:t xml:space="preserve"> </w:t>
      </w:r>
      <w:r w:rsidR="00CC6DA8" w:rsidRPr="00352609">
        <w:t>53,38</w:t>
      </w:r>
      <w:r w:rsidR="007041A8" w:rsidRPr="00CC6DA8">
        <w:t>%</w:t>
      </w:r>
      <w:r w:rsidR="008F21BB" w:rsidRPr="00CC6DA8">
        <w:rPr>
          <w:rStyle w:val="Odwoanieprzypisudolnego"/>
        </w:rPr>
        <w:footnoteReference w:id="28"/>
      </w:r>
      <w:r w:rsidR="006F713C" w:rsidRPr="00CC6DA8">
        <w:t xml:space="preserve">, w grupie seniorów </w:t>
      </w:r>
      <w:r w:rsidR="008F21BB" w:rsidRPr="00CC6DA8">
        <w:t>45,3%.</w:t>
      </w:r>
    </w:p>
    <w:p w14:paraId="5977B37B" w14:textId="5B0B4206" w:rsidR="004935BD" w:rsidRPr="00BF6615" w:rsidRDefault="004935BD" w:rsidP="007E26B5">
      <w:r w:rsidRPr="00BF6615">
        <w:t xml:space="preserve">Zdecydowana większość badanych wskazywała, że korzysta z </w:t>
      </w:r>
      <w:r w:rsidR="00D333F2" w:rsidRPr="00BF6615">
        <w:t>Internetu</w:t>
      </w:r>
      <w:r w:rsidRPr="00BF6615">
        <w:t xml:space="preserve"> codziennie (96%), pozostała grupa korzysta kilka razy w tygodniu. Wynik ten należy uznać za bardzo wysoki</w:t>
      </w:r>
      <w:r w:rsidR="003D1CD9" w:rsidRPr="00BF6615">
        <w:t>, tym bardziej, że jest wyższy niż wyniki badania GUS</w:t>
      </w:r>
      <w:r w:rsidR="007B5C71" w:rsidRPr="00BF6615">
        <w:rPr>
          <w:rStyle w:val="Odwoanieprzypisudolnego"/>
        </w:rPr>
        <w:footnoteReference w:id="29"/>
      </w:r>
      <w:r w:rsidR="003D1CD9" w:rsidRPr="00BF6615">
        <w:t xml:space="preserve">, gdzie </w:t>
      </w:r>
      <w:r w:rsidR="00061C26" w:rsidRPr="00BF6615">
        <w:t xml:space="preserve">codzienne korzystanie z Internetu </w:t>
      </w:r>
      <w:r w:rsidR="007B5C71" w:rsidRPr="00BF6615">
        <w:t>deklaruje</w:t>
      </w:r>
      <w:r w:rsidR="00061C26" w:rsidRPr="00BF6615">
        <w:t xml:space="preserve"> 83,9%</w:t>
      </w:r>
      <w:r w:rsidR="007B5C71" w:rsidRPr="00BF6615">
        <w:t>.</w:t>
      </w:r>
    </w:p>
    <w:p w14:paraId="461130B0" w14:textId="3B44143B" w:rsidR="004935BD" w:rsidRPr="00BF6615" w:rsidRDefault="004935BD" w:rsidP="007E26B5">
      <w:pPr>
        <w:pStyle w:val="Legenda"/>
        <w:keepNext/>
      </w:pPr>
      <w:bookmarkStart w:id="218" w:name="_Toc204179161"/>
      <w:r w:rsidRPr="00BF6615">
        <w:t xml:space="preserve">Wykres </w:t>
      </w:r>
      <w:r w:rsidRPr="00BF6615">
        <w:fldChar w:fldCharType="begin"/>
      </w:r>
      <w:r w:rsidRPr="00BF6615">
        <w:instrText xml:space="preserve"> SEQ Wykres \* ARABIC </w:instrText>
      </w:r>
      <w:r w:rsidRPr="00BF6615">
        <w:fldChar w:fldCharType="separate"/>
      </w:r>
      <w:r w:rsidR="00FD0843">
        <w:rPr>
          <w:noProof/>
        </w:rPr>
        <w:t>15</w:t>
      </w:r>
      <w:r w:rsidRPr="00BF6615">
        <w:fldChar w:fldCharType="end"/>
      </w:r>
      <w:r w:rsidR="00FD0843">
        <w:t>.</w:t>
      </w:r>
      <w:r w:rsidRPr="00BF6615">
        <w:t xml:space="preserve"> Częstotliwość korzystania z </w:t>
      </w:r>
      <w:r w:rsidR="00D333F2" w:rsidRPr="00BF6615">
        <w:t>Internetu</w:t>
      </w:r>
      <w:r w:rsidRPr="00BF6615">
        <w:t xml:space="preserve"> w </w:t>
      </w:r>
      <w:r w:rsidR="00F579FF" w:rsidRPr="00BF6615">
        <w:t xml:space="preserve">pełnej </w:t>
      </w:r>
      <w:r w:rsidRPr="00BF6615">
        <w:t xml:space="preserve">grupie </w:t>
      </w:r>
      <w:r w:rsidR="00F579FF" w:rsidRPr="00BF6615">
        <w:t>badanej</w:t>
      </w:r>
      <w:r w:rsidRPr="00BF6615">
        <w:t xml:space="preserve"> (n=</w:t>
      </w:r>
      <w:r w:rsidR="001B533B" w:rsidRPr="00BF6615">
        <w:t>306</w:t>
      </w:r>
      <w:r w:rsidRPr="00BF6615">
        <w:t>)</w:t>
      </w:r>
      <w:bookmarkEnd w:id="218"/>
    </w:p>
    <w:p w14:paraId="1C85A1C3" w14:textId="77777777" w:rsidR="004935BD" w:rsidRPr="00BF6615" w:rsidRDefault="004935BD" w:rsidP="007E26B5"/>
    <w:p w14:paraId="4D9B76CD" w14:textId="52D825ED" w:rsidR="004935BD" w:rsidRPr="00BF6615" w:rsidRDefault="004935BD" w:rsidP="007E26B5"/>
    <w:p w14:paraId="602982D1" w14:textId="3B80F8FC" w:rsidR="004935BD" w:rsidRPr="00BF6615" w:rsidRDefault="00746E66" w:rsidP="007E26B5">
      <w:r w:rsidRPr="00BF6615">
        <w:rPr>
          <w:noProof/>
          <w:lang w:eastAsia="pl-PL"/>
        </w:rPr>
        <w:drawing>
          <wp:inline distT="0" distB="0" distL="0" distR="0" wp14:anchorId="5DDCA294" wp14:editId="64782B76">
            <wp:extent cx="4867276" cy="2531410"/>
            <wp:effectExtent l="0" t="0" r="0" b="0"/>
            <wp:docPr id="1370590283" name="Wykres 1" descr="codziennie - 96%&#10;kilka razy w tygodniu - 4%&#10;">
              <a:extLst xmlns:a="http://schemas.openxmlformats.org/drawingml/2006/main">
                <a:ext uri="{FF2B5EF4-FFF2-40B4-BE49-F238E27FC236}">
                  <a16:creationId xmlns:a16="http://schemas.microsoft.com/office/drawing/2014/main" id="{14D2F08D-D603-4342-BFFF-3FFB6B7BF0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38C7ECB" w14:textId="77777777" w:rsidR="004935BD" w:rsidRPr="00BF6615" w:rsidRDefault="004935BD" w:rsidP="007E26B5"/>
    <w:p w14:paraId="174C4F40" w14:textId="77777777" w:rsidR="004935BD" w:rsidRPr="002D0786" w:rsidRDefault="004935BD" w:rsidP="007E26B5">
      <w:r w:rsidRPr="002D0786">
        <w:t>Źródło: opracowanie własne.</w:t>
      </w:r>
    </w:p>
    <w:p w14:paraId="533E3CF5" w14:textId="43842480" w:rsidR="004935BD" w:rsidRPr="00BF6615" w:rsidRDefault="004935BD" w:rsidP="007E26B5">
      <w:pPr>
        <w:rPr>
          <w:rFonts w:cstheme="minorHAnsi"/>
        </w:rPr>
      </w:pPr>
      <w:r w:rsidRPr="00BF6615">
        <w:t xml:space="preserve">Największa liczba respondentów (77%) jako cel korzystania z </w:t>
      </w:r>
      <w:r w:rsidR="00D333F2" w:rsidRPr="00BF6615">
        <w:t>Internetu</w:t>
      </w:r>
      <w:r w:rsidRPr="00BF6615">
        <w:t xml:space="preserve"> wybrała kategorię osobistą, tj. kontakt z rodziną czy znajomymi. </w:t>
      </w:r>
      <w:r w:rsidRPr="00BF6615">
        <w:rPr>
          <w:rFonts w:cstheme="minorHAnsi"/>
        </w:rPr>
        <w:t xml:space="preserve">Wysoki wynik (70%) odnotowano również w kategorii związanej z rozrywką. Ponadto ponad połowa badanej grupy wymieniła poszukiwanie innych informacji (62%), załatwianie spraw urzędowych (58%) oraz spraw zdrowotnych (54%). Najrzadziej wskazywana kategoria to załatwianie </w:t>
      </w:r>
      <w:r w:rsidRPr="00BF6615">
        <w:rPr>
          <w:rFonts w:cstheme="minorHAnsi"/>
        </w:rPr>
        <w:lastRenderedPageBreak/>
        <w:t>spraw społecznych, na które wskazało 27% ankietowanych. Wynik ten może być związany z tym, że niewielka liczba osób spośród ankietowanych korzysta ze świadczeń pomocy społecznej czy turnusów rehabilitacyjnych.</w:t>
      </w:r>
    </w:p>
    <w:p w14:paraId="6B1EEBF9" w14:textId="3DC8EE01" w:rsidR="004935BD" w:rsidRPr="00BF6615" w:rsidRDefault="004935BD" w:rsidP="007E26B5">
      <w:pPr>
        <w:pStyle w:val="Legenda"/>
        <w:keepNext/>
      </w:pPr>
      <w:bookmarkStart w:id="219" w:name="_Toc204179162"/>
      <w:r w:rsidRPr="00BF6615">
        <w:t xml:space="preserve">Wykres </w:t>
      </w:r>
      <w:r w:rsidRPr="00BF6615">
        <w:fldChar w:fldCharType="begin"/>
      </w:r>
      <w:r w:rsidRPr="00BF6615">
        <w:instrText xml:space="preserve"> SEQ Wykres \* ARABIC </w:instrText>
      </w:r>
      <w:r w:rsidRPr="00BF6615">
        <w:fldChar w:fldCharType="separate"/>
      </w:r>
      <w:r w:rsidR="00FD0843">
        <w:rPr>
          <w:noProof/>
        </w:rPr>
        <w:t>16</w:t>
      </w:r>
      <w:r w:rsidRPr="00BF6615">
        <w:fldChar w:fldCharType="end"/>
      </w:r>
      <w:r w:rsidR="00FD0843">
        <w:t>.</w:t>
      </w:r>
      <w:r w:rsidRPr="00BF6615">
        <w:t xml:space="preserve"> Cele korzystania z </w:t>
      </w:r>
      <w:r w:rsidR="00D333F2" w:rsidRPr="00BF6615">
        <w:t>Internetu</w:t>
      </w:r>
      <w:r w:rsidRPr="00BF6615">
        <w:t xml:space="preserve"> </w:t>
      </w:r>
      <w:r w:rsidR="00F579FF" w:rsidRPr="00BF6615">
        <w:t xml:space="preserve">w pełnej grupie badanej </w:t>
      </w:r>
      <w:r w:rsidRPr="00BF6615">
        <w:t>(n=</w:t>
      </w:r>
      <w:r w:rsidR="001B533B" w:rsidRPr="00BF6615">
        <w:t>306</w:t>
      </w:r>
      <w:r w:rsidRPr="00BF6615">
        <w:t>)</w:t>
      </w:r>
      <w:bookmarkEnd w:id="219"/>
    </w:p>
    <w:p w14:paraId="1C4F9ECE" w14:textId="77777777" w:rsidR="004935BD" w:rsidRPr="00BF6615" w:rsidRDefault="004935BD" w:rsidP="007E26B5"/>
    <w:p w14:paraId="358BF551" w14:textId="40214897" w:rsidR="004935BD" w:rsidRPr="00BF6615" w:rsidRDefault="00FB525C" w:rsidP="007E26B5">
      <w:r w:rsidRPr="00BF6615">
        <w:rPr>
          <w:noProof/>
          <w:lang w:eastAsia="pl-PL"/>
        </w:rPr>
        <w:drawing>
          <wp:inline distT="0" distB="0" distL="0" distR="0" wp14:anchorId="521E7C72" wp14:editId="41A14401">
            <wp:extent cx="5486400" cy="3962400"/>
            <wp:effectExtent l="0" t="0" r="0" b="0"/>
            <wp:docPr id="1946646981" name="Wykres 1" descr="Cele osobiste (np. kontakt z rodziną, znajomymi) - 77%&#10;Rozrywka (np. film, muzyka) - 70%&#10;Załatwianie spraw urzędowych (np. wniosek o dowód) - 58%&#10;Poszukiwanie innych informacji - 62%&#10;Załatwianie spraw zdrowotnych (np. umówienie wizyty u lekarza) - 54%&#10;Cele edukacyjne (np. poszukiwanie materiałów edukacyjnych, filmów instruktażowych - 43%&#10;Cele zawodowe (np. poszukiwanie pracy, sprawy rentowe) - 36%&#10;Załatwianie spraw społecznych (np. turnus rehabilitacyjny, świadczenia z pomocy społecznej) - 27%&#10;">
              <a:extLst xmlns:a="http://schemas.openxmlformats.org/drawingml/2006/main">
                <a:ext uri="{FF2B5EF4-FFF2-40B4-BE49-F238E27FC236}">
                  <a16:creationId xmlns:a16="http://schemas.microsoft.com/office/drawing/2014/main" id="{96CCAAA5-1050-2747-BF0C-2618AB4367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54EEBE8" w14:textId="77777777" w:rsidR="004935BD" w:rsidRPr="00BF6615" w:rsidRDefault="004935BD" w:rsidP="00FD0843">
      <w:r w:rsidRPr="00BF6615">
        <w:t>Źródło: opracowanie własne.</w:t>
      </w:r>
    </w:p>
    <w:p w14:paraId="4FBD080F" w14:textId="77777777" w:rsidR="004935BD" w:rsidRPr="00BF6615" w:rsidRDefault="004935BD" w:rsidP="007E26B5"/>
    <w:p w14:paraId="21EB0D0E" w14:textId="77777777" w:rsidR="004935BD" w:rsidRPr="00BF6615" w:rsidRDefault="004935BD" w:rsidP="007E26B5">
      <w:pPr>
        <w:rPr>
          <w:color w:val="4472C4" w:themeColor="accent1"/>
        </w:rPr>
      </w:pPr>
    </w:p>
    <w:p w14:paraId="51609140" w14:textId="77777777" w:rsidR="004935BD" w:rsidRPr="00BF6615" w:rsidRDefault="004935BD" w:rsidP="007E26B5">
      <w:pPr>
        <w:pageBreakBefore/>
      </w:pPr>
      <w:r w:rsidRPr="00BF6615">
        <w:lastRenderedPageBreak/>
        <w:t>Do najczęściej załatwianych spraw online należą: płatności rachunków (80%), zakupy online (76%) czy komunikacja (74%). Wskazuje to na intensywne wykorzystanie narzędzi cyfrowych do realizacji spraw osobistych. Zdecydowanie najrzadziej załatwiane sprawy online to poszukiwanie pracy (22%) oraz nauka (25%).</w:t>
      </w:r>
    </w:p>
    <w:p w14:paraId="269141E2" w14:textId="2F2CD042" w:rsidR="004935BD" w:rsidRPr="00BF6615" w:rsidRDefault="004935BD" w:rsidP="007E26B5">
      <w:pPr>
        <w:pStyle w:val="Legenda"/>
        <w:keepNext/>
      </w:pPr>
      <w:bookmarkStart w:id="220" w:name="_Toc204179163"/>
      <w:r w:rsidRPr="00BF6615">
        <w:t xml:space="preserve">Wykres </w:t>
      </w:r>
      <w:r w:rsidRPr="00BF6615">
        <w:fldChar w:fldCharType="begin"/>
      </w:r>
      <w:r w:rsidRPr="00BF6615">
        <w:instrText xml:space="preserve"> SEQ Wykres \* ARABIC </w:instrText>
      </w:r>
      <w:r w:rsidRPr="00BF6615">
        <w:fldChar w:fldCharType="separate"/>
      </w:r>
      <w:r w:rsidR="00FD0843">
        <w:rPr>
          <w:noProof/>
        </w:rPr>
        <w:t>17</w:t>
      </w:r>
      <w:r w:rsidRPr="00BF6615">
        <w:fldChar w:fldCharType="end"/>
      </w:r>
      <w:r w:rsidR="00FD0843">
        <w:t>.</w:t>
      </w:r>
      <w:r w:rsidRPr="00BF6615">
        <w:t xml:space="preserve"> Rodzaje spraw załatwianych najczęściej online </w:t>
      </w:r>
      <w:r w:rsidR="00F579FF" w:rsidRPr="00BF6615">
        <w:t xml:space="preserve">w pełnej grupie badanej </w:t>
      </w:r>
      <w:r w:rsidRPr="00BF6615">
        <w:t>(n=</w:t>
      </w:r>
      <w:r w:rsidR="001B533B" w:rsidRPr="00BF6615">
        <w:t>306</w:t>
      </w:r>
      <w:r w:rsidRPr="00BF6615">
        <w:t>)</w:t>
      </w:r>
      <w:bookmarkEnd w:id="220"/>
    </w:p>
    <w:p w14:paraId="2D99370C" w14:textId="77777777" w:rsidR="004935BD" w:rsidRPr="00BF6615" w:rsidRDefault="004935BD" w:rsidP="007E26B5"/>
    <w:p w14:paraId="69E19253" w14:textId="0CDF2958" w:rsidR="004935BD" w:rsidRPr="00BF6615" w:rsidRDefault="000B75E5" w:rsidP="007E26B5">
      <w:pPr>
        <w:rPr>
          <w:color w:val="4472C4" w:themeColor="accent1"/>
        </w:rPr>
      </w:pPr>
      <w:r w:rsidRPr="00BF6615">
        <w:rPr>
          <w:noProof/>
          <w:lang w:eastAsia="pl-PL"/>
        </w:rPr>
        <w:drawing>
          <wp:inline distT="0" distB="0" distL="0" distR="0" wp14:anchorId="486FA8FE" wp14:editId="0A121FE9">
            <wp:extent cx="5486400" cy="4064000"/>
            <wp:effectExtent l="0" t="0" r="0" b="0"/>
            <wp:docPr id="1627075448" name="Wykres 1" descr="Zakupy online - 76%&#10;Komunikacja (np. e-mail, media społecznościowe) - 74%&#10;Płatności rachunków - 80%&#10;Inne rezerwacje (np. bilety do kina, bilety na przejazdy np. PKP) - 45%&#10;Załatwianie spraw urzędowych (np. składanie PIT, wnioskowanie o zaświadczenia) - 51%&#10;Nauka (np. kursy, szkolenia) - 25%&#10;Rezerwacje wizyt lekarskich -42%&#10;Poszukiwanie pracy - 22%&#10;">
              <a:extLst xmlns:a="http://schemas.openxmlformats.org/drawingml/2006/main">
                <a:ext uri="{FF2B5EF4-FFF2-40B4-BE49-F238E27FC236}">
                  <a16:creationId xmlns:a16="http://schemas.microsoft.com/office/drawing/2014/main" id="{F3D6F478-9407-904F-B3D3-0479A4025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DB75CE0" w14:textId="77777777" w:rsidR="004935BD" w:rsidRPr="002D0786" w:rsidRDefault="004935BD" w:rsidP="007E26B5">
      <w:r w:rsidRPr="002D0786">
        <w:t>Źródło: opracowanie własne.</w:t>
      </w:r>
    </w:p>
    <w:p w14:paraId="63BE6489" w14:textId="77777777" w:rsidR="00665D24" w:rsidRDefault="004935BD" w:rsidP="007E26B5">
      <w:r w:rsidRPr="00BF6615">
        <w:t xml:space="preserve">W pytaniu otwartym o to, jakich informacji badani najczęściej szukają w sieci, znalazł się szeroki katalog </w:t>
      </w:r>
      <w:proofErr w:type="spellStart"/>
      <w:r w:rsidRPr="00BF6615">
        <w:t>wyszukiwań</w:t>
      </w:r>
      <w:proofErr w:type="spellEnd"/>
      <w:r w:rsidRPr="00BF6615">
        <w:t xml:space="preserve">. Respondenci najczęściej wymieniali poszukiwanie bieżących informacji i wiadomości – z kraju i ze świata („informacje o aktualnościach”, „wiadomości”) i sprawdzanie prognozy pogody. Równie często pojawiały się odpowiedzi związane z zakupami online, poszukiwaniem produktów i opinii zakupowych („porównanie cen produktów”, „szukam towarów”, „gdzie mogę zrobić zakupy przez </w:t>
      </w:r>
      <w:r w:rsidR="009D7374" w:rsidRPr="00BF6615">
        <w:t>Internet</w:t>
      </w:r>
      <w:r w:rsidRPr="00BF6615">
        <w:t xml:space="preserve">”). Wielu respondentów korzysta z </w:t>
      </w:r>
      <w:r w:rsidR="00D333F2" w:rsidRPr="00BF6615">
        <w:t>Internetu</w:t>
      </w:r>
      <w:r w:rsidRPr="00BF6615">
        <w:t xml:space="preserve"> dla poszukiwania informacji związanych ze zdrowiem („gdy mam nową dolegliwość, szukam jak sobie z tym poradzić”, „dobrych lekarzy specjalizujących się w mojej chorobie”). Ankietowani korzystają także z </w:t>
      </w:r>
      <w:r w:rsidR="00D333F2" w:rsidRPr="00BF6615">
        <w:t>Internetu</w:t>
      </w:r>
      <w:r w:rsidRPr="00BF6615">
        <w:t xml:space="preserve"> w celach edukacyjnych i zawodowych („czy są szkolenia albo </w:t>
      </w:r>
      <w:r w:rsidRPr="00BF6615">
        <w:lastRenderedPageBreak/>
        <w:t xml:space="preserve">oferty”, „wiedza do pracy”, „poszukuję artykułów naukowych do pracy magisterskiej”, „wszystko co dotyczy języka włoskiego”). Inną często wskazywaną kategorią był transport i podróże („jak dojechać”, „bilety komunikacji zbiorowej”). Dla badanej grupy </w:t>
      </w:r>
      <w:r w:rsidR="009D7374" w:rsidRPr="00BF6615">
        <w:t>Internet</w:t>
      </w:r>
      <w:r w:rsidRPr="00BF6615">
        <w:t xml:space="preserve"> to niewątpliwie narzędzie do utrzymywania kontaktów, a także poznawania nowych osób („kontakty z przyjaciółmi”, „szukam przyjaciół” „komunikacja z innymi”). Liczne odpowiedzi dotyczyły także zainteresowań, hobby („przepisy kulinarne”, „moda”, „wyniki zawodów sportowych”, „śledzę przygotowania do lotu na Księżyc czy eksploracja Marsa przez łaziki”) oraz rozrywki („repertuar kin”, „wydarzenia w mieście”).</w:t>
      </w:r>
    </w:p>
    <w:p w14:paraId="34589C31" w14:textId="26FA19D9" w:rsidR="004935BD" w:rsidRPr="00665D24" w:rsidRDefault="004935BD" w:rsidP="00B271C3">
      <w:pPr>
        <w:pStyle w:val="Nagwek4"/>
        <w:rPr>
          <w:bCs/>
        </w:rPr>
      </w:pPr>
      <w:r w:rsidRPr="00665D24">
        <w:rPr>
          <w:bCs/>
        </w:rPr>
        <w:t xml:space="preserve">Kontakty z administracją przez strony i aplikacje </w:t>
      </w:r>
    </w:p>
    <w:p w14:paraId="56D66CE6" w14:textId="457A9FED" w:rsidR="004935BD" w:rsidRPr="00BF6615" w:rsidRDefault="004935BD" w:rsidP="007E26B5">
      <w:r w:rsidRPr="00BF6615">
        <w:t xml:space="preserve">Tylko 6% osób wskazało, że nie korzysta ze stron podmiotów publicznych, a 21%, że nie korzysta z aplikacji. Podczas, gdy w grupie korzystających często ze stron, jest 28%, </w:t>
      </w:r>
      <w:r w:rsidR="00A42EFD" w:rsidRPr="00BF6615">
        <w:t>a</w:t>
      </w:r>
      <w:r w:rsidR="00A42EFD">
        <w:t> </w:t>
      </w:r>
      <w:r w:rsidR="00A42EFD" w:rsidRPr="00BF6615">
        <w:t>z</w:t>
      </w:r>
      <w:r w:rsidR="00A42EFD">
        <w:t> </w:t>
      </w:r>
      <w:r w:rsidRPr="00BF6615">
        <w:t xml:space="preserve">aplikacji 33% wskazań. Większość respondentów określiła korzystanie ze stron podmiotów publicznych i aplikacji, jako sporadyczne. Jest to odpowiednio: dla stron 66%, dla aplikacji: 46%. Wśród badanych, którzy nie korzystają ze stron, kilka osób jako powód podało fakt, że wolą załatwiać sprawy osobiście lub telefonicznie. Pojawiły się także odpowiedzi wskazujące na trudności techniczne oraz problemy z dostępnością stron publicznych. </w:t>
      </w:r>
    </w:p>
    <w:p w14:paraId="7B1C9E8D" w14:textId="1F0BC154" w:rsidR="004935BD" w:rsidRPr="00BF6615" w:rsidRDefault="004935BD" w:rsidP="007E26B5">
      <w:pPr>
        <w:pStyle w:val="Legenda"/>
        <w:keepNext/>
      </w:pPr>
      <w:bookmarkStart w:id="221" w:name="_Toc204179164"/>
      <w:r w:rsidRPr="00BF6615">
        <w:t xml:space="preserve">Wykres </w:t>
      </w:r>
      <w:r w:rsidRPr="00BF6615">
        <w:fldChar w:fldCharType="begin"/>
      </w:r>
      <w:r w:rsidRPr="00BF6615">
        <w:instrText xml:space="preserve"> SEQ Wykres \* ARABIC </w:instrText>
      </w:r>
      <w:r w:rsidRPr="00BF6615">
        <w:fldChar w:fldCharType="separate"/>
      </w:r>
      <w:r w:rsidR="00FD0843">
        <w:rPr>
          <w:noProof/>
        </w:rPr>
        <w:t>18</w:t>
      </w:r>
      <w:r w:rsidRPr="00BF6615">
        <w:fldChar w:fldCharType="end"/>
      </w:r>
      <w:r w:rsidR="00FD0843">
        <w:t>.</w:t>
      </w:r>
      <w:r w:rsidRPr="00BF6615">
        <w:t xml:space="preserve"> Korzystanie ze stron i aplikacji podmiotów publicznych </w:t>
      </w:r>
      <w:r w:rsidR="007835FB" w:rsidRPr="00BF6615">
        <w:t xml:space="preserve">w pełnej grupie badanej </w:t>
      </w:r>
      <w:r w:rsidRPr="00BF6615">
        <w:t>(n=</w:t>
      </w:r>
      <w:r w:rsidR="001B533B" w:rsidRPr="00BF6615">
        <w:t>306</w:t>
      </w:r>
      <w:r w:rsidRPr="00BF6615">
        <w:t>)</w:t>
      </w:r>
      <w:bookmarkEnd w:id="221"/>
    </w:p>
    <w:p w14:paraId="13FB6FC0" w14:textId="77777777" w:rsidR="004935BD" w:rsidRPr="00BF6615" w:rsidRDefault="004935BD" w:rsidP="007E26B5"/>
    <w:p w14:paraId="2FFADB36" w14:textId="158C15CF" w:rsidR="004935BD" w:rsidRPr="00BF6615" w:rsidRDefault="007C626A" w:rsidP="007E26B5">
      <w:r w:rsidRPr="00BF6615">
        <w:rPr>
          <w:noProof/>
          <w:lang w:eastAsia="pl-PL"/>
        </w:rPr>
        <w:drawing>
          <wp:inline distT="0" distB="0" distL="0" distR="0" wp14:anchorId="4117EAD9" wp14:editId="438558CD">
            <wp:extent cx="4978400" cy="3098800"/>
            <wp:effectExtent l="0" t="0" r="0" b="0"/>
            <wp:docPr id="414200188" name="Wykres 1" descr="nie korzystam &#10;aplikacje - 21%&#10;strony - 6%&#10;&#10;sporadycznie &#10;aplikacje - 46%&#10;strony - 66%&#10;&#10;często &#10;aplikacje - 33%&#10;strony - 28%">
              <a:extLst xmlns:a="http://schemas.openxmlformats.org/drawingml/2006/main">
                <a:ext uri="{FF2B5EF4-FFF2-40B4-BE49-F238E27FC236}">
                  <a16:creationId xmlns:a16="http://schemas.microsoft.com/office/drawing/2014/main" id="{89CECDEB-FC9E-2A4D-BDDD-1615EC2C5D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5B884E1" w14:textId="77777777" w:rsidR="004935BD" w:rsidRPr="002D0786" w:rsidRDefault="004935BD" w:rsidP="007E26B5">
      <w:pPr>
        <w:pStyle w:val="Legenda"/>
        <w:keepNext/>
        <w:rPr>
          <w:color w:val="auto"/>
        </w:rPr>
      </w:pPr>
      <w:r w:rsidRPr="002D0786">
        <w:rPr>
          <w:color w:val="auto"/>
        </w:rPr>
        <w:t>Źródło: opracowanie własne.</w:t>
      </w:r>
    </w:p>
    <w:p w14:paraId="52CE728B" w14:textId="77777777" w:rsidR="004935BD" w:rsidRPr="00BF6615" w:rsidRDefault="004935BD" w:rsidP="007E26B5"/>
    <w:p w14:paraId="550D3149" w14:textId="77777777" w:rsidR="004935BD" w:rsidRPr="00BF6615" w:rsidRDefault="004935BD" w:rsidP="007E26B5">
      <w:r w:rsidRPr="00BF6615">
        <w:lastRenderedPageBreak/>
        <w:t xml:space="preserve">Najwięcej respondentów zadeklarowało, że najczęściej załatwia sprawy urzędowe łącząc ze sobą różne sposoby (38%). Około 1/3 badanych preferowało formę on-line, a 26% osobiście. Tylko 7% jako sposób załatwiania spraw urzędowych wskazało opcje telefoniczną. </w:t>
      </w:r>
    </w:p>
    <w:p w14:paraId="0FD5E3FE" w14:textId="653E3889" w:rsidR="004935BD" w:rsidRPr="00BF6615" w:rsidRDefault="004935BD" w:rsidP="007E26B5">
      <w:pPr>
        <w:pStyle w:val="Legenda"/>
        <w:keepNext/>
      </w:pPr>
      <w:bookmarkStart w:id="222" w:name="_Toc204179165"/>
      <w:r w:rsidRPr="00BF6615">
        <w:t xml:space="preserve">Wykres </w:t>
      </w:r>
      <w:r w:rsidRPr="00BF6615">
        <w:fldChar w:fldCharType="begin"/>
      </w:r>
      <w:r w:rsidRPr="00BF6615">
        <w:instrText xml:space="preserve"> SEQ Wykres \* ARABIC </w:instrText>
      </w:r>
      <w:r w:rsidRPr="00BF6615">
        <w:fldChar w:fldCharType="separate"/>
      </w:r>
      <w:r w:rsidR="00FD0843">
        <w:rPr>
          <w:noProof/>
        </w:rPr>
        <w:t>19</w:t>
      </w:r>
      <w:r w:rsidRPr="00BF6615">
        <w:fldChar w:fldCharType="end"/>
      </w:r>
      <w:r w:rsidR="00FD0843">
        <w:t>.</w:t>
      </w:r>
      <w:r w:rsidRPr="00BF6615">
        <w:t xml:space="preserve"> Sposób załatwiania spraw urzędowych </w:t>
      </w:r>
      <w:r w:rsidR="007835FB" w:rsidRPr="00BF6615">
        <w:t xml:space="preserve">w pełnej grupie badanej </w:t>
      </w:r>
      <w:r w:rsidRPr="00BF6615">
        <w:t>(n=</w:t>
      </w:r>
      <w:r w:rsidR="001B533B" w:rsidRPr="00BF6615">
        <w:t>306</w:t>
      </w:r>
      <w:r w:rsidRPr="00BF6615">
        <w:t>)</w:t>
      </w:r>
      <w:bookmarkEnd w:id="222"/>
    </w:p>
    <w:p w14:paraId="1B9838F4" w14:textId="77777777" w:rsidR="004935BD" w:rsidRPr="00BF6615" w:rsidRDefault="004935BD" w:rsidP="007E26B5"/>
    <w:p w14:paraId="39CDAC87" w14:textId="16D76999" w:rsidR="004935BD" w:rsidRPr="00BF6615" w:rsidRDefault="00412965" w:rsidP="007E26B5">
      <w:r w:rsidRPr="00BF6615">
        <w:rPr>
          <w:noProof/>
          <w:lang w:eastAsia="pl-PL"/>
        </w:rPr>
        <w:drawing>
          <wp:inline distT="0" distB="0" distL="0" distR="0" wp14:anchorId="6B8A594E" wp14:editId="100947D0">
            <wp:extent cx="4954495" cy="2764117"/>
            <wp:effectExtent l="0" t="0" r="0" b="5080"/>
            <wp:docPr id="1272386202" name="Wykres 1" descr="On-line - 29%&#10;Osobiście - 26%&#10;Łączę ze sobą różne sposoby (np. uzyskuję informacje telefonicznie, później załatwiam sprawę osobiście) - 38%&#10;Telefonicznie - 7%">
              <a:extLst xmlns:a="http://schemas.openxmlformats.org/drawingml/2006/main">
                <a:ext uri="{FF2B5EF4-FFF2-40B4-BE49-F238E27FC236}">
                  <a16:creationId xmlns:a16="http://schemas.microsoft.com/office/drawing/2014/main" id="{6C795D64-3F97-EE4C-BCDE-B8BB52495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2608040" w14:textId="77777777" w:rsidR="004935BD" w:rsidRPr="00BF6615" w:rsidRDefault="004935BD" w:rsidP="007E26B5">
      <w:r w:rsidRPr="00BF6615">
        <w:t>Źródło: opracowanie własne.</w:t>
      </w:r>
    </w:p>
    <w:p w14:paraId="19591314" w14:textId="77777777" w:rsidR="004935BD" w:rsidRPr="00665D24" w:rsidRDefault="004935BD" w:rsidP="00B271C3">
      <w:pPr>
        <w:pStyle w:val="Nagwek4"/>
        <w:rPr>
          <w:bCs/>
        </w:rPr>
      </w:pPr>
      <w:r w:rsidRPr="00665D24">
        <w:rPr>
          <w:bCs/>
        </w:rPr>
        <w:t>Doświadczenia korzystania ze stron i aplikacji podmiotów publicznych</w:t>
      </w:r>
    </w:p>
    <w:p w14:paraId="1C5C8143" w14:textId="32526C0F" w:rsidR="004935BD" w:rsidRPr="00BF6615" w:rsidRDefault="004935BD" w:rsidP="007E26B5">
      <w:r w:rsidRPr="00BF6615">
        <w:t xml:space="preserve">Sprawy, które najczęściej badani załatwiają online w urzędach, to płatności podatków (58%) oraz składanie różnego rodzaju wniosków (54%). Niemalże połowa ankietowanych wskazała również rejestrację do lekarza (49%), a także 33% zgłaszanie problemów online. </w:t>
      </w:r>
    </w:p>
    <w:p w14:paraId="23D880F1" w14:textId="21047A06" w:rsidR="004935BD" w:rsidRPr="00BF6615" w:rsidRDefault="004935BD" w:rsidP="007E26B5">
      <w:pPr>
        <w:pStyle w:val="Legenda"/>
        <w:keepNext/>
      </w:pPr>
      <w:bookmarkStart w:id="223" w:name="_Toc204179166"/>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20</w:t>
      </w:r>
      <w:r w:rsidRPr="00BF6615">
        <w:fldChar w:fldCharType="end"/>
      </w:r>
      <w:r w:rsidR="00FD0843">
        <w:t>.</w:t>
      </w:r>
      <w:r w:rsidRPr="00BF6615">
        <w:t xml:space="preserve"> Sprawy regularnie załatwiane online za pośrednictwem stron podmiotów publicznych </w:t>
      </w:r>
      <w:r w:rsidR="007835FB" w:rsidRPr="00BF6615">
        <w:t xml:space="preserve">w pełnej grupie badanej </w:t>
      </w:r>
      <w:r w:rsidRPr="00BF6615">
        <w:t>(n=</w:t>
      </w:r>
      <w:r w:rsidR="001B533B" w:rsidRPr="00BF6615">
        <w:t>306</w:t>
      </w:r>
      <w:r w:rsidRPr="00BF6615">
        <w:t>)</w:t>
      </w:r>
      <w:bookmarkEnd w:id="223"/>
    </w:p>
    <w:p w14:paraId="353BC299" w14:textId="5183D567" w:rsidR="00781F69" w:rsidRPr="00BF6615" w:rsidRDefault="00781F69" w:rsidP="007E26B5">
      <w:r w:rsidRPr="00BF6615">
        <w:rPr>
          <w:noProof/>
          <w:lang w:eastAsia="pl-PL"/>
        </w:rPr>
        <w:drawing>
          <wp:inline distT="0" distB="0" distL="0" distR="0" wp14:anchorId="499EA4C9" wp14:editId="099D3370">
            <wp:extent cx="4906683" cy="2764118"/>
            <wp:effectExtent l="0" t="0" r="0" b="5080"/>
            <wp:docPr id="1442050085" name="Wykres 1" descr="Składanie różnego typu wniosków (np. wniosek o wydanie zaświadczenia) - 54%&#10;Płatność podatków - 58%&#10;Rejestracja do lekarza - 49%&#10;Zgłaszanie problemów (np. awarie) - 33%">
              <a:extLst xmlns:a="http://schemas.openxmlformats.org/drawingml/2006/main">
                <a:ext uri="{FF2B5EF4-FFF2-40B4-BE49-F238E27FC236}">
                  <a16:creationId xmlns:a16="http://schemas.microsoft.com/office/drawing/2014/main" id="{7E5C50C9-F806-7548-B174-0D4BEA67B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BE96C74" w14:textId="77777777" w:rsidR="004935BD" w:rsidRPr="00BF6615" w:rsidRDefault="004935BD" w:rsidP="007E26B5">
      <w:r w:rsidRPr="00BF6615">
        <w:t>Źródło: opracowanie własne.</w:t>
      </w:r>
    </w:p>
    <w:p w14:paraId="4392F9A2" w14:textId="50B8770F" w:rsidR="004935BD" w:rsidRPr="00BF6615" w:rsidRDefault="004935BD" w:rsidP="007E26B5">
      <w:r w:rsidRPr="00BF6615">
        <w:t xml:space="preserve">Badani wskazywali, że najczęściej </w:t>
      </w:r>
      <w:r w:rsidR="2DDB3588" w:rsidRPr="00BF6615">
        <w:t>korzystają</w:t>
      </w:r>
      <w:r w:rsidRPr="00BF6615">
        <w:t xml:space="preserve"> ze stron rządowych (59%), kolejno: stron urzędów miejskich/gminnych (52%), Urzędów Skarbowych (50%), nieco rzadziej ze stron instytucji zdrowotnych (46%). </w:t>
      </w:r>
    </w:p>
    <w:p w14:paraId="522872C4" w14:textId="1ED68C32" w:rsidR="004935BD" w:rsidRPr="00BF6615" w:rsidRDefault="004935BD" w:rsidP="00FD0843">
      <w:pPr>
        <w:pStyle w:val="Legenda"/>
        <w:keepNext/>
        <w:pageBreakBefore/>
        <w:rPr>
          <w:color w:val="4472C4" w:themeColor="accent1"/>
        </w:rPr>
      </w:pPr>
      <w:bookmarkStart w:id="224" w:name="_Toc204179167"/>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21</w:t>
      </w:r>
      <w:r w:rsidRPr="00BF6615">
        <w:fldChar w:fldCharType="end"/>
      </w:r>
      <w:r w:rsidR="00FD0843">
        <w:t>.</w:t>
      </w:r>
      <w:r w:rsidRPr="00BF6615">
        <w:t xml:space="preserve"> Strony podmiotów publicznych, z jakich najczęściej korzystają badani </w:t>
      </w:r>
      <w:r w:rsidR="007835FB" w:rsidRPr="00BF6615">
        <w:t xml:space="preserve">w pełnej grupie badanej </w:t>
      </w:r>
      <w:r w:rsidRPr="00BF6615">
        <w:t>(n=</w:t>
      </w:r>
      <w:r w:rsidR="008E44E9" w:rsidRPr="00BF6615">
        <w:t>306</w:t>
      </w:r>
      <w:r w:rsidRPr="00BF6615">
        <w:t>)</w:t>
      </w:r>
      <w:bookmarkEnd w:id="224"/>
    </w:p>
    <w:p w14:paraId="1E59DCB7" w14:textId="14AC34E7" w:rsidR="004E34BA" w:rsidRPr="00BF6615" w:rsidRDefault="004E34BA" w:rsidP="007E26B5">
      <w:pPr>
        <w:spacing w:after="0" w:line="240" w:lineRule="auto"/>
        <w:rPr>
          <w:rFonts w:ascii="Times New Roman" w:eastAsia="Times New Roman" w:hAnsi="Times New Roman" w:cs="Times New Roman"/>
          <w:szCs w:val="24"/>
          <w:lang w:eastAsia="pl-PL"/>
        </w:rPr>
      </w:pPr>
    </w:p>
    <w:p w14:paraId="74C79CBF" w14:textId="01512477" w:rsidR="004935BD" w:rsidRPr="00BF6615" w:rsidRDefault="00F4099B" w:rsidP="007E26B5">
      <w:pPr>
        <w:rPr>
          <w:lang w:eastAsia="pl-PL"/>
        </w:rPr>
      </w:pPr>
      <w:r w:rsidRPr="00BF6615">
        <w:rPr>
          <w:noProof/>
          <w:lang w:eastAsia="pl-PL"/>
        </w:rPr>
        <w:drawing>
          <wp:inline distT="0" distB="0" distL="0" distR="0" wp14:anchorId="20F09CC9" wp14:editId="2FC95275">
            <wp:extent cx="5486400" cy="5312229"/>
            <wp:effectExtent l="0" t="0" r="0" b="0"/>
            <wp:docPr id="2032293304" name="Wykres 1" descr="Strony urzędów miejskich/gminnych - 52%&#10;Strony Powiatowych Centrów Pomocy Rodzinie/Miejskich lub Gminnych Ośrodków Pomocy Społecznej - 18%&#10;Strony rządowe, ministerstw lub agencji - 59%&#10;Strony Urzędów Skarbowych - 50%&#10;Strony Urzędów Pracy - 16%&#10;Strony instytucji zdrowotnych - 46%&#10;Strony edukacyjne - 19%&#10;Strony instytucji kultury - 28%&#10;Inne - 1%">
              <a:extLst xmlns:a="http://schemas.openxmlformats.org/drawingml/2006/main">
                <a:ext uri="{FF2B5EF4-FFF2-40B4-BE49-F238E27FC236}">
                  <a16:creationId xmlns:a16="http://schemas.microsoft.com/office/drawing/2014/main" id="{0189C785-3957-234D-B85A-E4A4AFDAC9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6807186" w14:textId="77777777" w:rsidR="004935BD" w:rsidRPr="00BF6615" w:rsidRDefault="004935BD" w:rsidP="00FD0843">
      <w:r w:rsidRPr="00BF6615">
        <w:t>Źródło: opracowanie własne.</w:t>
      </w:r>
    </w:p>
    <w:p w14:paraId="776EA673" w14:textId="4D36E9EF" w:rsidR="004935BD" w:rsidRPr="00BF6615" w:rsidRDefault="004935BD" w:rsidP="007E26B5">
      <w:r w:rsidRPr="00BF6615">
        <w:t>Respondenci proszeni byli o wskazanie stron podmiotów publicznych, z których korzystają, a następnie o ocenę tych stron w różnych aspektach dostępności cyfrowej. Tabele poniżej przedstawiają średnie oceny nadane przez użytkowników dla poszczególnych cech stron. Skala ocen zawierała się w przedziale 1-5, gdzie 1 było najniższą, a 5 najwyższą oceną. W tabelach nie ujęto stron</w:t>
      </w:r>
      <w:r w:rsidR="00525978" w:rsidRPr="00BF6615">
        <w:t xml:space="preserve"> publiczn</w:t>
      </w:r>
      <w:r w:rsidR="1819D063" w:rsidRPr="00BF6615">
        <w:t>ych</w:t>
      </w:r>
      <w:r w:rsidR="00525978" w:rsidRPr="00BF6615">
        <w:t xml:space="preserve"> </w:t>
      </w:r>
      <w:r w:rsidRPr="00BF6615">
        <w:t xml:space="preserve">z kategorii „inne” </w:t>
      </w:r>
      <w:r w:rsidRPr="00BF6615">
        <w:lastRenderedPageBreak/>
        <w:t>ponieważ takie strony w badanej grupie nie zostały wskazane</w:t>
      </w:r>
      <w:r w:rsidRPr="00BF6615">
        <w:rPr>
          <w:rStyle w:val="Odwoanieprzypisudolnego"/>
        </w:rPr>
        <w:footnoteReference w:id="30"/>
      </w:r>
      <w:r w:rsidRPr="00BF6615">
        <w:t xml:space="preserve"> jako te, z których badani korzystają. </w:t>
      </w:r>
    </w:p>
    <w:p w14:paraId="41C8BAA8" w14:textId="101CD3F9" w:rsidR="004935BD" w:rsidRPr="00BF6615" w:rsidRDefault="004935BD" w:rsidP="007E26B5">
      <w:r w:rsidRPr="00BF6615">
        <w:t>W grupach stron, które oceniali badani znalazły się</w:t>
      </w:r>
      <w:r w:rsidR="00B36A56" w:rsidRPr="00BF6615">
        <w:rPr>
          <w:rStyle w:val="Odwoanieprzypisudolnego"/>
        </w:rPr>
        <w:footnoteReference w:id="31"/>
      </w:r>
      <w:r w:rsidRPr="00BF6615">
        <w:t>:</w:t>
      </w:r>
    </w:p>
    <w:p w14:paraId="4CAD8F94" w14:textId="77777777" w:rsidR="004935BD" w:rsidRPr="00BF6615" w:rsidRDefault="004935BD">
      <w:pPr>
        <w:pStyle w:val="Akapitzlist"/>
        <w:numPr>
          <w:ilvl w:val="0"/>
          <w:numId w:val="74"/>
        </w:numPr>
      </w:pPr>
      <w:r w:rsidRPr="00BF6615">
        <w:t>strony rządowe/ministerstw: m.in. pacjent.gov.pl, obywatel.gov.pl, podatki.gov.pl, strony ministerstw;</w:t>
      </w:r>
    </w:p>
    <w:p w14:paraId="396A04B8" w14:textId="77777777" w:rsidR="004935BD" w:rsidRPr="00BF6615" w:rsidRDefault="004935BD">
      <w:pPr>
        <w:pStyle w:val="Akapitzlist"/>
        <w:numPr>
          <w:ilvl w:val="0"/>
          <w:numId w:val="74"/>
        </w:numPr>
      </w:pPr>
      <w:r w:rsidRPr="00BF6615">
        <w:t>strony Urzędów Skarbowych: US różnych miast, urzadskarbowy.gov.pl;</w:t>
      </w:r>
    </w:p>
    <w:p w14:paraId="3343EC86" w14:textId="77777777" w:rsidR="004935BD" w:rsidRPr="00BF6615" w:rsidRDefault="004935BD">
      <w:pPr>
        <w:pStyle w:val="Akapitzlist"/>
        <w:numPr>
          <w:ilvl w:val="0"/>
          <w:numId w:val="74"/>
        </w:numPr>
      </w:pPr>
      <w:r w:rsidRPr="00BF6615">
        <w:t>strony urzędów miejskich/gminnych: m.in. Urzędy Miast (w tym miasta wojewódzkie), Urzędy Gmin, Urzędy dzielnic;</w:t>
      </w:r>
    </w:p>
    <w:p w14:paraId="4FD596D0" w14:textId="77777777" w:rsidR="004935BD" w:rsidRPr="00BF6615" w:rsidRDefault="004935BD">
      <w:pPr>
        <w:pStyle w:val="Akapitzlist"/>
        <w:numPr>
          <w:ilvl w:val="0"/>
          <w:numId w:val="74"/>
        </w:numPr>
      </w:pPr>
      <w:r w:rsidRPr="00BF6615">
        <w:t>strony Powiatowych Centrów Pomocy Rodzinie/Miejskich lub Gminnych Ośrodków Pomocy Społecznej: strony MOPS, MOPR, GOPS, PCPR;</w:t>
      </w:r>
    </w:p>
    <w:p w14:paraId="50078400" w14:textId="77777777" w:rsidR="004935BD" w:rsidRPr="00BF6615" w:rsidRDefault="004935BD">
      <w:pPr>
        <w:pStyle w:val="Akapitzlist"/>
        <w:numPr>
          <w:ilvl w:val="0"/>
          <w:numId w:val="74"/>
        </w:numPr>
      </w:pPr>
      <w:r w:rsidRPr="00BF6615">
        <w:t>strony urzędów pracy: praca.gov.pl, strony powiatowych urzędów pracy;</w:t>
      </w:r>
    </w:p>
    <w:p w14:paraId="4B5FD70E" w14:textId="25DEB0CE" w:rsidR="004935BD" w:rsidRPr="00BF6615" w:rsidRDefault="004935BD">
      <w:pPr>
        <w:pStyle w:val="Akapitzlist"/>
        <w:numPr>
          <w:ilvl w:val="0"/>
          <w:numId w:val="74"/>
        </w:numPr>
      </w:pPr>
      <w:r w:rsidRPr="00BF6615">
        <w:t>strony instytucji zdrowotnych: m.in. strony przychodni, strona NFZ, Internetowe Konto Pacjenta (IKP);</w:t>
      </w:r>
    </w:p>
    <w:p w14:paraId="36CA12DF" w14:textId="168677F5" w:rsidR="004935BD" w:rsidRPr="00BF6615" w:rsidRDefault="004935BD">
      <w:pPr>
        <w:pStyle w:val="Akapitzlist"/>
        <w:numPr>
          <w:ilvl w:val="0"/>
          <w:numId w:val="74"/>
        </w:numPr>
      </w:pPr>
      <w:r w:rsidRPr="00BF6615">
        <w:t xml:space="preserve">strony edukacyjne: strony uczelni wyższych, </w:t>
      </w:r>
      <w:r w:rsidR="0055412F" w:rsidRPr="00BF6615">
        <w:t xml:space="preserve">strony </w:t>
      </w:r>
      <w:r w:rsidR="009211E2" w:rsidRPr="00BF6615">
        <w:t>dzienników internetowych</w:t>
      </w:r>
      <w:r w:rsidRPr="00BF6615">
        <w:t>;</w:t>
      </w:r>
    </w:p>
    <w:p w14:paraId="0142C63D" w14:textId="77777777" w:rsidR="004935BD" w:rsidRPr="00BF6615" w:rsidRDefault="004935BD">
      <w:pPr>
        <w:pStyle w:val="Akapitzlist"/>
        <w:numPr>
          <w:ilvl w:val="0"/>
          <w:numId w:val="74"/>
        </w:numPr>
      </w:pPr>
      <w:r w:rsidRPr="00BF6615">
        <w:t>strony instytucji kultury: m.in. muzea, biblioteki, kina, domy kultury.</w:t>
      </w:r>
    </w:p>
    <w:p w14:paraId="2111E126" w14:textId="0C5622F7" w:rsidR="006C3E97" w:rsidRPr="00BF6615" w:rsidRDefault="004935BD" w:rsidP="007E26B5">
      <w:r w:rsidRPr="00BF6615">
        <w:t>Średnie ocen poszczególnych aspektów dostępności w</w:t>
      </w:r>
      <w:r w:rsidR="005775F8" w:rsidRPr="00BF6615">
        <w:t xml:space="preserve">e wszystkich </w:t>
      </w:r>
      <w:r w:rsidRPr="00BF6615">
        <w:t xml:space="preserve">kategoriach </w:t>
      </w:r>
      <w:r w:rsidR="005775F8" w:rsidRPr="00BF6615">
        <w:t xml:space="preserve">badanych </w:t>
      </w:r>
      <w:r w:rsidRPr="00BF6615">
        <w:t xml:space="preserve">stron pokazują dość wysoką ocenę- skala waha się od </w:t>
      </w:r>
      <w:r w:rsidR="00EA16FD" w:rsidRPr="00BF6615">
        <w:t>3,79</w:t>
      </w:r>
      <w:r w:rsidR="00BC1B2A" w:rsidRPr="00BF6615">
        <w:t xml:space="preserve"> </w:t>
      </w:r>
      <w:r w:rsidR="00EA16FD" w:rsidRPr="00BF6615">
        <w:t>-</w:t>
      </w:r>
      <w:r w:rsidR="00BC1B2A" w:rsidRPr="00BF6615">
        <w:t xml:space="preserve"> </w:t>
      </w:r>
      <w:r w:rsidR="00EA16FD" w:rsidRPr="00BF6615">
        <w:t>4,57</w:t>
      </w:r>
      <w:r w:rsidRPr="00BF6615">
        <w:t>. Najniżej została oceniona kwesti</w:t>
      </w:r>
      <w:r w:rsidR="00151AE3" w:rsidRPr="00BF6615">
        <w:t xml:space="preserve">a możliwości skontaktowania się z podmiotem publicznym </w:t>
      </w:r>
      <w:r w:rsidR="00A42EFD" w:rsidRPr="00BF6615">
        <w:t>w</w:t>
      </w:r>
      <w:r w:rsidR="00A42EFD">
        <w:t> </w:t>
      </w:r>
      <w:r w:rsidR="00151AE3" w:rsidRPr="00BF6615">
        <w:t>łatwy sposób, również z wykorzystaniem alternatywnych form kontaktu (E-mail, chat, SMS, wideo rozmowa, itp.)</w:t>
      </w:r>
      <w:r w:rsidR="003C4E90" w:rsidRPr="00BF6615">
        <w:t>- średnia ocen dla wszystkich stron - 3,99</w:t>
      </w:r>
      <w:r w:rsidR="00AB00C6" w:rsidRPr="00BF6615">
        <w:t xml:space="preserve">. Najwyżej </w:t>
      </w:r>
      <w:r w:rsidR="006D1A87" w:rsidRPr="00BF6615">
        <w:t xml:space="preserve">oceniono </w:t>
      </w:r>
      <w:r w:rsidR="00AB00C6" w:rsidRPr="00BF6615">
        <w:t>kwesti</w:t>
      </w:r>
      <w:r w:rsidR="006D1A87" w:rsidRPr="00BF6615">
        <w:t>ę</w:t>
      </w:r>
      <w:r w:rsidR="00AB00C6" w:rsidRPr="00BF6615">
        <w:t xml:space="preserve"> zrozumiałości mediów- 4,30.</w:t>
      </w:r>
    </w:p>
    <w:p w14:paraId="407F3AEC" w14:textId="515A6ADC" w:rsidR="006C3E97" w:rsidRPr="00BF6615" w:rsidRDefault="006C3E97" w:rsidP="00A97A6E">
      <w:r w:rsidRPr="00BF6615">
        <w:t xml:space="preserve">W kategorii stron najwyższe oceny </w:t>
      </w:r>
      <w:r w:rsidR="002B49B0" w:rsidRPr="00BF6615">
        <w:t xml:space="preserve">uzyskały strony Powiatowych Centrów Pomocy </w:t>
      </w:r>
      <w:r w:rsidR="002B49B0" w:rsidRPr="00FE3BD0">
        <w:t xml:space="preserve">Rodzinie/ Miejskich lub Gminnych Ośrodków Pomocy Społecznej- </w:t>
      </w:r>
      <w:r w:rsidR="005866F7" w:rsidRPr="00FE3BD0">
        <w:t>4,32. Najniższe strony urzędów centralnych, w tym rządowe, ministerstw, agencji – 4,07 oraz Powiatowych Urzędów Pracy - 4,10.</w:t>
      </w:r>
      <w:r w:rsidR="00A97A6E" w:rsidRPr="00FE3BD0">
        <w:t xml:space="preserve"> </w:t>
      </w:r>
    </w:p>
    <w:p w14:paraId="7D9599D2" w14:textId="22DC799A" w:rsidR="006C3E97" w:rsidRDefault="008D12D9" w:rsidP="007E26B5">
      <w:r w:rsidRPr="00BF6615">
        <w:t xml:space="preserve">W kategoriach ocenianych stron uwagę zawracają strony PUP, gdzie </w:t>
      </w:r>
      <w:r w:rsidR="00C51343" w:rsidRPr="00BF6615">
        <w:t xml:space="preserve">możliwości skontaktowania się z podmiotem publicznym w łatwy sposób, również z wykorzystaniem alternatywnych form kontaktu (E-mail, chat, SMS, wideo rozmowa, itp.) oceniono najniżej ze wszystkich ocenianych aspektów </w:t>
      </w:r>
      <w:r w:rsidR="003274B6" w:rsidRPr="00BF6615">
        <w:t>na badanych stronach</w:t>
      </w:r>
      <w:r w:rsidR="00A42EFD">
        <w:t xml:space="preserve"> – </w:t>
      </w:r>
      <w:r w:rsidR="003274B6" w:rsidRPr="00BF6615">
        <w:t xml:space="preserve">ocena 3,79. </w:t>
      </w:r>
      <w:r w:rsidR="003771DB" w:rsidRPr="00BF6615">
        <w:t>Dodatkowo nisko oceniono kwestię tłumaczenia na PJM treści na stronie</w:t>
      </w:r>
      <w:r w:rsidR="00A42EFD">
        <w:t xml:space="preserve"> –</w:t>
      </w:r>
      <w:r w:rsidR="003771DB" w:rsidRPr="00BF6615">
        <w:t xml:space="preserve"> 3,75. Powyższe </w:t>
      </w:r>
      <w:r w:rsidR="003274B6" w:rsidRPr="00BF6615">
        <w:t xml:space="preserve">z uwagi na specyfikę badanego podmiotu budzi uzasadnione wątpliwości </w:t>
      </w:r>
      <w:r w:rsidR="00A42EFD" w:rsidRPr="00BF6615">
        <w:t>co</w:t>
      </w:r>
      <w:r w:rsidR="00A42EFD">
        <w:t> </w:t>
      </w:r>
      <w:r w:rsidR="003274B6" w:rsidRPr="00BF6615">
        <w:t>do dostępności usług dla osób ze szczególnymi potrzebami.</w:t>
      </w:r>
    </w:p>
    <w:p w14:paraId="0AF139FD" w14:textId="35076B06" w:rsidR="00FE3BD0" w:rsidRPr="00BF6615" w:rsidRDefault="00FE3BD0" w:rsidP="00FE3BD0">
      <w:r w:rsidRPr="00FE3BD0">
        <w:lastRenderedPageBreak/>
        <w:t xml:space="preserve">Niska ocena stron PUP znajduje potwierdzenie w „Badaniu publicznych służb zatrudnienia w zakresie świadczenia usług klientkom i klientom </w:t>
      </w:r>
      <w:r w:rsidR="00A42EFD" w:rsidRPr="00FE3BD0">
        <w:t>z</w:t>
      </w:r>
      <w:r w:rsidR="00A42EFD">
        <w:t> </w:t>
      </w:r>
      <w:r w:rsidRPr="00FE3BD0">
        <w:t>niepełnosprawnościami”</w:t>
      </w:r>
      <w:r>
        <w:rPr>
          <w:rStyle w:val="Odwoanieprzypisudolnego"/>
        </w:rPr>
        <w:footnoteReference w:id="32"/>
      </w:r>
      <w:r w:rsidRPr="00FE3BD0">
        <w:t xml:space="preserve">. Samoocena urzędów w zakresie wiedzy o dostępności jest dość wysoka, przy czym w zakresie dostępności cyfrowej jest wyraźnie niższa niż </w:t>
      </w:r>
      <w:r w:rsidR="00A42EFD" w:rsidRPr="00FE3BD0">
        <w:t>w</w:t>
      </w:r>
      <w:r w:rsidR="00A42EFD">
        <w:t> </w:t>
      </w:r>
      <w:r w:rsidRPr="00FE3BD0">
        <w:t>zakresie dostępności architektonicznej.</w:t>
      </w:r>
      <w:r w:rsidRPr="00A97A6E">
        <w:t xml:space="preserve"> </w:t>
      </w:r>
      <w:r>
        <w:t>Dodatkowo w</w:t>
      </w:r>
      <w:r w:rsidRPr="00FE3BD0">
        <w:t xml:space="preserve"> obszarze barier cyfrowych duży problem stanowi brak dostosowania stron internetowych do potrzeb osób niedowidzących oraz brak tłumacza migowego online.</w:t>
      </w:r>
    </w:p>
    <w:p w14:paraId="487B9A14" w14:textId="01FB1B4B" w:rsidR="003771DB" w:rsidRPr="00BF6615" w:rsidRDefault="003771DB" w:rsidP="007E26B5">
      <w:pPr>
        <w:sectPr w:rsidR="003771DB" w:rsidRPr="00BF6615" w:rsidSect="004935BD">
          <w:pgSz w:w="12240" w:h="15840"/>
          <w:pgMar w:top="1440" w:right="1800" w:bottom="1440" w:left="1800" w:header="720" w:footer="720" w:gutter="0"/>
          <w:cols w:space="720"/>
          <w:docGrid w:linePitch="360"/>
        </w:sectPr>
      </w:pPr>
      <w:r w:rsidRPr="00BF6615">
        <w:t>Poniższa tabela prezentuje wyniki dla wszystkich badanych typów stron i ocenianych aspektów dostępności.</w:t>
      </w:r>
    </w:p>
    <w:p w14:paraId="48D2D153" w14:textId="069FB135" w:rsidR="004935BD" w:rsidRPr="00BF6615" w:rsidRDefault="004935BD" w:rsidP="007E26B5">
      <w:pPr>
        <w:pStyle w:val="Legenda"/>
        <w:keepNext/>
      </w:pPr>
      <w:bookmarkStart w:id="225" w:name="_Toc204179123"/>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25</w:t>
      </w:r>
      <w:r w:rsidRPr="00BF6615">
        <w:fldChar w:fldCharType="end"/>
      </w:r>
      <w:r w:rsidR="00FD0843">
        <w:t>.</w:t>
      </w:r>
      <w:r w:rsidRPr="00BF6615">
        <w:t xml:space="preserve"> Średnie oceny stron publicznych wg aspektów dostępności cyfrowej dla stron, z których korzystają osoby badane </w:t>
      </w:r>
      <w:r w:rsidR="007835FB" w:rsidRPr="00BF6615">
        <w:t>w pełnej grupie badanej</w:t>
      </w:r>
      <w:bookmarkEnd w:id="225"/>
    </w:p>
    <w:tbl>
      <w:tblPr>
        <w:tblStyle w:val="PARP"/>
        <w:tblW w:w="13634" w:type="dxa"/>
        <w:tblLook w:val="04A0" w:firstRow="1" w:lastRow="0" w:firstColumn="1" w:lastColumn="0" w:noHBand="0" w:noVBand="1"/>
        <w:tblCaption w:val="Średnie oceny stron publicznych wg aspektów dostępności cyfrowej dla stron, z których korzystają osoby badane w pełnej grupie badanej"/>
        <w:tblDescription w:val="Średnie oceny stron publicznych wg aspektów dostępności cyfrowej dla stron, z których korzystają osoby badane w pełnej grupie badanej"/>
      </w:tblPr>
      <w:tblGrid>
        <w:gridCol w:w="2830"/>
        <w:gridCol w:w="1755"/>
        <w:gridCol w:w="1748"/>
        <w:gridCol w:w="2096"/>
        <w:gridCol w:w="1755"/>
        <w:gridCol w:w="1723"/>
        <w:gridCol w:w="1727"/>
      </w:tblGrid>
      <w:tr w:rsidR="008B12AA" w:rsidRPr="00BF6615" w14:paraId="08FE72C8" w14:textId="77777777" w:rsidTr="005775F8">
        <w:trPr>
          <w:cnfStyle w:val="100000000000" w:firstRow="1" w:lastRow="0" w:firstColumn="0" w:lastColumn="0" w:oddVBand="0" w:evenVBand="0" w:oddHBand="0" w:evenHBand="0" w:firstRowFirstColumn="0" w:firstRowLastColumn="0" w:lastRowFirstColumn="0" w:lastRowLastColumn="0"/>
          <w:trHeight w:val="2320"/>
        </w:trPr>
        <w:tc>
          <w:tcPr>
            <w:tcW w:w="2830" w:type="dxa"/>
            <w:hideMark/>
          </w:tcPr>
          <w:p w14:paraId="1DF10999" w14:textId="4525850A" w:rsidR="00D5450F" w:rsidRPr="00BF6615" w:rsidRDefault="00D5450F" w:rsidP="007E26B5">
            <w:pPr>
              <w:spacing w:after="0" w:line="240" w:lineRule="auto"/>
              <w:rPr>
                <w:rFonts w:eastAsia="Times New Roman" w:cs="Calibri"/>
                <w:b/>
                <w:sz w:val="22"/>
                <w:lang w:eastAsia="pl-PL"/>
              </w:rPr>
            </w:pPr>
            <w:r w:rsidRPr="00BF6615">
              <w:rPr>
                <w:rFonts w:eastAsia="Times New Roman" w:cs="Calibri"/>
                <w:b/>
                <w:sz w:val="22"/>
                <w:lang w:eastAsia="pl-PL"/>
              </w:rPr>
              <w:t> </w:t>
            </w:r>
            <w:r w:rsidRPr="00BF6615">
              <w:rPr>
                <w:b/>
                <w:sz w:val="22"/>
              </w:rPr>
              <w:t>Oceniany aspekt dostępności</w:t>
            </w:r>
          </w:p>
        </w:tc>
        <w:tc>
          <w:tcPr>
            <w:tcW w:w="1755" w:type="dxa"/>
            <w:hideMark/>
          </w:tcPr>
          <w:p w14:paraId="4309F245" w14:textId="77777777" w:rsidR="00D5450F" w:rsidRPr="00BF6615" w:rsidRDefault="00D5450F" w:rsidP="007E26B5">
            <w:pPr>
              <w:spacing w:after="0" w:line="240" w:lineRule="auto"/>
              <w:rPr>
                <w:rFonts w:eastAsia="Times New Roman" w:cs="Calibri"/>
                <w:b/>
                <w:sz w:val="22"/>
                <w:lang w:eastAsia="pl-PL"/>
              </w:rPr>
            </w:pPr>
            <w:r w:rsidRPr="00BF6615">
              <w:rPr>
                <w:rFonts w:eastAsia="Times New Roman" w:cs="Calibri"/>
                <w:b/>
                <w:sz w:val="22"/>
                <w:lang w:eastAsia="pl-PL"/>
              </w:rPr>
              <w:t>Strona urzędu centralnego, w tym rządowa, ministerstwa, agencji</w:t>
            </w:r>
          </w:p>
        </w:tc>
        <w:tc>
          <w:tcPr>
            <w:tcW w:w="1748" w:type="dxa"/>
            <w:hideMark/>
          </w:tcPr>
          <w:p w14:paraId="6FA02A0A" w14:textId="77777777" w:rsidR="00D5450F" w:rsidRPr="00BF6615" w:rsidRDefault="00D5450F" w:rsidP="007E26B5">
            <w:pPr>
              <w:spacing w:after="0" w:line="240" w:lineRule="auto"/>
              <w:rPr>
                <w:rFonts w:eastAsia="Times New Roman" w:cs="Calibri"/>
                <w:b/>
                <w:sz w:val="22"/>
                <w:lang w:eastAsia="pl-PL"/>
              </w:rPr>
            </w:pPr>
            <w:r w:rsidRPr="00BF6615">
              <w:rPr>
                <w:rFonts w:eastAsia="Times New Roman" w:cs="Calibri"/>
                <w:b/>
                <w:sz w:val="22"/>
                <w:lang w:eastAsia="pl-PL"/>
              </w:rPr>
              <w:t>Strona urzędu skarbowego</w:t>
            </w:r>
          </w:p>
        </w:tc>
        <w:tc>
          <w:tcPr>
            <w:tcW w:w="2096" w:type="dxa"/>
            <w:hideMark/>
          </w:tcPr>
          <w:p w14:paraId="6E79ADD4" w14:textId="3293E8BE" w:rsidR="00D5450F" w:rsidRPr="00BF6615" w:rsidRDefault="007048AF" w:rsidP="007E26B5">
            <w:pPr>
              <w:spacing w:after="0" w:line="240" w:lineRule="auto"/>
              <w:rPr>
                <w:rFonts w:eastAsia="Times New Roman" w:cs="Calibri"/>
                <w:b/>
                <w:sz w:val="22"/>
                <w:lang w:eastAsia="pl-PL"/>
              </w:rPr>
            </w:pPr>
            <w:r w:rsidRPr="00BF6615">
              <w:rPr>
                <w:rFonts w:eastAsia="Times New Roman" w:cs="Calibri"/>
                <w:b/>
                <w:sz w:val="22"/>
                <w:lang w:eastAsia="pl-PL"/>
              </w:rPr>
              <w:t>S</w:t>
            </w:r>
            <w:r w:rsidR="00D5450F" w:rsidRPr="00BF6615">
              <w:rPr>
                <w:rFonts w:eastAsia="Times New Roman" w:cs="Calibri"/>
                <w:b/>
                <w:sz w:val="22"/>
                <w:lang w:eastAsia="pl-PL"/>
              </w:rPr>
              <w:t>trona urzędu miejskiego/gminnego</w:t>
            </w:r>
          </w:p>
        </w:tc>
        <w:tc>
          <w:tcPr>
            <w:tcW w:w="1755" w:type="dxa"/>
            <w:hideMark/>
          </w:tcPr>
          <w:p w14:paraId="4D0E82F2" w14:textId="77777777" w:rsidR="00D5450F" w:rsidRPr="00BF6615" w:rsidRDefault="00D5450F" w:rsidP="007E26B5">
            <w:pPr>
              <w:spacing w:after="0" w:line="240" w:lineRule="auto"/>
              <w:rPr>
                <w:rFonts w:eastAsia="Times New Roman" w:cs="Calibri"/>
                <w:b/>
                <w:sz w:val="22"/>
                <w:lang w:eastAsia="pl-PL"/>
              </w:rPr>
            </w:pPr>
            <w:r w:rsidRPr="00BF6615">
              <w:rPr>
                <w:rFonts w:eastAsia="Times New Roman" w:cs="Calibri"/>
                <w:b/>
                <w:sz w:val="22"/>
                <w:lang w:eastAsia="pl-PL"/>
              </w:rPr>
              <w:t>Strona Powiatowego Centrum Pomocy Rodzinie/ Miejskiego lub Gminnego Ośrodka Pomocy Społecznej</w:t>
            </w:r>
          </w:p>
        </w:tc>
        <w:tc>
          <w:tcPr>
            <w:tcW w:w="1723" w:type="dxa"/>
            <w:hideMark/>
          </w:tcPr>
          <w:p w14:paraId="40C24B2A" w14:textId="77777777" w:rsidR="00D5450F" w:rsidRPr="00BF6615" w:rsidRDefault="00D5450F" w:rsidP="007E26B5">
            <w:pPr>
              <w:spacing w:after="0" w:line="240" w:lineRule="auto"/>
              <w:rPr>
                <w:rFonts w:eastAsia="Times New Roman" w:cs="Calibri"/>
                <w:b/>
                <w:sz w:val="22"/>
                <w:lang w:eastAsia="pl-PL"/>
              </w:rPr>
            </w:pPr>
            <w:r w:rsidRPr="00BF6615">
              <w:rPr>
                <w:rFonts w:eastAsia="Times New Roman" w:cs="Calibri"/>
                <w:b/>
                <w:sz w:val="22"/>
                <w:lang w:eastAsia="pl-PL"/>
              </w:rPr>
              <w:t>Strona urzędu pracy</w:t>
            </w:r>
          </w:p>
        </w:tc>
        <w:tc>
          <w:tcPr>
            <w:tcW w:w="1727" w:type="dxa"/>
            <w:hideMark/>
          </w:tcPr>
          <w:p w14:paraId="78CA6E82" w14:textId="25DC797F" w:rsidR="00D5450F" w:rsidRPr="00BF6615" w:rsidRDefault="00D8567D"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8B12AA" w:rsidRPr="00BF6615" w14:paraId="089ABFE4" w14:textId="77777777" w:rsidTr="005775F8">
        <w:trPr>
          <w:cnfStyle w:val="000000100000" w:firstRow="0" w:lastRow="0" w:firstColumn="0" w:lastColumn="0" w:oddVBand="0" w:evenVBand="0" w:oddHBand="1" w:evenHBand="0" w:firstRowFirstColumn="0" w:firstRowLastColumn="0" w:lastRowFirstColumn="0" w:lastRowLastColumn="0"/>
          <w:trHeight w:val="580"/>
        </w:trPr>
        <w:tc>
          <w:tcPr>
            <w:tcW w:w="2830" w:type="dxa"/>
            <w:hideMark/>
          </w:tcPr>
          <w:p w14:paraId="24861862"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przeglądać zawartość i znajdować potrzebne mi informacje</w:t>
            </w:r>
          </w:p>
        </w:tc>
        <w:tc>
          <w:tcPr>
            <w:tcW w:w="1755" w:type="dxa"/>
            <w:hideMark/>
          </w:tcPr>
          <w:p w14:paraId="47622425"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3,96</w:t>
            </w:r>
          </w:p>
        </w:tc>
        <w:tc>
          <w:tcPr>
            <w:tcW w:w="1748" w:type="dxa"/>
            <w:hideMark/>
          </w:tcPr>
          <w:p w14:paraId="1B11704B"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4,22</w:t>
            </w:r>
          </w:p>
        </w:tc>
        <w:tc>
          <w:tcPr>
            <w:tcW w:w="2096" w:type="dxa"/>
            <w:hideMark/>
          </w:tcPr>
          <w:p w14:paraId="070DA05A"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55" w:type="dxa"/>
            <w:hideMark/>
          </w:tcPr>
          <w:p w14:paraId="30CD4B87"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1723" w:type="dxa"/>
            <w:hideMark/>
          </w:tcPr>
          <w:p w14:paraId="4ED741AD"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1727" w:type="dxa"/>
            <w:hideMark/>
          </w:tcPr>
          <w:p w14:paraId="32FF5633"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4,16</w:t>
            </w:r>
          </w:p>
        </w:tc>
      </w:tr>
      <w:tr w:rsidR="008B12AA" w:rsidRPr="00BF6615" w14:paraId="44A79369" w14:textId="77777777" w:rsidTr="005775F8">
        <w:trPr>
          <w:cnfStyle w:val="000000010000" w:firstRow="0" w:lastRow="0" w:firstColumn="0" w:lastColumn="0" w:oddVBand="0" w:evenVBand="0" w:oddHBand="0" w:evenHBand="1" w:firstRowFirstColumn="0" w:firstRowLastColumn="0" w:lastRowFirstColumn="0" w:lastRowLastColumn="0"/>
          <w:trHeight w:val="290"/>
        </w:trPr>
        <w:tc>
          <w:tcPr>
            <w:tcW w:w="2830" w:type="dxa"/>
            <w:hideMark/>
          </w:tcPr>
          <w:p w14:paraId="33C04DBE"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na stronie są dla mnie zrozumiałe</w:t>
            </w:r>
          </w:p>
        </w:tc>
        <w:tc>
          <w:tcPr>
            <w:tcW w:w="1755" w:type="dxa"/>
            <w:hideMark/>
          </w:tcPr>
          <w:p w14:paraId="73734989"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48" w:type="dxa"/>
            <w:hideMark/>
          </w:tcPr>
          <w:p w14:paraId="28D912F8"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4,26</w:t>
            </w:r>
          </w:p>
        </w:tc>
        <w:tc>
          <w:tcPr>
            <w:tcW w:w="2096" w:type="dxa"/>
            <w:hideMark/>
          </w:tcPr>
          <w:p w14:paraId="2AB973DC"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4,10</w:t>
            </w:r>
          </w:p>
        </w:tc>
        <w:tc>
          <w:tcPr>
            <w:tcW w:w="1755" w:type="dxa"/>
            <w:hideMark/>
          </w:tcPr>
          <w:p w14:paraId="279E8881"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4,18</w:t>
            </w:r>
          </w:p>
        </w:tc>
        <w:tc>
          <w:tcPr>
            <w:tcW w:w="1723" w:type="dxa"/>
            <w:hideMark/>
          </w:tcPr>
          <w:p w14:paraId="07E77E94"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1727" w:type="dxa"/>
            <w:hideMark/>
          </w:tcPr>
          <w:p w14:paraId="56EFB2B4"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4,17</w:t>
            </w:r>
          </w:p>
        </w:tc>
      </w:tr>
      <w:tr w:rsidR="008B12AA" w:rsidRPr="00BF6615" w14:paraId="15FE1CF7" w14:textId="77777777" w:rsidTr="005775F8">
        <w:trPr>
          <w:cnfStyle w:val="000000100000" w:firstRow="0" w:lastRow="0" w:firstColumn="0" w:lastColumn="0" w:oddVBand="0" w:evenVBand="0" w:oddHBand="1" w:evenHBand="0" w:firstRowFirstColumn="0" w:firstRowLastColumn="0" w:lastRowFirstColumn="0" w:lastRowLastColumn="0"/>
          <w:trHeight w:val="1160"/>
        </w:trPr>
        <w:tc>
          <w:tcPr>
            <w:tcW w:w="2830" w:type="dxa"/>
            <w:hideMark/>
          </w:tcPr>
          <w:p w14:paraId="6BCEEBD3"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ma czytelny układ treści bez względu na urządzenie, z którego korzystam, w widoku poziomym i pionowym</w:t>
            </w:r>
          </w:p>
        </w:tc>
        <w:tc>
          <w:tcPr>
            <w:tcW w:w="1755" w:type="dxa"/>
            <w:hideMark/>
          </w:tcPr>
          <w:p w14:paraId="7C39DED5"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4,12</w:t>
            </w:r>
          </w:p>
        </w:tc>
        <w:tc>
          <w:tcPr>
            <w:tcW w:w="1748" w:type="dxa"/>
            <w:hideMark/>
          </w:tcPr>
          <w:p w14:paraId="532681D8"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4,17</w:t>
            </w:r>
          </w:p>
        </w:tc>
        <w:tc>
          <w:tcPr>
            <w:tcW w:w="2096" w:type="dxa"/>
            <w:hideMark/>
          </w:tcPr>
          <w:p w14:paraId="07502E0A"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4,03</w:t>
            </w:r>
          </w:p>
        </w:tc>
        <w:tc>
          <w:tcPr>
            <w:tcW w:w="1755" w:type="dxa"/>
            <w:hideMark/>
          </w:tcPr>
          <w:p w14:paraId="2A02DEB2"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723" w:type="dxa"/>
            <w:hideMark/>
          </w:tcPr>
          <w:p w14:paraId="4B261AD2"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1727" w:type="dxa"/>
            <w:hideMark/>
          </w:tcPr>
          <w:p w14:paraId="0FDFC10F"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4,15</w:t>
            </w:r>
          </w:p>
        </w:tc>
      </w:tr>
      <w:tr w:rsidR="008B12AA" w:rsidRPr="00BF6615" w14:paraId="6BCC084A" w14:textId="77777777" w:rsidTr="005775F8">
        <w:trPr>
          <w:cnfStyle w:val="000000010000" w:firstRow="0" w:lastRow="0" w:firstColumn="0" w:lastColumn="0" w:oddVBand="0" w:evenVBand="0" w:oddHBand="0" w:evenHBand="1" w:firstRowFirstColumn="0" w:firstRowLastColumn="0" w:lastRowFirstColumn="0" w:lastRowLastColumn="0"/>
          <w:trHeight w:val="580"/>
        </w:trPr>
        <w:tc>
          <w:tcPr>
            <w:tcW w:w="2830" w:type="dxa"/>
            <w:hideMark/>
          </w:tcPr>
          <w:p w14:paraId="50A9F244"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na stronie są dla mnie przyjazne</w:t>
            </w:r>
          </w:p>
        </w:tc>
        <w:tc>
          <w:tcPr>
            <w:tcW w:w="1755" w:type="dxa"/>
            <w:hideMark/>
          </w:tcPr>
          <w:p w14:paraId="22BFFFEF"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4,32</w:t>
            </w:r>
          </w:p>
        </w:tc>
        <w:tc>
          <w:tcPr>
            <w:tcW w:w="1748" w:type="dxa"/>
            <w:hideMark/>
          </w:tcPr>
          <w:p w14:paraId="3ACA3683"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4,37</w:t>
            </w:r>
          </w:p>
        </w:tc>
        <w:tc>
          <w:tcPr>
            <w:tcW w:w="2096" w:type="dxa"/>
            <w:hideMark/>
          </w:tcPr>
          <w:p w14:paraId="7A9A0C63"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4,22</w:t>
            </w:r>
          </w:p>
        </w:tc>
        <w:tc>
          <w:tcPr>
            <w:tcW w:w="1755" w:type="dxa"/>
            <w:hideMark/>
          </w:tcPr>
          <w:p w14:paraId="02DA3924"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723" w:type="dxa"/>
            <w:hideMark/>
          </w:tcPr>
          <w:p w14:paraId="08CEC145"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4,10</w:t>
            </w:r>
          </w:p>
        </w:tc>
        <w:tc>
          <w:tcPr>
            <w:tcW w:w="1727" w:type="dxa"/>
            <w:hideMark/>
          </w:tcPr>
          <w:p w14:paraId="7ED92777"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4,24</w:t>
            </w:r>
          </w:p>
        </w:tc>
      </w:tr>
      <w:tr w:rsidR="008B12AA" w:rsidRPr="00BF6615" w14:paraId="716B6F4D" w14:textId="77777777" w:rsidTr="005775F8">
        <w:trPr>
          <w:cnfStyle w:val="000000100000" w:firstRow="0" w:lastRow="0" w:firstColumn="0" w:lastColumn="0" w:oddVBand="0" w:evenVBand="0" w:oddHBand="1" w:evenHBand="0" w:firstRowFirstColumn="0" w:firstRowLastColumn="0" w:lastRowFirstColumn="0" w:lastRowLastColumn="0"/>
          <w:trHeight w:val="580"/>
        </w:trPr>
        <w:tc>
          <w:tcPr>
            <w:tcW w:w="2830" w:type="dxa"/>
            <w:hideMark/>
          </w:tcPr>
          <w:p w14:paraId="0D66EA8F"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Formularze zamieszczone na stronie są dla mnie dostępne</w:t>
            </w:r>
          </w:p>
        </w:tc>
        <w:tc>
          <w:tcPr>
            <w:tcW w:w="1755" w:type="dxa"/>
            <w:hideMark/>
          </w:tcPr>
          <w:p w14:paraId="4041242D"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4,04</w:t>
            </w:r>
          </w:p>
        </w:tc>
        <w:tc>
          <w:tcPr>
            <w:tcW w:w="1748" w:type="dxa"/>
            <w:hideMark/>
          </w:tcPr>
          <w:p w14:paraId="1E159CFB"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2096" w:type="dxa"/>
            <w:hideMark/>
          </w:tcPr>
          <w:p w14:paraId="3E33F95D"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1755" w:type="dxa"/>
            <w:hideMark/>
          </w:tcPr>
          <w:p w14:paraId="6AF236C1"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723" w:type="dxa"/>
            <w:hideMark/>
          </w:tcPr>
          <w:p w14:paraId="692B7F60"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4,06</w:t>
            </w:r>
          </w:p>
        </w:tc>
        <w:tc>
          <w:tcPr>
            <w:tcW w:w="1727" w:type="dxa"/>
            <w:hideMark/>
          </w:tcPr>
          <w:p w14:paraId="44C26A0E"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4,19</w:t>
            </w:r>
          </w:p>
        </w:tc>
      </w:tr>
      <w:tr w:rsidR="008B12AA" w:rsidRPr="00BF6615" w14:paraId="1E89B2CB" w14:textId="77777777" w:rsidTr="005775F8">
        <w:trPr>
          <w:cnfStyle w:val="000000010000" w:firstRow="0" w:lastRow="0" w:firstColumn="0" w:lastColumn="0" w:oddVBand="0" w:evenVBand="0" w:oddHBand="0" w:evenHBand="1" w:firstRowFirstColumn="0" w:firstRowLastColumn="0" w:lastRowFirstColumn="0" w:lastRowLastColumn="0"/>
          <w:trHeight w:val="290"/>
        </w:trPr>
        <w:tc>
          <w:tcPr>
            <w:tcW w:w="2830" w:type="dxa"/>
            <w:hideMark/>
          </w:tcPr>
          <w:p w14:paraId="4199E378"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Łatwo można korzystać z wyszukiwarki</w:t>
            </w:r>
          </w:p>
        </w:tc>
        <w:tc>
          <w:tcPr>
            <w:tcW w:w="1755" w:type="dxa"/>
            <w:hideMark/>
          </w:tcPr>
          <w:p w14:paraId="47B84E3B"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3,96</w:t>
            </w:r>
          </w:p>
        </w:tc>
        <w:tc>
          <w:tcPr>
            <w:tcW w:w="1748" w:type="dxa"/>
            <w:hideMark/>
          </w:tcPr>
          <w:p w14:paraId="049E0CE5"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2096" w:type="dxa"/>
            <w:hideMark/>
          </w:tcPr>
          <w:p w14:paraId="3E617067"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755" w:type="dxa"/>
            <w:hideMark/>
          </w:tcPr>
          <w:p w14:paraId="3B21F6A3"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723" w:type="dxa"/>
            <w:hideMark/>
          </w:tcPr>
          <w:p w14:paraId="20FF8F2D"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1727" w:type="dxa"/>
            <w:hideMark/>
          </w:tcPr>
          <w:p w14:paraId="07248186"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4,18</w:t>
            </w:r>
          </w:p>
        </w:tc>
      </w:tr>
      <w:tr w:rsidR="008B12AA" w:rsidRPr="00BF6615" w14:paraId="5AE8C1C9" w14:textId="77777777" w:rsidTr="005775F8">
        <w:trPr>
          <w:cnfStyle w:val="000000100000" w:firstRow="0" w:lastRow="0" w:firstColumn="0" w:lastColumn="0" w:oddVBand="0" w:evenVBand="0" w:oddHBand="1" w:evenHBand="0" w:firstRowFirstColumn="0" w:firstRowLastColumn="0" w:lastRowFirstColumn="0" w:lastRowLastColumn="0"/>
          <w:trHeight w:val="580"/>
        </w:trPr>
        <w:tc>
          <w:tcPr>
            <w:tcW w:w="2830" w:type="dxa"/>
            <w:hideMark/>
          </w:tcPr>
          <w:p w14:paraId="239CE9AB"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Obrazy, grafiki i zdjęcia na stronie są dla mnie zrozumiałe</w:t>
            </w:r>
          </w:p>
        </w:tc>
        <w:tc>
          <w:tcPr>
            <w:tcW w:w="1755" w:type="dxa"/>
            <w:hideMark/>
          </w:tcPr>
          <w:p w14:paraId="55BD0961"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4,34</w:t>
            </w:r>
          </w:p>
        </w:tc>
        <w:tc>
          <w:tcPr>
            <w:tcW w:w="1748" w:type="dxa"/>
            <w:hideMark/>
          </w:tcPr>
          <w:p w14:paraId="501DBA49"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4,27</w:t>
            </w:r>
          </w:p>
        </w:tc>
        <w:tc>
          <w:tcPr>
            <w:tcW w:w="2096" w:type="dxa"/>
            <w:hideMark/>
          </w:tcPr>
          <w:p w14:paraId="1F805983"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1755" w:type="dxa"/>
            <w:hideMark/>
          </w:tcPr>
          <w:p w14:paraId="19F6CC03"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723" w:type="dxa"/>
            <w:hideMark/>
          </w:tcPr>
          <w:p w14:paraId="2BFD4544"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4,11</w:t>
            </w:r>
          </w:p>
        </w:tc>
        <w:tc>
          <w:tcPr>
            <w:tcW w:w="1727" w:type="dxa"/>
            <w:hideMark/>
          </w:tcPr>
          <w:p w14:paraId="2E5701B1"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4,25</w:t>
            </w:r>
          </w:p>
        </w:tc>
      </w:tr>
      <w:tr w:rsidR="008B12AA" w:rsidRPr="00BF6615" w14:paraId="7E03BF87" w14:textId="77777777" w:rsidTr="005775F8">
        <w:trPr>
          <w:cnfStyle w:val="000000010000" w:firstRow="0" w:lastRow="0" w:firstColumn="0" w:lastColumn="0" w:oddVBand="0" w:evenVBand="0" w:oddHBand="0" w:evenHBand="1" w:firstRowFirstColumn="0" w:firstRowLastColumn="0" w:lastRowFirstColumn="0" w:lastRowLastColumn="0"/>
          <w:trHeight w:val="290"/>
        </w:trPr>
        <w:tc>
          <w:tcPr>
            <w:tcW w:w="2830" w:type="dxa"/>
            <w:hideMark/>
          </w:tcPr>
          <w:p w14:paraId="2E5F17BC"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Multimedia są dla mnie zrozumiałe</w:t>
            </w:r>
          </w:p>
        </w:tc>
        <w:tc>
          <w:tcPr>
            <w:tcW w:w="1755" w:type="dxa"/>
            <w:hideMark/>
          </w:tcPr>
          <w:p w14:paraId="111E475D"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748" w:type="dxa"/>
            <w:hideMark/>
          </w:tcPr>
          <w:p w14:paraId="51A479E0"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4,27</w:t>
            </w:r>
          </w:p>
        </w:tc>
        <w:tc>
          <w:tcPr>
            <w:tcW w:w="2096" w:type="dxa"/>
            <w:hideMark/>
          </w:tcPr>
          <w:p w14:paraId="2DE45DF8"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4,22</w:t>
            </w:r>
          </w:p>
        </w:tc>
        <w:tc>
          <w:tcPr>
            <w:tcW w:w="1755" w:type="dxa"/>
            <w:hideMark/>
          </w:tcPr>
          <w:p w14:paraId="2CF5B389"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723" w:type="dxa"/>
            <w:hideMark/>
          </w:tcPr>
          <w:p w14:paraId="68F54A56"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4,16</w:t>
            </w:r>
          </w:p>
        </w:tc>
        <w:tc>
          <w:tcPr>
            <w:tcW w:w="1727" w:type="dxa"/>
            <w:hideMark/>
          </w:tcPr>
          <w:p w14:paraId="2531AE98"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4,30</w:t>
            </w:r>
          </w:p>
        </w:tc>
      </w:tr>
      <w:tr w:rsidR="008B12AA" w:rsidRPr="00BF6615" w14:paraId="6795133E" w14:textId="77777777" w:rsidTr="005775F8">
        <w:trPr>
          <w:cnfStyle w:val="000000100000" w:firstRow="0" w:lastRow="0" w:firstColumn="0" w:lastColumn="0" w:oddVBand="0" w:evenVBand="0" w:oddHBand="1" w:evenHBand="0" w:firstRowFirstColumn="0" w:firstRowLastColumn="0" w:lastRowFirstColumn="0" w:lastRowLastColumn="0"/>
          <w:trHeight w:val="1450"/>
        </w:trPr>
        <w:tc>
          <w:tcPr>
            <w:tcW w:w="2830" w:type="dxa"/>
            <w:hideMark/>
          </w:tcPr>
          <w:p w14:paraId="70D794BA"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Mogę w łatwy sposób skontaktować się z podmiotem publicznym, również z wykorzystaniem alternatywnych form kontaktu (E-mail, chat, SMS, wideo rozmowa, itp.)</w:t>
            </w:r>
          </w:p>
        </w:tc>
        <w:tc>
          <w:tcPr>
            <w:tcW w:w="1755" w:type="dxa"/>
            <w:hideMark/>
          </w:tcPr>
          <w:p w14:paraId="197198FC"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3,80</w:t>
            </w:r>
          </w:p>
        </w:tc>
        <w:tc>
          <w:tcPr>
            <w:tcW w:w="1748" w:type="dxa"/>
            <w:hideMark/>
          </w:tcPr>
          <w:p w14:paraId="3606C74D"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2096" w:type="dxa"/>
            <w:hideMark/>
          </w:tcPr>
          <w:p w14:paraId="3D18A0F3"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4,07</w:t>
            </w:r>
          </w:p>
        </w:tc>
        <w:tc>
          <w:tcPr>
            <w:tcW w:w="1755" w:type="dxa"/>
            <w:hideMark/>
          </w:tcPr>
          <w:p w14:paraId="74E36B28"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4,14</w:t>
            </w:r>
          </w:p>
        </w:tc>
        <w:tc>
          <w:tcPr>
            <w:tcW w:w="1723" w:type="dxa"/>
            <w:hideMark/>
          </w:tcPr>
          <w:p w14:paraId="5392D86A"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3,79</w:t>
            </w:r>
          </w:p>
        </w:tc>
        <w:tc>
          <w:tcPr>
            <w:tcW w:w="1727" w:type="dxa"/>
            <w:hideMark/>
          </w:tcPr>
          <w:p w14:paraId="43853027"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3,99</w:t>
            </w:r>
          </w:p>
        </w:tc>
      </w:tr>
      <w:tr w:rsidR="008B12AA" w:rsidRPr="00BF6615" w14:paraId="3F54A1EB" w14:textId="77777777" w:rsidTr="005775F8">
        <w:trPr>
          <w:cnfStyle w:val="000000010000" w:firstRow="0" w:lastRow="0" w:firstColumn="0" w:lastColumn="0" w:oddVBand="0" w:evenVBand="0" w:oddHBand="0" w:evenHBand="1" w:firstRowFirstColumn="0" w:firstRowLastColumn="0" w:lastRowFirstColumn="0" w:lastRowLastColumn="0"/>
          <w:trHeight w:val="580"/>
        </w:trPr>
        <w:tc>
          <w:tcPr>
            <w:tcW w:w="2830" w:type="dxa"/>
            <w:hideMark/>
          </w:tcPr>
          <w:p w14:paraId="5D1031E0"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strony mogę obsłużyć za pomocą klawiatury</w:t>
            </w:r>
          </w:p>
        </w:tc>
        <w:tc>
          <w:tcPr>
            <w:tcW w:w="1755" w:type="dxa"/>
            <w:hideMark/>
          </w:tcPr>
          <w:p w14:paraId="51563DFC"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4,02</w:t>
            </w:r>
          </w:p>
        </w:tc>
        <w:tc>
          <w:tcPr>
            <w:tcW w:w="1748" w:type="dxa"/>
            <w:hideMark/>
          </w:tcPr>
          <w:p w14:paraId="7494BDB1"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4,28</w:t>
            </w:r>
          </w:p>
        </w:tc>
        <w:tc>
          <w:tcPr>
            <w:tcW w:w="2096" w:type="dxa"/>
            <w:hideMark/>
          </w:tcPr>
          <w:p w14:paraId="093E24A4"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1755" w:type="dxa"/>
            <w:hideMark/>
          </w:tcPr>
          <w:p w14:paraId="30106C70"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4,57</w:t>
            </w:r>
          </w:p>
        </w:tc>
        <w:tc>
          <w:tcPr>
            <w:tcW w:w="1723" w:type="dxa"/>
            <w:hideMark/>
          </w:tcPr>
          <w:p w14:paraId="011CDBC2"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27" w:type="dxa"/>
            <w:hideMark/>
          </w:tcPr>
          <w:p w14:paraId="4B275780"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4,23</w:t>
            </w:r>
          </w:p>
        </w:tc>
      </w:tr>
      <w:tr w:rsidR="008B12AA" w:rsidRPr="00BF6615" w14:paraId="1910DFF5" w14:textId="77777777" w:rsidTr="005775F8">
        <w:trPr>
          <w:cnfStyle w:val="000000100000" w:firstRow="0" w:lastRow="0" w:firstColumn="0" w:lastColumn="0" w:oddVBand="0" w:evenVBand="0" w:oddHBand="1" w:evenHBand="0" w:firstRowFirstColumn="0" w:firstRowLastColumn="0" w:lastRowFirstColumn="0" w:lastRowLastColumn="0"/>
          <w:trHeight w:val="580"/>
        </w:trPr>
        <w:tc>
          <w:tcPr>
            <w:tcW w:w="2830" w:type="dxa"/>
            <w:hideMark/>
          </w:tcPr>
          <w:p w14:paraId="2CD48033"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tłumaczenia na Polski język migowy (PJM)</w:t>
            </w:r>
          </w:p>
        </w:tc>
        <w:tc>
          <w:tcPr>
            <w:tcW w:w="1755" w:type="dxa"/>
            <w:hideMark/>
          </w:tcPr>
          <w:p w14:paraId="6F46F778"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3,90</w:t>
            </w:r>
          </w:p>
        </w:tc>
        <w:tc>
          <w:tcPr>
            <w:tcW w:w="1748" w:type="dxa"/>
            <w:hideMark/>
          </w:tcPr>
          <w:p w14:paraId="1090B9B9"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2096" w:type="dxa"/>
            <w:hideMark/>
          </w:tcPr>
          <w:p w14:paraId="1B319CE4"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4,05</w:t>
            </w:r>
          </w:p>
        </w:tc>
        <w:tc>
          <w:tcPr>
            <w:tcW w:w="1755" w:type="dxa"/>
            <w:hideMark/>
          </w:tcPr>
          <w:p w14:paraId="595C9086"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4,27</w:t>
            </w:r>
          </w:p>
        </w:tc>
        <w:tc>
          <w:tcPr>
            <w:tcW w:w="1723" w:type="dxa"/>
            <w:hideMark/>
          </w:tcPr>
          <w:p w14:paraId="4F213946"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3,75</w:t>
            </w:r>
          </w:p>
        </w:tc>
        <w:tc>
          <w:tcPr>
            <w:tcW w:w="1727" w:type="dxa"/>
            <w:hideMark/>
          </w:tcPr>
          <w:p w14:paraId="489F0F0A"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4,05</w:t>
            </w:r>
          </w:p>
        </w:tc>
      </w:tr>
      <w:tr w:rsidR="008B12AA" w:rsidRPr="00BF6615" w14:paraId="41A1214E" w14:textId="77777777" w:rsidTr="005775F8">
        <w:trPr>
          <w:cnfStyle w:val="000000010000" w:firstRow="0" w:lastRow="0" w:firstColumn="0" w:lastColumn="0" w:oddVBand="0" w:evenVBand="0" w:oddHBand="0" w:evenHBand="1" w:firstRowFirstColumn="0" w:firstRowLastColumn="0" w:lastRowFirstColumn="0" w:lastRowLastColumn="0"/>
          <w:trHeight w:val="580"/>
        </w:trPr>
        <w:tc>
          <w:tcPr>
            <w:tcW w:w="2830" w:type="dxa"/>
            <w:hideMark/>
          </w:tcPr>
          <w:p w14:paraId="376C6E01"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informacje w tekście łatwym do czytania i zrozumienia (ETR)</w:t>
            </w:r>
          </w:p>
        </w:tc>
        <w:tc>
          <w:tcPr>
            <w:tcW w:w="1755" w:type="dxa"/>
            <w:hideMark/>
          </w:tcPr>
          <w:p w14:paraId="55C4F873"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4,04</w:t>
            </w:r>
          </w:p>
        </w:tc>
        <w:tc>
          <w:tcPr>
            <w:tcW w:w="1748" w:type="dxa"/>
            <w:hideMark/>
          </w:tcPr>
          <w:p w14:paraId="007C36B0"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2096" w:type="dxa"/>
            <w:hideMark/>
          </w:tcPr>
          <w:p w14:paraId="384AA86C"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4,24</w:t>
            </w:r>
          </w:p>
        </w:tc>
        <w:tc>
          <w:tcPr>
            <w:tcW w:w="1755" w:type="dxa"/>
            <w:hideMark/>
          </w:tcPr>
          <w:p w14:paraId="232C10B4"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4,42</w:t>
            </w:r>
          </w:p>
        </w:tc>
        <w:tc>
          <w:tcPr>
            <w:tcW w:w="1723" w:type="dxa"/>
            <w:hideMark/>
          </w:tcPr>
          <w:p w14:paraId="6C8983AF"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727" w:type="dxa"/>
            <w:hideMark/>
          </w:tcPr>
          <w:p w14:paraId="728DB68D"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4,25</w:t>
            </w:r>
          </w:p>
        </w:tc>
      </w:tr>
      <w:tr w:rsidR="008B12AA" w:rsidRPr="00BF6615" w14:paraId="0B0B722D" w14:textId="77777777" w:rsidTr="005775F8">
        <w:trPr>
          <w:cnfStyle w:val="000000100000" w:firstRow="0" w:lastRow="0" w:firstColumn="0" w:lastColumn="0" w:oddVBand="0" w:evenVBand="0" w:oddHBand="1" w:evenHBand="0" w:firstRowFirstColumn="0" w:firstRowLastColumn="0" w:lastRowFirstColumn="0" w:lastRowLastColumn="0"/>
          <w:trHeight w:val="580"/>
        </w:trPr>
        <w:tc>
          <w:tcPr>
            <w:tcW w:w="2830" w:type="dxa"/>
            <w:hideMark/>
          </w:tcPr>
          <w:p w14:paraId="5D877E55"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jest dla mnie dostępna pod każdym względem</w:t>
            </w:r>
          </w:p>
        </w:tc>
        <w:tc>
          <w:tcPr>
            <w:tcW w:w="1755" w:type="dxa"/>
            <w:hideMark/>
          </w:tcPr>
          <w:p w14:paraId="32066A48"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4,10</w:t>
            </w:r>
          </w:p>
        </w:tc>
        <w:tc>
          <w:tcPr>
            <w:tcW w:w="1748" w:type="dxa"/>
            <w:hideMark/>
          </w:tcPr>
          <w:p w14:paraId="3B28191C"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2096" w:type="dxa"/>
            <w:hideMark/>
          </w:tcPr>
          <w:p w14:paraId="0C580F8E"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1755" w:type="dxa"/>
            <w:hideMark/>
          </w:tcPr>
          <w:p w14:paraId="29597FE5"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723" w:type="dxa"/>
            <w:hideMark/>
          </w:tcPr>
          <w:p w14:paraId="698C4EB4" w14:textId="77777777" w:rsidR="00D5450F" w:rsidRPr="00BF6615" w:rsidRDefault="00D5450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4,05</w:t>
            </w:r>
          </w:p>
        </w:tc>
        <w:tc>
          <w:tcPr>
            <w:tcW w:w="1727" w:type="dxa"/>
            <w:hideMark/>
          </w:tcPr>
          <w:p w14:paraId="46B4396A"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4,21</w:t>
            </w:r>
          </w:p>
        </w:tc>
      </w:tr>
      <w:tr w:rsidR="008B12AA" w:rsidRPr="00BF6615" w14:paraId="496FDC8B" w14:textId="77777777" w:rsidTr="005775F8">
        <w:trPr>
          <w:cnfStyle w:val="000000010000" w:firstRow="0" w:lastRow="0" w:firstColumn="0" w:lastColumn="0" w:oddVBand="0" w:evenVBand="0" w:oddHBand="0" w:evenHBand="1" w:firstRowFirstColumn="0" w:firstRowLastColumn="0" w:lastRowFirstColumn="0" w:lastRowLastColumn="0"/>
          <w:trHeight w:val="290"/>
        </w:trPr>
        <w:tc>
          <w:tcPr>
            <w:tcW w:w="2830" w:type="dxa"/>
            <w:hideMark/>
          </w:tcPr>
          <w:p w14:paraId="5127D395" w14:textId="26DFBC92"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color w:val="000000"/>
                <w:sz w:val="22"/>
                <w:lang w:eastAsia="pl-PL"/>
              </w:rPr>
              <w:t> </w:t>
            </w:r>
            <w:r w:rsidR="00D8567D" w:rsidRPr="00BF6615">
              <w:rPr>
                <w:rFonts w:ascii="Calibri" w:eastAsia="Times New Roman" w:hAnsi="Calibri" w:cs="Calibri"/>
                <w:b/>
                <w:color w:val="000000"/>
                <w:sz w:val="22"/>
                <w:lang w:eastAsia="pl-PL"/>
              </w:rPr>
              <w:t>Sumaryczna średnia ocen</w:t>
            </w:r>
          </w:p>
        </w:tc>
        <w:tc>
          <w:tcPr>
            <w:tcW w:w="1755" w:type="dxa"/>
            <w:hideMark/>
          </w:tcPr>
          <w:p w14:paraId="7FECCD8C"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4,07</w:t>
            </w:r>
          </w:p>
        </w:tc>
        <w:tc>
          <w:tcPr>
            <w:tcW w:w="1748" w:type="dxa"/>
            <w:hideMark/>
          </w:tcPr>
          <w:p w14:paraId="3A966C92"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4,25</w:t>
            </w:r>
          </w:p>
        </w:tc>
        <w:tc>
          <w:tcPr>
            <w:tcW w:w="2096" w:type="dxa"/>
            <w:hideMark/>
          </w:tcPr>
          <w:p w14:paraId="37CFE87E"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4,17</w:t>
            </w:r>
          </w:p>
        </w:tc>
        <w:tc>
          <w:tcPr>
            <w:tcW w:w="1755" w:type="dxa"/>
            <w:hideMark/>
          </w:tcPr>
          <w:p w14:paraId="3E17003E"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4,32</w:t>
            </w:r>
          </w:p>
        </w:tc>
        <w:tc>
          <w:tcPr>
            <w:tcW w:w="1723" w:type="dxa"/>
            <w:hideMark/>
          </w:tcPr>
          <w:p w14:paraId="13711588" w14:textId="77777777" w:rsidR="00D5450F" w:rsidRPr="00BF6615" w:rsidRDefault="00D5450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4,10</w:t>
            </w:r>
          </w:p>
        </w:tc>
        <w:tc>
          <w:tcPr>
            <w:tcW w:w="1727" w:type="dxa"/>
            <w:hideMark/>
          </w:tcPr>
          <w:p w14:paraId="7453AF10" w14:textId="125F7051" w:rsidR="00D5450F" w:rsidRPr="00BF6615" w:rsidRDefault="00C1218E"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w:t>
            </w:r>
          </w:p>
        </w:tc>
      </w:tr>
    </w:tbl>
    <w:p w14:paraId="3DDC1D48" w14:textId="77777777" w:rsidR="004935BD" w:rsidRPr="00BF6615" w:rsidRDefault="004935BD" w:rsidP="00FD0843">
      <w:r w:rsidRPr="00BF6615">
        <w:t>Źródło: opracowanie własne.</w:t>
      </w:r>
    </w:p>
    <w:p w14:paraId="301B98A0" w14:textId="77777777" w:rsidR="00D5450F" w:rsidRPr="00BF6615" w:rsidRDefault="00D5450F" w:rsidP="007E26B5">
      <w:pPr>
        <w:sectPr w:rsidR="00D5450F" w:rsidRPr="00BF6615" w:rsidSect="00D5450F">
          <w:headerReference w:type="even" r:id="rId43"/>
          <w:headerReference w:type="default" r:id="rId44"/>
          <w:footerReference w:type="even" r:id="rId45"/>
          <w:footerReference w:type="default" r:id="rId46"/>
          <w:headerReference w:type="first" r:id="rId47"/>
          <w:pgSz w:w="15840" w:h="12240" w:orient="landscape"/>
          <w:pgMar w:top="1440" w:right="1440" w:bottom="1440" w:left="1440" w:header="709" w:footer="709" w:gutter="0"/>
          <w:cols w:space="708"/>
          <w:titlePg/>
          <w:docGrid w:linePitch="360"/>
        </w:sectPr>
      </w:pPr>
    </w:p>
    <w:p w14:paraId="6E518ABA" w14:textId="78A19905" w:rsidR="00991B9F" w:rsidRPr="00BF6615" w:rsidRDefault="00991B9F" w:rsidP="007E26B5">
      <w:r w:rsidRPr="00BF6615">
        <w:lastRenderedPageBreak/>
        <w:t>Ocena te</w:t>
      </w:r>
      <w:r w:rsidR="00026595" w:rsidRPr="00BF6615">
        <w:t xml:space="preserve">matycznych stron publicznych- strony instytucji zdrowia, edukacyjne, instytucji kultury pokazuje, że </w:t>
      </w:r>
      <w:r w:rsidR="003C723A" w:rsidRPr="00BF6615">
        <w:t>najlepiej oceniane są strony instytucji kultury- średni ocen dla wszystkich aspektów dostępności</w:t>
      </w:r>
      <w:r w:rsidR="00ED7DA6" w:rsidRPr="00BF6615">
        <w:t>:</w:t>
      </w:r>
      <w:r w:rsidR="003C723A" w:rsidRPr="00BF6615">
        <w:t xml:space="preserve"> 4,69. </w:t>
      </w:r>
      <w:r w:rsidR="00ED7DA6" w:rsidRPr="00BF6615">
        <w:t xml:space="preserve">Znacząco niżej oceniono strony edukacyjne- średnia ocen: </w:t>
      </w:r>
      <w:r w:rsidR="00517314" w:rsidRPr="00BF6615">
        <w:t>3,74.</w:t>
      </w:r>
      <w:r w:rsidR="00517314" w:rsidRPr="00BF6615">
        <w:br/>
      </w:r>
      <w:r w:rsidR="003C723A" w:rsidRPr="00BF6615">
        <w:t xml:space="preserve">Analiza szczegółowych ocen </w:t>
      </w:r>
      <w:r w:rsidR="001A6118" w:rsidRPr="00BF6615">
        <w:t xml:space="preserve">kryteriów dostępności wskazuje, że </w:t>
      </w:r>
      <w:r w:rsidR="00C20EE7" w:rsidRPr="00BF6615">
        <w:t xml:space="preserve">łatwy kontakt z podmiotem, tłumaczenia na PJM i czytelny układ treści to największe problemy analizowanych stron tematycznych </w:t>
      </w:r>
      <w:r w:rsidR="38901344" w:rsidRPr="00BF6615">
        <w:t>c</w:t>
      </w:r>
      <w:r w:rsidR="00C20EE7" w:rsidRPr="00BF6615">
        <w:t xml:space="preserve">o koreluje </w:t>
      </w:r>
      <w:r w:rsidR="409B31FD" w:rsidRPr="00BF6615">
        <w:t xml:space="preserve">z </w:t>
      </w:r>
      <w:r w:rsidR="00C20EE7" w:rsidRPr="00BF6615">
        <w:t xml:space="preserve">wynikami poszczególnych typów stron, gdzie właśnie kontakt </w:t>
      </w:r>
      <w:r w:rsidR="00A42EFD" w:rsidRPr="00BF6615">
        <w:t>z</w:t>
      </w:r>
      <w:r w:rsidR="00A42EFD">
        <w:t> </w:t>
      </w:r>
      <w:r w:rsidR="00C20EE7" w:rsidRPr="00BF6615">
        <w:t>podmiotem został oceniony najniżej.</w:t>
      </w:r>
    </w:p>
    <w:p w14:paraId="57750F8A" w14:textId="426DDFF4" w:rsidR="00991B9F" w:rsidRPr="00BF6615" w:rsidRDefault="00991B9F" w:rsidP="007E26B5">
      <w:pPr>
        <w:pStyle w:val="Legenda"/>
        <w:keepNext/>
      </w:pPr>
      <w:bookmarkStart w:id="226" w:name="_Toc204179124"/>
      <w:r w:rsidRPr="00BF6615">
        <w:t xml:space="preserve">Tabela </w:t>
      </w:r>
      <w:r w:rsidRPr="00BF6615">
        <w:fldChar w:fldCharType="begin"/>
      </w:r>
      <w:r w:rsidRPr="00BF6615">
        <w:instrText xml:space="preserve"> SEQ Tabela \* ARABIC </w:instrText>
      </w:r>
      <w:r w:rsidRPr="00BF6615">
        <w:fldChar w:fldCharType="separate"/>
      </w:r>
      <w:r w:rsidR="00FD0843">
        <w:rPr>
          <w:noProof/>
        </w:rPr>
        <w:t>26</w:t>
      </w:r>
      <w:r w:rsidRPr="00BF6615">
        <w:fldChar w:fldCharType="end"/>
      </w:r>
      <w:r w:rsidR="00FD0843">
        <w:t>.</w:t>
      </w:r>
      <w:r w:rsidRPr="00BF6615">
        <w:t xml:space="preserve"> Średnie oceny tematycznych stron publicznych wg aspektów dostępności cyfrowej dla stron, z których korzystają osoby badane w pełnej grupie badanej</w:t>
      </w:r>
      <w:bookmarkEnd w:id="226"/>
    </w:p>
    <w:p w14:paraId="78689FD8" w14:textId="77777777" w:rsidR="00B54CDD" w:rsidRPr="00BF6615" w:rsidRDefault="00B54CDD" w:rsidP="007E26B5">
      <w:pPr>
        <w:spacing w:after="0" w:line="240" w:lineRule="auto"/>
      </w:pPr>
    </w:p>
    <w:tbl>
      <w:tblPr>
        <w:tblStyle w:val="PARP"/>
        <w:tblW w:w="10234" w:type="dxa"/>
        <w:tblLook w:val="04A0" w:firstRow="1" w:lastRow="0" w:firstColumn="1" w:lastColumn="0" w:noHBand="0" w:noVBand="1"/>
        <w:tblCaption w:val="Średnie oceny tematycznych stron publicznych wg aspektów dostępności cyfrowej dla stron, z których korzystają osoby badane w pełnej grupie badanej"/>
        <w:tblDescription w:val="Średnie oceny tematycznych stron publicznych wg aspektów dostępności cyfrowej dla stron, z których korzystają osoby badane w pełnej grupie badanej"/>
      </w:tblPr>
      <w:tblGrid>
        <w:gridCol w:w="3114"/>
        <w:gridCol w:w="1780"/>
        <w:gridCol w:w="1780"/>
        <w:gridCol w:w="1780"/>
        <w:gridCol w:w="1780"/>
      </w:tblGrid>
      <w:tr w:rsidR="00B51038" w:rsidRPr="00BF6615" w14:paraId="4C68E38E" w14:textId="77777777" w:rsidTr="00991B9F">
        <w:trPr>
          <w:cnfStyle w:val="100000000000" w:firstRow="1" w:lastRow="0" w:firstColumn="0" w:lastColumn="0" w:oddVBand="0" w:evenVBand="0" w:oddHBand="0" w:evenHBand="0" w:firstRowFirstColumn="0" w:firstRowLastColumn="0" w:lastRowFirstColumn="0" w:lastRowLastColumn="0"/>
          <w:trHeight w:val="580"/>
        </w:trPr>
        <w:tc>
          <w:tcPr>
            <w:tcW w:w="3114" w:type="dxa"/>
            <w:noWrap/>
            <w:hideMark/>
          </w:tcPr>
          <w:p w14:paraId="6B41C054" w14:textId="5890B7E6" w:rsidR="00991B9F" w:rsidRPr="00BF6615" w:rsidRDefault="00991B9F" w:rsidP="007E26B5">
            <w:pPr>
              <w:spacing w:after="0" w:line="240" w:lineRule="auto"/>
              <w:rPr>
                <w:rFonts w:eastAsia="Times New Roman" w:cs="Calibri"/>
                <w:b/>
                <w:sz w:val="22"/>
                <w:lang w:eastAsia="pl-PL"/>
              </w:rPr>
            </w:pPr>
            <w:r w:rsidRPr="00BF6615">
              <w:rPr>
                <w:b/>
                <w:sz w:val="22"/>
              </w:rPr>
              <w:t>Oceniany aspekt dostępności</w:t>
            </w:r>
          </w:p>
        </w:tc>
        <w:tc>
          <w:tcPr>
            <w:tcW w:w="1780" w:type="dxa"/>
            <w:hideMark/>
          </w:tcPr>
          <w:p w14:paraId="547C500C" w14:textId="77777777" w:rsidR="00991B9F" w:rsidRPr="00BF6615" w:rsidRDefault="00991B9F" w:rsidP="007E26B5">
            <w:pPr>
              <w:spacing w:after="0" w:line="240" w:lineRule="auto"/>
              <w:rPr>
                <w:rFonts w:eastAsia="Times New Roman" w:cs="Calibri"/>
                <w:b/>
                <w:sz w:val="22"/>
                <w:lang w:eastAsia="pl-PL"/>
              </w:rPr>
            </w:pPr>
            <w:r w:rsidRPr="00BF6615">
              <w:rPr>
                <w:rFonts w:eastAsia="Times New Roman" w:cs="Calibri"/>
                <w:b/>
                <w:sz w:val="22"/>
                <w:lang w:eastAsia="pl-PL"/>
              </w:rPr>
              <w:t>Strona instytucji zdrowia</w:t>
            </w:r>
          </w:p>
        </w:tc>
        <w:tc>
          <w:tcPr>
            <w:tcW w:w="1780" w:type="dxa"/>
            <w:hideMark/>
          </w:tcPr>
          <w:p w14:paraId="4017CE2D" w14:textId="77777777" w:rsidR="00991B9F" w:rsidRPr="00BF6615" w:rsidRDefault="00991B9F" w:rsidP="007E26B5">
            <w:pPr>
              <w:spacing w:after="0" w:line="240" w:lineRule="auto"/>
              <w:rPr>
                <w:rFonts w:eastAsia="Times New Roman" w:cs="Calibri"/>
                <w:b/>
                <w:sz w:val="22"/>
                <w:lang w:eastAsia="pl-PL"/>
              </w:rPr>
            </w:pPr>
            <w:r w:rsidRPr="00BF6615">
              <w:rPr>
                <w:rFonts w:eastAsia="Times New Roman" w:cs="Calibri"/>
                <w:b/>
                <w:sz w:val="22"/>
                <w:lang w:eastAsia="pl-PL"/>
              </w:rPr>
              <w:t>Strona edukacyjna</w:t>
            </w:r>
          </w:p>
        </w:tc>
        <w:tc>
          <w:tcPr>
            <w:tcW w:w="1780" w:type="dxa"/>
            <w:hideMark/>
          </w:tcPr>
          <w:p w14:paraId="6C4D6AD0" w14:textId="77777777" w:rsidR="00991B9F" w:rsidRPr="00BF6615" w:rsidRDefault="00991B9F" w:rsidP="007E26B5">
            <w:pPr>
              <w:spacing w:after="0" w:line="240" w:lineRule="auto"/>
              <w:rPr>
                <w:rFonts w:eastAsia="Times New Roman" w:cs="Calibri"/>
                <w:b/>
                <w:sz w:val="22"/>
                <w:lang w:eastAsia="pl-PL"/>
              </w:rPr>
            </w:pPr>
            <w:r w:rsidRPr="00BF6615">
              <w:rPr>
                <w:rFonts w:eastAsia="Times New Roman" w:cs="Calibri"/>
                <w:b/>
                <w:sz w:val="22"/>
                <w:lang w:eastAsia="pl-PL"/>
              </w:rPr>
              <w:t>Strona instytucji kultury</w:t>
            </w:r>
          </w:p>
        </w:tc>
        <w:tc>
          <w:tcPr>
            <w:tcW w:w="1780" w:type="dxa"/>
            <w:hideMark/>
          </w:tcPr>
          <w:p w14:paraId="71079EED" w14:textId="48A651D3" w:rsidR="00991B9F" w:rsidRPr="00BF6615" w:rsidRDefault="00991B9F"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B51038" w:rsidRPr="00BF6615" w14:paraId="798C2EC4" w14:textId="77777777" w:rsidTr="00991B9F">
        <w:trPr>
          <w:cnfStyle w:val="000000100000" w:firstRow="0" w:lastRow="0" w:firstColumn="0" w:lastColumn="0" w:oddVBand="0" w:evenVBand="0" w:oddHBand="1" w:evenHBand="0" w:firstRowFirstColumn="0" w:firstRowLastColumn="0" w:lastRowFirstColumn="0" w:lastRowLastColumn="0"/>
          <w:trHeight w:val="580"/>
        </w:trPr>
        <w:tc>
          <w:tcPr>
            <w:tcW w:w="3114" w:type="dxa"/>
            <w:hideMark/>
          </w:tcPr>
          <w:p w14:paraId="6EEEA95B"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przeglądać zawartość i znajdować potrzebne mi informacje</w:t>
            </w:r>
          </w:p>
        </w:tc>
        <w:tc>
          <w:tcPr>
            <w:tcW w:w="1780" w:type="dxa"/>
            <w:hideMark/>
          </w:tcPr>
          <w:p w14:paraId="54E4020A"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4,11</w:t>
            </w:r>
          </w:p>
        </w:tc>
        <w:tc>
          <w:tcPr>
            <w:tcW w:w="1780" w:type="dxa"/>
            <w:hideMark/>
          </w:tcPr>
          <w:p w14:paraId="4A2F2EBF"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780" w:type="dxa"/>
            <w:hideMark/>
          </w:tcPr>
          <w:p w14:paraId="0F212B8F"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780" w:type="dxa"/>
            <w:noWrap/>
            <w:hideMark/>
          </w:tcPr>
          <w:p w14:paraId="0690BC15"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4,12</w:t>
            </w:r>
          </w:p>
        </w:tc>
      </w:tr>
      <w:tr w:rsidR="00B51038" w:rsidRPr="00BF6615" w14:paraId="3FC5432D" w14:textId="77777777" w:rsidTr="00991B9F">
        <w:trPr>
          <w:cnfStyle w:val="000000010000" w:firstRow="0" w:lastRow="0" w:firstColumn="0" w:lastColumn="0" w:oddVBand="0" w:evenVBand="0" w:oddHBand="0" w:evenHBand="1" w:firstRowFirstColumn="0" w:firstRowLastColumn="0" w:lastRowFirstColumn="0" w:lastRowLastColumn="0"/>
          <w:trHeight w:val="290"/>
        </w:trPr>
        <w:tc>
          <w:tcPr>
            <w:tcW w:w="3114" w:type="dxa"/>
            <w:hideMark/>
          </w:tcPr>
          <w:p w14:paraId="11EB1DCD"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na stronie są dla mnie zrozumiałe</w:t>
            </w:r>
          </w:p>
        </w:tc>
        <w:tc>
          <w:tcPr>
            <w:tcW w:w="1780" w:type="dxa"/>
            <w:hideMark/>
          </w:tcPr>
          <w:p w14:paraId="03E2FA0C"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4,11</w:t>
            </w:r>
          </w:p>
        </w:tc>
        <w:tc>
          <w:tcPr>
            <w:tcW w:w="1780" w:type="dxa"/>
            <w:hideMark/>
          </w:tcPr>
          <w:p w14:paraId="359F5728"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80" w:type="dxa"/>
            <w:hideMark/>
          </w:tcPr>
          <w:p w14:paraId="3CDF673B"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780" w:type="dxa"/>
            <w:noWrap/>
            <w:hideMark/>
          </w:tcPr>
          <w:p w14:paraId="61882A22"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4,30</w:t>
            </w:r>
          </w:p>
        </w:tc>
      </w:tr>
      <w:tr w:rsidR="00B51038" w:rsidRPr="00BF6615" w14:paraId="72281012" w14:textId="77777777" w:rsidTr="00991B9F">
        <w:trPr>
          <w:cnfStyle w:val="000000100000" w:firstRow="0" w:lastRow="0" w:firstColumn="0" w:lastColumn="0" w:oddVBand="0" w:evenVBand="0" w:oddHBand="1" w:evenHBand="0" w:firstRowFirstColumn="0" w:firstRowLastColumn="0" w:lastRowFirstColumn="0" w:lastRowLastColumn="0"/>
          <w:trHeight w:val="1160"/>
        </w:trPr>
        <w:tc>
          <w:tcPr>
            <w:tcW w:w="3114" w:type="dxa"/>
            <w:hideMark/>
          </w:tcPr>
          <w:p w14:paraId="0DAEF39C"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ma czytelny układ treści bez względu na urządzenie, z którego korzystam, w widoku poziomym i pionowym</w:t>
            </w:r>
          </w:p>
        </w:tc>
        <w:tc>
          <w:tcPr>
            <w:tcW w:w="1780" w:type="dxa"/>
            <w:hideMark/>
          </w:tcPr>
          <w:p w14:paraId="0BC46E7C"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3,98</w:t>
            </w:r>
          </w:p>
        </w:tc>
        <w:tc>
          <w:tcPr>
            <w:tcW w:w="1780" w:type="dxa"/>
            <w:hideMark/>
          </w:tcPr>
          <w:p w14:paraId="09CF311D"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3,58</w:t>
            </w:r>
          </w:p>
        </w:tc>
        <w:tc>
          <w:tcPr>
            <w:tcW w:w="1780" w:type="dxa"/>
            <w:hideMark/>
          </w:tcPr>
          <w:p w14:paraId="6C9BE380"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1780" w:type="dxa"/>
            <w:noWrap/>
            <w:hideMark/>
          </w:tcPr>
          <w:p w14:paraId="337387A8"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4,04</w:t>
            </w:r>
          </w:p>
        </w:tc>
      </w:tr>
      <w:tr w:rsidR="00B51038" w:rsidRPr="00BF6615" w14:paraId="606CA20D" w14:textId="77777777" w:rsidTr="00991B9F">
        <w:trPr>
          <w:cnfStyle w:val="000000010000" w:firstRow="0" w:lastRow="0" w:firstColumn="0" w:lastColumn="0" w:oddVBand="0" w:evenVBand="0" w:oddHBand="0" w:evenHBand="1" w:firstRowFirstColumn="0" w:firstRowLastColumn="0" w:lastRowFirstColumn="0" w:lastRowLastColumn="0"/>
          <w:trHeight w:val="580"/>
        </w:trPr>
        <w:tc>
          <w:tcPr>
            <w:tcW w:w="3114" w:type="dxa"/>
            <w:hideMark/>
          </w:tcPr>
          <w:p w14:paraId="05FD6CCB"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na stronie są dla mnie przyjazne</w:t>
            </w:r>
          </w:p>
        </w:tc>
        <w:tc>
          <w:tcPr>
            <w:tcW w:w="1780" w:type="dxa"/>
            <w:hideMark/>
          </w:tcPr>
          <w:p w14:paraId="66434ABC"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4,09</w:t>
            </w:r>
          </w:p>
        </w:tc>
        <w:tc>
          <w:tcPr>
            <w:tcW w:w="1780" w:type="dxa"/>
            <w:hideMark/>
          </w:tcPr>
          <w:p w14:paraId="3E9707D5"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3,73</w:t>
            </w:r>
          </w:p>
        </w:tc>
        <w:tc>
          <w:tcPr>
            <w:tcW w:w="1780" w:type="dxa"/>
            <w:hideMark/>
          </w:tcPr>
          <w:p w14:paraId="431441AF"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4,65</w:t>
            </w:r>
          </w:p>
        </w:tc>
        <w:tc>
          <w:tcPr>
            <w:tcW w:w="1780" w:type="dxa"/>
            <w:noWrap/>
            <w:hideMark/>
          </w:tcPr>
          <w:p w14:paraId="7B289F1A"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4,15</w:t>
            </w:r>
          </w:p>
        </w:tc>
      </w:tr>
      <w:tr w:rsidR="00B51038" w:rsidRPr="00BF6615" w14:paraId="2D3EFFAA" w14:textId="77777777" w:rsidTr="00991B9F">
        <w:trPr>
          <w:cnfStyle w:val="000000100000" w:firstRow="0" w:lastRow="0" w:firstColumn="0" w:lastColumn="0" w:oddVBand="0" w:evenVBand="0" w:oddHBand="1" w:evenHBand="0" w:firstRowFirstColumn="0" w:firstRowLastColumn="0" w:lastRowFirstColumn="0" w:lastRowLastColumn="0"/>
          <w:trHeight w:val="580"/>
        </w:trPr>
        <w:tc>
          <w:tcPr>
            <w:tcW w:w="3114" w:type="dxa"/>
            <w:hideMark/>
          </w:tcPr>
          <w:p w14:paraId="4291C56F"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Formularze zamieszczone na stronie są dla mnie dostępne</w:t>
            </w:r>
          </w:p>
        </w:tc>
        <w:tc>
          <w:tcPr>
            <w:tcW w:w="1780" w:type="dxa"/>
            <w:hideMark/>
          </w:tcPr>
          <w:p w14:paraId="6D4FFEB3"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4,11</w:t>
            </w:r>
          </w:p>
        </w:tc>
        <w:tc>
          <w:tcPr>
            <w:tcW w:w="1780" w:type="dxa"/>
            <w:hideMark/>
          </w:tcPr>
          <w:p w14:paraId="30EB0EE4"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780" w:type="dxa"/>
            <w:hideMark/>
          </w:tcPr>
          <w:p w14:paraId="44A71007"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4,59</w:t>
            </w:r>
          </w:p>
        </w:tc>
        <w:tc>
          <w:tcPr>
            <w:tcW w:w="1780" w:type="dxa"/>
            <w:noWrap/>
            <w:hideMark/>
          </w:tcPr>
          <w:p w14:paraId="581EB628"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4,12</w:t>
            </w:r>
          </w:p>
        </w:tc>
      </w:tr>
      <w:tr w:rsidR="00B51038" w:rsidRPr="00BF6615" w14:paraId="108E5AD4" w14:textId="77777777" w:rsidTr="00991B9F">
        <w:trPr>
          <w:cnfStyle w:val="000000010000" w:firstRow="0" w:lastRow="0" w:firstColumn="0" w:lastColumn="0" w:oddVBand="0" w:evenVBand="0" w:oddHBand="0" w:evenHBand="1" w:firstRowFirstColumn="0" w:firstRowLastColumn="0" w:lastRowFirstColumn="0" w:lastRowLastColumn="0"/>
          <w:trHeight w:val="290"/>
        </w:trPr>
        <w:tc>
          <w:tcPr>
            <w:tcW w:w="3114" w:type="dxa"/>
            <w:hideMark/>
          </w:tcPr>
          <w:p w14:paraId="64E2DC25"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Łatwo można korzystać z wyszukiwarki</w:t>
            </w:r>
          </w:p>
        </w:tc>
        <w:tc>
          <w:tcPr>
            <w:tcW w:w="1780" w:type="dxa"/>
            <w:hideMark/>
          </w:tcPr>
          <w:p w14:paraId="6E246AE7"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80" w:type="dxa"/>
            <w:hideMark/>
          </w:tcPr>
          <w:p w14:paraId="06261C9A"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3,73</w:t>
            </w:r>
          </w:p>
        </w:tc>
        <w:tc>
          <w:tcPr>
            <w:tcW w:w="1780" w:type="dxa"/>
            <w:hideMark/>
          </w:tcPr>
          <w:p w14:paraId="7F23FD02"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4,72</w:t>
            </w:r>
          </w:p>
        </w:tc>
        <w:tc>
          <w:tcPr>
            <w:tcW w:w="1780" w:type="dxa"/>
            <w:noWrap/>
            <w:hideMark/>
          </w:tcPr>
          <w:p w14:paraId="22AE375B"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4,15</w:t>
            </w:r>
          </w:p>
        </w:tc>
      </w:tr>
      <w:tr w:rsidR="00B51038" w:rsidRPr="00BF6615" w14:paraId="123261EE" w14:textId="77777777" w:rsidTr="00991B9F">
        <w:trPr>
          <w:cnfStyle w:val="000000100000" w:firstRow="0" w:lastRow="0" w:firstColumn="0" w:lastColumn="0" w:oddVBand="0" w:evenVBand="0" w:oddHBand="1" w:evenHBand="0" w:firstRowFirstColumn="0" w:firstRowLastColumn="0" w:lastRowFirstColumn="0" w:lastRowLastColumn="0"/>
          <w:trHeight w:val="580"/>
        </w:trPr>
        <w:tc>
          <w:tcPr>
            <w:tcW w:w="3114" w:type="dxa"/>
            <w:hideMark/>
          </w:tcPr>
          <w:p w14:paraId="403F3668"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Obrazy, grafiki i zdjęcia na stronie są dla mnie zrozumiałe</w:t>
            </w:r>
          </w:p>
        </w:tc>
        <w:tc>
          <w:tcPr>
            <w:tcW w:w="1780" w:type="dxa"/>
            <w:hideMark/>
          </w:tcPr>
          <w:p w14:paraId="541700E2"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80" w:type="dxa"/>
            <w:hideMark/>
          </w:tcPr>
          <w:p w14:paraId="1189B46C"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80" w:type="dxa"/>
            <w:hideMark/>
          </w:tcPr>
          <w:p w14:paraId="6ADB504C"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4,74</w:t>
            </w:r>
          </w:p>
        </w:tc>
        <w:tc>
          <w:tcPr>
            <w:tcW w:w="1780" w:type="dxa"/>
            <w:noWrap/>
            <w:hideMark/>
          </w:tcPr>
          <w:p w14:paraId="7AA4753B"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4,25</w:t>
            </w:r>
          </w:p>
        </w:tc>
      </w:tr>
      <w:tr w:rsidR="00B51038" w:rsidRPr="00BF6615" w14:paraId="31E47639" w14:textId="77777777" w:rsidTr="00991B9F">
        <w:trPr>
          <w:cnfStyle w:val="000000010000" w:firstRow="0" w:lastRow="0" w:firstColumn="0" w:lastColumn="0" w:oddVBand="0" w:evenVBand="0" w:oddHBand="0" w:evenHBand="1" w:firstRowFirstColumn="0" w:firstRowLastColumn="0" w:lastRowFirstColumn="0" w:lastRowLastColumn="0"/>
          <w:trHeight w:val="290"/>
        </w:trPr>
        <w:tc>
          <w:tcPr>
            <w:tcW w:w="3114" w:type="dxa"/>
            <w:hideMark/>
          </w:tcPr>
          <w:p w14:paraId="31E3A6ED"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Multimedia są dla mnie zrozumiałe</w:t>
            </w:r>
          </w:p>
        </w:tc>
        <w:tc>
          <w:tcPr>
            <w:tcW w:w="1780" w:type="dxa"/>
            <w:hideMark/>
          </w:tcPr>
          <w:p w14:paraId="0587A62C"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4,02</w:t>
            </w:r>
          </w:p>
        </w:tc>
        <w:tc>
          <w:tcPr>
            <w:tcW w:w="1780" w:type="dxa"/>
            <w:hideMark/>
          </w:tcPr>
          <w:p w14:paraId="3FFE91D1"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3,73</w:t>
            </w:r>
          </w:p>
        </w:tc>
        <w:tc>
          <w:tcPr>
            <w:tcW w:w="1780" w:type="dxa"/>
            <w:hideMark/>
          </w:tcPr>
          <w:p w14:paraId="242CE2BB"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4,68</w:t>
            </w:r>
          </w:p>
        </w:tc>
        <w:tc>
          <w:tcPr>
            <w:tcW w:w="1780" w:type="dxa"/>
            <w:noWrap/>
            <w:hideMark/>
          </w:tcPr>
          <w:p w14:paraId="6902F7AC"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4,14</w:t>
            </w:r>
          </w:p>
        </w:tc>
      </w:tr>
      <w:tr w:rsidR="00B51038" w:rsidRPr="00BF6615" w14:paraId="47B34943" w14:textId="77777777" w:rsidTr="00991B9F">
        <w:trPr>
          <w:cnfStyle w:val="000000100000" w:firstRow="0" w:lastRow="0" w:firstColumn="0" w:lastColumn="0" w:oddVBand="0" w:evenVBand="0" w:oddHBand="1" w:evenHBand="0" w:firstRowFirstColumn="0" w:firstRowLastColumn="0" w:lastRowFirstColumn="0" w:lastRowLastColumn="0"/>
          <w:trHeight w:val="1450"/>
        </w:trPr>
        <w:tc>
          <w:tcPr>
            <w:tcW w:w="3114" w:type="dxa"/>
            <w:hideMark/>
          </w:tcPr>
          <w:p w14:paraId="24984266"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 (E-mail, chat, SMS, wideo rozmowa, itp.)</w:t>
            </w:r>
          </w:p>
        </w:tc>
        <w:tc>
          <w:tcPr>
            <w:tcW w:w="1780" w:type="dxa"/>
            <w:hideMark/>
          </w:tcPr>
          <w:p w14:paraId="003806CB"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3,84</w:t>
            </w:r>
          </w:p>
        </w:tc>
        <w:tc>
          <w:tcPr>
            <w:tcW w:w="1780" w:type="dxa"/>
            <w:hideMark/>
          </w:tcPr>
          <w:p w14:paraId="00695505"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3,55</w:t>
            </w:r>
          </w:p>
        </w:tc>
        <w:tc>
          <w:tcPr>
            <w:tcW w:w="1780" w:type="dxa"/>
            <w:hideMark/>
          </w:tcPr>
          <w:p w14:paraId="63EF47EE"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4,64</w:t>
            </w:r>
          </w:p>
        </w:tc>
        <w:tc>
          <w:tcPr>
            <w:tcW w:w="1780" w:type="dxa"/>
            <w:noWrap/>
            <w:hideMark/>
          </w:tcPr>
          <w:p w14:paraId="6DA756A1"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4,01</w:t>
            </w:r>
          </w:p>
        </w:tc>
      </w:tr>
      <w:tr w:rsidR="00B51038" w:rsidRPr="00BF6615" w14:paraId="5CBCF806" w14:textId="77777777" w:rsidTr="00991B9F">
        <w:trPr>
          <w:cnfStyle w:val="000000010000" w:firstRow="0" w:lastRow="0" w:firstColumn="0" w:lastColumn="0" w:oddVBand="0" w:evenVBand="0" w:oddHBand="0" w:evenHBand="1" w:firstRowFirstColumn="0" w:firstRowLastColumn="0" w:lastRowFirstColumn="0" w:lastRowLastColumn="0"/>
          <w:trHeight w:val="580"/>
        </w:trPr>
        <w:tc>
          <w:tcPr>
            <w:tcW w:w="3114" w:type="dxa"/>
            <w:hideMark/>
          </w:tcPr>
          <w:p w14:paraId="440E6309"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strony mogę obsłużyć za pomocą klawiatury</w:t>
            </w:r>
          </w:p>
        </w:tc>
        <w:tc>
          <w:tcPr>
            <w:tcW w:w="1780" w:type="dxa"/>
            <w:hideMark/>
          </w:tcPr>
          <w:p w14:paraId="76FA25FC"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4,23</w:t>
            </w:r>
          </w:p>
        </w:tc>
        <w:tc>
          <w:tcPr>
            <w:tcW w:w="1780" w:type="dxa"/>
            <w:hideMark/>
          </w:tcPr>
          <w:p w14:paraId="75902CF4"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80" w:type="dxa"/>
            <w:hideMark/>
          </w:tcPr>
          <w:p w14:paraId="371988F3"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4,79</w:t>
            </w:r>
          </w:p>
        </w:tc>
        <w:tc>
          <w:tcPr>
            <w:tcW w:w="1780" w:type="dxa"/>
            <w:noWrap/>
            <w:hideMark/>
          </w:tcPr>
          <w:p w14:paraId="69A792F0"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4,34</w:t>
            </w:r>
          </w:p>
        </w:tc>
      </w:tr>
      <w:tr w:rsidR="00B51038" w:rsidRPr="00BF6615" w14:paraId="1B3B97B5" w14:textId="77777777" w:rsidTr="00991B9F">
        <w:trPr>
          <w:cnfStyle w:val="000000100000" w:firstRow="0" w:lastRow="0" w:firstColumn="0" w:lastColumn="0" w:oddVBand="0" w:evenVBand="0" w:oddHBand="1" w:evenHBand="0" w:firstRowFirstColumn="0" w:firstRowLastColumn="0" w:lastRowFirstColumn="0" w:lastRowLastColumn="0"/>
          <w:trHeight w:val="580"/>
        </w:trPr>
        <w:tc>
          <w:tcPr>
            <w:tcW w:w="3114" w:type="dxa"/>
            <w:hideMark/>
          </w:tcPr>
          <w:p w14:paraId="5883DB2A"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tłumaczenia na Polski język migowy (PJM)</w:t>
            </w:r>
          </w:p>
        </w:tc>
        <w:tc>
          <w:tcPr>
            <w:tcW w:w="1780" w:type="dxa"/>
            <w:hideMark/>
          </w:tcPr>
          <w:p w14:paraId="557BC40E"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3,83</w:t>
            </w:r>
          </w:p>
        </w:tc>
        <w:tc>
          <w:tcPr>
            <w:tcW w:w="1780" w:type="dxa"/>
            <w:hideMark/>
          </w:tcPr>
          <w:p w14:paraId="081D3936"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3,57</w:t>
            </w:r>
          </w:p>
        </w:tc>
        <w:tc>
          <w:tcPr>
            <w:tcW w:w="1780" w:type="dxa"/>
            <w:hideMark/>
          </w:tcPr>
          <w:p w14:paraId="64288436"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4,64</w:t>
            </w:r>
          </w:p>
        </w:tc>
        <w:tc>
          <w:tcPr>
            <w:tcW w:w="1780" w:type="dxa"/>
            <w:noWrap/>
            <w:hideMark/>
          </w:tcPr>
          <w:p w14:paraId="01650348"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4,01</w:t>
            </w:r>
          </w:p>
        </w:tc>
      </w:tr>
      <w:tr w:rsidR="00B51038" w:rsidRPr="00BF6615" w14:paraId="7BAFED6F" w14:textId="77777777" w:rsidTr="00991B9F">
        <w:trPr>
          <w:cnfStyle w:val="000000010000" w:firstRow="0" w:lastRow="0" w:firstColumn="0" w:lastColumn="0" w:oddVBand="0" w:evenVBand="0" w:oddHBand="0" w:evenHBand="1" w:firstRowFirstColumn="0" w:firstRowLastColumn="0" w:lastRowFirstColumn="0" w:lastRowLastColumn="0"/>
          <w:trHeight w:val="580"/>
        </w:trPr>
        <w:tc>
          <w:tcPr>
            <w:tcW w:w="3114" w:type="dxa"/>
            <w:hideMark/>
          </w:tcPr>
          <w:p w14:paraId="5837B739"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Strona zawiera informacje w tekście łatwym do czytania i zrozumienia (ETR)</w:t>
            </w:r>
          </w:p>
        </w:tc>
        <w:tc>
          <w:tcPr>
            <w:tcW w:w="1780" w:type="dxa"/>
            <w:hideMark/>
          </w:tcPr>
          <w:p w14:paraId="6C7CDB16"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4,18</w:t>
            </w:r>
          </w:p>
        </w:tc>
        <w:tc>
          <w:tcPr>
            <w:tcW w:w="1780" w:type="dxa"/>
            <w:hideMark/>
          </w:tcPr>
          <w:p w14:paraId="0CEDC731"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80" w:type="dxa"/>
            <w:hideMark/>
          </w:tcPr>
          <w:p w14:paraId="18FF615E"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4,84</w:t>
            </w:r>
          </w:p>
        </w:tc>
        <w:tc>
          <w:tcPr>
            <w:tcW w:w="1780" w:type="dxa"/>
            <w:noWrap/>
            <w:hideMark/>
          </w:tcPr>
          <w:p w14:paraId="18472054"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4,34</w:t>
            </w:r>
          </w:p>
        </w:tc>
      </w:tr>
      <w:tr w:rsidR="00B51038" w:rsidRPr="00BF6615" w14:paraId="44CFC928" w14:textId="77777777" w:rsidTr="00991B9F">
        <w:trPr>
          <w:cnfStyle w:val="000000100000" w:firstRow="0" w:lastRow="0" w:firstColumn="0" w:lastColumn="0" w:oddVBand="0" w:evenVBand="0" w:oddHBand="1" w:evenHBand="0" w:firstRowFirstColumn="0" w:firstRowLastColumn="0" w:lastRowFirstColumn="0" w:lastRowLastColumn="0"/>
          <w:trHeight w:val="580"/>
        </w:trPr>
        <w:tc>
          <w:tcPr>
            <w:tcW w:w="3114" w:type="dxa"/>
            <w:hideMark/>
          </w:tcPr>
          <w:p w14:paraId="2734C100"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jest dla mnie dostępna pod każdym względem</w:t>
            </w:r>
          </w:p>
        </w:tc>
        <w:tc>
          <w:tcPr>
            <w:tcW w:w="1780" w:type="dxa"/>
            <w:hideMark/>
          </w:tcPr>
          <w:p w14:paraId="2DDCD247"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4,07</w:t>
            </w:r>
          </w:p>
        </w:tc>
        <w:tc>
          <w:tcPr>
            <w:tcW w:w="1780" w:type="dxa"/>
            <w:hideMark/>
          </w:tcPr>
          <w:p w14:paraId="0B7BA6E4"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3,42</w:t>
            </w:r>
          </w:p>
        </w:tc>
        <w:tc>
          <w:tcPr>
            <w:tcW w:w="1780" w:type="dxa"/>
            <w:hideMark/>
          </w:tcPr>
          <w:p w14:paraId="21BE3C0A" w14:textId="77777777"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4,68</w:t>
            </w:r>
          </w:p>
        </w:tc>
        <w:tc>
          <w:tcPr>
            <w:tcW w:w="1780" w:type="dxa"/>
            <w:noWrap/>
            <w:hideMark/>
          </w:tcPr>
          <w:p w14:paraId="1A1222DA"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4,05</w:t>
            </w:r>
          </w:p>
        </w:tc>
      </w:tr>
      <w:tr w:rsidR="00B51038" w:rsidRPr="00BF6615" w14:paraId="74A54339" w14:textId="77777777" w:rsidTr="00991B9F">
        <w:trPr>
          <w:cnfStyle w:val="000000010000" w:firstRow="0" w:lastRow="0" w:firstColumn="0" w:lastColumn="0" w:oddVBand="0" w:evenVBand="0" w:oddHBand="0" w:evenHBand="1" w:firstRowFirstColumn="0" w:firstRowLastColumn="0" w:lastRowFirstColumn="0" w:lastRowLastColumn="0"/>
          <w:trHeight w:val="290"/>
        </w:trPr>
        <w:tc>
          <w:tcPr>
            <w:tcW w:w="3114" w:type="dxa"/>
            <w:noWrap/>
            <w:hideMark/>
          </w:tcPr>
          <w:p w14:paraId="7264D3B4" w14:textId="2F9DECC3" w:rsidR="00991B9F" w:rsidRPr="00BF6615" w:rsidRDefault="00991B9F"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 </w:t>
            </w:r>
            <w:r w:rsidRPr="00BF6615">
              <w:rPr>
                <w:rFonts w:eastAsia="Times New Roman" w:cs="Calibri"/>
                <w:b/>
                <w:sz w:val="22"/>
                <w:lang w:eastAsia="pl-PL"/>
              </w:rPr>
              <w:t>Sumaryczna średnia ocen</w:t>
            </w:r>
          </w:p>
        </w:tc>
        <w:tc>
          <w:tcPr>
            <w:tcW w:w="1780" w:type="dxa"/>
            <w:noWrap/>
            <w:hideMark/>
          </w:tcPr>
          <w:p w14:paraId="211A87DE"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4,04</w:t>
            </w:r>
          </w:p>
        </w:tc>
        <w:tc>
          <w:tcPr>
            <w:tcW w:w="1780" w:type="dxa"/>
            <w:noWrap/>
            <w:hideMark/>
          </w:tcPr>
          <w:p w14:paraId="11DB23A5"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3,74</w:t>
            </w:r>
          </w:p>
        </w:tc>
        <w:tc>
          <w:tcPr>
            <w:tcW w:w="1780" w:type="dxa"/>
            <w:noWrap/>
            <w:hideMark/>
          </w:tcPr>
          <w:p w14:paraId="1EF33C2C" w14:textId="77777777" w:rsidR="00991B9F" w:rsidRPr="00BF6615" w:rsidRDefault="00991B9F"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4,69</w:t>
            </w:r>
          </w:p>
        </w:tc>
        <w:tc>
          <w:tcPr>
            <w:tcW w:w="1780" w:type="dxa"/>
            <w:noWrap/>
            <w:hideMark/>
          </w:tcPr>
          <w:p w14:paraId="7458258B" w14:textId="1D3B2B87" w:rsidR="00991B9F" w:rsidRPr="00BF6615" w:rsidRDefault="00C1218E"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w:t>
            </w:r>
          </w:p>
        </w:tc>
      </w:tr>
    </w:tbl>
    <w:p w14:paraId="3FB74EB4" w14:textId="77777777" w:rsidR="00991B9F" w:rsidRPr="00BF6615" w:rsidRDefault="00991B9F" w:rsidP="00FD0843">
      <w:r w:rsidRPr="00BF6615">
        <w:t>Źródło: opracowanie własne.</w:t>
      </w:r>
    </w:p>
    <w:p w14:paraId="5A06897E" w14:textId="6F8F8C09" w:rsidR="004935BD" w:rsidRPr="00BF6615" w:rsidRDefault="004935BD" w:rsidP="00B271C3">
      <w:r w:rsidRPr="00BF6615">
        <w:t xml:space="preserve">Rozkład odpowiedzi na pytanie o to, z jakich aplikacji mobilnych podmiotów publicznych korzystają badani pokazuje, że aplikacje rządowe są używane najczęściej (58%). Stosunkowo często (40%) wykorzystywane są </w:t>
      </w:r>
      <w:r w:rsidRPr="00B271C3">
        <w:rPr>
          <w:rStyle w:val="normalny0"/>
        </w:rPr>
        <w:t>także</w:t>
      </w:r>
      <w:r w:rsidRPr="00BF6615">
        <w:t xml:space="preserve"> aplikacje komunikacyjne i aplikacje dotyczące zdrowia (29%).</w:t>
      </w:r>
    </w:p>
    <w:p w14:paraId="66B6618E" w14:textId="0EBFF468" w:rsidR="004935BD" w:rsidRPr="00BF6615" w:rsidRDefault="004935BD" w:rsidP="007E26B5">
      <w:pPr>
        <w:pStyle w:val="Legenda"/>
        <w:keepNext/>
        <w:rPr>
          <w:szCs w:val="22"/>
        </w:rPr>
      </w:pPr>
      <w:bookmarkStart w:id="227" w:name="_Toc204179168"/>
      <w:r w:rsidRPr="00BF6615">
        <w:t xml:space="preserve">Wykres </w:t>
      </w:r>
      <w:r w:rsidRPr="00BF6615">
        <w:fldChar w:fldCharType="begin"/>
      </w:r>
      <w:r w:rsidRPr="00BF6615">
        <w:instrText xml:space="preserve"> SEQ Wykres \* ARABIC </w:instrText>
      </w:r>
      <w:r w:rsidRPr="00BF6615">
        <w:fldChar w:fldCharType="separate"/>
      </w:r>
      <w:r w:rsidR="00FD0843">
        <w:rPr>
          <w:noProof/>
        </w:rPr>
        <w:t>22</w:t>
      </w:r>
      <w:r w:rsidRPr="00BF6615">
        <w:fldChar w:fldCharType="end"/>
      </w:r>
      <w:r w:rsidR="00FD0843">
        <w:t>.</w:t>
      </w:r>
      <w:r w:rsidRPr="00BF6615">
        <w:t xml:space="preserve"> </w:t>
      </w:r>
      <w:r w:rsidRPr="00BF6615">
        <w:rPr>
          <w:szCs w:val="22"/>
        </w:rPr>
        <w:t xml:space="preserve">Aplikacje mobilne podmiotów publicznych, z których </w:t>
      </w:r>
      <w:r w:rsidR="00900711" w:rsidRPr="00BF6615">
        <w:rPr>
          <w:szCs w:val="22"/>
        </w:rPr>
        <w:t xml:space="preserve">najczęściej </w:t>
      </w:r>
      <w:r w:rsidRPr="00BF6615">
        <w:rPr>
          <w:szCs w:val="22"/>
        </w:rPr>
        <w:t xml:space="preserve">korzystają badani </w:t>
      </w:r>
      <w:r w:rsidR="007835FB" w:rsidRPr="00BF6615">
        <w:t xml:space="preserve">w pełnej grupie badanej </w:t>
      </w:r>
      <w:r w:rsidRPr="00BF6615">
        <w:rPr>
          <w:szCs w:val="22"/>
        </w:rPr>
        <w:t>(n</w:t>
      </w:r>
      <w:r w:rsidR="004A5319" w:rsidRPr="00BF6615">
        <w:rPr>
          <w:szCs w:val="22"/>
        </w:rPr>
        <w:t>=</w:t>
      </w:r>
      <w:r w:rsidR="00EE7532" w:rsidRPr="00BF6615">
        <w:rPr>
          <w:szCs w:val="22"/>
        </w:rPr>
        <w:t>243</w:t>
      </w:r>
      <w:r w:rsidRPr="00BF6615">
        <w:rPr>
          <w:szCs w:val="22"/>
        </w:rPr>
        <w:t>)</w:t>
      </w:r>
      <w:bookmarkEnd w:id="227"/>
    </w:p>
    <w:p w14:paraId="35967AF6" w14:textId="4E738F47" w:rsidR="004935BD" w:rsidRPr="00BF6615" w:rsidRDefault="0029778E" w:rsidP="007E26B5">
      <w:r w:rsidRPr="00BF6615">
        <w:rPr>
          <w:noProof/>
          <w:lang w:eastAsia="pl-PL"/>
        </w:rPr>
        <w:drawing>
          <wp:inline distT="0" distB="0" distL="0" distR="0" wp14:anchorId="424C79D9" wp14:editId="6C6E7708">
            <wp:extent cx="4906682" cy="2914277"/>
            <wp:effectExtent l="0" t="0" r="0" b="0"/>
            <wp:docPr id="1783303755" name="Wykres 1" descr="Aplikacje rządowe (np. mObywatel, e-Urząd Skarbowy, mZus) - 58%&#10;Aplikacje urzędu miasta lub urzędu gminy  - 20%&#10;Aplikacje dotyczące zdrowia (np. aplikacja publicznej przychodni zdrowia) - 29%&#10;Aplikacje instytucji kultury (np. biblioteki, muzeum) - 8%&#10;Aplikacje edukacyjne (np. szkoły, uczelni) - 4%&#10;Aplikacje komunikacyjne (np. rozkłady jazdy, rezerwacja biletów PKP) - 40%">
              <a:extLst xmlns:a="http://schemas.openxmlformats.org/drawingml/2006/main">
                <a:ext uri="{FF2B5EF4-FFF2-40B4-BE49-F238E27FC236}">
                  <a16:creationId xmlns:a16="http://schemas.microsoft.com/office/drawing/2014/main" id="{EFDE4BDE-41FA-D240-8AF2-50820F560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385ED1E" w14:textId="77777777" w:rsidR="004935BD" w:rsidRPr="00BF6615" w:rsidRDefault="004935BD" w:rsidP="00FD0843">
      <w:r w:rsidRPr="00BF6615">
        <w:t>Źródło: opracowanie własne.</w:t>
      </w:r>
    </w:p>
    <w:p w14:paraId="08FFA459" w14:textId="36C01EF7" w:rsidR="004935BD" w:rsidRPr="00BF6615" w:rsidRDefault="004935BD" w:rsidP="007E26B5">
      <w:pPr>
        <w:rPr>
          <w:rStyle w:val="normalny0"/>
        </w:rPr>
      </w:pPr>
      <w:r w:rsidRPr="00BF6615">
        <w:rPr>
          <w:rStyle w:val="normalny0"/>
        </w:rPr>
        <w:t>Na pytanie o to, z jakich aplikacji najczęściej korzystają badani</w:t>
      </w:r>
      <w:r w:rsidR="6C833E3F" w:rsidRPr="00BF6615">
        <w:rPr>
          <w:rStyle w:val="normalny0"/>
        </w:rPr>
        <w:t>,</w:t>
      </w:r>
      <w:r w:rsidRPr="00BF6615">
        <w:rPr>
          <w:rStyle w:val="normalny0"/>
        </w:rPr>
        <w:t xml:space="preserve"> zdecydowanie najczęściej pojawiała się aplikacja </w:t>
      </w:r>
      <w:proofErr w:type="spellStart"/>
      <w:r w:rsidRPr="00BF6615">
        <w:rPr>
          <w:rStyle w:val="normalny0"/>
        </w:rPr>
        <w:t>mObywatel</w:t>
      </w:r>
      <w:proofErr w:type="spellEnd"/>
      <w:r w:rsidR="00A42EFD">
        <w:rPr>
          <w:rStyle w:val="normalny0"/>
        </w:rPr>
        <w:t xml:space="preserve"> – </w:t>
      </w:r>
      <w:r w:rsidRPr="00BF6615">
        <w:rPr>
          <w:rStyle w:val="normalny0"/>
        </w:rPr>
        <w:t xml:space="preserve">użytkownicy korzystają z niej najczęściej jako głównego narzędzia dostępu do usług publicznych. Pośród wymienianych aplikacji pojawiły się również aplikacje urzędów miejskich, </w:t>
      </w:r>
      <w:proofErr w:type="spellStart"/>
      <w:r w:rsidRPr="00BF6615">
        <w:rPr>
          <w:rStyle w:val="normalny0"/>
        </w:rPr>
        <w:t>mojeIKP</w:t>
      </w:r>
      <w:proofErr w:type="spellEnd"/>
      <w:r w:rsidRPr="00BF6615">
        <w:rPr>
          <w:rStyle w:val="normalny0"/>
        </w:rPr>
        <w:t xml:space="preserve">. Popularną aplikacją w kategorii transportowej były aplikacje MPK, </w:t>
      </w:r>
      <w:r w:rsidR="007E51B3" w:rsidRPr="00BF6615">
        <w:rPr>
          <w:rStyle w:val="normalny0"/>
        </w:rPr>
        <w:t>PKP</w:t>
      </w:r>
      <w:r w:rsidRPr="00BF6615">
        <w:rPr>
          <w:rStyle w:val="normalny0"/>
        </w:rPr>
        <w:t xml:space="preserve"> intercity i </w:t>
      </w:r>
      <w:proofErr w:type="spellStart"/>
      <w:r w:rsidRPr="00BF6615">
        <w:rPr>
          <w:rStyle w:val="normalny0"/>
        </w:rPr>
        <w:t>polregio</w:t>
      </w:r>
      <w:proofErr w:type="spellEnd"/>
      <w:r w:rsidRPr="00BF6615">
        <w:rPr>
          <w:rStyle w:val="normalny0"/>
        </w:rPr>
        <w:t>.</w:t>
      </w:r>
    </w:p>
    <w:p w14:paraId="52509557" w14:textId="2956D478" w:rsidR="004935BD" w:rsidRPr="00BF6615" w:rsidRDefault="004935BD" w:rsidP="007E26B5">
      <w:r w:rsidRPr="00BF6615">
        <w:t xml:space="preserve">Respondenci proszeni byli </w:t>
      </w:r>
      <w:r w:rsidR="00422C52" w:rsidRPr="00BF6615">
        <w:t xml:space="preserve">także </w:t>
      </w:r>
      <w:r w:rsidRPr="00BF6615">
        <w:t xml:space="preserve">o dokonanie oceny ww. aplikacji w różnych aspektach dostępności cyfrowej. Skala ocen zawierała się w przedziale 1-5, gdzie 1 było najniższą, a 5 najwyższą oceną. </w:t>
      </w:r>
    </w:p>
    <w:p w14:paraId="0A1FFB2B" w14:textId="77777777" w:rsidR="00FC0080" w:rsidRPr="00BF6615" w:rsidRDefault="00FC0080" w:rsidP="007E26B5"/>
    <w:p w14:paraId="787E0E7B" w14:textId="4CCA5B5E" w:rsidR="004935BD" w:rsidRPr="00BF6615" w:rsidRDefault="00765F0B" w:rsidP="007E26B5">
      <w:r w:rsidRPr="00BF6615">
        <w:t xml:space="preserve">Oceny aplikacji zarówno rządowych jak i samorządowych są </w:t>
      </w:r>
      <w:r w:rsidR="00FA48EF" w:rsidRPr="00BF6615">
        <w:t xml:space="preserve">różne niż oceny stron </w:t>
      </w:r>
      <w:r w:rsidRPr="00BF6615">
        <w:t>tych samych podmiotów</w:t>
      </w:r>
      <w:r w:rsidR="00FA48EF" w:rsidRPr="00BF6615">
        <w:t xml:space="preserve">. Aplikacje rządowe zostały ocenione wyżej niż strony: 4,20 do 4,07, natomiast aplikacje samorządowe zostały ocenione niże niż </w:t>
      </w:r>
      <w:r w:rsidR="00FC0080" w:rsidRPr="00BF6615">
        <w:t xml:space="preserve">strony: 3,93 do 4,17. </w:t>
      </w:r>
    </w:p>
    <w:p w14:paraId="47561758" w14:textId="680434E7" w:rsidR="00FC0080" w:rsidRPr="00BF6615" w:rsidRDefault="00FC0080" w:rsidP="007E26B5">
      <w:r w:rsidRPr="00BF6615">
        <w:t xml:space="preserve">Skala ocen dla aplikacji </w:t>
      </w:r>
      <w:r w:rsidR="00B9303F" w:rsidRPr="00BF6615">
        <w:t xml:space="preserve">to 3,70 do </w:t>
      </w:r>
      <w:r w:rsidR="00353FE2" w:rsidRPr="00BF6615">
        <w:t xml:space="preserve">4,39. Oceny najniższe zanotowano w zakresie kryterium </w:t>
      </w:r>
      <w:r w:rsidR="000620AB" w:rsidRPr="00BF6615">
        <w:t xml:space="preserve">możliwości obsługi elementów aplikacji za pomocą klawiatury i kontaktu z </w:t>
      </w:r>
      <w:r w:rsidR="007510B6" w:rsidRPr="00BF6615">
        <w:t>obsługa klienta/ pomocą. Wyniki te zbieżne są z ocen</w:t>
      </w:r>
      <w:r w:rsidR="27C28D11" w:rsidRPr="00BF6615">
        <w:t>ą</w:t>
      </w:r>
      <w:r w:rsidR="007510B6" w:rsidRPr="00BF6615">
        <w:t xml:space="preserve"> stron podmiotów publicznych.</w:t>
      </w:r>
      <w:r w:rsidR="000620AB" w:rsidRPr="00BF6615">
        <w:t xml:space="preserve"> </w:t>
      </w:r>
      <w:r w:rsidR="007510B6" w:rsidRPr="00BF6615">
        <w:t>Poniższa tabela wskazuje szczegółowe oceny aplikacji rządowych i samorządowych.</w:t>
      </w:r>
    </w:p>
    <w:p w14:paraId="60045CFF" w14:textId="0370B7A9" w:rsidR="004935BD" w:rsidRPr="00BF6615" w:rsidRDefault="004935BD" w:rsidP="007E26B5">
      <w:pPr>
        <w:pStyle w:val="Legenda"/>
      </w:pPr>
      <w:bookmarkStart w:id="228" w:name="_Toc204179125"/>
      <w:r w:rsidRPr="00BF6615">
        <w:t xml:space="preserve">Tabela </w:t>
      </w:r>
      <w:r w:rsidRPr="00BF6615">
        <w:fldChar w:fldCharType="begin"/>
      </w:r>
      <w:r w:rsidRPr="00BF6615">
        <w:instrText xml:space="preserve"> SEQ Tabela \* ARABIC </w:instrText>
      </w:r>
      <w:r w:rsidRPr="00BF6615">
        <w:fldChar w:fldCharType="separate"/>
      </w:r>
      <w:r w:rsidR="00FD0843">
        <w:rPr>
          <w:noProof/>
        </w:rPr>
        <w:t>27</w:t>
      </w:r>
      <w:r w:rsidRPr="00BF6615">
        <w:fldChar w:fldCharType="end"/>
      </w:r>
      <w:r w:rsidR="00FD0843">
        <w:t>.</w:t>
      </w:r>
      <w:r w:rsidRPr="00BF6615">
        <w:t xml:space="preserve"> Średnie oceny aplikacji publicznych wg aspektów dostępności cyfrowej dla aplikacji, </w:t>
      </w:r>
      <w:r w:rsidR="00A42EFD" w:rsidRPr="00BF6615">
        <w:t>z</w:t>
      </w:r>
      <w:r w:rsidR="00A42EFD">
        <w:t> </w:t>
      </w:r>
      <w:r w:rsidRPr="00BF6615">
        <w:t xml:space="preserve">których korzystają osoby badane </w:t>
      </w:r>
      <w:r w:rsidR="007835FB" w:rsidRPr="00BF6615">
        <w:t>w pełnej grupie badanej</w:t>
      </w:r>
      <w:bookmarkEnd w:id="228"/>
    </w:p>
    <w:tbl>
      <w:tblPr>
        <w:tblStyle w:val="PARP"/>
        <w:tblW w:w="9160" w:type="dxa"/>
        <w:tblLook w:val="04A0" w:firstRow="1" w:lastRow="0" w:firstColumn="1" w:lastColumn="0" w:noHBand="0" w:noVBand="1"/>
        <w:tblCaption w:val="Średnie oceny aplikacji publicznych wg aspektów dostępności cyfrowej dla aplikacji, z których korzystają osoby badane w pełnej grupie badanej"/>
        <w:tblDescription w:val="Średnie oceny aplikacji publicznych wg aspektów dostępności cyfrowej dla aplikacji, z których korzystają osoby badane w pełnej grupie badanej"/>
      </w:tblPr>
      <w:tblGrid>
        <w:gridCol w:w="3820"/>
        <w:gridCol w:w="1780"/>
        <w:gridCol w:w="1780"/>
        <w:gridCol w:w="1780"/>
      </w:tblGrid>
      <w:tr w:rsidR="00012671" w:rsidRPr="00BF6615" w14:paraId="5BE315D7" w14:textId="77777777" w:rsidTr="00B54CDD">
        <w:trPr>
          <w:cnfStyle w:val="100000000000" w:firstRow="1" w:lastRow="0" w:firstColumn="0" w:lastColumn="0" w:oddVBand="0" w:evenVBand="0" w:oddHBand="0" w:evenHBand="0" w:firstRowFirstColumn="0" w:firstRowLastColumn="0" w:lastRowFirstColumn="0" w:lastRowLastColumn="0"/>
          <w:trHeight w:val="870"/>
        </w:trPr>
        <w:tc>
          <w:tcPr>
            <w:tcW w:w="3820" w:type="dxa"/>
            <w:hideMark/>
          </w:tcPr>
          <w:p w14:paraId="73E52420" w14:textId="16612861" w:rsidR="00B54CDD" w:rsidRPr="00BF6615" w:rsidRDefault="00C1218E" w:rsidP="007E26B5">
            <w:pPr>
              <w:spacing w:after="0" w:line="240" w:lineRule="auto"/>
              <w:rPr>
                <w:rFonts w:eastAsia="Times New Roman" w:cs="Calibri"/>
                <w:b/>
                <w:sz w:val="22"/>
                <w:lang w:eastAsia="pl-PL"/>
              </w:rPr>
            </w:pPr>
            <w:r w:rsidRPr="00BF6615">
              <w:rPr>
                <w:b/>
                <w:sz w:val="22"/>
              </w:rPr>
              <w:t>Oceniany aspekt dostępności</w:t>
            </w:r>
            <w:r w:rsidR="00B54CDD" w:rsidRPr="00BF6615">
              <w:rPr>
                <w:rFonts w:eastAsia="Times New Roman" w:cs="Calibri"/>
                <w:b/>
                <w:sz w:val="22"/>
                <w:lang w:eastAsia="pl-PL"/>
              </w:rPr>
              <w:t> </w:t>
            </w:r>
          </w:p>
        </w:tc>
        <w:tc>
          <w:tcPr>
            <w:tcW w:w="1780" w:type="dxa"/>
            <w:hideMark/>
          </w:tcPr>
          <w:p w14:paraId="38A7E872" w14:textId="77777777" w:rsidR="00B54CDD" w:rsidRPr="00BF6615" w:rsidRDefault="00B54CDD" w:rsidP="007E26B5">
            <w:pPr>
              <w:spacing w:after="0" w:line="240" w:lineRule="auto"/>
              <w:rPr>
                <w:rFonts w:eastAsia="Times New Roman" w:cs="Calibri"/>
                <w:b/>
                <w:sz w:val="22"/>
                <w:lang w:eastAsia="pl-PL"/>
              </w:rPr>
            </w:pPr>
            <w:r w:rsidRPr="00BF6615">
              <w:rPr>
                <w:rFonts w:eastAsia="Times New Roman" w:cs="Calibri"/>
                <w:b/>
                <w:sz w:val="22"/>
                <w:lang w:eastAsia="pl-PL"/>
              </w:rPr>
              <w:t>Aplikacja rządowa</w:t>
            </w:r>
          </w:p>
        </w:tc>
        <w:tc>
          <w:tcPr>
            <w:tcW w:w="1780" w:type="dxa"/>
            <w:hideMark/>
          </w:tcPr>
          <w:p w14:paraId="1C8D2AF8" w14:textId="77777777" w:rsidR="00B54CDD" w:rsidRPr="00BF6615" w:rsidRDefault="00B54CDD" w:rsidP="007E26B5">
            <w:pPr>
              <w:spacing w:after="0" w:line="240" w:lineRule="auto"/>
              <w:rPr>
                <w:rFonts w:eastAsia="Times New Roman" w:cs="Calibri"/>
                <w:b/>
                <w:sz w:val="22"/>
                <w:lang w:eastAsia="pl-PL"/>
              </w:rPr>
            </w:pPr>
            <w:r w:rsidRPr="00BF6615">
              <w:rPr>
                <w:rFonts w:eastAsia="Times New Roman" w:cs="Calibri"/>
                <w:b/>
                <w:sz w:val="22"/>
                <w:lang w:eastAsia="pl-PL"/>
              </w:rPr>
              <w:t>Aplikacja urzędu miejskiego lub urzędu gminy</w:t>
            </w:r>
          </w:p>
        </w:tc>
        <w:tc>
          <w:tcPr>
            <w:tcW w:w="1780" w:type="dxa"/>
            <w:hideMark/>
          </w:tcPr>
          <w:p w14:paraId="6EB61F7E" w14:textId="50902A9D" w:rsidR="00B54CDD" w:rsidRPr="00BF6615" w:rsidRDefault="00B54CDD" w:rsidP="007E26B5">
            <w:pPr>
              <w:spacing w:after="0" w:line="240" w:lineRule="auto"/>
              <w:rPr>
                <w:rFonts w:eastAsia="Times New Roman" w:cs="Calibri"/>
                <w:b/>
                <w:sz w:val="22"/>
                <w:lang w:eastAsia="pl-PL"/>
              </w:rPr>
            </w:pPr>
            <w:r w:rsidRPr="00BF6615">
              <w:rPr>
                <w:rFonts w:eastAsia="Times New Roman" w:cs="Calibri"/>
                <w:b/>
                <w:sz w:val="22"/>
                <w:lang w:eastAsia="pl-PL"/>
              </w:rPr>
              <w:t> </w:t>
            </w:r>
            <w:r w:rsidR="00C1218E" w:rsidRPr="00BF6615">
              <w:rPr>
                <w:rFonts w:eastAsia="Times New Roman" w:cs="Calibri"/>
                <w:b/>
                <w:sz w:val="22"/>
                <w:lang w:eastAsia="pl-PL"/>
              </w:rPr>
              <w:t>Sumaryczna średnia ocen</w:t>
            </w:r>
          </w:p>
        </w:tc>
      </w:tr>
      <w:tr w:rsidR="00012671" w:rsidRPr="00BF6615" w14:paraId="3FA8D4B8" w14:textId="77777777" w:rsidTr="00B54CDD">
        <w:trPr>
          <w:cnfStyle w:val="000000100000" w:firstRow="0" w:lastRow="0" w:firstColumn="0" w:lastColumn="0" w:oddVBand="0" w:evenVBand="0" w:oddHBand="1" w:evenHBand="0" w:firstRowFirstColumn="0" w:firstRowLastColumn="0" w:lastRowFirstColumn="0" w:lastRowLastColumn="0"/>
          <w:trHeight w:val="580"/>
        </w:trPr>
        <w:tc>
          <w:tcPr>
            <w:tcW w:w="3820" w:type="dxa"/>
            <w:hideMark/>
          </w:tcPr>
          <w:p w14:paraId="31C9B6B1"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nawigować/poruszać się po aplikacji</w:t>
            </w:r>
          </w:p>
        </w:tc>
        <w:tc>
          <w:tcPr>
            <w:tcW w:w="1780" w:type="dxa"/>
            <w:hideMark/>
          </w:tcPr>
          <w:p w14:paraId="2272791F"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4,28</w:t>
            </w:r>
          </w:p>
        </w:tc>
        <w:tc>
          <w:tcPr>
            <w:tcW w:w="1780" w:type="dxa"/>
            <w:hideMark/>
          </w:tcPr>
          <w:p w14:paraId="1C9D656B"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4,03</w:t>
            </w:r>
          </w:p>
        </w:tc>
        <w:tc>
          <w:tcPr>
            <w:tcW w:w="1780" w:type="dxa"/>
            <w:hideMark/>
          </w:tcPr>
          <w:p w14:paraId="5D487477"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4,16</w:t>
            </w:r>
          </w:p>
        </w:tc>
      </w:tr>
      <w:tr w:rsidR="00012671" w:rsidRPr="00BF6615" w14:paraId="08AE549D" w14:textId="77777777" w:rsidTr="00B54CDD">
        <w:trPr>
          <w:cnfStyle w:val="000000010000" w:firstRow="0" w:lastRow="0" w:firstColumn="0" w:lastColumn="0" w:oddVBand="0" w:evenVBand="0" w:oddHBand="0" w:evenHBand="1" w:firstRowFirstColumn="0" w:firstRowLastColumn="0" w:lastRowFirstColumn="0" w:lastRowLastColumn="0"/>
          <w:trHeight w:val="290"/>
        </w:trPr>
        <w:tc>
          <w:tcPr>
            <w:tcW w:w="3820" w:type="dxa"/>
            <w:hideMark/>
          </w:tcPr>
          <w:p w14:paraId="4AF5685E"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znaleźć potrzebne mi informacje</w:t>
            </w:r>
          </w:p>
        </w:tc>
        <w:tc>
          <w:tcPr>
            <w:tcW w:w="1780" w:type="dxa"/>
            <w:hideMark/>
          </w:tcPr>
          <w:p w14:paraId="43B1A99A"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1780" w:type="dxa"/>
            <w:hideMark/>
          </w:tcPr>
          <w:p w14:paraId="11C44F6A"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3,91</w:t>
            </w:r>
          </w:p>
        </w:tc>
        <w:tc>
          <w:tcPr>
            <w:tcW w:w="1780" w:type="dxa"/>
            <w:hideMark/>
          </w:tcPr>
          <w:p w14:paraId="33276083"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4,06</w:t>
            </w:r>
          </w:p>
        </w:tc>
      </w:tr>
      <w:tr w:rsidR="00012671" w:rsidRPr="00BF6615" w14:paraId="4855995B" w14:textId="77777777" w:rsidTr="00B54CDD">
        <w:trPr>
          <w:cnfStyle w:val="000000100000" w:firstRow="0" w:lastRow="0" w:firstColumn="0" w:lastColumn="0" w:oddVBand="0" w:evenVBand="0" w:oddHBand="1" w:evenHBand="0" w:firstRowFirstColumn="0" w:firstRowLastColumn="0" w:lastRowFirstColumn="0" w:lastRowLastColumn="0"/>
          <w:trHeight w:val="290"/>
        </w:trPr>
        <w:tc>
          <w:tcPr>
            <w:tcW w:w="3820" w:type="dxa"/>
            <w:hideMark/>
          </w:tcPr>
          <w:p w14:paraId="22F0C867"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szybko się ładuje</w:t>
            </w:r>
          </w:p>
        </w:tc>
        <w:tc>
          <w:tcPr>
            <w:tcW w:w="1780" w:type="dxa"/>
            <w:hideMark/>
          </w:tcPr>
          <w:p w14:paraId="0A44E832"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4,16</w:t>
            </w:r>
          </w:p>
        </w:tc>
        <w:tc>
          <w:tcPr>
            <w:tcW w:w="1780" w:type="dxa"/>
            <w:hideMark/>
          </w:tcPr>
          <w:p w14:paraId="108C724D"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3,88</w:t>
            </w:r>
          </w:p>
        </w:tc>
        <w:tc>
          <w:tcPr>
            <w:tcW w:w="1780" w:type="dxa"/>
            <w:hideMark/>
          </w:tcPr>
          <w:p w14:paraId="7709A6EC"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4,02</w:t>
            </w:r>
          </w:p>
        </w:tc>
      </w:tr>
      <w:tr w:rsidR="00012671" w:rsidRPr="00BF6615" w14:paraId="6FA068C3" w14:textId="77777777" w:rsidTr="00B54CDD">
        <w:trPr>
          <w:cnfStyle w:val="000000010000" w:firstRow="0" w:lastRow="0" w:firstColumn="0" w:lastColumn="0" w:oddVBand="0" w:evenVBand="0" w:oddHBand="0" w:evenHBand="1" w:firstRowFirstColumn="0" w:firstRowLastColumn="0" w:lastRowFirstColumn="0" w:lastRowLastColumn="0"/>
          <w:trHeight w:val="290"/>
        </w:trPr>
        <w:tc>
          <w:tcPr>
            <w:tcW w:w="3820" w:type="dxa"/>
            <w:hideMark/>
          </w:tcPr>
          <w:p w14:paraId="16E90803"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ma czytelny układ treści</w:t>
            </w:r>
          </w:p>
        </w:tc>
        <w:tc>
          <w:tcPr>
            <w:tcW w:w="1780" w:type="dxa"/>
            <w:hideMark/>
          </w:tcPr>
          <w:p w14:paraId="04E5074D"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4,27</w:t>
            </w:r>
          </w:p>
        </w:tc>
        <w:tc>
          <w:tcPr>
            <w:tcW w:w="1780" w:type="dxa"/>
            <w:hideMark/>
          </w:tcPr>
          <w:p w14:paraId="6155CEE4"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3,93</w:t>
            </w:r>
          </w:p>
        </w:tc>
        <w:tc>
          <w:tcPr>
            <w:tcW w:w="1780" w:type="dxa"/>
            <w:hideMark/>
          </w:tcPr>
          <w:p w14:paraId="33EEEA54"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4,10</w:t>
            </w:r>
          </w:p>
        </w:tc>
      </w:tr>
      <w:tr w:rsidR="00012671" w:rsidRPr="00BF6615" w14:paraId="1F783D86" w14:textId="77777777" w:rsidTr="00B54CDD">
        <w:trPr>
          <w:cnfStyle w:val="000000100000" w:firstRow="0" w:lastRow="0" w:firstColumn="0" w:lastColumn="0" w:oddVBand="0" w:evenVBand="0" w:oddHBand="1" w:evenHBand="0" w:firstRowFirstColumn="0" w:firstRowLastColumn="0" w:lastRowFirstColumn="0" w:lastRowLastColumn="0"/>
          <w:trHeight w:val="580"/>
        </w:trPr>
        <w:tc>
          <w:tcPr>
            <w:tcW w:w="3820" w:type="dxa"/>
            <w:hideMark/>
          </w:tcPr>
          <w:p w14:paraId="77DFEF48"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w aplikacji są dla mnie przyjazne</w:t>
            </w:r>
          </w:p>
        </w:tc>
        <w:tc>
          <w:tcPr>
            <w:tcW w:w="1780" w:type="dxa"/>
            <w:hideMark/>
          </w:tcPr>
          <w:p w14:paraId="64EB9377"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4,31</w:t>
            </w:r>
          </w:p>
        </w:tc>
        <w:tc>
          <w:tcPr>
            <w:tcW w:w="1780" w:type="dxa"/>
            <w:hideMark/>
          </w:tcPr>
          <w:p w14:paraId="3C85353D"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4,16</w:t>
            </w:r>
          </w:p>
        </w:tc>
        <w:tc>
          <w:tcPr>
            <w:tcW w:w="1780" w:type="dxa"/>
            <w:hideMark/>
          </w:tcPr>
          <w:p w14:paraId="5D584C69"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4,24</w:t>
            </w:r>
          </w:p>
        </w:tc>
      </w:tr>
      <w:tr w:rsidR="00012671" w:rsidRPr="00BF6615" w14:paraId="47238AE5" w14:textId="77777777" w:rsidTr="00B54CDD">
        <w:trPr>
          <w:cnfStyle w:val="000000010000" w:firstRow="0" w:lastRow="0" w:firstColumn="0" w:lastColumn="0" w:oddVBand="0" w:evenVBand="0" w:oddHBand="0" w:evenHBand="1" w:firstRowFirstColumn="0" w:firstRowLastColumn="0" w:lastRowFirstColumn="0" w:lastRowLastColumn="0"/>
          <w:trHeight w:val="580"/>
        </w:trPr>
        <w:tc>
          <w:tcPr>
            <w:tcW w:w="3820" w:type="dxa"/>
            <w:hideMark/>
          </w:tcPr>
          <w:p w14:paraId="62DD0E4D"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jest dla mnie dostępna cyfrowo</w:t>
            </w:r>
          </w:p>
        </w:tc>
        <w:tc>
          <w:tcPr>
            <w:tcW w:w="1780" w:type="dxa"/>
            <w:hideMark/>
          </w:tcPr>
          <w:p w14:paraId="557A8AE5"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4,39</w:t>
            </w:r>
          </w:p>
        </w:tc>
        <w:tc>
          <w:tcPr>
            <w:tcW w:w="1780" w:type="dxa"/>
            <w:hideMark/>
          </w:tcPr>
          <w:p w14:paraId="592F54BF"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3,93</w:t>
            </w:r>
          </w:p>
        </w:tc>
        <w:tc>
          <w:tcPr>
            <w:tcW w:w="1780" w:type="dxa"/>
            <w:hideMark/>
          </w:tcPr>
          <w:p w14:paraId="07D31043"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4,16</w:t>
            </w:r>
          </w:p>
        </w:tc>
      </w:tr>
      <w:tr w:rsidR="00012671" w:rsidRPr="00BF6615" w14:paraId="42E58A24" w14:textId="77777777" w:rsidTr="00B54CDD">
        <w:trPr>
          <w:cnfStyle w:val="000000100000" w:firstRow="0" w:lastRow="0" w:firstColumn="0" w:lastColumn="0" w:oddVBand="0" w:evenVBand="0" w:oddHBand="1" w:evenHBand="0" w:firstRowFirstColumn="0" w:firstRowLastColumn="0" w:lastRowFirstColumn="0" w:lastRowLastColumn="0"/>
          <w:trHeight w:val="580"/>
        </w:trPr>
        <w:tc>
          <w:tcPr>
            <w:tcW w:w="3820" w:type="dxa"/>
            <w:hideMark/>
          </w:tcPr>
          <w:p w14:paraId="399441A4" w14:textId="77777777" w:rsidR="00B54CDD" w:rsidRPr="00BF6615" w:rsidRDefault="00B54CDD" w:rsidP="007E26B5">
            <w:pPr>
              <w:spacing w:after="0" w:line="240" w:lineRule="auto"/>
              <w:rPr>
                <w:rFonts w:ascii="Calibri" w:eastAsia="Times New Roman" w:hAnsi="Calibri" w:cs="Calibri"/>
                <w:color w:val="000000"/>
                <w:sz w:val="22"/>
                <w:lang w:eastAsia="pl-PL"/>
              </w:rPr>
            </w:pPr>
            <w:proofErr w:type="spellStart"/>
            <w:r w:rsidRPr="00BF6615">
              <w:rPr>
                <w:rFonts w:ascii="Calibri" w:eastAsia="Times New Roman" w:hAnsi="Calibri" w:cs="Calibri"/>
                <w:color w:val="000000"/>
                <w:sz w:val="22"/>
                <w:lang w:eastAsia="pl-PL"/>
              </w:rPr>
              <w:t>Responsywność</w:t>
            </w:r>
            <w:proofErr w:type="spellEnd"/>
            <w:r w:rsidRPr="00BF6615">
              <w:rPr>
                <w:rFonts w:ascii="Calibri" w:eastAsia="Times New Roman" w:hAnsi="Calibri" w:cs="Calibri"/>
                <w:color w:val="000000"/>
                <w:sz w:val="22"/>
                <w:lang w:eastAsia="pl-PL"/>
              </w:rPr>
              <w:t xml:space="preserve"> aplikacji jest odpowiednia</w:t>
            </w:r>
          </w:p>
        </w:tc>
        <w:tc>
          <w:tcPr>
            <w:tcW w:w="1780" w:type="dxa"/>
            <w:hideMark/>
          </w:tcPr>
          <w:p w14:paraId="07A7113D"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4,36</w:t>
            </w:r>
          </w:p>
        </w:tc>
        <w:tc>
          <w:tcPr>
            <w:tcW w:w="1780" w:type="dxa"/>
            <w:hideMark/>
          </w:tcPr>
          <w:p w14:paraId="2F4D10C7"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4,03</w:t>
            </w:r>
          </w:p>
        </w:tc>
        <w:tc>
          <w:tcPr>
            <w:tcW w:w="1780" w:type="dxa"/>
            <w:hideMark/>
          </w:tcPr>
          <w:p w14:paraId="3A895DF0"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4,20</w:t>
            </w:r>
          </w:p>
        </w:tc>
      </w:tr>
      <w:tr w:rsidR="00012671" w:rsidRPr="00BF6615" w14:paraId="5A61B336" w14:textId="77777777" w:rsidTr="00B54CDD">
        <w:trPr>
          <w:cnfStyle w:val="000000010000" w:firstRow="0" w:lastRow="0" w:firstColumn="0" w:lastColumn="0" w:oddVBand="0" w:evenVBand="0" w:oddHBand="0" w:evenHBand="1" w:firstRowFirstColumn="0" w:firstRowLastColumn="0" w:lastRowFirstColumn="0" w:lastRowLastColumn="0"/>
          <w:trHeight w:val="580"/>
        </w:trPr>
        <w:tc>
          <w:tcPr>
            <w:tcW w:w="3820" w:type="dxa"/>
            <w:hideMark/>
          </w:tcPr>
          <w:p w14:paraId="7AF16BA1"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skontaktować się z obsługa klienta/pomocą</w:t>
            </w:r>
          </w:p>
        </w:tc>
        <w:tc>
          <w:tcPr>
            <w:tcW w:w="1780" w:type="dxa"/>
            <w:hideMark/>
          </w:tcPr>
          <w:p w14:paraId="1ABAF68D"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4,02</w:t>
            </w:r>
          </w:p>
        </w:tc>
        <w:tc>
          <w:tcPr>
            <w:tcW w:w="1780" w:type="dxa"/>
            <w:hideMark/>
          </w:tcPr>
          <w:p w14:paraId="11914AD4"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3,90</w:t>
            </w:r>
          </w:p>
        </w:tc>
        <w:tc>
          <w:tcPr>
            <w:tcW w:w="1780" w:type="dxa"/>
            <w:hideMark/>
          </w:tcPr>
          <w:p w14:paraId="0DF0650F"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3,96</w:t>
            </w:r>
          </w:p>
        </w:tc>
      </w:tr>
      <w:tr w:rsidR="00012671" w:rsidRPr="00BF6615" w14:paraId="75FC7E37" w14:textId="77777777" w:rsidTr="00B54CDD">
        <w:trPr>
          <w:cnfStyle w:val="000000100000" w:firstRow="0" w:lastRow="0" w:firstColumn="0" w:lastColumn="0" w:oddVBand="0" w:evenVBand="0" w:oddHBand="1" w:evenHBand="0" w:firstRowFirstColumn="0" w:firstRowLastColumn="0" w:lastRowFirstColumn="0" w:lastRowLastColumn="0"/>
          <w:trHeight w:val="1160"/>
        </w:trPr>
        <w:tc>
          <w:tcPr>
            <w:tcW w:w="3820" w:type="dxa"/>
            <w:hideMark/>
          </w:tcPr>
          <w:p w14:paraId="7124F262"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w:t>
            </w:r>
          </w:p>
        </w:tc>
        <w:tc>
          <w:tcPr>
            <w:tcW w:w="1780" w:type="dxa"/>
            <w:hideMark/>
          </w:tcPr>
          <w:p w14:paraId="31739CA7"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4,01</w:t>
            </w:r>
          </w:p>
        </w:tc>
        <w:tc>
          <w:tcPr>
            <w:tcW w:w="1780" w:type="dxa"/>
            <w:hideMark/>
          </w:tcPr>
          <w:p w14:paraId="3B4D80AB"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3,87</w:t>
            </w:r>
          </w:p>
        </w:tc>
        <w:tc>
          <w:tcPr>
            <w:tcW w:w="1780" w:type="dxa"/>
            <w:hideMark/>
          </w:tcPr>
          <w:p w14:paraId="274DFD55"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3,94</w:t>
            </w:r>
          </w:p>
        </w:tc>
      </w:tr>
      <w:tr w:rsidR="00012671" w:rsidRPr="00BF6615" w14:paraId="59DB2284" w14:textId="77777777" w:rsidTr="00B54CDD">
        <w:trPr>
          <w:cnfStyle w:val="000000010000" w:firstRow="0" w:lastRow="0" w:firstColumn="0" w:lastColumn="0" w:oddVBand="0" w:evenVBand="0" w:oddHBand="0" w:evenHBand="1" w:firstRowFirstColumn="0" w:firstRowLastColumn="0" w:lastRowFirstColumn="0" w:lastRowLastColumn="0"/>
          <w:trHeight w:val="870"/>
        </w:trPr>
        <w:tc>
          <w:tcPr>
            <w:tcW w:w="3820" w:type="dxa"/>
            <w:hideMark/>
          </w:tcPr>
          <w:p w14:paraId="72830A19"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aplikacji mobilnej mogę obsłużyć za pomocą klawiatury zewnętrznej</w:t>
            </w:r>
          </w:p>
        </w:tc>
        <w:tc>
          <w:tcPr>
            <w:tcW w:w="1780" w:type="dxa"/>
            <w:hideMark/>
          </w:tcPr>
          <w:p w14:paraId="282766AE"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4,16</w:t>
            </w:r>
          </w:p>
        </w:tc>
        <w:tc>
          <w:tcPr>
            <w:tcW w:w="1780" w:type="dxa"/>
            <w:hideMark/>
          </w:tcPr>
          <w:p w14:paraId="0A9AF5F5"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3,70</w:t>
            </w:r>
          </w:p>
        </w:tc>
        <w:tc>
          <w:tcPr>
            <w:tcW w:w="1780" w:type="dxa"/>
            <w:hideMark/>
          </w:tcPr>
          <w:p w14:paraId="75DA7C30"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3,93</w:t>
            </w:r>
          </w:p>
        </w:tc>
      </w:tr>
      <w:tr w:rsidR="00012671" w:rsidRPr="00BF6615" w14:paraId="3E16BC92" w14:textId="77777777" w:rsidTr="00B54CDD">
        <w:trPr>
          <w:cnfStyle w:val="000000100000" w:firstRow="0" w:lastRow="0" w:firstColumn="0" w:lastColumn="0" w:oddVBand="0" w:evenVBand="0" w:oddHBand="1" w:evenHBand="0" w:firstRowFirstColumn="0" w:firstRowLastColumn="0" w:lastRowFirstColumn="0" w:lastRowLastColumn="0"/>
          <w:trHeight w:val="1160"/>
        </w:trPr>
        <w:tc>
          <w:tcPr>
            <w:tcW w:w="3820" w:type="dxa"/>
            <w:hideMark/>
          </w:tcPr>
          <w:p w14:paraId="46C7FD24"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Materiały multimedialne oraz grafiki są dla mnie zrozumiałe (filmy posiadają audiodeskrypcję oraz napisy rozszerzone)</w:t>
            </w:r>
          </w:p>
        </w:tc>
        <w:tc>
          <w:tcPr>
            <w:tcW w:w="1780" w:type="dxa"/>
            <w:hideMark/>
          </w:tcPr>
          <w:p w14:paraId="01472A18"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4,26</w:t>
            </w:r>
          </w:p>
        </w:tc>
        <w:tc>
          <w:tcPr>
            <w:tcW w:w="1780" w:type="dxa"/>
            <w:hideMark/>
          </w:tcPr>
          <w:p w14:paraId="2226904B"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3,90</w:t>
            </w:r>
          </w:p>
        </w:tc>
        <w:tc>
          <w:tcPr>
            <w:tcW w:w="1780" w:type="dxa"/>
            <w:hideMark/>
          </w:tcPr>
          <w:p w14:paraId="3C7A6237"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4,08</w:t>
            </w:r>
          </w:p>
        </w:tc>
      </w:tr>
      <w:tr w:rsidR="00012671" w:rsidRPr="00BF6615" w14:paraId="4A5978EB" w14:textId="77777777" w:rsidTr="00B54CDD">
        <w:trPr>
          <w:cnfStyle w:val="000000010000" w:firstRow="0" w:lastRow="0" w:firstColumn="0" w:lastColumn="0" w:oddVBand="0" w:evenVBand="0" w:oddHBand="0" w:evenHBand="1" w:firstRowFirstColumn="0" w:firstRowLastColumn="0" w:lastRowFirstColumn="0" w:lastRowLastColumn="0"/>
          <w:trHeight w:val="1160"/>
        </w:trPr>
        <w:tc>
          <w:tcPr>
            <w:tcW w:w="3820" w:type="dxa"/>
            <w:hideMark/>
          </w:tcPr>
          <w:p w14:paraId="094D1472"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Niezależnie od wykonywanych czynności otrzymuję informację zwrotną, również o błędach w sposób dostępny cyfrowo</w:t>
            </w:r>
          </w:p>
        </w:tc>
        <w:tc>
          <w:tcPr>
            <w:tcW w:w="1780" w:type="dxa"/>
            <w:hideMark/>
          </w:tcPr>
          <w:p w14:paraId="6D160000"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4,17</w:t>
            </w:r>
          </w:p>
        </w:tc>
        <w:tc>
          <w:tcPr>
            <w:tcW w:w="1780" w:type="dxa"/>
            <w:hideMark/>
          </w:tcPr>
          <w:p w14:paraId="000AEEC0"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3,82</w:t>
            </w:r>
          </w:p>
        </w:tc>
        <w:tc>
          <w:tcPr>
            <w:tcW w:w="1780" w:type="dxa"/>
            <w:hideMark/>
          </w:tcPr>
          <w:p w14:paraId="3E75DAD8"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4,00</w:t>
            </w:r>
          </w:p>
        </w:tc>
      </w:tr>
      <w:tr w:rsidR="00012671" w:rsidRPr="00BF6615" w14:paraId="0925780F" w14:textId="77777777" w:rsidTr="00B54CDD">
        <w:trPr>
          <w:cnfStyle w:val="000000100000" w:firstRow="0" w:lastRow="0" w:firstColumn="0" w:lastColumn="0" w:oddVBand="0" w:evenVBand="0" w:oddHBand="1" w:evenHBand="0" w:firstRowFirstColumn="0" w:firstRowLastColumn="0" w:lastRowFirstColumn="0" w:lastRowLastColumn="0"/>
          <w:trHeight w:val="870"/>
        </w:trPr>
        <w:tc>
          <w:tcPr>
            <w:tcW w:w="3820" w:type="dxa"/>
            <w:hideMark/>
          </w:tcPr>
          <w:p w14:paraId="6580BECA"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Treści wyświetlane na ekranie są czytelne zarówno w widoku poziomym jak i pionowym</w:t>
            </w:r>
          </w:p>
        </w:tc>
        <w:tc>
          <w:tcPr>
            <w:tcW w:w="1780" w:type="dxa"/>
            <w:hideMark/>
          </w:tcPr>
          <w:p w14:paraId="1724290C"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780" w:type="dxa"/>
            <w:hideMark/>
          </w:tcPr>
          <w:p w14:paraId="614766C8"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4,07</w:t>
            </w:r>
          </w:p>
        </w:tc>
        <w:tc>
          <w:tcPr>
            <w:tcW w:w="1780" w:type="dxa"/>
            <w:hideMark/>
          </w:tcPr>
          <w:p w14:paraId="0B3EF40E"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4,13</w:t>
            </w:r>
          </w:p>
        </w:tc>
      </w:tr>
      <w:tr w:rsidR="00012671" w:rsidRPr="00BF6615" w14:paraId="1BC776DB" w14:textId="77777777" w:rsidTr="00B54CDD">
        <w:trPr>
          <w:cnfStyle w:val="000000010000" w:firstRow="0" w:lastRow="0" w:firstColumn="0" w:lastColumn="0" w:oddVBand="0" w:evenVBand="0" w:oddHBand="0" w:evenHBand="1" w:firstRowFirstColumn="0" w:firstRowLastColumn="0" w:lastRowFirstColumn="0" w:lastRowLastColumn="0"/>
          <w:trHeight w:val="580"/>
        </w:trPr>
        <w:tc>
          <w:tcPr>
            <w:tcW w:w="3820" w:type="dxa"/>
            <w:hideMark/>
          </w:tcPr>
          <w:p w14:paraId="7D7B890C"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tłumaczenia na Polski język migowy (PJM)</w:t>
            </w:r>
          </w:p>
        </w:tc>
        <w:tc>
          <w:tcPr>
            <w:tcW w:w="1780" w:type="dxa"/>
            <w:hideMark/>
          </w:tcPr>
          <w:p w14:paraId="07459B02"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3,95</w:t>
            </w:r>
          </w:p>
        </w:tc>
        <w:tc>
          <w:tcPr>
            <w:tcW w:w="1780" w:type="dxa"/>
            <w:hideMark/>
          </w:tcPr>
          <w:p w14:paraId="145842C4"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3,86</w:t>
            </w:r>
          </w:p>
        </w:tc>
        <w:tc>
          <w:tcPr>
            <w:tcW w:w="1780" w:type="dxa"/>
            <w:hideMark/>
          </w:tcPr>
          <w:p w14:paraId="19062509"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3,90</w:t>
            </w:r>
          </w:p>
        </w:tc>
      </w:tr>
      <w:tr w:rsidR="00012671" w:rsidRPr="00BF6615" w14:paraId="07759771" w14:textId="77777777" w:rsidTr="00B54CDD">
        <w:trPr>
          <w:cnfStyle w:val="000000100000" w:firstRow="0" w:lastRow="0" w:firstColumn="0" w:lastColumn="0" w:oddVBand="0" w:evenVBand="0" w:oddHBand="1" w:evenHBand="0" w:firstRowFirstColumn="0" w:firstRowLastColumn="0" w:lastRowFirstColumn="0" w:lastRowLastColumn="0"/>
          <w:trHeight w:val="580"/>
        </w:trPr>
        <w:tc>
          <w:tcPr>
            <w:tcW w:w="3820" w:type="dxa"/>
            <w:hideMark/>
          </w:tcPr>
          <w:p w14:paraId="4E2765F5"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informacje w tekście łatwym do czytania i zrozumienia (ETR)</w:t>
            </w:r>
          </w:p>
        </w:tc>
        <w:tc>
          <w:tcPr>
            <w:tcW w:w="1780" w:type="dxa"/>
            <w:hideMark/>
          </w:tcPr>
          <w:p w14:paraId="587F3CE6"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780" w:type="dxa"/>
            <w:hideMark/>
          </w:tcPr>
          <w:p w14:paraId="245015AE" w14:textId="77777777" w:rsidR="00B54CDD" w:rsidRPr="00BF6615" w:rsidRDefault="00B54CD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3,93</w:t>
            </w:r>
          </w:p>
        </w:tc>
        <w:tc>
          <w:tcPr>
            <w:tcW w:w="1780" w:type="dxa"/>
            <w:hideMark/>
          </w:tcPr>
          <w:p w14:paraId="2F5C6AAF"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4,06</w:t>
            </w:r>
          </w:p>
        </w:tc>
      </w:tr>
      <w:tr w:rsidR="00012671" w:rsidRPr="00BF6615" w14:paraId="39C62E9D" w14:textId="77777777" w:rsidTr="00B54CDD">
        <w:trPr>
          <w:cnfStyle w:val="000000010000" w:firstRow="0" w:lastRow="0" w:firstColumn="0" w:lastColumn="0" w:oddVBand="0" w:evenVBand="0" w:oddHBand="0" w:evenHBand="1" w:firstRowFirstColumn="0" w:firstRowLastColumn="0" w:lastRowFirstColumn="0" w:lastRowLastColumn="0"/>
          <w:trHeight w:val="290"/>
        </w:trPr>
        <w:tc>
          <w:tcPr>
            <w:tcW w:w="3820" w:type="dxa"/>
            <w:hideMark/>
          </w:tcPr>
          <w:p w14:paraId="453F71B0" w14:textId="20D24B99"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color w:val="000000"/>
                <w:sz w:val="22"/>
                <w:lang w:eastAsia="pl-PL"/>
              </w:rPr>
              <w:t> </w:t>
            </w:r>
            <w:r w:rsidR="00C1218E" w:rsidRPr="00BF6615">
              <w:rPr>
                <w:rFonts w:ascii="Calibri" w:eastAsia="Times New Roman" w:hAnsi="Calibri" w:cs="Calibri"/>
                <w:b/>
                <w:color w:val="000000"/>
                <w:sz w:val="22"/>
                <w:lang w:eastAsia="pl-PL"/>
              </w:rPr>
              <w:t>Sumaryczna średnia ocen</w:t>
            </w:r>
          </w:p>
        </w:tc>
        <w:tc>
          <w:tcPr>
            <w:tcW w:w="1780" w:type="dxa"/>
            <w:hideMark/>
          </w:tcPr>
          <w:p w14:paraId="2DF94A26"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4,20</w:t>
            </w:r>
          </w:p>
        </w:tc>
        <w:tc>
          <w:tcPr>
            <w:tcW w:w="1780" w:type="dxa"/>
            <w:hideMark/>
          </w:tcPr>
          <w:p w14:paraId="4F9E6C25" w14:textId="77777777" w:rsidR="00B54CDD" w:rsidRPr="00BF6615" w:rsidRDefault="00B54CD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3,93</w:t>
            </w:r>
          </w:p>
        </w:tc>
        <w:tc>
          <w:tcPr>
            <w:tcW w:w="1780" w:type="dxa"/>
            <w:hideMark/>
          </w:tcPr>
          <w:p w14:paraId="0BA7A734" w14:textId="7DF10815" w:rsidR="00B54CDD" w:rsidRPr="00BF6615" w:rsidRDefault="00C1218E"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w:t>
            </w:r>
          </w:p>
        </w:tc>
      </w:tr>
    </w:tbl>
    <w:p w14:paraId="11701CFD" w14:textId="77777777" w:rsidR="004935BD" w:rsidRPr="00BF6615" w:rsidRDefault="004935BD" w:rsidP="00FD0843">
      <w:r w:rsidRPr="00BF6615">
        <w:t>Źródło: opracowanie własne.</w:t>
      </w:r>
    </w:p>
    <w:p w14:paraId="2AF46786" w14:textId="6671489F" w:rsidR="00B33A16" w:rsidRPr="00BF6615" w:rsidRDefault="00B33A16" w:rsidP="007E26B5">
      <w:r w:rsidRPr="00BF6615">
        <w:t xml:space="preserve">Średnie ocen poszczególnych aspektów dostępności wg aplikacji tematycznych </w:t>
      </w:r>
      <w:r w:rsidR="00175A5B" w:rsidRPr="00BF6615">
        <w:t>są</w:t>
      </w:r>
      <w:r w:rsidRPr="00BF6615">
        <w:t xml:space="preserve"> dość wysok</w:t>
      </w:r>
      <w:r w:rsidR="00175A5B" w:rsidRPr="00BF6615">
        <w:t xml:space="preserve">ie- </w:t>
      </w:r>
      <w:r w:rsidRPr="00BF6615">
        <w:t xml:space="preserve">skala ocen waha się od 3,63 - 4,89. Najniższe pojedyncze oceny dotyczyły komunikatu </w:t>
      </w:r>
      <w:r w:rsidR="00A42EFD" w:rsidRPr="00BF6615">
        <w:t>o</w:t>
      </w:r>
      <w:r w:rsidR="00A42EFD">
        <w:t> </w:t>
      </w:r>
      <w:r w:rsidRPr="00BF6615">
        <w:t xml:space="preserve">błędach, możliwość obsługi aplikacji za pomocą klawiatury czy łatwość kontaktu z podmiotem, również w alternatywnych formach. Najwięcej niskich ocen jednostkowych pojawiało się </w:t>
      </w:r>
      <w:r w:rsidR="00A42EFD" w:rsidRPr="00BF6615">
        <w:t>w</w:t>
      </w:r>
      <w:r w:rsidR="00A42EFD">
        <w:t> </w:t>
      </w:r>
      <w:r w:rsidRPr="00BF6615">
        <w:t xml:space="preserve">aplikacjach komunikacyjnych. Najwyżej oceniono czytelny układ treści czy </w:t>
      </w:r>
      <w:proofErr w:type="spellStart"/>
      <w:r w:rsidRPr="00BF6615">
        <w:t>responsywność</w:t>
      </w:r>
      <w:proofErr w:type="spellEnd"/>
      <w:r w:rsidRPr="00BF6615">
        <w:t xml:space="preserve"> aplikacji w aplikacjach instytucji kultury. </w:t>
      </w:r>
    </w:p>
    <w:p w14:paraId="133109F0" w14:textId="77777777" w:rsidR="00215717" w:rsidRPr="00BF6615" w:rsidRDefault="00215717" w:rsidP="007E26B5">
      <w:r w:rsidRPr="00BF6615">
        <w:t xml:space="preserve">Uwagę zwraca fakt, że ocena dostępności stron, jak i aplikacji wskazuje, że za najbardziej dostępne uznano strony i aplikacje instytucji kultury. </w:t>
      </w:r>
    </w:p>
    <w:p w14:paraId="66DDD790" w14:textId="22FBDFDE" w:rsidR="004935BD" w:rsidRPr="00BF6615" w:rsidRDefault="004935BD" w:rsidP="007E26B5">
      <w:pPr>
        <w:pStyle w:val="Legenda"/>
      </w:pPr>
      <w:bookmarkStart w:id="229" w:name="_Toc204179126"/>
      <w:r w:rsidRPr="00BF6615">
        <w:t xml:space="preserve">Tabela </w:t>
      </w:r>
      <w:r w:rsidRPr="00BF6615">
        <w:fldChar w:fldCharType="begin"/>
      </w:r>
      <w:r w:rsidRPr="00BF6615">
        <w:instrText xml:space="preserve"> SEQ Tabela \* ARABIC </w:instrText>
      </w:r>
      <w:r w:rsidRPr="00BF6615">
        <w:fldChar w:fldCharType="separate"/>
      </w:r>
      <w:r w:rsidR="00FD0843">
        <w:rPr>
          <w:noProof/>
        </w:rPr>
        <w:t>28</w:t>
      </w:r>
      <w:r w:rsidRPr="00BF6615">
        <w:fldChar w:fldCharType="end"/>
      </w:r>
      <w:r w:rsidR="00FD0843">
        <w:t>.</w:t>
      </w:r>
      <w:r w:rsidRPr="00BF6615">
        <w:t xml:space="preserve"> </w:t>
      </w:r>
      <w:r w:rsidR="00D529C1" w:rsidRPr="00BF6615">
        <w:t xml:space="preserve">Średnie oceny tematycznych aplikacji publiczny wg aspektów dostępności cyfrowej, </w:t>
      </w:r>
      <w:r w:rsidR="00A42EFD" w:rsidRPr="00BF6615">
        <w:t>z</w:t>
      </w:r>
      <w:r w:rsidR="00A42EFD">
        <w:t> </w:t>
      </w:r>
      <w:r w:rsidR="00D529C1" w:rsidRPr="00BF6615">
        <w:t>których korzystają osoby badane w pełnej grupie badanej</w:t>
      </w:r>
      <w:bookmarkEnd w:id="229"/>
    </w:p>
    <w:tbl>
      <w:tblPr>
        <w:tblStyle w:val="PARP"/>
        <w:tblW w:w="10170" w:type="dxa"/>
        <w:tblLook w:val="04A0" w:firstRow="1" w:lastRow="0" w:firstColumn="1" w:lastColumn="0" w:noHBand="0" w:noVBand="1"/>
        <w:tblCaption w:val="Średnie oceny tematycznych aplikacji publiczny wg aspektów dostępności cyfrowej, z których korzystają osoby badane w pełnej grupie badanej"/>
        <w:tblDescription w:val="Średnie oceny tematycznych aplikacji publiczny wg aspektów dostępności cyfrowej, z których korzystają osoby badane w pełnej grupie badanej"/>
      </w:tblPr>
      <w:tblGrid>
        <w:gridCol w:w="3681"/>
        <w:gridCol w:w="1257"/>
        <w:gridCol w:w="1304"/>
        <w:gridCol w:w="1187"/>
        <w:gridCol w:w="1528"/>
        <w:gridCol w:w="1213"/>
      </w:tblGrid>
      <w:tr w:rsidR="00183FB7" w:rsidRPr="00BF6615" w14:paraId="69024344" w14:textId="77777777" w:rsidTr="00387B0F">
        <w:trPr>
          <w:cnfStyle w:val="100000000000" w:firstRow="1" w:lastRow="0" w:firstColumn="0" w:lastColumn="0" w:oddVBand="0" w:evenVBand="0" w:oddHBand="0" w:evenHBand="0" w:firstRowFirstColumn="0" w:firstRowLastColumn="0" w:lastRowFirstColumn="0" w:lastRowLastColumn="0"/>
          <w:trHeight w:val="870"/>
        </w:trPr>
        <w:tc>
          <w:tcPr>
            <w:tcW w:w="3681" w:type="dxa"/>
            <w:hideMark/>
          </w:tcPr>
          <w:p w14:paraId="1FDE79FB" w14:textId="6E40DB0A" w:rsidR="00B33A16" w:rsidRPr="00BF6615" w:rsidRDefault="00B33A16" w:rsidP="007E26B5">
            <w:pPr>
              <w:spacing w:after="0" w:line="240" w:lineRule="auto"/>
              <w:rPr>
                <w:rFonts w:eastAsia="Times New Roman" w:cs="Calibri"/>
                <w:b/>
                <w:sz w:val="22"/>
                <w:lang w:eastAsia="pl-PL"/>
              </w:rPr>
            </w:pPr>
            <w:r w:rsidRPr="00BF6615">
              <w:rPr>
                <w:rFonts w:eastAsia="Times New Roman" w:cs="Calibri"/>
                <w:b/>
                <w:sz w:val="22"/>
                <w:lang w:eastAsia="pl-PL"/>
              </w:rPr>
              <w:t> </w:t>
            </w:r>
            <w:r w:rsidR="00387B0F" w:rsidRPr="00BF6615">
              <w:rPr>
                <w:b/>
                <w:sz w:val="22"/>
              </w:rPr>
              <w:t>Oceniany aspekt dostępności</w:t>
            </w:r>
            <w:r w:rsidR="00387B0F" w:rsidRPr="00BF6615">
              <w:rPr>
                <w:rFonts w:eastAsia="Times New Roman" w:cs="Calibri"/>
                <w:b/>
                <w:sz w:val="22"/>
                <w:lang w:eastAsia="pl-PL"/>
              </w:rPr>
              <w:t> </w:t>
            </w:r>
          </w:p>
        </w:tc>
        <w:tc>
          <w:tcPr>
            <w:tcW w:w="1257" w:type="dxa"/>
            <w:hideMark/>
          </w:tcPr>
          <w:p w14:paraId="34FA5612" w14:textId="77777777" w:rsidR="00B33A16" w:rsidRPr="00BF6615" w:rsidRDefault="00B33A16" w:rsidP="007E26B5">
            <w:pPr>
              <w:spacing w:after="0" w:line="240" w:lineRule="auto"/>
              <w:rPr>
                <w:rFonts w:eastAsia="Times New Roman" w:cs="Calibri"/>
                <w:b/>
                <w:sz w:val="22"/>
                <w:lang w:eastAsia="pl-PL"/>
              </w:rPr>
            </w:pPr>
            <w:r w:rsidRPr="00BF6615">
              <w:rPr>
                <w:rFonts w:eastAsia="Times New Roman" w:cs="Calibri"/>
                <w:b/>
                <w:sz w:val="22"/>
                <w:lang w:eastAsia="pl-PL"/>
              </w:rPr>
              <w:t>Aplikacja dotyczące zdrowia</w:t>
            </w:r>
          </w:p>
        </w:tc>
        <w:tc>
          <w:tcPr>
            <w:tcW w:w="1304" w:type="dxa"/>
            <w:hideMark/>
          </w:tcPr>
          <w:p w14:paraId="02C4B9C0" w14:textId="77777777" w:rsidR="00B33A16" w:rsidRPr="00BF6615" w:rsidRDefault="00B33A16" w:rsidP="007E26B5">
            <w:pPr>
              <w:spacing w:after="0" w:line="240" w:lineRule="auto"/>
              <w:rPr>
                <w:rFonts w:eastAsia="Times New Roman" w:cs="Calibri"/>
                <w:b/>
                <w:sz w:val="22"/>
                <w:lang w:eastAsia="pl-PL"/>
              </w:rPr>
            </w:pPr>
            <w:r w:rsidRPr="00BF6615">
              <w:rPr>
                <w:rFonts w:eastAsia="Times New Roman" w:cs="Calibri"/>
                <w:b/>
                <w:sz w:val="22"/>
                <w:lang w:eastAsia="pl-PL"/>
              </w:rPr>
              <w:t>Aplikacja edukacyjna</w:t>
            </w:r>
          </w:p>
        </w:tc>
        <w:tc>
          <w:tcPr>
            <w:tcW w:w="1187" w:type="dxa"/>
            <w:hideMark/>
          </w:tcPr>
          <w:p w14:paraId="5016999F" w14:textId="77777777" w:rsidR="00B33A16" w:rsidRPr="00BF6615" w:rsidRDefault="00B33A16" w:rsidP="007E26B5">
            <w:pPr>
              <w:spacing w:after="0" w:line="240" w:lineRule="auto"/>
              <w:rPr>
                <w:rFonts w:eastAsia="Times New Roman" w:cs="Calibri"/>
                <w:b/>
                <w:sz w:val="22"/>
                <w:lang w:eastAsia="pl-PL"/>
              </w:rPr>
            </w:pPr>
            <w:r w:rsidRPr="00BF6615">
              <w:rPr>
                <w:rFonts w:eastAsia="Times New Roman" w:cs="Calibri"/>
                <w:b/>
                <w:sz w:val="22"/>
                <w:lang w:eastAsia="pl-PL"/>
              </w:rPr>
              <w:t>Aplikacja instytucji kultury</w:t>
            </w:r>
          </w:p>
        </w:tc>
        <w:tc>
          <w:tcPr>
            <w:tcW w:w="1528" w:type="dxa"/>
            <w:hideMark/>
          </w:tcPr>
          <w:p w14:paraId="0E103C50" w14:textId="77777777" w:rsidR="00B33A16" w:rsidRPr="00BF6615" w:rsidRDefault="00B33A16" w:rsidP="007E26B5">
            <w:pPr>
              <w:spacing w:after="0" w:line="240" w:lineRule="auto"/>
              <w:rPr>
                <w:rFonts w:eastAsia="Times New Roman" w:cs="Calibri"/>
                <w:b/>
                <w:sz w:val="22"/>
                <w:lang w:eastAsia="pl-PL"/>
              </w:rPr>
            </w:pPr>
            <w:r w:rsidRPr="00BF6615">
              <w:rPr>
                <w:rFonts w:eastAsia="Times New Roman" w:cs="Calibri"/>
                <w:b/>
                <w:sz w:val="22"/>
                <w:lang w:eastAsia="pl-PL"/>
              </w:rPr>
              <w:t>Aplikacja komunikacyjna</w:t>
            </w:r>
          </w:p>
        </w:tc>
        <w:tc>
          <w:tcPr>
            <w:tcW w:w="1213" w:type="dxa"/>
            <w:hideMark/>
          </w:tcPr>
          <w:p w14:paraId="1FE6817C" w14:textId="496EDC00" w:rsidR="00B33A16" w:rsidRPr="00BF6615" w:rsidRDefault="00387B0F"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r w:rsidR="00B33A16" w:rsidRPr="00BF6615">
              <w:rPr>
                <w:rFonts w:eastAsia="Times New Roman" w:cs="Calibri"/>
                <w:b/>
                <w:sz w:val="22"/>
                <w:lang w:eastAsia="pl-PL"/>
              </w:rPr>
              <w:t> </w:t>
            </w:r>
          </w:p>
        </w:tc>
      </w:tr>
      <w:tr w:rsidR="00183FB7" w:rsidRPr="00BF6615" w14:paraId="444D1626" w14:textId="77777777" w:rsidTr="00387B0F">
        <w:trPr>
          <w:cnfStyle w:val="000000100000" w:firstRow="0" w:lastRow="0" w:firstColumn="0" w:lastColumn="0" w:oddVBand="0" w:evenVBand="0" w:oddHBand="1" w:evenHBand="0" w:firstRowFirstColumn="0" w:firstRowLastColumn="0" w:lastRowFirstColumn="0" w:lastRowLastColumn="0"/>
          <w:trHeight w:val="580"/>
        </w:trPr>
        <w:tc>
          <w:tcPr>
            <w:tcW w:w="3681" w:type="dxa"/>
            <w:hideMark/>
          </w:tcPr>
          <w:p w14:paraId="16DB8403"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nawigować/poruszać się po aplikacji</w:t>
            </w:r>
          </w:p>
        </w:tc>
        <w:tc>
          <w:tcPr>
            <w:tcW w:w="1257" w:type="dxa"/>
            <w:hideMark/>
          </w:tcPr>
          <w:p w14:paraId="7E6427AD"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304" w:type="dxa"/>
            <w:hideMark/>
          </w:tcPr>
          <w:p w14:paraId="635307B7"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4,45</w:t>
            </w:r>
          </w:p>
        </w:tc>
        <w:tc>
          <w:tcPr>
            <w:tcW w:w="1187" w:type="dxa"/>
            <w:hideMark/>
          </w:tcPr>
          <w:p w14:paraId="035BD8AB"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4,61</w:t>
            </w:r>
          </w:p>
        </w:tc>
        <w:tc>
          <w:tcPr>
            <w:tcW w:w="1528" w:type="dxa"/>
            <w:hideMark/>
          </w:tcPr>
          <w:p w14:paraId="7593BBC9"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1213" w:type="dxa"/>
            <w:hideMark/>
          </w:tcPr>
          <w:p w14:paraId="3F97F98B"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4,41</w:t>
            </w:r>
          </w:p>
        </w:tc>
      </w:tr>
      <w:tr w:rsidR="00183FB7" w:rsidRPr="00BF6615" w14:paraId="1864BAFF" w14:textId="77777777" w:rsidTr="00387B0F">
        <w:trPr>
          <w:cnfStyle w:val="000000010000" w:firstRow="0" w:lastRow="0" w:firstColumn="0" w:lastColumn="0" w:oddVBand="0" w:evenVBand="0" w:oddHBand="0" w:evenHBand="1" w:firstRowFirstColumn="0" w:firstRowLastColumn="0" w:lastRowFirstColumn="0" w:lastRowLastColumn="0"/>
          <w:trHeight w:val="290"/>
        </w:trPr>
        <w:tc>
          <w:tcPr>
            <w:tcW w:w="3681" w:type="dxa"/>
            <w:hideMark/>
          </w:tcPr>
          <w:p w14:paraId="5C5782AD"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znaleźć potrzebne mi informacje</w:t>
            </w:r>
          </w:p>
        </w:tc>
        <w:tc>
          <w:tcPr>
            <w:tcW w:w="1257" w:type="dxa"/>
            <w:hideMark/>
          </w:tcPr>
          <w:p w14:paraId="243CFCA4"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1304" w:type="dxa"/>
            <w:hideMark/>
          </w:tcPr>
          <w:p w14:paraId="52B4F898"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4,36</w:t>
            </w:r>
          </w:p>
        </w:tc>
        <w:tc>
          <w:tcPr>
            <w:tcW w:w="1187" w:type="dxa"/>
            <w:hideMark/>
          </w:tcPr>
          <w:p w14:paraId="03B1B0F8"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528" w:type="dxa"/>
            <w:hideMark/>
          </w:tcPr>
          <w:p w14:paraId="52DED416"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4,24</w:t>
            </w:r>
          </w:p>
        </w:tc>
        <w:tc>
          <w:tcPr>
            <w:tcW w:w="1213" w:type="dxa"/>
            <w:hideMark/>
          </w:tcPr>
          <w:p w14:paraId="497B4076"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4,39</w:t>
            </w:r>
          </w:p>
        </w:tc>
      </w:tr>
      <w:tr w:rsidR="00183FB7" w:rsidRPr="00BF6615" w14:paraId="30B19111" w14:textId="77777777" w:rsidTr="00387B0F">
        <w:trPr>
          <w:cnfStyle w:val="000000100000" w:firstRow="0" w:lastRow="0" w:firstColumn="0" w:lastColumn="0" w:oddVBand="0" w:evenVBand="0" w:oddHBand="1" w:evenHBand="0" w:firstRowFirstColumn="0" w:firstRowLastColumn="0" w:lastRowFirstColumn="0" w:lastRowLastColumn="0"/>
          <w:trHeight w:val="290"/>
        </w:trPr>
        <w:tc>
          <w:tcPr>
            <w:tcW w:w="3681" w:type="dxa"/>
            <w:hideMark/>
          </w:tcPr>
          <w:p w14:paraId="6B669117"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szybko się ładuje</w:t>
            </w:r>
          </w:p>
        </w:tc>
        <w:tc>
          <w:tcPr>
            <w:tcW w:w="1257" w:type="dxa"/>
            <w:hideMark/>
          </w:tcPr>
          <w:p w14:paraId="58D911FF"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304" w:type="dxa"/>
            <w:hideMark/>
          </w:tcPr>
          <w:p w14:paraId="1A943A2E"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4,55</w:t>
            </w:r>
          </w:p>
        </w:tc>
        <w:tc>
          <w:tcPr>
            <w:tcW w:w="1187" w:type="dxa"/>
            <w:hideMark/>
          </w:tcPr>
          <w:p w14:paraId="4388C8AF"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528" w:type="dxa"/>
            <w:hideMark/>
          </w:tcPr>
          <w:p w14:paraId="7187B079"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1213" w:type="dxa"/>
            <w:hideMark/>
          </w:tcPr>
          <w:p w14:paraId="7D89F60F"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4,48</w:t>
            </w:r>
          </w:p>
        </w:tc>
      </w:tr>
      <w:tr w:rsidR="00183FB7" w:rsidRPr="00BF6615" w14:paraId="7373EA53" w14:textId="77777777" w:rsidTr="00387B0F">
        <w:trPr>
          <w:cnfStyle w:val="000000010000" w:firstRow="0" w:lastRow="0" w:firstColumn="0" w:lastColumn="0" w:oddVBand="0" w:evenVBand="0" w:oddHBand="0" w:evenHBand="1" w:firstRowFirstColumn="0" w:firstRowLastColumn="0" w:lastRowFirstColumn="0" w:lastRowLastColumn="0"/>
          <w:trHeight w:val="290"/>
        </w:trPr>
        <w:tc>
          <w:tcPr>
            <w:tcW w:w="3681" w:type="dxa"/>
            <w:hideMark/>
          </w:tcPr>
          <w:p w14:paraId="2716F725"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ma czytelny układ treści</w:t>
            </w:r>
          </w:p>
        </w:tc>
        <w:tc>
          <w:tcPr>
            <w:tcW w:w="1257" w:type="dxa"/>
            <w:hideMark/>
          </w:tcPr>
          <w:p w14:paraId="3714023C"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1304" w:type="dxa"/>
            <w:hideMark/>
          </w:tcPr>
          <w:p w14:paraId="15A68FB1"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4,45</w:t>
            </w:r>
          </w:p>
        </w:tc>
        <w:tc>
          <w:tcPr>
            <w:tcW w:w="1187" w:type="dxa"/>
            <w:hideMark/>
          </w:tcPr>
          <w:p w14:paraId="31E32F40"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4,89</w:t>
            </w:r>
          </w:p>
        </w:tc>
        <w:tc>
          <w:tcPr>
            <w:tcW w:w="1528" w:type="dxa"/>
            <w:hideMark/>
          </w:tcPr>
          <w:p w14:paraId="73987BB2"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4,24</w:t>
            </w:r>
          </w:p>
        </w:tc>
        <w:tc>
          <w:tcPr>
            <w:tcW w:w="1213" w:type="dxa"/>
            <w:hideMark/>
          </w:tcPr>
          <w:p w14:paraId="3BCE4683"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4,48</w:t>
            </w:r>
          </w:p>
        </w:tc>
      </w:tr>
      <w:tr w:rsidR="00183FB7" w:rsidRPr="00BF6615" w14:paraId="0203E653" w14:textId="77777777" w:rsidTr="00387B0F">
        <w:trPr>
          <w:cnfStyle w:val="000000100000" w:firstRow="0" w:lastRow="0" w:firstColumn="0" w:lastColumn="0" w:oddVBand="0" w:evenVBand="0" w:oddHBand="1" w:evenHBand="0" w:firstRowFirstColumn="0" w:firstRowLastColumn="0" w:lastRowFirstColumn="0" w:lastRowLastColumn="0"/>
          <w:trHeight w:val="580"/>
        </w:trPr>
        <w:tc>
          <w:tcPr>
            <w:tcW w:w="3681" w:type="dxa"/>
            <w:hideMark/>
          </w:tcPr>
          <w:p w14:paraId="40F17115"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w aplikacji są dla mnie przyjazne</w:t>
            </w:r>
          </w:p>
        </w:tc>
        <w:tc>
          <w:tcPr>
            <w:tcW w:w="1257" w:type="dxa"/>
            <w:hideMark/>
          </w:tcPr>
          <w:p w14:paraId="098C0115"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4,41</w:t>
            </w:r>
          </w:p>
        </w:tc>
        <w:tc>
          <w:tcPr>
            <w:tcW w:w="1304" w:type="dxa"/>
            <w:hideMark/>
          </w:tcPr>
          <w:p w14:paraId="5B123CEC"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4,64</w:t>
            </w:r>
          </w:p>
        </w:tc>
        <w:tc>
          <w:tcPr>
            <w:tcW w:w="1187" w:type="dxa"/>
            <w:hideMark/>
          </w:tcPr>
          <w:p w14:paraId="65B80FB6"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4,89</w:t>
            </w:r>
          </w:p>
        </w:tc>
        <w:tc>
          <w:tcPr>
            <w:tcW w:w="1528" w:type="dxa"/>
            <w:hideMark/>
          </w:tcPr>
          <w:p w14:paraId="613F9B1F"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4,37</w:t>
            </w:r>
          </w:p>
        </w:tc>
        <w:tc>
          <w:tcPr>
            <w:tcW w:w="1213" w:type="dxa"/>
            <w:hideMark/>
          </w:tcPr>
          <w:p w14:paraId="602EE494"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4,58</w:t>
            </w:r>
          </w:p>
        </w:tc>
      </w:tr>
      <w:tr w:rsidR="00183FB7" w:rsidRPr="00BF6615" w14:paraId="3851CB94" w14:textId="77777777" w:rsidTr="00387B0F">
        <w:trPr>
          <w:cnfStyle w:val="000000010000" w:firstRow="0" w:lastRow="0" w:firstColumn="0" w:lastColumn="0" w:oddVBand="0" w:evenVBand="0" w:oddHBand="0" w:evenHBand="1" w:firstRowFirstColumn="0" w:firstRowLastColumn="0" w:lastRowFirstColumn="0" w:lastRowLastColumn="0"/>
          <w:trHeight w:val="580"/>
        </w:trPr>
        <w:tc>
          <w:tcPr>
            <w:tcW w:w="3681" w:type="dxa"/>
            <w:hideMark/>
          </w:tcPr>
          <w:p w14:paraId="6AA7A87C"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jest dla mnie dostępna cyfrowo</w:t>
            </w:r>
          </w:p>
        </w:tc>
        <w:tc>
          <w:tcPr>
            <w:tcW w:w="1257" w:type="dxa"/>
            <w:hideMark/>
          </w:tcPr>
          <w:p w14:paraId="3CF78EF1"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304" w:type="dxa"/>
            <w:hideMark/>
          </w:tcPr>
          <w:p w14:paraId="003381A1"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4,70</w:t>
            </w:r>
          </w:p>
        </w:tc>
        <w:tc>
          <w:tcPr>
            <w:tcW w:w="1187" w:type="dxa"/>
            <w:hideMark/>
          </w:tcPr>
          <w:p w14:paraId="5300BB4E"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4,76</w:t>
            </w:r>
          </w:p>
        </w:tc>
        <w:tc>
          <w:tcPr>
            <w:tcW w:w="1528" w:type="dxa"/>
            <w:hideMark/>
          </w:tcPr>
          <w:p w14:paraId="5E1E738E"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213" w:type="dxa"/>
            <w:hideMark/>
          </w:tcPr>
          <w:p w14:paraId="5143FD1B"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4,56</w:t>
            </w:r>
          </w:p>
        </w:tc>
      </w:tr>
      <w:tr w:rsidR="00183FB7" w:rsidRPr="00BF6615" w14:paraId="77757CF4" w14:textId="77777777" w:rsidTr="00387B0F">
        <w:trPr>
          <w:cnfStyle w:val="000000100000" w:firstRow="0" w:lastRow="0" w:firstColumn="0" w:lastColumn="0" w:oddVBand="0" w:evenVBand="0" w:oddHBand="1" w:evenHBand="0" w:firstRowFirstColumn="0" w:firstRowLastColumn="0" w:lastRowFirstColumn="0" w:lastRowLastColumn="0"/>
          <w:trHeight w:val="580"/>
        </w:trPr>
        <w:tc>
          <w:tcPr>
            <w:tcW w:w="3681" w:type="dxa"/>
            <w:hideMark/>
          </w:tcPr>
          <w:p w14:paraId="34FBAD48" w14:textId="77777777" w:rsidR="00B33A16" w:rsidRPr="00BF6615" w:rsidRDefault="00B33A16" w:rsidP="007E26B5">
            <w:pPr>
              <w:spacing w:after="0" w:line="240" w:lineRule="auto"/>
              <w:rPr>
                <w:rFonts w:ascii="Calibri" w:eastAsia="Times New Roman" w:hAnsi="Calibri" w:cs="Calibri"/>
                <w:color w:val="000000"/>
                <w:sz w:val="22"/>
                <w:lang w:eastAsia="pl-PL"/>
              </w:rPr>
            </w:pPr>
            <w:proofErr w:type="spellStart"/>
            <w:r w:rsidRPr="00BF6615">
              <w:rPr>
                <w:rFonts w:ascii="Calibri" w:eastAsia="Times New Roman" w:hAnsi="Calibri" w:cs="Calibri"/>
                <w:color w:val="000000"/>
                <w:sz w:val="22"/>
                <w:lang w:eastAsia="pl-PL"/>
              </w:rPr>
              <w:t>Responsywność</w:t>
            </w:r>
            <w:proofErr w:type="spellEnd"/>
            <w:r w:rsidRPr="00BF6615">
              <w:rPr>
                <w:rFonts w:ascii="Calibri" w:eastAsia="Times New Roman" w:hAnsi="Calibri" w:cs="Calibri"/>
                <w:color w:val="000000"/>
                <w:sz w:val="22"/>
                <w:lang w:eastAsia="pl-PL"/>
              </w:rPr>
              <w:t xml:space="preserve"> aplikacji jest odpowiednia</w:t>
            </w:r>
          </w:p>
        </w:tc>
        <w:tc>
          <w:tcPr>
            <w:tcW w:w="1257" w:type="dxa"/>
            <w:hideMark/>
          </w:tcPr>
          <w:p w14:paraId="363365B2"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4,34</w:t>
            </w:r>
          </w:p>
        </w:tc>
        <w:tc>
          <w:tcPr>
            <w:tcW w:w="1304" w:type="dxa"/>
            <w:hideMark/>
          </w:tcPr>
          <w:p w14:paraId="6CD11C87"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4,64</w:t>
            </w:r>
          </w:p>
        </w:tc>
        <w:tc>
          <w:tcPr>
            <w:tcW w:w="1187" w:type="dxa"/>
            <w:hideMark/>
          </w:tcPr>
          <w:p w14:paraId="2D405018"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4,88</w:t>
            </w:r>
          </w:p>
        </w:tc>
        <w:tc>
          <w:tcPr>
            <w:tcW w:w="1528" w:type="dxa"/>
            <w:hideMark/>
          </w:tcPr>
          <w:p w14:paraId="174D75AC"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213" w:type="dxa"/>
            <w:hideMark/>
          </w:tcPr>
          <w:p w14:paraId="11A80FDE"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4,56</w:t>
            </w:r>
          </w:p>
        </w:tc>
      </w:tr>
      <w:tr w:rsidR="00183FB7" w:rsidRPr="00BF6615" w14:paraId="61D4891A" w14:textId="77777777" w:rsidTr="00387B0F">
        <w:trPr>
          <w:cnfStyle w:val="000000010000" w:firstRow="0" w:lastRow="0" w:firstColumn="0" w:lastColumn="0" w:oddVBand="0" w:evenVBand="0" w:oddHBand="0" w:evenHBand="1" w:firstRowFirstColumn="0" w:firstRowLastColumn="0" w:lastRowFirstColumn="0" w:lastRowLastColumn="0"/>
          <w:trHeight w:val="580"/>
        </w:trPr>
        <w:tc>
          <w:tcPr>
            <w:tcW w:w="3681" w:type="dxa"/>
            <w:hideMark/>
          </w:tcPr>
          <w:p w14:paraId="71479D84"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skontaktować się z obsługa klienta/pomocą</w:t>
            </w:r>
          </w:p>
        </w:tc>
        <w:tc>
          <w:tcPr>
            <w:tcW w:w="1257" w:type="dxa"/>
            <w:hideMark/>
          </w:tcPr>
          <w:p w14:paraId="6372BAFA"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4,24</w:t>
            </w:r>
          </w:p>
        </w:tc>
        <w:tc>
          <w:tcPr>
            <w:tcW w:w="1304" w:type="dxa"/>
            <w:hideMark/>
          </w:tcPr>
          <w:p w14:paraId="437BE38F"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4,78</w:t>
            </w:r>
          </w:p>
        </w:tc>
        <w:tc>
          <w:tcPr>
            <w:tcW w:w="1187" w:type="dxa"/>
            <w:hideMark/>
          </w:tcPr>
          <w:p w14:paraId="02D5BD85"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4,69</w:t>
            </w:r>
          </w:p>
        </w:tc>
        <w:tc>
          <w:tcPr>
            <w:tcW w:w="1528" w:type="dxa"/>
            <w:hideMark/>
          </w:tcPr>
          <w:p w14:paraId="5CD43F40"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213" w:type="dxa"/>
            <w:hideMark/>
          </w:tcPr>
          <w:p w14:paraId="558B7356"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4,43</w:t>
            </w:r>
          </w:p>
        </w:tc>
      </w:tr>
      <w:tr w:rsidR="00183FB7" w:rsidRPr="00BF6615" w14:paraId="5E4893C2" w14:textId="77777777" w:rsidTr="00387B0F">
        <w:trPr>
          <w:cnfStyle w:val="000000100000" w:firstRow="0" w:lastRow="0" w:firstColumn="0" w:lastColumn="0" w:oddVBand="0" w:evenVBand="0" w:oddHBand="1" w:evenHBand="0" w:firstRowFirstColumn="0" w:firstRowLastColumn="0" w:lastRowFirstColumn="0" w:lastRowLastColumn="0"/>
          <w:trHeight w:val="1160"/>
        </w:trPr>
        <w:tc>
          <w:tcPr>
            <w:tcW w:w="3681" w:type="dxa"/>
            <w:hideMark/>
          </w:tcPr>
          <w:p w14:paraId="319C82A3"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Mogę w łatwy sposób skontaktować się z podmiotem publicznym, również z wykorzystaniem alternatywnych form kontaktu</w:t>
            </w:r>
          </w:p>
        </w:tc>
        <w:tc>
          <w:tcPr>
            <w:tcW w:w="1257" w:type="dxa"/>
            <w:hideMark/>
          </w:tcPr>
          <w:p w14:paraId="5C4C7909"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304" w:type="dxa"/>
            <w:hideMark/>
          </w:tcPr>
          <w:p w14:paraId="7CCC3598"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187" w:type="dxa"/>
            <w:hideMark/>
          </w:tcPr>
          <w:p w14:paraId="4130F491"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4,63</w:t>
            </w:r>
          </w:p>
        </w:tc>
        <w:tc>
          <w:tcPr>
            <w:tcW w:w="1528" w:type="dxa"/>
            <w:hideMark/>
          </w:tcPr>
          <w:p w14:paraId="0E232B55"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3,76</w:t>
            </w:r>
          </w:p>
        </w:tc>
        <w:tc>
          <w:tcPr>
            <w:tcW w:w="1213" w:type="dxa"/>
            <w:hideMark/>
          </w:tcPr>
          <w:p w14:paraId="76420862"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4,40</w:t>
            </w:r>
          </w:p>
        </w:tc>
      </w:tr>
      <w:tr w:rsidR="00183FB7" w:rsidRPr="00BF6615" w14:paraId="0ACFC9D1" w14:textId="77777777" w:rsidTr="00387B0F">
        <w:trPr>
          <w:cnfStyle w:val="000000010000" w:firstRow="0" w:lastRow="0" w:firstColumn="0" w:lastColumn="0" w:oddVBand="0" w:evenVBand="0" w:oddHBand="0" w:evenHBand="1" w:firstRowFirstColumn="0" w:firstRowLastColumn="0" w:lastRowFirstColumn="0" w:lastRowLastColumn="0"/>
          <w:trHeight w:val="870"/>
        </w:trPr>
        <w:tc>
          <w:tcPr>
            <w:tcW w:w="3681" w:type="dxa"/>
            <w:hideMark/>
          </w:tcPr>
          <w:p w14:paraId="21595292"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aplikacji mobilnej mogę obsłużyć za pomocą klawiatury zewnętrznej</w:t>
            </w:r>
          </w:p>
        </w:tc>
        <w:tc>
          <w:tcPr>
            <w:tcW w:w="1257" w:type="dxa"/>
            <w:hideMark/>
          </w:tcPr>
          <w:p w14:paraId="7AC15D63"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304" w:type="dxa"/>
            <w:hideMark/>
          </w:tcPr>
          <w:p w14:paraId="6728A190"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1187" w:type="dxa"/>
            <w:hideMark/>
          </w:tcPr>
          <w:p w14:paraId="1CCB023B"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4,73</w:t>
            </w:r>
          </w:p>
        </w:tc>
        <w:tc>
          <w:tcPr>
            <w:tcW w:w="1528" w:type="dxa"/>
            <w:hideMark/>
          </w:tcPr>
          <w:p w14:paraId="33216102"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4,12</w:t>
            </w:r>
          </w:p>
        </w:tc>
        <w:tc>
          <w:tcPr>
            <w:tcW w:w="1213" w:type="dxa"/>
            <w:hideMark/>
          </w:tcPr>
          <w:p w14:paraId="22935FD2"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4,37</w:t>
            </w:r>
          </w:p>
        </w:tc>
      </w:tr>
      <w:tr w:rsidR="00183FB7" w:rsidRPr="00BF6615" w14:paraId="7305B898" w14:textId="77777777" w:rsidTr="00387B0F">
        <w:trPr>
          <w:cnfStyle w:val="000000100000" w:firstRow="0" w:lastRow="0" w:firstColumn="0" w:lastColumn="0" w:oddVBand="0" w:evenVBand="0" w:oddHBand="1" w:evenHBand="0" w:firstRowFirstColumn="0" w:firstRowLastColumn="0" w:lastRowFirstColumn="0" w:lastRowLastColumn="0"/>
          <w:trHeight w:val="1160"/>
        </w:trPr>
        <w:tc>
          <w:tcPr>
            <w:tcW w:w="3681" w:type="dxa"/>
            <w:hideMark/>
          </w:tcPr>
          <w:p w14:paraId="607E1830"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Materiały multimedialne oraz grafiki są dla mnie zrozumiałe (filmy posiadają audiodeskrypcję oraz napisy rozszerzone)</w:t>
            </w:r>
          </w:p>
        </w:tc>
        <w:tc>
          <w:tcPr>
            <w:tcW w:w="1257" w:type="dxa"/>
            <w:hideMark/>
          </w:tcPr>
          <w:p w14:paraId="6072CB4B"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304" w:type="dxa"/>
            <w:hideMark/>
          </w:tcPr>
          <w:p w14:paraId="2EEDDEA1"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4,55</w:t>
            </w:r>
          </w:p>
        </w:tc>
        <w:tc>
          <w:tcPr>
            <w:tcW w:w="1187" w:type="dxa"/>
            <w:hideMark/>
          </w:tcPr>
          <w:p w14:paraId="76828CEB"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1528" w:type="dxa"/>
            <w:hideMark/>
          </w:tcPr>
          <w:p w14:paraId="096509B0"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4,18</w:t>
            </w:r>
          </w:p>
        </w:tc>
        <w:tc>
          <w:tcPr>
            <w:tcW w:w="1213" w:type="dxa"/>
            <w:hideMark/>
          </w:tcPr>
          <w:p w14:paraId="04315139"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4,42</w:t>
            </w:r>
          </w:p>
        </w:tc>
      </w:tr>
      <w:tr w:rsidR="00183FB7" w:rsidRPr="00BF6615" w14:paraId="6C16E57A" w14:textId="77777777" w:rsidTr="00387B0F">
        <w:trPr>
          <w:cnfStyle w:val="000000010000" w:firstRow="0" w:lastRow="0" w:firstColumn="0" w:lastColumn="0" w:oddVBand="0" w:evenVBand="0" w:oddHBand="0" w:evenHBand="1" w:firstRowFirstColumn="0" w:firstRowLastColumn="0" w:lastRowFirstColumn="0" w:lastRowLastColumn="0"/>
          <w:trHeight w:val="1160"/>
        </w:trPr>
        <w:tc>
          <w:tcPr>
            <w:tcW w:w="3681" w:type="dxa"/>
            <w:hideMark/>
          </w:tcPr>
          <w:p w14:paraId="3D878499"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Niezależnie od wykonywanych czynności otrzymuję informację zwrotną, również o błędach w sposób dostępny cyfrowo</w:t>
            </w:r>
          </w:p>
        </w:tc>
        <w:tc>
          <w:tcPr>
            <w:tcW w:w="1257" w:type="dxa"/>
            <w:hideMark/>
          </w:tcPr>
          <w:p w14:paraId="12F6B248"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304" w:type="dxa"/>
            <w:hideMark/>
          </w:tcPr>
          <w:p w14:paraId="1D223FB0"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4,63</w:t>
            </w:r>
          </w:p>
        </w:tc>
        <w:tc>
          <w:tcPr>
            <w:tcW w:w="1187" w:type="dxa"/>
            <w:hideMark/>
          </w:tcPr>
          <w:p w14:paraId="45F1FA02"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528" w:type="dxa"/>
            <w:hideMark/>
          </w:tcPr>
          <w:p w14:paraId="6F110BF8"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4,04</w:t>
            </w:r>
          </w:p>
        </w:tc>
        <w:tc>
          <w:tcPr>
            <w:tcW w:w="1213" w:type="dxa"/>
            <w:hideMark/>
          </w:tcPr>
          <w:p w14:paraId="7C0522D9"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4,36</w:t>
            </w:r>
          </w:p>
        </w:tc>
      </w:tr>
      <w:tr w:rsidR="00183FB7" w:rsidRPr="00BF6615" w14:paraId="36E91A69" w14:textId="77777777" w:rsidTr="00387B0F">
        <w:trPr>
          <w:cnfStyle w:val="000000100000" w:firstRow="0" w:lastRow="0" w:firstColumn="0" w:lastColumn="0" w:oddVBand="0" w:evenVBand="0" w:oddHBand="1" w:evenHBand="0" w:firstRowFirstColumn="0" w:firstRowLastColumn="0" w:lastRowFirstColumn="0" w:lastRowLastColumn="0"/>
          <w:trHeight w:val="870"/>
        </w:trPr>
        <w:tc>
          <w:tcPr>
            <w:tcW w:w="3681" w:type="dxa"/>
            <w:hideMark/>
          </w:tcPr>
          <w:p w14:paraId="456E62E5"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wyświetlane na ekranie są czytelne zarówno w widoku poziomym jak i pionowym</w:t>
            </w:r>
          </w:p>
        </w:tc>
        <w:tc>
          <w:tcPr>
            <w:tcW w:w="1257" w:type="dxa"/>
            <w:hideMark/>
          </w:tcPr>
          <w:p w14:paraId="36D4C27C"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1304" w:type="dxa"/>
            <w:hideMark/>
          </w:tcPr>
          <w:p w14:paraId="1B35D9FA"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4,78</w:t>
            </w:r>
          </w:p>
        </w:tc>
        <w:tc>
          <w:tcPr>
            <w:tcW w:w="1187" w:type="dxa"/>
            <w:hideMark/>
          </w:tcPr>
          <w:p w14:paraId="7BF817DF"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4,59</w:t>
            </w:r>
          </w:p>
        </w:tc>
        <w:tc>
          <w:tcPr>
            <w:tcW w:w="1528" w:type="dxa"/>
            <w:hideMark/>
          </w:tcPr>
          <w:p w14:paraId="77B8ADDC"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213" w:type="dxa"/>
            <w:hideMark/>
          </w:tcPr>
          <w:p w14:paraId="02F2C7D6"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4,48</w:t>
            </w:r>
          </w:p>
        </w:tc>
      </w:tr>
      <w:tr w:rsidR="00183FB7" w:rsidRPr="00BF6615" w14:paraId="0E05E3D3" w14:textId="77777777" w:rsidTr="00387B0F">
        <w:trPr>
          <w:cnfStyle w:val="000000010000" w:firstRow="0" w:lastRow="0" w:firstColumn="0" w:lastColumn="0" w:oddVBand="0" w:evenVBand="0" w:oddHBand="0" w:evenHBand="1" w:firstRowFirstColumn="0" w:firstRowLastColumn="0" w:lastRowFirstColumn="0" w:lastRowLastColumn="0"/>
          <w:trHeight w:val="580"/>
        </w:trPr>
        <w:tc>
          <w:tcPr>
            <w:tcW w:w="3681" w:type="dxa"/>
            <w:hideMark/>
          </w:tcPr>
          <w:p w14:paraId="27A6F46E"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tłumaczenia na Polski język migowy (PJM)</w:t>
            </w:r>
          </w:p>
        </w:tc>
        <w:tc>
          <w:tcPr>
            <w:tcW w:w="1257" w:type="dxa"/>
            <w:hideMark/>
          </w:tcPr>
          <w:p w14:paraId="4AFBF8FA"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4,18</w:t>
            </w:r>
          </w:p>
        </w:tc>
        <w:tc>
          <w:tcPr>
            <w:tcW w:w="1304" w:type="dxa"/>
            <w:hideMark/>
          </w:tcPr>
          <w:p w14:paraId="3F8B6091"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3,83</w:t>
            </w:r>
          </w:p>
        </w:tc>
        <w:tc>
          <w:tcPr>
            <w:tcW w:w="1187" w:type="dxa"/>
            <w:hideMark/>
          </w:tcPr>
          <w:p w14:paraId="61047B08"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4,70</w:t>
            </w:r>
          </w:p>
        </w:tc>
        <w:tc>
          <w:tcPr>
            <w:tcW w:w="1528" w:type="dxa"/>
            <w:hideMark/>
          </w:tcPr>
          <w:p w14:paraId="03F0D261"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3,63</w:t>
            </w:r>
          </w:p>
        </w:tc>
        <w:tc>
          <w:tcPr>
            <w:tcW w:w="1213" w:type="dxa"/>
            <w:hideMark/>
          </w:tcPr>
          <w:p w14:paraId="48C37900"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4,08</w:t>
            </w:r>
          </w:p>
        </w:tc>
      </w:tr>
      <w:tr w:rsidR="00183FB7" w:rsidRPr="00BF6615" w14:paraId="3EE3A096" w14:textId="77777777" w:rsidTr="00387B0F">
        <w:trPr>
          <w:cnfStyle w:val="000000100000" w:firstRow="0" w:lastRow="0" w:firstColumn="0" w:lastColumn="0" w:oddVBand="0" w:evenVBand="0" w:oddHBand="1" w:evenHBand="0" w:firstRowFirstColumn="0" w:firstRowLastColumn="0" w:lastRowFirstColumn="0" w:lastRowLastColumn="0"/>
          <w:trHeight w:val="580"/>
        </w:trPr>
        <w:tc>
          <w:tcPr>
            <w:tcW w:w="3681" w:type="dxa"/>
            <w:hideMark/>
          </w:tcPr>
          <w:p w14:paraId="1301BB92"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informacje w tekście łatwym do czytania i zrozumienia (ETR)</w:t>
            </w:r>
          </w:p>
        </w:tc>
        <w:tc>
          <w:tcPr>
            <w:tcW w:w="1257" w:type="dxa"/>
            <w:hideMark/>
          </w:tcPr>
          <w:p w14:paraId="44858011"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4,28</w:t>
            </w:r>
          </w:p>
        </w:tc>
        <w:tc>
          <w:tcPr>
            <w:tcW w:w="1304" w:type="dxa"/>
            <w:hideMark/>
          </w:tcPr>
          <w:p w14:paraId="508EF693"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4,86</w:t>
            </w:r>
          </w:p>
        </w:tc>
        <w:tc>
          <w:tcPr>
            <w:tcW w:w="1187" w:type="dxa"/>
            <w:hideMark/>
          </w:tcPr>
          <w:p w14:paraId="17963C8C"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528" w:type="dxa"/>
            <w:hideMark/>
          </w:tcPr>
          <w:p w14:paraId="799D83D9" w14:textId="77777777" w:rsidR="00B33A16" w:rsidRPr="00BF6615" w:rsidRDefault="00B33A1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4,37</w:t>
            </w:r>
          </w:p>
        </w:tc>
        <w:tc>
          <w:tcPr>
            <w:tcW w:w="1213" w:type="dxa"/>
            <w:hideMark/>
          </w:tcPr>
          <w:p w14:paraId="2AD8167E" w14:textId="77777777" w:rsidR="00B33A16" w:rsidRPr="00BF6615" w:rsidRDefault="00B33A1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4,58</w:t>
            </w:r>
          </w:p>
        </w:tc>
      </w:tr>
      <w:tr w:rsidR="00183FB7" w:rsidRPr="00BF6615" w14:paraId="4DF23DF8" w14:textId="77777777" w:rsidTr="00387B0F">
        <w:trPr>
          <w:cnfStyle w:val="000000010000" w:firstRow="0" w:lastRow="0" w:firstColumn="0" w:lastColumn="0" w:oddVBand="0" w:evenVBand="0" w:oddHBand="0" w:evenHBand="1" w:firstRowFirstColumn="0" w:firstRowLastColumn="0" w:lastRowFirstColumn="0" w:lastRowLastColumn="0"/>
          <w:trHeight w:val="290"/>
        </w:trPr>
        <w:tc>
          <w:tcPr>
            <w:tcW w:w="3681" w:type="dxa"/>
            <w:hideMark/>
          </w:tcPr>
          <w:p w14:paraId="3D9478E7" w14:textId="3CFADB0B" w:rsidR="00B33A16" w:rsidRPr="00BF6615" w:rsidRDefault="00B33A16" w:rsidP="007E26B5">
            <w:pPr>
              <w:spacing w:after="0" w:line="240" w:lineRule="auto"/>
              <w:rPr>
                <w:rFonts w:ascii="Calibri" w:eastAsia="Times New Roman" w:hAnsi="Calibri" w:cs="Calibri"/>
                <w:sz w:val="22"/>
                <w:lang w:eastAsia="pl-PL"/>
              </w:rPr>
            </w:pPr>
            <w:r w:rsidRPr="00BF6615">
              <w:rPr>
                <w:rFonts w:ascii="Calibri" w:eastAsia="Times New Roman" w:hAnsi="Calibri" w:cs="Calibri"/>
                <w:sz w:val="22"/>
                <w:lang w:eastAsia="pl-PL"/>
              </w:rPr>
              <w:t> </w:t>
            </w:r>
            <w:r w:rsidR="00387B0F" w:rsidRPr="00BF6615">
              <w:rPr>
                <w:rFonts w:eastAsia="Times New Roman" w:cs="Calibri"/>
                <w:b/>
                <w:sz w:val="22"/>
                <w:lang w:eastAsia="pl-PL"/>
              </w:rPr>
              <w:t>Sumaryczna średnia ocen</w:t>
            </w:r>
          </w:p>
        </w:tc>
        <w:tc>
          <w:tcPr>
            <w:tcW w:w="1257" w:type="dxa"/>
            <w:hideMark/>
          </w:tcPr>
          <w:p w14:paraId="03EF0AAA" w14:textId="77777777" w:rsidR="00B33A16" w:rsidRPr="00BF6615" w:rsidRDefault="00B33A16" w:rsidP="007E26B5">
            <w:pPr>
              <w:spacing w:after="0" w:line="240" w:lineRule="auto"/>
              <w:rPr>
                <w:rFonts w:ascii="Calibri" w:eastAsia="Times New Roman" w:hAnsi="Calibri" w:cs="Calibri"/>
                <w:b/>
                <w:sz w:val="22"/>
                <w:lang w:eastAsia="pl-PL"/>
              </w:rPr>
            </w:pPr>
            <w:r w:rsidRPr="00BF6615">
              <w:rPr>
                <w:rFonts w:ascii="Calibri" w:eastAsia="Times New Roman" w:hAnsi="Calibri" w:cs="Calibri"/>
                <w:b/>
                <w:sz w:val="22"/>
                <w:lang w:eastAsia="pl-PL"/>
              </w:rPr>
              <w:t>4,32</w:t>
            </w:r>
          </w:p>
        </w:tc>
        <w:tc>
          <w:tcPr>
            <w:tcW w:w="1304" w:type="dxa"/>
            <w:hideMark/>
          </w:tcPr>
          <w:p w14:paraId="0478DFF2" w14:textId="77777777" w:rsidR="00B33A16" w:rsidRPr="00BF6615" w:rsidRDefault="00B33A16" w:rsidP="007E26B5">
            <w:pPr>
              <w:spacing w:after="0" w:line="240" w:lineRule="auto"/>
              <w:rPr>
                <w:rFonts w:ascii="Calibri" w:eastAsia="Times New Roman" w:hAnsi="Calibri" w:cs="Calibri"/>
                <w:b/>
                <w:sz w:val="22"/>
                <w:lang w:eastAsia="pl-PL"/>
              </w:rPr>
            </w:pPr>
            <w:r w:rsidRPr="00BF6615">
              <w:rPr>
                <w:rFonts w:ascii="Calibri" w:eastAsia="Times New Roman" w:hAnsi="Calibri" w:cs="Calibri"/>
                <w:b/>
                <w:sz w:val="22"/>
                <w:lang w:eastAsia="pl-PL"/>
              </w:rPr>
              <w:t>4,55</w:t>
            </w:r>
          </w:p>
        </w:tc>
        <w:tc>
          <w:tcPr>
            <w:tcW w:w="1187" w:type="dxa"/>
            <w:hideMark/>
          </w:tcPr>
          <w:p w14:paraId="2C3405A1" w14:textId="77777777" w:rsidR="00B33A16" w:rsidRPr="00BF6615" w:rsidRDefault="00B33A16" w:rsidP="007E26B5">
            <w:pPr>
              <w:spacing w:after="0" w:line="240" w:lineRule="auto"/>
              <w:rPr>
                <w:rFonts w:ascii="Calibri" w:eastAsia="Times New Roman" w:hAnsi="Calibri" w:cs="Calibri"/>
                <w:b/>
                <w:sz w:val="22"/>
                <w:lang w:eastAsia="pl-PL"/>
              </w:rPr>
            </w:pPr>
            <w:r w:rsidRPr="00BF6615">
              <w:rPr>
                <w:rFonts w:ascii="Calibri" w:eastAsia="Times New Roman" w:hAnsi="Calibri" w:cs="Calibri"/>
                <w:b/>
                <w:sz w:val="22"/>
                <w:lang w:eastAsia="pl-PL"/>
              </w:rPr>
              <w:t>4,71</w:t>
            </w:r>
          </w:p>
        </w:tc>
        <w:tc>
          <w:tcPr>
            <w:tcW w:w="1528" w:type="dxa"/>
            <w:hideMark/>
          </w:tcPr>
          <w:p w14:paraId="62C8CC99" w14:textId="77777777" w:rsidR="00B33A16" w:rsidRPr="00BF6615" w:rsidRDefault="00B33A16" w:rsidP="007E26B5">
            <w:pPr>
              <w:spacing w:after="0" w:line="240" w:lineRule="auto"/>
              <w:rPr>
                <w:rFonts w:ascii="Calibri" w:eastAsia="Times New Roman" w:hAnsi="Calibri" w:cs="Calibri"/>
                <w:b/>
                <w:sz w:val="22"/>
                <w:lang w:eastAsia="pl-PL"/>
              </w:rPr>
            </w:pPr>
            <w:r w:rsidRPr="00BF6615">
              <w:rPr>
                <w:rFonts w:ascii="Calibri" w:eastAsia="Times New Roman" w:hAnsi="Calibri" w:cs="Calibri"/>
                <w:b/>
                <w:sz w:val="22"/>
                <w:lang w:eastAsia="pl-PL"/>
              </w:rPr>
              <w:t>4,17</w:t>
            </w:r>
          </w:p>
        </w:tc>
        <w:tc>
          <w:tcPr>
            <w:tcW w:w="1213" w:type="dxa"/>
            <w:hideMark/>
          </w:tcPr>
          <w:p w14:paraId="4C5E04FD" w14:textId="77777777" w:rsidR="00B33A16" w:rsidRPr="00BF6615" w:rsidRDefault="00B33A16" w:rsidP="007E26B5">
            <w:pPr>
              <w:spacing w:after="0" w:line="240" w:lineRule="auto"/>
              <w:rPr>
                <w:rFonts w:ascii="Calibri" w:eastAsia="Times New Roman" w:hAnsi="Calibri" w:cs="Calibri"/>
                <w:b/>
                <w:sz w:val="22"/>
                <w:lang w:eastAsia="pl-PL"/>
              </w:rPr>
            </w:pPr>
            <w:r w:rsidRPr="00BF6615">
              <w:rPr>
                <w:rFonts w:ascii="Calibri" w:eastAsia="Times New Roman" w:hAnsi="Calibri" w:cs="Calibri"/>
                <w:b/>
                <w:sz w:val="22"/>
                <w:lang w:eastAsia="pl-PL"/>
              </w:rPr>
              <w:t>4,44</w:t>
            </w:r>
          </w:p>
        </w:tc>
      </w:tr>
    </w:tbl>
    <w:p w14:paraId="664B61E0" w14:textId="7EF24E0C" w:rsidR="004935BD" w:rsidRPr="00BF6615" w:rsidRDefault="00013FEF" w:rsidP="00FD0843">
      <w:r w:rsidRPr="00BF6615">
        <w:t xml:space="preserve"> </w:t>
      </w:r>
      <w:r w:rsidR="004935BD" w:rsidRPr="00BF6615">
        <w:t>Źródło: opracowanie własne.</w:t>
      </w:r>
    </w:p>
    <w:p w14:paraId="6DE7520E" w14:textId="77777777" w:rsidR="004935BD" w:rsidRPr="00665D24" w:rsidRDefault="004935BD" w:rsidP="00B271C3">
      <w:pPr>
        <w:pStyle w:val="Nagwek4"/>
        <w:rPr>
          <w:bCs/>
        </w:rPr>
      </w:pPr>
      <w:r w:rsidRPr="00665D24">
        <w:rPr>
          <w:bCs/>
        </w:rPr>
        <w:t>Oczekiwania w stosunku do jakości stron podmiotów publicznych i aplikacji mobilnych</w:t>
      </w:r>
    </w:p>
    <w:p w14:paraId="5E43D1C1" w14:textId="59D35644" w:rsidR="004935BD" w:rsidRPr="00BF6615" w:rsidRDefault="004935BD" w:rsidP="007E26B5">
      <w:r w:rsidRPr="00BF6615">
        <w:t xml:space="preserve">Wśród cech stron podmiotów publicznych, które są najważniejsze przy ocenie ich jakości dominowały te, które są ważne dla każdego użytkownika: treści napisane w sposób zrozumiały, przejrzystość informacji, możliwość łatwego kontaktu z urzędem oraz zrozumiałe ostrzeżenia </w:t>
      </w:r>
      <w:r w:rsidR="00A42EFD" w:rsidRPr="00BF6615">
        <w:t>o</w:t>
      </w:r>
      <w:r w:rsidR="00A42EFD">
        <w:t> </w:t>
      </w:r>
      <w:r w:rsidRPr="00BF6615">
        <w:t>błędnym wypełnieniu formularzy.</w:t>
      </w:r>
    </w:p>
    <w:p w14:paraId="4084BC57" w14:textId="77777777" w:rsidR="00150003" w:rsidRPr="00BF6615" w:rsidRDefault="00150003" w:rsidP="007E26B5">
      <w:pPr>
        <w:pStyle w:val="Legenda"/>
      </w:pPr>
    </w:p>
    <w:p w14:paraId="385325F8" w14:textId="77777777" w:rsidR="00171292" w:rsidRPr="00BF6615" w:rsidRDefault="00171292" w:rsidP="007E26B5">
      <w:pPr>
        <w:sectPr w:rsidR="00171292" w:rsidRPr="00BF6615" w:rsidSect="004935BD">
          <w:pgSz w:w="12240" w:h="15840"/>
          <w:pgMar w:top="1440" w:right="1440" w:bottom="1440" w:left="1440" w:header="708" w:footer="708" w:gutter="0"/>
          <w:cols w:space="708"/>
          <w:titlePg/>
          <w:docGrid w:linePitch="360"/>
        </w:sectPr>
      </w:pPr>
    </w:p>
    <w:p w14:paraId="0065C087" w14:textId="7B00DFEB" w:rsidR="00895DA1" w:rsidRPr="00BF6615" w:rsidRDefault="00150003" w:rsidP="007E26B5">
      <w:pPr>
        <w:pStyle w:val="Legenda"/>
      </w:pPr>
      <w:bookmarkStart w:id="230" w:name="_Toc204179127"/>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29</w:t>
      </w:r>
      <w:r w:rsidRPr="00BF6615">
        <w:fldChar w:fldCharType="end"/>
      </w:r>
      <w:r w:rsidR="00FD0843">
        <w:t>.</w:t>
      </w:r>
      <w:r w:rsidRPr="00BF6615">
        <w:t xml:space="preserve"> Oczekiwania w stosunku do stron podmiotów publicznych wg </w:t>
      </w:r>
      <w:r w:rsidR="00B46ECF" w:rsidRPr="00BF6615">
        <w:t xml:space="preserve">kryterium </w:t>
      </w:r>
      <w:r w:rsidRPr="00BF6615">
        <w:t xml:space="preserve">ważności </w:t>
      </w:r>
      <w:r w:rsidR="00B46ECF" w:rsidRPr="00BF6615">
        <w:t>w pełnej grupie badanej</w:t>
      </w:r>
      <w:bookmarkEnd w:id="230"/>
    </w:p>
    <w:tbl>
      <w:tblPr>
        <w:tblStyle w:val="PARP"/>
        <w:tblW w:w="15059" w:type="dxa"/>
        <w:tblInd w:w="-856" w:type="dxa"/>
        <w:tblLook w:val="04A0" w:firstRow="1" w:lastRow="0" w:firstColumn="1" w:lastColumn="0" w:noHBand="0" w:noVBand="1"/>
        <w:tblCaption w:val="Oczekiwania w stosunku do stron podmiotów publicznych wg kryterium ważności w pełnej grupie badanej"/>
        <w:tblDescription w:val="Oczekiwania w stosunku do stron podmiotów publicznych wg kryterium ważności w pełnej grupie badanej"/>
      </w:tblPr>
      <w:tblGrid>
        <w:gridCol w:w="986"/>
        <w:gridCol w:w="1525"/>
        <w:gridCol w:w="1296"/>
        <w:gridCol w:w="1108"/>
        <w:gridCol w:w="1314"/>
        <w:gridCol w:w="1352"/>
        <w:gridCol w:w="1242"/>
        <w:gridCol w:w="1083"/>
        <w:gridCol w:w="1306"/>
        <w:gridCol w:w="1449"/>
        <w:gridCol w:w="1260"/>
        <w:gridCol w:w="1228"/>
      </w:tblGrid>
      <w:tr w:rsidR="00BA771C" w:rsidRPr="00BF6615" w14:paraId="6FFE706C" w14:textId="77777777" w:rsidTr="00273A74">
        <w:trPr>
          <w:cnfStyle w:val="100000000000" w:firstRow="1" w:lastRow="0" w:firstColumn="0" w:lastColumn="0" w:oddVBand="0" w:evenVBand="0" w:oddHBand="0" w:evenHBand="0" w:firstRowFirstColumn="0" w:firstRowLastColumn="0" w:lastRowFirstColumn="0" w:lastRowLastColumn="0"/>
          <w:trHeight w:val="2640"/>
        </w:trPr>
        <w:tc>
          <w:tcPr>
            <w:tcW w:w="1066" w:type="dxa"/>
            <w:hideMark/>
          </w:tcPr>
          <w:p w14:paraId="31CBB96F" w14:textId="722092AB" w:rsidR="004935BD" w:rsidRPr="00BF6615" w:rsidRDefault="004935BD" w:rsidP="007E26B5">
            <w:pPr>
              <w:rPr>
                <w:rFonts w:ascii="Times New Roman" w:hAnsi="Times New Roman"/>
                <w:b/>
                <w:sz w:val="22"/>
                <w:lang w:eastAsia="pl-PL"/>
              </w:rPr>
            </w:pPr>
            <w:r w:rsidRPr="00BF6615">
              <w:rPr>
                <w:b/>
                <w:sz w:val="22"/>
                <w:lang w:eastAsia="pl-PL"/>
              </w:rPr>
              <w:t>Ocena</w:t>
            </w:r>
          </w:p>
        </w:tc>
        <w:tc>
          <w:tcPr>
            <w:tcW w:w="1502" w:type="dxa"/>
            <w:hideMark/>
          </w:tcPr>
          <w:p w14:paraId="6F95967C" w14:textId="77777777" w:rsidR="004935BD" w:rsidRPr="00BF6615" w:rsidRDefault="004935BD" w:rsidP="007E26B5">
            <w:pPr>
              <w:rPr>
                <w:b/>
                <w:sz w:val="22"/>
                <w:lang w:eastAsia="pl-PL"/>
              </w:rPr>
            </w:pPr>
            <w:r w:rsidRPr="00BF6615">
              <w:rPr>
                <w:b/>
                <w:sz w:val="22"/>
                <w:lang w:eastAsia="pl-PL"/>
              </w:rPr>
              <w:t>Łatwość przeglądania poszczególnych podstron</w:t>
            </w:r>
          </w:p>
        </w:tc>
        <w:tc>
          <w:tcPr>
            <w:tcW w:w="1286" w:type="dxa"/>
            <w:hideMark/>
          </w:tcPr>
          <w:p w14:paraId="58BB17F8" w14:textId="77777777" w:rsidR="004935BD" w:rsidRPr="00BF6615" w:rsidRDefault="004935BD" w:rsidP="007E26B5">
            <w:pPr>
              <w:rPr>
                <w:b/>
                <w:sz w:val="22"/>
                <w:lang w:eastAsia="pl-PL"/>
              </w:rPr>
            </w:pPr>
            <w:r w:rsidRPr="00BF6615">
              <w:rPr>
                <w:b/>
                <w:sz w:val="22"/>
                <w:lang w:eastAsia="pl-PL"/>
              </w:rPr>
              <w:t>Przejrzystość informacji</w:t>
            </w:r>
          </w:p>
        </w:tc>
        <w:tc>
          <w:tcPr>
            <w:tcW w:w="1095" w:type="dxa"/>
            <w:hideMark/>
          </w:tcPr>
          <w:p w14:paraId="1C9367ED" w14:textId="77777777" w:rsidR="004935BD" w:rsidRPr="00BF6615" w:rsidRDefault="004935BD" w:rsidP="007E26B5">
            <w:pPr>
              <w:rPr>
                <w:b/>
                <w:sz w:val="22"/>
                <w:lang w:eastAsia="pl-PL"/>
              </w:rPr>
            </w:pPr>
            <w:r w:rsidRPr="00BF6615">
              <w:rPr>
                <w:b/>
                <w:sz w:val="22"/>
                <w:lang w:eastAsia="pl-PL"/>
              </w:rPr>
              <w:t>Treści napisane w sposób zrozumiały</w:t>
            </w:r>
          </w:p>
        </w:tc>
        <w:tc>
          <w:tcPr>
            <w:tcW w:w="1307" w:type="dxa"/>
            <w:hideMark/>
          </w:tcPr>
          <w:p w14:paraId="5E06B8FA" w14:textId="77777777" w:rsidR="004935BD" w:rsidRPr="00BF6615" w:rsidRDefault="004935BD" w:rsidP="007E26B5">
            <w:pPr>
              <w:rPr>
                <w:b/>
                <w:sz w:val="22"/>
                <w:lang w:eastAsia="pl-PL"/>
              </w:rPr>
            </w:pPr>
            <w:r w:rsidRPr="00BF6615">
              <w:rPr>
                <w:b/>
                <w:sz w:val="22"/>
                <w:lang w:eastAsia="pl-PL"/>
              </w:rPr>
              <w:t>Dostępność na różnych urządzeniach</w:t>
            </w:r>
          </w:p>
        </w:tc>
        <w:tc>
          <w:tcPr>
            <w:tcW w:w="1333" w:type="dxa"/>
            <w:hideMark/>
          </w:tcPr>
          <w:p w14:paraId="42F32C68" w14:textId="77777777" w:rsidR="004935BD" w:rsidRPr="00BF6615" w:rsidRDefault="004935BD" w:rsidP="007E26B5">
            <w:pPr>
              <w:rPr>
                <w:b/>
                <w:sz w:val="22"/>
                <w:lang w:eastAsia="pl-PL"/>
              </w:rPr>
            </w:pPr>
            <w:r w:rsidRPr="00BF6615">
              <w:rPr>
                <w:b/>
                <w:sz w:val="22"/>
                <w:lang w:eastAsia="pl-PL"/>
              </w:rPr>
              <w:t>Ułatwienia dostępności (np. możliwość powiększenia tekstu, zmiany kolorów, itp.)</w:t>
            </w:r>
          </w:p>
        </w:tc>
        <w:tc>
          <w:tcPr>
            <w:tcW w:w="1223" w:type="dxa"/>
            <w:hideMark/>
          </w:tcPr>
          <w:p w14:paraId="05FB669B" w14:textId="77777777" w:rsidR="004935BD" w:rsidRPr="00BF6615" w:rsidRDefault="004935BD" w:rsidP="007E26B5">
            <w:pPr>
              <w:rPr>
                <w:b/>
                <w:sz w:val="22"/>
                <w:lang w:eastAsia="pl-PL"/>
              </w:rPr>
            </w:pPr>
            <w:r w:rsidRPr="00BF6615">
              <w:rPr>
                <w:b/>
                <w:sz w:val="22"/>
                <w:lang w:eastAsia="pl-PL"/>
              </w:rPr>
              <w:t>Zrozumiałe ostrzeżenia o błędnym wypełnieniu formularzy oraz propozycje poprawy</w:t>
            </w:r>
          </w:p>
        </w:tc>
        <w:tc>
          <w:tcPr>
            <w:tcW w:w="1072" w:type="dxa"/>
            <w:hideMark/>
          </w:tcPr>
          <w:p w14:paraId="189BED1A" w14:textId="77777777" w:rsidR="004935BD" w:rsidRPr="00BF6615" w:rsidRDefault="004935BD" w:rsidP="007E26B5">
            <w:pPr>
              <w:rPr>
                <w:b/>
                <w:sz w:val="22"/>
                <w:lang w:eastAsia="pl-PL"/>
              </w:rPr>
            </w:pPr>
            <w:r w:rsidRPr="00BF6615">
              <w:rPr>
                <w:b/>
                <w:sz w:val="22"/>
                <w:lang w:eastAsia="pl-PL"/>
              </w:rPr>
              <w:t>Możliwość łatwego kontaktu z urzędem</w:t>
            </w:r>
          </w:p>
        </w:tc>
        <w:tc>
          <w:tcPr>
            <w:tcW w:w="1290" w:type="dxa"/>
            <w:hideMark/>
          </w:tcPr>
          <w:p w14:paraId="30E3B90A" w14:textId="77777777" w:rsidR="004935BD" w:rsidRPr="00BF6615" w:rsidRDefault="004935BD" w:rsidP="007E26B5">
            <w:pPr>
              <w:rPr>
                <w:b/>
                <w:sz w:val="22"/>
                <w:lang w:eastAsia="pl-PL"/>
              </w:rPr>
            </w:pPr>
            <w:r w:rsidRPr="00BF6615">
              <w:rPr>
                <w:b/>
                <w:sz w:val="22"/>
                <w:lang w:eastAsia="pl-PL"/>
              </w:rPr>
              <w:t>Logiczna struktura strony internetowej</w:t>
            </w:r>
          </w:p>
        </w:tc>
        <w:tc>
          <w:tcPr>
            <w:tcW w:w="1413" w:type="dxa"/>
            <w:hideMark/>
          </w:tcPr>
          <w:p w14:paraId="2B3E901F" w14:textId="77777777" w:rsidR="004935BD" w:rsidRPr="00BF6615" w:rsidRDefault="004935BD" w:rsidP="007E26B5">
            <w:pPr>
              <w:rPr>
                <w:b/>
                <w:sz w:val="22"/>
                <w:lang w:eastAsia="pl-PL"/>
              </w:rPr>
            </w:pPr>
            <w:r w:rsidRPr="00BF6615">
              <w:rPr>
                <w:b/>
                <w:sz w:val="22"/>
                <w:lang w:eastAsia="pl-PL"/>
              </w:rPr>
              <w:t>Zrozumiałe materiały multimedialne i graficzne</w:t>
            </w:r>
          </w:p>
        </w:tc>
        <w:tc>
          <w:tcPr>
            <w:tcW w:w="1253" w:type="dxa"/>
            <w:hideMark/>
          </w:tcPr>
          <w:p w14:paraId="1A2BC6C9" w14:textId="77777777" w:rsidR="004935BD" w:rsidRPr="00BF6615" w:rsidRDefault="004935BD" w:rsidP="007E26B5">
            <w:pPr>
              <w:rPr>
                <w:b/>
                <w:sz w:val="22"/>
                <w:lang w:eastAsia="pl-PL"/>
              </w:rPr>
            </w:pPr>
            <w:r w:rsidRPr="00BF6615">
              <w:rPr>
                <w:b/>
                <w:sz w:val="22"/>
                <w:lang w:eastAsia="pl-PL"/>
              </w:rPr>
              <w:t>Tłumaczenie treści na Polski język migowy (PJM)</w:t>
            </w:r>
          </w:p>
        </w:tc>
        <w:tc>
          <w:tcPr>
            <w:tcW w:w="1219" w:type="dxa"/>
            <w:hideMark/>
          </w:tcPr>
          <w:p w14:paraId="1C75D87A" w14:textId="77777777" w:rsidR="004935BD" w:rsidRPr="00BF6615" w:rsidRDefault="004935BD" w:rsidP="007E26B5">
            <w:pPr>
              <w:rPr>
                <w:b/>
                <w:sz w:val="22"/>
                <w:lang w:eastAsia="pl-PL"/>
              </w:rPr>
            </w:pPr>
            <w:r w:rsidRPr="00BF6615">
              <w:rPr>
                <w:b/>
                <w:sz w:val="22"/>
                <w:lang w:eastAsia="pl-PL"/>
              </w:rPr>
              <w:t>Informacje w tekście łatwym do czytania i zrozumienia (ETR)</w:t>
            </w:r>
          </w:p>
        </w:tc>
      </w:tr>
      <w:tr w:rsidR="00BA771C" w:rsidRPr="00BF6615" w14:paraId="294945D9" w14:textId="77777777" w:rsidTr="00895DA1">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0F2BD09B" w14:textId="77777777" w:rsidR="004935BD" w:rsidRPr="00BF6615" w:rsidRDefault="004935BD" w:rsidP="007E26B5">
            <w:pPr>
              <w:rPr>
                <w:sz w:val="22"/>
                <w:lang w:eastAsia="pl-PL"/>
              </w:rPr>
            </w:pPr>
            <w:r w:rsidRPr="00BF6615">
              <w:rPr>
                <w:sz w:val="22"/>
                <w:lang w:eastAsia="pl-PL"/>
              </w:rPr>
              <w:t xml:space="preserve">bardzo ważne </w:t>
            </w:r>
          </w:p>
        </w:tc>
        <w:tc>
          <w:tcPr>
            <w:tcW w:w="1502" w:type="dxa"/>
            <w:hideMark/>
          </w:tcPr>
          <w:p w14:paraId="1EEE770B" w14:textId="2D6A7254" w:rsidR="004935BD" w:rsidRPr="00BF6615" w:rsidRDefault="00403C83" w:rsidP="007E26B5">
            <w:pPr>
              <w:rPr>
                <w:sz w:val="22"/>
                <w:lang w:eastAsia="pl-PL"/>
              </w:rPr>
            </w:pPr>
            <w:r w:rsidRPr="00BF6615">
              <w:rPr>
                <w:sz w:val="22"/>
                <w:lang w:eastAsia="pl-PL"/>
              </w:rPr>
              <w:t>51</w:t>
            </w:r>
            <w:r w:rsidR="004935BD" w:rsidRPr="00BF6615">
              <w:rPr>
                <w:sz w:val="22"/>
                <w:lang w:eastAsia="pl-PL"/>
              </w:rPr>
              <w:t>%</w:t>
            </w:r>
          </w:p>
        </w:tc>
        <w:tc>
          <w:tcPr>
            <w:tcW w:w="1286" w:type="dxa"/>
            <w:hideMark/>
          </w:tcPr>
          <w:p w14:paraId="3D59A555" w14:textId="436F57F8" w:rsidR="004935BD" w:rsidRPr="00BF6615" w:rsidRDefault="004935BD" w:rsidP="007E26B5">
            <w:pPr>
              <w:rPr>
                <w:sz w:val="22"/>
                <w:lang w:eastAsia="pl-PL"/>
              </w:rPr>
            </w:pPr>
            <w:r w:rsidRPr="00BF6615">
              <w:rPr>
                <w:sz w:val="22"/>
                <w:lang w:eastAsia="pl-PL"/>
              </w:rPr>
              <w:t>5</w:t>
            </w:r>
            <w:r w:rsidR="00C8025D" w:rsidRPr="00BF6615">
              <w:rPr>
                <w:sz w:val="22"/>
                <w:lang w:eastAsia="pl-PL"/>
              </w:rPr>
              <w:t>8</w:t>
            </w:r>
            <w:r w:rsidRPr="00BF6615">
              <w:rPr>
                <w:sz w:val="22"/>
                <w:lang w:eastAsia="pl-PL"/>
              </w:rPr>
              <w:t>%</w:t>
            </w:r>
          </w:p>
        </w:tc>
        <w:tc>
          <w:tcPr>
            <w:tcW w:w="1095" w:type="dxa"/>
            <w:hideMark/>
          </w:tcPr>
          <w:p w14:paraId="33287A88" w14:textId="0DCA8F91" w:rsidR="004935BD" w:rsidRPr="00BF6615" w:rsidRDefault="001E269B" w:rsidP="007E26B5">
            <w:pPr>
              <w:rPr>
                <w:sz w:val="22"/>
                <w:lang w:eastAsia="pl-PL"/>
              </w:rPr>
            </w:pPr>
            <w:r w:rsidRPr="00BF6615">
              <w:rPr>
                <w:sz w:val="22"/>
                <w:lang w:eastAsia="pl-PL"/>
              </w:rPr>
              <w:t>60</w:t>
            </w:r>
            <w:r w:rsidR="004935BD" w:rsidRPr="00BF6615">
              <w:rPr>
                <w:sz w:val="22"/>
                <w:lang w:eastAsia="pl-PL"/>
              </w:rPr>
              <w:t>%</w:t>
            </w:r>
          </w:p>
        </w:tc>
        <w:tc>
          <w:tcPr>
            <w:tcW w:w="1307" w:type="dxa"/>
            <w:hideMark/>
          </w:tcPr>
          <w:p w14:paraId="32F18647" w14:textId="13DAC5A6" w:rsidR="004935BD" w:rsidRPr="00BF6615" w:rsidRDefault="00591F21" w:rsidP="007E26B5">
            <w:pPr>
              <w:rPr>
                <w:sz w:val="22"/>
                <w:lang w:eastAsia="pl-PL"/>
              </w:rPr>
            </w:pPr>
            <w:r w:rsidRPr="00BF6615">
              <w:rPr>
                <w:sz w:val="22"/>
                <w:lang w:eastAsia="pl-PL"/>
              </w:rPr>
              <w:t>41</w:t>
            </w:r>
            <w:r w:rsidR="004935BD" w:rsidRPr="00BF6615">
              <w:rPr>
                <w:sz w:val="22"/>
                <w:lang w:eastAsia="pl-PL"/>
              </w:rPr>
              <w:t>%</w:t>
            </w:r>
          </w:p>
        </w:tc>
        <w:tc>
          <w:tcPr>
            <w:tcW w:w="1333" w:type="dxa"/>
            <w:hideMark/>
          </w:tcPr>
          <w:p w14:paraId="76B92795" w14:textId="4BB0E430" w:rsidR="004935BD" w:rsidRPr="00BF6615" w:rsidRDefault="00607BC7" w:rsidP="007E26B5">
            <w:pPr>
              <w:rPr>
                <w:sz w:val="22"/>
                <w:lang w:eastAsia="pl-PL"/>
              </w:rPr>
            </w:pPr>
            <w:r w:rsidRPr="00BF6615">
              <w:rPr>
                <w:sz w:val="22"/>
                <w:lang w:eastAsia="pl-PL"/>
              </w:rPr>
              <w:t>31</w:t>
            </w:r>
            <w:r w:rsidR="004935BD" w:rsidRPr="00BF6615">
              <w:rPr>
                <w:sz w:val="22"/>
                <w:lang w:eastAsia="pl-PL"/>
              </w:rPr>
              <w:t>%</w:t>
            </w:r>
          </w:p>
        </w:tc>
        <w:tc>
          <w:tcPr>
            <w:tcW w:w="1223" w:type="dxa"/>
            <w:hideMark/>
          </w:tcPr>
          <w:p w14:paraId="38307E82" w14:textId="22D6323D" w:rsidR="004935BD" w:rsidRPr="00BF6615" w:rsidRDefault="004935BD" w:rsidP="007E26B5">
            <w:pPr>
              <w:rPr>
                <w:sz w:val="22"/>
                <w:lang w:eastAsia="pl-PL"/>
              </w:rPr>
            </w:pPr>
            <w:r w:rsidRPr="00BF6615">
              <w:rPr>
                <w:sz w:val="22"/>
                <w:lang w:eastAsia="pl-PL"/>
              </w:rPr>
              <w:t>5</w:t>
            </w:r>
            <w:r w:rsidR="004145B1" w:rsidRPr="00BF6615">
              <w:rPr>
                <w:sz w:val="22"/>
                <w:lang w:eastAsia="pl-PL"/>
              </w:rPr>
              <w:t>3</w:t>
            </w:r>
            <w:r w:rsidRPr="00BF6615">
              <w:rPr>
                <w:sz w:val="22"/>
                <w:lang w:eastAsia="pl-PL"/>
              </w:rPr>
              <w:t>%</w:t>
            </w:r>
          </w:p>
        </w:tc>
        <w:tc>
          <w:tcPr>
            <w:tcW w:w="1072" w:type="dxa"/>
            <w:hideMark/>
          </w:tcPr>
          <w:p w14:paraId="377212F9" w14:textId="069FA74F" w:rsidR="004935BD" w:rsidRPr="00BF6615" w:rsidRDefault="004935BD" w:rsidP="007E26B5">
            <w:pPr>
              <w:rPr>
                <w:sz w:val="22"/>
                <w:lang w:eastAsia="pl-PL"/>
              </w:rPr>
            </w:pPr>
            <w:r w:rsidRPr="00BF6615">
              <w:rPr>
                <w:sz w:val="22"/>
                <w:lang w:eastAsia="pl-PL"/>
              </w:rPr>
              <w:t>5</w:t>
            </w:r>
            <w:r w:rsidR="004F796A" w:rsidRPr="00BF6615">
              <w:rPr>
                <w:sz w:val="22"/>
                <w:lang w:eastAsia="pl-PL"/>
              </w:rPr>
              <w:t>5</w:t>
            </w:r>
            <w:r w:rsidRPr="00BF6615">
              <w:rPr>
                <w:sz w:val="22"/>
                <w:lang w:eastAsia="pl-PL"/>
              </w:rPr>
              <w:t>%</w:t>
            </w:r>
          </w:p>
        </w:tc>
        <w:tc>
          <w:tcPr>
            <w:tcW w:w="1290" w:type="dxa"/>
            <w:hideMark/>
          </w:tcPr>
          <w:p w14:paraId="2E4EBAD1" w14:textId="3DBDC720" w:rsidR="004935BD" w:rsidRPr="00BF6615" w:rsidRDefault="004935BD" w:rsidP="007E26B5">
            <w:pPr>
              <w:rPr>
                <w:sz w:val="22"/>
                <w:lang w:eastAsia="pl-PL"/>
              </w:rPr>
            </w:pPr>
            <w:r w:rsidRPr="00BF6615">
              <w:rPr>
                <w:sz w:val="22"/>
                <w:lang w:eastAsia="pl-PL"/>
              </w:rPr>
              <w:t>4</w:t>
            </w:r>
            <w:r w:rsidR="00AB0FD1" w:rsidRPr="00BF6615">
              <w:rPr>
                <w:sz w:val="22"/>
                <w:lang w:eastAsia="pl-PL"/>
              </w:rPr>
              <w:t>9</w:t>
            </w:r>
            <w:r w:rsidRPr="00BF6615">
              <w:rPr>
                <w:sz w:val="22"/>
                <w:lang w:eastAsia="pl-PL"/>
              </w:rPr>
              <w:t>%</w:t>
            </w:r>
          </w:p>
        </w:tc>
        <w:tc>
          <w:tcPr>
            <w:tcW w:w="1413" w:type="dxa"/>
            <w:hideMark/>
          </w:tcPr>
          <w:p w14:paraId="1D61AE08" w14:textId="05D9EEE0" w:rsidR="004935BD" w:rsidRPr="00BF6615" w:rsidRDefault="00421AFC" w:rsidP="007E26B5">
            <w:pPr>
              <w:rPr>
                <w:sz w:val="22"/>
                <w:lang w:eastAsia="pl-PL"/>
              </w:rPr>
            </w:pPr>
            <w:r w:rsidRPr="00BF6615">
              <w:rPr>
                <w:sz w:val="22"/>
                <w:lang w:eastAsia="pl-PL"/>
              </w:rPr>
              <w:t>40</w:t>
            </w:r>
            <w:r w:rsidR="004935BD" w:rsidRPr="00BF6615">
              <w:rPr>
                <w:sz w:val="22"/>
                <w:lang w:eastAsia="pl-PL"/>
              </w:rPr>
              <w:t>%</w:t>
            </w:r>
          </w:p>
        </w:tc>
        <w:tc>
          <w:tcPr>
            <w:tcW w:w="1253" w:type="dxa"/>
            <w:hideMark/>
          </w:tcPr>
          <w:p w14:paraId="475E3509" w14:textId="52338F9D" w:rsidR="004935BD" w:rsidRPr="00BF6615" w:rsidRDefault="004935BD" w:rsidP="007E26B5">
            <w:pPr>
              <w:rPr>
                <w:sz w:val="22"/>
                <w:lang w:eastAsia="pl-PL"/>
              </w:rPr>
            </w:pPr>
            <w:r w:rsidRPr="00BF6615">
              <w:rPr>
                <w:sz w:val="22"/>
                <w:lang w:eastAsia="pl-PL"/>
              </w:rPr>
              <w:t>1</w:t>
            </w:r>
            <w:r w:rsidR="007B6CE2" w:rsidRPr="00BF6615">
              <w:rPr>
                <w:sz w:val="22"/>
                <w:lang w:eastAsia="pl-PL"/>
              </w:rPr>
              <w:t>8</w:t>
            </w:r>
            <w:r w:rsidRPr="00BF6615">
              <w:rPr>
                <w:sz w:val="22"/>
                <w:lang w:eastAsia="pl-PL"/>
              </w:rPr>
              <w:t>%</w:t>
            </w:r>
          </w:p>
        </w:tc>
        <w:tc>
          <w:tcPr>
            <w:tcW w:w="1219" w:type="dxa"/>
            <w:hideMark/>
          </w:tcPr>
          <w:p w14:paraId="042562BB" w14:textId="0D7D3C4C" w:rsidR="004935BD" w:rsidRPr="00BF6615" w:rsidRDefault="004935BD" w:rsidP="007E26B5">
            <w:pPr>
              <w:rPr>
                <w:sz w:val="22"/>
                <w:lang w:eastAsia="pl-PL"/>
              </w:rPr>
            </w:pPr>
            <w:r w:rsidRPr="00BF6615">
              <w:rPr>
                <w:sz w:val="22"/>
                <w:lang w:eastAsia="pl-PL"/>
              </w:rPr>
              <w:t>3</w:t>
            </w:r>
            <w:r w:rsidR="006D6580" w:rsidRPr="00BF6615">
              <w:rPr>
                <w:sz w:val="22"/>
                <w:lang w:eastAsia="pl-PL"/>
              </w:rPr>
              <w:t>9</w:t>
            </w:r>
            <w:r w:rsidRPr="00BF6615">
              <w:rPr>
                <w:sz w:val="22"/>
                <w:lang w:eastAsia="pl-PL"/>
              </w:rPr>
              <w:t>%</w:t>
            </w:r>
          </w:p>
        </w:tc>
      </w:tr>
      <w:tr w:rsidR="00BA771C" w:rsidRPr="00BF6615" w14:paraId="23DF1EDA" w14:textId="77777777" w:rsidTr="00895DA1">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7B096C39" w14:textId="77777777" w:rsidR="004935BD" w:rsidRPr="00BF6615" w:rsidRDefault="004935BD" w:rsidP="007E26B5">
            <w:pPr>
              <w:rPr>
                <w:sz w:val="22"/>
                <w:lang w:eastAsia="pl-PL"/>
              </w:rPr>
            </w:pPr>
            <w:r w:rsidRPr="00BF6615">
              <w:rPr>
                <w:sz w:val="22"/>
                <w:lang w:eastAsia="pl-PL"/>
              </w:rPr>
              <w:t>ważne</w:t>
            </w:r>
          </w:p>
        </w:tc>
        <w:tc>
          <w:tcPr>
            <w:tcW w:w="1502" w:type="dxa"/>
            <w:hideMark/>
          </w:tcPr>
          <w:p w14:paraId="3389B11B" w14:textId="675F29B1" w:rsidR="004935BD" w:rsidRPr="00BF6615" w:rsidRDefault="004935BD" w:rsidP="007E26B5">
            <w:pPr>
              <w:rPr>
                <w:sz w:val="22"/>
                <w:lang w:eastAsia="pl-PL"/>
              </w:rPr>
            </w:pPr>
            <w:r w:rsidRPr="00BF6615">
              <w:rPr>
                <w:sz w:val="22"/>
                <w:lang w:eastAsia="pl-PL"/>
              </w:rPr>
              <w:t>3</w:t>
            </w:r>
            <w:r w:rsidR="00370C33" w:rsidRPr="00BF6615">
              <w:rPr>
                <w:sz w:val="22"/>
                <w:lang w:eastAsia="pl-PL"/>
              </w:rPr>
              <w:t>4</w:t>
            </w:r>
            <w:r w:rsidRPr="00BF6615">
              <w:rPr>
                <w:sz w:val="22"/>
                <w:lang w:eastAsia="pl-PL"/>
              </w:rPr>
              <w:t>%</w:t>
            </w:r>
          </w:p>
        </w:tc>
        <w:tc>
          <w:tcPr>
            <w:tcW w:w="1286" w:type="dxa"/>
            <w:hideMark/>
          </w:tcPr>
          <w:p w14:paraId="445C2FF3" w14:textId="16D7EAC2" w:rsidR="004935BD" w:rsidRPr="00BF6615" w:rsidRDefault="004935BD" w:rsidP="007E26B5">
            <w:pPr>
              <w:rPr>
                <w:sz w:val="22"/>
                <w:lang w:eastAsia="pl-PL"/>
              </w:rPr>
            </w:pPr>
            <w:r w:rsidRPr="00BF6615">
              <w:rPr>
                <w:sz w:val="22"/>
                <w:lang w:eastAsia="pl-PL"/>
              </w:rPr>
              <w:t>3</w:t>
            </w:r>
            <w:r w:rsidR="00095A25" w:rsidRPr="00BF6615">
              <w:rPr>
                <w:sz w:val="22"/>
                <w:lang w:eastAsia="pl-PL"/>
              </w:rPr>
              <w:t>2</w:t>
            </w:r>
            <w:r w:rsidRPr="00BF6615">
              <w:rPr>
                <w:sz w:val="22"/>
                <w:lang w:eastAsia="pl-PL"/>
              </w:rPr>
              <w:t>%</w:t>
            </w:r>
          </w:p>
        </w:tc>
        <w:tc>
          <w:tcPr>
            <w:tcW w:w="1095" w:type="dxa"/>
            <w:hideMark/>
          </w:tcPr>
          <w:p w14:paraId="1FA860A2" w14:textId="1C3A926A" w:rsidR="004935BD" w:rsidRPr="00BF6615" w:rsidRDefault="004935BD" w:rsidP="007E26B5">
            <w:pPr>
              <w:rPr>
                <w:sz w:val="22"/>
                <w:lang w:eastAsia="pl-PL"/>
              </w:rPr>
            </w:pPr>
            <w:r w:rsidRPr="00BF6615">
              <w:rPr>
                <w:sz w:val="22"/>
                <w:lang w:eastAsia="pl-PL"/>
              </w:rPr>
              <w:t>2</w:t>
            </w:r>
            <w:r w:rsidR="00095A25" w:rsidRPr="00BF6615">
              <w:rPr>
                <w:sz w:val="22"/>
                <w:lang w:eastAsia="pl-PL"/>
              </w:rPr>
              <w:t>7</w:t>
            </w:r>
            <w:r w:rsidRPr="00BF6615">
              <w:rPr>
                <w:sz w:val="22"/>
                <w:lang w:eastAsia="pl-PL"/>
              </w:rPr>
              <w:t>%</w:t>
            </w:r>
          </w:p>
        </w:tc>
        <w:tc>
          <w:tcPr>
            <w:tcW w:w="1307" w:type="dxa"/>
            <w:hideMark/>
          </w:tcPr>
          <w:p w14:paraId="198FFB26" w14:textId="47DC70B3" w:rsidR="004935BD" w:rsidRPr="00BF6615" w:rsidRDefault="004935BD" w:rsidP="007E26B5">
            <w:pPr>
              <w:rPr>
                <w:sz w:val="22"/>
                <w:lang w:eastAsia="pl-PL"/>
              </w:rPr>
            </w:pPr>
            <w:r w:rsidRPr="00BF6615">
              <w:rPr>
                <w:sz w:val="22"/>
                <w:lang w:eastAsia="pl-PL"/>
              </w:rPr>
              <w:t>3</w:t>
            </w:r>
            <w:r w:rsidR="00BD6988" w:rsidRPr="00BF6615">
              <w:rPr>
                <w:sz w:val="22"/>
                <w:lang w:eastAsia="pl-PL"/>
              </w:rPr>
              <w:t>5</w:t>
            </w:r>
            <w:r w:rsidRPr="00BF6615">
              <w:rPr>
                <w:sz w:val="22"/>
                <w:lang w:eastAsia="pl-PL"/>
              </w:rPr>
              <w:t>%</w:t>
            </w:r>
          </w:p>
        </w:tc>
        <w:tc>
          <w:tcPr>
            <w:tcW w:w="1333" w:type="dxa"/>
            <w:hideMark/>
          </w:tcPr>
          <w:p w14:paraId="43A2A18B" w14:textId="1B10092C" w:rsidR="004935BD" w:rsidRPr="00BF6615" w:rsidRDefault="004935BD" w:rsidP="007E26B5">
            <w:pPr>
              <w:rPr>
                <w:sz w:val="22"/>
                <w:lang w:eastAsia="pl-PL"/>
              </w:rPr>
            </w:pPr>
            <w:r w:rsidRPr="00BF6615">
              <w:rPr>
                <w:sz w:val="22"/>
                <w:lang w:eastAsia="pl-PL"/>
              </w:rPr>
              <w:t>3</w:t>
            </w:r>
            <w:r w:rsidR="007E249D" w:rsidRPr="00BF6615">
              <w:rPr>
                <w:sz w:val="22"/>
                <w:lang w:eastAsia="pl-PL"/>
              </w:rPr>
              <w:t>3</w:t>
            </w:r>
            <w:r w:rsidRPr="00BF6615">
              <w:rPr>
                <w:sz w:val="22"/>
                <w:lang w:eastAsia="pl-PL"/>
              </w:rPr>
              <w:t>%</w:t>
            </w:r>
          </w:p>
        </w:tc>
        <w:tc>
          <w:tcPr>
            <w:tcW w:w="1223" w:type="dxa"/>
            <w:hideMark/>
          </w:tcPr>
          <w:p w14:paraId="511C28F0" w14:textId="45DC26FA" w:rsidR="004935BD" w:rsidRPr="00BF6615" w:rsidRDefault="004935BD" w:rsidP="007E26B5">
            <w:pPr>
              <w:rPr>
                <w:sz w:val="22"/>
                <w:lang w:eastAsia="pl-PL"/>
              </w:rPr>
            </w:pPr>
            <w:r w:rsidRPr="00BF6615">
              <w:rPr>
                <w:sz w:val="22"/>
                <w:lang w:eastAsia="pl-PL"/>
              </w:rPr>
              <w:t>3</w:t>
            </w:r>
            <w:r w:rsidR="00755B16" w:rsidRPr="00BF6615">
              <w:rPr>
                <w:sz w:val="22"/>
                <w:lang w:eastAsia="pl-PL"/>
              </w:rPr>
              <w:t>2</w:t>
            </w:r>
            <w:r w:rsidRPr="00BF6615">
              <w:rPr>
                <w:sz w:val="22"/>
                <w:lang w:eastAsia="pl-PL"/>
              </w:rPr>
              <w:t>%</w:t>
            </w:r>
          </w:p>
        </w:tc>
        <w:tc>
          <w:tcPr>
            <w:tcW w:w="1072" w:type="dxa"/>
            <w:hideMark/>
          </w:tcPr>
          <w:p w14:paraId="405B580E" w14:textId="00F74D30" w:rsidR="004935BD" w:rsidRPr="00BF6615" w:rsidRDefault="005B3FB6" w:rsidP="007E26B5">
            <w:pPr>
              <w:rPr>
                <w:sz w:val="22"/>
                <w:lang w:eastAsia="pl-PL"/>
              </w:rPr>
            </w:pPr>
            <w:r w:rsidRPr="00BF6615">
              <w:rPr>
                <w:sz w:val="22"/>
                <w:lang w:eastAsia="pl-PL"/>
              </w:rPr>
              <w:t>31</w:t>
            </w:r>
            <w:r w:rsidR="004935BD" w:rsidRPr="00BF6615">
              <w:rPr>
                <w:sz w:val="22"/>
                <w:lang w:eastAsia="pl-PL"/>
              </w:rPr>
              <w:t>%</w:t>
            </w:r>
          </w:p>
        </w:tc>
        <w:tc>
          <w:tcPr>
            <w:tcW w:w="1290" w:type="dxa"/>
            <w:hideMark/>
          </w:tcPr>
          <w:p w14:paraId="0B4DD4E6" w14:textId="7639480B" w:rsidR="004935BD" w:rsidRPr="00BF6615" w:rsidRDefault="004935BD" w:rsidP="007E26B5">
            <w:pPr>
              <w:rPr>
                <w:sz w:val="22"/>
                <w:lang w:eastAsia="pl-PL"/>
              </w:rPr>
            </w:pPr>
            <w:r w:rsidRPr="00BF6615">
              <w:rPr>
                <w:sz w:val="22"/>
                <w:lang w:eastAsia="pl-PL"/>
              </w:rPr>
              <w:t>3</w:t>
            </w:r>
            <w:r w:rsidR="009C57E2" w:rsidRPr="00BF6615">
              <w:rPr>
                <w:sz w:val="22"/>
                <w:lang w:eastAsia="pl-PL"/>
              </w:rPr>
              <w:t>5</w:t>
            </w:r>
            <w:r w:rsidRPr="00BF6615">
              <w:rPr>
                <w:sz w:val="22"/>
                <w:lang w:eastAsia="pl-PL"/>
              </w:rPr>
              <w:t>%</w:t>
            </w:r>
          </w:p>
        </w:tc>
        <w:tc>
          <w:tcPr>
            <w:tcW w:w="1413" w:type="dxa"/>
            <w:hideMark/>
          </w:tcPr>
          <w:p w14:paraId="43ED3DCB" w14:textId="6AF32D3B" w:rsidR="004935BD" w:rsidRPr="00BF6615" w:rsidRDefault="004935BD" w:rsidP="007E26B5">
            <w:pPr>
              <w:rPr>
                <w:sz w:val="22"/>
                <w:lang w:eastAsia="pl-PL"/>
              </w:rPr>
            </w:pPr>
            <w:r w:rsidRPr="00BF6615">
              <w:rPr>
                <w:sz w:val="22"/>
                <w:lang w:eastAsia="pl-PL"/>
              </w:rPr>
              <w:t>3</w:t>
            </w:r>
            <w:r w:rsidR="008D7150" w:rsidRPr="00BF6615">
              <w:rPr>
                <w:sz w:val="22"/>
                <w:lang w:eastAsia="pl-PL"/>
              </w:rPr>
              <w:t>5</w:t>
            </w:r>
            <w:r w:rsidRPr="00BF6615">
              <w:rPr>
                <w:sz w:val="22"/>
                <w:lang w:eastAsia="pl-PL"/>
              </w:rPr>
              <w:t>%</w:t>
            </w:r>
          </w:p>
        </w:tc>
        <w:tc>
          <w:tcPr>
            <w:tcW w:w="1253" w:type="dxa"/>
            <w:hideMark/>
          </w:tcPr>
          <w:p w14:paraId="7F685E19" w14:textId="57C8BEE1" w:rsidR="004935BD" w:rsidRPr="00BF6615" w:rsidRDefault="00EB7A31" w:rsidP="007E26B5">
            <w:pPr>
              <w:rPr>
                <w:sz w:val="22"/>
                <w:lang w:eastAsia="pl-PL"/>
              </w:rPr>
            </w:pPr>
            <w:r w:rsidRPr="00BF6615">
              <w:rPr>
                <w:sz w:val="22"/>
                <w:lang w:eastAsia="pl-PL"/>
              </w:rPr>
              <w:t>20</w:t>
            </w:r>
            <w:r w:rsidR="004935BD" w:rsidRPr="00BF6615">
              <w:rPr>
                <w:sz w:val="22"/>
                <w:lang w:eastAsia="pl-PL"/>
              </w:rPr>
              <w:t>%</w:t>
            </w:r>
          </w:p>
        </w:tc>
        <w:tc>
          <w:tcPr>
            <w:tcW w:w="1219" w:type="dxa"/>
            <w:hideMark/>
          </w:tcPr>
          <w:p w14:paraId="61EEDE9D" w14:textId="32F82DEB" w:rsidR="004935BD" w:rsidRPr="00BF6615" w:rsidRDefault="004935BD" w:rsidP="007E26B5">
            <w:pPr>
              <w:rPr>
                <w:sz w:val="22"/>
                <w:lang w:eastAsia="pl-PL"/>
              </w:rPr>
            </w:pPr>
            <w:r w:rsidRPr="00BF6615">
              <w:rPr>
                <w:sz w:val="22"/>
                <w:lang w:eastAsia="pl-PL"/>
              </w:rPr>
              <w:t>3</w:t>
            </w:r>
            <w:r w:rsidR="004F4ACE" w:rsidRPr="00BF6615">
              <w:rPr>
                <w:sz w:val="22"/>
                <w:lang w:eastAsia="pl-PL"/>
              </w:rPr>
              <w:t>3</w:t>
            </w:r>
            <w:r w:rsidRPr="00BF6615">
              <w:rPr>
                <w:sz w:val="22"/>
                <w:lang w:eastAsia="pl-PL"/>
              </w:rPr>
              <w:t>%</w:t>
            </w:r>
          </w:p>
        </w:tc>
      </w:tr>
      <w:tr w:rsidR="00BA771C" w:rsidRPr="00BF6615" w14:paraId="03C9B927" w14:textId="77777777" w:rsidTr="00895DA1">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41AF67AA" w14:textId="77777777" w:rsidR="004935BD" w:rsidRPr="00BF6615" w:rsidRDefault="004935BD" w:rsidP="007E26B5">
            <w:pPr>
              <w:rPr>
                <w:sz w:val="22"/>
                <w:lang w:eastAsia="pl-PL"/>
              </w:rPr>
            </w:pPr>
            <w:r w:rsidRPr="00BF6615">
              <w:rPr>
                <w:sz w:val="22"/>
                <w:lang w:eastAsia="pl-PL"/>
              </w:rPr>
              <w:t>neutralne</w:t>
            </w:r>
          </w:p>
        </w:tc>
        <w:tc>
          <w:tcPr>
            <w:tcW w:w="1502" w:type="dxa"/>
            <w:hideMark/>
          </w:tcPr>
          <w:p w14:paraId="0128AFC4" w14:textId="59415F33" w:rsidR="004935BD" w:rsidRPr="00BF6615" w:rsidRDefault="004935BD" w:rsidP="007E26B5">
            <w:pPr>
              <w:rPr>
                <w:sz w:val="22"/>
                <w:lang w:eastAsia="pl-PL"/>
              </w:rPr>
            </w:pPr>
            <w:r w:rsidRPr="00BF6615">
              <w:rPr>
                <w:sz w:val="22"/>
                <w:lang w:eastAsia="pl-PL"/>
              </w:rPr>
              <w:t>1</w:t>
            </w:r>
            <w:r w:rsidR="00CB7B87" w:rsidRPr="00BF6615">
              <w:rPr>
                <w:sz w:val="22"/>
                <w:lang w:eastAsia="pl-PL"/>
              </w:rPr>
              <w:t>3</w:t>
            </w:r>
            <w:r w:rsidRPr="00BF6615">
              <w:rPr>
                <w:sz w:val="22"/>
                <w:lang w:eastAsia="pl-PL"/>
              </w:rPr>
              <w:t>%</w:t>
            </w:r>
          </w:p>
        </w:tc>
        <w:tc>
          <w:tcPr>
            <w:tcW w:w="1286" w:type="dxa"/>
            <w:hideMark/>
          </w:tcPr>
          <w:p w14:paraId="10EB9EDD" w14:textId="0020977A" w:rsidR="004935BD" w:rsidRPr="00BF6615" w:rsidRDefault="00881A3F" w:rsidP="007E26B5">
            <w:pPr>
              <w:rPr>
                <w:sz w:val="22"/>
                <w:lang w:eastAsia="pl-PL"/>
              </w:rPr>
            </w:pPr>
            <w:r w:rsidRPr="00BF6615">
              <w:rPr>
                <w:sz w:val="22"/>
                <w:lang w:eastAsia="pl-PL"/>
              </w:rPr>
              <w:t>8</w:t>
            </w:r>
            <w:r w:rsidR="004935BD" w:rsidRPr="00BF6615">
              <w:rPr>
                <w:sz w:val="22"/>
                <w:lang w:eastAsia="pl-PL"/>
              </w:rPr>
              <w:t>%</w:t>
            </w:r>
          </w:p>
        </w:tc>
        <w:tc>
          <w:tcPr>
            <w:tcW w:w="1095" w:type="dxa"/>
            <w:hideMark/>
          </w:tcPr>
          <w:p w14:paraId="3A3A41A7" w14:textId="4D084D51" w:rsidR="004935BD" w:rsidRPr="00BF6615" w:rsidRDefault="00051A93" w:rsidP="007E26B5">
            <w:pPr>
              <w:rPr>
                <w:sz w:val="22"/>
                <w:lang w:eastAsia="pl-PL"/>
              </w:rPr>
            </w:pPr>
            <w:r w:rsidRPr="00BF6615">
              <w:rPr>
                <w:sz w:val="22"/>
                <w:lang w:eastAsia="pl-PL"/>
              </w:rPr>
              <w:t>10</w:t>
            </w:r>
            <w:r w:rsidR="004935BD" w:rsidRPr="00BF6615">
              <w:rPr>
                <w:sz w:val="22"/>
                <w:lang w:eastAsia="pl-PL"/>
              </w:rPr>
              <w:t>%</w:t>
            </w:r>
          </w:p>
        </w:tc>
        <w:tc>
          <w:tcPr>
            <w:tcW w:w="1307" w:type="dxa"/>
            <w:hideMark/>
          </w:tcPr>
          <w:p w14:paraId="67F57FF1" w14:textId="45DDC611" w:rsidR="004935BD" w:rsidRPr="00BF6615" w:rsidRDefault="004935BD" w:rsidP="007E26B5">
            <w:pPr>
              <w:rPr>
                <w:sz w:val="22"/>
                <w:lang w:eastAsia="pl-PL"/>
              </w:rPr>
            </w:pPr>
            <w:r w:rsidRPr="00BF6615">
              <w:rPr>
                <w:sz w:val="22"/>
                <w:lang w:eastAsia="pl-PL"/>
              </w:rPr>
              <w:t>1</w:t>
            </w:r>
            <w:r w:rsidR="001D165A" w:rsidRPr="00BF6615">
              <w:rPr>
                <w:sz w:val="22"/>
                <w:lang w:eastAsia="pl-PL"/>
              </w:rPr>
              <w:t>7</w:t>
            </w:r>
            <w:r w:rsidRPr="00BF6615">
              <w:rPr>
                <w:sz w:val="22"/>
                <w:lang w:eastAsia="pl-PL"/>
              </w:rPr>
              <w:t>%</w:t>
            </w:r>
          </w:p>
        </w:tc>
        <w:tc>
          <w:tcPr>
            <w:tcW w:w="1333" w:type="dxa"/>
            <w:hideMark/>
          </w:tcPr>
          <w:p w14:paraId="503A21A8" w14:textId="2CFA934A" w:rsidR="004935BD" w:rsidRPr="00BF6615" w:rsidRDefault="004935BD" w:rsidP="007E26B5">
            <w:pPr>
              <w:rPr>
                <w:sz w:val="22"/>
                <w:lang w:eastAsia="pl-PL"/>
              </w:rPr>
            </w:pPr>
            <w:r w:rsidRPr="00BF6615">
              <w:rPr>
                <w:sz w:val="22"/>
                <w:lang w:eastAsia="pl-PL"/>
              </w:rPr>
              <w:t>2</w:t>
            </w:r>
            <w:r w:rsidR="00D3626C" w:rsidRPr="00BF6615">
              <w:rPr>
                <w:sz w:val="22"/>
                <w:lang w:eastAsia="pl-PL"/>
              </w:rPr>
              <w:t>5</w:t>
            </w:r>
            <w:r w:rsidRPr="00BF6615">
              <w:rPr>
                <w:sz w:val="22"/>
                <w:lang w:eastAsia="pl-PL"/>
              </w:rPr>
              <w:t>%</w:t>
            </w:r>
          </w:p>
        </w:tc>
        <w:tc>
          <w:tcPr>
            <w:tcW w:w="1223" w:type="dxa"/>
            <w:hideMark/>
          </w:tcPr>
          <w:p w14:paraId="612A1374" w14:textId="1EAF9C3F" w:rsidR="004935BD" w:rsidRPr="00BF6615" w:rsidRDefault="004935BD" w:rsidP="007E26B5">
            <w:pPr>
              <w:rPr>
                <w:sz w:val="22"/>
                <w:lang w:eastAsia="pl-PL"/>
              </w:rPr>
            </w:pPr>
            <w:r w:rsidRPr="00BF6615">
              <w:rPr>
                <w:sz w:val="22"/>
                <w:lang w:eastAsia="pl-PL"/>
              </w:rPr>
              <w:t>1</w:t>
            </w:r>
            <w:r w:rsidR="00F0794E" w:rsidRPr="00BF6615">
              <w:rPr>
                <w:sz w:val="22"/>
                <w:lang w:eastAsia="pl-PL"/>
              </w:rPr>
              <w:t>2</w:t>
            </w:r>
            <w:r w:rsidRPr="00BF6615">
              <w:rPr>
                <w:sz w:val="22"/>
                <w:lang w:eastAsia="pl-PL"/>
              </w:rPr>
              <w:t>%</w:t>
            </w:r>
          </w:p>
        </w:tc>
        <w:tc>
          <w:tcPr>
            <w:tcW w:w="1072" w:type="dxa"/>
            <w:hideMark/>
          </w:tcPr>
          <w:p w14:paraId="263938C9" w14:textId="397151E6" w:rsidR="004935BD" w:rsidRPr="00BF6615" w:rsidRDefault="004935BD" w:rsidP="007E26B5">
            <w:pPr>
              <w:rPr>
                <w:sz w:val="22"/>
                <w:lang w:eastAsia="pl-PL"/>
              </w:rPr>
            </w:pPr>
            <w:r w:rsidRPr="00BF6615">
              <w:rPr>
                <w:sz w:val="22"/>
                <w:lang w:eastAsia="pl-PL"/>
              </w:rPr>
              <w:t>1</w:t>
            </w:r>
            <w:r w:rsidR="00036B3F" w:rsidRPr="00BF6615">
              <w:rPr>
                <w:sz w:val="22"/>
                <w:lang w:eastAsia="pl-PL"/>
              </w:rPr>
              <w:t>2</w:t>
            </w:r>
            <w:r w:rsidRPr="00BF6615">
              <w:rPr>
                <w:sz w:val="22"/>
                <w:lang w:eastAsia="pl-PL"/>
              </w:rPr>
              <w:t>%</w:t>
            </w:r>
          </w:p>
        </w:tc>
        <w:tc>
          <w:tcPr>
            <w:tcW w:w="1290" w:type="dxa"/>
            <w:hideMark/>
          </w:tcPr>
          <w:p w14:paraId="7C444338" w14:textId="457AA0FF" w:rsidR="004935BD" w:rsidRPr="00BF6615" w:rsidRDefault="004935BD" w:rsidP="007E26B5">
            <w:pPr>
              <w:rPr>
                <w:sz w:val="22"/>
                <w:lang w:eastAsia="pl-PL"/>
              </w:rPr>
            </w:pPr>
            <w:r w:rsidRPr="00BF6615">
              <w:rPr>
                <w:sz w:val="22"/>
                <w:lang w:eastAsia="pl-PL"/>
              </w:rPr>
              <w:t>1</w:t>
            </w:r>
            <w:r w:rsidR="00AE70CB" w:rsidRPr="00BF6615">
              <w:rPr>
                <w:sz w:val="22"/>
                <w:lang w:eastAsia="pl-PL"/>
              </w:rPr>
              <w:t>2</w:t>
            </w:r>
            <w:r w:rsidRPr="00BF6615">
              <w:rPr>
                <w:sz w:val="22"/>
                <w:lang w:eastAsia="pl-PL"/>
              </w:rPr>
              <w:t>%</w:t>
            </w:r>
          </w:p>
        </w:tc>
        <w:tc>
          <w:tcPr>
            <w:tcW w:w="1413" w:type="dxa"/>
            <w:hideMark/>
          </w:tcPr>
          <w:p w14:paraId="61D3B121" w14:textId="42100D88" w:rsidR="004935BD" w:rsidRPr="00BF6615" w:rsidRDefault="004935BD" w:rsidP="007E26B5">
            <w:pPr>
              <w:rPr>
                <w:sz w:val="22"/>
                <w:lang w:eastAsia="pl-PL"/>
              </w:rPr>
            </w:pPr>
            <w:r w:rsidRPr="00BF6615">
              <w:rPr>
                <w:sz w:val="22"/>
                <w:lang w:eastAsia="pl-PL"/>
              </w:rPr>
              <w:t>1</w:t>
            </w:r>
            <w:r w:rsidR="00B216F5" w:rsidRPr="00BF6615">
              <w:rPr>
                <w:sz w:val="22"/>
                <w:lang w:eastAsia="pl-PL"/>
              </w:rPr>
              <w:t>7</w:t>
            </w:r>
            <w:r w:rsidRPr="00BF6615">
              <w:rPr>
                <w:sz w:val="22"/>
                <w:lang w:eastAsia="pl-PL"/>
              </w:rPr>
              <w:t>%</w:t>
            </w:r>
          </w:p>
        </w:tc>
        <w:tc>
          <w:tcPr>
            <w:tcW w:w="1253" w:type="dxa"/>
            <w:hideMark/>
          </w:tcPr>
          <w:p w14:paraId="113F2D83" w14:textId="26224529" w:rsidR="004935BD" w:rsidRPr="00BF6615" w:rsidRDefault="004935BD" w:rsidP="007E26B5">
            <w:pPr>
              <w:rPr>
                <w:sz w:val="22"/>
                <w:lang w:eastAsia="pl-PL"/>
              </w:rPr>
            </w:pPr>
            <w:r w:rsidRPr="00BF6615">
              <w:rPr>
                <w:sz w:val="22"/>
                <w:lang w:eastAsia="pl-PL"/>
              </w:rPr>
              <w:t>2</w:t>
            </w:r>
            <w:r w:rsidR="000F7197" w:rsidRPr="00BF6615">
              <w:rPr>
                <w:sz w:val="22"/>
                <w:lang w:eastAsia="pl-PL"/>
              </w:rPr>
              <w:t>5</w:t>
            </w:r>
            <w:r w:rsidRPr="00BF6615">
              <w:rPr>
                <w:sz w:val="22"/>
                <w:lang w:eastAsia="pl-PL"/>
              </w:rPr>
              <w:t>%</w:t>
            </w:r>
          </w:p>
        </w:tc>
        <w:tc>
          <w:tcPr>
            <w:tcW w:w="1219" w:type="dxa"/>
            <w:hideMark/>
          </w:tcPr>
          <w:p w14:paraId="3FC1AAFE" w14:textId="772BD709" w:rsidR="004935BD" w:rsidRPr="00BF6615" w:rsidRDefault="004935BD" w:rsidP="007E26B5">
            <w:pPr>
              <w:rPr>
                <w:sz w:val="22"/>
                <w:lang w:eastAsia="pl-PL"/>
              </w:rPr>
            </w:pPr>
            <w:r w:rsidRPr="00BF6615">
              <w:rPr>
                <w:sz w:val="22"/>
                <w:lang w:eastAsia="pl-PL"/>
              </w:rPr>
              <w:t>1</w:t>
            </w:r>
            <w:r w:rsidR="003521B3" w:rsidRPr="00BF6615">
              <w:rPr>
                <w:sz w:val="22"/>
                <w:lang w:eastAsia="pl-PL"/>
              </w:rPr>
              <w:t>7</w:t>
            </w:r>
            <w:r w:rsidRPr="00BF6615">
              <w:rPr>
                <w:sz w:val="22"/>
                <w:lang w:eastAsia="pl-PL"/>
              </w:rPr>
              <w:t>%</w:t>
            </w:r>
          </w:p>
        </w:tc>
      </w:tr>
      <w:tr w:rsidR="00BA771C" w:rsidRPr="00BF6615" w14:paraId="50EFA415" w14:textId="77777777" w:rsidTr="00895DA1">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6CD0CFB4" w14:textId="77777777" w:rsidR="004935BD" w:rsidRPr="00BF6615" w:rsidRDefault="004935BD" w:rsidP="007E26B5">
            <w:pPr>
              <w:rPr>
                <w:sz w:val="22"/>
                <w:lang w:eastAsia="pl-PL"/>
              </w:rPr>
            </w:pPr>
            <w:r w:rsidRPr="00BF6615">
              <w:rPr>
                <w:sz w:val="22"/>
                <w:lang w:eastAsia="pl-PL"/>
              </w:rPr>
              <w:t>mało ważne</w:t>
            </w:r>
          </w:p>
        </w:tc>
        <w:tc>
          <w:tcPr>
            <w:tcW w:w="1502" w:type="dxa"/>
            <w:hideMark/>
          </w:tcPr>
          <w:p w14:paraId="21BD119F" w14:textId="77777777" w:rsidR="004935BD" w:rsidRPr="00BF6615" w:rsidRDefault="004935BD" w:rsidP="007E26B5">
            <w:pPr>
              <w:rPr>
                <w:sz w:val="22"/>
                <w:lang w:eastAsia="pl-PL"/>
              </w:rPr>
            </w:pPr>
            <w:r w:rsidRPr="00BF6615">
              <w:rPr>
                <w:sz w:val="22"/>
                <w:lang w:eastAsia="pl-PL"/>
              </w:rPr>
              <w:t>2%</w:t>
            </w:r>
          </w:p>
        </w:tc>
        <w:tc>
          <w:tcPr>
            <w:tcW w:w="1286" w:type="dxa"/>
            <w:hideMark/>
          </w:tcPr>
          <w:p w14:paraId="6D59C385" w14:textId="77777777" w:rsidR="004935BD" w:rsidRPr="00BF6615" w:rsidRDefault="004935BD" w:rsidP="007E26B5">
            <w:pPr>
              <w:rPr>
                <w:sz w:val="22"/>
                <w:lang w:eastAsia="pl-PL"/>
              </w:rPr>
            </w:pPr>
            <w:r w:rsidRPr="00BF6615">
              <w:rPr>
                <w:sz w:val="22"/>
                <w:lang w:eastAsia="pl-PL"/>
              </w:rPr>
              <w:t>2%</w:t>
            </w:r>
          </w:p>
        </w:tc>
        <w:tc>
          <w:tcPr>
            <w:tcW w:w="1095" w:type="dxa"/>
            <w:hideMark/>
          </w:tcPr>
          <w:p w14:paraId="27AEBF74" w14:textId="77777777" w:rsidR="004935BD" w:rsidRPr="00BF6615" w:rsidRDefault="004935BD" w:rsidP="007E26B5">
            <w:pPr>
              <w:rPr>
                <w:sz w:val="22"/>
                <w:lang w:eastAsia="pl-PL"/>
              </w:rPr>
            </w:pPr>
            <w:r w:rsidRPr="00BF6615">
              <w:rPr>
                <w:sz w:val="22"/>
                <w:lang w:eastAsia="pl-PL"/>
              </w:rPr>
              <w:t>2%</w:t>
            </w:r>
          </w:p>
        </w:tc>
        <w:tc>
          <w:tcPr>
            <w:tcW w:w="1307" w:type="dxa"/>
            <w:hideMark/>
          </w:tcPr>
          <w:p w14:paraId="75F37B9C" w14:textId="3D23CF6D" w:rsidR="004935BD" w:rsidRPr="00BF6615" w:rsidRDefault="001409D4" w:rsidP="007E26B5">
            <w:pPr>
              <w:rPr>
                <w:sz w:val="22"/>
                <w:lang w:eastAsia="pl-PL"/>
              </w:rPr>
            </w:pPr>
            <w:r w:rsidRPr="00BF6615">
              <w:rPr>
                <w:sz w:val="22"/>
                <w:lang w:eastAsia="pl-PL"/>
              </w:rPr>
              <w:t>5</w:t>
            </w:r>
            <w:r w:rsidR="004935BD" w:rsidRPr="00BF6615">
              <w:rPr>
                <w:sz w:val="22"/>
                <w:lang w:eastAsia="pl-PL"/>
              </w:rPr>
              <w:t>%</w:t>
            </w:r>
          </w:p>
        </w:tc>
        <w:tc>
          <w:tcPr>
            <w:tcW w:w="1333" w:type="dxa"/>
            <w:hideMark/>
          </w:tcPr>
          <w:p w14:paraId="18DA11E6" w14:textId="77777777" w:rsidR="004935BD" w:rsidRPr="00BF6615" w:rsidRDefault="004935BD" w:rsidP="007E26B5">
            <w:pPr>
              <w:rPr>
                <w:sz w:val="22"/>
                <w:lang w:eastAsia="pl-PL"/>
              </w:rPr>
            </w:pPr>
            <w:r w:rsidRPr="00BF6615">
              <w:rPr>
                <w:sz w:val="22"/>
                <w:lang w:eastAsia="pl-PL"/>
              </w:rPr>
              <w:t>7%</w:t>
            </w:r>
          </w:p>
        </w:tc>
        <w:tc>
          <w:tcPr>
            <w:tcW w:w="1223" w:type="dxa"/>
            <w:hideMark/>
          </w:tcPr>
          <w:p w14:paraId="00ED72B6" w14:textId="77777777" w:rsidR="004935BD" w:rsidRPr="00BF6615" w:rsidRDefault="004935BD" w:rsidP="007E26B5">
            <w:pPr>
              <w:rPr>
                <w:sz w:val="22"/>
                <w:lang w:eastAsia="pl-PL"/>
              </w:rPr>
            </w:pPr>
            <w:r w:rsidRPr="00BF6615">
              <w:rPr>
                <w:sz w:val="22"/>
                <w:lang w:eastAsia="pl-PL"/>
              </w:rPr>
              <w:t>2%</w:t>
            </w:r>
          </w:p>
        </w:tc>
        <w:tc>
          <w:tcPr>
            <w:tcW w:w="1072" w:type="dxa"/>
            <w:hideMark/>
          </w:tcPr>
          <w:p w14:paraId="30564E8A" w14:textId="77777777" w:rsidR="004935BD" w:rsidRPr="00BF6615" w:rsidRDefault="004935BD" w:rsidP="007E26B5">
            <w:pPr>
              <w:rPr>
                <w:sz w:val="22"/>
                <w:lang w:eastAsia="pl-PL"/>
              </w:rPr>
            </w:pPr>
            <w:r w:rsidRPr="00BF6615">
              <w:rPr>
                <w:sz w:val="22"/>
                <w:lang w:eastAsia="pl-PL"/>
              </w:rPr>
              <w:t>2%</w:t>
            </w:r>
          </w:p>
        </w:tc>
        <w:tc>
          <w:tcPr>
            <w:tcW w:w="1290" w:type="dxa"/>
            <w:hideMark/>
          </w:tcPr>
          <w:p w14:paraId="7A0FD43B" w14:textId="77777777" w:rsidR="004935BD" w:rsidRPr="00BF6615" w:rsidRDefault="004935BD" w:rsidP="007E26B5">
            <w:pPr>
              <w:rPr>
                <w:sz w:val="22"/>
                <w:lang w:eastAsia="pl-PL"/>
              </w:rPr>
            </w:pPr>
            <w:r w:rsidRPr="00BF6615">
              <w:rPr>
                <w:sz w:val="22"/>
                <w:lang w:eastAsia="pl-PL"/>
              </w:rPr>
              <w:t>3%</w:t>
            </w:r>
          </w:p>
        </w:tc>
        <w:tc>
          <w:tcPr>
            <w:tcW w:w="1413" w:type="dxa"/>
            <w:hideMark/>
          </w:tcPr>
          <w:p w14:paraId="4C4DC771" w14:textId="77777777" w:rsidR="004935BD" w:rsidRPr="00BF6615" w:rsidRDefault="004935BD" w:rsidP="007E26B5">
            <w:pPr>
              <w:rPr>
                <w:sz w:val="22"/>
                <w:lang w:eastAsia="pl-PL"/>
              </w:rPr>
            </w:pPr>
            <w:r w:rsidRPr="00BF6615">
              <w:rPr>
                <w:sz w:val="22"/>
                <w:lang w:eastAsia="pl-PL"/>
              </w:rPr>
              <w:t>4%</w:t>
            </w:r>
          </w:p>
        </w:tc>
        <w:tc>
          <w:tcPr>
            <w:tcW w:w="1253" w:type="dxa"/>
            <w:hideMark/>
          </w:tcPr>
          <w:p w14:paraId="5EE920C7" w14:textId="77777777" w:rsidR="004935BD" w:rsidRPr="00BF6615" w:rsidRDefault="004935BD" w:rsidP="007E26B5">
            <w:pPr>
              <w:rPr>
                <w:sz w:val="22"/>
                <w:lang w:eastAsia="pl-PL"/>
              </w:rPr>
            </w:pPr>
            <w:r w:rsidRPr="00BF6615">
              <w:rPr>
                <w:sz w:val="22"/>
                <w:lang w:eastAsia="pl-PL"/>
              </w:rPr>
              <w:t>11%</w:t>
            </w:r>
          </w:p>
        </w:tc>
        <w:tc>
          <w:tcPr>
            <w:tcW w:w="1219" w:type="dxa"/>
            <w:hideMark/>
          </w:tcPr>
          <w:p w14:paraId="309B4D42" w14:textId="77777777" w:rsidR="004935BD" w:rsidRPr="00BF6615" w:rsidRDefault="004935BD" w:rsidP="007E26B5">
            <w:pPr>
              <w:rPr>
                <w:sz w:val="22"/>
                <w:lang w:eastAsia="pl-PL"/>
              </w:rPr>
            </w:pPr>
            <w:r w:rsidRPr="00BF6615">
              <w:rPr>
                <w:sz w:val="22"/>
                <w:lang w:eastAsia="pl-PL"/>
              </w:rPr>
              <w:t>5%</w:t>
            </w:r>
          </w:p>
        </w:tc>
      </w:tr>
      <w:tr w:rsidR="00BA771C" w:rsidRPr="00BF6615" w14:paraId="473515A2" w14:textId="77777777" w:rsidTr="00895DA1">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1476A1EF" w14:textId="77777777" w:rsidR="004935BD" w:rsidRPr="00BF6615" w:rsidRDefault="004935BD" w:rsidP="007E26B5">
            <w:pPr>
              <w:rPr>
                <w:sz w:val="22"/>
                <w:lang w:eastAsia="pl-PL"/>
              </w:rPr>
            </w:pPr>
            <w:r w:rsidRPr="00BF6615">
              <w:rPr>
                <w:sz w:val="22"/>
                <w:lang w:eastAsia="pl-PL"/>
              </w:rPr>
              <w:t>zupełnie nieważne</w:t>
            </w:r>
          </w:p>
        </w:tc>
        <w:tc>
          <w:tcPr>
            <w:tcW w:w="1502" w:type="dxa"/>
            <w:hideMark/>
          </w:tcPr>
          <w:p w14:paraId="262EFB4F" w14:textId="77777777" w:rsidR="004935BD" w:rsidRPr="00BF6615" w:rsidRDefault="004935BD" w:rsidP="007E26B5">
            <w:pPr>
              <w:rPr>
                <w:sz w:val="22"/>
                <w:lang w:eastAsia="pl-PL"/>
              </w:rPr>
            </w:pPr>
            <w:r w:rsidRPr="00BF6615">
              <w:rPr>
                <w:sz w:val="22"/>
                <w:lang w:eastAsia="pl-PL"/>
              </w:rPr>
              <w:t>1%</w:t>
            </w:r>
          </w:p>
        </w:tc>
        <w:tc>
          <w:tcPr>
            <w:tcW w:w="1286" w:type="dxa"/>
            <w:hideMark/>
          </w:tcPr>
          <w:p w14:paraId="736BC2FD" w14:textId="77777777" w:rsidR="004935BD" w:rsidRPr="00BF6615" w:rsidRDefault="004935BD" w:rsidP="007E26B5">
            <w:pPr>
              <w:rPr>
                <w:sz w:val="22"/>
                <w:lang w:eastAsia="pl-PL"/>
              </w:rPr>
            </w:pPr>
            <w:r w:rsidRPr="00BF6615">
              <w:rPr>
                <w:sz w:val="22"/>
                <w:lang w:eastAsia="pl-PL"/>
              </w:rPr>
              <w:t>0</w:t>
            </w:r>
            <w:r w:rsidRPr="00BF6615">
              <w:rPr>
                <w:rStyle w:val="Odwoanieprzypisudolnego"/>
                <w:sz w:val="22"/>
                <w:lang w:eastAsia="pl-PL"/>
              </w:rPr>
              <w:footnoteReference w:id="33"/>
            </w:r>
            <w:r w:rsidRPr="00BF6615">
              <w:rPr>
                <w:sz w:val="22"/>
                <w:lang w:eastAsia="pl-PL"/>
              </w:rPr>
              <w:t>%</w:t>
            </w:r>
          </w:p>
        </w:tc>
        <w:tc>
          <w:tcPr>
            <w:tcW w:w="1095" w:type="dxa"/>
            <w:hideMark/>
          </w:tcPr>
          <w:p w14:paraId="08245415" w14:textId="77777777" w:rsidR="004935BD" w:rsidRPr="00BF6615" w:rsidRDefault="004935BD" w:rsidP="007E26B5">
            <w:pPr>
              <w:rPr>
                <w:sz w:val="22"/>
                <w:lang w:eastAsia="pl-PL"/>
              </w:rPr>
            </w:pPr>
            <w:r w:rsidRPr="00BF6615">
              <w:rPr>
                <w:sz w:val="22"/>
                <w:lang w:eastAsia="pl-PL"/>
              </w:rPr>
              <w:t>1%</w:t>
            </w:r>
          </w:p>
        </w:tc>
        <w:tc>
          <w:tcPr>
            <w:tcW w:w="1307" w:type="dxa"/>
            <w:hideMark/>
          </w:tcPr>
          <w:p w14:paraId="74BA59F4" w14:textId="77777777" w:rsidR="004935BD" w:rsidRPr="00BF6615" w:rsidRDefault="004935BD" w:rsidP="007E26B5">
            <w:pPr>
              <w:rPr>
                <w:sz w:val="22"/>
                <w:lang w:eastAsia="pl-PL"/>
              </w:rPr>
            </w:pPr>
            <w:r w:rsidRPr="00BF6615">
              <w:rPr>
                <w:sz w:val="22"/>
                <w:lang w:eastAsia="pl-PL"/>
              </w:rPr>
              <w:t>2%</w:t>
            </w:r>
          </w:p>
        </w:tc>
        <w:tc>
          <w:tcPr>
            <w:tcW w:w="1333" w:type="dxa"/>
            <w:hideMark/>
          </w:tcPr>
          <w:p w14:paraId="2C19EBEA" w14:textId="654B0E4E" w:rsidR="004935BD" w:rsidRPr="00BF6615" w:rsidRDefault="00E0510B" w:rsidP="007E26B5">
            <w:pPr>
              <w:rPr>
                <w:sz w:val="22"/>
                <w:lang w:eastAsia="pl-PL"/>
              </w:rPr>
            </w:pPr>
            <w:r w:rsidRPr="00BF6615">
              <w:rPr>
                <w:sz w:val="22"/>
                <w:lang w:eastAsia="pl-PL"/>
              </w:rPr>
              <w:t>5</w:t>
            </w:r>
            <w:r w:rsidR="004935BD" w:rsidRPr="00BF6615">
              <w:rPr>
                <w:sz w:val="22"/>
                <w:lang w:eastAsia="pl-PL"/>
              </w:rPr>
              <w:t>%</w:t>
            </w:r>
          </w:p>
        </w:tc>
        <w:tc>
          <w:tcPr>
            <w:tcW w:w="1223" w:type="dxa"/>
            <w:hideMark/>
          </w:tcPr>
          <w:p w14:paraId="797C36A9" w14:textId="77777777" w:rsidR="004935BD" w:rsidRPr="00BF6615" w:rsidRDefault="004935BD" w:rsidP="007E26B5">
            <w:pPr>
              <w:rPr>
                <w:sz w:val="22"/>
                <w:lang w:eastAsia="pl-PL"/>
              </w:rPr>
            </w:pPr>
            <w:r w:rsidRPr="00BF6615">
              <w:rPr>
                <w:sz w:val="22"/>
                <w:lang w:eastAsia="pl-PL"/>
              </w:rPr>
              <w:t>1%</w:t>
            </w:r>
          </w:p>
        </w:tc>
        <w:tc>
          <w:tcPr>
            <w:tcW w:w="1072" w:type="dxa"/>
            <w:hideMark/>
          </w:tcPr>
          <w:p w14:paraId="2D49FC9D" w14:textId="77777777" w:rsidR="004935BD" w:rsidRPr="00BF6615" w:rsidRDefault="004935BD" w:rsidP="007E26B5">
            <w:pPr>
              <w:rPr>
                <w:sz w:val="22"/>
                <w:lang w:eastAsia="pl-PL"/>
              </w:rPr>
            </w:pPr>
            <w:r w:rsidRPr="00BF6615">
              <w:rPr>
                <w:sz w:val="22"/>
                <w:lang w:eastAsia="pl-PL"/>
              </w:rPr>
              <w:t>1%</w:t>
            </w:r>
          </w:p>
        </w:tc>
        <w:tc>
          <w:tcPr>
            <w:tcW w:w="1290" w:type="dxa"/>
            <w:hideMark/>
          </w:tcPr>
          <w:p w14:paraId="0A6CD965" w14:textId="77777777" w:rsidR="004935BD" w:rsidRPr="00BF6615" w:rsidRDefault="004935BD" w:rsidP="007E26B5">
            <w:pPr>
              <w:rPr>
                <w:sz w:val="22"/>
                <w:lang w:eastAsia="pl-PL"/>
              </w:rPr>
            </w:pPr>
            <w:r w:rsidRPr="00BF6615">
              <w:rPr>
                <w:sz w:val="22"/>
                <w:lang w:eastAsia="pl-PL"/>
              </w:rPr>
              <w:t>0%</w:t>
            </w:r>
          </w:p>
        </w:tc>
        <w:tc>
          <w:tcPr>
            <w:tcW w:w="1413" w:type="dxa"/>
            <w:hideMark/>
          </w:tcPr>
          <w:p w14:paraId="0CDCC0AD" w14:textId="77777777" w:rsidR="004935BD" w:rsidRPr="00BF6615" w:rsidRDefault="004935BD" w:rsidP="007E26B5">
            <w:pPr>
              <w:rPr>
                <w:sz w:val="22"/>
                <w:lang w:eastAsia="pl-PL"/>
              </w:rPr>
            </w:pPr>
            <w:r w:rsidRPr="00BF6615">
              <w:rPr>
                <w:sz w:val="22"/>
                <w:lang w:eastAsia="pl-PL"/>
              </w:rPr>
              <w:t>3%</w:t>
            </w:r>
          </w:p>
        </w:tc>
        <w:tc>
          <w:tcPr>
            <w:tcW w:w="1253" w:type="dxa"/>
            <w:hideMark/>
          </w:tcPr>
          <w:p w14:paraId="0BD85D2E" w14:textId="4D4483FB" w:rsidR="004935BD" w:rsidRPr="00BF6615" w:rsidRDefault="004935BD" w:rsidP="007E26B5">
            <w:pPr>
              <w:rPr>
                <w:sz w:val="22"/>
                <w:lang w:eastAsia="pl-PL"/>
              </w:rPr>
            </w:pPr>
            <w:r w:rsidRPr="00BF6615">
              <w:rPr>
                <w:sz w:val="22"/>
                <w:lang w:eastAsia="pl-PL"/>
              </w:rPr>
              <w:t>2</w:t>
            </w:r>
            <w:r w:rsidR="004317E7" w:rsidRPr="00BF6615">
              <w:rPr>
                <w:sz w:val="22"/>
                <w:lang w:eastAsia="pl-PL"/>
              </w:rPr>
              <w:t>6</w:t>
            </w:r>
            <w:r w:rsidRPr="00BF6615">
              <w:rPr>
                <w:sz w:val="22"/>
                <w:lang w:eastAsia="pl-PL"/>
              </w:rPr>
              <w:t>%</w:t>
            </w:r>
          </w:p>
        </w:tc>
        <w:tc>
          <w:tcPr>
            <w:tcW w:w="1219" w:type="dxa"/>
            <w:hideMark/>
          </w:tcPr>
          <w:p w14:paraId="067B6742" w14:textId="77777777" w:rsidR="004935BD" w:rsidRPr="00BF6615" w:rsidRDefault="004935BD" w:rsidP="007E26B5">
            <w:pPr>
              <w:rPr>
                <w:sz w:val="22"/>
                <w:lang w:eastAsia="pl-PL"/>
              </w:rPr>
            </w:pPr>
            <w:r w:rsidRPr="00BF6615">
              <w:rPr>
                <w:sz w:val="22"/>
                <w:lang w:eastAsia="pl-PL"/>
              </w:rPr>
              <w:t>7%</w:t>
            </w:r>
          </w:p>
        </w:tc>
      </w:tr>
    </w:tbl>
    <w:p w14:paraId="5A8BCCB4" w14:textId="77777777" w:rsidR="004935BD" w:rsidRPr="00BF6615" w:rsidRDefault="004935BD" w:rsidP="00FD0843">
      <w:r w:rsidRPr="00BF6615">
        <w:t>Źródło: opracowanie własne.</w:t>
      </w:r>
    </w:p>
    <w:p w14:paraId="403901F6" w14:textId="77777777" w:rsidR="004935BD" w:rsidRPr="00BF6615" w:rsidRDefault="004935BD" w:rsidP="007E26B5">
      <w:pPr>
        <w:rPr>
          <w:color w:val="4472C4" w:themeColor="accent1"/>
        </w:rPr>
      </w:pPr>
    </w:p>
    <w:p w14:paraId="660D1BC6" w14:textId="77777777" w:rsidR="004935BD" w:rsidRPr="00BF6615" w:rsidRDefault="004935BD" w:rsidP="007E26B5">
      <w:pPr>
        <w:rPr>
          <w:color w:val="4472C4" w:themeColor="accent1"/>
        </w:rPr>
        <w:sectPr w:rsidR="004935BD" w:rsidRPr="00BF6615" w:rsidSect="004935BD">
          <w:pgSz w:w="15840" w:h="12240" w:orient="landscape"/>
          <w:pgMar w:top="1440" w:right="1440" w:bottom="1440" w:left="1440" w:header="709" w:footer="709" w:gutter="0"/>
          <w:cols w:space="708"/>
          <w:titlePg/>
          <w:docGrid w:linePitch="360"/>
        </w:sectPr>
      </w:pPr>
    </w:p>
    <w:p w14:paraId="45D67F7F" w14:textId="1BA1623F" w:rsidR="005E0A9B" w:rsidRPr="00BF6615" w:rsidRDefault="005E0A9B" w:rsidP="007E26B5">
      <w:pPr>
        <w:rPr>
          <w:rStyle w:val="normalny0"/>
        </w:rPr>
      </w:pPr>
      <w:r w:rsidRPr="00BF6615">
        <w:lastRenderedPageBreak/>
        <w:t xml:space="preserve">Na pytanie co byłoby największym ułatwieniem w korzystaniu ze stron podmiotów publicznych najczęściej pojawiające się odpowiedzi wskazywały na potrzeby </w:t>
      </w:r>
      <w:r w:rsidR="00A42EFD" w:rsidRPr="00BF6615">
        <w:t>w</w:t>
      </w:r>
      <w:r w:rsidR="00A42EFD">
        <w:t> </w:t>
      </w:r>
      <w:r w:rsidRPr="00BF6615">
        <w:t>obszarach:</w:t>
      </w:r>
    </w:p>
    <w:p w14:paraId="50E60174" w14:textId="1942C1D0" w:rsidR="005E0A9B" w:rsidRPr="00BF6615" w:rsidRDefault="005E0A9B">
      <w:pPr>
        <w:pStyle w:val="Akapitzlist"/>
        <w:numPr>
          <w:ilvl w:val="0"/>
          <w:numId w:val="75"/>
        </w:numPr>
      </w:pPr>
      <w:r w:rsidRPr="00BF6615">
        <w:t xml:space="preserve">Przejrzystość i prostota – wiele osób wskazywało na potrzebę czytelnego układu, intuicyjnego menu, prostego języka (unikania żargonu i skrótów), a także dużej </w:t>
      </w:r>
      <w:r w:rsidR="00A42EFD" w:rsidRPr="00BF6615">
        <w:t>i</w:t>
      </w:r>
      <w:r w:rsidR="00A42EFD">
        <w:t> </w:t>
      </w:r>
      <w:r w:rsidRPr="00BF6615">
        <w:t>wyraźnej czcionki.</w:t>
      </w:r>
    </w:p>
    <w:p w14:paraId="22D2A293" w14:textId="77777777" w:rsidR="005E0A9B" w:rsidRPr="00BF6615" w:rsidRDefault="005E0A9B">
      <w:pPr>
        <w:pStyle w:val="Akapitzlist"/>
        <w:numPr>
          <w:ilvl w:val="0"/>
          <w:numId w:val="75"/>
        </w:numPr>
      </w:pPr>
      <w:r w:rsidRPr="00BF6615">
        <w:t>Lepsza dostępność i integracja – użytkownicy chcieliby łatwego logowania (najlepiej z jednego miejsca), połączenia różnych usług publicznych w jednym systemie oraz wersji stron dostosowanych do urządzeń mobilnych.</w:t>
      </w:r>
    </w:p>
    <w:p w14:paraId="05B3964E" w14:textId="77777777" w:rsidR="005E0A9B" w:rsidRPr="00BF6615" w:rsidRDefault="005E0A9B">
      <w:pPr>
        <w:pStyle w:val="Akapitzlist"/>
        <w:numPr>
          <w:ilvl w:val="0"/>
          <w:numId w:val="75"/>
        </w:numPr>
      </w:pPr>
      <w:r w:rsidRPr="00BF6615">
        <w:t>Szybkość i stabilność działania – doceniane są szybko ładujące się strony, brak awarii i możliwość przesyłania dużych załączników.</w:t>
      </w:r>
    </w:p>
    <w:p w14:paraId="5599EAF4" w14:textId="77777777" w:rsidR="005E0A9B" w:rsidRPr="00BF6615" w:rsidRDefault="005E0A9B">
      <w:pPr>
        <w:pStyle w:val="Akapitzlist"/>
        <w:numPr>
          <w:ilvl w:val="0"/>
          <w:numId w:val="75"/>
        </w:numPr>
      </w:pPr>
      <w:r w:rsidRPr="00BF6615">
        <w:t>Wsparcie i instrukcje – oczekuje się jasnych podpowiedzi, instrukcji krok po kroku, przykładów formularzy oraz możliwości kontaktu z konsultantem (również w formie czatu czy AI).</w:t>
      </w:r>
    </w:p>
    <w:p w14:paraId="0CD76A76" w14:textId="31120182" w:rsidR="005E0A9B" w:rsidRPr="00BF6615" w:rsidRDefault="005E0A9B">
      <w:pPr>
        <w:pStyle w:val="Akapitzlist"/>
        <w:numPr>
          <w:ilvl w:val="0"/>
          <w:numId w:val="75"/>
        </w:numPr>
      </w:pPr>
      <w:r w:rsidRPr="00BF6615">
        <w:t xml:space="preserve">Dostosowanie do potrzeb osób z niepełnosprawnościami – pojawiły się głosy </w:t>
      </w:r>
      <w:r w:rsidR="00A42EFD" w:rsidRPr="00BF6615">
        <w:t>o</w:t>
      </w:r>
      <w:r w:rsidR="00A42EFD">
        <w:t> </w:t>
      </w:r>
      <w:r w:rsidRPr="00BF6615">
        <w:t>konieczności konsultacji z osobami z niepełnosprawnościami przy projektowaniu stron, dostępności tłumacza PJM oraz intuicyjności dla wszystkich użytkowników.</w:t>
      </w:r>
    </w:p>
    <w:p w14:paraId="588F2EA0" w14:textId="331E63A8" w:rsidR="005E0A9B" w:rsidRPr="00BF6615" w:rsidRDefault="009A22AE" w:rsidP="007E26B5">
      <w:pPr>
        <w:sectPr w:rsidR="005E0A9B" w:rsidRPr="00BF6615" w:rsidSect="005E0A9B">
          <w:footerReference w:type="default" r:id="rId49"/>
          <w:pgSz w:w="12240" w:h="15840"/>
          <w:pgMar w:top="1440" w:right="1797" w:bottom="1440" w:left="1797" w:header="720" w:footer="720" w:gutter="0"/>
          <w:cols w:space="720"/>
          <w:docGrid w:linePitch="360"/>
        </w:sectPr>
      </w:pPr>
      <w:r w:rsidRPr="00BF6615">
        <w:t>Oczekiwania w stosunku do aplikacji mobilnych podmiotów publicznych w badanej grupie</w:t>
      </w:r>
      <w:r w:rsidR="41617D5E" w:rsidRPr="00BF6615">
        <w:t>,</w:t>
      </w:r>
      <w:r w:rsidRPr="00BF6615">
        <w:t xml:space="preserve"> </w:t>
      </w:r>
      <w:proofErr w:type="spellStart"/>
      <w:r w:rsidRPr="00BF6615">
        <w:t>fokusowały</w:t>
      </w:r>
      <w:proofErr w:type="spellEnd"/>
      <w:r w:rsidRPr="00BF6615">
        <w:t xml:space="preserve"> się na łatwej nawigacji w aplikacji, przejrzystości informacji i pisania treści w sposób zrozumiały.</w:t>
      </w:r>
      <w:r w:rsidR="005E0A9B" w:rsidRPr="00BF6615">
        <w:t xml:space="preserve"> W badanej grupie tłumaczenia PJM były najmniej ważne. Całość danych zebrano w poniższej tabeli</w:t>
      </w:r>
    </w:p>
    <w:p w14:paraId="03D92351" w14:textId="2945B062" w:rsidR="00D56625" w:rsidRPr="00BF6615" w:rsidRDefault="00D56625" w:rsidP="007E26B5">
      <w:pPr>
        <w:pStyle w:val="Legenda"/>
      </w:pPr>
      <w:bookmarkStart w:id="231" w:name="_Toc204179128"/>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30</w:t>
      </w:r>
      <w:r w:rsidRPr="00BF6615">
        <w:fldChar w:fldCharType="end"/>
      </w:r>
      <w:r w:rsidR="00FD0843">
        <w:t>.</w:t>
      </w:r>
      <w:r w:rsidRPr="00BF6615">
        <w:t xml:space="preserve"> Oczekiwania w stosunku do aplikacji mobilnych </w:t>
      </w:r>
      <w:r w:rsidR="00B46ECF" w:rsidRPr="00BF6615">
        <w:t>wg kryterium ważności w pełnej grupie badanej</w:t>
      </w:r>
      <w:bookmarkEnd w:id="231"/>
    </w:p>
    <w:tbl>
      <w:tblPr>
        <w:tblStyle w:val="PARP"/>
        <w:tblW w:w="13858" w:type="dxa"/>
        <w:tblInd w:w="-856" w:type="dxa"/>
        <w:tblLook w:val="04A0" w:firstRow="1" w:lastRow="0" w:firstColumn="1" w:lastColumn="0" w:noHBand="0" w:noVBand="1"/>
        <w:tblCaption w:val="Oczekiwania w stosunku do aplikacji mobilnych wg kryterium ważności w pełnej grupie badanej"/>
        <w:tblDescription w:val="Oczekiwania w stosunku do aplikacji mobilnych wg kryterium ważności w pełnej grupie badanej"/>
      </w:tblPr>
      <w:tblGrid>
        <w:gridCol w:w="1050"/>
        <w:gridCol w:w="1358"/>
        <w:gridCol w:w="1296"/>
        <w:gridCol w:w="1108"/>
        <w:gridCol w:w="1314"/>
        <w:gridCol w:w="1352"/>
        <w:gridCol w:w="1242"/>
        <w:gridCol w:w="1083"/>
        <w:gridCol w:w="1449"/>
        <w:gridCol w:w="1364"/>
        <w:gridCol w:w="1242"/>
      </w:tblGrid>
      <w:tr w:rsidR="00FD0843" w:rsidRPr="00BF6615" w14:paraId="4FC0EC2C" w14:textId="77777777" w:rsidTr="00FD0843">
        <w:trPr>
          <w:cnfStyle w:val="100000000000" w:firstRow="1" w:lastRow="0" w:firstColumn="0" w:lastColumn="0" w:oddVBand="0" w:evenVBand="0" w:oddHBand="0" w:evenHBand="0" w:firstRowFirstColumn="0" w:firstRowLastColumn="0" w:lastRowFirstColumn="0" w:lastRowLastColumn="0"/>
          <w:trHeight w:val="2503"/>
        </w:trPr>
        <w:tc>
          <w:tcPr>
            <w:tcW w:w="1066" w:type="dxa"/>
            <w:hideMark/>
          </w:tcPr>
          <w:p w14:paraId="11DCE4A8" w14:textId="2B4BDA95" w:rsidR="00D56625" w:rsidRPr="00BF6615" w:rsidRDefault="00FD0843" w:rsidP="00FD0843">
            <w:pPr>
              <w:rPr>
                <w:rFonts w:asciiTheme="minorHAnsi" w:hAnsiTheme="minorHAnsi" w:cstheme="minorHAnsi"/>
                <w:b/>
                <w:sz w:val="22"/>
                <w:lang w:eastAsia="pl-PL"/>
              </w:rPr>
            </w:pPr>
            <w:r>
              <w:rPr>
                <w:rFonts w:asciiTheme="minorHAnsi" w:hAnsiTheme="minorHAnsi" w:cstheme="minorHAnsi"/>
                <w:b/>
                <w:sz w:val="22"/>
                <w:lang w:eastAsia="pl-PL"/>
              </w:rPr>
              <w:t>Ocena</w:t>
            </w:r>
          </w:p>
        </w:tc>
        <w:tc>
          <w:tcPr>
            <w:tcW w:w="1444" w:type="dxa"/>
            <w:hideMark/>
          </w:tcPr>
          <w:p w14:paraId="623CBFF8" w14:textId="77777777"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 xml:space="preserve"> Łatwa nawigacja w aplikacji</w:t>
            </w:r>
          </w:p>
        </w:tc>
        <w:tc>
          <w:tcPr>
            <w:tcW w:w="1283" w:type="dxa"/>
            <w:hideMark/>
          </w:tcPr>
          <w:p w14:paraId="4F9D7D1C" w14:textId="20F83915"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Przejrzystość informacji</w:t>
            </w:r>
          </w:p>
        </w:tc>
        <w:tc>
          <w:tcPr>
            <w:tcW w:w="1092" w:type="dxa"/>
            <w:hideMark/>
          </w:tcPr>
          <w:p w14:paraId="67D58A37" w14:textId="77777777"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 xml:space="preserve"> Treści napisane w sposób zrozumiały</w:t>
            </w:r>
          </w:p>
        </w:tc>
        <w:tc>
          <w:tcPr>
            <w:tcW w:w="1305" w:type="dxa"/>
            <w:hideMark/>
          </w:tcPr>
          <w:p w14:paraId="0624412B" w14:textId="77777777"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 xml:space="preserve"> Dostępność na różnych urządzeniach</w:t>
            </w:r>
          </w:p>
        </w:tc>
        <w:tc>
          <w:tcPr>
            <w:tcW w:w="1330" w:type="dxa"/>
            <w:hideMark/>
          </w:tcPr>
          <w:p w14:paraId="37E4B24A" w14:textId="77777777"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 xml:space="preserve"> Ułatwienia dostępności (np. możliwość powiększenia tekstu, zmiany kolorów, itp.)</w:t>
            </w:r>
          </w:p>
        </w:tc>
        <w:tc>
          <w:tcPr>
            <w:tcW w:w="1218" w:type="dxa"/>
            <w:hideMark/>
          </w:tcPr>
          <w:p w14:paraId="5B98860A" w14:textId="77777777"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 xml:space="preserve"> Zrozumiałe ostrzeżenia o błędnym wypełnieniu formularzy oraz propozycje poprawy</w:t>
            </w:r>
          </w:p>
        </w:tc>
        <w:tc>
          <w:tcPr>
            <w:tcW w:w="1069" w:type="dxa"/>
            <w:hideMark/>
          </w:tcPr>
          <w:p w14:paraId="055B2094" w14:textId="180D4E83"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Możliwość łatwego kontaktu z urzędem</w:t>
            </w:r>
          </w:p>
        </w:tc>
        <w:tc>
          <w:tcPr>
            <w:tcW w:w="1413" w:type="dxa"/>
            <w:hideMark/>
          </w:tcPr>
          <w:p w14:paraId="13FD734F" w14:textId="77777777"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Zrozumiałe materiały multimedialne i graficzne</w:t>
            </w:r>
          </w:p>
        </w:tc>
        <w:tc>
          <w:tcPr>
            <w:tcW w:w="1392" w:type="dxa"/>
            <w:hideMark/>
          </w:tcPr>
          <w:p w14:paraId="7D3D513F" w14:textId="77777777"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Tłumaczenia treści na Polski język migowy (PJM)</w:t>
            </w:r>
          </w:p>
        </w:tc>
        <w:tc>
          <w:tcPr>
            <w:tcW w:w="1246" w:type="dxa"/>
            <w:hideMark/>
          </w:tcPr>
          <w:p w14:paraId="3462DCE4" w14:textId="77777777" w:rsidR="00D56625" w:rsidRPr="00BF6615" w:rsidRDefault="00D56625" w:rsidP="00FD0843">
            <w:pPr>
              <w:rPr>
                <w:rFonts w:asciiTheme="minorHAnsi" w:hAnsiTheme="minorHAnsi" w:cstheme="minorHAnsi"/>
                <w:b/>
                <w:sz w:val="22"/>
                <w:lang w:eastAsia="pl-PL"/>
              </w:rPr>
            </w:pPr>
            <w:r w:rsidRPr="00BF6615">
              <w:rPr>
                <w:rFonts w:asciiTheme="minorHAnsi" w:hAnsiTheme="minorHAnsi" w:cstheme="minorHAnsi"/>
                <w:b/>
                <w:sz w:val="22"/>
                <w:lang w:eastAsia="pl-PL"/>
              </w:rPr>
              <w:t xml:space="preserve"> Informacje w tekście łatwym do czytania i zrozumienia (ETR)</w:t>
            </w:r>
          </w:p>
        </w:tc>
      </w:tr>
      <w:tr w:rsidR="00FD0843" w:rsidRPr="00BF6615" w14:paraId="16E6D3AC" w14:textId="77777777">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3731298E" w14:textId="77777777" w:rsidR="00D56625" w:rsidRPr="00BF6615" w:rsidRDefault="00D56625" w:rsidP="007E26B5">
            <w:pPr>
              <w:rPr>
                <w:rFonts w:cstheme="minorHAnsi"/>
                <w:sz w:val="22"/>
                <w:lang w:eastAsia="pl-PL"/>
              </w:rPr>
            </w:pPr>
            <w:r w:rsidRPr="00BF6615">
              <w:rPr>
                <w:rFonts w:cstheme="minorHAnsi"/>
                <w:sz w:val="22"/>
                <w:lang w:eastAsia="pl-PL"/>
              </w:rPr>
              <w:t xml:space="preserve">bardzo ważne </w:t>
            </w:r>
          </w:p>
        </w:tc>
        <w:tc>
          <w:tcPr>
            <w:tcW w:w="1444" w:type="dxa"/>
            <w:vAlign w:val="center"/>
          </w:tcPr>
          <w:p w14:paraId="7413F0B1" w14:textId="38B3AFCD" w:rsidR="00D56625" w:rsidRPr="00BF6615" w:rsidRDefault="002F1EC2" w:rsidP="007E26B5">
            <w:pPr>
              <w:rPr>
                <w:rFonts w:cstheme="minorHAnsi"/>
                <w:sz w:val="22"/>
                <w:lang w:eastAsia="pl-PL"/>
              </w:rPr>
            </w:pPr>
            <w:r w:rsidRPr="00BF6615">
              <w:rPr>
                <w:rFonts w:cstheme="minorHAnsi"/>
                <w:sz w:val="22"/>
                <w:lang w:eastAsia="pl-PL"/>
              </w:rPr>
              <w:t>59%</w:t>
            </w:r>
          </w:p>
        </w:tc>
        <w:tc>
          <w:tcPr>
            <w:tcW w:w="1283" w:type="dxa"/>
            <w:vAlign w:val="center"/>
          </w:tcPr>
          <w:p w14:paraId="3C05BAC6" w14:textId="12900402" w:rsidR="00D56625" w:rsidRPr="00BF6615" w:rsidRDefault="000B2BEE" w:rsidP="007E26B5">
            <w:pPr>
              <w:rPr>
                <w:rFonts w:cstheme="minorHAnsi"/>
                <w:sz w:val="22"/>
                <w:lang w:eastAsia="pl-PL"/>
              </w:rPr>
            </w:pPr>
            <w:r w:rsidRPr="00BF6615">
              <w:rPr>
                <w:rFonts w:cstheme="minorHAnsi"/>
                <w:sz w:val="22"/>
                <w:lang w:eastAsia="pl-PL"/>
              </w:rPr>
              <w:t>59%</w:t>
            </w:r>
          </w:p>
        </w:tc>
        <w:tc>
          <w:tcPr>
            <w:tcW w:w="1092" w:type="dxa"/>
            <w:vAlign w:val="center"/>
          </w:tcPr>
          <w:p w14:paraId="42DB1D2A" w14:textId="2F3D9A37" w:rsidR="00D56625" w:rsidRPr="00BF6615" w:rsidRDefault="00F44B6C" w:rsidP="007E26B5">
            <w:pPr>
              <w:rPr>
                <w:rFonts w:cstheme="minorHAnsi"/>
                <w:sz w:val="22"/>
                <w:lang w:eastAsia="pl-PL"/>
              </w:rPr>
            </w:pPr>
            <w:r w:rsidRPr="00BF6615">
              <w:rPr>
                <w:rFonts w:cstheme="minorHAnsi"/>
                <w:sz w:val="22"/>
                <w:lang w:eastAsia="pl-PL"/>
              </w:rPr>
              <w:t>61%</w:t>
            </w:r>
          </w:p>
        </w:tc>
        <w:tc>
          <w:tcPr>
            <w:tcW w:w="1305" w:type="dxa"/>
            <w:vAlign w:val="center"/>
          </w:tcPr>
          <w:p w14:paraId="6AFAA8ED" w14:textId="3BF83B4A" w:rsidR="00D56625" w:rsidRPr="00BF6615" w:rsidRDefault="009C4C93" w:rsidP="007E26B5">
            <w:pPr>
              <w:rPr>
                <w:rFonts w:cstheme="minorHAnsi"/>
                <w:sz w:val="22"/>
                <w:lang w:eastAsia="pl-PL"/>
              </w:rPr>
            </w:pPr>
            <w:r w:rsidRPr="00BF6615">
              <w:rPr>
                <w:rFonts w:cstheme="minorHAnsi"/>
                <w:sz w:val="22"/>
                <w:lang w:eastAsia="pl-PL"/>
              </w:rPr>
              <w:t>44%</w:t>
            </w:r>
          </w:p>
        </w:tc>
        <w:tc>
          <w:tcPr>
            <w:tcW w:w="1330" w:type="dxa"/>
            <w:vAlign w:val="center"/>
          </w:tcPr>
          <w:p w14:paraId="2D2F6FAE" w14:textId="36EC55BD" w:rsidR="00D56625" w:rsidRPr="00BF6615" w:rsidRDefault="00065CEC" w:rsidP="007E26B5">
            <w:pPr>
              <w:rPr>
                <w:rFonts w:cstheme="minorHAnsi"/>
                <w:sz w:val="22"/>
                <w:lang w:eastAsia="pl-PL"/>
              </w:rPr>
            </w:pPr>
            <w:r w:rsidRPr="00BF6615">
              <w:rPr>
                <w:rFonts w:cstheme="minorHAnsi"/>
                <w:sz w:val="22"/>
                <w:lang w:eastAsia="pl-PL"/>
              </w:rPr>
              <w:t>41%</w:t>
            </w:r>
          </w:p>
        </w:tc>
        <w:tc>
          <w:tcPr>
            <w:tcW w:w="1218" w:type="dxa"/>
            <w:vAlign w:val="center"/>
          </w:tcPr>
          <w:p w14:paraId="0FDC2920" w14:textId="6156F942" w:rsidR="00D56625" w:rsidRPr="00BF6615" w:rsidRDefault="001451DE" w:rsidP="007E26B5">
            <w:pPr>
              <w:rPr>
                <w:rFonts w:cstheme="minorHAnsi"/>
                <w:sz w:val="22"/>
                <w:lang w:eastAsia="pl-PL"/>
              </w:rPr>
            </w:pPr>
            <w:r w:rsidRPr="00BF6615">
              <w:rPr>
                <w:rFonts w:cstheme="minorHAnsi"/>
                <w:sz w:val="22"/>
                <w:lang w:eastAsia="pl-PL"/>
              </w:rPr>
              <w:t>53%</w:t>
            </w:r>
          </w:p>
        </w:tc>
        <w:tc>
          <w:tcPr>
            <w:tcW w:w="1069" w:type="dxa"/>
            <w:vAlign w:val="center"/>
          </w:tcPr>
          <w:p w14:paraId="0C226BF9" w14:textId="2E09E3C3" w:rsidR="00D56625" w:rsidRPr="00BF6615" w:rsidRDefault="00B718F4" w:rsidP="007E26B5">
            <w:pPr>
              <w:rPr>
                <w:rFonts w:cstheme="minorHAnsi"/>
                <w:sz w:val="22"/>
                <w:lang w:eastAsia="pl-PL"/>
              </w:rPr>
            </w:pPr>
            <w:r w:rsidRPr="00BF6615">
              <w:rPr>
                <w:rFonts w:cstheme="minorHAnsi"/>
                <w:sz w:val="22"/>
                <w:lang w:eastAsia="pl-PL"/>
              </w:rPr>
              <w:t>51%</w:t>
            </w:r>
          </w:p>
        </w:tc>
        <w:tc>
          <w:tcPr>
            <w:tcW w:w="1413" w:type="dxa"/>
            <w:vAlign w:val="center"/>
          </w:tcPr>
          <w:p w14:paraId="1F94DD8A" w14:textId="0C1AB937" w:rsidR="00D56625" w:rsidRPr="00BF6615" w:rsidRDefault="008A0415" w:rsidP="007E26B5">
            <w:pPr>
              <w:rPr>
                <w:rFonts w:cstheme="minorHAnsi"/>
                <w:sz w:val="22"/>
                <w:lang w:eastAsia="pl-PL"/>
              </w:rPr>
            </w:pPr>
            <w:r w:rsidRPr="00BF6615">
              <w:rPr>
                <w:rFonts w:cstheme="minorHAnsi"/>
                <w:sz w:val="22"/>
                <w:lang w:eastAsia="pl-PL"/>
              </w:rPr>
              <w:t>44%</w:t>
            </w:r>
          </w:p>
        </w:tc>
        <w:tc>
          <w:tcPr>
            <w:tcW w:w="1392" w:type="dxa"/>
            <w:vAlign w:val="center"/>
          </w:tcPr>
          <w:p w14:paraId="2D03C5CF" w14:textId="2E1BB008" w:rsidR="00D56625" w:rsidRPr="00BF6615" w:rsidRDefault="00C06D31" w:rsidP="007E26B5">
            <w:pPr>
              <w:rPr>
                <w:rFonts w:cstheme="minorHAnsi"/>
                <w:sz w:val="22"/>
                <w:lang w:eastAsia="pl-PL"/>
              </w:rPr>
            </w:pPr>
            <w:r w:rsidRPr="00BF6615">
              <w:rPr>
                <w:rFonts w:cstheme="minorHAnsi"/>
                <w:sz w:val="22"/>
                <w:lang w:eastAsia="pl-PL"/>
              </w:rPr>
              <w:t>23%</w:t>
            </w:r>
          </w:p>
        </w:tc>
        <w:tc>
          <w:tcPr>
            <w:tcW w:w="1246" w:type="dxa"/>
            <w:vAlign w:val="center"/>
          </w:tcPr>
          <w:p w14:paraId="04C86567" w14:textId="771E9808" w:rsidR="00D56625" w:rsidRPr="00BF6615" w:rsidRDefault="00E06E36" w:rsidP="007E26B5">
            <w:pPr>
              <w:rPr>
                <w:rFonts w:cstheme="minorHAnsi"/>
                <w:sz w:val="22"/>
                <w:lang w:eastAsia="pl-PL"/>
              </w:rPr>
            </w:pPr>
            <w:r w:rsidRPr="00BF6615">
              <w:rPr>
                <w:rFonts w:cstheme="minorHAnsi"/>
                <w:sz w:val="22"/>
                <w:lang w:eastAsia="pl-PL"/>
              </w:rPr>
              <w:t>38%</w:t>
            </w:r>
          </w:p>
        </w:tc>
      </w:tr>
      <w:tr w:rsidR="00FD0843" w:rsidRPr="00BF6615" w14:paraId="06ADE27C" w14:textId="77777777">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30532A41" w14:textId="77777777" w:rsidR="00D56625" w:rsidRPr="00BF6615" w:rsidRDefault="00D56625" w:rsidP="007E26B5">
            <w:pPr>
              <w:rPr>
                <w:rFonts w:cstheme="minorHAnsi"/>
                <w:sz w:val="22"/>
                <w:lang w:eastAsia="pl-PL"/>
              </w:rPr>
            </w:pPr>
            <w:r w:rsidRPr="00BF6615">
              <w:rPr>
                <w:rFonts w:cstheme="minorHAnsi"/>
                <w:sz w:val="22"/>
                <w:lang w:eastAsia="pl-PL"/>
              </w:rPr>
              <w:t>ważne</w:t>
            </w:r>
          </w:p>
        </w:tc>
        <w:tc>
          <w:tcPr>
            <w:tcW w:w="1444" w:type="dxa"/>
            <w:vAlign w:val="center"/>
          </w:tcPr>
          <w:p w14:paraId="0188BF02" w14:textId="73AFE64D" w:rsidR="00D56625" w:rsidRPr="00BF6615" w:rsidRDefault="00E202CA" w:rsidP="007E26B5">
            <w:pPr>
              <w:rPr>
                <w:rFonts w:cstheme="minorHAnsi"/>
                <w:sz w:val="22"/>
                <w:lang w:eastAsia="pl-PL"/>
              </w:rPr>
            </w:pPr>
            <w:r w:rsidRPr="00BF6615">
              <w:rPr>
                <w:rFonts w:cstheme="minorHAnsi"/>
                <w:sz w:val="22"/>
                <w:lang w:eastAsia="pl-PL"/>
              </w:rPr>
              <w:t>28%</w:t>
            </w:r>
          </w:p>
        </w:tc>
        <w:tc>
          <w:tcPr>
            <w:tcW w:w="1283" w:type="dxa"/>
            <w:vAlign w:val="center"/>
          </w:tcPr>
          <w:p w14:paraId="76145676" w14:textId="6539416C" w:rsidR="00D56625" w:rsidRPr="00BF6615" w:rsidRDefault="00C06D45" w:rsidP="007E26B5">
            <w:pPr>
              <w:rPr>
                <w:rFonts w:cstheme="minorHAnsi"/>
                <w:sz w:val="22"/>
                <w:lang w:eastAsia="pl-PL"/>
              </w:rPr>
            </w:pPr>
            <w:r w:rsidRPr="00BF6615">
              <w:rPr>
                <w:rFonts w:cstheme="minorHAnsi"/>
                <w:sz w:val="22"/>
                <w:lang w:eastAsia="pl-PL"/>
              </w:rPr>
              <w:t>30%</w:t>
            </w:r>
          </w:p>
        </w:tc>
        <w:tc>
          <w:tcPr>
            <w:tcW w:w="1092" w:type="dxa"/>
            <w:vAlign w:val="center"/>
          </w:tcPr>
          <w:p w14:paraId="0545E98E" w14:textId="47BE0417" w:rsidR="00D56625" w:rsidRPr="00BF6615" w:rsidRDefault="008E04AE" w:rsidP="007E26B5">
            <w:pPr>
              <w:rPr>
                <w:rFonts w:cstheme="minorHAnsi"/>
                <w:sz w:val="22"/>
                <w:lang w:eastAsia="pl-PL"/>
              </w:rPr>
            </w:pPr>
            <w:r w:rsidRPr="00BF6615">
              <w:rPr>
                <w:rFonts w:cstheme="minorHAnsi"/>
                <w:sz w:val="22"/>
                <w:lang w:eastAsia="pl-PL"/>
              </w:rPr>
              <w:t>26%</w:t>
            </w:r>
          </w:p>
        </w:tc>
        <w:tc>
          <w:tcPr>
            <w:tcW w:w="1305" w:type="dxa"/>
            <w:vAlign w:val="center"/>
          </w:tcPr>
          <w:p w14:paraId="661D8ED4" w14:textId="30B7DBD2" w:rsidR="00D56625" w:rsidRPr="00BF6615" w:rsidRDefault="008E04AE" w:rsidP="007E26B5">
            <w:pPr>
              <w:rPr>
                <w:rFonts w:cstheme="minorHAnsi"/>
                <w:sz w:val="22"/>
                <w:lang w:eastAsia="pl-PL"/>
              </w:rPr>
            </w:pPr>
            <w:r w:rsidRPr="00BF6615">
              <w:rPr>
                <w:rFonts w:cstheme="minorHAnsi"/>
                <w:sz w:val="22"/>
                <w:lang w:eastAsia="pl-PL"/>
              </w:rPr>
              <w:t>37%</w:t>
            </w:r>
          </w:p>
        </w:tc>
        <w:tc>
          <w:tcPr>
            <w:tcW w:w="1330" w:type="dxa"/>
            <w:vAlign w:val="center"/>
          </w:tcPr>
          <w:p w14:paraId="16FD353B" w14:textId="73C1A92B" w:rsidR="00D56625" w:rsidRPr="00BF6615" w:rsidRDefault="00D87EEC" w:rsidP="007E26B5">
            <w:pPr>
              <w:rPr>
                <w:rFonts w:cstheme="minorHAnsi"/>
                <w:sz w:val="22"/>
                <w:lang w:eastAsia="pl-PL"/>
              </w:rPr>
            </w:pPr>
            <w:r w:rsidRPr="00BF6615">
              <w:rPr>
                <w:rFonts w:cstheme="minorHAnsi"/>
                <w:sz w:val="22"/>
                <w:lang w:eastAsia="pl-PL"/>
              </w:rPr>
              <w:t>34%</w:t>
            </w:r>
          </w:p>
        </w:tc>
        <w:tc>
          <w:tcPr>
            <w:tcW w:w="1218" w:type="dxa"/>
            <w:vAlign w:val="center"/>
          </w:tcPr>
          <w:p w14:paraId="0AEFE696" w14:textId="1F263AE0" w:rsidR="00D56625" w:rsidRPr="00BF6615" w:rsidRDefault="00D87EEC" w:rsidP="007E26B5">
            <w:pPr>
              <w:rPr>
                <w:rFonts w:cstheme="minorHAnsi"/>
                <w:sz w:val="22"/>
                <w:lang w:eastAsia="pl-PL"/>
              </w:rPr>
            </w:pPr>
            <w:r w:rsidRPr="00BF6615">
              <w:rPr>
                <w:rFonts w:cstheme="minorHAnsi"/>
                <w:sz w:val="22"/>
                <w:lang w:eastAsia="pl-PL"/>
              </w:rPr>
              <w:t>33%</w:t>
            </w:r>
          </w:p>
        </w:tc>
        <w:tc>
          <w:tcPr>
            <w:tcW w:w="1069" w:type="dxa"/>
            <w:vAlign w:val="center"/>
          </w:tcPr>
          <w:p w14:paraId="306DCD47" w14:textId="30A1D6F4" w:rsidR="00D56625" w:rsidRPr="00BF6615" w:rsidRDefault="001B066F" w:rsidP="007E26B5">
            <w:pPr>
              <w:rPr>
                <w:rFonts w:cstheme="minorHAnsi"/>
                <w:sz w:val="22"/>
                <w:lang w:eastAsia="pl-PL"/>
              </w:rPr>
            </w:pPr>
            <w:r w:rsidRPr="00BF6615">
              <w:rPr>
                <w:rFonts w:cstheme="minorHAnsi"/>
                <w:sz w:val="22"/>
                <w:lang w:eastAsia="pl-PL"/>
              </w:rPr>
              <w:t>30%</w:t>
            </w:r>
          </w:p>
        </w:tc>
        <w:tc>
          <w:tcPr>
            <w:tcW w:w="1413" w:type="dxa"/>
            <w:vAlign w:val="center"/>
          </w:tcPr>
          <w:p w14:paraId="7F68ECE3" w14:textId="217349EF" w:rsidR="00D56625" w:rsidRPr="00BF6615" w:rsidRDefault="00570173" w:rsidP="007E26B5">
            <w:pPr>
              <w:rPr>
                <w:rFonts w:cstheme="minorHAnsi"/>
                <w:sz w:val="22"/>
                <w:lang w:eastAsia="pl-PL"/>
              </w:rPr>
            </w:pPr>
            <w:r w:rsidRPr="00BF6615">
              <w:rPr>
                <w:rFonts w:cstheme="minorHAnsi"/>
                <w:sz w:val="22"/>
                <w:lang w:eastAsia="pl-PL"/>
              </w:rPr>
              <w:t>39%</w:t>
            </w:r>
          </w:p>
        </w:tc>
        <w:tc>
          <w:tcPr>
            <w:tcW w:w="1392" w:type="dxa"/>
            <w:vAlign w:val="center"/>
          </w:tcPr>
          <w:p w14:paraId="7754C755" w14:textId="1293BE62" w:rsidR="00D56625" w:rsidRPr="00BF6615" w:rsidRDefault="00DD14A7" w:rsidP="007E26B5">
            <w:pPr>
              <w:rPr>
                <w:rFonts w:cstheme="minorHAnsi"/>
                <w:sz w:val="22"/>
                <w:lang w:eastAsia="pl-PL"/>
              </w:rPr>
            </w:pPr>
            <w:r w:rsidRPr="00BF6615">
              <w:rPr>
                <w:rFonts w:cstheme="minorHAnsi"/>
                <w:sz w:val="22"/>
                <w:lang w:eastAsia="pl-PL"/>
              </w:rPr>
              <w:t>19%</w:t>
            </w:r>
          </w:p>
        </w:tc>
        <w:tc>
          <w:tcPr>
            <w:tcW w:w="1246" w:type="dxa"/>
            <w:vAlign w:val="center"/>
          </w:tcPr>
          <w:p w14:paraId="0A700649" w14:textId="2689A610" w:rsidR="00D56625" w:rsidRPr="00BF6615" w:rsidRDefault="00C64869" w:rsidP="007E26B5">
            <w:pPr>
              <w:rPr>
                <w:rFonts w:cstheme="minorHAnsi"/>
                <w:sz w:val="22"/>
                <w:lang w:eastAsia="pl-PL"/>
              </w:rPr>
            </w:pPr>
            <w:r w:rsidRPr="00BF6615">
              <w:rPr>
                <w:rFonts w:cstheme="minorHAnsi"/>
                <w:sz w:val="22"/>
                <w:lang w:eastAsia="pl-PL"/>
              </w:rPr>
              <w:t>30%</w:t>
            </w:r>
          </w:p>
        </w:tc>
      </w:tr>
      <w:tr w:rsidR="00FD0843" w:rsidRPr="00BF6615" w14:paraId="4E2468CA" w14:textId="77777777">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57D658DB" w14:textId="77777777" w:rsidR="00D56625" w:rsidRPr="00BF6615" w:rsidRDefault="00D56625" w:rsidP="007E26B5">
            <w:pPr>
              <w:rPr>
                <w:rFonts w:cstheme="minorHAnsi"/>
                <w:sz w:val="22"/>
                <w:lang w:eastAsia="pl-PL"/>
              </w:rPr>
            </w:pPr>
            <w:r w:rsidRPr="00BF6615">
              <w:rPr>
                <w:rFonts w:cstheme="minorHAnsi"/>
                <w:sz w:val="22"/>
                <w:lang w:eastAsia="pl-PL"/>
              </w:rPr>
              <w:t>neutralne</w:t>
            </w:r>
          </w:p>
        </w:tc>
        <w:tc>
          <w:tcPr>
            <w:tcW w:w="1444" w:type="dxa"/>
            <w:vAlign w:val="center"/>
          </w:tcPr>
          <w:p w14:paraId="551BB109" w14:textId="0B227ADC" w:rsidR="00D56625" w:rsidRPr="00BF6615" w:rsidRDefault="007F605B" w:rsidP="007E26B5">
            <w:pPr>
              <w:rPr>
                <w:rFonts w:cstheme="minorHAnsi"/>
                <w:sz w:val="22"/>
                <w:lang w:eastAsia="pl-PL"/>
              </w:rPr>
            </w:pPr>
            <w:r w:rsidRPr="00BF6615">
              <w:rPr>
                <w:rFonts w:cstheme="minorHAnsi"/>
                <w:sz w:val="22"/>
                <w:lang w:eastAsia="pl-PL"/>
              </w:rPr>
              <w:t>8%</w:t>
            </w:r>
          </w:p>
        </w:tc>
        <w:tc>
          <w:tcPr>
            <w:tcW w:w="1283" w:type="dxa"/>
            <w:vAlign w:val="center"/>
          </w:tcPr>
          <w:p w14:paraId="22637A31" w14:textId="1989AED7" w:rsidR="00D56625" w:rsidRPr="00BF6615" w:rsidRDefault="00A8600D" w:rsidP="007E26B5">
            <w:pPr>
              <w:rPr>
                <w:rFonts w:cstheme="minorHAnsi"/>
                <w:sz w:val="22"/>
                <w:lang w:eastAsia="pl-PL"/>
              </w:rPr>
            </w:pPr>
            <w:r w:rsidRPr="00BF6615">
              <w:rPr>
                <w:rFonts w:cstheme="minorHAnsi"/>
                <w:sz w:val="22"/>
                <w:lang w:eastAsia="pl-PL"/>
              </w:rPr>
              <w:t>7%</w:t>
            </w:r>
          </w:p>
        </w:tc>
        <w:tc>
          <w:tcPr>
            <w:tcW w:w="1092" w:type="dxa"/>
            <w:vAlign w:val="center"/>
          </w:tcPr>
          <w:p w14:paraId="5D536E0F" w14:textId="156118A1" w:rsidR="00D56625" w:rsidRPr="00BF6615" w:rsidRDefault="008D7BED" w:rsidP="007E26B5">
            <w:pPr>
              <w:rPr>
                <w:rFonts w:cstheme="minorHAnsi"/>
                <w:sz w:val="22"/>
                <w:lang w:eastAsia="pl-PL"/>
              </w:rPr>
            </w:pPr>
            <w:r w:rsidRPr="00BF6615">
              <w:rPr>
                <w:rFonts w:cstheme="minorHAnsi"/>
                <w:sz w:val="22"/>
                <w:lang w:eastAsia="pl-PL"/>
              </w:rPr>
              <w:t>9%</w:t>
            </w:r>
          </w:p>
        </w:tc>
        <w:tc>
          <w:tcPr>
            <w:tcW w:w="1305" w:type="dxa"/>
            <w:vAlign w:val="center"/>
          </w:tcPr>
          <w:p w14:paraId="64B2217E" w14:textId="1EA4B710" w:rsidR="00D56625" w:rsidRPr="00BF6615" w:rsidRDefault="00CF126B" w:rsidP="007E26B5">
            <w:pPr>
              <w:rPr>
                <w:rFonts w:cstheme="minorHAnsi"/>
                <w:sz w:val="22"/>
                <w:lang w:eastAsia="pl-PL"/>
              </w:rPr>
            </w:pPr>
            <w:r w:rsidRPr="00BF6615">
              <w:rPr>
                <w:rFonts w:cstheme="minorHAnsi"/>
                <w:sz w:val="22"/>
                <w:lang w:eastAsia="pl-PL"/>
              </w:rPr>
              <w:t>12%</w:t>
            </w:r>
          </w:p>
        </w:tc>
        <w:tc>
          <w:tcPr>
            <w:tcW w:w="1330" w:type="dxa"/>
            <w:vAlign w:val="center"/>
          </w:tcPr>
          <w:p w14:paraId="20BBDC21" w14:textId="25EB57A4" w:rsidR="00D56625" w:rsidRPr="00BF6615" w:rsidRDefault="005A062A" w:rsidP="007E26B5">
            <w:pPr>
              <w:rPr>
                <w:rFonts w:cstheme="minorHAnsi"/>
                <w:sz w:val="22"/>
                <w:lang w:eastAsia="pl-PL"/>
              </w:rPr>
            </w:pPr>
            <w:r w:rsidRPr="00BF6615">
              <w:rPr>
                <w:rFonts w:cstheme="minorHAnsi"/>
                <w:sz w:val="22"/>
                <w:lang w:eastAsia="pl-PL"/>
              </w:rPr>
              <w:t>18%</w:t>
            </w:r>
          </w:p>
        </w:tc>
        <w:tc>
          <w:tcPr>
            <w:tcW w:w="1218" w:type="dxa"/>
            <w:vAlign w:val="center"/>
          </w:tcPr>
          <w:p w14:paraId="61F8B368" w14:textId="4689A4F5" w:rsidR="00D56625" w:rsidRPr="00BF6615" w:rsidRDefault="00B470B7" w:rsidP="007E26B5">
            <w:pPr>
              <w:rPr>
                <w:rFonts w:cstheme="minorHAnsi"/>
                <w:sz w:val="22"/>
                <w:lang w:eastAsia="pl-PL"/>
              </w:rPr>
            </w:pPr>
            <w:r w:rsidRPr="00BF6615">
              <w:rPr>
                <w:rFonts w:cstheme="minorHAnsi"/>
                <w:sz w:val="22"/>
                <w:lang w:eastAsia="pl-PL"/>
              </w:rPr>
              <w:t>11%</w:t>
            </w:r>
          </w:p>
        </w:tc>
        <w:tc>
          <w:tcPr>
            <w:tcW w:w="1069" w:type="dxa"/>
            <w:vAlign w:val="center"/>
          </w:tcPr>
          <w:p w14:paraId="1D077952" w14:textId="423C0CDA" w:rsidR="00D56625" w:rsidRPr="00BF6615" w:rsidRDefault="00F575EB" w:rsidP="007E26B5">
            <w:pPr>
              <w:rPr>
                <w:rFonts w:cstheme="minorHAnsi"/>
                <w:sz w:val="22"/>
                <w:lang w:eastAsia="pl-PL"/>
              </w:rPr>
            </w:pPr>
            <w:r w:rsidRPr="00BF6615">
              <w:rPr>
                <w:rFonts w:cstheme="minorHAnsi"/>
                <w:sz w:val="22"/>
                <w:lang w:eastAsia="pl-PL"/>
              </w:rPr>
              <w:t>13%</w:t>
            </w:r>
          </w:p>
        </w:tc>
        <w:tc>
          <w:tcPr>
            <w:tcW w:w="1413" w:type="dxa"/>
            <w:vAlign w:val="center"/>
          </w:tcPr>
          <w:p w14:paraId="42C5FEC7" w14:textId="6591E323" w:rsidR="00D56625" w:rsidRPr="00BF6615" w:rsidRDefault="00B61AAD" w:rsidP="007E26B5">
            <w:pPr>
              <w:rPr>
                <w:rFonts w:cstheme="minorHAnsi"/>
                <w:sz w:val="22"/>
                <w:lang w:eastAsia="pl-PL"/>
              </w:rPr>
            </w:pPr>
            <w:r w:rsidRPr="00BF6615">
              <w:rPr>
                <w:rFonts w:cstheme="minorHAnsi"/>
                <w:sz w:val="22"/>
                <w:lang w:eastAsia="pl-PL"/>
              </w:rPr>
              <w:t>11%</w:t>
            </w:r>
          </w:p>
        </w:tc>
        <w:tc>
          <w:tcPr>
            <w:tcW w:w="1392" w:type="dxa"/>
            <w:vAlign w:val="center"/>
          </w:tcPr>
          <w:p w14:paraId="40CBF6C7" w14:textId="3ED62059" w:rsidR="00D56625" w:rsidRPr="00BF6615" w:rsidRDefault="00E2181F" w:rsidP="007E26B5">
            <w:pPr>
              <w:rPr>
                <w:rFonts w:cstheme="minorHAnsi"/>
                <w:sz w:val="22"/>
                <w:lang w:eastAsia="pl-PL"/>
              </w:rPr>
            </w:pPr>
            <w:r w:rsidRPr="00BF6615">
              <w:rPr>
                <w:rFonts w:cstheme="minorHAnsi"/>
                <w:sz w:val="22"/>
                <w:lang w:eastAsia="pl-PL"/>
              </w:rPr>
              <w:t>25%</w:t>
            </w:r>
          </w:p>
        </w:tc>
        <w:tc>
          <w:tcPr>
            <w:tcW w:w="1246" w:type="dxa"/>
            <w:vAlign w:val="center"/>
          </w:tcPr>
          <w:p w14:paraId="6BC70C01" w14:textId="6E7815C9" w:rsidR="00D56625" w:rsidRPr="00BF6615" w:rsidRDefault="00C3705D" w:rsidP="007E26B5">
            <w:pPr>
              <w:rPr>
                <w:rFonts w:cstheme="minorHAnsi"/>
                <w:sz w:val="22"/>
                <w:lang w:eastAsia="pl-PL"/>
              </w:rPr>
            </w:pPr>
            <w:r w:rsidRPr="00BF6615">
              <w:rPr>
                <w:rFonts w:cstheme="minorHAnsi"/>
                <w:sz w:val="22"/>
                <w:lang w:eastAsia="pl-PL"/>
              </w:rPr>
              <w:t>17%</w:t>
            </w:r>
          </w:p>
        </w:tc>
      </w:tr>
      <w:tr w:rsidR="00FD0843" w:rsidRPr="00BF6615" w14:paraId="489C7715" w14:textId="77777777">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65D4F2E9" w14:textId="77777777" w:rsidR="00D56625" w:rsidRPr="00BF6615" w:rsidRDefault="00D56625" w:rsidP="007E26B5">
            <w:pPr>
              <w:rPr>
                <w:rFonts w:cstheme="minorHAnsi"/>
                <w:sz w:val="22"/>
                <w:lang w:eastAsia="pl-PL"/>
              </w:rPr>
            </w:pPr>
            <w:r w:rsidRPr="00BF6615">
              <w:rPr>
                <w:rFonts w:cstheme="minorHAnsi"/>
                <w:sz w:val="22"/>
                <w:lang w:eastAsia="pl-PL"/>
              </w:rPr>
              <w:t>mało ważne</w:t>
            </w:r>
          </w:p>
        </w:tc>
        <w:tc>
          <w:tcPr>
            <w:tcW w:w="1444" w:type="dxa"/>
            <w:vAlign w:val="center"/>
          </w:tcPr>
          <w:p w14:paraId="3577B334" w14:textId="4EB01074" w:rsidR="00D56625" w:rsidRPr="00BF6615" w:rsidRDefault="001C5909" w:rsidP="007E26B5">
            <w:pPr>
              <w:rPr>
                <w:rFonts w:cstheme="minorHAnsi"/>
                <w:sz w:val="22"/>
                <w:lang w:eastAsia="pl-PL"/>
              </w:rPr>
            </w:pPr>
            <w:r w:rsidRPr="00BF6615">
              <w:rPr>
                <w:rFonts w:cstheme="minorHAnsi"/>
                <w:sz w:val="22"/>
                <w:lang w:eastAsia="pl-PL"/>
              </w:rPr>
              <w:t>4%</w:t>
            </w:r>
          </w:p>
        </w:tc>
        <w:tc>
          <w:tcPr>
            <w:tcW w:w="1283" w:type="dxa"/>
            <w:vAlign w:val="center"/>
          </w:tcPr>
          <w:p w14:paraId="4C22B492" w14:textId="3465BC50" w:rsidR="00D56625" w:rsidRPr="00BF6615" w:rsidRDefault="00B8665A" w:rsidP="007E26B5">
            <w:pPr>
              <w:rPr>
                <w:rFonts w:cstheme="minorHAnsi"/>
                <w:sz w:val="22"/>
                <w:lang w:eastAsia="pl-PL"/>
              </w:rPr>
            </w:pPr>
            <w:r w:rsidRPr="00BF6615">
              <w:rPr>
                <w:rFonts w:cstheme="minorHAnsi"/>
                <w:sz w:val="22"/>
                <w:lang w:eastAsia="pl-PL"/>
              </w:rPr>
              <w:t>3%</w:t>
            </w:r>
          </w:p>
        </w:tc>
        <w:tc>
          <w:tcPr>
            <w:tcW w:w="1092" w:type="dxa"/>
            <w:vAlign w:val="center"/>
          </w:tcPr>
          <w:p w14:paraId="6A762758" w14:textId="775ADF53" w:rsidR="00D56625" w:rsidRPr="00BF6615" w:rsidRDefault="00D95C47" w:rsidP="007E26B5">
            <w:pPr>
              <w:rPr>
                <w:rFonts w:cstheme="minorHAnsi"/>
                <w:sz w:val="22"/>
                <w:lang w:eastAsia="pl-PL"/>
              </w:rPr>
            </w:pPr>
            <w:r w:rsidRPr="00BF6615">
              <w:rPr>
                <w:rFonts w:cstheme="minorHAnsi"/>
                <w:sz w:val="22"/>
                <w:lang w:eastAsia="pl-PL"/>
              </w:rPr>
              <w:t>3%</w:t>
            </w:r>
          </w:p>
        </w:tc>
        <w:tc>
          <w:tcPr>
            <w:tcW w:w="1305" w:type="dxa"/>
            <w:vAlign w:val="center"/>
          </w:tcPr>
          <w:p w14:paraId="51D040CC" w14:textId="1ACFED0B" w:rsidR="00D56625" w:rsidRPr="00BF6615" w:rsidRDefault="003E5EFE" w:rsidP="007E26B5">
            <w:pPr>
              <w:rPr>
                <w:rFonts w:cstheme="minorHAnsi"/>
                <w:sz w:val="22"/>
                <w:lang w:eastAsia="pl-PL"/>
              </w:rPr>
            </w:pPr>
            <w:r w:rsidRPr="00BF6615">
              <w:rPr>
                <w:rFonts w:cstheme="minorHAnsi"/>
                <w:sz w:val="22"/>
                <w:lang w:eastAsia="pl-PL"/>
              </w:rPr>
              <w:t>6%</w:t>
            </w:r>
          </w:p>
        </w:tc>
        <w:tc>
          <w:tcPr>
            <w:tcW w:w="1330" w:type="dxa"/>
            <w:vAlign w:val="center"/>
          </w:tcPr>
          <w:p w14:paraId="3D52A62E" w14:textId="18FDE8C8" w:rsidR="00D56625" w:rsidRPr="00BF6615" w:rsidRDefault="00B94511" w:rsidP="007E26B5">
            <w:pPr>
              <w:rPr>
                <w:rFonts w:cstheme="minorHAnsi"/>
                <w:sz w:val="22"/>
                <w:lang w:eastAsia="pl-PL"/>
              </w:rPr>
            </w:pPr>
            <w:r w:rsidRPr="00BF6615">
              <w:rPr>
                <w:rFonts w:cstheme="minorHAnsi"/>
                <w:sz w:val="22"/>
                <w:lang w:eastAsia="pl-PL"/>
              </w:rPr>
              <w:t>5%</w:t>
            </w:r>
          </w:p>
        </w:tc>
        <w:tc>
          <w:tcPr>
            <w:tcW w:w="1218" w:type="dxa"/>
            <w:vAlign w:val="center"/>
          </w:tcPr>
          <w:p w14:paraId="26BE04E9" w14:textId="56E76AFD" w:rsidR="00D56625" w:rsidRPr="00BF6615" w:rsidRDefault="00097D1D" w:rsidP="007E26B5">
            <w:pPr>
              <w:rPr>
                <w:rFonts w:cstheme="minorHAnsi"/>
                <w:sz w:val="22"/>
                <w:lang w:eastAsia="pl-PL"/>
              </w:rPr>
            </w:pPr>
            <w:r w:rsidRPr="00BF6615">
              <w:rPr>
                <w:rFonts w:cstheme="minorHAnsi"/>
                <w:sz w:val="22"/>
                <w:lang w:eastAsia="pl-PL"/>
              </w:rPr>
              <w:t>2%</w:t>
            </w:r>
          </w:p>
        </w:tc>
        <w:tc>
          <w:tcPr>
            <w:tcW w:w="1069" w:type="dxa"/>
            <w:vAlign w:val="center"/>
          </w:tcPr>
          <w:p w14:paraId="62CF1C15" w14:textId="011DC4B5" w:rsidR="00D56625" w:rsidRPr="00BF6615" w:rsidRDefault="009800CE" w:rsidP="007E26B5">
            <w:pPr>
              <w:rPr>
                <w:rFonts w:cstheme="minorHAnsi"/>
                <w:sz w:val="22"/>
                <w:lang w:eastAsia="pl-PL"/>
              </w:rPr>
            </w:pPr>
            <w:r w:rsidRPr="00BF6615">
              <w:rPr>
                <w:rFonts w:cstheme="minorHAnsi"/>
                <w:sz w:val="22"/>
                <w:lang w:eastAsia="pl-PL"/>
              </w:rPr>
              <w:t>4%</w:t>
            </w:r>
          </w:p>
        </w:tc>
        <w:tc>
          <w:tcPr>
            <w:tcW w:w="1413" w:type="dxa"/>
            <w:vAlign w:val="center"/>
          </w:tcPr>
          <w:p w14:paraId="3E754FBC" w14:textId="585A25B3" w:rsidR="00D56625" w:rsidRPr="00BF6615" w:rsidRDefault="00353DF6" w:rsidP="007E26B5">
            <w:pPr>
              <w:rPr>
                <w:rFonts w:cstheme="minorHAnsi"/>
                <w:sz w:val="22"/>
                <w:lang w:eastAsia="pl-PL"/>
              </w:rPr>
            </w:pPr>
            <w:r w:rsidRPr="00BF6615">
              <w:rPr>
                <w:rFonts w:cstheme="minorHAnsi"/>
                <w:sz w:val="22"/>
                <w:lang w:eastAsia="pl-PL"/>
              </w:rPr>
              <w:t>4%</w:t>
            </w:r>
          </w:p>
        </w:tc>
        <w:tc>
          <w:tcPr>
            <w:tcW w:w="1392" w:type="dxa"/>
            <w:vAlign w:val="center"/>
          </w:tcPr>
          <w:p w14:paraId="3580ADAC" w14:textId="15F519BE" w:rsidR="00D56625" w:rsidRPr="00BF6615" w:rsidRDefault="009D5DB7" w:rsidP="007E26B5">
            <w:pPr>
              <w:rPr>
                <w:rFonts w:cstheme="minorHAnsi"/>
                <w:sz w:val="22"/>
                <w:lang w:eastAsia="pl-PL"/>
              </w:rPr>
            </w:pPr>
            <w:r w:rsidRPr="00BF6615">
              <w:rPr>
                <w:rFonts w:cstheme="minorHAnsi"/>
                <w:sz w:val="22"/>
                <w:lang w:eastAsia="pl-PL"/>
              </w:rPr>
              <w:t>10%</w:t>
            </w:r>
          </w:p>
        </w:tc>
        <w:tc>
          <w:tcPr>
            <w:tcW w:w="1246" w:type="dxa"/>
            <w:vAlign w:val="center"/>
          </w:tcPr>
          <w:p w14:paraId="2493792D" w14:textId="24A92DFD" w:rsidR="00D56625" w:rsidRPr="00BF6615" w:rsidRDefault="00333C34" w:rsidP="007E26B5">
            <w:pPr>
              <w:rPr>
                <w:rFonts w:cstheme="minorHAnsi"/>
                <w:sz w:val="22"/>
                <w:lang w:eastAsia="pl-PL"/>
              </w:rPr>
            </w:pPr>
            <w:r w:rsidRPr="00BF6615">
              <w:rPr>
                <w:rFonts w:cstheme="minorHAnsi"/>
                <w:sz w:val="22"/>
                <w:lang w:eastAsia="pl-PL"/>
              </w:rPr>
              <w:t>6%</w:t>
            </w:r>
          </w:p>
        </w:tc>
      </w:tr>
      <w:tr w:rsidR="00FD0843" w:rsidRPr="00BF6615" w14:paraId="1DB257B8" w14:textId="77777777">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35914243" w14:textId="77777777" w:rsidR="00D56625" w:rsidRPr="00BF6615" w:rsidRDefault="00D56625" w:rsidP="007E26B5">
            <w:pPr>
              <w:rPr>
                <w:rFonts w:cstheme="minorHAnsi"/>
                <w:sz w:val="22"/>
                <w:lang w:eastAsia="pl-PL"/>
              </w:rPr>
            </w:pPr>
            <w:r w:rsidRPr="00BF6615">
              <w:rPr>
                <w:rFonts w:cstheme="minorHAnsi"/>
                <w:sz w:val="22"/>
                <w:lang w:eastAsia="pl-PL"/>
              </w:rPr>
              <w:t>zupełnie nieważne</w:t>
            </w:r>
          </w:p>
        </w:tc>
        <w:tc>
          <w:tcPr>
            <w:tcW w:w="1444" w:type="dxa"/>
            <w:vAlign w:val="center"/>
          </w:tcPr>
          <w:p w14:paraId="20A7D1D1" w14:textId="2877AF0B" w:rsidR="00D56625" w:rsidRPr="00BF6615" w:rsidRDefault="001F0ED9" w:rsidP="007E26B5">
            <w:pPr>
              <w:rPr>
                <w:rFonts w:cstheme="minorHAnsi"/>
                <w:sz w:val="22"/>
                <w:lang w:eastAsia="pl-PL"/>
              </w:rPr>
            </w:pPr>
            <w:r w:rsidRPr="00BF6615">
              <w:rPr>
                <w:rFonts w:cstheme="minorHAnsi"/>
                <w:sz w:val="22"/>
                <w:lang w:eastAsia="pl-PL"/>
              </w:rPr>
              <w:t>1%</w:t>
            </w:r>
          </w:p>
        </w:tc>
        <w:tc>
          <w:tcPr>
            <w:tcW w:w="1283" w:type="dxa"/>
            <w:vAlign w:val="center"/>
          </w:tcPr>
          <w:p w14:paraId="612911B8" w14:textId="73AB8593" w:rsidR="00D56625" w:rsidRPr="00BF6615" w:rsidRDefault="006072B5" w:rsidP="007E26B5">
            <w:pPr>
              <w:rPr>
                <w:rFonts w:cstheme="minorHAnsi"/>
                <w:sz w:val="22"/>
                <w:lang w:eastAsia="pl-PL"/>
              </w:rPr>
            </w:pPr>
            <w:r w:rsidRPr="00BF6615">
              <w:rPr>
                <w:rFonts w:cstheme="minorHAnsi"/>
                <w:sz w:val="22"/>
                <w:lang w:eastAsia="pl-PL"/>
              </w:rPr>
              <w:t>1%</w:t>
            </w:r>
          </w:p>
        </w:tc>
        <w:tc>
          <w:tcPr>
            <w:tcW w:w="1092" w:type="dxa"/>
            <w:vAlign w:val="center"/>
          </w:tcPr>
          <w:p w14:paraId="7F99B507" w14:textId="18FF0684" w:rsidR="00D56625" w:rsidRPr="00BF6615" w:rsidRDefault="00B35653" w:rsidP="007E26B5">
            <w:pPr>
              <w:rPr>
                <w:rFonts w:cstheme="minorHAnsi"/>
                <w:sz w:val="22"/>
                <w:lang w:eastAsia="pl-PL"/>
              </w:rPr>
            </w:pPr>
            <w:r w:rsidRPr="00BF6615">
              <w:rPr>
                <w:rFonts w:cstheme="minorHAnsi"/>
                <w:sz w:val="22"/>
                <w:lang w:eastAsia="pl-PL"/>
              </w:rPr>
              <w:t>1%</w:t>
            </w:r>
          </w:p>
        </w:tc>
        <w:tc>
          <w:tcPr>
            <w:tcW w:w="1305" w:type="dxa"/>
            <w:vAlign w:val="center"/>
          </w:tcPr>
          <w:p w14:paraId="46C2D10B" w14:textId="62911CA2" w:rsidR="00D56625" w:rsidRPr="00BF6615" w:rsidRDefault="00FC2F5F" w:rsidP="007E26B5">
            <w:pPr>
              <w:rPr>
                <w:rFonts w:cstheme="minorHAnsi"/>
                <w:sz w:val="22"/>
                <w:lang w:eastAsia="pl-PL"/>
              </w:rPr>
            </w:pPr>
            <w:r w:rsidRPr="00BF6615">
              <w:rPr>
                <w:rFonts w:cstheme="minorHAnsi"/>
                <w:sz w:val="22"/>
                <w:lang w:eastAsia="pl-PL"/>
              </w:rPr>
              <w:t>1%</w:t>
            </w:r>
          </w:p>
        </w:tc>
        <w:tc>
          <w:tcPr>
            <w:tcW w:w="1330" w:type="dxa"/>
            <w:vAlign w:val="center"/>
          </w:tcPr>
          <w:p w14:paraId="3ADA6472" w14:textId="5FFEDE76" w:rsidR="00D56625" w:rsidRPr="00BF6615" w:rsidRDefault="00A855F6" w:rsidP="007E26B5">
            <w:pPr>
              <w:rPr>
                <w:rFonts w:cstheme="minorHAnsi"/>
                <w:sz w:val="22"/>
                <w:lang w:eastAsia="pl-PL"/>
              </w:rPr>
            </w:pPr>
            <w:r w:rsidRPr="00BF6615">
              <w:rPr>
                <w:rFonts w:cstheme="minorHAnsi"/>
                <w:sz w:val="22"/>
                <w:lang w:eastAsia="pl-PL"/>
              </w:rPr>
              <w:t>2%</w:t>
            </w:r>
          </w:p>
        </w:tc>
        <w:tc>
          <w:tcPr>
            <w:tcW w:w="1218" w:type="dxa"/>
            <w:vAlign w:val="center"/>
          </w:tcPr>
          <w:p w14:paraId="674C2DE5" w14:textId="3D873E4A" w:rsidR="00D56625" w:rsidRPr="00BF6615" w:rsidRDefault="00772D26" w:rsidP="007E26B5">
            <w:pPr>
              <w:rPr>
                <w:rFonts w:cstheme="minorHAnsi"/>
                <w:sz w:val="22"/>
                <w:lang w:eastAsia="pl-PL"/>
              </w:rPr>
            </w:pPr>
            <w:r w:rsidRPr="00BF6615">
              <w:rPr>
                <w:rFonts w:cstheme="minorHAnsi"/>
                <w:sz w:val="22"/>
                <w:lang w:eastAsia="pl-PL"/>
              </w:rPr>
              <w:t>2%</w:t>
            </w:r>
          </w:p>
        </w:tc>
        <w:tc>
          <w:tcPr>
            <w:tcW w:w="1069" w:type="dxa"/>
            <w:vAlign w:val="center"/>
          </w:tcPr>
          <w:p w14:paraId="7089AB24" w14:textId="110FE8A3" w:rsidR="00D56625" w:rsidRPr="00BF6615" w:rsidRDefault="00CE6715" w:rsidP="007E26B5">
            <w:pPr>
              <w:rPr>
                <w:rFonts w:cstheme="minorHAnsi"/>
                <w:sz w:val="22"/>
                <w:lang w:eastAsia="pl-PL"/>
              </w:rPr>
            </w:pPr>
            <w:r w:rsidRPr="00BF6615">
              <w:rPr>
                <w:rFonts w:cstheme="minorHAnsi"/>
                <w:sz w:val="22"/>
                <w:lang w:eastAsia="pl-PL"/>
              </w:rPr>
              <w:t>2%</w:t>
            </w:r>
          </w:p>
        </w:tc>
        <w:tc>
          <w:tcPr>
            <w:tcW w:w="1413" w:type="dxa"/>
            <w:vAlign w:val="center"/>
          </w:tcPr>
          <w:p w14:paraId="6C777511" w14:textId="5EFE7564" w:rsidR="00D56625" w:rsidRPr="00BF6615" w:rsidRDefault="004E40F8" w:rsidP="007E26B5">
            <w:pPr>
              <w:rPr>
                <w:rFonts w:cstheme="minorHAnsi"/>
                <w:sz w:val="22"/>
                <w:lang w:eastAsia="pl-PL"/>
              </w:rPr>
            </w:pPr>
            <w:r w:rsidRPr="00BF6615">
              <w:rPr>
                <w:rFonts w:cstheme="minorHAnsi"/>
                <w:sz w:val="22"/>
                <w:lang w:eastAsia="pl-PL"/>
              </w:rPr>
              <w:t>3%</w:t>
            </w:r>
          </w:p>
        </w:tc>
        <w:tc>
          <w:tcPr>
            <w:tcW w:w="1392" w:type="dxa"/>
            <w:vAlign w:val="center"/>
          </w:tcPr>
          <w:p w14:paraId="3DD30A15" w14:textId="4351A51D" w:rsidR="00D56625" w:rsidRPr="00BF6615" w:rsidRDefault="00DA2D96" w:rsidP="007E26B5">
            <w:pPr>
              <w:rPr>
                <w:rFonts w:cstheme="minorHAnsi"/>
                <w:sz w:val="22"/>
                <w:lang w:eastAsia="pl-PL"/>
              </w:rPr>
            </w:pPr>
            <w:r w:rsidRPr="00BF6615">
              <w:rPr>
                <w:rFonts w:cstheme="minorHAnsi"/>
                <w:sz w:val="22"/>
                <w:lang w:eastAsia="pl-PL"/>
              </w:rPr>
              <w:t>24%</w:t>
            </w:r>
          </w:p>
        </w:tc>
        <w:tc>
          <w:tcPr>
            <w:tcW w:w="1246" w:type="dxa"/>
            <w:vAlign w:val="center"/>
          </w:tcPr>
          <w:p w14:paraId="643699AC" w14:textId="2A16AF8E" w:rsidR="00D56625" w:rsidRPr="00BF6615" w:rsidRDefault="009861F5" w:rsidP="007E26B5">
            <w:pPr>
              <w:rPr>
                <w:rFonts w:cstheme="minorHAnsi"/>
                <w:sz w:val="22"/>
                <w:lang w:eastAsia="pl-PL"/>
              </w:rPr>
            </w:pPr>
            <w:r w:rsidRPr="00BF6615">
              <w:rPr>
                <w:rFonts w:cstheme="minorHAnsi"/>
                <w:sz w:val="22"/>
                <w:lang w:eastAsia="pl-PL"/>
              </w:rPr>
              <w:t>9%</w:t>
            </w:r>
          </w:p>
        </w:tc>
      </w:tr>
    </w:tbl>
    <w:p w14:paraId="5DDBE776" w14:textId="77777777" w:rsidR="00D56625" w:rsidRPr="00BF6615" w:rsidRDefault="00D56625" w:rsidP="00FD0843">
      <w:r w:rsidRPr="00BF6615">
        <w:t>Źródło: opracowanie własne.</w:t>
      </w:r>
    </w:p>
    <w:p w14:paraId="5B443CE6" w14:textId="77777777" w:rsidR="00D56625" w:rsidRPr="00BF6615" w:rsidRDefault="00D56625" w:rsidP="007E26B5">
      <w:pPr>
        <w:rPr>
          <w:u w:val="single"/>
        </w:rPr>
        <w:sectPr w:rsidR="00D56625" w:rsidRPr="00BF6615" w:rsidSect="00D56625">
          <w:pgSz w:w="15840" w:h="12240" w:orient="landscape"/>
          <w:pgMar w:top="1797" w:right="1440" w:bottom="1797" w:left="1440" w:header="720" w:footer="720" w:gutter="0"/>
          <w:cols w:space="720"/>
          <w:docGrid w:linePitch="360"/>
        </w:sectPr>
      </w:pPr>
    </w:p>
    <w:p w14:paraId="7D1868BC" w14:textId="1AD0B3DE" w:rsidR="005E0A9B" w:rsidRPr="00BF6615" w:rsidRDefault="005E0A9B" w:rsidP="007E26B5">
      <w:pPr>
        <w:rPr>
          <w:rStyle w:val="normalny0"/>
        </w:rPr>
      </w:pPr>
      <w:r w:rsidRPr="00BF6615">
        <w:lastRenderedPageBreak/>
        <w:t xml:space="preserve">Na pytanie co byłoby największym ułatwieniem w korzystaniu z aplikacji podmiotów publicznych najczęściej pojawiające się odpowiedzi wskazywały na potrzeby </w:t>
      </w:r>
      <w:r w:rsidR="00A42EFD" w:rsidRPr="00BF6615">
        <w:t>w</w:t>
      </w:r>
      <w:r w:rsidR="00A42EFD">
        <w:t> </w:t>
      </w:r>
      <w:r w:rsidRPr="00BF6615">
        <w:t>obszarach:</w:t>
      </w:r>
    </w:p>
    <w:p w14:paraId="2C76FFAA" w14:textId="77777777" w:rsidR="005E0A9B" w:rsidRPr="00BF6615" w:rsidRDefault="005E0A9B">
      <w:pPr>
        <w:pStyle w:val="Akapitzlist"/>
        <w:numPr>
          <w:ilvl w:val="0"/>
          <w:numId w:val="76"/>
        </w:numPr>
      </w:pPr>
      <w:r w:rsidRPr="00BF6615">
        <w:t>Intuicyjność i prostota obsługi – użytkownicy często wskazywali na potrzebę prostego interfejsu, łatwej nawigacji, jasnych instrukcji i zrozumiałego języka (bez żargonu urzędowego).</w:t>
      </w:r>
    </w:p>
    <w:p w14:paraId="6C3AF0E6" w14:textId="77777777" w:rsidR="005E0A9B" w:rsidRPr="00BF6615" w:rsidRDefault="005E0A9B">
      <w:pPr>
        <w:pStyle w:val="Akapitzlist"/>
        <w:numPr>
          <w:ilvl w:val="0"/>
          <w:numId w:val="76"/>
        </w:numPr>
      </w:pPr>
      <w:r w:rsidRPr="00BF6615">
        <w:t>Szybkość działania i niezawodność – często pojawiała się potrzeba szybkiego ładowania aplikacji, płynnego działania i braku awarii.</w:t>
      </w:r>
    </w:p>
    <w:p w14:paraId="2C38A716" w14:textId="77777777" w:rsidR="005E0A9B" w:rsidRPr="00BF6615" w:rsidRDefault="005E0A9B">
      <w:pPr>
        <w:pStyle w:val="Akapitzlist"/>
        <w:numPr>
          <w:ilvl w:val="0"/>
          <w:numId w:val="76"/>
        </w:numPr>
      </w:pPr>
      <w:r w:rsidRPr="00BF6615">
        <w:t>Automatyzacja i ułatwienia techniczne – oczekiwane są funkcje takie jak autouzupełnianie formularzy, możliwość załatwienia spraw jednym kliknięciem, szybkie logowanie, brak konieczności wielokrotnego wpisywania danych.</w:t>
      </w:r>
    </w:p>
    <w:p w14:paraId="146EB077" w14:textId="77777777" w:rsidR="005E0A9B" w:rsidRPr="00BF6615" w:rsidRDefault="005E0A9B">
      <w:pPr>
        <w:pStyle w:val="Akapitzlist"/>
        <w:numPr>
          <w:ilvl w:val="0"/>
          <w:numId w:val="76"/>
        </w:numPr>
      </w:pPr>
      <w:r w:rsidRPr="00BF6615">
        <w:t xml:space="preserve">Integracja usług i dostępność – wiele osób wyraziło potrzebę połączenia różnych usług publicznych w jednej aplikacji (np. ZUS, podatki, </w:t>
      </w:r>
      <w:proofErr w:type="spellStart"/>
      <w:r w:rsidRPr="00BF6615">
        <w:t>ePUAP</w:t>
      </w:r>
      <w:proofErr w:type="spellEnd"/>
      <w:r w:rsidRPr="00BF6615">
        <w:t>) oraz ich dostępność mobilną i offline.</w:t>
      </w:r>
    </w:p>
    <w:p w14:paraId="757484EB" w14:textId="77777777" w:rsidR="005E0A9B" w:rsidRPr="00BF6615" w:rsidRDefault="005E0A9B">
      <w:pPr>
        <w:pStyle w:val="Akapitzlist"/>
        <w:numPr>
          <w:ilvl w:val="0"/>
          <w:numId w:val="76"/>
        </w:numPr>
      </w:pPr>
      <w:r w:rsidRPr="00BF6615">
        <w:t>Wsparcie użytkownika i AI – pojawiły się postulaty dotyczące wprowadzenia pomocy ze strony sztucznej inteligencji, czatu z konsultantem, czytania treści głosowo oraz większej przejrzystości i dostępności komunikatów.</w:t>
      </w:r>
    </w:p>
    <w:p w14:paraId="33ACFB9F" w14:textId="5ACB3BE0" w:rsidR="004935BD" w:rsidRPr="00665D24" w:rsidRDefault="004935BD" w:rsidP="00B271C3">
      <w:pPr>
        <w:pStyle w:val="Nagwek4"/>
        <w:rPr>
          <w:bCs/>
        </w:rPr>
      </w:pPr>
      <w:r w:rsidRPr="00665D24">
        <w:rPr>
          <w:bCs/>
        </w:rPr>
        <w:t>Technologie wspomagające w korzystaniu ze stron i aplikacji podmiotów publicznych</w:t>
      </w:r>
    </w:p>
    <w:p w14:paraId="0E3DE106" w14:textId="77777777" w:rsidR="004935BD" w:rsidRPr="00BF6615" w:rsidRDefault="004935BD" w:rsidP="007E26B5">
      <w:r w:rsidRPr="00BF6615">
        <w:t>82% respondentów nie korzysta z technologii wspomagających podczas używania stron podmiotów publicznych. Osoby, które korzystają wskazywały najczęściej na klawiaturę (27 wskazań), czytniki ekranu (25) czy funkcję powiększania ekranu (21).</w:t>
      </w:r>
    </w:p>
    <w:p w14:paraId="3364DB57" w14:textId="77777777" w:rsidR="004935BD" w:rsidRPr="00665D24" w:rsidRDefault="004935BD" w:rsidP="00B271C3">
      <w:pPr>
        <w:pStyle w:val="Nagwek4"/>
        <w:rPr>
          <w:bCs/>
        </w:rPr>
      </w:pPr>
      <w:r w:rsidRPr="00665D24">
        <w:rPr>
          <w:bCs/>
        </w:rPr>
        <w:t>Trudności w obsłudze stron i aplikacji- poszukiwanie rozwiązań</w:t>
      </w:r>
    </w:p>
    <w:p w14:paraId="4AECA995" w14:textId="2AD090AA" w:rsidR="00F320E7" w:rsidRPr="00BF6615" w:rsidRDefault="004935BD" w:rsidP="007E26B5">
      <w:r w:rsidRPr="00BF6615">
        <w:t>Tylko 15% badanych nie miała problemów w obsłudze stron i aplikacji. Pozostałe osoby, które doświadczyły takich trudności najczęściej próbowały sobie poradzić z nimi samodzielnie (43%) lub z pomocą znajomych lub rodziny (1</w:t>
      </w:r>
      <w:r w:rsidR="558C58ED" w:rsidRPr="00BF6615">
        <w:t>9</w:t>
      </w:r>
      <w:r w:rsidRPr="00BF6615">
        <w:t>%) oraz obsługi klienta (16%).</w:t>
      </w:r>
      <w:r w:rsidR="00F5488B" w:rsidRPr="00BF6615">
        <w:t xml:space="preserve"> Uzyskane wyniki są gorsze niż wyniku GUS</w:t>
      </w:r>
      <w:r w:rsidR="00F5488B" w:rsidRPr="00BF6615">
        <w:rPr>
          <w:rStyle w:val="Odwoanieprzypisudolnego"/>
        </w:rPr>
        <w:footnoteReference w:id="34"/>
      </w:r>
      <w:r w:rsidR="00F5488B" w:rsidRPr="00BF6615">
        <w:t xml:space="preserve">, gdzie </w:t>
      </w:r>
      <w:r w:rsidR="00F320E7" w:rsidRPr="00BF6615">
        <w:t>53,5% deklaruje ponadpodstawowe umiejętności rozwiązywania problemów</w:t>
      </w:r>
      <w:r w:rsidR="0060508A" w:rsidRPr="00BF6615">
        <w:t xml:space="preserve">, co wynikać może ze specyfiki grupy badanej- dużego udziału osób z niepełnosprawnościami i osób starszych, dla których deklaracja umiejętności rozwiązywani problemów w badaniu GUS wynoszą odpowiednio </w:t>
      </w:r>
      <w:r w:rsidR="00CC6DA8">
        <w:t>26,48%</w:t>
      </w:r>
      <w:r w:rsidR="00693F18" w:rsidRPr="00BF6615">
        <w:rPr>
          <w:rStyle w:val="Odwoanieprzypisudolnego"/>
        </w:rPr>
        <w:footnoteReference w:id="35"/>
      </w:r>
      <w:r w:rsidR="00693F18" w:rsidRPr="00BF6615">
        <w:t xml:space="preserve"> i </w:t>
      </w:r>
      <w:r w:rsidR="006E47C7" w:rsidRPr="00BF6615">
        <w:t>11,6%</w:t>
      </w:r>
      <w:r w:rsidR="00693F18" w:rsidRPr="00BF6615">
        <w:t>.</w:t>
      </w:r>
    </w:p>
    <w:p w14:paraId="34DFB30E" w14:textId="77777777" w:rsidR="004935BD" w:rsidRPr="00BF6615" w:rsidRDefault="004935BD" w:rsidP="007E26B5"/>
    <w:p w14:paraId="04E4FC7A" w14:textId="37F1E821" w:rsidR="004935BD" w:rsidRPr="00BF6615" w:rsidRDefault="004935BD" w:rsidP="007E26B5">
      <w:pPr>
        <w:pStyle w:val="Legenda"/>
      </w:pPr>
      <w:bookmarkStart w:id="232" w:name="_Toc204179169"/>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23</w:t>
      </w:r>
      <w:r w:rsidRPr="00BF6615">
        <w:fldChar w:fldCharType="end"/>
      </w:r>
      <w:r w:rsidR="00FD0843">
        <w:t>.</w:t>
      </w:r>
      <w:r w:rsidRPr="00BF6615">
        <w:t xml:space="preserve"> Sposoby radzenia sobie z trudnościami technicznymi w obsłudze stron i aplikacji </w:t>
      </w:r>
      <w:r w:rsidR="00B46ECF" w:rsidRPr="00BF6615">
        <w:t>w pełnej grupie badanej</w:t>
      </w:r>
      <w:r w:rsidRPr="00BF6615">
        <w:t xml:space="preserve"> (n=</w:t>
      </w:r>
      <w:r w:rsidR="004A5319" w:rsidRPr="00BF6615">
        <w:t>306</w:t>
      </w:r>
      <w:r w:rsidRPr="00BF6615">
        <w:t>)</w:t>
      </w:r>
      <w:bookmarkEnd w:id="232"/>
    </w:p>
    <w:p w14:paraId="5FB6865F" w14:textId="77777777" w:rsidR="004935BD" w:rsidRPr="00BF6615" w:rsidRDefault="004935BD" w:rsidP="007E26B5"/>
    <w:p w14:paraId="784DD13C" w14:textId="49813CB8" w:rsidR="004935BD" w:rsidRPr="00BF6615" w:rsidRDefault="0096525A" w:rsidP="007E26B5">
      <w:r w:rsidRPr="00BF6615">
        <w:rPr>
          <w:noProof/>
          <w:lang w:eastAsia="pl-PL"/>
        </w:rPr>
        <w:drawing>
          <wp:inline distT="0" distB="0" distL="0" distR="0" wp14:anchorId="7E03336F" wp14:editId="5D39FF11">
            <wp:extent cx="4978400" cy="2774950"/>
            <wp:effectExtent l="0" t="0" r="0" b="0"/>
            <wp:docPr id="452460066" name="Wykres 1" descr="nie miałem/am takiego problemu - 15%&#10;samodzielnie - 43%&#10;z pomocą obsługi klienta - 16%&#10;z pomocą znajomych/rodziny - 19%&#10;nie próbowałem/am pokonać tych trudności - 2%&#10;nie potrafię sobie z nimi poradzić - 5%&#10;">
              <a:extLst xmlns:a="http://schemas.openxmlformats.org/drawingml/2006/main">
                <a:ext uri="{FF2B5EF4-FFF2-40B4-BE49-F238E27FC236}">
                  <a16:creationId xmlns:a16="http://schemas.microsoft.com/office/drawing/2014/main" id="{F5C9A289-DD61-054C-88D5-8DFB8FAFDC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C60EC1F" w14:textId="77777777" w:rsidR="004935BD" w:rsidRPr="00BF6615" w:rsidRDefault="004935BD" w:rsidP="00FD0843">
      <w:r w:rsidRPr="00BF6615">
        <w:t>Źródło: opracowanie własne.</w:t>
      </w:r>
    </w:p>
    <w:p w14:paraId="1AAF596D" w14:textId="77777777" w:rsidR="004935BD" w:rsidRPr="00137936" w:rsidRDefault="004935BD" w:rsidP="00B271C3">
      <w:pPr>
        <w:pStyle w:val="Nagwek4"/>
        <w:rPr>
          <w:bCs/>
        </w:rPr>
      </w:pPr>
      <w:r w:rsidRPr="00137936">
        <w:rPr>
          <w:bCs/>
        </w:rPr>
        <w:t>Deklaracje dostępności</w:t>
      </w:r>
    </w:p>
    <w:p w14:paraId="540668A3" w14:textId="77777777" w:rsidR="004935BD" w:rsidRPr="00BF6615" w:rsidRDefault="004935BD" w:rsidP="007E26B5">
      <w:r w:rsidRPr="00BF6615">
        <w:t>60% respondentów nie wie, że podmioty muszą przygotować deklarację dostępności.</w:t>
      </w:r>
    </w:p>
    <w:p w14:paraId="4E3DC360" w14:textId="62F407AF" w:rsidR="004935BD" w:rsidRPr="00BF6615" w:rsidRDefault="004935BD" w:rsidP="007E26B5">
      <w:pPr>
        <w:pStyle w:val="Legenda"/>
        <w:keepNext/>
      </w:pPr>
      <w:bookmarkStart w:id="233" w:name="_Toc204179170"/>
      <w:r w:rsidRPr="00BF6615">
        <w:t xml:space="preserve">Wykres </w:t>
      </w:r>
      <w:r w:rsidRPr="00BF6615">
        <w:fldChar w:fldCharType="begin"/>
      </w:r>
      <w:r w:rsidRPr="00BF6615">
        <w:instrText xml:space="preserve"> SEQ Wykres \* ARABIC </w:instrText>
      </w:r>
      <w:r w:rsidRPr="00BF6615">
        <w:fldChar w:fldCharType="separate"/>
      </w:r>
      <w:r w:rsidR="00FD0843">
        <w:rPr>
          <w:noProof/>
        </w:rPr>
        <w:t>24</w:t>
      </w:r>
      <w:r w:rsidRPr="00BF6615">
        <w:fldChar w:fldCharType="end"/>
      </w:r>
      <w:r w:rsidR="00FD0843">
        <w:t>.</w:t>
      </w:r>
      <w:r w:rsidRPr="00BF6615">
        <w:t xml:space="preserve"> Wiedza o tym, że każdy podmiot publiczny musi przygotowywać i publikować na swojej stronie deklarację dostępności</w:t>
      </w:r>
      <w:r w:rsidR="00B46ECF" w:rsidRPr="00BF6615">
        <w:t xml:space="preserve"> w pełnej grupie badanej</w:t>
      </w:r>
      <w:r w:rsidRPr="00BF6615">
        <w:t xml:space="preserve"> (n=</w:t>
      </w:r>
      <w:r w:rsidR="004A5319" w:rsidRPr="00BF6615">
        <w:t>306</w:t>
      </w:r>
      <w:r w:rsidRPr="00BF6615">
        <w:t>)</w:t>
      </w:r>
      <w:bookmarkEnd w:id="233"/>
    </w:p>
    <w:p w14:paraId="327D1690" w14:textId="77777777" w:rsidR="004935BD" w:rsidRPr="00BF6615" w:rsidRDefault="004935BD" w:rsidP="007E26B5"/>
    <w:p w14:paraId="7893DA66" w14:textId="5CFF9066" w:rsidR="004935BD" w:rsidRPr="00BF6615" w:rsidRDefault="008F4B24" w:rsidP="007E26B5">
      <w:r w:rsidRPr="00BF6615">
        <w:rPr>
          <w:noProof/>
          <w:lang w:eastAsia="pl-PL"/>
        </w:rPr>
        <w:drawing>
          <wp:inline distT="0" distB="0" distL="0" distR="0" wp14:anchorId="535386C0" wp14:editId="76429043">
            <wp:extent cx="4867274" cy="2480608"/>
            <wp:effectExtent l="0" t="0" r="0" b="0"/>
            <wp:docPr id="95944785" name="Wykres 1" descr="wiem - 40%&#10;nie wiem - 60%">
              <a:extLst xmlns:a="http://schemas.openxmlformats.org/drawingml/2006/main">
                <a:ext uri="{FF2B5EF4-FFF2-40B4-BE49-F238E27FC236}">
                  <a16:creationId xmlns:a16="http://schemas.microsoft.com/office/drawing/2014/main" id="{D1B5A86C-9EC8-A047-8992-3F3227ED8F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B2E7DE1" w14:textId="77777777" w:rsidR="004935BD" w:rsidRPr="00BF6615" w:rsidRDefault="004935BD" w:rsidP="00FD0843">
      <w:r w:rsidRPr="00BF6615">
        <w:t>Źródło: opracowanie własne.</w:t>
      </w:r>
    </w:p>
    <w:p w14:paraId="21A00046" w14:textId="77777777" w:rsidR="004935BD" w:rsidRPr="00BF6615" w:rsidRDefault="004935BD" w:rsidP="007E26B5"/>
    <w:p w14:paraId="6CB48FE6" w14:textId="7D6FD698" w:rsidR="004935BD" w:rsidRPr="00BF6615" w:rsidRDefault="004935BD" w:rsidP="007E26B5">
      <w:r w:rsidRPr="00BF6615">
        <w:lastRenderedPageBreak/>
        <w:t xml:space="preserve">Wśród wszystkich badanych 40% osób zadeklarowało, że wie, że podmioty muszą przygotować deklarację dostępności. Spośród tej grupy 64% osób korzystało z nich kiedykolwiek. Ponad połowa z tej grupy ocenia swoje doświadczenia korzystania </w:t>
      </w:r>
      <w:r w:rsidR="00A42EFD" w:rsidRPr="00BF6615">
        <w:t>z</w:t>
      </w:r>
      <w:r w:rsidR="00A42EFD">
        <w:t> </w:t>
      </w:r>
      <w:r w:rsidRPr="00BF6615">
        <w:t xml:space="preserve">deklaracji jako pozytywne, a pozostali jako neutralne - deklaracje spełniają oczekiwania. Spośród osób, które udzieliły odpowiedzi na pytanie 3 oceniły swoje doświadczenia jako negatywne. Jednocześnie osoby, które miały do czynienia </w:t>
      </w:r>
      <w:r w:rsidR="00A42EFD" w:rsidRPr="00BF6615">
        <w:t>z</w:t>
      </w:r>
      <w:r w:rsidR="00A42EFD">
        <w:t> </w:t>
      </w:r>
      <w:r w:rsidRPr="00BF6615">
        <w:t>deklaracjami, wskazują, że brakuje w nich szczegółowych informacji o dostępności strony www lub aplikacji mobilnej (53% wskazań) oraz kontaktów do osób odpowiedzialnych za dostępność (46%).</w:t>
      </w:r>
      <w:r w:rsidR="009A386B" w:rsidRPr="00BF6615">
        <w:t xml:space="preserve"> Wskazywano także na brak opisów dostępności architektonicznej oraz informacyjno-komunikacyjnej.</w:t>
      </w:r>
    </w:p>
    <w:p w14:paraId="3DA66D76" w14:textId="77777777" w:rsidR="00CC659E" w:rsidRPr="00665D24" w:rsidRDefault="00CC659E" w:rsidP="00B271C3">
      <w:pPr>
        <w:pStyle w:val="Nagwek4"/>
        <w:rPr>
          <w:bCs/>
        </w:rPr>
      </w:pPr>
      <w:r w:rsidRPr="00665D24">
        <w:rPr>
          <w:bCs/>
        </w:rPr>
        <w:t>Pełna grupa badana - podsumowanie wyników</w:t>
      </w:r>
    </w:p>
    <w:p w14:paraId="34C218A4" w14:textId="137DDA74" w:rsidR="00CC659E" w:rsidRPr="00BF6615" w:rsidRDefault="00CC659E" w:rsidP="007E26B5">
      <w:r w:rsidRPr="00BF6615">
        <w:t>Na podstawie zgromadzonych wyników przeanalizowano, w jaki sposób osoby korzystają z Internetu i usług cyfrowych podmiotów publicznych oraz jakie mają potrzeby i oczekiwania wobec ich dostępności. W grupie badanej ogółem niemal każda osoba wskazała, że korzysta z Internetu codziennie (96%), co świadczy o ważności tego narzędzia w codziennym funkcjonowaniu. Internet wykorzystywany jest głównie do celów osobistych, wśród których znalazły się: kontakt z rodziną czy znajomymi, rozrywka czy poszukiwanie informacji. Załatwianie spraw urzędowych przez Internet deklarowało 58% badanych. Tylko 6% respondentów wskazało, że nie korzysta ze stron podmiotów publicznych, ale już 21%, że nie korzysta z aplikacji. Większość respondentów określiła korzystanie ze stron podmiotów publicznych i aplikacji, jako sporadyczne. Pomimo ogólnej deklaracji załatwiania spraw urzędowych przez Internet przez ponad połowę badanych</w:t>
      </w:r>
      <w:r w:rsidR="314AB853" w:rsidRPr="00BF6615">
        <w:t>,</w:t>
      </w:r>
      <w:r w:rsidRPr="00BF6615">
        <w:t xml:space="preserve"> pogłębiona analiza wskazuje, że tylko 1/3 faktycznie załatwia sprawy online. Najliczniej respondenci wybierali sposób mieszany- np. uzyskiwanie informacji telefonicznie, kolejno załatwianie sprawy osobiście.</w:t>
      </w:r>
    </w:p>
    <w:p w14:paraId="15381E14" w14:textId="77777777" w:rsidR="00CC659E" w:rsidRPr="00BF6615" w:rsidRDefault="00CC659E" w:rsidP="007E26B5">
      <w:r w:rsidRPr="00BF6615">
        <w:t>Sprawy, które najczęściej badani załatwiają online w urzędach, to płatności podatków oraz składanie różnego rodzaju wniosków, a wysoki wynik uzyskała także rejestracja do lekarza.</w:t>
      </w:r>
    </w:p>
    <w:p w14:paraId="24E69838" w14:textId="468882CC" w:rsidR="00CC659E" w:rsidRPr="00BF6615" w:rsidRDefault="00CC659E" w:rsidP="007E26B5">
      <w:r w:rsidRPr="00BF6615">
        <w:t xml:space="preserve">Respondenci najczęściej korzystają ze stron rządowych i samorządowych, wysoką częstotliwość wskazywano także dla stron urzędów skarbowych i informacji podatkowych w ogóle. Jednocześnie aplikacje rządowe zostały wskazane, jako te, których badani używają najczęściej. Oceny dostępności stron i aplikacji uzyskane </w:t>
      </w:r>
      <w:r w:rsidR="00A42EFD" w:rsidRPr="00BF6615">
        <w:t>w</w:t>
      </w:r>
      <w:r w:rsidR="00A42EFD">
        <w:t> </w:t>
      </w:r>
      <w:r w:rsidRPr="00BF6615">
        <w:t xml:space="preserve">badaniu należy </w:t>
      </w:r>
      <w:r w:rsidRPr="00FE3BD0">
        <w:t>uznać za stosunkowo wysokie- na skali 1-5 nie było ocen poniżej 3 punktów. Wysoko zostały ocenione strony i aplikacje instytucji kultury- wyraźnie lepiej niż inne strony/aplikacje. Uwagę zwraca, zarówno w ocenie stron i aplikacji, to, że jako największe problemy badani wskazywali problemy z komunikacją z obsługa klienta czy pomocą. Najniższy wynik w tym aspekcie otrzymały Powiatowe Urzędy Pracy.</w:t>
      </w:r>
    </w:p>
    <w:p w14:paraId="3D6A639A" w14:textId="7E0EB66E" w:rsidR="00CC659E" w:rsidRPr="00BF6615" w:rsidRDefault="00CC659E" w:rsidP="007E26B5">
      <w:r w:rsidRPr="00BF6615">
        <w:lastRenderedPageBreak/>
        <w:t xml:space="preserve">Wśród cech stron podmiotów publicznych i aplikacji, które są najważniejsze przy ocenie ich jakości dominowały te, które są ważne dla każdego użytkownika: treści napisane </w:t>
      </w:r>
      <w:r w:rsidR="00A42EFD" w:rsidRPr="00BF6615">
        <w:t>w</w:t>
      </w:r>
      <w:r w:rsidR="00A42EFD">
        <w:t> </w:t>
      </w:r>
      <w:r w:rsidRPr="00BF6615">
        <w:t>sposób zrozumiały, przejrzystość informacji, łatwa nawigacja (aplikacje) czy możliwość łatwego kontaktu z urzędem oraz zrozumiałe ostrzeżenia o błędnym wypełnieniu formularzy.</w:t>
      </w:r>
    </w:p>
    <w:p w14:paraId="357BDAD2" w14:textId="15799080" w:rsidR="00CC659E" w:rsidRPr="00BF6615" w:rsidRDefault="00CC659E" w:rsidP="007E26B5">
      <w:r w:rsidRPr="00BF6615">
        <w:t xml:space="preserve">Mała liczba badanych wskazała, że nie doświadcza problemów w obsłudze stron </w:t>
      </w:r>
      <w:r w:rsidR="00A42EFD" w:rsidRPr="00BF6615">
        <w:t>i</w:t>
      </w:r>
      <w:r w:rsidR="00A42EFD">
        <w:t> </w:t>
      </w:r>
      <w:r w:rsidRPr="00BF6615">
        <w:t>aplikacji, jednocześnie próby pokonania występujących problemów badani podejmowali samodzielnie lub z pomocą znajomych lub rodziny czy obsługi klienta.</w:t>
      </w:r>
    </w:p>
    <w:p w14:paraId="6B8675E4" w14:textId="73A93FC2" w:rsidR="00CC659E" w:rsidRPr="00BF6615" w:rsidRDefault="00CC659E" w:rsidP="007E26B5">
      <w:r w:rsidRPr="00BF6615">
        <w:t xml:space="preserve">Ponad 80% respondentów nie korzysta z żadnych technologii wspomagających. </w:t>
      </w:r>
      <w:r w:rsidR="00A42EFD" w:rsidRPr="00BF6615">
        <w:t>W</w:t>
      </w:r>
      <w:r w:rsidR="00A42EFD">
        <w:t> </w:t>
      </w:r>
      <w:r w:rsidRPr="00BF6615">
        <w:t xml:space="preserve">grupie korzystających najczęściej wskazywano klawiaturę zewnętrzną, czytniki </w:t>
      </w:r>
      <w:r w:rsidR="2FECBD28" w:rsidRPr="00BF6615">
        <w:t>e</w:t>
      </w:r>
      <w:r w:rsidRPr="00BF6615">
        <w:t xml:space="preserve">kranu czy funkcje powiększania. </w:t>
      </w:r>
    </w:p>
    <w:p w14:paraId="2065903C" w14:textId="33BD4862" w:rsidR="00CC659E" w:rsidRPr="00BF6615" w:rsidRDefault="00CC659E" w:rsidP="007E26B5">
      <w:r w:rsidRPr="00BF6615">
        <w:t xml:space="preserve">3/5 badanych nie wie, że podmioty muszą przygotowywać deklarację dostępności. </w:t>
      </w:r>
      <w:r w:rsidR="00A42EFD" w:rsidRPr="00BF6615">
        <w:t>W</w:t>
      </w:r>
      <w:r w:rsidR="00A42EFD">
        <w:t> </w:t>
      </w:r>
      <w:r w:rsidRPr="00BF6615">
        <w:t xml:space="preserve">grupie osób, które posiadają taka wiedzę połowa deklarowała, że korzystała </w:t>
      </w:r>
      <w:r w:rsidR="00A42EFD" w:rsidRPr="00BF6615">
        <w:t>z</w:t>
      </w:r>
      <w:r w:rsidR="00A42EFD">
        <w:t> </w:t>
      </w:r>
      <w:r w:rsidRPr="00BF6615">
        <w:t xml:space="preserve">deklaracji jednocześnie wskazując, że ich doświadczenia są raczej pozytywne. Na pytania o braki w deklaracjach respondenci wskazali na brak szczegółowych informacji </w:t>
      </w:r>
      <w:r w:rsidR="00A42EFD" w:rsidRPr="00BF6615">
        <w:t>o</w:t>
      </w:r>
      <w:r w:rsidR="00A42EFD">
        <w:t> </w:t>
      </w:r>
      <w:r w:rsidRPr="00BF6615">
        <w:t xml:space="preserve">dostępności strony www lub aplikacji mobilnej oraz kontaktów do osób odpowiedzialnych za dostępność, </w:t>
      </w:r>
      <w:bookmarkStart w:id="234" w:name="_Hlk202096101"/>
      <w:r w:rsidRPr="00BF6615">
        <w:t>a także na brak opisów dostępności architektonicznej oraz informacyjno- komunikacyjnej</w:t>
      </w:r>
      <w:bookmarkEnd w:id="234"/>
      <w:r w:rsidRPr="00BF6615">
        <w:t xml:space="preserve">. Pojedyncze osoby (w grupie osób </w:t>
      </w:r>
      <w:r w:rsidR="00A42EFD" w:rsidRPr="00BF6615">
        <w:t>z</w:t>
      </w:r>
      <w:r w:rsidR="00A42EFD">
        <w:t> </w:t>
      </w:r>
      <w:r w:rsidRPr="00BF6615">
        <w:t xml:space="preserve">niepełnosprawnościami) wskazywały, że korzystając z deklaracji znalazły to, </w:t>
      </w:r>
      <w:r w:rsidR="00A42EFD" w:rsidRPr="00BF6615">
        <w:t>czego</w:t>
      </w:r>
      <w:r w:rsidR="00A42EFD">
        <w:t> </w:t>
      </w:r>
      <w:r w:rsidRPr="00BF6615">
        <w:t>szukały.</w:t>
      </w:r>
    </w:p>
    <w:p w14:paraId="079711B9" w14:textId="5C2B6307" w:rsidR="00CC659E" w:rsidRPr="00BF6615" w:rsidRDefault="00CC659E" w:rsidP="007E26B5">
      <w:r w:rsidRPr="00BF6615">
        <w:t>Podsumowując, respondentów cechuje bardzo wysoka aktywność w Internecie</w:t>
      </w:r>
      <w:r w:rsidR="0DD0585F" w:rsidRPr="00BF6615">
        <w:t>,</w:t>
      </w:r>
      <w:r w:rsidRPr="00BF6615">
        <w:t xml:space="preserve"> przy czym dotyczy ona w znakomitej większości spraw osobistych, jak komunikacja z rodziną </w:t>
      </w:r>
      <w:r w:rsidR="00A42EFD" w:rsidRPr="00BF6615">
        <w:t>i</w:t>
      </w:r>
      <w:r w:rsidR="00A42EFD">
        <w:t> </w:t>
      </w:r>
      <w:r w:rsidRPr="00BF6615">
        <w:t>znajomymi czy rozrywka. Wykorzystanie Internetu do kontaktów z administracją jest mniejsze</w:t>
      </w:r>
      <w:r w:rsidR="08695590" w:rsidRPr="00BF6615">
        <w:t>,</w:t>
      </w:r>
      <w:r w:rsidRPr="00BF6615">
        <w:t xml:space="preserve"> niż wykorzystanie do spraw osobistych. Wciąż wiele osób załatwia sprawy urzędowe w sposób tradycyjny- osobiście, telefonicznie, czy łącząc różne techniki. Pomimo tego </w:t>
      </w:r>
      <w:r w:rsidR="7B411DC9" w:rsidRPr="00BF6615">
        <w:t>,</w:t>
      </w:r>
      <w:r w:rsidRPr="00BF6615">
        <w:t>że nie każda osoba badana załatwiała sprawy przez strony czy aplikacje</w:t>
      </w:r>
      <w:r w:rsidR="17588426" w:rsidRPr="00BF6615">
        <w:t>,</w:t>
      </w:r>
      <w:r w:rsidRPr="00BF6615">
        <w:t xml:space="preserve"> należy zauważyć, że samoocena umiejętności i podejmowane próby radzenia sobie </w:t>
      </w:r>
      <w:r w:rsidR="00A42EFD" w:rsidRPr="00BF6615">
        <w:t>z</w:t>
      </w:r>
      <w:r w:rsidR="00A42EFD">
        <w:t> </w:t>
      </w:r>
      <w:r w:rsidRPr="00BF6615">
        <w:t xml:space="preserve">problemami świadczą o wysokich kompetencjach cyfrowych i dużej samodzielności </w:t>
      </w:r>
      <w:r w:rsidR="00A42EFD" w:rsidRPr="00BF6615">
        <w:t>w</w:t>
      </w:r>
      <w:r w:rsidR="00A42EFD">
        <w:t> </w:t>
      </w:r>
      <w:r w:rsidRPr="00BF6615">
        <w:t>sieci. Barierami w korzystani</w:t>
      </w:r>
      <w:r w:rsidR="47EF7FFE" w:rsidRPr="00BF6615">
        <w:t>u</w:t>
      </w:r>
      <w:r w:rsidRPr="00BF6615">
        <w:t xml:space="preserve"> ze stron czy aplikacji wciąż pozostają niezrozumiałe treści czy ich układ oraz brak wsparcia pomocy czy obsługi klienta, kiedy pojawią </w:t>
      </w:r>
      <w:r w:rsidR="00A42EFD" w:rsidRPr="00BF6615">
        <w:t>się</w:t>
      </w:r>
      <w:r w:rsidR="00A42EFD">
        <w:t> </w:t>
      </w:r>
      <w:r w:rsidRPr="00BF6615">
        <w:t>problemy.</w:t>
      </w:r>
    </w:p>
    <w:p w14:paraId="498F9CAE" w14:textId="6253591C" w:rsidR="00CC659E" w:rsidRPr="00BF6615" w:rsidRDefault="00CC659E" w:rsidP="00B271C3">
      <w:r w:rsidRPr="00BF6615">
        <w:t xml:space="preserve">Konieczne jest dalsze promowanie wykorzystania Internetu do załatwiania spraw urzędowych, jednocześnie konieczna jest poprawa dostępności stron i aplikacji, zarówno w sferach stricte </w:t>
      </w:r>
      <w:proofErr w:type="spellStart"/>
      <w:r w:rsidRPr="00BF6615">
        <w:t>dostępnościowych</w:t>
      </w:r>
      <w:proofErr w:type="spellEnd"/>
      <w:r w:rsidRPr="00BF6615">
        <w:t xml:space="preserve"> jak tłumaczenia PJM, jak i </w:t>
      </w:r>
      <w:r w:rsidR="3F151B46" w:rsidRPr="00BF6615">
        <w:t xml:space="preserve">w </w:t>
      </w:r>
      <w:r w:rsidRPr="00BF6615">
        <w:t>sferach niezbędnych dla każdego</w:t>
      </w:r>
      <w:r w:rsidR="12E23F50" w:rsidRPr="00BF6615">
        <w:t>,</w:t>
      </w:r>
      <w:r w:rsidRPr="00BF6615">
        <w:t xml:space="preserve"> jak czytelny układ treści, czy zrozumiałe komunikaty o błędach. Niezbędna jest </w:t>
      </w:r>
      <w:r w:rsidRPr="00BF6615">
        <w:lastRenderedPageBreak/>
        <w:t xml:space="preserve">także poprawa w zakresie możliwości kontaktu z urzędem w sytuacji, kiedy podczas korzystania ze stron/aplikacji pojawiają się problemy. </w:t>
      </w:r>
    </w:p>
    <w:p w14:paraId="58584002" w14:textId="776DD177" w:rsidR="00637358" w:rsidRPr="00BF6615" w:rsidRDefault="00637358">
      <w:pPr>
        <w:pStyle w:val="Nagwek3"/>
        <w:numPr>
          <w:ilvl w:val="1"/>
          <w:numId w:val="6"/>
        </w:numPr>
      </w:pPr>
      <w:bookmarkStart w:id="235" w:name="_Toc204179295"/>
      <w:r w:rsidRPr="00BF6615">
        <w:t>Obywatele</w:t>
      </w:r>
      <w:r w:rsidR="002D0786">
        <w:t xml:space="preserve"> </w:t>
      </w:r>
      <w:r w:rsidR="007E26B5">
        <w:t>– osoby bez niepełnosprawności w wieku 18-59 lat</w:t>
      </w:r>
      <w:bookmarkEnd w:id="235"/>
    </w:p>
    <w:p w14:paraId="61CB2E33" w14:textId="36F99F9A" w:rsidR="00637358" w:rsidRPr="00665D24" w:rsidRDefault="00C55BDD" w:rsidP="00B271C3">
      <w:pPr>
        <w:pStyle w:val="Nagwek4"/>
        <w:rPr>
          <w:bCs/>
        </w:rPr>
      </w:pPr>
      <w:r w:rsidRPr="00665D24">
        <w:rPr>
          <w:bCs/>
        </w:rPr>
        <w:t>Grupa badana</w:t>
      </w:r>
    </w:p>
    <w:p w14:paraId="218967E0" w14:textId="77777777" w:rsidR="007973F2" w:rsidRPr="00BF6615" w:rsidRDefault="007973F2" w:rsidP="007E26B5">
      <w:r w:rsidRPr="00BF6615">
        <w:t>W grupie badanej nie było osób posiadających niepełnosprawność.</w:t>
      </w:r>
    </w:p>
    <w:p w14:paraId="4AB852A3" w14:textId="51EC36F7" w:rsidR="00637358" w:rsidRPr="00BF6615" w:rsidRDefault="00637358" w:rsidP="007E26B5">
      <w:r w:rsidRPr="00BF6615">
        <w:t xml:space="preserve">Respondenci zostali podzieleni na cztery grupy wiekowe. Najliczniejszą grupę stanowili uczestnicy w wieku </w:t>
      </w:r>
      <w:r w:rsidR="007973F2" w:rsidRPr="00BF6615">
        <w:t>40-4</w:t>
      </w:r>
      <w:r w:rsidRPr="00BF6615">
        <w:t>9 lat (</w:t>
      </w:r>
      <w:r w:rsidR="007973F2" w:rsidRPr="00BF6615">
        <w:t>33</w:t>
      </w:r>
      <w:r w:rsidRPr="00BF6615">
        <w:t xml:space="preserve">.0%). Kolejne pod względem liczebności były grupy: 18–29 </w:t>
      </w:r>
      <w:r w:rsidR="3B38A0A0" w:rsidRPr="00BF6615">
        <w:t>i</w:t>
      </w:r>
      <w:r w:rsidR="007973F2" w:rsidRPr="00BF6615">
        <w:t xml:space="preserve"> 50-60 </w:t>
      </w:r>
      <w:r w:rsidRPr="00BF6615">
        <w:t xml:space="preserve">lat. Najmniej liczną grupą byli respondenci w wieku </w:t>
      </w:r>
      <w:r w:rsidR="007973F2" w:rsidRPr="00BF6615">
        <w:t>3</w:t>
      </w:r>
      <w:r w:rsidRPr="00BF6615">
        <w:t>0–</w:t>
      </w:r>
      <w:r w:rsidR="007973F2" w:rsidRPr="00BF6615">
        <w:t>39</w:t>
      </w:r>
      <w:r w:rsidRPr="00BF6615">
        <w:t xml:space="preserve"> lat. Poniższy wykres przedstawia szczegółowy rozkład respondentów według przedziałów wiekowych.</w:t>
      </w:r>
    </w:p>
    <w:p w14:paraId="5B6F7D4F" w14:textId="201C17C5" w:rsidR="00637358" w:rsidRPr="00BF6615" w:rsidRDefault="00637358" w:rsidP="007E26B5">
      <w:pPr>
        <w:pStyle w:val="Legenda"/>
        <w:keepNext/>
      </w:pPr>
      <w:bookmarkStart w:id="236" w:name="_Toc204179171"/>
      <w:r w:rsidRPr="00BF6615">
        <w:t xml:space="preserve">Wykres </w:t>
      </w:r>
      <w:r w:rsidRPr="00BF6615">
        <w:fldChar w:fldCharType="begin"/>
      </w:r>
      <w:r w:rsidRPr="00BF6615">
        <w:instrText xml:space="preserve"> SEQ Wykres \* ARABIC </w:instrText>
      </w:r>
      <w:r w:rsidRPr="00BF6615">
        <w:fldChar w:fldCharType="separate"/>
      </w:r>
      <w:r w:rsidR="00FD0843">
        <w:rPr>
          <w:noProof/>
        </w:rPr>
        <w:t>25</w:t>
      </w:r>
      <w:r w:rsidRPr="00BF6615">
        <w:fldChar w:fldCharType="end"/>
      </w:r>
      <w:r w:rsidR="00FD0843">
        <w:t>.</w:t>
      </w:r>
      <w:r w:rsidRPr="00BF6615">
        <w:t xml:space="preserve"> Wiek respondentów w grupie obywatele (n=100)</w:t>
      </w:r>
      <w:bookmarkEnd w:id="236"/>
    </w:p>
    <w:p w14:paraId="149ED668" w14:textId="0BD85A9B" w:rsidR="00637358" w:rsidRPr="00BF6615" w:rsidRDefault="00637358" w:rsidP="007E26B5">
      <w:r w:rsidRPr="00BF6615">
        <w:rPr>
          <w:noProof/>
          <w:lang w:eastAsia="pl-PL"/>
        </w:rPr>
        <w:drawing>
          <wp:inline distT="0" distB="0" distL="0" distR="0" wp14:anchorId="0618A15D" wp14:editId="47DF9E4D">
            <wp:extent cx="5332491" cy="2118360"/>
            <wp:effectExtent l="0" t="0" r="1905" b="2540"/>
            <wp:docPr id="1325737459" name="Wykres 1" descr="18-29 - 24%&#10;30-39 - 20%&#10;40-49 - 33%&#10;50-60 - 23%">
              <a:extLst xmlns:a="http://schemas.openxmlformats.org/drawingml/2006/main">
                <a:ext uri="{FF2B5EF4-FFF2-40B4-BE49-F238E27FC236}">
                  <a16:creationId xmlns:a16="http://schemas.microsoft.com/office/drawing/2014/main" id="{F12D6BE0-ED76-4369-A670-E6EFBADA1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329C7AC" w14:textId="7C16CE22" w:rsidR="00C55BDD" w:rsidRPr="00BF6615" w:rsidRDefault="00C55BDD" w:rsidP="007E26B5">
      <w:r w:rsidRPr="00BF6615">
        <w:t>Źródło: opracowanie własne.</w:t>
      </w:r>
    </w:p>
    <w:p w14:paraId="02D2BDA6" w14:textId="7E7996DF" w:rsidR="00637358" w:rsidRPr="00BF6615" w:rsidRDefault="00637358" w:rsidP="007E26B5">
      <w:r w:rsidRPr="00BF6615">
        <w:t xml:space="preserve">Analiza danych wskazuje, że </w:t>
      </w:r>
      <w:r w:rsidR="2F7D4A80" w:rsidRPr="00BF6615">
        <w:t>najmniej</w:t>
      </w:r>
      <w:r w:rsidR="00D71DEC" w:rsidRPr="00BF6615">
        <w:t xml:space="preserve"> </w:t>
      </w:r>
      <w:r w:rsidRPr="00BF6615">
        <w:t xml:space="preserve">respondentów pochodziło z miast </w:t>
      </w:r>
      <w:r w:rsidR="2B83B880" w:rsidRPr="00BF6615">
        <w:t>od 20 do 100 tys. mieszkańców</w:t>
      </w:r>
      <w:r w:rsidR="008322F9">
        <w:t>.</w:t>
      </w:r>
      <w:r w:rsidRPr="00BF6615">
        <w:t xml:space="preserve"> Najlicznie</w:t>
      </w:r>
      <w:r w:rsidR="41B1D56E" w:rsidRPr="00BF6615">
        <w:t>j</w:t>
      </w:r>
      <w:r w:rsidRPr="00BF6615">
        <w:t xml:space="preserve"> reprezentowane były wsie oraz małe miasteczka do 20 tys. mieszkańców.</w:t>
      </w:r>
    </w:p>
    <w:p w14:paraId="1F417B4A" w14:textId="70C8A56C" w:rsidR="00637358" w:rsidRPr="00BF6615" w:rsidRDefault="00637358" w:rsidP="007E26B5">
      <w:pPr>
        <w:pStyle w:val="Legenda"/>
        <w:keepNext/>
      </w:pPr>
      <w:bookmarkStart w:id="237" w:name="_Toc204179172"/>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26</w:t>
      </w:r>
      <w:r w:rsidRPr="00BF6615">
        <w:fldChar w:fldCharType="end"/>
      </w:r>
      <w:r w:rsidR="00FD0843">
        <w:t>.</w:t>
      </w:r>
      <w:r w:rsidRPr="00BF6615">
        <w:t xml:space="preserve"> Wielkość miejsca zamieszkania w grupie obywatele (n=100)</w:t>
      </w:r>
      <w:bookmarkEnd w:id="237"/>
    </w:p>
    <w:p w14:paraId="4D813BCC" w14:textId="4D100B6B" w:rsidR="00637358" w:rsidRPr="00BF6615" w:rsidRDefault="00637358" w:rsidP="007E26B5">
      <w:r w:rsidRPr="00BF6615">
        <w:rPr>
          <w:noProof/>
          <w:lang w:eastAsia="pl-PL"/>
        </w:rPr>
        <w:drawing>
          <wp:inline distT="0" distB="0" distL="0" distR="0" wp14:anchorId="7B92F689" wp14:editId="1E5267EE">
            <wp:extent cx="5649362" cy="2313940"/>
            <wp:effectExtent l="0" t="0" r="8890" b="0"/>
            <wp:docPr id="1630146327" name="Wykres 1" descr="miasto powyżej 100 tys. do 500 tys. - 22%&#10;miasto powyżej 20 tys. do 100 tys. - 18%&#10;miasto powyżej 500 tys. - 28%&#10;wieś i małe miasto do 20 tys. -32%">
              <a:extLst xmlns:a="http://schemas.openxmlformats.org/drawingml/2006/main">
                <a:ext uri="{FF2B5EF4-FFF2-40B4-BE49-F238E27FC236}">
                  <a16:creationId xmlns:a16="http://schemas.microsoft.com/office/drawing/2014/main" id="{92D12346-CB9F-4C28-9CAF-D9D8566733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25A2481" w14:textId="77777777" w:rsidR="00C55BDD" w:rsidRPr="00BF6615" w:rsidRDefault="00C55BDD" w:rsidP="007E26B5">
      <w:r w:rsidRPr="00BF6615">
        <w:t>Źródło: opracowanie własne.</w:t>
      </w:r>
    </w:p>
    <w:p w14:paraId="68F728BE" w14:textId="5271F607" w:rsidR="00637358" w:rsidRPr="00BF6615" w:rsidRDefault="00637358" w:rsidP="007E26B5">
      <w:r w:rsidRPr="00BF6615">
        <w:t>W badaniu dominowali respondenci aktywni zawodowo – zarówno zatrudnieni na umowę o pracę, jak i prowadzący działalność gospodarczą. Osoby nieaktywne zawodowo, bezrobotne lub uczące się stanowiły mniejszość. Szczegółowy rozkład przedstawiono w tabeli poniżej.</w:t>
      </w:r>
    </w:p>
    <w:p w14:paraId="0D44AA7B" w14:textId="44002699" w:rsidR="00637358" w:rsidRPr="00BF6615" w:rsidRDefault="00637358" w:rsidP="007E26B5">
      <w:pPr>
        <w:pStyle w:val="Legenda"/>
        <w:keepNext/>
      </w:pPr>
      <w:bookmarkStart w:id="238" w:name="_Toc204179173"/>
      <w:r w:rsidRPr="00BF6615">
        <w:t xml:space="preserve">Wykres </w:t>
      </w:r>
      <w:r w:rsidRPr="00BF6615">
        <w:fldChar w:fldCharType="begin"/>
      </w:r>
      <w:r w:rsidRPr="00BF6615">
        <w:instrText xml:space="preserve"> SEQ Wykres \* ARABIC </w:instrText>
      </w:r>
      <w:r w:rsidRPr="00BF6615">
        <w:fldChar w:fldCharType="separate"/>
      </w:r>
      <w:r w:rsidR="00FD0843">
        <w:rPr>
          <w:noProof/>
        </w:rPr>
        <w:t>27</w:t>
      </w:r>
      <w:r w:rsidRPr="00BF6615">
        <w:fldChar w:fldCharType="end"/>
      </w:r>
      <w:r w:rsidR="00FD0843">
        <w:t>.</w:t>
      </w:r>
      <w:r w:rsidRPr="00BF6615">
        <w:t xml:space="preserve"> Status na rynku pracy w grupie obywatele (n=100)</w:t>
      </w:r>
      <w:bookmarkEnd w:id="238"/>
    </w:p>
    <w:p w14:paraId="339F9C87" w14:textId="77777777" w:rsidR="00637358" w:rsidRPr="00BF6615" w:rsidRDefault="00637358" w:rsidP="007E26B5"/>
    <w:p w14:paraId="230F5CDB" w14:textId="389014D2" w:rsidR="00637358" w:rsidRPr="00BF6615" w:rsidRDefault="00637358" w:rsidP="007E26B5">
      <w:r w:rsidRPr="00BF6615">
        <w:rPr>
          <w:noProof/>
          <w:lang w:eastAsia="pl-PL"/>
        </w:rPr>
        <w:drawing>
          <wp:inline distT="0" distB="0" distL="0" distR="0" wp14:anchorId="0A7B8B7E" wp14:editId="27F72287">
            <wp:extent cx="5665470" cy="3280228"/>
            <wp:effectExtent l="0" t="0" r="0" b="0"/>
            <wp:docPr id="1796071057" name="Wykres 1" descr="osoba ucząca się - 7%&#10;osoba prowadząca własną działalność gospodarczą - 5%&#10;osoba pracująca i ucząca - 2%&#10;osoba pracująca - 70%&#10;osoba niepracująca, poszukująca pracy - 7%&#10;osoba niepracująca i nieposzukująca pracy - 3%&#10;osoba na rencie - 2%&#10;osoba na emeryturze - 4%&#10;">
              <a:extLst xmlns:a="http://schemas.openxmlformats.org/drawingml/2006/main">
                <a:ext uri="{FF2B5EF4-FFF2-40B4-BE49-F238E27FC236}">
                  <a16:creationId xmlns:a16="http://schemas.microsoft.com/office/drawing/2014/main" id="{40AB45CA-E96B-5C9A-10E8-F84992795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3394376" w14:textId="77777777" w:rsidR="00C55BDD" w:rsidRPr="00BF6615" w:rsidRDefault="00C55BDD" w:rsidP="007E26B5">
      <w:r w:rsidRPr="00BF6615">
        <w:t>Źródło: opracowanie własne.</w:t>
      </w:r>
    </w:p>
    <w:p w14:paraId="765A4F0B" w14:textId="7C52DA71" w:rsidR="00637358" w:rsidRPr="00665D24" w:rsidRDefault="00637358" w:rsidP="00B271C3">
      <w:pPr>
        <w:pStyle w:val="Nagwek4"/>
        <w:rPr>
          <w:bCs/>
        </w:rPr>
      </w:pPr>
      <w:r w:rsidRPr="00665D24">
        <w:rPr>
          <w:bCs/>
        </w:rPr>
        <w:lastRenderedPageBreak/>
        <w:t>Korzystanie z</w:t>
      </w:r>
      <w:r w:rsidR="00B913A5">
        <w:rPr>
          <w:bCs/>
        </w:rPr>
        <w:t xml:space="preserve"> komputera i</w:t>
      </w:r>
      <w:r w:rsidRPr="00665D24">
        <w:rPr>
          <w:bCs/>
        </w:rPr>
        <w:t xml:space="preserve"> </w:t>
      </w:r>
      <w:r w:rsidR="00D333F2" w:rsidRPr="00665D24">
        <w:rPr>
          <w:bCs/>
        </w:rPr>
        <w:t>Internetu</w:t>
      </w:r>
    </w:p>
    <w:p w14:paraId="50CC2B26" w14:textId="78E897E3" w:rsidR="00C55BDD" w:rsidRPr="00BF6615" w:rsidRDefault="00C55BDD" w:rsidP="007E26B5">
      <w:r w:rsidRPr="00BF6615">
        <w:t xml:space="preserve">W grupie badanej znalazły się osoby, które deklarowały, że potrafią bardzo dobrze posługiwać się komputerem (45%) oraz, że potrafią dobrze posługiwać się komputerem (26%), pozostałe osoby wskazały, </w:t>
      </w:r>
      <w:r w:rsidR="00EA6615">
        <w:t xml:space="preserve">że </w:t>
      </w:r>
      <w:r w:rsidRPr="00BF6615">
        <w:t xml:space="preserve">potrafią posługiwać się komputerem </w:t>
      </w:r>
      <w:r w:rsidR="00A42EFD" w:rsidRPr="00BF6615">
        <w:t>w</w:t>
      </w:r>
      <w:r w:rsidR="00A42EFD">
        <w:t> </w:t>
      </w:r>
      <w:r w:rsidRPr="00BF6615">
        <w:t>wystarczającym stopniu do ich potrzeb. Osoby, które potrafią bardzo dobrze posługiwać się komputerem, to najczęściej osoby pracujące, mieszkańcy miast</w:t>
      </w:r>
      <w:r w:rsidR="39FCA997" w:rsidRPr="00BF6615">
        <w:t>,</w:t>
      </w:r>
      <w:r w:rsidRPr="00BF6615">
        <w:t xml:space="preserve"> w wieku 18-39 lat.</w:t>
      </w:r>
    </w:p>
    <w:p w14:paraId="62AD44C0" w14:textId="6C631745" w:rsidR="00361FA6" w:rsidRPr="00BF6615" w:rsidRDefault="00C55BDD" w:rsidP="007E26B5">
      <w:r w:rsidRPr="00BF6615">
        <w:t xml:space="preserve">Biegłość w obsłudze </w:t>
      </w:r>
      <w:r w:rsidR="00D333F2" w:rsidRPr="00BF6615">
        <w:t>Internetu</w:t>
      </w:r>
      <w:r w:rsidRPr="00BF6615">
        <w:t xml:space="preserve"> deklarowało 53% badanych, a 24% oceniała swoje umiejętności, jako dobre.</w:t>
      </w:r>
      <w:r w:rsidR="006A0821" w:rsidRPr="00BF6615">
        <w:t xml:space="preserve"> Wynik ten jest </w:t>
      </w:r>
      <w:r w:rsidR="00361FA6" w:rsidRPr="00BF6615">
        <w:t xml:space="preserve">niższy niż </w:t>
      </w:r>
      <w:r w:rsidR="006A0821" w:rsidRPr="00BF6615">
        <w:t>wynik</w:t>
      </w:r>
      <w:r w:rsidR="00361FA6" w:rsidRPr="00BF6615">
        <w:t xml:space="preserve"> badania</w:t>
      </w:r>
      <w:r w:rsidR="006A0821" w:rsidRPr="00BF6615">
        <w:t xml:space="preserve"> GUS</w:t>
      </w:r>
      <w:r w:rsidR="001E3E63" w:rsidRPr="00BF6615">
        <w:rPr>
          <w:rStyle w:val="Odwoanieprzypisudolnego"/>
        </w:rPr>
        <w:footnoteReference w:id="36"/>
      </w:r>
      <w:r w:rsidR="006A0821" w:rsidRPr="00BF6615">
        <w:t xml:space="preserve">, gdzie </w:t>
      </w:r>
      <w:r w:rsidR="00BA4ED7" w:rsidRPr="00BF6615">
        <w:t>85,5% badanych w grupie o</w:t>
      </w:r>
      <w:r w:rsidR="00361FA6" w:rsidRPr="00BF6615">
        <w:t xml:space="preserve">sób w wieku największej aktywności zawodowej (25-54 lata) deklaruje </w:t>
      </w:r>
      <w:r w:rsidR="001E3E63" w:rsidRPr="00BF6615">
        <w:t>ponadpodstawowe umiejętności korzystania z informacji i danych.</w:t>
      </w:r>
    </w:p>
    <w:p w14:paraId="0A036C80" w14:textId="136202CC" w:rsidR="00637358" w:rsidRPr="00BF6615" w:rsidRDefault="00637358" w:rsidP="007E26B5">
      <w:r w:rsidRPr="00BF6615">
        <w:t xml:space="preserve">Zdecydowana większość badanych wskazywała, że korzysta z </w:t>
      </w:r>
      <w:r w:rsidR="00D333F2" w:rsidRPr="00BF6615">
        <w:t>Internetu</w:t>
      </w:r>
      <w:r w:rsidRPr="00BF6615">
        <w:t xml:space="preserve"> codziennie (9</w:t>
      </w:r>
      <w:r w:rsidR="005E714F" w:rsidRPr="00BF6615">
        <w:t>8</w:t>
      </w:r>
      <w:r w:rsidRPr="00BF6615">
        <w:t>%), pozostała grupa korzysta kilka razy w tygodniu. Wynik ten należy uznać za bardzo wysoki</w:t>
      </w:r>
      <w:r w:rsidR="00AA1947" w:rsidRPr="00BF6615">
        <w:t xml:space="preserve">, co </w:t>
      </w:r>
      <w:r w:rsidR="00AE3E37" w:rsidRPr="00BF6615">
        <w:t>z pewnością ma</w:t>
      </w:r>
      <w:r w:rsidR="00AA1947" w:rsidRPr="00BF6615">
        <w:t xml:space="preserve"> związek z</w:t>
      </w:r>
      <w:r w:rsidR="00AE3E37" w:rsidRPr="00BF6615">
        <w:t>e</w:t>
      </w:r>
      <w:r w:rsidR="00AA1947" w:rsidRPr="00BF6615">
        <w:t xml:space="preserve"> statusem na rynku pracy</w:t>
      </w:r>
      <w:r w:rsidR="00AE3E37" w:rsidRPr="00BF6615">
        <w:t>. W</w:t>
      </w:r>
      <w:r w:rsidR="00AA1947" w:rsidRPr="00BF6615">
        <w:t xml:space="preserve"> badanej grupie tylko 9% badanych to grupa, która jest na rencie/emeryturze lub nie pracuje i nie poszukuje pracy.</w:t>
      </w:r>
    </w:p>
    <w:p w14:paraId="60FE11AD" w14:textId="6D793FE4" w:rsidR="00AA1947" w:rsidRPr="00BF6615" w:rsidRDefault="00AA1947" w:rsidP="007E26B5">
      <w:pPr>
        <w:pStyle w:val="Legenda"/>
        <w:keepNext/>
      </w:pPr>
      <w:bookmarkStart w:id="239" w:name="_Toc204179174"/>
      <w:r w:rsidRPr="00BF6615">
        <w:t xml:space="preserve">Wykres </w:t>
      </w:r>
      <w:r w:rsidRPr="00BF6615">
        <w:fldChar w:fldCharType="begin"/>
      </w:r>
      <w:r w:rsidRPr="00BF6615">
        <w:instrText xml:space="preserve"> SEQ Wykres \* ARABIC </w:instrText>
      </w:r>
      <w:r w:rsidRPr="00BF6615">
        <w:fldChar w:fldCharType="separate"/>
      </w:r>
      <w:r w:rsidR="00FD0843">
        <w:rPr>
          <w:noProof/>
        </w:rPr>
        <w:t>28</w:t>
      </w:r>
      <w:r w:rsidRPr="00BF6615">
        <w:fldChar w:fldCharType="end"/>
      </w:r>
      <w:r w:rsidR="00FD0843">
        <w:t>.</w:t>
      </w:r>
      <w:r w:rsidRPr="00BF6615">
        <w:t xml:space="preserve"> Częstotliwość korzystania z </w:t>
      </w:r>
      <w:r w:rsidR="00D333F2" w:rsidRPr="00BF6615">
        <w:t>Internetu</w:t>
      </w:r>
      <w:r w:rsidRPr="00BF6615">
        <w:t xml:space="preserve"> w grupie obywatele (n=100)</w:t>
      </w:r>
      <w:bookmarkEnd w:id="239"/>
    </w:p>
    <w:p w14:paraId="0DF91722" w14:textId="77777777" w:rsidR="00AA1947" w:rsidRPr="00BF6615" w:rsidRDefault="00AA1947" w:rsidP="007E26B5"/>
    <w:p w14:paraId="137DED1C" w14:textId="27D101D9" w:rsidR="00AA1947" w:rsidRPr="00BF6615" w:rsidRDefault="007973F2" w:rsidP="007E26B5">
      <w:r w:rsidRPr="00BF6615">
        <w:rPr>
          <w:noProof/>
          <w:lang w:eastAsia="pl-PL"/>
        </w:rPr>
        <w:drawing>
          <wp:inline distT="0" distB="0" distL="0" distR="0" wp14:anchorId="18409FCD" wp14:editId="72265D1F">
            <wp:extent cx="5357308" cy="3012141"/>
            <wp:effectExtent l="0" t="0" r="0" b="0"/>
            <wp:docPr id="826286732" name="Wykres 1" descr="codziennie - 98%&#10;kilka razy w tygodniu - 2%">
              <a:extLst xmlns:a="http://schemas.openxmlformats.org/drawingml/2006/main">
                <a:ext uri="{FF2B5EF4-FFF2-40B4-BE49-F238E27FC236}">
                  <a16:creationId xmlns:a16="http://schemas.microsoft.com/office/drawing/2014/main" id="{74E59099-8E17-00E5-69C5-8BFC5DE482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6928641" w14:textId="77777777" w:rsidR="00C55BDD" w:rsidRPr="00BF6615" w:rsidRDefault="00C55BDD" w:rsidP="007E26B5">
      <w:r w:rsidRPr="00BF6615">
        <w:t>Źródło: opracowanie własne.</w:t>
      </w:r>
    </w:p>
    <w:p w14:paraId="019755D5" w14:textId="518E0B48" w:rsidR="00637358" w:rsidRPr="00BF6615" w:rsidRDefault="00AA1947" w:rsidP="007E26B5">
      <w:r w:rsidRPr="00BF6615">
        <w:lastRenderedPageBreak/>
        <w:t xml:space="preserve">Cele korzystania z </w:t>
      </w:r>
      <w:r w:rsidR="00D333F2" w:rsidRPr="00BF6615">
        <w:t>Internetu</w:t>
      </w:r>
      <w:r w:rsidRPr="00BF6615">
        <w:t xml:space="preserve"> w grupie badanej pozostają zbieżne z badaniami </w:t>
      </w:r>
      <w:r w:rsidRPr="00BF6615">
        <w:rPr>
          <w:rFonts w:cstheme="minorHAnsi"/>
        </w:rPr>
        <w:t>GUS</w:t>
      </w:r>
      <w:r w:rsidRPr="00BF6615">
        <w:rPr>
          <w:rStyle w:val="Odwoanieprzypisudolnego"/>
          <w:rFonts w:cstheme="minorHAnsi"/>
        </w:rPr>
        <w:footnoteReference w:id="37"/>
      </w:r>
      <w:r w:rsidRPr="00BF6615">
        <w:rPr>
          <w:rFonts w:cstheme="minorHAnsi"/>
        </w:rPr>
        <w:t>, gdzie w tej grupie przeważa cel związany z komunikowaniem się na co wskazuje aż 94% badanych. Dokładnie tak wskazują r</w:t>
      </w:r>
      <w:r w:rsidRPr="00BF6615">
        <w:t xml:space="preserve">espondenci, którzy uznali ten cel za najważniejszy </w:t>
      </w:r>
      <w:r w:rsidR="00637358" w:rsidRPr="00BF6615">
        <w:t>(</w:t>
      </w:r>
      <w:r w:rsidRPr="00BF6615">
        <w:t>8</w:t>
      </w:r>
      <w:r w:rsidR="00637358" w:rsidRPr="00BF6615">
        <w:t>1%)</w:t>
      </w:r>
      <w:r w:rsidRPr="00BF6615">
        <w:t xml:space="preserve">, dodatkowo wysoki wynik uzyskał cel związany z rozrywką </w:t>
      </w:r>
      <w:r w:rsidR="00637358" w:rsidRPr="00BF6615">
        <w:t>(</w:t>
      </w:r>
      <w:r w:rsidRPr="00BF6615">
        <w:t>74</w:t>
      </w:r>
      <w:r w:rsidR="00637358" w:rsidRPr="00BF6615">
        <w:t xml:space="preserve">%). Ważną rolę odgrywają także cele </w:t>
      </w:r>
      <w:r w:rsidRPr="00BF6615">
        <w:t>związane z załatwianiem spraw urzędowych (56%)</w:t>
      </w:r>
      <w:r w:rsidR="00637358" w:rsidRPr="00BF6615">
        <w:t>. Poniższ</w:t>
      </w:r>
      <w:r w:rsidRPr="00BF6615">
        <w:t>y wykres p</w:t>
      </w:r>
      <w:r w:rsidR="00637358" w:rsidRPr="00BF6615">
        <w:t>rzedstawia szczegółowy rozkład wskazań.</w:t>
      </w:r>
    </w:p>
    <w:p w14:paraId="5111B42F" w14:textId="5F94F348" w:rsidR="00AA1947" w:rsidRPr="00BF6615" w:rsidRDefault="00AA1947" w:rsidP="007E26B5">
      <w:pPr>
        <w:pStyle w:val="Legenda"/>
        <w:keepNext/>
      </w:pPr>
      <w:bookmarkStart w:id="240" w:name="_Toc204179175"/>
      <w:r w:rsidRPr="00BF6615">
        <w:t xml:space="preserve">Wykres </w:t>
      </w:r>
      <w:r w:rsidRPr="00BF6615">
        <w:fldChar w:fldCharType="begin"/>
      </w:r>
      <w:r w:rsidRPr="00BF6615">
        <w:instrText xml:space="preserve"> SEQ Wykres \* ARABIC </w:instrText>
      </w:r>
      <w:r w:rsidRPr="00BF6615">
        <w:fldChar w:fldCharType="separate"/>
      </w:r>
      <w:r w:rsidR="00FD0843">
        <w:rPr>
          <w:noProof/>
        </w:rPr>
        <w:t>29</w:t>
      </w:r>
      <w:r w:rsidRPr="00BF6615">
        <w:fldChar w:fldCharType="end"/>
      </w:r>
      <w:r w:rsidR="00FD0843">
        <w:t>.</w:t>
      </w:r>
      <w:r w:rsidRPr="00BF6615">
        <w:t xml:space="preserve"> Cele korzystania z </w:t>
      </w:r>
      <w:r w:rsidR="00D333F2" w:rsidRPr="00BF6615">
        <w:t>Internetu</w:t>
      </w:r>
      <w:r w:rsidRPr="00BF6615">
        <w:t xml:space="preserve"> w grupie obywatele (n=100)</w:t>
      </w:r>
      <w:bookmarkEnd w:id="240"/>
    </w:p>
    <w:p w14:paraId="3EA47114" w14:textId="2266BCAD" w:rsidR="00637358" w:rsidRPr="00BF6615" w:rsidRDefault="00AA1947" w:rsidP="007E26B5">
      <w:r w:rsidRPr="00BF6615">
        <w:rPr>
          <w:noProof/>
          <w:lang w:eastAsia="pl-PL"/>
        </w:rPr>
        <w:drawing>
          <wp:inline distT="0" distB="0" distL="0" distR="0" wp14:anchorId="5A60FC22" wp14:editId="1235A52F">
            <wp:extent cx="5943600" cy="4241800"/>
            <wp:effectExtent l="0" t="0" r="0" b="6350"/>
            <wp:docPr id="713155946" name="Wykres 1" descr="Cele osobiste (np. kontakt z rodziną, znajomymi) - 81%&#10;Rozrywka (np. film, muzyka) - 74%&#10;Załatwianie spraw urzędowych (np. wniosek o dowód) - 56%&#10;Poszukiwanie innych informacji - 56%&#10;Załatwianie spraw zdrowotnych (np. umówienie wizyty u lekarza) - 49%&#10;Cele edukacyjne (np. poszukiwanie materiałów edukacyjnych, filmów instruktażowych - 46%&#10;Cele zawodowe (np. poszukiwanie pracy, sprawy rentowe) - 42%&#10;Załatwianie spraw społecznych (np. turnus rehabilitacyjny, świadczenia z pomocy społecznej) - 22%">
              <a:extLst xmlns:a="http://schemas.openxmlformats.org/drawingml/2006/main">
                <a:ext uri="{FF2B5EF4-FFF2-40B4-BE49-F238E27FC236}">
                  <a16:creationId xmlns:a16="http://schemas.microsoft.com/office/drawing/2014/main" id="{4C2A232E-989C-66D3-CBF4-04C6595B7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71D862B" w14:textId="77777777" w:rsidR="00C55BDD" w:rsidRPr="00BF6615" w:rsidRDefault="00C55BDD" w:rsidP="007E26B5">
      <w:r w:rsidRPr="00BF6615">
        <w:t>Źródło: opracowanie własne.</w:t>
      </w:r>
    </w:p>
    <w:p w14:paraId="3EFB291B" w14:textId="5801777E" w:rsidR="00AA1947" w:rsidRPr="00BF6615" w:rsidRDefault="00AA1947" w:rsidP="007E26B5">
      <w:r w:rsidRPr="00BF6615">
        <w:t xml:space="preserve">Do najczęściej załatwianych spraw </w:t>
      </w:r>
      <w:r w:rsidR="003D16F7" w:rsidRPr="00BF6615">
        <w:t xml:space="preserve">online </w:t>
      </w:r>
      <w:r w:rsidRPr="00BF6615">
        <w:t xml:space="preserve">należą: zakupy online (85%), komunikacja (79%) czy </w:t>
      </w:r>
      <w:r w:rsidR="003D16F7" w:rsidRPr="00BF6615">
        <w:t xml:space="preserve">opłacanie </w:t>
      </w:r>
      <w:r w:rsidRPr="00BF6615">
        <w:t xml:space="preserve">rachunków (78%). Wskazuje to na intensywne wykorzystanie narzędzi cyfrowych </w:t>
      </w:r>
      <w:r w:rsidR="007C7BCE" w:rsidRPr="00BF6615">
        <w:t xml:space="preserve">do </w:t>
      </w:r>
      <w:r w:rsidR="003D16F7" w:rsidRPr="00BF6615">
        <w:t xml:space="preserve">realizacji </w:t>
      </w:r>
      <w:r w:rsidR="007C7BCE" w:rsidRPr="00BF6615">
        <w:t>spraw osobistych, na załatwianie spraw urzędowych online wskazuje połowa badanych (48%).</w:t>
      </w:r>
    </w:p>
    <w:p w14:paraId="09D638DD" w14:textId="77777777" w:rsidR="007C7BCE" w:rsidRPr="00BF6615" w:rsidRDefault="007C7BCE" w:rsidP="007E26B5"/>
    <w:p w14:paraId="36764841" w14:textId="2A6B9E21" w:rsidR="007C7BCE" w:rsidRPr="00BF6615" w:rsidRDefault="007C7BCE" w:rsidP="00FD0843">
      <w:pPr>
        <w:pStyle w:val="Legenda"/>
        <w:keepNext/>
        <w:pageBreakBefore/>
      </w:pPr>
      <w:bookmarkStart w:id="241" w:name="_Toc204179176"/>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30</w:t>
      </w:r>
      <w:r w:rsidRPr="00BF6615">
        <w:fldChar w:fldCharType="end"/>
      </w:r>
      <w:r w:rsidR="00FD0843">
        <w:t>.</w:t>
      </w:r>
      <w:r w:rsidRPr="00BF6615">
        <w:t xml:space="preserve"> Rodzaje spraw załatwianych najczęściej online w grupie obywatele (n=100)</w:t>
      </w:r>
      <w:bookmarkEnd w:id="241"/>
    </w:p>
    <w:p w14:paraId="7784DC0F" w14:textId="7ED6211D" w:rsidR="00AA1947" w:rsidRPr="00BF6615" w:rsidRDefault="00AA1947" w:rsidP="007E26B5">
      <w:pPr>
        <w:rPr>
          <w:color w:val="4472C4" w:themeColor="accent1"/>
        </w:rPr>
      </w:pPr>
      <w:r w:rsidRPr="00BF6615">
        <w:rPr>
          <w:noProof/>
          <w:lang w:eastAsia="pl-PL"/>
        </w:rPr>
        <w:drawing>
          <wp:inline distT="0" distB="0" distL="0" distR="0" wp14:anchorId="77C161B9" wp14:editId="2D5BB367">
            <wp:extent cx="5461000" cy="3619500"/>
            <wp:effectExtent l="0" t="0" r="6350" b="0"/>
            <wp:docPr id="1979402706" name="Wykres 1" descr="Zakupy online - 85%&#10;Komunikacja (np. e-mail, media społecznościowe) - 79%&#10;Płatności rachunków - 78%&#10;Inne rezerwacje (np. bilety do kina, bilety na przejazdy np. PKP) - 54%&#10;Załatwianie spraw urzędowych (np. składanie PIT, wnioskowanie o zaświadczenia) - 48%&#10;Nauka (np. kursy, szkolenia) - 38%&#10;Rezerwacje wizyt lekarskich -37%&#10;Poszukiwanie pracy - 29%">
              <a:extLst xmlns:a="http://schemas.openxmlformats.org/drawingml/2006/main">
                <a:ext uri="{FF2B5EF4-FFF2-40B4-BE49-F238E27FC236}">
                  <a16:creationId xmlns:a16="http://schemas.microsoft.com/office/drawing/2014/main" id="{F21253E1-E4E7-EDD9-7818-9755EE523A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FCCDD8E" w14:textId="77777777" w:rsidR="00C55BDD" w:rsidRPr="00BF6615" w:rsidRDefault="00C55BDD" w:rsidP="007E26B5">
      <w:r w:rsidRPr="00BF6615">
        <w:t>Źródło: opracowanie własne.</w:t>
      </w:r>
    </w:p>
    <w:p w14:paraId="69424E0E" w14:textId="39F1142E" w:rsidR="00637358" w:rsidRPr="00BF6615" w:rsidRDefault="007C7BCE" w:rsidP="007E26B5">
      <w:r w:rsidRPr="00BF6615">
        <w:t>W pytaniu otwartym o to, jakich informacji badani najczęściej szukają w sieci</w:t>
      </w:r>
      <w:r w:rsidR="003D16F7" w:rsidRPr="00BF6615">
        <w:t>,</w:t>
      </w:r>
      <w:r w:rsidRPr="00BF6615">
        <w:t xml:space="preserve"> znalazł się szeroki katalog </w:t>
      </w:r>
      <w:r w:rsidR="007973F2" w:rsidRPr="00BF6615">
        <w:t>wskazań</w:t>
      </w:r>
      <w:r w:rsidRPr="00BF6615">
        <w:t>, przy czym zdecydowanie przeważały kwestie z obszaru celów osobistych takie jak: polityka, sport, przepisy kulinarne czy zakupy, w tym weryfikowanie informacji o produktach. Badani nie wskazywali na poszukiwanie informacji z obszaru administracji</w:t>
      </w:r>
      <w:r w:rsidR="003D16F7" w:rsidRPr="00BF6615">
        <w:t>,</w:t>
      </w:r>
      <w:r w:rsidRPr="00BF6615">
        <w:t xml:space="preserve"> czy załatwiania spraw urzędowych.</w:t>
      </w:r>
    </w:p>
    <w:p w14:paraId="4BA062A9" w14:textId="1258254A" w:rsidR="007C7BCE" w:rsidRPr="00665D24" w:rsidRDefault="007C7BCE" w:rsidP="00B271C3">
      <w:pPr>
        <w:pStyle w:val="Nagwek4"/>
        <w:rPr>
          <w:bCs/>
        </w:rPr>
      </w:pPr>
      <w:r w:rsidRPr="00665D24">
        <w:rPr>
          <w:bCs/>
        </w:rPr>
        <w:t>Kontakty z administracją</w:t>
      </w:r>
      <w:r w:rsidR="007B1C34" w:rsidRPr="00665D24">
        <w:rPr>
          <w:bCs/>
        </w:rPr>
        <w:t xml:space="preserve"> przez strony i aplikacje </w:t>
      </w:r>
    </w:p>
    <w:p w14:paraId="7AE55C4D" w14:textId="1156A879" w:rsidR="00F52AD6" w:rsidRPr="00BF6615" w:rsidRDefault="00F52AD6" w:rsidP="007E26B5">
      <w:r w:rsidRPr="00BF6615">
        <w:t>Tylko 6</w:t>
      </w:r>
      <w:r w:rsidR="00156F3C" w:rsidRPr="00BF6615">
        <w:t>%</w:t>
      </w:r>
      <w:r w:rsidRPr="00BF6615">
        <w:t xml:space="preserve"> osób wskazało, że nie korzysta ze stron podmiotów publicznych,</w:t>
      </w:r>
      <w:r w:rsidR="00621861" w:rsidRPr="00BF6615">
        <w:t xml:space="preserve"> a 16</w:t>
      </w:r>
      <w:r w:rsidR="00156F3C" w:rsidRPr="00BF6615">
        <w:t>%</w:t>
      </w:r>
      <w:r w:rsidR="00621861" w:rsidRPr="00BF6615">
        <w:t>, że nie korzysta z aplikacji. P</w:t>
      </w:r>
      <w:r w:rsidRPr="00BF6615">
        <w:t xml:space="preserve">odczas, gdy </w:t>
      </w:r>
      <w:r w:rsidR="00621861" w:rsidRPr="00BF6615">
        <w:t xml:space="preserve">w grupie </w:t>
      </w:r>
      <w:r w:rsidRPr="00BF6615">
        <w:t>korzysta</w:t>
      </w:r>
      <w:r w:rsidR="00621861" w:rsidRPr="00BF6615">
        <w:t>jących</w:t>
      </w:r>
      <w:r w:rsidRPr="00BF6615">
        <w:t xml:space="preserve"> często</w:t>
      </w:r>
      <w:r w:rsidR="00621861" w:rsidRPr="00BF6615">
        <w:t xml:space="preserve"> ze stron jest 27%, </w:t>
      </w:r>
      <w:r w:rsidR="00A42EFD" w:rsidRPr="00BF6615">
        <w:t>a</w:t>
      </w:r>
      <w:r w:rsidR="00A42EFD">
        <w:t> </w:t>
      </w:r>
      <w:r w:rsidR="00A42EFD" w:rsidRPr="00BF6615">
        <w:t>z</w:t>
      </w:r>
      <w:r w:rsidR="00A42EFD">
        <w:t> </w:t>
      </w:r>
      <w:r w:rsidR="00621861" w:rsidRPr="00BF6615">
        <w:t xml:space="preserve">aplikacji 32% wskazań. </w:t>
      </w:r>
      <w:r w:rsidR="003D16F7" w:rsidRPr="00BF6615">
        <w:t>W</w:t>
      </w:r>
      <w:r w:rsidRPr="00BF6615">
        <w:t xml:space="preserve">iększość </w:t>
      </w:r>
      <w:r w:rsidR="00621861" w:rsidRPr="00BF6615">
        <w:t xml:space="preserve">respondentów </w:t>
      </w:r>
      <w:r w:rsidRPr="00BF6615">
        <w:t>określiła korzystanie ze stron podmiotów publicznych</w:t>
      </w:r>
      <w:r w:rsidR="00621861" w:rsidRPr="00BF6615">
        <w:t xml:space="preserve"> i aplikacji</w:t>
      </w:r>
      <w:r w:rsidRPr="00BF6615">
        <w:t>, jako sporadyczne (</w:t>
      </w:r>
      <w:r w:rsidR="00621861" w:rsidRPr="00BF6615">
        <w:t xml:space="preserve">dla stron </w:t>
      </w:r>
      <w:r w:rsidRPr="00BF6615">
        <w:t>67%</w:t>
      </w:r>
      <w:r w:rsidR="003D16F7" w:rsidRPr="00BF6615">
        <w:t>:</w:t>
      </w:r>
      <w:r w:rsidR="00621861" w:rsidRPr="00BF6615">
        <w:t xml:space="preserve"> dla aplikacji: 52%</w:t>
      </w:r>
      <w:r w:rsidRPr="00BF6615">
        <w:t>). Badani, którzy nie korzystają ze stron</w:t>
      </w:r>
      <w:r w:rsidR="003D16F7" w:rsidRPr="00BF6615">
        <w:t>,</w:t>
      </w:r>
      <w:r w:rsidRPr="00BF6615">
        <w:t xml:space="preserve"> jako powód podali fakt, że wolą załatwiać sprawy osobiście lub telefonicznie. Jedna osoba zwróciła uwagę na brak dostępności stron, co uniemożliwia korzystanie z nich. Osoby w tej grupie były zróżnicowane z uwagi na wiek czy wielkość miejsca zamieszkania.</w:t>
      </w:r>
      <w:r w:rsidR="00621861" w:rsidRPr="00BF6615">
        <w:t xml:space="preserve"> W grupie, która nie korzysta z aplikacji</w:t>
      </w:r>
      <w:r w:rsidR="003D16F7" w:rsidRPr="00BF6615">
        <w:t>,</w:t>
      </w:r>
      <w:r w:rsidR="00621861" w:rsidRPr="00BF6615">
        <w:t xml:space="preserve"> znalazły się osoby, które wolą załatwiać sprawy osobiście i telefonicznie, osoby, </w:t>
      </w:r>
      <w:r w:rsidR="000204AE" w:rsidRPr="00BF6615">
        <w:t xml:space="preserve">wskazujące </w:t>
      </w:r>
      <w:r w:rsidR="00621861" w:rsidRPr="00BF6615">
        <w:t>na słabą dostępność aplikacji, ale także osoby, które zwracały uwagę na brak zaufania do aplikacji „Nie chce wszystkiego przenosić do aplikacji i być pod stała obserwacją”.</w:t>
      </w:r>
      <w:r w:rsidR="00AE3E37" w:rsidRPr="00BF6615">
        <w:t xml:space="preserve"> W grupie osób, które nie korzystają z aplikacji 70% stanowiły osoby w wieku 40-59 lat.</w:t>
      </w:r>
    </w:p>
    <w:p w14:paraId="3C5A034B" w14:textId="4489D7BD" w:rsidR="00621861" w:rsidRPr="00BF6615" w:rsidRDefault="00621861" w:rsidP="007E26B5">
      <w:r w:rsidRPr="00BF6615">
        <w:lastRenderedPageBreak/>
        <w:t>Wyniki te są nieznacznie lepsze niż dane GUS</w:t>
      </w:r>
      <w:r w:rsidR="00156F3C" w:rsidRPr="00BF6615">
        <w:rPr>
          <w:rStyle w:val="Odwoanieprzypisudolnego"/>
        </w:rPr>
        <w:footnoteReference w:id="38"/>
      </w:r>
      <w:r w:rsidRPr="00BF6615">
        <w:t xml:space="preserve">, z których wynika, że 20,7% osób </w:t>
      </w:r>
      <w:r w:rsidR="00A42EFD" w:rsidRPr="00BF6615">
        <w:t>w</w:t>
      </w:r>
      <w:r w:rsidR="00A42EFD">
        <w:t> </w:t>
      </w:r>
      <w:r w:rsidRPr="00BF6615">
        <w:t>grupie badanej (osoby w wieku największej aktywności zawodowej 25-54 lata)</w:t>
      </w:r>
      <w:r w:rsidR="00156F3C" w:rsidRPr="00BF6615">
        <w:t xml:space="preserve"> nie korzysta ze stron i aplikacji podmiotów publicznych.</w:t>
      </w:r>
    </w:p>
    <w:p w14:paraId="63EB835F" w14:textId="7D9E1B32" w:rsidR="00621861" w:rsidRPr="00BF6615" w:rsidRDefault="00621861" w:rsidP="007E26B5">
      <w:pPr>
        <w:pStyle w:val="Legenda"/>
        <w:keepNext/>
      </w:pPr>
      <w:bookmarkStart w:id="242" w:name="_Toc204179177"/>
      <w:r w:rsidRPr="00BF6615">
        <w:t xml:space="preserve">Wykres </w:t>
      </w:r>
      <w:r w:rsidRPr="00BF6615">
        <w:fldChar w:fldCharType="begin"/>
      </w:r>
      <w:r w:rsidRPr="00BF6615">
        <w:instrText xml:space="preserve"> SEQ Wykres \* ARABIC </w:instrText>
      </w:r>
      <w:r w:rsidRPr="00BF6615">
        <w:fldChar w:fldCharType="separate"/>
      </w:r>
      <w:r w:rsidR="00FD0843">
        <w:rPr>
          <w:noProof/>
        </w:rPr>
        <w:t>31</w:t>
      </w:r>
      <w:r w:rsidRPr="00BF6615">
        <w:fldChar w:fldCharType="end"/>
      </w:r>
      <w:r w:rsidR="00FD0843">
        <w:t>.</w:t>
      </w:r>
      <w:r w:rsidRPr="00BF6615">
        <w:t xml:space="preserve"> </w:t>
      </w:r>
      <w:r w:rsidR="00156F3C" w:rsidRPr="00BF6615">
        <w:t>Korzystanie ze stron i aplikacji podmiotów publicznych</w:t>
      </w:r>
      <w:r w:rsidRPr="00BF6615">
        <w:t xml:space="preserve"> w grupie obywatele (n=100)</w:t>
      </w:r>
      <w:bookmarkEnd w:id="242"/>
    </w:p>
    <w:p w14:paraId="57EC1DE7" w14:textId="550D48F2" w:rsidR="00621861" w:rsidRPr="00BF6615" w:rsidRDefault="00621861" w:rsidP="007E26B5">
      <w:r w:rsidRPr="00BF6615">
        <w:rPr>
          <w:noProof/>
          <w:lang w:eastAsia="pl-PL"/>
        </w:rPr>
        <w:drawing>
          <wp:inline distT="0" distB="0" distL="0" distR="0" wp14:anchorId="79B451BD" wp14:editId="0D5C8AC4">
            <wp:extent cx="6313336" cy="2997835"/>
            <wp:effectExtent l="0" t="0" r="0" b="0"/>
            <wp:docPr id="1362878812" name="Wykres 1" descr="nie korzystam &#10;aplikacje - 16%&#10;strony - 6%&#10;&#10;sporadycznie &#10;aplikacje - 52%&#10;strony - 67%&#10;&#10;często &#10;aplikacje - 32%&#10;strony - 27%">
              <a:extLst xmlns:a="http://schemas.openxmlformats.org/drawingml/2006/main">
                <a:ext uri="{FF2B5EF4-FFF2-40B4-BE49-F238E27FC236}">
                  <a16:creationId xmlns:a16="http://schemas.microsoft.com/office/drawing/2014/main" id="{6EDC107B-A521-FC96-6D5C-67E8BAF28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B8EB4CE" w14:textId="77777777" w:rsidR="00621861" w:rsidRPr="00BF6615" w:rsidRDefault="00621861" w:rsidP="007E26B5">
      <w:r w:rsidRPr="00BF6615">
        <w:t>Źródło: opracowanie własne.</w:t>
      </w:r>
    </w:p>
    <w:p w14:paraId="0E1752CE" w14:textId="1A6FFE73" w:rsidR="007C7BCE" w:rsidRPr="00BF6615" w:rsidRDefault="00F52AD6" w:rsidP="007E26B5">
      <w:r w:rsidRPr="00BF6615">
        <w:t>Najwięcej</w:t>
      </w:r>
      <w:r w:rsidR="007C7BCE" w:rsidRPr="00BF6615">
        <w:t xml:space="preserve"> respondentów zadeklarowała, że najczęściej załatwia sprawy urzędowe online (36%), przy czym tylko 4 punkty procentowe mniej otrzymało wskazanie na załatwianie spraw osobiście. Co trzecia osoba badana wskazała, </w:t>
      </w:r>
      <w:r w:rsidR="15411FE2" w:rsidRPr="00BF6615">
        <w:t>ż</w:t>
      </w:r>
      <w:r w:rsidR="007C7BCE" w:rsidRPr="00BF6615">
        <w:t>e łączy ze sobą różne sposoby. Uwagę zwraca wynik 4% dla kanału telefonicznego- w tej grupie znalazły się zarówno osoby p</w:t>
      </w:r>
      <w:r w:rsidR="007973F2" w:rsidRPr="00BF6615">
        <w:t>racujące</w:t>
      </w:r>
      <w:r w:rsidR="007C7BCE" w:rsidRPr="00BF6615">
        <w:t>, jak i niepracujące oraz w różnym wieku. Osoby, które preferowały sposób online to grupa, w której przeważały</w:t>
      </w:r>
      <w:r w:rsidR="00C55BDD" w:rsidRPr="00BF6615">
        <w:t xml:space="preserve"> osoby pracujące w wieku 18-39 lat (2/3 grupy).</w:t>
      </w:r>
      <w:r w:rsidR="00F8376E" w:rsidRPr="00BF6615">
        <w:t xml:space="preserve"> Pogłębiona analiza miejsca zamieszkana badanych i wpływu tego na sposób załatwiania spraw urzędowych nie ujawniła istotnych różnić między wsiami i małymi miastami a dużymi aglomeracjami. Nieznacznie więcej mieszkańców wsi wskazywała na sposób załatwiania spraw telefoniczny i online.</w:t>
      </w:r>
    </w:p>
    <w:p w14:paraId="1C221BC3" w14:textId="35864ABF" w:rsidR="00C55BDD" w:rsidRPr="00BF6615" w:rsidRDefault="00C55BDD" w:rsidP="007E26B5">
      <w:pPr>
        <w:pStyle w:val="Legenda"/>
        <w:keepNext/>
        <w:pageBreakBefore/>
      </w:pPr>
      <w:bookmarkStart w:id="243" w:name="_Toc204179178"/>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32</w:t>
      </w:r>
      <w:r w:rsidRPr="00BF6615">
        <w:fldChar w:fldCharType="end"/>
      </w:r>
      <w:r w:rsidR="00FD0843">
        <w:t>.</w:t>
      </w:r>
      <w:r w:rsidRPr="00BF6615">
        <w:t xml:space="preserve"> Sposób załatwiania spraw urzędowych w grupie obywatele (n=100)</w:t>
      </w:r>
      <w:bookmarkEnd w:id="243"/>
    </w:p>
    <w:p w14:paraId="19E10B60" w14:textId="39F0A993" w:rsidR="007C7BCE" w:rsidRPr="00BF6615" w:rsidRDefault="007C7BCE" w:rsidP="007E26B5">
      <w:r w:rsidRPr="00BF6615">
        <w:rPr>
          <w:noProof/>
          <w:lang w:eastAsia="pl-PL"/>
        </w:rPr>
        <w:drawing>
          <wp:inline distT="0" distB="0" distL="0" distR="0" wp14:anchorId="60A641F8" wp14:editId="6116928B">
            <wp:extent cx="5550010" cy="2798859"/>
            <wp:effectExtent l="0" t="0" r="0" b="1905"/>
            <wp:docPr id="1164175483" name="Wykres 1" descr="On-line - 36%&#10;Osobiście - 32%&#10;Łączę ze sobą różne sposoby (np. uzyskuję informacje telefonicznie, później załatwiam sprawę osobiście) - 28%&#10;Telefonicznie - 4%">
              <a:extLst xmlns:a="http://schemas.openxmlformats.org/drawingml/2006/main">
                <a:ext uri="{FF2B5EF4-FFF2-40B4-BE49-F238E27FC236}">
                  <a16:creationId xmlns:a16="http://schemas.microsoft.com/office/drawing/2014/main" id="{5BB0259B-6E7A-14ED-9479-8E937057C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0012184" w14:textId="77777777" w:rsidR="00C55BDD" w:rsidRPr="00BF6615" w:rsidRDefault="00C55BDD" w:rsidP="007E26B5">
      <w:r w:rsidRPr="00BF6615">
        <w:t>Źródło: opracowanie własne.</w:t>
      </w:r>
    </w:p>
    <w:p w14:paraId="66D23C52" w14:textId="33318A46" w:rsidR="00156F3C" w:rsidRPr="00BF6615" w:rsidRDefault="00156F3C" w:rsidP="007E26B5">
      <w:r w:rsidRPr="00BF6615">
        <w:t>Warto zwrócić uwagę, że z badania „Polak w urzędzie AD 2024”</w:t>
      </w:r>
      <w:r w:rsidRPr="00BF6615">
        <w:rPr>
          <w:rStyle w:val="Odwoanieprzypisudolnego"/>
          <w:rFonts w:cstheme="minorHAnsi"/>
        </w:rPr>
        <w:footnoteReference w:id="39"/>
      </w:r>
      <w:r w:rsidRPr="00BF6615">
        <w:t xml:space="preserve"> wynika, że większość spraw w urzędach Polacy wciąż załatwiają osobiście, a tylko co trzecia osoba (32%) skorzystała z możliwości załatwienia sprawy przez Internet, tym samym otrzymane wyniki potwierdzają utrzymującą się umiarkowaną chęć do załatwiania spraw urzędowych online.</w:t>
      </w:r>
    </w:p>
    <w:p w14:paraId="19FD0C17" w14:textId="5BAC05D2" w:rsidR="007B1C34" w:rsidRPr="00060682" w:rsidRDefault="009A496A" w:rsidP="00B271C3">
      <w:pPr>
        <w:pStyle w:val="Nagwek4"/>
      </w:pPr>
      <w:r w:rsidRPr="00060682">
        <w:t xml:space="preserve">Doświadczenia </w:t>
      </w:r>
      <w:r w:rsidRPr="001C11F9">
        <w:rPr>
          <w:bCs/>
        </w:rPr>
        <w:t>k</w:t>
      </w:r>
      <w:r w:rsidR="007B1C34" w:rsidRPr="001C11F9">
        <w:rPr>
          <w:bCs/>
        </w:rPr>
        <w:t>orzystani</w:t>
      </w:r>
      <w:r w:rsidRPr="001C11F9">
        <w:rPr>
          <w:bCs/>
        </w:rPr>
        <w:t>a</w:t>
      </w:r>
      <w:r w:rsidR="007B1C34" w:rsidRPr="00060682">
        <w:t xml:space="preserve"> ze stron i aplikacji podmiotów publicznych</w:t>
      </w:r>
    </w:p>
    <w:p w14:paraId="750EA523" w14:textId="21E03AC5" w:rsidR="009A496A" w:rsidRPr="00BF6615" w:rsidRDefault="009A496A" w:rsidP="007E26B5">
      <w:r w:rsidRPr="00BF6615">
        <w:t>Sprawy, które najczęściej badani załatwiają online w urzędach</w:t>
      </w:r>
      <w:r w:rsidR="003D16F7" w:rsidRPr="00BF6615">
        <w:t>,</w:t>
      </w:r>
      <w:r w:rsidRPr="00BF6615">
        <w:t xml:space="preserve"> to składanie różnego typu wniosków (62%) oraz </w:t>
      </w:r>
      <w:r w:rsidR="003D16F7" w:rsidRPr="00BF6615">
        <w:t xml:space="preserve">opłacanie </w:t>
      </w:r>
      <w:r w:rsidRPr="00BF6615">
        <w:t>podatków (58</w:t>
      </w:r>
      <w:r w:rsidR="00B1280C" w:rsidRPr="00BF6615">
        <w:t>%</w:t>
      </w:r>
      <w:r w:rsidRPr="00BF6615">
        <w:t>).</w:t>
      </w:r>
      <w:r w:rsidR="007D57BC" w:rsidRPr="00BF6615">
        <w:t xml:space="preserve"> Badania nie wskazali na inne typy spraw.</w:t>
      </w:r>
    </w:p>
    <w:p w14:paraId="4DE22773" w14:textId="0749377E" w:rsidR="009A496A" w:rsidRPr="00BF6615" w:rsidRDefault="009A496A" w:rsidP="007E26B5">
      <w:pPr>
        <w:pStyle w:val="Legenda"/>
        <w:keepNext/>
      </w:pPr>
      <w:bookmarkStart w:id="244" w:name="_Toc204179179"/>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33</w:t>
      </w:r>
      <w:r w:rsidRPr="00BF6615">
        <w:fldChar w:fldCharType="end"/>
      </w:r>
      <w:r w:rsidR="00FD0843">
        <w:t>.</w:t>
      </w:r>
      <w:r w:rsidRPr="00BF6615">
        <w:t xml:space="preserve"> Sprawy regularnie załatwiane online za pośrednictwem stron podmiotów publicznych</w:t>
      </w:r>
      <w:r w:rsidR="004D58E9" w:rsidRPr="00BF6615">
        <w:t xml:space="preserve"> w grupie obywatele</w:t>
      </w:r>
      <w:r w:rsidRPr="00BF6615">
        <w:t xml:space="preserve"> (n=100)</w:t>
      </w:r>
      <w:bookmarkEnd w:id="244"/>
    </w:p>
    <w:p w14:paraId="2412AD7C" w14:textId="77777777" w:rsidR="009A496A" w:rsidRPr="00BF6615" w:rsidRDefault="009A496A" w:rsidP="007E26B5">
      <w:pPr>
        <w:rPr>
          <w:color w:val="4472C4" w:themeColor="accent1"/>
        </w:rPr>
      </w:pPr>
      <w:r w:rsidRPr="00BF6615">
        <w:rPr>
          <w:noProof/>
          <w:lang w:eastAsia="pl-PL"/>
        </w:rPr>
        <w:drawing>
          <wp:inline distT="0" distB="0" distL="0" distR="0" wp14:anchorId="55EAAA95" wp14:editId="57570A2F">
            <wp:extent cx="5995283" cy="2798445"/>
            <wp:effectExtent l="0" t="0" r="5715" b="1905"/>
            <wp:docPr id="1144464399" name="Wykres 1" descr="Składanie różnego typu wniosków (np. wniosek o wydanie zaświadczenia) - 62%&#10;Płatność podatków - 58%&#10;Rejestracja do lekarza - 43%&#10;Zgłaszanie problemów (np. awarie) - 30%">
              <a:extLst xmlns:a="http://schemas.openxmlformats.org/drawingml/2006/main">
                <a:ext uri="{FF2B5EF4-FFF2-40B4-BE49-F238E27FC236}">
                  <a16:creationId xmlns:a16="http://schemas.microsoft.com/office/drawing/2014/main" id="{15DED54E-BCEB-DB40-92F4-6E9E02CD8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B963035" w14:textId="77777777" w:rsidR="009A496A" w:rsidRPr="00BF6615" w:rsidRDefault="009A496A" w:rsidP="007E26B5">
      <w:r w:rsidRPr="00BF6615">
        <w:t>Źródło: opracowanie własne.</w:t>
      </w:r>
    </w:p>
    <w:p w14:paraId="4457DFCE" w14:textId="415FAADD" w:rsidR="009A496A" w:rsidRPr="00BF6615" w:rsidRDefault="009A496A" w:rsidP="007E26B5">
      <w:r w:rsidRPr="00BF6615">
        <w:t>Badani wskazywali, ze najczęściej korzystają ze stron rządowych, ministerstw lub agencji (59%), nieco rzadziej ze stron urzędów miejskich/gminnych (49%) czy stron Urzędów Skarbowych (46%). W grupie stron tematycznych najczęściej wskazywano na strony instytucji zdrowotnych (39%). Respondenci nie wskazali na korzystanie ze stron takich podmiotów jak PFRON czy ZUS.</w:t>
      </w:r>
    </w:p>
    <w:p w14:paraId="7A31BAB3" w14:textId="77777777" w:rsidR="009A496A" w:rsidRPr="00BF6615" w:rsidRDefault="009A496A" w:rsidP="007E26B5">
      <w:pPr>
        <w:rPr>
          <w:color w:val="4472C4" w:themeColor="accent1"/>
        </w:rPr>
      </w:pPr>
    </w:p>
    <w:p w14:paraId="60D44F33" w14:textId="3FABBB51" w:rsidR="009A496A" w:rsidRPr="00BF6615" w:rsidRDefault="009A496A" w:rsidP="007E26B5">
      <w:pPr>
        <w:pStyle w:val="Legenda"/>
        <w:keepNext/>
      </w:pPr>
      <w:bookmarkStart w:id="245" w:name="_Toc204179180"/>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34</w:t>
      </w:r>
      <w:r w:rsidRPr="00BF6615">
        <w:fldChar w:fldCharType="end"/>
      </w:r>
      <w:r w:rsidR="00FD0843">
        <w:t>.</w:t>
      </w:r>
      <w:r w:rsidRPr="00BF6615">
        <w:t xml:space="preserve"> Strony podmiotów publicznych, z jakich najczęściej korzystają badani w grupie obywatele (n=100)</w:t>
      </w:r>
      <w:bookmarkEnd w:id="245"/>
    </w:p>
    <w:p w14:paraId="75595A28" w14:textId="1D164CED" w:rsidR="007D57BC" w:rsidRPr="00BF6615" w:rsidRDefault="001F54AD" w:rsidP="007E26B5">
      <w:r w:rsidRPr="00BF6615">
        <w:rPr>
          <w:noProof/>
          <w:lang w:eastAsia="pl-PL"/>
        </w:rPr>
        <w:drawing>
          <wp:inline distT="0" distB="0" distL="0" distR="0" wp14:anchorId="054623F5" wp14:editId="5A6A8645">
            <wp:extent cx="5486400" cy="5050972"/>
            <wp:effectExtent l="0" t="0" r="0" b="3810"/>
            <wp:docPr id="514492316" name="Wykres 1" descr="Strony urzędów miejskich/gminnych - 49%&#10;Strony Powiatowych Centrów Pomocy Rodzinie/Miejskich lub Gminnych Ośrodków Pomocy Społecznej - 16%&#10;Strony rządowe, ministerstw lub agencji - 59%&#10;Strony Urzędów Skarbowych - 46%&#10;Strony Urzędów Pracy - 24%&#10;Strony instytucji zdrowotnych - 39%&#10;Strony edukacyjne  - 31%&#10;Strony instytucji kultury - 25%&#10;Inne - 0%">
              <a:extLst xmlns:a="http://schemas.openxmlformats.org/drawingml/2006/main">
                <a:ext uri="{FF2B5EF4-FFF2-40B4-BE49-F238E27FC236}">
                  <a16:creationId xmlns:a16="http://schemas.microsoft.com/office/drawing/2014/main" id="{5BB8D529-2BD0-E544-BF98-B38A5B6186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47EDB37" w14:textId="77777777" w:rsidR="009A496A" w:rsidRPr="00BF6615" w:rsidRDefault="009A496A" w:rsidP="007E26B5">
      <w:r w:rsidRPr="00BF6615">
        <w:t>Źródło: opracowanie własne.</w:t>
      </w:r>
    </w:p>
    <w:p w14:paraId="495AE8FE" w14:textId="3FFD76E7" w:rsidR="009A496A" w:rsidRPr="00BF6615" w:rsidRDefault="009A496A" w:rsidP="007E26B5">
      <w:r w:rsidRPr="00BF6615">
        <w:t>Respondenci proszeni byli o wskazanie stron podmiotów publicznych, z których korzystają, a następnie o ocenę tych stron w różnych aspektach dostępności cyfrowej. Tabele poniżej przedstawia</w:t>
      </w:r>
      <w:r w:rsidR="003D16F7" w:rsidRPr="00BF6615">
        <w:t>ją</w:t>
      </w:r>
      <w:r w:rsidRPr="00BF6615">
        <w:t xml:space="preserve"> średnie oceny nadane przez użytkowników dla poszczególnych cech stron. Skala ocen zawierała się w przedziale 1-5, gdzie 1 było najniższą, a 5 najwyższą oceną. </w:t>
      </w:r>
    </w:p>
    <w:p w14:paraId="5DC53B9D" w14:textId="1BA6975A" w:rsidR="00356928" w:rsidRPr="00BF6615" w:rsidRDefault="00356928" w:rsidP="007E26B5">
      <w:pPr>
        <w:pageBreakBefore/>
      </w:pPr>
      <w:r w:rsidRPr="00BF6615">
        <w:lastRenderedPageBreak/>
        <w:t>W grupach stron, które oceniali badani znalazły się</w:t>
      </w:r>
      <w:r w:rsidR="00B36A56" w:rsidRPr="00BF6615">
        <w:rPr>
          <w:rStyle w:val="Odwoanieprzypisudolnego"/>
        </w:rPr>
        <w:footnoteReference w:id="40"/>
      </w:r>
      <w:r w:rsidRPr="00BF6615">
        <w:t>:</w:t>
      </w:r>
    </w:p>
    <w:p w14:paraId="4D38692D" w14:textId="4E1DD5E9" w:rsidR="006F1E2C" w:rsidRPr="00BF6615" w:rsidRDefault="006F1E2C">
      <w:pPr>
        <w:pStyle w:val="Akapitzlist"/>
        <w:numPr>
          <w:ilvl w:val="0"/>
          <w:numId w:val="66"/>
        </w:numPr>
      </w:pPr>
      <w:r w:rsidRPr="00BF6615">
        <w:t xml:space="preserve">strony rządowe/ministerstw: m.in. </w:t>
      </w:r>
      <w:proofErr w:type="spellStart"/>
      <w:r w:rsidRPr="00BF6615">
        <w:t>ePUAP</w:t>
      </w:r>
      <w:proofErr w:type="spellEnd"/>
      <w:r w:rsidRPr="00BF6615">
        <w:t xml:space="preserve">, obywatel.gov.pl, </w:t>
      </w:r>
      <w:r w:rsidR="00420650" w:rsidRPr="00BF6615">
        <w:t>ZUS,</w:t>
      </w:r>
    </w:p>
    <w:p w14:paraId="0827CD13" w14:textId="4A980768" w:rsidR="006F1E2C" w:rsidRPr="00BF6615" w:rsidRDefault="006F1E2C">
      <w:pPr>
        <w:pStyle w:val="Akapitzlist"/>
        <w:numPr>
          <w:ilvl w:val="0"/>
          <w:numId w:val="66"/>
        </w:numPr>
      </w:pPr>
      <w:r w:rsidRPr="00BF6615">
        <w:t>strony Urzędów Skarbowych: US różnych miast,</w:t>
      </w:r>
    </w:p>
    <w:p w14:paraId="79F310B0" w14:textId="0E26653B" w:rsidR="006F1E2C" w:rsidRPr="00BF6615" w:rsidRDefault="006F1E2C">
      <w:pPr>
        <w:pStyle w:val="Akapitzlist"/>
        <w:numPr>
          <w:ilvl w:val="0"/>
          <w:numId w:val="66"/>
        </w:numPr>
      </w:pPr>
      <w:r w:rsidRPr="00BF6615">
        <w:t>strony urzędów miejskich/gminnych: m.in. Urzędy Miast (w tym miasta wojewódzkie), Urzędy Gmin,</w:t>
      </w:r>
    </w:p>
    <w:p w14:paraId="7CD43861" w14:textId="216C850F" w:rsidR="006F1E2C" w:rsidRPr="00BF6615" w:rsidRDefault="006F1E2C">
      <w:pPr>
        <w:pStyle w:val="Akapitzlist"/>
        <w:numPr>
          <w:ilvl w:val="0"/>
          <w:numId w:val="66"/>
        </w:numPr>
      </w:pPr>
      <w:r w:rsidRPr="00BF6615">
        <w:t>strony Powiatowych Centrów Pomocy Rodzinie/Miejskich lub Gminnych Ośrodków Pomocy Społecznej: strony MOPS,</w:t>
      </w:r>
    </w:p>
    <w:p w14:paraId="11D2BC0D" w14:textId="36240EE0" w:rsidR="006F1E2C" w:rsidRPr="00BF6615" w:rsidRDefault="006F1E2C">
      <w:pPr>
        <w:pStyle w:val="Akapitzlist"/>
        <w:numPr>
          <w:ilvl w:val="0"/>
          <w:numId w:val="66"/>
        </w:numPr>
      </w:pPr>
      <w:r w:rsidRPr="00BF6615">
        <w:t>strony Urzędów Pracy: strony PUP różnych powiatów, praca.gov.pl,</w:t>
      </w:r>
    </w:p>
    <w:p w14:paraId="143D5B82" w14:textId="5BA1A72D" w:rsidR="006F1E2C" w:rsidRPr="00BF6615" w:rsidRDefault="006F1E2C">
      <w:pPr>
        <w:pStyle w:val="Akapitzlist"/>
        <w:numPr>
          <w:ilvl w:val="0"/>
          <w:numId w:val="66"/>
        </w:numPr>
      </w:pPr>
      <w:r w:rsidRPr="00BF6615">
        <w:t>strony instytucji zdrowotnych: m.in. strony przychodni,</w:t>
      </w:r>
      <w:r w:rsidR="00FE0E8B" w:rsidRPr="00BF6615">
        <w:t xml:space="preserve"> NFZ, pacjent.gov.pl</w:t>
      </w:r>
      <w:r w:rsidR="00E57234" w:rsidRPr="00BF6615">
        <w:t xml:space="preserve">, </w:t>
      </w:r>
      <w:proofErr w:type="spellStart"/>
      <w:r w:rsidR="00E57234" w:rsidRPr="00BF6615">
        <w:t>ezdrowie</w:t>
      </w:r>
      <w:proofErr w:type="spellEnd"/>
      <w:r w:rsidR="00E57234" w:rsidRPr="00BF6615">
        <w:t>,</w:t>
      </w:r>
    </w:p>
    <w:p w14:paraId="258B9E5D" w14:textId="74B869DC" w:rsidR="006F1E2C" w:rsidRPr="00BF6615" w:rsidRDefault="006F1E2C">
      <w:pPr>
        <w:pStyle w:val="Akapitzlist"/>
        <w:numPr>
          <w:ilvl w:val="0"/>
          <w:numId w:val="66"/>
        </w:numPr>
      </w:pPr>
      <w:r w:rsidRPr="00BF6615">
        <w:t>strony edukacyjne: elektroniczne dzienniki,</w:t>
      </w:r>
      <w:r w:rsidR="00FE0E8B" w:rsidRPr="00BF6615">
        <w:t xml:space="preserve"> strony uczelni</w:t>
      </w:r>
      <w:r w:rsidR="007D57BC" w:rsidRPr="00BF6615">
        <w:t>,</w:t>
      </w:r>
    </w:p>
    <w:p w14:paraId="6FC5D9B1" w14:textId="72025D4D" w:rsidR="006F1E2C" w:rsidRPr="00BF6615" w:rsidRDefault="006F1E2C">
      <w:pPr>
        <w:pStyle w:val="Akapitzlist"/>
        <w:numPr>
          <w:ilvl w:val="0"/>
          <w:numId w:val="66"/>
        </w:numPr>
      </w:pPr>
      <w:r w:rsidRPr="00BF6615">
        <w:t>strony instytucji kultury: m.in. muzea, obiekty zabytkowe oraz biblioteki.</w:t>
      </w:r>
    </w:p>
    <w:p w14:paraId="76C99E4C" w14:textId="7BFC257C" w:rsidR="0058076D" w:rsidRPr="00BF6615" w:rsidRDefault="00C56B43" w:rsidP="007E26B5">
      <w:r w:rsidRPr="00BF6615">
        <w:t xml:space="preserve">Średnie ocen poszczególnych aspektów dostępności we wszystkich kategoriach badanych stron pokazują wysoką ocenę- skala waha się od </w:t>
      </w:r>
      <w:r w:rsidR="003C7C10" w:rsidRPr="00BF6615">
        <w:t xml:space="preserve">4,0 do </w:t>
      </w:r>
      <w:r w:rsidR="00E647E5" w:rsidRPr="00BF6615">
        <w:t>5,0</w:t>
      </w:r>
      <w:r w:rsidRPr="00BF6615">
        <w:t xml:space="preserve"> Najniżej został</w:t>
      </w:r>
      <w:r w:rsidR="00875072" w:rsidRPr="00BF6615">
        <w:t>y ocenione str</w:t>
      </w:r>
      <w:r w:rsidR="00C85ED4" w:rsidRPr="00BF6615">
        <w:t>o</w:t>
      </w:r>
      <w:r w:rsidR="00875072" w:rsidRPr="00BF6615">
        <w:t xml:space="preserve">ny MOPS/PCPR, gdzie zanotowano najwięcej ocen </w:t>
      </w:r>
      <w:r w:rsidR="00C85ED4" w:rsidRPr="00BF6615">
        <w:t>średnich wielkości 4,0. Łączna ocena dla tego typu stron wyniosła 4,27.</w:t>
      </w:r>
      <w:r w:rsidR="0077016F" w:rsidRPr="00BF6615">
        <w:t xml:space="preserve"> </w:t>
      </w:r>
      <w:r w:rsidR="003C74F5" w:rsidRPr="00BF6615">
        <w:t xml:space="preserve">Jednocześnie strony te otrzymały najwyższa możliwa notę – 5,0 w kategorii posiadania tłumaczenia treści na PJM. </w:t>
      </w:r>
      <w:r w:rsidR="0058076D" w:rsidRPr="00BF6615">
        <w:t>Taka rozbieżność ocen w tym samym typie stron może świadczyć o tym, że podmioty te dostosowały treści do osób ze szczególnymi potrzebami, jednocześnie nie dostosowując innych zakresów</w:t>
      </w:r>
      <w:r w:rsidR="00844F52" w:rsidRPr="00BF6615">
        <w:t xml:space="preserve">, które są ważne dla każdego klienta czy klientki jak np. zrozumiałość treści czy czytelność strony bez względu na to, na jakim urządzeniu się z niej korzysta. </w:t>
      </w:r>
    </w:p>
    <w:p w14:paraId="7E8E23CA" w14:textId="2FCAC312" w:rsidR="0077016F" w:rsidRPr="00BF6615" w:rsidRDefault="0077016F" w:rsidP="007E26B5">
      <w:r w:rsidRPr="00BF6615">
        <w:t xml:space="preserve">Najwyżej oceniono strony urzędów miejskich/gminnych- łączna </w:t>
      </w:r>
      <w:r w:rsidR="00E647E5" w:rsidRPr="00BF6615">
        <w:t>ocena 4,48.</w:t>
      </w:r>
      <w:r w:rsidRPr="00BF6615">
        <w:t xml:space="preserve"> </w:t>
      </w:r>
    </w:p>
    <w:p w14:paraId="52A53279" w14:textId="649507C1" w:rsidR="00C56B43" w:rsidRPr="00BF6615" w:rsidRDefault="00C56B43" w:rsidP="007E26B5">
      <w:pPr>
        <w:sectPr w:rsidR="00C56B43" w:rsidRPr="00BF6615" w:rsidSect="00C56B43">
          <w:footerReference w:type="default" r:id="rId62"/>
          <w:pgSz w:w="12240" w:h="15840"/>
          <w:pgMar w:top="1440" w:right="1800" w:bottom="1440" w:left="1800" w:header="720" w:footer="720" w:gutter="0"/>
          <w:cols w:space="720"/>
          <w:docGrid w:linePitch="360"/>
        </w:sectPr>
      </w:pPr>
      <w:r w:rsidRPr="00BF6615">
        <w:t>Poniższa tabela prezentuje wyniki dla wszystkich badanych typów stron i ocenianych aspektów dostępności.</w:t>
      </w:r>
    </w:p>
    <w:p w14:paraId="7B590560" w14:textId="1BF5240B" w:rsidR="001C798F" w:rsidRPr="00BF6615" w:rsidRDefault="001C798F" w:rsidP="007E26B5">
      <w:pPr>
        <w:pStyle w:val="Legenda"/>
        <w:keepNext/>
      </w:pPr>
      <w:bookmarkStart w:id="246" w:name="_Toc204179129"/>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31</w:t>
      </w:r>
      <w:r w:rsidRPr="00BF6615">
        <w:fldChar w:fldCharType="end"/>
      </w:r>
      <w:r w:rsidR="00FD0843">
        <w:t>.</w:t>
      </w:r>
      <w:r w:rsidRPr="00BF6615">
        <w:t xml:space="preserve"> Średnie oceny stron publicznych wg aspektów dostępności cyfrowej dla stron, z których korzystają osoby badane w grupie obywatele</w:t>
      </w:r>
      <w:bookmarkEnd w:id="246"/>
    </w:p>
    <w:tbl>
      <w:tblPr>
        <w:tblStyle w:val="PARP"/>
        <w:tblW w:w="13261" w:type="dxa"/>
        <w:tblLook w:val="04A0" w:firstRow="1" w:lastRow="0" w:firstColumn="1" w:lastColumn="0" w:noHBand="0" w:noVBand="1"/>
        <w:tblCaption w:val="Średnie oceny stron publicznych wg aspektów dostępności cyfrowej dla stron, z których korzystają osoby badane w grupie obywatele"/>
        <w:tblDescription w:val="W kolumnach: &#10; Oceniany aspekt dostępności Strona urzędu centralnego, w tym rządowa, ministerstwa, agencji Strona urzędu skarbowego Strona urzędu miejskiego/gminnego Strona Powiatowego Centrum Pomocy Rodzinie/ Miejskiego lub Gminnego Ośrodka Pomocy Społecznej Sumaryczna średnia ocen"/>
      </w:tblPr>
      <w:tblGrid>
        <w:gridCol w:w="4531"/>
        <w:gridCol w:w="1765"/>
        <w:gridCol w:w="1354"/>
        <w:gridCol w:w="2096"/>
        <w:gridCol w:w="1765"/>
        <w:gridCol w:w="1750"/>
      </w:tblGrid>
      <w:tr w:rsidR="00183FB7" w:rsidRPr="00BF6615" w14:paraId="2096AF49" w14:textId="77777777" w:rsidTr="00805A39">
        <w:trPr>
          <w:cnfStyle w:val="100000000000" w:firstRow="1" w:lastRow="0" w:firstColumn="0" w:lastColumn="0" w:oddVBand="0" w:evenVBand="0" w:oddHBand="0" w:evenHBand="0" w:firstRowFirstColumn="0" w:firstRowLastColumn="0" w:lastRowFirstColumn="0" w:lastRowLastColumn="0"/>
          <w:trHeight w:val="2320"/>
        </w:trPr>
        <w:tc>
          <w:tcPr>
            <w:tcW w:w="4531" w:type="dxa"/>
            <w:hideMark/>
          </w:tcPr>
          <w:p w14:paraId="15986F91" w14:textId="2136F5F4" w:rsidR="00805A39" w:rsidRPr="00BF6615" w:rsidRDefault="00CE7312" w:rsidP="007E26B5">
            <w:pPr>
              <w:spacing w:after="0" w:line="240" w:lineRule="auto"/>
              <w:rPr>
                <w:rFonts w:eastAsia="Times New Roman" w:cs="Calibri"/>
                <w:b/>
                <w:sz w:val="22"/>
                <w:lang w:eastAsia="pl-PL"/>
              </w:rPr>
            </w:pPr>
            <w:r w:rsidRPr="00BF6615">
              <w:rPr>
                <w:rFonts w:eastAsia="Times New Roman" w:cs="Calibri"/>
                <w:b/>
                <w:sz w:val="22"/>
                <w:lang w:eastAsia="pl-PL"/>
              </w:rPr>
              <w:t xml:space="preserve"> </w:t>
            </w:r>
            <w:r w:rsidR="00BA0869" w:rsidRPr="00BF6615">
              <w:rPr>
                <w:rFonts w:eastAsia="Times New Roman" w:cs="Calibri"/>
                <w:b/>
                <w:sz w:val="22"/>
                <w:lang w:eastAsia="pl-PL"/>
              </w:rPr>
              <w:t>Oceniany aspekt dostępności</w:t>
            </w:r>
          </w:p>
        </w:tc>
        <w:tc>
          <w:tcPr>
            <w:tcW w:w="1765" w:type="dxa"/>
            <w:hideMark/>
          </w:tcPr>
          <w:p w14:paraId="13FCCDF8" w14:textId="77777777" w:rsidR="00805A39" w:rsidRPr="00BF6615" w:rsidRDefault="00805A39" w:rsidP="007E26B5">
            <w:pPr>
              <w:spacing w:after="0" w:line="240" w:lineRule="auto"/>
              <w:rPr>
                <w:rFonts w:eastAsia="Times New Roman" w:cs="Calibri"/>
                <w:b/>
                <w:sz w:val="22"/>
                <w:lang w:eastAsia="pl-PL"/>
              </w:rPr>
            </w:pPr>
            <w:r w:rsidRPr="00BF6615">
              <w:rPr>
                <w:rFonts w:eastAsia="Times New Roman" w:cs="Calibri"/>
                <w:b/>
                <w:sz w:val="22"/>
                <w:lang w:eastAsia="pl-PL"/>
              </w:rPr>
              <w:t>Strona urzędu centralnego, w tym rządowa, ministerstwa, agencji</w:t>
            </w:r>
          </w:p>
        </w:tc>
        <w:tc>
          <w:tcPr>
            <w:tcW w:w="1354" w:type="dxa"/>
            <w:hideMark/>
          </w:tcPr>
          <w:p w14:paraId="647650B9" w14:textId="77777777" w:rsidR="00805A39" w:rsidRPr="00BF6615" w:rsidRDefault="00805A39" w:rsidP="007E26B5">
            <w:pPr>
              <w:spacing w:after="0" w:line="240" w:lineRule="auto"/>
              <w:rPr>
                <w:rFonts w:eastAsia="Times New Roman" w:cs="Calibri"/>
                <w:b/>
                <w:sz w:val="22"/>
                <w:lang w:eastAsia="pl-PL"/>
              </w:rPr>
            </w:pPr>
            <w:r w:rsidRPr="00BF6615">
              <w:rPr>
                <w:rFonts w:eastAsia="Times New Roman" w:cs="Calibri"/>
                <w:b/>
                <w:sz w:val="22"/>
                <w:lang w:eastAsia="pl-PL"/>
              </w:rPr>
              <w:t>Strona urzędu skarbowego</w:t>
            </w:r>
          </w:p>
        </w:tc>
        <w:tc>
          <w:tcPr>
            <w:tcW w:w="2096" w:type="dxa"/>
            <w:hideMark/>
          </w:tcPr>
          <w:p w14:paraId="2A03BACD" w14:textId="59CABCB8" w:rsidR="00805A39" w:rsidRPr="00BF6615" w:rsidRDefault="00A43449" w:rsidP="007E26B5">
            <w:pPr>
              <w:spacing w:after="0" w:line="240" w:lineRule="auto"/>
              <w:rPr>
                <w:rFonts w:eastAsia="Times New Roman" w:cs="Calibri"/>
                <w:b/>
                <w:sz w:val="22"/>
                <w:lang w:eastAsia="pl-PL"/>
              </w:rPr>
            </w:pPr>
            <w:r w:rsidRPr="00BF6615">
              <w:rPr>
                <w:rFonts w:eastAsia="Times New Roman" w:cs="Calibri"/>
                <w:b/>
                <w:sz w:val="22"/>
                <w:lang w:eastAsia="pl-PL"/>
              </w:rPr>
              <w:t>S</w:t>
            </w:r>
            <w:r w:rsidR="00805A39" w:rsidRPr="00BF6615">
              <w:rPr>
                <w:rFonts w:eastAsia="Times New Roman" w:cs="Calibri"/>
                <w:b/>
                <w:sz w:val="22"/>
                <w:lang w:eastAsia="pl-PL"/>
              </w:rPr>
              <w:t>trona urzędu miejskiego/gminnego</w:t>
            </w:r>
          </w:p>
        </w:tc>
        <w:tc>
          <w:tcPr>
            <w:tcW w:w="1765" w:type="dxa"/>
            <w:hideMark/>
          </w:tcPr>
          <w:p w14:paraId="6C220C08" w14:textId="77777777" w:rsidR="00805A39" w:rsidRPr="00BF6615" w:rsidRDefault="00805A39" w:rsidP="007E26B5">
            <w:pPr>
              <w:spacing w:after="0" w:line="240" w:lineRule="auto"/>
              <w:rPr>
                <w:rFonts w:eastAsia="Times New Roman" w:cs="Calibri"/>
                <w:b/>
                <w:sz w:val="22"/>
                <w:lang w:eastAsia="pl-PL"/>
              </w:rPr>
            </w:pPr>
            <w:r w:rsidRPr="00BF6615">
              <w:rPr>
                <w:rFonts w:eastAsia="Times New Roman" w:cs="Calibri"/>
                <w:b/>
                <w:sz w:val="22"/>
                <w:lang w:eastAsia="pl-PL"/>
              </w:rPr>
              <w:t>Strona Powiatowego Centrum Pomocy Rodzinie/ Miejskiego lub Gminnego Ośrodka Pomocy Społecznej</w:t>
            </w:r>
          </w:p>
        </w:tc>
        <w:tc>
          <w:tcPr>
            <w:tcW w:w="1750" w:type="dxa"/>
            <w:hideMark/>
          </w:tcPr>
          <w:p w14:paraId="08041B44" w14:textId="2089E1B3" w:rsidR="00805A39" w:rsidRPr="00BF6615" w:rsidRDefault="00BA0869"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183FB7" w:rsidRPr="00BF6615" w14:paraId="7E2276BC" w14:textId="77777777" w:rsidTr="00805A39">
        <w:trPr>
          <w:cnfStyle w:val="000000100000" w:firstRow="0" w:lastRow="0" w:firstColumn="0" w:lastColumn="0" w:oddVBand="0" w:evenVBand="0" w:oddHBand="1" w:evenHBand="0" w:firstRowFirstColumn="0" w:firstRowLastColumn="0" w:lastRowFirstColumn="0" w:lastRowLastColumn="0"/>
          <w:trHeight w:val="580"/>
        </w:trPr>
        <w:tc>
          <w:tcPr>
            <w:tcW w:w="4531" w:type="dxa"/>
            <w:hideMark/>
          </w:tcPr>
          <w:p w14:paraId="4FCF441B"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przeglądać zawartość i znajdować potrzebne mi informacje</w:t>
            </w:r>
          </w:p>
        </w:tc>
        <w:tc>
          <w:tcPr>
            <w:tcW w:w="1765" w:type="dxa"/>
            <w:hideMark/>
          </w:tcPr>
          <w:p w14:paraId="5D74AFAD"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4,27</w:t>
            </w:r>
          </w:p>
        </w:tc>
        <w:tc>
          <w:tcPr>
            <w:tcW w:w="1354" w:type="dxa"/>
            <w:hideMark/>
          </w:tcPr>
          <w:p w14:paraId="608460F4"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4,27</w:t>
            </w:r>
          </w:p>
        </w:tc>
        <w:tc>
          <w:tcPr>
            <w:tcW w:w="2096" w:type="dxa"/>
            <w:hideMark/>
          </w:tcPr>
          <w:p w14:paraId="51885A10"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4,26</w:t>
            </w:r>
          </w:p>
        </w:tc>
        <w:tc>
          <w:tcPr>
            <w:tcW w:w="1765" w:type="dxa"/>
            <w:hideMark/>
          </w:tcPr>
          <w:p w14:paraId="76F40774"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50" w:type="dxa"/>
            <w:vAlign w:val="center"/>
            <w:hideMark/>
          </w:tcPr>
          <w:p w14:paraId="3D68F241" w14:textId="61CB244F"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4,20</w:t>
            </w:r>
          </w:p>
        </w:tc>
      </w:tr>
      <w:tr w:rsidR="00183FB7" w:rsidRPr="00BF6615" w14:paraId="4B7F5163" w14:textId="77777777" w:rsidTr="00805A39">
        <w:trPr>
          <w:cnfStyle w:val="000000010000" w:firstRow="0" w:lastRow="0" w:firstColumn="0" w:lastColumn="0" w:oddVBand="0" w:evenVBand="0" w:oddHBand="0" w:evenHBand="1" w:firstRowFirstColumn="0" w:firstRowLastColumn="0" w:lastRowFirstColumn="0" w:lastRowLastColumn="0"/>
          <w:trHeight w:val="290"/>
        </w:trPr>
        <w:tc>
          <w:tcPr>
            <w:tcW w:w="4531" w:type="dxa"/>
            <w:hideMark/>
          </w:tcPr>
          <w:p w14:paraId="0B32034F"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na stronie są dla mnie zrozumiałe</w:t>
            </w:r>
          </w:p>
        </w:tc>
        <w:tc>
          <w:tcPr>
            <w:tcW w:w="1765" w:type="dxa"/>
            <w:hideMark/>
          </w:tcPr>
          <w:p w14:paraId="18B5AEAA"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4,31</w:t>
            </w:r>
          </w:p>
        </w:tc>
        <w:tc>
          <w:tcPr>
            <w:tcW w:w="1354" w:type="dxa"/>
            <w:hideMark/>
          </w:tcPr>
          <w:p w14:paraId="0CFA75BF"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4,49</w:t>
            </w:r>
          </w:p>
        </w:tc>
        <w:tc>
          <w:tcPr>
            <w:tcW w:w="2096" w:type="dxa"/>
            <w:hideMark/>
          </w:tcPr>
          <w:p w14:paraId="7F83C686"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4,41</w:t>
            </w:r>
          </w:p>
        </w:tc>
        <w:tc>
          <w:tcPr>
            <w:tcW w:w="1765" w:type="dxa"/>
            <w:hideMark/>
          </w:tcPr>
          <w:p w14:paraId="7D63EDF9"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50" w:type="dxa"/>
            <w:vAlign w:val="center"/>
            <w:hideMark/>
          </w:tcPr>
          <w:p w14:paraId="015C42E7" w14:textId="3C078B66"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4,30</w:t>
            </w:r>
          </w:p>
        </w:tc>
      </w:tr>
      <w:tr w:rsidR="00183FB7" w:rsidRPr="00BF6615" w14:paraId="7F0E9436" w14:textId="77777777" w:rsidTr="00805A39">
        <w:trPr>
          <w:cnfStyle w:val="000000100000" w:firstRow="0" w:lastRow="0" w:firstColumn="0" w:lastColumn="0" w:oddVBand="0" w:evenVBand="0" w:oddHBand="1" w:evenHBand="0" w:firstRowFirstColumn="0" w:firstRowLastColumn="0" w:lastRowFirstColumn="0" w:lastRowLastColumn="0"/>
          <w:trHeight w:val="1046"/>
        </w:trPr>
        <w:tc>
          <w:tcPr>
            <w:tcW w:w="4531" w:type="dxa"/>
            <w:hideMark/>
          </w:tcPr>
          <w:p w14:paraId="6E622904"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ma czytelny układ treści bez względu na urządzenie, z którego korzystam, w widoku poziomym i pionowym</w:t>
            </w:r>
          </w:p>
        </w:tc>
        <w:tc>
          <w:tcPr>
            <w:tcW w:w="1765" w:type="dxa"/>
            <w:hideMark/>
          </w:tcPr>
          <w:p w14:paraId="46CC72E4"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1354" w:type="dxa"/>
            <w:hideMark/>
          </w:tcPr>
          <w:p w14:paraId="2C607929"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4,34</w:t>
            </w:r>
          </w:p>
        </w:tc>
        <w:tc>
          <w:tcPr>
            <w:tcW w:w="2096" w:type="dxa"/>
            <w:hideMark/>
          </w:tcPr>
          <w:p w14:paraId="0C14D5B1"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4,37</w:t>
            </w:r>
          </w:p>
        </w:tc>
        <w:tc>
          <w:tcPr>
            <w:tcW w:w="1765" w:type="dxa"/>
            <w:hideMark/>
          </w:tcPr>
          <w:p w14:paraId="165698D5"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50" w:type="dxa"/>
            <w:vAlign w:val="center"/>
            <w:hideMark/>
          </w:tcPr>
          <w:p w14:paraId="7A6B3CF6" w14:textId="0A073F7B"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4,26</w:t>
            </w:r>
          </w:p>
        </w:tc>
      </w:tr>
      <w:tr w:rsidR="00183FB7" w:rsidRPr="00BF6615" w14:paraId="1301CDDB" w14:textId="77777777" w:rsidTr="00805A39">
        <w:trPr>
          <w:cnfStyle w:val="000000010000" w:firstRow="0" w:lastRow="0" w:firstColumn="0" w:lastColumn="0" w:oddVBand="0" w:evenVBand="0" w:oddHBand="0" w:evenHBand="1" w:firstRowFirstColumn="0" w:firstRowLastColumn="0" w:lastRowFirstColumn="0" w:lastRowLastColumn="0"/>
          <w:trHeight w:val="580"/>
        </w:trPr>
        <w:tc>
          <w:tcPr>
            <w:tcW w:w="4531" w:type="dxa"/>
            <w:hideMark/>
          </w:tcPr>
          <w:p w14:paraId="6D58DCB7"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na stronie są dla mnie przyjazne</w:t>
            </w:r>
          </w:p>
        </w:tc>
        <w:tc>
          <w:tcPr>
            <w:tcW w:w="1765" w:type="dxa"/>
            <w:hideMark/>
          </w:tcPr>
          <w:p w14:paraId="0518577D"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4,51</w:t>
            </w:r>
          </w:p>
        </w:tc>
        <w:tc>
          <w:tcPr>
            <w:tcW w:w="1354" w:type="dxa"/>
            <w:hideMark/>
          </w:tcPr>
          <w:p w14:paraId="11E10565"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2096" w:type="dxa"/>
            <w:hideMark/>
          </w:tcPr>
          <w:p w14:paraId="0098A2E7"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4,52</w:t>
            </w:r>
          </w:p>
        </w:tc>
        <w:tc>
          <w:tcPr>
            <w:tcW w:w="1765" w:type="dxa"/>
            <w:hideMark/>
          </w:tcPr>
          <w:p w14:paraId="7AAE15A9"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50" w:type="dxa"/>
            <w:vAlign w:val="center"/>
            <w:hideMark/>
          </w:tcPr>
          <w:p w14:paraId="2C35476C" w14:textId="4CB63DAE"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4,36</w:t>
            </w:r>
          </w:p>
        </w:tc>
      </w:tr>
      <w:tr w:rsidR="00183FB7" w:rsidRPr="00BF6615" w14:paraId="153E8287" w14:textId="77777777" w:rsidTr="00805A39">
        <w:trPr>
          <w:cnfStyle w:val="000000100000" w:firstRow="0" w:lastRow="0" w:firstColumn="0" w:lastColumn="0" w:oddVBand="0" w:evenVBand="0" w:oddHBand="1" w:evenHBand="0" w:firstRowFirstColumn="0" w:firstRowLastColumn="0" w:lastRowFirstColumn="0" w:lastRowLastColumn="0"/>
          <w:trHeight w:val="580"/>
        </w:trPr>
        <w:tc>
          <w:tcPr>
            <w:tcW w:w="4531" w:type="dxa"/>
            <w:hideMark/>
          </w:tcPr>
          <w:p w14:paraId="4743194F"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Formularze zamieszczone na stronie są dla mnie dostępne</w:t>
            </w:r>
          </w:p>
        </w:tc>
        <w:tc>
          <w:tcPr>
            <w:tcW w:w="1765" w:type="dxa"/>
            <w:hideMark/>
          </w:tcPr>
          <w:p w14:paraId="742EC1DD"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354" w:type="dxa"/>
            <w:hideMark/>
          </w:tcPr>
          <w:p w14:paraId="40D03724"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4,37</w:t>
            </w:r>
          </w:p>
        </w:tc>
        <w:tc>
          <w:tcPr>
            <w:tcW w:w="2096" w:type="dxa"/>
            <w:hideMark/>
          </w:tcPr>
          <w:p w14:paraId="0EE043A9"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4,52</w:t>
            </w:r>
          </w:p>
        </w:tc>
        <w:tc>
          <w:tcPr>
            <w:tcW w:w="1765" w:type="dxa"/>
            <w:hideMark/>
          </w:tcPr>
          <w:p w14:paraId="4C906D3B"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750" w:type="dxa"/>
            <w:vAlign w:val="center"/>
            <w:hideMark/>
          </w:tcPr>
          <w:p w14:paraId="3B3FAF8D" w14:textId="0A8DCABB"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4,45</w:t>
            </w:r>
          </w:p>
        </w:tc>
      </w:tr>
      <w:tr w:rsidR="00183FB7" w:rsidRPr="00BF6615" w14:paraId="2F8019B7" w14:textId="77777777" w:rsidTr="00805A39">
        <w:trPr>
          <w:cnfStyle w:val="000000010000" w:firstRow="0" w:lastRow="0" w:firstColumn="0" w:lastColumn="0" w:oddVBand="0" w:evenVBand="0" w:oddHBand="0" w:evenHBand="1" w:firstRowFirstColumn="0" w:firstRowLastColumn="0" w:lastRowFirstColumn="0" w:lastRowLastColumn="0"/>
          <w:trHeight w:val="290"/>
        </w:trPr>
        <w:tc>
          <w:tcPr>
            <w:tcW w:w="4531" w:type="dxa"/>
            <w:hideMark/>
          </w:tcPr>
          <w:p w14:paraId="1A222167"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Łatwo można korzystać z wyszukiwarki</w:t>
            </w:r>
          </w:p>
        </w:tc>
        <w:tc>
          <w:tcPr>
            <w:tcW w:w="1765" w:type="dxa"/>
            <w:hideMark/>
          </w:tcPr>
          <w:p w14:paraId="2A683447"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4,37</w:t>
            </w:r>
          </w:p>
        </w:tc>
        <w:tc>
          <w:tcPr>
            <w:tcW w:w="1354" w:type="dxa"/>
            <w:hideMark/>
          </w:tcPr>
          <w:p w14:paraId="7AAA42AF"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4,31</w:t>
            </w:r>
          </w:p>
        </w:tc>
        <w:tc>
          <w:tcPr>
            <w:tcW w:w="2096" w:type="dxa"/>
            <w:hideMark/>
          </w:tcPr>
          <w:p w14:paraId="70CD2AEF"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765" w:type="dxa"/>
            <w:hideMark/>
          </w:tcPr>
          <w:p w14:paraId="09F4FA4E"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50" w:type="dxa"/>
            <w:vAlign w:val="center"/>
            <w:hideMark/>
          </w:tcPr>
          <w:p w14:paraId="44C40852" w14:textId="33B926F6"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4,28</w:t>
            </w:r>
          </w:p>
        </w:tc>
      </w:tr>
      <w:tr w:rsidR="00183FB7" w:rsidRPr="00BF6615" w14:paraId="4593AEAC" w14:textId="77777777" w:rsidTr="00805A39">
        <w:trPr>
          <w:cnfStyle w:val="000000100000" w:firstRow="0" w:lastRow="0" w:firstColumn="0" w:lastColumn="0" w:oddVBand="0" w:evenVBand="0" w:oddHBand="1" w:evenHBand="0" w:firstRowFirstColumn="0" w:firstRowLastColumn="0" w:lastRowFirstColumn="0" w:lastRowLastColumn="0"/>
          <w:trHeight w:val="580"/>
        </w:trPr>
        <w:tc>
          <w:tcPr>
            <w:tcW w:w="4531" w:type="dxa"/>
            <w:hideMark/>
          </w:tcPr>
          <w:p w14:paraId="606758D8"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Obrazy, grafiki i zdjęcia na stronie są dla mnie zrozumiałe</w:t>
            </w:r>
          </w:p>
        </w:tc>
        <w:tc>
          <w:tcPr>
            <w:tcW w:w="1765" w:type="dxa"/>
            <w:hideMark/>
          </w:tcPr>
          <w:p w14:paraId="77C84EBA"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4,58</w:t>
            </w:r>
          </w:p>
        </w:tc>
        <w:tc>
          <w:tcPr>
            <w:tcW w:w="1354" w:type="dxa"/>
            <w:hideMark/>
          </w:tcPr>
          <w:p w14:paraId="5A8123DD"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2096" w:type="dxa"/>
            <w:hideMark/>
          </w:tcPr>
          <w:p w14:paraId="2749BD83"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4,64</w:t>
            </w:r>
          </w:p>
        </w:tc>
        <w:tc>
          <w:tcPr>
            <w:tcW w:w="1765" w:type="dxa"/>
            <w:hideMark/>
          </w:tcPr>
          <w:p w14:paraId="52F81777"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50" w:type="dxa"/>
            <w:vAlign w:val="center"/>
            <w:hideMark/>
          </w:tcPr>
          <w:p w14:paraId="7C0ACE27" w14:textId="03C99ECB"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4,38</w:t>
            </w:r>
          </w:p>
        </w:tc>
      </w:tr>
      <w:tr w:rsidR="00183FB7" w:rsidRPr="00BF6615" w14:paraId="1795DA5D" w14:textId="77777777" w:rsidTr="00805A39">
        <w:trPr>
          <w:cnfStyle w:val="000000010000" w:firstRow="0" w:lastRow="0" w:firstColumn="0" w:lastColumn="0" w:oddVBand="0" w:evenVBand="0" w:oddHBand="0" w:evenHBand="1" w:firstRowFirstColumn="0" w:firstRowLastColumn="0" w:lastRowFirstColumn="0" w:lastRowLastColumn="0"/>
          <w:trHeight w:val="290"/>
        </w:trPr>
        <w:tc>
          <w:tcPr>
            <w:tcW w:w="4531" w:type="dxa"/>
            <w:hideMark/>
          </w:tcPr>
          <w:p w14:paraId="4DA0C3BE"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Multimedia są dla mnie zrozumiałe</w:t>
            </w:r>
          </w:p>
        </w:tc>
        <w:tc>
          <w:tcPr>
            <w:tcW w:w="1765" w:type="dxa"/>
            <w:hideMark/>
          </w:tcPr>
          <w:p w14:paraId="2B821FE6"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1354" w:type="dxa"/>
            <w:hideMark/>
          </w:tcPr>
          <w:p w14:paraId="3A0E8628"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4,36</w:t>
            </w:r>
          </w:p>
        </w:tc>
        <w:tc>
          <w:tcPr>
            <w:tcW w:w="2096" w:type="dxa"/>
            <w:hideMark/>
          </w:tcPr>
          <w:p w14:paraId="5A3D90EF"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4,48</w:t>
            </w:r>
          </w:p>
        </w:tc>
        <w:tc>
          <w:tcPr>
            <w:tcW w:w="1765" w:type="dxa"/>
            <w:hideMark/>
          </w:tcPr>
          <w:p w14:paraId="06EE09F4"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750" w:type="dxa"/>
            <w:vAlign w:val="center"/>
            <w:hideMark/>
          </w:tcPr>
          <w:p w14:paraId="2FB0400C" w14:textId="155DEC9B"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4,42</w:t>
            </w:r>
          </w:p>
        </w:tc>
      </w:tr>
      <w:tr w:rsidR="00183FB7" w:rsidRPr="00BF6615" w14:paraId="37F5617F" w14:textId="77777777" w:rsidTr="00805A39">
        <w:trPr>
          <w:cnfStyle w:val="000000100000" w:firstRow="0" w:lastRow="0" w:firstColumn="0" w:lastColumn="0" w:oddVBand="0" w:evenVBand="0" w:oddHBand="1" w:evenHBand="0" w:firstRowFirstColumn="0" w:firstRowLastColumn="0" w:lastRowFirstColumn="0" w:lastRowLastColumn="0"/>
          <w:trHeight w:val="1450"/>
        </w:trPr>
        <w:tc>
          <w:tcPr>
            <w:tcW w:w="4531" w:type="dxa"/>
            <w:hideMark/>
          </w:tcPr>
          <w:p w14:paraId="6AE6D8A1"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 (E-mail, chat, SMS, wideo rozmowa, itp.)</w:t>
            </w:r>
          </w:p>
        </w:tc>
        <w:tc>
          <w:tcPr>
            <w:tcW w:w="1765" w:type="dxa"/>
            <w:hideMark/>
          </w:tcPr>
          <w:p w14:paraId="35119731"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354" w:type="dxa"/>
            <w:hideMark/>
          </w:tcPr>
          <w:p w14:paraId="7EE212A1"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4,15</w:t>
            </w:r>
          </w:p>
        </w:tc>
        <w:tc>
          <w:tcPr>
            <w:tcW w:w="2096" w:type="dxa"/>
            <w:hideMark/>
          </w:tcPr>
          <w:p w14:paraId="41F1B6E7"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4,47</w:t>
            </w:r>
          </w:p>
        </w:tc>
        <w:tc>
          <w:tcPr>
            <w:tcW w:w="1765" w:type="dxa"/>
            <w:hideMark/>
          </w:tcPr>
          <w:p w14:paraId="7102A50A"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50" w:type="dxa"/>
            <w:vAlign w:val="center"/>
            <w:hideMark/>
          </w:tcPr>
          <w:p w14:paraId="5F46BE0A" w14:textId="005A3EEF"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4,25</w:t>
            </w:r>
          </w:p>
        </w:tc>
      </w:tr>
      <w:tr w:rsidR="00183FB7" w:rsidRPr="00BF6615" w14:paraId="11C72411" w14:textId="77777777" w:rsidTr="00805A39">
        <w:trPr>
          <w:cnfStyle w:val="000000010000" w:firstRow="0" w:lastRow="0" w:firstColumn="0" w:lastColumn="0" w:oddVBand="0" w:evenVBand="0" w:oddHBand="0" w:evenHBand="1" w:firstRowFirstColumn="0" w:firstRowLastColumn="0" w:lastRowFirstColumn="0" w:lastRowLastColumn="0"/>
          <w:trHeight w:val="580"/>
        </w:trPr>
        <w:tc>
          <w:tcPr>
            <w:tcW w:w="4531" w:type="dxa"/>
            <w:hideMark/>
          </w:tcPr>
          <w:p w14:paraId="5BAA1323"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Wszystkie elementy strony mogę obsłużyć za pomocą klawiatury</w:t>
            </w:r>
          </w:p>
        </w:tc>
        <w:tc>
          <w:tcPr>
            <w:tcW w:w="1765" w:type="dxa"/>
            <w:hideMark/>
          </w:tcPr>
          <w:p w14:paraId="26AD02ED"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354" w:type="dxa"/>
            <w:hideMark/>
          </w:tcPr>
          <w:p w14:paraId="56561670"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4,37</w:t>
            </w:r>
          </w:p>
        </w:tc>
        <w:tc>
          <w:tcPr>
            <w:tcW w:w="2096" w:type="dxa"/>
            <w:hideMark/>
          </w:tcPr>
          <w:p w14:paraId="3FA7A672"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765" w:type="dxa"/>
            <w:hideMark/>
          </w:tcPr>
          <w:p w14:paraId="1DA94280"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750" w:type="dxa"/>
            <w:vAlign w:val="center"/>
            <w:hideMark/>
          </w:tcPr>
          <w:p w14:paraId="31AE9642" w14:textId="5869B837"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4,47</w:t>
            </w:r>
          </w:p>
        </w:tc>
      </w:tr>
      <w:tr w:rsidR="00183FB7" w:rsidRPr="00BF6615" w14:paraId="29FC84C1" w14:textId="77777777" w:rsidTr="00805A39">
        <w:trPr>
          <w:cnfStyle w:val="000000100000" w:firstRow="0" w:lastRow="0" w:firstColumn="0" w:lastColumn="0" w:oddVBand="0" w:evenVBand="0" w:oddHBand="1" w:evenHBand="0" w:firstRowFirstColumn="0" w:firstRowLastColumn="0" w:lastRowFirstColumn="0" w:lastRowLastColumn="0"/>
          <w:trHeight w:val="580"/>
        </w:trPr>
        <w:tc>
          <w:tcPr>
            <w:tcW w:w="4531" w:type="dxa"/>
            <w:hideMark/>
          </w:tcPr>
          <w:p w14:paraId="1FBF6719"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tłumaczenia na Polski język migowy (PJM)</w:t>
            </w:r>
          </w:p>
        </w:tc>
        <w:tc>
          <w:tcPr>
            <w:tcW w:w="1765" w:type="dxa"/>
            <w:hideMark/>
          </w:tcPr>
          <w:p w14:paraId="0CE2EDC8"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4,08</w:t>
            </w:r>
          </w:p>
        </w:tc>
        <w:tc>
          <w:tcPr>
            <w:tcW w:w="1354" w:type="dxa"/>
            <w:hideMark/>
          </w:tcPr>
          <w:p w14:paraId="78C8DC9E"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2096" w:type="dxa"/>
            <w:hideMark/>
          </w:tcPr>
          <w:p w14:paraId="4CC4A27B"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4,11</w:t>
            </w:r>
          </w:p>
        </w:tc>
        <w:tc>
          <w:tcPr>
            <w:tcW w:w="1765" w:type="dxa"/>
            <w:hideMark/>
          </w:tcPr>
          <w:p w14:paraId="2E9A1B55"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750" w:type="dxa"/>
            <w:vAlign w:val="center"/>
            <w:hideMark/>
          </w:tcPr>
          <w:p w14:paraId="3DE8E095" w14:textId="523EA6CA"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4,44</w:t>
            </w:r>
          </w:p>
        </w:tc>
      </w:tr>
      <w:tr w:rsidR="00183FB7" w:rsidRPr="00BF6615" w14:paraId="1C3EE443" w14:textId="77777777" w:rsidTr="00805A39">
        <w:trPr>
          <w:cnfStyle w:val="000000010000" w:firstRow="0" w:lastRow="0" w:firstColumn="0" w:lastColumn="0" w:oddVBand="0" w:evenVBand="0" w:oddHBand="0" w:evenHBand="1" w:firstRowFirstColumn="0" w:firstRowLastColumn="0" w:lastRowFirstColumn="0" w:lastRowLastColumn="0"/>
          <w:trHeight w:val="580"/>
        </w:trPr>
        <w:tc>
          <w:tcPr>
            <w:tcW w:w="4531" w:type="dxa"/>
            <w:hideMark/>
          </w:tcPr>
          <w:p w14:paraId="577DA4AC"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informacje w tekście łatwym do czytania i zrozumienia (ETR)</w:t>
            </w:r>
          </w:p>
        </w:tc>
        <w:tc>
          <w:tcPr>
            <w:tcW w:w="1765" w:type="dxa"/>
            <w:hideMark/>
          </w:tcPr>
          <w:p w14:paraId="0A233C0B"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4,49</w:t>
            </w:r>
          </w:p>
        </w:tc>
        <w:tc>
          <w:tcPr>
            <w:tcW w:w="1354" w:type="dxa"/>
            <w:hideMark/>
          </w:tcPr>
          <w:p w14:paraId="04C33882"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2096" w:type="dxa"/>
            <w:hideMark/>
          </w:tcPr>
          <w:p w14:paraId="505B83C8"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4,59</w:t>
            </w:r>
          </w:p>
        </w:tc>
        <w:tc>
          <w:tcPr>
            <w:tcW w:w="1765" w:type="dxa"/>
            <w:hideMark/>
          </w:tcPr>
          <w:p w14:paraId="61DB5E1B"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750" w:type="dxa"/>
            <w:vAlign w:val="center"/>
            <w:hideMark/>
          </w:tcPr>
          <w:p w14:paraId="5EEF4535" w14:textId="0EFDEB09"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4,47</w:t>
            </w:r>
          </w:p>
        </w:tc>
      </w:tr>
      <w:tr w:rsidR="00183FB7" w:rsidRPr="00BF6615" w14:paraId="072D477C" w14:textId="77777777" w:rsidTr="00805A39">
        <w:trPr>
          <w:cnfStyle w:val="000000100000" w:firstRow="0" w:lastRow="0" w:firstColumn="0" w:lastColumn="0" w:oddVBand="0" w:evenVBand="0" w:oddHBand="1" w:evenHBand="0" w:firstRowFirstColumn="0" w:firstRowLastColumn="0" w:lastRowFirstColumn="0" w:lastRowLastColumn="0"/>
          <w:trHeight w:val="580"/>
        </w:trPr>
        <w:tc>
          <w:tcPr>
            <w:tcW w:w="4531" w:type="dxa"/>
            <w:hideMark/>
          </w:tcPr>
          <w:p w14:paraId="33C7A84C"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jest dla mnie dostępna pod każdym względem</w:t>
            </w:r>
          </w:p>
        </w:tc>
        <w:tc>
          <w:tcPr>
            <w:tcW w:w="1765" w:type="dxa"/>
            <w:hideMark/>
          </w:tcPr>
          <w:p w14:paraId="0D9029CE"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4,32</w:t>
            </w:r>
          </w:p>
        </w:tc>
        <w:tc>
          <w:tcPr>
            <w:tcW w:w="1354" w:type="dxa"/>
            <w:hideMark/>
          </w:tcPr>
          <w:p w14:paraId="6EA06E2B"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2096" w:type="dxa"/>
            <w:hideMark/>
          </w:tcPr>
          <w:p w14:paraId="1BAF5984"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765" w:type="dxa"/>
            <w:hideMark/>
          </w:tcPr>
          <w:p w14:paraId="3109D407" w14:textId="77777777"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750" w:type="dxa"/>
            <w:vAlign w:val="center"/>
            <w:hideMark/>
          </w:tcPr>
          <w:p w14:paraId="6AB043FE" w14:textId="182CF5F0"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4,42</w:t>
            </w:r>
          </w:p>
        </w:tc>
      </w:tr>
      <w:tr w:rsidR="00183FB7" w:rsidRPr="00BF6615" w14:paraId="74C3A2C5" w14:textId="77777777" w:rsidTr="00805A39">
        <w:trPr>
          <w:cnfStyle w:val="000000010000" w:firstRow="0" w:lastRow="0" w:firstColumn="0" w:lastColumn="0" w:oddVBand="0" w:evenVBand="0" w:oddHBand="0" w:evenHBand="1" w:firstRowFirstColumn="0" w:firstRowLastColumn="0" w:lastRowFirstColumn="0" w:lastRowLastColumn="0"/>
          <w:trHeight w:val="290"/>
        </w:trPr>
        <w:tc>
          <w:tcPr>
            <w:tcW w:w="4531" w:type="dxa"/>
            <w:hideMark/>
          </w:tcPr>
          <w:p w14:paraId="6F1C1C36" w14:textId="37D15246"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 </w:t>
            </w:r>
            <w:r w:rsidR="00BA0869" w:rsidRPr="00BF6615">
              <w:rPr>
                <w:rFonts w:ascii="Calibri" w:eastAsia="Times New Roman" w:hAnsi="Calibri" w:cs="Calibri"/>
                <w:color w:val="000000"/>
                <w:sz w:val="22"/>
                <w:lang w:eastAsia="pl-PL"/>
              </w:rPr>
              <w:t>Sumaryczna średnia ocen</w:t>
            </w:r>
          </w:p>
        </w:tc>
        <w:tc>
          <w:tcPr>
            <w:tcW w:w="1765" w:type="dxa"/>
            <w:noWrap/>
            <w:hideMark/>
          </w:tcPr>
          <w:p w14:paraId="24733E5A" w14:textId="77777777"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4,36</w:t>
            </w:r>
          </w:p>
        </w:tc>
        <w:tc>
          <w:tcPr>
            <w:tcW w:w="1354" w:type="dxa"/>
            <w:noWrap/>
            <w:hideMark/>
          </w:tcPr>
          <w:p w14:paraId="742BCA8C" w14:textId="77777777"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4,34</w:t>
            </w:r>
          </w:p>
        </w:tc>
        <w:tc>
          <w:tcPr>
            <w:tcW w:w="2096" w:type="dxa"/>
            <w:noWrap/>
            <w:hideMark/>
          </w:tcPr>
          <w:p w14:paraId="4F06647B" w14:textId="77777777"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4,48</w:t>
            </w:r>
          </w:p>
        </w:tc>
        <w:tc>
          <w:tcPr>
            <w:tcW w:w="1765" w:type="dxa"/>
            <w:noWrap/>
            <w:hideMark/>
          </w:tcPr>
          <w:p w14:paraId="434993D5" w14:textId="77777777" w:rsidR="00805A39" w:rsidRPr="00BF6615" w:rsidRDefault="00805A3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4,27</w:t>
            </w:r>
          </w:p>
        </w:tc>
        <w:tc>
          <w:tcPr>
            <w:tcW w:w="1750" w:type="dxa"/>
            <w:noWrap/>
            <w:hideMark/>
          </w:tcPr>
          <w:p w14:paraId="714164C4" w14:textId="4C7C5442" w:rsidR="00805A39" w:rsidRPr="00BF6615" w:rsidRDefault="00805A3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t>
            </w:r>
          </w:p>
        </w:tc>
      </w:tr>
    </w:tbl>
    <w:p w14:paraId="7A7AD69C" w14:textId="343B7735" w:rsidR="00356928" w:rsidRPr="00BF6615" w:rsidRDefault="002428E6" w:rsidP="007E26B5">
      <w:r w:rsidRPr="00BF6615">
        <w:t>Źródło: opracowanie własne.</w:t>
      </w:r>
    </w:p>
    <w:p w14:paraId="6858F3A9" w14:textId="2C9E9803" w:rsidR="00356928" w:rsidRPr="00BF6615" w:rsidRDefault="00356928" w:rsidP="007E26B5">
      <w:pPr>
        <w:spacing w:after="160" w:line="259" w:lineRule="auto"/>
        <w:rPr>
          <w:color w:val="C00000"/>
          <w:szCs w:val="18"/>
        </w:rPr>
      </w:pPr>
    </w:p>
    <w:p w14:paraId="4F869906" w14:textId="77777777" w:rsidR="00332180" w:rsidRPr="00BF6615" w:rsidRDefault="00332180" w:rsidP="007E26B5">
      <w:pPr>
        <w:sectPr w:rsidR="00332180" w:rsidRPr="00BF6615" w:rsidSect="00332180">
          <w:headerReference w:type="even" r:id="rId63"/>
          <w:headerReference w:type="default" r:id="rId64"/>
          <w:footerReference w:type="even" r:id="rId65"/>
          <w:footerReference w:type="default" r:id="rId66"/>
          <w:headerReference w:type="first" r:id="rId67"/>
          <w:pgSz w:w="15840" w:h="12240" w:orient="landscape"/>
          <w:pgMar w:top="1440" w:right="1440" w:bottom="1440" w:left="1440" w:header="709" w:footer="709" w:gutter="0"/>
          <w:cols w:space="708"/>
          <w:titlePg/>
          <w:docGrid w:linePitch="360"/>
        </w:sectPr>
      </w:pPr>
    </w:p>
    <w:p w14:paraId="798BF7FB" w14:textId="5612245A" w:rsidR="006F432C" w:rsidRPr="00BF6615" w:rsidRDefault="009D6019" w:rsidP="007E26B5">
      <w:r w:rsidRPr="00BF6615">
        <w:lastRenderedPageBreak/>
        <w:t xml:space="preserve">Badani ocenili </w:t>
      </w:r>
      <w:r w:rsidR="00604CBB" w:rsidRPr="00BF6615">
        <w:t>dostępność</w:t>
      </w:r>
      <w:r w:rsidR="006F432C" w:rsidRPr="00BF6615">
        <w:t xml:space="preserve"> stron</w:t>
      </w:r>
      <w:r w:rsidR="00604CBB" w:rsidRPr="00BF6615">
        <w:t>, z których korzystają</w:t>
      </w:r>
      <w:r w:rsidR="006F432C" w:rsidRPr="00BF6615">
        <w:t xml:space="preserve"> wg typów podmiotów/rodzaju strony (dla stron tematycznych) </w:t>
      </w:r>
      <w:r w:rsidR="00604CBB" w:rsidRPr="00BF6615">
        <w:t>w skali 1-5, gdzie 1 jest najniższą, a 5 najwyższą oceną.</w:t>
      </w:r>
      <w:r w:rsidR="00FD0843">
        <w:t xml:space="preserve"> </w:t>
      </w:r>
      <w:r w:rsidR="00BD0C0B" w:rsidRPr="00BF6615">
        <w:t>Skala ocen jednostkowych poszczególnych aspektów dostępności wahała się od 3,6</w:t>
      </w:r>
      <w:r w:rsidR="00CA1692" w:rsidRPr="00BF6615">
        <w:t>7</w:t>
      </w:r>
      <w:r w:rsidR="00BD0C0B" w:rsidRPr="00BF6615">
        <w:t xml:space="preserve"> do 5,0. </w:t>
      </w:r>
      <w:r w:rsidR="00695A31" w:rsidRPr="00BF6615">
        <w:t xml:space="preserve">Najniżej oceniono </w:t>
      </w:r>
      <w:r w:rsidR="00544CFD" w:rsidRPr="00BF6615">
        <w:t xml:space="preserve">dostępność tłumaczeń PJM na stronach (4,31) oraz </w:t>
      </w:r>
      <w:r w:rsidR="00D9152F" w:rsidRPr="00BF6615">
        <w:t>przyjazność czcionek i kolorów (</w:t>
      </w:r>
      <w:r w:rsidR="00C42F1E" w:rsidRPr="00BF6615">
        <w:t xml:space="preserve">4,48). Najwyższe noty uzyskał aspekt </w:t>
      </w:r>
      <w:r w:rsidR="005B16D1" w:rsidRPr="00BF6615">
        <w:t xml:space="preserve">możliwości obsługi strony za pomocą klawiatury </w:t>
      </w:r>
      <w:r w:rsidR="009F24F3" w:rsidRPr="00BF6615">
        <w:t xml:space="preserve">(4,85) </w:t>
      </w:r>
      <w:r w:rsidR="005B16D1" w:rsidRPr="00BF6615">
        <w:t xml:space="preserve">oraz zrozumiałość grafik i zdjęć </w:t>
      </w:r>
      <w:r w:rsidR="13107E28" w:rsidRPr="00BF6615">
        <w:t xml:space="preserve">i zrozumiałość treści na stronie </w:t>
      </w:r>
      <w:r w:rsidR="005B16D1" w:rsidRPr="00BF6615">
        <w:t>(</w:t>
      </w:r>
      <w:r w:rsidR="08998FFD" w:rsidRPr="00BF6615">
        <w:t xml:space="preserve">po </w:t>
      </w:r>
      <w:r w:rsidR="009F24F3" w:rsidRPr="00BF6615">
        <w:t>4,78).</w:t>
      </w:r>
      <w:r w:rsidR="00FD0843">
        <w:t xml:space="preserve"> </w:t>
      </w:r>
      <w:r w:rsidR="00CA1692" w:rsidRPr="00BF6615">
        <w:t>N</w:t>
      </w:r>
      <w:r w:rsidR="0042613C" w:rsidRPr="00BF6615">
        <w:t>ajwyżej</w:t>
      </w:r>
      <w:r w:rsidR="006F432C" w:rsidRPr="00BF6615">
        <w:t xml:space="preserve"> oceniono dostępność stron instytucji kultury</w:t>
      </w:r>
      <w:r w:rsidR="0062369A" w:rsidRPr="00BF6615">
        <w:t>, a wynik ten jest zbieżny z ocenami w innych grupach badanych.</w:t>
      </w:r>
    </w:p>
    <w:p w14:paraId="13F6FDB6" w14:textId="685B1BA2" w:rsidR="00356928" w:rsidRPr="00BF6615" w:rsidRDefault="001C798F" w:rsidP="007E26B5">
      <w:pPr>
        <w:pStyle w:val="Legenda"/>
        <w:keepNext/>
      </w:pPr>
      <w:bookmarkStart w:id="247" w:name="_Toc204179130"/>
      <w:r w:rsidRPr="00BF6615">
        <w:t xml:space="preserve">Tabela </w:t>
      </w:r>
      <w:r w:rsidRPr="00BF6615">
        <w:fldChar w:fldCharType="begin"/>
      </w:r>
      <w:r w:rsidRPr="00BF6615">
        <w:instrText xml:space="preserve"> SEQ Tabela \* ARABIC </w:instrText>
      </w:r>
      <w:r w:rsidRPr="00BF6615">
        <w:fldChar w:fldCharType="separate"/>
      </w:r>
      <w:r w:rsidR="00FD0843">
        <w:rPr>
          <w:noProof/>
        </w:rPr>
        <w:t>32</w:t>
      </w:r>
      <w:r w:rsidRPr="00BF6615">
        <w:fldChar w:fldCharType="end"/>
      </w:r>
      <w:r w:rsidR="00FD0843">
        <w:t>.</w:t>
      </w:r>
      <w:r w:rsidRPr="00BF6615">
        <w:t xml:space="preserve"> Średnie oceny tematycznych stron publicznych wg aspektów dostępności cyfrowej dla stron, z których korzystają osoby badane w grupie obywatele</w:t>
      </w:r>
      <w:bookmarkEnd w:id="247"/>
    </w:p>
    <w:tbl>
      <w:tblPr>
        <w:tblStyle w:val="PARP"/>
        <w:tblW w:w="10002" w:type="dxa"/>
        <w:tblLook w:val="04A0" w:firstRow="1" w:lastRow="0" w:firstColumn="1" w:lastColumn="0" w:noHBand="0" w:noVBand="1"/>
        <w:tblCaption w:val="Średnie oceny tematycznych stron publicznych wg aspektów dostępności cyfrowej dla stron, z których korzystają osoby badane w grupie obywatele"/>
        <w:tblDescription w:val="W kolumnach: &#10; Oceniany aspekt dostępności Strona instytucji zdrowia Strona edukacyjna Strona instytucji kultury Sumaryczna średnia ocen"/>
      </w:tblPr>
      <w:tblGrid>
        <w:gridCol w:w="5238"/>
        <w:gridCol w:w="1278"/>
        <w:gridCol w:w="1155"/>
        <w:gridCol w:w="1116"/>
        <w:gridCol w:w="1215"/>
      </w:tblGrid>
      <w:tr w:rsidR="00012671" w:rsidRPr="00BF6615" w14:paraId="15771F56" w14:textId="77777777" w:rsidTr="00055769">
        <w:trPr>
          <w:cnfStyle w:val="100000000000" w:firstRow="1" w:lastRow="0" w:firstColumn="0" w:lastColumn="0" w:oddVBand="0" w:evenVBand="0" w:oddHBand="0" w:evenHBand="0" w:firstRowFirstColumn="0" w:firstRowLastColumn="0" w:lastRowFirstColumn="0" w:lastRowLastColumn="0"/>
          <w:trHeight w:val="580"/>
        </w:trPr>
        <w:tc>
          <w:tcPr>
            <w:tcW w:w="5240" w:type="dxa"/>
            <w:hideMark/>
          </w:tcPr>
          <w:p w14:paraId="311D735C" w14:textId="77777777" w:rsidR="00055769" w:rsidRPr="00BF6615" w:rsidRDefault="00055769"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278" w:type="dxa"/>
            <w:hideMark/>
          </w:tcPr>
          <w:p w14:paraId="51DF4D6A" w14:textId="77777777" w:rsidR="00055769" w:rsidRPr="00BF6615" w:rsidRDefault="00055769" w:rsidP="007E26B5">
            <w:pPr>
              <w:spacing w:after="0" w:line="240" w:lineRule="auto"/>
              <w:rPr>
                <w:rFonts w:eastAsia="Times New Roman" w:cs="Calibri"/>
                <w:b/>
                <w:sz w:val="22"/>
                <w:lang w:eastAsia="pl-PL"/>
              </w:rPr>
            </w:pPr>
            <w:r w:rsidRPr="00BF6615">
              <w:rPr>
                <w:rFonts w:eastAsia="Times New Roman" w:cs="Calibri"/>
                <w:b/>
                <w:sz w:val="22"/>
                <w:lang w:eastAsia="pl-PL"/>
              </w:rPr>
              <w:t>Strona instytucji zdrowia</w:t>
            </w:r>
          </w:p>
        </w:tc>
        <w:tc>
          <w:tcPr>
            <w:tcW w:w="1153" w:type="dxa"/>
            <w:hideMark/>
          </w:tcPr>
          <w:p w14:paraId="7EA9AFCC" w14:textId="77777777" w:rsidR="00055769" w:rsidRPr="00BF6615" w:rsidRDefault="00055769" w:rsidP="007E26B5">
            <w:pPr>
              <w:spacing w:after="0" w:line="240" w:lineRule="auto"/>
              <w:rPr>
                <w:rFonts w:eastAsia="Times New Roman" w:cs="Calibri"/>
                <w:b/>
                <w:sz w:val="22"/>
                <w:lang w:eastAsia="pl-PL"/>
              </w:rPr>
            </w:pPr>
            <w:r w:rsidRPr="00BF6615">
              <w:rPr>
                <w:rFonts w:eastAsia="Times New Roman" w:cs="Calibri"/>
                <w:b/>
                <w:sz w:val="22"/>
                <w:lang w:eastAsia="pl-PL"/>
              </w:rPr>
              <w:t>Strona edukacyjna</w:t>
            </w:r>
          </w:p>
        </w:tc>
        <w:tc>
          <w:tcPr>
            <w:tcW w:w="1116" w:type="dxa"/>
            <w:hideMark/>
          </w:tcPr>
          <w:p w14:paraId="4ECA3293" w14:textId="77777777" w:rsidR="00055769" w:rsidRPr="00BF6615" w:rsidRDefault="00055769" w:rsidP="007E26B5">
            <w:pPr>
              <w:spacing w:after="0" w:line="240" w:lineRule="auto"/>
              <w:rPr>
                <w:rFonts w:eastAsia="Times New Roman" w:cs="Calibri"/>
                <w:b/>
                <w:sz w:val="22"/>
                <w:lang w:eastAsia="pl-PL"/>
              </w:rPr>
            </w:pPr>
            <w:r w:rsidRPr="00BF6615">
              <w:rPr>
                <w:rFonts w:eastAsia="Times New Roman" w:cs="Calibri"/>
                <w:b/>
                <w:sz w:val="22"/>
                <w:lang w:eastAsia="pl-PL"/>
              </w:rPr>
              <w:t>Strona instytucji kultury</w:t>
            </w:r>
          </w:p>
        </w:tc>
        <w:tc>
          <w:tcPr>
            <w:tcW w:w="1215" w:type="dxa"/>
            <w:hideMark/>
          </w:tcPr>
          <w:p w14:paraId="3E0308D8" w14:textId="77777777" w:rsidR="00055769" w:rsidRPr="00BF6615" w:rsidRDefault="00055769"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012671" w:rsidRPr="00BF6615" w14:paraId="0BB85DB3" w14:textId="77777777" w:rsidTr="00055769">
        <w:trPr>
          <w:cnfStyle w:val="000000100000" w:firstRow="0" w:lastRow="0" w:firstColumn="0" w:lastColumn="0" w:oddVBand="0" w:evenVBand="0" w:oddHBand="1" w:evenHBand="0" w:firstRowFirstColumn="0" w:firstRowLastColumn="0" w:lastRowFirstColumn="0" w:lastRowLastColumn="0"/>
          <w:trHeight w:val="580"/>
        </w:trPr>
        <w:tc>
          <w:tcPr>
            <w:tcW w:w="5240" w:type="dxa"/>
            <w:hideMark/>
          </w:tcPr>
          <w:p w14:paraId="15F9EA0E"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przeglądać zawartość i znajdować potrzebne mi informacje</w:t>
            </w:r>
          </w:p>
        </w:tc>
        <w:tc>
          <w:tcPr>
            <w:tcW w:w="1278" w:type="dxa"/>
            <w:hideMark/>
          </w:tcPr>
          <w:p w14:paraId="2F94DD53"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1153" w:type="dxa"/>
            <w:hideMark/>
          </w:tcPr>
          <w:p w14:paraId="7CFB8281"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116" w:type="dxa"/>
            <w:hideMark/>
          </w:tcPr>
          <w:p w14:paraId="57CA8865"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4,79</w:t>
            </w:r>
          </w:p>
        </w:tc>
        <w:tc>
          <w:tcPr>
            <w:tcW w:w="1215" w:type="dxa"/>
            <w:noWrap/>
            <w:hideMark/>
          </w:tcPr>
          <w:p w14:paraId="0FDF7C83"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4,51</w:t>
            </w:r>
          </w:p>
        </w:tc>
      </w:tr>
      <w:tr w:rsidR="00012671" w:rsidRPr="00BF6615" w14:paraId="76E18C07" w14:textId="77777777" w:rsidTr="00055769">
        <w:trPr>
          <w:cnfStyle w:val="000000010000" w:firstRow="0" w:lastRow="0" w:firstColumn="0" w:lastColumn="0" w:oddVBand="0" w:evenVBand="0" w:oddHBand="0" w:evenHBand="1" w:firstRowFirstColumn="0" w:firstRowLastColumn="0" w:lastRowFirstColumn="0" w:lastRowLastColumn="0"/>
          <w:trHeight w:val="290"/>
        </w:trPr>
        <w:tc>
          <w:tcPr>
            <w:tcW w:w="5240" w:type="dxa"/>
            <w:hideMark/>
          </w:tcPr>
          <w:p w14:paraId="3AEF40AB"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na stronie są dla mnie zrozumiałe</w:t>
            </w:r>
          </w:p>
        </w:tc>
        <w:tc>
          <w:tcPr>
            <w:tcW w:w="1278" w:type="dxa"/>
            <w:hideMark/>
          </w:tcPr>
          <w:p w14:paraId="0790B325"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1153" w:type="dxa"/>
            <w:hideMark/>
          </w:tcPr>
          <w:p w14:paraId="55354FCF"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4,63</w:t>
            </w:r>
          </w:p>
        </w:tc>
        <w:tc>
          <w:tcPr>
            <w:tcW w:w="1116" w:type="dxa"/>
            <w:hideMark/>
          </w:tcPr>
          <w:p w14:paraId="794388F8"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4,95</w:t>
            </w:r>
          </w:p>
        </w:tc>
        <w:tc>
          <w:tcPr>
            <w:tcW w:w="1215" w:type="dxa"/>
            <w:noWrap/>
            <w:hideMark/>
          </w:tcPr>
          <w:p w14:paraId="2EEA8AF4"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4,78</w:t>
            </w:r>
          </w:p>
        </w:tc>
      </w:tr>
      <w:tr w:rsidR="00012671" w:rsidRPr="00BF6615" w14:paraId="27682F55" w14:textId="77777777" w:rsidTr="009F24F3">
        <w:trPr>
          <w:cnfStyle w:val="000000100000" w:firstRow="0" w:lastRow="0" w:firstColumn="0" w:lastColumn="0" w:oddVBand="0" w:evenVBand="0" w:oddHBand="1" w:evenHBand="0" w:firstRowFirstColumn="0" w:firstRowLastColumn="0" w:lastRowFirstColumn="0" w:lastRowLastColumn="0"/>
          <w:trHeight w:val="895"/>
        </w:trPr>
        <w:tc>
          <w:tcPr>
            <w:tcW w:w="5240" w:type="dxa"/>
            <w:hideMark/>
          </w:tcPr>
          <w:p w14:paraId="45C5DD22"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ma czytelny układ treści bez względu na urządzenie, z którego korzystam, w widoku poziomym i pionowym</w:t>
            </w:r>
          </w:p>
        </w:tc>
        <w:tc>
          <w:tcPr>
            <w:tcW w:w="1278" w:type="dxa"/>
            <w:hideMark/>
          </w:tcPr>
          <w:p w14:paraId="52C12D1A"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1153" w:type="dxa"/>
            <w:hideMark/>
          </w:tcPr>
          <w:p w14:paraId="57EC30C9"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3,88</w:t>
            </w:r>
          </w:p>
        </w:tc>
        <w:tc>
          <w:tcPr>
            <w:tcW w:w="1116" w:type="dxa"/>
            <w:hideMark/>
          </w:tcPr>
          <w:p w14:paraId="1B186FE8"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4,89</w:t>
            </w:r>
          </w:p>
        </w:tc>
        <w:tc>
          <w:tcPr>
            <w:tcW w:w="1215" w:type="dxa"/>
            <w:noWrap/>
            <w:hideMark/>
          </w:tcPr>
          <w:p w14:paraId="1389C571"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4,51</w:t>
            </w:r>
          </w:p>
        </w:tc>
      </w:tr>
      <w:tr w:rsidR="00012671" w:rsidRPr="00BF6615" w14:paraId="1B76B7C8" w14:textId="77777777" w:rsidTr="00055769">
        <w:trPr>
          <w:cnfStyle w:val="000000010000" w:firstRow="0" w:lastRow="0" w:firstColumn="0" w:lastColumn="0" w:oddVBand="0" w:evenVBand="0" w:oddHBand="0" w:evenHBand="1" w:firstRowFirstColumn="0" w:firstRowLastColumn="0" w:lastRowFirstColumn="0" w:lastRowLastColumn="0"/>
          <w:trHeight w:val="580"/>
        </w:trPr>
        <w:tc>
          <w:tcPr>
            <w:tcW w:w="5240" w:type="dxa"/>
            <w:hideMark/>
          </w:tcPr>
          <w:p w14:paraId="62EC9AF5"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na stronie są dla mnie przyjazne</w:t>
            </w:r>
          </w:p>
        </w:tc>
        <w:tc>
          <w:tcPr>
            <w:tcW w:w="1278" w:type="dxa"/>
            <w:hideMark/>
          </w:tcPr>
          <w:p w14:paraId="2A0182FF"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1153" w:type="dxa"/>
            <w:hideMark/>
          </w:tcPr>
          <w:p w14:paraId="170B29E2"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3,88</w:t>
            </w:r>
          </w:p>
        </w:tc>
        <w:tc>
          <w:tcPr>
            <w:tcW w:w="1116" w:type="dxa"/>
            <w:hideMark/>
          </w:tcPr>
          <w:p w14:paraId="22529440"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215" w:type="dxa"/>
            <w:noWrap/>
            <w:hideMark/>
          </w:tcPr>
          <w:p w14:paraId="550E2A39"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4,48</w:t>
            </w:r>
          </w:p>
        </w:tc>
      </w:tr>
      <w:tr w:rsidR="00012671" w:rsidRPr="00BF6615" w14:paraId="6D1BAF71" w14:textId="77777777" w:rsidTr="00055769">
        <w:trPr>
          <w:cnfStyle w:val="000000100000" w:firstRow="0" w:lastRow="0" w:firstColumn="0" w:lastColumn="0" w:oddVBand="0" w:evenVBand="0" w:oddHBand="1" w:evenHBand="0" w:firstRowFirstColumn="0" w:firstRowLastColumn="0" w:lastRowFirstColumn="0" w:lastRowLastColumn="0"/>
          <w:trHeight w:val="580"/>
        </w:trPr>
        <w:tc>
          <w:tcPr>
            <w:tcW w:w="5240" w:type="dxa"/>
            <w:hideMark/>
          </w:tcPr>
          <w:p w14:paraId="34753CCA"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Formularze zamieszczone na stronie są dla mnie dostępne</w:t>
            </w:r>
          </w:p>
        </w:tc>
        <w:tc>
          <w:tcPr>
            <w:tcW w:w="1278" w:type="dxa"/>
            <w:hideMark/>
          </w:tcPr>
          <w:p w14:paraId="10A9CFA7"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153" w:type="dxa"/>
            <w:hideMark/>
          </w:tcPr>
          <w:p w14:paraId="5D8FEAF8"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116" w:type="dxa"/>
            <w:hideMark/>
          </w:tcPr>
          <w:p w14:paraId="753619DC"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4,81</w:t>
            </w:r>
          </w:p>
        </w:tc>
        <w:tc>
          <w:tcPr>
            <w:tcW w:w="1215" w:type="dxa"/>
            <w:noWrap/>
            <w:hideMark/>
          </w:tcPr>
          <w:p w14:paraId="378B1119"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4,60</w:t>
            </w:r>
          </w:p>
        </w:tc>
      </w:tr>
      <w:tr w:rsidR="00012671" w:rsidRPr="00BF6615" w14:paraId="18E87C91" w14:textId="77777777" w:rsidTr="00055769">
        <w:trPr>
          <w:cnfStyle w:val="000000010000" w:firstRow="0" w:lastRow="0" w:firstColumn="0" w:lastColumn="0" w:oddVBand="0" w:evenVBand="0" w:oddHBand="0" w:evenHBand="1" w:firstRowFirstColumn="0" w:firstRowLastColumn="0" w:lastRowFirstColumn="0" w:lastRowLastColumn="0"/>
          <w:trHeight w:val="290"/>
        </w:trPr>
        <w:tc>
          <w:tcPr>
            <w:tcW w:w="5240" w:type="dxa"/>
            <w:hideMark/>
          </w:tcPr>
          <w:p w14:paraId="5A266734"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Łatwo można korzystać z wyszukiwarki</w:t>
            </w:r>
          </w:p>
        </w:tc>
        <w:tc>
          <w:tcPr>
            <w:tcW w:w="1278" w:type="dxa"/>
            <w:hideMark/>
          </w:tcPr>
          <w:p w14:paraId="0E521820"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4,63</w:t>
            </w:r>
          </w:p>
        </w:tc>
        <w:tc>
          <w:tcPr>
            <w:tcW w:w="1153" w:type="dxa"/>
            <w:hideMark/>
          </w:tcPr>
          <w:p w14:paraId="7E743C1E"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116" w:type="dxa"/>
            <w:hideMark/>
          </w:tcPr>
          <w:p w14:paraId="4C334974"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4,83</w:t>
            </w:r>
          </w:p>
        </w:tc>
        <w:tc>
          <w:tcPr>
            <w:tcW w:w="1215" w:type="dxa"/>
            <w:noWrap/>
            <w:hideMark/>
          </w:tcPr>
          <w:p w14:paraId="6695B909"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4,59</w:t>
            </w:r>
          </w:p>
        </w:tc>
      </w:tr>
      <w:tr w:rsidR="00012671" w:rsidRPr="00BF6615" w14:paraId="16C8DD26" w14:textId="77777777" w:rsidTr="00055769">
        <w:trPr>
          <w:cnfStyle w:val="000000100000" w:firstRow="0" w:lastRow="0" w:firstColumn="0" w:lastColumn="0" w:oddVBand="0" w:evenVBand="0" w:oddHBand="1" w:evenHBand="0" w:firstRowFirstColumn="0" w:firstRowLastColumn="0" w:lastRowFirstColumn="0" w:lastRowLastColumn="0"/>
          <w:trHeight w:val="580"/>
        </w:trPr>
        <w:tc>
          <w:tcPr>
            <w:tcW w:w="5240" w:type="dxa"/>
            <w:hideMark/>
          </w:tcPr>
          <w:p w14:paraId="29FF888A"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Obrazy, grafiki i zdjęcia na stronie są dla mnie zrozumiałe</w:t>
            </w:r>
          </w:p>
        </w:tc>
        <w:tc>
          <w:tcPr>
            <w:tcW w:w="1278" w:type="dxa"/>
            <w:hideMark/>
          </w:tcPr>
          <w:p w14:paraId="4B25E302"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1153" w:type="dxa"/>
            <w:hideMark/>
          </w:tcPr>
          <w:p w14:paraId="0782AB82"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4,83</w:t>
            </w:r>
          </w:p>
        </w:tc>
        <w:tc>
          <w:tcPr>
            <w:tcW w:w="1116" w:type="dxa"/>
            <w:hideMark/>
          </w:tcPr>
          <w:p w14:paraId="3AFA3D4B"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4,95</w:t>
            </w:r>
          </w:p>
        </w:tc>
        <w:tc>
          <w:tcPr>
            <w:tcW w:w="1215" w:type="dxa"/>
            <w:noWrap/>
            <w:hideMark/>
          </w:tcPr>
          <w:p w14:paraId="2D0E4063"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4,78</w:t>
            </w:r>
          </w:p>
        </w:tc>
      </w:tr>
      <w:tr w:rsidR="00012671" w:rsidRPr="00BF6615" w14:paraId="2F20ECE7" w14:textId="77777777" w:rsidTr="00055769">
        <w:trPr>
          <w:cnfStyle w:val="000000010000" w:firstRow="0" w:lastRow="0" w:firstColumn="0" w:lastColumn="0" w:oddVBand="0" w:evenVBand="0" w:oddHBand="0" w:evenHBand="1" w:firstRowFirstColumn="0" w:firstRowLastColumn="0" w:lastRowFirstColumn="0" w:lastRowLastColumn="0"/>
          <w:trHeight w:val="290"/>
        </w:trPr>
        <w:tc>
          <w:tcPr>
            <w:tcW w:w="5240" w:type="dxa"/>
            <w:hideMark/>
          </w:tcPr>
          <w:p w14:paraId="32D8C3B6"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Multimedia są dla mnie zrozumiałe</w:t>
            </w:r>
          </w:p>
        </w:tc>
        <w:tc>
          <w:tcPr>
            <w:tcW w:w="1278" w:type="dxa"/>
            <w:hideMark/>
          </w:tcPr>
          <w:p w14:paraId="40D8ECD7"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153" w:type="dxa"/>
            <w:hideMark/>
          </w:tcPr>
          <w:p w14:paraId="5D02D822"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116" w:type="dxa"/>
            <w:hideMark/>
          </w:tcPr>
          <w:p w14:paraId="512A7CFF"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4,92</w:t>
            </w:r>
          </w:p>
        </w:tc>
        <w:tc>
          <w:tcPr>
            <w:tcW w:w="1215" w:type="dxa"/>
            <w:noWrap/>
            <w:hideMark/>
          </w:tcPr>
          <w:p w14:paraId="660A2B03"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4,64</w:t>
            </w:r>
          </w:p>
        </w:tc>
      </w:tr>
      <w:tr w:rsidR="00012671" w:rsidRPr="00BF6615" w14:paraId="6EB59E62" w14:textId="77777777" w:rsidTr="00055769">
        <w:trPr>
          <w:cnfStyle w:val="000000100000" w:firstRow="0" w:lastRow="0" w:firstColumn="0" w:lastColumn="0" w:oddVBand="0" w:evenVBand="0" w:oddHBand="1" w:evenHBand="0" w:firstRowFirstColumn="0" w:firstRowLastColumn="0" w:lastRowFirstColumn="0" w:lastRowLastColumn="0"/>
          <w:trHeight w:val="1074"/>
        </w:trPr>
        <w:tc>
          <w:tcPr>
            <w:tcW w:w="5240" w:type="dxa"/>
            <w:hideMark/>
          </w:tcPr>
          <w:p w14:paraId="1D2D3974"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 (E-mail, chat, SMS, wideo rozmowa, itp.)</w:t>
            </w:r>
          </w:p>
        </w:tc>
        <w:tc>
          <w:tcPr>
            <w:tcW w:w="1278" w:type="dxa"/>
            <w:hideMark/>
          </w:tcPr>
          <w:p w14:paraId="6B01E151"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153" w:type="dxa"/>
            <w:hideMark/>
          </w:tcPr>
          <w:p w14:paraId="422DD9E2"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116" w:type="dxa"/>
            <w:hideMark/>
          </w:tcPr>
          <w:p w14:paraId="740C9DDF"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4,69</w:t>
            </w:r>
          </w:p>
        </w:tc>
        <w:tc>
          <w:tcPr>
            <w:tcW w:w="1215" w:type="dxa"/>
            <w:noWrap/>
            <w:hideMark/>
          </w:tcPr>
          <w:p w14:paraId="23116DFF"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4,58</w:t>
            </w:r>
          </w:p>
        </w:tc>
      </w:tr>
      <w:tr w:rsidR="00012671" w:rsidRPr="00BF6615" w14:paraId="1B7800C4" w14:textId="77777777" w:rsidTr="00055769">
        <w:trPr>
          <w:cnfStyle w:val="000000010000" w:firstRow="0" w:lastRow="0" w:firstColumn="0" w:lastColumn="0" w:oddVBand="0" w:evenVBand="0" w:oddHBand="0" w:evenHBand="1" w:firstRowFirstColumn="0" w:firstRowLastColumn="0" w:lastRowFirstColumn="0" w:lastRowLastColumn="0"/>
          <w:trHeight w:val="580"/>
        </w:trPr>
        <w:tc>
          <w:tcPr>
            <w:tcW w:w="5240" w:type="dxa"/>
            <w:hideMark/>
          </w:tcPr>
          <w:p w14:paraId="488A1222"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strony mogę obsłużyć za pomocą klawiatury</w:t>
            </w:r>
          </w:p>
        </w:tc>
        <w:tc>
          <w:tcPr>
            <w:tcW w:w="1278" w:type="dxa"/>
            <w:hideMark/>
          </w:tcPr>
          <w:p w14:paraId="73E677FE"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4,88</w:t>
            </w:r>
          </w:p>
        </w:tc>
        <w:tc>
          <w:tcPr>
            <w:tcW w:w="1153" w:type="dxa"/>
            <w:hideMark/>
          </w:tcPr>
          <w:p w14:paraId="6B963CB6"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116" w:type="dxa"/>
            <w:hideMark/>
          </w:tcPr>
          <w:p w14:paraId="7DA4129E"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215" w:type="dxa"/>
            <w:noWrap/>
            <w:hideMark/>
          </w:tcPr>
          <w:p w14:paraId="1A6B2505"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4,85</w:t>
            </w:r>
          </w:p>
        </w:tc>
      </w:tr>
      <w:tr w:rsidR="00012671" w:rsidRPr="00BF6615" w14:paraId="55C97E43" w14:textId="77777777" w:rsidTr="00055769">
        <w:trPr>
          <w:cnfStyle w:val="000000100000" w:firstRow="0" w:lastRow="0" w:firstColumn="0" w:lastColumn="0" w:oddVBand="0" w:evenVBand="0" w:oddHBand="1" w:evenHBand="0" w:firstRowFirstColumn="0" w:firstRowLastColumn="0" w:lastRowFirstColumn="0" w:lastRowLastColumn="0"/>
          <w:trHeight w:val="580"/>
        </w:trPr>
        <w:tc>
          <w:tcPr>
            <w:tcW w:w="5240" w:type="dxa"/>
            <w:hideMark/>
          </w:tcPr>
          <w:p w14:paraId="65C231C6"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tłumaczenia na Polski język migowy (PJM)</w:t>
            </w:r>
          </w:p>
        </w:tc>
        <w:tc>
          <w:tcPr>
            <w:tcW w:w="1278" w:type="dxa"/>
            <w:hideMark/>
          </w:tcPr>
          <w:p w14:paraId="65FC5936"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153" w:type="dxa"/>
            <w:hideMark/>
          </w:tcPr>
          <w:p w14:paraId="1CF7561E"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116" w:type="dxa"/>
            <w:hideMark/>
          </w:tcPr>
          <w:p w14:paraId="57AF8D25"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4,92</w:t>
            </w:r>
          </w:p>
        </w:tc>
        <w:tc>
          <w:tcPr>
            <w:tcW w:w="1215" w:type="dxa"/>
            <w:noWrap/>
            <w:hideMark/>
          </w:tcPr>
          <w:p w14:paraId="04C6B2E4"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4,31</w:t>
            </w:r>
          </w:p>
        </w:tc>
      </w:tr>
      <w:tr w:rsidR="00012671" w:rsidRPr="00BF6615" w14:paraId="3376F6F3" w14:textId="77777777" w:rsidTr="00055769">
        <w:trPr>
          <w:cnfStyle w:val="000000010000" w:firstRow="0" w:lastRow="0" w:firstColumn="0" w:lastColumn="0" w:oddVBand="0" w:evenVBand="0" w:oddHBand="0" w:evenHBand="1" w:firstRowFirstColumn="0" w:firstRowLastColumn="0" w:lastRowFirstColumn="0" w:lastRowLastColumn="0"/>
          <w:trHeight w:val="580"/>
        </w:trPr>
        <w:tc>
          <w:tcPr>
            <w:tcW w:w="5240" w:type="dxa"/>
            <w:hideMark/>
          </w:tcPr>
          <w:p w14:paraId="2DFDBB57"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informacje w tekście łatwym do czytania i zrozumienia (ETR)</w:t>
            </w:r>
          </w:p>
        </w:tc>
        <w:tc>
          <w:tcPr>
            <w:tcW w:w="1278" w:type="dxa"/>
            <w:hideMark/>
          </w:tcPr>
          <w:p w14:paraId="7A08BAC4"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4,88</w:t>
            </w:r>
          </w:p>
        </w:tc>
        <w:tc>
          <w:tcPr>
            <w:tcW w:w="1153" w:type="dxa"/>
            <w:hideMark/>
          </w:tcPr>
          <w:p w14:paraId="3BF1D9F4"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116" w:type="dxa"/>
            <w:hideMark/>
          </w:tcPr>
          <w:p w14:paraId="48433D15"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4,81</w:t>
            </w:r>
          </w:p>
        </w:tc>
        <w:tc>
          <w:tcPr>
            <w:tcW w:w="1215" w:type="dxa"/>
            <w:noWrap/>
            <w:hideMark/>
          </w:tcPr>
          <w:p w14:paraId="568B277E"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4,73</w:t>
            </w:r>
          </w:p>
        </w:tc>
      </w:tr>
      <w:tr w:rsidR="00012671" w:rsidRPr="00BF6615" w14:paraId="0C5DCF46" w14:textId="77777777" w:rsidTr="00055769">
        <w:trPr>
          <w:cnfStyle w:val="000000100000" w:firstRow="0" w:lastRow="0" w:firstColumn="0" w:lastColumn="0" w:oddVBand="0" w:evenVBand="0" w:oddHBand="1" w:evenHBand="0" w:firstRowFirstColumn="0" w:firstRowLastColumn="0" w:lastRowFirstColumn="0" w:lastRowLastColumn="0"/>
          <w:trHeight w:val="580"/>
        </w:trPr>
        <w:tc>
          <w:tcPr>
            <w:tcW w:w="5240" w:type="dxa"/>
            <w:hideMark/>
          </w:tcPr>
          <w:p w14:paraId="75EC8A83"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jest dla mnie dostępna pod każdym względem</w:t>
            </w:r>
          </w:p>
        </w:tc>
        <w:tc>
          <w:tcPr>
            <w:tcW w:w="1278" w:type="dxa"/>
            <w:hideMark/>
          </w:tcPr>
          <w:p w14:paraId="0E8AB350"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4,88</w:t>
            </w:r>
          </w:p>
        </w:tc>
        <w:tc>
          <w:tcPr>
            <w:tcW w:w="1153" w:type="dxa"/>
            <w:hideMark/>
          </w:tcPr>
          <w:p w14:paraId="7A0DB0F1"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116" w:type="dxa"/>
            <w:hideMark/>
          </w:tcPr>
          <w:p w14:paraId="7A4A062F" w14:textId="77777777"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215" w:type="dxa"/>
            <w:noWrap/>
            <w:hideMark/>
          </w:tcPr>
          <w:p w14:paraId="04DC2400"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4,56</w:t>
            </w:r>
          </w:p>
        </w:tc>
      </w:tr>
      <w:tr w:rsidR="00012671" w:rsidRPr="00BF6615" w14:paraId="6DDEB338" w14:textId="77777777" w:rsidTr="00055769">
        <w:trPr>
          <w:cnfStyle w:val="000000010000" w:firstRow="0" w:lastRow="0" w:firstColumn="0" w:lastColumn="0" w:oddVBand="0" w:evenVBand="0" w:oddHBand="0" w:evenHBand="1" w:firstRowFirstColumn="0" w:firstRowLastColumn="0" w:lastRowFirstColumn="0" w:lastRowLastColumn="0"/>
          <w:trHeight w:val="290"/>
        </w:trPr>
        <w:tc>
          <w:tcPr>
            <w:tcW w:w="5240" w:type="dxa"/>
            <w:hideMark/>
          </w:tcPr>
          <w:p w14:paraId="05E5578C"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Sumaryczna średnia ocen</w:t>
            </w:r>
          </w:p>
        </w:tc>
        <w:tc>
          <w:tcPr>
            <w:tcW w:w="1278" w:type="dxa"/>
            <w:noWrap/>
            <w:hideMark/>
          </w:tcPr>
          <w:p w14:paraId="4A5C424B"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4,68</w:t>
            </w:r>
          </w:p>
        </w:tc>
        <w:tc>
          <w:tcPr>
            <w:tcW w:w="1153" w:type="dxa"/>
            <w:noWrap/>
            <w:hideMark/>
          </w:tcPr>
          <w:p w14:paraId="50680612"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4,30</w:t>
            </w:r>
          </w:p>
        </w:tc>
        <w:tc>
          <w:tcPr>
            <w:tcW w:w="1116" w:type="dxa"/>
            <w:noWrap/>
            <w:hideMark/>
          </w:tcPr>
          <w:p w14:paraId="41BDBDAD" w14:textId="77777777" w:rsidR="00055769" w:rsidRPr="00BF6615" w:rsidRDefault="0005576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4,85</w:t>
            </w:r>
          </w:p>
        </w:tc>
        <w:tc>
          <w:tcPr>
            <w:tcW w:w="1215" w:type="dxa"/>
            <w:noWrap/>
            <w:hideMark/>
          </w:tcPr>
          <w:p w14:paraId="27226739" w14:textId="3D844743" w:rsidR="00055769" w:rsidRPr="00BF6615" w:rsidRDefault="0005576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 -</w:t>
            </w:r>
          </w:p>
        </w:tc>
      </w:tr>
    </w:tbl>
    <w:p w14:paraId="72F5A78C" w14:textId="77777777" w:rsidR="00356928" w:rsidRPr="00BF6615" w:rsidRDefault="00356928" w:rsidP="007E26B5">
      <w:r w:rsidRPr="00BF6615">
        <w:t>Źródło: opracowanie własne.</w:t>
      </w:r>
    </w:p>
    <w:p w14:paraId="0F764806" w14:textId="48EF8713" w:rsidR="008A3E25" w:rsidRPr="00BF6615" w:rsidRDefault="008A3E25" w:rsidP="00B271C3">
      <w:r w:rsidRPr="00BF6615">
        <w:lastRenderedPageBreak/>
        <w:t>Rozkład odpowiedzi na pytanie o to, z jakich aplikacji mobilnych podmiotów publicznych korzystają badani pokazuje, że aplikacje rządowe są używane najczęściej (55%)</w:t>
      </w:r>
      <w:r w:rsidR="00A230F6" w:rsidRPr="00BF6615">
        <w:t>. Stosunkowo często (39%) wykorzystywane są także aplikacje komunikacyjne.</w:t>
      </w:r>
    </w:p>
    <w:p w14:paraId="2A4722A9" w14:textId="27E2B037" w:rsidR="008A3E25" w:rsidRPr="00BF6615" w:rsidRDefault="008A3E25" w:rsidP="007E26B5">
      <w:pPr>
        <w:spacing w:after="0" w:line="240" w:lineRule="auto"/>
      </w:pPr>
    </w:p>
    <w:p w14:paraId="12EC5E8A" w14:textId="772646D2" w:rsidR="008A3E25" w:rsidRPr="00BF6615" w:rsidRDefault="00A230F6" w:rsidP="007E26B5">
      <w:pPr>
        <w:pStyle w:val="Legenda"/>
        <w:keepNext/>
        <w:rPr>
          <w:szCs w:val="22"/>
        </w:rPr>
      </w:pPr>
      <w:bookmarkStart w:id="248" w:name="_Toc204179181"/>
      <w:r w:rsidRPr="00BF6615">
        <w:t xml:space="preserve">Wykres </w:t>
      </w:r>
      <w:r w:rsidRPr="00BF6615">
        <w:fldChar w:fldCharType="begin"/>
      </w:r>
      <w:r w:rsidRPr="00BF6615">
        <w:instrText xml:space="preserve"> SEQ Wykres \* ARABIC </w:instrText>
      </w:r>
      <w:r w:rsidRPr="00BF6615">
        <w:fldChar w:fldCharType="separate"/>
      </w:r>
      <w:r w:rsidR="00FD0843">
        <w:rPr>
          <w:noProof/>
        </w:rPr>
        <w:t>35</w:t>
      </w:r>
      <w:r w:rsidRPr="00BF6615">
        <w:fldChar w:fldCharType="end"/>
      </w:r>
      <w:r w:rsidR="00FD0843">
        <w:t>.</w:t>
      </w:r>
      <w:r w:rsidRPr="00BF6615">
        <w:t xml:space="preserve"> </w:t>
      </w:r>
      <w:r w:rsidR="008A3E25" w:rsidRPr="00BF6615">
        <w:rPr>
          <w:szCs w:val="22"/>
        </w:rPr>
        <w:t>Aplikacje mobilne podmiotów publicznych, z których</w:t>
      </w:r>
      <w:r w:rsidR="0050632F" w:rsidRPr="00BF6615">
        <w:rPr>
          <w:szCs w:val="22"/>
        </w:rPr>
        <w:t xml:space="preserve"> najczęściej</w:t>
      </w:r>
      <w:r w:rsidR="008A3E25" w:rsidRPr="00BF6615">
        <w:rPr>
          <w:szCs w:val="22"/>
        </w:rPr>
        <w:t xml:space="preserve"> korzystają badani </w:t>
      </w:r>
      <w:r w:rsidR="00A42EFD" w:rsidRPr="00BF6615">
        <w:rPr>
          <w:szCs w:val="22"/>
        </w:rPr>
        <w:t>w</w:t>
      </w:r>
      <w:r w:rsidR="00A42EFD">
        <w:rPr>
          <w:szCs w:val="22"/>
        </w:rPr>
        <w:t> </w:t>
      </w:r>
      <w:r w:rsidR="008A3E25" w:rsidRPr="00BF6615">
        <w:rPr>
          <w:szCs w:val="22"/>
        </w:rPr>
        <w:t>grupie obywatele (n=100)</w:t>
      </w:r>
      <w:bookmarkEnd w:id="248"/>
    </w:p>
    <w:p w14:paraId="2E49074C" w14:textId="528CABFB" w:rsidR="008A3E25" w:rsidRPr="00BF6615" w:rsidRDefault="008A3E25" w:rsidP="007E26B5">
      <w:r w:rsidRPr="00BF6615">
        <w:rPr>
          <w:noProof/>
          <w:lang w:eastAsia="pl-PL"/>
        </w:rPr>
        <w:drawing>
          <wp:inline distT="0" distB="0" distL="0" distR="0" wp14:anchorId="79AE9113" wp14:editId="55F8A1B7">
            <wp:extent cx="5676900" cy="3512745"/>
            <wp:effectExtent l="0" t="0" r="0" b="0"/>
            <wp:docPr id="1948472661" name="Wykres 1" descr="Aplikacje rządowe (np. mObywatel, e-Urząd Skarbowy, mZus) - 55%&#10;Aplikacje urzędu miasta lub urzędu gminy  - 9%&#10;Aplikacje dotyczące zdrowia (np. aplikacja publicznej przychodni zdrowia) - 12%&#10;Aplikacje instytucji kultury (np. biblioteki, muzeum) - 3%&#10;Aplikacje edukacyjne (np. szkoły, uczelni) - 12%&#10;Aplikacje komunikacyjne (np. rozkłady jazdy, rezerwacja biletów PKP) - 39%">
              <a:extLst xmlns:a="http://schemas.openxmlformats.org/drawingml/2006/main">
                <a:ext uri="{FF2B5EF4-FFF2-40B4-BE49-F238E27FC236}">
                  <a16:creationId xmlns:a16="http://schemas.microsoft.com/office/drawing/2014/main" id="{0A5C2262-2E75-7ECF-B1A5-A3C59AB9D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BF35C1A" w14:textId="77777777" w:rsidR="00A230F6" w:rsidRPr="00BF6615" w:rsidRDefault="00A230F6" w:rsidP="007E26B5">
      <w:r w:rsidRPr="00BF6615">
        <w:t>Źródło: opracowanie własne.</w:t>
      </w:r>
    </w:p>
    <w:p w14:paraId="1C987785" w14:textId="37569D2B" w:rsidR="00682371" w:rsidRPr="00BF6615" w:rsidRDefault="00A230F6" w:rsidP="007E26B5">
      <w:pPr>
        <w:rPr>
          <w:rStyle w:val="normalny0"/>
        </w:rPr>
      </w:pPr>
      <w:r w:rsidRPr="00BF6615">
        <w:rPr>
          <w:rStyle w:val="normalny0"/>
        </w:rPr>
        <w:t xml:space="preserve">Na pytanie o to, z jakich aplikacji najczęściej korzystają badani zdecydowanie najczęściej pojawiała się aplikacja </w:t>
      </w:r>
      <w:proofErr w:type="spellStart"/>
      <w:r w:rsidRPr="00BF6615">
        <w:rPr>
          <w:rStyle w:val="normalny0"/>
        </w:rPr>
        <w:t>mObywatel</w:t>
      </w:r>
      <w:proofErr w:type="spellEnd"/>
      <w:r w:rsidR="00132A21">
        <w:rPr>
          <w:rStyle w:val="normalny0"/>
        </w:rPr>
        <w:t xml:space="preserve"> – </w:t>
      </w:r>
      <w:r w:rsidRPr="00BF6615">
        <w:rPr>
          <w:rStyle w:val="normalny0"/>
        </w:rPr>
        <w:t xml:space="preserve">użytkownicy korzystają z niej najczęściej jako głównego narzędzia dostępu do usług publicznych. </w:t>
      </w:r>
      <w:r w:rsidR="00682371" w:rsidRPr="00BF6615">
        <w:rPr>
          <w:rStyle w:val="normalny0"/>
        </w:rPr>
        <w:t xml:space="preserve">Respondenci wskazywali także na aplikacje dzienników elektronicznych, ośrodków zdrowia czy </w:t>
      </w:r>
      <w:r w:rsidR="00860963" w:rsidRPr="00BF6615">
        <w:rPr>
          <w:rStyle w:val="normalny0"/>
        </w:rPr>
        <w:t>transportowe np. ZTM.</w:t>
      </w:r>
    </w:p>
    <w:p w14:paraId="1EFB17E6" w14:textId="6A72AB2A" w:rsidR="000F2978" w:rsidRPr="00BF6615" w:rsidRDefault="00A230F6" w:rsidP="007E26B5">
      <w:pPr>
        <w:rPr>
          <w:color w:val="4472C4" w:themeColor="accent1"/>
        </w:rPr>
      </w:pPr>
      <w:r w:rsidRPr="00BF6615">
        <w:t xml:space="preserve">Respondenci proszeni byli o dokonanie oceny ww. aplikacji w różnych aspektach dostępności cyfrowej. </w:t>
      </w:r>
      <w:r w:rsidR="006F432C" w:rsidRPr="00BF6615">
        <w:t xml:space="preserve">Skala ocen zawierała się w przedziale 1-5, gdzie 1 było najniższą, a 5 najwyższą oceną. </w:t>
      </w:r>
    </w:p>
    <w:p w14:paraId="6E4A224F" w14:textId="783EB49A" w:rsidR="00770FAE" w:rsidRPr="00BF6615" w:rsidRDefault="00860963" w:rsidP="007E26B5">
      <w:r w:rsidRPr="00BF6615">
        <w:t xml:space="preserve">Aplikacje rządowe otrzymały łączną wyższą ocenę, niż aplikacje samorządowe- stosunek 4,47 do 4,03. </w:t>
      </w:r>
      <w:r w:rsidR="00001892" w:rsidRPr="00BF6615">
        <w:t>Bez względu na tę różnicę wszystkie oceniane aplikacje zostały ocenione</w:t>
      </w:r>
      <w:r w:rsidR="00837204" w:rsidRPr="00BF6615">
        <w:t xml:space="preserve"> dość</w:t>
      </w:r>
      <w:r w:rsidR="00001892" w:rsidRPr="00BF6615">
        <w:t xml:space="preserve"> wysoko </w:t>
      </w:r>
      <w:r w:rsidR="76020921" w:rsidRPr="00BF6615">
        <w:t>-</w:t>
      </w:r>
      <w:r w:rsidR="00001892" w:rsidRPr="00BF6615">
        <w:t xml:space="preserve"> skala ocen</w:t>
      </w:r>
      <w:r w:rsidR="00C665C4" w:rsidRPr="00BF6615">
        <w:t xml:space="preserve"> jednostkowych</w:t>
      </w:r>
      <w:r w:rsidR="00001892" w:rsidRPr="00BF6615">
        <w:t xml:space="preserve"> zawierała się </w:t>
      </w:r>
      <w:r w:rsidR="6ADF3BB8" w:rsidRPr="00BF6615">
        <w:t xml:space="preserve">w przedziale </w:t>
      </w:r>
      <w:r w:rsidR="00001892" w:rsidRPr="00BF6615">
        <w:t xml:space="preserve">od </w:t>
      </w:r>
      <w:r w:rsidR="00837204" w:rsidRPr="00BF6615">
        <w:t>3,</w:t>
      </w:r>
      <w:r w:rsidR="00770FAE" w:rsidRPr="00BF6615">
        <w:t>50</w:t>
      </w:r>
      <w:r w:rsidR="00837204" w:rsidRPr="00BF6615">
        <w:t xml:space="preserve"> do 4,66.</w:t>
      </w:r>
      <w:r w:rsidR="004C436F" w:rsidRPr="00BF6615">
        <w:t xml:space="preserve"> </w:t>
      </w:r>
      <w:r w:rsidR="002A4207" w:rsidRPr="00BF6615">
        <w:t>W aplikacjach urzędów miejskich czy gmin</w:t>
      </w:r>
      <w:r w:rsidR="268A49CC" w:rsidRPr="00BF6615">
        <w:t>n</w:t>
      </w:r>
      <w:r w:rsidR="002A4207" w:rsidRPr="00BF6615">
        <w:t>y</w:t>
      </w:r>
      <w:r w:rsidR="0F27AA92" w:rsidRPr="00BF6615">
        <w:t>ch</w:t>
      </w:r>
      <w:r w:rsidR="002A4207" w:rsidRPr="00BF6615">
        <w:t xml:space="preserve"> najniżej oceniono </w:t>
      </w:r>
      <w:r w:rsidR="00770FAE" w:rsidRPr="00BF6615">
        <w:t xml:space="preserve">szybkość ładowania aplikacji (3,50). Aplikacje samorządowe otrzymały niższe noty w każdym, poza jednym aspektem oceny. Wyżej </w:t>
      </w:r>
      <w:r w:rsidR="7DD066B8" w:rsidRPr="00BF6615">
        <w:t>niż rządowe</w:t>
      </w:r>
      <w:r w:rsidR="00770FAE" w:rsidRPr="00BF6615">
        <w:t xml:space="preserve"> zostały ocenione tylko w kryterium </w:t>
      </w:r>
      <w:r w:rsidR="00F8755D" w:rsidRPr="00BF6615">
        <w:t>mogę skontaktować się z obsługa klienta.</w:t>
      </w:r>
    </w:p>
    <w:p w14:paraId="0835DC6C" w14:textId="13DAEC97" w:rsidR="00BA261B" w:rsidRPr="00BF6615" w:rsidRDefault="004C436F" w:rsidP="007E26B5">
      <w:r w:rsidRPr="00BF6615">
        <w:lastRenderedPageBreak/>
        <w:t xml:space="preserve">Aplikacje rządowe uzyskały </w:t>
      </w:r>
      <w:r w:rsidR="002A4207" w:rsidRPr="00BF6615">
        <w:t xml:space="preserve">łączne </w:t>
      </w:r>
      <w:r w:rsidRPr="00BF6615">
        <w:t>wyższe noty niż strony, a aplikacje samorządowe otrzymały noty niższe niż strony</w:t>
      </w:r>
      <w:r w:rsidR="00F23754" w:rsidRPr="00BF6615">
        <w:t xml:space="preserve"> samorządowe. Najniżej oceniono aspekt możliwości kontaktu </w:t>
      </w:r>
      <w:r w:rsidR="00A42EFD" w:rsidRPr="00BF6615">
        <w:t>z</w:t>
      </w:r>
      <w:r w:rsidR="00A42EFD">
        <w:t> </w:t>
      </w:r>
      <w:r w:rsidR="00F23754" w:rsidRPr="00BF6615">
        <w:t>podmiotem publicznym (3,9</w:t>
      </w:r>
      <w:r w:rsidR="00C665C4" w:rsidRPr="00BF6615">
        <w:t>7</w:t>
      </w:r>
      <w:r w:rsidR="00F23754" w:rsidRPr="00BF6615">
        <w:t xml:space="preserve">) oraz </w:t>
      </w:r>
      <w:r w:rsidR="00C665C4" w:rsidRPr="00BF6615">
        <w:t>szybkość ładowania się aplikacji (3,99).</w:t>
      </w:r>
      <w:r w:rsidR="00F8755D" w:rsidRPr="00BF6615">
        <w:t xml:space="preserve"> Co jest zbieżne </w:t>
      </w:r>
      <w:r w:rsidR="00A42EFD" w:rsidRPr="00BF6615">
        <w:t>z</w:t>
      </w:r>
      <w:r w:rsidR="00A42EFD">
        <w:t> </w:t>
      </w:r>
      <w:r w:rsidR="00F8755D" w:rsidRPr="00BF6615">
        <w:t>ocenami ogó</w:t>
      </w:r>
      <w:r w:rsidR="006C270D" w:rsidRPr="00BF6615">
        <w:t>łu osób badanych.</w:t>
      </w:r>
    </w:p>
    <w:p w14:paraId="0B827CC7" w14:textId="50B32250" w:rsidR="001C798F" w:rsidRPr="00BF6615" w:rsidRDefault="001C798F" w:rsidP="007E26B5">
      <w:pPr>
        <w:pStyle w:val="Legenda"/>
      </w:pPr>
      <w:bookmarkStart w:id="249" w:name="_Toc204179131"/>
      <w:r w:rsidRPr="00BF6615">
        <w:t xml:space="preserve">Tabela </w:t>
      </w:r>
      <w:r w:rsidRPr="00BF6615">
        <w:fldChar w:fldCharType="begin"/>
      </w:r>
      <w:r w:rsidRPr="00BF6615">
        <w:instrText xml:space="preserve"> SEQ Tabela \* ARABIC </w:instrText>
      </w:r>
      <w:r w:rsidRPr="00BF6615">
        <w:fldChar w:fldCharType="separate"/>
      </w:r>
      <w:r w:rsidR="00FD0843">
        <w:rPr>
          <w:noProof/>
        </w:rPr>
        <w:t>33</w:t>
      </w:r>
      <w:r w:rsidRPr="00BF6615">
        <w:fldChar w:fldCharType="end"/>
      </w:r>
      <w:r w:rsidR="00FD0843">
        <w:t>.</w:t>
      </w:r>
      <w:r w:rsidRPr="00BF6615">
        <w:t xml:space="preserve"> Średnie oceny aplikacji publicznych wg aspektów dostępności cyfrowej dla aplikacji, </w:t>
      </w:r>
      <w:r w:rsidR="00A42EFD" w:rsidRPr="00BF6615">
        <w:t>z</w:t>
      </w:r>
      <w:r w:rsidR="00A42EFD">
        <w:t> </w:t>
      </w:r>
      <w:r w:rsidRPr="00BF6615">
        <w:t>których korzystają osoby badane w grupie obywatele</w:t>
      </w:r>
      <w:bookmarkEnd w:id="249"/>
    </w:p>
    <w:tbl>
      <w:tblPr>
        <w:tblStyle w:val="PARP"/>
        <w:tblW w:w="9160" w:type="dxa"/>
        <w:tblLook w:val="04A0" w:firstRow="1" w:lastRow="0" w:firstColumn="1" w:lastColumn="0" w:noHBand="0" w:noVBand="1"/>
        <w:tblCaption w:val="Średnie oceny aplikacji publicznych wg aspektów dostępności cyfrowej dla aplikacji, z których korzystają osoby badane w grupie obywatele"/>
        <w:tblDescription w:val="W kolumnach: &#10; Oceniany aspekt dostępności Aplikacja rządowa Aplikacja urzędu miejskiego lub urzędu gminy Sumaryczna średnia ocen"/>
      </w:tblPr>
      <w:tblGrid>
        <w:gridCol w:w="3820"/>
        <w:gridCol w:w="1780"/>
        <w:gridCol w:w="1780"/>
        <w:gridCol w:w="1780"/>
      </w:tblGrid>
      <w:tr w:rsidR="00012671" w:rsidRPr="00BF6615" w14:paraId="72F35933" w14:textId="77777777" w:rsidTr="009F7EA4">
        <w:trPr>
          <w:cnfStyle w:val="100000000000" w:firstRow="1" w:lastRow="0" w:firstColumn="0" w:lastColumn="0" w:oddVBand="0" w:evenVBand="0" w:oddHBand="0" w:evenHBand="0" w:firstRowFirstColumn="0" w:firstRowLastColumn="0" w:lastRowFirstColumn="0" w:lastRowLastColumn="0"/>
          <w:trHeight w:val="870"/>
        </w:trPr>
        <w:tc>
          <w:tcPr>
            <w:tcW w:w="3820" w:type="dxa"/>
            <w:hideMark/>
          </w:tcPr>
          <w:p w14:paraId="0DA1FE3D" w14:textId="77777777" w:rsidR="009F7EA4" w:rsidRPr="00BF6615" w:rsidRDefault="009F7EA4"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780" w:type="dxa"/>
            <w:hideMark/>
          </w:tcPr>
          <w:p w14:paraId="1AA31E2A" w14:textId="77777777" w:rsidR="009F7EA4" w:rsidRPr="00BF6615" w:rsidRDefault="009F7EA4" w:rsidP="007E26B5">
            <w:pPr>
              <w:spacing w:after="0" w:line="240" w:lineRule="auto"/>
              <w:rPr>
                <w:rFonts w:eastAsia="Times New Roman" w:cs="Calibri"/>
                <w:b/>
                <w:sz w:val="22"/>
                <w:lang w:eastAsia="pl-PL"/>
              </w:rPr>
            </w:pPr>
            <w:r w:rsidRPr="00BF6615">
              <w:rPr>
                <w:rFonts w:eastAsia="Times New Roman" w:cs="Calibri"/>
                <w:b/>
                <w:sz w:val="22"/>
                <w:lang w:eastAsia="pl-PL"/>
              </w:rPr>
              <w:t>Aplikacja rządowa</w:t>
            </w:r>
          </w:p>
        </w:tc>
        <w:tc>
          <w:tcPr>
            <w:tcW w:w="1780" w:type="dxa"/>
            <w:hideMark/>
          </w:tcPr>
          <w:p w14:paraId="7EC8E6FA" w14:textId="77777777" w:rsidR="009F7EA4" w:rsidRPr="00BF6615" w:rsidRDefault="009F7EA4" w:rsidP="007E26B5">
            <w:pPr>
              <w:spacing w:after="0" w:line="240" w:lineRule="auto"/>
              <w:rPr>
                <w:rFonts w:eastAsia="Times New Roman" w:cs="Calibri"/>
                <w:b/>
                <w:sz w:val="22"/>
                <w:lang w:eastAsia="pl-PL"/>
              </w:rPr>
            </w:pPr>
            <w:r w:rsidRPr="00BF6615">
              <w:rPr>
                <w:rFonts w:eastAsia="Times New Roman" w:cs="Calibri"/>
                <w:b/>
                <w:sz w:val="22"/>
                <w:lang w:eastAsia="pl-PL"/>
              </w:rPr>
              <w:t>Aplikacja urzędu miejskiego lub urzędu gminy</w:t>
            </w:r>
          </w:p>
        </w:tc>
        <w:tc>
          <w:tcPr>
            <w:tcW w:w="1780" w:type="dxa"/>
            <w:hideMark/>
          </w:tcPr>
          <w:p w14:paraId="7C520E16" w14:textId="77777777" w:rsidR="009F7EA4" w:rsidRPr="00BF6615" w:rsidRDefault="009F7EA4"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012671" w:rsidRPr="00BF6615" w14:paraId="7D0AC9FB" w14:textId="77777777" w:rsidTr="009F7EA4">
        <w:trPr>
          <w:cnfStyle w:val="000000100000" w:firstRow="0" w:lastRow="0" w:firstColumn="0" w:lastColumn="0" w:oddVBand="0" w:evenVBand="0" w:oddHBand="1" w:evenHBand="0" w:firstRowFirstColumn="0" w:firstRowLastColumn="0" w:lastRowFirstColumn="0" w:lastRowLastColumn="0"/>
          <w:trHeight w:val="580"/>
        </w:trPr>
        <w:tc>
          <w:tcPr>
            <w:tcW w:w="3820" w:type="dxa"/>
            <w:hideMark/>
          </w:tcPr>
          <w:p w14:paraId="7CB1F96D"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nawigować/poruszać się po aplikacji</w:t>
            </w:r>
          </w:p>
        </w:tc>
        <w:tc>
          <w:tcPr>
            <w:tcW w:w="1780" w:type="dxa"/>
            <w:hideMark/>
          </w:tcPr>
          <w:p w14:paraId="52BACD32"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4,66</w:t>
            </w:r>
          </w:p>
        </w:tc>
        <w:tc>
          <w:tcPr>
            <w:tcW w:w="1780" w:type="dxa"/>
            <w:hideMark/>
          </w:tcPr>
          <w:p w14:paraId="635EE814"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780" w:type="dxa"/>
            <w:hideMark/>
          </w:tcPr>
          <w:p w14:paraId="4AFA3D34"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4,42</w:t>
            </w:r>
          </w:p>
        </w:tc>
      </w:tr>
      <w:tr w:rsidR="00012671" w:rsidRPr="00BF6615" w14:paraId="3B92ADCE" w14:textId="77777777" w:rsidTr="009F7EA4">
        <w:trPr>
          <w:cnfStyle w:val="000000010000" w:firstRow="0" w:lastRow="0" w:firstColumn="0" w:lastColumn="0" w:oddVBand="0" w:evenVBand="0" w:oddHBand="0" w:evenHBand="1" w:firstRowFirstColumn="0" w:firstRowLastColumn="0" w:lastRowFirstColumn="0" w:lastRowLastColumn="0"/>
          <w:trHeight w:val="290"/>
        </w:trPr>
        <w:tc>
          <w:tcPr>
            <w:tcW w:w="3820" w:type="dxa"/>
            <w:hideMark/>
          </w:tcPr>
          <w:p w14:paraId="21F39713"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znaleźć potrzebne mi informacje</w:t>
            </w:r>
          </w:p>
        </w:tc>
        <w:tc>
          <w:tcPr>
            <w:tcW w:w="1780" w:type="dxa"/>
            <w:hideMark/>
          </w:tcPr>
          <w:p w14:paraId="18F7752B"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780" w:type="dxa"/>
            <w:hideMark/>
          </w:tcPr>
          <w:p w14:paraId="6856AE1D"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780" w:type="dxa"/>
            <w:hideMark/>
          </w:tcPr>
          <w:p w14:paraId="606270EA"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4,36</w:t>
            </w:r>
          </w:p>
        </w:tc>
      </w:tr>
      <w:tr w:rsidR="00012671" w:rsidRPr="00BF6615" w14:paraId="135ACB3B" w14:textId="77777777" w:rsidTr="009F7EA4">
        <w:trPr>
          <w:cnfStyle w:val="000000100000" w:firstRow="0" w:lastRow="0" w:firstColumn="0" w:lastColumn="0" w:oddVBand="0" w:evenVBand="0" w:oddHBand="1" w:evenHBand="0" w:firstRowFirstColumn="0" w:firstRowLastColumn="0" w:lastRowFirstColumn="0" w:lastRowLastColumn="0"/>
          <w:trHeight w:val="290"/>
        </w:trPr>
        <w:tc>
          <w:tcPr>
            <w:tcW w:w="3820" w:type="dxa"/>
            <w:hideMark/>
          </w:tcPr>
          <w:p w14:paraId="052287CA"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szybko się ładuje</w:t>
            </w:r>
          </w:p>
        </w:tc>
        <w:tc>
          <w:tcPr>
            <w:tcW w:w="1780" w:type="dxa"/>
            <w:hideMark/>
          </w:tcPr>
          <w:p w14:paraId="18BFFC98"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4,49</w:t>
            </w:r>
          </w:p>
        </w:tc>
        <w:tc>
          <w:tcPr>
            <w:tcW w:w="1780" w:type="dxa"/>
            <w:hideMark/>
          </w:tcPr>
          <w:p w14:paraId="184A0D24"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780" w:type="dxa"/>
            <w:hideMark/>
          </w:tcPr>
          <w:p w14:paraId="6BE6E136"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3,99</w:t>
            </w:r>
          </w:p>
        </w:tc>
      </w:tr>
      <w:tr w:rsidR="00012671" w:rsidRPr="00BF6615" w14:paraId="48F896C3" w14:textId="77777777" w:rsidTr="009F7EA4">
        <w:trPr>
          <w:cnfStyle w:val="000000010000" w:firstRow="0" w:lastRow="0" w:firstColumn="0" w:lastColumn="0" w:oddVBand="0" w:evenVBand="0" w:oddHBand="0" w:evenHBand="1" w:firstRowFirstColumn="0" w:firstRowLastColumn="0" w:lastRowFirstColumn="0" w:lastRowLastColumn="0"/>
          <w:trHeight w:val="290"/>
        </w:trPr>
        <w:tc>
          <w:tcPr>
            <w:tcW w:w="3820" w:type="dxa"/>
            <w:hideMark/>
          </w:tcPr>
          <w:p w14:paraId="1D335E98"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ma czytelny układ treści</w:t>
            </w:r>
          </w:p>
        </w:tc>
        <w:tc>
          <w:tcPr>
            <w:tcW w:w="1780" w:type="dxa"/>
            <w:hideMark/>
          </w:tcPr>
          <w:p w14:paraId="56C09D9F"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4,54</w:t>
            </w:r>
          </w:p>
        </w:tc>
        <w:tc>
          <w:tcPr>
            <w:tcW w:w="1780" w:type="dxa"/>
            <w:hideMark/>
          </w:tcPr>
          <w:p w14:paraId="366BC3A4"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780" w:type="dxa"/>
            <w:hideMark/>
          </w:tcPr>
          <w:p w14:paraId="5F3D2D1D"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4,33</w:t>
            </w:r>
          </w:p>
        </w:tc>
      </w:tr>
      <w:tr w:rsidR="00012671" w:rsidRPr="00BF6615" w14:paraId="09C736AA" w14:textId="77777777" w:rsidTr="009F7EA4">
        <w:trPr>
          <w:cnfStyle w:val="000000100000" w:firstRow="0" w:lastRow="0" w:firstColumn="0" w:lastColumn="0" w:oddVBand="0" w:evenVBand="0" w:oddHBand="1" w:evenHBand="0" w:firstRowFirstColumn="0" w:firstRowLastColumn="0" w:lastRowFirstColumn="0" w:lastRowLastColumn="0"/>
          <w:trHeight w:val="580"/>
        </w:trPr>
        <w:tc>
          <w:tcPr>
            <w:tcW w:w="3820" w:type="dxa"/>
            <w:hideMark/>
          </w:tcPr>
          <w:p w14:paraId="03BC9FE5"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w aplikacji są dla mnie przyjazne</w:t>
            </w:r>
          </w:p>
        </w:tc>
        <w:tc>
          <w:tcPr>
            <w:tcW w:w="1780" w:type="dxa"/>
            <w:hideMark/>
          </w:tcPr>
          <w:p w14:paraId="764EBAA0"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4,49</w:t>
            </w:r>
          </w:p>
        </w:tc>
        <w:tc>
          <w:tcPr>
            <w:tcW w:w="1780" w:type="dxa"/>
            <w:hideMark/>
          </w:tcPr>
          <w:p w14:paraId="455A934C"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780" w:type="dxa"/>
            <w:hideMark/>
          </w:tcPr>
          <w:p w14:paraId="3ED19829"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4,43</w:t>
            </w:r>
          </w:p>
        </w:tc>
      </w:tr>
      <w:tr w:rsidR="00012671" w:rsidRPr="00BF6615" w14:paraId="5E5D6E25" w14:textId="77777777" w:rsidTr="009F7EA4">
        <w:trPr>
          <w:cnfStyle w:val="000000010000" w:firstRow="0" w:lastRow="0" w:firstColumn="0" w:lastColumn="0" w:oddVBand="0" w:evenVBand="0" w:oddHBand="0" w:evenHBand="1" w:firstRowFirstColumn="0" w:firstRowLastColumn="0" w:lastRowFirstColumn="0" w:lastRowLastColumn="0"/>
          <w:trHeight w:val="580"/>
        </w:trPr>
        <w:tc>
          <w:tcPr>
            <w:tcW w:w="3820" w:type="dxa"/>
            <w:hideMark/>
          </w:tcPr>
          <w:p w14:paraId="3A88BC19"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jest dla mnie dostępna cyfrowo</w:t>
            </w:r>
          </w:p>
        </w:tc>
        <w:tc>
          <w:tcPr>
            <w:tcW w:w="1780" w:type="dxa"/>
            <w:hideMark/>
          </w:tcPr>
          <w:p w14:paraId="2AA4E898"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4,64</w:t>
            </w:r>
          </w:p>
        </w:tc>
        <w:tc>
          <w:tcPr>
            <w:tcW w:w="1780" w:type="dxa"/>
            <w:hideMark/>
          </w:tcPr>
          <w:p w14:paraId="137BDD13"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3,81</w:t>
            </w:r>
          </w:p>
        </w:tc>
        <w:tc>
          <w:tcPr>
            <w:tcW w:w="1780" w:type="dxa"/>
            <w:hideMark/>
          </w:tcPr>
          <w:p w14:paraId="11DCCAD1"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4,23</w:t>
            </w:r>
          </w:p>
        </w:tc>
      </w:tr>
      <w:tr w:rsidR="00012671" w:rsidRPr="00BF6615" w14:paraId="34B9D8F1" w14:textId="77777777" w:rsidTr="009F7EA4">
        <w:trPr>
          <w:cnfStyle w:val="000000100000" w:firstRow="0" w:lastRow="0" w:firstColumn="0" w:lastColumn="0" w:oddVBand="0" w:evenVBand="0" w:oddHBand="1" w:evenHBand="0" w:firstRowFirstColumn="0" w:firstRowLastColumn="0" w:lastRowFirstColumn="0" w:lastRowLastColumn="0"/>
          <w:trHeight w:val="580"/>
        </w:trPr>
        <w:tc>
          <w:tcPr>
            <w:tcW w:w="3820" w:type="dxa"/>
            <w:hideMark/>
          </w:tcPr>
          <w:p w14:paraId="41576073" w14:textId="77777777" w:rsidR="009F7EA4" w:rsidRPr="00BF6615" w:rsidRDefault="009F7EA4" w:rsidP="007E26B5">
            <w:pPr>
              <w:spacing w:after="0" w:line="240" w:lineRule="auto"/>
              <w:rPr>
                <w:rFonts w:ascii="Calibri" w:eastAsia="Times New Roman" w:hAnsi="Calibri" w:cs="Calibri"/>
                <w:color w:val="000000"/>
                <w:sz w:val="22"/>
                <w:lang w:eastAsia="pl-PL"/>
              </w:rPr>
            </w:pPr>
            <w:proofErr w:type="spellStart"/>
            <w:r w:rsidRPr="00BF6615">
              <w:rPr>
                <w:rFonts w:ascii="Calibri" w:eastAsia="Times New Roman" w:hAnsi="Calibri" w:cs="Calibri"/>
                <w:color w:val="000000"/>
                <w:sz w:val="22"/>
                <w:lang w:eastAsia="pl-PL"/>
              </w:rPr>
              <w:t>Responsywność</w:t>
            </w:r>
            <w:proofErr w:type="spellEnd"/>
            <w:r w:rsidRPr="00BF6615">
              <w:rPr>
                <w:rFonts w:ascii="Calibri" w:eastAsia="Times New Roman" w:hAnsi="Calibri" w:cs="Calibri"/>
                <w:color w:val="000000"/>
                <w:sz w:val="22"/>
                <w:lang w:eastAsia="pl-PL"/>
              </w:rPr>
              <w:t xml:space="preserve"> aplikacji jest odpowiednia</w:t>
            </w:r>
          </w:p>
        </w:tc>
        <w:tc>
          <w:tcPr>
            <w:tcW w:w="1780" w:type="dxa"/>
            <w:hideMark/>
          </w:tcPr>
          <w:p w14:paraId="501C01E7"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4,55</w:t>
            </w:r>
          </w:p>
        </w:tc>
        <w:tc>
          <w:tcPr>
            <w:tcW w:w="1780" w:type="dxa"/>
            <w:hideMark/>
          </w:tcPr>
          <w:p w14:paraId="5D81EADC"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780" w:type="dxa"/>
            <w:hideMark/>
          </w:tcPr>
          <w:p w14:paraId="5C1BE1FF"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4,53</w:t>
            </w:r>
          </w:p>
        </w:tc>
      </w:tr>
      <w:tr w:rsidR="00012671" w:rsidRPr="00BF6615" w14:paraId="084ECF24" w14:textId="77777777" w:rsidTr="009F7EA4">
        <w:trPr>
          <w:cnfStyle w:val="000000010000" w:firstRow="0" w:lastRow="0" w:firstColumn="0" w:lastColumn="0" w:oddVBand="0" w:evenVBand="0" w:oddHBand="0" w:evenHBand="1" w:firstRowFirstColumn="0" w:firstRowLastColumn="0" w:lastRowFirstColumn="0" w:lastRowLastColumn="0"/>
          <w:trHeight w:val="580"/>
        </w:trPr>
        <w:tc>
          <w:tcPr>
            <w:tcW w:w="3820" w:type="dxa"/>
            <w:hideMark/>
          </w:tcPr>
          <w:p w14:paraId="58C45F34"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skontaktować się z obsługa klienta/pomocą</w:t>
            </w:r>
          </w:p>
        </w:tc>
        <w:tc>
          <w:tcPr>
            <w:tcW w:w="1780" w:type="dxa"/>
            <w:hideMark/>
          </w:tcPr>
          <w:p w14:paraId="00853CF0"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4,11</w:t>
            </w:r>
          </w:p>
        </w:tc>
        <w:tc>
          <w:tcPr>
            <w:tcW w:w="1780" w:type="dxa"/>
            <w:hideMark/>
          </w:tcPr>
          <w:p w14:paraId="127F7E02"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780" w:type="dxa"/>
            <w:hideMark/>
          </w:tcPr>
          <w:p w14:paraId="4011DCC2"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4,15</w:t>
            </w:r>
          </w:p>
        </w:tc>
      </w:tr>
      <w:tr w:rsidR="00012671" w:rsidRPr="00BF6615" w14:paraId="6BA51BA3" w14:textId="77777777" w:rsidTr="009F7EA4">
        <w:trPr>
          <w:cnfStyle w:val="000000100000" w:firstRow="0" w:lastRow="0" w:firstColumn="0" w:lastColumn="0" w:oddVBand="0" w:evenVBand="0" w:oddHBand="1" w:evenHBand="0" w:firstRowFirstColumn="0" w:firstRowLastColumn="0" w:lastRowFirstColumn="0" w:lastRowLastColumn="0"/>
          <w:trHeight w:val="1160"/>
        </w:trPr>
        <w:tc>
          <w:tcPr>
            <w:tcW w:w="3820" w:type="dxa"/>
            <w:hideMark/>
          </w:tcPr>
          <w:p w14:paraId="526D4CFA"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w:t>
            </w:r>
          </w:p>
        </w:tc>
        <w:tc>
          <w:tcPr>
            <w:tcW w:w="1780" w:type="dxa"/>
            <w:hideMark/>
          </w:tcPr>
          <w:p w14:paraId="462EF5CD"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780" w:type="dxa"/>
            <w:hideMark/>
          </w:tcPr>
          <w:p w14:paraId="1298914B"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3,81</w:t>
            </w:r>
          </w:p>
        </w:tc>
        <w:tc>
          <w:tcPr>
            <w:tcW w:w="1780" w:type="dxa"/>
            <w:hideMark/>
          </w:tcPr>
          <w:p w14:paraId="020A993B"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3,97</w:t>
            </w:r>
          </w:p>
        </w:tc>
      </w:tr>
      <w:tr w:rsidR="00012671" w:rsidRPr="00BF6615" w14:paraId="77C6E45E" w14:textId="77777777" w:rsidTr="009F7EA4">
        <w:trPr>
          <w:cnfStyle w:val="000000010000" w:firstRow="0" w:lastRow="0" w:firstColumn="0" w:lastColumn="0" w:oddVBand="0" w:evenVBand="0" w:oddHBand="0" w:evenHBand="1" w:firstRowFirstColumn="0" w:firstRowLastColumn="0" w:lastRowFirstColumn="0" w:lastRowLastColumn="0"/>
          <w:trHeight w:val="870"/>
        </w:trPr>
        <w:tc>
          <w:tcPr>
            <w:tcW w:w="3820" w:type="dxa"/>
            <w:hideMark/>
          </w:tcPr>
          <w:p w14:paraId="382226B1"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aplikacji mobilnej mogę obsłużyć za pomocą klawiatury zewnętrznej</w:t>
            </w:r>
          </w:p>
        </w:tc>
        <w:tc>
          <w:tcPr>
            <w:tcW w:w="1780" w:type="dxa"/>
            <w:hideMark/>
          </w:tcPr>
          <w:p w14:paraId="1133230E"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4,23</w:t>
            </w:r>
          </w:p>
        </w:tc>
        <w:tc>
          <w:tcPr>
            <w:tcW w:w="1780" w:type="dxa"/>
            <w:hideMark/>
          </w:tcPr>
          <w:p w14:paraId="71D47FE3"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780" w:type="dxa"/>
            <w:hideMark/>
          </w:tcPr>
          <w:p w14:paraId="003B2353"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4,18</w:t>
            </w:r>
          </w:p>
        </w:tc>
      </w:tr>
      <w:tr w:rsidR="00012671" w:rsidRPr="00BF6615" w14:paraId="00A078A5" w14:textId="77777777" w:rsidTr="009F7EA4">
        <w:trPr>
          <w:cnfStyle w:val="000000100000" w:firstRow="0" w:lastRow="0" w:firstColumn="0" w:lastColumn="0" w:oddVBand="0" w:evenVBand="0" w:oddHBand="1" w:evenHBand="0" w:firstRowFirstColumn="0" w:firstRowLastColumn="0" w:lastRowFirstColumn="0" w:lastRowLastColumn="0"/>
          <w:trHeight w:val="1160"/>
        </w:trPr>
        <w:tc>
          <w:tcPr>
            <w:tcW w:w="3820" w:type="dxa"/>
            <w:hideMark/>
          </w:tcPr>
          <w:p w14:paraId="2433D35A"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Materiały multimedialne oraz grafiki są dla mnie zrozumiałe (filmy posiadają audiodeskrypcję oraz napisy rozszerzone)</w:t>
            </w:r>
          </w:p>
        </w:tc>
        <w:tc>
          <w:tcPr>
            <w:tcW w:w="1780" w:type="dxa"/>
            <w:hideMark/>
          </w:tcPr>
          <w:p w14:paraId="733FE674"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4,44</w:t>
            </w:r>
          </w:p>
        </w:tc>
        <w:tc>
          <w:tcPr>
            <w:tcW w:w="1780" w:type="dxa"/>
            <w:hideMark/>
          </w:tcPr>
          <w:p w14:paraId="7578EA45"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80" w:type="dxa"/>
            <w:hideMark/>
          </w:tcPr>
          <w:p w14:paraId="3AC05C44"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4,22</w:t>
            </w:r>
          </w:p>
        </w:tc>
      </w:tr>
      <w:tr w:rsidR="00012671" w:rsidRPr="00BF6615" w14:paraId="30D99753" w14:textId="77777777" w:rsidTr="009F7EA4">
        <w:trPr>
          <w:cnfStyle w:val="000000010000" w:firstRow="0" w:lastRow="0" w:firstColumn="0" w:lastColumn="0" w:oddVBand="0" w:evenVBand="0" w:oddHBand="0" w:evenHBand="1" w:firstRowFirstColumn="0" w:firstRowLastColumn="0" w:lastRowFirstColumn="0" w:lastRowLastColumn="0"/>
          <w:trHeight w:val="1160"/>
        </w:trPr>
        <w:tc>
          <w:tcPr>
            <w:tcW w:w="3820" w:type="dxa"/>
            <w:hideMark/>
          </w:tcPr>
          <w:p w14:paraId="2741008C"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Niezależnie od wykonywanych czynności otrzymuję informację zwrotną, również o błędach w sposób dostępny cyfrowo</w:t>
            </w:r>
          </w:p>
        </w:tc>
        <w:tc>
          <w:tcPr>
            <w:tcW w:w="1780" w:type="dxa"/>
            <w:hideMark/>
          </w:tcPr>
          <w:p w14:paraId="03BED3F4"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4,59</w:t>
            </w:r>
          </w:p>
        </w:tc>
        <w:tc>
          <w:tcPr>
            <w:tcW w:w="1780" w:type="dxa"/>
            <w:hideMark/>
          </w:tcPr>
          <w:p w14:paraId="4AD5F57E"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3,69</w:t>
            </w:r>
          </w:p>
        </w:tc>
        <w:tc>
          <w:tcPr>
            <w:tcW w:w="1780" w:type="dxa"/>
            <w:hideMark/>
          </w:tcPr>
          <w:p w14:paraId="0D37CDA9"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4,14</w:t>
            </w:r>
          </w:p>
        </w:tc>
      </w:tr>
      <w:tr w:rsidR="00012671" w:rsidRPr="00BF6615" w14:paraId="5E38E82B" w14:textId="77777777" w:rsidTr="009F7EA4">
        <w:trPr>
          <w:cnfStyle w:val="000000100000" w:firstRow="0" w:lastRow="0" w:firstColumn="0" w:lastColumn="0" w:oddVBand="0" w:evenVBand="0" w:oddHBand="1" w:evenHBand="0" w:firstRowFirstColumn="0" w:firstRowLastColumn="0" w:lastRowFirstColumn="0" w:lastRowLastColumn="0"/>
          <w:trHeight w:val="870"/>
        </w:trPr>
        <w:tc>
          <w:tcPr>
            <w:tcW w:w="3820" w:type="dxa"/>
            <w:hideMark/>
          </w:tcPr>
          <w:p w14:paraId="268F1735"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wyświetlane na ekranie są czytelne zarówno w widoku poziomym jak i pionowym</w:t>
            </w:r>
          </w:p>
        </w:tc>
        <w:tc>
          <w:tcPr>
            <w:tcW w:w="1780" w:type="dxa"/>
            <w:hideMark/>
          </w:tcPr>
          <w:p w14:paraId="5A7A0DBD"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4,55</w:t>
            </w:r>
          </w:p>
        </w:tc>
        <w:tc>
          <w:tcPr>
            <w:tcW w:w="1780" w:type="dxa"/>
            <w:hideMark/>
          </w:tcPr>
          <w:p w14:paraId="176E026D"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780" w:type="dxa"/>
            <w:hideMark/>
          </w:tcPr>
          <w:p w14:paraId="725FBF40"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4,53</w:t>
            </w:r>
          </w:p>
        </w:tc>
      </w:tr>
      <w:tr w:rsidR="00012671" w:rsidRPr="00BF6615" w14:paraId="240A1498" w14:textId="77777777" w:rsidTr="009F7EA4">
        <w:trPr>
          <w:cnfStyle w:val="000000010000" w:firstRow="0" w:lastRow="0" w:firstColumn="0" w:lastColumn="0" w:oddVBand="0" w:evenVBand="0" w:oddHBand="0" w:evenHBand="1" w:firstRowFirstColumn="0" w:firstRowLastColumn="0" w:lastRowFirstColumn="0" w:lastRowLastColumn="0"/>
          <w:trHeight w:val="580"/>
        </w:trPr>
        <w:tc>
          <w:tcPr>
            <w:tcW w:w="3820" w:type="dxa"/>
            <w:hideMark/>
          </w:tcPr>
          <w:p w14:paraId="482FA571"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tłumaczenia na Polski język migowy (PJM)</w:t>
            </w:r>
          </w:p>
        </w:tc>
        <w:tc>
          <w:tcPr>
            <w:tcW w:w="1780" w:type="dxa"/>
            <w:hideMark/>
          </w:tcPr>
          <w:p w14:paraId="66EAC880"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4,59</w:t>
            </w:r>
          </w:p>
        </w:tc>
        <w:tc>
          <w:tcPr>
            <w:tcW w:w="1780" w:type="dxa"/>
            <w:hideMark/>
          </w:tcPr>
          <w:p w14:paraId="581AB848"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3,75</w:t>
            </w:r>
          </w:p>
        </w:tc>
        <w:tc>
          <w:tcPr>
            <w:tcW w:w="1780" w:type="dxa"/>
            <w:hideMark/>
          </w:tcPr>
          <w:p w14:paraId="141C7D92"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4,17</w:t>
            </w:r>
          </w:p>
        </w:tc>
      </w:tr>
      <w:tr w:rsidR="00012671" w:rsidRPr="00BF6615" w14:paraId="7F891776" w14:textId="77777777" w:rsidTr="009F7EA4">
        <w:trPr>
          <w:cnfStyle w:val="000000100000" w:firstRow="0" w:lastRow="0" w:firstColumn="0" w:lastColumn="0" w:oddVBand="0" w:evenVBand="0" w:oddHBand="1" w:evenHBand="0" w:firstRowFirstColumn="0" w:firstRowLastColumn="0" w:lastRowFirstColumn="0" w:lastRowLastColumn="0"/>
          <w:trHeight w:val="580"/>
        </w:trPr>
        <w:tc>
          <w:tcPr>
            <w:tcW w:w="3820" w:type="dxa"/>
            <w:hideMark/>
          </w:tcPr>
          <w:p w14:paraId="31C4DACB"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Aplikacja zawiera informacje w tekście łatwym do czytania i zrozumienia (ETR)</w:t>
            </w:r>
          </w:p>
        </w:tc>
        <w:tc>
          <w:tcPr>
            <w:tcW w:w="1780" w:type="dxa"/>
            <w:hideMark/>
          </w:tcPr>
          <w:p w14:paraId="680A73D6"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4,49</w:t>
            </w:r>
          </w:p>
        </w:tc>
        <w:tc>
          <w:tcPr>
            <w:tcW w:w="1780" w:type="dxa"/>
            <w:hideMark/>
          </w:tcPr>
          <w:p w14:paraId="740ACDA1"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3,69</w:t>
            </w:r>
          </w:p>
        </w:tc>
        <w:tc>
          <w:tcPr>
            <w:tcW w:w="1780" w:type="dxa"/>
            <w:hideMark/>
          </w:tcPr>
          <w:p w14:paraId="5D7F811D"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4,09</w:t>
            </w:r>
          </w:p>
        </w:tc>
      </w:tr>
      <w:tr w:rsidR="00012671" w:rsidRPr="00BF6615" w14:paraId="7B868B41" w14:textId="77777777" w:rsidTr="009F7EA4">
        <w:trPr>
          <w:cnfStyle w:val="000000010000" w:firstRow="0" w:lastRow="0" w:firstColumn="0" w:lastColumn="0" w:oddVBand="0" w:evenVBand="0" w:oddHBand="0" w:evenHBand="1" w:firstRowFirstColumn="0" w:firstRowLastColumn="0" w:lastRowFirstColumn="0" w:lastRowLastColumn="0"/>
          <w:trHeight w:val="290"/>
        </w:trPr>
        <w:tc>
          <w:tcPr>
            <w:tcW w:w="3820" w:type="dxa"/>
            <w:hideMark/>
          </w:tcPr>
          <w:p w14:paraId="49561994" w14:textId="77777777" w:rsidR="009F7EA4" w:rsidRPr="00BF6615" w:rsidRDefault="009F7EA4"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Sumaryczna średnia ocen</w:t>
            </w:r>
          </w:p>
        </w:tc>
        <w:tc>
          <w:tcPr>
            <w:tcW w:w="1780" w:type="dxa"/>
            <w:hideMark/>
          </w:tcPr>
          <w:p w14:paraId="07202B98"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4,47</w:t>
            </w:r>
          </w:p>
        </w:tc>
        <w:tc>
          <w:tcPr>
            <w:tcW w:w="1780" w:type="dxa"/>
            <w:hideMark/>
          </w:tcPr>
          <w:p w14:paraId="78351E1D" w14:textId="77777777"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4,03</w:t>
            </w:r>
          </w:p>
        </w:tc>
        <w:tc>
          <w:tcPr>
            <w:tcW w:w="1780" w:type="dxa"/>
            <w:hideMark/>
          </w:tcPr>
          <w:p w14:paraId="28D12BB5" w14:textId="02D34E9C" w:rsidR="009F7EA4" w:rsidRPr="00BF6615" w:rsidRDefault="009F7EA4"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 </w:t>
            </w:r>
            <w:r w:rsidR="00F23754" w:rsidRPr="00BF6615">
              <w:rPr>
                <w:rFonts w:ascii="Calibri" w:eastAsia="Times New Roman" w:hAnsi="Calibri" w:cs="Calibri"/>
                <w:b/>
                <w:color w:val="000000"/>
                <w:sz w:val="22"/>
                <w:lang w:eastAsia="pl-PL"/>
              </w:rPr>
              <w:t>-</w:t>
            </w:r>
          </w:p>
        </w:tc>
      </w:tr>
    </w:tbl>
    <w:p w14:paraId="04C28A77" w14:textId="77777777" w:rsidR="006F432C" w:rsidRPr="00BF6615" w:rsidRDefault="006F432C" w:rsidP="007E26B5">
      <w:r w:rsidRPr="00BF6615">
        <w:t>Źródło: opracowanie własne.</w:t>
      </w:r>
    </w:p>
    <w:p w14:paraId="1D8DBC01" w14:textId="31E5E9B1" w:rsidR="00C67A45" w:rsidRPr="00BF6615" w:rsidRDefault="006F432C" w:rsidP="007E26B5">
      <w:r w:rsidRPr="00BF6615">
        <w:t xml:space="preserve">Dostępność </w:t>
      </w:r>
      <w:r w:rsidR="00BA261B" w:rsidRPr="00BF6615">
        <w:t>aplikacji</w:t>
      </w:r>
      <w:r w:rsidRPr="00BF6615">
        <w:t xml:space="preserve"> </w:t>
      </w:r>
      <w:r w:rsidR="009F24F3" w:rsidRPr="00BF6615">
        <w:t xml:space="preserve">tematycznych </w:t>
      </w:r>
      <w:r w:rsidR="00C67A45" w:rsidRPr="00BF6615">
        <w:t>badani ocenili również dość wysoko</w:t>
      </w:r>
      <w:r w:rsidR="00986FD2" w:rsidRPr="00BF6615">
        <w:t xml:space="preserve">- </w:t>
      </w:r>
      <w:r w:rsidR="00617F95" w:rsidRPr="00BF6615">
        <w:t>aplikacje</w:t>
      </w:r>
      <w:r w:rsidR="00986FD2" w:rsidRPr="00BF6615">
        <w:t xml:space="preserve"> dot. zdrowia otrzymały łączna ocenę</w:t>
      </w:r>
      <w:r w:rsidR="00617F95" w:rsidRPr="00BF6615">
        <w:t xml:space="preserve"> 4,34, strony edukacyjne 4,41, aplikacje instytucji kultury 5,0 i aplikacje komunikacyjne 4,34. Tak, jak w przypadku </w:t>
      </w:r>
      <w:r w:rsidR="002E40CC" w:rsidRPr="00BF6615">
        <w:t xml:space="preserve">większości </w:t>
      </w:r>
      <w:r w:rsidR="00617F95" w:rsidRPr="00BF6615">
        <w:t>innych grup badanych</w:t>
      </w:r>
      <w:r w:rsidR="002E40CC" w:rsidRPr="00BF6615">
        <w:t xml:space="preserve"> (poza osobami </w:t>
      </w:r>
      <w:r w:rsidR="00A42EFD" w:rsidRPr="00BF6615">
        <w:t>z</w:t>
      </w:r>
      <w:r w:rsidR="00A42EFD">
        <w:t> </w:t>
      </w:r>
      <w:r w:rsidR="002E40CC" w:rsidRPr="00BF6615">
        <w:t xml:space="preserve">niepełnosprawnościami) </w:t>
      </w:r>
      <w:r w:rsidR="00867DB5" w:rsidRPr="00BF6615">
        <w:t>aplikacje instytucji kultury otrzymały najwyższe noty.</w:t>
      </w:r>
    </w:p>
    <w:p w14:paraId="559E2CDC" w14:textId="5C42E7D7" w:rsidR="006F432C" w:rsidRPr="00BF6615" w:rsidRDefault="002E40CC" w:rsidP="007E26B5">
      <w:r w:rsidRPr="00BF6615">
        <w:t xml:space="preserve">W ocenach jednostkowych najniższe noty otrzymały: </w:t>
      </w:r>
      <w:r w:rsidR="005E6D41" w:rsidRPr="00BF6615">
        <w:t xml:space="preserve">aplikacje </w:t>
      </w:r>
      <w:r w:rsidR="00E03895" w:rsidRPr="00BF6615">
        <w:t xml:space="preserve">edukacyjne i komunikacyjne </w:t>
      </w:r>
      <w:r w:rsidR="00A42EFD" w:rsidRPr="00BF6615">
        <w:t>w</w:t>
      </w:r>
      <w:r w:rsidR="00A42EFD">
        <w:t> </w:t>
      </w:r>
      <w:r w:rsidR="00E03895" w:rsidRPr="00BF6615">
        <w:t xml:space="preserve">zakresie dostępności tłumaczeń PJM oraz aplikacje </w:t>
      </w:r>
      <w:r w:rsidR="00A03E38" w:rsidRPr="00BF6615">
        <w:t xml:space="preserve">dot. zdrowia </w:t>
      </w:r>
      <w:r w:rsidR="003236C4" w:rsidRPr="00BF6615">
        <w:t>w zakresie dostępności tłumaczeń ETR w aplikacjach.</w:t>
      </w:r>
    </w:p>
    <w:p w14:paraId="352E81E1" w14:textId="0DC51A52" w:rsidR="001C798F" w:rsidRPr="00BF6615" w:rsidRDefault="001C798F" w:rsidP="007E26B5">
      <w:pPr>
        <w:pStyle w:val="Legenda"/>
      </w:pPr>
      <w:bookmarkStart w:id="250" w:name="_Toc204179132"/>
      <w:r w:rsidRPr="00BF6615">
        <w:t xml:space="preserve">Tabela </w:t>
      </w:r>
      <w:r w:rsidRPr="00BF6615">
        <w:fldChar w:fldCharType="begin"/>
      </w:r>
      <w:r w:rsidRPr="00BF6615">
        <w:instrText xml:space="preserve"> SEQ Tabela \* ARABIC </w:instrText>
      </w:r>
      <w:r w:rsidRPr="00BF6615">
        <w:fldChar w:fldCharType="separate"/>
      </w:r>
      <w:r w:rsidR="00FD0843">
        <w:rPr>
          <w:noProof/>
        </w:rPr>
        <w:t>34</w:t>
      </w:r>
      <w:r w:rsidRPr="00BF6615">
        <w:fldChar w:fldCharType="end"/>
      </w:r>
      <w:r w:rsidR="00FD0843">
        <w:t>.</w:t>
      </w:r>
      <w:r w:rsidRPr="00BF6615">
        <w:t xml:space="preserve"> Średnie oceny tematycznych aplikacji publiczny wg aspektów dostępności cyfrowej, </w:t>
      </w:r>
      <w:r w:rsidR="00A42EFD" w:rsidRPr="00BF6615">
        <w:t>z</w:t>
      </w:r>
      <w:r w:rsidR="00A42EFD">
        <w:t> </w:t>
      </w:r>
      <w:r w:rsidRPr="00BF6615">
        <w:t>których korzystają osoby badane w grupie obywatele</w:t>
      </w:r>
      <w:bookmarkEnd w:id="250"/>
    </w:p>
    <w:tbl>
      <w:tblPr>
        <w:tblStyle w:val="PARP"/>
        <w:tblW w:w="9776" w:type="dxa"/>
        <w:tblLook w:val="04A0" w:firstRow="1" w:lastRow="0" w:firstColumn="1" w:lastColumn="0" w:noHBand="0" w:noVBand="1"/>
        <w:tblCaption w:val="Średnie oceny tematycznych aplikacji publiczny wg aspektów dostępności cyfrowej, z których korzystają osoby badane w grupie obywatele"/>
        <w:tblDescription w:val="W kolumnach: &#10; Oceniany aspekt dostępności Aplikacja dotyczące zdrowia Aplikacja edukacyjna Aplikacja instytucji kultury Aplikacja komunikacyjna Sumaryczna średnia ocen"/>
      </w:tblPr>
      <w:tblGrid>
        <w:gridCol w:w="3678"/>
        <w:gridCol w:w="1129"/>
        <w:gridCol w:w="1265"/>
        <w:gridCol w:w="990"/>
        <w:gridCol w:w="1501"/>
        <w:gridCol w:w="1213"/>
      </w:tblGrid>
      <w:tr w:rsidR="0067250C" w:rsidRPr="00BF6615" w14:paraId="7E572230" w14:textId="77777777" w:rsidTr="009E6B41">
        <w:trPr>
          <w:cnfStyle w:val="100000000000" w:firstRow="1" w:lastRow="0" w:firstColumn="0" w:lastColumn="0" w:oddVBand="0" w:evenVBand="0" w:oddHBand="0" w:evenHBand="0" w:firstRowFirstColumn="0" w:firstRowLastColumn="0" w:lastRowFirstColumn="0" w:lastRowLastColumn="0"/>
          <w:trHeight w:val="870"/>
        </w:trPr>
        <w:tc>
          <w:tcPr>
            <w:tcW w:w="3812" w:type="dxa"/>
            <w:hideMark/>
          </w:tcPr>
          <w:p w14:paraId="7BD83D35" w14:textId="77777777" w:rsidR="009E6B41" w:rsidRPr="00BF6615" w:rsidRDefault="009E6B41"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137" w:type="dxa"/>
            <w:hideMark/>
          </w:tcPr>
          <w:p w14:paraId="31B10DDF" w14:textId="77777777" w:rsidR="009E6B41" w:rsidRPr="00BF6615" w:rsidRDefault="009E6B41" w:rsidP="007E26B5">
            <w:pPr>
              <w:spacing w:after="0" w:line="240" w:lineRule="auto"/>
              <w:rPr>
                <w:rFonts w:eastAsia="Times New Roman" w:cs="Calibri"/>
                <w:b/>
                <w:sz w:val="22"/>
                <w:lang w:eastAsia="pl-PL"/>
              </w:rPr>
            </w:pPr>
            <w:r w:rsidRPr="00BF6615">
              <w:rPr>
                <w:rFonts w:eastAsia="Times New Roman" w:cs="Calibri"/>
                <w:b/>
                <w:sz w:val="22"/>
                <w:lang w:eastAsia="pl-PL"/>
              </w:rPr>
              <w:t>Aplikacja dotyczące zdrowia</w:t>
            </w:r>
          </w:p>
        </w:tc>
        <w:tc>
          <w:tcPr>
            <w:tcW w:w="1274" w:type="dxa"/>
            <w:hideMark/>
          </w:tcPr>
          <w:p w14:paraId="706DE1FA" w14:textId="77777777" w:rsidR="009E6B41" w:rsidRPr="00BF6615" w:rsidRDefault="009E6B41" w:rsidP="007E26B5">
            <w:pPr>
              <w:spacing w:after="0" w:line="240" w:lineRule="auto"/>
              <w:rPr>
                <w:rFonts w:eastAsia="Times New Roman" w:cs="Calibri"/>
                <w:b/>
                <w:sz w:val="22"/>
                <w:lang w:eastAsia="pl-PL"/>
              </w:rPr>
            </w:pPr>
            <w:r w:rsidRPr="00BF6615">
              <w:rPr>
                <w:rFonts w:eastAsia="Times New Roman" w:cs="Calibri"/>
                <w:b/>
                <w:sz w:val="22"/>
                <w:lang w:eastAsia="pl-PL"/>
              </w:rPr>
              <w:t>Aplikacja edukacyjna</w:t>
            </w:r>
          </w:p>
        </w:tc>
        <w:tc>
          <w:tcPr>
            <w:tcW w:w="993" w:type="dxa"/>
            <w:hideMark/>
          </w:tcPr>
          <w:p w14:paraId="428315FA" w14:textId="77777777" w:rsidR="009E6B41" w:rsidRPr="00BF6615" w:rsidRDefault="009E6B41" w:rsidP="007E26B5">
            <w:pPr>
              <w:spacing w:after="0" w:line="240" w:lineRule="auto"/>
              <w:rPr>
                <w:rFonts w:eastAsia="Times New Roman" w:cs="Calibri"/>
                <w:b/>
                <w:sz w:val="22"/>
                <w:lang w:eastAsia="pl-PL"/>
              </w:rPr>
            </w:pPr>
            <w:r w:rsidRPr="00BF6615">
              <w:rPr>
                <w:rFonts w:eastAsia="Times New Roman" w:cs="Calibri"/>
                <w:b/>
                <w:sz w:val="22"/>
                <w:lang w:eastAsia="pl-PL"/>
              </w:rPr>
              <w:t>Aplikacja instytucji kultury</w:t>
            </w:r>
          </w:p>
        </w:tc>
        <w:tc>
          <w:tcPr>
            <w:tcW w:w="1486" w:type="dxa"/>
            <w:hideMark/>
          </w:tcPr>
          <w:p w14:paraId="39EEEFDD" w14:textId="77777777" w:rsidR="009E6B41" w:rsidRPr="00BF6615" w:rsidRDefault="009E6B41" w:rsidP="007E26B5">
            <w:pPr>
              <w:spacing w:after="0" w:line="240" w:lineRule="auto"/>
              <w:rPr>
                <w:rFonts w:eastAsia="Times New Roman" w:cs="Calibri"/>
                <w:b/>
                <w:sz w:val="22"/>
                <w:lang w:eastAsia="pl-PL"/>
              </w:rPr>
            </w:pPr>
            <w:r w:rsidRPr="00BF6615">
              <w:rPr>
                <w:rFonts w:eastAsia="Times New Roman" w:cs="Calibri"/>
                <w:b/>
                <w:sz w:val="22"/>
                <w:lang w:eastAsia="pl-PL"/>
              </w:rPr>
              <w:t>Aplikacja komunikacyjna</w:t>
            </w:r>
          </w:p>
        </w:tc>
        <w:tc>
          <w:tcPr>
            <w:tcW w:w="1074" w:type="dxa"/>
            <w:hideMark/>
          </w:tcPr>
          <w:p w14:paraId="1E74B52C" w14:textId="77777777" w:rsidR="009E6B41" w:rsidRPr="00BF6615" w:rsidRDefault="009E6B41"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67250C" w:rsidRPr="00BF6615" w14:paraId="434F5828" w14:textId="77777777" w:rsidTr="009E6B41">
        <w:trPr>
          <w:cnfStyle w:val="000000100000" w:firstRow="0" w:lastRow="0" w:firstColumn="0" w:lastColumn="0" w:oddVBand="0" w:evenVBand="0" w:oddHBand="1" w:evenHBand="0" w:firstRowFirstColumn="0" w:firstRowLastColumn="0" w:lastRowFirstColumn="0" w:lastRowLastColumn="0"/>
          <w:trHeight w:val="580"/>
        </w:trPr>
        <w:tc>
          <w:tcPr>
            <w:tcW w:w="3812" w:type="dxa"/>
            <w:hideMark/>
          </w:tcPr>
          <w:p w14:paraId="6FC77708"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nawigować/poruszać się po aplikacji</w:t>
            </w:r>
          </w:p>
        </w:tc>
        <w:tc>
          <w:tcPr>
            <w:tcW w:w="1137" w:type="dxa"/>
            <w:hideMark/>
          </w:tcPr>
          <w:p w14:paraId="522E67D0"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274" w:type="dxa"/>
            <w:hideMark/>
          </w:tcPr>
          <w:p w14:paraId="595184C8"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993" w:type="dxa"/>
            <w:hideMark/>
          </w:tcPr>
          <w:p w14:paraId="275FCDEA"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216B5B02"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074" w:type="dxa"/>
            <w:hideMark/>
          </w:tcPr>
          <w:p w14:paraId="2E8F1CC4"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4,41</w:t>
            </w:r>
          </w:p>
        </w:tc>
      </w:tr>
      <w:tr w:rsidR="0067250C" w:rsidRPr="00BF6615" w14:paraId="3999AD89" w14:textId="77777777" w:rsidTr="009E6B41">
        <w:trPr>
          <w:cnfStyle w:val="000000010000" w:firstRow="0" w:lastRow="0" w:firstColumn="0" w:lastColumn="0" w:oddVBand="0" w:evenVBand="0" w:oddHBand="0" w:evenHBand="1" w:firstRowFirstColumn="0" w:firstRowLastColumn="0" w:lastRowFirstColumn="0" w:lastRowLastColumn="0"/>
          <w:trHeight w:val="290"/>
        </w:trPr>
        <w:tc>
          <w:tcPr>
            <w:tcW w:w="3812" w:type="dxa"/>
            <w:hideMark/>
          </w:tcPr>
          <w:p w14:paraId="55F5BEE9"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znaleźć potrzebne mi informacje</w:t>
            </w:r>
          </w:p>
        </w:tc>
        <w:tc>
          <w:tcPr>
            <w:tcW w:w="1137" w:type="dxa"/>
            <w:hideMark/>
          </w:tcPr>
          <w:p w14:paraId="4FA9DC51"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1274" w:type="dxa"/>
            <w:hideMark/>
          </w:tcPr>
          <w:p w14:paraId="4275E9F0"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993" w:type="dxa"/>
            <w:hideMark/>
          </w:tcPr>
          <w:p w14:paraId="409C8636"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4FD5A048"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074" w:type="dxa"/>
            <w:hideMark/>
          </w:tcPr>
          <w:p w14:paraId="5172BBC1"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4,44</w:t>
            </w:r>
          </w:p>
        </w:tc>
      </w:tr>
      <w:tr w:rsidR="0067250C" w:rsidRPr="00BF6615" w14:paraId="0953720A" w14:textId="77777777" w:rsidTr="009E6B41">
        <w:trPr>
          <w:cnfStyle w:val="000000100000" w:firstRow="0" w:lastRow="0" w:firstColumn="0" w:lastColumn="0" w:oddVBand="0" w:evenVBand="0" w:oddHBand="1" w:evenHBand="0" w:firstRowFirstColumn="0" w:firstRowLastColumn="0" w:lastRowFirstColumn="0" w:lastRowLastColumn="0"/>
          <w:trHeight w:val="290"/>
        </w:trPr>
        <w:tc>
          <w:tcPr>
            <w:tcW w:w="3812" w:type="dxa"/>
            <w:hideMark/>
          </w:tcPr>
          <w:p w14:paraId="57A3331D"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szybko się ładuje</w:t>
            </w:r>
          </w:p>
        </w:tc>
        <w:tc>
          <w:tcPr>
            <w:tcW w:w="1137" w:type="dxa"/>
            <w:hideMark/>
          </w:tcPr>
          <w:p w14:paraId="2AECD147"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4,16</w:t>
            </w:r>
          </w:p>
        </w:tc>
        <w:tc>
          <w:tcPr>
            <w:tcW w:w="1274" w:type="dxa"/>
            <w:hideMark/>
          </w:tcPr>
          <w:p w14:paraId="5A25604A"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993" w:type="dxa"/>
            <w:hideMark/>
          </w:tcPr>
          <w:p w14:paraId="66EBEC5E"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03D7CB29"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4,52</w:t>
            </w:r>
          </w:p>
        </w:tc>
        <w:tc>
          <w:tcPr>
            <w:tcW w:w="1074" w:type="dxa"/>
            <w:hideMark/>
          </w:tcPr>
          <w:p w14:paraId="0899A4C9"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4,52</w:t>
            </w:r>
          </w:p>
        </w:tc>
      </w:tr>
      <w:tr w:rsidR="0067250C" w:rsidRPr="00BF6615" w14:paraId="1856CCFC" w14:textId="77777777" w:rsidTr="009E6B41">
        <w:trPr>
          <w:cnfStyle w:val="000000010000" w:firstRow="0" w:lastRow="0" w:firstColumn="0" w:lastColumn="0" w:oddVBand="0" w:evenVBand="0" w:oddHBand="0" w:evenHBand="1" w:firstRowFirstColumn="0" w:firstRowLastColumn="0" w:lastRowFirstColumn="0" w:lastRowLastColumn="0"/>
          <w:trHeight w:val="290"/>
        </w:trPr>
        <w:tc>
          <w:tcPr>
            <w:tcW w:w="3812" w:type="dxa"/>
            <w:hideMark/>
          </w:tcPr>
          <w:p w14:paraId="614A93E4"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ma czytelny układ treści</w:t>
            </w:r>
          </w:p>
        </w:tc>
        <w:tc>
          <w:tcPr>
            <w:tcW w:w="1137" w:type="dxa"/>
            <w:hideMark/>
          </w:tcPr>
          <w:p w14:paraId="05187CC1"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274" w:type="dxa"/>
            <w:hideMark/>
          </w:tcPr>
          <w:p w14:paraId="1776B34F"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993" w:type="dxa"/>
            <w:hideMark/>
          </w:tcPr>
          <w:p w14:paraId="3FC9A435"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35AD5C2C"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4,12</w:t>
            </w:r>
          </w:p>
        </w:tc>
        <w:tc>
          <w:tcPr>
            <w:tcW w:w="1074" w:type="dxa"/>
            <w:hideMark/>
          </w:tcPr>
          <w:p w14:paraId="56B5D26F"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4,47</w:t>
            </w:r>
          </w:p>
        </w:tc>
      </w:tr>
      <w:tr w:rsidR="0067250C" w:rsidRPr="00BF6615" w14:paraId="1DC7DCDB" w14:textId="77777777" w:rsidTr="009E6B41">
        <w:trPr>
          <w:cnfStyle w:val="000000100000" w:firstRow="0" w:lastRow="0" w:firstColumn="0" w:lastColumn="0" w:oddVBand="0" w:evenVBand="0" w:oddHBand="1" w:evenHBand="0" w:firstRowFirstColumn="0" w:firstRowLastColumn="0" w:lastRowFirstColumn="0" w:lastRowLastColumn="0"/>
          <w:trHeight w:val="580"/>
        </w:trPr>
        <w:tc>
          <w:tcPr>
            <w:tcW w:w="3812" w:type="dxa"/>
            <w:hideMark/>
          </w:tcPr>
          <w:p w14:paraId="55029F29"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w aplikacji są dla mnie przyjazne</w:t>
            </w:r>
          </w:p>
        </w:tc>
        <w:tc>
          <w:tcPr>
            <w:tcW w:w="1137" w:type="dxa"/>
            <w:hideMark/>
          </w:tcPr>
          <w:p w14:paraId="60A0C9E6"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274" w:type="dxa"/>
            <w:hideMark/>
          </w:tcPr>
          <w:p w14:paraId="136E6CE0"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993" w:type="dxa"/>
            <w:hideMark/>
          </w:tcPr>
          <w:p w14:paraId="0E538B92"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361E0A60"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4,45</w:t>
            </w:r>
          </w:p>
        </w:tc>
        <w:tc>
          <w:tcPr>
            <w:tcW w:w="1074" w:type="dxa"/>
            <w:hideMark/>
          </w:tcPr>
          <w:p w14:paraId="3980D067"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4,66</w:t>
            </w:r>
          </w:p>
        </w:tc>
      </w:tr>
      <w:tr w:rsidR="0067250C" w:rsidRPr="00BF6615" w14:paraId="3D50CA21" w14:textId="77777777" w:rsidTr="009E6B41">
        <w:trPr>
          <w:cnfStyle w:val="000000010000" w:firstRow="0" w:lastRow="0" w:firstColumn="0" w:lastColumn="0" w:oddVBand="0" w:evenVBand="0" w:oddHBand="0" w:evenHBand="1" w:firstRowFirstColumn="0" w:firstRowLastColumn="0" w:lastRowFirstColumn="0" w:lastRowLastColumn="0"/>
          <w:trHeight w:val="580"/>
        </w:trPr>
        <w:tc>
          <w:tcPr>
            <w:tcW w:w="3812" w:type="dxa"/>
            <w:hideMark/>
          </w:tcPr>
          <w:p w14:paraId="17708472"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jest dla mnie dostępna cyfrowo</w:t>
            </w:r>
          </w:p>
        </w:tc>
        <w:tc>
          <w:tcPr>
            <w:tcW w:w="1137" w:type="dxa"/>
            <w:hideMark/>
          </w:tcPr>
          <w:p w14:paraId="5295B672"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4,48</w:t>
            </w:r>
          </w:p>
        </w:tc>
        <w:tc>
          <w:tcPr>
            <w:tcW w:w="1274" w:type="dxa"/>
            <w:hideMark/>
          </w:tcPr>
          <w:p w14:paraId="5485139F"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993" w:type="dxa"/>
            <w:hideMark/>
          </w:tcPr>
          <w:p w14:paraId="104E9D4C"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32F51A9E"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074" w:type="dxa"/>
            <w:hideMark/>
          </w:tcPr>
          <w:p w14:paraId="000AE71C"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4,64</w:t>
            </w:r>
          </w:p>
        </w:tc>
      </w:tr>
      <w:tr w:rsidR="0067250C" w:rsidRPr="00BF6615" w14:paraId="315451B0" w14:textId="77777777" w:rsidTr="009E6B41">
        <w:trPr>
          <w:cnfStyle w:val="000000100000" w:firstRow="0" w:lastRow="0" w:firstColumn="0" w:lastColumn="0" w:oddVBand="0" w:evenVBand="0" w:oddHBand="1" w:evenHBand="0" w:firstRowFirstColumn="0" w:firstRowLastColumn="0" w:lastRowFirstColumn="0" w:lastRowLastColumn="0"/>
          <w:trHeight w:val="580"/>
        </w:trPr>
        <w:tc>
          <w:tcPr>
            <w:tcW w:w="3812" w:type="dxa"/>
            <w:hideMark/>
          </w:tcPr>
          <w:p w14:paraId="5F672D3A" w14:textId="77777777" w:rsidR="009E6B41" w:rsidRPr="00BF6615" w:rsidRDefault="009E6B41" w:rsidP="007E26B5">
            <w:pPr>
              <w:spacing w:after="0" w:line="240" w:lineRule="auto"/>
              <w:rPr>
                <w:rFonts w:ascii="Calibri" w:eastAsia="Times New Roman" w:hAnsi="Calibri" w:cs="Calibri"/>
                <w:color w:val="000000"/>
                <w:sz w:val="22"/>
                <w:lang w:eastAsia="pl-PL"/>
              </w:rPr>
            </w:pPr>
            <w:proofErr w:type="spellStart"/>
            <w:r w:rsidRPr="00BF6615">
              <w:rPr>
                <w:rFonts w:ascii="Calibri" w:eastAsia="Times New Roman" w:hAnsi="Calibri" w:cs="Calibri"/>
                <w:color w:val="000000"/>
                <w:sz w:val="22"/>
                <w:lang w:eastAsia="pl-PL"/>
              </w:rPr>
              <w:t>Responsywność</w:t>
            </w:r>
            <w:proofErr w:type="spellEnd"/>
            <w:r w:rsidRPr="00BF6615">
              <w:rPr>
                <w:rFonts w:ascii="Calibri" w:eastAsia="Times New Roman" w:hAnsi="Calibri" w:cs="Calibri"/>
                <w:color w:val="000000"/>
                <w:sz w:val="22"/>
                <w:lang w:eastAsia="pl-PL"/>
              </w:rPr>
              <w:t xml:space="preserve"> aplikacji jest odpowiednia</w:t>
            </w:r>
          </w:p>
        </w:tc>
        <w:tc>
          <w:tcPr>
            <w:tcW w:w="1137" w:type="dxa"/>
            <w:hideMark/>
          </w:tcPr>
          <w:p w14:paraId="143EFE5D"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274" w:type="dxa"/>
            <w:hideMark/>
          </w:tcPr>
          <w:p w14:paraId="4FB0E5AA"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993" w:type="dxa"/>
            <w:hideMark/>
          </w:tcPr>
          <w:p w14:paraId="50678738"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2EBB4EBB"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4,68</w:t>
            </w:r>
          </w:p>
        </w:tc>
        <w:tc>
          <w:tcPr>
            <w:tcW w:w="1074" w:type="dxa"/>
            <w:hideMark/>
          </w:tcPr>
          <w:p w14:paraId="62C8182D"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4,59</w:t>
            </w:r>
          </w:p>
        </w:tc>
      </w:tr>
      <w:tr w:rsidR="0067250C" w:rsidRPr="00BF6615" w14:paraId="0FD8D38D" w14:textId="77777777" w:rsidTr="009E6B41">
        <w:trPr>
          <w:cnfStyle w:val="000000010000" w:firstRow="0" w:lastRow="0" w:firstColumn="0" w:lastColumn="0" w:oddVBand="0" w:evenVBand="0" w:oddHBand="0" w:evenHBand="1" w:firstRowFirstColumn="0" w:firstRowLastColumn="0" w:lastRowFirstColumn="0" w:lastRowLastColumn="0"/>
          <w:trHeight w:val="580"/>
        </w:trPr>
        <w:tc>
          <w:tcPr>
            <w:tcW w:w="3812" w:type="dxa"/>
            <w:hideMark/>
          </w:tcPr>
          <w:p w14:paraId="0ACE9087"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skontaktować się z obsługa klienta/pomocą</w:t>
            </w:r>
          </w:p>
        </w:tc>
        <w:tc>
          <w:tcPr>
            <w:tcW w:w="1137" w:type="dxa"/>
            <w:hideMark/>
          </w:tcPr>
          <w:p w14:paraId="318B3860"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274" w:type="dxa"/>
            <w:hideMark/>
          </w:tcPr>
          <w:p w14:paraId="44FE9098"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4,63</w:t>
            </w:r>
          </w:p>
        </w:tc>
        <w:tc>
          <w:tcPr>
            <w:tcW w:w="993" w:type="dxa"/>
            <w:hideMark/>
          </w:tcPr>
          <w:p w14:paraId="74FDE943"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4BEAAB92"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074" w:type="dxa"/>
            <w:hideMark/>
          </w:tcPr>
          <w:p w14:paraId="04C4E02D"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4,49</w:t>
            </w:r>
          </w:p>
        </w:tc>
      </w:tr>
      <w:tr w:rsidR="0067250C" w:rsidRPr="00BF6615" w14:paraId="05AE5A3A" w14:textId="77777777" w:rsidTr="009E6B41">
        <w:trPr>
          <w:cnfStyle w:val="000000100000" w:firstRow="0" w:lastRow="0" w:firstColumn="0" w:lastColumn="0" w:oddVBand="0" w:evenVBand="0" w:oddHBand="1" w:evenHBand="0" w:firstRowFirstColumn="0" w:firstRowLastColumn="0" w:lastRowFirstColumn="0" w:lastRowLastColumn="0"/>
          <w:trHeight w:val="1160"/>
        </w:trPr>
        <w:tc>
          <w:tcPr>
            <w:tcW w:w="3812" w:type="dxa"/>
            <w:hideMark/>
          </w:tcPr>
          <w:p w14:paraId="0C387A5A"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w:t>
            </w:r>
          </w:p>
        </w:tc>
        <w:tc>
          <w:tcPr>
            <w:tcW w:w="1137" w:type="dxa"/>
            <w:hideMark/>
          </w:tcPr>
          <w:p w14:paraId="6DBA9606"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1274" w:type="dxa"/>
            <w:hideMark/>
          </w:tcPr>
          <w:p w14:paraId="2A1A6163"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993" w:type="dxa"/>
            <w:hideMark/>
          </w:tcPr>
          <w:p w14:paraId="5116DA85"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74CA0C0F"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4,10</w:t>
            </w:r>
          </w:p>
        </w:tc>
        <w:tc>
          <w:tcPr>
            <w:tcW w:w="1074" w:type="dxa"/>
            <w:hideMark/>
          </w:tcPr>
          <w:p w14:paraId="063DA34C"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4,54</w:t>
            </w:r>
          </w:p>
        </w:tc>
      </w:tr>
      <w:tr w:rsidR="0067250C" w:rsidRPr="00BF6615" w14:paraId="32DF2CE7" w14:textId="77777777" w:rsidTr="009E6B41">
        <w:trPr>
          <w:cnfStyle w:val="000000010000" w:firstRow="0" w:lastRow="0" w:firstColumn="0" w:lastColumn="0" w:oddVBand="0" w:evenVBand="0" w:oddHBand="0" w:evenHBand="1" w:firstRowFirstColumn="0" w:firstRowLastColumn="0" w:lastRowFirstColumn="0" w:lastRowLastColumn="0"/>
          <w:trHeight w:val="870"/>
        </w:trPr>
        <w:tc>
          <w:tcPr>
            <w:tcW w:w="3812" w:type="dxa"/>
            <w:hideMark/>
          </w:tcPr>
          <w:p w14:paraId="0CC81EB7"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aplikacji mobilnej mogę obsłużyć za pomocą klawiatury zewnętrznej</w:t>
            </w:r>
          </w:p>
        </w:tc>
        <w:tc>
          <w:tcPr>
            <w:tcW w:w="1137" w:type="dxa"/>
            <w:hideMark/>
          </w:tcPr>
          <w:p w14:paraId="744F1C6F"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274" w:type="dxa"/>
            <w:hideMark/>
          </w:tcPr>
          <w:p w14:paraId="1A02B2E1"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993" w:type="dxa"/>
            <w:hideMark/>
          </w:tcPr>
          <w:p w14:paraId="74953295"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1AC27DF6"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4,36</w:t>
            </w:r>
          </w:p>
        </w:tc>
        <w:tc>
          <w:tcPr>
            <w:tcW w:w="1074" w:type="dxa"/>
            <w:hideMark/>
          </w:tcPr>
          <w:p w14:paraId="3266F559"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4,52</w:t>
            </w:r>
          </w:p>
        </w:tc>
      </w:tr>
      <w:tr w:rsidR="0067250C" w:rsidRPr="00BF6615" w14:paraId="51EE4966" w14:textId="77777777" w:rsidTr="009E6B41">
        <w:trPr>
          <w:cnfStyle w:val="000000100000" w:firstRow="0" w:lastRow="0" w:firstColumn="0" w:lastColumn="0" w:oddVBand="0" w:evenVBand="0" w:oddHBand="1" w:evenHBand="0" w:firstRowFirstColumn="0" w:firstRowLastColumn="0" w:lastRowFirstColumn="0" w:lastRowLastColumn="0"/>
          <w:trHeight w:val="1160"/>
        </w:trPr>
        <w:tc>
          <w:tcPr>
            <w:tcW w:w="3812" w:type="dxa"/>
            <w:hideMark/>
          </w:tcPr>
          <w:p w14:paraId="36CA5E07"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Materiały multimedialne oraz grafiki są dla mnie zrozumiałe (filmy posiadają audiodeskrypcję oraz napisy rozszerzone)</w:t>
            </w:r>
          </w:p>
        </w:tc>
        <w:tc>
          <w:tcPr>
            <w:tcW w:w="1137" w:type="dxa"/>
            <w:hideMark/>
          </w:tcPr>
          <w:p w14:paraId="0C8610A8"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4,66</w:t>
            </w:r>
          </w:p>
        </w:tc>
        <w:tc>
          <w:tcPr>
            <w:tcW w:w="1274" w:type="dxa"/>
            <w:hideMark/>
          </w:tcPr>
          <w:p w14:paraId="0E39B5E8"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993" w:type="dxa"/>
            <w:hideMark/>
          </w:tcPr>
          <w:p w14:paraId="57043396"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573BE512"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4,57</w:t>
            </w:r>
          </w:p>
        </w:tc>
        <w:tc>
          <w:tcPr>
            <w:tcW w:w="1074" w:type="dxa"/>
            <w:hideMark/>
          </w:tcPr>
          <w:p w14:paraId="2FCFCCBD"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4,65</w:t>
            </w:r>
          </w:p>
        </w:tc>
      </w:tr>
      <w:tr w:rsidR="0067250C" w:rsidRPr="00BF6615" w14:paraId="6150E02A" w14:textId="77777777" w:rsidTr="009E6B41">
        <w:trPr>
          <w:cnfStyle w:val="000000010000" w:firstRow="0" w:lastRow="0" w:firstColumn="0" w:lastColumn="0" w:oddVBand="0" w:evenVBand="0" w:oddHBand="0" w:evenHBand="1" w:firstRowFirstColumn="0" w:firstRowLastColumn="0" w:lastRowFirstColumn="0" w:lastRowLastColumn="0"/>
          <w:trHeight w:val="1160"/>
        </w:trPr>
        <w:tc>
          <w:tcPr>
            <w:tcW w:w="3812" w:type="dxa"/>
            <w:hideMark/>
          </w:tcPr>
          <w:p w14:paraId="3D82A69F"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Niezależnie od wykonywanych czynności otrzymuję informację zwrotną, również o błędach w sposób dostępny cyfrowo</w:t>
            </w:r>
          </w:p>
        </w:tc>
        <w:tc>
          <w:tcPr>
            <w:tcW w:w="1137" w:type="dxa"/>
            <w:hideMark/>
          </w:tcPr>
          <w:p w14:paraId="583EF010"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274" w:type="dxa"/>
            <w:hideMark/>
          </w:tcPr>
          <w:p w14:paraId="018C688A"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993" w:type="dxa"/>
            <w:hideMark/>
          </w:tcPr>
          <w:p w14:paraId="029317A1"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5FFE3662"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074" w:type="dxa"/>
            <w:hideMark/>
          </w:tcPr>
          <w:p w14:paraId="36792A19"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4,60</w:t>
            </w:r>
          </w:p>
        </w:tc>
      </w:tr>
      <w:tr w:rsidR="0067250C" w:rsidRPr="00BF6615" w14:paraId="180B16C1" w14:textId="77777777" w:rsidTr="009E6B41">
        <w:trPr>
          <w:cnfStyle w:val="000000100000" w:firstRow="0" w:lastRow="0" w:firstColumn="0" w:lastColumn="0" w:oddVBand="0" w:evenVBand="0" w:oddHBand="1" w:evenHBand="0" w:firstRowFirstColumn="0" w:firstRowLastColumn="0" w:lastRowFirstColumn="0" w:lastRowLastColumn="0"/>
          <w:trHeight w:val="870"/>
        </w:trPr>
        <w:tc>
          <w:tcPr>
            <w:tcW w:w="3812" w:type="dxa"/>
            <w:hideMark/>
          </w:tcPr>
          <w:p w14:paraId="76B4985A"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wyświetlane na ekranie są czytelne zarówno w widoku poziomym jak i pionowym</w:t>
            </w:r>
          </w:p>
        </w:tc>
        <w:tc>
          <w:tcPr>
            <w:tcW w:w="1137" w:type="dxa"/>
            <w:hideMark/>
          </w:tcPr>
          <w:p w14:paraId="0945A085"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4,15</w:t>
            </w:r>
          </w:p>
        </w:tc>
        <w:tc>
          <w:tcPr>
            <w:tcW w:w="1274" w:type="dxa"/>
            <w:hideMark/>
          </w:tcPr>
          <w:p w14:paraId="4F2BD07A"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4,63</w:t>
            </w:r>
          </w:p>
        </w:tc>
        <w:tc>
          <w:tcPr>
            <w:tcW w:w="993" w:type="dxa"/>
            <w:hideMark/>
          </w:tcPr>
          <w:p w14:paraId="5EE9C112"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48A0A6D5"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4,86</w:t>
            </w:r>
          </w:p>
        </w:tc>
        <w:tc>
          <w:tcPr>
            <w:tcW w:w="1074" w:type="dxa"/>
            <w:hideMark/>
          </w:tcPr>
          <w:p w14:paraId="562D044E"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4,66</w:t>
            </w:r>
          </w:p>
        </w:tc>
      </w:tr>
      <w:tr w:rsidR="0067250C" w:rsidRPr="00BF6615" w14:paraId="357D503F" w14:textId="77777777" w:rsidTr="009E6B41">
        <w:trPr>
          <w:cnfStyle w:val="000000010000" w:firstRow="0" w:lastRow="0" w:firstColumn="0" w:lastColumn="0" w:oddVBand="0" w:evenVBand="0" w:oddHBand="0" w:evenHBand="1" w:firstRowFirstColumn="0" w:firstRowLastColumn="0" w:lastRowFirstColumn="0" w:lastRowLastColumn="0"/>
          <w:trHeight w:val="580"/>
        </w:trPr>
        <w:tc>
          <w:tcPr>
            <w:tcW w:w="3812" w:type="dxa"/>
            <w:hideMark/>
          </w:tcPr>
          <w:p w14:paraId="7C74AB99"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tłumaczenia na Polski język migowy (PJM)</w:t>
            </w:r>
          </w:p>
        </w:tc>
        <w:tc>
          <w:tcPr>
            <w:tcW w:w="1137" w:type="dxa"/>
            <w:hideMark/>
          </w:tcPr>
          <w:p w14:paraId="22E80358"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274" w:type="dxa"/>
            <w:hideMark/>
          </w:tcPr>
          <w:p w14:paraId="39D51D10"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3,33</w:t>
            </w:r>
          </w:p>
        </w:tc>
        <w:tc>
          <w:tcPr>
            <w:tcW w:w="993" w:type="dxa"/>
            <w:hideMark/>
          </w:tcPr>
          <w:p w14:paraId="3FC8BD56"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131473DF"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3,73</w:t>
            </w:r>
          </w:p>
        </w:tc>
        <w:tc>
          <w:tcPr>
            <w:tcW w:w="1074" w:type="dxa"/>
            <w:hideMark/>
          </w:tcPr>
          <w:p w14:paraId="12ADED82"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4,12</w:t>
            </w:r>
          </w:p>
        </w:tc>
      </w:tr>
      <w:tr w:rsidR="0067250C" w:rsidRPr="00BF6615" w14:paraId="07EB3CD1" w14:textId="77777777" w:rsidTr="009E6B41">
        <w:trPr>
          <w:cnfStyle w:val="000000100000" w:firstRow="0" w:lastRow="0" w:firstColumn="0" w:lastColumn="0" w:oddVBand="0" w:evenVBand="0" w:oddHBand="1" w:evenHBand="0" w:firstRowFirstColumn="0" w:firstRowLastColumn="0" w:lastRowFirstColumn="0" w:lastRowLastColumn="0"/>
          <w:trHeight w:val="580"/>
        </w:trPr>
        <w:tc>
          <w:tcPr>
            <w:tcW w:w="3812" w:type="dxa"/>
            <w:hideMark/>
          </w:tcPr>
          <w:p w14:paraId="237C4752"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informacje w tekście łatwym do czytania i zrozumienia (ETR)</w:t>
            </w:r>
          </w:p>
        </w:tc>
        <w:tc>
          <w:tcPr>
            <w:tcW w:w="1137" w:type="dxa"/>
            <w:hideMark/>
          </w:tcPr>
          <w:p w14:paraId="71C8E4BC"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3,85</w:t>
            </w:r>
          </w:p>
        </w:tc>
        <w:tc>
          <w:tcPr>
            <w:tcW w:w="1274" w:type="dxa"/>
            <w:hideMark/>
          </w:tcPr>
          <w:p w14:paraId="42FBF93B"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4,88</w:t>
            </w:r>
          </w:p>
        </w:tc>
        <w:tc>
          <w:tcPr>
            <w:tcW w:w="993" w:type="dxa"/>
            <w:hideMark/>
          </w:tcPr>
          <w:p w14:paraId="57952CDD"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486" w:type="dxa"/>
            <w:hideMark/>
          </w:tcPr>
          <w:p w14:paraId="10E711B9" w14:textId="77777777" w:rsidR="009E6B41" w:rsidRPr="00BF6615" w:rsidRDefault="009E6B4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4,47</w:t>
            </w:r>
          </w:p>
        </w:tc>
        <w:tc>
          <w:tcPr>
            <w:tcW w:w="1074" w:type="dxa"/>
            <w:hideMark/>
          </w:tcPr>
          <w:p w14:paraId="0B9FAE37"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4,55</w:t>
            </w:r>
          </w:p>
        </w:tc>
      </w:tr>
      <w:tr w:rsidR="0067250C" w:rsidRPr="00BF6615" w14:paraId="195B0817" w14:textId="77777777" w:rsidTr="009E6B41">
        <w:trPr>
          <w:cnfStyle w:val="000000010000" w:firstRow="0" w:lastRow="0" w:firstColumn="0" w:lastColumn="0" w:oddVBand="0" w:evenVBand="0" w:oddHBand="0" w:evenHBand="1" w:firstRowFirstColumn="0" w:firstRowLastColumn="0" w:lastRowFirstColumn="0" w:lastRowLastColumn="0"/>
          <w:trHeight w:val="290"/>
        </w:trPr>
        <w:tc>
          <w:tcPr>
            <w:tcW w:w="3812" w:type="dxa"/>
            <w:hideMark/>
          </w:tcPr>
          <w:p w14:paraId="6688C051"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Sumaryczna średnia ocen</w:t>
            </w:r>
          </w:p>
        </w:tc>
        <w:tc>
          <w:tcPr>
            <w:tcW w:w="1137" w:type="dxa"/>
            <w:hideMark/>
          </w:tcPr>
          <w:p w14:paraId="2746CB94"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4,34</w:t>
            </w:r>
          </w:p>
        </w:tc>
        <w:tc>
          <w:tcPr>
            <w:tcW w:w="1274" w:type="dxa"/>
            <w:hideMark/>
          </w:tcPr>
          <w:p w14:paraId="61FCB2AC"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4,41</w:t>
            </w:r>
          </w:p>
        </w:tc>
        <w:tc>
          <w:tcPr>
            <w:tcW w:w="993" w:type="dxa"/>
            <w:hideMark/>
          </w:tcPr>
          <w:p w14:paraId="365F5C62"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5,00</w:t>
            </w:r>
          </w:p>
        </w:tc>
        <w:tc>
          <w:tcPr>
            <w:tcW w:w="1486" w:type="dxa"/>
            <w:hideMark/>
          </w:tcPr>
          <w:p w14:paraId="0367E4A9" w14:textId="77777777"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4,34</w:t>
            </w:r>
          </w:p>
        </w:tc>
        <w:tc>
          <w:tcPr>
            <w:tcW w:w="1074" w:type="dxa"/>
            <w:hideMark/>
          </w:tcPr>
          <w:p w14:paraId="43BBDEB1" w14:textId="556AE782" w:rsidR="009E6B41" w:rsidRPr="00BF6615" w:rsidRDefault="009E6B41"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 </w:t>
            </w:r>
          </w:p>
        </w:tc>
      </w:tr>
    </w:tbl>
    <w:p w14:paraId="3AF9775F" w14:textId="77777777" w:rsidR="006F432C" w:rsidRPr="00BF6615" w:rsidRDefault="006F432C" w:rsidP="007E26B5">
      <w:r w:rsidRPr="00BF6615">
        <w:t>Źródło: opracowanie własne.</w:t>
      </w:r>
    </w:p>
    <w:p w14:paraId="32412DEB" w14:textId="6CCE19F5" w:rsidR="00BA261B" w:rsidRPr="00BF6615" w:rsidRDefault="009F4A8F" w:rsidP="007E26B5">
      <w:r w:rsidRPr="00BF6615">
        <w:t>Tak, jak w innych grupach najlepiej oceniono dostępność</w:t>
      </w:r>
      <w:r w:rsidR="00BA261B" w:rsidRPr="00BF6615">
        <w:t xml:space="preserve"> stron</w:t>
      </w:r>
      <w:r w:rsidRPr="00BF6615">
        <w:t xml:space="preserve"> </w:t>
      </w:r>
      <w:r w:rsidR="00BA261B" w:rsidRPr="00BF6615">
        <w:t>i aplikacji instytucji kultury</w:t>
      </w:r>
      <w:r w:rsidRPr="00BF6615">
        <w:t>.</w:t>
      </w:r>
      <w:r w:rsidR="00265C43" w:rsidRPr="00BF6615">
        <w:t xml:space="preserve"> </w:t>
      </w:r>
      <w:r w:rsidR="00A42EFD" w:rsidRPr="00BF6615">
        <w:t>A</w:t>
      </w:r>
      <w:r w:rsidR="00A42EFD">
        <w:t> </w:t>
      </w:r>
      <w:r w:rsidR="00E4056F" w:rsidRPr="00BF6615">
        <w:t>najgorzej ocenionym powtarzającym się aspektem jest dostępność tłumaczeń PJM</w:t>
      </w:r>
      <w:r w:rsidR="00453A42" w:rsidRPr="00BF6615">
        <w:t xml:space="preserve">- wynik ten dla tej grupy badanej- obywatele- która nie jest grupą korzystającą z tego typu udogodnień </w:t>
      </w:r>
      <w:r w:rsidR="006C5233" w:rsidRPr="00BF6615">
        <w:t>nasuwa</w:t>
      </w:r>
      <w:r w:rsidR="00155451" w:rsidRPr="00BF6615">
        <w:t xml:space="preserve"> pytanie, czy nie jest on wynikiem </w:t>
      </w:r>
      <w:proofErr w:type="spellStart"/>
      <w:r w:rsidR="00155451" w:rsidRPr="00BF6615">
        <w:t>empatyzacji</w:t>
      </w:r>
      <w:proofErr w:type="spellEnd"/>
      <w:r w:rsidR="00155451" w:rsidRPr="00BF6615">
        <w:t xml:space="preserve"> </w:t>
      </w:r>
      <w:r w:rsidR="00CE0909" w:rsidRPr="00BF6615">
        <w:t xml:space="preserve">z osobami głuchymi lub niedosłyszącymi? Jednocześnie </w:t>
      </w:r>
      <w:r w:rsidR="0096378B" w:rsidRPr="00BF6615">
        <w:t xml:space="preserve">większość nisko ocenionych innych aspektów dostępności zarówno na stronach, jak i w aplikacjach to elementy ważne dla każdego użytkownika i użytkowniczki takie, jak: </w:t>
      </w:r>
      <w:r w:rsidR="001C2494" w:rsidRPr="00BF6615">
        <w:t xml:space="preserve">przyjazne kolory i czcionki, </w:t>
      </w:r>
      <w:r w:rsidR="006F26B6" w:rsidRPr="00BF6615">
        <w:t>czytelność układu treści, swoboda w znajdowaniu informacji</w:t>
      </w:r>
      <w:r w:rsidR="00AB655B" w:rsidRPr="00BF6615">
        <w:t xml:space="preserve"> czy szybkość ładowania w przypadku aplikacji.</w:t>
      </w:r>
    </w:p>
    <w:p w14:paraId="10E0AF74" w14:textId="64DD93CA" w:rsidR="002428E6" w:rsidRPr="00665D24" w:rsidRDefault="002428E6" w:rsidP="00B271C3">
      <w:pPr>
        <w:pStyle w:val="Nagwek4"/>
        <w:rPr>
          <w:bCs/>
        </w:rPr>
      </w:pPr>
      <w:r w:rsidRPr="00665D24">
        <w:rPr>
          <w:bCs/>
        </w:rPr>
        <w:t xml:space="preserve">Oczekiwania w stosunku do jakości stron podmiotów publicznych </w:t>
      </w:r>
      <w:r w:rsidR="008A3E25" w:rsidRPr="00665D24">
        <w:rPr>
          <w:bCs/>
        </w:rPr>
        <w:t>i aplikacji</w:t>
      </w:r>
      <w:r w:rsidR="00A230F6" w:rsidRPr="00665D24">
        <w:rPr>
          <w:bCs/>
        </w:rPr>
        <w:t xml:space="preserve"> </w:t>
      </w:r>
      <w:r w:rsidR="008A3E25" w:rsidRPr="00665D24">
        <w:rPr>
          <w:bCs/>
        </w:rPr>
        <w:t>mobilnych</w:t>
      </w:r>
    </w:p>
    <w:p w14:paraId="433DF4AA" w14:textId="39C551E2" w:rsidR="001A0D11" w:rsidRPr="00BF6615" w:rsidRDefault="001A0D11" w:rsidP="007E26B5">
      <w:r w:rsidRPr="00BF6615">
        <w:t xml:space="preserve">Wśród </w:t>
      </w:r>
      <w:r w:rsidR="00637358" w:rsidRPr="00BF6615">
        <w:t>cech stron podmiotów publicznych</w:t>
      </w:r>
      <w:r w:rsidRPr="00BF6615">
        <w:t>, które są</w:t>
      </w:r>
      <w:r w:rsidR="00637358" w:rsidRPr="00BF6615">
        <w:t xml:space="preserve"> najważniejsze przy ocenie ich jakości</w:t>
      </w:r>
      <w:r w:rsidRPr="00BF6615">
        <w:t xml:space="preserve"> dominowały te, które są ważne dla każdego użytkownika</w:t>
      </w:r>
      <w:r w:rsidR="00FF4A30" w:rsidRPr="00BF6615">
        <w:t xml:space="preserve">, </w:t>
      </w:r>
      <w:r w:rsidRPr="00BF6615">
        <w:t>jak treści napisane w sposób zrozumiały</w:t>
      </w:r>
      <w:r w:rsidR="002428E6" w:rsidRPr="00BF6615">
        <w:t xml:space="preserve">, </w:t>
      </w:r>
      <w:r w:rsidRPr="00BF6615">
        <w:t>przejrzystość informacji</w:t>
      </w:r>
      <w:r w:rsidR="002428E6" w:rsidRPr="00BF6615">
        <w:t xml:space="preserve"> czy zrozumiałe ostrzeżenia o błędnym wypełnieniu formularzy</w:t>
      </w:r>
      <w:r w:rsidR="00531243" w:rsidRPr="00BF6615">
        <w:t xml:space="preserve"> oraz propozycje poprawy</w:t>
      </w:r>
      <w:r w:rsidR="00A45556" w:rsidRPr="00BF6615">
        <w:t>.</w:t>
      </w:r>
      <w:r w:rsidR="002428E6" w:rsidRPr="00BF6615">
        <w:t xml:space="preserve"> </w:t>
      </w:r>
    </w:p>
    <w:p w14:paraId="0270FF31" w14:textId="77777777" w:rsidR="009708A9" w:rsidRPr="00BF6615" w:rsidRDefault="009708A9" w:rsidP="007E26B5">
      <w:pPr>
        <w:pStyle w:val="Legenda"/>
        <w:sectPr w:rsidR="009708A9" w:rsidRPr="00BF6615" w:rsidSect="00D520B8">
          <w:pgSz w:w="12240" w:h="15840"/>
          <w:pgMar w:top="1440" w:right="1440" w:bottom="1440" w:left="1440" w:header="708" w:footer="708" w:gutter="0"/>
          <w:cols w:space="708"/>
          <w:titlePg/>
          <w:docGrid w:linePitch="360"/>
        </w:sectPr>
      </w:pPr>
    </w:p>
    <w:p w14:paraId="4F782847" w14:textId="0DF8C5F7" w:rsidR="003E6D08" w:rsidRPr="00BF6615" w:rsidRDefault="003E6D08" w:rsidP="007E26B5">
      <w:pPr>
        <w:pStyle w:val="Legenda"/>
      </w:pPr>
      <w:bookmarkStart w:id="251" w:name="_Toc204179133"/>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35</w:t>
      </w:r>
      <w:r w:rsidRPr="00BF6615">
        <w:fldChar w:fldCharType="end"/>
      </w:r>
      <w:r w:rsidR="00FD0843">
        <w:t>.</w:t>
      </w:r>
      <w:r w:rsidRPr="00BF6615">
        <w:t xml:space="preserve"> </w:t>
      </w:r>
      <w:r w:rsidR="005D71CF" w:rsidRPr="00BF6615">
        <w:t xml:space="preserve">Oczekiwania w stosunku do stron publicznych </w:t>
      </w:r>
      <w:r w:rsidR="00445A00" w:rsidRPr="00BF6615">
        <w:t xml:space="preserve">wg kryterium ważności </w:t>
      </w:r>
      <w:r w:rsidRPr="00BF6615">
        <w:t>w grupie obywatele</w:t>
      </w:r>
      <w:bookmarkEnd w:id="251"/>
    </w:p>
    <w:tbl>
      <w:tblPr>
        <w:tblStyle w:val="PARP"/>
        <w:tblW w:w="15059" w:type="dxa"/>
        <w:tblInd w:w="-856" w:type="dxa"/>
        <w:tblCellMar>
          <w:left w:w="28" w:type="dxa"/>
          <w:right w:w="28" w:type="dxa"/>
        </w:tblCellMar>
        <w:tblLook w:val="04A0" w:firstRow="1" w:lastRow="0" w:firstColumn="1" w:lastColumn="0" w:noHBand="0" w:noVBand="1"/>
        <w:tblCaption w:val="Oczekiwania w stosunku do stron publicznych wg kryterium ważności w grupie obywatele"/>
        <w:tblDescription w:val="W kolumnach: &#10;Ocena Łatwość przeglądania poszczególnych podstron Przejrzystość informacji Treści napisane w sposób zrozumiały Dostępność na różnych urządzeniach Ułatwienia dostępności (np. możliwość powiększenia tekstu, zmiany kolorów, itp.) Zrozumiałe ostrzeżenia o błędnym wypełnieniu formularzy oraz propozycje poprawy Możliwość łatwego kontaktu z urzędem Logiczna struktura strony internetowej Zrozumiałe materiały multimedialne i graficzne Tłumaczenie treści na Polski język migowy (PJM) Informacje w tekście łatwym do czytania i zrozumienia (ETR)"/>
      </w:tblPr>
      <w:tblGrid>
        <w:gridCol w:w="1066"/>
        <w:gridCol w:w="1502"/>
        <w:gridCol w:w="1286"/>
        <w:gridCol w:w="1095"/>
        <w:gridCol w:w="1307"/>
        <w:gridCol w:w="1333"/>
        <w:gridCol w:w="1223"/>
        <w:gridCol w:w="1072"/>
        <w:gridCol w:w="1290"/>
        <w:gridCol w:w="1413"/>
        <w:gridCol w:w="1253"/>
        <w:gridCol w:w="1219"/>
      </w:tblGrid>
      <w:tr w:rsidR="00BA771C" w:rsidRPr="00BF6615" w14:paraId="3EADD710" w14:textId="77777777" w:rsidTr="00DF10EC">
        <w:trPr>
          <w:cnfStyle w:val="100000000000" w:firstRow="1" w:lastRow="0" w:firstColumn="0" w:lastColumn="0" w:oddVBand="0" w:evenVBand="0" w:oddHBand="0" w:evenHBand="0" w:firstRowFirstColumn="0" w:firstRowLastColumn="0" w:lastRowFirstColumn="0" w:lastRowLastColumn="0"/>
          <w:trHeight w:val="2392"/>
        </w:trPr>
        <w:tc>
          <w:tcPr>
            <w:tcW w:w="1066" w:type="dxa"/>
            <w:hideMark/>
          </w:tcPr>
          <w:p w14:paraId="7135AC9B" w14:textId="4FE5CE10" w:rsidR="001A0D11" w:rsidRPr="00BF6615" w:rsidRDefault="002428E6" w:rsidP="007E26B5">
            <w:pPr>
              <w:rPr>
                <w:rFonts w:ascii="Times New Roman" w:hAnsi="Times New Roman"/>
                <w:b/>
                <w:sz w:val="22"/>
                <w:lang w:eastAsia="pl-PL"/>
              </w:rPr>
            </w:pPr>
            <w:r w:rsidRPr="00BF6615">
              <w:rPr>
                <w:b/>
                <w:sz w:val="22"/>
                <w:lang w:eastAsia="pl-PL"/>
              </w:rPr>
              <w:t>O</w:t>
            </w:r>
            <w:r w:rsidR="001A0D11" w:rsidRPr="00BF6615">
              <w:rPr>
                <w:b/>
                <w:sz w:val="22"/>
                <w:lang w:eastAsia="pl-PL"/>
              </w:rPr>
              <w:t>cena</w:t>
            </w:r>
          </w:p>
        </w:tc>
        <w:tc>
          <w:tcPr>
            <w:tcW w:w="1502" w:type="dxa"/>
            <w:hideMark/>
          </w:tcPr>
          <w:p w14:paraId="332BB2EA" w14:textId="77777777" w:rsidR="001A0D11" w:rsidRPr="00BF6615" w:rsidRDefault="001A0D11" w:rsidP="007E26B5">
            <w:pPr>
              <w:rPr>
                <w:b/>
                <w:sz w:val="22"/>
                <w:lang w:eastAsia="pl-PL"/>
              </w:rPr>
            </w:pPr>
            <w:r w:rsidRPr="00BF6615">
              <w:rPr>
                <w:b/>
                <w:sz w:val="22"/>
                <w:lang w:eastAsia="pl-PL"/>
              </w:rPr>
              <w:t>Łatwość przeglądania poszczególnych podstron</w:t>
            </w:r>
          </w:p>
        </w:tc>
        <w:tc>
          <w:tcPr>
            <w:tcW w:w="1286" w:type="dxa"/>
            <w:hideMark/>
          </w:tcPr>
          <w:p w14:paraId="2E7B978C" w14:textId="77777777" w:rsidR="001A0D11" w:rsidRPr="00BF6615" w:rsidRDefault="001A0D11" w:rsidP="007E26B5">
            <w:pPr>
              <w:rPr>
                <w:b/>
                <w:sz w:val="22"/>
                <w:lang w:eastAsia="pl-PL"/>
              </w:rPr>
            </w:pPr>
            <w:r w:rsidRPr="00BF6615">
              <w:rPr>
                <w:b/>
                <w:sz w:val="22"/>
                <w:lang w:eastAsia="pl-PL"/>
              </w:rPr>
              <w:t>Przejrzystość informacji</w:t>
            </w:r>
          </w:p>
        </w:tc>
        <w:tc>
          <w:tcPr>
            <w:tcW w:w="1095" w:type="dxa"/>
            <w:hideMark/>
          </w:tcPr>
          <w:p w14:paraId="567195D9" w14:textId="77777777" w:rsidR="001A0D11" w:rsidRPr="00BF6615" w:rsidRDefault="001A0D11" w:rsidP="007E26B5">
            <w:pPr>
              <w:rPr>
                <w:b/>
                <w:sz w:val="22"/>
                <w:lang w:eastAsia="pl-PL"/>
              </w:rPr>
            </w:pPr>
            <w:r w:rsidRPr="00BF6615">
              <w:rPr>
                <w:b/>
                <w:sz w:val="22"/>
                <w:lang w:eastAsia="pl-PL"/>
              </w:rPr>
              <w:t>Treści napisane w sposób zrozumiały</w:t>
            </w:r>
          </w:p>
        </w:tc>
        <w:tc>
          <w:tcPr>
            <w:tcW w:w="1307" w:type="dxa"/>
            <w:hideMark/>
          </w:tcPr>
          <w:p w14:paraId="5E8E8451" w14:textId="77777777" w:rsidR="001A0D11" w:rsidRPr="00BF6615" w:rsidRDefault="001A0D11" w:rsidP="007E26B5">
            <w:pPr>
              <w:rPr>
                <w:b/>
                <w:sz w:val="22"/>
                <w:lang w:eastAsia="pl-PL"/>
              </w:rPr>
            </w:pPr>
            <w:r w:rsidRPr="00BF6615">
              <w:rPr>
                <w:b/>
                <w:sz w:val="22"/>
                <w:lang w:eastAsia="pl-PL"/>
              </w:rPr>
              <w:t>Dostępność na różnych urządzeniach</w:t>
            </w:r>
          </w:p>
        </w:tc>
        <w:tc>
          <w:tcPr>
            <w:tcW w:w="1333" w:type="dxa"/>
            <w:hideMark/>
          </w:tcPr>
          <w:p w14:paraId="1C76F324" w14:textId="77777777" w:rsidR="001A0D11" w:rsidRPr="00BF6615" w:rsidRDefault="001A0D11" w:rsidP="007E26B5">
            <w:pPr>
              <w:rPr>
                <w:b/>
                <w:sz w:val="22"/>
                <w:lang w:eastAsia="pl-PL"/>
              </w:rPr>
            </w:pPr>
            <w:r w:rsidRPr="00BF6615">
              <w:rPr>
                <w:b/>
                <w:sz w:val="22"/>
                <w:lang w:eastAsia="pl-PL"/>
              </w:rPr>
              <w:t>Ułatwienia dostępności (np. możliwość powiększenia tekstu, zmiany kolorów, itp.)</w:t>
            </w:r>
          </w:p>
        </w:tc>
        <w:tc>
          <w:tcPr>
            <w:tcW w:w="1223" w:type="dxa"/>
            <w:hideMark/>
          </w:tcPr>
          <w:p w14:paraId="1A5A6C25" w14:textId="77777777" w:rsidR="001A0D11" w:rsidRPr="00BF6615" w:rsidRDefault="001A0D11" w:rsidP="007E26B5">
            <w:pPr>
              <w:rPr>
                <w:b/>
                <w:sz w:val="22"/>
                <w:lang w:eastAsia="pl-PL"/>
              </w:rPr>
            </w:pPr>
            <w:r w:rsidRPr="00BF6615">
              <w:rPr>
                <w:b/>
                <w:sz w:val="22"/>
                <w:lang w:eastAsia="pl-PL"/>
              </w:rPr>
              <w:t>Zrozumiałe ostrzeżenia o błędnym wypełnieniu formularzy oraz propozycje poprawy</w:t>
            </w:r>
          </w:p>
        </w:tc>
        <w:tc>
          <w:tcPr>
            <w:tcW w:w="1072" w:type="dxa"/>
            <w:hideMark/>
          </w:tcPr>
          <w:p w14:paraId="19F38689" w14:textId="77777777" w:rsidR="001A0D11" w:rsidRPr="00BF6615" w:rsidRDefault="001A0D11" w:rsidP="007E26B5">
            <w:pPr>
              <w:rPr>
                <w:b/>
                <w:sz w:val="22"/>
                <w:lang w:eastAsia="pl-PL"/>
              </w:rPr>
            </w:pPr>
            <w:r w:rsidRPr="00BF6615">
              <w:rPr>
                <w:b/>
                <w:sz w:val="22"/>
                <w:lang w:eastAsia="pl-PL"/>
              </w:rPr>
              <w:t>Możliwość łatwego kontaktu z urzędem</w:t>
            </w:r>
          </w:p>
        </w:tc>
        <w:tc>
          <w:tcPr>
            <w:tcW w:w="1290" w:type="dxa"/>
            <w:hideMark/>
          </w:tcPr>
          <w:p w14:paraId="2E7CE700" w14:textId="77777777" w:rsidR="001A0D11" w:rsidRPr="00BF6615" w:rsidRDefault="001A0D11" w:rsidP="007E26B5">
            <w:pPr>
              <w:rPr>
                <w:b/>
                <w:sz w:val="22"/>
                <w:lang w:eastAsia="pl-PL"/>
              </w:rPr>
            </w:pPr>
            <w:r w:rsidRPr="00BF6615">
              <w:rPr>
                <w:b/>
                <w:sz w:val="22"/>
                <w:lang w:eastAsia="pl-PL"/>
              </w:rPr>
              <w:t>Logiczna struktura strony internetowej</w:t>
            </w:r>
          </w:p>
        </w:tc>
        <w:tc>
          <w:tcPr>
            <w:tcW w:w="1413" w:type="dxa"/>
            <w:hideMark/>
          </w:tcPr>
          <w:p w14:paraId="08B6AB71" w14:textId="77777777" w:rsidR="001A0D11" w:rsidRPr="00BF6615" w:rsidRDefault="001A0D11" w:rsidP="007E26B5">
            <w:pPr>
              <w:rPr>
                <w:b/>
                <w:sz w:val="22"/>
                <w:lang w:eastAsia="pl-PL"/>
              </w:rPr>
            </w:pPr>
            <w:r w:rsidRPr="00BF6615">
              <w:rPr>
                <w:b/>
                <w:sz w:val="22"/>
                <w:lang w:eastAsia="pl-PL"/>
              </w:rPr>
              <w:t>Zrozumiałe materiały multimedialne i graficzne</w:t>
            </w:r>
          </w:p>
        </w:tc>
        <w:tc>
          <w:tcPr>
            <w:tcW w:w="1253" w:type="dxa"/>
            <w:hideMark/>
          </w:tcPr>
          <w:p w14:paraId="62DBC99E" w14:textId="77777777" w:rsidR="001A0D11" w:rsidRPr="00BF6615" w:rsidRDefault="001A0D11" w:rsidP="007E26B5">
            <w:pPr>
              <w:rPr>
                <w:b/>
                <w:sz w:val="22"/>
                <w:lang w:eastAsia="pl-PL"/>
              </w:rPr>
            </w:pPr>
            <w:r w:rsidRPr="00BF6615">
              <w:rPr>
                <w:b/>
                <w:sz w:val="22"/>
                <w:lang w:eastAsia="pl-PL"/>
              </w:rPr>
              <w:t>Tłumaczenie treści na Polski język migowy (PJM)</w:t>
            </w:r>
          </w:p>
        </w:tc>
        <w:tc>
          <w:tcPr>
            <w:tcW w:w="1219" w:type="dxa"/>
            <w:hideMark/>
          </w:tcPr>
          <w:p w14:paraId="24D29BC0" w14:textId="77777777" w:rsidR="001A0D11" w:rsidRPr="00BF6615" w:rsidRDefault="001A0D11" w:rsidP="007E26B5">
            <w:pPr>
              <w:rPr>
                <w:b/>
                <w:sz w:val="22"/>
                <w:lang w:eastAsia="pl-PL"/>
              </w:rPr>
            </w:pPr>
            <w:r w:rsidRPr="00BF6615">
              <w:rPr>
                <w:b/>
                <w:sz w:val="22"/>
                <w:lang w:eastAsia="pl-PL"/>
              </w:rPr>
              <w:t>Informacje w tekście łatwym do czytania i zrozumienia (ETR)</w:t>
            </w:r>
          </w:p>
        </w:tc>
      </w:tr>
      <w:tr w:rsidR="00BA771C" w:rsidRPr="00BF6615" w14:paraId="32673368" w14:textId="77777777" w:rsidTr="00DF10EC">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2E205123" w14:textId="77777777" w:rsidR="001A0D11" w:rsidRPr="00BF6615" w:rsidRDefault="001A0D11" w:rsidP="007E26B5">
            <w:pPr>
              <w:rPr>
                <w:lang w:eastAsia="pl-PL"/>
              </w:rPr>
            </w:pPr>
            <w:r w:rsidRPr="00BF6615">
              <w:rPr>
                <w:lang w:eastAsia="pl-PL"/>
              </w:rPr>
              <w:t xml:space="preserve">bardzo ważne </w:t>
            </w:r>
          </w:p>
        </w:tc>
        <w:tc>
          <w:tcPr>
            <w:tcW w:w="1502" w:type="dxa"/>
            <w:hideMark/>
          </w:tcPr>
          <w:p w14:paraId="28D57AC4" w14:textId="77777777" w:rsidR="001A0D11" w:rsidRPr="00BF6615" w:rsidRDefault="001A0D11" w:rsidP="007E26B5">
            <w:pPr>
              <w:rPr>
                <w:lang w:eastAsia="pl-PL"/>
              </w:rPr>
            </w:pPr>
            <w:r w:rsidRPr="00BF6615">
              <w:rPr>
                <w:lang w:eastAsia="pl-PL"/>
              </w:rPr>
              <w:t>41%</w:t>
            </w:r>
          </w:p>
        </w:tc>
        <w:tc>
          <w:tcPr>
            <w:tcW w:w="1286" w:type="dxa"/>
            <w:hideMark/>
          </w:tcPr>
          <w:p w14:paraId="20D37CE2" w14:textId="77777777" w:rsidR="001A0D11" w:rsidRPr="00BF6615" w:rsidRDefault="001A0D11" w:rsidP="007E26B5">
            <w:pPr>
              <w:rPr>
                <w:lang w:eastAsia="pl-PL"/>
              </w:rPr>
            </w:pPr>
            <w:r w:rsidRPr="00BF6615">
              <w:rPr>
                <w:lang w:eastAsia="pl-PL"/>
              </w:rPr>
              <w:t>50%</w:t>
            </w:r>
          </w:p>
        </w:tc>
        <w:tc>
          <w:tcPr>
            <w:tcW w:w="1095" w:type="dxa"/>
            <w:hideMark/>
          </w:tcPr>
          <w:p w14:paraId="6C6AAF1C" w14:textId="77777777" w:rsidR="001A0D11" w:rsidRPr="00BF6615" w:rsidRDefault="001A0D11" w:rsidP="007E26B5">
            <w:pPr>
              <w:rPr>
                <w:lang w:eastAsia="pl-PL"/>
              </w:rPr>
            </w:pPr>
            <w:r w:rsidRPr="00BF6615">
              <w:rPr>
                <w:lang w:eastAsia="pl-PL"/>
              </w:rPr>
              <w:t>55%</w:t>
            </w:r>
          </w:p>
        </w:tc>
        <w:tc>
          <w:tcPr>
            <w:tcW w:w="1307" w:type="dxa"/>
            <w:hideMark/>
          </w:tcPr>
          <w:p w14:paraId="53CCAA2D" w14:textId="77777777" w:rsidR="001A0D11" w:rsidRPr="00BF6615" w:rsidRDefault="001A0D11" w:rsidP="007E26B5">
            <w:pPr>
              <w:rPr>
                <w:lang w:eastAsia="pl-PL"/>
              </w:rPr>
            </w:pPr>
            <w:r w:rsidRPr="00BF6615">
              <w:rPr>
                <w:lang w:eastAsia="pl-PL"/>
              </w:rPr>
              <w:t>44%</w:t>
            </w:r>
          </w:p>
        </w:tc>
        <w:tc>
          <w:tcPr>
            <w:tcW w:w="1333" w:type="dxa"/>
            <w:hideMark/>
          </w:tcPr>
          <w:p w14:paraId="6DA9547D" w14:textId="77777777" w:rsidR="001A0D11" w:rsidRPr="00BF6615" w:rsidRDefault="001A0D11" w:rsidP="007E26B5">
            <w:pPr>
              <w:rPr>
                <w:lang w:eastAsia="pl-PL"/>
              </w:rPr>
            </w:pPr>
            <w:r w:rsidRPr="00BF6615">
              <w:rPr>
                <w:lang w:eastAsia="pl-PL"/>
              </w:rPr>
              <w:t>24%</w:t>
            </w:r>
          </w:p>
        </w:tc>
        <w:tc>
          <w:tcPr>
            <w:tcW w:w="1223" w:type="dxa"/>
            <w:hideMark/>
          </w:tcPr>
          <w:p w14:paraId="141B3EF1" w14:textId="77777777" w:rsidR="001A0D11" w:rsidRPr="00BF6615" w:rsidRDefault="001A0D11" w:rsidP="007E26B5">
            <w:pPr>
              <w:rPr>
                <w:lang w:eastAsia="pl-PL"/>
              </w:rPr>
            </w:pPr>
            <w:r w:rsidRPr="00BF6615">
              <w:rPr>
                <w:lang w:eastAsia="pl-PL"/>
              </w:rPr>
              <w:t>46%</w:t>
            </w:r>
          </w:p>
        </w:tc>
        <w:tc>
          <w:tcPr>
            <w:tcW w:w="1072" w:type="dxa"/>
            <w:hideMark/>
          </w:tcPr>
          <w:p w14:paraId="744A5D05" w14:textId="77777777" w:rsidR="001A0D11" w:rsidRPr="00BF6615" w:rsidRDefault="001A0D11" w:rsidP="007E26B5">
            <w:pPr>
              <w:rPr>
                <w:lang w:eastAsia="pl-PL"/>
              </w:rPr>
            </w:pPr>
            <w:r w:rsidRPr="00BF6615">
              <w:rPr>
                <w:lang w:eastAsia="pl-PL"/>
              </w:rPr>
              <w:t>43%</w:t>
            </w:r>
          </w:p>
        </w:tc>
        <w:tc>
          <w:tcPr>
            <w:tcW w:w="1290" w:type="dxa"/>
            <w:hideMark/>
          </w:tcPr>
          <w:p w14:paraId="63DF6EDE" w14:textId="77777777" w:rsidR="001A0D11" w:rsidRPr="00BF6615" w:rsidRDefault="001A0D11" w:rsidP="007E26B5">
            <w:pPr>
              <w:rPr>
                <w:lang w:eastAsia="pl-PL"/>
              </w:rPr>
            </w:pPr>
            <w:r w:rsidRPr="00BF6615">
              <w:rPr>
                <w:lang w:eastAsia="pl-PL"/>
              </w:rPr>
              <w:t>40%</w:t>
            </w:r>
          </w:p>
        </w:tc>
        <w:tc>
          <w:tcPr>
            <w:tcW w:w="1413" w:type="dxa"/>
            <w:hideMark/>
          </w:tcPr>
          <w:p w14:paraId="0DAD23C7" w14:textId="77777777" w:rsidR="001A0D11" w:rsidRPr="00BF6615" w:rsidRDefault="001A0D11" w:rsidP="007E26B5">
            <w:pPr>
              <w:rPr>
                <w:lang w:eastAsia="pl-PL"/>
              </w:rPr>
            </w:pPr>
            <w:r w:rsidRPr="00BF6615">
              <w:rPr>
                <w:lang w:eastAsia="pl-PL"/>
              </w:rPr>
              <w:t>32%</w:t>
            </w:r>
          </w:p>
        </w:tc>
        <w:tc>
          <w:tcPr>
            <w:tcW w:w="1253" w:type="dxa"/>
            <w:hideMark/>
          </w:tcPr>
          <w:p w14:paraId="464236B3" w14:textId="77777777" w:rsidR="001A0D11" w:rsidRPr="00BF6615" w:rsidRDefault="001A0D11" w:rsidP="007E26B5">
            <w:pPr>
              <w:rPr>
                <w:lang w:eastAsia="pl-PL"/>
              </w:rPr>
            </w:pPr>
            <w:r w:rsidRPr="00BF6615">
              <w:rPr>
                <w:lang w:eastAsia="pl-PL"/>
              </w:rPr>
              <w:t>16%</w:t>
            </w:r>
          </w:p>
        </w:tc>
        <w:tc>
          <w:tcPr>
            <w:tcW w:w="1219" w:type="dxa"/>
            <w:hideMark/>
          </w:tcPr>
          <w:p w14:paraId="75394DB6" w14:textId="77777777" w:rsidR="001A0D11" w:rsidRPr="00BF6615" w:rsidRDefault="001A0D11" w:rsidP="007E26B5">
            <w:pPr>
              <w:rPr>
                <w:lang w:eastAsia="pl-PL"/>
              </w:rPr>
            </w:pPr>
            <w:r w:rsidRPr="00BF6615">
              <w:rPr>
                <w:lang w:eastAsia="pl-PL"/>
              </w:rPr>
              <w:t>29%</w:t>
            </w:r>
          </w:p>
        </w:tc>
      </w:tr>
      <w:tr w:rsidR="00BA771C" w:rsidRPr="00BF6615" w14:paraId="7891FABE" w14:textId="77777777" w:rsidTr="00DF10EC">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3C2BF306" w14:textId="77777777" w:rsidR="001A0D11" w:rsidRPr="00BF6615" w:rsidRDefault="001A0D11" w:rsidP="007E26B5">
            <w:pPr>
              <w:rPr>
                <w:lang w:eastAsia="pl-PL"/>
              </w:rPr>
            </w:pPr>
            <w:r w:rsidRPr="00BF6615">
              <w:rPr>
                <w:lang w:eastAsia="pl-PL"/>
              </w:rPr>
              <w:t>ważne</w:t>
            </w:r>
          </w:p>
        </w:tc>
        <w:tc>
          <w:tcPr>
            <w:tcW w:w="1502" w:type="dxa"/>
            <w:hideMark/>
          </w:tcPr>
          <w:p w14:paraId="7D1709A3" w14:textId="77777777" w:rsidR="001A0D11" w:rsidRPr="00BF6615" w:rsidRDefault="001A0D11" w:rsidP="007E26B5">
            <w:pPr>
              <w:rPr>
                <w:lang w:eastAsia="pl-PL"/>
              </w:rPr>
            </w:pPr>
            <w:r w:rsidRPr="00BF6615">
              <w:rPr>
                <w:lang w:eastAsia="pl-PL"/>
              </w:rPr>
              <w:t>37%</w:t>
            </w:r>
          </w:p>
        </w:tc>
        <w:tc>
          <w:tcPr>
            <w:tcW w:w="1286" w:type="dxa"/>
            <w:hideMark/>
          </w:tcPr>
          <w:p w14:paraId="77D9B7F5" w14:textId="77777777" w:rsidR="001A0D11" w:rsidRPr="00BF6615" w:rsidRDefault="001A0D11" w:rsidP="007E26B5">
            <w:pPr>
              <w:rPr>
                <w:lang w:eastAsia="pl-PL"/>
              </w:rPr>
            </w:pPr>
            <w:r w:rsidRPr="00BF6615">
              <w:rPr>
                <w:lang w:eastAsia="pl-PL"/>
              </w:rPr>
              <w:t>35%</w:t>
            </w:r>
          </w:p>
        </w:tc>
        <w:tc>
          <w:tcPr>
            <w:tcW w:w="1095" w:type="dxa"/>
            <w:hideMark/>
          </w:tcPr>
          <w:p w14:paraId="76733B0B" w14:textId="77777777" w:rsidR="001A0D11" w:rsidRPr="00BF6615" w:rsidRDefault="001A0D11" w:rsidP="007E26B5">
            <w:pPr>
              <w:rPr>
                <w:lang w:eastAsia="pl-PL"/>
              </w:rPr>
            </w:pPr>
            <w:r w:rsidRPr="00BF6615">
              <w:rPr>
                <w:lang w:eastAsia="pl-PL"/>
              </w:rPr>
              <w:t>29%</w:t>
            </w:r>
          </w:p>
        </w:tc>
        <w:tc>
          <w:tcPr>
            <w:tcW w:w="1307" w:type="dxa"/>
            <w:hideMark/>
          </w:tcPr>
          <w:p w14:paraId="3DAD1DBE" w14:textId="77777777" w:rsidR="001A0D11" w:rsidRPr="00BF6615" w:rsidRDefault="001A0D11" w:rsidP="007E26B5">
            <w:pPr>
              <w:rPr>
                <w:lang w:eastAsia="pl-PL"/>
              </w:rPr>
            </w:pPr>
            <w:r w:rsidRPr="00BF6615">
              <w:rPr>
                <w:lang w:eastAsia="pl-PL"/>
              </w:rPr>
              <w:t>30%</w:t>
            </w:r>
          </w:p>
        </w:tc>
        <w:tc>
          <w:tcPr>
            <w:tcW w:w="1333" w:type="dxa"/>
            <w:hideMark/>
          </w:tcPr>
          <w:p w14:paraId="355AC888" w14:textId="77777777" w:rsidR="001A0D11" w:rsidRPr="00BF6615" w:rsidRDefault="001A0D11" w:rsidP="007E26B5">
            <w:pPr>
              <w:rPr>
                <w:lang w:eastAsia="pl-PL"/>
              </w:rPr>
            </w:pPr>
            <w:r w:rsidRPr="00BF6615">
              <w:rPr>
                <w:lang w:eastAsia="pl-PL"/>
              </w:rPr>
              <w:t>33%</w:t>
            </w:r>
          </w:p>
        </w:tc>
        <w:tc>
          <w:tcPr>
            <w:tcW w:w="1223" w:type="dxa"/>
            <w:hideMark/>
          </w:tcPr>
          <w:p w14:paraId="76CBE052" w14:textId="77777777" w:rsidR="001A0D11" w:rsidRPr="00BF6615" w:rsidRDefault="001A0D11" w:rsidP="007E26B5">
            <w:pPr>
              <w:rPr>
                <w:lang w:eastAsia="pl-PL"/>
              </w:rPr>
            </w:pPr>
            <w:r w:rsidRPr="00BF6615">
              <w:rPr>
                <w:lang w:eastAsia="pl-PL"/>
              </w:rPr>
              <w:t>34%</w:t>
            </w:r>
          </w:p>
        </w:tc>
        <w:tc>
          <w:tcPr>
            <w:tcW w:w="1072" w:type="dxa"/>
            <w:hideMark/>
          </w:tcPr>
          <w:p w14:paraId="06699E9B" w14:textId="77777777" w:rsidR="001A0D11" w:rsidRPr="00BF6615" w:rsidRDefault="001A0D11" w:rsidP="007E26B5">
            <w:pPr>
              <w:rPr>
                <w:lang w:eastAsia="pl-PL"/>
              </w:rPr>
            </w:pPr>
            <w:r w:rsidRPr="00BF6615">
              <w:rPr>
                <w:lang w:eastAsia="pl-PL"/>
              </w:rPr>
              <w:t>36%</w:t>
            </w:r>
          </w:p>
        </w:tc>
        <w:tc>
          <w:tcPr>
            <w:tcW w:w="1290" w:type="dxa"/>
            <w:hideMark/>
          </w:tcPr>
          <w:p w14:paraId="1CF65AAE" w14:textId="77777777" w:rsidR="001A0D11" w:rsidRPr="00BF6615" w:rsidRDefault="001A0D11" w:rsidP="007E26B5">
            <w:pPr>
              <w:rPr>
                <w:lang w:eastAsia="pl-PL"/>
              </w:rPr>
            </w:pPr>
            <w:r w:rsidRPr="00BF6615">
              <w:rPr>
                <w:lang w:eastAsia="pl-PL"/>
              </w:rPr>
              <w:t>39%</w:t>
            </w:r>
          </w:p>
        </w:tc>
        <w:tc>
          <w:tcPr>
            <w:tcW w:w="1413" w:type="dxa"/>
            <w:hideMark/>
          </w:tcPr>
          <w:p w14:paraId="32018BCB" w14:textId="77777777" w:rsidR="001A0D11" w:rsidRPr="00BF6615" w:rsidRDefault="001A0D11" w:rsidP="007E26B5">
            <w:pPr>
              <w:rPr>
                <w:lang w:eastAsia="pl-PL"/>
              </w:rPr>
            </w:pPr>
            <w:r w:rsidRPr="00BF6615">
              <w:rPr>
                <w:lang w:eastAsia="pl-PL"/>
              </w:rPr>
              <w:t>40%</w:t>
            </w:r>
          </w:p>
        </w:tc>
        <w:tc>
          <w:tcPr>
            <w:tcW w:w="1253" w:type="dxa"/>
            <w:hideMark/>
          </w:tcPr>
          <w:p w14:paraId="005CC8A3" w14:textId="77777777" w:rsidR="001A0D11" w:rsidRPr="00BF6615" w:rsidRDefault="001A0D11" w:rsidP="007E26B5">
            <w:pPr>
              <w:rPr>
                <w:lang w:eastAsia="pl-PL"/>
              </w:rPr>
            </w:pPr>
            <w:r w:rsidRPr="00BF6615">
              <w:rPr>
                <w:lang w:eastAsia="pl-PL"/>
              </w:rPr>
              <w:t>31%</w:t>
            </w:r>
          </w:p>
        </w:tc>
        <w:tc>
          <w:tcPr>
            <w:tcW w:w="1219" w:type="dxa"/>
            <w:hideMark/>
          </w:tcPr>
          <w:p w14:paraId="0289B92F" w14:textId="77777777" w:rsidR="001A0D11" w:rsidRPr="00BF6615" w:rsidRDefault="001A0D11" w:rsidP="007E26B5">
            <w:pPr>
              <w:rPr>
                <w:lang w:eastAsia="pl-PL"/>
              </w:rPr>
            </w:pPr>
            <w:r w:rsidRPr="00BF6615">
              <w:rPr>
                <w:lang w:eastAsia="pl-PL"/>
              </w:rPr>
              <w:t>34%</w:t>
            </w:r>
          </w:p>
        </w:tc>
      </w:tr>
      <w:tr w:rsidR="00BA771C" w:rsidRPr="00BF6615" w14:paraId="64774FB4" w14:textId="77777777" w:rsidTr="00DF10EC">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134D3BDB" w14:textId="77777777" w:rsidR="001A0D11" w:rsidRPr="00BF6615" w:rsidRDefault="001A0D11" w:rsidP="007E26B5">
            <w:pPr>
              <w:rPr>
                <w:lang w:eastAsia="pl-PL"/>
              </w:rPr>
            </w:pPr>
            <w:r w:rsidRPr="00BF6615">
              <w:rPr>
                <w:lang w:eastAsia="pl-PL"/>
              </w:rPr>
              <w:t>neutralne</w:t>
            </w:r>
          </w:p>
        </w:tc>
        <w:tc>
          <w:tcPr>
            <w:tcW w:w="1502" w:type="dxa"/>
            <w:hideMark/>
          </w:tcPr>
          <w:p w14:paraId="14FE0951" w14:textId="77777777" w:rsidR="001A0D11" w:rsidRPr="00BF6615" w:rsidRDefault="001A0D11" w:rsidP="007E26B5">
            <w:pPr>
              <w:rPr>
                <w:lang w:eastAsia="pl-PL"/>
              </w:rPr>
            </w:pPr>
            <w:r w:rsidRPr="00BF6615">
              <w:rPr>
                <w:lang w:eastAsia="pl-PL"/>
              </w:rPr>
              <w:t>17%</w:t>
            </w:r>
          </w:p>
        </w:tc>
        <w:tc>
          <w:tcPr>
            <w:tcW w:w="1286" w:type="dxa"/>
            <w:hideMark/>
          </w:tcPr>
          <w:p w14:paraId="70B82A36" w14:textId="77777777" w:rsidR="001A0D11" w:rsidRPr="00BF6615" w:rsidRDefault="001A0D11" w:rsidP="007E26B5">
            <w:pPr>
              <w:rPr>
                <w:lang w:eastAsia="pl-PL"/>
              </w:rPr>
            </w:pPr>
            <w:r w:rsidRPr="00BF6615">
              <w:rPr>
                <w:lang w:eastAsia="pl-PL"/>
              </w:rPr>
              <w:t>12%</w:t>
            </w:r>
          </w:p>
        </w:tc>
        <w:tc>
          <w:tcPr>
            <w:tcW w:w="1095" w:type="dxa"/>
            <w:hideMark/>
          </w:tcPr>
          <w:p w14:paraId="643845E3" w14:textId="77777777" w:rsidR="001A0D11" w:rsidRPr="00BF6615" w:rsidRDefault="001A0D11" w:rsidP="007E26B5">
            <w:pPr>
              <w:rPr>
                <w:lang w:eastAsia="pl-PL"/>
              </w:rPr>
            </w:pPr>
            <w:r w:rsidRPr="00BF6615">
              <w:rPr>
                <w:lang w:eastAsia="pl-PL"/>
              </w:rPr>
              <w:t>13%</w:t>
            </w:r>
          </w:p>
        </w:tc>
        <w:tc>
          <w:tcPr>
            <w:tcW w:w="1307" w:type="dxa"/>
            <w:hideMark/>
          </w:tcPr>
          <w:p w14:paraId="5DDE016F" w14:textId="77777777" w:rsidR="001A0D11" w:rsidRPr="00BF6615" w:rsidRDefault="001A0D11" w:rsidP="007E26B5">
            <w:pPr>
              <w:rPr>
                <w:lang w:eastAsia="pl-PL"/>
              </w:rPr>
            </w:pPr>
            <w:r w:rsidRPr="00BF6615">
              <w:rPr>
                <w:lang w:eastAsia="pl-PL"/>
              </w:rPr>
              <w:t>19%</w:t>
            </w:r>
          </w:p>
        </w:tc>
        <w:tc>
          <w:tcPr>
            <w:tcW w:w="1333" w:type="dxa"/>
            <w:hideMark/>
          </w:tcPr>
          <w:p w14:paraId="28E9F5B6" w14:textId="77777777" w:rsidR="001A0D11" w:rsidRPr="00BF6615" w:rsidRDefault="001A0D11" w:rsidP="007E26B5">
            <w:pPr>
              <w:rPr>
                <w:lang w:eastAsia="pl-PL"/>
              </w:rPr>
            </w:pPr>
            <w:r w:rsidRPr="00BF6615">
              <w:rPr>
                <w:lang w:eastAsia="pl-PL"/>
              </w:rPr>
              <w:t>28%</w:t>
            </w:r>
          </w:p>
        </w:tc>
        <w:tc>
          <w:tcPr>
            <w:tcW w:w="1223" w:type="dxa"/>
            <w:hideMark/>
          </w:tcPr>
          <w:p w14:paraId="328420A8" w14:textId="77777777" w:rsidR="001A0D11" w:rsidRPr="00BF6615" w:rsidRDefault="001A0D11" w:rsidP="007E26B5">
            <w:pPr>
              <w:rPr>
                <w:lang w:eastAsia="pl-PL"/>
              </w:rPr>
            </w:pPr>
            <w:r w:rsidRPr="00BF6615">
              <w:rPr>
                <w:lang w:eastAsia="pl-PL"/>
              </w:rPr>
              <w:t>16%</w:t>
            </w:r>
          </w:p>
        </w:tc>
        <w:tc>
          <w:tcPr>
            <w:tcW w:w="1072" w:type="dxa"/>
            <w:hideMark/>
          </w:tcPr>
          <w:p w14:paraId="11E5A932" w14:textId="77777777" w:rsidR="001A0D11" w:rsidRPr="00BF6615" w:rsidRDefault="001A0D11" w:rsidP="007E26B5">
            <w:pPr>
              <w:rPr>
                <w:lang w:eastAsia="pl-PL"/>
              </w:rPr>
            </w:pPr>
            <w:r w:rsidRPr="00BF6615">
              <w:rPr>
                <w:lang w:eastAsia="pl-PL"/>
              </w:rPr>
              <w:t>15%</w:t>
            </w:r>
          </w:p>
        </w:tc>
        <w:tc>
          <w:tcPr>
            <w:tcW w:w="1290" w:type="dxa"/>
            <w:hideMark/>
          </w:tcPr>
          <w:p w14:paraId="3298A6AD" w14:textId="77777777" w:rsidR="001A0D11" w:rsidRPr="00BF6615" w:rsidRDefault="001A0D11" w:rsidP="007E26B5">
            <w:pPr>
              <w:rPr>
                <w:lang w:eastAsia="pl-PL"/>
              </w:rPr>
            </w:pPr>
            <w:r w:rsidRPr="00BF6615">
              <w:rPr>
                <w:lang w:eastAsia="pl-PL"/>
              </w:rPr>
              <w:t>13%</w:t>
            </w:r>
          </w:p>
        </w:tc>
        <w:tc>
          <w:tcPr>
            <w:tcW w:w="1413" w:type="dxa"/>
            <w:hideMark/>
          </w:tcPr>
          <w:p w14:paraId="253F0794" w14:textId="77777777" w:rsidR="001A0D11" w:rsidRPr="00BF6615" w:rsidRDefault="001A0D11" w:rsidP="007E26B5">
            <w:pPr>
              <w:rPr>
                <w:lang w:eastAsia="pl-PL"/>
              </w:rPr>
            </w:pPr>
            <w:r w:rsidRPr="00BF6615">
              <w:rPr>
                <w:lang w:eastAsia="pl-PL"/>
              </w:rPr>
              <w:t>20%</w:t>
            </w:r>
          </w:p>
        </w:tc>
        <w:tc>
          <w:tcPr>
            <w:tcW w:w="1253" w:type="dxa"/>
            <w:hideMark/>
          </w:tcPr>
          <w:p w14:paraId="7E126C3D" w14:textId="77777777" w:rsidR="001A0D11" w:rsidRPr="00BF6615" w:rsidRDefault="001A0D11" w:rsidP="007E26B5">
            <w:pPr>
              <w:rPr>
                <w:lang w:eastAsia="pl-PL"/>
              </w:rPr>
            </w:pPr>
            <w:r w:rsidRPr="00BF6615">
              <w:rPr>
                <w:lang w:eastAsia="pl-PL"/>
              </w:rPr>
              <w:t>26%</w:t>
            </w:r>
          </w:p>
        </w:tc>
        <w:tc>
          <w:tcPr>
            <w:tcW w:w="1219" w:type="dxa"/>
            <w:hideMark/>
          </w:tcPr>
          <w:p w14:paraId="23CF5833" w14:textId="77777777" w:rsidR="001A0D11" w:rsidRPr="00BF6615" w:rsidRDefault="001A0D11" w:rsidP="007E26B5">
            <w:pPr>
              <w:rPr>
                <w:lang w:eastAsia="pl-PL"/>
              </w:rPr>
            </w:pPr>
            <w:r w:rsidRPr="00BF6615">
              <w:rPr>
                <w:lang w:eastAsia="pl-PL"/>
              </w:rPr>
              <w:t>26%</w:t>
            </w:r>
          </w:p>
        </w:tc>
      </w:tr>
      <w:tr w:rsidR="00BA771C" w:rsidRPr="00BF6615" w14:paraId="53A834AA" w14:textId="77777777" w:rsidTr="00DF10EC">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5039888D" w14:textId="77777777" w:rsidR="001A0D11" w:rsidRPr="00BF6615" w:rsidRDefault="001A0D11" w:rsidP="007E26B5">
            <w:pPr>
              <w:rPr>
                <w:lang w:eastAsia="pl-PL"/>
              </w:rPr>
            </w:pPr>
            <w:r w:rsidRPr="00BF6615">
              <w:rPr>
                <w:lang w:eastAsia="pl-PL"/>
              </w:rPr>
              <w:t>mało ważne</w:t>
            </w:r>
          </w:p>
        </w:tc>
        <w:tc>
          <w:tcPr>
            <w:tcW w:w="1502" w:type="dxa"/>
            <w:hideMark/>
          </w:tcPr>
          <w:p w14:paraId="4A387319" w14:textId="77777777" w:rsidR="001A0D11" w:rsidRPr="00BF6615" w:rsidRDefault="001A0D11" w:rsidP="007E26B5">
            <w:pPr>
              <w:rPr>
                <w:lang w:eastAsia="pl-PL"/>
              </w:rPr>
            </w:pPr>
            <w:r w:rsidRPr="00BF6615">
              <w:rPr>
                <w:lang w:eastAsia="pl-PL"/>
              </w:rPr>
              <w:t>3%</w:t>
            </w:r>
          </w:p>
        </w:tc>
        <w:tc>
          <w:tcPr>
            <w:tcW w:w="1286" w:type="dxa"/>
            <w:hideMark/>
          </w:tcPr>
          <w:p w14:paraId="72A452CE" w14:textId="77777777" w:rsidR="001A0D11" w:rsidRPr="00BF6615" w:rsidRDefault="001A0D11" w:rsidP="007E26B5">
            <w:pPr>
              <w:rPr>
                <w:lang w:eastAsia="pl-PL"/>
              </w:rPr>
            </w:pPr>
            <w:r w:rsidRPr="00BF6615">
              <w:rPr>
                <w:lang w:eastAsia="pl-PL"/>
              </w:rPr>
              <w:t>3%</w:t>
            </w:r>
          </w:p>
        </w:tc>
        <w:tc>
          <w:tcPr>
            <w:tcW w:w="1095" w:type="dxa"/>
            <w:hideMark/>
          </w:tcPr>
          <w:p w14:paraId="2509A90A" w14:textId="77777777" w:rsidR="001A0D11" w:rsidRPr="00BF6615" w:rsidRDefault="001A0D11" w:rsidP="007E26B5">
            <w:pPr>
              <w:rPr>
                <w:lang w:eastAsia="pl-PL"/>
              </w:rPr>
            </w:pPr>
            <w:r w:rsidRPr="00BF6615">
              <w:rPr>
                <w:lang w:eastAsia="pl-PL"/>
              </w:rPr>
              <w:t>3%</w:t>
            </w:r>
          </w:p>
        </w:tc>
        <w:tc>
          <w:tcPr>
            <w:tcW w:w="1307" w:type="dxa"/>
            <w:hideMark/>
          </w:tcPr>
          <w:p w14:paraId="7EA6B660" w14:textId="77777777" w:rsidR="001A0D11" w:rsidRPr="00BF6615" w:rsidRDefault="001A0D11" w:rsidP="007E26B5">
            <w:pPr>
              <w:rPr>
                <w:lang w:eastAsia="pl-PL"/>
              </w:rPr>
            </w:pPr>
            <w:r w:rsidRPr="00BF6615">
              <w:rPr>
                <w:lang w:eastAsia="pl-PL"/>
              </w:rPr>
              <w:t>4%</w:t>
            </w:r>
          </w:p>
        </w:tc>
        <w:tc>
          <w:tcPr>
            <w:tcW w:w="1333" w:type="dxa"/>
            <w:hideMark/>
          </w:tcPr>
          <w:p w14:paraId="5CAF8798" w14:textId="77777777" w:rsidR="001A0D11" w:rsidRPr="00BF6615" w:rsidRDefault="001A0D11" w:rsidP="007E26B5">
            <w:pPr>
              <w:rPr>
                <w:lang w:eastAsia="pl-PL"/>
              </w:rPr>
            </w:pPr>
            <w:r w:rsidRPr="00BF6615">
              <w:rPr>
                <w:lang w:eastAsia="pl-PL"/>
              </w:rPr>
              <w:t>12%</w:t>
            </w:r>
          </w:p>
        </w:tc>
        <w:tc>
          <w:tcPr>
            <w:tcW w:w="1223" w:type="dxa"/>
            <w:hideMark/>
          </w:tcPr>
          <w:p w14:paraId="54F1C2D6" w14:textId="77777777" w:rsidR="001A0D11" w:rsidRPr="00BF6615" w:rsidRDefault="001A0D11" w:rsidP="007E26B5">
            <w:pPr>
              <w:rPr>
                <w:lang w:eastAsia="pl-PL"/>
              </w:rPr>
            </w:pPr>
            <w:r w:rsidRPr="00BF6615">
              <w:rPr>
                <w:lang w:eastAsia="pl-PL"/>
              </w:rPr>
              <w:t>3%</w:t>
            </w:r>
          </w:p>
        </w:tc>
        <w:tc>
          <w:tcPr>
            <w:tcW w:w="1072" w:type="dxa"/>
            <w:hideMark/>
          </w:tcPr>
          <w:p w14:paraId="59CC65CE" w14:textId="77777777" w:rsidR="001A0D11" w:rsidRPr="00BF6615" w:rsidRDefault="001A0D11" w:rsidP="007E26B5">
            <w:pPr>
              <w:rPr>
                <w:lang w:eastAsia="pl-PL"/>
              </w:rPr>
            </w:pPr>
            <w:r w:rsidRPr="00BF6615">
              <w:rPr>
                <w:lang w:eastAsia="pl-PL"/>
              </w:rPr>
              <w:t>5%</w:t>
            </w:r>
          </w:p>
        </w:tc>
        <w:tc>
          <w:tcPr>
            <w:tcW w:w="1290" w:type="dxa"/>
            <w:hideMark/>
          </w:tcPr>
          <w:p w14:paraId="116A766A" w14:textId="77777777" w:rsidR="001A0D11" w:rsidRPr="00BF6615" w:rsidRDefault="001A0D11" w:rsidP="007E26B5">
            <w:pPr>
              <w:rPr>
                <w:lang w:eastAsia="pl-PL"/>
              </w:rPr>
            </w:pPr>
            <w:r w:rsidRPr="00BF6615">
              <w:rPr>
                <w:lang w:eastAsia="pl-PL"/>
              </w:rPr>
              <w:t>6%</w:t>
            </w:r>
          </w:p>
        </w:tc>
        <w:tc>
          <w:tcPr>
            <w:tcW w:w="1413" w:type="dxa"/>
            <w:hideMark/>
          </w:tcPr>
          <w:p w14:paraId="3C4D8D89" w14:textId="77777777" w:rsidR="001A0D11" w:rsidRPr="00BF6615" w:rsidRDefault="001A0D11" w:rsidP="007E26B5">
            <w:pPr>
              <w:rPr>
                <w:lang w:eastAsia="pl-PL"/>
              </w:rPr>
            </w:pPr>
            <w:r w:rsidRPr="00BF6615">
              <w:rPr>
                <w:lang w:eastAsia="pl-PL"/>
              </w:rPr>
              <w:t>4%</w:t>
            </w:r>
          </w:p>
        </w:tc>
        <w:tc>
          <w:tcPr>
            <w:tcW w:w="1253" w:type="dxa"/>
            <w:hideMark/>
          </w:tcPr>
          <w:p w14:paraId="063B901F" w14:textId="77777777" w:rsidR="001A0D11" w:rsidRPr="00BF6615" w:rsidRDefault="001A0D11" w:rsidP="007E26B5">
            <w:pPr>
              <w:rPr>
                <w:lang w:eastAsia="pl-PL"/>
              </w:rPr>
            </w:pPr>
            <w:r w:rsidRPr="00BF6615">
              <w:rPr>
                <w:lang w:eastAsia="pl-PL"/>
              </w:rPr>
              <w:t>7%</w:t>
            </w:r>
          </w:p>
        </w:tc>
        <w:tc>
          <w:tcPr>
            <w:tcW w:w="1219" w:type="dxa"/>
            <w:hideMark/>
          </w:tcPr>
          <w:p w14:paraId="3614B673" w14:textId="77777777" w:rsidR="001A0D11" w:rsidRPr="00BF6615" w:rsidRDefault="001A0D11" w:rsidP="007E26B5">
            <w:pPr>
              <w:rPr>
                <w:lang w:eastAsia="pl-PL"/>
              </w:rPr>
            </w:pPr>
            <w:r w:rsidRPr="00BF6615">
              <w:rPr>
                <w:lang w:eastAsia="pl-PL"/>
              </w:rPr>
              <w:t>4%</w:t>
            </w:r>
          </w:p>
        </w:tc>
      </w:tr>
      <w:tr w:rsidR="00BA771C" w:rsidRPr="00BF6615" w14:paraId="35F47E07" w14:textId="77777777" w:rsidTr="00DF10EC">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76F94442" w14:textId="77777777" w:rsidR="001A0D11" w:rsidRPr="00BF6615" w:rsidRDefault="001A0D11" w:rsidP="007E26B5">
            <w:pPr>
              <w:rPr>
                <w:lang w:eastAsia="pl-PL"/>
              </w:rPr>
            </w:pPr>
            <w:r w:rsidRPr="00BF6615">
              <w:rPr>
                <w:lang w:eastAsia="pl-PL"/>
              </w:rPr>
              <w:t>zupełnie nieważne</w:t>
            </w:r>
          </w:p>
        </w:tc>
        <w:tc>
          <w:tcPr>
            <w:tcW w:w="1502" w:type="dxa"/>
            <w:hideMark/>
          </w:tcPr>
          <w:p w14:paraId="53BC8466" w14:textId="77777777" w:rsidR="001A0D11" w:rsidRPr="00BF6615" w:rsidRDefault="001A0D11" w:rsidP="007E26B5">
            <w:pPr>
              <w:rPr>
                <w:lang w:eastAsia="pl-PL"/>
              </w:rPr>
            </w:pPr>
            <w:r w:rsidRPr="00BF6615">
              <w:rPr>
                <w:lang w:eastAsia="pl-PL"/>
              </w:rPr>
              <w:t>1%</w:t>
            </w:r>
          </w:p>
        </w:tc>
        <w:tc>
          <w:tcPr>
            <w:tcW w:w="1286" w:type="dxa"/>
            <w:hideMark/>
          </w:tcPr>
          <w:p w14:paraId="0230109B" w14:textId="77777777" w:rsidR="001A0D11" w:rsidRPr="00BF6615" w:rsidRDefault="001A0D11" w:rsidP="007E26B5">
            <w:pPr>
              <w:rPr>
                <w:lang w:eastAsia="pl-PL"/>
              </w:rPr>
            </w:pPr>
            <w:r w:rsidRPr="00BF6615">
              <w:rPr>
                <w:lang w:eastAsia="pl-PL"/>
              </w:rPr>
              <w:t>0%</w:t>
            </w:r>
          </w:p>
        </w:tc>
        <w:tc>
          <w:tcPr>
            <w:tcW w:w="1095" w:type="dxa"/>
            <w:hideMark/>
          </w:tcPr>
          <w:p w14:paraId="08F9ABBB" w14:textId="77777777" w:rsidR="001A0D11" w:rsidRPr="00BF6615" w:rsidRDefault="001A0D11" w:rsidP="007E26B5">
            <w:pPr>
              <w:rPr>
                <w:lang w:eastAsia="pl-PL"/>
              </w:rPr>
            </w:pPr>
            <w:r w:rsidRPr="00BF6615">
              <w:rPr>
                <w:lang w:eastAsia="pl-PL"/>
              </w:rPr>
              <w:t>0%</w:t>
            </w:r>
          </w:p>
        </w:tc>
        <w:tc>
          <w:tcPr>
            <w:tcW w:w="1307" w:type="dxa"/>
            <w:hideMark/>
          </w:tcPr>
          <w:p w14:paraId="6D3DD8DC" w14:textId="77777777" w:rsidR="001A0D11" w:rsidRPr="00BF6615" w:rsidRDefault="001A0D11" w:rsidP="007E26B5">
            <w:pPr>
              <w:rPr>
                <w:lang w:eastAsia="pl-PL"/>
              </w:rPr>
            </w:pPr>
            <w:r w:rsidRPr="00BF6615">
              <w:rPr>
                <w:lang w:eastAsia="pl-PL"/>
              </w:rPr>
              <w:t>3%</w:t>
            </w:r>
          </w:p>
        </w:tc>
        <w:tc>
          <w:tcPr>
            <w:tcW w:w="1333" w:type="dxa"/>
            <w:hideMark/>
          </w:tcPr>
          <w:p w14:paraId="78B55C08" w14:textId="77777777" w:rsidR="001A0D11" w:rsidRPr="00BF6615" w:rsidRDefault="001A0D11" w:rsidP="007E26B5">
            <w:pPr>
              <w:rPr>
                <w:lang w:eastAsia="pl-PL"/>
              </w:rPr>
            </w:pPr>
            <w:r w:rsidRPr="00BF6615">
              <w:rPr>
                <w:lang w:eastAsia="pl-PL"/>
              </w:rPr>
              <w:t>3%</w:t>
            </w:r>
          </w:p>
        </w:tc>
        <w:tc>
          <w:tcPr>
            <w:tcW w:w="1223" w:type="dxa"/>
            <w:hideMark/>
          </w:tcPr>
          <w:p w14:paraId="60989404" w14:textId="77777777" w:rsidR="001A0D11" w:rsidRPr="00BF6615" w:rsidRDefault="001A0D11" w:rsidP="007E26B5">
            <w:pPr>
              <w:rPr>
                <w:lang w:eastAsia="pl-PL"/>
              </w:rPr>
            </w:pPr>
            <w:r w:rsidRPr="00BF6615">
              <w:rPr>
                <w:lang w:eastAsia="pl-PL"/>
              </w:rPr>
              <w:t>1%</w:t>
            </w:r>
          </w:p>
        </w:tc>
        <w:tc>
          <w:tcPr>
            <w:tcW w:w="1072" w:type="dxa"/>
            <w:hideMark/>
          </w:tcPr>
          <w:p w14:paraId="58735A0F" w14:textId="77777777" w:rsidR="001A0D11" w:rsidRPr="00BF6615" w:rsidRDefault="001A0D11" w:rsidP="007E26B5">
            <w:pPr>
              <w:rPr>
                <w:lang w:eastAsia="pl-PL"/>
              </w:rPr>
            </w:pPr>
            <w:r w:rsidRPr="00BF6615">
              <w:rPr>
                <w:lang w:eastAsia="pl-PL"/>
              </w:rPr>
              <w:t>1%</w:t>
            </w:r>
          </w:p>
        </w:tc>
        <w:tc>
          <w:tcPr>
            <w:tcW w:w="1290" w:type="dxa"/>
            <w:hideMark/>
          </w:tcPr>
          <w:p w14:paraId="5C52CDE9" w14:textId="77777777" w:rsidR="001A0D11" w:rsidRPr="00BF6615" w:rsidRDefault="001A0D11" w:rsidP="007E26B5">
            <w:pPr>
              <w:rPr>
                <w:lang w:eastAsia="pl-PL"/>
              </w:rPr>
            </w:pPr>
            <w:r w:rsidRPr="00BF6615">
              <w:rPr>
                <w:lang w:eastAsia="pl-PL"/>
              </w:rPr>
              <w:t>0%</w:t>
            </w:r>
          </w:p>
        </w:tc>
        <w:tc>
          <w:tcPr>
            <w:tcW w:w="1413" w:type="dxa"/>
            <w:hideMark/>
          </w:tcPr>
          <w:p w14:paraId="6FB24307" w14:textId="77777777" w:rsidR="001A0D11" w:rsidRPr="00BF6615" w:rsidRDefault="001A0D11" w:rsidP="007E26B5">
            <w:pPr>
              <w:rPr>
                <w:lang w:eastAsia="pl-PL"/>
              </w:rPr>
            </w:pPr>
            <w:r w:rsidRPr="00BF6615">
              <w:rPr>
                <w:lang w:eastAsia="pl-PL"/>
              </w:rPr>
              <w:t>3%</w:t>
            </w:r>
          </w:p>
        </w:tc>
        <w:tc>
          <w:tcPr>
            <w:tcW w:w="1253" w:type="dxa"/>
            <w:hideMark/>
          </w:tcPr>
          <w:p w14:paraId="24C24627" w14:textId="77777777" w:rsidR="001A0D11" w:rsidRPr="00BF6615" w:rsidRDefault="001A0D11" w:rsidP="007E26B5">
            <w:pPr>
              <w:rPr>
                <w:lang w:eastAsia="pl-PL"/>
              </w:rPr>
            </w:pPr>
            <w:r w:rsidRPr="00BF6615">
              <w:rPr>
                <w:lang w:eastAsia="pl-PL"/>
              </w:rPr>
              <w:t>20%</w:t>
            </w:r>
          </w:p>
        </w:tc>
        <w:tc>
          <w:tcPr>
            <w:tcW w:w="1219" w:type="dxa"/>
            <w:hideMark/>
          </w:tcPr>
          <w:p w14:paraId="4C09FB24" w14:textId="77777777" w:rsidR="001A0D11" w:rsidRPr="00BF6615" w:rsidRDefault="001A0D11" w:rsidP="007E26B5">
            <w:pPr>
              <w:rPr>
                <w:lang w:eastAsia="pl-PL"/>
              </w:rPr>
            </w:pPr>
            <w:r w:rsidRPr="00BF6615">
              <w:rPr>
                <w:lang w:eastAsia="pl-PL"/>
              </w:rPr>
              <w:t>7%</w:t>
            </w:r>
          </w:p>
        </w:tc>
      </w:tr>
    </w:tbl>
    <w:p w14:paraId="0F4DFB00" w14:textId="77777777" w:rsidR="002428E6" w:rsidRPr="00BF6615" w:rsidRDefault="002428E6" w:rsidP="007E26B5">
      <w:r w:rsidRPr="00BF6615">
        <w:t>Źródło: opracowanie własne.</w:t>
      </w:r>
    </w:p>
    <w:p w14:paraId="695E520A" w14:textId="77777777" w:rsidR="002428E6" w:rsidRPr="00BF6615" w:rsidRDefault="002428E6" w:rsidP="007E26B5">
      <w:pPr>
        <w:rPr>
          <w:color w:val="4472C4" w:themeColor="accent1"/>
        </w:rPr>
      </w:pPr>
    </w:p>
    <w:p w14:paraId="21ACCAE0" w14:textId="77777777" w:rsidR="00C36190" w:rsidRPr="00BF6615" w:rsidRDefault="00C36190" w:rsidP="007E26B5">
      <w:pPr>
        <w:rPr>
          <w:color w:val="4472C4" w:themeColor="accent1"/>
        </w:rPr>
      </w:pPr>
    </w:p>
    <w:p w14:paraId="074B9AB5" w14:textId="77777777" w:rsidR="00C36190" w:rsidRPr="00BF6615" w:rsidRDefault="00C36190" w:rsidP="007E26B5">
      <w:pPr>
        <w:rPr>
          <w:color w:val="4472C4" w:themeColor="accent1"/>
        </w:rPr>
        <w:sectPr w:rsidR="00C36190" w:rsidRPr="00BF6615" w:rsidSect="002428E6">
          <w:pgSz w:w="15840" w:h="12240" w:orient="landscape"/>
          <w:pgMar w:top="1440" w:right="1440" w:bottom="1440" w:left="1440" w:header="709" w:footer="709" w:gutter="0"/>
          <w:cols w:space="708"/>
          <w:titlePg/>
          <w:docGrid w:linePitch="360"/>
        </w:sectPr>
      </w:pPr>
    </w:p>
    <w:p w14:paraId="3474BE44" w14:textId="5E7BC475" w:rsidR="00637358" w:rsidRPr="00BF6615" w:rsidRDefault="00505DF1" w:rsidP="007E26B5">
      <w:r w:rsidRPr="00BF6615">
        <w:lastRenderedPageBreak/>
        <w:t>Na pytanie c</w:t>
      </w:r>
      <w:r w:rsidR="00637358" w:rsidRPr="00BF6615">
        <w:t>o byłoby największym ułatwieniem w korzystaniu ze stron podmiotów publicznych</w:t>
      </w:r>
      <w:r w:rsidRPr="00BF6615">
        <w:t xml:space="preserve"> respondenci wskazywali na następujące cechy: </w:t>
      </w:r>
    </w:p>
    <w:p w14:paraId="7D151BBE" w14:textId="39C6B92D" w:rsidR="00505DF1" w:rsidRPr="00BF6615" w:rsidRDefault="00505DF1">
      <w:pPr>
        <w:pStyle w:val="Akapitzlist"/>
        <w:numPr>
          <w:ilvl w:val="0"/>
          <w:numId w:val="67"/>
        </w:numPr>
      </w:pPr>
      <w:r w:rsidRPr="00BF6615">
        <w:rPr>
          <w:b/>
        </w:rPr>
        <w:t>Przejrzystość i prostota</w:t>
      </w:r>
      <w:r w:rsidRPr="00BF6615">
        <w:t xml:space="preserve"> – użytkownicy oczekują czytelnych, intuicyjnych stron </w:t>
      </w:r>
      <w:r w:rsidR="00A42EFD" w:rsidRPr="00BF6615">
        <w:t>z</w:t>
      </w:r>
      <w:r w:rsidR="00A42EFD">
        <w:t> </w:t>
      </w:r>
      <w:r w:rsidRPr="00BF6615">
        <w:t>jasnym układem, łatwą nawigacją i prostym językiem. Często pojawiały się odpowiedzi typu: „przejrzystość strony”, „jasność tekstu”, „prostota przekazu”.</w:t>
      </w:r>
    </w:p>
    <w:p w14:paraId="2DD632F3" w14:textId="729E95BC" w:rsidR="00505DF1" w:rsidRPr="00BF6615" w:rsidRDefault="00505DF1">
      <w:pPr>
        <w:pStyle w:val="Akapitzlist"/>
        <w:numPr>
          <w:ilvl w:val="0"/>
          <w:numId w:val="67"/>
        </w:numPr>
      </w:pPr>
      <w:r w:rsidRPr="00BF6615">
        <w:rPr>
          <w:b/>
        </w:rPr>
        <w:t>Szybki i łatwy dostęp do usług</w:t>
      </w:r>
      <w:r w:rsidRPr="00BF6615">
        <w:t xml:space="preserve"> – ważna jest możliwość szybkiego załatwienia sprawy online, bez konieczności instalowania dodatkowego oprogramowania czy logowania się do wielu portali. Pojawiły się też postulaty pełnej integracji usług.</w:t>
      </w:r>
    </w:p>
    <w:p w14:paraId="0D6D4F8D" w14:textId="5CAB1315" w:rsidR="00505DF1" w:rsidRPr="00BF6615" w:rsidRDefault="00505DF1">
      <w:pPr>
        <w:pStyle w:val="Akapitzlist"/>
        <w:numPr>
          <w:ilvl w:val="0"/>
          <w:numId w:val="67"/>
        </w:numPr>
      </w:pPr>
      <w:r w:rsidRPr="00BF6615">
        <w:rPr>
          <w:b/>
        </w:rPr>
        <w:t>Dostosowanie do urządzeń mobilnych</w:t>
      </w:r>
      <w:r w:rsidRPr="00BF6615">
        <w:t xml:space="preserve"> – wielu użytkowników wskazuje na potrzebę lepszej czytelności i funkcjonalności na smartfonach.</w:t>
      </w:r>
    </w:p>
    <w:p w14:paraId="35917B56" w14:textId="6AD14C48" w:rsidR="00505DF1" w:rsidRPr="00BF6615" w:rsidRDefault="00505DF1">
      <w:pPr>
        <w:pStyle w:val="Akapitzlist"/>
        <w:numPr>
          <w:ilvl w:val="0"/>
          <w:numId w:val="67"/>
        </w:numPr>
      </w:pPr>
      <w:r w:rsidRPr="00BF6615">
        <w:rPr>
          <w:b/>
        </w:rPr>
        <w:t>Wsparcie i pomoc</w:t>
      </w:r>
      <w:r w:rsidRPr="00BF6615">
        <w:t xml:space="preserve"> – oczekiwane są m.in. czaty z urzędnikami, pomoc konsultanta, podpowiedzi przy wypełnianiu formularzy oraz szybkie odpowiedzi na zapytania.</w:t>
      </w:r>
    </w:p>
    <w:p w14:paraId="2935650A" w14:textId="230FF20F" w:rsidR="00505DF1" w:rsidRPr="00BF6615" w:rsidRDefault="00505DF1">
      <w:pPr>
        <w:pStyle w:val="Akapitzlist"/>
        <w:numPr>
          <w:ilvl w:val="0"/>
          <w:numId w:val="67"/>
        </w:numPr>
      </w:pPr>
      <w:r w:rsidRPr="00BF6615">
        <w:rPr>
          <w:b/>
        </w:rPr>
        <w:t>Nowoczesne rozwiązania technologiczne</w:t>
      </w:r>
      <w:r w:rsidRPr="00BF6615">
        <w:t xml:space="preserve"> – część odpowiedzi sugeruje wykorzystanie sztucznej inteligencji, szybkiego podpisu elektronicznego, oraz spersonalizowanych stron.</w:t>
      </w:r>
    </w:p>
    <w:p w14:paraId="0071FF76" w14:textId="6273C533" w:rsidR="00505DF1" w:rsidRPr="00BF6615" w:rsidRDefault="00505DF1">
      <w:pPr>
        <w:pStyle w:val="Akapitzlist"/>
        <w:numPr>
          <w:ilvl w:val="0"/>
          <w:numId w:val="67"/>
        </w:numPr>
      </w:pPr>
      <w:r w:rsidRPr="00BF6615">
        <w:rPr>
          <w:b/>
        </w:rPr>
        <w:t>Spójność i centralizacja</w:t>
      </w:r>
      <w:r w:rsidRPr="00BF6615">
        <w:t xml:space="preserve"> – wskazywano, że wiele stron urzędowych jest niespójnych i rozproszonych, co utrudnia korzystanie. Użytkownicy chcieliby mieć wszystko dostępne z jednego miejsca.</w:t>
      </w:r>
    </w:p>
    <w:p w14:paraId="6CA492D5" w14:textId="725ED320" w:rsidR="00505DF1" w:rsidRPr="00BF6615" w:rsidRDefault="00505DF1" w:rsidP="007E26B5">
      <w:r w:rsidRPr="00BF6615">
        <w:t xml:space="preserve">Należy także podkreślić, że użytkownicy stron podmiotów publicznych doceniają ich przejrzystość, łatwość obsługi oraz możliwość szybkiego załatwienia spraw online. Chwalone są również szybko ładujące się strony, dostępność gotowych formularzy </w:t>
      </w:r>
      <w:r w:rsidR="00A42EFD" w:rsidRPr="00BF6615">
        <w:t>i</w:t>
      </w:r>
      <w:r w:rsidR="00A42EFD">
        <w:t> </w:t>
      </w:r>
      <w:r w:rsidRPr="00BF6615">
        <w:t xml:space="preserve">sprawny kontakt z urzędami. Wielu respondentów wskazuje, że nie ma problemów </w:t>
      </w:r>
      <w:r w:rsidR="00A42EFD" w:rsidRPr="00BF6615">
        <w:t>z</w:t>
      </w:r>
      <w:r w:rsidR="00A42EFD">
        <w:t> </w:t>
      </w:r>
      <w:r w:rsidRPr="00BF6615">
        <w:t>korzystaniem z tych serwisów i uważa je za funkcjonalne. Pozytywne opinie pokazują, że w wielu przypadkach obecne rozwiązania spełniają oczekiwania użytkowników.</w:t>
      </w:r>
    </w:p>
    <w:p w14:paraId="4C757D73" w14:textId="3A032A4B" w:rsidR="00200BC2" w:rsidRPr="00BF6615" w:rsidRDefault="00975830" w:rsidP="007E26B5">
      <w:r w:rsidRPr="00BF6615">
        <w:t>Aplikacje mobilne wg badanych powinny</w:t>
      </w:r>
      <w:r w:rsidR="00B8207C" w:rsidRPr="00BF6615">
        <w:t xml:space="preserve"> cechować: </w:t>
      </w:r>
      <w:r w:rsidR="00E911A4" w:rsidRPr="00BF6615">
        <w:t xml:space="preserve">łatwa nawigacja w aplikacji, przejrzystość informacji, treści napisane w sposób zrozumiały- te cechy uzyskały najwięcej odpowiedzi </w:t>
      </w:r>
      <w:r w:rsidR="00F565B3" w:rsidRPr="00BF6615">
        <w:t>jako bardzo ważne cechy.</w:t>
      </w:r>
      <w:r w:rsidR="003F323C" w:rsidRPr="00BF6615">
        <w:t xml:space="preserve"> </w:t>
      </w:r>
      <w:r w:rsidR="004D2DAB" w:rsidRPr="00BF6615">
        <w:t xml:space="preserve">Badani często oczekiwali również tego, aby ostrzeżenia o błędnym wypełnieniu formularzy oraz propozycje poprawy były zrozumiałe. </w:t>
      </w:r>
      <w:r w:rsidR="003F323C" w:rsidRPr="00BF6615">
        <w:t xml:space="preserve">Najmniej ważne dla badanych było tłumaczenie </w:t>
      </w:r>
      <w:r w:rsidR="57736F92" w:rsidRPr="00BF6615">
        <w:t>n</w:t>
      </w:r>
      <w:r w:rsidR="003F323C" w:rsidRPr="00BF6615">
        <w:t>a PJM.</w:t>
      </w:r>
    </w:p>
    <w:p w14:paraId="646EF955" w14:textId="77777777" w:rsidR="00B8207C" w:rsidRPr="00BF6615" w:rsidRDefault="00B8207C" w:rsidP="007E26B5"/>
    <w:p w14:paraId="6D4BE568" w14:textId="77777777" w:rsidR="00B8207C" w:rsidRPr="00BF6615" w:rsidRDefault="00B8207C" w:rsidP="007E26B5">
      <w:pPr>
        <w:sectPr w:rsidR="00B8207C" w:rsidRPr="00BF6615" w:rsidSect="00B8207C">
          <w:footerReference w:type="default" r:id="rId69"/>
          <w:pgSz w:w="12240" w:h="15840"/>
          <w:pgMar w:top="1440" w:right="1797" w:bottom="1440" w:left="1797" w:header="720" w:footer="720" w:gutter="0"/>
          <w:cols w:space="720"/>
          <w:docGrid w:linePitch="360"/>
        </w:sectPr>
      </w:pPr>
    </w:p>
    <w:p w14:paraId="4D563165" w14:textId="1BCF3D92" w:rsidR="00200BC2" w:rsidRPr="00BF6615" w:rsidRDefault="00200BC2" w:rsidP="007E26B5">
      <w:pPr>
        <w:pStyle w:val="Legenda"/>
      </w:pPr>
      <w:bookmarkStart w:id="252" w:name="_Toc204179134"/>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36</w:t>
      </w:r>
      <w:r w:rsidRPr="00BF6615">
        <w:fldChar w:fldCharType="end"/>
      </w:r>
      <w:r w:rsidR="00FD0843">
        <w:t>.</w:t>
      </w:r>
      <w:r w:rsidRPr="00BF6615">
        <w:t xml:space="preserve"> Oczekiwania w stosunku do aplikacji mobilnych </w:t>
      </w:r>
      <w:r w:rsidR="00445A00" w:rsidRPr="00BF6615">
        <w:t xml:space="preserve">wg kryterium ważności </w:t>
      </w:r>
      <w:r w:rsidRPr="00BF6615">
        <w:t>w grupie obywatele</w:t>
      </w:r>
      <w:bookmarkEnd w:id="252"/>
    </w:p>
    <w:tbl>
      <w:tblPr>
        <w:tblStyle w:val="PARP"/>
        <w:tblW w:w="13858" w:type="dxa"/>
        <w:tblInd w:w="-856" w:type="dxa"/>
        <w:tblCellMar>
          <w:left w:w="28" w:type="dxa"/>
          <w:right w:w="28" w:type="dxa"/>
        </w:tblCellMar>
        <w:tblLook w:val="04A0" w:firstRow="1" w:lastRow="0" w:firstColumn="1" w:lastColumn="0" w:noHBand="0" w:noVBand="1"/>
        <w:tblCaption w:val="Oczekiwania w stosunku do aplikacji mobilnych wg kryterium ważności w grupie obywatele"/>
        <w:tblDescription w:val="W kolumnach: &#10;Ocena Łatwa nawigacja w aplikacji Przejrzystość informacji  Treści napisane w sposób zrozumiały  Dostępność na różnych urządzeniach  Ułatwienia dostępności (np. możliwość powiększenia tekstu, zmiany kolorów, itp.)  Zrozumiałe ostrzeżenia o błędnym wypełnieniu formularzy oraz propozycje poprawy Możliwość łatwego kontaktu z urzędem Zrozumiałe materiały multimedialne i graficzne Tłumaczenia treści na Polski język migowy (PJM)  Informacje w tekście łatwym do czytania i zrozumienia (ETR)"/>
      </w:tblPr>
      <w:tblGrid>
        <w:gridCol w:w="1066"/>
        <w:gridCol w:w="1444"/>
        <w:gridCol w:w="1283"/>
        <w:gridCol w:w="1092"/>
        <w:gridCol w:w="1305"/>
        <w:gridCol w:w="1330"/>
        <w:gridCol w:w="1218"/>
        <w:gridCol w:w="1069"/>
        <w:gridCol w:w="1413"/>
        <w:gridCol w:w="1392"/>
        <w:gridCol w:w="1246"/>
      </w:tblGrid>
      <w:tr w:rsidR="00BA771C" w:rsidRPr="00BF6615" w14:paraId="52EECD5D" w14:textId="77777777" w:rsidTr="00DF10EC">
        <w:trPr>
          <w:cnfStyle w:val="100000000000" w:firstRow="1" w:lastRow="0" w:firstColumn="0" w:lastColumn="0" w:oddVBand="0" w:evenVBand="0" w:oddHBand="0" w:evenHBand="0" w:firstRowFirstColumn="0" w:firstRowLastColumn="0" w:lastRowFirstColumn="0" w:lastRowLastColumn="0"/>
          <w:trHeight w:val="2503"/>
        </w:trPr>
        <w:tc>
          <w:tcPr>
            <w:tcW w:w="1066" w:type="dxa"/>
            <w:hideMark/>
          </w:tcPr>
          <w:p w14:paraId="4BD6A57D" w14:textId="77777777" w:rsidR="00871FE4" w:rsidRPr="00BF6615" w:rsidRDefault="00871FE4" w:rsidP="007E26B5">
            <w:pPr>
              <w:rPr>
                <w:rFonts w:ascii="Times New Roman" w:hAnsi="Times New Roman"/>
                <w:sz w:val="22"/>
                <w:lang w:eastAsia="pl-PL"/>
              </w:rPr>
            </w:pPr>
            <w:r w:rsidRPr="00BF6615">
              <w:rPr>
                <w:sz w:val="22"/>
                <w:lang w:eastAsia="pl-PL"/>
              </w:rPr>
              <w:t>Ocena</w:t>
            </w:r>
          </w:p>
        </w:tc>
        <w:tc>
          <w:tcPr>
            <w:tcW w:w="1444" w:type="dxa"/>
            <w:hideMark/>
          </w:tcPr>
          <w:p w14:paraId="0497923E" w14:textId="4C435AFD" w:rsidR="00871FE4" w:rsidRPr="00BF6615" w:rsidRDefault="00871FE4" w:rsidP="007E26B5">
            <w:pPr>
              <w:rPr>
                <w:sz w:val="22"/>
                <w:lang w:eastAsia="pl-PL"/>
              </w:rPr>
            </w:pPr>
            <w:r w:rsidRPr="00BF6615">
              <w:rPr>
                <w:sz w:val="22"/>
                <w:lang w:eastAsia="pl-PL"/>
              </w:rPr>
              <w:t>Łatwa nawigacja w aplikacji</w:t>
            </w:r>
          </w:p>
        </w:tc>
        <w:tc>
          <w:tcPr>
            <w:tcW w:w="1283" w:type="dxa"/>
            <w:hideMark/>
          </w:tcPr>
          <w:p w14:paraId="45D2023B" w14:textId="08CA1990" w:rsidR="00871FE4" w:rsidRPr="00BF6615" w:rsidRDefault="00DF10EC" w:rsidP="007E26B5">
            <w:pPr>
              <w:rPr>
                <w:sz w:val="22"/>
                <w:lang w:eastAsia="pl-PL"/>
              </w:rPr>
            </w:pPr>
            <w:r>
              <w:rPr>
                <w:sz w:val="22"/>
                <w:lang w:eastAsia="pl-PL"/>
              </w:rPr>
              <w:t>P</w:t>
            </w:r>
            <w:r w:rsidR="00871FE4" w:rsidRPr="00BF6615">
              <w:rPr>
                <w:sz w:val="22"/>
                <w:lang w:eastAsia="pl-PL"/>
              </w:rPr>
              <w:t>rzejrzystość informacji</w:t>
            </w:r>
          </w:p>
        </w:tc>
        <w:tc>
          <w:tcPr>
            <w:tcW w:w="1092" w:type="dxa"/>
            <w:hideMark/>
          </w:tcPr>
          <w:p w14:paraId="24AC63A2" w14:textId="3D9135A0" w:rsidR="00871FE4" w:rsidRPr="00BF6615" w:rsidRDefault="00871FE4" w:rsidP="007E26B5">
            <w:pPr>
              <w:rPr>
                <w:sz w:val="22"/>
                <w:lang w:eastAsia="pl-PL"/>
              </w:rPr>
            </w:pPr>
            <w:r w:rsidRPr="00BF6615">
              <w:rPr>
                <w:sz w:val="22"/>
                <w:lang w:eastAsia="pl-PL"/>
              </w:rPr>
              <w:t xml:space="preserve"> Treści napisane w sposób zrozumiały</w:t>
            </w:r>
          </w:p>
        </w:tc>
        <w:tc>
          <w:tcPr>
            <w:tcW w:w="1305" w:type="dxa"/>
            <w:hideMark/>
          </w:tcPr>
          <w:p w14:paraId="0476FB4C" w14:textId="031C8F85" w:rsidR="00871FE4" w:rsidRPr="00BF6615" w:rsidRDefault="00871FE4" w:rsidP="007E26B5">
            <w:pPr>
              <w:rPr>
                <w:sz w:val="22"/>
                <w:lang w:eastAsia="pl-PL"/>
              </w:rPr>
            </w:pPr>
            <w:r w:rsidRPr="00BF6615">
              <w:rPr>
                <w:sz w:val="22"/>
                <w:lang w:eastAsia="pl-PL"/>
              </w:rPr>
              <w:t xml:space="preserve"> Dostępność na różnych urządzeniach</w:t>
            </w:r>
          </w:p>
        </w:tc>
        <w:tc>
          <w:tcPr>
            <w:tcW w:w="1330" w:type="dxa"/>
            <w:hideMark/>
          </w:tcPr>
          <w:p w14:paraId="639343FC" w14:textId="07F909C2" w:rsidR="00871FE4" w:rsidRPr="00BF6615" w:rsidRDefault="00871FE4" w:rsidP="007E26B5">
            <w:pPr>
              <w:rPr>
                <w:sz w:val="22"/>
                <w:lang w:eastAsia="pl-PL"/>
              </w:rPr>
            </w:pPr>
            <w:r w:rsidRPr="00BF6615">
              <w:rPr>
                <w:sz w:val="22"/>
                <w:lang w:eastAsia="pl-PL"/>
              </w:rPr>
              <w:t xml:space="preserve"> Ułatwienia dostępności (np. możliwość powiększenia tekstu, zmiany kolorów, itp.)</w:t>
            </w:r>
          </w:p>
        </w:tc>
        <w:tc>
          <w:tcPr>
            <w:tcW w:w="1218" w:type="dxa"/>
            <w:hideMark/>
          </w:tcPr>
          <w:p w14:paraId="23A40F4A" w14:textId="016188F9" w:rsidR="00871FE4" w:rsidRPr="00BF6615" w:rsidRDefault="00871FE4" w:rsidP="007E26B5">
            <w:pPr>
              <w:rPr>
                <w:sz w:val="22"/>
                <w:lang w:eastAsia="pl-PL"/>
              </w:rPr>
            </w:pPr>
            <w:r w:rsidRPr="00BF6615">
              <w:rPr>
                <w:sz w:val="22"/>
                <w:lang w:eastAsia="pl-PL"/>
              </w:rPr>
              <w:t xml:space="preserve"> Zrozumiałe ostrzeżenia o błędnym wypełnieniu formularzy oraz propozycje poprawy</w:t>
            </w:r>
          </w:p>
        </w:tc>
        <w:tc>
          <w:tcPr>
            <w:tcW w:w="1069" w:type="dxa"/>
            <w:hideMark/>
          </w:tcPr>
          <w:p w14:paraId="67EB3D35" w14:textId="30BDF2BA" w:rsidR="00871FE4" w:rsidRPr="00BF6615" w:rsidRDefault="00DF10EC" w:rsidP="007E26B5">
            <w:pPr>
              <w:rPr>
                <w:sz w:val="22"/>
                <w:lang w:eastAsia="pl-PL"/>
              </w:rPr>
            </w:pPr>
            <w:r>
              <w:rPr>
                <w:sz w:val="22"/>
                <w:lang w:eastAsia="pl-PL"/>
              </w:rPr>
              <w:t>M</w:t>
            </w:r>
            <w:r w:rsidR="00871FE4" w:rsidRPr="00BF6615">
              <w:rPr>
                <w:sz w:val="22"/>
                <w:lang w:eastAsia="pl-PL"/>
              </w:rPr>
              <w:t>ożliwość łatwego kontaktu z urzędem</w:t>
            </w:r>
          </w:p>
        </w:tc>
        <w:tc>
          <w:tcPr>
            <w:tcW w:w="1413" w:type="dxa"/>
            <w:hideMark/>
          </w:tcPr>
          <w:p w14:paraId="4698045A" w14:textId="55D1BCEE" w:rsidR="00871FE4" w:rsidRPr="00BF6615" w:rsidRDefault="00871FE4" w:rsidP="007E26B5">
            <w:pPr>
              <w:rPr>
                <w:sz w:val="22"/>
                <w:lang w:eastAsia="pl-PL"/>
              </w:rPr>
            </w:pPr>
            <w:r w:rsidRPr="00BF6615">
              <w:rPr>
                <w:sz w:val="22"/>
                <w:lang w:eastAsia="pl-PL"/>
              </w:rPr>
              <w:t>Zrozumiałe materiały multimedialne i graficzne</w:t>
            </w:r>
          </w:p>
        </w:tc>
        <w:tc>
          <w:tcPr>
            <w:tcW w:w="1392" w:type="dxa"/>
            <w:hideMark/>
          </w:tcPr>
          <w:p w14:paraId="50EBD253" w14:textId="2CEE49F7" w:rsidR="00871FE4" w:rsidRPr="00BF6615" w:rsidRDefault="00871FE4" w:rsidP="007E26B5">
            <w:pPr>
              <w:rPr>
                <w:sz w:val="22"/>
                <w:lang w:eastAsia="pl-PL"/>
              </w:rPr>
            </w:pPr>
            <w:r w:rsidRPr="00BF6615">
              <w:rPr>
                <w:sz w:val="22"/>
                <w:lang w:eastAsia="pl-PL"/>
              </w:rPr>
              <w:t>Tłumaczenia treści na Polski język migowy (PJM)</w:t>
            </w:r>
          </w:p>
        </w:tc>
        <w:tc>
          <w:tcPr>
            <w:tcW w:w="1246" w:type="dxa"/>
            <w:hideMark/>
          </w:tcPr>
          <w:p w14:paraId="01F0ADFF" w14:textId="0AB187BE" w:rsidR="00871FE4" w:rsidRPr="00BF6615" w:rsidRDefault="00871FE4" w:rsidP="007E26B5">
            <w:pPr>
              <w:rPr>
                <w:sz w:val="22"/>
                <w:lang w:eastAsia="pl-PL"/>
              </w:rPr>
            </w:pPr>
            <w:r w:rsidRPr="00BF6615">
              <w:rPr>
                <w:sz w:val="22"/>
                <w:lang w:eastAsia="pl-PL"/>
              </w:rPr>
              <w:t xml:space="preserve"> Informacje w tekście łatwym do czytania i zrozumienia (ETR)</w:t>
            </w:r>
          </w:p>
        </w:tc>
      </w:tr>
      <w:tr w:rsidR="00BA771C" w:rsidRPr="00BF6615" w14:paraId="3ECF470A" w14:textId="77777777" w:rsidTr="00DF10EC">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2E495CEB" w14:textId="77777777" w:rsidR="00C71A01" w:rsidRPr="00BF6615" w:rsidRDefault="00C71A01" w:rsidP="007E26B5">
            <w:pPr>
              <w:rPr>
                <w:lang w:eastAsia="pl-PL"/>
              </w:rPr>
            </w:pPr>
            <w:r w:rsidRPr="00BF6615">
              <w:rPr>
                <w:lang w:eastAsia="pl-PL"/>
              </w:rPr>
              <w:t xml:space="preserve">bardzo ważne </w:t>
            </w:r>
          </w:p>
        </w:tc>
        <w:tc>
          <w:tcPr>
            <w:tcW w:w="1444" w:type="dxa"/>
            <w:vAlign w:val="center"/>
          </w:tcPr>
          <w:p w14:paraId="4F7E5C64" w14:textId="572BF7C6" w:rsidR="00C71A01" w:rsidRPr="00BF6615" w:rsidRDefault="00C71A01" w:rsidP="007E26B5">
            <w:pPr>
              <w:rPr>
                <w:lang w:eastAsia="pl-PL"/>
              </w:rPr>
            </w:pPr>
            <w:r w:rsidRPr="00BF6615">
              <w:rPr>
                <w:rFonts w:ascii="Calibri" w:hAnsi="Calibri" w:cs="Calibri"/>
                <w:color w:val="000000"/>
              </w:rPr>
              <w:t>48%</w:t>
            </w:r>
          </w:p>
        </w:tc>
        <w:tc>
          <w:tcPr>
            <w:tcW w:w="1283" w:type="dxa"/>
            <w:vAlign w:val="center"/>
          </w:tcPr>
          <w:p w14:paraId="3DAB4AEF" w14:textId="796B7509" w:rsidR="00C71A01" w:rsidRPr="00BF6615" w:rsidRDefault="00C71A01" w:rsidP="007E26B5">
            <w:pPr>
              <w:rPr>
                <w:lang w:eastAsia="pl-PL"/>
              </w:rPr>
            </w:pPr>
            <w:r w:rsidRPr="00BF6615">
              <w:rPr>
                <w:rFonts w:ascii="Calibri" w:hAnsi="Calibri" w:cs="Calibri"/>
                <w:color w:val="000000"/>
              </w:rPr>
              <w:t>46%</w:t>
            </w:r>
          </w:p>
        </w:tc>
        <w:tc>
          <w:tcPr>
            <w:tcW w:w="1092" w:type="dxa"/>
            <w:vAlign w:val="center"/>
          </w:tcPr>
          <w:p w14:paraId="6F668E29" w14:textId="0739BB0C" w:rsidR="00C71A01" w:rsidRPr="00BF6615" w:rsidRDefault="00C71A01" w:rsidP="007E26B5">
            <w:pPr>
              <w:rPr>
                <w:lang w:eastAsia="pl-PL"/>
              </w:rPr>
            </w:pPr>
            <w:r w:rsidRPr="00BF6615">
              <w:rPr>
                <w:rFonts w:ascii="Calibri" w:hAnsi="Calibri" w:cs="Calibri"/>
                <w:color w:val="000000"/>
              </w:rPr>
              <w:t>52%</w:t>
            </w:r>
          </w:p>
        </w:tc>
        <w:tc>
          <w:tcPr>
            <w:tcW w:w="1305" w:type="dxa"/>
            <w:vAlign w:val="center"/>
          </w:tcPr>
          <w:p w14:paraId="4C68A4D8" w14:textId="692EDC92" w:rsidR="00C71A01" w:rsidRPr="00BF6615" w:rsidRDefault="00C71A01" w:rsidP="007E26B5">
            <w:pPr>
              <w:rPr>
                <w:lang w:eastAsia="pl-PL"/>
              </w:rPr>
            </w:pPr>
            <w:r w:rsidRPr="00BF6615">
              <w:rPr>
                <w:rFonts w:ascii="Calibri" w:hAnsi="Calibri" w:cs="Calibri"/>
                <w:color w:val="000000"/>
              </w:rPr>
              <w:t>40%</w:t>
            </w:r>
          </w:p>
        </w:tc>
        <w:tc>
          <w:tcPr>
            <w:tcW w:w="1330" w:type="dxa"/>
            <w:vAlign w:val="center"/>
          </w:tcPr>
          <w:p w14:paraId="6588C650" w14:textId="768F72FE" w:rsidR="00C71A01" w:rsidRPr="00BF6615" w:rsidRDefault="00C71A01" w:rsidP="007E26B5">
            <w:pPr>
              <w:rPr>
                <w:lang w:eastAsia="pl-PL"/>
              </w:rPr>
            </w:pPr>
            <w:r w:rsidRPr="00BF6615">
              <w:rPr>
                <w:rFonts w:ascii="Calibri" w:hAnsi="Calibri" w:cs="Calibri"/>
                <w:color w:val="000000"/>
              </w:rPr>
              <w:t>31%</w:t>
            </w:r>
          </w:p>
        </w:tc>
        <w:tc>
          <w:tcPr>
            <w:tcW w:w="1218" w:type="dxa"/>
            <w:vAlign w:val="center"/>
          </w:tcPr>
          <w:p w14:paraId="4B2CCEB7" w14:textId="1DC50169" w:rsidR="00C71A01" w:rsidRPr="00BF6615" w:rsidRDefault="00C71A01" w:rsidP="007E26B5">
            <w:pPr>
              <w:rPr>
                <w:lang w:eastAsia="pl-PL"/>
              </w:rPr>
            </w:pPr>
            <w:r w:rsidRPr="00BF6615">
              <w:rPr>
                <w:rFonts w:ascii="Calibri" w:hAnsi="Calibri" w:cs="Calibri"/>
                <w:color w:val="000000"/>
              </w:rPr>
              <w:t>42%</w:t>
            </w:r>
          </w:p>
        </w:tc>
        <w:tc>
          <w:tcPr>
            <w:tcW w:w="1069" w:type="dxa"/>
            <w:vAlign w:val="center"/>
          </w:tcPr>
          <w:p w14:paraId="110332A7" w14:textId="3FE1A477" w:rsidR="00C71A01" w:rsidRPr="00BF6615" w:rsidRDefault="00C71A01" w:rsidP="007E26B5">
            <w:pPr>
              <w:rPr>
                <w:lang w:eastAsia="pl-PL"/>
              </w:rPr>
            </w:pPr>
            <w:r w:rsidRPr="00BF6615">
              <w:rPr>
                <w:rFonts w:ascii="Calibri" w:hAnsi="Calibri" w:cs="Calibri"/>
                <w:color w:val="000000"/>
              </w:rPr>
              <w:t>39%</w:t>
            </w:r>
          </w:p>
        </w:tc>
        <w:tc>
          <w:tcPr>
            <w:tcW w:w="1413" w:type="dxa"/>
            <w:vAlign w:val="center"/>
          </w:tcPr>
          <w:p w14:paraId="42BAE0EC" w14:textId="1CFFA021" w:rsidR="00C71A01" w:rsidRPr="00BF6615" w:rsidRDefault="00C71A01" w:rsidP="007E26B5">
            <w:pPr>
              <w:rPr>
                <w:lang w:eastAsia="pl-PL"/>
              </w:rPr>
            </w:pPr>
            <w:r w:rsidRPr="00BF6615">
              <w:rPr>
                <w:rFonts w:ascii="Calibri" w:hAnsi="Calibri" w:cs="Calibri"/>
                <w:color w:val="000000"/>
              </w:rPr>
              <w:t>37%</w:t>
            </w:r>
          </w:p>
        </w:tc>
        <w:tc>
          <w:tcPr>
            <w:tcW w:w="1392" w:type="dxa"/>
            <w:vAlign w:val="center"/>
          </w:tcPr>
          <w:p w14:paraId="165396AD" w14:textId="6D41B33E" w:rsidR="00C71A01" w:rsidRPr="00BF6615" w:rsidRDefault="00C71A01" w:rsidP="007E26B5">
            <w:pPr>
              <w:rPr>
                <w:lang w:eastAsia="pl-PL"/>
              </w:rPr>
            </w:pPr>
            <w:r w:rsidRPr="00BF6615">
              <w:rPr>
                <w:rFonts w:ascii="Calibri" w:hAnsi="Calibri" w:cs="Calibri"/>
                <w:color w:val="000000"/>
              </w:rPr>
              <w:t>23%</w:t>
            </w:r>
          </w:p>
        </w:tc>
        <w:tc>
          <w:tcPr>
            <w:tcW w:w="1246" w:type="dxa"/>
            <w:vAlign w:val="center"/>
          </w:tcPr>
          <w:p w14:paraId="1FC835A1" w14:textId="18AC564D" w:rsidR="00C71A01" w:rsidRPr="00BF6615" w:rsidRDefault="00C71A01" w:rsidP="007E26B5">
            <w:pPr>
              <w:rPr>
                <w:lang w:eastAsia="pl-PL"/>
              </w:rPr>
            </w:pPr>
            <w:r w:rsidRPr="00BF6615">
              <w:rPr>
                <w:rFonts w:ascii="Calibri" w:hAnsi="Calibri" w:cs="Calibri"/>
                <w:color w:val="000000"/>
              </w:rPr>
              <w:t>32%</w:t>
            </w:r>
          </w:p>
        </w:tc>
      </w:tr>
      <w:tr w:rsidR="00BA771C" w:rsidRPr="00BF6615" w14:paraId="3751A9C2" w14:textId="77777777" w:rsidTr="00DF10EC">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30E51A48" w14:textId="77777777" w:rsidR="00C71A01" w:rsidRPr="00BF6615" w:rsidRDefault="00C71A01" w:rsidP="007E26B5">
            <w:pPr>
              <w:rPr>
                <w:lang w:eastAsia="pl-PL"/>
              </w:rPr>
            </w:pPr>
            <w:r w:rsidRPr="00BF6615">
              <w:rPr>
                <w:lang w:eastAsia="pl-PL"/>
              </w:rPr>
              <w:t>ważne</w:t>
            </w:r>
          </w:p>
        </w:tc>
        <w:tc>
          <w:tcPr>
            <w:tcW w:w="1444" w:type="dxa"/>
            <w:vAlign w:val="center"/>
          </w:tcPr>
          <w:p w14:paraId="602E1937" w14:textId="53B5FAB2" w:rsidR="00C71A01" w:rsidRPr="00BF6615" w:rsidRDefault="00C71A01" w:rsidP="007E26B5">
            <w:pPr>
              <w:rPr>
                <w:lang w:eastAsia="pl-PL"/>
              </w:rPr>
            </w:pPr>
            <w:r w:rsidRPr="00BF6615">
              <w:rPr>
                <w:rFonts w:ascii="Calibri" w:hAnsi="Calibri" w:cs="Calibri"/>
                <w:color w:val="000000"/>
              </w:rPr>
              <w:t>38%</w:t>
            </w:r>
          </w:p>
        </w:tc>
        <w:tc>
          <w:tcPr>
            <w:tcW w:w="1283" w:type="dxa"/>
            <w:vAlign w:val="center"/>
          </w:tcPr>
          <w:p w14:paraId="638A43BF" w14:textId="6F8B41C4" w:rsidR="00C71A01" w:rsidRPr="00BF6615" w:rsidRDefault="00C71A01" w:rsidP="007E26B5">
            <w:pPr>
              <w:rPr>
                <w:lang w:eastAsia="pl-PL"/>
              </w:rPr>
            </w:pPr>
            <w:r w:rsidRPr="00BF6615">
              <w:rPr>
                <w:rFonts w:ascii="Calibri" w:hAnsi="Calibri" w:cs="Calibri"/>
                <w:color w:val="000000"/>
              </w:rPr>
              <w:t>39%</w:t>
            </w:r>
          </w:p>
        </w:tc>
        <w:tc>
          <w:tcPr>
            <w:tcW w:w="1092" w:type="dxa"/>
            <w:vAlign w:val="center"/>
          </w:tcPr>
          <w:p w14:paraId="4A55DE63" w14:textId="240DE90D" w:rsidR="00C71A01" w:rsidRPr="00BF6615" w:rsidRDefault="00C71A01" w:rsidP="007E26B5">
            <w:pPr>
              <w:rPr>
                <w:lang w:eastAsia="pl-PL"/>
              </w:rPr>
            </w:pPr>
            <w:r w:rsidRPr="00BF6615">
              <w:rPr>
                <w:rFonts w:ascii="Calibri" w:hAnsi="Calibri" w:cs="Calibri"/>
                <w:color w:val="000000"/>
              </w:rPr>
              <w:t>33%</w:t>
            </w:r>
          </w:p>
        </w:tc>
        <w:tc>
          <w:tcPr>
            <w:tcW w:w="1305" w:type="dxa"/>
            <w:vAlign w:val="center"/>
          </w:tcPr>
          <w:p w14:paraId="5B415A4C" w14:textId="0C5117C6" w:rsidR="00C71A01" w:rsidRPr="00BF6615" w:rsidRDefault="00C71A01" w:rsidP="007E26B5">
            <w:pPr>
              <w:rPr>
                <w:lang w:eastAsia="pl-PL"/>
              </w:rPr>
            </w:pPr>
            <w:r w:rsidRPr="00BF6615">
              <w:rPr>
                <w:rFonts w:ascii="Calibri" w:hAnsi="Calibri" w:cs="Calibri"/>
                <w:color w:val="000000"/>
              </w:rPr>
              <w:t>40%</w:t>
            </w:r>
          </w:p>
        </w:tc>
        <w:tc>
          <w:tcPr>
            <w:tcW w:w="1330" w:type="dxa"/>
            <w:vAlign w:val="center"/>
          </w:tcPr>
          <w:p w14:paraId="753209BF" w14:textId="760A5BE8" w:rsidR="00C71A01" w:rsidRPr="00BF6615" w:rsidRDefault="00C71A01" w:rsidP="007E26B5">
            <w:pPr>
              <w:rPr>
                <w:lang w:eastAsia="pl-PL"/>
              </w:rPr>
            </w:pPr>
            <w:r w:rsidRPr="00BF6615">
              <w:rPr>
                <w:rFonts w:ascii="Calibri" w:hAnsi="Calibri" w:cs="Calibri"/>
                <w:color w:val="000000"/>
              </w:rPr>
              <w:t>38%</w:t>
            </w:r>
          </w:p>
        </w:tc>
        <w:tc>
          <w:tcPr>
            <w:tcW w:w="1218" w:type="dxa"/>
            <w:vAlign w:val="center"/>
          </w:tcPr>
          <w:p w14:paraId="1BACD30F" w14:textId="4B0D2BEE" w:rsidR="00C71A01" w:rsidRPr="00BF6615" w:rsidRDefault="00C71A01" w:rsidP="007E26B5">
            <w:pPr>
              <w:rPr>
                <w:lang w:eastAsia="pl-PL"/>
              </w:rPr>
            </w:pPr>
            <w:r w:rsidRPr="00BF6615">
              <w:rPr>
                <w:rFonts w:ascii="Calibri" w:hAnsi="Calibri" w:cs="Calibri"/>
                <w:color w:val="000000"/>
              </w:rPr>
              <w:t>39%</w:t>
            </w:r>
          </w:p>
        </w:tc>
        <w:tc>
          <w:tcPr>
            <w:tcW w:w="1069" w:type="dxa"/>
            <w:vAlign w:val="center"/>
          </w:tcPr>
          <w:p w14:paraId="5029A4DD" w14:textId="68E7C3D8" w:rsidR="00C71A01" w:rsidRPr="00BF6615" w:rsidRDefault="00C71A01" w:rsidP="007E26B5">
            <w:pPr>
              <w:rPr>
                <w:lang w:eastAsia="pl-PL"/>
              </w:rPr>
            </w:pPr>
            <w:r w:rsidRPr="00BF6615">
              <w:rPr>
                <w:rFonts w:ascii="Calibri" w:hAnsi="Calibri" w:cs="Calibri"/>
                <w:color w:val="000000"/>
              </w:rPr>
              <w:t>38%</w:t>
            </w:r>
          </w:p>
        </w:tc>
        <w:tc>
          <w:tcPr>
            <w:tcW w:w="1413" w:type="dxa"/>
            <w:vAlign w:val="center"/>
          </w:tcPr>
          <w:p w14:paraId="68A697E3" w14:textId="285A6923" w:rsidR="00C71A01" w:rsidRPr="00BF6615" w:rsidRDefault="00C71A01" w:rsidP="007E26B5">
            <w:pPr>
              <w:rPr>
                <w:lang w:eastAsia="pl-PL"/>
              </w:rPr>
            </w:pPr>
            <w:r w:rsidRPr="00BF6615">
              <w:rPr>
                <w:rFonts w:ascii="Calibri" w:hAnsi="Calibri" w:cs="Calibri"/>
                <w:color w:val="000000"/>
              </w:rPr>
              <w:t>43%</w:t>
            </w:r>
          </w:p>
        </w:tc>
        <w:tc>
          <w:tcPr>
            <w:tcW w:w="1392" w:type="dxa"/>
            <w:vAlign w:val="center"/>
          </w:tcPr>
          <w:p w14:paraId="5A1DC4FE" w14:textId="64DD6CBB" w:rsidR="00C71A01" w:rsidRPr="00BF6615" w:rsidRDefault="00C71A01" w:rsidP="007E26B5">
            <w:pPr>
              <w:rPr>
                <w:lang w:eastAsia="pl-PL"/>
              </w:rPr>
            </w:pPr>
            <w:r w:rsidRPr="00BF6615">
              <w:rPr>
                <w:rFonts w:ascii="Calibri" w:hAnsi="Calibri" w:cs="Calibri"/>
                <w:color w:val="000000"/>
              </w:rPr>
              <w:t>26%</w:t>
            </w:r>
          </w:p>
        </w:tc>
        <w:tc>
          <w:tcPr>
            <w:tcW w:w="1246" w:type="dxa"/>
            <w:vAlign w:val="center"/>
          </w:tcPr>
          <w:p w14:paraId="431B22D5" w14:textId="4CA9FEF3" w:rsidR="00C71A01" w:rsidRPr="00BF6615" w:rsidRDefault="00C71A01" w:rsidP="007E26B5">
            <w:pPr>
              <w:rPr>
                <w:lang w:eastAsia="pl-PL"/>
              </w:rPr>
            </w:pPr>
            <w:r w:rsidRPr="00BF6615">
              <w:rPr>
                <w:rFonts w:ascii="Calibri" w:hAnsi="Calibri" w:cs="Calibri"/>
                <w:color w:val="000000"/>
              </w:rPr>
              <w:t>36%</w:t>
            </w:r>
          </w:p>
        </w:tc>
      </w:tr>
      <w:tr w:rsidR="00BA771C" w:rsidRPr="00BF6615" w14:paraId="4D33C62E" w14:textId="77777777" w:rsidTr="00DF10EC">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52EA36F1" w14:textId="77777777" w:rsidR="00C71A01" w:rsidRPr="00BF6615" w:rsidRDefault="00C71A01" w:rsidP="007E26B5">
            <w:pPr>
              <w:rPr>
                <w:lang w:eastAsia="pl-PL"/>
              </w:rPr>
            </w:pPr>
            <w:r w:rsidRPr="00BF6615">
              <w:rPr>
                <w:lang w:eastAsia="pl-PL"/>
              </w:rPr>
              <w:t>neutralne</w:t>
            </w:r>
          </w:p>
        </w:tc>
        <w:tc>
          <w:tcPr>
            <w:tcW w:w="1444" w:type="dxa"/>
            <w:vAlign w:val="center"/>
          </w:tcPr>
          <w:p w14:paraId="7E4AA69F" w14:textId="00720E0C" w:rsidR="00C71A01" w:rsidRPr="00BF6615" w:rsidRDefault="00C71A01" w:rsidP="007E26B5">
            <w:pPr>
              <w:rPr>
                <w:lang w:eastAsia="pl-PL"/>
              </w:rPr>
            </w:pPr>
            <w:r w:rsidRPr="00BF6615">
              <w:rPr>
                <w:rFonts w:ascii="Calibri" w:hAnsi="Calibri" w:cs="Calibri"/>
                <w:color w:val="000000"/>
              </w:rPr>
              <w:t>6%</w:t>
            </w:r>
          </w:p>
        </w:tc>
        <w:tc>
          <w:tcPr>
            <w:tcW w:w="1283" w:type="dxa"/>
            <w:vAlign w:val="center"/>
          </w:tcPr>
          <w:p w14:paraId="10E71142" w14:textId="177E5549" w:rsidR="00C71A01" w:rsidRPr="00BF6615" w:rsidRDefault="00C71A01" w:rsidP="007E26B5">
            <w:pPr>
              <w:rPr>
                <w:lang w:eastAsia="pl-PL"/>
              </w:rPr>
            </w:pPr>
            <w:r w:rsidRPr="00BF6615">
              <w:rPr>
                <w:rFonts w:ascii="Calibri" w:hAnsi="Calibri" w:cs="Calibri"/>
                <w:color w:val="000000"/>
              </w:rPr>
              <w:t>7%</w:t>
            </w:r>
          </w:p>
        </w:tc>
        <w:tc>
          <w:tcPr>
            <w:tcW w:w="1092" w:type="dxa"/>
            <w:vAlign w:val="center"/>
          </w:tcPr>
          <w:p w14:paraId="0B8DCF3F" w14:textId="1B103CA8" w:rsidR="00C71A01" w:rsidRPr="00BF6615" w:rsidRDefault="00C71A01" w:rsidP="007E26B5">
            <w:pPr>
              <w:rPr>
                <w:lang w:eastAsia="pl-PL"/>
              </w:rPr>
            </w:pPr>
            <w:r w:rsidRPr="00BF6615">
              <w:rPr>
                <w:rFonts w:ascii="Calibri" w:hAnsi="Calibri" w:cs="Calibri"/>
                <w:color w:val="000000"/>
              </w:rPr>
              <w:t>7%</w:t>
            </w:r>
          </w:p>
        </w:tc>
        <w:tc>
          <w:tcPr>
            <w:tcW w:w="1305" w:type="dxa"/>
            <w:vAlign w:val="center"/>
          </w:tcPr>
          <w:p w14:paraId="5A545530" w14:textId="16A0EF3D" w:rsidR="00C71A01" w:rsidRPr="00BF6615" w:rsidRDefault="00C71A01" w:rsidP="007E26B5">
            <w:pPr>
              <w:rPr>
                <w:lang w:eastAsia="pl-PL"/>
              </w:rPr>
            </w:pPr>
            <w:r w:rsidRPr="00BF6615">
              <w:rPr>
                <w:rFonts w:ascii="Calibri" w:hAnsi="Calibri" w:cs="Calibri"/>
                <w:color w:val="000000"/>
              </w:rPr>
              <w:t>12%</w:t>
            </w:r>
          </w:p>
        </w:tc>
        <w:tc>
          <w:tcPr>
            <w:tcW w:w="1330" w:type="dxa"/>
            <w:vAlign w:val="center"/>
          </w:tcPr>
          <w:p w14:paraId="70550034" w14:textId="173FD035" w:rsidR="00C71A01" w:rsidRPr="00BF6615" w:rsidRDefault="00C71A01" w:rsidP="007E26B5">
            <w:pPr>
              <w:rPr>
                <w:lang w:eastAsia="pl-PL"/>
              </w:rPr>
            </w:pPr>
            <w:r w:rsidRPr="00BF6615">
              <w:rPr>
                <w:rFonts w:ascii="Calibri" w:hAnsi="Calibri" w:cs="Calibri"/>
                <w:color w:val="000000"/>
              </w:rPr>
              <w:t>19%</w:t>
            </w:r>
          </w:p>
        </w:tc>
        <w:tc>
          <w:tcPr>
            <w:tcW w:w="1218" w:type="dxa"/>
            <w:vAlign w:val="center"/>
          </w:tcPr>
          <w:p w14:paraId="07F5CF11" w14:textId="106B52F2" w:rsidR="00C71A01" w:rsidRPr="00BF6615" w:rsidRDefault="00C71A01" w:rsidP="007E26B5">
            <w:pPr>
              <w:rPr>
                <w:lang w:eastAsia="pl-PL"/>
              </w:rPr>
            </w:pPr>
            <w:r w:rsidRPr="00BF6615">
              <w:rPr>
                <w:rFonts w:ascii="Calibri" w:hAnsi="Calibri" w:cs="Calibri"/>
                <w:color w:val="000000"/>
              </w:rPr>
              <w:t>12%</w:t>
            </w:r>
          </w:p>
        </w:tc>
        <w:tc>
          <w:tcPr>
            <w:tcW w:w="1069" w:type="dxa"/>
            <w:vAlign w:val="center"/>
          </w:tcPr>
          <w:p w14:paraId="7C158288" w14:textId="0D2958D7" w:rsidR="00C71A01" w:rsidRPr="00BF6615" w:rsidRDefault="00C71A01" w:rsidP="007E26B5">
            <w:pPr>
              <w:rPr>
                <w:lang w:eastAsia="pl-PL"/>
              </w:rPr>
            </w:pPr>
            <w:r w:rsidRPr="00BF6615">
              <w:rPr>
                <w:rFonts w:ascii="Calibri" w:hAnsi="Calibri" w:cs="Calibri"/>
                <w:color w:val="000000"/>
              </w:rPr>
              <w:t>14%</w:t>
            </w:r>
          </w:p>
        </w:tc>
        <w:tc>
          <w:tcPr>
            <w:tcW w:w="1413" w:type="dxa"/>
            <w:vAlign w:val="center"/>
          </w:tcPr>
          <w:p w14:paraId="603DA6EC" w14:textId="2B8AAB3C" w:rsidR="00C71A01" w:rsidRPr="00BF6615" w:rsidRDefault="00C71A01" w:rsidP="007E26B5">
            <w:pPr>
              <w:rPr>
                <w:lang w:eastAsia="pl-PL"/>
              </w:rPr>
            </w:pPr>
            <w:r w:rsidRPr="00BF6615">
              <w:rPr>
                <w:rFonts w:ascii="Calibri" w:hAnsi="Calibri" w:cs="Calibri"/>
                <w:color w:val="000000"/>
              </w:rPr>
              <w:t>10%</w:t>
            </w:r>
          </w:p>
        </w:tc>
        <w:tc>
          <w:tcPr>
            <w:tcW w:w="1392" w:type="dxa"/>
            <w:vAlign w:val="center"/>
          </w:tcPr>
          <w:p w14:paraId="38398DF7" w14:textId="54BA155F" w:rsidR="00C71A01" w:rsidRPr="00BF6615" w:rsidRDefault="00C71A01" w:rsidP="007E26B5">
            <w:pPr>
              <w:rPr>
                <w:lang w:eastAsia="pl-PL"/>
              </w:rPr>
            </w:pPr>
            <w:r w:rsidRPr="00BF6615">
              <w:rPr>
                <w:rFonts w:ascii="Calibri" w:hAnsi="Calibri" w:cs="Calibri"/>
                <w:color w:val="000000"/>
              </w:rPr>
              <w:t>24%</w:t>
            </w:r>
          </w:p>
        </w:tc>
        <w:tc>
          <w:tcPr>
            <w:tcW w:w="1246" w:type="dxa"/>
            <w:vAlign w:val="center"/>
          </w:tcPr>
          <w:p w14:paraId="13081B98" w14:textId="1003F001" w:rsidR="00C71A01" w:rsidRPr="00BF6615" w:rsidRDefault="00C71A01" w:rsidP="007E26B5">
            <w:pPr>
              <w:rPr>
                <w:lang w:eastAsia="pl-PL"/>
              </w:rPr>
            </w:pPr>
            <w:r w:rsidRPr="00BF6615">
              <w:rPr>
                <w:rFonts w:ascii="Calibri" w:hAnsi="Calibri" w:cs="Calibri"/>
                <w:color w:val="000000"/>
              </w:rPr>
              <w:t>19%</w:t>
            </w:r>
          </w:p>
        </w:tc>
      </w:tr>
      <w:tr w:rsidR="00BA771C" w:rsidRPr="00BF6615" w14:paraId="0D28A651" w14:textId="77777777" w:rsidTr="00DF10EC">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5646BA09" w14:textId="77777777" w:rsidR="00C71A01" w:rsidRPr="00BF6615" w:rsidRDefault="00C71A01" w:rsidP="007E26B5">
            <w:pPr>
              <w:rPr>
                <w:lang w:eastAsia="pl-PL"/>
              </w:rPr>
            </w:pPr>
            <w:r w:rsidRPr="00BF6615">
              <w:rPr>
                <w:lang w:eastAsia="pl-PL"/>
              </w:rPr>
              <w:t>mało ważne</w:t>
            </w:r>
          </w:p>
        </w:tc>
        <w:tc>
          <w:tcPr>
            <w:tcW w:w="1444" w:type="dxa"/>
            <w:vAlign w:val="center"/>
          </w:tcPr>
          <w:p w14:paraId="725BD79D" w14:textId="65A55FA1" w:rsidR="00C71A01" w:rsidRPr="00BF6615" w:rsidRDefault="00C71A01" w:rsidP="007E26B5">
            <w:pPr>
              <w:rPr>
                <w:lang w:eastAsia="pl-PL"/>
              </w:rPr>
            </w:pPr>
            <w:r w:rsidRPr="00BF6615">
              <w:rPr>
                <w:rFonts w:ascii="Calibri" w:hAnsi="Calibri" w:cs="Calibri"/>
                <w:color w:val="000000"/>
              </w:rPr>
              <w:t>6%</w:t>
            </w:r>
          </w:p>
        </w:tc>
        <w:tc>
          <w:tcPr>
            <w:tcW w:w="1283" w:type="dxa"/>
            <w:vAlign w:val="center"/>
          </w:tcPr>
          <w:p w14:paraId="486B94E6" w14:textId="3BFAE40D" w:rsidR="00C71A01" w:rsidRPr="00BF6615" w:rsidRDefault="00C71A01" w:rsidP="007E26B5">
            <w:pPr>
              <w:rPr>
                <w:lang w:eastAsia="pl-PL"/>
              </w:rPr>
            </w:pPr>
            <w:r w:rsidRPr="00BF6615">
              <w:rPr>
                <w:rFonts w:ascii="Calibri" w:hAnsi="Calibri" w:cs="Calibri"/>
                <w:color w:val="000000"/>
              </w:rPr>
              <w:t>5%</w:t>
            </w:r>
          </w:p>
        </w:tc>
        <w:tc>
          <w:tcPr>
            <w:tcW w:w="1092" w:type="dxa"/>
            <w:vAlign w:val="center"/>
          </w:tcPr>
          <w:p w14:paraId="623C26ED" w14:textId="11EA512A" w:rsidR="00C71A01" w:rsidRPr="00BF6615" w:rsidRDefault="00C71A01" w:rsidP="007E26B5">
            <w:pPr>
              <w:rPr>
                <w:lang w:eastAsia="pl-PL"/>
              </w:rPr>
            </w:pPr>
            <w:r w:rsidRPr="00BF6615">
              <w:rPr>
                <w:rFonts w:ascii="Calibri" w:hAnsi="Calibri" w:cs="Calibri"/>
                <w:color w:val="000000"/>
              </w:rPr>
              <w:t>6%</w:t>
            </w:r>
          </w:p>
        </w:tc>
        <w:tc>
          <w:tcPr>
            <w:tcW w:w="1305" w:type="dxa"/>
            <w:vAlign w:val="center"/>
          </w:tcPr>
          <w:p w14:paraId="38AE371A" w14:textId="44864F0F" w:rsidR="00C71A01" w:rsidRPr="00BF6615" w:rsidRDefault="00C71A01" w:rsidP="007E26B5">
            <w:pPr>
              <w:rPr>
                <w:lang w:eastAsia="pl-PL"/>
              </w:rPr>
            </w:pPr>
            <w:r w:rsidRPr="00BF6615">
              <w:rPr>
                <w:rFonts w:ascii="Calibri" w:hAnsi="Calibri" w:cs="Calibri"/>
                <w:color w:val="000000"/>
              </w:rPr>
              <w:t>6%</w:t>
            </w:r>
          </w:p>
        </w:tc>
        <w:tc>
          <w:tcPr>
            <w:tcW w:w="1330" w:type="dxa"/>
            <w:vAlign w:val="center"/>
          </w:tcPr>
          <w:p w14:paraId="0E84B498" w14:textId="13396E42" w:rsidR="00C71A01" w:rsidRPr="00BF6615" w:rsidRDefault="00C71A01" w:rsidP="007E26B5">
            <w:pPr>
              <w:rPr>
                <w:lang w:eastAsia="pl-PL"/>
              </w:rPr>
            </w:pPr>
            <w:r w:rsidRPr="00BF6615">
              <w:rPr>
                <w:rFonts w:ascii="Calibri" w:hAnsi="Calibri" w:cs="Calibri"/>
                <w:color w:val="000000"/>
              </w:rPr>
              <w:t>8%</w:t>
            </w:r>
          </w:p>
        </w:tc>
        <w:tc>
          <w:tcPr>
            <w:tcW w:w="1218" w:type="dxa"/>
            <w:vAlign w:val="center"/>
          </w:tcPr>
          <w:p w14:paraId="1410DE06" w14:textId="5D4F69B5" w:rsidR="00C71A01" w:rsidRPr="00BF6615" w:rsidRDefault="00C71A01" w:rsidP="007E26B5">
            <w:pPr>
              <w:rPr>
                <w:lang w:eastAsia="pl-PL"/>
              </w:rPr>
            </w:pPr>
            <w:r w:rsidRPr="00BF6615">
              <w:rPr>
                <w:rFonts w:ascii="Calibri" w:hAnsi="Calibri" w:cs="Calibri"/>
                <w:color w:val="000000"/>
              </w:rPr>
              <w:t>5%</w:t>
            </w:r>
          </w:p>
        </w:tc>
        <w:tc>
          <w:tcPr>
            <w:tcW w:w="1069" w:type="dxa"/>
            <w:vAlign w:val="center"/>
          </w:tcPr>
          <w:p w14:paraId="6622457F" w14:textId="24D923BC" w:rsidR="00C71A01" w:rsidRPr="00BF6615" w:rsidRDefault="00C71A01" w:rsidP="007E26B5">
            <w:pPr>
              <w:rPr>
                <w:lang w:eastAsia="pl-PL"/>
              </w:rPr>
            </w:pPr>
            <w:r w:rsidRPr="00BF6615">
              <w:rPr>
                <w:rFonts w:ascii="Calibri" w:hAnsi="Calibri" w:cs="Calibri"/>
                <w:color w:val="000000"/>
              </w:rPr>
              <w:t>6%</w:t>
            </w:r>
          </w:p>
        </w:tc>
        <w:tc>
          <w:tcPr>
            <w:tcW w:w="1413" w:type="dxa"/>
            <w:vAlign w:val="center"/>
          </w:tcPr>
          <w:p w14:paraId="4BD1179E" w14:textId="66E95F26" w:rsidR="00C71A01" w:rsidRPr="00BF6615" w:rsidRDefault="00C71A01" w:rsidP="007E26B5">
            <w:pPr>
              <w:rPr>
                <w:lang w:eastAsia="pl-PL"/>
              </w:rPr>
            </w:pPr>
            <w:r w:rsidRPr="00BF6615">
              <w:rPr>
                <w:rFonts w:ascii="Calibri" w:hAnsi="Calibri" w:cs="Calibri"/>
                <w:color w:val="000000"/>
              </w:rPr>
              <w:t>5%</w:t>
            </w:r>
          </w:p>
        </w:tc>
        <w:tc>
          <w:tcPr>
            <w:tcW w:w="1392" w:type="dxa"/>
            <w:vAlign w:val="center"/>
          </w:tcPr>
          <w:p w14:paraId="2F83D341" w14:textId="2CEDCA14" w:rsidR="00C71A01" w:rsidRPr="00BF6615" w:rsidRDefault="00C71A01" w:rsidP="007E26B5">
            <w:pPr>
              <w:rPr>
                <w:lang w:eastAsia="pl-PL"/>
              </w:rPr>
            </w:pPr>
            <w:r w:rsidRPr="00BF6615">
              <w:rPr>
                <w:rFonts w:ascii="Calibri" w:hAnsi="Calibri" w:cs="Calibri"/>
                <w:color w:val="000000"/>
              </w:rPr>
              <w:t>10%</w:t>
            </w:r>
          </w:p>
        </w:tc>
        <w:tc>
          <w:tcPr>
            <w:tcW w:w="1246" w:type="dxa"/>
            <w:vAlign w:val="center"/>
          </w:tcPr>
          <w:p w14:paraId="6F4C29B2" w14:textId="51A271BA" w:rsidR="00C71A01" w:rsidRPr="00BF6615" w:rsidRDefault="00C71A01" w:rsidP="007E26B5">
            <w:pPr>
              <w:rPr>
                <w:lang w:eastAsia="pl-PL"/>
              </w:rPr>
            </w:pPr>
            <w:r w:rsidRPr="00BF6615">
              <w:rPr>
                <w:rFonts w:ascii="Calibri" w:hAnsi="Calibri" w:cs="Calibri"/>
                <w:color w:val="000000"/>
              </w:rPr>
              <w:t>5%</w:t>
            </w:r>
          </w:p>
        </w:tc>
      </w:tr>
      <w:tr w:rsidR="00BA771C" w:rsidRPr="00BF6615" w14:paraId="7483F8DB" w14:textId="77777777" w:rsidTr="00DF10EC">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6B812B91" w14:textId="77777777" w:rsidR="00C71A01" w:rsidRPr="00BF6615" w:rsidRDefault="00C71A01" w:rsidP="007E26B5">
            <w:pPr>
              <w:rPr>
                <w:lang w:eastAsia="pl-PL"/>
              </w:rPr>
            </w:pPr>
            <w:r w:rsidRPr="00BF6615">
              <w:rPr>
                <w:lang w:eastAsia="pl-PL"/>
              </w:rPr>
              <w:t>zupełnie nieważne</w:t>
            </w:r>
          </w:p>
        </w:tc>
        <w:tc>
          <w:tcPr>
            <w:tcW w:w="1444" w:type="dxa"/>
            <w:vAlign w:val="center"/>
          </w:tcPr>
          <w:p w14:paraId="55715814" w14:textId="58E840BB" w:rsidR="00C71A01" w:rsidRPr="00BF6615" w:rsidRDefault="00C71A01" w:rsidP="007E26B5">
            <w:pPr>
              <w:rPr>
                <w:lang w:eastAsia="pl-PL"/>
              </w:rPr>
            </w:pPr>
            <w:r w:rsidRPr="00BF6615">
              <w:rPr>
                <w:rFonts w:ascii="Calibri" w:hAnsi="Calibri" w:cs="Calibri"/>
                <w:color w:val="000000"/>
              </w:rPr>
              <w:t>2%</w:t>
            </w:r>
          </w:p>
        </w:tc>
        <w:tc>
          <w:tcPr>
            <w:tcW w:w="1283" w:type="dxa"/>
            <w:vAlign w:val="center"/>
          </w:tcPr>
          <w:p w14:paraId="784CE196" w14:textId="101F3BF3" w:rsidR="00C71A01" w:rsidRPr="00BF6615" w:rsidRDefault="00C71A01" w:rsidP="007E26B5">
            <w:pPr>
              <w:rPr>
                <w:lang w:eastAsia="pl-PL"/>
              </w:rPr>
            </w:pPr>
            <w:r w:rsidRPr="00BF6615">
              <w:rPr>
                <w:rFonts w:ascii="Calibri" w:hAnsi="Calibri" w:cs="Calibri"/>
                <w:color w:val="000000"/>
              </w:rPr>
              <w:t>2%</w:t>
            </w:r>
          </w:p>
        </w:tc>
        <w:tc>
          <w:tcPr>
            <w:tcW w:w="1092" w:type="dxa"/>
            <w:vAlign w:val="center"/>
          </w:tcPr>
          <w:p w14:paraId="38772E08" w14:textId="0315D1C5" w:rsidR="00C71A01" w:rsidRPr="00BF6615" w:rsidRDefault="00C71A01" w:rsidP="007E26B5">
            <w:pPr>
              <w:rPr>
                <w:lang w:eastAsia="pl-PL"/>
              </w:rPr>
            </w:pPr>
            <w:r w:rsidRPr="00BF6615">
              <w:rPr>
                <w:rFonts w:ascii="Calibri" w:hAnsi="Calibri" w:cs="Calibri"/>
                <w:color w:val="000000"/>
              </w:rPr>
              <w:t>1%</w:t>
            </w:r>
          </w:p>
        </w:tc>
        <w:tc>
          <w:tcPr>
            <w:tcW w:w="1305" w:type="dxa"/>
            <w:vAlign w:val="center"/>
          </w:tcPr>
          <w:p w14:paraId="4F2DAA2B" w14:textId="362C2FF2" w:rsidR="00C71A01" w:rsidRPr="00BF6615" w:rsidRDefault="00C71A01" w:rsidP="007E26B5">
            <w:pPr>
              <w:rPr>
                <w:lang w:eastAsia="pl-PL"/>
              </w:rPr>
            </w:pPr>
            <w:r w:rsidRPr="00BF6615">
              <w:rPr>
                <w:rFonts w:ascii="Calibri" w:hAnsi="Calibri" w:cs="Calibri"/>
                <w:color w:val="000000"/>
              </w:rPr>
              <w:t>1%</w:t>
            </w:r>
          </w:p>
        </w:tc>
        <w:tc>
          <w:tcPr>
            <w:tcW w:w="1330" w:type="dxa"/>
            <w:vAlign w:val="center"/>
          </w:tcPr>
          <w:p w14:paraId="25E6157B" w14:textId="7C128C0B" w:rsidR="00C71A01" w:rsidRPr="00BF6615" w:rsidRDefault="00C71A01" w:rsidP="007E26B5">
            <w:pPr>
              <w:rPr>
                <w:lang w:eastAsia="pl-PL"/>
              </w:rPr>
            </w:pPr>
            <w:r w:rsidRPr="00BF6615">
              <w:rPr>
                <w:rFonts w:ascii="Calibri" w:hAnsi="Calibri" w:cs="Calibri"/>
                <w:color w:val="000000"/>
              </w:rPr>
              <w:t>4%</w:t>
            </w:r>
          </w:p>
        </w:tc>
        <w:tc>
          <w:tcPr>
            <w:tcW w:w="1218" w:type="dxa"/>
            <w:vAlign w:val="center"/>
          </w:tcPr>
          <w:p w14:paraId="06D2CBB4" w14:textId="2CAEA800" w:rsidR="00C71A01" w:rsidRPr="00BF6615" w:rsidRDefault="00C71A01" w:rsidP="007E26B5">
            <w:pPr>
              <w:rPr>
                <w:lang w:eastAsia="pl-PL"/>
              </w:rPr>
            </w:pPr>
            <w:r w:rsidRPr="00BF6615">
              <w:rPr>
                <w:rFonts w:ascii="Calibri" w:hAnsi="Calibri" w:cs="Calibri"/>
                <w:color w:val="000000"/>
              </w:rPr>
              <w:t>2%</w:t>
            </w:r>
          </w:p>
        </w:tc>
        <w:tc>
          <w:tcPr>
            <w:tcW w:w="1069" w:type="dxa"/>
            <w:vAlign w:val="center"/>
          </w:tcPr>
          <w:p w14:paraId="5FDD7ED2" w14:textId="322CF556" w:rsidR="00C71A01" w:rsidRPr="00BF6615" w:rsidRDefault="00C71A01" w:rsidP="007E26B5">
            <w:pPr>
              <w:rPr>
                <w:lang w:eastAsia="pl-PL"/>
              </w:rPr>
            </w:pPr>
            <w:r w:rsidRPr="00BF6615">
              <w:rPr>
                <w:rFonts w:ascii="Calibri" w:hAnsi="Calibri" w:cs="Calibri"/>
                <w:color w:val="000000"/>
              </w:rPr>
              <w:t>2%</w:t>
            </w:r>
          </w:p>
        </w:tc>
        <w:tc>
          <w:tcPr>
            <w:tcW w:w="1413" w:type="dxa"/>
            <w:vAlign w:val="center"/>
          </w:tcPr>
          <w:p w14:paraId="4F57349A" w14:textId="24B0D3CE" w:rsidR="00C71A01" w:rsidRPr="00BF6615" w:rsidRDefault="00C71A01" w:rsidP="007E26B5">
            <w:pPr>
              <w:rPr>
                <w:lang w:eastAsia="pl-PL"/>
              </w:rPr>
            </w:pPr>
            <w:r w:rsidRPr="00BF6615">
              <w:rPr>
                <w:rFonts w:ascii="Calibri" w:hAnsi="Calibri" w:cs="Calibri"/>
                <w:color w:val="000000"/>
              </w:rPr>
              <w:t>6%</w:t>
            </w:r>
          </w:p>
        </w:tc>
        <w:tc>
          <w:tcPr>
            <w:tcW w:w="1392" w:type="dxa"/>
            <w:vAlign w:val="center"/>
          </w:tcPr>
          <w:p w14:paraId="5F89CA84" w14:textId="3D1DEDBC" w:rsidR="00C71A01" w:rsidRPr="00BF6615" w:rsidRDefault="00C71A01" w:rsidP="007E26B5">
            <w:pPr>
              <w:rPr>
                <w:lang w:eastAsia="pl-PL"/>
              </w:rPr>
            </w:pPr>
            <w:r w:rsidRPr="00BF6615">
              <w:rPr>
                <w:rFonts w:ascii="Calibri" w:hAnsi="Calibri" w:cs="Calibri"/>
                <w:color w:val="000000"/>
              </w:rPr>
              <w:t>18%</w:t>
            </w:r>
          </w:p>
        </w:tc>
        <w:tc>
          <w:tcPr>
            <w:tcW w:w="1246" w:type="dxa"/>
            <w:vAlign w:val="center"/>
          </w:tcPr>
          <w:p w14:paraId="442B0A3C" w14:textId="73B4DD28" w:rsidR="00C71A01" w:rsidRPr="00BF6615" w:rsidRDefault="00C71A01" w:rsidP="007E26B5">
            <w:pPr>
              <w:rPr>
                <w:lang w:eastAsia="pl-PL"/>
              </w:rPr>
            </w:pPr>
            <w:r w:rsidRPr="00BF6615">
              <w:rPr>
                <w:rFonts w:ascii="Calibri" w:hAnsi="Calibri" w:cs="Calibri"/>
                <w:color w:val="000000"/>
              </w:rPr>
              <w:t>8%</w:t>
            </w:r>
          </w:p>
        </w:tc>
      </w:tr>
    </w:tbl>
    <w:p w14:paraId="666CDECD" w14:textId="77777777" w:rsidR="00200BC2" w:rsidRPr="00BF6615" w:rsidRDefault="00200BC2" w:rsidP="007E26B5">
      <w:r w:rsidRPr="00BF6615">
        <w:t>Źródło: opracowanie własne.</w:t>
      </w:r>
    </w:p>
    <w:p w14:paraId="7F3370F8" w14:textId="77777777" w:rsidR="00200BC2" w:rsidRPr="00BF6615" w:rsidRDefault="00200BC2" w:rsidP="007E26B5">
      <w:pPr>
        <w:rPr>
          <w:color w:val="4472C4" w:themeColor="accent1"/>
        </w:rPr>
        <w:sectPr w:rsidR="00200BC2" w:rsidRPr="00BF6615" w:rsidSect="00200BC2">
          <w:pgSz w:w="15840" w:h="12240" w:orient="landscape"/>
          <w:pgMar w:top="1797" w:right="1440" w:bottom="1797" w:left="1440" w:header="720" w:footer="720" w:gutter="0"/>
          <w:cols w:space="720"/>
          <w:docGrid w:linePitch="360"/>
        </w:sectPr>
      </w:pPr>
    </w:p>
    <w:p w14:paraId="27606FF2" w14:textId="3AD67706" w:rsidR="00F030EF" w:rsidRPr="00BF6615" w:rsidRDefault="00F030EF" w:rsidP="007E26B5">
      <w:r w:rsidRPr="00BF6615">
        <w:lastRenderedPageBreak/>
        <w:t xml:space="preserve">Wśród cech aplikacji podmiotów publicznych, które są najważniejsze przy ocenie ich jakości dominowały te, które są ważne dla każdego użytkownika, jak łatwa nawigacja w aplikacji, przejrzystość informacji i treści napisane w sposób zrozumiały. Wyraźnie mniej istotne w tej grupie badanej były cechy aplikacji powiązane z potrzebami wynikającymi </w:t>
      </w:r>
      <w:r w:rsidR="00A42EFD" w:rsidRPr="00BF6615">
        <w:t>z</w:t>
      </w:r>
      <w:r w:rsidR="00A42EFD">
        <w:t> </w:t>
      </w:r>
      <w:r w:rsidRPr="00BF6615">
        <w:t>niepełnosprawności, jak tłumaczenie PJM czy tekst ETR. Chociaż należy zauważyć, że te także były wskazywane zarówno jako bardzo ważne, jak</w:t>
      </w:r>
      <w:r w:rsidR="7CF23546" w:rsidRPr="00BF6615">
        <w:t xml:space="preserve"> </w:t>
      </w:r>
      <w:r w:rsidRPr="00BF6615">
        <w:t xml:space="preserve">i ważne, co może wynikać nie tyle z potrzeby samych badanych, co </w:t>
      </w:r>
      <w:proofErr w:type="spellStart"/>
      <w:r w:rsidRPr="00BF6615">
        <w:t>empatyzowania</w:t>
      </w:r>
      <w:proofErr w:type="spellEnd"/>
      <w:r w:rsidRPr="00BF6615">
        <w:t xml:space="preserve"> z grupą, która takich udogodnień potrzebuje.</w:t>
      </w:r>
    </w:p>
    <w:p w14:paraId="25104790" w14:textId="77777777" w:rsidR="00FE1713" w:rsidRPr="00BF6615" w:rsidRDefault="00F030EF" w:rsidP="007E26B5">
      <w:r w:rsidRPr="00BF6615">
        <w:t xml:space="preserve">W katalogu dodatkowych odpowiedzi respondenci wskazywali na intuicyjne działanie, możliwość obsługi z poziomu </w:t>
      </w:r>
      <w:proofErr w:type="spellStart"/>
      <w:r w:rsidRPr="00BF6615">
        <w:t>smartfona</w:t>
      </w:r>
      <w:proofErr w:type="spellEnd"/>
      <w:r w:rsidRPr="00BF6615">
        <w:t>. Jeden z respondentów wskazał: „Aplikacja automatycznie uzupełnia wszelkie formularze danymi, które już posiada o mnie w systemie. Koniec z przepisywaniem PESEL-u, adresu czy danych rodziców dziesiąty raz jak i łatwe skanowanie i przesyłanie dokumentów.”</w:t>
      </w:r>
    </w:p>
    <w:p w14:paraId="6649B9CA" w14:textId="7C962511" w:rsidR="00505DF1" w:rsidRPr="00665D24" w:rsidRDefault="00505DF1" w:rsidP="00B271C3">
      <w:pPr>
        <w:pStyle w:val="Nagwek4"/>
        <w:rPr>
          <w:bCs/>
        </w:rPr>
      </w:pPr>
      <w:r w:rsidRPr="00665D24">
        <w:rPr>
          <w:bCs/>
        </w:rPr>
        <w:t>Technologie wspomagające w korzystaniu ze stron i aplikacji podmiotów publicznych</w:t>
      </w:r>
    </w:p>
    <w:p w14:paraId="7DB3FC3C" w14:textId="50A0F985" w:rsidR="00637358" w:rsidRPr="00BF6615" w:rsidRDefault="00505DF1" w:rsidP="007E26B5">
      <w:r w:rsidRPr="00BF6615">
        <w:t>79% respondentów nie</w:t>
      </w:r>
      <w:r w:rsidR="00637358" w:rsidRPr="00BF6615">
        <w:t xml:space="preserve"> korzysta z technologii wspomagających podczas używania stron podmiotów publicznych</w:t>
      </w:r>
      <w:r w:rsidRPr="00BF6615">
        <w:t>. Osoby, które korzystają wskazywały najczęściej na klawiaturę (</w:t>
      </w:r>
      <w:r w:rsidR="00A42EFD" w:rsidRPr="00BF6615">
        <w:t>12</w:t>
      </w:r>
      <w:r w:rsidR="00A42EFD">
        <w:t> </w:t>
      </w:r>
      <w:r w:rsidRPr="00BF6615">
        <w:t>wskazań), funkcje powiększania ekranu (7) czy tłumaczeni</w:t>
      </w:r>
      <w:r w:rsidR="008A3E25" w:rsidRPr="00BF6615">
        <w:t>a</w:t>
      </w:r>
      <w:r w:rsidRPr="00BF6615">
        <w:t xml:space="preserve"> online (7).</w:t>
      </w:r>
    </w:p>
    <w:p w14:paraId="73079D23" w14:textId="19E39717" w:rsidR="00A230F6" w:rsidRPr="00665D24" w:rsidRDefault="00A230F6" w:rsidP="00B271C3">
      <w:pPr>
        <w:pStyle w:val="Nagwek4"/>
        <w:rPr>
          <w:bCs/>
        </w:rPr>
      </w:pPr>
      <w:r w:rsidRPr="00665D24">
        <w:rPr>
          <w:bCs/>
        </w:rPr>
        <w:t>Trudności w obsłudze stron i aplikacji</w:t>
      </w:r>
      <w:r w:rsidR="00DF10EC">
        <w:rPr>
          <w:bCs/>
        </w:rPr>
        <w:t xml:space="preserve"> – </w:t>
      </w:r>
      <w:r w:rsidRPr="00665D24">
        <w:rPr>
          <w:bCs/>
        </w:rPr>
        <w:t>poszukiwanie rozwiązań</w:t>
      </w:r>
    </w:p>
    <w:p w14:paraId="3F0C933E" w14:textId="633DD003" w:rsidR="00A230F6" w:rsidRPr="00BF6615" w:rsidRDefault="00A230F6" w:rsidP="007E26B5">
      <w:r w:rsidRPr="00BF6615">
        <w:t>1/5 badanych nie miała problemów w obsłudze stron i aplikacji</w:t>
      </w:r>
      <w:r w:rsidR="00C36190" w:rsidRPr="00BF6615">
        <w:t>. Pozostałe osoby, które doświadczyły takich trudności najczęściej próbowały sobie poradzić z nimi samodzielnie (49%) lub z pomocą obsługi klienta czy znajomych lub rodziny.</w:t>
      </w:r>
    </w:p>
    <w:p w14:paraId="6DAFC807" w14:textId="4A914313" w:rsidR="00A230F6" w:rsidRPr="00BF6615" w:rsidRDefault="00A230F6" w:rsidP="007E26B5">
      <w:pPr>
        <w:pStyle w:val="Legenda"/>
      </w:pPr>
      <w:bookmarkStart w:id="253" w:name="_Toc204179182"/>
      <w:r w:rsidRPr="00BF6615">
        <w:t xml:space="preserve">Wykres </w:t>
      </w:r>
      <w:r w:rsidRPr="00BF6615">
        <w:fldChar w:fldCharType="begin"/>
      </w:r>
      <w:r w:rsidRPr="00BF6615">
        <w:instrText xml:space="preserve"> SEQ Wykres \* ARABIC </w:instrText>
      </w:r>
      <w:r w:rsidRPr="00BF6615">
        <w:fldChar w:fldCharType="separate"/>
      </w:r>
      <w:r w:rsidR="00FD0843">
        <w:rPr>
          <w:noProof/>
        </w:rPr>
        <w:t>36</w:t>
      </w:r>
      <w:r w:rsidRPr="00BF6615">
        <w:fldChar w:fldCharType="end"/>
      </w:r>
      <w:r w:rsidR="00FD0843">
        <w:t>.</w:t>
      </w:r>
      <w:r w:rsidRPr="00BF6615">
        <w:t xml:space="preserve"> Sposoby radzenia sobie z trudnościami technicznymi w obsłudze stron i aplikacji </w:t>
      </w:r>
      <w:r w:rsidR="00A42EFD" w:rsidRPr="00BF6615">
        <w:t>w</w:t>
      </w:r>
      <w:r w:rsidR="00A42EFD">
        <w:t> </w:t>
      </w:r>
      <w:r w:rsidRPr="00BF6615">
        <w:t>grupie obywatele</w:t>
      </w:r>
      <w:bookmarkEnd w:id="253"/>
    </w:p>
    <w:p w14:paraId="663E6181" w14:textId="23DEE732" w:rsidR="00A230F6" w:rsidRPr="00BF6615" w:rsidRDefault="00A230F6" w:rsidP="007E26B5">
      <w:r w:rsidRPr="00BF6615">
        <w:rPr>
          <w:noProof/>
          <w:lang w:eastAsia="pl-PL"/>
        </w:rPr>
        <w:drawing>
          <wp:inline distT="0" distB="0" distL="0" distR="0" wp14:anchorId="4B134233" wp14:editId="4DB2F145">
            <wp:extent cx="5852160" cy="2855595"/>
            <wp:effectExtent l="0" t="0" r="0" b="1905"/>
            <wp:docPr id="358332204" name="Wykres 1" descr="nie miałem/am takiego problemu - 21%&#10;samodzielnie - 49%&#10;z pomocą obsługi klienta - 14%&#10;z pomocą znajomych/rodziny - 13%&#10;nie próbowałem/am pokonać tych trudności - 3%&#10;nie potrafię sobie z nimi poradzić - 5%">
              <a:extLst xmlns:a="http://schemas.openxmlformats.org/drawingml/2006/main">
                <a:ext uri="{FF2B5EF4-FFF2-40B4-BE49-F238E27FC236}">
                  <a16:creationId xmlns:a16="http://schemas.microsoft.com/office/drawing/2014/main" id="{CFF7EF9D-0CB8-C560-94EA-0248B2A25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80452DD" w14:textId="77777777" w:rsidR="00C36190" w:rsidRPr="00BF6615" w:rsidRDefault="00C36190" w:rsidP="007E26B5">
      <w:r w:rsidRPr="00BF6615">
        <w:lastRenderedPageBreak/>
        <w:t>Źródło: opracowanie własne.</w:t>
      </w:r>
    </w:p>
    <w:p w14:paraId="6DAB846E" w14:textId="77777777" w:rsidR="00C36190" w:rsidRPr="00BF6615" w:rsidRDefault="00C36190" w:rsidP="007E26B5"/>
    <w:p w14:paraId="5BE9E49A" w14:textId="01741798" w:rsidR="00C36190" w:rsidRPr="00665D24" w:rsidRDefault="00C36190" w:rsidP="00B271C3">
      <w:pPr>
        <w:pStyle w:val="Nagwek4"/>
        <w:rPr>
          <w:bCs/>
        </w:rPr>
      </w:pPr>
      <w:r w:rsidRPr="00665D24">
        <w:rPr>
          <w:bCs/>
        </w:rPr>
        <w:t>Deklaracje dostępności</w:t>
      </w:r>
    </w:p>
    <w:p w14:paraId="57BD1C50" w14:textId="3E41BA93" w:rsidR="00C36190" w:rsidRPr="00BF6615" w:rsidRDefault="00C36190" w:rsidP="007E26B5">
      <w:r w:rsidRPr="00BF6615">
        <w:t>60% respondentów nie wie, że podmioty muszą przygotować deklarację dostępności.</w:t>
      </w:r>
    </w:p>
    <w:p w14:paraId="3E2C2EE8" w14:textId="063B1B24" w:rsidR="00C36190" w:rsidRPr="00BF6615" w:rsidRDefault="00C36190" w:rsidP="007E26B5">
      <w:pPr>
        <w:pStyle w:val="Legenda"/>
        <w:keepNext/>
      </w:pPr>
      <w:bookmarkStart w:id="254" w:name="_Toc204179183"/>
      <w:r w:rsidRPr="00BF6615">
        <w:t xml:space="preserve">Wykres </w:t>
      </w:r>
      <w:r w:rsidRPr="00BF6615">
        <w:fldChar w:fldCharType="begin"/>
      </w:r>
      <w:r w:rsidRPr="00BF6615">
        <w:instrText xml:space="preserve"> SEQ Wykres \* ARABIC </w:instrText>
      </w:r>
      <w:r w:rsidRPr="00BF6615">
        <w:fldChar w:fldCharType="separate"/>
      </w:r>
      <w:r w:rsidR="00FD0843">
        <w:rPr>
          <w:noProof/>
        </w:rPr>
        <w:t>37</w:t>
      </w:r>
      <w:r w:rsidRPr="00BF6615">
        <w:fldChar w:fldCharType="end"/>
      </w:r>
      <w:r w:rsidR="00FD0843">
        <w:t>.</w:t>
      </w:r>
      <w:r w:rsidRPr="00BF6615">
        <w:t xml:space="preserve"> Wiedza o tym, że każdy podmiot publiczny musi przygotowywać i publikować na swojej stronie deklarację dostępności </w:t>
      </w:r>
      <w:r w:rsidR="00E7278C" w:rsidRPr="00BF6615">
        <w:t>w grupie obywatele</w:t>
      </w:r>
      <w:bookmarkEnd w:id="254"/>
    </w:p>
    <w:p w14:paraId="4B5013C4" w14:textId="0794CFC0" w:rsidR="00C36190" w:rsidRPr="00BF6615" w:rsidRDefault="007973F2" w:rsidP="007E26B5">
      <w:r w:rsidRPr="00BF6615">
        <w:rPr>
          <w:noProof/>
          <w:lang w:eastAsia="pl-PL"/>
        </w:rPr>
        <w:drawing>
          <wp:inline distT="0" distB="0" distL="0" distR="0" wp14:anchorId="72F2AA33" wp14:editId="73AE6435">
            <wp:extent cx="5667153" cy="2690038"/>
            <wp:effectExtent l="0" t="0" r="0" b="0"/>
            <wp:docPr id="477816440" name="Wykres 1" descr="wiem - 40%&#10;nie wiem - 60%">
              <a:extLst xmlns:a="http://schemas.openxmlformats.org/drawingml/2006/main">
                <a:ext uri="{FF2B5EF4-FFF2-40B4-BE49-F238E27FC236}">
                  <a16:creationId xmlns:a16="http://schemas.microsoft.com/office/drawing/2014/main" id="{9CFCB856-196C-4F84-8AB5-219AA27A23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887F147" w14:textId="77777777" w:rsidR="00C36190" w:rsidRPr="00BF6615" w:rsidRDefault="00C36190" w:rsidP="007E26B5">
      <w:r w:rsidRPr="00BF6615">
        <w:t>Źródło: opracowanie własne.</w:t>
      </w:r>
    </w:p>
    <w:p w14:paraId="76A51051" w14:textId="746B4A5C" w:rsidR="00C36190" w:rsidRPr="00BF6615" w:rsidRDefault="00C36190" w:rsidP="007E26B5">
      <w:r w:rsidRPr="00BF6615">
        <w:t xml:space="preserve">1/3 z grupy badanych, która wie, że podmioty muszą przygotować deklarację dostępności (40% badanych) korzystała z nich kiedykolwiek. Połowa z tej grupy ocenia swoje doświadczenia korzystania z deklaracji jako neutralne, połowa jako pozytywne- deklaracje spełniają oczekiwania. Jednocześnie osoby, które miały do czynienia z deklaracjami, zarówno neutralne, jak i pozytywne, wskazują, że brakuje w nich szczegółowych informacji o dostępności strony www lub aplikacji mobilnej (66% wskazań) oraz kontaktów do osób odpowiedzialnych </w:t>
      </w:r>
      <w:r w:rsidR="00A42EFD" w:rsidRPr="00BF6615">
        <w:t>za</w:t>
      </w:r>
      <w:r w:rsidR="00A42EFD">
        <w:t> </w:t>
      </w:r>
      <w:r w:rsidRPr="00BF6615">
        <w:t>dostępność (55%).</w:t>
      </w:r>
    </w:p>
    <w:p w14:paraId="6DBD44E1" w14:textId="26853B03" w:rsidR="005E714F" w:rsidRPr="00060682" w:rsidRDefault="005E714F" w:rsidP="00B271C3">
      <w:pPr>
        <w:pStyle w:val="Nagwek4"/>
        <w:rPr>
          <w:bCs/>
        </w:rPr>
      </w:pPr>
      <w:r w:rsidRPr="00060682">
        <w:rPr>
          <w:bCs/>
        </w:rPr>
        <w:t>Obywatele</w:t>
      </w:r>
      <w:r w:rsidR="007E26B5">
        <w:rPr>
          <w:bCs/>
        </w:rPr>
        <w:t xml:space="preserve"> – </w:t>
      </w:r>
      <w:r w:rsidRPr="00060682">
        <w:rPr>
          <w:bCs/>
        </w:rPr>
        <w:t>podsumowanie wyników</w:t>
      </w:r>
    </w:p>
    <w:p w14:paraId="45068578" w14:textId="3E54C046" w:rsidR="00B318CE" w:rsidRPr="00BF6615" w:rsidRDefault="00175CD6" w:rsidP="007E26B5">
      <w:pPr>
        <w:rPr>
          <w:szCs w:val="24"/>
        </w:rPr>
      </w:pPr>
      <w:r w:rsidRPr="00BF6615">
        <w:rPr>
          <w:szCs w:val="24"/>
        </w:rPr>
        <w:t xml:space="preserve">Na podstawie zgromadzonych wyników przeanalizowano, w jaki sposób obywatele korzystają </w:t>
      </w:r>
      <w:r w:rsidR="00A42EFD" w:rsidRPr="00BF6615">
        <w:rPr>
          <w:szCs w:val="24"/>
        </w:rPr>
        <w:t>z</w:t>
      </w:r>
      <w:r w:rsidR="00A42EFD">
        <w:rPr>
          <w:szCs w:val="24"/>
        </w:rPr>
        <w:t> </w:t>
      </w:r>
      <w:r w:rsidR="00D333F2" w:rsidRPr="00BF6615">
        <w:rPr>
          <w:szCs w:val="24"/>
        </w:rPr>
        <w:t>Internetu</w:t>
      </w:r>
      <w:r w:rsidRPr="00BF6615">
        <w:rPr>
          <w:szCs w:val="24"/>
        </w:rPr>
        <w:t xml:space="preserve"> i usług cyfrowych podmiotów publicznych oraz jakie mają potrzeby i oczekiwania wobec ich dostępności. </w:t>
      </w:r>
      <w:r w:rsidR="00B318CE" w:rsidRPr="00BF6615">
        <w:rPr>
          <w:szCs w:val="24"/>
        </w:rPr>
        <w:t>W grupie</w:t>
      </w:r>
      <w:r w:rsidRPr="00BF6615">
        <w:rPr>
          <w:szCs w:val="24"/>
        </w:rPr>
        <w:t xml:space="preserve"> </w:t>
      </w:r>
      <w:r w:rsidR="00B318CE" w:rsidRPr="00BF6615">
        <w:rPr>
          <w:szCs w:val="24"/>
        </w:rPr>
        <w:t xml:space="preserve">obywatele aż 98% badanych korzysta z </w:t>
      </w:r>
      <w:r w:rsidR="00D333F2" w:rsidRPr="00BF6615">
        <w:rPr>
          <w:szCs w:val="24"/>
        </w:rPr>
        <w:t>Internetu</w:t>
      </w:r>
      <w:r w:rsidR="00B318CE" w:rsidRPr="00BF6615">
        <w:rPr>
          <w:szCs w:val="24"/>
        </w:rPr>
        <w:t xml:space="preserve"> codziennie, co świadczy o jego głęboko zakorzenionej roli w życiu codziennym. Główne cele korzystania </w:t>
      </w:r>
      <w:r w:rsidR="00A42EFD" w:rsidRPr="00BF6615">
        <w:rPr>
          <w:szCs w:val="24"/>
        </w:rPr>
        <w:t>z</w:t>
      </w:r>
      <w:r w:rsidR="00A42EFD">
        <w:rPr>
          <w:szCs w:val="24"/>
        </w:rPr>
        <w:t> </w:t>
      </w:r>
      <w:r w:rsidR="00B318CE" w:rsidRPr="00BF6615">
        <w:rPr>
          <w:szCs w:val="24"/>
        </w:rPr>
        <w:t xml:space="preserve">sieci to komunikacja (81% wskazań), rozrywka (74%) oraz załatwianie spraw urzędowych (56%). Najczęściej wykonywanymi czynnościami online są zakupy (85%), komunikacja (79%) i </w:t>
      </w:r>
      <w:r w:rsidR="003D16F7" w:rsidRPr="00BF6615">
        <w:rPr>
          <w:szCs w:val="24"/>
        </w:rPr>
        <w:t xml:space="preserve">opłacanie </w:t>
      </w:r>
      <w:r w:rsidR="00B318CE" w:rsidRPr="00BF6615">
        <w:rPr>
          <w:szCs w:val="24"/>
        </w:rPr>
        <w:t xml:space="preserve">rachunków (78%). Informacje poszukiwane w sieci dotyczą głównie celów osobistych, takich jak polityka, sport czy kulinaria. </w:t>
      </w:r>
    </w:p>
    <w:p w14:paraId="263B32DF" w14:textId="77777777" w:rsidR="00B318CE" w:rsidRPr="00BF6615" w:rsidRDefault="00B318CE" w:rsidP="007E26B5">
      <w:pPr>
        <w:rPr>
          <w:szCs w:val="24"/>
        </w:rPr>
      </w:pPr>
      <w:r w:rsidRPr="00BF6615">
        <w:rPr>
          <w:szCs w:val="24"/>
        </w:rPr>
        <w:lastRenderedPageBreak/>
        <w:t xml:space="preserve">Połowa respondentów (48%) zadeklarowała załatwianie spraw urzędowych przez Internet. Spośród osób załatwiających sprawy urzędowe, 36% preferuje kanał online, 32% łączy różne metody, a 32% wybiera kontakt osobisty. Korzystanie ze stron internetowych podmiotów publicznych zadeklarowało 94% badanych, a z aplikacji mobilnych – 84%. Użytkownicy, którzy nie korzystają ze stron (6%) lub aplikacji (16%), wskazywali najczęściej na preferencję kontaktu osobistego lub telefonicznego. Jednym z powodów unikania aplikacji była obawa przed inwigilacją, co świadczy o potrzebie zwiększenia zaufania do rozwiązań cyfrowych. </w:t>
      </w:r>
    </w:p>
    <w:p w14:paraId="12D1565C" w14:textId="77777777" w:rsidR="00FE1713" w:rsidRPr="00BF6615" w:rsidRDefault="00B318CE" w:rsidP="007E26B5">
      <w:pPr>
        <w:rPr>
          <w:szCs w:val="24"/>
        </w:rPr>
      </w:pPr>
      <w:r w:rsidRPr="00BF6615">
        <w:rPr>
          <w:szCs w:val="24"/>
        </w:rPr>
        <w:t xml:space="preserve">Najczęściej odwiedzanymi stronami są serwisy rządowe (59%), urzędy miejskie/gminne (49%) oraz urzędy skarbowe (46%). Wśród aplikacji mobilnych największą popularnością cieszy się </w:t>
      </w:r>
      <w:proofErr w:type="spellStart"/>
      <w:r w:rsidRPr="00BF6615">
        <w:rPr>
          <w:szCs w:val="24"/>
        </w:rPr>
        <w:t>mObywatel</w:t>
      </w:r>
      <w:proofErr w:type="spellEnd"/>
      <w:r w:rsidRPr="00BF6615">
        <w:rPr>
          <w:szCs w:val="24"/>
        </w:rPr>
        <w:t xml:space="preserve">, a następnie </w:t>
      </w:r>
      <w:proofErr w:type="spellStart"/>
      <w:r w:rsidRPr="00BF6615">
        <w:rPr>
          <w:szCs w:val="24"/>
        </w:rPr>
        <w:t>mojeIKP</w:t>
      </w:r>
      <w:proofErr w:type="spellEnd"/>
      <w:r w:rsidRPr="00BF6615">
        <w:rPr>
          <w:szCs w:val="24"/>
        </w:rPr>
        <w:t xml:space="preserve"> i aplikacje transportowe. </w:t>
      </w:r>
    </w:p>
    <w:p w14:paraId="481B6C87" w14:textId="2CCC17F9" w:rsidR="00B318CE" w:rsidRPr="00BF6615" w:rsidRDefault="00B318CE" w:rsidP="007E26B5">
      <w:pPr>
        <w:rPr>
          <w:szCs w:val="24"/>
        </w:rPr>
      </w:pPr>
      <w:r w:rsidRPr="00BF6615">
        <w:rPr>
          <w:szCs w:val="24"/>
        </w:rPr>
        <w:t xml:space="preserve">Średnie oceny dostępności stron </w:t>
      </w:r>
      <w:r w:rsidR="00C67C84" w:rsidRPr="00BF6615">
        <w:rPr>
          <w:szCs w:val="24"/>
        </w:rPr>
        <w:t xml:space="preserve">i aplikacji należy uznać za wysokie. </w:t>
      </w:r>
      <w:r w:rsidR="002A4F8F" w:rsidRPr="00BF6615">
        <w:rPr>
          <w:szCs w:val="24"/>
        </w:rPr>
        <w:t>N</w:t>
      </w:r>
      <w:r w:rsidR="00C67C84" w:rsidRPr="00BF6615">
        <w:rPr>
          <w:szCs w:val="24"/>
        </w:rPr>
        <w:t>ajlepi</w:t>
      </w:r>
      <w:r w:rsidR="002A4F8F" w:rsidRPr="00BF6615">
        <w:rPr>
          <w:szCs w:val="24"/>
        </w:rPr>
        <w:t xml:space="preserve">ej oceniane </w:t>
      </w:r>
      <w:r w:rsidR="00A42EFD" w:rsidRPr="00BF6615">
        <w:rPr>
          <w:szCs w:val="24"/>
        </w:rPr>
        <w:t>w</w:t>
      </w:r>
      <w:r w:rsidR="00A42EFD">
        <w:rPr>
          <w:szCs w:val="24"/>
        </w:rPr>
        <w:t> </w:t>
      </w:r>
      <w:r w:rsidR="006F185D" w:rsidRPr="00BF6615">
        <w:rPr>
          <w:szCs w:val="24"/>
        </w:rPr>
        <w:t>kategorii</w:t>
      </w:r>
      <w:r w:rsidR="002A4F8F" w:rsidRPr="00BF6615">
        <w:rPr>
          <w:szCs w:val="24"/>
        </w:rPr>
        <w:t xml:space="preserve"> strony i aplikacj</w:t>
      </w:r>
      <w:r w:rsidR="006F185D" w:rsidRPr="00BF6615">
        <w:rPr>
          <w:szCs w:val="24"/>
        </w:rPr>
        <w:t xml:space="preserve">i tematycznych oceniono </w:t>
      </w:r>
      <w:r w:rsidR="002A4F8F" w:rsidRPr="00BF6615">
        <w:rPr>
          <w:szCs w:val="24"/>
        </w:rPr>
        <w:t>instytucj</w:t>
      </w:r>
      <w:r w:rsidR="006F185D" w:rsidRPr="00BF6615">
        <w:rPr>
          <w:szCs w:val="24"/>
        </w:rPr>
        <w:t>e</w:t>
      </w:r>
      <w:r w:rsidR="002A4F8F" w:rsidRPr="00BF6615">
        <w:rPr>
          <w:szCs w:val="24"/>
        </w:rPr>
        <w:t xml:space="preserve"> kultury.</w:t>
      </w:r>
      <w:r w:rsidR="008207C7" w:rsidRPr="00BF6615">
        <w:rPr>
          <w:szCs w:val="24"/>
        </w:rPr>
        <w:t xml:space="preserve"> Wysoko badani ocenili również dostępność stron </w:t>
      </w:r>
      <w:r w:rsidR="002930FB" w:rsidRPr="00BF6615">
        <w:rPr>
          <w:szCs w:val="24"/>
        </w:rPr>
        <w:t xml:space="preserve">urzędów miejskich i gminnych oraz </w:t>
      </w:r>
      <w:r w:rsidR="006F185D" w:rsidRPr="00BF6615">
        <w:rPr>
          <w:szCs w:val="24"/>
        </w:rPr>
        <w:t xml:space="preserve">aplikacji </w:t>
      </w:r>
      <w:r w:rsidR="005700B3" w:rsidRPr="00BF6615">
        <w:rPr>
          <w:szCs w:val="24"/>
        </w:rPr>
        <w:t xml:space="preserve">rządowych. </w:t>
      </w:r>
      <w:r w:rsidR="00A42EFD" w:rsidRPr="00BF6615">
        <w:rPr>
          <w:szCs w:val="24"/>
        </w:rPr>
        <w:t>W</w:t>
      </w:r>
      <w:r w:rsidR="00A42EFD">
        <w:rPr>
          <w:szCs w:val="24"/>
        </w:rPr>
        <w:t> </w:t>
      </w:r>
      <w:r w:rsidR="005700B3" w:rsidRPr="00BF6615">
        <w:rPr>
          <w:szCs w:val="24"/>
        </w:rPr>
        <w:t xml:space="preserve">szczegółowych kryteriach przeważały niskie oceny dla dostępu do tłumaczeń PJM na stronach oraz </w:t>
      </w:r>
      <w:r w:rsidR="00D10EE2" w:rsidRPr="00BF6615">
        <w:rPr>
          <w:szCs w:val="24"/>
        </w:rPr>
        <w:t xml:space="preserve">kwestie kontaktu z podmiotem czy </w:t>
      </w:r>
      <w:r w:rsidR="004903A4" w:rsidRPr="00BF6615">
        <w:rPr>
          <w:szCs w:val="24"/>
        </w:rPr>
        <w:t>nawigowania w aplikacjach.</w:t>
      </w:r>
    </w:p>
    <w:p w14:paraId="5F1F56E0" w14:textId="77777777" w:rsidR="00B318CE" w:rsidRPr="00BF6615" w:rsidRDefault="00B318CE" w:rsidP="007E26B5">
      <w:pPr>
        <w:rPr>
          <w:szCs w:val="24"/>
        </w:rPr>
      </w:pPr>
      <w:r w:rsidRPr="00BF6615">
        <w:rPr>
          <w:szCs w:val="24"/>
        </w:rPr>
        <w:t xml:space="preserve">W zakresie barier w korzystaniu ze stron należy wskazać brak możliwości </w:t>
      </w:r>
      <w:r w:rsidRPr="00BF6615">
        <w:t>swobodnego przeglądania informacji i wyszukiwania treści czy czytelnego układu treści oraz brak zrozumiałości prezentowanych treści.</w:t>
      </w:r>
      <w:r w:rsidRPr="00BF6615">
        <w:rPr>
          <w:szCs w:val="24"/>
        </w:rPr>
        <w:t xml:space="preserve"> Największe bariery w aplikacjach to z kolei brak łatwości kontaktu z podmiotem czy brak treści w PJM.</w:t>
      </w:r>
    </w:p>
    <w:p w14:paraId="5054B56D" w14:textId="77777777" w:rsidR="00B318CE" w:rsidRPr="00BF6615" w:rsidRDefault="00B318CE" w:rsidP="007E26B5">
      <w:pPr>
        <w:rPr>
          <w:szCs w:val="24"/>
        </w:rPr>
      </w:pPr>
      <w:r w:rsidRPr="00BF6615">
        <w:rPr>
          <w:szCs w:val="24"/>
        </w:rPr>
        <w:t xml:space="preserve">W radzeniu sobie z problemami dominowała strategia samodzielnego poszukiwania rozwiązań (49%) oraz wsparcie znajomych lub obsługi klienta. </w:t>
      </w:r>
    </w:p>
    <w:p w14:paraId="5CC0FF92" w14:textId="77777777" w:rsidR="00B318CE" w:rsidRPr="00BF6615" w:rsidRDefault="00B318CE" w:rsidP="007E26B5">
      <w:pPr>
        <w:rPr>
          <w:szCs w:val="24"/>
        </w:rPr>
      </w:pPr>
      <w:r w:rsidRPr="00BF6615">
        <w:rPr>
          <w:szCs w:val="24"/>
        </w:rPr>
        <w:t xml:space="preserve">79% respondentów nie korzysta z żadnych technologii wspomagających, a wśród używanych najczęściej wskazywano klawiaturę zewnętrzną i funkcje powiększania. </w:t>
      </w:r>
    </w:p>
    <w:p w14:paraId="7319703C" w14:textId="2CC0671A" w:rsidR="00B318CE" w:rsidRPr="00BF6615" w:rsidRDefault="00B318CE" w:rsidP="007E26B5">
      <w:pPr>
        <w:rPr>
          <w:szCs w:val="24"/>
        </w:rPr>
      </w:pPr>
      <w:r w:rsidRPr="00BF6615">
        <w:rPr>
          <w:szCs w:val="24"/>
        </w:rPr>
        <w:t xml:space="preserve">Zaledwie 40% badanych słyszało o deklaracjach dostępności, a tylko 1/3 z tej grupy kiedykolwiek z nich skorzystała. Wśród korzystających z deklaracji aż 66% uznało, że brakuje </w:t>
      </w:r>
      <w:r w:rsidR="00A42EFD" w:rsidRPr="00BF6615">
        <w:rPr>
          <w:szCs w:val="24"/>
        </w:rPr>
        <w:t>w</w:t>
      </w:r>
      <w:r w:rsidR="00A42EFD">
        <w:rPr>
          <w:szCs w:val="24"/>
        </w:rPr>
        <w:t> </w:t>
      </w:r>
      <w:r w:rsidRPr="00BF6615">
        <w:rPr>
          <w:szCs w:val="24"/>
        </w:rPr>
        <w:t xml:space="preserve">nich szczegółowych informacji o dostępności stron i aplikacji. Ponadto 55% wskazało na brak kontaktu do osoby odpowiedzialnej za dostępność. </w:t>
      </w:r>
    </w:p>
    <w:p w14:paraId="6850B6D2" w14:textId="77777777" w:rsidR="00B318CE" w:rsidRPr="00BF6615" w:rsidRDefault="00B318CE" w:rsidP="007E26B5">
      <w:pPr>
        <w:rPr>
          <w:szCs w:val="24"/>
        </w:rPr>
      </w:pPr>
      <w:r w:rsidRPr="00BF6615">
        <w:rPr>
          <w:szCs w:val="24"/>
        </w:rPr>
        <w:t xml:space="preserve">Jako najważniejsze cechy stron publicznych badani uznali zrozumiałość treści (55%), przejrzystość (50%) i zrozumiałe ostrzeżenia o błędach (46%). Wskazywano również na potrzebę szybkości działania stron i prostoty języka. Wśród oczekiwanych usprawnień dla aplikacji mobilnych dominowały: automatyzacja procesów (np. autouzupełnianie formularzy), intuicyjność i szybkość działania. Duża część badanych podkreślała potrzebę uproszczenia języka używanego w aplikacjach i formularzach. Uwagę zwraca także postulat lepszej dostępności usług z poziomu urządzeń mobilnych. Badani opowiadali się również za centralizacją usług publicznych – jednym, spójnym punktem dostępu. Zdecydowana większość użytkowników postrzega obecne rozwiązania jako funkcjonalne, ale dostrzega przestrzeń do poprawy. </w:t>
      </w:r>
    </w:p>
    <w:p w14:paraId="30E67832" w14:textId="77777777" w:rsidR="00175CD6" w:rsidRPr="00BF6615" w:rsidRDefault="00175CD6" w:rsidP="007E26B5">
      <w:pPr>
        <w:rPr>
          <w:szCs w:val="24"/>
        </w:rPr>
      </w:pPr>
    </w:p>
    <w:p w14:paraId="3300A361" w14:textId="5A94F485" w:rsidR="00175CD6" w:rsidRPr="00BF6615" w:rsidRDefault="00175CD6" w:rsidP="007E26B5">
      <w:r w:rsidRPr="00BF6615">
        <w:t xml:space="preserve">Podsumowując, respondenci w grupie obywatele wykazują bardzo wysoką aktywność </w:t>
      </w:r>
      <w:r w:rsidR="00A42EFD" w:rsidRPr="00BF6615">
        <w:t>w</w:t>
      </w:r>
      <w:r w:rsidR="00A42EFD">
        <w:t> </w:t>
      </w:r>
      <w:r w:rsidRPr="00BF6615">
        <w:t xml:space="preserve">Internecie, szczególnie w obszarach związanych z życiem codziennym, takich jak zakupy, komunikacja czy rozrywka. W porównaniu z tymi sferami korzystanie z usług administracji publicznej drogą elektroniczną ma mniejszy zasięg i jest mniej intensywne. Nadal wiele osób załatwia sprawy urzędowe osobiście lub łączy różne formy kontaktu, a e-usługi traktuje jako uzupełnienie, a nie główny kanał komunikacji z urzędami. Mimo to, większość obywateli ma już doświadczenie z cyfrowymi usługami publicznymi i korzysta zarówno ze stron internetowych, jak i aplikacji mobilnych podmiotów publicznych. Najczęściej wykorzystywane są serwisy rządowe, miejskie i zdrowotne, a także aplikacje typu </w:t>
      </w:r>
      <w:proofErr w:type="spellStart"/>
      <w:r w:rsidRPr="00BF6615">
        <w:t>mObywatel</w:t>
      </w:r>
      <w:proofErr w:type="spellEnd"/>
      <w:r w:rsidRPr="00BF6615">
        <w:t xml:space="preserve"> czy </w:t>
      </w:r>
      <w:proofErr w:type="spellStart"/>
      <w:r w:rsidRPr="00BF6615">
        <w:t>mojeIKP</w:t>
      </w:r>
      <w:proofErr w:type="spellEnd"/>
      <w:r w:rsidRPr="00BF6615">
        <w:t xml:space="preserve">. Obywatele oceniają ogólną dostępność cyfrową tych narzędzi raczej pozytywnie, zwłaszcza w zakresie podstawowych funkcji i czytelności interfejsu. Wysoko oceniane są szczególnie strony i aplikacje </w:t>
      </w:r>
      <w:r w:rsidRPr="00FE3BD0">
        <w:t xml:space="preserve">instytucji kultury oraz ochrony zdrowia, które wyróżniają się przejrzystością, łatwością obsługi </w:t>
      </w:r>
      <w:r w:rsidR="00A42EFD" w:rsidRPr="00FE3BD0">
        <w:t>i</w:t>
      </w:r>
      <w:r w:rsidR="00A42EFD">
        <w:t> </w:t>
      </w:r>
      <w:r w:rsidRPr="00FE3BD0">
        <w:t xml:space="preserve">dostosowaniem do różnych urządzeń. Mniej przychylne opinie dotyczą serwisów samorządowych, zwłaszcza tych związanych z rynkiem pracy, gdzie wskazywano na </w:t>
      </w:r>
      <w:r w:rsidR="00A42EFD" w:rsidRPr="00FE3BD0">
        <w:t>potrzebę</w:t>
      </w:r>
      <w:r w:rsidR="00A42EFD">
        <w:t> </w:t>
      </w:r>
      <w:r w:rsidRPr="00FE3BD0">
        <w:t>usprawnień.</w:t>
      </w:r>
      <w:r w:rsidRPr="00BF6615">
        <w:t xml:space="preserve"> </w:t>
      </w:r>
    </w:p>
    <w:p w14:paraId="3A887C68" w14:textId="7E56C46F" w:rsidR="00175CD6" w:rsidRPr="00BF6615" w:rsidRDefault="00175CD6" w:rsidP="00B271C3">
      <w:r w:rsidRPr="00BF6615">
        <w:t>Dane wskazują na potrzebę dalszego promowania wiedzy o dostępności cyfrowej oraz wzmocnienia komunikacji na temat narzędzi wspierających użytkowników. Wyniki badania pokazują, że choć wiele rozwiązań cyfrowych jest już pozytywnie ocenianych i dobrze funkcjonuje, to obywatele widzą przestrzeń do usprawnień – szczególnie w zakresie użyteczności, przejrzystości i zrozumiałości treści. Zidentyfikowane potrzeby i bariery stanowią ważny materiał do projektowania polityki cyfrowej zorientowanej na użytkownika. Dalsze działania powinny koncentrować się na tworzeniu dostępnych i intuicyjnych rozwiązań, które odpowiadają realnym preferencjom i ograniczeniom różnych grup obywateli. Poprawa dostępności usług cyfrowych administracji publicznej nie tylko ułatwi załatwianie spraw urzędowych, ale również zwiększy zaufanie i poczucie włączenia społecznego. Wysoko oceniane przykłady, takie jak serwisy instytucji kultury czy zdrowia, mogą pełnić funkcję wzorca dobrych praktyk. Kluczowe będzie również zapewnienie większej spójności pomiędzy różnymi kanałami cyfrowymi oraz wzmocnienie wsparcia dla użytkowników napotykających trudności techniczne lub informacyjne.</w:t>
      </w:r>
    </w:p>
    <w:p w14:paraId="57A401AF" w14:textId="77777777" w:rsidR="00B318CE" w:rsidRPr="00BF6615" w:rsidRDefault="00B318CE" w:rsidP="007E26B5"/>
    <w:p w14:paraId="22F2DF08" w14:textId="77777777" w:rsidR="00637358" w:rsidRPr="00BF6615" w:rsidRDefault="00637358" w:rsidP="007E26B5">
      <w:pPr>
        <w:spacing w:after="160" w:line="259" w:lineRule="auto"/>
        <w:rPr>
          <w:rFonts w:eastAsiaTheme="majorEastAsia" w:cstheme="majorBidi"/>
          <w:b/>
          <w:bCs/>
          <w:iCs/>
          <w:u w:val="single"/>
        </w:rPr>
      </w:pPr>
      <w:r w:rsidRPr="00BF6615">
        <w:rPr>
          <w:bCs/>
        </w:rPr>
        <w:br w:type="page"/>
      </w:r>
    </w:p>
    <w:p w14:paraId="178C7E12" w14:textId="1632D343" w:rsidR="001815ED" w:rsidRPr="00BF6615" w:rsidRDefault="001815ED">
      <w:pPr>
        <w:pStyle w:val="Nagwek3"/>
        <w:numPr>
          <w:ilvl w:val="1"/>
          <w:numId w:val="6"/>
        </w:numPr>
      </w:pPr>
      <w:bookmarkStart w:id="255" w:name="_Toc204179296"/>
      <w:r w:rsidRPr="00BF6615">
        <w:lastRenderedPageBreak/>
        <w:t>Osoby z niepełnosprawnościami</w:t>
      </w:r>
      <w:bookmarkEnd w:id="255"/>
    </w:p>
    <w:p w14:paraId="29A6479E" w14:textId="77777777" w:rsidR="00B00A6D" w:rsidRPr="00060682" w:rsidRDefault="00B00A6D" w:rsidP="00B271C3">
      <w:pPr>
        <w:pStyle w:val="Nagwek4"/>
        <w:rPr>
          <w:bCs/>
        </w:rPr>
      </w:pPr>
      <w:r w:rsidRPr="00060682">
        <w:rPr>
          <w:bCs/>
        </w:rPr>
        <w:t>Grupa badana</w:t>
      </w:r>
    </w:p>
    <w:p w14:paraId="24E38434" w14:textId="62EAEC6B" w:rsidR="00682D76" w:rsidRPr="00BF6615" w:rsidRDefault="009D7026" w:rsidP="007E26B5">
      <w:r w:rsidRPr="00BF6615">
        <w:t>Struktura respondentów w</w:t>
      </w:r>
      <w:r w:rsidR="00682D76" w:rsidRPr="00BF6615">
        <w:t xml:space="preserve"> grupie badanych osób z niepełnosprawnościami:</w:t>
      </w:r>
    </w:p>
    <w:p w14:paraId="7250F8A1" w14:textId="77777777" w:rsidR="00033FFD" w:rsidRPr="00BF6615" w:rsidRDefault="00033FFD">
      <w:pPr>
        <w:pStyle w:val="Akapitzlist"/>
        <w:numPr>
          <w:ilvl w:val="1"/>
          <w:numId w:val="4"/>
        </w:numPr>
        <w:ind w:left="426"/>
      </w:pPr>
      <w:r w:rsidRPr="00BF6615">
        <w:t>20 osób głuchych lub niedosłyszących,</w:t>
      </w:r>
    </w:p>
    <w:p w14:paraId="275F3C84" w14:textId="77777777" w:rsidR="00033FFD" w:rsidRPr="00BF6615" w:rsidRDefault="00033FFD">
      <w:pPr>
        <w:pStyle w:val="Akapitzlist"/>
        <w:numPr>
          <w:ilvl w:val="1"/>
          <w:numId w:val="4"/>
        </w:numPr>
        <w:ind w:left="426"/>
      </w:pPr>
      <w:r w:rsidRPr="00BF6615">
        <w:t>20 osób ociemniałych lub niewidomych,</w:t>
      </w:r>
      <w:r w:rsidRPr="00BF6615">
        <w:tab/>
      </w:r>
      <w:r w:rsidRPr="00BF6615">
        <w:tab/>
      </w:r>
    </w:p>
    <w:p w14:paraId="0BA14988" w14:textId="77777777" w:rsidR="00033FFD" w:rsidRPr="00BF6615" w:rsidRDefault="00033FFD">
      <w:pPr>
        <w:pStyle w:val="Akapitzlist"/>
        <w:numPr>
          <w:ilvl w:val="1"/>
          <w:numId w:val="4"/>
        </w:numPr>
        <w:ind w:left="426"/>
      </w:pPr>
      <w:r w:rsidRPr="00BF6615">
        <w:t>20 osób słabowidzących,</w:t>
      </w:r>
      <w:r w:rsidRPr="00BF6615">
        <w:tab/>
      </w:r>
      <w:r w:rsidRPr="00BF6615">
        <w:tab/>
      </w:r>
      <w:r w:rsidRPr="00BF6615">
        <w:tab/>
      </w:r>
      <w:r w:rsidRPr="00BF6615">
        <w:tab/>
      </w:r>
      <w:r w:rsidRPr="00BF6615">
        <w:tab/>
      </w:r>
      <w:r w:rsidRPr="00BF6615">
        <w:tab/>
      </w:r>
    </w:p>
    <w:p w14:paraId="458E9503" w14:textId="77777777" w:rsidR="00033FFD" w:rsidRPr="00BF6615" w:rsidRDefault="00033FFD">
      <w:pPr>
        <w:pStyle w:val="Akapitzlist"/>
        <w:numPr>
          <w:ilvl w:val="1"/>
          <w:numId w:val="4"/>
        </w:numPr>
        <w:ind w:left="426"/>
      </w:pPr>
      <w:r w:rsidRPr="00BF6615">
        <w:t>20 osób z niepełnosprawnością intelektualną lub ograniczeniami poznawczymi,</w:t>
      </w:r>
      <w:r w:rsidRPr="00BF6615">
        <w:tab/>
      </w:r>
    </w:p>
    <w:p w14:paraId="09F76D2F" w14:textId="6CD31E6F" w:rsidR="00033FFD" w:rsidRPr="00BF6615" w:rsidRDefault="00033FFD">
      <w:pPr>
        <w:pStyle w:val="Akapitzlist"/>
        <w:numPr>
          <w:ilvl w:val="1"/>
          <w:numId w:val="4"/>
        </w:numPr>
        <w:ind w:left="426"/>
      </w:pPr>
      <w:r w:rsidRPr="00BF6615">
        <w:t>26 osób z niepełnosprawnością narządu ruchu (niepełnosprawność kończyn górnych)</w:t>
      </w:r>
      <w:r w:rsidR="009D7026" w:rsidRPr="00BF6615">
        <w:t>.</w:t>
      </w:r>
    </w:p>
    <w:p w14:paraId="5035D8A9" w14:textId="1F756BDC" w:rsidR="00B00A6D" w:rsidRPr="00BF6615" w:rsidRDefault="00B00A6D" w:rsidP="007E26B5">
      <w:r w:rsidRPr="00BF6615">
        <w:t xml:space="preserve">Respondenci zostali podzieleni na grupy wiekowe. Najliczniejszą grupę stanowili uczestnicy </w:t>
      </w:r>
      <w:r w:rsidR="00A42EFD" w:rsidRPr="00BF6615">
        <w:t>w</w:t>
      </w:r>
      <w:r w:rsidR="00A42EFD">
        <w:t> </w:t>
      </w:r>
      <w:r w:rsidRPr="00BF6615">
        <w:t>wieku 40-49 lat (</w:t>
      </w:r>
      <w:r w:rsidR="004B3019" w:rsidRPr="00BF6615">
        <w:t>29</w:t>
      </w:r>
      <w:r w:rsidRPr="00BF6615">
        <w:t xml:space="preserve">%). Kolejne pod względem liczebności były grupy: </w:t>
      </w:r>
      <w:r w:rsidR="00987809" w:rsidRPr="00BF6615">
        <w:t>30-39</w:t>
      </w:r>
      <w:r w:rsidR="00E91B97" w:rsidRPr="00BF6615">
        <w:t xml:space="preserve"> i</w:t>
      </w:r>
      <w:r w:rsidRPr="00BF6615">
        <w:t xml:space="preserve"> 50-60 lat. Najmniej liczną grupą byli respondenci w wieku </w:t>
      </w:r>
      <w:r w:rsidR="00E91B97" w:rsidRPr="00BF6615">
        <w:t>18- 29</w:t>
      </w:r>
      <w:r w:rsidRPr="00BF6615">
        <w:t xml:space="preserve"> lat. Poniższy wykres przedstawia szczegółowy rozkład respondentów według przedziałów wiekowych.</w:t>
      </w:r>
    </w:p>
    <w:p w14:paraId="08ED179B" w14:textId="24C36EAD" w:rsidR="00B00A6D" w:rsidRPr="00BF6615" w:rsidRDefault="00B00A6D" w:rsidP="007E26B5">
      <w:pPr>
        <w:pStyle w:val="Legenda"/>
        <w:keepNext/>
      </w:pPr>
      <w:bookmarkStart w:id="256" w:name="_Toc204179184"/>
      <w:r w:rsidRPr="00BF6615">
        <w:t xml:space="preserve">Wykres </w:t>
      </w:r>
      <w:r w:rsidRPr="00BF6615">
        <w:fldChar w:fldCharType="begin"/>
      </w:r>
      <w:r w:rsidRPr="00BF6615">
        <w:instrText xml:space="preserve"> SEQ Wykres \* ARABIC </w:instrText>
      </w:r>
      <w:r w:rsidRPr="00BF6615">
        <w:fldChar w:fldCharType="separate"/>
      </w:r>
      <w:r w:rsidR="00FD0843">
        <w:rPr>
          <w:noProof/>
        </w:rPr>
        <w:t>38</w:t>
      </w:r>
      <w:r w:rsidRPr="00BF6615">
        <w:fldChar w:fldCharType="end"/>
      </w:r>
      <w:r w:rsidR="00FD0843">
        <w:t>.</w:t>
      </w:r>
      <w:r w:rsidRPr="00BF6615">
        <w:t xml:space="preserve"> Wiek respondentów w grupie </w:t>
      </w:r>
      <w:r w:rsidR="005620F0" w:rsidRPr="00BF6615">
        <w:t>osoby z niepełnosprawnościami</w:t>
      </w:r>
      <w:r w:rsidRPr="00BF6615">
        <w:t xml:space="preserve"> (n=10</w:t>
      </w:r>
      <w:r w:rsidR="008C0B7F" w:rsidRPr="00BF6615">
        <w:t>6</w:t>
      </w:r>
      <w:r w:rsidRPr="00BF6615">
        <w:t>)</w:t>
      </w:r>
      <w:bookmarkEnd w:id="256"/>
    </w:p>
    <w:p w14:paraId="70E6AF1D" w14:textId="6EFB52CF" w:rsidR="004B3019" w:rsidRPr="00BF6615" w:rsidRDefault="004B3019" w:rsidP="007E26B5">
      <w:r w:rsidRPr="00BF6615">
        <w:rPr>
          <w:noProof/>
          <w:lang w:eastAsia="pl-PL"/>
        </w:rPr>
        <w:drawing>
          <wp:inline distT="0" distB="0" distL="0" distR="0" wp14:anchorId="3AA4C13E" wp14:editId="050D2541">
            <wp:extent cx="5522613" cy="2661719"/>
            <wp:effectExtent l="0" t="0" r="1905" b="5715"/>
            <wp:docPr id="1154308911" name="Wykres 1" descr="18-29 - 12%&#10;30-39 - 20%&#10;40-49 - 29%&#10;50-60 - 20%&#10;60+ - 19%">
              <a:extLst xmlns:a="http://schemas.openxmlformats.org/drawingml/2006/main">
                <a:ext uri="{FF2B5EF4-FFF2-40B4-BE49-F238E27FC236}">
                  <a16:creationId xmlns:a16="http://schemas.microsoft.com/office/drawing/2014/main" id="{70AEF977-35DF-4759-B9EA-16CB956B01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AAF4A70" w14:textId="6D5D8AE1" w:rsidR="00B00A6D" w:rsidRPr="00BF6615" w:rsidRDefault="00B00A6D" w:rsidP="007E26B5"/>
    <w:p w14:paraId="01C755DA" w14:textId="77777777" w:rsidR="00B00A6D" w:rsidRPr="00BF6615" w:rsidRDefault="00B00A6D" w:rsidP="007E26B5">
      <w:r w:rsidRPr="00BF6615">
        <w:t>Źródło: opracowanie własne.</w:t>
      </w:r>
    </w:p>
    <w:p w14:paraId="472A32EB" w14:textId="36FFA557" w:rsidR="00B00A6D" w:rsidRPr="00BF6615" w:rsidRDefault="00B00A6D" w:rsidP="007E26B5">
      <w:r w:rsidRPr="00BF6615">
        <w:t xml:space="preserve">Analiza danych wskazuje, że najwięcej respondentów pochodziło z miast powyżej </w:t>
      </w:r>
      <w:r w:rsidR="009E1E02" w:rsidRPr="00BF6615">
        <w:t>2</w:t>
      </w:r>
      <w:r w:rsidRPr="00BF6615">
        <w:t>0 tys.</w:t>
      </w:r>
      <w:r w:rsidR="009E1E02" w:rsidRPr="00BF6615">
        <w:t xml:space="preserve"> do 10</w:t>
      </w:r>
      <w:r w:rsidR="1D972E8F" w:rsidRPr="00BF6615">
        <w:t>0</w:t>
      </w:r>
      <w:r w:rsidR="009E1E02" w:rsidRPr="00BF6615">
        <w:t xml:space="preserve"> tys. mieszkańców. Udział poszczególnych </w:t>
      </w:r>
      <w:r w:rsidR="00CD6742" w:rsidRPr="00BF6615">
        <w:t>miejsc zamieszkania był zbliżony</w:t>
      </w:r>
      <w:r w:rsidR="00C64A81" w:rsidRPr="00BF6615">
        <w:t xml:space="preserve">. </w:t>
      </w:r>
    </w:p>
    <w:p w14:paraId="38F02B53" w14:textId="77777777" w:rsidR="00B00A6D" w:rsidRPr="00BF6615" w:rsidRDefault="00B00A6D" w:rsidP="007E26B5"/>
    <w:p w14:paraId="70BAF3B4" w14:textId="7879A4B5" w:rsidR="00B00A6D" w:rsidRPr="00BF6615" w:rsidRDefault="00B00A6D" w:rsidP="007E26B5">
      <w:pPr>
        <w:pStyle w:val="Legenda"/>
        <w:keepNext/>
      </w:pPr>
      <w:bookmarkStart w:id="257" w:name="_Toc204179185"/>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39</w:t>
      </w:r>
      <w:r w:rsidRPr="00BF6615">
        <w:fldChar w:fldCharType="end"/>
      </w:r>
      <w:r w:rsidR="00FD0843">
        <w:t>.</w:t>
      </w:r>
      <w:r w:rsidRPr="00BF6615">
        <w:t xml:space="preserve"> Wielkość miejsca zamieszkania w grupie </w:t>
      </w:r>
      <w:r w:rsidR="008C0B7F" w:rsidRPr="00BF6615">
        <w:t>osoby z niepełnosprawnościami</w:t>
      </w:r>
      <w:r w:rsidRPr="00BF6615">
        <w:t xml:space="preserve"> (n=10</w:t>
      </w:r>
      <w:r w:rsidR="008C0B7F" w:rsidRPr="00BF6615">
        <w:t>6</w:t>
      </w:r>
      <w:r w:rsidRPr="00BF6615">
        <w:t>)</w:t>
      </w:r>
      <w:bookmarkEnd w:id="257"/>
    </w:p>
    <w:p w14:paraId="09228CA4" w14:textId="7101CE48" w:rsidR="008C0B7F" w:rsidRPr="00BF6615" w:rsidRDefault="008C0B7F" w:rsidP="007E26B5">
      <w:r w:rsidRPr="00BF6615">
        <w:rPr>
          <w:noProof/>
          <w:lang w:eastAsia="pl-PL"/>
        </w:rPr>
        <w:drawing>
          <wp:inline distT="0" distB="0" distL="0" distR="0" wp14:anchorId="6D5384DC" wp14:editId="41B58D0E">
            <wp:extent cx="5278170" cy="2634558"/>
            <wp:effectExtent l="0" t="0" r="0" b="0"/>
            <wp:docPr id="776554430" name="Wykres 1" descr="miasto powyżej 100 tys. do 500 tys. - 24%&#10;miasto powyżej 20 tys. do 100 tys. - 27%&#10;miasto powyżej 500 tys. - 23%&#10;wieś i małe miasto do 20 tys. -26%">
              <a:extLst xmlns:a="http://schemas.openxmlformats.org/drawingml/2006/main">
                <a:ext uri="{FF2B5EF4-FFF2-40B4-BE49-F238E27FC236}">
                  <a16:creationId xmlns:a16="http://schemas.microsoft.com/office/drawing/2014/main" id="{A9A23D5D-5DF0-4B88-B5DC-8DB69AE9A0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B7028BE" w14:textId="77777777" w:rsidR="00B00A6D" w:rsidRPr="00BF6615" w:rsidRDefault="00B00A6D" w:rsidP="00FD0843">
      <w:r w:rsidRPr="00BF6615">
        <w:t>Źródło: opracowanie własne.</w:t>
      </w:r>
    </w:p>
    <w:p w14:paraId="6D896FB8" w14:textId="76B78CB8" w:rsidR="00B00A6D" w:rsidRPr="00BF6615" w:rsidRDefault="342C5312" w:rsidP="007E26B5">
      <w:r w:rsidRPr="00BF6615">
        <w:t xml:space="preserve">W badanej grupie znalazły się wszystkie badane typy niepełnosprawności w zbliżonych proporcjach. </w:t>
      </w:r>
      <w:r w:rsidR="00B00A6D" w:rsidRPr="00BF6615">
        <w:t>W badaniu dominowali respondenci aktywni zawodowo – zarówno zatrudnieni na umowę o pracę, jak i prowadzący działalność gospodarczą</w:t>
      </w:r>
      <w:r w:rsidR="0091651F" w:rsidRPr="00BF6615">
        <w:t xml:space="preserve"> czy poszukujący pracy</w:t>
      </w:r>
      <w:r w:rsidR="00B00A6D" w:rsidRPr="00BF6615">
        <w:t xml:space="preserve">. </w:t>
      </w:r>
      <w:r w:rsidR="008A1D0B" w:rsidRPr="00BF6615">
        <w:t xml:space="preserve">W grupie pracujących </w:t>
      </w:r>
      <w:r w:rsidR="005F2832" w:rsidRPr="00BF6615">
        <w:t>podział pomiędzy poszczególne typy niepełnosprawności był zbliżony</w:t>
      </w:r>
      <w:r w:rsidR="08D0CE6D" w:rsidRPr="00BF6615">
        <w:t>, przy czym</w:t>
      </w:r>
      <w:r w:rsidR="53EBB6F3" w:rsidRPr="00BF6615">
        <w:t xml:space="preserve"> </w:t>
      </w:r>
      <w:r w:rsidR="3B9C0D62" w:rsidRPr="00BF6615">
        <w:t>n</w:t>
      </w:r>
      <w:r w:rsidR="00A177CC" w:rsidRPr="00BF6615">
        <w:t xml:space="preserve">ajwięcej osób pracujących </w:t>
      </w:r>
      <w:r w:rsidR="00DD6986" w:rsidRPr="00BF6615">
        <w:t>to osoby słabowidzące</w:t>
      </w:r>
      <w:r w:rsidR="005962C8" w:rsidRPr="00BF6615">
        <w:t xml:space="preserve"> </w:t>
      </w:r>
      <w:r w:rsidR="00DD6986" w:rsidRPr="00BF6615">
        <w:t>-</w:t>
      </w:r>
      <w:r w:rsidR="005962C8" w:rsidRPr="00BF6615">
        <w:t xml:space="preserve"> </w:t>
      </w:r>
      <w:r w:rsidR="00DD6986" w:rsidRPr="00BF6615">
        <w:t xml:space="preserve">12, a najmniej osoby </w:t>
      </w:r>
      <w:r w:rsidR="00A9388E" w:rsidRPr="00BF6615">
        <w:t>niewidome</w:t>
      </w:r>
      <w:r w:rsidR="005962C8" w:rsidRPr="00BF6615">
        <w:t xml:space="preserve"> </w:t>
      </w:r>
      <w:r w:rsidR="00A9388E" w:rsidRPr="00BF6615">
        <w:t xml:space="preserve">- 6. </w:t>
      </w:r>
      <w:r w:rsidR="008B0B0A" w:rsidRPr="00BF6615">
        <w:t>W</w:t>
      </w:r>
      <w:r w:rsidR="008B0B0A">
        <w:t> </w:t>
      </w:r>
      <w:r w:rsidR="004F0F54" w:rsidRPr="00BF6615">
        <w:t>badanej grupie wyraźnie wyższy niż w innych grupach jest odsetek osób na rencie-wynosi on 21%</w:t>
      </w:r>
      <w:r w:rsidR="00B00A6D" w:rsidRPr="00BF6615">
        <w:t xml:space="preserve">. Szczegółowy rozkład </w:t>
      </w:r>
      <w:r w:rsidR="44AFCD2C" w:rsidRPr="00BF6615">
        <w:t xml:space="preserve">statusu na rynku pracy </w:t>
      </w:r>
      <w:r w:rsidR="00B00A6D" w:rsidRPr="00BF6615">
        <w:t>przedstawiono w tabeli poniżej.</w:t>
      </w:r>
    </w:p>
    <w:p w14:paraId="4C8FDFFA" w14:textId="77777777" w:rsidR="00B00A6D" w:rsidRPr="00BF6615" w:rsidRDefault="00B00A6D" w:rsidP="007E26B5"/>
    <w:p w14:paraId="469056A8" w14:textId="173AFF87" w:rsidR="00B00A6D" w:rsidRPr="00BF6615" w:rsidRDefault="00B00A6D" w:rsidP="007E26B5">
      <w:pPr>
        <w:pStyle w:val="Legenda"/>
        <w:keepNext/>
      </w:pPr>
      <w:bookmarkStart w:id="258" w:name="_Toc204179186"/>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40</w:t>
      </w:r>
      <w:r w:rsidRPr="00BF6615">
        <w:fldChar w:fldCharType="end"/>
      </w:r>
      <w:r w:rsidRPr="00BF6615">
        <w:t xml:space="preserve"> Status na rynku pracy w grupie </w:t>
      </w:r>
      <w:r w:rsidR="0014522B" w:rsidRPr="00BF6615">
        <w:t>osoby z niepełnosprawnościami</w:t>
      </w:r>
      <w:r w:rsidRPr="00BF6615">
        <w:t xml:space="preserve"> (n=10</w:t>
      </w:r>
      <w:r w:rsidR="004F0F54" w:rsidRPr="00BF6615">
        <w:t>6</w:t>
      </w:r>
      <w:r w:rsidRPr="00BF6615">
        <w:t>)</w:t>
      </w:r>
      <w:bookmarkEnd w:id="258"/>
    </w:p>
    <w:p w14:paraId="22FB529A" w14:textId="51BC8098" w:rsidR="00450ED0" w:rsidRPr="00BF6615" w:rsidRDefault="00450ED0" w:rsidP="007E26B5">
      <w:r w:rsidRPr="00BF6615">
        <w:rPr>
          <w:noProof/>
          <w:lang w:eastAsia="pl-PL"/>
        </w:rPr>
        <w:drawing>
          <wp:inline distT="0" distB="0" distL="0" distR="0" wp14:anchorId="479E34B0" wp14:editId="6CE5466D">
            <wp:extent cx="5486400" cy="3479800"/>
            <wp:effectExtent l="0" t="0" r="0" b="6350"/>
            <wp:docPr id="28129185" name="Wykres 1" descr="osoba ucząca się - 3%&#10;osoba prowadząca własną działalność gospodarczą - 3%&#10;osoba pracująca i ucząca - 3%&#10;osoba pracująca - 44%&#10;osoba niepracująca, poszukująca pracy - 11%&#10;osoba niepracująca i nieposzukująca pracy - 2%&#10;osoba na rencie - 21%&#10;osoba na emeryturze - 13%&#10;">
              <a:extLst xmlns:a="http://schemas.openxmlformats.org/drawingml/2006/main">
                <a:ext uri="{FF2B5EF4-FFF2-40B4-BE49-F238E27FC236}">
                  <a16:creationId xmlns:a16="http://schemas.microsoft.com/office/drawing/2014/main" id="{98A28B1F-AE2B-40C1-A5A1-8D579D1CCE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C926E03" w14:textId="77777777" w:rsidR="00B00A6D" w:rsidRPr="00BF6615" w:rsidRDefault="00B00A6D" w:rsidP="00FD0843">
      <w:r w:rsidRPr="00BF6615">
        <w:t>Źródło: opracowanie własne.</w:t>
      </w:r>
    </w:p>
    <w:p w14:paraId="4441F8B8" w14:textId="29944E83" w:rsidR="00B00A6D" w:rsidRPr="00060682" w:rsidRDefault="00B00A6D" w:rsidP="00B271C3">
      <w:pPr>
        <w:pStyle w:val="Nagwek4"/>
        <w:rPr>
          <w:bCs/>
        </w:rPr>
      </w:pPr>
      <w:r w:rsidRPr="00060682">
        <w:rPr>
          <w:bCs/>
        </w:rPr>
        <w:t xml:space="preserve">Korzystanie z </w:t>
      </w:r>
      <w:r w:rsidR="00B913A5" w:rsidRPr="00060682">
        <w:rPr>
          <w:bCs/>
        </w:rPr>
        <w:t xml:space="preserve">komputera i </w:t>
      </w:r>
      <w:r w:rsidRPr="00060682">
        <w:rPr>
          <w:bCs/>
        </w:rPr>
        <w:t>Internetu</w:t>
      </w:r>
    </w:p>
    <w:p w14:paraId="1CD00B27" w14:textId="53529B6F" w:rsidR="0007224F" w:rsidRPr="00BF6615" w:rsidRDefault="00B00A6D" w:rsidP="007E26B5">
      <w:r w:rsidRPr="00BF6615">
        <w:t>W grupie badanej znalazły się osoby, które deklarowały, że potrafią bardzo dobrze posługiwać się komputerem (</w:t>
      </w:r>
      <w:r w:rsidR="00F67620" w:rsidRPr="00BF6615">
        <w:t>37</w:t>
      </w:r>
      <w:r w:rsidRPr="00BF6615">
        <w:t>%) oraz, że potrafią dobrze posługiwać się komputerem (</w:t>
      </w:r>
      <w:r w:rsidR="00F67620" w:rsidRPr="00BF6615">
        <w:t>38</w:t>
      </w:r>
      <w:r w:rsidRPr="00BF6615">
        <w:t xml:space="preserve">%), pozostałe osoby wskazały, </w:t>
      </w:r>
      <w:r w:rsidR="37B619AF" w:rsidRPr="00BF6615">
        <w:t xml:space="preserve">że </w:t>
      </w:r>
      <w:r w:rsidRPr="00BF6615">
        <w:t>potrafią posługiwać się komputerem w wystarczającym stopniu do ich potrzeb. Osoby, które potrafią bardzo dobrze posługiwać się komputerem, to najczęściej osoby pracujące</w:t>
      </w:r>
      <w:r w:rsidR="0007224F" w:rsidRPr="00BF6615">
        <w:t xml:space="preserve">. W grupie osób deklarujących wysokie umiejętności obsługi komputera </w:t>
      </w:r>
      <w:r w:rsidR="007B3B60" w:rsidRPr="00BF6615">
        <w:t>najliczniej reprezentowane były</w:t>
      </w:r>
      <w:r w:rsidR="0007224F" w:rsidRPr="00BF6615">
        <w:t xml:space="preserve"> osoby z grupy </w:t>
      </w:r>
      <w:r w:rsidR="008C744B" w:rsidRPr="00BF6615">
        <w:t>osób z niepełnosprawnością intelektualną lub ograniczeniami poznawczymi (11)</w:t>
      </w:r>
      <w:r w:rsidR="007B3B60" w:rsidRPr="00BF6615">
        <w:t xml:space="preserve">, najmniej licznie osoby głuche </w:t>
      </w:r>
      <w:r w:rsidR="007C1024" w:rsidRPr="00BF6615">
        <w:t xml:space="preserve">lub niedosłyszące </w:t>
      </w:r>
      <w:r w:rsidR="007B3B60" w:rsidRPr="00BF6615">
        <w:t>(3).</w:t>
      </w:r>
    </w:p>
    <w:p w14:paraId="58780661" w14:textId="1E4AA480" w:rsidR="0098150D" w:rsidRPr="00BF6615" w:rsidRDefault="00B00A6D" w:rsidP="007E26B5">
      <w:r w:rsidRPr="00BF6615">
        <w:t>Biegłość w obsłudze Internetu deklarowało 3</w:t>
      </w:r>
      <w:r w:rsidR="00FB1426" w:rsidRPr="00BF6615">
        <w:t>7</w:t>
      </w:r>
      <w:r w:rsidRPr="00BF6615">
        <w:t xml:space="preserve">% badanych, a </w:t>
      </w:r>
      <w:r w:rsidR="00BD58C5" w:rsidRPr="00BF6615">
        <w:t>38</w:t>
      </w:r>
      <w:r w:rsidRPr="00BF6615">
        <w:t>% oceniała swoje umiejętności, jako dobre</w:t>
      </w:r>
      <w:r w:rsidR="00A30DF7" w:rsidRPr="00BF6615">
        <w:t xml:space="preserve">- co łącznie daje wynik </w:t>
      </w:r>
      <w:r w:rsidR="00FC28F8" w:rsidRPr="00BF6615">
        <w:t xml:space="preserve">75% i jest to wynik </w:t>
      </w:r>
      <w:r w:rsidR="0098150D" w:rsidRPr="00BF6615">
        <w:t>zdecydowanie wyższy niż w nadaniu GUS</w:t>
      </w:r>
      <w:r w:rsidR="00884823" w:rsidRPr="00BF6615">
        <w:rPr>
          <w:rStyle w:val="Odwoanieprzypisudolnego"/>
        </w:rPr>
        <w:footnoteReference w:id="41"/>
      </w:r>
      <w:r w:rsidR="0098150D" w:rsidRPr="00BF6615">
        <w:t>, gdzie</w:t>
      </w:r>
      <w:r w:rsidR="005F6EEC">
        <w:t xml:space="preserve"> 53,38%</w:t>
      </w:r>
      <w:r w:rsidR="0098150D" w:rsidRPr="00BF6615">
        <w:t xml:space="preserve">  osób z niepełnosprawnościami</w:t>
      </w:r>
      <w:r w:rsidR="008C2D7E" w:rsidRPr="00BF6615">
        <w:rPr>
          <w:rStyle w:val="Odwoanieprzypisudolnego"/>
        </w:rPr>
        <w:footnoteReference w:id="42"/>
      </w:r>
      <w:r w:rsidR="0098150D" w:rsidRPr="00BF6615">
        <w:t xml:space="preserve"> deklaruje</w:t>
      </w:r>
      <w:r w:rsidR="00884823" w:rsidRPr="00BF6615">
        <w:t xml:space="preserve"> posiadanie </w:t>
      </w:r>
      <w:bookmarkStart w:id="259" w:name="_Hlk202089400"/>
      <w:r w:rsidR="00884823" w:rsidRPr="00BF6615">
        <w:t>ponadpodstawowych umiejętności korzystania z informacji i danych</w:t>
      </w:r>
      <w:bookmarkEnd w:id="259"/>
      <w:r w:rsidRPr="00BF6615">
        <w:t>.</w:t>
      </w:r>
      <w:r w:rsidR="00BD58C5" w:rsidRPr="00BF6615">
        <w:t xml:space="preserve"> </w:t>
      </w:r>
    </w:p>
    <w:p w14:paraId="580A84F5" w14:textId="309574B4" w:rsidR="005B50AF" w:rsidRPr="00BF6615" w:rsidRDefault="00B00A6D" w:rsidP="007E26B5">
      <w:r w:rsidRPr="00BF6615">
        <w:lastRenderedPageBreak/>
        <w:t>Zdecydowana większość badanych wskazywała, że korzysta z Internetu codziennie (9</w:t>
      </w:r>
      <w:r w:rsidR="00AC2C8C" w:rsidRPr="00BF6615">
        <w:t>2</w:t>
      </w:r>
      <w:r w:rsidRPr="00BF6615">
        <w:t>%)</w:t>
      </w:r>
      <w:r w:rsidR="00C13D4C" w:rsidRPr="00BF6615">
        <w:t>.</w:t>
      </w:r>
      <w:r w:rsidRPr="00BF6615">
        <w:t xml:space="preserve"> Wynik ten należy uznać za bardzo wysoki</w:t>
      </w:r>
      <w:r w:rsidR="005B50AF" w:rsidRPr="00BF6615">
        <w:t>- jest on znacząco wyższy niż wyniki w badaniu GUS</w:t>
      </w:r>
      <w:r w:rsidR="002E02FF" w:rsidRPr="00BF6615">
        <w:rPr>
          <w:rStyle w:val="Odwoanieprzypisudolnego"/>
        </w:rPr>
        <w:footnoteReference w:id="43"/>
      </w:r>
      <w:r w:rsidR="005B50AF" w:rsidRPr="00BF6615">
        <w:t xml:space="preserve">, gdzie </w:t>
      </w:r>
      <w:r w:rsidR="005F6EEC">
        <w:t>65,24</w:t>
      </w:r>
      <w:r w:rsidR="002E02FF" w:rsidRPr="00BF6615">
        <w:t>% badanych deklaruje codzienne korzystanie z Internetu.</w:t>
      </w:r>
      <w:r w:rsidR="00B8367D" w:rsidRPr="00BF6615">
        <w:t xml:space="preserve"> Wyższy wynik może wynikać ze specyfiki badania i doboru grupy badane, która posiada umiejętności cyfrowe, co było warunkiem wstępnym deklaratywnym udziału w badaniu.</w:t>
      </w:r>
    </w:p>
    <w:p w14:paraId="75DE9D22" w14:textId="2AEAA5C3" w:rsidR="00B00A6D" w:rsidRPr="00BF6615" w:rsidRDefault="00B00A6D" w:rsidP="007E26B5">
      <w:pPr>
        <w:pStyle w:val="Legenda"/>
        <w:keepNext/>
      </w:pPr>
      <w:bookmarkStart w:id="260" w:name="_Toc204179187"/>
      <w:r w:rsidRPr="00BF6615">
        <w:t xml:space="preserve">Wykres </w:t>
      </w:r>
      <w:r w:rsidRPr="00BF6615">
        <w:fldChar w:fldCharType="begin"/>
      </w:r>
      <w:r w:rsidRPr="00BF6615">
        <w:instrText xml:space="preserve"> SEQ Wykres \* ARABIC </w:instrText>
      </w:r>
      <w:r w:rsidRPr="00BF6615">
        <w:fldChar w:fldCharType="separate"/>
      </w:r>
      <w:r w:rsidR="00FD0843">
        <w:rPr>
          <w:noProof/>
        </w:rPr>
        <w:t>41</w:t>
      </w:r>
      <w:r w:rsidRPr="00BF6615">
        <w:fldChar w:fldCharType="end"/>
      </w:r>
      <w:r w:rsidR="00FD0843">
        <w:t>.</w:t>
      </w:r>
      <w:r w:rsidRPr="00BF6615">
        <w:t xml:space="preserve"> Częstotliwość korzystania z Internetu w grupie o</w:t>
      </w:r>
      <w:r w:rsidR="00E96DE4" w:rsidRPr="00BF6615">
        <w:t>soby z niepełnosprawnościami</w:t>
      </w:r>
      <w:r w:rsidRPr="00BF6615">
        <w:t xml:space="preserve"> (n=10</w:t>
      </w:r>
      <w:r w:rsidR="00E96DE4" w:rsidRPr="00BF6615">
        <w:t>6</w:t>
      </w:r>
      <w:r w:rsidRPr="00BF6615">
        <w:t>)</w:t>
      </w:r>
      <w:bookmarkEnd w:id="260"/>
    </w:p>
    <w:p w14:paraId="45B9FD10" w14:textId="37B338A5" w:rsidR="00B00A6D" w:rsidRPr="00BF6615" w:rsidRDefault="005C599F" w:rsidP="007E26B5">
      <w:r w:rsidRPr="00BF6615">
        <w:rPr>
          <w:noProof/>
          <w:lang w:eastAsia="pl-PL"/>
        </w:rPr>
        <w:drawing>
          <wp:inline distT="0" distB="0" distL="0" distR="0" wp14:anchorId="7190ED80" wp14:editId="5A6B57E1">
            <wp:extent cx="5251010" cy="2987644"/>
            <wp:effectExtent l="0" t="0" r="6985" b="3810"/>
            <wp:docPr id="1961371321" name="Wykres 1" descr="codziennie - 92%&#10;kilka razy w tygodniu - 8%">
              <a:extLst xmlns:a="http://schemas.openxmlformats.org/drawingml/2006/main">
                <a:ext uri="{FF2B5EF4-FFF2-40B4-BE49-F238E27FC236}">
                  <a16:creationId xmlns:a16="http://schemas.microsoft.com/office/drawing/2014/main" id="{FF7CCB77-EBE0-42B8-86AE-C26A089A84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B2E19E5" w14:textId="77777777" w:rsidR="00B00A6D" w:rsidRPr="00BF6615" w:rsidRDefault="00B00A6D" w:rsidP="00FD0843">
      <w:r w:rsidRPr="00BF6615">
        <w:t>Źródło: opracowanie własne.</w:t>
      </w:r>
    </w:p>
    <w:p w14:paraId="6C7F4688" w14:textId="7A9E58B7" w:rsidR="00B00A6D" w:rsidRPr="00BF6615" w:rsidRDefault="00B00A6D" w:rsidP="007E26B5">
      <w:r w:rsidRPr="00BF6615">
        <w:t xml:space="preserve">Cele korzystania z Internetu w grupie badanej pozostają zbieżne z badaniami </w:t>
      </w:r>
      <w:r w:rsidRPr="00BF6615">
        <w:rPr>
          <w:rFonts w:cstheme="minorHAnsi"/>
        </w:rPr>
        <w:t>GUS</w:t>
      </w:r>
      <w:r w:rsidRPr="00BF6615">
        <w:rPr>
          <w:rStyle w:val="Odwoanieprzypisudolnego"/>
          <w:rFonts w:cstheme="minorHAnsi"/>
        </w:rPr>
        <w:footnoteReference w:id="44"/>
      </w:r>
      <w:r w:rsidRPr="00BF6615">
        <w:rPr>
          <w:rFonts w:cstheme="minorHAnsi"/>
        </w:rPr>
        <w:t xml:space="preserve">, gdzie w tej grupie przeważa cel związany z komunikowaniem się na co wskazuje </w:t>
      </w:r>
      <w:r w:rsidR="005F6EEC">
        <w:rPr>
          <w:rFonts w:cstheme="minorHAnsi"/>
        </w:rPr>
        <w:t>61,16</w:t>
      </w:r>
      <w:r w:rsidRPr="00BF6615">
        <w:rPr>
          <w:rFonts w:cstheme="minorHAnsi"/>
        </w:rPr>
        <w:t>% badanych. Dokładnie tak wskazują r</w:t>
      </w:r>
      <w:r w:rsidRPr="00BF6615">
        <w:t>espondenci, którzy uznali ten cel za najważniejszy (</w:t>
      </w:r>
      <w:r w:rsidR="009B63D4" w:rsidRPr="00BF6615">
        <w:t>73</w:t>
      </w:r>
      <w:r w:rsidRPr="00BF6615">
        <w:t>%), dodatkowo wysoki wynik uzyskał cel związany z rozrywką (</w:t>
      </w:r>
      <w:r w:rsidR="009160B0" w:rsidRPr="00BF6615">
        <w:t>6</w:t>
      </w:r>
      <w:r w:rsidR="009B63D4" w:rsidRPr="00BF6615">
        <w:t>4</w:t>
      </w:r>
      <w:r w:rsidRPr="00BF6615">
        <w:t xml:space="preserve">%). Ważną rolę odgrywają także cele związane z </w:t>
      </w:r>
      <w:r w:rsidR="00CC0F0B" w:rsidRPr="00BF6615">
        <w:t>poszukiwanie informacji (52%)</w:t>
      </w:r>
      <w:r w:rsidR="00CD7761" w:rsidRPr="00BF6615">
        <w:t>. K</w:t>
      </w:r>
      <w:r w:rsidR="00CC0F0B" w:rsidRPr="00BF6615">
        <w:t>olejne są kwestie załatwiania</w:t>
      </w:r>
      <w:r w:rsidRPr="00BF6615">
        <w:t xml:space="preserve"> spraw </w:t>
      </w:r>
      <w:r w:rsidR="00E13ECA" w:rsidRPr="00BF6615">
        <w:t>zdrowotnych</w:t>
      </w:r>
      <w:r w:rsidRPr="00BF6615">
        <w:t xml:space="preserve"> (5</w:t>
      </w:r>
      <w:r w:rsidR="00E13ECA" w:rsidRPr="00BF6615">
        <w:t>0</w:t>
      </w:r>
      <w:r w:rsidRPr="00BF6615">
        <w:t>%)</w:t>
      </w:r>
      <w:r w:rsidR="008B0B0A">
        <w:t xml:space="preserve"> – </w:t>
      </w:r>
      <w:r w:rsidR="00C47574" w:rsidRPr="00BF6615">
        <w:t>te również w badaniu G</w:t>
      </w:r>
      <w:r w:rsidR="00CD7761" w:rsidRPr="00BF6615">
        <w:t>US</w:t>
      </w:r>
      <w:r w:rsidR="00C47574" w:rsidRPr="00BF6615">
        <w:t xml:space="preserve"> </w:t>
      </w:r>
      <w:r w:rsidR="00CD7761" w:rsidRPr="00BF6615">
        <w:t>w tej grupie</w:t>
      </w:r>
      <w:r w:rsidR="00C47574" w:rsidRPr="00BF6615">
        <w:t xml:space="preserve"> zajmują wysok</w:t>
      </w:r>
      <w:r w:rsidR="00CD7761" w:rsidRPr="00BF6615">
        <w:t>ą</w:t>
      </w:r>
      <w:r w:rsidR="00C47574" w:rsidRPr="00BF6615">
        <w:t xml:space="preserve"> pozycję (</w:t>
      </w:r>
      <w:r w:rsidR="00CD7761" w:rsidRPr="00BF6615">
        <w:t>4</w:t>
      </w:r>
      <w:r w:rsidR="005F6EEC">
        <w:t>6,6</w:t>
      </w:r>
      <w:r w:rsidR="00CD7761" w:rsidRPr="00BF6615">
        <w:t>%)</w:t>
      </w:r>
      <w:r w:rsidRPr="00BF6615">
        <w:t xml:space="preserve">. </w:t>
      </w:r>
      <w:r w:rsidR="00CD7761" w:rsidRPr="00BF6615">
        <w:t xml:space="preserve">Duża liczba wskazań na kwestie zdrowotne wynika z charakterystyki grupy badanej- osoby z niepełnosprawnością </w:t>
      </w:r>
      <w:r w:rsidR="00B44BDB" w:rsidRPr="00BF6615">
        <w:t xml:space="preserve">mogą </w:t>
      </w:r>
      <w:r w:rsidR="00CD7761" w:rsidRPr="00BF6615">
        <w:t xml:space="preserve">częściej </w:t>
      </w:r>
      <w:r w:rsidR="00B44BDB" w:rsidRPr="00BF6615">
        <w:t>korzystać</w:t>
      </w:r>
      <w:r w:rsidR="00CD7761" w:rsidRPr="00BF6615">
        <w:t xml:space="preserve"> z systemu służby zdrowia.</w:t>
      </w:r>
      <w:r w:rsidR="00AB482B" w:rsidRPr="00BF6615">
        <w:t xml:space="preserve"> Najwięcej wskazań </w:t>
      </w:r>
      <w:r w:rsidR="00F84944" w:rsidRPr="00BF6615">
        <w:t xml:space="preserve">było w grupie osób </w:t>
      </w:r>
      <w:r w:rsidR="00FB0F17" w:rsidRPr="00BF6615">
        <w:t xml:space="preserve">niewidomych- 80% grupy badanej. </w:t>
      </w:r>
      <w:r w:rsidRPr="00BF6615">
        <w:t>Poniższy wykres przedstawia szczegółowy rozkład wskazań.</w:t>
      </w:r>
    </w:p>
    <w:p w14:paraId="69C1C6EB" w14:textId="280354BD" w:rsidR="00B00A6D" w:rsidRPr="00BF6615" w:rsidRDefault="00B00A6D" w:rsidP="007E26B5">
      <w:pPr>
        <w:pStyle w:val="Legenda"/>
        <w:keepNext/>
      </w:pPr>
      <w:bookmarkStart w:id="261" w:name="_Toc204179188"/>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42</w:t>
      </w:r>
      <w:r w:rsidRPr="00BF6615">
        <w:fldChar w:fldCharType="end"/>
      </w:r>
      <w:r w:rsidR="00FD0843">
        <w:t>.</w:t>
      </w:r>
      <w:r w:rsidRPr="00BF6615">
        <w:t xml:space="preserve"> Cele korzystania z Internetu w grupie</w:t>
      </w:r>
      <w:r w:rsidR="00FA0D92" w:rsidRPr="00BF6615">
        <w:t xml:space="preserve"> osoby</w:t>
      </w:r>
      <w:r w:rsidRPr="00BF6615">
        <w:t xml:space="preserve"> </w:t>
      </w:r>
      <w:r w:rsidR="00FA0D92" w:rsidRPr="00BF6615">
        <w:t>z niepełnosprawnościami</w:t>
      </w:r>
      <w:r w:rsidRPr="00BF6615">
        <w:t xml:space="preserve"> (n=10</w:t>
      </w:r>
      <w:r w:rsidR="00B1543D" w:rsidRPr="00BF6615">
        <w:t>6</w:t>
      </w:r>
      <w:r w:rsidRPr="00BF6615">
        <w:t>)</w:t>
      </w:r>
      <w:bookmarkEnd w:id="261"/>
    </w:p>
    <w:p w14:paraId="103817D1" w14:textId="489FAEE0" w:rsidR="00B1543D" w:rsidRPr="00BF6615" w:rsidRDefault="00B1543D" w:rsidP="007E26B5">
      <w:r w:rsidRPr="00BF6615">
        <w:rPr>
          <w:noProof/>
          <w:lang w:eastAsia="pl-PL"/>
        </w:rPr>
        <w:drawing>
          <wp:inline distT="0" distB="0" distL="0" distR="0" wp14:anchorId="3104A32A" wp14:editId="22817AFC">
            <wp:extent cx="5486400" cy="4762500"/>
            <wp:effectExtent l="0" t="0" r="0" b="0"/>
            <wp:docPr id="833282140" name="Wykres 1" descr="Cele osobiste (np. kontakt z rodziną, znajomymi) - 73%&#10;Rozrywka (np. film, muzyka) - 64%&#10;Poszukiwanie innych informacji - 52%&#10;Załatwianie spraw zdrowotnych (np. umówienie wizyty u lekarza) - 50%&#10;Załatwianie spraw urzędowych (np. wniosek o dowód) - 48%&#10;Cele zawodowe (np. poszukiwanie pracy, sprawy rentowe) - 46%&#10;Cele edukacyjne (np. poszukiwanie materiałów edukacyjnych, filmów instruktażowych - 42%&#10;Załatwianie spraw społecznych (np. turnus rehabilitacyjny, świadczenia z pomocy społecznej) - 36%">
              <a:extLst xmlns:a="http://schemas.openxmlformats.org/drawingml/2006/main">
                <a:ext uri="{FF2B5EF4-FFF2-40B4-BE49-F238E27FC236}">
                  <a16:creationId xmlns:a16="http://schemas.microsoft.com/office/drawing/2014/main" id="{575F729E-1A0E-4385-B466-391F2B23B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E98CE8E" w14:textId="77777777" w:rsidR="00B00A6D" w:rsidRPr="00BF6615" w:rsidRDefault="00B00A6D" w:rsidP="00FD0843">
      <w:r w:rsidRPr="00BF6615">
        <w:t>Źródło: opracowanie własne.</w:t>
      </w:r>
    </w:p>
    <w:p w14:paraId="1FFF829B" w14:textId="5CB9AEE3" w:rsidR="00B00A6D" w:rsidRPr="00BF6615" w:rsidRDefault="00B00A6D" w:rsidP="008B0B0A">
      <w:r w:rsidRPr="00BF6615">
        <w:t>Do najczęściej załatwianych spraw online należą: komunikacja (</w:t>
      </w:r>
      <w:r w:rsidR="00A17FA2" w:rsidRPr="00BF6615">
        <w:t>73%)</w:t>
      </w:r>
      <w:r w:rsidR="00DA7221" w:rsidRPr="00BF6615">
        <w:t xml:space="preserve"> i</w:t>
      </w:r>
      <w:r w:rsidRPr="00BF6615">
        <w:t xml:space="preserve"> opłacanie rachunków (7</w:t>
      </w:r>
      <w:r w:rsidR="00DA7221" w:rsidRPr="00BF6615">
        <w:t>3</w:t>
      </w:r>
      <w:r w:rsidRPr="00BF6615">
        <w:t>%)</w:t>
      </w:r>
      <w:r w:rsidR="000E1293" w:rsidRPr="00BF6615">
        <w:t>, kolejno zakupy online (63%). Wysoko znalazły się także kwestie związane ze zdrowiem (50%).</w:t>
      </w:r>
      <w:r w:rsidRPr="00BF6615">
        <w:t xml:space="preserve"> Wskazuje to na intensywne wykorzystanie narzędzi cyfrowych </w:t>
      </w:r>
      <w:r w:rsidR="000E1293" w:rsidRPr="00BF6615">
        <w:t xml:space="preserve">głównie </w:t>
      </w:r>
      <w:r w:rsidRPr="00BF6615">
        <w:t>do realizacji spraw osobistych, na załatwianie spraw urzędowych online wskazuje połowa badanych (48%).</w:t>
      </w:r>
      <w:r w:rsidR="000E1293" w:rsidRPr="00BF6615">
        <w:t xml:space="preserve"> Poszukiwanie pracy i nauka zostały wskazane jako </w:t>
      </w:r>
      <w:r w:rsidR="00CE2611" w:rsidRPr="00BF6615">
        <w:t>najrzadziej załatwiane online.</w:t>
      </w:r>
    </w:p>
    <w:p w14:paraId="284227C9" w14:textId="77777777" w:rsidR="00B00A6D" w:rsidRPr="00BF6615" w:rsidRDefault="00B00A6D" w:rsidP="007E26B5"/>
    <w:p w14:paraId="0CFD1BB2" w14:textId="27BE57A6" w:rsidR="00B00A6D" w:rsidRPr="00BF6615" w:rsidRDefault="00B00A6D" w:rsidP="00FD0843">
      <w:pPr>
        <w:pStyle w:val="Legenda"/>
        <w:keepNext/>
        <w:pageBreakBefore/>
      </w:pPr>
      <w:bookmarkStart w:id="262" w:name="_Toc204179189"/>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43</w:t>
      </w:r>
      <w:r w:rsidRPr="00BF6615">
        <w:fldChar w:fldCharType="end"/>
      </w:r>
      <w:r w:rsidR="00FD0843">
        <w:t>.</w:t>
      </w:r>
      <w:r w:rsidRPr="00BF6615">
        <w:t xml:space="preserve"> Rodzaje spraw załatwianych najczęściej online w grupie </w:t>
      </w:r>
      <w:r w:rsidR="00281A1D" w:rsidRPr="00BF6615">
        <w:t xml:space="preserve">osoby </w:t>
      </w:r>
      <w:r w:rsidR="008B0B0A" w:rsidRPr="00BF6615">
        <w:t>z</w:t>
      </w:r>
      <w:r w:rsidR="008B0B0A">
        <w:t> </w:t>
      </w:r>
      <w:r w:rsidR="00281A1D" w:rsidRPr="00BF6615">
        <w:t xml:space="preserve">niepełnosprawnościami </w:t>
      </w:r>
      <w:r w:rsidRPr="00BF6615">
        <w:t>(n=10</w:t>
      </w:r>
      <w:r w:rsidR="00A17FA2" w:rsidRPr="00BF6615">
        <w:t>6</w:t>
      </w:r>
      <w:r w:rsidRPr="00BF6615">
        <w:t>)</w:t>
      </w:r>
      <w:bookmarkEnd w:id="262"/>
    </w:p>
    <w:p w14:paraId="651C2EB0" w14:textId="3592DB29" w:rsidR="00B00A6D" w:rsidRPr="00BF6615" w:rsidRDefault="00A17FA2" w:rsidP="007E26B5">
      <w:r w:rsidRPr="00BF6615">
        <w:rPr>
          <w:noProof/>
          <w:lang w:eastAsia="pl-PL"/>
        </w:rPr>
        <w:drawing>
          <wp:inline distT="0" distB="0" distL="0" distR="0" wp14:anchorId="5DEE72E8" wp14:editId="3992CD13">
            <wp:extent cx="5461000" cy="3523127"/>
            <wp:effectExtent l="0" t="0" r="6350" b="1270"/>
            <wp:docPr id="1290729508" name="Wykres 1" descr="Komunikacja (np. e-mail, media społecznościowe) - 73%&#10;Płatności rachunków - 73%&#10;Zakupy online - 63%&#10;Rezerwacje wizyt lekarskich - 50%&#10;Załatwianie spraw urzędowych (np. składanie PIT, wnioskowanie o zaświadczenia) - 48%&#10;Inne rezerwacje (np. bilety do kina, bilety na przejazdy np. PKP) - 33%&#10;Poszukiwanie pracy - 30%&#10;Nauka (np. kursy, szkolenia) - 25%">
              <a:extLst xmlns:a="http://schemas.openxmlformats.org/drawingml/2006/main">
                <a:ext uri="{FF2B5EF4-FFF2-40B4-BE49-F238E27FC236}">
                  <a16:creationId xmlns:a16="http://schemas.microsoft.com/office/drawing/2014/main" id="{3EAE4A93-D1F1-49B9-8DAC-DB65A9BBE6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1F8A8CB" w14:textId="77777777" w:rsidR="00B00A6D" w:rsidRPr="00BF6615" w:rsidRDefault="00B00A6D" w:rsidP="00FD0843">
      <w:r w:rsidRPr="00BF6615">
        <w:t>Źródło: opracowanie własne.</w:t>
      </w:r>
    </w:p>
    <w:p w14:paraId="3556FA20" w14:textId="27721E4F" w:rsidR="00D81AD3" w:rsidRPr="00BF6615" w:rsidRDefault="00D81AD3" w:rsidP="007E26B5">
      <w:r w:rsidRPr="00BF6615">
        <w:t>Na podstawie odpowiedzi respondentów</w:t>
      </w:r>
      <w:r w:rsidR="00153E33" w:rsidRPr="00BF6615">
        <w:t xml:space="preserve"> na pytanie otwarte o to, jakich informacji badani najczęściej szukają w sieci</w:t>
      </w:r>
      <w:r w:rsidR="00EA663D" w:rsidRPr="00BF6615">
        <w:t>,</w:t>
      </w:r>
      <w:r w:rsidRPr="00BF6615">
        <w:t xml:space="preserve"> można zauważyć, że najczęściej poszukiwanymi informacjami </w:t>
      </w:r>
      <w:r w:rsidR="008B0B0A" w:rsidRPr="00BF6615">
        <w:t>w</w:t>
      </w:r>
      <w:r w:rsidR="008B0B0A">
        <w:t> </w:t>
      </w:r>
      <w:r w:rsidRPr="00BF6615">
        <w:t xml:space="preserve">Internecie są wiadomości bieżące z kraju i ze świata, tematy zdrowotne oraz kwestie zakupowe, w tym porównywanie cen i opinie o produktach. Popularnością cieszą się również zagadnienia prawne, podatkowe, edukacyjne i związane z hobby. Część osób korzysta </w:t>
      </w:r>
      <w:r w:rsidR="008B0B0A" w:rsidRPr="00BF6615">
        <w:t>z</w:t>
      </w:r>
      <w:r w:rsidR="008B0B0A">
        <w:t> </w:t>
      </w:r>
      <w:r w:rsidRPr="00BF6615">
        <w:t>Internetu w celu utrzymywania kontaktów towarzyskich oraz poszukiwania wsparcia czy informacji o chorobach. Wypowiedzi wskazują, że użytkownicy kierują się przede wszystkim bieżącymi potrzebami i zainteresowaniami.</w:t>
      </w:r>
    </w:p>
    <w:p w14:paraId="3D1861D6" w14:textId="77777777" w:rsidR="00B00A6D" w:rsidRPr="00060682" w:rsidRDefault="00B00A6D" w:rsidP="00B271C3">
      <w:pPr>
        <w:pStyle w:val="Nagwek4"/>
        <w:rPr>
          <w:bCs/>
        </w:rPr>
      </w:pPr>
      <w:r w:rsidRPr="00060682">
        <w:rPr>
          <w:bCs/>
        </w:rPr>
        <w:t xml:space="preserve">Kontakty z administracją przez strony i aplikacje </w:t>
      </w:r>
    </w:p>
    <w:p w14:paraId="436487D3" w14:textId="600184EE" w:rsidR="00D55A42" w:rsidRPr="00BF6615" w:rsidRDefault="00B00A6D" w:rsidP="007E26B5">
      <w:r w:rsidRPr="00BF6615">
        <w:t xml:space="preserve">Tylko 6% osób wskazało, że nie korzysta ze stron podmiotów publicznych, a </w:t>
      </w:r>
      <w:r w:rsidR="00C37C2D" w:rsidRPr="00BF6615">
        <w:t>aż 27</w:t>
      </w:r>
      <w:r w:rsidRPr="00BF6615">
        <w:t>%, że nie korzysta z aplikacji. Podczas, gdy w grupie korzystających często ze stron, jest 27%, a aplikacji 3</w:t>
      </w:r>
      <w:r w:rsidR="00643C27" w:rsidRPr="00BF6615">
        <w:t>3</w:t>
      </w:r>
      <w:r w:rsidRPr="00BF6615">
        <w:t xml:space="preserve">% wskazań. Większość respondentów określiła korzystanie ze stron podmiotów publicznych </w:t>
      </w:r>
      <w:r w:rsidR="008B0B0A" w:rsidRPr="00BF6615">
        <w:t>i</w:t>
      </w:r>
      <w:r w:rsidR="008B0B0A">
        <w:t> </w:t>
      </w:r>
      <w:r w:rsidRPr="00BF6615">
        <w:t xml:space="preserve">aplikacji, jako sporadyczne (dla stron 67%: dla aplikacji: </w:t>
      </w:r>
      <w:r w:rsidR="007E400E" w:rsidRPr="00BF6615">
        <w:t>40</w:t>
      </w:r>
      <w:r w:rsidRPr="00BF6615">
        <w:t xml:space="preserve">%). Badani, którzy nie korzystają ze stron, jako powód podali fakt, że wolą załatwiać sprawy osobiście lub telefonicznie. Jedna osoba zwróciła uwagę na brak </w:t>
      </w:r>
      <w:r w:rsidR="00316266" w:rsidRPr="00BF6615">
        <w:t>takiej potrzeby, a inna</w:t>
      </w:r>
      <w:r w:rsidRPr="00BF6615">
        <w:t xml:space="preserve"> </w:t>
      </w:r>
      <w:r w:rsidR="00D55A42" w:rsidRPr="00BF6615">
        <w:t>wskazała, że ma problemy</w:t>
      </w:r>
      <w:r w:rsidRPr="00BF6615">
        <w:t xml:space="preserve"> z </w:t>
      </w:r>
      <w:r w:rsidR="00D55A42" w:rsidRPr="00BF6615">
        <w:t xml:space="preserve">załatwianiem spraw przez Internet. </w:t>
      </w:r>
    </w:p>
    <w:p w14:paraId="5D1CA245" w14:textId="2B8A6CEC" w:rsidR="0020698D" w:rsidRPr="00BF6615" w:rsidRDefault="0038728C" w:rsidP="007E26B5">
      <w:r w:rsidRPr="00BF6615">
        <w:lastRenderedPageBreak/>
        <w:t xml:space="preserve">W grupie osób niekorzystających znalazły się 4 osoby z niepełnosprawnością intelektualną </w:t>
      </w:r>
      <w:r w:rsidR="008B0B0A" w:rsidRPr="00BF6615">
        <w:t>i</w:t>
      </w:r>
      <w:r w:rsidR="008B0B0A">
        <w:t> </w:t>
      </w:r>
      <w:r w:rsidR="008B0B0A" w:rsidRPr="00BF6615">
        <w:t>2</w:t>
      </w:r>
      <w:r w:rsidR="008B0B0A">
        <w:t> </w:t>
      </w:r>
      <w:r w:rsidRPr="00BF6615">
        <w:t>osoby głuche.</w:t>
      </w:r>
      <w:r w:rsidRPr="00BF6615">
        <w:br/>
      </w:r>
      <w:r w:rsidR="00B00A6D" w:rsidRPr="00BF6615">
        <w:t>W grupie, która nie korzysta z aplikacji, znalazły się osoby, które wolą załatwiać sprawy osobiście i telefonicznie</w:t>
      </w:r>
      <w:r w:rsidR="0020698D" w:rsidRPr="00BF6615">
        <w:t xml:space="preserve"> (24%)</w:t>
      </w:r>
      <w:r w:rsidR="00B00A6D" w:rsidRPr="00BF6615">
        <w:t>, osoby</w:t>
      </w:r>
      <w:r w:rsidR="00985395" w:rsidRPr="00BF6615">
        <w:t xml:space="preserve"> </w:t>
      </w:r>
      <w:r w:rsidR="00B00A6D" w:rsidRPr="00BF6615">
        <w:t>wskazujące na słabą dostępność aplikacji</w:t>
      </w:r>
      <w:r w:rsidR="0020698D" w:rsidRPr="00BF6615">
        <w:t xml:space="preserve"> (28%)</w:t>
      </w:r>
      <w:r w:rsidR="00B00A6D" w:rsidRPr="00BF6615">
        <w:t xml:space="preserve">, ale także osoby, które zwracały uwagę na </w:t>
      </w:r>
      <w:r w:rsidR="001148DB" w:rsidRPr="00BF6615">
        <w:t>trudności z załatwianiem spraw</w:t>
      </w:r>
      <w:r w:rsidR="00D44DC5" w:rsidRPr="00BF6615">
        <w:t xml:space="preserve"> przez telefon z pomocą aplikacji (</w:t>
      </w:r>
      <w:r w:rsidR="0020698D" w:rsidRPr="00BF6615">
        <w:t>48%). W grupie osób niekorzystających z aplikacji</w:t>
      </w:r>
      <w:r w:rsidR="00B41BA7" w:rsidRPr="00BF6615">
        <w:t xml:space="preserve"> wskazujących jako powód ich niedostępność</w:t>
      </w:r>
      <w:r w:rsidR="097EAB85" w:rsidRPr="00BF6615">
        <w:t>,</w:t>
      </w:r>
      <w:r w:rsidR="00B41BA7" w:rsidRPr="00BF6615">
        <w:t xml:space="preserve"> znalazły się osoby niewidome i głuche. </w:t>
      </w:r>
      <w:r w:rsidR="00BE312D" w:rsidRPr="00BF6615">
        <w:t>Osoby niewidome stanowiły także znaczącą część grupy wskazującej na to, że woli załatwiać sprawy osobiście, co również może wynikać z braku dostępności aplikacji i konieczności osobiste</w:t>
      </w:r>
      <w:r w:rsidR="00270613" w:rsidRPr="00BF6615">
        <w:t>j wizyty w</w:t>
      </w:r>
      <w:r w:rsidR="00BE312D" w:rsidRPr="00BF6615">
        <w:t xml:space="preserve"> instytucji w celu załatwienia sprawy.</w:t>
      </w:r>
    </w:p>
    <w:p w14:paraId="6364A7BE" w14:textId="77777777" w:rsidR="0015381E" w:rsidRDefault="0015381E" w:rsidP="007E26B5">
      <w:pPr>
        <w:pStyle w:val="Legenda"/>
        <w:keepNext/>
        <w:rPr>
          <w:iCs w:val="0"/>
          <w:color w:val="auto"/>
          <w:szCs w:val="22"/>
        </w:rPr>
      </w:pPr>
    </w:p>
    <w:p w14:paraId="513AF169" w14:textId="2E934902" w:rsidR="00B00A6D" w:rsidRPr="00BF6615" w:rsidRDefault="00B00A6D" w:rsidP="007E26B5">
      <w:pPr>
        <w:pStyle w:val="Legenda"/>
        <w:keepNext/>
      </w:pPr>
      <w:bookmarkStart w:id="263" w:name="_Toc204179190"/>
      <w:r w:rsidRPr="00BF6615">
        <w:t xml:space="preserve">Wykres </w:t>
      </w:r>
      <w:r w:rsidRPr="00BF6615">
        <w:fldChar w:fldCharType="begin"/>
      </w:r>
      <w:r w:rsidRPr="00BF6615">
        <w:instrText xml:space="preserve"> SEQ Wykres \* ARABIC </w:instrText>
      </w:r>
      <w:r w:rsidRPr="00BF6615">
        <w:fldChar w:fldCharType="separate"/>
      </w:r>
      <w:r w:rsidR="00FD0843">
        <w:rPr>
          <w:noProof/>
        </w:rPr>
        <w:t>44</w:t>
      </w:r>
      <w:r w:rsidRPr="00BF6615">
        <w:fldChar w:fldCharType="end"/>
      </w:r>
      <w:r w:rsidR="00FD0843">
        <w:t>.</w:t>
      </w:r>
      <w:r w:rsidRPr="00BF6615">
        <w:t xml:space="preserve"> Korzystanie ze stron i aplikacji podmiotów publicznych w grupie </w:t>
      </w:r>
      <w:r w:rsidR="00C37C2D" w:rsidRPr="00BF6615">
        <w:t>osoby z niepełnosprawnościami</w:t>
      </w:r>
      <w:r w:rsidRPr="00BF6615">
        <w:t xml:space="preserve"> (n=10</w:t>
      </w:r>
      <w:r w:rsidR="00C37C2D" w:rsidRPr="00BF6615">
        <w:t>6</w:t>
      </w:r>
      <w:r w:rsidRPr="00BF6615">
        <w:t>)</w:t>
      </w:r>
      <w:bookmarkEnd w:id="263"/>
    </w:p>
    <w:p w14:paraId="5D4C3078" w14:textId="2F7CCFB4" w:rsidR="00B00A6D" w:rsidRPr="00BF6615" w:rsidRDefault="00C37C2D" w:rsidP="007E26B5">
      <w:r w:rsidRPr="00BF6615">
        <w:rPr>
          <w:noProof/>
          <w:lang w:eastAsia="pl-PL"/>
        </w:rPr>
        <w:drawing>
          <wp:inline distT="0" distB="0" distL="0" distR="0" wp14:anchorId="6239046E" wp14:editId="1516346C">
            <wp:extent cx="5622202" cy="3539905"/>
            <wp:effectExtent l="0" t="0" r="0" b="3810"/>
            <wp:docPr id="1309972057" name="Wykres 1" descr="nie korzystam &#10;aplikacje - 27%&#10;strony - 6%&#10;&#10;sporadycznie &#10;aplikacje - 40%&#10;strony - 67%&#10;&#10;często &#10;aplikacje - 33%&#10;strony - 27%">
              <a:extLst xmlns:a="http://schemas.openxmlformats.org/drawingml/2006/main">
                <a:ext uri="{FF2B5EF4-FFF2-40B4-BE49-F238E27FC236}">
                  <a16:creationId xmlns:a16="http://schemas.microsoft.com/office/drawing/2014/main" id="{93121332-B183-49EF-9F4D-859C6B92E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BF6850D" w14:textId="77777777" w:rsidR="00B00A6D" w:rsidRPr="00BF6615" w:rsidRDefault="00B00A6D" w:rsidP="00FD0843">
      <w:r w:rsidRPr="00BF6615">
        <w:t>Źródło: opracowanie własne.</w:t>
      </w:r>
    </w:p>
    <w:p w14:paraId="1B5B2F06" w14:textId="77777777" w:rsidR="00B00A6D" w:rsidRPr="00BF6615" w:rsidRDefault="00B00A6D" w:rsidP="007E26B5"/>
    <w:p w14:paraId="2870A645" w14:textId="439E4716" w:rsidR="00057ED6" w:rsidRPr="00BF6615" w:rsidRDefault="00B00A6D" w:rsidP="007E26B5">
      <w:r w:rsidRPr="00BF6615">
        <w:t xml:space="preserve">Najwięcej respondentów zadeklarowała, że najczęściej załatwia sprawy urzędowe </w:t>
      </w:r>
      <w:r w:rsidR="009F1666" w:rsidRPr="00BF6615">
        <w:t>łącząc</w:t>
      </w:r>
      <w:r w:rsidR="00802447" w:rsidRPr="00BF6615">
        <w:t xml:space="preserve"> ze sobą różne sposoby (48%), kolejno </w:t>
      </w:r>
      <w:r w:rsidRPr="00BF6615">
        <w:t>online (</w:t>
      </w:r>
      <w:r w:rsidR="00802447" w:rsidRPr="00BF6615">
        <w:t>22</w:t>
      </w:r>
      <w:r w:rsidRPr="00BF6615">
        <w:t>%)</w:t>
      </w:r>
      <w:r w:rsidR="009F1666" w:rsidRPr="00BF6615">
        <w:t xml:space="preserve"> lub </w:t>
      </w:r>
      <w:r w:rsidRPr="00BF6615">
        <w:t>osobiście</w:t>
      </w:r>
      <w:r w:rsidR="009F1666" w:rsidRPr="00BF6615">
        <w:t xml:space="preserve"> (20%).</w:t>
      </w:r>
      <w:r w:rsidRPr="00BF6615">
        <w:t xml:space="preserve"> Osoby, które preferowały sposób </w:t>
      </w:r>
      <w:r w:rsidR="009A5223" w:rsidRPr="00BF6615">
        <w:t>załatwiania spraw</w:t>
      </w:r>
      <w:r w:rsidRPr="00BF6615">
        <w:t xml:space="preserve"> online to grupa, w której przeważały osoby </w:t>
      </w:r>
      <w:r w:rsidR="00DA759F" w:rsidRPr="00BF6615">
        <w:t xml:space="preserve">z niepełnosprawnością narządu ruchu, </w:t>
      </w:r>
      <w:r w:rsidR="00057ED6" w:rsidRPr="00BF6615">
        <w:t xml:space="preserve">nieznacznie mniejszą grupę stanowiły osoby </w:t>
      </w:r>
      <w:r w:rsidR="008A6594" w:rsidRPr="00BF6615">
        <w:t>słabowidzące oraz głuche.</w:t>
      </w:r>
      <w:r w:rsidR="00676A85" w:rsidRPr="00BF6615">
        <w:t xml:space="preserve"> W grupie tej przeważali mieszkańcy miast dużych i średnich</w:t>
      </w:r>
      <w:r w:rsidR="00A63C44" w:rsidRPr="00BF6615">
        <w:t>, w większości osoby pracujące.</w:t>
      </w:r>
      <w:r w:rsidR="00676A85" w:rsidRPr="00BF6615">
        <w:t xml:space="preserve"> </w:t>
      </w:r>
    </w:p>
    <w:p w14:paraId="51B87376" w14:textId="26D20272" w:rsidR="00B00A6D" w:rsidRPr="00BF6615" w:rsidRDefault="00B00A6D" w:rsidP="007E26B5">
      <w:pPr>
        <w:pStyle w:val="Legenda"/>
        <w:keepNext/>
      </w:pPr>
      <w:bookmarkStart w:id="264" w:name="_Toc204179191"/>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45</w:t>
      </w:r>
      <w:r w:rsidRPr="00BF6615">
        <w:fldChar w:fldCharType="end"/>
      </w:r>
      <w:r w:rsidR="00FD0843">
        <w:t>.</w:t>
      </w:r>
      <w:r w:rsidRPr="00BF6615">
        <w:t xml:space="preserve"> Sposób załatwiania spraw urzędowych w grupie </w:t>
      </w:r>
      <w:r w:rsidR="00F17848" w:rsidRPr="00BF6615">
        <w:t>osoby z niepełnosprawnościami</w:t>
      </w:r>
      <w:r w:rsidRPr="00BF6615">
        <w:t xml:space="preserve"> (n=10</w:t>
      </w:r>
      <w:r w:rsidR="00F17848" w:rsidRPr="00BF6615">
        <w:t>6</w:t>
      </w:r>
      <w:r w:rsidRPr="00BF6615">
        <w:t>)</w:t>
      </w:r>
      <w:bookmarkEnd w:id="264"/>
    </w:p>
    <w:p w14:paraId="338C2711" w14:textId="5C7BFBDD" w:rsidR="00F17848" w:rsidRPr="00BF6615" w:rsidRDefault="00F17848" w:rsidP="007E26B5">
      <w:r w:rsidRPr="00BF6615">
        <w:rPr>
          <w:noProof/>
          <w:lang w:eastAsia="pl-PL"/>
        </w:rPr>
        <w:drawing>
          <wp:inline distT="0" distB="0" distL="0" distR="0" wp14:anchorId="1B7A25B4" wp14:editId="58C8C4DA">
            <wp:extent cx="5739897" cy="2797521"/>
            <wp:effectExtent l="0" t="0" r="635" b="0"/>
            <wp:docPr id="1942201109" name="Wykres 1" descr="On-line - 22%&#10;Osobiście - 20%&#10;Łączę ze sobą różne sposoby (np. uzyskuję informacje telefonicznie, później załatwiam sprawę osobiście) - 48%&#10;Telefonicznie - 10%">
              <a:extLst xmlns:a="http://schemas.openxmlformats.org/drawingml/2006/main">
                <a:ext uri="{FF2B5EF4-FFF2-40B4-BE49-F238E27FC236}">
                  <a16:creationId xmlns:a16="http://schemas.microsoft.com/office/drawing/2014/main" id="{879365F6-9591-4322-A2DD-62E72155D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75EF885" w14:textId="77777777" w:rsidR="00B00A6D" w:rsidRPr="00BF6615" w:rsidRDefault="00B00A6D" w:rsidP="00FD0843">
      <w:r w:rsidRPr="00BF6615">
        <w:t>Źródło: opracowanie własne.</w:t>
      </w:r>
    </w:p>
    <w:p w14:paraId="5FCD6D4D" w14:textId="15CC07A7" w:rsidR="00B00A6D" w:rsidRPr="00BF6615" w:rsidRDefault="002D4C3B" w:rsidP="007E26B5">
      <w:r w:rsidRPr="00BF6615">
        <w:t>W badaniu</w:t>
      </w:r>
      <w:r w:rsidR="00B00A6D" w:rsidRPr="00BF6615">
        <w:t xml:space="preserve"> „Polak w urzędzie AD 2024”</w:t>
      </w:r>
      <w:r w:rsidR="00B00A6D" w:rsidRPr="00BF6615">
        <w:rPr>
          <w:rStyle w:val="Odwoanieprzypisudolnego"/>
          <w:rFonts w:cstheme="minorHAnsi"/>
        </w:rPr>
        <w:footnoteReference w:id="45"/>
      </w:r>
      <w:r w:rsidR="00B00A6D" w:rsidRPr="00BF6615">
        <w:t xml:space="preserve"> </w:t>
      </w:r>
      <w:r w:rsidR="00936EBF" w:rsidRPr="00BF6615">
        <w:t>widać</w:t>
      </w:r>
      <w:r w:rsidR="00B00A6D" w:rsidRPr="00BF6615">
        <w:t xml:space="preserve">, że </w:t>
      </w:r>
      <w:r w:rsidR="00936EBF" w:rsidRPr="00BF6615">
        <w:t>nadal</w:t>
      </w:r>
      <w:r w:rsidR="00B00A6D" w:rsidRPr="00BF6615">
        <w:t xml:space="preserve"> większość spraw w urzędach Polacy załatwiają osobiście, tylko co trzecia osoba (32%) skorzystała z możliwości załatwienia sprawy przez Internet</w:t>
      </w:r>
      <w:r w:rsidR="00936EBF" w:rsidRPr="00BF6615">
        <w:t>.</w:t>
      </w:r>
      <w:r w:rsidR="00623A9D" w:rsidRPr="00BF6615">
        <w:t xml:space="preserve"> Otrzymany wynik z jednej strony potwierdza</w:t>
      </w:r>
      <w:r w:rsidR="00B00A6D" w:rsidRPr="00BF6615">
        <w:t xml:space="preserve"> utrzymującą się umiarkowaną chęć do załatwiania spraw urzędowych online</w:t>
      </w:r>
      <w:r w:rsidR="00623A9D" w:rsidRPr="00BF6615">
        <w:t>, j</w:t>
      </w:r>
      <w:r w:rsidRPr="00BF6615">
        <w:t>ednak biorąc pod uwagę typ badanej grupy</w:t>
      </w:r>
      <w:r w:rsidR="008B0B0A">
        <w:t xml:space="preserve"> – </w:t>
      </w:r>
      <w:r w:rsidRPr="00BF6615">
        <w:t xml:space="preserve">osoby </w:t>
      </w:r>
      <w:r w:rsidR="008B0B0A" w:rsidRPr="00BF6615">
        <w:t>z</w:t>
      </w:r>
      <w:r w:rsidR="008B0B0A">
        <w:t> </w:t>
      </w:r>
      <w:r w:rsidRPr="00BF6615">
        <w:t>niepełnosprawnościami wynik 22% wskazań dla załatwiania spraw online na tle populacji kraju ogółem</w:t>
      </w:r>
      <w:r w:rsidR="00FE6926" w:rsidRPr="00BF6615">
        <w:t xml:space="preserve"> </w:t>
      </w:r>
      <w:r w:rsidRPr="00BF6615">
        <w:t>można uznać za wysoki.</w:t>
      </w:r>
    </w:p>
    <w:p w14:paraId="47666A39" w14:textId="77777777" w:rsidR="00B00A6D" w:rsidRPr="00060682" w:rsidRDefault="00B00A6D" w:rsidP="00B271C3">
      <w:pPr>
        <w:pStyle w:val="Nagwek4"/>
        <w:rPr>
          <w:bCs/>
        </w:rPr>
      </w:pPr>
      <w:r w:rsidRPr="00060682">
        <w:rPr>
          <w:bCs/>
        </w:rPr>
        <w:t>Doświadczenia korzystania ze stron i aplikacji podmiotów publicznych</w:t>
      </w:r>
    </w:p>
    <w:p w14:paraId="60DD555B" w14:textId="4A56A8D0" w:rsidR="00B00A6D" w:rsidRPr="00BF6615" w:rsidRDefault="00B00A6D" w:rsidP="007E26B5">
      <w:r w:rsidRPr="00BF6615">
        <w:t xml:space="preserve">Sprawy, które najczęściej badani załatwiają online w urzędach, to </w:t>
      </w:r>
      <w:r w:rsidR="00A526C1" w:rsidRPr="00BF6615">
        <w:t xml:space="preserve">rejestracja do lekarzy </w:t>
      </w:r>
      <w:r w:rsidR="00E968E9" w:rsidRPr="00BF6615">
        <w:t xml:space="preserve">(30%), kolejno </w:t>
      </w:r>
      <w:r w:rsidRPr="00BF6615">
        <w:t>składanie różnego typu wniosków (</w:t>
      </w:r>
      <w:r w:rsidR="00E968E9" w:rsidRPr="00BF6615">
        <w:t>27</w:t>
      </w:r>
      <w:r w:rsidRPr="00BF6615">
        <w:t>%) oraz opłacanie podatków (</w:t>
      </w:r>
      <w:r w:rsidR="00E47801" w:rsidRPr="00BF6615">
        <w:t>2</w:t>
      </w:r>
      <w:r w:rsidRPr="00BF6615">
        <w:t xml:space="preserve">5%). </w:t>
      </w:r>
    </w:p>
    <w:p w14:paraId="2620786D" w14:textId="50D9B4F4" w:rsidR="00B00A6D" w:rsidRPr="00BF6615" w:rsidRDefault="00B00A6D" w:rsidP="007E26B5">
      <w:pPr>
        <w:pStyle w:val="Legenda"/>
        <w:keepNext/>
      </w:pPr>
      <w:bookmarkStart w:id="265" w:name="_Toc204179192"/>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46</w:t>
      </w:r>
      <w:r w:rsidRPr="00BF6615">
        <w:fldChar w:fldCharType="end"/>
      </w:r>
      <w:r w:rsidR="00FD0843">
        <w:t>.</w:t>
      </w:r>
      <w:r w:rsidRPr="00BF6615">
        <w:t xml:space="preserve"> Sprawy regularnie załatwiane online za pośrednictwem stron podmiotów publicznych </w:t>
      </w:r>
      <w:r w:rsidR="00F07C2F" w:rsidRPr="00BF6615">
        <w:t xml:space="preserve">w grupie osoby z niepełnosprawnościami </w:t>
      </w:r>
      <w:r w:rsidRPr="00BF6615">
        <w:t>(n=10</w:t>
      </w:r>
      <w:r w:rsidR="00F07C2F" w:rsidRPr="00BF6615">
        <w:t>6</w:t>
      </w:r>
      <w:r w:rsidRPr="00BF6615">
        <w:t>)</w:t>
      </w:r>
      <w:bookmarkEnd w:id="265"/>
    </w:p>
    <w:p w14:paraId="06B2F800" w14:textId="475F7261" w:rsidR="00F07C2F" w:rsidRPr="00BF6615" w:rsidRDefault="00F07C2F" w:rsidP="007E26B5">
      <w:pPr>
        <w:rPr>
          <w:color w:val="4472C4" w:themeColor="accent1"/>
        </w:rPr>
      </w:pPr>
      <w:r w:rsidRPr="00BF6615">
        <w:rPr>
          <w:noProof/>
          <w:lang w:eastAsia="pl-PL"/>
        </w:rPr>
        <w:drawing>
          <wp:inline distT="0" distB="0" distL="0" distR="0" wp14:anchorId="33B3CDE7" wp14:editId="6B6893D3">
            <wp:extent cx="5462546" cy="2759102"/>
            <wp:effectExtent l="0" t="0" r="0" b="0"/>
            <wp:docPr id="271498440" name="Wykres 1" descr="Składanie różnego typu wniosków (np. wniosek o wydanie zaświadczenia) - 27%&#10;Płatność podatków - 25%&#10;Rejestracja do lekarza - 30%&#10;Zgłaszanie problemów (np. awarie) - 17%">
              <a:extLst xmlns:a="http://schemas.openxmlformats.org/drawingml/2006/main">
                <a:ext uri="{FF2B5EF4-FFF2-40B4-BE49-F238E27FC236}">
                  <a16:creationId xmlns:a16="http://schemas.microsoft.com/office/drawing/2014/main" id="{29EC340A-0046-48BF-BCA3-6ECD123E93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A43A8E0" w14:textId="77777777" w:rsidR="00B00A6D" w:rsidRPr="00BF6615" w:rsidRDefault="00B00A6D" w:rsidP="00FD0843">
      <w:r w:rsidRPr="00BF6615">
        <w:t>Źródło: opracowanie własne.</w:t>
      </w:r>
    </w:p>
    <w:p w14:paraId="44044FD0" w14:textId="4F4E3FC0" w:rsidR="00B00A6D" w:rsidRPr="00BF6615" w:rsidRDefault="00B00A6D" w:rsidP="007E26B5">
      <w:r w:rsidRPr="00BF6615">
        <w:t xml:space="preserve">Badani wskazywali, </w:t>
      </w:r>
      <w:r w:rsidR="44578147" w:rsidRPr="00BF6615">
        <w:t>ż</w:t>
      </w:r>
      <w:r w:rsidRPr="00BF6615">
        <w:t>e najczęściej korzystają ze stron rządowych, ministerstw lub agencji (</w:t>
      </w:r>
      <w:r w:rsidR="5BE0641C" w:rsidRPr="00BF6615">
        <w:t>63</w:t>
      </w:r>
      <w:r w:rsidRPr="00BF6615">
        <w:t>%), nieco rzadziej ze stron urzędów miejskich/gminnych (</w:t>
      </w:r>
      <w:r w:rsidR="312B1EB0" w:rsidRPr="00BF6615">
        <w:t>48</w:t>
      </w:r>
      <w:r w:rsidRPr="00BF6615">
        <w:t>%) czy stron Urzędów Skarbowych (</w:t>
      </w:r>
      <w:r w:rsidR="624ED71B" w:rsidRPr="00BF6615">
        <w:t>42</w:t>
      </w:r>
      <w:r w:rsidRPr="00BF6615">
        <w:t xml:space="preserve">%). W grupie stron tematycznych najczęściej wskazywano na strony instytucji </w:t>
      </w:r>
      <w:r w:rsidR="008B0B0A" w:rsidRPr="00BF6615">
        <w:t>zdrowotnych</w:t>
      </w:r>
      <w:r w:rsidR="008B0B0A">
        <w:t> </w:t>
      </w:r>
      <w:r w:rsidRPr="00BF6615">
        <w:t>(</w:t>
      </w:r>
      <w:r w:rsidR="246706D1" w:rsidRPr="00BF6615">
        <w:t>43</w:t>
      </w:r>
      <w:r w:rsidRPr="00BF6615">
        <w:t xml:space="preserve">%). </w:t>
      </w:r>
    </w:p>
    <w:p w14:paraId="7476CA62" w14:textId="77777777" w:rsidR="00B00A6D" w:rsidRPr="00BF6615" w:rsidRDefault="00B00A6D" w:rsidP="007E26B5">
      <w:pPr>
        <w:rPr>
          <w:color w:val="4472C4" w:themeColor="accent1"/>
        </w:rPr>
      </w:pPr>
    </w:p>
    <w:p w14:paraId="0C3EFA0E" w14:textId="457C81AC" w:rsidR="00B00A6D" w:rsidRPr="00BF6615" w:rsidRDefault="00B00A6D" w:rsidP="007E26B5">
      <w:pPr>
        <w:pStyle w:val="Legenda"/>
        <w:keepNext/>
      </w:pPr>
      <w:bookmarkStart w:id="266" w:name="_Toc204179193"/>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47</w:t>
      </w:r>
      <w:r w:rsidRPr="00BF6615">
        <w:fldChar w:fldCharType="end"/>
      </w:r>
      <w:r w:rsidR="00FD0843">
        <w:t>.</w:t>
      </w:r>
      <w:r w:rsidRPr="00BF6615">
        <w:t xml:space="preserve"> Strony podmiotów publicznych, z jakich najczęściej korzystają badani w grupie </w:t>
      </w:r>
      <w:r w:rsidR="00B03B8C" w:rsidRPr="00BF6615">
        <w:t>osoby z niepełnosprawnościami</w:t>
      </w:r>
      <w:r w:rsidRPr="00BF6615">
        <w:t xml:space="preserve"> (n=10</w:t>
      </w:r>
      <w:r w:rsidR="00B03B8C" w:rsidRPr="00BF6615">
        <w:t>6</w:t>
      </w:r>
      <w:r w:rsidRPr="00BF6615">
        <w:t>)</w:t>
      </w:r>
      <w:bookmarkEnd w:id="266"/>
    </w:p>
    <w:p w14:paraId="1ECA1A46" w14:textId="03F0D09B" w:rsidR="00B00A6D" w:rsidRPr="00BF6615" w:rsidRDefault="005F104E" w:rsidP="007E26B5">
      <w:r w:rsidRPr="00BF6615">
        <w:rPr>
          <w:noProof/>
          <w:lang w:eastAsia="pl-PL"/>
        </w:rPr>
        <w:drawing>
          <wp:inline distT="0" distB="0" distL="0" distR="0" wp14:anchorId="3C9CF649" wp14:editId="71B6F2DC">
            <wp:extent cx="5486400" cy="4972050"/>
            <wp:effectExtent l="0" t="0" r="0" b="0"/>
            <wp:docPr id="615277036" name="Wykres 1" descr="Strony urzędów miejskich/gminnych - 48%&#10;Strony Powiatowych Centrów Pomocy Rodzinie/Miejskich lub Gminnych Ośrodków Pomocy Społecznej - 29%&#10;Strony rządowe, ministerstw lub agencji - 63%&#10;Strony Urzędów Skarbowych - 42%&#10;Strony Urzędów Pracy - 20%&#10;Strony instytucji zdrowotnych - 43%&#10;Strony edukacyjne - 19%&#10;Strony instytucji kultury - 23%&#10;Inne - 0%">
              <a:extLst xmlns:a="http://schemas.openxmlformats.org/drawingml/2006/main">
                <a:ext uri="{FF2B5EF4-FFF2-40B4-BE49-F238E27FC236}">
                  <a16:creationId xmlns:a16="http://schemas.microsoft.com/office/drawing/2014/main" id="{AD56A5E9-9200-7244-A78B-DD14F9A263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229AA50" w14:textId="77777777" w:rsidR="00B00A6D" w:rsidRPr="00BF6615" w:rsidRDefault="00B00A6D" w:rsidP="00FD0843">
      <w:r w:rsidRPr="00BF6615">
        <w:t>Źródło: opracowanie własne.</w:t>
      </w:r>
    </w:p>
    <w:p w14:paraId="3A5B94FD" w14:textId="07F0776E" w:rsidR="00B00A6D" w:rsidRPr="00BF6615" w:rsidRDefault="00B00A6D" w:rsidP="007E26B5">
      <w:r w:rsidRPr="00BF6615">
        <w:t xml:space="preserve">Respondenci proszeni byli o wskazanie stron podmiotów publicznych, z których korzystają, </w:t>
      </w:r>
      <w:r w:rsidR="008B0B0A" w:rsidRPr="00BF6615">
        <w:t>a</w:t>
      </w:r>
      <w:r w:rsidR="008B0B0A">
        <w:t> </w:t>
      </w:r>
      <w:r w:rsidRPr="00BF6615">
        <w:t xml:space="preserve">następnie o ocenę tych stron w różnych aspektach dostępności cyfrowej. Tabele poniżej przedstawiają średnie oceny nadane przez użytkowników dla poszczególnych cech stron. Skala ocen zawierała się w przedziale 1-5, gdzie 1 było najniższą, a 5 najwyższą oceną. </w:t>
      </w:r>
    </w:p>
    <w:p w14:paraId="666F92E9" w14:textId="16AF8F71" w:rsidR="00B00A6D" w:rsidRPr="00BF6615" w:rsidRDefault="00B00A6D" w:rsidP="007E26B5">
      <w:r w:rsidRPr="00BF6615">
        <w:t>W grupach stron, które oceniali badani znalazły się</w:t>
      </w:r>
      <w:r w:rsidR="00651CEA" w:rsidRPr="00BF6615">
        <w:rPr>
          <w:rStyle w:val="Odwoanieprzypisudolnego"/>
        </w:rPr>
        <w:footnoteReference w:id="46"/>
      </w:r>
      <w:r w:rsidRPr="00BF6615">
        <w:t>:</w:t>
      </w:r>
    </w:p>
    <w:p w14:paraId="6163EF27" w14:textId="4B094FF0" w:rsidR="00B00A6D" w:rsidRPr="00BF6615" w:rsidRDefault="00B00A6D">
      <w:pPr>
        <w:pStyle w:val="Akapitzlist"/>
        <w:numPr>
          <w:ilvl w:val="0"/>
          <w:numId w:val="77"/>
        </w:numPr>
      </w:pPr>
      <w:r w:rsidRPr="00BF6615">
        <w:t xml:space="preserve">strony rządowe/ministerstw: m.in. pacjent.gov.pl, </w:t>
      </w:r>
      <w:proofErr w:type="spellStart"/>
      <w:r w:rsidRPr="00BF6615">
        <w:t>ePUAP</w:t>
      </w:r>
      <w:proofErr w:type="spellEnd"/>
      <w:r w:rsidRPr="00BF6615">
        <w:t xml:space="preserve">, </w:t>
      </w:r>
      <w:r w:rsidR="00B27FB3" w:rsidRPr="00BF6615">
        <w:t>Sejm</w:t>
      </w:r>
      <w:r w:rsidRPr="00BF6615">
        <w:t>,</w:t>
      </w:r>
      <w:r w:rsidR="006673E2" w:rsidRPr="00BF6615">
        <w:t xml:space="preserve"> ARMIR</w:t>
      </w:r>
      <w:r w:rsidRPr="00BF6615">
        <w:t>,</w:t>
      </w:r>
    </w:p>
    <w:p w14:paraId="51DA8455" w14:textId="77777777" w:rsidR="00B00A6D" w:rsidRPr="00BF6615" w:rsidRDefault="00B00A6D">
      <w:pPr>
        <w:pStyle w:val="Akapitzlist"/>
        <w:numPr>
          <w:ilvl w:val="0"/>
          <w:numId w:val="77"/>
        </w:numPr>
      </w:pPr>
      <w:r w:rsidRPr="00BF6615">
        <w:t>strony Urzędów Skarbowych: US różnych miast,</w:t>
      </w:r>
    </w:p>
    <w:p w14:paraId="47139090" w14:textId="741EA179" w:rsidR="00B00A6D" w:rsidRPr="00BF6615" w:rsidRDefault="00B00A6D">
      <w:pPr>
        <w:pStyle w:val="Akapitzlist"/>
        <w:numPr>
          <w:ilvl w:val="0"/>
          <w:numId w:val="77"/>
        </w:numPr>
      </w:pPr>
      <w:r w:rsidRPr="00BF6615">
        <w:lastRenderedPageBreak/>
        <w:t>strony urzędów miejskich/gminnych: m.in. Urzędy Miast (w tym miasta wojewódzkie), Urzędy Gmin,</w:t>
      </w:r>
    </w:p>
    <w:p w14:paraId="549DBC6D" w14:textId="4FCF4D68" w:rsidR="00B00A6D" w:rsidRPr="00BF6615" w:rsidRDefault="00B00A6D">
      <w:pPr>
        <w:pStyle w:val="Akapitzlist"/>
        <w:numPr>
          <w:ilvl w:val="0"/>
          <w:numId w:val="77"/>
        </w:numPr>
      </w:pPr>
      <w:r w:rsidRPr="00BF6615">
        <w:t>strony Powiatowych Centrów Pomocy Rodzinie/Miejskich lub Gminnych Ośrodków Pomocy Społecznej</w:t>
      </w:r>
    </w:p>
    <w:p w14:paraId="425292D1" w14:textId="77777777" w:rsidR="00B00A6D" w:rsidRPr="00BF6615" w:rsidRDefault="00B00A6D">
      <w:pPr>
        <w:pStyle w:val="Akapitzlist"/>
        <w:numPr>
          <w:ilvl w:val="0"/>
          <w:numId w:val="77"/>
        </w:numPr>
      </w:pPr>
      <w:r w:rsidRPr="00BF6615">
        <w:t>strony Urzędów Pracy: strony PUP różnych powiatów, praca.gov.pl,</w:t>
      </w:r>
    </w:p>
    <w:p w14:paraId="74D72102" w14:textId="51858C96" w:rsidR="00B00A6D" w:rsidRPr="00BF6615" w:rsidRDefault="00B00A6D">
      <w:pPr>
        <w:pStyle w:val="Akapitzlist"/>
        <w:numPr>
          <w:ilvl w:val="0"/>
          <w:numId w:val="77"/>
        </w:numPr>
      </w:pPr>
      <w:r w:rsidRPr="00BF6615">
        <w:t xml:space="preserve">strony instytucji zdrowotnych: m.in. strony przychodni, </w:t>
      </w:r>
      <w:r w:rsidR="00B6023E" w:rsidRPr="00BF6615">
        <w:t>szpital</w:t>
      </w:r>
      <w:r w:rsidRPr="00BF6615">
        <w:t>i,</w:t>
      </w:r>
    </w:p>
    <w:p w14:paraId="7C1A35B2" w14:textId="673A033F" w:rsidR="00B00A6D" w:rsidRPr="00BF6615" w:rsidRDefault="00B00A6D">
      <w:pPr>
        <w:pStyle w:val="Akapitzlist"/>
        <w:numPr>
          <w:ilvl w:val="0"/>
          <w:numId w:val="77"/>
        </w:numPr>
      </w:pPr>
      <w:r w:rsidRPr="00BF6615">
        <w:t xml:space="preserve">strony edukacyjne: </w:t>
      </w:r>
      <w:r w:rsidR="004D7EBA" w:rsidRPr="00BF6615">
        <w:t xml:space="preserve">szkoły </w:t>
      </w:r>
      <w:r w:rsidR="00651CEA" w:rsidRPr="00BF6615">
        <w:t>podstawowe i średnie, uczelnie wyższe</w:t>
      </w:r>
      <w:r w:rsidRPr="00BF6615">
        <w:t>,</w:t>
      </w:r>
    </w:p>
    <w:p w14:paraId="148AE421" w14:textId="191BC849" w:rsidR="00B00A6D" w:rsidRPr="00BF6615" w:rsidRDefault="00B00A6D">
      <w:pPr>
        <w:pStyle w:val="Akapitzlist"/>
        <w:numPr>
          <w:ilvl w:val="0"/>
          <w:numId w:val="77"/>
        </w:numPr>
      </w:pPr>
      <w:r w:rsidRPr="00BF6615">
        <w:t>strony instytucji kultury: m.in. muzea, biblioteki.</w:t>
      </w:r>
    </w:p>
    <w:p w14:paraId="6ED24E38" w14:textId="241A29B4" w:rsidR="00D849DF" w:rsidRPr="00BF6615" w:rsidRDefault="00B00A6D" w:rsidP="007E26B5">
      <w:r w:rsidRPr="00BF6615">
        <w:t xml:space="preserve">Średnie ocen poszczególnych aspektów dostępności </w:t>
      </w:r>
      <w:r w:rsidR="00C5294F" w:rsidRPr="00BF6615">
        <w:t xml:space="preserve">na badanych stronach </w:t>
      </w:r>
      <w:r w:rsidR="00586AF3" w:rsidRPr="00BF6615">
        <w:t>oceniono stosunkowo wysoko, oceny te są</w:t>
      </w:r>
      <w:r w:rsidR="00B26296" w:rsidRPr="00BF6615">
        <w:t xml:space="preserve"> zbliżone do ocen</w:t>
      </w:r>
      <w:r w:rsidR="00586AF3" w:rsidRPr="00BF6615">
        <w:t xml:space="preserve"> w ogólnej populacji badanej.</w:t>
      </w:r>
      <w:r w:rsidR="00B26296" w:rsidRPr="00BF6615">
        <w:t xml:space="preserve"> Jednostkowe oceny wahały się od </w:t>
      </w:r>
      <w:r w:rsidR="003922CE" w:rsidRPr="00BF6615">
        <w:t xml:space="preserve">3,24 do </w:t>
      </w:r>
      <w:r w:rsidR="00B26296" w:rsidRPr="00BF6615">
        <w:t>4,60</w:t>
      </w:r>
      <w:r w:rsidR="000C3D1C" w:rsidRPr="00BF6615">
        <w:t>. W jednostkowych ocenach</w:t>
      </w:r>
      <w:r w:rsidR="006F7051" w:rsidRPr="00BF6615">
        <w:t xml:space="preserve"> najgorzej oceniono </w:t>
      </w:r>
      <w:r w:rsidR="00F00F35" w:rsidRPr="00BF6615">
        <w:t>kwestię kontaktu z podmiotem, dostępność</w:t>
      </w:r>
      <w:r w:rsidR="00875C42" w:rsidRPr="00BF6615">
        <w:t xml:space="preserve"> tekstu ETR</w:t>
      </w:r>
      <w:r w:rsidR="00F00F35" w:rsidRPr="00BF6615">
        <w:t xml:space="preserve">, </w:t>
      </w:r>
      <w:r w:rsidR="00D849DF" w:rsidRPr="00BF6615">
        <w:t>łatwość korzystania z wyszukiwarki i dostępność formularzy- wszystkie najniższe oceny dotyczyły stron rządowych.</w:t>
      </w:r>
    </w:p>
    <w:p w14:paraId="6667A721" w14:textId="2F225FCC" w:rsidR="00C5294F" w:rsidRPr="00BF6615" w:rsidRDefault="00843758" w:rsidP="007E26B5">
      <w:r w:rsidRPr="00BF6615">
        <w:t xml:space="preserve">Sumarycznie najlepiej ocenionym </w:t>
      </w:r>
      <w:r w:rsidR="00EB03F2" w:rsidRPr="00BF6615">
        <w:t>kryterium</w:t>
      </w:r>
      <w:r w:rsidR="000A3481" w:rsidRPr="00BF6615">
        <w:t xml:space="preserve"> jest </w:t>
      </w:r>
      <w:r w:rsidR="00004DE7" w:rsidRPr="00BF6615">
        <w:t xml:space="preserve">przyjazność czcionek i kolorów </w:t>
      </w:r>
      <w:r w:rsidR="000A3481" w:rsidRPr="00BF6615">
        <w:t>(</w:t>
      </w:r>
      <w:r w:rsidR="00060349" w:rsidRPr="00BF6615">
        <w:t>4,30</w:t>
      </w:r>
      <w:r w:rsidR="000A3481" w:rsidRPr="00BF6615">
        <w:t xml:space="preserve">), </w:t>
      </w:r>
      <w:r w:rsidR="008B0B0A" w:rsidRPr="00BF6615">
        <w:t>a</w:t>
      </w:r>
      <w:r w:rsidR="008B0B0A">
        <w:t> </w:t>
      </w:r>
      <w:r w:rsidR="000A3481" w:rsidRPr="00BF6615">
        <w:t>najgorzej możliwość</w:t>
      </w:r>
      <w:r w:rsidR="00EB03F2" w:rsidRPr="00BF6615">
        <w:t xml:space="preserve"> kontakt</w:t>
      </w:r>
      <w:r w:rsidR="000A3481" w:rsidRPr="00BF6615">
        <w:t>u</w:t>
      </w:r>
      <w:r w:rsidR="00EB03F2" w:rsidRPr="00BF6615">
        <w:t xml:space="preserve"> z podmiotem (3,99)</w:t>
      </w:r>
      <w:r w:rsidR="000A3481" w:rsidRPr="00BF6615">
        <w:t>.</w:t>
      </w:r>
    </w:p>
    <w:p w14:paraId="76034A56" w14:textId="5E1D6955" w:rsidR="000C3D1C" w:rsidRPr="00BF6615" w:rsidRDefault="000C3D1C" w:rsidP="007E26B5">
      <w:r w:rsidRPr="00BF6615">
        <w:t xml:space="preserve">Najgorzej oceniono strony rządowe (3,50), najlepiej strony OPS (4,38). Ocena stron rządowych jest znacząco niższa niż ta uzyskana w łącznej grupie badanej gdzie wyniosła </w:t>
      </w:r>
      <w:r w:rsidR="006F7051" w:rsidRPr="00BF6615">
        <w:t>4,07.</w:t>
      </w:r>
    </w:p>
    <w:p w14:paraId="20B69809" w14:textId="77777777" w:rsidR="00C5294F" w:rsidRPr="00BF6615" w:rsidRDefault="00C5294F" w:rsidP="007E26B5"/>
    <w:p w14:paraId="230F469B" w14:textId="77777777" w:rsidR="00542813" w:rsidRPr="00BF6615" w:rsidRDefault="00542813" w:rsidP="007E26B5"/>
    <w:p w14:paraId="6497E5DB" w14:textId="77777777" w:rsidR="00721981" w:rsidRPr="00BF6615" w:rsidRDefault="00721981" w:rsidP="007E26B5">
      <w:pPr>
        <w:pStyle w:val="Legenda"/>
        <w:keepNext/>
        <w:sectPr w:rsidR="00721981" w:rsidRPr="00BF6615" w:rsidSect="00B00A6D">
          <w:headerReference w:type="even" r:id="rId82"/>
          <w:headerReference w:type="default" r:id="rId83"/>
          <w:footerReference w:type="even" r:id="rId84"/>
          <w:footerReference w:type="default" r:id="rId85"/>
          <w:headerReference w:type="first" r:id="rId86"/>
          <w:pgSz w:w="12240" w:h="15840"/>
          <w:pgMar w:top="1440" w:right="1440" w:bottom="1440" w:left="1440" w:header="708" w:footer="708" w:gutter="0"/>
          <w:cols w:space="708"/>
          <w:titlePg/>
          <w:docGrid w:linePitch="360"/>
        </w:sectPr>
      </w:pPr>
    </w:p>
    <w:p w14:paraId="1C147FC1" w14:textId="5F3B4F8C" w:rsidR="00542813" w:rsidRPr="00BF6615" w:rsidRDefault="00542813" w:rsidP="007E26B5">
      <w:pPr>
        <w:pStyle w:val="Legenda"/>
        <w:keepNext/>
      </w:pPr>
      <w:bookmarkStart w:id="267" w:name="_Toc204179135"/>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37</w:t>
      </w:r>
      <w:r w:rsidRPr="00BF6615">
        <w:fldChar w:fldCharType="end"/>
      </w:r>
      <w:r w:rsidR="00FD0843">
        <w:t>.</w:t>
      </w:r>
      <w:r w:rsidRPr="00BF6615">
        <w:t xml:space="preserve"> Średnie oceny stron publicznych wg aspektów dostępności cyfrowej dla stron, z których korzystają osoby badane w grupie </w:t>
      </w:r>
      <w:r w:rsidR="0063177D" w:rsidRPr="00BF6615">
        <w:t>os</w:t>
      </w:r>
      <w:r w:rsidR="00721981" w:rsidRPr="00BF6615">
        <w:t>o</w:t>
      </w:r>
      <w:r w:rsidR="0063177D" w:rsidRPr="00BF6615">
        <w:t>b</w:t>
      </w:r>
      <w:r w:rsidR="00721981" w:rsidRPr="00BF6615">
        <w:t>y</w:t>
      </w:r>
      <w:r w:rsidR="0063177D" w:rsidRPr="00BF6615">
        <w:t xml:space="preserve"> z niepełnosprawnościami</w:t>
      </w:r>
      <w:bookmarkEnd w:id="267"/>
    </w:p>
    <w:tbl>
      <w:tblPr>
        <w:tblStyle w:val="PARP"/>
        <w:tblW w:w="13724" w:type="dxa"/>
        <w:tblLook w:val="04A0" w:firstRow="1" w:lastRow="0" w:firstColumn="1" w:lastColumn="0" w:noHBand="0" w:noVBand="1"/>
        <w:tblCaption w:val="Średnie oceny stron publicznych wg aspektów dostępności cyfrowej dla stron, z których korzystają osoby badane w grupie osoby z niepełnosprawnościami"/>
        <w:tblDescription w:val="Średnie oceny stron publicznych wg aspektów dostępności cyfrowej dla stron, z których korzystają osoby badane w grupie osoby z niepełnosprawnościami"/>
      </w:tblPr>
      <w:tblGrid>
        <w:gridCol w:w="4673"/>
        <w:gridCol w:w="1764"/>
        <w:gridCol w:w="1228"/>
        <w:gridCol w:w="2096"/>
        <w:gridCol w:w="1764"/>
        <w:gridCol w:w="986"/>
        <w:gridCol w:w="1213"/>
      </w:tblGrid>
      <w:tr w:rsidR="00721981" w:rsidRPr="00BF6615" w14:paraId="5C060212" w14:textId="77777777" w:rsidTr="00060349">
        <w:trPr>
          <w:cnfStyle w:val="100000000000" w:firstRow="1" w:lastRow="0" w:firstColumn="0" w:lastColumn="0" w:oddVBand="0" w:evenVBand="0" w:oddHBand="0" w:evenHBand="0" w:firstRowFirstColumn="0" w:firstRowLastColumn="0" w:lastRowFirstColumn="0" w:lastRowLastColumn="0"/>
          <w:trHeight w:val="2320"/>
        </w:trPr>
        <w:tc>
          <w:tcPr>
            <w:tcW w:w="4673" w:type="dxa"/>
            <w:hideMark/>
          </w:tcPr>
          <w:p w14:paraId="2C7FF55C" w14:textId="77777777" w:rsidR="0063177D" w:rsidRPr="00BF6615" w:rsidRDefault="0063177D"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764" w:type="dxa"/>
            <w:hideMark/>
          </w:tcPr>
          <w:p w14:paraId="43F484DE" w14:textId="77777777" w:rsidR="0063177D" w:rsidRPr="00BF6615" w:rsidRDefault="0063177D" w:rsidP="007E26B5">
            <w:pPr>
              <w:spacing w:after="0" w:line="240" w:lineRule="auto"/>
              <w:rPr>
                <w:rFonts w:eastAsia="Times New Roman" w:cs="Calibri"/>
                <w:b/>
                <w:sz w:val="22"/>
                <w:lang w:eastAsia="pl-PL"/>
              </w:rPr>
            </w:pPr>
            <w:r w:rsidRPr="00BF6615">
              <w:rPr>
                <w:rFonts w:eastAsia="Times New Roman" w:cs="Calibri"/>
                <w:b/>
                <w:sz w:val="22"/>
                <w:lang w:eastAsia="pl-PL"/>
              </w:rPr>
              <w:t>Strona urzędu centralnego, w tym rządowa, ministerstwa, agencji</w:t>
            </w:r>
          </w:p>
        </w:tc>
        <w:tc>
          <w:tcPr>
            <w:tcW w:w="1228" w:type="dxa"/>
            <w:hideMark/>
          </w:tcPr>
          <w:p w14:paraId="169A0634" w14:textId="77777777" w:rsidR="0063177D" w:rsidRPr="00BF6615" w:rsidRDefault="0063177D" w:rsidP="007E26B5">
            <w:pPr>
              <w:spacing w:after="0" w:line="240" w:lineRule="auto"/>
              <w:rPr>
                <w:rFonts w:eastAsia="Times New Roman" w:cs="Calibri"/>
                <w:b/>
                <w:sz w:val="22"/>
                <w:lang w:eastAsia="pl-PL"/>
              </w:rPr>
            </w:pPr>
            <w:r w:rsidRPr="00BF6615">
              <w:rPr>
                <w:rFonts w:eastAsia="Times New Roman" w:cs="Calibri"/>
                <w:b/>
                <w:sz w:val="22"/>
                <w:lang w:eastAsia="pl-PL"/>
              </w:rPr>
              <w:t>Strona urzędu skarbowego</w:t>
            </w:r>
          </w:p>
        </w:tc>
        <w:tc>
          <w:tcPr>
            <w:tcW w:w="2096" w:type="dxa"/>
            <w:hideMark/>
          </w:tcPr>
          <w:p w14:paraId="2DECAC4B" w14:textId="77777777" w:rsidR="0063177D" w:rsidRPr="00BF6615" w:rsidRDefault="0063177D" w:rsidP="007E26B5">
            <w:pPr>
              <w:spacing w:after="0" w:line="240" w:lineRule="auto"/>
              <w:rPr>
                <w:rFonts w:eastAsia="Times New Roman" w:cs="Calibri"/>
                <w:b/>
                <w:sz w:val="22"/>
                <w:lang w:eastAsia="pl-PL"/>
              </w:rPr>
            </w:pPr>
            <w:r w:rsidRPr="00BF6615">
              <w:rPr>
                <w:rFonts w:eastAsia="Times New Roman" w:cs="Calibri"/>
                <w:b/>
                <w:sz w:val="22"/>
                <w:lang w:eastAsia="pl-PL"/>
              </w:rPr>
              <w:t>strona urzędu miejskiego/gminnego</w:t>
            </w:r>
          </w:p>
        </w:tc>
        <w:tc>
          <w:tcPr>
            <w:tcW w:w="1764" w:type="dxa"/>
            <w:hideMark/>
          </w:tcPr>
          <w:p w14:paraId="6B9A83F3" w14:textId="77777777" w:rsidR="0063177D" w:rsidRPr="00BF6615" w:rsidRDefault="0063177D" w:rsidP="007E26B5">
            <w:pPr>
              <w:spacing w:after="0" w:line="240" w:lineRule="auto"/>
              <w:rPr>
                <w:rFonts w:eastAsia="Times New Roman" w:cs="Calibri"/>
                <w:b/>
                <w:sz w:val="22"/>
                <w:lang w:eastAsia="pl-PL"/>
              </w:rPr>
            </w:pPr>
            <w:r w:rsidRPr="00BF6615">
              <w:rPr>
                <w:rFonts w:eastAsia="Times New Roman" w:cs="Calibri"/>
                <w:b/>
                <w:sz w:val="22"/>
                <w:lang w:eastAsia="pl-PL"/>
              </w:rPr>
              <w:t>Strona Powiatowego Centrum Pomocy Rodzinie/ Miejskiego lub Gminnego Ośrodka Pomocy Społecznej</w:t>
            </w:r>
          </w:p>
        </w:tc>
        <w:tc>
          <w:tcPr>
            <w:tcW w:w="986" w:type="dxa"/>
            <w:hideMark/>
          </w:tcPr>
          <w:p w14:paraId="21C4DECA" w14:textId="77777777" w:rsidR="0063177D" w:rsidRPr="00BF6615" w:rsidRDefault="0063177D" w:rsidP="007E26B5">
            <w:pPr>
              <w:spacing w:after="0" w:line="240" w:lineRule="auto"/>
              <w:rPr>
                <w:rFonts w:eastAsia="Times New Roman" w:cs="Calibri"/>
                <w:b/>
                <w:sz w:val="22"/>
                <w:lang w:eastAsia="pl-PL"/>
              </w:rPr>
            </w:pPr>
            <w:r w:rsidRPr="00BF6615">
              <w:rPr>
                <w:rFonts w:eastAsia="Times New Roman" w:cs="Calibri"/>
                <w:b/>
                <w:sz w:val="22"/>
                <w:lang w:eastAsia="pl-PL"/>
              </w:rPr>
              <w:t>Strona urzędu pracy</w:t>
            </w:r>
          </w:p>
        </w:tc>
        <w:tc>
          <w:tcPr>
            <w:tcW w:w="1213" w:type="dxa"/>
            <w:hideMark/>
          </w:tcPr>
          <w:p w14:paraId="18A3B93C" w14:textId="77777777" w:rsidR="0063177D" w:rsidRPr="00BF6615" w:rsidRDefault="0063177D"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721981" w:rsidRPr="00BF6615" w14:paraId="25A384D0" w14:textId="77777777" w:rsidTr="00060349">
        <w:trPr>
          <w:cnfStyle w:val="000000100000" w:firstRow="0" w:lastRow="0" w:firstColumn="0" w:lastColumn="0" w:oddVBand="0" w:evenVBand="0" w:oddHBand="1" w:evenHBand="0" w:firstRowFirstColumn="0" w:firstRowLastColumn="0" w:lastRowFirstColumn="0" w:lastRowLastColumn="0"/>
          <w:trHeight w:val="580"/>
        </w:trPr>
        <w:tc>
          <w:tcPr>
            <w:tcW w:w="4673" w:type="dxa"/>
            <w:hideMark/>
          </w:tcPr>
          <w:p w14:paraId="6D8A4D1F"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przeglądać zawartość i znajdować potrzebne mi informacje</w:t>
            </w:r>
          </w:p>
        </w:tc>
        <w:tc>
          <w:tcPr>
            <w:tcW w:w="1764" w:type="dxa"/>
            <w:hideMark/>
          </w:tcPr>
          <w:p w14:paraId="6DBD7D45"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3,27</w:t>
            </w:r>
          </w:p>
        </w:tc>
        <w:tc>
          <w:tcPr>
            <w:tcW w:w="1228" w:type="dxa"/>
            <w:hideMark/>
          </w:tcPr>
          <w:p w14:paraId="197BA63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4,22</w:t>
            </w:r>
          </w:p>
        </w:tc>
        <w:tc>
          <w:tcPr>
            <w:tcW w:w="2096" w:type="dxa"/>
            <w:hideMark/>
          </w:tcPr>
          <w:p w14:paraId="37A395D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3,89</w:t>
            </w:r>
          </w:p>
        </w:tc>
        <w:tc>
          <w:tcPr>
            <w:tcW w:w="1764" w:type="dxa"/>
            <w:hideMark/>
          </w:tcPr>
          <w:p w14:paraId="19B761F9"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986" w:type="dxa"/>
            <w:hideMark/>
          </w:tcPr>
          <w:p w14:paraId="2B364847"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213" w:type="dxa"/>
            <w:hideMark/>
          </w:tcPr>
          <w:p w14:paraId="5C7F95D2"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4,06</w:t>
            </w:r>
          </w:p>
        </w:tc>
      </w:tr>
      <w:tr w:rsidR="00721981" w:rsidRPr="00BF6615" w14:paraId="7E16DC76" w14:textId="77777777" w:rsidTr="00060349">
        <w:trPr>
          <w:cnfStyle w:val="000000010000" w:firstRow="0" w:lastRow="0" w:firstColumn="0" w:lastColumn="0" w:oddVBand="0" w:evenVBand="0" w:oddHBand="0" w:evenHBand="1" w:firstRowFirstColumn="0" w:firstRowLastColumn="0" w:lastRowFirstColumn="0" w:lastRowLastColumn="0"/>
          <w:trHeight w:val="290"/>
        </w:trPr>
        <w:tc>
          <w:tcPr>
            <w:tcW w:w="4673" w:type="dxa"/>
            <w:hideMark/>
          </w:tcPr>
          <w:p w14:paraId="0D2AEC25"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na stronie są dla mnie zrozumiałe</w:t>
            </w:r>
          </w:p>
        </w:tc>
        <w:tc>
          <w:tcPr>
            <w:tcW w:w="1764" w:type="dxa"/>
            <w:hideMark/>
          </w:tcPr>
          <w:p w14:paraId="42B1ECFB"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3,45</w:t>
            </w:r>
          </w:p>
        </w:tc>
        <w:tc>
          <w:tcPr>
            <w:tcW w:w="1228" w:type="dxa"/>
            <w:hideMark/>
          </w:tcPr>
          <w:p w14:paraId="3EDD3319"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2096" w:type="dxa"/>
            <w:hideMark/>
          </w:tcPr>
          <w:p w14:paraId="46FE1EB9"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4,05</w:t>
            </w:r>
          </w:p>
        </w:tc>
        <w:tc>
          <w:tcPr>
            <w:tcW w:w="1764" w:type="dxa"/>
            <w:hideMark/>
          </w:tcPr>
          <w:p w14:paraId="1DED747A"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4,31</w:t>
            </w:r>
          </w:p>
        </w:tc>
        <w:tc>
          <w:tcPr>
            <w:tcW w:w="986" w:type="dxa"/>
            <w:hideMark/>
          </w:tcPr>
          <w:p w14:paraId="399A3AEC"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213" w:type="dxa"/>
            <w:hideMark/>
          </w:tcPr>
          <w:p w14:paraId="6CD337F6"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4,04</w:t>
            </w:r>
          </w:p>
        </w:tc>
      </w:tr>
      <w:tr w:rsidR="00721981" w:rsidRPr="00BF6615" w14:paraId="32E942CF" w14:textId="77777777" w:rsidTr="00060349">
        <w:trPr>
          <w:cnfStyle w:val="000000100000" w:firstRow="0" w:lastRow="0" w:firstColumn="0" w:lastColumn="0" w:oddVBand="0" w:evenVBand="0" w:oddHBand="1" w:evenHBand="0" w:firstRowFirstColumn="0" w:firstRowLastColumn="0" w:lastRowFirstColumn="0" w:lastRowLastColumn="0"/>
          <w:trHeight w:val="1160"/>
        </w:trPr>
        <w:tc>
          <w:tcPr>
            <w:tcW w:w="4673" w:type="dxa"/>
            <w:hideMark/>
          </w:tcPr>
          <w:p w14:paraId="4E14A40F"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ma czytelny układ treści bez względu na urządzenie, z którego korzystam, w widoku poziomym i pionowym</w:t>
            </w:r>
          </w:p>
        </w:tc>
        <w:tc>
          <w:tcPr>
            <w:tcW w:w="1764" w:type="dxa"/>
            <w:hideMark/>
          </w:tcPr>
          <w:p w14:paraId="08E6C3C5"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3,57</w:t>
            </w:r>
          </w:p>
        </w:tc>
        <w:tc>
          <w:tcPr>
            <w:tcW w:w="1228" w:type="dxa"/>
            <w:hideMark/>
          </w:tcPr>
          <w:p w14:paraId="17F11AC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4,04</w:t>
            </w:r>
          </w:p>
        </w:tc>
        <w:tc>
          <w:tcPr>
            <w:tcW w:w="2096" w:type="dxa"/>
            <w:hideMark/>
          </w:tcPr>
          <w:p w14:paraId="179C552D"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64" w:type="dxa"/>
            <w:hideMark/>
          </w:tcPr>
          <w:p w14:paraId="637C6AE0"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986" w:type="dxa"/>
            <w:hideMark/>
          </w:tcPr>
          <w:p w14:paraId="371CF0D0"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213" w:type="dxa"/>
            <w:hideMark/>
          </w:tcPr>
          <w:p w14:paraId="6C4F2271"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4,06</w:t>
            </w:r>
          </w:p>
        </w:tc>
      </w:tr>
      <w:tr w:rsidR="00721981" w:rsidRPr="00BF6615" w14:paraId="41A4FFFB" w14:textId="77777777" w:rsidTr="00060349">
        <w:trPr>
          <w:cnfStyle w:val="000000010000" w:firstRow="0" w:lastRow="0" w:firstColumn="0" w:lastColumn="0" w:oddVBand="0" w:evenVBand="0" w:oddHBand="0" w:evenHBand="1" w:firstRowFirstColumn="0" w:firstRowLastColumn="0" w:lastRowFirstColumn="0" w:lastRowLastColumn="0"/>
          <w:trHeight w:val="580"/>
        </w:trPr>
        <w:tc>
          <w:tcPr>
            <w:tcW w:w="4673" w:type="dxa"/>
            <w:hideMark/>
          </w:tcPr>
          <w:p w14:paraId="39B4DF7C"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na stronie są dla mnie przyjazne</w:t>
            </w:r>
          </w:p>
        </w:tc>
        <w:tc>
          <w:tcPr>
            <w:tcW w:w="1764" w:type="dxa"/>
            <w:hideMark/>
          </w:tcPr>
          <w:p w14:paraId="6AEE5B2E"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3,94</w:t>
            </w:r>
          </w:p>
        </w:tc>
        <w:tc>
          <w:tcPr>
            <w:tcW w:w="1228" w:type="dxa"/>
            <w:hideMark/>
          </w:tcPr>
          <w:p w14:paraId="552CEA5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2096" w:type="dxa"/>
            <w:hideMark/>
          </w:tcPr>
          <w:p w14:paraId="37263A4F"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1764" w:type="dxa"/>
            <w:hideMark/>
          </w:tcPr>
          <w:p w14:paraId="5097BF77"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986" w:type="dxa"/>
            <w:hideMark/>
          </w:tcPr>
          <w:p w14:paraId="68991F1B"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213" w:type="dxa"/>
            <w:hideMark/>
          </w:tcPr>
          <w:p w14:paraId="554B37B5"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4,30</w:t>
            </w:r>
          </w:p>
        </w:tc>
      </w:tr>
      <w:tr w:rsidR="00721981" w:rsidRPr="00BF6615" w14:paraId="158F8C33" w14:textId="77777777" w:rsidTr="00060349">
        <w:trPr>
          <w:cnfStyle w:val="000000100000" w:firstRow="0" w:lastRow="0" w:firstColumn="0" w:lastColumn="0" w:oddVBand="0" w:evenVBand="0" w:oddHBand="1" w:evenHBand="0" w:firstRowFirstColumn="0" w:firstRowLastColumn="0" w:lastRowFirstColumn="0" w:lastRowLastColumn="0"/>
          <w:trHeight w:val="580"/>
        </w:trPr>
        <w:tc>
          <w:tcPr>
            <w:tcW w:w="4673" w:type="dxa"/>
            <w:hideMark/>
          </w:tcPr>
          <w:p w14:paraId="71FD293B"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Formularze zamieszczone na stronie są dla mnie dostępne</w:t>
            </w:r>
          </w:p>
        </w:tc>
        <w:tc>
          <w:tcPr>
            <w:tcW w:w="1764" w:type="dxa"/>
            <w:hideMark/>
          </w:tcPr>
          <w:p w14:paraId="1823AF9A"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3,40</w:t>
            </w:r>
          </w:p>
        </w:tc>
        <w:tc>
          <w:tcPr>
            <w:tcW w:w="1228" w:type="dxa"/>
            <w:hideMark/>
          </w:tcPr>
          <w:p w14:paraId="2C146177"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2096" w:type="dxa"/>
            <w:hideMark/>
          </w:tcPr>
          <w:p w14:paraId="24EBE6C0"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4,27</w:t>
            </w:r>
          </w:p>
        </w:tc>
        <w:tc>
          <w:tcPr>
            <w:tcW w:w="1764" w:type="dxa"/>
            <w:hideMark/>
          </w:tcPr>
          <w:p w14:paraId="09002966"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986" w:type="dxa"/>
            <w:hideMark/>
          </w:tcPr>
          <w:p w14:paraId="6640D2C4"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213" w:type="dxa"/>
            <w:hideMark/>
          </w:tcPr>
          <w:p w14:paraId="5FE2A98E"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4,07</w:t>
            </w:r>
          </w:p>
        </w:tc>
      </w:tr>
      <w:tr w:rsidR="00721981" w:rsidRPr="00BF6615" w14:paraId="59906568" w14:textId="77777777" w:rsidTr="00060349">
        <w:trPr>
          <w:cnfStyle w:val="000000010000" w:firstRow="0" w:lastRow="0" w:firstColumn="0" w:lastColumn="0" w:oddVBand="0" w:evenVBand="0" w:oddHBand="0" w:evenHBand="1" w:firstRowFirstColumn="0" w:firstRowLastColumn="0" w:lastRowFirstColumn="0" w:lastRowLastColumn="0"/>
          <w:trHeight w:val="290"/>
        </w:trPr>
        <w:tc>
          <w:tcPr>
            <w:tcW w:w="4673" w:type="dxa"/>
            <w:hideMark/>
          </w:tcPr>
          <w:p w14:paraId="3F022B50"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Łatwo można korzystać z wyszukiwarki</w:t>
            </w:r>
          </w:p>
        </w:tc>
        <w:tc>
          <w:tcPr>
            <w:tcW w:w="1764" w:type="dxa"/>
            <w:hideMark/>
          </w:tcPr>
          <w:p w14:paraId="51446B09"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3,28</w:t>
            </w:r>
          </w:p>
        </w:tc>
        <w:tc>
          <w:tcPr>
            <w:tcW w:w="1228" w:type="dxa"/>
            <w:hideMark/>
          </w:tcPr>
          <w:p w14:paraId="48CB2358"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2096" w:type="dxa"/>
            <w:hideMark/>
          </w:tcPr>
          <w:p w14:paraId="3417B01A"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4,09</w:t>
            </w:r>
          </w:p>
        </w:tc>
        <w:tc>
          <w:tcPr>
            <w:tcW w:w="1764" w:type="dxa"/>
            <w:hideMark/>
          </w:tcPr>
          <w:p w14:paraId="0BCB93B7"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4,47</w:t>
            </w:r>
          </w:p>
        </w:tc>
        <w:tc>
          <w:tcPr>
            <w:tcW w:w="986" w:type="dxa"/>
            <w:hideMark/>
          </w:tcPr>
          <w:p w14:paraId="1BEE84C9"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1213" w:type="dxa"/>
            <w:hideMark/>
          </w:tcPr>
          <w:p w14:paraId="2868DA6E"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4,05</w:t>
            </w:r>
          </w:p>
        </w:tc>
      </w:tr>
      <w:tr w:rsidR="00721981" w:rsidRPr="00BF6615" w14:paraId="15DDD664" w14:textId="77777777" w:rsidTr="00060349">
        <w:trPr>
          <w:cnfStyle w:val="000000100000" w:firstRow="0" w:lastRow="0" w:firstColumn="0" w:lastColumn="0" w:oddVBand="0" w:evenVBand="0" w:oddHBand="1" w:evenHBand="0" w:firstRowFirstColumn="0" w:firstRowLastColumn="0" w:lastRowFirstColumn="0" w:lastRowLastColumn="0"/>
          <w:trHeight w:val="580"/>
        </w:trPr>
        <w:tc>
          <w:tcPr>
            <w:tcW w:w="4673" w:type="dxa"/>
            <w:hideMark/>
          </w:tcPr>
          <w:p w14:paraId="138F308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Obrazy, grafiki i zdjęcia na stronie są dla mnie zrozumiałe</w:t>
            </w:r>
          </w:p>
        </w:tc>
        <w:tc>
          <w:tcPr>
            <w:tcW w:w="1764" w:type="dxa"/>
            <w:hideMark/>
          </w:tcPr>
          <w:p w14:paraId="7744AA03"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3,93</w:t>
            </w:r>
          </w:p>
        </w:tc>
        <w:tc>
          <w:tcPr>
            <w:tcW w:w="1228" w:type="dxa"/>
            <w:hideMark/>
          </w:tcPr>
          <w:p w14:paraId="203B3D89"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3,96</w:t>
            </w:r>
          </w:p>
        </w:tc>
        <w:tc>
          <w:tcPr>
            <w:tcW w:w="2096" w:type="dxa"/>
            <w:hideMark/>
          </w:tcPr>
          <w:p w14:paraId="1BB481C5"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4,34</w:t>
            </w:r>
          </w:p>
        </w:tc>
        <w:tc>
          <w:tcPr>
            <w:tcW w:w="1764" w:type="dxa"/>
            <w:hideMark/>
          </w:tcPr>
          <w:p w14:paraId="76E3239A"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986" w:type="dxa"/>
            <w:hideMark/>
          </w:tcPr>
          <w:p w14:paraId="02D9BE44"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213" w:type="dxa"/>
            <w:hideMark/>
          </w:tcPr>
          <w:p w14:paraId="7664D8CB"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4,16</w:t>
            </w:r>
          </w:p>
        </w:tc>
      </w:tr>
      <w:tr w:rsidR="00721981" w:rsidRPr="00BF6615" w14:paraId="2894BB29" w14:textId="77777777" w:rsidTr="00060349">
        <w:trPr>
          <w:cnfStyle w:val="000000010000" w:firstRow="0" w:lastRow="0" w:firstColumn="0" w:lastColumn="0" w:oddVBand="0" w:evenVBand="0" w:oddHBand="0" w:evenHBand="1" w:firstRowFirstColumn="0" w:firstRowLastColumn="0" w:lastRowFirstColumn="0" w:lastRowLastColumn="0"/>
          <w:trHeight w:val="290"/>
        </w:trPr>
        <w:tc>
          <w:tcPr>
            <w:tcW w:w="4673" w:type="dxa"/>
            <w:hideMark/>
          </w:tcPr>
          <w:p w14:paraId="7A76816F"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Multimedia są dla mnie zrozumiałe</w:t>
            </w:r>
          </w:p>
        </w:tc>
        <w:tc>
          <w:tcPr>
            <w:tcW w:w="1764" w:type="dxa"/>
            <w:hideMark/>
          </w:tcPr>
          <w:p w14:paraId="2F5067A0"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3,93</w:t>
            </w:r>
          </w:p>
        </w:tc>
        <w:tc>
          <w:tcPr>
            <w:tcW w:w="1228" w:type="dxa"/>
            <w:hideMark/>
          </w:tcPr>
          <w:p w14:paraId="3AA438F8"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4,18</w:t>
            </w:r>
          </w:p>
        </w:tc>
        <w:tc>
          <w:tcPr>
            <w:tcW w:w="2096" w:type="dxa"/>
            <w:hideMark/>
          </w:tcPr>
          <w:p w14:paraId="492A65C0"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1764" w:type="dxa"/>
            <w:hideMark/>
          </w:tcPr>
          <w:p w14:paraId="7A8E408D"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986" w:type="dxa"/>
            <w:hideMark/>
          </w:tcPr>
          <w:p w14:paraId="3E4F5E34"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213" w:type="dxa"/>
            <w:hideMark/>
          </w:tcPr>
          <w:p w14:paraId="05DDC9D6"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4,27</w:t>
            </w:r>
          </w:p>
        </w:tc>
      </w:tr>
      <w:tr w:rsidR="00721981" w:rsidRPr="00BF6615" w14:paraId="79659BA5" w14:textId="77777777" w:rsidTr="00060349">
        <w:trPr>
          <w:cnfStyle w:val="000000100000" w:firstRow="0" w:lastRow="0" w:firstColumn="0" w:lastColumn="0" w:oddVBand="0" w:evenVBand="0" w:oddHBand="1" w:evenHBand="0" w:firstRowFirstColumn="0" w:firstRowLastColumn="0" w:lastRowFirstColumn="0" w:lastRowLastColumn="0"/>
          <w:trHeight w:val="1450"/>
        </w:trPr>
        <w:tc>
          <w:tcPr>
            <w:tcW w:w="4673" w:type="dxa"/>
            <w:hideMark/>
          </w:tcPr>
          <w:p w14:paraId="6CDCD20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 (E-mail, chat, SMS, wideo rozmowa, itp.)</w:t>
            </w:r>
          </w:p>
        </w:tc>
        <w:tc>
          <w:tcPr>
            <w:tcW w:w="1764" w:type="dxa"/>
            <w:hideMark/>
          </w:tcPr>
          <w:p w14:paraId="6E7186D1"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3,03</w:t>
            </w:r>
          </w:p>
        </w:tc>
        <w:tc>
          <w:tcPr>
            <w:tcW w:w="1228" w:type="dxa"/>
            <w:hideMark/>
          </w:tcPr>
          <w:p w14:paraId="144DF5F1"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2096" w:type="dxa"/>
            <w:hideMark/>
          </w:tcPr>
          <w:p w14:paraId="0DE0D554"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64" w:type="dxa"/>
            <w:hideMark/>
          </w:tcPr>
          <w:p w14:paraId="0564A287"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986" w:type="dxa"/>
            <w:hideMark/>
          </w:tcPr>
          <w:p w14:paraId="00BBD290"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3,86</w:t>
            </w:r>
          </w:p>
        </w:tc>
        <w:tc>
          <w:tcPr>
            <w:tcW w:w="1213" w:type="dxa"/>
            <w:hideMark/>
          </w:tcPr>
          <w:p w14:paraId="408996A9"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3,84</w:t>
            </w:r>
          </w:p>
        </w:tc>
      </w:tr>
      <w:tr w:rsidR="00721981" w:rsidRPr="00BF6615" w14:paraId="674A7899" w14:textId="77777777" w:rsidTr="00060349">
        <w:trPr>
          <w:cnfStyle w:val="000000010000" w:firstRow="0" w:lastRow="0" w:firstColumn="0" w:lastColumn="0" w:oddVBand="0" w:evenVBand="0" w:oddHBand="0" w:evenHBand="1" w:firstRowFirstColumn="0" w:firstRowLastColumn="0" w:lastRowFirstColumn="0" w:lastRowLastColumn="0"/>
          <w:trHeight w:val="580"/>
        </w:trPr>
        <w:tc>
          <w:tcPr>
            <w:tcW w:w="4673" w:type="dxa"/>
            <w:hideMark/>
          </w:tcPr>
          <w:p w14:paraId="4A1114D5"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Wszystkie elementy strony mogę obsłużyć za pomocą klawiatury</w:t>
            </w:r>
          </w:p>
        </w:tc>
        <w:tc>
          <w:tcPr>
            <w:tcW w:w="1764" w:type="dxa"/>
            <w:hideMark/>
          </w:tcPr>
          <w:p w14:paraId="0C590E04"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3,36</w:t>
            </w:r>
          </w:p>
        </w:tc>
        <w:tc>
          <w:tcPr>
            <w:tcW w:w="1228" w:type="dxa"/>
            <w:hideMark/>
          </w:tcPr>
          <w:p w14:paraId="4F7B72BD"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4,41</w:t>
            </w:r>
          </w:p>
        </w:tc>
        <w:tc>
          <w:tcPr>
            <w:tcW w:w="2096" w:type="dxa"/>
            <w:hideMark/>
          </w:tcPr>
          <w:p w14:paraId="4DED9AD8"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4,27</w:t>
            </w:r>
          </w:p>
        </w:tc>
        <w:tc>
          <w:tcPr>
            <w:tcW w:w="1764" w:type="dxa"/>
            <w:hideMark/>
          </w:tcPr>
          <w:p w14:paraId="2F5A36AC"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986" w:type="dxa"/>
            <w:hideMark/>
          </w:tcPr>
          <w:p w14:paraId="32F03509"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213" w:type="dxa"/>
            <w:hideMark/>
          </w:tcPr>
          <w:p w14:paraId="442F57DC"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4,13</w:t>
            </w:r>
          </w:p>
        </w:tc>
      </w:tr>
      <w:tr w:rsidR="00721981" w:rsidRPr="00BF6615" w14:paraId="25BE871F" w14:textId="77777777" w:rsidTr="00060349">
        <w:trPr>
          <w:cnfStyle w:val="000000100000" w:firstRow="0" w:lastRow="0" w:firstColumn="0" w:lastColumn="0" w:oddVBand="0" w:evenVBand="0" w:oddHBand="1" w:evenHBand="0" w:firstRowFirstColumn="0" w:firstRowLastColumn="0" w:lastRowFirstColumn="0" w:lastRowLastColumn="0"/>
          <w:trHeight w:val="580"/>
        </w:trPr>
        <w:tc>
          <w:tcPr>
            <w:tcW w:w="4673" w:type="dxa"/>
            <w:hideMark/>
          </w:tcPr>
          <w:p w14:paraId="2F017214"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tłumaczenia na Polski język migowy (PJM)</w:t>
            </w:r>
          </w:p>
        </w:tc>
        <w:tc>
          <w:tcPr>
            <w:tcW w:w="1764" w:type="dxa"/>
            <w:hideMark/>
          </w:tcPr>
          <w:p w14:paraId="658243B4"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228" w:type="dxa"/>
            <w:hideMark/>
          </w:tcPr>
          <w:p w14:paraId="516C337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2096" w:type="dxa"/>
            <w:hideMark/>
          </w:tcPr>
          <w:p w14:paraId="3EFE7B33"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764" w:type="dxa"/>
            <w:hideMark/>
          </w:tcPr>
          <w:p w14:paraId="43C924C0"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986" w:type="dxa"/>
            <w:hideMark/>
          </w:tcPr>
          <w:p w14:paraId="1693AFB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213" w:type="dxa"/>
            <w:hideMark/>
          </w:tcPr>
          <w:p w14:paraId="3AC80041"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4,24</w:t>
            </w:r>
          </w:p>
        </w:tc>
      </w:tr>
      <w:tr w:rsidR="00721981" w:rsidRPr="00BF6615" w14:paraId="723684A7" w14:textId="77777777" w:rsidTr="00060349">
        <w:trPr>
          <w:cnfStyle w:val="000000010000" w:firstRow="0" w:lastRow="0" w:firstColumn="0" w:lastColumn="0" w:oddVBand="0" w:evenVBand="0" w:oddHBand="0" w:evenHBand="1" w:firstRowFirstColumn="0" w:firstRowLastColumn="0" w:lastRowFirstColumn="0" w:lastRowLastColumn="0"/>
          <w:trHeight w:val="580"/>
        </w:trPr>
        <w:tc>
          <w:tcPr>
            <w:tcW w:w="4673" w:type="dxa"/>
            <w:hideMark/>
          </w:tcPr>
          <w:p w14:paraId="19526B0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informacje w tekście łatwym do czytania i zrozumienia (ETR)</w:t>
            </w:r>
          </w:p>
        </w:tc>
        <w:tc>
          <w:tcPr>
            <w:tcW w:w="1764" w:type="dxa"/>
            <w:hideMark/>
          </w:tcPr>
          <w:p w14:paraId="09DFEECB"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3,24</w:t>
            </w:r>
          </w:p>
        </w:tc>
        <w:tc>
          <w:tcPr>
            <w:tcW w:w="1228" w:type="dxa"/>
            <w:hideMark/>
          </w:tcPr>
          <w:p w14:paraId="6ED884A9"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4,32</w:t>
            </w:r>
          </w:p>
        </w:tc>
        <w:tc>
          <w:tcPr>
            <w:tcW w:w="2096" w:type="dxa"/>
            <w:hideMark/>
          </w:tcPr>
          <w:p w14:paraId="036639F7"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4,44</w:t>
            </w:r>
          </w:p>
        </w:tc>
        <w:tc>
          <w:tcPr>
            <w:tcW w:w="1764" w:type="dxa"/>
            <w:hideMark/>
          </w:tcPr>
          <w:p w14:paraId="03CA61DF"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4,46</w:t>
            </w:r>
          </w:p>
        </w:tc>
        <w:tc>
          <w:tcPr>
            <w:tcW w:w="986" w:type="dxa"/>
            <w:hideMark/>
          </w:tcPr>
          <w:p w14:paraId="061950C7"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1213" w:type="dxa"/>
            <w:hideMark/>
          </w:tcPr>
          <w:p w14:paraId="143C8E94"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4,15</w:t>
            </w:r>
          </w:p>
        </w:tc>
      </w:tr>
      <w:tr w:rsidR="00721981" w:rsidRPr="00BF6615" w14:paraId="6BC19781" w14:textId="77777777" w:rsidTr="00060349">
        <w:trPr>
          <w:cnfStyle w:val="000000100000" w:firstRow="0" w:lastRow="0" w:firstColumn="0" w:lastColumn="0" w:oddVBand="0" w:evenVBand="0" w:oddHBand="1" w:evenHBand="0" w:firstRowFirstColumn="0" w:firstRowLastColumn="0" w:lastRowFirstColumn="0" w:lastRowLastColumn="0"/>
          <w:trHeight w:val="580"/>
        </w:trPr>
        <w:tc>
          <w:tcPr>
            <w:tcW w:w="4673" w:type="dxa"/>
            <w:hideMark/>
          </w:tcPr>
          <w:p w14:paraId="308BE00C"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jest dla mnie dostępna pod każdym względem</w:t>
            </w:r>
          </w:p>
        </w:tc>
        <w:tc>
          <w:tcPr>
            <w:tcW w:w="1764" w:type="dxa"/>
            <w:hideMark/>
          </w:tcPr>
          <w:p w14:paraId="011EFD10"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228" w:type="dxa"/>
            <w:hideMark/>
          </w:tcPr>
          <w:p w14:paraId="1CDEF3FB"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4,22</w:t>
            </w:r>
          </w:p>
        </w:tc>
        <w:tc>
          <w:tcPr>
            <w:tcW w:w="2096" w:type="dxa"/>
            <w:hideMark/>
          </w:tcPr>
          <w:p w14:paraId="30429B42"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4,37</w:t>
            </w:r>
          </w:p>
        </w:tc>
        <w:tc>
          <w:tcPr>
            <w:tcW w:w="1764" w:type="dxa"/>
            <w:hideMark/>
          </w:tcPr>
          <w:p w14:paraId="064B055D"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4,47</w:t>
            </w:r>
          </w:p>
        </w:tc>
        <w:tc>
          <w:tcPr>
            <w:tcW w:w="986" w:type="dxa"/>
            <w:hideMark/>
          </w:tcPr>
          <w:p w14:paraId="07197C78" w14:textId="77777777" w:rsidR="0063177D" w:rsidRPr="00BF6615" w:rsidRDefault="0063177D"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3,88</w:t>
            </w:r>
          </w:p>
        </w:tc>
        <w:tc>
          <w:tcPr>
            <w:tcW w:w="1213" w:type="dxa"/>
            <w:hideMark/>
          </w:tcPr>
          <w:p w14:paraId="77C8C1D9"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4,09</w:t>
            </w:r>
          </w:p>
        </w:tc>
      </w:tr>
      <w:tr w:rsidR="00721981" w:rsidRPr="00BF6615" w14:paraId="1B64632D" w14:textId="77777777" w:rsidTr="00060349">
        <w:trPr>
          <w:cnfStyle w:val="000000010000" w:firstRow="0" w:lastRow="0" w:firstColumn="0" w:lastColumn="0" w:oddVBand="0" w:evenVBand="0" w:oddHBand="0" w:evenHBand="1" w:firstRowFirstColumn="0" w:firstRowLastColumn="0" w:lastRowFirstColumn="0" w:lastRowLastColumn="0"/>
          <w:trHeight w:val="290"/>
        </w:trPr>
        <w:tc>
          <w:tcPr>
            <w:tcW w:w="4673" w:type="dxa"/>
            <w:hideMark/>
          </w:tcPr>
          <w:p w14:paraId="7CDE2738"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Sumaryczna średnia ocen</w:t>
            </w:r>
          </w:p>
        </w:tc>
        <w:tc>
          <w:tcPr>
            <w:tcW w:w="1764" w:type="dxa"/>
            <w:noWrap/>
            <w:hideMark/>
          </w:tcPr>
          <w:p w14:paraId="71939D2E"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3,50</w:t>
            </w:r>
          </w:p>
        </w:tc>
        <w:tc>
          <w:tcPr>
            <w:tcW w:w="1228" w:type="dxa"/>
            <w:noWrap/>
            <w:hideMark/>
          </w:tcPr>
          <w:p w14:paraId="4701E812"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4,21</w:t>
            </w:r>
          </w:p>
        </w:tc>
        <w:tc>
          <w:tcPr>
            <w:tcW w:w="2096" w:type="dxa"/>
            <w:noWrap/>
            <w:hideMark/>
          </w:tcPr>
          <w:p w14:paraId="2F30C5D8"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4,22</w:t>
            </w:r>
          </w:p>
        </w:tc>
        <w:tc>
          <w:tcPr>
            <w:tcW w:w="1764" w:type="dxa"/>
            <w:noWrap/>
            <w:hideMark/>
          </w:tcPr>
          <w:p w14:paraId="7D22B7FF"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4,38</w:t>
            </w:r>
          </w:p>
        </w:tc>
        <w:tc>
          <w:tcPr>
            <w:tcW w:w="986" w:type="dxa"/>
            <w:noWrap/>
            <w:hideMark/>
          </w:tcPr>
          <w:p w14:paraId="37F9AB3F" w14:textId="77777777" w:rsidR="0063177D" w:rsidRPr="00BF6615" w:rsidRDefault="0063177D"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4,24</w:t>
            </w:r>
          </w:p>
        </w:tc>
        <w:tc>
          <w:tcPr>
            <w:tcW w:w="1213" w:type="dxa"/>
            <w:noWrap/>
            <w:hideMark/>
          </w:tcPr>
          <w:p w14:paraId="002B623D" w14:textId="60510CFC" w:rsidR="0063177D" w:rsidRPr="00BF6615" w:rsidRDefault="00185791"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t>
            </w:r>
            <w:r w:rsidR="0063177D" w:rsidRPr="00BF6615">
              <w:rPr>
                <w:rFonts w:ascii="Calibri" w:eastAsia="Times New Roman" w:hAnsi="Calibri" w:cs="Calibri"/>
                <w:color w:val="000000"/>
                <w:sz w:val="22"/>
                <w:lang w:eastAsia="pl-PL"/>
              </w:rPr>
              <w:t> </w:t>
            </w:r>
          </w:p>
        </w:tc>
      </w:tr>
    </w:tbl>
    <w:p w14:paraId="43A4964B" w14:textId="5975C19D" w:rsidR="00B00A6D" w:rsidRPr="00BF6615" w:rsidRDefault="00B00A6D" w:rsidP="00FD0843">
      <w:r w:rsidRPr="00BF6615">
        <w:t>Źródło: opracowanie własne.</w:t>
      </w:r>
    </w:p>
    <w:p w14:paraId="3259EBD6" w14:textId="77777777" w:rsidR="00721981" w:rsidRPr="00BF6615" w:rsidRDefault="00721981" w:rsidP="007E26B5">
      <w:pPr>
        <w:spacing w:after="160" w:line="259" w:lineRule="auto"/>
        <w:rPr>
          <w:color w:val="C00000"/>
          <w:szCs w:val="18"/>
        </w:rPr>
        <w:sectPr w:rsidR="00721981" w:rsidRPr="00BF6615" w:rsidSect="00721981">
          <w:pgSz w:w="15840" w:h="12240" w:orient="landscape"/>
          <w:pgMar w:top="1440" w:right="1440" w:bottom="1440" w:left="1440" w:header="709" w:footer="709" w:gutter="0"/>
          <w:cols w:space="708"/>
          <w:titlePg/>
          <w:docGrid w:linePitch="360"/>
        </w:sectPr>
      </w:pPr>
    </w:p>
    <w:p w14:paraId="15D9135D" w14:textId="54C1EEB9" w:rsidR="00B00A6D" w:rsidRPr="00BF6615" w:rsidRDefault="00326A10" w:rsidP="007E26B5">
      <w:r w:rsidRPr="00BF6615">
        <w:lastRenderedPageBreak/>
        <w:t>Analiza ocen d</w:t>
      </w:r>
      <w:r w:rsidR="00B00A6D" w:rsidRPr="00BF6615">
        <w:t>ostępnoś</w:t>
      </w:r>
      <w:r w:rsidRPr="00BF6615">
        <w:t>ci</w:t>
      </w:r>
      <w:r w:rsidR="00B00A6D" w:rsidRPr="00BF6615">
        <w:t xml:space="preserve"> stron tematycznych wskazuje, że najwyżej oceniono dostępność stron instytucji kultury (4,</w:t>
      </w:r>
      <w:r w:rsidR="009E34A5" w:rsidRPr="00BF6615">
        <w:t>37)</w:t>
      </w:r>
      <w:r w:rsidR="005F66E6" w:rsidRPr="00BF6615">
        <w:t xml:space="preserve">- co koreluje z ocenami w innych grupach badanych. </w:t>
      </w:r>
      <w:r w:rsidR="002C787E" w:rsidRPr="00BF6615">
        <w:t>Tak, jak w stronach wg typów podmiotów</w:t>
      </w:r>
      <w:r w:rsidR="7B88F23F" w:rsidRPr="00BF6615">
        <w:t>,</w:t>
      </w:r>
      <w:r w:rsidR="002C787E" w:rsidRPr="00BF6615">
        <w:t xml:space="preserve"> również tutaj badani najgorzej ocenili możliwość kontaktu z podmiotem</w:t>
      </w:r>
      <w:r w:rsidR="009E34A5" w:rsidRPr="00BF6615">
        <w:t xml:space="preserve"> (</w:t>
      </w:r>
      <w:r w:rsidR="00B00A6D" w:rsidRPr="00BF6615">
        <w:t>3,</w:t>
      </w:r>
      <w:r w:rsidR="009E34A5" w:rsidRPr="00BF6615">
        <w:t>77)</w:t>
      </w:r>
      <w:r w:rsidR="002C787E" w:rsidRPr="00BF6615">
        <w:t>.</w:t>
      </w:r>
      <w:r w:rsidR="009E34A5" w:rsidRPr="00BF6615">
        <w:t xml:space="preserve"> Dodatkowo niskie oceny otrzymało kryterium zrozumiałości multimediów. Bad</w:t>
      </w:r>
      <w:r w:rsidR="00466C5F" w:rsidRPr="00BF6615">
        <w:t>ani najwyżej ocenili kryterium dostępności formularzy</w:t>
      </w:r>
      <w:r w:rsidR="000C59D7" w:rsidRPr="00BF6615">
        <w:t xml:space="preserve">- wysoki wynik dla tej kategorii wynika </w:t>
      </w:r>
      <w:r w:rsidR="008B0B0A" w:rsidRPr="00BF6615">
        <w:t>z</w:t>
      </w:r>
      <w:r w:rsidR="008B0B0A">
        <w:t> </w:t>
      </w:r>
      <w:r w:rsidR="000C59D7" w:rsidRPr="00BF6615">
        <w:t>wysokich ocen dla stron dotyczących zdrowia i instytucji kultury.</w:t>
      </w:r>
    </w:p>
    <w:p w14:paraId="6563A4E0" w14:textId="4FC64DA8" w:rsidR="00542813" w:rsidRPr="00BF6615" w:rsidRDefault="00542813" w:rsidP="007E26B5">
      <w:pPr>
        <w:pStyle w:val="Legenda"/>
        <w:keepNext/>
      </w:pPr>
      <w:bookmarkStart w:id="268" w:name="_Toc204179136"/>
      <w:r w:rsidRPr="00BF6615">
        <w:t xml:space="preserve">Tabela </w:t>
      </w:r>
      <w:r w:rsidRPr="00BF6615">
        <w:fldChar w:fldCharType="begin"/>
      </w:r>
      <w:r w:rsidRPr="00BF6615">
        <w:instrText xml:space="preserve"> SEQ Tabela \* ARABIC </w:instrText>
      </w:r>
      <w:r w:rsidRPr="00BF6615">
        <w:fldChar w:fldCharType="separate"/>
      </w:r>
      <w:r w:rsidR="00FD0843">
        <w:rPr>
          <w:noProof/>
        </w:rPr>
        <w:t>38</w:t>
      </w:r>
      <w:r w:rsidRPr="00BF6615">
        <w:fldChar w:fldCharType="end"/>
      </w:r>
      <w:r w:rsidR="00FD0843">
        <w:t>.</w:t>
      </w:r>
      <w:r w:rsidRPr="00BF6615">
        <w:t xml:space="preserve"> Średnie oceny tematycznych stron publicznych wg aspektów dostępności cyfrowej dla stron, z których korzystają osoby badane w </w:t>
      </w:r>
      <w:r w:rsidR="0063177D" w:rsidRPr="00BF6615">
        <w:t>grupie osoby z niepełnosprawnościami</w:t>
      </w:r>
      <w:bookmarkEnd w:id="268"/>
    </w:p>
    <w:tbl>
      <w:tblPr>
        <w:tblStyle w:val="PARP"/>
        <w:tblW w:w="9997" w:type="dxa"/>
        <w:tblLook w:val="04A0" w:firstRow="1" w:lastRow="0" w:firstColumn="1" w:lastColumn="0" w:noHBand="0" w:noVBand="1"/>
        <w:tblCaption w:val="Średnie oceny tematycznych stron publicznych wg aspektów dostępności cyfrowej dla stron, z których korzystają osoby badane w grupie osoby z niepełnosprawnościami"/>
        <w:tblDescription w:val="Średnie oceny tematycznych stron publicznych wg aspektów dostępności cyfrowej dla stron, z których korzystają osoby badane w grupie osoby z niepełnosprawnościami"/>
      </w:tblPr>
      <w:tblGrid>
        <w:gridCol w:w="4815"/>
        <w:gridCol w:w="1418"/>
        <w:gridCol w:w="1417"/>
        <w:gridCol w:w="1134"/>
        <w:gridCol w:w="1213"/>
      </w:tblGrid>
      <w:tr w:rsidR="005F66E6" w:rsidRPr="00BF6615" w14:paraId="5C03FCE5" w14:textId="77777777" w:rsidTr="005F66E6">
        <w:trPr>
          <w:cnfStyle w:val="100000000000" w:firstRow="1" w:lastRow="0" w:firstColumn="0" w:lastColumn="0" w:oddVBand="0" w:evenVBand="0" w:oddHBand="0" w:evenHBand="0" w:firstRowFirstColumn="0" w:firstRowLastColumn="0" w:lastRowFirstColumn="0" w:lastRowLastColumn="0"/>
          <w:trHeight w:val="580"/>
        </w:trPr>
        <w:tc>
          <w:tcPr>
            <w:tcW w:w="4815" w:type="dxa"/>
            <w:hideMark/>
          </w:tcPr>
          <w:p w14:paraId="721A2EF5" w14:textId="77777777" w:rsidR="005F66E6" w:rsidRPr="00BF6615" w:rsidRDefault="005F66E6"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418" w:type="dxa"/>
            <w:hideMark/>
          </w:tcPr>
          <w:p w14:paraId="71886D21" w14:textId="77777777" w:rsidR="005F66E6" w:rsidRPr="00BF6615" w:rsidRDefault="005F66E6" w:rsidP="007E26B5">
            <w:pPr>
              <w:spacing w:after="0" w:line="240" w:lineRule="auto"/>
              <w:rPr>
                <w:rFonts w:eastAsia="Times New Roman" w:cs="Calibri"/>
                <w:b/>
                <w:sz w:val="22"/>
                <w:lang w:eastAsia="pl-PL"/>
              </w:rPr>
            </w:pPr>
            <w:r w:rsidRPr="00BF6615">
              <w:rPr>
                <w:rFonts w:eastAsia="Times New Roman" w:cs="Calibri"/>
                <w:b/>
                <w:sz w:val="22"/>
                <w:lang w:eastAsia="pl-PL"/>
              </w:rPr>
              <w:t>Strona instytucji zdrowia</w:t>
            </w:r>
          </w:p>
        </w:tc>
        <w:tc>
          <w:tcPr>
            <w:tcW w:w="1417" w:type="dxa"/>
            <w:hideMark/>
          </w:tcPr>
          <w:p w14:paraId="19CF7C35" w14:textId="77777777" w:rsidR="005F66E6" w:rsidRPr="00BF6615" w:rsidRDefault="005F66E6" w:rsidP="007E26B5">
            <w:pPr>
              <w:spacing w:after="0" w:line="240" w:lineRule="auto"/>
              <w:rPr>
                <w:rFonts w:eastAsia="Times New Roman" w:cs="Calibri"/>
                <w:b/>
                <w:sz w:val="22"/>
                <w:lang w:eastAsia="pl-PL"/>
              </w:rPr>
            </w:pPr>
            <w:r w:rsidRPr="00BF6615">
              <w:rPr>
                <w:rFonts w:eastAsia="Times New Roman" w:cs="Calibri"/>
                <w:b/>
                <w:sz w:val="22"/>
                <w:lang w:eastAsia="pl-PL"/>
              </w:rPr>
              <w:t>Strona edukacyjna</w:t>
            </w:r>
          </w:p>
        </w:tc>
        <w:tc>
          <w:tcPr>
            <w:tcW w:w="1134" w:type="dxa"/>
            <w:hideMark/>
          </w:tcPr>
          <w:p w14:paraId="47DCC26A" w14:textId="77777777" w:rsidR="005F66E6" w:rsidRPr="00BF6615" w:rsidRDefault="005F66E6" w:rsidP="007E26B5">
            <w:pPr>
              <w:spacing w:after="0" w:line="240" w:lineRule="auto"/>
              <w:rPr>
                <w:rFonts w:eastAsia="Times New Roman" w:cs="Calibri"/>
                <w:b/>
                <w:sz w:val="22"/>
                <w:lang w:eastAsia="pl-PL"/>
              </w:rPr>
            </w:pPr>
            <w:r w:rsidRPr="00BF6615">
              <w:rPr>
                <w:rFonts w:eastAsia="Times New Roman" w:cs="Calibri"/>
                <w:b/>
                <w:sz w:val="22"/>
                <w:lang w:eastAsia="pl-PL"/>
              </w:rPr>
              <w:t>Strona instytucji kultury</w:t>
            </w:r>
          </w:p>
        </w:tc>
        <w:tc>
          <w:tcPr>
            <w:tcW w:w="1213" w:type="dxa"/>
            <w:hideMark/>
          </w:tcPr>
          <w:p w14:paraId="7B1B2915" w14:textId="77777777" w:rsidR="005F66E6" w:rsidRPr="00BF6615" w:rsidRDefault="005F66E6"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F5236D" w:rsidRPr="00BF6615" w14:paraId="2900CD3A" w14:textId="77777777" w:rsidTr="005F66E6">
        <w:trPr>
          <w:cnfStyle w:val="000000100000" w:firstRow="0" w:lastRow="0" w:firstColumn="0" w:lastColumn="0" w:oddVBand="0" w:evenVBand="0" w:oddHBand="1" w:evenHBand="0" w:firstRowFirstColumn="0" w:firstRowLastColumn="0" w:lastRowFirstColumn="0" w:lastRowLastColumn="0"/>
          <w:trHeight w:val="580"/>
        </w:trPr>
        <w:tc>
          <w:tcPr>
            <w:tcW w:w="4815" w:type="dxa"/>
            <w:hideMark/>
          </w:tcPr>
          <w:p w14:paraId="2009B72F"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przeglądać zawartość i znajdować potrzebne mi informacje</w:t>
            </w:r>
          </w:p>
        </w:tc>
        <w:tc>
          <w:tcPr>
            <w:tcW w:w="1418" w:type="dxa"/>
            <w:hideMark/>
          </w:tcPr>
          <w:p w14:paraId="2FC53F52"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4,47</w:t>
            </w:r>
          </w:p>
        </w:tc>
        <w:tc>
          <w:tcPr>
            <w:tcW w:w="1417" w:type="dxa"/>
            <w:hideMark/>
          </w:tcPr>
          <w:p w14:paraId="3D1AFDF0"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134" w:type="dxa"/>
            <w:hideMark/>
          </w:tcPr>
          <w:p w14:paraId="4F8CAF29"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213" w:type="dxa"/>
            <w:noWrap/>
            <w:hideMark/>
          </w:tcPr>
          <w:p w14:paraId="6328A2F7"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4,19</w:t>
            </w:r>
          </w:p>
        </w:tc>
      </w:tr>
      <w:tr w:rsidR="00F5236D" w:rsidRPr="00BF6615" w14:paraId="6B528224" w14:textId="77777777" w:rsidTr="005F66E6">
        <w:trPr>
          <w:cnfStyle w:val="000000010000" w:firstRow="0" w:lastRow="0" w:firstColumn="0" w:lastColumn="0" w:oddVBand="0" w:evenVBand="0" w:oddHBand="0" w:evenHBand="1" w:firstRowFirstColumn="0" w:firstRowLastColumn="0" w:lastRowFirstColumn="0" w:lastRowLastColumn="0"/>
          <w:trHeight w:val="290"/>
        </w:trPr>
        <w:tc>
          <w:tcPr>
            <w:tcW w:w="4815" w:type="dxa"/>
            <w:hideMark/>
          </w:tcPr>
          <w:p w14:paraId="1ECDE857"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na stronie są dla mnie zrozumiałe</w:t>
            </w:r>
          </w:p>
        </w:tc>
        <w:tc>
          <w:tcPr>
            <w:tcW w:w="1418" w:type="dxa"/>
            <w:hideMark/>
          </w:tcPr>
          <w:p w14:paraId="5C5702E8"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417" w:type="dxa"/>
            <w:hideMark/>
          </w:tcPr>
          <w:p w14:paraId="11176C0E"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3,83</w:t>
            </w:r>
          </w:p>
        </w:tc>
        <w:tc>
          <w:tcPr>
            <w:tcW w:w="1134" w:type="dxa"/>
            <w:hideMark/>
          </w:tcPr>
          <w:p w14:paraId="4A990C88"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213" w:type="dxa"/>
            <w:noWrap/>
            <w:hideMark/>
          </w:tcPr>
          <w:p w14:paraId="6C82A721"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4,19</w:t>
            </w:r>
          </w:p>
        </w:tc>
      </w:tr>
      <w:tr w:rsidR="00F5236D" w:rsidRPr="00BF6615" w14:paraId="043B9775" w14:textId="77777777" w:rsidTr="00FD0843">
        <w:trPr>
          <w:cnfStyle w:val="000000100000" w:firstRow="0" w:lastRow="0" w:firstColumn="0" w:lastColumn="0" w:oddVBand="0" w:evenVBand="0" w:oddHBand="1" w:evenHBand="0" w:firstRowFirstColumn="0" w:firstRowLastColumn="0" w:lastRowFirstColumn="0" w:lastRowLastColumn="0"/>
          <w:trHeight w:val="836"/>
        </w:trPr>
        <w:tc>
          <w:tcPr>
            <w:tcW w:w="4815" w:type="dxa"/>
            <w:hideMark/>
          </w:tcPr>
          <w:p w14:paraId="5757814F"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ma czytelny układ treści bez względu na urządzenie, z którego korzystam, w widoku poziomym i pionowym</w:t>
            </w:r>
          </w:p>
        </w:tc>
        <w:tc>
          <w:tcPr>
            <w:tcW w:w="1418" w:type="dxa"/>
            <w:hideMark/>
          </w:tcPr>
          <w:p w14:paraId="530892A2"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1417" w:type="dxa"/>
            <w:hideMark/>
          </w:tcPr>
          <w:p w14:paraId="0AEE3004"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134" w:type="dxa"/>
            <w:hideMark/>
          </w:tcPr>
          <w:p w14:paraId="6EB4B0CA"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213" w:type="dxa"/>
            <w:noWrap/>
            <w:hideMark/>
          </w:tcPr>
          <w:p w14:paraId="24EF1D16"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3,90</w:t>
            </w:r>
          </w:p>
        </w:tc>
      </w:tr>
      <w:tr w:rsidR="00F5236D" w:rsidRPr="00BF6615" w14:paraId="14A5B4F4" w14:textId="77777777" w:rsidTr="00FD0843">
        <w:trPr>
          <w:cnfStyle w:val="000000010000" w:firstRow="0" w:lastRow="0" w:firstColumn="0" w:lastColumn="0" w:oddVBand="0" w:evenVBand="0" w:oddHBand="0" w:evenHBand="1" w:firstRowFirstColumn="0" w:firstRowLastColumn="0" w:lastRowFirstColumn="0" w:lastRowLastColumn="0"/>
          <w:trHeight w:val="54"/>
        </w:trPr>
        <w:tc>
          <w:tcPr>
            <w:tcW w:w="4815" w:type="dxa"/>
            <w:hideMark/>
          </w:tcPr>
          <w:p w14:paraId="7D2E1B66"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na stronie są dla mnie przyjazne</w:t>
            </w:r>
          </w:p>
        </w:tc>
        <w:tc>
          <w:tcPr>
            <w:tcW w:w="1418" w:type="dxa"/>
            <w:hideMark/>
          </w:tcPr>
          <w:p w14:paraId="6CDE0539"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417" w:type="dxa"/>
            <w:hideMark/>
          </w:tcPr>
          <w:p w14:paraId="1C7B4E93"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3,80</w:t>
            </w:r>
          </w:p>
        </w:tc>
        <w:tc>
          <w:tcPr>
            <w:tcW w:w="1134" w:type="dxa"/>
            <w:hideMark/>
          </w:tcPr>
          <w:p w14:paraId="41822269"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213" w:type="dxa"/>
            <w:noWrap/>
            <w:hideMark/>
          </w:tcPr>
          <w:p w14:paraId="386EFB26"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4,11</w:t>
            </w:r>
          </w:p>
        </w:tc>
      </w:tr>
      <w:tr w:rsidR="00F5236D" w:rsidRPr="00BF6615" w14:paraId="4138469F" w14:textId="77777777" w:rsidTr="005F66E6">
        <w:trPr>
          <w:cnfStyle w:val="000000100000" w:firstRow="0" w:lastRow="0" w:firstColumn="0" w:lastColumn="0" w:oddVBand="0" w:evenVBand="0" w:oddHBand="1" w:evenHBand="0" w:firstRowFirstColumn="0" w:firstRowLastColumn="0" w:lastRowFirstColumn="0" w:lastRowLastColumn="0"/>
          <w:trHeight w:val="580"/>
        </w:trPr>
        <w:tc>
          <w:tcPr>
            <w:tcW w:w="4815" w:type="dxa"/>
            <w:hideMark/>
          </w:tcPr>
          <w:p w14:paraId="341BA771"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Formularze zamieszczone na stronie są dla mnie dostępne</w:t>
            </w:r>
          </w:p>
        </w:tc>
        <w:tc>
          <w:tcPr>
            <w:tcW w:w="1418" w:type="dxa"/>
            <w:hideMark/>
          </w:tcPr>
          <w:p w14:paraId="23F379BC"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417" w:type="dxa"/>
            <w:hideMark/>
          </w:tcPr>
          <w:p w14:paraId="4E91F969"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3,40</w:t>
            </w:r>
          </w:p>
        </w:tc>
        <w:tc>
          <w:tcPr>
            <w:tcW w:w="1134" w:type="dxa"/>
            <w:hideMark/>
          </w:tcPr>
          <w:p w14:paraId="511A225C"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1213" w:type="dxa"/>
            <w:noWrap/>
            <w:hideMark/>
          </w:tcPr>
          <w:p w14:paraId="72A50EDE"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4,25</w:t>
            </w:r>
          </w:p>
        </w:tc>
      </w:tr>
      <w:tr w:rsidR="00F5236D" w:rsidRPr="00BF6615" w14:paraId="37EAA0BD" w14:textId="77777777" w:rsidTr="005F66E6">
        <w:trPr>
          <w:cnfStyle w:val="000000010000" w:firstRow="0" w:lastRow="0" w:firstColumn="0" w:lastColumn="0" w:oddVBand="0" w:evenVBand="0" w:oddHBand="0" w:evenHBand="1" w:firstRowFirstColumn="0" w:firstRowLastColumn="0" w:lastRowFirstColumn="0" w:lastRowLastColumn="0"/>
          <w:trHeight w:val="290"/>
        </w:trPr>
        <w:tc>
          <w:tcPr>
            <w:tcW w:w="4815" w:type="dxa"/>
            <w:hideMark/>
          </w:tcPr>
          <w:p w14:paraId="26FA11DD"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Łatwo można korzystać z wyszukiwarki</w:t>
            </w:r>
          </w:p>
        </w:tc>
        <w:tc>
          <w:tcPr>
            <w:tcW w:w="1418" w:type="dxa"/>
            <w:hideMark/>
          </w:tcPr>
          <w:p w14:paraId="628C056D"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4,27</w:t>
            </w:r>
          </w:p>
        </w:tc>
        <w:tc>
          <w:tcPr>
            <w:tcW w:w="1417" w:type="dxa"/>
            <w:hideMark/>
          </w:tcPr>
          <w:p w14:paraId="30B92501"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134" w:type="dxa"/>
            <w:hideMark/>
          </w:tcPr>
          <w:p w14:paraId="49CD5B3F"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213" w:type="dxa"/>
            <w:noWrap/>
            <w:hideMark/>
          </w:tcPr>
          <w:p w14:paraId="66326F74"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4,14</w:t>
            </w:r>
          </w:p>
        </w:tc>
      </w:tr>
      <w:tr w:rsidR="00F5236D" w:rsidRPr="00BF6615" w14:paraId="7483D35C" w14:textId="77777777" w:rsidTr="005F66E6">
        <w:trPr>
          <w:cnfStyle w:val="000000100000" w:firstRow="0" w:lastRow="0" w:firstColumn="0" w:lastColumn="0" w:oddVBand="0" w:evenVBand="0" w:oddHBand="1" w:evenHBand="0" w:firstRowFirstColumn="0" w:firstRowLastColumn="0" w:lastRowFirstColumn="0" w:lastRowLastColumn="0"/>
          <w:trHeight w:val="580"/>
        </w:trPr>
        <w:tc>
          <w:tcPr>
            <w:tcW w:w="4815" w:type="dxa"/>
            <w:hideMark/>
          </w:tcPr>
          <w:p w14:paraId="3F254635"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Obrazy, grafiki i zdjęcia na stronie są dla mnie zrozumiałe</w:t>
            </w:r>
          </w:p>
        </w:tc>
        <w:tc>
          <w:tcPr>
            <w:tcW w:w="1418" w:type="dxa"/>
            <w:hideMark/>
          </w:tcPr>
          <w:p w14:paraId="1403270A"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417" w:type="dxa"/>
            <w:hideMark/>
          </w:tcPr>
          <w:p w14:paraId="57FD5E8F"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3,60</w:t>
            </w:r>
          </w:p>
        </w:tc>
        <w:tc>
          <w:tcPr>
            <w:tcW w:w="1134" w:type="dxa"/>
            <w:hideMark/>
          </w:tcPr>
          <w:p w14:paraId="2E216912"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213" w:type="dxa"/>
            <w:noWrap/>
            <w:hideMark/>
          </w:tcPr>
          <w:p w14:paraId="52C89834"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3,93</w:t>
            </w:r>
          </w:p>
        </w:tc>
      </w:tr>
      <w:tr w:rsidR="00F5236D" w:rsidRPr="00BF6615" w14:paraId="0380F5BB" w14:textId="77777777" w:rsidTr="005F66E6">
        <w:trPr>
          <w:cnfStyle w:val="000000010000" w:firstRow="0" w:lastRow="0" w:firstColumn="0" w:lastColumn="0" w:oddVBand="0" w:evenVBand="0" w:oddHBand="0" w:evenHBand="1" w:firstRowFirstColumn="0" w:firstRowLastColumn="0" w:lastRowFirstColumn="0" w:lastRowLastColumn="0"/>
          <w:trHeight w:val="290"/>
        </w:trPr>
        <w:tc>
          <w:tcPr>
            <w:tcW w:w="4815" w:type="dxa"/>
            <w:hideMark/>
          </w:tcPr>
          <w:p w14:paraId="005073C6"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Multimedia są dla mnie zrozumiałe</w:t>
            </w:r>
          </w:p>
        </w:tc>
        <w:tc>
          <w:tcPr>
            <w:tcW w:w="1418" w:type="dxa"/>
            <w:hideMark/>
          </w:tcPr>
          <w:p w14:paraId="29763671"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4,36</w:t>
            </w:r>
          </w:p>
        </w:tc>
        <w:tc>
          <w:tcPr>
            <w:tcW w:w="1417" w:type="dxa"/>
            <w:hideMark/>
          </w:tcPr>
          <w:p w14:paraId="371359C8"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3,40</w:t>
            </w:r>
          </w:p>
        </w:tc>
        <w:tc>
          <w:tcPr>
            <w:tcW w:w="1134" w:type="dxa"/>
            <w:hideMark/>
          </w:tcPr>
          <w:p w14:paraId="7C680F84"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213" w:type="dxa"/>
            <w:noWrap/>
            <w:hideMark/>
          </w:tcPr>
          <w:p w14:paraId="3F282E31"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3,92</w:t>
            </w:r>
          </w:p>
        </w:tc>
      </w:tr>
      <w:tr w:rsidR="00F5236D" w:rsidRPr="00BF6615" w14:paraId="2B10044D" w14:textId="77777777" w:rsidTr="005F66E6">
        <w:trPr>
          <w:cnfStyle w:val="000000100000" w:firstRow="0" w:lastRow="0" w:firstColumn="0" w:lastColumn="0" w:oddVBand="0" w:evenVBand="0" w:oddHBand="1" w:evenHBand="0" w:firstRowFirstColumn="0" w:firstRowLastColumn="0" w:lastRowFirstColumn="0" w:lastRowLastColumn="0"/>
          <w:trHeight w:val="1450"/>
        </w:trPr>
        <w:tc>
          <w:tcPr>
            <w:tcW w:w="4815" w:type="dxa"/>
            <w:hideMark/>
          </w:tcPr>
          <w:p w14:paraId="055FB7F1"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 (E-mail, chat, SMS, wideo rozmowa, itp.)</w:t>
            </w:r>
          </w:p>
        </w:tc>
        <w:tc>
          <w:tcPr>
            <w:tcW w:w="1418" w:type="dxa"/>
            <w:hideMark/>
          </w:tcPr>
          <w:p w14:paraId="44204416"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3,87</w:t>
            </w:r>
          </w:p>
        </w:tc>
        <w:tc>
          <w:tcPr>
            <w:tcW w:w="1417" w:type="dxa"/>
            <w:hideMark/>
          </w:tcPr>
          <w:p w14:paraId="24E0C7ED"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3,20</w:t>
            </w:r>
          </w:p>
        </w:tc>
        <w:tc>
          <w:tcPr>
            <w:tcW w:w="1134" w:type="dxa"/>
            <w:hideMark/>
          </w:tcPr>
          <w:p w14:paraId="5E6290F5"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213" w:type="dxa"/>
            <w:noWrap/>
            <w:hideMark/>
          </w:tcPr>
          <w:p w14:paraId="065FFA3F"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3,77</w:t>
            </w:r>
          </w:p>
        </w:tc>
      </w:tr>
      <w:tr w:rsidR="00F5236D" w:rsidRPr="00BF6615" w14:paraId="5FF523ED" w14:textId="77777777" w:rsidTr="005F66E6">
        <w:trPr>
          <w:cnfStyle w:val="000000010000" w:firstRow="0" w:lastRow="0" w:firstColumn="0" w:lastColumn="0" w:oddVBand="0" w:evenVBand="0" w:oddHBand="0" w:evenHBand="1" w:firstRowFirstColumn="0" w:firstRowLastColumn="0" w:lastRowFirstColumn="0" w:lastRowLastColumn="0"/>
          <w:trHeight w:val="580"/>
        </w:trPr>
        <w:tc>
          <w:tcPr>
            <w:tcW w:w="4815" w:type="dxa"/>
            <w:hideMark/>
          </w:tcPr>
          <w:p w14:paraId="2081C768"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strony mogę obsłużyć za pomocą klawiatury</w:t>
            </w:r>
          </w:p>
        </w:tc>
        <w:tc>
          <w:tcPr>
            <w:tcW w:w="1418" w:type="dxa"/>
            <w:hideMark/>
          </w:tcPr>
          <w:p w14:paraId="2DCB948F"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4,36</w:t>
            </w:r>
          </w:p>
        </w:tc>
        <w:tc>
          <w:tcPr>
            <w:tcW w:w="1417" w:type="dxa"/>
            <w:hideMark/>
          </w:tcPr>
          <w:p w14:paraId="760EF921"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3,83</w:t>
            </w:r>
          </w:p>
        </w:tc>
        <w:tc>
          <w:tcPr>
            <w:tcW w:w="1134" w:type="dxa"/>
            <w:hideMark/>
          </w:tcPr>
          <w:p w14:paraId="37785642"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213" w:type="dxa"/>
            <w:noWrap/>
            <w:hideMark/>
          </w:tcPr>
          <w:p w14:paraId="1E91F1C7"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4,23</w:t>
            </w:r>
          </w:p>
        </w:tc>
      </w:tr>
      <w:tr w:rsidR="00F5236D" w:rsidRPr="00BF6615" w14:paraId="7FEAD0DA" w14:textId="77777777" w:rsidTr="005F66E6">
        <w:trPr>
          <w:cnfStyle w:val="000000100000" w:firstRow="0" w:lastRow="0" w:firstColumn="0" w:lastColumn="0" w:oddVBand="0" w:evenVBand="0" w:oddHBand="1" w:evenHBand="0" w:firstRowFirstColumn="0" w:firstRowLastColumn="0" w:lastRowFirstColumn="0" w:lastRowLastColumn="0"/>
          <w:trHeight w:val="580"/>
        </w:trPr>
        <w:tc>
          <w:tcPr>
            <w:tcW w:w="4815" w:type="dxa"/>
            <w:hideMark/>
          </w:tcPr>
          <w:p w14:paraId="5A70239F"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tłumaczenia na Polski język migowy (PJM)</w:t>
            </w:r>
          </w:p>
        </w:tc>
        <w:tc>
          <w:tcPr>
            <w:tcW w:w="1418" w:type="dxa"/>
            <w:hideMark/>
          </w:tcPr>
          <w:p w14:paraId="1B137384"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417" w:type="dxa"/>
            <w:hideMark/>
          </w:tcPr>
          <w:p w14:paraId="54433FE1"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134" w:type="dxa"/>
            <w:hideMark/>
          </w:tcPr>
          <w:p w14:paraId="32F68C08"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213" w:type="dxa"/>
            <w:noWrap/>
            <w:hideMark/>
          </w:tcPr>
          <w:p w14:paraId="3766DAF6"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4,06</w:t>
            </w:r>
          </w:p>
        </w:tc>
      </w:tr>
      <w:tr w:rsidR="00F5236D" w:rsidRPr="00BF6615" w14:paraId="345D13CC" w14:textId="77777777" w:rsidTr="005F66E6">
        <w:trPr>
          <w:cnfStyle w:val="000000010000" w:firstRow="0" w:lastRow="0" w:firstColumn="0" w:lastColumn="0" w:oddVBand="0" w:evenVBand="0" w:oddHBand="0" w:evenHBand="1" w:firstRowFirstColumn="0" w:firstRowLastColumn="0" w:lastRowFirstColumn="0" w:lastRowLastColumn="0"/>
          <w:trHeight w:val="580"/>
        </w:trPr>
        <w:tc>
          <w:tcPr>
            <w:tcW w:w="4815" w:type="dxa"/>
            <w:hideMark/>
          </w:tcPr>
          <w:p w14:paraId="6E5B31F4"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informacje w tekście łatwym do czytania i zrozumienia (ETR)</w:t>
            </w:r>
          </w:p>
        </w:tc>
        <w:tc>
          <w:tcPr>
            <w:tcW w:w="1418" w:type="dxa"/>
            <w:hideMark/>
          </w:tcPr>
          <w:p w14:paraId="3B985A19"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4,23</w:t>
            </w:r>
          </w:p>
        </w:tc>
        <w:tc>
          <w:tcPr>
            <w:tcW w:w="1417" w:type="dxa"/>
            <w:hideMark/>
          </w:tcPr>
          <w:p w14:paraId="5EC53FAE"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134" w:type="dxa"/>
            <w:hideMark/>
          </w:tcPr>
          <w:p w14:paraId="5028E4CE"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213" w:type="dxa"/>
            <w:noWrap/>
            <w:hideMark/>
          </w:tcPr>
          <w:p w14:paraId="4BDE9092"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4,41</w:t>
            </w:r>
          </w:p>
        </w:tc>
      </w:tr>
      <w:tr w:rsidR="00F5236D" w:rsidRPr="00BF6615" w14:paraId="0B4A3A9A" w14:textId="77777777" w:rsidTr="005F66E6">
        <w:trPr>
          <w:cnfStyle w:val="000000100000" w:firstRow="0" w:lastRow="0" w:firstColumn="0" w:lastColumn="0" w:oddVBand="0" w:evenVBand="0" w:oddHBand="1" w:evenHBand="0" w:firstRowFirstColumn="0" w:firstRowLastColumn="0" w:lastRowFirstColumn="0" w:lastRowLastColumn="0"/>
          <w:trHeight w:val="580"/>
        </w:trPr>
        <w:tc>
          <w:tcPr>
            <w:tcW w:w="4815" w:type="dxa"/>
            <w:hideMark/>
          </w:tcPr>
          <w:p w14:paraId="71CD3C05"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jest dla mnie dostępna pod każdym względem</w:t>
            </w:r>
          </w:p>
        </w:tc>
        <w:tc>
          <w:tcPr>
            <w:tcW w:w="1418" w:type="dxa"/>
            <w:hideMark/>
          </w:tcPr>
          <w:p w14:paraId="69846D85"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417" w:type="dxa"/>
            <w:hideMark/>
          </w:tcPr>
          <w:p w14:paraId="186A8220"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3,33</w:t>
            </w:r>
          </w:p>
        </w:tc>
        <w:tc>
          <w:tcPr>
            <w:tcW w:w="1134" w:type="dxa"/>
            <w:hideMark/>
          </w:tcPr>
          <w:p w14:paraId="490ED44D" w14:textId="77777777"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213" w:type="dxa"/>
            <w:noWrap/>
            <w:hideMark/>
          </w:tcPr>
          <w:p w14:paraId="58F35D2C"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4,09</w:t>
            </w:r>
          </w:p>
        </w:tc>
      </w:tr>
      <w:tr w:rsidR="005F66E6" w:rsidRPr="00BF6615" w14:paraId="583EF663" w14:textId="77777777" w:rsidTr="005F66E6">
        <w:trPr>
          <w:cnfStyle w:val="000000010000" w:firstRow="0" w:lastRow="0" w:firstColumn="0" w:lastColumn="0" w:oddVBand="0" w:evenVBand="0" w:oddHBand="0" w:evenHBand="1" w:firstRowFirstColumn="0" w:firstRowLastColumn="0" w:lastRowFirstColumn="0" w:lastRowLastColumn="0"/>
          <w:trHeight w:val="290"/>
        </w:trPr>
        <w:tc>
          <w:tcPr>
            <w:tcW w:w="4815" w:type="dxa"/>
            <w:hideMark/>
          </w:tcPr>
          <w:p w14:paraId="39B6E2B6"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Sumaryczna średnia ocen</w:t>
            </w:r>
          </w:p>
        </w:tc>
        <w:tc>
          <w:tcPr>
            <w:tcW w:w="1418" w:type="dxa"/>
            <w:noWrap/>
            <w:hideMark/>
          </w:tcPr>
          <w:p w14:paraId="382445DF"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4,31</w:t>
            </w:r>
          </w:p>
        </w:tc>
        <w:tc>
          <w:tcPr>
            <w:tcW w:w="1417" w:type="dxa"/>
            <w:noWrap/>
            <w:hideMark/>
          </w:tcPr>
          <w:p w14:paraId="6299491C"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3,59</w:t>
            </w:r>
          </w:p>
        </w:tc>
        <w:tc>
          <w:tcPr>
            <w:tcW w:w="1134" w:type="dxa"/>
            <w:noWrap/>
            <w:hideMark/>
          </w:tcPr>
          <w:p w14:paraId="2D96B3DB" w14:textId="77777777" w:rsidR="005F66E6" w:rsidRPr="00BF6615" w:rsidRDefault="005F66E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4,37</w:t>
            </w:r>
          </w:p>
        </w:tc>
        <w:tc>
          <w:tcPr>
            <w:tcW w:w="1213" w:type="dxa"/>
            <w:noWrap/>
            <w:hideMark/>
          </w:tcPr>
          <w:p w14:paraId="097E95A1" w14:textId="7A910A8D" w:rsidR="005F66E6" w:rsidRPr="00BF6615" w:rsidRDefault="005F66E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 </w:t>
            </w:r>
          </w:p>
        </w:tc>
      </w:tr>
    </w:tbl>
    <w:p w14:paraId="5248344B" w14:textId="77777777" w:rsidR="00B00A6D" w:rsidRPr="00BF6615" w:rsidRDefault="00B00A6D" w:rsidP="00FD0843">
      <w:r w:rsidRPr="00BF6615">
        <w:t>Źródło: opracowanie własne.</w:t>
      </w:r>
    </w:p>
    <w:p w14:paraId="370B12D7" w14:textId="77777777" w:rsidR="00B00A6D" w:rsidRPr="00BF6615" w:rsidRDefault="00B00A6D" w:rsidP="007E26B5"/>
    <w:p w14:paraId="796E0E7C" w14:textId="68F4CCE1" w:rsidR="00B00A6D" w:rsidRPr="00BF6615" w:rsidRDefault="00B00A6D" w:rsidP="007E26B5">
      <w:pPr>
        <w:spacing w:after="0" w:line="240" w:lineRule="auto"/>
      </w:pPr>
      <w:r w:rsidRPr="00BF6615">
        <w:lastRenderedPageBreak/>
        <w:t>Rozkład odpowiedzi na pytanie o to, z jakich aplikacji mobilnych podmiotów publicznych korzystają badani pokazuje, że aplikacje rządowe są używane najczęściej (</w:t>
      </w:r>
      <w:r w:rsidR="007509B3" w:rsidRPr="00BF6615">
        <w:t>35</w:t>
      </w:r>
      <w:r w:rsidRPr="00BF6615">
        <w:t>%)</w:t>
      </w:r>
      <w:r w:rsidR="007509B3" w:rsidRPr="00BF6615">
        <w:t>, kolejno</w:t>
      </w:r>
      <w:r w:rsidRPr="00BF6615">
        <w:t xml:space="preserve"> aplikacje komunikacyjne</w:t>
      </w:r>
      <w:r w:rsidR="007509B3" w:rsidRPr="00BF6615">
        <w:t xml:space="preserve"> (23%)</w:t>
      </w:r>
      <w:r w:rsidRPr="00BF6615">
        <w:t>.</w:t>
      </w:r>
    </w:p>
    <w:p w14:paraId="0E2EA34F" w14:textId="77777777" w:rsidR="00B00A6D" w:rsidRPr="00BF6615" w:rsidRDefault="00B00A6D" w:rsidP="007E26B5">
      <w:pPr>
        <w:spacing w:after="0" w:line="240" w:lineRule="auto"/>
      </w:pPr>
    </w:p>
    <w:p w14:paraId="2E3BD5B5" w14:textId="2EF01257" w:rsidR="00B00A6D" w:rsidRPr="00BF6615" w:rsidRDefault="00B00A6D" w:rsidP="007E26B5">
      <w:pPr>
        <w:pStyle w:val="Legenda"/>
        <w:keepNext/>
        <w:rPr>
          <w:szCs w:val="22"/>
        </w:rPr>
      </w:pPr>
      <w:bookmarkStart w:id="269" w:name="_Toc204179194"/>
      <w:r w:rsidRPr="00BF6615">
        <w:t xml:space="preserve">Wykres </w:t>
      </w:r>
      <w:r w:rsidRPr="00BF6615">
        <w:fldChar w:fldCharType="begin"/>
      </w:r>
      <w:r w:rsidRPr="00BF6615">
        <w:instrText xml:space="preserve"> SEQ Wykres \* ARABIC </w:instrText>
      </w:r>
      <w:r w:rsidRPr="00BF6615">
        <w:fldChar w:fldCharType="separate"/>
      </w:r>
      <w:r w:rsidR="00FD0843">
        <w:rPr>
          <w:noProof/>
        </w:rPr>
        <w:t>48</w:t>
      </w:r>
      <w:r w:rsidRPr="00BF6615">
        <w:fldChar w:fldCharType="end"/>
      </w:r>
      <w:r w:rsidR="00FD0843">
        <w:t>.</w:t>
      </w:r>
      <w:r w:rsidRPr="00BF6615">
        <w:t xml:space="preserve"> </w:t>
      </w:r>
      <w:r w:rsidRPr="00BF6615">
        <w:rPr>
          <w:szCs w:val="22"/>
        </w:rPr>
        <w:t xml:space="preserve">Aplikacje mobilne podmiotów publicznych, z których </w:t>
      </w:r>
      <w:r w:rsidR="006E1361" w:rsidRPr="00BF6615">
        <w:rPr>
          <w:szCs w:val="22"/>
        </w:rPr>
        <w:t xml:space="preserve">najczęściej </w:t>
      </w:r>
      <w:r w:rsidRPr="00BF6615">
        <w:rPr>
          <w:szCs w:val="22"/>
        </w:rPr>
        <w:t xml:space="preserve">korzystają badani </w:t>
      </w:r>
      <w:r w:rsidR="008B0B0A" w:rsidRPr="00BF6615">
        <w:rPr>
          <w:szCs w:val="22"/>
        </w:rPr>
        <w:t>w</w:t>
      </w:r>
      <w:r w:rsidR="008B0B0A">
        <w:rPr>
          <w:szCs w:val="22"/>
        </w:rPr>
        <w:t> </w:t>
      </w:r>
      <w:r w:rsidRPr="00BF6615">
        <w:rPr>
          <w:szCs w:val="22"/>
        </w:rPr>
        <w:t xml:space="preserve">grupie </w:t>
      </w:r>
      <w:r w:rsidR="007509B3" w:rsidRPr="00BF6615">
        <w:rPr>
          <w:szCs w:val="22"/>
        </w:rPr>
        <w:t>osoby z niepełnosprawnościami</w:t>
      </w:r>
      <w:r w:rsidRPr="00BF6615">
        <w:rPr>
          <w:szCs w:val="22"/>
        </w:rPr>
        <w:t xml:space="preserve"> (n=10</w:t>
      </w:r>
      <w:r w:rsidR="007509B3" w:rsidRPr="00BF6615">
        <w:rPr>
          <w:szCs w:val="22"/>
        </w:rPr>
        <w:t>6</w:t>
      </w:r>
      <w:r w:rsidRPr="00BF6615">
        <w:rPr>
          <w:szCs w:val="22"/>
        </w:rPr>
        <w:t>)</w:t>
      </w:r>
      <w:bookmarkEnd w:id="269"/>
    </w:p>
    <w:p w14:paraId="5D441AA7" w14:textId="25FC069B" w:rsidR="007509B3" w:rsidRPr="00BF6615" w:rsidRDefault="007509B3" w:rsidP="007E26B5">
      <w:r w:rsidRPr="00BF6615">
        <w:rPr>
          <w:noProof/>
          <w:lang w:eastAsia="pl-PL"/>
        </w:rPr>
        <w:drawing>
          <wp:inline distT="0" distB="0" distL="0" distR="0" wp14:anchorId="3D80994D" wp14:editId="247F795C">
            <wp:extent cx="5873750" cy="2815772"/>
            <wp:effectExtent l="0" t="0" r="0" b="3810"/>
            <wp:docPr id="934656011" name="Wykres 1" descr="Aplikacje rządowe (np. mObywatel, e-Urząd Skarbowy, mZus) - 35%&#10;Aplikacje komunikacyjne (np. rozkłady jazdy, rezerwacja biletów PKP) - 23%&#10;Aplikacje dotyczące zdrowia (np. aplikacja publicznej przychodni zdrowia) - 16%&#10;Aplikacje urzędu miasta lub urzędu gminy  - 11%&#10;Aplikacje instytucji kultury (np. biblioteki, muzeum) - 8%&#10;Aplikacje edukacyjne (np. szkoły, uczelni) - 6%&#10;">
              <a:extLst xmlns:a="http://schemas.openxmlformats.org/drawingml/2006/main">
                <a:ext uri="{FF2B5EF4-FFF2-40B4-BE49-F238E27FC236}">
                  <a16:creationId xmlns:a16="http://schemas.microsoft.com/office/drawing/2014/main" id="{927A0802-9BF7-4EBB-A560-9DA6F0BFE2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8080109" w14:textId="77777777" w:rsidR="00B00A6D" w:rsidRPr="00BF6615" w:rsidRDefault="00B00A6D" w:rsidP="00FD0843">
      <w:r w:rsidRPr="00BF6615">
        <w:t>Źródło: opracowanie własne.</w:t>
      </w:r>
    </w:p>
    <w:p w14:paraId="43947408" w14:textId="404DB3B8" w:rsidR="00B00A6D" w:rsidRPr="00BF6615" w:rsidRDefault="00B00A6D" w:rsidP="007E26B5">
      <w:pPr>
        <w:rPr>
          <w:rStyle w:val="normalny0"/>
        </w:rPr>
      </w:pPr>
      <w:r w:rsidRPr="00BF6615">
        <w:rPr>
          <w:rStyle w:val="normalny0"/>
        </w:rPr>
        <w:t xml:space="preserve">Na pytanie o to, z jakich aplikacji najczęściej korzystają badani zdecydowanie najczęściej pojawiała się aplikacja </w:t>
      </w:r>
      <w:proofErr w:type="spellStart"/>
      <w:r w:rsidRPr="00BF6615">
        <w:rPr>
          <w:rStyle w:val="normalny0"/>
        </w:rPr>
        <w:t>mObywatel</w:t>
      </w:r>
      <w:proofErr w:type="spellEnd"/>
      <w:r w:rsidRPr="00BF6615">
        <w:rPr>
          <w:rStyle w:val="normalny0"/>
        </w:rPr>
        <w:t>- użytkownicy korzystają z niej najczęściej jako głównego narzędzia dostępu do usług publicznych</w:t>
      </w:r>
      <w:r w:rsidR="00B61672" w:rsidRPr="00BF6615">
        <w:rPr>
          <w:rStyle w:val="normalny0"/>
        </w:rPr>
        <w:t>.</w:t>
      </w:r>
      <w:r w:rsidRPr="00BF6615">
        <w:rPr>
          <w:rStyle w:val="normalny0"/>
        </w:rPr>
        <w:t xml:space="preserve"> </w:t>
      </w:r>
    </w:p>
    <w:p w14:paraId="31341FF6" w14:textId="2D86178E" w:rsidR="00B00A6D" w:rsidRPr="00BF6615" w:rsidRDefault="00B00A6D" w:rsidP="007E26B5">
      <w:r w:rsidRPr="00BF6615">
        <w:t xml:space="preserve">Respondenci proszeni byli o dokonanie oceny ww. aplikacji w różnych aspektach dostępności cyfrowej. Skala ocen zawierała się w przedziale 1-5, gdzie 1 było najniższą, a 5 najwyższą oceną. </w:t>
      </w:r>
    </w:p>
    <w:p w14:paraId="37E73F22" w14:textId="2A22D800" w:rsidR="00800C22" w:rsidRPr="00BF6615" w:rsidRDefault="00800C22" w:rsidP="007E26B5">
      <w:r w:rsidRPr="00BF6615">
        <w:t xml:space="preserve">Tak, jak w przypadku stron rządowych, tak i aplikacje rządowe zostały ocenione niżej niż samorządowe. W innych grupach badanych aplikacje </w:t>
      </w:r>
      <w:r w:rsidR="00D3793F" w:rsidRPr="00BF6615">
        <w:t>rządowe</w:t>
      </w:r>
      <w:r w:rsidRPr="00BF6615">
        <w:t xml:space="preserve"> uzyskiwały wyższe oceny niż strony- tutaj sytuacja jest taka sama, z tym, że </w:t>
      </w:r>
      <w:r w:rsidR="00D3793F" w:rsidRPr="00BF6615">
        <w:t>łączne oceny dla stron i aplikacji rządowych są</w:t>
      </w:r>
      <w:r w:rsidR="00CE7312" w:rsidRPr="00BF6615">
        <w:t xml:space="preserve"> </w:t>
      </w:r>
      <w:r w:rsidR="005073BA" w:rsidRPr="00BF6615">
        <w:t xml:space="preserve">znacznie </w:t>
      </w:r>
      <w:r w:rsidRPr="00BF6615">
        <w:t>niższe</w:t>
      </w:r>
      <w:r w:rsidR="00D3793F" w:rsidRPr="00BF6615">
        <w:t xml:space="preserve"> niż w innych grupach</w:t>
      </w:r>
      <w:r w:rsidRPr="00BF6615">
        <w:t>.</w:t>
      </w:r>
      <w:r w:rsidR="0000619D" w:rsidRPr="00BF6615">
        <w:t xml:space="preserve"> Mimo tego średnie ocen można uznać za dość wysokie, </w:t>
      </w:r>
      <w:r w:rsidR="008B0B0A" w:rsidRPr="00BF6615">
        <w:t>a</w:t>
      </w:r>
      <w:r w:rsidR="008B0B0A">
        <w:t> </w:t>
      </w:r>
      <w:r w:rsidR="0000619D" w:rsidRPr="00BF6615">
        <w:t>w przypadku aplikacji samorządowych za wysoki- wynik powyżej 4 na skali 1-5.</w:t>
      </w:r>
    </w:p>
    <w:p w14:paraId="40272CFC" w14:textId="4B0A377F" w:rsidR="0000619D" w:rsidRPr="00BF6615" w:rsidRDefault="0000619D" w:rsidP="007E26B5">
      <w:r w:rsidRPr="00BF6615">
        <w:t xml:space="preserve">Respondenci najniżej ocenili </w:t>
      </w:r>
      <w:r w:rsidR="007509B9" w:rsidRPr="00BF6615">
        <w:t>kontakt z obsługa klienta/pomocą- 3,88</w:t>
      </w:r>
      <w:r w:rsidR="006C30FE" w:rsidRPr="00BF6615">
        <w:t xml:space="preserve">, kolejno możliwość obsługi aplikacji za pomocą klawiatury- 3,93. Uwagę zwraca fakt, że w innych grupach aspekt ten był dobrze oceniany, co z pewnością wynika ze specyfiki grupy badanej- osoby </w:t>
      </w:r>
      <w:r w:rsidR="008B0B0A" w:rsidRPr="00BF6615">
        <w:t>z</w:t>
      </w:r>
      <w:r w:rsidR="008B0B0A">
        <w:t> </w:t>
      </w:r>
      <w:r w:rsidR="006C30FE" w:rsidRPr="00BF6615">
        <w:t xml:space="preserve">niepełnosprawnościami narządu ruchu (1/5 grupy badanej w kategorii osoby </w:t>
      </w:r>
      <w:r w:rsidR="008B0B0A" w:rsidRPr="00BF6615">
        <w:t>z</w:t>
      </w:r>
      <w:r w:rsidR="008B0B0A">
        <w:t> </w:t>
      </w:r>
      <w:r w:rsidR="006C30FE" w:rsidRPr="00BF6615">
        <w:t>niepełnosprawnościami).</w:t>
      </w:r>
    </w:p>
    <w:p w14:paraId="6E7E57A0" w14:textId="30C18980" w:rsidR="006C30FE" w:rsidRPr="00BF6615" w:rsidRDefault="006C30FE" w:rsidP="007E26B5">
      <w:r w:rsidRPr="00BF6615">
        <w:t xml:space="preserve">Najwyżej oceniono </w:t>
      </w:r>
      <w:r w:rsidR="00DE11A9" w:rsidRPr="00BF6615">
        <w:t>przyjazność czcionek i kolorów</w:t>
      </w:r>
      <w:r w:rsidR="008B0B0A">
        <w:t xml:space="preserve"> – </w:t>
      </w:r>
      <w:r w:rsidR="00DE11A9" w:rsidRPr="00BF6615">
        <w:t>4,38.</w:t>
      </w:r>
    </w:p>
    <w:p w14:paraId="6EC0C110" w14:textId="343095D7" w:rsidR="00542813" w:rsidRPr="00BF6615" w:rsidRDefault="00542813" w:rsidP="007E26B5">
      <w:pPr>
        <w:pStyle w:val="Legenda"/>
      </w:pPr>
      <w:bookmarkStart w:id="270" w:name="_Toc204179137"/>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39</w:t>
      </w:r>
      <w:r w:rsidRPr="00BF6615">
        <w:fldChar w:fldCharType="end"/>
      </w:r>
      <w:r w:rsidR="00FD0843">
        <w:t>.</w:t>
      </w:r>
      <w:r w:rsidRPr="00BF6615">
        <w:t xml:space="preserve"> Średnie oceny aplikacji publicznych wg aspektów dostępności cyfrowej dla aplikacji, z których korzystają osoby badane w grupie </w:t>
      </w:r>
      <w:r w:rsidR="0063177D" w:rsidRPr="00BF6615">
        <w:t>osoby z niepełnosprawnościami</w:t>
      </w:r>
      <w:bookmarkEnd w:id="270"/>
    </w:p>
    <w:tbl>
      <w:tblPr>
        <w:tblStyle w:val="PARP"/>
        <w:tblW w:w="9937" w:type="dxa"/>
        <w:tblLook w:val="04A0" w:firstRow="1" w:lastRow="0" w:firstColumn="1" w:lastColumn="0" w:noHBand="0" w:noVBand="1"/>
        <w:tblCaption w:val="Średnie oceny aplikacji publicznych wg aspektów dostępności cyfrowej dla aplikacji, z których korzystają osoby badane w grupie osoby z niepełnosprawnościami"/>
        <w:tblDescription w:val="Średnie oceny aplikacji publicznych wg aspektów dostępności cyfrowej dla aplikacji, z których korzystają osoby badane w grupie osoby z niepełnosprawnościami"/>
      </w:tblPr>
      <w:tblGrid>
        <w:gridCol w:w="5524"/>
        <w:gridCol w:w="1420"/>
        <w:gridCol w:w="1780"/>
        <w:gridCol w:w="1213"/>
      </w:tblGrid>
      <w:tr w:rsidR="00800C22" w:rsidRPr="00BF6615" w14:paraId="7350C7FF" w14:textId="77777777" w:rsidTr="00DE11A9">
        <w:trPr>
          <w:cnfStyle w:val="100000000000" w:firstRow="1" w:lastRow="0" w:firstColumn="0" w:lastColumn="0" w:oddVBand="0" w:evenVBand="0" w:oddHBand="0" w:evenHBand="0" w:firstRowFirstColumn="0" w:firstRowLastColumn="0" w:lastRowFirstColumn="0" w:lastRowLastColumn="0"/>
          <w:trHeight w:val="870"/>
        </w:trPr>
        <w:tc>
          <w:tcPr>
            <w:tcW w:w="5524" w:type="dxa"/>
            <w:hideMark/>
          </w:tcPr>
          <w:p w14:paraId="12856F62" w14:textId="77777777" w:rsidR="00800C22" w:rsidRPr="00BF6615" w:rsidRDefault="00800C22"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420" w:type="dxa"/>
            <w:hideMark/>
          </w:tcPr>
          <w:p w14:paraId="240EC12B" w14:textId="77777777" w:rsidR="00800C22" w:rsidRPr="00BF6615" w:rsidRDefault="00800C22" w:rsidP="007E26B5">
            <w:pPr>
              <w:spacing w:after="0" w:line="240" w:lineRule="auto"/>
              <w:rPr>
                <w:rFonts w:eastAsia="Times New Roman" w:cs="Calibri"/>
                <w:b/>
                <w:sz w:val="22"/>
                <w:lang w:eastAsia="pl-PL"/>
              </w:rPr>
            </w:pPr>
            <w:r w:rsidRPr="00BF6615">
              <w:rPr>
                <w:rFonts w:eastAsia="Times New Roman" w:cs="Calibri"/>
                <w:b/>
                <w:sz w:val="22"/>
                <w:lang w:eastAsia="pl-PL"/>
              </w:rPr>
              <w:t>Aplikacja rządowa</w:t>
            </w:r>
          </w:p>
        </w:tc>
        <w:tc>
          <w:tcPr>
            <w:tcW w:w="1780" w:type="dxa"/>
            <w:hideMark/>
          </w:tcPr>
          <w:p w14:paraId="65155BCC" w14:textId="77777777" w:rsidR="00800C22" w:rsidRPr="00BF6615" w:rsidRDefault="00800C22" w:rsidP="007E26B5">
            <w:pPr>
              <w:spacing w:after="0" w:line="240" w:lineRule="auto"/>
              <w:rPr>
                <w:rFonts w:eastAsia="Times New Roman" w:cs="Calibri"/>
                <w:b/>
                <w:sz w:val="22"/>
                <w:lang w:eastAsia="pl-PL"/>
              </w:rPr>
            </w:pPr>
            <w:r w:rsidRPr="00BF6615">
              <w:rPr>
                <w:rFonts w:eastAsia="Times New Roman" w:cs="Calibri"/>
                <w:b/>
                <w:sz w:val="22"/>
                <w:lang w:eastAsia="pl-PL"/>
              </w:rPr>
              <w:t>Aplikacja urzędu miejskiego lub urzędu gminy</w:t>
            </w:r>
          </w:p>
        </w:tc>
        <w:tc>
          <w:tcPr>
            <w:tcW w:w="1213" w:type="dxa"/>
            <w:hideMark/>
          </w:tcPr>
          <w:p w14:paraId="7F6F7E64" w14:textId="77777777" w:rsidR="00800C22" w:rsidRPr="00BF6615" w:rsidRDefault="00800C22"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800C22" w:rsidRPr="00BF6615" w14:paraId="4527BB2D" w14:textId="77777777" w:rsidTr="00DE11A9">
        <w:trPr>
          <w:cnfStyle w:val="000000100000" w:firstRow="0" w:lastRow="0" w:firstColumn="0" w:lastColumn="0" w:oddVBand="0" w:evenVBand="0" w:oddHBand="1" w:evenHBand="0" w:firstRowFirstColumn="0" w:firstRowLastColumn="0" w:lastRowFirstColumn="0" w:lastRowLastColumn="0"/>
          <w:trHeight w:val="580"/>
        </w:trPr>
        <w:tc>
          <w:tcPr>
            <w:tcW w:w="5524" w:type="dxa"/>
            <w:hideMark/>
          </w:tcPr>
          <w:p w14:paraId="7D1583A2"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nawigować/poruszać się po aplikacji</w:t>
            </w:r>
          </w:p>
        </w:tc>
        <w:tc>
          <w:tcPr>
            <w:tcW w:w="1420" w:type="dxa"/>
            <w:noWrap/>
            <w:hideMark/>
          </w:tcPr>
          <w:p w14:paraId="3D67E3C0"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3,96</w:t>
            </w:r>
          </w:p>
        </w:tc>
        <w:tc>
          <w:tcPr>
            <w:tcW w:w="1780" w:type="dxa"/>
            <w:hideMark/>
          </w:tcPr>
          <w:p w14:paraId="55990701"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1213" w:type="dxa"/>
            <w:noWrap/>
            <w:hideMark/>
          </w:tcPr>
          <w:p w14:paraId="6AAE8B6D"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4,26</w:t>
            </w:r>
          </w:p>
        </w:tc>
      </w:tr>
      <w:tr w:rsidR="00800C22" w:rsidRPr="00BF6615" w14:paraId="1B40E088" w14:textId="77777777" w:rsidTr="00DE11A9">
        <w:trPr>
          <w:cnfStyle w:val="000000010000" w:firstRow="0" w:lastRow="0" w:firstColumn="0" w:lastColumn="0" w:oddVBand="0" w:evenVBand="0" w:oddHBand="0" w:evenHBand="1" w:firstRowFirstColumn="0" w:firstRowLastColumn="0" w:lastRowFirstColumn="0" w:lastRowLastColumn="0"/>
          <w:trHeight w:val="290"/>
        </w:trPr>
        <w:tc>
          <w:tcPr>
            <w:tcW w:w="5524" w:type="dxa"/>
            <w:hideMark/>
          </w:tcPr>
          <w:p w14:paraId="20447A60"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znaleźć potrzebne mi informacje</w:t>
            </w:r>
          </w:p>
        </w:tc>
        <w:tc>
          <w:tcPr>
            <w:tcW w:w="1420" w:type="dxa"/>
            <w:noWrap/>
            <w:hideMark/>
          </w:tcPr>
          <w:p w14:paraId="7E178438"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3,83</w:t>
            </w:r>
          </w:p>
        </w:tc>
        <w:tc>
          <w:tcPr>
            <w:tcW w:w="1780" w:type="dxa"/>
            <w:hideMark/>
          </w:tcPr>
          <w:p w14:paraId="67386642"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4,22</w:t>
            </w:r>
          </w:p>
        </w:tc>
        <w:tc>
          <w:tcPr>
            <w:tcW w:w="1213" w:type="dxa"/>
            <w:noWrap/>
            <w:hideMark/>
          </w:tcPr>
          <w:p w14:paraId="79B7CD03"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4,02</w:t>
            </w:r>
          </w:p>
        </w:tc>
      </w:tr>
      <w:tr w:rsidR="00800C22" w:rsidRPr="00BF6615" w14:paraId="128270DE" w14:textId="77777777" w:rsidTr="00DE11A9">
        <w:trPr>
          <w:cnfStyle w:val="000000100000" w:firstRow="0" w:lastRow="0" w:firstColumn="0" w:lastColumn="0" w:oddVBand="0" w:evenVBand="0" w:oddHBand="1" w:evenHBand="0" w:firstRowFirstColumn="0" w:firstRowLastColumn="0" w:lastRowFirstColumn="0" w:lastRowLastColumn="0"/>
          <w:trHeight w:val="290"/>
        </w:trPr>
        <w:tc>
          <w:tcPr>
            <w:tcW w:w="5524" w:type="dxa"/>
            <w:hideMark/>
          </w:tcPr>
          <w:p w14:paraId="22F27F60"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szybko się ładuje</w:t>
            </w:r>
          </w:p>
        </w:tc>
        <w:tc>
          <w:tcPr>
            <w:tcW w:w="1420" w:type="dxa"/>
            <w:noWrap/>
            <w:hideMark/>
          </w:tcPr>
          <w:p w14:paraId="4C0D41AB"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3,80</w:t>
            </w:r>
          </w:p>
        </w:tc>
        <w:tc>
          <w:tcPr>
            <w:tcW w:w="1780" w:type="dxa"/>
            <w:hideMark/>
          </w:tcPr>
          <w:p w14:paraId="339D1503"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1213" w:type="dxa"/>
            <w:noWrap/>
            <w:hideMark/>
          </w:tcPr>
          <w:p w14:paraId="2C3BF067"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4,18</w:t>
            </w:r>
          </w:p>
        </w:tc>
      </w:tr>
      <w:tr w:rsidR="00800C22" w:rsidRPr="00BF6615" w14:paraId="51516996" w14:textId="77777777" w:rsidTr="00DE11A9">
        <w:trPr>
          <w:cnfStyle w:val="000000010000" w:firstRow="0" w:lastRow="0" w:firstColumn="0" w:lastColumn="0" w:oddVBand="0" w:evenVBand="0" w:oddHBand="0" w:evenHBand="1" w:firstRowFirstColumn="0" w:firstRowLastColumn="0" w:lastRowFirstColumn="0" w:lastRowLastColumn="0"/>
          <w:trHeight w:val="290"/>
        </w:trPr>
        <w:tc>
          <w:tcPr>
            <w:tcW w:w="5524" w:type="dxa"/>
            <w:hideMark/>
          </w:tcPr>
          <w:p w14:paraId="3130B922"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ma czytelny układ treści</w:t>
            </w:r>
          </w:p>
        </w:tc>
        <w:tc>
          <w:tcPr>
            <w:tcW w:w="1420" w:type="dxa"/>
            <w:noWrap/>
            <w:hideMark/>
          </w:tcPr>
          <w:p w14:paraId="353B27F1"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80" w:type="dxa"/>
            <w:hideMark/>
          </w:tcPr>
          <w:p w14:paraId="3978132E"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213" w:type="dxa"/>
            <w:noWrap/>
            <w:hideMark/>
          </w:tcPr>
          <w:p w14:paraId="4E84A241"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4,06</w:t>
            </w:r>
          </w:p>
        </w:tc>
      </w:tr>
      <w:tr w:rsidR="00800C22" w:rsidRPr="00BF6615" w14:paraId="53FC9C17" w14:textId="77777777" w:rsidTr="00DE11A9">
        <w:trPr>
          <w:cnfStyle w:val="000000100000" w:firstRow="0" w:lastRow="0" w:firstColumn="0" w:lastColumn="0" w:oddVBand="0" w:evenVBand="0" w:oddHBand="1" w:evenHBand="0" w:firstRowFirstColumn="0" w:firstRowLastColumn="0" w:lastRowFirstColumn="0" w:lastRowLastColumn="0"/>
          <w:trHeight w:val="580"/>
        </w:trPr>
        <w:tc>
          <w:tcPr>
            <w:tcW w:w="5524" w:type="dxa"/>
            <w:hideMark/>
          </w:tcPr>
          <w:p w14:paraId="3B4C6E64"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w aplikacji są dla mnie przyjazne</w:t>
            </w:r>
          </w:p>
        </w:tc>
        <w:tc>
          <w:tcPr>
            <w:tcW w:w="1420" w:type="dxa"/>
            <w:noWrap/>
            <w:hideMark/>
          </w:tcPr>
          <w:p w14:paraId="7E33D66E"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4,09</w:t>
            </w:r>
          </w:p>
        </w:tc>
        <w:tc>
          <w:tcPr>
            <w:tcW w:w="1780" w:type="dxa"/>
            <w:hideMark/>
          </w:tcPr>
          <w:p w14:paraId="25B62D94"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213" w:type="dxa"/>
            <w:noWrap/>
            <w:hideMark/>
          </w:tcPr>
          <w:p w14:paraId="58FF44BB"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4,38</w:t>
            </w:r>
          </w:p>
        </w:tc>
      </w:tr>
      <w:tr w:rsidR="00800C22" w:rsidRPr="00BF6615" w14:paraId="35A12DED" w14:textId="77777777" w:rsidTr="00DE11A9">
        <w:trPr>
          <w:cnfStyle w:val="000000010000" w:firstRow="0" w:lastRow="0" w:firstColumn="0" w:lastColumn="0" w:oddVBand="0" w:evenVBand="0" w:oddHBand="0" w:evenHBand="1" w:firstRowFirstColumn="0" w:firstRowLastColumn="0" w:lastRowFirstColumn="0" w:lastRowLastColumn="0"/>
          <w:trHeight w:val="580"/>
        </w:trPr>
        <w:tc>
          <w:tcPr>
            <w:tcW w:w="5524" w:type="dxa"/>
            <w:hideMark/>
          </w:tcPr>
          <w:p w14:paraId="1CFCF640"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jest dla mnie dostępna cyfrowo</w:t>
            </w:r>
          </w:p>
        </w:tc>
        <w:tc>
          <w:tcPr>
            <w:tcW w:w="1420" w:type="dxa"/>
            <w:noWrap/>
            <w:hideMark/>
          </w:tcPr>
          <w:p w14:paraId="2F7FAB33"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4,18</w:t>
            </w:r>
          </w:p>
        </w:tc>
        <w:tc>
          <w:tcPr>
            <w:tcW w:w="1780" w:type="dxa"/>
            <w:hideMark/>
          </w:tcPr>
          <w:p w14:paraId="4FD794F9"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4,44</w:t>
            </w:r>
          </w:p>
        </w:tc>
        <w:tc>
          <w:tcPr>
            <w:tcW w:w="1213" w:type="dxa"/>
            <w:noWrap/>
            <w:hideMark/>
          </w:tcPr>
          <w:p w14:paraId="1C7AFF4F"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4,31</w:t>
            </w:r>
          </w:p>
        </w:tc>
      </w:tr>
      <w:tr w:rsidR="00800C22" w:rsidRPr="00BF6615" w14:paraId="565470BA" w14:textId="77777777" w:rsidTr="00DE11A9">
        <w:trPr>
          <w:cnfStyle w:val="000000100000" w:firstRow="0" w:lastRow="0" w:firstColumn="0" w:lastColumn="0" w:oddVBand="0" w:evenVBand="0" w:oddHBand="1" w:evenHBand="0" w:firstRowFirstColumn="0" w:firstRowLastColumn="0" w:lastRowFirstColumn="0" w:lastRowLastColumn="0"/>
          <w:trHeight w:val="580"/>
        </w:trPr>
        <w:tc>
          <w:tcPr>
            <w:tcW w:w="5524" w:type="dxa"/>
            <w:hideMark/>
          </w:tcPr>
          <w:p w14:paraId="036BA7BB" w14:textId="77777777" w:rsidR="00800C22" w:rsidRPr="00BF6615" w:rsidRDefault="00800C22" w:rsidP="007E26B5">
            <w:pPr>
              <w:spacing w:after="0" w:line="240" w:lineRule="auto"/>
              <w:rPr>
                <w:rFonts w:ascii="Calibri" w:eastAsia="Times New Roman" w:hAnsi="Calibri" w:cs="Calibri"/>
                <w:color w:val="000000"/>
                <w:sz w:val="22"/>
                <w:lang w:eastAsia="pl-PL"/>
              </w:rPr>
            </w:pPr>
            <w:proofErr w:type="spellStart"/>
            <w:r w:rsidRPr="00BF6615">
              <w:rPr>
                <w:rFonts w:ascii="Calibri" w:eastAsia="Times New Roman" w:hAnsi="Calibri" w:cs="Calibri"/>
                <w:color w:val="000000"/>
                <w:sz w:val="22"/>
                <w:lang w:eastAsia="pl-PL"/>
              </w:rPr>
              <w:t>Responsywność</w:t>
            </w:r>
            <w:proofErr w:type="spellEnd"/>
            <w:r w:rsidRPr="00BF6615">
              <w:rPr>
                <w:rFonts w:ascii="Calibri" w:eastAsia="Times New Roman" w:hAnsi="Calibri" w:cs="Calibri"/>
                <w:color w:val="000000"/>
                <w:sz w:val="22"/>
                <w:lang w:eastAsia="pl-PL"/>
              </w:rPr>
              <w:t xml:space="preserve"> aplikacji jest odpowiednia</w:t>
            </w:r>
          </w:p>
        </w:tc>
        <w:tc>
          <w:tcPr>
            <w:tcW w:w="1420" w:type="dxa"/>
            <w:noWrap/>
            <w:hideMark/>
          </w:tcPr>
          <w:p w14:paraId="540E611D"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780" w:type="dxa"/>
            <w:hideMark/>
          </w:tcPr>
          <w:p w14:paraId="46B06782"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213" w:type="dxa"/>
            <w:noWrap/>
            <w:hideMark/>
          </w:tcPr>
          <w:p w14:paraId="787FB51F"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4,19</w:t>
            </w:r>
          </w:p>
        </w:tc>
      </w:tr>
      <w:tr w:rsidR="00800C22" w:rsidRPr="00BF6615" w14:paraId="6111CF91" w14:textId="77777777" w:rsidTr="00DE11A9">
        <w:trPr>
          <w:cnfStyle w:val="000000010000" w:firstRow="0" w:lastRow="0" w:firstColumn="0" w:lastColumn="0" w:oddVBand="0" w:evenVBand="0" w:oddHBand="0" w:evenHBand="1" w:firstRowFirstColumn="0" w:firstRowLastColumn="0" w:lastRowFirstColumn="0" w:lastRowLastColumn="0"/>
          <w:trHeight w:val="580"/>
        </w:trPr>
        <w:tc>
          <w:tcPr>
            <w:tcW w:w="5524" w:type="dxa"/>
            <w:hideMark/>
          </w:tcPr>
          <w:p w14:paraId="00758330"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skontaktować się z obsługa klienta/pomocą</w:t>
            </w:r>
          </w:p>
        </w:tc>
        <w:tc>
          <w:tcPr>
            <w:tcW w:w="1420" w:type="dxa"/>
            <w:noWrap/>
            <w:hideMark/>
          </w:tcPr>
          <w:p w14:paraId="37368654"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3,64</w:t>
            </w:r>
          </w:p>
        </w:tc>
        <w:tc>
          <w:tcPr>
            <w:tcW w:w="1780" w:type="dxa"/>
            <w:hideMark/>
          </w:tcPr>
          <w:p w14:paraId="41CC1FB4"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4,13</w:t>
            </w:r>
          </w:p>
        </w:tc>
        <w:tc>
          <w:tcPr>
            <w:tcW w:w="1213" w:type="dxa"/>
            <w:noWrap/>
            <w:hideMark/>
          </w:tcPr>
          <w:p w14:paraId="4EE923DE"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3,88</w:t>
            </w:r>
          </w:p>
        </w:tc>
      </w:tr>
      <w:tr w:rsidR="00800C22" w:rsidRPr="00BF6615" w14:paraId="5780387D" w14:textId="77777777" w:rsidTr="00DE11A9">
        <w:trPr>
          <w:cnfStyle w:val="000000100000" w:firstRow="0" w:lastRow="0" w:firstColumn="0" w:lastColumn="0" w:oddVBand="0" w:evenVBand="0" w:oddHBand="1" w:evenHBand="0" w:firstRowFirstColumn="0" w:firstRowLastColumn="0" w:lastRowFirstColumn="0" w:lastRowLastColumn="0"/>
          <w:trHeight w:val="1160"/>
        </w:trPr>
        <w:tc>
          <w:tcPr>
            <w:tcW w:w="5524" w:type="dxa"/>
            <w:hideMark/>
          </w:tcPr>
          <w:p w14:paraId="0354D84E"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w:t>
            </w:r>
          </w:p>
        </w:tc>
        <w:tc>
          <w:tcPr>
            <w:tcW w:w="1420" w:type="dxa"/>
            <w:noWrap/>
            <w:hideMark/>
          </w:tcPr>
          <w:p w14:paraId="68FAC7A7"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780" w:type="dxa"/>
            <w:hideMark/>
          </w:tcPr>
          <w:p w14:paraId="77CA4F06"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4,22</w:t>
            </w:r>
          </w:p>
        </w:tc>
        <w:tc>
          <w:tcPr>
            <w:tcW w:w="1213" w:type="dxa"/>
            <w:noWrap/>
            <w:hideMark/>
          </w:tcPr>
          <w:p w14:paraId="2746859A"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3,94</w:t>
            </w:r>
          </w:p>
        </w:tc>
      </w:tr>
      <w:tr w:rsidR="00800C22" w:rsidRPr="00BF6615" w14:paraId="6F8826D5" w14:textId="77777777" w:rsidTr="00DE11A9">
        <w:trPr>
          <w:cnfStyle w:val="000000010000" w:firstRow="0" w:lastRow="0" w:firstColumn="0" w:lastColumn="0" w:oddVBand="0" w:evenVBand="0" w:oddHBand="0" w:evenHBand="1" w:firstRowFirstColumn="0" w:firstRowLastColumn="0" w:lastRowFirstColumn="0" w:lastRowLastColumn="0"/>
          <w:trHeight w:val="870"/>
        </w:trPr>
        <w:tc>
          <w:tcPr>
            <w:tcW w:w="5524" w:type="dxa"/>
            <w:hideMark/>
          </w:tcPr>
          <w:p w14:paraId="6D04018D"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aplikacji mobilnej mogę obsłużyć za pomocą klawiatury zewnętrznej</w:t>
            </w:r>
          </w:p>
        </w:tc>
        <w:tc>
          <w:tcPr>
            <w:tcW w:w="1420" w:type="dxa"/>
            <w:noWrap/>
            <w:hideMark/>
          </w:tcPr>
          <w:p w14:paraId="4DBC7EE0"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3,86</w:t>
            </w:r>
          </w:p>
        </w:tc>
        <w:tc>
          <w:tcPr>
            <w:tcW w:w="1780" w:type="dxa"/>
            <w:hideMark/>
          </w:tcPr>
          <w:p w14:paraId="535C2C91"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213" w:type="dxa"/>
            <w:noWrap/>
            <w:hideMark/>
          </w:tcPr>
          <w:p w14:paraId="1226A4AC"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3,93</w:t>
            </w:r>
          </w:p>
        </w:tc>
      </w:tr>
      <w:tr w:rsidR="00800C22" w:rsidRPr="00BF6615" w14:paraId="66FCEF17" w14:textId="77777777" w:rsidTr="00DE11A9">
        <w:trPr>
          <w:cnfStyle w:val="000000100000" w:firstRow="0" w:lastRow="0" w:firstColumn="0" w:lastColumn="0" w:oddVBand="0" w:evenVBand="0" w:oddHBand="1" w:evenHBand="0" w:firstRowFirstColumn="0" w:firstRowLastColumn="0" w:lastRowFirstColumn="0" w:lastRowLastColumn="0"/>
          <w:trHeight w:val="1160"/>
        </w:trPr>
        <w:tc>
          <w:tcPr>
            <w:tcW w:w="5524" w:type="dxa"/>
            <w:hideMark/>
          </w:tcPr>
          <w:p w14:paraId="5546BD1A"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Materiały multimedialne oraz grafiki są dla mnie zrozumiałe (filmy posiadają audiodeskrypcję oraz napisy rozszerzone)</w:t>
            </w:r>
          </w:p>
        </w:tc>
        <w:tc>
          <w:tcPr>
            <w:tcW w:w="1420" w:type="dxa"/>
            <w:noWrap/>
            <w:hideMark/>
          </w:tcPr>
          <w:p w14:paraId="15D174E0"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3,95</w:t>
            </w:r>
          </w:p>
        </w:tc>
        <w:tc>
          <w:tcPr>
            <w:tcW w:w="1780" w:type="dxa"/>
            <w:hideMark/>
          </w:tcPr>
          <w:p w14:paraId="1F7D7478"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213" w:type="dxa"/>
            <w:noWrap/>
            <w:hideMark/>
          </w:tcPr>
          <w:p w14:paraId="2AE9D0D3"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4,22</w:t>
            </w:r>
          </w:p>
        </w:tc>
      </w:tr>
      <w:tr w:rsidR="00800C22" w:rsidRPr="00BF6615" w14:paraId="6C12C05E" w14:textId="77777777" w:rsidTr="00DE11A9">
        <w:trPr>
          <w:cnfStyle w:val="000000010000" w:firstRow="0" w:lastRow="0" w:firstColumn="0" w:lastColumn="0" w:oddVBand="0" w:evenVBand="0" w:oddHBand="0" w:evenHBand="1" w:firstRowFirstColumn="0" w:firstRowLastColumn="0" w:lastRowFirstColumn="0" w:lastRowLastColumn="0"/>
          <w:trHeight w:val="1160"/>
        </w:trPr>
        <w:tc>
          <w:tcPr>
            <w:tcW w:w="5524" w:type="dxa"/>
            <w:hideMark/>
          </w:tcPr>
          <w:p w14:paraId="106D274A"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Niezależnie od wykonywanych czynności otrzymuję informację zwrotną, również o błędach w sposób dostępny cyfrowo</w:t>
            </w:r>
          </w:p>
        </w:tc>
        <w:tc>
          <w:tcPr>
            <w:tcW w:w="1420" w:type="dxa"/>
            <w:noWrap/>
            <w:hideMark/>
          </w:tcPr>
          <w:p w14:paraId="468904DE"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3,86</w:t>
            </w:r>
          </w:p>
        </w:tc>
        <w:tc>
          <w:tcPr>
            <w:tcW w:w="1780" w:type="dxa"/>
            <w:hideMark/>
          </w:tcPr>
          <w:p w14:paraId="118CA154"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213" w:type="dxa"/>
            <w:noWrap/>
            <w:hideMark/>
          </w:tcPr>
          <w:p w14:paraId="5B15BD79"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4,18</w:t>
            </w:r>
          </w:p>
        </w:tc>
      </w:tr>
      <w:tr w:rsidR="00800C22" w:rsidRPr="00BF6615" w14:paraId="03E523D8" w14:textId="77777777" w:rsidTr="00DE11A9">
        <w:trPr>
          <w:cnfStyle w:val="000000100000" w:firstRow="0" w:lastRow="0" w:firstColumn="0" w:lastColumn="0" w:oddVBand="0" w:evenVBand="0" w:oddHBand="1" w:evenHBand="0" w:firstRowFirstColumn="0" w:firstRowLastColumn="0" w:lastRowFirstColumn="0" w:lastRowLastColumn="0"/>
          <w:trHeight w:val="870"/>
        </w:trPr>
        <w:tc>
          <w:tcPr>
            <w:tcW w:w="5524" w:type="dxa"/>
            <w:hideMark/>
          </w:tcPr>
          <w:p w14:paraId="266AC831"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wyświetlane na ekranie są czytelne zarówno w widoku poziomym jak i pionowym</w:t>
            </w:r>
          </w:p>
        </w:tc>
        <w:tc>
          <w:tcPr>
            <w:tcW w:w="1420" w:type="dxa"/>
            <w:noWrap/>
            <w:hideMark/>
          </w:tcPr>
          <w:p w14:paraId="698EC4F5"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3,84</w:t>
            </w:r>
          </w:p>
        </w:tc>
        <w:tc>
          <w:tcPr>
            <w:tcW w:w="1780" w:type="dxa"/>
            <w:hideMark/>
          </w:tcPr>
          <w:p w14:paraId="2526DDF2"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4,57</w:t>
            </w:r>
          </w:p>
        </w:tc>
        <w:tc>
          <w:tcPr>
            <w:tcW w:w="1213" w:type="dxa"/>
            <w:noWrap/>
            <w:hideMark/>
          </w:tcPr>
          <w:p w14:paraId="5F1D58D1"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4,20</w:t>
            </w:r>
          </w:p>
        </w:tc>
      </w:tr>
      <w:tr w:rsidR="00800C22" w:rsidRPr="00BF6615" w14:paraId="1A604FDE" w14:textId="77777777" w:rsidTr="00DE11A9">
        <w:trPr>
          <w:cnfStyle w:val="000000010000" w:firstRow="0" w:lastRow="0" w:firstColumn="0" w:lastColumn="0" w:oddVBand="0" w:evenVBand="0" w:oddHBand="0" w:evenHBand="1" w:firstRowFirstColumn="0" w:firstRowLastColumn="0" w:lastRowFirstColumn="0" w:lastRowLastColumn="0"/>
          <w:trHeight w:val="580"/>
        </w:trPr>
        <w:tc>
          <w:tcPr>
            <w:tcW w:w="5524" w:type="dxa"/>
            <w:hideMark/>
          </w:tcPr>
          <w:p w14:paraId="089CC7C0"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tłumaczenia na Polski język migowy (PJM)</w:t>
            </w:r>
          </w:p>
        </w:tc>
        <w:tc>
          <w:tcPr>
            <w:tcW w:w="1420" w:type="dxa"/>
            <w:noWrap/>
            <w:hideMark/>
          </w:tcPr>
          <w:p w14:paraId="01A7BFA9"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3,61</w:t>
            </w:r>
          </w:p>
        </w:tc>
        <w:tc>
          <w:tcPr>
            <w:tcW w:w="1780" w:type="dxa"/>
            <w:hideMark/>
          </w:tcPr>
          <w:p w14:paraId="1B705EA2"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213" w:type="dxa"/>
            <w:noWrap/>
            <w:hideMark/>
          </w:tcPr>
          <w:p w14:paraId="40EB3515"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4,14</w:t>
            </w:r>
          </w:p>
        </w:tc>
      </w:tr>
      <w:tr w:rsidR="00800C22" w:rsidRPr="00BF6615" w14:paraId="510D4EF2" w14:textId="77777777" w:rsidTr="00DE11A9">
        <w:trPr>
          <w:cnfStyle w:val="000000100000" w:firstRow="0" w:lastRow="0" w:firstColumn="0" w:lastColumn="0" w:oddVBand="0" w:evenVBand="0" w:oddHBand="1" w:evenHBand="0" w:firstRowFirstColumn="0" w:firstRowLastColumn="0" w:lastRowFirstColumn="0" w:lastRowLastColumn="0"/>
          <w:trHeight w:val="580"/>
        </w:trPr>
        <w:tc>
          <w:tcPr>
            <w:tcW w:w="5524" w:type="dxa"/>
            <w:hideMark/>
          </w:tcPr>
          <w:p w14:paraId="7BE4C2B9"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informacje w tekście łatwym do czytania i zrozumienia (ETR)</w:t>
            </w:r>
          </w:p>
        </w:tc>
        <w:tc>
          <w:tcPr>
            <w:tcW w:w="1420" w:type="dxa"/>
            <w:noWrap/>
            <w:hideMark/>
          </w:tcPr>
          <w:p w14:paraId="120F3390"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3,95</w:t>
            </w:r>
          </w:p>
        </w:tc>
        <w:tc>
          <w:tcPr>
            <w:tcW w:w="1780" w:type="dxa"/>
            <w:hideMark/>
          </w:tcPr>
          <w:p w14:paraId="6C39D4A1" w14:textId="77777777" w:rsidR="00800C22" w:rsidRPr="00BF6615" w:rsidRDefault="00800C2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213" w:type="dxa"/>
            <w:noWrap/>
            <w:hideMark/>
          </w:tcPr>
          <w:p w14:paraId="019F22F9"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4,16</w:t>
            </w:r>
          </w:p>
        </w:tc>
      </w:tr>
      <w:tr w:rsidR="00800C22" w:rsidRPr="00BF6615" w14:paraId="27E3F8F3" w14:textId="77777777" w:rsidTr="00DE11A9">
        <w:trPr>
          <w:cnfStyle w:val="000000010000" w:firstRow="0" w:lastRow="0" w:firstColumn="0" w:lastColumn="0" w:oddVBand="0" w:evenVBand="0" w:oddHBand="0" w:evenHBand="1" w:firstRowFirstColumn="0" w:firstRowLastColumn="0" w:lastRowFirstColumn="0" w:lastRowLastColumn="0"/>
          <w:trHeight w:val="290"/>
        </w:trPr>
        <w:tc>
          <w:tcPr>
            <w:tcW w:w="5524" w:type="dxa"/>
            <w:noWrap/>
            <w:hideMark/>
          </w:tcPr>
          <w:p w14:paraId="069A855E" w14:textId="1B64DA83" w:rsidR="00800C22" w:rsidRPr="00BF6615" w:rsidRDefault="00800C22" w:rsidP="007E26B5">
            <w:pPr>
              <w:spacing w:after="0" w:line="240" w:lineRule="auto"/>
              <w:rPr>
                <w:rFonts w:ascii="Calibri" w:eastAsia="Times New Roman" w:hAnsi="Calibri" w:cs="Calibri"/>
                <w:sz w:val="22"/>
                <w:lang w:eastAsia="pl-PL"/>
              </w:rPr>
            </w:pPr>
            <w:r w:rsidRPr="00BF6615">
              <w:rPr>
                <w:rFonts w:ascii="Calibri" w:eastAsia="Times New Roman" w:hAnsi="Calibri" w:cs="Calibri"/>
                <w:sz w:val="22"/>
                <w:lang w:eastAsia="pl-PL"/>
              </w:rPr>
              <w:t> </w:t>
            </w:r>
            <w:r w:rsidRPr="00BF6615">
              <w:rPr>
                <w:rFonts w:ascii="Calibri" w:eastAsia="Times New Roman" w:hAnsi="Calibri" w:cs="Calibri"/>
                <w:b/>
                <w:sz w:val="22"/>
                <w:lang w:eastAsia="pl-PL"/>
              </w:rPr>
              <w:t>Sumaryczna średnia ocen</w:t>
            </w:r>
          </w:p>
        </w:tc>
        <w:tc>
          <w:tcPr>
            <w:tcW w:w="1420" w:type="dxa"/>
            <w:noWrap/>
            <w:hideMark/>
          </w:tcPr>
          <w:p w14:paraId="70FB11DB"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3,89</w:t>
            </w:r>
          </w:p>
        </w:tc>
        <w:tc>
          <w:tcPr>
            <w:tcW w:w="1780" w:type="dxa"/>
            <w:noWrap/>
            <w:hideMark/>
          </w:tcPr>
          <w:p w14:paraId="6AE8ECED" w14:textId="77777777"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4,39</w:t>
            </w:r>
          </w:p>
        </w:tc>
        <w:tc>
          <w:tcPr>
            <w:tcW w:w="1213" w:type="dxa"/>
            <w:noWrap/>
            <w:hideMark/>
          </w:tcPr>
          <w:p w14:paraId="04D62F5F" w14:textId="3F107461" w:rsidR="00800C22" w:rsidRPr="00BF6615" w:rsidRDefault="00800C2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 </w:t>
            </w:r>
          </w:p>
        </w:tc>
      </w:tr>
    </w:tbl>
    <w:p w14:paraId="79CC4CA4" w14:textId="77777777" w:rsidR="00B00A6D" w:rsidRPr="00BF6615" w:rsidRDefault="00B00A6D" w:rsidP="00FD0843">
      <w:r w:rsidRPr="00BF6615">
        <w:t>Źródło: opracowanie własne.</w:t>
      </w:r>
    </w:p>
    <w:p w14:paraId="2DA51D59" w14:textId="77777777" w:rsidR="00B00A6D" w:rsidRPr="00BF6615" w:rsidRDefault="00B00A6D" w:rsidP="007E26B5">
      <w:pPr>
        <w:spacing w:after="160" w:line="259" w:lineRule="auto"/>
        <w:rPr>
          <w:color w:val="4472C4" w:themeColor="accent1"/>
          <w:szCs w:val="18"/>
        </w:rPr>
      </w:pPr>
    </w:p>
    <w:p w14:paraId="33E94435" w14:textId="427CD6D8" w:rsidR="0048126C" w:rsidRPr="00BF6615" w:rsidRDefault="00B00A6D" w:rsidP="007E26B5">
      <w:r w:rsidRPr="00BF6615">
        <w:t xml:space="preserve">Dostępność aplikacji tematycznych wskazuje, że najwyżej oceniono dostępność aplikacji </w:t>
      </w:r>
      <w:r w:rsidR="0048126C" w:rsidRPr="00BF6615">
        <w:t xml:space="preserve">edukacyjnych oraz </w:t>
      </w:r>
      <w:r w:rsidRPr="00BF6615">
        <w:t>instytucji kultury</w:t>
      </w:r>
      <w:r w:rsidR="0048126C" w:rsidRPr="00BF6615">
        <w:t>, najniżej zaś dostępność aplikacji komunikacyjnych.</w:t>
      </w:r>
    </w:p>
    <w:p w14:paraId="4FC64940" w14:textId="2389A9AC" w:rsidR="00424C9B" w:rsidRPr="00BF6615" w:rsidRDefault="00424C9B" w:rsidP="007E26B5">
      <w:r w:rsidRPr="00BF6615">
        <w:t xml:space="preserve">Aplikacje tematyczne otrzymały oceny wyższe niż strony tematyczne w poszczególnych kategoriach oceny ich dostępności. Wszystkie kategorie zostały ocenione łącznie </w:t>
      </w:r>
      <w:r w:rsidR="00494A01" w:rsidRPr="00BF6615">
        <w:t xml:space="preserve">na ponad 4. Najwyżej oceniono </w:t>
      </w:r>
      <w:proofErr w:type="spellStart"/>
      <w:r w:rsidR="00494A01" w:rsidRPr="00BF6615">
        <w:t>responsywność</w:t>
      </w:r>
      <w:proofErr w:type="spellEnd"/>
      <w:r w:rsidR="00494A01" w:rsidRPr="00BF6615">
        <w:t xml:space="preserve"> aplikacji</w:t>
      </w:r>
      <w:r w:rsidR="002937F0" w:rsidRPr="00BF6615">
        <w:t>- 4,56</w:t>
      </w:r>
      <w:r w:rsidR="00494A01" w:rsidRPr="00BF6615">
        <w:t xml:space="preserve">, </w:t>
      </w:r>
      <w:r w:rsidR="002937F0" w:rsidRPr="00BF6615">
        <w:t xml:space="preserve">wysoko oceniono także ogólna dostępność cyfrową aplikacji- 4,48, </w:t>
      </w:r>
      <w:r w:rsidR="00494A01" w:rsidRPr="00BF6615">
        <w:t>co jest bardzo dobrym wynikiem biorąc pod uwagę specyfikę badanej grup</w:t>
      </w:r>
      <w:r w:rsidR="002937F0" w:rsidRPr="00BF6615">
        <w:t>y.</w:t>
      </w:r>
    </w:p>
    <w:p w14:paraId="2EFB047D" w14:textId="0BC4C7DF" w:rsidR="00542813" w:rsidRPr="00BF6615" w:rsidRDefault="00542813" w:rsidP="007E26B5">
      <w:pPr>
        <w:pStyle w:val="Legenda"/>
      </w:pPr>
      <w:bookmarkStart w:id="271" w:name="_Toc204179138"/>
      <w:r w:rsidRPr="00BF6615">
        <w:t xml:space="preserve">Tabela </w:t>
      </w:r>
      <w:r w:rsidRPr="00BF6615">
        <w:fldChar w:fldCharType="begin"/>
      </w:r>
      <w:r w:rsidRPr="00BF6615">
        <w:instrText xml:space="preserve"> SEQ Tabela \* ARABIC </w:instrText>
      </w:r>
      <w:r w:rsidRPr="00BF6615">
        <w:fldChar w:fldCharType="separate"/>
      </w:r>
      <w:r w:rsidR="00FD0843">
        <w:rPr>
          <w:noProof/>
        </w:rPr>
        <w:t>40</w:t>
      </w:r>
      <w:r w:rsidRPr="00BF6615">
        <w:fldChar w:fldCharType="end"/>
      </w:r>
      <w:r w:rsidR="00FD0843">
        <w:t>.</w:t>
      </w:r>
      <w:r w:rsidRPr="00BF6615">
        <w:t xml:space="preserve"> Średnie oceny tematycznych aplikacji publiczny wg aspektów dostępności cyfrowej, </w:t>
      </w:r>
      <w:r w:rsidR="008B0B0A" w:rsidRPr="00BF6615">
        <w:t>z</w:t>
      </w:r>
      <w:r w:rsidR="008B0B0A">
        <w:t> </w:t>
      </w:r>
      <w:r w:rsidRPr="00BF6615">
        <w:t xml:space="preserve">których korzystają osoby badane w </w:t>
      </w:r>
      <w:r w:rsidR="001B41D6" w:rsidRPr="00BF6615">
        <w:t>grupie osoby z niepełnosprawnościami</w:t>
      </w:r>
      <w:bookmarkEnd w:id="271"/>
    </w:p>
    <w:tbl>
      <w:tblPr>
        <w:tblStyle w:val="PARP"/>
        <w:tblW w:w="10237" w:type="dxa"/>
        <w:tblLook w:val="04A0" w:firstRow="1" w:lastRow="0" w:firstColumn="1" w:lastColumn="0" w:noHBand="0" w:noVBand="1"/>
        <w:tblCaption w:val="Średnie oceny tematycznych aplikacji publiczny wg aspektów dostępności cyfrowej, z których korzystają osoby badane w grupie osoby z niepełnosprawnościami"/>
        <w:tblDescription w:val="Średnie oceny tematycznych aplikacji publiczny wg aspektów dostępności cyfrowej, z których korzystają osoby badane w grupie osoby z niepełnosprawnościami"/>
      </w:tblPr>
      <w:tblGrid>
        <w:gridCol w:w="4031"/>
        <w:gridCol w:w="1183"/>
        <w:gridCol w:w="1155"/>
        <w:gridCol w:w="1154"/>
        <w:gridCol w:w="1501"/>
        <w:gridCol w:w="1213"/>
      </w:tblGrid>
      <w:tr w:rsidR="0048126C" w:rsidRPr="00BF6615" w14:paraId="37A8936A" w14:textId="77777777" w:rsidTr="0048126C">
        <w:trPr>
          <w:cnfStyle w:val="100000000000" w:firstRow="1" w:lastRow="0" w:firstColumn="0" w:lastColumn="0" w:oddVBand="0" w:evenVBand="0" w:oddHBand="0" w:evenHBand="0" w:firstRowFirstColumn="0" w:firstRowLastColumn="0" w:lastRowFirstColumn="0" w:lastRowLastColumn="0"/>
          <w:trHeight w:val="870"/>
        </w:trPr>
        <w:tc>
          <w:tcPr>
            <w:tcW w:w="4106" w:type="dxa"/>
            <w:hideMark/>
          </w:tcPr>
          <w:p w14:paraId="368B331B" w14:textId="77777777" w:rsidR="0048126C" w:rsidRPr="00BF6615" w:rsidRDefault="0048126C"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189" w:type="dxa"/>
            <w:hideMark/>
          </w:tcPr>
          <w:p w14:paraId="1534580C" w14:textId="77777777" w:rsidR="0048126C" w:rsidRPr="00BF6615" w:rsidRDefault="0048126C" w:rsidP="007E26B5">
            <w:pPr>
              <w:spacing w:after="0" w:line="240" w:lineRule="auto"/>
              <w:rPr>
                <w:rFonts w:eastAsia="Times New Roman" w:cs="Calibri"/>
                <w:b/>
                <w:sz w:val="22"/>
                <w:lang w:eastAsia="pl-PL"/>
              </w:rPr>
            </w:pPr>
            <w:r w:rsidRPr="00BF6615">
              <w:rPr>
                <w:rFonts w:eastAsia="Times New Roman" w:cs="Calibri"/>
                <w:b/>
                <w:sz w:val="22"/>
                <w:lang w:eastAsia="pl-PL"/>
              </w:rPr>
              <w:t>Aplikacja dotyczące zdrowia</w:t>
            </w:r>
          </w:p>
        </w:tc>
        <w:tc>
          <w:tcPr>
            <w:tcW w:w="1132" w:type="dxa"/>
            <w:hideMark/>
          </w:tcPr>
          <w:p w14:paraId="1422718B" w14:textId="77777777" w:rsidR="0048126C" w:rsidRPr="00BF6615" w:rsidRDefault="0048126C" w:rsidP="007E26B5">
            <w:pPr>
              <w:spacing w:after="0" w:line="240" w:lineRule="auto"/>
              <w:rPr>
                <w:rFonts w:eastAsia="Times New Roman" w:cs="Calibri"/>
                <w:b/>
                <w:sz w:val="22"/>
                <w:lang w:eastAsia="pl-PL"/>
              </w:rPr>
            </w:pPr>
            <w:r w:rsidRPr="00BF6615">
              <w:rPr>
                <w:rFonts w:eastAsia="Times New Roman" w:cs="Calibri"/>
                <w:b/>
                <w:sz w:val="22"/>
                <w:lang w:eastAsia="pl-PL"/>
              </w:rPr>
              <w:t>Aplikacja edukacyjna</w:t>
            </w:r>
          </w:p>
        </w:tc>
        <w:tc>
          <w:tcPr>
            <w:tcW w:w="1161" w:type="dxa"/>
            <w:hideMark/>
          </w:tcPr>
          <w:p w14:paraId="086AA948" w14:textId="77777777" w:rsidR="0048126C" w:rsidRPr="00BF6615" w:rsidRDefault="0048126C" w:rsidP="007E26B5">
            <w:pPr>
              <w:spacing w:after="0" w:line="240" w:lineRule="auto"/>
              <w:rPr>
                <w:rFonts w:eastAsia="Times New Roman" w:cs="Calibri"/>
                <w:b/>
                <w:sz w:val="22"/>
                <w:lang w:eastAsia="pl-PL"/>
              </w:rPr>
            </w:pPr>
            <w:r w:rsidRPr="00BF6615">
              <w:rPr>
                <w:rFonts w:eastAsia="Times New Roman" w:cs="Calibri"/>
                <w:b/>
                <w:sz w:val="22"/>
                <w:lang w:eastAsia="pl-PL"/>
              </w:rPr>
              <w:t>Aplikacja instytucji kultury</w:t>
            </w:r>
          </w:p>
        </w:tc>
        <w:tc>
          <w:tcPr>
            <w:tcW w:w="1460" w:type="dxa"/>
            <w:hideMark/>
          </w:tcPr>
          <w:p w14:paraId="7EECE314" w14:textId="77777777" w:rsidR="0048126C" w:rsidRPr="00BF6615" w:rsidRDefault="0048126C" w:rsidP="007E26B5">
            <w:pPr>
              <w:spacing w:after="0" w:line="240" w:lineRule="auto"/>
              <w:rPr>
                <w:rFonts w:eastAsia="Times New Roman" w:cs="Calibri"/>
                <w:b/>
                <w:sz w:val="22"/>
                <w:lang w:eastAsia="pl-PL"/>
              </w:rPr>
            </w:pPr>
            <w:r w:rsidRPr="00BF6615">
              <w:rPr>
                <w:rFonts w:eastAsia="Times New Roman" w:cs="Calibri"/>
                <w:b/>
                <w:sz w:val="22"/>
                <w:lang w:eastAsia="pl-PL"/>
              </w:rPr>
              <w:t>Aplikacja komunikacyjna</w:t>
            </w:r>
          </w:p>
        </w:tc>
        <w:tc>
          <w:tcPr>
            <w:tcW w:w="1189" w:type="dxa"/>
            <w:hideMark/>
          </w:tcPr>
          <w:p w14:paraId="60D071BF" w14:textId="77777777" w:rsidR="0048126C" w:rsidRPr="00BF6615" w:rsidRDefault="0048126C"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48126C" w:rsidRPr="00BF6615" w14:paraId="6DF5F8A1" w14:textId="77777777" w:rsidTr="0048126C">
        <w:trPr>
          <w:cnfStyle w:val="000000100000" w:firstRow="0" w:lastRow="0" w:firstColumn="0" w:lastColumn="0" w:oddVBand="0" w:evenVBand="0" w:oddHBand="1" w:evenHBand="0" w:firstRowFirstColumn="0" w:firstRowLastColumn="0" w:lastRowFirstColumn="0" w:lastRowLastColumn="0"/>
          <w:trHeight w:val="580"/>
        </w:trPr>
        <w:tc>
          <w:tcPr>
            <w:tcW w:w="4106" w:type="dxa"/>
            <w:hideMark/>
          </w:tcPr>
          <w:p w14:paraId="592C19FB"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nawigować/poruszać się po aplikacji</w:t>
            </w:r>
          </w:p>
        </w:tc>
        <w:tc>
          <w:tcPr>
            <w:tcW w:w="1189" w:type="dxa"/>
            <w:hideMark/>
          </w:tcPr>
          <w:p w14:paraId="0BED8F2C"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4,69</w:t>
            </w:r>
          </w:p>
        </w:tc>
        <w:tc>
          <w:tcPr>
            <w:tcW w:w="1132" w:type="dxa"/>
            <w:hideMark/>
          </w:tcPr>
          <w:p w14:paraId="339A4E6C"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161" w:type="dxa"/>
            <w:hideMark/>
          </w:tcPr>
          <w:p w14:paraId="41BF4AFE"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4,78</w:t>
            </w:r>
          </w:p>
        </w:tc>
        <w:tc>
          <w:tcPr>
            <w:tcW w:w="1460" w:type="dxa"/>
            <w:hideMark/>
          </w:tcPr>
          <w:p w14:paraId="62ACD03B"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3,95</w:t>
            </w:r>
          </w:p>
        </w:tc>
        <w:tc>
          <w:tcPr>
            <w:tcW w:w="1189" w:type="dxa"/>
            <w:hideMark/>
          </w:tcPr>
          <w:p w14:paraId="1ABD5F19"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4,55</w:t>
            </w:r>
          </w:p>
        </w:tc>
      </w:tr>
      <w:tr w:rsidR="0048126C" w:rsidRPr="00BF6615" w14:paraId="48E6084C" w14:textId="77777777" w:rsidTr="0048126C">
        <w:trPr>
          <w:cnfStyle w:val="000000010000" w:firstRow="0" w:lastRow="0" w:firstColumn="0" w:lastColumn="0" w:oddVBand="0" w:evenVBand="0" w:oddHBand="0" w:evenHBand="1" w:firstRowFirstColumn="0" w:firstRowLastColumn="0" w:lastRowFirstColumn="0" w:lastRowLastColumn="0"/>
          <w:trHeight w:val="290"/>
        </w:trPr>
        <w:tc>
          <w:tcPr>
            <w:tcW w:w="4106" w:type="dxa"/>
            <w:hideMark/>
          </w:tcPr>
          <w:p w14:paraId="10501B52"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znaleźć potrzebne mi informacje</w:t>
            </w:r>
          </w:p>
        </w:tc>
        <w:tc>
          <w:tcPr>
            <w:tcW w:w="1189" w:type="dxa"/>
            <w:hideMark/>
          </w:tcPr>
          <w:p w14:paraId="6C34E2BE"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1132" w:type="dxa"/>
            <w:hideMark/>
          </w:tcPr>
          <w:p w14:paraId="43EB7794"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161" w:type="dxa"/>
            <w:hideMark/>
          </w:tcPr>
          <w:p w14:paraId="3B57399D"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460" w:type="dxa"/>
            <w:hideMark/>
          </w:tcPr>
          <w:p w14:paraId="1C4A1581"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4,05</w:t>
            </w:r>
          </w:p>
        </w:tc>
        <w:tc>
          <w:tcPr>
            <w:tcW w:w="1189" w:type="dxa"/>
            <w:hideMark/>
          </w:tcPr>
          <w:p w14:paraId="6127A4B1"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4,47</w:t>
            </w:r>
          </w:p>
        </w:tc>
      </w:tr>
      <w:tr w:rsidR="0048126C" w:rsidRPr="00BF6615" w14:paraId="009D04AE" w14:textId="77777777" w:rsidTr="0048126C">
        <w:trPr>
          <w:cnfStyle w:val="000000100000" w:firstRow="0" w:lastRow="0" w:firstColumn="0" w:lastColumn="0" w:oddVBand="0" w:evenVBand="0" w:oddHBand="1" w:evenHBand="0" w:firstRowFirstColumn="0" w:firstRowLastColumn="0" w:lastRowFirstColumn="0" w:lastRowLastColumn="0"/>
          <w:trHeight w:val="290"/>
        </w:trPr>
        <w:tc>
          <w:tcPr>
            <w:tcW w:w="4106" w:type="dxa"/>
            <w:hideMark/>
          </w:tcPr>
          <w:p w14:paraId="3BD917F6"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szybko się ładuje</w:t>
            </w:r>
          </w:p>
        </w:tc>
        <w:tc>
          <w:tcPr>
            <w:tcW w:w="1189" w:type="dxa"/>
            <w:hideMark/>
          </w:tcPr>
          <w:p w14:paraId="127915BB"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132" w:type="dxa"/>
            <w:hideMark/>
          </w:tcPr>
          <w:p w14:paraId="4A4366D9"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161" w:type="dxa"/>
            <w:hideMark/>
          </w:tcPr>
          <w:p w14:paraId="16CD6A5A"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1460" w:type="dxa"/>
            <w:hideMark/>
          </w:tcPr>
          <w:p w14:paraId="6175B82A"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4,05</w:t>
            </w:r>
          </w:p>
        </w:tc>
        <w:tc>
          <w:tcPr>
            <w:tcW w:w="1189" w:type="dxa"/>
            <w:hideMark/>
          </w:tcPr>
          <w:p w14:paraId="7C27094F"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4,40</w:t>
            </w:r>
          </w:p>
        </w:tc>
      </w:tr>
      <w:tr w:rsidR="0048126C" w:rsidRPr="00BF6615" w14:paraId="2D5CC849" w14:textId="77777777" w:rsidTr="0048126C">
        <w:trPr>
          <w:cnfStyle w:val="000000010000" w:firstRow="0" w:lastRow="0" w:firstColumn="0" w:lastColumn="0" w:oddVBand="0" w:evenVBand="0" w:oddHBand="0" w:evenHBand="1" w:firstRowFirstColumn="0" w:firstRowLastColumn="0" w:lastRowFirstColumn="0" w:lastRowLastColumn="0"/>
          <w:trHeight w:val="290"/>
        </w:trPr>
        <w:tc>
          <w:tcPr>
            <w:tcW w:w="4106" w:type="dxa"/>
            <w:hideMark/>
          </w:tcPr>
          <w:p w14:paraId="22C926C2"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ma czytelny układ treści</w:t>
            </w:r>
          </w:p>
        </w:tc>
        <w:tc>
          <w:tcPr>
            <w:tcW w:w="1189" w:type="dxa"/>
            <w:hideMark/>
          </w:tcPr>
          <w:p w14:paraId="19E0A604"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132" w:type="dxa"/>
            <w:hideMark/>
          </w:tcPr>
          <w:p w14:paraId="5A4D95A5"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161" w:type="dxa"/>
            <w:hideMark/>
          </w:tcPr>
          <w:p w14:paraId="6D72C73F"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4,89</w:t>
            </w:r>
          </w:p>
        </w:tc>
        <w:tc>
          <w:tcPr>
            <w:tcW w:w="1460" w:type="dxa"/>
            <w:hideMark/>
          </w:tcPr>
          <w:p w14:paraId="6752BE69"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3,95</w:t>
            </w:r>
          </w:p>
        </w:tc>
        <w:tc>
          <w:tcPr>
            <w:tcW w:w="1189" w:type="dxa"/>
            <w:hideMark/>
          </w:tcPr>
          <w:p w14:paraId="6C5FAC2A"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4,46</w:t>
            </w:r>
          </w:p>
        </w:tc>
      </w:tr>
      <w:tr w:rsidR="0048126C" w:rsidRPr="00BF6615" w14:paraId="04EFE28D" w14:textId="77777777" w:rsidTr="0048126C">
        <w:trPr>
          <w:cnfStyle w:val="000000100000" w:firstRow="0" w:lastRow="0" w:firstColumn="0" w:lastColumn="0" w:oddVBand="0" w:evenVBand="0" w:oddHBand="1" w:evenHBand="0" w:firstRowFirstColumn="0" w:firstRowLastColumn="0" w:lastRowFirstColumn="0" w:lastRowLastColumn="0"/>
          <w:trHeight w:val="580"/>
        </w:trPr>
        <w:tc>
          <w:tcPr>
            <w:tcW w:w="4106" w:type="dxa"/>
            <w:hideMark/>
          </w:tcPr>
          <w:p w14:paraId="5B7C6A44"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w aplikacji są dla mnie przyjazne</w:t>
            </w:r>
          </w:p>
        </w:tc>
        <w:tc>
          <w:tcPr>
            <w:tcW w:w="1189" w:type="dxa"/>
            <w:hideMark/>
          </w:tcPr>
          <w:p w14:paraId="4F05930F"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4,06</w:t>
            </w:r>
          </w:p>
        </w:tc>
        <w:tc>
          <w:tcPr>
            <w:tcW w:w="1132" w:type="dxa"/>
            <w:hideMark/>
          </w:tcPr>
          <w:p w14:paraId="23E796EB"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161" w:type="dxa"/>
            <w:hideMark/>
          </w:tcPr>
          <w:p w14:paraId="06958181"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4,89</w:t>
            </w:r>
          </w:p>
        </w:tc>
        <w:tc>
          <w:tcPr>
            <w:tcW w:w="1460" w:type="dxa"/>
            <w:hideMark/>
          </w:tcPr>
          <w:p w14:paraId="3095D3F5"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4,05</w:t>
            </w:r>
          </w:p>
        </w:tc>
        <w:tc>
          <w:tcPr>
            <w:tcW w:w="1189" w:type="dxa"/>
            <w:hideMark/>
          </w:tcPr>
          <w:p w14:paraId="7EF12A47"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4,50</w:t>
            </w:r>
          </w:p>
        </w:tc>
      </w:tr>
      <w:tr w:rsidR="0048126C" w:rsidRPr="00BF6615" w14:paraId="12DF9845" w14:textId="77777777" w:rsidTr="0048126C">
        <w:trPr>
          <w:cnfStyle w:val="000000010000" w:firstRow="0" w:lastRow="0" w:firstColumn="0" w:lastColumn="0" w:oddVBand="0" w:evenVBand="0" w:oddHBand="0" w:evenHBand="1" w:firstRowFirstColumn="0" w:firstRowLastColumn="0" w:lastRowFirstColumn="0" w:lastRowLastColumn="0"/>
          <w:trHeight w:val="580"/>
        </w:trPr>
        <w:tc>
          <w:tcPr>
            <w:tcW w:w="4106" w:type="dxa"/>
            <w:hideMark/>
          </w:tcPr>
          <w:p w14:paraId="01D2FF56"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jest dla mnie dostępna cyfrowo</w:t>
            </w:r>
          </w:p>
        </w:tc>
        <w:tc>
          <w:tcPr>
            <w:tcW w:w="1189" w:type="dxa"/>
            <w:hideMark/>
          </w:tcPr>
          <w:p w14:paraId="169A3DFE"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132" w:type="dxa"/>
            <w:hideMark/>
          </w:tcPr>
          <w:p w14:paraId="3648F226"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161" w:type="dxa"/>
            <w:hideMark/>
          </w:tcPr>
          <w:p w14:paraId="277E611D"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460" w:type="dxa"/>
            <w:hideMark/>
          </w:tcPr>
          <w:p w14:paraId="3660700D"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1189" w:type="dxa"/>
            <w:hideMark/>
          </w:tcPr>
          <w:p w14:paraId="2CB76662"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4,48</w:t>
            </w:r>
          </w:p>
        </w:tc>
      </w:tr>
      <w:tr w:rsidR="0048126C" w:rsidRPr="00BF6615" w14:paraId="712FE6D4" w14:textId="77777777" w:rsidTr="0048126C">
        <w:trPr>
          <w:cnfStyle w:val="000000100000" w:firstRow="0" w:lastRow="0" w:firstColumn="0" w:lastColumn="0" w:oddVBand="0" w:evenVBand="0" w:oddHBand="1" w:evenHBand="0" w:firstRowFirstColumn="0" w:firstRowLastColumn="0" w:lastRowFirstColumn="0" w:lastRowLastColumn="0"/>
          <w:trHeight w:val="580"/>
        </w:trPr>
        <w:tc>
          <w:tcPr>
            <w:tcW w:w="4106" w:type="dxa"/>
            <w:hideMark/>
          </w:tcPr>
          <w:p w14:paraId="26E13A4D" w14:textId="77777777" w:rsidR="0048126C" w:rsidRPr="00BF6615" w:rsidRDefault="0048126C" w:rsidP="007E26B5">
            <w:pPr>
              <w:spacing w:after="0" w:line="240" w:lineRule="auto"/>
              <w:rPr>
                <w:rFonts w:ascii="Calibri" w:eastAsia="Times New Roman" w:hAnsi="Calibri" w:cs="Calibri"/>
                <w:color w:val="000000"/>
                <w:sz w:val="22"/>
                <w:lang w:eastAsia="pl-PL"/>
              </w:rPr>
            </w:pPr>
            <w:proofErr w:type="spellStart"/>
            <w:r w:rsidRPr="00BF6615">
              <w:rPr>
                <w:rFonts w:ascii="Calibri" w:eastAsia="Times New Roman" w:hAnsi="Calibri" w:cs="Calibri"/>
                <w:color w:val="000000"/>
                <w:sz w:val="22"/>
                <w:lang w:eastAsia="pl-PL"/>
              </w:rPr>
              <w:t>Responsywność</w:t>
            </w:r>
            <w:proofErr w:type="spellEnd"/>
            <w:r w:rsidRPr="00BF6615">
              <w:rPr>
                <w:rFonts w:ascii="Calibri" w:eastAsia="Times New Roman" w:hAnsi="Calibri" w:cs="Calibri"/>
                <w:color w:val="000000"/>
                <w:sz w:val="22"/>
                <w:lang w:eastAsia="pl-PL"/>
              </w:rPr>
              <w:t xml:space="preserve"> aplikacji jest odpowiednia</w:t>
            </w:r>
          </w:p>
        </w:tc>
        <w:tc>
          <w:tcPr>
            <w:tcW w:w="1189" w:type="dxa"/>
            <w:hideMark/>
          </w:tcPr>
          <w:p w14:paraId="29866E65"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132" w:type="dxa"/>
            <w:hideMark/>
          </w:tcPr>
          <w:p w14:paraId="2545EB0A"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161" w:type="dxa"/>
            <w:hideMark/>
          </w:tcPr>
          <w:p w14:paraId="0656AA04"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4,89</w:t>
            </w:r>
          </w:p>
        </w:tc>
        <w:tc>
          <w:tcPr>
            <w:tcW w:w="1460" w:type="dxa"/>
            <w:hideMark/>
          </w:tcPr>
          <w:p w14:paraId="45C50497"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189" w:type="dxa"/>
            <w:hideMark/>
          </w:tcPr>
          <w:p w14:paraId="324DE3FB"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4,56</w:t>
            </w:r>
          </w:p>
        </w:tc>
      </w:tr>
      <w:tr w:rsidR="0048126C" w:rsidRPr="00BF6615" w14:paraId="57D6DB7F" w14:textId="77777777" w:rsidTr="0048126C">
        <w:trPr>
          <w:cnfStyle w:val="000000010000" w:firstRow="0" w:lastRow="0" w:firstColumn="0" w:lastColumn="0" w:oddVBand="0" w:evenVBand="0" w:oddHBand="0" w:evenHBand="1" w:firstRowFirstColumn="0" w:firstRowLastColumn="0" w:lastRowFirstColumn="0" w:lastRowLastColumn="0"/>
          <w:trHeight w:val="580"/>
        </w:trPr>
        <w:tc>
          <w:tcPr>
            <w:tcW w:w="4106" w:type="dxa"/>
            <w:hideMark/>
          </w:tcPr>
          <w:p w14:paraId="55B73A44"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skontaktować się z obsługa klienta/pomocą</w:t>
            </w:r>
          </w:p>
        </w:tc>
        <w:tc>
          <w:tcPr>
            <w:tcW w:w="1189" w:type="dxa"/>
            <w:hideMark/>
          </w:tcPr>
          <w:p w14:paraId="7143283A"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1132" w:type="dxa"/>
            <w:hideMark/>
          </w:tcPr>
          <w:p w14:paraId="386B3DFE"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161" w:type="dxa"/>
            <w:hideMark/>
          </w:tcPr>
          <w:p w14:paraId="05361C1C"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460" w:type="dxa"/>
            <w:hideMark/>
          </w:tcPr>
          <w:p w14:paraId="07E101B1"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189" w:type="dxa"/>
            <w:hideMark/>
          </w:tcPr>
          <w:p w14:paraId="5E0A9A85"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4,39</w:t>
            </w:r>
          </w:p>
        </w:tc>
      </w:tr>
      <w:tr w:rsidR="0048126C" w:rsidRPr="00BF6615" w14:paraId="483F6178" w14:textId="77777777" w:rsidTr="0048126C">
        <w:trPr>
          <w:cnfStyle w:val="000000100000" w:firstRow="0" w:lastRow="0" w:firstColumn="0" w:lastColumn="0" w:oddVBand="0" w:evenVBand="0" w:oddHBand="1" w:evenHBand="0" w:firstRowFirstColumn="0" w:firstRowLastColumn="0" w:lastRowFirstColumn="0" w:lastRowLastColumn="0"/>
          <w:trHeight w:val="1160"/>
        </w:trPr>
        <w:tc>
          <w:tcPr>
            <w:tcW w:w="4106" w:type="dxa"/>
            <w:hideMark/>
          </w:tcPr>
          <w:p w14:paraId="68AF88A7"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w:t>
            </w:r>
          </w:p>
        </w:tc>
        <w:tc>
          <w:tcPr>
            <w:tcW w:w="1189" w:type="dxa"/>
            <w:hideMark/>
          </w:tcPr>
          <w:p w14:paraId="311A4FA0"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4,62</w:t>
            </w:r>
          </w:p>
        </w:tc>
        <w:tc>
          <w:tcPr>
            <w:tcW w:w="1132" w:type="dxa"/>
            <w:hideMark/>
          </w:tcPr>
          <w:p w14:paraId="596D889C"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161" w:type="dxa"/>
            <w:hideMark/>
          </w:tcPr>
          <w:p w14:paraId="5A1EC08E"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1460" w:type="dxa"/>
            <w:hideMark/>
          </w:tcPr>
          <w:p w14:paraId="68CDF966"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3,14</w:t>
            </w:r>
          </w:p>
        </w:tc>
        <w:tc>
          <w:tcPr>
            <w:tcW w:w="1189" w:type="dxa"/>
            <w:hideMark/>
          </w:tcPr>
          <w:p w14:paraId="40E5BAE3"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4,33</w:t>
            </w:r>
          </w:p>
        </w:tc>
      </w:tr>
      <w:tr w:rsidR="0048126C" w:rsidRPr="00BF6615" w14:paraId="668BD867" w14:textId="77777777" w:rsidTr="0048126C">
        <w:trPr>
          <w:cnfStyle w:val="000000010000" w:firstRow="0" w:lastRow="0" w:firstColumn="0" w:lastColumn="0" w:oddVBand="0" w:evenVBand="0" w:oddHBand="0" w:evenHBand="1" w:firstRowFirstColumn="0" w:firstRowLastColumn="0" w:lastRowFirstColumn="0" w:lastRowLastColumn="0"/>
          <w:trHeight w:val="870"/>
        </w:trPr>
        <w:tc>
          <w:tcPr>
            <w:tcW w:w="4106" w:type="dxa"/>
            <w:hideMark/>
          </w:tcPr>
          <w:p w14:paraId="428B0B9D"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aplikacji mobilnej mogę obsłużyć za pomocą klawiatury zewnętrznej</w:t>
            </w:r>
          </w:p>
        </w:tc>
        <w:tc>
          <w:tcPr>
            <w:tcW w:w="1189" w:type="dxa"/>
            <w:hideMark/>
          </w:tcPr>
          <w:p w14:paraId="6B4969C3"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4,21</w:t>
            </w:r>
          </w:p>
        </w:tc>
        <w:tc>
          <w:tcPr>
            <w:tcW w:w="1132" w:type="dxa"/>
            <w:hideMark/>
          </w:tcPr>
          <w:p w14:paraId="7A6B54F9"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1161" w:type="dxa"/>
            <w:hideMark/>
          </w:tcPr>
          <w:p w14:paraId="02A7CD78"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4,89</w:t>
            </w:r>
          </w:p>
        </w:tc>
        <w:tc>
          <w:tcPr>
            <w:tcW w:w="1460" w:type="dxa"/>
            <w:hideMark/>
          </w:tcPr>
          <w:p w14:paraId="7A82358E"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189" w:type="dxa"/>
            <w:hideMark/>
          </w:tcPr>
          <w:p w14:paraId="704D74EF"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4,34</w:t>
            </w:r>
          </w:p>
        </w:tc>
      </w:tr>
      <w:tr w:rsidR="0048126C" w:rsidRPr="00BF6615" w14:paraId="6CC5FB4A" w14:textId="77777777" w:rsidTr="0048126C">
        <w:trPr>
          <w:cnfStyle w:val="000000100000" w:firstRow="0" w:lastRow="0" w:firstColumn="0" w:lastColumn="0" w:oddVBand="0" w:evenVBand="0" w:oddHBand="1" w:evenHBand="0" w:firstRowFirstColumn="0" w:firstRowLastColumn="0" w:lastRowFirstColumn="0" w:lastRowLastColumn="0"/>
          <w:trHeight w:val="1160"/>
        </w:trPr>
        <w:tc>
          <w:tcPr>
            <w:tcW w:w="4106" w:type="dxa"/>
            <w:hideMark/>
          </w:tcPr>
          <w:p w14:paraId="1DF9D0B2"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Materiały multimedialne oraz grafiki są dla mnie zrozumiałe (filmy posiadają audiodeskrypcję oraz napisy rozszerzone)</w:t>
            </w:r>
          </w:p>
        </w:tc>
        <w:tc>
          <w:tcPr>
            <w:tcW w:w="1189" w:type="dxa"/>
            <w:hideMark/>
          </w:tcPr>
          <w:p w14:paraId="13C7F803"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132" w:type="dxa"/>
            <w:hideMark/>
          </w:tcPr>
          <w:p w14:paraId="7982392B"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4,80</w:t>
            </w:r>
          </w:p>
        </w:tc>
        <w:tc>
          <w:tcPr>
            <w:tcW w:w="1161" w:type="dxa"/>
            <w:hideMark/>
          </w:tcPr>
          <w:p w14:paraId="13D81BAA"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4,78</w:t>
            </w:r>
          </w:p>
        </w:tc>
        <w:tc>
          <w:tcPr>
            <w:tcW w:w="1460" w:type="dxa"/>
            <w:hideMark/>
          </w:tcPr>
          <w:p w14:paraId="64A9F1BE"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3,94</w:t>
            </w:r>
          </w:p>
        </w:tc>
        <w:tc>
          <w:tcPr>
            <w:tcW w:w="1189" w:type="dxa"/>
            <w:hideMark/>
          </w:tcPr>
          <w:p w14:paraId="66ABED93"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4,49</w:t>
            </w:r>
          </w:p>
        </w:tc>
      </w:tr>
      <w:tr w:rsidR="0048126C" w:rsidRPr="00BF6615" w14:paraId="7AC679A9" w14:textId="77777777" w:rsidTr="0048126C">
        <w:trPr>
          <w:cnfStyle w:val="000000010000" w:firstRow="0" w:lastRow="0" w:firstColumn="0" w:lastColumn="0" w:oddVBand="0" w:evenVBand="0" w:oddHBand="0" w:evenHBand="1" w:firstRowFirstColumn="0" w:firstRowLastColumn="0" w:lastRowFirstColumn="0" w:lastRowLastColumn="0"/>
          <w:trHeight w:val="1160"/>
        </w:trPr>
        <w:tc>
          <w:tcPr>
            <w:tcW w:w="4106" w:type="dxa"/>
            <w:hideMark/>
          </w:tcPr>
          <w:p w14:paraId="02462C64"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Niezależnie od wykonywanych czynności otrzymuję informację zwrotną, również o błędach w sposób dostępny cyfrowo</w:t>
            </w:r>
          </w:p>
        </w:tc>
        <w:tc>
          <w:tcPr>
            <w:tcW w:w="1189" w:type="dxa"/>
            <w:hideMark/>
          </w:tcPr>
          <w:p w14:paraId="59219806"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4,15</w:t>
            </w:r>
          </w:p>
        </w:tc>
        <w:tc>
          <w:tcPr>
            <w:tcW w:w="1132" w:type="dxa"/>
            <w:hideMark/>
          </w:tcPr>
          <w:p w14:paraId="78D1F1A6"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1161" w:type="dxa"/>
            <w:hideMark/>
          </w:tcPr>
          <w:p w14:paraId="29306B7C"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4,56</w:t>
            </w:r>
          </w:p>
        </w:tc>
        <w:tc>
          <w:tcPr>
            <w:tcW w:w="1460" w:type="dxa"/>
            <w:hideMark/>
          </w:tcPr>
          <w:p w14:paraId="41984964"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3,87</w:t>
            </w:r>
          </w:p>
        </w:tc>
        <w:tc>
          <w:tcPr>
            <w:tcW w:w="1189" w:type="dxa"/>
            <w:hideMark/>
          </w:tcPr>
          <w:p w14:paraId="0A4456E6"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4,33</w:t>
            </w:r>
          </w:p>
        </w:tc>
      </w:tr>
      <w:tr w:rsidR="0048126C" w:rsidRPr="00BF6615" w14:paraId="0A383812" w14:textId="77777777" w:rsidTr="0048126C">
        <w:trPr>
          <w:cnfStyle w:val="000000100000" w:firstRow="0" w:lastRow="0" w:firstColumn="0" w:lastColumn="0" w:oddVBand="0" w:evenVBand="0" w:oddHBand="1" w:evenHBand="0" w:firstRowFirstColumn="0" w:firstRowLastColumn="0" w:lastRowFirstColumn="0" w:lastRowLastColumn="0"/>
          <w:trHeight w:val="870"/>
        </w:trPr>
        <w:tc>
          <w:tcPr>
            <w:tcW w:w="4106" w:type="dxa"/>
            <w:hideMark/>
          </w:tcPr>
          <w:p w14:paraId="2B364CDF"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Treści wyświetlane na ekranie są czytelne zarówno w widoku poziomym jak i pionowym</w:t>
            </w:r>
          </w:p>
        </w:tc>
        <w:tc>
          <w:tcPr>
            <w:tcW w:w="1189" w:type="dxa"/>
            <w:hideMark/>
          </w:tcPr>
          <w:p w14:paraId="5D2FBFE1"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4,57</w:t>
            </w:r>
          </w:p>
        </w:tc>
        <w:tc>
          <w:tcPr>
            <w:tcW w:w="1132" w:type="dxa"/>
            <w:hideMark/>
          </w:tcPr>
          <w:p w14:paraId="0BE115C6"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161" w:type="dxa"/>
            <w:hideMark/>
          </w:tcPr>
          <w:p w14:paraId="550D0A25"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4,44</w:t>
            </w:r>
          </w:p>
        </w:tc>
        <w:tc>
          <w:tcPr>
            <w:tcW w:w="1460" w:type="dxa"/>
            <w:hideMark/>
          </w:tcPr>
          <w:p w14:paraId="704B16A3"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3,76</w:t>
            </w:r>
          </w:p>
        </w:tc>
        <w:tc>
          <w:tcPr>
            <w:tcW w:w="1189" w:type="dxa"/>
            <w:hideMark/>
          </w:tcPr>
          <w:p w14:paraId="0BB06C52"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4,45</w:t>
            </w:r>
          </w:p>
        </w:tc>
      </w:tr>
      <w:tr w:rsidR="0048126C" w:rsidRPr="00BF6615" w14:paraId="5F3E0D36" w14:textId="77777777" w:rsidTr="0048126C">
        <w:trPr>
          <w:cnfStyle w:val="000000010000" w:firstRow="0" w:lastRow="0" w:firstColumn="0" w:lastColumn="0" w:oddVBand="0" w:evenVBand="0" w:oddHBand="0" w:evenHBand="1" w:firstRowFirstColumn="0" w:firstRowLastColumn="0" w:lastRowFirstColumn="0" w:lastRowLastColumn="0"/>
          <w:trHeight w:val="580"/>
        </w:trPr>
        <w:tc>
          <w:tcPr>
            <w:tcW w:w="4106" w:type="dxa"/>
            <w:hideMark/>
          </w:tcPr>
          <w:p w14:paraId="29CBB972"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tłumaczenia na Polski język migowy (PJM)</w:t>
            </w:r>
          </w:p>
        </w:tc>
        <w:tc>
          <w:tcPr>
            <w:tcW w:w="1189" w:type="dxa"/>
            <w:hideMark/>
          </w:tcPr>
          <w:p w14:paraId="07961905"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4,09</w:t>
            </w:r>
          </w:p>
        </w:tc>
        <w:tc>
          <w:tcPr>
            <w:tcW w:w="1132" w:type="dxa"/>
            <w:hideMark/>
          </w:tcPr>
          <w:p w14:paraId="244A76B0"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161" w:type="dxa"/>
            <w:hideMark/>
          </w:tcPr>
          <w:p w14:paraId="57B7F54F"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460" w:type="dxa"/>
            <w:hideMark/>
          </w:tcPr>
          <w:p w14:paraId="474ABA74"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3,71</w:t>
            </w:r>
          </w:p>
        </w:tc>
        <w:tc>
          <w:tcPr>
            <w:tcW w:w="1189" w:type="dxa"/>
            <w:hideMark/>
          </w:tcPr>
          <w:p w14:paraId="18DFDD6B"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4,24</w:t>
            </w:r>
          </w:p>
        </w:tc>
      </w:tr>
      <w:tr w:rsidR="0048126C" w:rsidRPr="00BF6615" w14:paraId="049B01A4" w14:textId="77777777" w:rsidTr="0048126C">
        <w:trPr>
          <w:cnfStyle w:val="000000100000" w:firstRow="0" w:lastRow="0" w:firstColumn="0" w:lastColumn="0" w:oddVBand="0" w:evenVBand="0" w:oddHBand="1" w:evenHBand="0" w:firstRowFirstColumn="0" w:firstRowLastColumn="0" w:lastRowFirstColumn="0" w:lastRowLastColumn="0"/>
          <w:trHeight w:val="580"/>
        </w:trPr>
        <w:tc>
          <w:tcPr>
            <w:tcW w:w="4106" w:type="dxa"/>
            <w:hideMark/>
          </w:tcPr>
          <w:p w14:paraId="6A8DCB6C"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informacje w tekście łatwym do czytania i zrozumienia (ETR)</w:t>
            </w:r>
          </w:p>
        </w:tc>
        <w:tc>
          <w:tcPr>
            <w:tcW w:w="1189" w:type="dxa"/>
            <w:hideMark/>
          </w:tcPr>
          <w:p w14:paraId="5CC1E345"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132" w:type="dxa"/>
            <w:hideMark/>
          </w:tcPr>
          <w:p w14:paraId="1538C3A2"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161" w:type="dxa"/>
            <w:hideMark/>
          </w:tcPr>
          <w:p w14:paraId="3DB5D11A"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460" w:type="dxa"/>
            <w:hideMark/>
          </w:tcPr>
          <w:p w14:paraId="0323B594" w14:textId="77777777" w:rsidR="0048126C" w:rsidRPr="00BF6615" w:rsidRDefault="0048126C"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1189" w:type="dxa"/>
            <w:hideMark/>
          </w:tcPr>
          <w:p w14:paraId="0BF9AE29"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4,57</w:t>
            </w:r>
          </w:p>
        </w:tc>
      </w:tr>
      <w:tr w:rsidR="0048126C" w:rsidRPr="00BF6615" w14:paraId="4D82C9AA" w14:textId="77777777" w:rsidTr="0048126C">
        <w:trPr>
          <w:cnfStyle w:val="000000010000" w:firstRow="0" w:lastRow="0" w:firstColumn="0" w:lastColumn="0" w:oddVBand="0" w:evenVBand="0" w:oddHBand="0" w:evenHBand="1" w:firstRowFirstColumn="0" w:firstRowLastColumn="0" w:lastRowFirstColumn="0" w:lastRowLastColumn="0"/>
          <w:trHeight w:val="290"/>
        </w:trPr>
        <w:tc>
          <w:tcPr>
            <w:tcW w:w="4106" w:type="dxa"/>
            <w:hideMark/>
          </w:tcPr>
          <w:p w14:paraId="499A912A"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Sumaryczna średnia ocen</w:t>
            </w:r>
          </w:p>
        </w:tc>
        <w:tc>
          <w:tcPr>
            <w:tcW w:w="1189" w:type="dxa"/>
            <w:hideMark/>
          </w:tcPr>
          <w:p w14:paraId="49BFC35D"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4,33</w:t>
            </w:r>
          </w:p>
        </w:tc>
        <w:tc>
          <w:tcPr>
            <w:tcW w:w="1132" w:type="dxa"/>
            <w:hideMark/>
          </w:tcPr>
          <w:p w14:paraId="5CB6A831"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4,84</w:t>
            </w:r>
          </w:p>
        </w:tc>
        <w:tc>
          <w:tcPr>
            <w:tcW w:w="1161" w:type="dxa"/>
            <w:hideMark/>
          </w:tcPr>
          <w:p w14:paraId="665F3EBC"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4,70</w:t>
            </w:r>
          </w:p>
        </w:tc>
        <w:tc>
          <w:tcPr>
            <w:tcW w:w="1460" w:type="dxa"/>
            <w:hideMark/>
          </w:tcPr>
          <w:p w14:paraId="6EF69174" w14:textId="77777777"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3,88</w:t>
            </w:r>
          </w:p>
        </w:tc>
        <w:tc>
          <w:tcPr>
            <w:tcW w:w="1189" w:type="dxa"/>
            <w:hideMark/>
          </w:tcPr>
          <w:p w14:paraId="04370335" w14:textId="220886AE" w:rsidR="0048126C" w:rsidRPr="00BF6615" w:rsidRDefault="0048126C"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w:t>
            </w:r>
          </w:p>
        </w:tc>
      </w:tr>
    </w:tbl>
    <w:p w14:paraId="3D50E4C2" w14:textId="77777777" w:rsidR="00B00A6D" w:rsidRPr="00BF6615" w:rsidRDefault="00B00A6D" w:rsidP="00FD0843">
      <w:r w:rsidRPr="00BF6615">
        <w:t>Źródło: opracowanie własne.</w:t>
      </w:r>
    </w:p>
    <w:p w14:paraId="4F2B6002" w14:textId="0CCD560C" w:rsidR="00326A10" w:rsidRPr="00BF6615" w:rsidRDefault="00B00A6D" w:rsidP="007E26B5">
      <w:r w:rsidRPr="00BF6615">
        <w:t xml:space="preserve">Uwagę zwraca fakt, że </w:t>
      </w:r>
      <w:r w:rsidR="00326A10" w:rsidRPr="00BF6615">
        <w:t>znacznie niżej niż inne grupy i ogół badanych</w:t>
      </w:r>
      <w:r w:rsidR="3DED68A1" w:rsidRPr="00BF6615">
        <w:t>,</w:t>
      </w:r>
      <w:r w:rsidR="00326A10" w:rsidRPr="00BF6615">
        <w:t xml:space="preserve"> osoby </w:t>
      </w:r>
      <w:r w:rsidR="008B0B0A" w:rsidRPr="00BF6615">
        <w:t>z</w:t>
      </w:r>
      <w:r w:rsidR="008B0B0A">
        <w:t> </w:t>
      </w:r>
      <w:r w:rsidR="00326A10" w:rsidRPr="00BF6615">
        <w:t>niepełnosprawnościami oceniły dostępność stron rządowych</w:t>
      </w:r>
      <w:r w:rsidR="00CA63FD" w:rsidRPr="00BF6615">
        <w:t xml:space="preserve">. Jednocześnie dały wysokie oceny dla aplikacji tematycznych w kluczowym aspekcie oceny, jakim jest ocena dostępności aplikacji. Tak, jak w przypadku innych grup aplikacje i strony instytucji kultury zostały </w:t>
      </w:r>
      <w:r w:rsidR="008B0B0A" w:rsidRPr="00BF6615">
        <w:t>ocenione</w:t>
      </w:r>
      <w:r w:rsidR="008B0B0A">
        <w:t> </w:t>
      </w:r>
      <w:r w:rsidR="00CA63FD" w:rsidRPr="00BF6615">
        <w:t>najwyżej.</w:t>
      </w:r>
    </w:p>
    <w:p w14:paraId="0D4339D1" w14:textId="3F20C300" w:rsidR="00D033B7" w:rsidRPr="00BF6615" w:rsidRDefault="00D033B7" w:rsidP="007E26B5">
      <w:r w:rsidRPr="00BF6615">
        <w:t>Wyniki w grupie osób z niepełnosprawnościami- kluczow</w:t>
      </w:r>
      <w:r w:rsidR="008639F6" w:rsidRPr="00BF6615">
        <w:t>ej grupy do której kierowane są usprawnienia w zakresie dostępności cyfrowej dają dobre świadectwo dostępności gł</w:t>
      </w:r>
      <w:r w:rsidR="00CA60D2" w:rsidRPr="00BF6615">
        <w:t>ó</w:t>
      </w:r>
      <w:r w:rsidR="008639F6" w:rsidRPr="00BF6615">
        <w:t>wnie dla aplikacji, jednocześnie wyraźnie wskazują, że strony rządowe wymagają poprawy</w:t>
      </w:r>
      <w:r w:rsidR="00CA60D2" w:rsidRPr="00BF6615">
        <w:t xml:space="preserve"> w zakresie dostępności cyfrowej</w:t>
      </w:r>
      <w:r w:rsidR="008639F6" w:rsidRPr="00BF6615">
        <w:t>.</w:t>
      </w:r>
    </w:p>
    <w:p w14:paraId="23F34AD8" w14:textId="77777777" w:rsidR="00B00A6D" w:rsidRPr="00060682" w:rsidRDefault="00B00A6D" w:rsidP="00B271C3">
      <w:pPr>
        <w:pStyle w:val="Nagwek4"/>
        <w:rPr>
          <w:bCs/>
        </w:rPr>
      </w:pPr>
      <w:r w:rsidRPr="00060682">
        <w:rPr>
          <w:bCs/>
        </w:rPr>
        <w:t>Oczekiwania w stosunku do jakości stron podmiotów publicznych i aplikacji mobilnych</w:t>
      </w:r>
    </w:p>
    <w:p w14:paraId="478B0002" w14:textId="3B430453" w:rsidR="00B00A6D" w:rsidRPr="00BF6615" w:rsidRDefault="00DC1CE4" w:rsidP="007E26B5">
      <w:r w:rsidRPr="00BF6615">
        <w:t>Dla największej liczby respondentów najważniejszym aspektem przy korzystaniu ze stron publicznych jest możliwość łatwego kontaktu z urzędem.</w:t>
      </w:r>
      <w:r w:rsidR="008779F9" w:rsidRPr="00BF6615">
        <w:t xml:space="preserve"> In</w:t>
      </w:r>
      <w:r w:rsidRPr="00BF6615">
        <w:t>n</w:t>
      </w:r>
      <w:r w:rsidR="008779F9" w:rsidRPr="00BF6615">
        <w:t>e</w:t>
      </w:r>
      <w:r w:rsidRPr="00BF6615">
        <w:t xml:space="preserve"> </w:t>
      </w:r>
      <w:r w:rsidR="00B00A6D" w:rsidRPr="00BF6615">
        <w:t>cech</w:t>
      </w:r>
      <w:r w:rsidR="008779F9" w:rsidRPr="00BF6615">
        <w:t>y</w:t>
      </w:r>
      <w:r w:rsidR="00B00A6D" w:rsidRPr="00BF6615">
        <w:t xml:space="preserve"> stron podmiotów publicznych, które </w:t>
      </w:r>
      <w:r w:rsidR="003A2BEB" w:rsidRPr="00BF6615">
        <w:t>najczęściej wskazywano</w:t>
      </w:r>
      <w:r w:rsidR="008779F9" w:rsidRPr="00BF6615">
        <w:t xml:space="preserve"> to </w:t>
      </w:r>
      <w:r w:rsidR="003A2BEB" w:rsidRPr="00BF6615">
        <w:t>przejrzystość informacji,</w:t>
      </w:r>
      <w:r w:rsidR="00B00A6D" w:rsidRPr="00BF6615">
        <w:t xml:space="preserve"> treści napisane w sposób zrozumiały, czy </w:t>
      </w:r>
      <w:r w:rsidR="00AF650D" w:rsidRPr="00BF6615">
        <w:t>łatwość przeglądania poszczególnych podstron.</w:t>
      </w:r>
      <w:r w:rsidR="00B00A6D" w:rsidRPr="00BF6615">
        <w:t xml:space="preserve"> W katalogu dodatkowych odpowiedzi respondenci często wskazywali na </w:t>
      </w:r>
      <w:r w:rsidR="002208D8" w:rsidRPr="00BF6615">
        <w:t>prostotę obsługi stron</w:t>
      </w:r>
      <w:r w:rsidR="00697C0E" w:rsidRPr="00BF6615">
        <w:t>, a także szybkość działania i odpowiednie zabezpieczenie i zapewnienie prywatności danych osobowych.</w:t>
      </w:r>
    </w:p>
    <w:p w14:paraId="3A8C27C4" w14:textId="77777777" w:rsidR="00B00A6D" w:rsidRPr="00BF6615" w:rsidRDefault="00B00A6D" w:rsidP="007E26B5">
      <w:pPr>
        <w:spacing w:after="0" w:line="240" w:lineRule="auto"/>
        <w:rPr>
          <w:rFonts w:ascii="Aptos Narrow" w:eastAsia="Times New Roman" w:hAnsi="Aptos Narrow" w:cs="Times New Roman"/>
          <w:b/>
          <w:color w:val="FFFFFF" w:themeColor="background1"/>
          <w:sz w:val="22"/>
          <w:lang w:eastAsia="pl-PL"/>
        </w:rPr>
      </w:pPr>
    </w:p>
    <w:p w14:paraId="2DDE5848" w14:textId="77777777" w:rsidR="00B00A6D" w:rsidRPr="00BF6615" w:rsidRDefault="00B00A6D" w:rsidP="007E26B5">
      <w:pPr>
        <w:pStyle w:val="Legenda"/>
        <w:sectPr w:rsidR="00B00A6D" w:rsidRPr="00BF6615" w:rsidSect="00B00A6D">
          <w:pgSz w:w="12240" w:h="15840"/>
          <w:pgMar w:top="1440" w:right="1440" w:bottom="1440" w:left="1440" w:header="708" w:footer="708" w:gutter="0"/>
          <w:cols w:space="708"/>
          <w:titlePg/>
          <w:docGrid w:linePitch="360"/>
        </w:sectPr>
      </w:pPr>
    </w:p>
    <w:p w14:paraId="435347AD" w14:textId="53BA8929" w:rsidR="00B00A6D" w:rsidRPr="00BF6615" w:rsidRDefault="00B00A6D" w:rsidP="007E26B5">
      <w:pPr>
        <w:pStyle w:val="Legenda"/>
      </w:pPr>
      <w:bookmarkStart w:id="272" w:name="_Toc204179139"/>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41</w:t>
      </w:r>
      <w:r w:rsidRPr="00BF6615">
        <w:fldChar w:fldCharType="end"/>
      </w:r>
      <w:r w:rsidR="00FD0843">
        <w:t>.</w:t>
      </w:r>
      <w:r w:rsidRPr="00BF6615">
        <w:t xml:space="preserve"> Oczekiwania w stosunku do stron publicznych wg kryterium ważności w grupie </w:t>
      </w:r>
      <w:r w:rsidR="00770683" w:rsidRPr="00BF6615">
        <w:t>osoby z niepełnosprawnościami</w:t>
      </w:r>
      <w:bookmarkEnd w:id="272"/>
    </w:p>
    <w:tbl>
      <w:tblPr>
        <w:tblStyle w:val="PARP"/>
        <w:tblW w:w="15059" w:type="dxa"/>
        <w:tblInd w:w="-856" w:type="dxa"/>
        <w:tblLook w:val="04A0" w:firstRow="1" w:lastRow="0" w:firstColumn="1" w:lastColumn="0" w:noHBand="0" w:noVBand="1"/>
        <w:tblCaption w:val="Oczekiwania w stosunku do stron publicznych wg kryterium ważności w grupie osoby z niepełnosprawnościami"/>
        <w:tblDescription w:val="Oczekiwania w stosunku do stron publicznych wg kryterium ważności w grupie osoby z niepełnosprawnościami"/>
      </w:tblPr>
      <w:tblGrid>
        <w:gridCol w:w="1066"/>
        <w:gridCol w:w="1502"/>
        <w:gridCol w:w="1286"/>
        <w:gridCol w:w="1095"/>
        <w:gridCol w:w="1307"/>
        <w:gridCol w:w="1333"/>
        <w:gridCol w:w="1223"/>
        <w:gridCol w:w="1072"/>
        <w:gridCol w:w="1290"/>
        <w:gridCol w:w="1413"/>
        <w:gridCol w:w="1253"/>
        <w:gridCol w:w="1219"/>
      </w:tblGrid>
      <w:tr w:rsidR="00BA771C" w:rsidRPr="00BF6615" w14:paraId="65192F43" w14:textId="77777777">
        <w:trPr>
          <w:cnfStyle w:val="100000000000" w:firstRow="1" w:lastRow="0" w:firstColumn="0" w:lastColumn="0" w:oddVBand="0" w:evenVBand="0" w:oddHBand="0" w:evenHBand="0" w:firstRowFirstColumn="0" w:firstRowLastColumn="0" w:lastRowFirstColumn="0" w:lastRowLastColumn="0"/>
          <w:trHeight w:val="3480"/>
        </w:trPr>
        <w:tc>
          <w:tcPr>
            <w:tcW w:w="1066" w:type="dxa"/>
            <w:hideMark/>
          </w:tcPr>
          <w:p w14:paraId="6CF197FA" w14:textId="77777777" w:rsidR="00B00A6D" w:rsidRPr="00BF6615" w:rsidRDefault="00B00A6D" w:rsidP="007E26B5">
            <w:pPr>
              <w:rPr>
                <w:rFonts w:ascii="Times New Roman" w:hAnsi="Times New Roman"/>
                <w:sz w:val="22"/>
                <w:lang w:eastAsia="pl-PL"/>
              </w:rPr>
            </w:pPr>
            <w:r w:rsidRPr="00BF6615">
              <w:rPr>
                <w:sz w:val="22"/>
                <w:lang w:eastAsia="pl-PL"/>
              </w:rPr>
              <w:t>Ocena</w:t>
            </w:r>
          </w:p>
        </w:tc>
        <w:tc>
          <w:tcPr>
            <w:tcW w:w="1502" w:type="dxa"/>
            <w:hideMark/>
          </w:tcPr>
          <w:p w14:paraId="0B6053C0" w14:textId="77777777" w:rsidR="00B00A6D" w:rsidRPr="00BF6615" w:rsidRDefault="00B00A6D" w:rsidP="007E26B5">
            <w:pPr>
              <w:rPr>
                <w:sz w:val="22"/>
                <w:lang w:eastAsia="pl-PL"/>
              </w:rPr>
            </w:pPr>
            <w:r w:rsidRPr="00BF6615">
              <w:rPr>
                <w:sz w:val="22"/>
                <w:lang w:eastAsia="pl-PL"/>
              </w:rPr>
              <w:t>Łatwość przeglądania poszczególnych podstron</w:t>
            </w:r>
          </w:p>
        </w:tc>
        <w:tc>
          <w:tcPr>
            <w:tcW w:w="1286" w:type="dxa"/>
            <w:hideMark/>
          </w:tcPr>
          <w:p w14:paraId="09799F08" w14:textId="77777777" w:rsidR="00B00A6D" w:rsidRPr="00BF6615" w:rsidRDefault="00B00A6D" w:rsidP="007E26B5">
            <w:pPr>
              <w:rPr>
                <w:sz w:val="22"/>
                <w:lang w:eastAsia="pl-PL"/>
              </w:rPr>
            </w:pPr>
            <w:r w:rsidRPr="00BF6615">
              <w:rPr>
                <w:sz w:val="22"/>
                <w:lang w:eastAsia="pl-PL"/>
              </w:rPr>
              <w:t>Przejrzystość informacji</w:t>
            </w:r>
          </w:p>
        </w:tc>
        <w:tc>
          <w:tcPr>
            <w:tcW w:w="1095" w:type="dxa"/>
            <w:hideMark/>
          </w:tcPr>
          <w:p w14:paraId="19D6A4D0" w14:textId="77777777" w:rsidR="00B00A6D" w:rsidRPr="00BF6615" w:rsidRDefault="00B00A6D" w:rsidP="007E26B5">
            <w:pPr>
              <w:rPr>
                <w:sz w:val="22"/>
                <w:lang w:eastAsia="pl-PL"/>
              </w:rPr>
            </w:pPr>
            <w:r w:rsidRPr="00BF6615">
              <w:rPr>
                <w:sz w:val="22"/>
                <w:lang w:eastAsia="pl-PL"/>
              </w:rPr>
              <w:t>Treści napisane w sposób zrozumiały</w:t>
            </w:r>
          </w:p>
        </w:tc>
        <w:tc>
          <w:tcPr>
            <w:tcW w:w="1307" w:type="dxa"/>
            <w:hideMark/>
          </w:tcPr>
          <w:p w14:paraId="5A7D8E29" w14:textId="77777777" w:rsidR="00B00A6D" w:rsidRPr="00BF6615" w:rsidRDefault="00B00A6D" w:rsidP="007E26B5">
            <w:pPr>
              <w:rPr>
                <w:sz w:val="22"/>
                <w:lang w:eastAsia="pl-PL"/>
              </w:rPr>
            </w:pPr>
            <w:r w:rsidRPr="00BF6615">
              <w:rPr>
                <w:sz w:val="22"/>
                <w:lang w:eastAsia="pl-PL"/>
              </w:rPr>
              <w:t>Dostępność na różnych urządzeniach</w:t>
            </w:r>
          </w:p>
        </w:tc>
        <w:tc>
          <w:tcPr>
            <w:tcW w:w="1333" w:type="dxa"/>
            <w:hideMark/>
          </w:tcPr>
          <w:p w14:paraId="1DC3A97E" w14:textId="77777777" w:rsidR="00B00A6D" w:rsidRPr="00BF6615" w:rsidRDefault="00B00A6D" w:rsidP="007E26B5">
            <w:pPr>
              <w:rPr>
                <w:sz w:val="22"/>
                <w:lang w:eastAsia="pl-PL"/>
              </w:rPr>
            </w:pPr>
            <w:r w:rsidRPr="00BF6615">
              <w:rPr>
                <w:sz w:val="22"/>
                <w:lang w:eastAsia="pl-PL"/>
              </w:rPr>
              <w:t>Ułatwienia dostępności (np. możliwość powiększenia tekstu, zmiany kolorów, itp.)</w:t>
            </w:r>
          </w:p>
        </w:tc>
        <w:tc>
          <w:tcPr>
            <w:tcW w:w="1223" w:type="dxa"/>
            <w:hideMark/>
          </w:tcPr>
          <w:p w14:paraId="7649FE24" w14:textId="77777777" w:rsidR="00B00A6D" w:rsidRPr="00BF6615" w:rsidRDefault="00B00A6D" w:rsidP="007E26B5">
            <w:pPr>
              <w:rPr>
                <w:sz w:val="22"/>
                <w:lang w:eastAsia="pl-PL"/>
              </w:rPr>
            </w:pPr>
            <w:r w:rsidRPr="00BF6615">
              <w:rPr>
                <w:sz w:val="22"/>
                <w:lang w:eastAsia="pl-PL"/>
              </w:rPr>
              <w:t>Zrozumiałe ostrzeżenia o błędnym wypełnieniu formularzy oraz propozycje poprawy</w:t>
            </w:r>
          </w:p>
        </w:tc>
        <w:tc>
          <w:tcPr>
            <w:tcW w:w="1072" w:type="dxa"/>
            <w:hideMark/>
          </w:tcPr>
          <w:p w14:paraId="0FA7B433" w14:textId="77777777" w:rsidR="00B00A6D" w:rsidRPr="00BF6615" w:rsidRDefault="00B00A6D" w:rsidP="007E26B5">
            <w:pPr>
              <w:rPr>
                <w:sz w:val="22"/>
                <w:lang w:eastAsia="pl-PL"/>
              </w:rPr>
            </w:pPr>
            <w:r w:rsidRPr="00BF6615">
              <w:rPr>
                <w:sz w:val="22"/>
                <w:lang w:eastAsia="pl-PL"/>
              </w:rPr>
              <w:t>Możliwość łatwego kontaktu z urzędem</w:t>
            </w:r>
          </w:p>
        </w:tc>
        <w:tc>
          <w:tcPr>
            <w:tcW w:w="1290" w:type="dxa"/>
            <w:hideMark/>
          </w:tcPr>
          <w:p w14:paraId="2FB8CB97" w14:textId="77777777" w:rsidR="00B00A6D" w:rsidRPr="00BF6615" w:rsidRDefault="00B00A6D" w:rsidP="007E26B5">
            <w:pPr>
              <w:rPr>
                <w:sz w:val="22"/>
                <w:lang w:eastAsia="pl-PL"/>
              </w:rPr>
            </w:pPr>
            <w:r w:rsidRPr="00BF6615">
              <w:rPr>
                <w:sz w:val="22"/>
                <w:lang w:eastAsia="pl-PL"/>
              </w:rPr>
              <w:t>Logiczna struktura strony internetowej</w:t>
            </w:r>
          </w:p>
        </w:tc>
        <w:tc>
          <w:tcPr>
            <w:tcW w:w="1413" w:type="dxa"/>
            <w:hideMark/>
          </w:tcPr>
          <w:p w14:paraId="5F672922" w14:textId="77777777" w:rsidR="00B00A6D" w:rsidRPr="00BF6615" w:rsidRDefault="00B00A6D" w:rsidP="007E26B5">
            <w:pPr>
              <w:rPr>
                <w:sz w:val="22"/>
                <w:lang w:eastAsia="pl-PL"/>
              </w:rPr>
            </w:pPr>
            <w:r w:rsidRPr="00BF6615">
              <w:rPr>
                <w:sz w:val="22"/>
                <w:lang w:eastAsia="pl-PL"/>
              </w:rPr>
              <w:t>Zrozumiałe materiały multimedialne i graficzne</w:t>
            </w:r>
          </w:p>
        </w:tc>
        <w:tc>
          <w:tcPr>
            <w:tcW w:w="1253" w:type="dxa"/>
            <w:hideMark/>
          </w:tcPr>
          <w:p w14:paraId="13A1EFEC" w14:textId="77777777" w:rsidR="00B00A6D" w:rsidRPr="00BF6615" w:rsidRDefault="00B00A6D" w:rsidP="007E26B5">
            <w:pPr>
              <w:rPr>
                <w:sz w:val="22"/>
                <w:lang w:eastAsia="pl-PL"/>
              </w:rPr>
            </w:pPr>
            <w:r w:rsidRPr="00BF6615">
              <w:rPr>
                <w:sz w:val="22"/>
                <w:lang w:eastAsia="pl-PL"/>
              </w:rPr>
              <w:t>Tłumaczenie treści na Polski język migowy (PJM)</w:t>
            </w:r>
          </w:p>
        </w:tc>
        <w:tc>
          <w:tcPr>
            <w:tcW w:w="1219" w:type="dxa"/>
            <w:hideMark/>
          </w:tcPr>
          <w:p w14:paraId="467DD9CC" w14:textId="77777777" w:rsidR="00B00A6D" w:rsidRPr="00BF6615" w:rsidRDefault="00B00A6D" w:rsidP="007E26B5">
            <w:pPr>
              <w:rPr>
                <w:sz w:val="22"/>
                <w:lang w:eastAsia="pl-PL"/>
              </w:rPr>
            </w:pPr>
            <w:r w:rsidRPr="00BF6615">
              <w:rPr>
                <w:sz w:val="22"/>
                <w:lang w:eastAsia="pl-PL"/>
              </w:rPr>
              <w:t>Informacje w tekście łatwym do czytania i zrozumienia (ETR)</w:t>
            </w:r>
          </w:p>
        </w:tc>
      </w:tr>
      <w:tr w:rsidR="00BA771C" w:rsidRPr="00BF6615" w14:paraId="44C0614D" w14:textId="77777777" w:rsidTr="003636E6">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12371A79" w14:textId="77777777" w:rsidR="00B00A6D" w:rsidRPr="00BF6615" w:rsidRDefault="00B00A6D" w:rsidP="007E26B5">
            <w:pPr>
              <w:rPr>
                <w:lang w:eastAsia="pl-PL"/>
              </w:rPr>
            </w:pPr>
            <w:r w:rsidRPr="00BF6615">
              <w:rPr>
                <w:lang w:eastAsia="pl-PL"/>
              </w:rPr>
              <w:t xml:space="preserve">bardzo ważne </w:t>
            </w:r>
          </w:p>
        </w:tc>
        <w:tc>
          <w:tcPr>
            <w:tcW w:w="1502" w:type="dxa"/>
          </w:tcPr>
          <w:p w14:paraId="66FF5478" w14:textId="462FA667" w:rsidR="00B00A6D" w:rsidRPr="00BF6615" w:rsidRDefault="00515EC9" w:rsidP="007E26B5">
            <w:pPr>
              <w:rPr>
                <w:lang w:eastAsia="pl-PL"/>
              </w:rPr>
            </w:pPr>
            <w:r w:rsidRPr="00BF6615">
              <w:rPr>
                <w:lang w:eastAsia="pl-PL"/>
              </w:rPr>
              <w:t>59%</w:t>
            </w:r>
          </w:p>
        </w:tc>
        <w:tc>
          <w:tcPr>
            <w:tcW w:w="1286" w:type="dxa"/>
          </w:tcPr>
          <w:p w14:paraId="6C58687E" w14:textId="48754650" w:rsidR="00B00A6D" w:rsidRPr="00BF6615" w:rsidRDefault="000B1225" w:rsidP="007E26B5">
            <w:pPr>
              <w:rPr>
                <w:lang w:eastAsia="pl-PL"/>
              </w:rPr>
            </w:pPr>
            <w:r w:rsidRPr="00BF6615">
              <w:rPr>
                <w:lang w:eastAsia="pl-PL"/>
              </w:rPr>
              <w:t>61%</w:t>
            </w:r>
          </w:p>
        </w:tc>
        <w:tc>
          <w:tcPr>
            <w:tcW w:w="1095" w:type="dxa"/>
          </w:tcPr>
          <w:p w14:paraId="16AD8F01" w14:textId="67845436" w:rsidR="00B00A6D" w:rsidRPr="00BF6615" w:rsidRDefault="00165110" w:rsidP="007E26B5">
            <w:pPr>
              <w:rPr>
                <w:lang w:eastAsia="pl-PL"/>
              </w:rPr>
            </w:pPr>
            <w:r w:rsidRPr="00BF6615">
              <w:rPr>
                <w:lang w:eastAsia="pl-PL"/>
              </w:rPr>
              <w:t>60%</w:t>
            </w:r>
          </w:p>
        </w:tc>
        <w:tc>
          <w:tcPr>
            <w:tcW w:w="1307" w:type="dxa"/>
          </w:tcPr>
          <w:p w14:paraId="1B53DC21" w14:textId="490BED05" w:rsidR="00B00A6D" w:rsidRPr="00BF6615" w:rsidRDefault="009F3B2E" w:rsidP="007E26B5">
            <w:pPr>
              <w:rPr>
                <w:lang w:eastAsia="pl-PL"/>
              </w:rPr>
            </w:pPr>
            <w:r w:rsidRPr="00BF6615">
              <w:rPr>
                <w:lang w:eastAsia="pl-PL"/>
              </w:rPr>
              <w:t>39%</w:t>
            </w:r>
          </w:p>
        </w:tc>
        <w:tc>
          <w:tcPr>
            <w:tcW w:w="1333" w:type="dxa"/>
          </w:tcPr>
          <w:p w14:paraId="7B308B64" w14:textId="5139FC84" w:rsidR="00B00A6D" w:rsidRPr="00BF6615" w:rsidRDefault="005C70FB" w:rsidP="007E26B5">
            <w:pPr>
              <w:rPr>
                <w:lang w:eastAsia="pl-PL"/>
              </w:rPr>
            </w:pPr>
            <w:r w:rsidRPr="00BF6615">
              <w:rPr>
                <w:lang w:eastAsia="pl-PL"/>
              </w:rPr>
              <w:t>31%</w:t>
            </w:r>
          </w:p>
        </w:tc>
        <w:tc>
          <w:tcPr>
            <w:tcW w:w="1223" w:type="dxa"/>
          </w:tcPr>
          <w:p w14:paraId="10607E62" w14:textId="510AFFC7" w:rsidR="00B00A6D" w:rsidRPr="00BF6615" w:rsidRDefault="00C966F8" w:rsidP="007E26B5">
            <w:pPr>
              <w:rPr>
                <w:lang w:eastAsia="pl-PL"/>
              </w:rPr>
            </w:pPr>
            <w:r w:rsidRPr="00BF6615">
              <w:rPr>
                <w:lang w:eastAsia="pl-PL"/>
              </w:rPr>
              <w:t>52%</w:t>
            </w:r>
          </w:p>
        </w:tc>
        <w:tc>
          <w:tcPr>
            <w:tcW w:w="1072" w:type="dxa"/>
          </w:tcPr>
          <w:p w14:paraId="60DD1D3D" w14:textId="71B570E6" w:rsidR="00B00A6D" w:rsidRPr="00BF6615" w:rsidRDefault="00B35287" w:rsidP="007E26B5">
            <w:pPr>
              <w:rPr>
                <w:lang w:eastAsia="pl-PL"/>
              </w:rPr>
            </w:pPr>
            <w:r w:rsidRPr="00BF6615">
              <w:rPr>
                <w:lang w:eastAsia="pl-PL"/>
              </w:rPr>
              <w:t>62%</w:t>
            </w:r>
          </w:p>
        </w:tc>
        <w:tc>
          <w:tcPr>
            <w:tcW w:w="1290" w:type="dxa"/>
          </w:tcPr>
          <w:p w14:paraId="1DB78A60" w14:textId="2BDB7623" w:rsidR="00B00A6D" w:rsidRPr="00BF6615" w:rsidRDefault="00B35287" w:rsidP="007E26B5">
            <w:pPr>
              <w:rPr>
                <w:lang w:eastAsia="pl-PL"/>
              </w:rPr>
            </w:pPr>
            <w:r w:rsidRPr="00BF6615">
              <w:rPr>
                <w:lang w:eastAsia="pl-PL"/>
              </w:rPr>
              <w:t>55%</w:t>
            </w:r>
          </w:p>
        </w:tc>
        <w:tc>
          <w:tcPr>
            <w:tcW w:w="1413" w:type="dxa"/>
          </w:tcPr>
          <w:p w14:paraId="254436DB" w14:textId="1F378B13" w:rsidR="00B00A6D" w:rsidRPr="00BF6615" w:rsidRDefault="00B35287" w:rsidP="007E26B5">
            <w:pPr>
              <w:rPr>
                <w:lang w:eastAsia="pl-PL"/>
              </w:rPr>
            </w:pPr>
            <w:r w:rsidRPr="00BF6615">
              <w:rPr>
                <w:lang w:eastAsia="pl-PL"/>
              </w:rPr>
              <w:t>39%</w:t>
            </w:r>
          </w:p>
        </w:tc>
        <w:tc>
          <w:tcPr>
            <w:tcW w:w="1253" w:type="dxa"/>
          </w:tcPr>
          <w:p w14:paraId="44F928F4" w14:textId="3E8EF996" w:rsidR="00B00A6D" w:rsidRPr="00BF6615" w:rsidRDefault="00B35287" w:rsidP="007E26B5">
            <w:pPr>
              <w:rPr>
                <w:lang w:eastAsia="pl-PL"/>
              </w:rPr>
            </w:pPr>
            <w:r w:rsidRPr="00BF6615">
              <w:rPr>
                <w:lang w:eastAsia="pl-PL"/>
              </w:rPr>
              <w:t>22%</w:t>
            </w:r>
          </w:p>
        </w:tc>
        <w:tc>
          <w:tcPr>
            <w:tcW w:w="1219" w:type="dxa"/>
          </w:tcPr>
          <w:p w14:paraId="25A4F7BA" w14:textId="63E21D68" w:rsidR="00B00A6D" w:rsidRPr="00BF6615" w:rsidRDefault="00531A81" w:rsidP="007E26B5">
            <w:pPr>
              <w:rPr>
                <w:lang w:eastAsia="pl-PL"/>
              </w:rPr>
            </w:pPr>
            <w:r w:rsidRPr="00BF6615">
              <w:rPr>
                <w:lang w:eastAsia="pl-PL"/>
              </w:rPr>
              <w:t>44%</w:t>
            </w:r>
          </w:p>
        </w:tc>
      </w:tr>
      <w:tr w:rsidR="00BA771C" w:rsidRPr="00BF6615" w14:paraId="0A3DB360" w14:textId="77777777" w:rsidTr="003636E6">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2361B2CC" w14:textId="77777777" w:rsidR="00B00A6D" w:rsidRPr="00BF6615" w:rsidRDefault="00B00A6D" w:rsidP="007E26B5">
            <w:pPr>
              <w:rPr>
                <w:lang w:eastAsia="pl-PL"/>
              </w:rPr>
            </w:pPr>
            <w:r w:rsidRPr="00BF6615">
              <w:rPr>
                <w:lang w:eastAsia="pl-PL"/>
              </w:rPr>
              <w:t>ważne</w:t>
            </w:r>
          </w:p>
        </w:tc>
        <w:tc>
          <w:tcPr>
            <w:tcW w:w="1502" w:type="dxa"/>
          </w:tcPr>
          <w:p w14:paraId="7614FE31" w14:textId="6EB0C2DB" w:rsidR="00B00A6D" w:rsidRPr="00BF6615" w:rsidRDefault="00531A81" w:rsidP="007E26B5">
            <w:pPr>
              <w:rPr>
                <w:lang w:eastAsia="pl-PL"/>
              </w:rPr>
            </w:pPr>
            <w:r w:rsidRPr="00BF6615">
              <w:rPr>
                <w:lang w:eastAsia="pl-PL"/>
              </w:rPr>
              <w:t>29%</w:t>
            </w:r>
          </w:p>
        </w:tc>
        <w:tc>
          <w:tcPr>
            <w:tcW w:w="1286" w:type="dxa"/>
          </w:tcPr>
          <w:p w14:paraId="1E68A5F3" w14:textId="2EFAD3CF" w:rsidR="00B00A6D" w:rsidRPr="00BF6615" w:rsidRDefault="00AF7E1A" w:rsidP="007E26B5">
            <w:pPr>
              <w:rPr>
                <w:lang w:eastAsia="pl-PL"/>
              </w:rPr>
            </w:pPr>
            <w:r w:rsidRPr="00BF6615">
              <w:rPr>
                <w:lang w:eastAsia="pl-PL"/>
              </w:rPr>
              <w:t>32%</w:t>
            </w:r>
          </w:p>
        </w:tc>
        <w:tc>
          <w:tcPr>
            <w:tcW w:w="1095" w:type="dxa"/>
          </w:tcPr>
          <w:p w14:paraId="2FB31067" w14:textId="2F4AD6A2" w:rsidR="00B00A6D" w:rsidRPr="00BF6615" w:rsidRDefault="00AF7E1A" w:rsidP="007E26B5">
            <w:pPr>
              <w:rPr>
                <w:lang w:eastAsia="pl-PL"/>
              </w:rPr>
            </w:pPr>
            <w:r w:rsidRPr="00BF6615">
              <w:rPr>
                <w:lang w:eastAsia="pl-PL"/>
              </w:rPr>
              <w:t>27%</w:t>
            </w:r>
          </w:p>
        </w:tc>
        <w:tc>
          <w:tcPr>
            <w:tcW w:w="1307" w:type="dxa"/>
          </w:tcPr>
          <w:p w14:paraId="038910F2" w14:textId="0933B135" w:rsidR="00B00A6D" w:rsidRPr="00BF6615" w:rsidRDefault="00AF7E1A" w:rsidP="007E26B5">
            <w:pPr>
              <w:rPr>
                <w:lang w:eastAsia="pl-PL"/>
              </w:rPr>
            </w:pPr>
            <w:r w:rsidRPr="00BF6615">
              <w:rPr>
                <w:lang w:eastAsia="pl-PL"/>
              </w:rPr>
              <w:t>41%</w:t>
            </w:r>
          </w:p>
        </w:tc>
        <w:tc>
          <w:tcPr>
            <w:tcW w:w="1333" w:type="dxa"/>
          </w:tcPr>
          <w:p w14:paraId="3C5BB901" w14:textId="1E9486B0" w:rsidR="00B00A6D" w:rsidRPr="00BF6615" w:rsidRDefault="00AF7E1A" w:rsidP="007E26B5">
            <w:pPr>
              <w:rPr>
                <w:lang w:eastAsia="pl-PL"/>
              </w:rPr>
            </w:pPr>
            <w:r w:rsidRPr="00BF6615">
              <w:rPr>
                <w:lang w:eastAsia="pl-PL"/>
              </w:rPr>
              <w:t>33%</w:t>
            </w:r>
          </w:p>
        </w:tc>
        <w:tc>
          <w:tcPr>
            <w:tcW w:w="1223" w:type="dxa"/>
          </w:tcPr>
          <w:p w14:paraId="25D531D5" w14:textId="1626290F" w:rsidR="00B00A6D" w:rsidRPr="00BF6615" w:rsidRDefault="000C142D" w:rsidP="007E26B5">
            <w:pPr>
              <w:rPr>
                <w:lang w:eastAsia="pl-PL"/>
              </w:rPr>
            </w:pPr>
            <w:r w:rsidRPr="00BF6615">
              <w:rPr>
                <w:lang w:eastAsia="pl-PL"/>
              </w:rPr>
              <w:t>35%</w:t>
            </w:r>
          </w:p>
        </w:tc>
        <w:tc>
          <w:tcPr>
            <w:tcW w:w="1072" w:type="dxa"/>
          </w:tcPr>
          <w:p w14:paraId="7EE58361" w14:textId="6DF0AE60" w:rsidR="00B00A6D" w:rsidRPr="00BF6615" w:rsidRDefault="000C142D" w:rsidP="007E26B5">
            <w:pPr>
              <w:rPr>
                <w:lang w:eastAsia="pl-PL"/>
              </w:rPr>
            </w:pPr>
            <w:r w:rsidRPr="00BF6615">
              <w:rPr>
                <w:lang w:eastAsia="pl-PL"/>
              </w:rPr>
              <w:t>26%</w:t>
            </w:r>
          </w:p>
        </w:tc>
        <w:tc>
          <w:tcPr>
            <w:tcW w:w="1290" w:type="dxa"/>
          </w:tcPr>
          <w:p w14:paraId="45EE199F" w14:textId="798A6180" w:rsidR="00B00A6D" w:rsidRPr="00BF6615" w:rsidRDefault="000C142D" w:rsidP="007E26B5">
            <w:pPr>
              <w:rPr>
                <w:lang w:eastAsia="pl-PL"/>
              </w:rPr>
            </w:pPr>
            <w:r w:rsidRPr="00BF6615">
              <w:rPr>
                <w:lang w:eastAsia="pl-PL"/>
              </w:rPr>
              <w:t>30%</w:t>
            </w:r>
          </w:p>
        </w:tc>
        <w:tc>
          <w:tcPr>
            <w:tcW w:w="1413" w:type="dxa"/>
          </w:tcPr>
          <w:p w14:paraId="5A59CC7D" w14:textId="7CB49457" w:rsidR="00B00A6D" w:rsidRPr="00BF6615" w:rsidRDefault="000C142D" w:rsidP="007E26B5">
            <w:pPr>
              <w:rPr>
                <w:lang w:eastAsia="pl-PL"/>
              </w:rPr>
            </w:pPr>
            <w:r w:rsidRPr="00BF6615">
              <w:rPr>
                <w:lang w:eastAsia="pl-PL"/>
              </w:rPr>
              <w:t>31%</w:t>
            </w:r>
          </w:p>
        </w:tc>
        <w:tc>
          <w:tcPr>
            <w:tcW w:w="1253" w:type="dxa"/>
          </w:tcPr>
          <w:p w14:paraId="4206CE8C" w14:textId="6583D2A4" w:rsidR="00B00A6D" w:rsidRPr="00BF6615" w:rsidRDefault="000C142D" w:rsidP="007E26B5">
            <w:pPr>
              <w:rPr>
                <w:lang w:eastAsia="pl-PL"/>
              </w:rPr>
            </w:pPr>
            <w:r w:rsidRPr="00BF6615">
              <w:rPr>
                <w:lang w:eastAsia="pl-PL"/>
              </w:rPr>
              <w:t>19%</w:t>
            </w:r>
          </w:p>
        </w:tc>
        <w:tc>
          <w:tcPr>
            <w:tcW w:w="1219" w:type="dxa"/>
          </w:tcPr>
          <w:p w14:paraId="1A2EA35C" w14:textId="30655215" w:rsidR="00B00A6D" w:rsidRPr="00BF6615" w:rsidRDefault="00475DFC" w:rsidP="007E26B5">
            <w:pPr>
              <w:rPr>
                <w:lang w:eastAsia="pl-PL"/>
              </w:rPr>
            </w:pPr>
            <w:r w:rsidRPr="00BF6615">
              <w:rPr>
                <w:lang w:eastAsia="pl-PL"/>
              </w:rPr>
              <w:t>35%</w:t>
            </w:r>
          </w:p>
        </w:tc>
      </w:tr>
      <w:tr w:rsidR="00BA771C" w:rsidRPr="00BF6615" w14:paraId="0F843B40" w14:textId="77777777" w:rsidTr="003636E6">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7C173121" w14:textId="77777777" w:rsidR="00B00A6D" w:rsidRPr="00BF6615" w:rsidRDefault="00B00A6D" w:rsidP="007E26B5">
            <w:pPr>
              <w:rPr>
                <w:lang w:eastAsia="pl-PL"/>
              </w:rPr>
            </w:pPr>
            <w:r w:rsidRPr="00BF6615">
              <w:rPr>
                <w:lang w:eastAsia="pl-PL"/>
              </w:rPr>
              <w:t>neutralne</w:t>
            </w:r>
          </w:p>
        </w:tc>
        <w:tc>
          <w:tcPr>
            <w:tcW w:w="1502" w:type="dxa"/>
          </w:tcPr>
          <w:p w14:paraId="20C4B53A" w14:textId="03926D84" w:rsidR="00B00A6D" w:rsidRPr="00BF6615" w:rsidRDefault="00755AA9" w:rsidP="007E26B5">
            <w:pPr>
              <w:rPr>
                <w:lang w:eastAsia="pl-PL"/>
              </w:rPr>
            </w:pPr>
            <w:r w:rsidRPr="00BF6615">
              <w:rPr>
                <w:lang w:eastAsia="pl-PL"/>
              </w:rPr>
              <w:t>11%</w:t>
            </w:r>
          </w:p>
        </w:tc>
        <w:tc>
          <w:tcPr>
            <w:tcW w:w="1286" w:type="dxa"/>
          </w:tcPr>
          <w:p w14:paraId="35693DD3" w14:textId="38FD5EB6" w:rsidR="00B00A6D" w:rsidRPr="00BF6615" w:rsidRDefault="00755AA9" w:rsidP="007E26B5">
            <w:pPr>
              <w:rPr>
                <w:lang w:eastAsia="pl-PL"/>
              </w:rPr>
            </w:pPr>
            <w:r w:rsidRPr="00BF6615">
              <w:rPr>
                <w:lang w:eastAsia="pl-PL"/>
              </w:rPr>
              <w:t>7%</w:t>
            </w:r>
          </w:p>
        </w:tc>
        <w:tc>
          <w:tcPr>
            <w:tcW w:w="1095" w:type="dxa"/>
          </w:tcPr>
          <w:p w14:paraId="217593A2" w14:textId="79385D46" w:rsidR="00B00A6D" w:rsidRPr="00BF6615" w:rsidRDefault="00755AA9" w:rsidP="007E26B5">
            <w:pPr>
              <w:rPr>
                <w:lang w:eastAsia="pl-PL"/>
              </w:rPr>
            </w:pPr>
            <w:r w:rsidRPr="00BF6615">
              <w:rPr>
                <w:lang w:eastAsia="pl-PL"/>
              </w:rPr>
              <w:t>13%</w:t>
            </w:r>
          </w:p>
        </w:tc>
        <w:tc>
          <w:tcPr>
            <w:tcW w:w="1307" w:type="dxa"/>
          </w:tcPr>
          <w:p w14:paraId="36AD685F" w14:textId="5B83047A" w:rsidR="00B00A6D" w:rsidRPr="00BF6615" w:rsidRDefault="00755AA9" w:rsidP="007E26B5">
            <w:pPr>
              <w:rPr>
                <w:lang w:eastAsia="pl-PL"/>
              </w:rPr>
            </w:pPr>
            <w:r w:rsidRPr="00BF6615">
              <w:rPr>
                <w:lang w:eastAsia="pl-PL"/>
              </w:rPr>
              <w:t>13%</w:t>
            </w:r>
          </w:p>
        </w:tc>
        <w:tc>
          <w:tcPr>
            <w:tcW w:w="1333" w:type="dxa"/>
          </w:tcPr>
          <w:p w14:paraId="3589D908" w14:textId="15B0372A" w:rsidR="00B00A6D" w:rsidRPr="00BF6615" w:rsidRDefault="00755AA9" w:rsidP="007E26B5">
            <w:pPr>
              <w:rPr>
                <w:lang w:eastAsia="pl-PL"/>
              </w:rPr>
            </w:pPr>
            <w:r w:rsidRPr="00BF6615">
              <w:rPr>
                <w:lang w:eastAsia="pl-PL"/>
              </w:rPr>
              <w:t>25%</w:t>
            </w:r>
          </w:p>
        </w:tc>
        <w:tc>
          <w:tcPr>
            <w:tcW w:w="1223" w:type="dxa"/>
          </w:tcPr>
          <w:p w14:paraId="0457DD8E" w14:textId="6F2DD2A2" w:rsidR="00B00A6D" w:rsidRPr="00BF6615" w:rsidRDefault="00755AA9" w:rsidP="007E26B5">
            <w:pPr>
              <w:rPr>
                <w:lang w:eastAsia="pl-PL"/>
              </w:rPr>
            </w:pPr>
            <w:r w:rsidRPr="00BF6615">
              <w:rPr>
                <w:lang w:eastAsia="pl-PL"/>
              </w:rPr>
              <w:t>12%</w:t>
            </w:r>
          </w:p>
        </w:tc>
        <w:tc>
          <w:tcPr>
            <w:tcW w:w="1072" w:type="dxa"/>
          </w:tcPr>
          <w:p w14:paraId="39DB354D" w14:textId="40F9CBE6" w:rsidR="00B00A6D" w:rsidRPr="00BF6615" w:rsidRDefault="00AB5996" w:rsidP="007E26B5">
            <w:pPr>
              <w:rPr>
                <w:lang w:eastAsia="pl-PL"/>
              </w:rPr>
            </w:pPr>
            <w:r w:rsidRPr="00BF6615">
              <w:rPr>
                <w:lang w:eastAsia="pl-PL"/>
              </w:rPr>
              <w:t>12%</w:t>
            </w:r>
          </w:p>
        </w:tc>
        <w:tc>
          <w:tcPr>
            <w:tcW w:w="1290" w:type="dxa"/>
          </w:tcPr>
          <w:p w14:paraId="2998A4F7" w14:textId="4D7D17E3" w:rsidR="00B00A6D" w:rsidRPr="00BF6615" w:rsidRDefault="00AB5996" w:rsidP="007E26B5">
            <w:pPr>
              <w:rPr>
                <w:lang w:eastAsia="pl-PL"/>
              </w:rPr>
            </w:pPr>
            <w:r w:rsidRPr="00BF6615">
              <w:rPr>
                <w:lang w:eastAsia="pl-PL"/>
              </w:rPr>
              <w:t>14%</w:t>
            </w:r>
          </w:p>
        </w:tc>
        <w:tc>
          <w:tcPr>
            <w:tcW w:w="1413" w:type="dxa"/>
          </w:tcPr>
          <w:p w14:paraId="5FFD50F9" w14:textId="4100F995" w:rsidR="00B00A6D" w:rsidRPr="00BF6615" w:rsidRDefault="00AB5996" w:rsidP="007E26B5">
            <w:pPr>
              <w:rPr>
                <w:lang w:eastAsia="pl-PL"/>
              </w:rPr>
            </w:pPr>
            <w:r w:rsidRPr="00BF6615">
              <w:rPr>
                <w:lang w:eastAsia="pl-PL"/>
              </w:rPr>
              <w:t>19%</w:t>
            </w:r>
          </w:p>
        </w:tc>
        <w:tc>
          <w:tcPr>
            <w:tcW w:w="1253" w:type="dxa"/>
          </w:tcPr>
          <w:p w14:paraId="141857F8" w14:textId="43627EE2" w:rsidR="00B00A6D" w:rsidRPr="00BF6615" w:rsidRDefault="00AB5996" w:rsidP="007E26B5">
            <w:pPr>
              <w:rPr>
                <w:lang w:eastAsia="pl-PL"/>
              </w:rPr>
            </w:pPr>
            <w:r w:rsidRPr="00BF6615">
              <w:rPr>
                <w:lang w:eastAsia="pl-PL"/>
              </w:rPr>
              <w:t>29%</w:t>
            </w:r>
          </w:p>
        </w:tc>
        <w:tc>
          <w:tcPr>
            <w:tcW w:w="1219" w:type="dxa"/>
          </w:tcPr>
          <w:p w14:paraId="04F39412" w14:textId="4C924987" w:rsidR="00B00A6D" w:rsidRPr="00BF6615" w:rsidRDefault="00AB5996" w:rsidP="007E26B5">
            <w:pPr>
              <w:rPr>
                <w:lang w:eastAsia="pl-PL"/>
              </w:rPr>
            </w:pPr>
            <w:r w:rsidRPr="00BF6615">
              <w:rPr>
                <w:lang w:eastAsia="pl-PL"/>
              </w:rPr>
              <w:t>14%</w:t>
            </w:r>
          </w:p>
        </w:tc>
      </w:tr>
      <w:tr w:rsidR="00BA771C" w:rsidRPr="00BF6615" w14:paraId="206E5573" w14:textId="77777777" w:rsidTr="003636E6">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5EE1CF61" w14:textId="77777777" w:rsidR="00B00A6D" w:rsidRPr="00BF6615" w:rsidRDefault="00B00A6D" w:rsidP="007E26B5">
            <w:pPr>
              <w:rPr>
                <w:lang w:eastAsia="pl-PL"/>
              </w:rPr>
            </w:pPr>
            <w:r w:rsidRPr="00BF6615">
              <w:rPr>
                <w:lang w:eastAsia="pl-PL"/>
              </w:rPr>
              <w:t>mało ważne</w:t>
            </w:r>
          </w:p>
        </w:tc>
        <w:tc>
          <w:tcPr>
            <w:tcW w:w="1502" w:type="dxa"/>
          </w:tcPr>
          <w:p w14:paraId="17DDA0DF" w14:textId="0636D4F5" w:rsidR="00B00A6D" w:rsidRPr="00BF6615" w:rsidRDefault="00AC2EDE" w:rsidP="007E26B5">
            <w:pPr>
              <w:rPr>
                <w:lang w:eastAsia="pl-PL"/>
              </w:rPr>
            </w:pPr>
            <w:r w:rsidRPr="00BF6615">
              <w:rPr>
                <w:lang w:eastAsia="pl-PL"/>
              </w:rPr>
              <w:t>1%</w:t>
            </w:r>
          </w:p>
        </w:tc>
        <w:tc>
          <w:tcPr>
            <w:tcW w:w="1286" w:type="dxa"/>
          </w:tcPr>
          <w:p w14:paraId="2C713C51" w14:textId="5B535FDA" w:rsidR="00B00A6D" w:rsidRPr="00BF6615" w:rsidRDefault="00AC2EDE" w:rsidP="007E26B5">
            <w:pPr>
              <w:rPr>
                <w:lang w:eastAsia="pl-PL"/>
              </w:rPr>
            </w:pPr>
            <w:r w:rsidRPr="00BF6615">
              <w:rPr>
                <w:lang w:eastAsia="pl-PL"/>
              </w:rPr>
              <w:t>0%</w:t>
            </w:r>
          </w:p>
        </w:tc>
        <w:tc>
          <w:tcPr>
            <w:tcW w:w="1095" w:type="dxa"/>
          </w:tcPr>
          <w:p w14:paraId="0F23B6D6" w14:textId="60A30ABF" w:rsidR="00B00A6D" w:rsidRPr="00BF6615" w:rsidRDefault="00AC2EDE" w:rsidP="007E26B5">
            <w:pPr>
              <w:rPr>
                <w:lang w:eastAsia="pl-PL"/>
              </w:rPr>
            </w:pPr>
            <w:r w:rsidRPr="00BF6615">
              <w:rPr>
                <w:lang w:eastAsia="pl-PL"/>
              </w:rPr>
              <w:t>0%</w:t>
            </w:r>
          </w:p>
        </w:tc>
        <w:tc>
          <w:tcPr>
            <w:tcW w:w="1307" w:type="dxa"/>
          </w:tcPr>
          <w:p w14:paraId="6829E730" w14:textId="581953DE" w:rsidR="00B00A6D" w:rsidRPr="00BF6615" w:rsidRDefault="00AC2EDE" w:rsidP="007E26B5">
            <w:pPr>
              <w:rPr>
                <w:lang w:eastAsia="pl-PL"/>
              </w:rPr>
            </w:pPr>
            <w:r w:rsidRPr="00BF6615">
              <w:rPr>
                <w:lang w:eastAsia="pl-PL"/>
              </w:rPr>
              <w:t>6%</w:t>
            </w:r>
          </w:p>
        </w:tc>
        <w:tc>
          <w:tcPr>
            <w:tcW w:w="1333" w:type="dxa"/>
          </w:tcPr>
          <w:p w14:paraId="2A97062A" w14:textId="11354305" w:rsidR="00B00A6D" w:rsidRPr="00BF6615" w:rsidRDefault="005D2E38" w:rsidP="007E26B5">
            <w:pPr>
              <w:rPr>
                <w:lang w:eastAsia="pl-PL"/>
              </w:rPr>
            </w:pPr>
            <w:r w:rsidRPr="00BF6615">
              <w:rPr>
                <w:lang w:eastAsia="pl-PL"/>
              </w:rPr>
              <w:t>3%</w:t>
            </w:r>
          </w:p>
        </w:tc>
        <w:tc>
          <w:tcPr>
            <w:tcW w:w="1223" w:type="dxa"/>
          </w:tcPr>
          <w:p w14:paraId="7ED4380B" w14:textId="3EA64451" w:rsidR="00B00A6D" w:rsidRPr="00BF6615" w:rsidRDefault="005D2E38" w:rsidP="007E26B5">
            <w:pPr>
              <w:rPr>
                <w:lang w:eastAsia="pl-PL"/>
              </w:rPr>
            </w:pPr>
            <w:r w:rsidRPr="00BF6615">
              <w:rPr>
                <w:lang w:eastAsia="pl-PL"/>
              </w:rPr>
              <w:t>1%</w:t>
            </w:r>
          </w:p>
        </w:tc>
        <w:tc>
          <w:tcPr>
            <w:tcW w:w="1072" w:type="dxa"/>
          </w:tcPr>
          <w:p w14:paraId="2E770671" w14:textId="560DC8A6" w:rsidR="00B00A6D" w:rsidRPr="00BF6615" w:rsidRDefault="005D2E38" w:rsidP="007E26B5">
            <w:pPr>
              <w:rPr>
                <w:lang w:eastAsia="pl-PL"/>
              </w:rPr>
            </w:pPr>
            <w:r w:rsidRPr="00BF6615">
              <w:rPr>
                <w:lang w:eastAsia="pl-PL"/>
              </w:rPr>
              <w:t>0%</w:t>
            </w:r>
          </w:p>
        </w:tc>
        <w:tc>
          <w:tcPr>
            <w:tcW w:w="1290" w:type="dxa"/>
          </w:tcPr>
          <w:p w14:paraId="273EEE0D" w14:textId="092D1C7A" w:rsidR="00B00A6D" w:rsidRPr="00BF6615" w:rsidRDefault="005D2E38" w:rsidP="007E26B5">
            <w:pPr>
              <w:rPr>
                <w:lang w:eastAsia="pl-PL"/>
              </w:rPr>
            </w:pPr>
            <w:r w:rsidRPr="00BF6615">
              <w:rPr>
                <w:lang w:eastAsia="pl-PL"/>
              </w:rPr>
              <w:t>1%</w:t>
            </w:r>
          </w:p>
        </w:tc>
        <w:tc>
          <w:tcPr>
            <w:tcW w:w="1413" w:type="dxa"/>
          </w:tcPr>
          <w:p w14:paraId="343F29C3" w14:textId="73F69817" w:rsidR="00B00A6D" w:rsidRPr="00BF6615" w:rsidRDefault="005D2E38" w:rsidP="007E26B5">
            <w:pPr>
              <w:rPr>
                <w:lang w:eastAsia="pl-PL"/>
              </w:rPr>
            </w:pPr>
            <w:r w:rsidRPr="00BF6615">
              <w:rPr>
                <w:lang w:eastAsia="pl-PL"/>
              </w:rPr>
              <w:t>5%</w:t>
            </w:r>
          </w:p>
        </w:tc>
        <w:tc>
          <w:tcPr>
            <w:tcW w:w="1253" w:type="dxa"/>
          </w:tcPr>
          <w:p w14:paraId="7631EACA" w14:textId="749D24F5" w:rsidR="00B00A6D" w:rsidRPr="00BF6615" w:rsidRDefault="007317BF" w:rsidP="007E26B5">
            <w:pPr>
              <w:rPr>
                <w:lang w:eastAsia="pl-PL"/>
              </w:rPr>
            </w:pPr>
            <w:r w:rsidRPr="00BF6615">
              <w:rPr>
                <w:lang w:eastAsia="pl-PL"/>
              </w:rPr>
              <w:t>8%</w:t>
            </w:r>
          </w:p>
        </w:tc>
        <w:tc>
          <w:tcPr>
            <w:tcW w:w="1219" w:type="dxa"/>
          </w:tcPr>
          <w:p w14:paraId="74093620" w14:textId="4AD3928E" w:rsidR="00B00A6D" w:rsidRPr="00BF6615" w:rsidRDefault="007317BF" w:rsidP="007E26B5">
            <w:pPr>
              <w:rPr>
                <w:lang w:eastAsia="pl-PL"/>
              </w:rPr>
            </w:pPr>
            <w:r w:rsidRPr="00BF6615">
              <w:rPr>
                <w:lang w:eastAsia="pl-PL"/>
              </w:rPr>
              <w:t>2%</w:t>
            </w:r>
          </w:p>
        </w:tc>
      </w:tr>
      <w:tr w:rsidR="00BA771C" w:rsidRPr="00BF6615" w14:paraId="312A5568" w14:textId="77777777" w:rsidTr="003636E6">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43D0DEF0" w14:textId="77777777" w:rsidR="00B00A6D" w:rsidRPr="00BF6615" w:rsidRDefault="00B00A6D" w:rsidP="007E26B5">
            <w:pPr>
              <w:rPr>
                <w:lang w:eastAsia="pl-PL"/>
              </w:rPr>
            </w:pPr>
            <w:r w:rsidRPr="00BF6615">
              <w:rPr>
                <w:lang w:eastAsia="pl-PL"/>
              </w:rPr>
              <w:t>zupełnie nieważne</w:t>
            </w:r>
          </w:p>
        </w:tc>
        <w:tc>
          <w:tcPr>
            <w:tcW w:w="1502" w:type="dxa"/>
          </w:tcPr>
          <w:p w14:paraId="3F0585F0" w14:textId="7185D19B" w:rsidR="00B00A6D" w:rsidRPr="00BF6615" w:rsidRDefault="004D301C" w:rsidP="007E26B5">
            <w:pPr>
              <w:rPr>
                <w:lang w:eastAsia="pl-PL"/>
              </w:rPr>
            </w:pPr>
            <w:r w:rsidRPr="00BF6615">
              <w:rPr>
                <w:lang w:eastAsia="pl-PL"/>
              </w:rPr>
              <w:t>0%</w:t>
            </w:r>
          </w:p>
        </w:tc>
        <w:tc>
          <w:tcPr>
            <w:tcW w:w="1286" w:type="dxa"/>
          </w:tcPr>
          <w:p w14:paraId="51F01F7A" w14:textId="348E4C4E" w:rsidR="00B00A6D" w:rsidRPr="00BF6615" w:rsidRDefault="004D301C" w:rsidP="007E26B5">
            <w:pPr>
              <w:rPr>
                <w:lang w:eastAsia="pl-PL"/>
              </w:rPr>
            </w:pPr>
            <w:r w:rsidRPr="00BF6615">
              <w:rPr>
                <w:lang w:eastAsia="pl-PL"/>
              </w:rPr>
              <w:t>0%</w:t>
            </w:r>
          </w:p>
        </w:tc>
        <w:tc>
          <w:tcPr>
            <w:tcW w:w="1095" w:type="dxa"/>
          </w:tcPr>
          <w:p w14:paraId="03F47C9E" w14:textId="51D532C9" w:rsidR="00B00A6D" w:rsidRPr="00BF6615" w:rsidRDefault="004D301C" w:rsidP="007E26B5">
            <w:pPr>
              <w:rPr>
                <w:lang w:eastAsia="pl-PL"/>
              </w:rPr>
            </w:pPr>
            <w:r w:rsidRPr="00BF6615">
              <w:rPr>
                <w:lang w:eastAsia="pl-PL"/>
              </w:rPr>
              <w:t>0%</w:t>
            </w:r>
          </w:p>
        </w:tc>
        <w:tc>
          <w:tcPr>
            <w:tcW w:w="1307" w:type="dxa"/>
          </w:tcPr>
          <w:p w14:paraId="555D5F16" w14:textId="37646520" w:rsidR="00B00A6D" w:rsidRPr="00BF6615" w:rsidRDefault="004D301C" w:rsidP="007E26B5">
            <w:pPr>
              <w:rPr>
                <w:lang w:eastAsia="pl-PL"/>
              </w:rPr>
            </w:pPr>
            <w:r w:rsidRPr="00BF6615">
              <w:rPr>
                <w:lang w:eastAsia="pl-PL"/>
              </w:rPr>
              <w:t>1%</w:t>
            </w:r>
          </w:p>
        </w:tc>
        <w:tc>
          <w:tcPr>
            <w:tcW w:w="1333" w:type="dxa"/>
          </w:tcPr>
          <w:p w14:paraId="7A15B6D7" w14:textId="7DB3EDCC" w:rsidR="00B00A6D" w:rsidRPr="00BF6615" w:rsidRDefault="004D301C" w:rsidP="007E26B5">
            <w:pPr>
              <w:rPr>
                <w:lang w:eastAsia="pl-PL"/>
              </w:rPr>
            </w:pPr>
            <w:r w:rsidRPr="00BF6615">
              <w:rPr>
                <w:lang w:eastAsia="pl-PL"/>
              </w:rPr>
              <w:t>8%</w:t>
            </w:r>
          </w:p>
        </w:tc>
        <w:tc>
          <w:tcPr>
            <w:tcW w:w="1223" w:type="dxa"/>
          </w:tcPr>
          <w:p w14:paraId="2E144CDE" w14:textId="2CC54477" w:rsidR="00B00A6D" w:rsidRPr="00BF6615" w:rsidRDefault="004D301C" w:rsidP="007E26B5">
            <w:pPr>
              <w:rPr>
                <w:lang w:eastAsia="pl-PL"/>
              </w:rPr>
            </w:pPr>
            <w:r w:rsidRPr="00BF6615">
              <w:rPr>
                <w:lang w:eastAsia="pl-PL"/>
              </w:rPr>
              <w:t>0%</w:t>
            </w:r>
          </w:p>
        </w:tc>
        <w:tc>
          <w:tcPr>
            <w:tcW w:w="1072" w:type="dxa"/>
          </w:tcPr>
          <w:p w14:paraId="5BD5B6BD" w14:textId="5D82C93E" w:rsidR="00B00A6D" w:rsidRPr="00BF6615" w:rsidRDefault="004D301C" w:rsidP="007E26B5">
            <w:pPr>
              <w:rPr>
                <w:lang w:eastAsia="pl-PL"/>
              </w:rPr>
            </w:pPr>
            <w:r w:rsidRPr="00BF6615">
              <w:rPr>
                <w:lang w:eastAsia="pl-PL"/>
              </w:rPr>
              <w:t>0%</w:t>
            </w:r>
          </w:p>
        </w:tc>
        <w:tc>
          <w:tcPr>
            <w:tcW w:w="1290" w:type="dxa"/>
          </w:tcPr>
          <w:p w14:paraId="30D0658D" w14:textId="4AE3B662" w:rsidR="00B00A6D" w:rsidRPr="00BF6615" w:rsidRDefault="004D301C" w:rsidP="007E26B5">
            <w:pPr>
              <w:rPr>
                <w:lang w:eastAsia="pl-PL"/>
              </w:rPr>
            </w:pPr>
            <w:r w:rsidRPr="00BF6615">
              <w:rPr>
                <w:lang w:eastAsia="pl-PL"/>
              </w:rPr>
              <w:t>0%</w:t>
            </w:r>
          </w:p>
        </w:tc>
        <w:tc>
          <w:tcPr>
            <w:tcW w:w="1413" w:type="dxa"/>
          </w:tcPr>
          <w:p w14:paraId="45D4937C" w14:textId="29DBEAA5" w:rsidR="00B00A6D" w:rsidRPr="00BF6615" w:rsidRDefault="004D301C" w:rsidP="007E26B5">
            <w:pPr>
              <w:rPr>
                <w:lang w:eastAsia="pl-PL"/>
              </w:rPr>
            </w:pPr>
            <w:r w:rsidRPr="00BF6615">
              <w:rPr>
                <w:lang w:eastAsia="pl-PL"/>
              </w:rPr>
              <w:t>6%</w:t>
            </w:r>
          </w:p>
        </w:tc>
        <w:tc>
          <w:tcPr>
            <w:tcW w:w="1253" w:type="dxa"/>
          </w:tcPr>
          <w:p w14:paraId="072ADDE8" w14:textId="053EF245" w:rsidR="00B00A6D" w:rsidRPr="00BF6615" w:rsidRDefault="00A07172" w:rsidP="007E26B5">
            <w:pPr>
              <w:rPr>
                <w:lang w:eastAsia="pl-PL"/>
              </w:rPr>
            </w:pPr>
            <w:r w:rsidRPr="00BF6615">
              <w:rPr>
                <w:lang w:eastAsia="pl-PL"/>
              </w:rPr>
              <w:t>22%</w:t>
            </w:r>
          </w:p>
        </w:tc>
        <w:tc>
          <w:tcPr>
            <w:tcW w:w="1219" w:type="dxa"/>
          </w:tcPr>
          <w:p w14:paraId="128FC94D" w14:textId="0393A45A" w:rsidR="00B00A6D" w:rsidRPr="00BF6615" w:rsidRDefault="00A07172" w:rsidP="007E26B5">
            <w:pPr>
              <w:rPr>
                <w:lang w:eastAsia="pl-PL"/>
              </w:rPr>
            </w:pPr>
            <w:r w:rsidRPr="00BF6615">
              <w:rPr>
                <w:lang w:eastAsia="pl-PL"/>
              </w:rPr>
              <w:t>5%</w:t>
            </w:r>
          </w:p>
        </w:tc>
      </w:tr>
    </w:tbl>
    <w:p w14:paraId="401B46BB" w14:textId="77777777" w:rsidR="00B00A6D" w:rsidRPr="00BF6615" w:rsidRDefault="00B00A6D" w:rsidP="00FD0843">
      <w:r w:rsidRPr="00BF6615">
        <w:t>Źródło: opracowanie własne.</w:t>
      </w:r>
    </w:p>
    <w:p w14:paraId="6C3FA17C" w14:textId="77777777" w:rsidR="00B00A6D" w:rsidRPr="00BF6615" w:rsidRDefault="00B00A6D" w:rsidP="007E26B5"/>
    <w:p w14:paraId="66B89883" w14:textId="77777777" w:rsidR="00CA60D2" w:rsidRPr="00BF6615" w:rsidRDefault="00CA60D2" w:rsidP="007E26B5">
      <w:pPr>
        <w:sectPr w:rsidR="00CA60D2" w:rsidRPr="00BF6615" w:rsidSect="00CA60D2">
          <w:footerReference w:type="default" r:id="rId88"/>
          <w:pgSz w:w="15840" w:h="12240" w:orient="landscape"/>
          <w:pgMar w:top="1797" w:right="1440" w:bottom="1797" w:left="1440" w:header="720" w:footer="720" w:gutter="0"/>
          <w:cols w:space="720"/>
          <w:docGrid w:linePitch="360"/>
        </w:sectPr>
      </w:pPr>
    </w:p>
    <w:p w14:paraId="000D5BA2" w14:textId="77777777" w:rsidR="0087542F" w:rsidRPr="00BF6615" w:rsidRDefault="00B00A6D" w:rsidP="007E26B5">
      <w:r w:rsidRPr="00BF6615">
        <w:lastRenderedPageBreak/>
        <w:t>Na</w:t>
      </w:r>
      <w:r w:rsidR="00307011" w:rsidRPr="00BF6615">
        <w:t xml:space="preserve"> otwarte</w:t>
      </w:r>
      <w:r w:rsidRPr="00BF6615">
        <w:t xml:space="preserve"> pytanie </w:t>
      </w:r>
      <w:r w:rsidR="00307011" w:rsidRPr="00BF6615">
        <w:t>dot. tego, co</w:t>
      </w:r>
      <w:r w:rsidRPr="00BF6615">
        <w:t xml:space="preserve"> byłoby największym ułatwieniem w korzystaniu </w:t>
      </w:r>
      <w:r w:rsidR="005C212C" w:rsidRPr="00BF6615">
        <w:t>z</w:t>
      </w:r>
      <w:r w:rsidR="00D71FC9" w:rsidRPr="00BF6615">
        <w:t xml:space="preserve">e stron </w:t>
      </w:r>
      <w:r w:rsidRPr="00BF6615">
        <w:t>podmiotów publicznych</w:t>
      </w:r>
      <w:r w:rsidR="00307011" w:rsidRPr="00BF6615">
        <w:t xml:space="preserve"> wielu respondentów </w:t>
      </w:r>
      <w:r w:rsidR="00A86CDD" w:rsidRPr="00BF6615">
        <w:t xml:space="preserve">odpowiedziało „nie wiem”. </w:t>
      </w:r>
      <w:r w:rsidR="00C42269" w:rsidRPr="00BF6615">
        <w:t xml:space="preserve">Duża grupa osób wskazywała ponadto brak uwag związanych z użytkowaniem stron. </w:t>
      </w:r>
      <w:r w:rsidR="0087542F" w:rsidRPr="00BF6615">
        <w:t>Wśród sugestii wymieniano przede wszystkim następujące elementy:</w:t>
      </w:r>
    </w:p>
    <w:p w14:paraId="7A38D5CB" w14:textId="3C6AB897" w:rsidR="0087542F" w:rsidRPr="00BF6615" w:rsidRDefault="00801937">
      <w:pPr>
        <w:pStyle w:val="Akapitzlist"/>
        <w:numPr>
          <w:ilvl w:val="0"/>
          <w:numId w:val="78"/>
        </w:numPr>
      </w:pPr>
      <w:r w:rsidRPr="00BF6615">
        <w:t>Łatwość obsługi i intuicyjność: „</w:t>
      </w:r>
      <w:r w:rsidR="003F5429" w:rsidRPr="00BF6615">
        <w:t xml:space="preserve">łatwość znalezienia danego zagadnienia”, „jasny </w:t>
      </w:r>
      <w:r w:rsidR="008B0B0A" w:rsidRPr="00BF6615">
        <w:t>i</w:t>
      </w:r>
      <w:r w:rsidR="008B0B0A">
        <w:t> </w:t>
      </w:r>
      <w:r w:rsidR="003F5429" w:rsidRPr="00BF6615">
        <w:t>logiczny układ”, „prosta obsługa”.</w:t>
      </w:r>
    </w:p>
    <w:p w14:paraId="05F62610" w14:textId="18750B94" w:rsidR="006F4276" w:rsidRPr="00BF6615" w:rsidRDefault="00187046">
      <w:pPr>
        <w:pStyle w:val="Akapitzlist"/>
        <w:numPr>
          <w:ilvl w:val="0"/>
          <w:numId w:val="78"/>
        </w:numPr>
      </w:pPr>
      <w:r w:rsidRPr="00BF6615">
        <w:t>Zrozumiałe treści, jasny język</w:t>
      </w:r>
      <w:r w:rsidR="00056F23" w:rsidRPr="00BF6615">
        <w:t xml:space="preserve"> i rzetelność informacji</w:t>
      </w:r>
      <w:r w:rsidR="003F5429" w:rsidRPr="00BF6615">
        <w:t xml:space="preserve">: „przyjazny język, nieprzeładowana strona”, </w:t>
      </w:r>
      <w:r w:rsidRPr="00BF6615">
        <w:t>„</w:t>
      </w:r>
      <w:r w:rsidR="006F4276" w:rsidRPr="00BF6615">
        <w:t>jasność, przejrzystość i klarowność</w:t>
      </w:r>
      <w:r w:rsidR="00056F23" w:rsidRPr="00BF6615">
        <w:t>”.</w:t>
      </w:r>
    </w:p>
    <w:p w14:paraId="3A31399F" w14:textId="5B5D751D" w:rsidR="006F4276" w:rsidRPr="00BF6615" w:rsidRDefault="006F4276">
      <w:pPr>
        <w:pStyle w:val="Akapitzlist"/>
        <w:numPr>
          <w:ilvl w:val="0"/>
          <w:numId w:val="78"/>
        </w:numPr>
      </w:pPr>
      <w:r w:rsidRPr="00BF6615">
        <w:t>Dostępność i dostosowanie do użytkowników z niepełnosprawnościami: „audiodeskrypcja”, „</w:t>
      </w:r>
      <w:r w:rsidR="00450689" w:rsidRPr="00BF6615">
        <w:t>żeby było tłumaczenie PJM”.</w:t>
      </w:r>
    </w:p>
    <w:p w14:paraId="0C508991" w14:textId="190A6AB7" w:rsidR="00801937" w:rsidRPr="00BF6615" w:rsidRDefault="00801937">
      <w:pPr>
        <w:pStyle w:val="Akapitzlist"/>
        <w:numPr>
          <w:ilvl w:val="0"/>
          <w:numId w:val="78"/>
        </w:numPr>
        <w:rPr>
          <w:rStyle w:val="Pogrubienie"/>
          <w:b w:val="0"/>
        </w:rPr>
      </w:pPr>
      <w:r w:rsidRPr="00BF6615">
        <w:rPr>
          <w:rStyle w:val="Pogrubienie"/>
          <w:b w:val="0"/>
        </w:rPr>
        <w:t xml:space="preserve"> </w:t>
      </w:r>
      <w:r w:rsidR="00450689" w:rsidRPr="00BF6615">
        <w:rPr>
          <w:rStyle w:val="Pogrubienie"/>
          <w:b w:val="0"/>
        </w:rPr>
        <w:t>Szybkość działania</w:t>
      </w:r>
      <w:r w:rsidR="00A261CC" w:rsidRPr="00BF6615">
        <w:rPr>
          <w:rStyle w:val="Pogrubienie"/>
          <w:b w:val="0"/>
        </w:rPr>
        <w:t>, funkcjonalność: „brak awarii i problemów technicznych”, „</w:t>
      </w:r>
      <w:r w:rsidR="00F332CC" w:rsidRPr="00BF6615">
        <w:rPr>
          <w:rStyle w:val="Pogrubienie"/>
          <w:b w:val="0"/>
        </w:rPr>
        <w:t>kalendarze do umawiania wizyt”, „dostępność wzorów dokumentów”</w:t>
      </w:r>
      <w:r w:rsidR="006C20C3" w:rsidRPr="00BF6615">
        <w:rPr>
          <w:rStyle w:val="Pogrubienie"/>
          <w:b w:val="0"/>
        </w:rPr>
        <w:t>.</w:t>
      </w:r>
    </w:p>
    <w:p w14:paraId="362A3F5B" w14:textId="65385577" w:rsidR="006C20C3" w:rsidRPr="00BF6615" w:rsidRDefault="006C20C3">
      <w:pPr>
        <w:pStyle w:val="Akapitzlist"/>
        <w:numPr>
          <w:ilvl w:val="0"/>
          <w:numId w:val="78"/>
        </w:numPr>
        <w:rPr>
          <w:rStyle w:val="Pogrubienie"/>
          <w:b w:val="0"/>
        </w:rPr>
      </w:pPr>
      <w:r w:rsidRPr="00BF6615">
        <w:rPr>
          <w:rStyle w:val="Pogrubienie"/>
          <w:b w:val="0"/>
        </w:rPr>
        <w:t xml:space="preserve">Kontakt: „bezpośredni kontakt z urzędem”, </w:t>
      </w:r>
      <w:r w:rsidR="00EE35F9" w:rsidRPr="00BF6615">
        <w:rPr>
          <w:rStyle w:val="Pogrubienie"/>
          <w:b w:val="0"/>
        </w:rPr>
        <w:t xml:space="preserve">„aktualne dane kontaktowe </w:t>
      </w:r>
      <w:r w:rsidR="008B0B0A" w:rsidRPr="00BF6615">
        <w:rPr>
          <w:rStyle w:val="Pogrubienie"/>
          <w:b w:val="0"/>
        </w:rPr>
        <w:t>i</w:t>
      </w:r>
      <w:r w:rsidR="008B0B0A">
        <w:rPr>
          <w:rStyle w:val="Pogrubienie"/>
          <w:b w:val="0"/>
        </w:rPr>
        <w:t> </w:t>
      </w:r>
      <w:r w:rsidR="00EE35F9" w:rsidRPr="00BF6615">
        <w:rPr>
          <w:rStyle w:val="Pogrubienie"/>
          <w:b w:val="0"/>
        </w:rPr>
        <w:t>informacje”.</w:t>
      </w:r>
    </w:p>
    <w:p w14:paraId="2D03B7B6" w14:textId="35AD74A6" w:rsidR="00EE35F9" w:rsidRPr="00BF6615" w:rsidRDefault="00056F23" w:rsidP="007E26B5">
      <w:pPr>
        <w:rPr>
          <w:rStyle w:val="Pogrubienie"/>
          <w:b w:val="0"/>
        </w:rPr>
      </w:pPr>
      <w:r w:rsidRPr="00BF6615">
        <w:rPr>
          <w:rStyle w:val="Pogrubienie"/>
          <w:b w:val="0"/>
        </w:rPr>
        <w:t xml:space="preserve">Warto </w:t>
      </w:r>
      <w:r w:rsidR="0069624D" w:rsidRPr="00BF6615">
        <w:rPr>
          <w:rStyle w:val="Pogrubienie"/>
          <w:b w:val="0"/>
        </w:rPr>
        <w:t>zwrócić uwagę na to, że pojawiło się również kilka opinii negatywnych związanych z korzystaniem ze stron: „nie mają cech tylko wady”, „nie wiem, ale teraz są te strony słabe”.</w:t>
      </w:r>
    </w:p>
    <w:p w14:paraId="67B5327C" w14:textId="3D33A38D" w:rsidR="002343A2" w:rsidRPr="00BF6615" w:rsidRDefault="00C02FA3" w:rsidP="007E26B5">
      <w:pPr>
        <w:sectPr w:rsidR="002343A2" w:rsidRPr="00BF6615" w:rsidSect="002343A2">
          <w:pgSz w:w="12240" w:h="15840"/>
          <w:pgMar w:top="1440" w:right="1797" w:bottom="1440" w:left="1797" w:header="720" w:footer="720" w:gutter="0"/>
          <w:cols w:space="720"/>
          <w:docGrid w:linePitch="360"/>
        </w:sectPr>
      </w:pPr>
      <w:r w:rsidRPr="00BF6615">
        <w:t xml:space="preserve">Wśród cech aplikacji podmiotów publicznych, które są najważniejsze przy ocenie ich jakości dominowały te, które są ważne dla każdego użytkownika, jak łatwa nawigacja </w:t>
      </w:r>
      <w:r w:rsidR="008B0B0A" w:rsidRPr="00BF6615">
        <w:t>w</w:t>
      </w:r>
      <w:r w:rsidR="008B0B0A">
        <w:t> </w:t>
      </w:r>
      <w:r w:rsidRPr="00BF6615">
        <w:t xml:space="preserve">aplikacji, przejrzystość informacji i treści napisane w sposób zrozumiały. </w:t>
      </w:r>
      <w:r w:rsidR="002215CC" w:rsidRPr="00BF6615">
        <w:t xml:space="preserve">Cechy aplikacji powiązane z potrzebami wynikającymi z </w:t>
      </w:r>
      <w:r w:rsidR="002B6476" w:rsidRPr="00BF6615">
        <w:t xml:space="preserve">niepełnosprawności </w:t>
      </w:r>
      <w:r w:rsidR="004F2BBD" w:rsidRPr="00BF6615">
        <w:t xml:space="preserve">były wskazywane nieco rzadziej. </w:t>
      </w:r>
      <w:r w:rsidR="450567A6" w:rsidRPr="00BF6615">
        <w:t>Wielu</w:t>
      </w:r>
      <w:r w:rsidR="00D71FC9" w:rsidRPr="00BF6615">
        <w:t xml:space="preserve"> respondentów określało jako bardzo ważne lub ważne</w:t>
      </w:r>
      <w:r w:rsidR="004F2BBD" w:rsidRPr="00BF6615">
        <w:t xml:space="preserve"> tłumaczenie PJM </w:t>
      </w:r>
      <w:r w:rsidR="3AFB5211" w:rsidRPr="00BF6615">
        <w:t>(45%)</w:t>
      </w:r>
      <w:r w:rsidR="004F2BBD" w:rsidRPr="00BF6615">
        <w:t>oraz tekst ETR</w:t>
      </w:r>
      <w:r w:rsidR="31385016" w:rsidRPr="00BF6615">
        <w:t xml:space="preserve"> (69%)</w:t>
      </w:r>
      <w:r w:rsidR="004F2BBD" w:rsidRPr="00BF6615">
        <w:t>.</w:t>
      </w:r>
      <w:r w:rsidR="00D71FC9" w:rsidRPr="00BF6615">
        <w:t xml:space="preserve"> </w:t>
      </w:r>
      <w:r w:rsidR="002343A2" w:rsidRPr="00BF6615">
        <w:t xml:space="preserve">Całość danych </w:t>
      </w:r>
      <w:r w:rsidR="002B6476" w:rsidRPr="00BF6615">
        <w:t>przedstawiono</w:t>
      </w:r>
      <w:r w:rsidR="002343A2" w:rsidRPr="00BF6615">
        <w:t xml:space="preserve"> w poniższej tabeli</w:t>
      </w:r>
      <w:r w:rsidR="002B6476" w:rsidRPr="00BF6615">
        <w:t>.</w:t>
      </w:r>
    </w:p>
    <w:p w14:paraId="42F72372" w14:textId="3337E215" w:rsidR="00B00A6D" w:rsidRPr="00BF6615" w:rsidRDefault="00B00A6D" w:rsidP="007E26B5">
      <w:pPr>
        <w:pStyle w:val="Legenda"/>
      </w:pPr>
      <w:bookmarkStart w:id="273" w:name="_Toc204179140"/>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42</w:t>
      </w:r>
      <w:r w:rsidRPr="00BF6615">
        <w:fldChar w:fldCharType="end"/>
      </w:r>
      <w:r w:rsidR="00FD0843">
        <w:t>.</w:t>
      </w:r>
      <w:r w:rsidRPr="00BF6615">
        <w:t xml:space="preserve"> Oczekiwania w stosunku do aplikacji mobilnych wg kryterium ważności w grupie </w:t>
      </w:r>
      <w:r w:rsidR="00F63698" w:rsidRPr="00BF6615">
        <w:t>osoby z niepełnosprawności</w:t>
      </w:r>
      <w:r w:rsidR="00532C43" w:rsidRPr="00BF6615">
        <w:t>a</w:t>
      </w:r>
      <w:r w:rsidR="00F63698" w:rsidRPr="00BF6615">
        <w:t>mi</w:t>
      </w:r>
      <w:bookmarkEnd w:id="273"/>
    </w:p>
    <w:tbl>
      <w:tblPr>
        <w:tblStyle w:val="PARP"/>
        <w:tblW w:w="13858" w:type="dxa"/>
        <w:tblInd w:w="-856" w:type="dxa"/>
        <w:tblLook w:val="04A0" w:firstRow="1" w:lastRow="0" w:firstColumn="1" w:lastColumn="0" w:noHBand="0" w:noVBand="1"/>
        <w:tblCaption w:val="Oczekiwania w stosunku do aplikacji mobilnych wg kryterium ważności w grupie osoby z niepełnosprawnościami"/>
        <w:tblDescription w:val="Oczekiwania w stosunku do aplikacji mobilnych wg kryterium ważności w grupie osoby z niepełnosprawnościami"/>
      </w:tblPr>
      <w:tblGrid>
        <w:gridCol w:w="1066"/>
        <w:gridCol w:w="1444"/>
        <w:gridCol w:w="1283"/>
        <w:gridCol w:w="1092"/>
        <w:gridCol w:w="1305"/>
        <w:gridCol w:w="1330"/>
        <w:gridCol w:w="1218"/>
        <w:gridCol w:w="1069"/>
        <w:gridCol w:w="1413"/>
        <w:gridCol w:w="1392"/>
        <w:gridCol w:w="1246"/>
      </w:tblGrid>
      <w:tr w:rsidR="00BA771C" w:rsidRPr="00BF6615" w14:paraId="6F964A1B" w14:textId="77777777" w:rsidTr="00FD0843">
        <w:trPr>
          <w:cnfStyle w:val="100000000000" w:firstRow="1" w:lastRow="0" w:firstColumn="0" w:lastColumn="0" w:oddVBand="0" w:evenVBand="0" w:oddHBand="0" w:evenHBand="0" w:firstRowFirstColumn="0" w:firstRowLastColumn="0" w:lastRowFirstColumn="0" w:lastRowLastColumn="0"/>
          <w:trHeight w:val="2503"/>
        </w:trPr>
        <w:tc>
          <w:tcPr>
            <w:tcW w:w="1066" w:type="dxa"/>
            <w:hideMark/>
          </w:tcPr>
          <w:p w14:paraId="0CF895CA" w14:textId="77777777" w:rsidR="00B00A6D" w:rsidRPr="00BF6615" w:rsidRDefault="00B00A6D" w:rsidP="00FD0843">
            <w:pPr>
              <w:rPr>
                <w:rFonts w:ascii="Times New Roman" w:hAnsi="Times New Roman"/>
                <w:sz w:val="22"/>
                <w:lang w:eastAsia="pl-PL"/>
              </w:rPr>
            </w:pPr>
            <w:r w:rsidRPr="00BF6615">
              <w:rPr>
                <w:sz w:val="22"/>
                <w:lang w:eastAsia="pl-PL"/>
              </w:rPr>
              <w:t>Ocena</w:t>
            </w:r>
          </w:p>
        </w:tc>
        <w:tc>
          <w:tcPr>
            <w:tcW w:w="1444" w:type="dxa"/>
            <w:hideMark/>
          </w:tcPr>
          <w:p w14:paraId="37971091" w14:textId="12AD780C" w:rsidR="00B00A6D" w:rsidRPr="00BF6615" w:rsidRDefault="00B00A6D" w:rsidP="00FD0843">
            <w:pPr>
              <w:rPr>
                <w:sz w:val="22"/>
                <w:lang w:eastAsia="pl-PL"/>
              </w:rPr>
            </w:pPr>
            <w:r w:rsidRPr="00BF6615">
              <w:rPr>
                <w:sz w:val="22"/>
                <w:lang w:eastAsia="pl-PL"/>
              </w:rPr>
              <w:t>Łatwa nawigacja w aplikacji</w:t>
            </w:r>
          </w:p>
        </w:tc>
        <w:tc>
          <w:tcPr>
            <w:tcW w:w="1283" w:type="dxa"/>
            <w:hideMark/>
          </w:tcPr>
          <w:p w14:paraId="39636EA1" w14:textId="23E32852" w:rsidR="00B00A6D" w:rsidRPr="00BF6615" w:rsidRDefault="00B00A6D" w:rsidP="00FD0843">
            <w:pPr>
              <w:rPr>
                <w:sz w:val="22"/>
                <w:lang w:eastAsia="pl-PL"/>
              </w:rPr>
            </w:pPr>
            <w:r w:rsidRPr="00BF6615">
              <w:rPr>
                <w:sz w:val="22"/>
                <w:lang w:eastAsia="pl-PL"/>
              </w:rPr>
              <w:t>Przejrzystość informacji</w:t>
            </w:r>
          </w:p>
        </w:tc>
        <w:tc>
          <w:tcPr>
            <w:tcW w:w="1092" w:type="dxa"/>
            <w:hideMark/>
          </w:tcPr>
          <w:p w14:paraId="3697FC2B" w14:textId="5C8EA1F6" w:rsidR="00B00A6D" w:rsidRPr="00BF6615" w:rsidRDefault="00B00A6D" w:rsidP="00FD0843">
            <w:pPr>
              <w:rPr>
                <w:sz w:val="22"/>
                <w:lang w:eastAsia="pl-PL"/>
              </w:rPr>
            </w:pPr>
            <w:r w:rsidRPr="00BF6615">
              <w:rPr>
                <w:sz w:val="22"/>
                <w:lang w:eastAsia="pl-PL"/>
              </w:rPr>
              <w:t>Treści napisane w sposób zrozumiały</w:t>
            </w:r>
          </w:p>
        </w:tc>
        <w:tc>
          <w:tcPr>
            <w:tcW w:w="1305" w:type="dxa"/>
            <w:hideMark/>
          </w:tcPr>
          <w:p w14:paraId="7FB1C3C0" w14:textId="66E841D7" w:rsidR="00B00A6D" w:rsidRPr="00BF6615" w:rsidRDefault="00B00A6D" w:rsidP="00FD0843">
            <w:pPr>
              <w:rPr>
                <w:sz w:val="22"/>
                <w:lang w:eastAsia="pl-PL"/>
              </w:rPr>
            </w:pPr>
            <w:r w:rsidRPr="00BF6615">
              <w:rPr>
                <w:sz w:val="22"/>
                <w:lang w:eastAsia="pl-PL"/>
              </w:rPr>
              <w:t>Dostępność na różnych urządzeniach</w:t>
            </w:r>
          </w:p>
        </w:tc>
        <w:tc>
          <w:tcPr>
            <w:tcW w:w="1330" w:type="dxa"/>
            <w:hideMark/>
          </w:tcPr>
          <w:p w14:paraId="61AF9D8D" w14:textId="7732CF63" w:rsidR="00B00A6D" w:rsidRPr="00BF6615" w:rsidRDefault="00B00A6D" w:rsidP="00FD0843">
            <w:pPr>
              <w:rPr>
                <w:sz w:val="22"/>
                <w:lang w:eastAsia="pl-PL"/>
              </w:rPr>
            </w:pPr>
            <w:r w:rsidRPr="00BF6615">
              <w:rPr>
                <w:sz w:val="22"/>
                <w:lang w:eastAsia="pl-PL"/>
              </w:rPr>
              <w:t>Ułatwienia dostępności (np. możliwość powiększenia tekstu, zmiany kolorów, itp.)</w:t>
            </w:r>
          </w:p>
        </w:tc>
        <w:tc>
          <w:tcPr>
            <w:tcW w:w="1218" w:type="dxa"/>
            <w:hideMark/>
          </w:tcPr>
          <w:p w14:paraId="293C0D5B" w14:textId="734AF396" w:rsidR="00B00A6D" w:rsidRPr="00BF6615" w:rsidRDefault="00B00A6D" w:rsidP="00FD0843">
            <w:pPr>
              <w:rPr>
                <w:sz w:val="22"/>
                <w:lang w:eastAsia="pl-PL"/>
              </w:rPr>
            </w:pPr>
            <w:r w:rsidRPr="00BF6615">
              <w:rPr>
                <w:sz w:val="22"/>
                <w:lang w:eastAsia="pl-PL"/>
              </w:rPr>
              <w:t>Zrozumiałe ostrzeżenia o błędnym wypełnieniu formularzy oraz propozycje poprawy</w:t>
            </w:r>
          </w:p>
        </w:tc>
        <w:tc>
          <w:tcPr>
            <w:tcW w:w="1069" w:type="dxa"/>
            <w:hideMark/>
          </w:tcPr>
          <w:p w14:paraId="7FD91B72" w14:textId="1D6FAD9E" w:rsidR="00B00A6D" w:rsidRPr="00BF6615" w:rsidRDefault="00B00A6D" w:rsidP="00FD0843">
            <w:pPr>
              <w:rPr>
                <w:sz w:val="22"/>
                <w:lang w:eastAsia="pl-PL"/>
              </w:rPr>
            </w:pPr>
            <w:r w:rsidRPr="00BF6615">
              <w:rPr>
                <w:sz w:val="22"/>
                <w:lang w:eastAsia="pl-PL"/>
              </w:rPr>
              <w:t>Możliwość łatwego kontaktu z urzędem</w:t>
            </w:r>
          </w:p>
        </w:tc>
        <w:tc>
          <w:tcPr>
            <w:tcW w:w="1413" w:type="dxa"/>
            <w:hideMark/>
          </w:tcPr>
          <w:p w14:paraId="46FED7E1" w14:textId="77777777" w:rsidR="00B00A6D" w:rsidRPr="00BF6615" w:rsidRDefault="00B00A6D" w:rsidP="00FD0843">
            <w:pPr>
              <w:rPr>
                <w:sz w:val="22"/>
                <w:lang w:eastAsia="pl-PL"/>
              </w:rPr>
            </w:pPr>
            <w:r w:rsidRPr="00BF6615">
              <w:rPr>
                <w:sz w:val="22"/>
                <w:lang w:eastAsia="pl-PL"/>
              </w:rPr>
              <w:t>Zrozumiałe materiały multimedialne i graficzne</w:t>
            </w:r>
          </w:p>
        </w:tc>
        <w:tc>
          <w:tcPr>
            <w:tcW w:w="1392" w:type="dxa"/>
            <w:hideMark/>
          </w:tcPr>
          <w:p w14:paraId="39ACA922" w14:textId="77777777" w:rsidR="00B00A6D" w:rsidRPr="00BF6615" w:rsidRDefault="00B00A6D" w:rsidP="00FD0843">
            <w:pPr>
              <w:rPr>
                <w:sz w:val="22"/>
                <w:lang w:eastAsia="pl-PL"/>
              </w:rPr>
            </w:pPr>
            <w:r w:rsidRPr="00BF6615">
              <w:rPr>
                <w:sz w:val="22"/>
                <w:lang w:eastAsia="pl-PL"/>
              </w:rPr>
              <w:t>Tłumaczenia treści na Polski język migowy (PJM)</w:t>
            </w:r>
          </w:p>
        </w:tc>
        <w:tc>
          <w:tcPr>
            <w:tcW w:w="1246" w:type="dxa"/>
            <w:hideMark/>
          </w:tcPr>
          <w:p w14:paraId="2FE14163" w14:textId="60643E12" w:rsidR="00B00A6D" w:rsidRPr="00BF6615" w:rsidRDefault="00B00A6D" w:rsidP="00FD0843">
            <w:pPr>
              <w:rPr>
                <w:sz w:val="22"/>
                <w:lang w:eastAsia="pl-PL"/>
              </w:rPr>
            </w:pPr>
            <w:r w:rsidRPr="00BF6615">
              <w:rPr>
                <w:sz w:val="22"/>
                <w:lang w:eastAsia="pl-PL"/>
              </w:rPr>
              <w:t>Informacje w tekście łatwym do czytania i zrozumienia (ETR)</w:t>
            </w:r>
          </w:p>
        </w:tc>
      </w:tr>
      <w:tr w:rsidR="00BA771C" w:rsidRPr="00BF6615" w14:paraId="35B4324E" w14:textId="77777777">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73A5D129" w14:textId="77777777" w:rsidR="00B00A6D" w:rsidRPr="00BF6615" w:rsidRDefault="00B00A6D" w:rsidP="007E26B5">
            <w:pPr>
              <w:rPr>
                <w:lang w:eastAsia="pl-PL"/>
              </w:rPr>
            </w:pPr>
            <w:r w:rsidRPr="00BF6615">
              <w:rPr>
                <w:lang w:eastAsia="pl-PL"/>
              </w:rPr>
              <w:t xml:space="preserve">bardzo ważne </w:t>
            </w:r>
          </w:p>
        </w:tc>
        <w:tc>
          <w:tcPr>
            <w:tcW w:w="1444" w:type="dxa"/>
            <w:vAlign w:val="center"/>
          </w:tcPr>
          <w:p w14:paraId="3B560CB4" w14:textId="41573BEC" w:rsidR="00B00A6D" w:rsidRPr="00BF6615" w:rsidRDefault="004E3684" w:rsidP="007E26B5">
            <w:pPr>
              <w:rPr>
                <w:lang w:eastAsia="pl-PL"/>
              </w:rPr>
            </w:pPr>
            <w:r w:rsidRPr="00BF6615">
              <w:rPr>
                <w:rFonts w:ascii="Calibri" w:hAnsi="Calibri" w:cs="Calibri"/>
                <w:color w:val="000000"/>
              </w:rPr>
              <w:t>6</w:t>
            </w:r>
            <w:r w:rsidR="00FA5EF7" w:rsidRPr="00BF6615">
              <w:rPr>
                <w:rFonts w:ascii="Calibri" w:hAnsi="Calibri" w:cs="Calibri"/>
                <w:color w:val="000000"/>
              </w:rPr>
              <w:t>3</w:t>
            </w:r>
            <w:r w:rsidR="00B00A6D" w:rsidRPr="00BF6615">
              <w:rPr>
                <w:rFonts w:ascii="Calibri" w:hAnsi="Calibri" w:cs="Calibri"/>
                <w:color w:val="000000"/>
              </w:rPr>
              <w:t>%</w:t>
            </w:r>
          </w:p>
        </w:tc>
        <w:tc>
          <w:tcPr>
            <w:tcW w:w="1283" w:type="dxa"/>
            <w:vAlign w:val="center"/>
          </w:tcPr>
          <w:p w14:paraId="6F322423" w14:textId="00AE10CF" w:rsidR="00B00A6D" w:rsidRPr="00BF6615" w:rsidRDefault="00346974" w:rsidP="007E26B5">
            <w:pPr>
              <w:rPr>
                <w:lang w:eastAsia="pl-PL"/>
              </w:rPr>
            </w:pPr>
            <w:r w:rsidRPr="00BF6615">
              <w:rPr>
                <w:rFonts w:ascii="Calibri" w:hAnsi="Calibri" w:cs="Calibri"/>
                <w:color w:val="000000"/>
              </w:rPr>
              <w:t>62</w:t>
            </w:r>
            <w:r w:rsidR="00B00A6D" w:rsidRPr="00BF6615">
              <w:rPr>
                <w:rFonts w:ascii="Calibri" w:hAnsi="Calibri" w:cs="Calibri"/>
                <w:color w:val="000000"/>
              </w:rPr>
              <w:t>%</w:t>
            </w:r>
          </w:p>
        </w:tc>
        <w:tc>
          <w:tcPr>
            <w:tcW w:w="1092" w:type="dxa"/>
            <w:vAlign w:val="center"/>
          </w:tcPr>
          <w:p w14:paraId="71A14F3E" w14:textId="42BE99C0" w:rsidR="00B00A6D" w:rsidRPr="00BF6615" w:rsidRDefault="007C4AE9" w:rsidP="007E26B5">
            <w:pPr>
              <w:rPr>
                <w:lang w:eastAsia="pl-PL"/>
              </w:rPr>
            </w:pPr>
            <w:r w:rsidRPr="00BF6615">
              <w:rPr>
                <w:rFonts w:ascii="Calibri" w:hAnsi="Calibri" w:cs="Calibri"/>
                <w:color w:val="000000"/>
              </w:rPr>
              <w:t>59</w:t>
            </w:r>
            <w:r w:rsidR="00B00A6D" w:rsidRPr="00BF6615">
              <w:rPr>
                <w:rFonts w:ascii="Calibri" w:hAnsi="Calibri" w:cs="Calibri"/>
                <w:color w:val="000000"/>
              </w:rPr>
              <w:t>%</w:t>
            </w:r>
          </w:p>
        </w:tc>
        <w:tc>
          <w:tcPr>
            <w:tcW w:w="1305" w:type="dxa"/>
            <w:vAlign w:val="center"/>
          </w:tcPr>
          <w:p w14:paraId="5469F987" w14:textId="39FC704D" w:rsidR="00B00A6D" w:rsidRPr="00BF6615" w:rsidRDefault="00B00A6D" w:rsidP="007E26B5">
            <w:pPr>
              <w:rPr>
                <w:lang w:eastAsia="pl-PL"/>
              </w:rPr>
            </w:pPr>
            <w:r w:rsidRPr="00BF6615">
              <w:rPr>
                <w:rFonts w:ascii="Calibri" w:hAnsi="Calibri" w:cs="Calibri"/>
                <w:color w:val="000000"/>
              </w:rPr>
              <w:t>4</w:t>
            </w:r>
            <w:r w:rsidR="00CD38D2" w:rsidRPr="00BF6615">
              <w:rPr>
                <w:rFonts w:ascii="Calibri" w:hAnsi="Calibri" w:cs="Calibri"/>
                <w:color w:val="000000"/>
              </w:rPr>
              <w:t>3</w:t>
            </w:r>
            <w:r w:rsidRPr="00BF6615">
              <w:rPr>
                <w:rFonts w:ascii="Calibri" w:hAnsi="Calibri" w:cs="Calibri"/>
                <w:color w:val="000000"/>
              </w:rPr>
              <w:t>%</w:t>
            </w:r>
          </w:p>
        </w:tc>
        <w:tc>
          <w:tcPr>
            <w:tcW w:w="1330" w:type="dxa"/>
            <w:vAlign w:val="center"/>
          </w:tcPr>
          <w:p w14:paraId="0096A190" w14:textId="71AAE854" w:rsidR="00B00A6D" w:rsidRPr="00BF6615" w:rsidRDefault="00CD38D2" w:rsidP="007E26B5">
            <w:pPr>
              <w:rPr>
                <w:lang w:eastAsia="pl-PL"/>
              </w:rPr>
            </w:pPr>
            <w:r w:rsidRPr="00BF6615">
              <w:rPr>
                <w:rFonts w:ascii="Calibri" w:hAnsi="Calibri" w:cs="Calibri"/>
                <w:color w:val="000000"/>
              </w:rPr>
              <w:t>45</w:t>
            </w:r>
            <w:r w:rsidR="00B00A6D" w:rsidRPr="00BF6615">
              <w:rPr>
                <w:rFonts w:ascii="Calibri" w:hAnsi="Calibri" w:cs="Calibri"/>
                <w:color w:val="000000"/>
              </w:rPr>
              <w:t>%</w:t>
            </w:r>
          </w:p>
        </w:tc>
        <w:tc>
          <w:tcPr>
            <w:tcW w:w="1218" w:type="dxa"/>
            <w:vAlign w:val="center"/>
          </w:tcPr>
          <w:p w14:paraId="2DC0CBE8" w14:textId="18A70AB3" w:rsidR="00B00A6D" w:rsidRPr="00BF6615" w:rsidRDefault="00CD38D2" w:rsidP="007E26B5">
            <w:pPr>
              <w:rPr>
                <w:lang w:eastAsia="pl-PL"/>
              </w:rPr>
            </w:pPr>
            <w:r w:rsidRPr="00BF6615">
              <w:rPr>
                <w:rFonts w:ascii="Calibri" w:hAnsi="Calibri" w:cs="Calibri"/>
                <w:color w:val="000000"/>
              </w:rPr>
              <w:t>56</w:t>
            </w:r>
            <w:r w:rsidR="00B00A6D" w:rsidRPr="00BF6615">
              <w:rPr>
                <w:rFonts w:ascii="Calibri" w:hAnsi="Calibri" w:cs="Calibri"/>
                <w:color w:val="000000"/>
              </w:rPr>
              <w:t>%</w:t>
            </w:r>
          </w:p>
        </w:tc>
        <w:tc>
          <w:tcPr>
            <w:tcW w:w="1069" w:type="dxa"/>
            <w:vAlign w:val="center"/>
          </w:tcPr>
          <w:p w14:paraId="585B5EC5" w14:textId="449FD6BD" w:rsidR="00B00A6D" w:rsidRPr="00BF6615" w:rsidRDefault="00370F69" w:rsidP="007E26B5">
            <w:pPr>
              <w:rPr>
                <w:lang w:eastAsia="pl-PL"/>
              </w:rPr>
            </w:pPr>
            <w:r w:rsidRPr="00BF6615">
              <w:rPr>
                <w:rFonts w:ascii="Calibri" w:hAnsi="Calibri" w:cs="Calibri"/>
                <w:color w:val="000000"/>
              </w:rPr>
              <w:t>55</w:t>
            </w:r>
            <w:r w:rsidR="00B00A6D" w:rsidRPr="00BF6615">
              <w:rPr>
                <w:rFonts w:ascii="Calibri" w:hAnsi="Calibri" w:cs="Calibri"/>
                <w:color w:val="000000"/>
              </w:rPr>
              <w:t>%</w:t>
            </w:r>
          </w:p>
        </w:tc>
        <w:tc>
          <w:tcPr>
            <w:tcW w:w="1413" w:type="dxa"/>
            <w:vAlign w:val="center"/>
          </w:tcPr>
          <w:p w14:paraId="444F8897" w14:textId="63EE4392" w:rsidR="00B00A6D" w:rsidRPr="00BF6615" w:rsidRDefault="00370F69" w:rsidP="007E26B5">
            <w:pPr>
              <w:rPr>
                <w:lang w:eastAsia="pl-PL"/>
              </w:rPr>
            </w:pPr>
            <w:r w:rsidRPr="00BF6615">
              <w:rPr>
                <w:rFonts w:ascii="Calibri" w:hAnsi="Calibri" w:cs="Calibri"/>
                <w:color w:val="000000"/>
              </w:rPr>
              <w:t>4</w:t>
            </w:r>
            <w:r w:rsidR="00655F50" w:rsidRPr="00BF6615">
              <w:rPr>
                <w:rFonts w:ascii="Calibri" w:hAnsi="Calibri" w:cs="Calibri"/>
                <w:color w:val="000000"/>
              </w:rPr>
              <w:t>9</w:t>
            </w:r>
            <w:r w:rsidR="00B00A6D" w:rsidRPr="00BF6615">
              <w:rPr>
                <w:rFonts w:ascii="Calibri" w:hAnsi="Calibri" w:cs="Calibri"/>
                <w:color w:val="000000"/>
              </w:rPr>
              <w:t>%</w:t>
            </w:r>
          </w:p>
        </w:tc>
        <w:tc>
          <w:tcPr>
            <w:tcW w:w="1392" w:type="dxa"/>
            <w:vAlign w:val="center"/>
          </w:tcPr>
          <w:p w14:paraId="3A37E2EC" w14:textId="682E20D9" w:rsidR="00B00A6D" w:rsidRPr="00BF6615" w:rsidRDefault="00B00A6D" w:rsidP="007E26B5">
            <w:pPr>
              <w:rPr>
                <w:lang w:eastAsia="pl-PL"/>
              </w:rPr>
            </w:pPr>
            <w:r w:rsidRPr="00BF6615">
              <w:rPr>
                <w:rFonts w:ascii="Calibri" w:hAnsi="Calibri" w:cs="Calibri"/>
                <w:color w:val="000000"/>
              </w:rPr>
              <w:t>2</w:t>
            </w:r>
            <w:r w:rsidR="00F22A96" w:rsidRPr="00BF6615">
              <w:rPr>
                <w:rFonts w:ascii="Calibri" w:hAnsi="Calibri" w:cs="Calibri"/>
                <w:color w:val="000000"/>
              </w:rPr>
              <w:t>6</w:t>
            </w:r>
            <w:r w:rsidRPr="00BF6615">
              <w:rPr>
                <w:rFonts w:ascii="Calibri" w:hAnsi="Calibri" w:cs="Calibri"/>
                <w:color w:val="000000"/>
              </w:rPr>
              <w:t>%</w:t>
            </w:r>
          </w:p>
        </w:tc>
        <w:tc>
          <w:tcPr>
            <w:tcW w:w="1246" w:type="dxa"/>
            <w:vAlign w:val="center"/>
          </w:tcPr>
          <w:p w14:paraId="0D0937F4" w14:textId="6E91C2A7" w:rsidR="00B00A6D" w:rsidRPr="00BF6615" w:rsidRDefault="00B00A6D" w:rsidP="007E26B5">
            <w:pPr>
              <w:rPr>
                <w:lang w:eastAsia="pl-PL"/>
              </w:rPr>
            </w:pPr>
            <w:r w:rsidRPr="00BF6615">
              <w:rPr>
                <w:rFonts w:ascii="Calibri" w:hAnsi="Calibri" w:cs="Calibri"/>
                <w:color w:val="000000"/>
              </w:rPr>
              <w:t>3</w:t>
            </w:r>
            <w:r w:rsidR="00370F69" w:rsidRPr="00BF6615">
              <w:rPr>
                <w:rFonts w:ascii="Calibri" w:hAnsi="Calibri" w:cs="Calibri"/>
                <w:color w:val="000000"/>
              </w:rPr>
              <w:t>9</w:t>
            </w:r>
            <w:r w:rsidRPr="00BF6615">
              <w:rPr>
                <w:rFonts w:ascii="Calibri" w:hAnsi="Calibri" w:cs="Calibri"/>
                <w:color w:val="000000"/>
              </w:rPr>
              <w:t>%</w:t>
            </w:r>
          </w:p>
        </w:tc>
      </w:tr>
      <w:tr w:rsidR="00BA771C" w:rsidRPr="00BF6615" w14:paraId="4BF1EC70" w14:textId="77777777">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5CFAA9AF" w14:textId="77777777" w:rsidR="00B00A6D" w:rsidRPr="00BF6615" w:rsidRDefault="00B00A6D" w:rsidP="007E26B5">
            <w:pPr>
              <w:rPr>
                <w:lang w:eastAsia="pl-PL"/>
              </w:rPr>
            </w:pPr>
            <w:r w:rsidRPr="00BF6615">
              <w:rPr>
                <w:lang w:eastAsia="pl-PL"/>
              </w:rPr>
              <w:t>ważne</w:t>
            </w:r>
          </w:p>
        </w:tc>
        <w:tc>
          <w:tcPr>
            <w:tcW w:w="1444" w:type="dxa"/>
            <w:vAlign w:val="center"/>
          </w:tcPr>
          <w:p w14:paraId="174C8621" w14:textId="5939B944" w:rsidR="00B00A6D" w:rsidRPr="00BF6615" w:rsidRDefault="000F6FC4" w:rsidP="007E26B5">
            <w:pPr>
              <w:rPr>
                <w:lang w:eastAsia="pl-PL"/>
              </w:rPr>
            </w:pPr>
            <w:r w:rsidRPr="00BF6615">
              <w:rPr>
                <w:rFonts w:ascii="Calibri" w:hAnsi="Calibri" w:cs="Calibri"/>
                <w:color w:val="000000"/>
              </w:rPr>
              <w:t>2</w:t>
            </w:r>
            <w:r w:rsidR="004E3684" w:rsidRPr="00BF6615">
              <w:rPr>
                <w:rFonts w:ascii="Calibri" w:hAnsi="Calibri" w:cs="Calibri"/>
                <w:color w:val="000000"/>
              </w:rPr>
              <w:t>6</w:t>
            </w:r>
            <w:r w:rsidR="00B00A6D" w:rsidRPr="00BF6615">
              <w:rPr>
                <w:rFonts w:ascii="Calibri" w:hAnsi="Calibri" w:cs="Calibri"/>
                <w:color w:val="000000"/>
              </w:rPr>
              <w:t>%</w:t>
            </w:r>
          </w:p>
        </w:tc>
        <w:tc>
          <w:tcPr>
            <w:tcW w:w="1283" w:type="dxa"/>
            <w:vAlign w:val="center"/>
          </w:tcPr>
          <w:p w14:paraId="6DC25483" w14:textId="3D0308E0" w:rsidR="00B00A6D" w:rsidRPr="00BF6615" w:rsidRDefault="00494693" w:rsidP="007E26B5">
            <w:pPr>
              <w:rPr>
                <w:lang w:eastAsia="pl-PL"/>
              </w:rPr>
            </w:pPr>
            <w:r w:rsidRPr="00BF6615">
              <w:rPr>
                <w:rFonts w:ascii="Calibri" w:hAnsi="Calibri" w:cs="Calibri"/>
                <w:color w:val="000000"/>
              </w:rPr>
              <w:t>2</w:t>
            </w:r>
            <w:r w:rsidR="00B00A6D" w:rsidRPr="00BF6615">
              <w:rPr>
                <w:rFonts w:ascii="Calibri" w:hAnsi="Calibri" w:cs="Calibri"/>
                <w:color w:val="000000"/>
              </w:rPr>
              <w:t>9%</w:t>
            </w:r>
          </w:p>
        </w:tc>
        <w:tc>
          <w:tcPr>
            <w:tcW w:w="1092" w:type="dxa"/>
            <w:vAlign w:val="center"/>
          </w:tcPr>
          <w:p w14:paraId="53310C17" w14:textId="67561A9B" w:rsidR="00B00A6D" w:rsidRPr="00BF6615" w:rsidRDefault="00494693" w:rsidP="007E26B5">
            <w:pPr>
              <w:rPr>
                <w:lang w:eastAsia="pl-PL"/>
              </w:rPr>
            </w:pPr>
            <w:r w:rsidRPr="00BF6615">
              <w:rPr>
                <w:rFonts w:ascii="Calibri" w:hAnsi="Calibri" w:cs="Calibri"/>
                <w:color w:val="000000"/>
              </w:rPr>
              <w:t>25</w:t>
            </w:r>
            <w:r w:rsidR="00B00A6D" w:rsidRPr="00BF6615">
              <w:rPr>
                <w:rFonts w:ascii="Calibri" w:hAnsi="Calibri" w:cs="Calibri"/>
                <w:color w:val="000000"/>
              </w:rPr>
              <w:t>%</w:t>
            </w:r>
          </w:p>
        </w:tc>
        <w:tc>
          <w:tcPr>
            <w:tcW w:w="1305" w:type="dxa"/>
            <w:vAlign w:val="center"/>
          </w:tcPr>
          <w:p w14:paraId="1BA9BAC7" w14:textId="6D47A970" w:rsidR="00B00A6D" w:rsidRPr="00BF6615" w:rsidRDefault="00B00A6D" w:rsidP="007E26B5">
            <w:pPr>
              <w:rPr>
                <w:lang w:eastAsia="pl-PL"/>
              </w:rPr>
            </w:pPr>
            <w:r w:rsidRPr="00BF6615">
              <w:rPr>
                <w:rFonts w:ascii="Calibri" w:hAnsi="Calibri" w:cs="Calibri"/>
                <w:color w:val="000000"/>
              </w:rPr>
              <w:t>40%</w:t>
            </w:r>
          </w:p>
        </w:tc>
        <w:tc>
          <w:tcPr>
            <w:tcW w:w="1330" w:type="dxa"/>
            <w:vAlign w:val="center"/>
          </w:tcPr>
          <w:p w14:paraId="596F37C3" w14:textId="0A320A30" w:rsidR="00B00A6D" w:rsidRPr="00BF6615" w:rsidRDefault="00B00A6D" w:rsidP="007E26B5">
            <w:pPr>
              <w:rPr>
                <w:lang w:eastAsia="pl-PL"/>
              </w:rPr>
            </w:pPr>
            <w:r w:rsidRPr="00BF6615">
              <w:rPr>
                <w:rFonts w:ascii="Calibri" w:hAnsi="Calibri" w:cs="Calibri"/>
                <w:color w:val="000000"/>
              </w:rPr>
              <w:t>3</w:t>
            </w:r>
            <w:r w:rsidR="00494693" w:rsidRPr="00BF6615">
              <w:rPr>
                <w:rFonts w:ascii="Calibri" w:hAnsi="Calibri" w:cs="Calibri"/>
                <w:color w:val="000000"/>
              </w:rPr>
              <w:t>4</w:t>
            </w:r>
            <w:r w:rsidRPr="00BF6615">
              <w:rPr>
                <w:rFonts w:ascii="Calibri" w:hAnsi="Calibri" w:cs="Calibri"/>
                <w:color w:val="000000"/>
              </w:rPr>
              <w:t>%</w:t>
            </w:r>
          </w:p>
        </w:tc>
        <w:tc>
          <w:tcPr>
            <w:tcW w:w="1218" w:type="dxa"/>
            <w:vAlign w:val="center"/>
          </w:tcPr>
          <w:p w14:paraId="1ABB1B05" w14:textId="7BBAF216" w:rsidR="00B00A6D" w:rsidRPr="00BF6615" w:rsidRDefault="00B00A6D" w:rsidP="007E26B5">
            <w:pPr>
              <w:rPr>
                <w:lang w:eastAsia="pl-PL"/>
              </w:rPr>
            </w:pPr>
            <w:r w:rsidRPr="00BF6615">
              <w:rPr>
                <w:rFonts w:ascii="Calibri" w:hAnsi="Calibri" w:cs="Calibri"/>
                <w:color w:val="000000"/>
              </w:rPr>
              <w:t>3</w:t>
            </w:r>
            <w:r w:rsidR="00AD61B5" w:rsidRPr="00BF6615">
              <w:rPr>
                <w:rFonts w:ascii="Calibri" w:hAnsi="Calibri" w:cs="Calibri"/>
                <w:color w:val="000000"/>
              </w:rPr>
              <w:t>1</w:t>
            </w:r>
            <w:r w:rsidRPr="00BF6615">
              <w:rPr>
                <w:rFonts w:ascii="Calibri" w:hAnsi="Calibri" w:cs="Calibri"/>
                <w:color w:val="000000"/>
              </w:rPr>
              <w:t>%</w:t>
            </w:r>
          </w:p>
        </w:tc>
        <w:tc>
          <w:tcPr>
            <w:tcW w:w="1069" w:type="dxa"/>
            <w:vAlign w:val="center"/>
          </w:tcPr>
          <w:p w14:paraId="170846DE" w14:textId="57448ED4" w:rsidR="00B00A6D" w:rsidRPr="00BF6615" w:rsidRDefault="00AD61B5" w:rsidP="007E26B5">
            <w:pPr>
              <w:rPr>
                <w:lang w:eastAsia="pl-PL"/>
              </w:rPr>
            </w:pPr>
            <w:r w:rsidRPr="00BF6615">
              <w:rPr>
                <w:rFonts w:ascii="Calibri" w:hAnsi="Calibri" w:cs="Calibri"/>
                <w:color w:val="000000"/>
              </w:rPr>
              <w:t>27</w:t>
            </w:r>
            <w:r w:rsidR="00B00A6D" w:rsidRPr="00BF6615">
              <w:rPr>
                <w:rFonts w:ascii="Calibri" w:hAnsi="Calibri" w:cs="Calibri"/>
                <w:color w:val="000000"/>
              </w:rPr>
              <w:t>%</w:t>
            </w:r>
          </w:p>
        </w:tc>
        <w:tc>
          <w:tcPr>
            <w:tcW w:w="1413" w:type="dxa"/>
            <w:vAlign w:val="center"/>
          </w:tcPr>
          <w:p w14:paraId="33936108" w14:textId="713C1490" w:rsidR="00B00A6D" w:rsidRPr="00BF6615" w:rsidRDefault="00AD61B5" w:rsidP="007E26B5">
            <w:pPr>
              <w:rPr>
                <w:lang w:eastAsia="pl-PL"/>
              </w:rPr>
            </w:pPr>
            <w:r w:rsidRPr="00BF6615">
              <w:rPr>
                <w:rFonts w:ascii="Calibri" w:hAnsi="Calibri" w:cs="Calibri"/>
                <w:color w:val="000000"/>
              </w:rPr>
              <w:t>35</w:t>
            </w:r>
            <w:r w:rsidR="00B00A6D" w:rsidRPr="00BF6615">
              <w:rPr>
                <w:rFonts w:ascii="Calibri" w:hAnsi="Calibri" w:cs="Calibri"/>
                <w:color w:val="000000"/>
              </w:rPr>
              <w:t>%</w:t>
            </w:r>
          </w:p>
        </w:tc>
        <w:tc>
          <w:tcPr>
            <w:tcW w:w="1392" w:type="dxa"/>
            <w:vAlign w:val="center"/>
          </w:tcPr>
          <w:p w14:paraId="37FE3418" w14:textId="28EDC14A" w:rsidR="00B00A6D" w:rsidRPr="00BF6615" w:rsidRDefault="00AD61B5" w:rsidP="007E26B5">
            <w:pPr>
              <w:rPr>
                <w:lang w:eastAsia="pl-PL"/>
              </w:rPr>
            </w:pPr>
            <w:r w:rsidRPr="00BF6615">
              <w:rPr>
                <w:rFonts w:ascii="Calibri" w:hAnsi="Calibri" w:cs="Calibri"/>
                <w:color w:val="000000"/>
              </w:rPr>
              <w:t>19</w:t>
            </w:r>
            <w:r w:rsidR="00B00A6D" w:rsidRPr="00BF6615">
              <w:rPr>
                <w:rFonts w:ascii="Calibri" w:hAnsi="Calibri" w:cs="Calibri"/>
                <w:color w:val="000000"/>
              </w:rPr>
              <w:t>%</w:t>
            </w:r>
          </w:p>
        </w:tc>
        <w:tc>
          <w:tcPr>
            <w:tcW w:w="1246" w:type="dxa"/>
            <w:vAlign w:val="center"/>
          </w:tcPr>
          <w:p w14:paraId="2E213B6F" w14:textId="441CF9CA" w:rsidR="00B00A6D" w:rsidRPr="00BF6615" w:rsidRDefault="00096825" w:rsidP="007E26B5">
            <w:pPr>
              <w:rPr>
                <w:lang w:eastAsia="pl-PL"/>
              </w:rPr>
            </w:pPr>
            <w:r w:rsidRPr="00BF6615">
              <w:rPr>
                <w:rFonts w:ascii="Calibri" w:hAnsi="Calibri" w:cs="Calibri"/>
                <w:color w:val="000000"/>
              </w:rPr>
              <w:t>30</w:t>
            </w:r>
            <w:r w:rsidR="00B00A6D" w:rsidRPr="00BF6615">
              <w:rPr>
                <w:rFonts w:ascii="Calibri" w:hAnsi="Calibri" w:cs="Calibri"/>
                <w:color w:val="000000"/>
              </w:rPr>
              <w:t>%</w:t>
            </w:r>
          </w:p>
        </w:tc>
      </w:tr>
      <w:tr w:rsidR="00BA771C" w:rsidRPr="00BF6615" w14:paraId="53E694ED" w14:textId="77777777">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1B0859BC" w14:textId="77777777" w:rsidR="00B00A6D" w:rsidRPr="00BF6615" w:rsidRDefault="00B00A6D" w:rsidP="007E26B5">
            <w:pPr>
              <w:rPr>
                <w:lang w:eastAsia="pl-PL"/>
              </w:rPr>
            </w:pPr>
            <w:r w:rsidRPr="00BF6615">
              <w:rPr>
                <w:lang w:eastAsia="pl-PL"/>
              </w:rPr>
              <w:t>neutralne</w:t>
            </w:r>
          </w:p>
        </w:tc>
        <w:tc>
          <w:tcPr>
            <w:tcW w:w="1444" w:type="dxa"/>
            <w:vAlign w:val="center"/>
          </w:tcPr>
          <w:p w14:paraId="2A673AFE" w14:textId="55EFDD18" w:rsidR="00B00A6D" w:rsidRPr="00BF6615" w:rsidRDefault="001C3261" w:rsidP="007E26B5">
            <w:pPr>
              <w:rPr>
                <w:lang w:eastAsia="pl-PL"/>
              </w:rPr>
            </w:pPr>
            <w:r w:rsidRPr="00BF6615">
              <w:rPr>
                <w:rFonts w:ascii="Calibri" w:hAnsi="Calibri" w:cs="Calibri"/>
                <w:color w:val="000000"/>
              </w:rPr>
              <w:t>8</w:t>
            </w:r>
            <w:r w:rsidR="00B00A6D" w:rsidRPr="00BF6615">
              <w:rPr>
                <w:rFonts w:ascii="Calibri" w:hAnsi="Calibri" w:cs="Calibri"/>
                <w:color w:val="000000"/>
              </w:rPr>
              <w:t>%</w:t>
            </w:r>
          </w:p>
        </w:tc>
        <w:tc>
          <w:tcPr>
            <w:tcW w:w="1283" w:type="dxa"/>
            <w:vAlign w:val="center"/>
          </w:tcPr>
          <w:p w14:paraId="554EF6DE" w14:textId="26A7A648" w:rsidR="00B00A6D" w:rsidRPr="00BF6615" w:rsidRDefault="00096825" w:rsidP="007E26B5">
            <w:pPr>
              <w:rPr>
                <w:lang w:eastAsia="pl-PL"/>
              </w:rPr>
            </w:pPr>
            <w:r w:rsidRPr="00BF6615">
              <w:rPr>
                <w:rFonts w:ascii="Calibri" w:hAnsi="Calibri" w:cs="Calibri"/>
                <w:color w:val="000000"/>
              </w:rPr>
              <w:t>8</w:t>
            </w:r>
            <w:r w:rsidR="00B00A6D" w:rsidRPr="00BF6615">
              <w:rPr>
                <w:rFonts w:ascii="Calibri" w:hAnsi="Calibri" w:cs="Calibri"/>
                <w:color w:val="000000"/>
              </w:rPr>
              <w:t>%</w:t>
            </w:r>
          </w:p>
        </w:tc>
        <w:tc>
          <w:tcPr>
            <w:tcW w:w="1092" w:type="dxa"/>
            <w:vAlign w:val="center"/>
          </w:tcPr>
          <w:p w14:paraId="51617F42" w14:textId="737A9265" w:rsidR="00B00A6D" w:rsidRPr="00BF6615" w:rsidRDefault="00096825" w:rsidP="007E26B5">
            <w:pPr>
              <w:rPr>
                <w:lang w:eastAsia="pl-PL"/>
              </w:rPr>
            </w:pPr>
            <w:r w:rsidRPr="00BF6615">
              <w:rPr>
                <w:rFonts w:ascii="Calibri" w:hAnsi="Calibri" w:cs="Calibri"/>
                <w:color w:val="000000"/>
              </w:rPr>
              <w:t>13</w:t>
            </w:r>
            <w:r w:rsidR="00B00A6D" w:rsidRPr="00BF6615">
              <w:rPr>
                <w:rFonts w:ascii="Calibri" w:hAnsi="Calibri" w:cs="Calibri"/>
                <w:color w:val="000000"/>
              </w:rPr>
              <w:t>%</w:t>
            </w:r>
          </w:p>
        </w:tc>
        <w:tc>
          <w:tcPr>
            <w:tcW w:w="1305" w:type="dxa"/>
            <w:vAlign w:val="center"/>
          </w:tcPr>
          <w:p w14:paraId="245BF44D" w14:textId="08A2E137" w:rsidR="00B00A6D" w:rsidRPr="00BF6615" w:rsidRDefault="00B00A6D" w:rsidP="007E26B5">
            <w:pPr>
              <w:rPr>
                <w:lang w:eastAsia="pl-PL"/>
              </w:rPr>
            </w:pPr>
            <w:r w:rsidRPr="00BF6615">
              <w:rPr>
                <w:rFonts w:ascii="Calibri" w:hAnsi="Calibri" w:cs="Calibri"/>
                <w:color w:val="000000"/>
              </w:rPr>
              <w:t>12%</w:t>
            </w:r>
          </w:p>
        </w:tc>
        <w:tc>
          <w:tcPr>
            <w:tcW w:w="1330" w:type="dxa"/>
            <w:vAlign w:val="center"/>
          </w:tcPr>
          <w:p w14:paraId="76B7E1F8" w14:textId="6BA6B246" w:rsidR="00B00A6D" w:rsidRPr="00BF6615" w:rsidRDefault="00B00A6D" w:rsidP="007E26B5">
            <w:pPr>
              <w:rPr>
                <w:lang w:eastAsia="pl-PL"/>
              </w:rPr>
            </w:pPr>
            <w:r w:rsidRPr="00BF6615">
              <w:rPr>
                <w:rFonts w:ascii="Calibri" w:hAnsi="Calibri" w:cs="Calibri"/>
                <w:color w:val="000000"/>
              </w:rPr>
              <w:t>1</w:t>
            </w:r>
            <w:r w:rsidR="00841191" w:rsidRPr="00BF6615">
              <w:rPr>
                <w:rFonts w:ascii="Calibri" w:hAnsi="Calibri" w:cs="Calibri"/>
                <w:color w:val="000000"/>
              </w:rPr>
              <w:t>8</w:t>
            </w:r>
            <w:r w:rsidRPr="00BF6615">
              <w:rPr>
                <w:rFonts w:ascii="Calibri" w:hAnsi="Calibri" w:cs="Calibri"/>
                <w:color w:val="000000"/>
              </w:rPr>
              <w:t>%</w:t>
            </w:r>
          </w:p>
        </w:tc>
        <w:tc>
          <w:tcPr>
            <w:tcW w:w="1218" w:type="dxa"/>
            <w:vAlign w:val="center"/>
          </w:tcPr>
          <w:p w14:paraId="0764E98C" w14:textId="75122994" w:rsidR="00B00A6D" w:rsidRPr="00BF6615" w:rsidRDefault="00B00A6D" w:rsidP="007E26B5">
            <w:pPr>
              <w:rPr>
                <w:lang w:eastAsia="pl-PL"/>
              </w:rPr>
            </w:pPr>
            <w:r w:rsidRPr="00BF6615">
              <w:rPr>
                <w:rFonts w:ascii="Calibri" w:hAnsi="Calibri" w:cs="Calibri"/>
                <w:color w:val="000000"/>
              </w:rPr>
              <w:t>12%</w:t>
            </w:r>
          </w:p>
        </w:tc>
        <w:tc>
          <w:tcPr>
            <w:tcW w:w="1069" w:type="dxa"/>
            <w:vAlign w:val="center"/>
          </w:tcPr>
          <w:p w14:paraId="45605C7A" w14:textId="54D2003C" w:rsidR="00B00A6D" w:rsidRPr="00BF6615" w:rsidRDefault="00B00A6D" w:rsidP="007E26B5">
            <w:pPr>
              <w:rPr>
                <w:lang w:eastAsia="pl-PL"/>
              </w:rPr>
            </w:pPr>
            <w:r w:rsidRPr="00BF6615">
              <w:rPr>
                <w:rFonts w:ascii="Calibri" w:hAnsi="Calibri" w:cs="Calibri"/>
                <w:color w:val="000000"/>
              </w:rPr>
              <w:t>1</w:t>
            </w:r>
            <w:r w:rsidR="00841191" w:rsidRPr="00BF6615">
              <w:rPr>
                <w:rFonts w:ascii="Calibri" w:hAnsi="Calibri" w:cs="Calibri"/>
                <w:color w:val="000000"/>
              </w:rPr>
              <w:t>7</w:t>
            </w:r>
            <w:r w:rsidRPr="00BF6615">
              <w:rPr>
                <w:rFonts w:ascii="Calibri" w:hAnsi="Calibri" w:cs="Calibri"/>
                <w:color w:val="000000"/>
              </w:rPr>
              <w:t>%</w:t>
            </w:r>
          </w:p>
        </w:tc>
        <w:tc>
          <w:tcPr>
            <w:tcW w:w="1413" w:type="dxa"/>
            <w:vAlign w:val="center"/>
          </w:tcPr>
          <w:p w14:paraId="1CC88C24" w14:textId="183EC27E" w:rsidR="00B00A6D" w:rsidRPr="00BF6615" w:rsidRDefault="00B00A6D" w:rsidP="007E26B5">
            <w:pPr>
              <w:rPr>
                <w:lang w:eastAsia="pl-PL"/>
              </w:rPr>
            </w:pPr>
            <w:r w:rsidRPr="00BF6615">
              <w:rPr>
                <w:rFonts w:ascii="Calibri" w:hAnsi="Calibri" w:cs="Calibri"/>
                <w:color w:val="000000"/>
              </w:rPr>
              <w:t>1</w:t>
            </w:r>
            <w:r w:rsidR="00841191" w:rsidRPr="00BF6615">
              <w:rPr>
                <w:rFonts w:ascii="Calibri" w:hAnsi="Calibri" w:cs="Calibri"/>
                <w:color w:val="000000"/>
              </w:rPr>
              <w:t>4</w:t>
            </w:r>
            <w:r w:rsidRPr="00BF6615">
              <w:rPr>
                <w:rFonts w:ascii="Calibri" w:hAnsi="Calibri" w:cs="Calibri"/>
                <w:color w:val="000000"/>
              </w:rPr>
              <w:t>%</w:t>
            </w:r>
          </w:p>
        </w:tc>
        <w:tc>
          <w:tcPr>
            <w:tcW w:w="1392" w:type="dxa"/>
            <w:vAlign w:val="center"/>
          </w:tcPr>
          <w:p w14:paraId="54B4F00F" w14:textId="175FE62D" w:rsidR="00B00A6D" w:rsidRPr="00BF6615" w:rsidRDefault="00B00A6D" w:rsidP="007E26B5">
            <w:pPr>
              <w:rPr>
                <w:lang w:eastAsia="pl-PL"/>
              </w:rPr>
            </w:pPr>
            <w:r w:rsidRPr="00BF6615">
              <w:rPr>
                <w:rFonts w:ascii="Calibri" w:hAnsi="Calibri" w:cs="Calibri"/>
                <w:color w:val="000000"/>
              </w:rPr>
              <w:t>2</w:t>
            </w:r>
            <w:r w:rsidR="00841191" w:rsidRPr="00BF6615">
              <w:rPr>
                <w:rFonts w:ascii="Calibri" w:hAnsi="Calibri" w:cs="Calibri"/>
                <w:color w:val="000000"/>
              </w:rPr>
              <w:t>7</w:t>
            </w:r>
            <w:r w:rsidRPr="00BF6615">
              <w:rPr>
                <w:rFonts w:ascii="Calibri" w:hAnsi="Calibri" w:cs="Calibri"/>
                <w:color w:val="000000"/>
              </w:rPr>
              <w:t>%</w:t>
            </w:r>
          </w:p>
        </w:tc>
        <w:tc>
          <w:tcPr>
            <w:tcW w:w="1246" w:type="dxa"/>
            <w:vAlign w:val="center"/>
          </w:tcPr>
          <w:p w14:paraId="3C6A4505" w14:textId="550E00CC" w:rsidR="00B00A6D" w:rsidRPr="00BF6615" w:rsidRDefault="00B00A6D" w:rsidP="007E26B5">
            <w:pPr>
              <w:rPr>
                <w:lang w:eastAsia="pl-PL"/>
              </w:rPr>
            </w:pPr>
            <w:r w:rsidRPr="00BF6615">
              <w:rPr>
                <w:rFonts w:ascii="Calibri" w:hAnsi="Calibri" w:cs="Calibri"/>
                <w:color w:val="000000"/>
              </w:rPr>
              <w:t>1</w:t>
            </w:r>
            <w:r w:rsidR="00746458" w:rsidRPr="00BF6615">
              <w:rPr>
                <w:rFonts w:ascii="Calibri" w:hAnsi="Calibri" w:cs="Calibri"/>
                <w:color w:val="000000"/>
              </w:rPr>
              <w:t>7</w:t>
            </w:r>
            <w:r w:rsidRPr="00BF6615">
              <w:rPr>
                <w:rFonts w:ascii="Calibri" w:hAnsi="Calibri" w:cs="Calibri"/>
                <w:color w:val="000000"/>
              </w:rPr>
              <w:t>%</w:t>
            </w:r>
          </w:p>
        </w:tc>
      </w:tr>
      <w:tr w:rsidR="00BA771C" w:rsidRPr="00BF6615" w14:paraId="0246930D" w14:textId="77777777">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4FEC2635" w14:textId="77777777" w:rsidR="00B00A6D" w:rsidRPr="00BF6615" w:rsidRDefault="00B00A6D" w:rsidP="007E26B5">
            <w:pPr>
              <w:rPr>
                <w:lang w:eastAsia="pl-PL"/>
              </w:rPr>
            </w:pPr>
            <w:r w:rsidRPr="00BF6615">
              <w:rPr>
                <w:lang w:eastAsia="pl-PL"/>
              </w:rPr>
              <w:t>mało ważne</w:t>
            </w:r>
          </w:p>
        </w:tc>
        <w:tc>
          <w:tcPr>
            <w:tcW w:w="1444" w:type="dxa"/>
            <w:vAlign w:val="center"/>
          </w:tcPr>
          <w:p w14:paraId="31829E7D" w14:textId="674BEDE4" w:rsidR="00B00A6D" w:rsidRPr="00BF6615" w:rsidRDefault="00BE2243" w:rsidP="007E26B5">
            <w:pPr>
              <w:rPr>
                <w:lang w:eastAsia="pl-PL"/>
              </w:rPr>
            </w:pPr>
            <w:r w:rsidRPr="00BF6615">
              <w:rPr>
                <w:rFonts w:ascii="Calibri" w:hAnsi="Calibri" w:cs="Calibri"/>
                <w:color w:val="000000"/>
              </w:rPr>
              <w:t>3</w:t>
            </w:r>
            <w:r w:rsidR="00B00A6D" w:rsidRPr="00BF6615">
              <w:rPr>
                <w:rFonts w:ascii="Calibri" w:hAnsi="Calibri" w:cs="Calibri"/>
                <w:color w:val="000000"/>
              </w:rPr>
              <w:t>%</w:t>
            </w:r>
          </w:p>
        </w:tc>
        <w:tc>
          <w:tcPr>
            <w:tcW w:w="1283" w:type="dxa"/>
            <w:vAlign w:val="center"/>
          </w:tcPr>
          <w:p w14:paraId="7B06F613" w14:textId="154171A5" w:rsidR="00B00A6D" w:rsidRPr="00BF6615" w:rsidRDefault="00746458" w:rsidP="007E26B5">
            <w:pPr>
              <w:rPr>
                <w:lang w:eastAsia="pl-PL"/>
              </w:rPr>
            </w:pPr>
            <w:r w:rsidRPr="00BF6615">
              <w:rPr>
                <w:rFonts w:ascii="Calibri" w:hAnsi="Calibri" w:cs="Calibri"/>
                <w:color w:val="000000"/>
              </w:rPr>
              <w:t>1</w:t>
            </w:r>
            <w:r w:rsidR="00B00A6D" w:rsidRPr="00BF6615">
              <w:rPr>
                <w:rFonts w:ascii="Calibri" w:hAnsi="Calibri" w:cs="Calibri"/>
                <w:color w:val="000000"/>
              </w:rPr>
              <w:t>%</w:t>
            </w:r>
          </w:p>
        </w:tc>
        <w:tc>
          <w:tcPr>
            <w:tcW w:w="1092" w:type="dxa"/>
            <w:vAlign w:val="center"/>
          </w:tcPr>
          <w:p w14:paraId="551B40D8" w14:textId="0AB19120" w:rsidR="00B00A6D" w:rsidRPr="00BF6615" w:rsidRDefault="009D2A78" w:rsidP="007E26B5">
            <w:pPr>
              <w:rPr>
                <w:lang w:eastAsia="pl-PL"/>
              </w:rPr>
            </w:pPr>
            <w:r w:rsidRPr="00BF6615">
              <w:rPr>
                <w:rFonts w:ascii="Calibri" w:hAnsi="Calibri" w:cs="Calibri"/>
                <w:color w:val="000000"/>
              </w:rPr>
              <w:t>3</w:t>
            </w:r>
            <w:r w:rsidR="00B00A6D" w:rsidRPr="00BF6615">
              <w:rPr>
                <w:rFonts w:ascii="Calibri" w:hAnsi="Calibri" w:cs="Calibri"/>
                <w:color w:val="000000"/>
              </w:rPr>
              <w:t>%</w:t>
            </w:r>
          </w:p>
        </w:tc>
        <w:tc>
          <w:tcPr>
            <w:tcW w:w="1305" w:type="dxa"/>
            <w:vAlign w:val="center"/>
          </w:tcPr>
          <w:p w14:paraId="119387BF" w14:textId="79C12C6A" w:rsidR="00B00A6D" w:rsidRPr="00BF6615" w:rsidRDefault="009D2A78" w:rsidP="007E26B5">
            <w:pPr>
              <w:rPr>
                <w:lang w:eastAsia="pl-PL"/>
              </w:rPr>
            </w:pPr>
            <w:r w:rsidRPr="00BF6615">
              <w:rPr>
                <w:rFonts w:ascii="Calibri" w:hAnsi="Calibri" w:cs="Calibri"/>
                <w:color w:val="000000"/>
              </w:rPr>
              <w:t>4</w:t>
            </w:r>
            <w:r w:rsidR="00B00A6D" w:rsidRPr="00BF6615">
              <w:rPr>
                <w:rFonts w:ascii="Calibri" w:hAnsi="Calibri" w:cs="Calibri"/>
                <w:color w:val="000000"/>
              </w:rPr>
              <w:t>%</w:t>
            </w:r>
          </w:p>
        </w:tc>
        <w:tc>
          <w:tcPr>
            <w:tcW w:w="1330" w:type="dxa"/>
            <w:vAlign w:val="center"/>
          </w:tcPr>
          <w:p w14:paraId="63CB65BA" w14:textId="33C9C199" w:rsidR="00B00A6D" w:rsidRPr="00BF6615" w:rsidRDefault="009D2A78" w:rsidP="007E26B5">
            <w:pPr>
              <w:rPr>
                <w:lang w:eastAsia="pl-PL"/>
              </w:rPr>
            </w:pPr>
            <w:r w:rsidRPr="00BF6615">
              <w:rPr>
                <w:rFonts w:ascii="Calibri" w:hAnsi="Calibri" w:cs="Calibri"/>
                <w:color w:val="000000"/>
              </w:rPr>
              <w:t>3</w:t>
            </w:r>
            <w:r w:rsidR="00B00A6D" w:rsidRPr="00BF6615">
              <w:rPr>
                <w:rFonts w:ascii="Calibri" w:hAnsi="Calibri" w:cs="Calibri"/>
                <w:color w:val="000000"/>
              </w:rPr>
              <w:t>%</w:t>
            </w:r>
          </w:p>
        </w:tc>
        <w:tc>
          <w:tcPr>
            <w:tcW w:w="1218" w:type="dxa"/>
            <w:vAlign w:val="center"/>
          </w:tcPr>
          <w:p w14:paraId="0D0A8B62" w14:textId="63C51696" w:rsidR="00B00A6D" w:rsidRPr="00BF6615" w:rsidRDefault="00746458" w:rsidP="007E26B5">
            <w:pPr>
              <w:rPr>
                <w:lang w:eastAsia="pl-PL"/>
              </w:rPr>
            </w:pPr>
            <w:r w:rsidRPr="00BF6615">
              <w:rPr>
                <w:rFonts w:ascii="Calibri" w:hAnsi="Calibri" w:cs="Calibri"/>
                <w:color w:val="000000"/>
              </w:rPr>
              <w:t>0</w:t>
            </w:r>
            <w:r w:rsidR="00B00A6D" w:rsidRPr="00BF6615">
              <w:rPr>
                <w:rFonts w:ascii="Calibri" w:hAnsi="Calibri" w:cs="Calibri"/>
                <w:color w:val="000000"/>
              </w:rPr>
              <w:t>%</w:t>
            </w:r>
          </w:p>
        </w:tc>
        <w:tc>
          <w:tcPr>
            <w:tcW w:w="1069" w:type="dxa"/>
            <w:vAlign w:val="center"/>
          </w:tcPr>
          <w:p w14:paraId="6891D6E9" w14:textId="76F03236" w:rsidR="00B00A6D" w:rsidRPr="00BF6615" w:rsidRDefault="00746458" w:rsidP="007E26B5">
            <w:pPr>
              <w:rPr>
                <w:lang w:eastAsia="pl-PL"/>
              </w:rPr>
            </w:pPr>
            <w:r w:rsidRPr="00BF6615">
              <w:rPr>
                <w:rFonts w:ascii="Calibri" w:hAnsi="Calibri" w:cs="Calibri"/>
                <w:color w:val="000000"/>
              </w:rPr>
              <w:t>0</w:t>
            </w:r>
            <w:r w:rsidR="00B00A6D" w:rsidRPr="00BF6615">
              <w:rPr>
                <w:rFonts w:ascii="Calibri" w:hAnsi="Calibri" w:cs="Calibri"/>
                <w:color w:val="000000"/>
              </w:rPr>
              <w:t>%</w:t>
            </w:r>
          </w:p>
        </w:tc>
        <w:tc>
          <w:tcPr>
            <w:tcW w:w="1413" w:type="dxa"/>
            <w:vAlign w:val="center"/>
          </w:tcPr>
          <w:p w14:paraId="3DEE9E35" w14:textId="5919255B" w:rsidR="00B00A6D" w:rsidRPr="00BF6615" w:rsidRDefault="00746458" w:rsidP="007E26B5">
            <w:pPr>
              <w:rPr>
                <w:lang w:eastAsia="pl-PL"/>
              </w:rPr>
            </w:pPr>
            <w:r w:rsidRPr="00BF6615">
              <w:rPr>
                <w:rFonts w:ascii="Calibri" w:hAnsi="Calibri" w:cs="Calibri"/>
                <w:color w:val="000000"/>
              </w:rPr>
              <w:t>1</w:t>
            </w:r>
            <w:r w:rsidR="00B00A6D" w:rsidRPr="00BF6615">
              <w:rPr>
                <w:rFonts w:ascii="Calibri" w:hAnsi="Calibri" w:cs="Calibri"/>
                <w:color w:val="000000"/>
              </w:rPr>
              <w:t>%</w:t>
            </w:r>
          </w:p>
        </w:tc>
        <w:tc>
          <w:tcPr>
            <w:tcW w:w="1392" w:type="dxa"/>
            <w:vAlign w:val="center"/>
          </w:tcPr>
          <w:p w14:paraId="063830DF" w14:textId="34BAFEC2" w:rsidR="00B00A6D" w:rsidRPr="00BF6615" w:rsidRDefault="009D2A78" w:rsidP="007E26B5">
            <w:pPr>
              <w:rPr>
                <w:lang w:eastAsia="pl-PL"/>
              </w:rPr>
            </w:pPr>
            <w:r w:rsidRPr="00BF6615">
              <w:rPr>
                <w:rFonts w:ascii="Calibri" w:hAnsi="Calibri" w:cs="Calibri"/>
                <w:color w:val="000000"/>
              </w:rPr>
              <w:t>5</w:t>
            </w:r>
            <w:r w:rsidR="00B00A6D" w:rsidRPr="00BF6615">
              <w:rPr>
                <w:rFonts w:ascii="Calibri" w:hAnsi="Calibri" w:cs="Calibri"/>
                <w:color w:val="000000"/>
              </w:rPr>
              <w:t>%</w:t>
            </w:r>
          </w:p>
        </w:tc>
        <w:tc>
          <w:tcPr>
            <w:tcW w:w="1246" w:type="dxa"/>
            <w:vAlign w:val="center"/>
          </w:tcPr>
          <w:p w14:paraId="34B797C8" w14:textId="04CC2522" w:rsidR="00B00A6D" w:rsidRPr="00BF6615" w:rsidRDefault="000700EE" w:rsidP="007E26B5">
            <w:pPr>
              <w:rPr>
                <w:lang w:eastAsia="pl-PL"/>
              </w:rPr>
            </w:pPr>
            <w:r w:rsidRPr="00BF6615">
              <w:rPr>
                <w:rFonts w:ascii="Calibri" w:hAnsi="Calibri" w:cs="Calibri"/>
                <w:color w:val="000000"/>
              </w:rPr>
              <w:t>6</w:t>
            </w:r>
            <w:r w:rsidR="00B00A6D" w:rsidRPr="00BF6615">
              <w:rPr>
                <w:rFonts w:ascii="Calibri" w:hAnsi="Calibri" w:cs="Calibri"/>
                <w:color w:val="000000"/>
              </w:rPr>
              <w:t>%</w:t>
            </w:r>
          </w:p>
        </w:tc>
      </w:tr>
      <w:tr w:rsidR="00BA771C" w:rsidRPr="00BF6615" w14:paraId="352CA6CF" w14:textId="77777777">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68840075" w14:textId="77777777" w:rsidR="00B00A6D" w:rsidRPr="00BF6615" w:rsidRDefault="00B00A6D" w:rsidP="007E26B5">
            <w:pPr>
              <w:rPr>
                <w:lang w:eastAsia="pl-PL"/>
              </w:rPr>
            </w:pPr>
            <w:r w:rsidRPr="00BF6615">
              <w:rPr>
                <w:lang w:eastAsia="pl-PL"/>
              </w:rPr>
              <w:t>zupełnie nieważne</w:t>
            </w:r>
          </w:p>
        </w:tc>
        <w:tc>
          <w:tcPr>
            <w:tcW w:w="1444" w:type="dxa"/>
            <w:vAlign w:val="center"/>
          </w:tcPr>
          <w:p w14:paraId="2B128530" w14:textId="7B775026" w:rsidR="00B00A6D" w:rsidRPr="00BF6615" w:rsidRDefault="00746458" w:rsidP="007E26B5">
            <w:pPr>
              <w:rPr>
                <w:lang w:eastAsia="pl-PL"/>
              </w:rPr>
            </w:pPr>
            <w:r w:rsidRPr="00BF6615">
              <w:rPr>
                <w:rFonts w:ascii="Calibri" w:hAnsi="Calibri" w:cs="Calibri"/>
                <w:color w:val="000000"/>
              </w:rPr>
              <w:t>0</w:t>
            </w:r>
            <w:r w:rsidR="00B00A6D" w:rsidRPr="00BF6615">
              <w:rPr>
                <w:rFonts w:ascii="Calibri" w:hAnsi="Calibri" w:cs="Calibri"/>
                <w:color w:val="000000"/>
              </w:rPr>
              <w:t>%</w:t>
            </w:r>
          </w:p>
        </w:tc>
        <w:tc>
          <w:tcPr>
            <w:tcW w:w="1283" w:type="dxa"/>
            <w:vAlign w:val="center"/>
          </w:tcPr>
          <w:p w14:paraId="008C5683" w14:textId="3B75993E" w:rsidR="00B00A6D" w:rsidRPr="00BF6615" w:rsidRDefault="00746458" w:rsidP="007E26B5">
            <w:pPr>
              <w:rPr>
                <w:lang w:eastAsia="pl-PL"/>
              </w:rPr>
            </w:pPr>
            <w:r w:rsidRPr="00BF6615">
              <w:rPr>
                <w:rFonts w:ascii="Calibri" w:hAnsi="Calibri" w:cs="Calibri"/>
                <w:color w:val="000000"/>
              </w:rPr>
              <w:t>0</w:t>
            </w:r>
            <w:r w:rsidR="00B00A6D" w:rsidRPr="00BF6615">
              <w:rPr>
                <w:rFonts w:ascii="Calibri" w:hAnsi="Calibri" w:cs="Calibri"/>
                <w:color w:val="000000"/>
              </w:rPr>
              <w:t>%</w:t>
            </w:r>
          </w:p>
        </w:tc>
        <w:tc>
          <w:tcPr>
            <w:tcW w:w="1092" w:type="dxa"/>
            <w:vAlign w:val="center"/>
          </w:tcPr>
          <w:p w14:paraId="22DF8B6D" w14:textId="26B935DC" w:rsidR="00B00A6D" w:rsidRPr="00BF6615" w:rsidRDefault="00746458" w:rsidP="007E26B5">
            <w:pPr>
              <w:rPr>
                <w:lang w:eastAsia="pl-PL"/>
              </w:rPr>
            </w:pPr>
            <w:r w:rsidRPr="00BF6615">
              <w:rPr>
                <w:rFonts w:ascii="Calibri" w:hAnsi="Calibri" w:cs="Calibri"/>
                <w:color w:val="000000"/>
              </w:rPr>
              <w:t>0</w:t>
            </w:r>
            <w:r w:rsidR="00B00A6D" w:rsidRPr="00BF6615">
              <w:rPr>
                <w:rFonts w:ascii="Calibri" w:hAnsi="Calibri" w:cs="Calibri"/>
                <w:color w:val="000000"/>
              </w:rPr>
              <w:t>%</w:t>
            </w:r>
          </w:p>
        </w:tc>
        <w:tc>
          <w:tcPr>
            <w:tcW w:w="1305" w:type="dxa"/>
            <w:vAlign w:val="center"/>
          </w:tcPr>
          <w:p w14:paraId="74F4920A" w14:textId="2A540EB7" w:rsidR="00B00A6D" w:rsidRPr="00BF6615" w:rsidRDefault="00B00A6D" w:rsidP="007E26B5">
            <w:pPr>
              <w:rPr>
                <w:lang w:eastAsia="pl-PL"/>
              </w:rPr>
            </w:pPr>
            <w:r w:rsidRPr="00BF6615">
              <w:rPr>
                <w:rFonts w:ascii="Calibri" w:hAnsi="Calibri" w:cs="Calibri"/>
                <w:color w:val="000000"/>
              </w:rPr>
              <w:t>1%</w:t>
            </w:r>
          </w:p>
        </w:tc>
        <w:tc>
          <w:tcPr>
            <w:tcW w:w="1330" w:type="dxa"/>
            <w:vAlign w:val="center"/>
          </w:tcPr>
          <w:p w14:paraId="65936CE0" w14:textId="172B9933" w:rsidR="00B00A6D" w:rsidRPr="00BF6615" w:rsidRDefault="00746458" w:rsidP="007E26B5">
            <w:pPr>
              <w:rPr>
                <w:lang w:eastAsia="pl-PL"/>
              </w:rPr>
            </w:pPr>
            <w:r w:rsidRPr="00BF6615">
              <w:rPr>
                <w:rFonts w:ascii="Calibri" w:hAnsi="Calibri" w:cs="Calibri"/>
                <w:color w:val="000000"/>
              </w:rPr>
              <w:t>0</w:t>
            </w:r>
            <w:r w:rsidR="00B00A6D" w:rsidRPr="00BF6615">
              <w:rPr>
                <w:rFonts w:ascii="Calibri" w:hAnsi="Calibri" w:cs="Calibri"/>
                <w:color w:val="000000"/>
              </w:rPr>
              <w:t>%</w:t>
            </w:r>
          </w:p>
        </w:tc>
        <w:tc>
          <w:tcPr>
            <w:tcW w:w="1218" w:type="dxa"/>
            <w:vAlign w:val="center"/>
          </w:tcPr>
          <w:p w14:paraId="63C4AA82" w14:textId="75C55B7E" w:rsidR="00B00A6D" w:rsidRPr="00BF6615" w:rsidRDefault="00746458" w:rsidP="007E26B5">
            <w:pPr>
              <w:rPr>
                <w:lang w:eastAsia="pl-PL"/>
              </w:rPr>
            </w:pPr>
            <w:r w:rsidRPr="00BF6615">
              <w:rPr>
                <w:rFonts w:ascii="Calibri" w:hAnsi="Calibri" w:cs="Calibri"/>
                <w:color w:val="000000"/>
              </w:rPr>
              <w:t>1</w:t>
            </w:r>
            <w:r w:rsidR="00B00A6D" w:rsidRPr="00BF6615">
              <w:rPr>
                <w:rFonts w:ascii="Calibri" w:hAnsi="Calibri" w:cs="Calibri"/>
                <w:color w:val="000000"/>
              </w:rPr>
              <w:t>%</w:t>
            </w:r>
          </w:p>
        </w:tc>
        <w:tc>
          <w:tcPr>
            <w:tcW w:w="1069" w:type="dxa"/>
            <w:vAlign w:val="center"/>
          </w:tcPr>
          <w:p w14:paraId="0ACE34F7" w14:textId="2F53E8E3" w:rsidR="00B00A6D" w:rsidRPr="00BF6615" w:rsidRDefault="00746458" w:rsidP="007E26B5">
            <w:pPr>
              <w:rPr>
                <w:lang w:eastAsia="pl-PL"/>
              </w:rPr>
            </w:pPr>
            <w:r w:rsidRPr="00BF6615">
              <w:rPr>
                <w:rFonts w:ascii="Calibri" w:hAnsi="Calibri" w:cs="Calibri"/>
                <w:color w:val="000000"/>
              </w:rPr>
              <w:t>1</w:t>
            </w:r>
            <w:r w:rsidR="00B00A6D" w:rsidRPr="00BF6615">
              <w:rPr>
                <w:rFonts w:ascii="Calibri" w:hAnsi="Calibri" w:cs="Calibri"/>
                <w:color w:val="000000"/>
              </w:rPr>
              <w:t>%</w:t>
            </w:r>
          </w:p>
        </w:tc>
        <w:tc>
          <w:tcPr>
            <w:tcW w:w="1413" w:type="dxa"/>
            <w:vAlign w:val="center"/>
          </w:tcPr>
          <w:p w14:paraId="23D2A540" w14:textId="411A0689" w:rsidR="00B00A6D" w:rsidRPr="00BF6615" w:rsidRDefault="00746458" w:rsidP="007E26B5">
            <w:pPr>
              <w:rPr>
                <w:lang w:eastAsia="pl-PL"/>
              </w:rPr>
            </w:pPr>
            <w:r w:rsidRPr="00BF6615">
              <w:rPr>
                <w:rFonts w:ascii="Calibri" w:hAnsi="Calibri" w:cs="Calibri"/>
                <w:color w:val="000000"/>
              </w:rPr>
              <w:t>1</w:t>
            </w:r>
            <w:r w:rsidR="00B00A6D" w:rsidRPr="00BF6615">
              <w:rPr>
                <w:rFonts w:ascii="Calibri" w:hAnsi="Calibri" w:cs="Calibri"/>
                <w:color w:val="000000"/>
              </w:rPr>
              <w:t>%</w:t>
            </w:r>
          </w:p>
        </w:tc>
        <w:tc>
          <w:tcPr>
            <w:tcW w:w="1392" w:type="dxa"/>
            <w:vAlign w:val="center"/>
          </w:tcPr>
          <w:p w14:paraId="631A4098" w14:textId="1E7986D8" w:rsidR="00B00A6D" w:rsidRPr="00BF6615" w:rsidRDefault="000700EE" w:rsidP="007E26B5">
            <w:pPr>
              <w:rPr>
                <w:lang w:eastAsia="pl-PL"/>
              </w:rPr>
            </w:pPr>
            <w:r w:rsidRPr="00BF6615">
              <w:rPr>
                <w:rFonts w:ascii="Calibri" w:hAnsi="Calibri" w:cs="Calibri"/>
                <w:color w:val="000000"/>
              </w:rPr>
              <w:t>23</w:t>
            </w:r>
            <w:r w:rsidR="00B00A6D" w:rsidRPr="00BF6615">
              <w:rPr>
                <w:rFonts w:ascii="Calibri" w:hAnsi="Calibri" w:cs="Calibri"/>
                <w:color w:val="000000"/>
              </w:rPr>
              <w:t>%</w:t>
            </w:r>
          </w:p>
        </w:tc>
        <w:tc>
          <w:tcPr>
            <w:tcW w:w="1246" w:type="dxa"/>
            <w:vAlign w:val="center"/>
          </w:tcPr>
          <w:p w14:paraId="012CF7D7" w14:textId="3736D47A" w:rsidR="00B00A6D" w:rsidRPr="00BF6615" w:rsidRDefault="00B00A6D" w:rsidP="007E26B5">
            <w:pPr>
              <w:rPr>
                <w:lang w:eastAsia="pl-PL"/>
              </w:rPr>
            </w:pPr>
            <w:r w:rsidRPr="00BF6615">
              <w:rPr>
                <w:rFonts w:ascii="Calibri" w:hAnsi="Calibri" w:cs="Calibri"/>
                <w:color w:val="000000"/>
              </w:rPr>
              <w:t>8%</w:t>
            </w:r>
          </w:p>
        </w:tc>
      </w:tr>
    </w:tbl>
    <w:p w14:paraId="0D08136B" w14:textId="77777777" w:rsidR="00B00A6D" w:rsidRPr="00BF6615" w:rsidRDefault="00B00A6D" w:rsidP="00FD0843">
      <w:r w:rsidRPr="00BF6615">
        <w:t>Źródło: opracowanie własne.</w:t>
      </w:r>
    </w:p>
    <w:p w14:paraId="09DDA20A" w14:textId="77777777" w:rsidR="00B00A6D" w:rsidRPr="00BF6615" w:rsidRDefault="00B00A6D" w:rsidP="007E26B5">
      <w:pPr>
        <w:rPr>
          <w:color w:val="4472C4" w:themeColor="accent1"/>
        </w:rPr>
        <w:sectPr w:rsidR="00B00A6D" w:rsidRPr="00BF6615" w:rsidSect="00B00A6D">
          <w:footerReference w:type="default" r:id="rId89"/>
          <w:pgSz w:w="15840" w:h="12240" w:orient="landscape"/>
          <w:pgMar w:top="1797" w:right="1440" w:bottom="1797" w:left="1440" w:header="720" w:footer="720" w:gutter="0"/>
          <w:cols w:space="720"/>
          <w:docGrid w:linePitch="360"/>
        </w:sectPr>
      </w:pPr>
    </w:p>
    <w:p w14:paraId="2A7C446E" w14:textId="77777777" w:rsidR="00E34628" w:rsidRPr="00BF6615" w:rsidRDefault="00E34628" w:rsidP="007E26B5">
      <w:r w:rsidRPr="00BF6615">
        <w:lastRenderedPageBreak/>
        <w:t xml:space="preserve">Na pytanie co byłoby największym ułatwieniem w korzystaniu z aplikacji podmiotów publicznych respondenci wskazywali na następujące cechy: </w:t>
      </w:r>
    </w:p>
    <w:p w14:paraId="7C59F7C7" w14:textId="77777777" w:rsidR="00E34628" w:rsidRPr="00BF6615" w:rsidRDefault="00E34628">
      <w:pPr>
        <w:pStyle w:val="Akapitzlist"/>
        <w:numPr>
          <w:ilvl w:val="0"/>
          <w:numId w:val="79"/>
        </w:numPr>
      </w:pPr>
      <w:r w:rsidRPr="00BF6615">
        <w:rPr>
          <w:b/>
        </w:rPr>
        <w:t>Przejrzystość i prostota obsługi</w:t>
      </w:r>
      <w:r w:rsidRPr="00BF6615">
        <w:t xml:space="preserve"> – użytkownicy podkreślali znaczenie prostego układu strony, a także intuicyjnego interfejsu („łatwa nawigacja krok po kroku”, „czytelność, łatwe poruszanie się po stronie”).</w:t>
      </w:r>
    </w:p>
    <w:p w14:paraId="22837E40" w14:textId="01163297" w:rsidR="00E34628" w:rsidRPr="00BF6615" w:rsidRDefault="00E34628">
      <w:pPr>
        <w:pStyle w:val="Akapitzlist"/>
        <w:numPr>
          <w:ilvl w:val="0"/>
          <w:numId w:val="79"/>
        </w:numPr>
      </w:pPr>
      <w:r w:rsidRPr="00BF6615">
        <w:rPr>
          <w:b/>
        </w:rPr>
        <w:t>Bezpieczeństwo</w:t>
      </w:r>
      <w:r w:rsidRPr="00BF6615">
        <w:t xml:space="preserve"> – respondenci wskazywali na ochronę danych osobowych </w:t>
      </w:r>
      <w:r w:rsidR="008B0B0A" w:rsidRPr="00BF6615">
        <w:t>i</w:t>
      </w:r>
      <w:r w:rsidR="008B0B0A">
        <w:t> </w:t>
      </w:r>
      <w:r w:rsidRPr="00BF6615">
        <w:t>odpowiednie zabezpieczenia.</w:t>
      </w:r>
    </w:p>
    <w:p w14:paraId="298F1D2A" w14:textId="77777777" w:rsidR="00E34628" w:rsidRPr="00BF6615" w:rsidRDefault="00E34628">
      <w:pPr>
        <w:pStyle w:val="Akapitzlist"/>
        <w:numPr>
          <w:ilvl w:val="0"/>
          <w:numId w:val="79"/>
        </w:numPr>
      </w:pPr>
      <w:r w:rsidRPr="00BF6615">
        <w:rPr>
          <w:b/>
        </w:rPr>
        <w:t>Kontakt</w:t>
      </w:r>
      <w:r w:rsidRPr="00BF6615">
        <w:t xml:space="preserve"> – użytkownicy wyróżniali potrzebę łatwego kontaktu z pomocą techniczną lub urzędnikami („bezpośredni kontakt z suportem”, „łatwy kontakt”).</w:t>
      </w:r>
    </w:p>
    <w:p w14:paraId="725EABC5" w14:textId="4B9F8094" w:rsidR="00E34628" w:rsidRPr="00BF6615" w:rsidRDefault="00E34628">
      <w:pPr>
        <w:pStyle w:val="Akapitzlist"/>
        <w:numPr>
          <w:ilvl w:val="0"/>
          <w:numId w:val="79"/>
        </w:numPr>
      </w:pPr>
      <w:r w:rsidRPr="00BF6615">
        <w:rPr>
          <w:b/>
        </w:rPr>
        <w:t>Dostępność</w:t>
      </w:r>
      <w:r w:rsidRPr="00BF6615">
        <w:t xml:space="preserve"> – wśród odpowiedzi pojawiały się wskazania związane </w:t>
      </w:r>
      <w:r w:rsidR="008B0B0A" w:rsidRPr="00BF6615">
        <w:t>z</w:t>
      </w:r>
      <w:r w:rsidR="008B0B0A">
        <w:t> </w:t>
      </w:r>
      <w:r w:rsidRPr="00BF6615">
        <w:t>zapewnieniem dostępności i dostosowania aplikacji do użytkowników ze specjalnymi potrzebami („by wszędzie był tłumacz PJM”, są niedostosowane”)</w:t>
      </w:r>
    </w:p>
    <w:p w14:paraId="34F0AAC4" w14:textId="77777777" w:rsidR="00E34628" w:rsidRPr="00BF6615" w:rsidRDefault="00E34628">
      <w:pPr>
        <w:pStyle w:val="Akapitzlist"/>
        <w:numPr>
          <w:ilvl w:val="0"/>
          <w:numId w:val="79"/>
        </w:numPr>
      </w:pPr>
      <w:r w:rsidRPr="00BF6615">
        <w:rPr>
          <w:b/>
        </w:rPr>
        <w:t>Rzetelność informacji</w:t>
      </w:r>
      <w:r w:rsidRPr="00BF6615">
        <w:t xml:space="preserve"> – respondenci wskazywali, że treści powinny być pisane prostym, jasnym językiem oraz by informacje by były zrozumiałe i aktualne („aktualne wiadomości”, „unikanie zapożyczeń z języka angielskiego”).</w:t>
      </w:r>
    </w:p>
    <w:p w14:paraId="4E6A53AC" w14:textId="77777777" w:rsidR="00E34628" w:rsidRPr="00BF6615" w:rsidRDefault="00E34628" w:rsidP="007E26B5">
      <w:r w:rsidRPr="00BF6615">
        <w:t>Jednocześnie należy podkreślić, że wiele osób nie miało zdania. Niektórzy wyrażali rozczarowanie jakością aplikacji podmiotów publicznych: „to co jest do niczego się nie nadaje”, „są za skomplikowane”, „często pisane bełkotem prawniczym”.</w:t>
      </w:r>
    </w:p>
    <w:p w14:paraId="490945AA" w14:textId="167C4821" w:rsidR="00B00A6D" w:rsidRPr="00137936" w:rsidRDefault="00B00A6D" w:rsidP="00B271C3">
      <w:pPr>
        <w:pStyle w:val="Nagwek4"/>
        <w:rPr>
          <w:bCs/>
        </w:rPr>
      </w:pPr>
      <w:r w:rsidRPr="00137936">
        <w:rPr>
          <w:bCs/>
        </w:rPr>
        <w:t>Technologie wspomagające w korzystaniu ze stron i aplikacji podmiotów publicznych</w:t>
      </w:r>
    </w:p>
    <w:p w14:paraId="75AB46E5" w14:textId="43C3B1D6" w:rsidR="00E0472C" w:rsidRPr="00BF6615" w:rsidRDefault="007E6A3E" w:rsidP="007E26B5">
      <w:r w:rsidRPr="00BF6615">
        <w:t>30</w:t>
      </w:r>
      <w:r w:rsidR="00B00A6D" w:rsidRPr="00BF6615">
        <w:t>% respondentów korzysta z technologii wspomagających podczas używania stron podmiotów publicznych. Osoby</w:t>
      </w:r>
      <w:r w:rsidRPr="00BF6615">
        <w:t xml:space="preserve"> te wskazywały, że</w:t>
      </w:r>
      <w:r w:rsidR="00B00A6D" w:rsidRPr="00BF6615">
        <w:t xml:space="preserve"> korzystają </w:t>
      </w:r>
      <w:r w:rsidR="00CD561D" w:rsidRPr="00BF6615">
        <w:t>z</w:t>
      </w:r>
      <w:r w:rsidR="00E0472C" w:rsidRPr="00BF6615">
        <w:t>:</w:t>
      </w:r>
    </w:p>
    <w:p w14:paraId="53D44D38" w14:textId="77777777" w:rsidR="00E0472C" w:rsidRPr="00BF6615" w:rsidRDefault="00CD561D">
      <w:pPr>
        <w:pStyle w:val="Akapitzlist"/>
        <w:numPr>
          <w:ilvl w:val="0"/>
          <w:numId w:val="80"/>
        </w:numPr>
      </w:pPr>
      <w:r w:rsidRPr="00BF6615">
        <w:t>czytników ekranu (18 osób)</w:t>
      </w:r>
    </w:p>
    <w:p w14:paraId="2C8B6D0F" w14:textId="77777777" w:rsidR="00E0472C" w:rsidRPr="00BF6615" w:rsidRDefault="00E0472C">
      <w:pPr>
        <w:pStyle w:val="Akapitzlist"/>
        <w:numPr>
          <w:ilvl w:val="0"/>
          <w:numId w:val="80"/>
        </w:numPr>
      </w:pPr>
      <w:r w:rsidRPr="00BF6615">
        <w:t>funkcji</w:t>
      </w:r>
      <w:r w:rsidR="00B00A6D" w:rsidRPr="00BF6615">
        <w:t xml:space="preserve"> powiększania ekranu (</w:t>
      </w:r>
      <w:r w:rsidRPr="00BF6615">
        <w:t>9),</w:t>
      </w:r>
    </w:p>
    <w:p w14:paraId="72B226B5" w14:textId="77777777" w:rsidR="00F012AD" w:rsidRPr="00BF6615" w:rsidRDefault="00B00A6D">
      <w:pPr>
        <w:pStyle w:val="Akapitzlist"/>
        <w:numPr>
          <w:ilvl w:val="0"/>
          <w:numId w:val="80"/>
        </w:numPr>
      </w:pPr>
      <w:r w:rsidRPr="00BF6615">
        <w:t>tłumaczenia online (7</w:t>
      </w:r>
      <w:r w:rsidR="00F012AD" w:rsidRPr="00BF6615">
        <w:t>),</w:t>
      </w:r>
    </w:p>
    <w:p w14:paraId="614E9298" w14:textId="77777777" w:rsidR="00836BFB" w:rsidRPr="00BF6615" w:rsidRDefault="00836BFB">
      <w:pPr>
        <w:pStyle w:val="Akapitzlist"/>
        <w:numPr>
          <w:ilvl w:val="0"/>
          <w:numId w:val="80"/>
        </w:numPr>
      </w:pPr>
      <w:r w:rsidRPr="00BF6615">
        <w:t>klawiatury</w:t>
      </w:r>
      <w:r w:rsidR="00B00A6D" w:rsidRPr="00BF6615">
        <w:t xml:space="preserve"> (</w:t>
      </w:r>
      <w:r w:rsidRPr="00BF6615">
        <w:t>6)</w:t>
      </w:r>
    </w:p>
    <w:p w14:paraId="627CC327" w14:textId="02D6067A" w:rsidR="00836BFB" w:rsidRPr="00BF6615" w:rsidRDefault="0002590B">
      <w:pPr>
        <w:pStyle w:val="Akapitzlist"/>
        <w:numPr>
          <w:ilvl w:val="0"/>
          <w:numId w:val="80"/>
        </w:numPr>
      </w:pPr>
      <w:r w:rsidRPr="00BF6615">
        <w:t>o</w:t>
      </w:r>
      <w:r w:rsidR="00836BFB" w:rsidRPr="00BF6615">
        <w:t>program</w:t>
      </w:r>
      <w:r w:rsidRPr="00BF6615">
        <w:t>owania</w:t>
      </w:r>
      <w:r w:rsidR="00836BFB" w:rsidRPr="00BF6615">
        <w:t xml:space="preserve"> do rozpoznawani</w:t>
      </w:r>
      <w:r w:rsidRPr="00BF6615">
        <w:t>a</w:t>
      </w:r>
      <w:r w:rsidR="00836BFB" w:rsidRPr="00BF6615">
        <w:t xml:space="preserve"> mowy (6),</w:t>
      </w:r>
    </w:p>
    <w:p w14:paraId="03C278CB" w14:textId="04E919E4" w:rsidR="00B00A6D" w:rsidRPr="00BF6615" w:rsidRDefault="002E65F8">
      <w:pPr>
        <w:pStyle w:val="Akapitzlist"/>
        <w:numPr>
          <w:ilvl w:val="0"/>
          <w:numId w:val="80"/>
        </w:numPr>
      </w:pPr>
      <w:r w:rsidRPr="00BF6615">
        <w:t>oprogramowani</w:t>
      </w:r>
      <w:r w:rsidR="007D524E" w:rsidRPr="00BF6615">
        <w:t>a</w:t>
      </w:r>
      <w:r w:rsidRPr="00BF6615">
        <w:t xml:space="preserve"> do zmiany kontrastu i kolorów</w:t>
      </w:r>
      <w:r w:rsidR="007D524E" w:rsidRPr="00BF6615">
        <w:t xml:space="preserve"> (</w:t>
      </w:r>
      <w:r w:rsidR="00F012AD" w:rsidRPr="00BF6615">
        <w:t>5</w:t>
      </w:r>
      <w:r w:rsidR="00B00A6D" w:rsidRPr="00BF6615">
        <w:t>).</w:t>
      </w:r>
    </w:p>
    <w:p w14:paraId="70036778" w14:textId="3A9BA252" w:rsidR="00B00A6D" w:rsidRPr="00137936" w:rsidRDefault="00B00A6D" w:rsidP="00B271C3">
      <w:pPr>
        <w:pStyle w:val="Nagwek4"/>
        <w:rPr>
          <w:bCs/>
        </w:rPr>
      </w:pPr>
      <w:r w:rsidRPr="00137936">
        <w:rPr>
          <w:bCs/>
        </w:rPr>
        <w:t>Trudności w obsłudze stron i aplikacji</w:t>
      </w:r>
      <w:r w:rsidR="00FD0843">
        <w:rPr>
          <w:bCs/>
        </w:rPr>
        <w:t xml:space="preserve"> – </w:t>
      </w:r>
      <w:r w:rsidRPr="00137936">
        <w:rPr>
          <w:bCs/>
        </w:rPr>
        <w:t>poszukiwanie rozwiązań</w:t>
      </w:r>
    </w:p>
    <w:p w14:paraId="4DA55E2E" w14:textId="6E03C5A1" w:rsidR="00B00A6D" w:rsidRPr="00BF6615" w:rsidRDefault="00D95890" w:rsidP="007E26B5">
      <w:r w:rsidRPr="00BF6615">
        <w:t>Tylko co 10 osoba badana</w:t>
      </w:r>
      <w:r w:rsidR="00B00A6D" w:rsidRPr="00BF6615">
        <w:t xml:space="preserve"> nie miała problemów w obsłudze stron i aplikacji. Pozostałe osoby, które doświadczyły takich trudności najczęściej próbowały sobie poradzić z nimi samodzielnie (</w:t>
      </w:r>
      <w:r w:rsidRPr="00BF6615">
        <w:t>36</w:t>
      </w:r>
      <w:r w:rsidR="00B00A6D" w:rsidRPr="00BF6615">
        <w:t>%) lub z pomocą znajomych lub rodziny</w:t>
      </w:r>
      <w:r w:rsidRPr="00BF6615">
        <w:t xml:space="preserve"> (20%)</w:t>
      </w:r>
      <w:r w:rsidR="00B00A6D" w:rsidRPr="00BF6615">
        <w:t>.</w:t>
      </w:r>
      <w:r w:rsidRPr="00BF6615">
        <w:t xml:space="preserve"> Co piata osoba korzystała z </w:t>
      </w:r>
      <w:r w:rsidR="00C37AE7" w:rsidRPr="00BF6615">
        <w:t>pomocy obsługi klienta (19%).</w:t>
      </w:r>
    </w:p>
    <w:p w14:paraId="5C1AE0A7" w14:textId="77777777" w:rsidR="00B00A6D" w:rsidRPr="00BF6615" w:rsidRDefault="00B00A6D" w:rsidP="007E26B5"/>
    <w:p w14:paraId="0E294D9F" w14:textId="411490AC" w:rsidR="00B00A6D" w:rsidRPr="00BF6615" w:rsidRDefault="00B00A6D" w:rsidP="007E26B5">
      <w:pPr>
        <w:pStyle w:val="Legenda"/>
      </w:pPr>
      <w:bookmarkStart w:id="274" w:name="_Toc204179195"/>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49</w:t>
      </w:r>
      <w:r w:rsidRPr="00BF6615">
        <w:fldChar w:fldCharType="end"/>
      </w:r>
      <w:r w:rsidR="00FD0843">
        <w:t>.</w:t>
      </w:r>
      <w:r w:rsidRPr="00BF6615">
        <w:t xml:space="preserve"> Sposoby radzenia sobie z trudnościami technicznymi w obsłudze stron </w:t>
      </w:r>
      <w:r w:rsidR="008B0B0A" w:rsidRPr="00BF6615">
        <w:t>i</w:t>
      </w:r>
      <w:r w:rsidR="008B0B0A">
        <w:t> </w:t>
      </w:r>
      <w:r w:rsidRPr="00BF6615">
        <w:t xml:space="preserve">aplikacji w grupie </w:t>
      </w:r>
      <w:r w:rsidR="00B04FA8" w:rsidRPr="00BF6615">
        <w:t>osoby z niepełnosprawnościami</w:t>
      </w:r>
      <w:r w:rsidRPr="00BF6615">
        <w:t xml:space="preserve"> (n=10</w:t>
      </w:r>
      <w:r w:rsidR="00B04FA8" w:rsidRPr="00BF6615">
        <w:t>6</w:t>
      </w:r>
      <w:r w:rsidRPr="00BF6615">
        <w:t>)</w:t>
      </w:r>
      <w:bookmarkEnd w:id="274"/>
    </w:p>
    <w:p w14:paraId="61939644" w14:textId="3CF1B712" w:rsidR="00B00A6D" w:rsidRPr="00BF6615" w:rsidRDefault="00B04FA8" w:rsidP="007E26B5">
      <w:r w:rsidRPr="00BF6615">
        <w:rPr>
          <w:noProof/>
          <w:lang w:eastAsia="pl-PL"/>
        </w:rPr>
        <w:drawing>
          <wp:inline distT="0" distB="0" distL="0" distR="0" wp14:anchorId="31DEFC88" wp14:editId="76DE0996">
            <wp:extent cx="5891916" cy="3514476"/>
            <wp:effectExtent l="0" t="0" r="1270" b="3810"/>
            <wp:docPr id="150628195" name="Wykres 1" descr="nie miałem/am takiego problemu - 11%&#10;samodzielnie - 36%&#10;z pomocą obsługi klienta - 19%&#10;z pomocą znajomych/rodziny - 20%&#10;nie próbowałem/am pokonać tych trudności - 3%&#10;nie potrafię sobie z nimi poradzić - 11%">
              <a:extLst xmlns:a="http://schemas.openxmlformats.org/drawingml/2006/main">
                <a:ext uri="{FF2B5EF4-FFF2-40B4-BE49-F238E27FC236}">
                  <a16:creationId xmlns:a16="http://schemas.microsoft.com/office/drawing/2014/main" id="{34FB67F5-3670-4AF0-A752-F388493598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5F88FCF" w14:textId="221AF743" w:rsidR="00B00A6D" w:rsidRPr="00BF6615" w:rsidRDefault="00B00A6D" w:rsidP="007E26B5"/>
    <w:p w14:paraId="5BB1E19F" w14:textId="77777777" w:rsidR="00B00A6D" w:rsidRPr="00BF6615" w:rsidRDefault="00B00A6D" w:rsidP="00FD0843">
      <w:r w:rsidRPr="00BF6615">
        <w:t>Źródło: opracowanie własne.</w:t>
      </w:r>
    </w:p>
    <w:p w14:paraId="3F43B9DD" w14:textId="77777777" w:rsidR="00B00A6D" w:rsidRPr="00137936" w:rsidRDefault="00B00A6D" w:rsidP="00B271C3">
      <w:pPr>
        <w:pStyle w:val="Nagwek4"/>
        <w:rPr>
          <w:bCs/>
        </w:rPr>
      </w:pPr>
      <w:r w:rsidRPr="00137936">
        <w:rPr>
          <w:bCs/>
        </w:rPr>
        <w:t>Deklaracje dostępności</w:t>
      </w:r>
    </w:p>
    <w:p w14:paraId="243E1BD1" w14:textId="21D61174" w:rsidR="00B00A6D" w:rsidRPr="00BF6615" w:rsidRDefault="006604C6" w:rsidP="007E26B5">
      <w:r w:rsidRPr="00BF6615">
        <w:t>57</w:t>
      </w:r>
      <w:r w:rsidR="00B00A6D" w:rsidRPr="00BF6615">
        <w:t>% respondentów nie wie, że podmioty muszą przygotować deklarację dostępności.</w:t>
      </w:r>
    </w:p>
    <w:p w14:paraId="7DBDF42B" w14:textId="77777777" w:rsidR="00B00A6D" w:rsidRPr="00BF6615" w:rsidRDefault="00B00A6D" w:rsidP="007E26B5"/>
    <w:p w14:paraId="7B4D0E41" w14:textId="7FAF0771" w:rsidR="00B00A6D" w:rsidRPr="00BF6615" w:rsidRDefault="00B00A6D" w:rsidP="007E26B5">
      <w:pPr>
        <w:pStyle w:val="Legenda"/>
        <w:keepNext/>
      </w:pPr>
      <w:bookmarkStart w:id="275" w:name="_Toc204179196"/>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50</w:t>
      </w:r>
      <w:r w:rsidRPr="00BF6615">
        <w:fldChar w:fldCharType="end"/>
      </w:r>
      <w:r w:rsidR="00FD0843">
        <w:t>.</w:t>
      </w:r>
      <w:r w:rsidRPr="00BF6615">
        <w:t xml:space="preserve"> Wiedza o tym, że każdy podmiot publiczny musi przygotowywać i publikować na swojej stronie deklarację dostępności</w:t>
      </w:r>
      <w:r w:rsidR="00D32013" w:rsidRPr="00BF6615">
        <w:t xml:space="preserve"> w grupie osoby z niepełnosprawnościami</w:t>
      </w:r>
      <w:r w:rsidRPr="00BF6615">
        <w:t xml:space="preserve"> (n=10</w:t>
      </w:r>
      <w:r w:rsidR="005E2D66" w:rsidRPr="00BF6615">
        <w:t>6</w:t>
      </w:r>
      <w:r w:rsidRPr="00BF6615">
        <w:t>)</w:t>
      </w:r>
      <w:bookmarkEnd w:id="275"/>
    </w:p>
    <w:p w14:paraId="4FBF18C7" w14:textId="657AFED0" w:rsidR="00B00A6D" w:rsidRPr="00BF6615" w:rsidRDefault="005E2D66" w:rsidP="007E26B5">
      <w:r w:rsidRPr="00BF6615">
        <w:rPr>
          <w:noProof/>
          <w:lang w:eastAsia="pl-PL"/>
        </w:rPr>
        <w:drawing>
          <wp:inline distT="0" distB="0" distL="0" distR="0" wp14:anchorId="3A8E6866" wp14:editId="17C70B29">
            <wp:extent cx="4943192" cy="2607398"/>
            <wp:effectExtent l="0" t="0" r="0" b="2540"/>
            <wp:docPr id="654085194" name="Wykres 1" descr="wiem - 43%&#10;nie wiem - 57%">
              <a:extLst xmlns:a="http://schemas.openxmlformats.org/drawingml/2006/main">
                <a:ext uri="{FF2B5EF4-FFF2-40B4-BE49-F238E27FC236}">
                  <a16:creationId xmlns:a16="http://schemas.microsoft.com/office/drawing/2014/main" id="{8ACCB759-978D-48CB-8654-746522BE9F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1551724" w14:textId="77777777" w:rsidR="00B00A6D" w:rsidRPr="00BF6615" w:rsidRDefault="00B00A6D" w:rsidP="00FD0843">
      <w:r w:rsidRPr="00BF6615">
        <w:t>Źródło: opracowanie własne.</w:t>
      </w:r>
    </w:p>
    <w:p w14:paraId="271DAE0A" w14:textId="21B6837D" w:rsidR="00AA2AC3" w:rsidRPr="00BF6615" w:rsidRDefault="000A5369" w:rsidP="007E26B5">
      <w:r w:rsidRPr="00BF6615">
        <w:t>Połowa</w:t>
      </w:r>
      <w:r w:rsidR="00B00A6D" w:rsidRPr="00BF6615">
        <w:t xml:space="preserve"> z grupy badanych, która wie, że podmioty muszą przygotować deklarację</w:t>
      </w:r>
      <w:r w:rsidR="00336685" w:rsidRPr="00BF6615">
        <w:t xml:space="preserve">, </w:t>
      </w:r>
      <w:r w:rsidR="008B0B0A" w:rsidRPr="00BF6615">
        <w:t>a</w:t>
      </w:r>
      <w:r w:rsidR="008B0B0A">
        <w:t> </w:t>
      </w:r>
      <w:r w:rsidR="00336685" w:rsidRPr="00BF6615">
        <w:t xml:space="preserve">połowa z tej grupy </w:t>
      </w:r>
      <w:r w:rsidR="00B00A6D" w:rsidRPr="00BF6615">
        <w:t>korzystała z nich kiedykolwiek</w:t>
      </w:r>
      <w:r w:rsidR="00336685" w:rsidRPr="00BF6615">
        <w:t xml:space="preserve"> przy czym </w:t>
      </w:r>
      <w:r w:rsidR="00AA2AC3" w:rsidRPr="00BF6615">
        <w:t xml:space="preserve">68% </w:t>
      </w:r>
      <w:r w:rsidR="00336685" w:rsidRPr="00BF6615">
        <w:t>ocenia</w:t>
      </w:r>
      <w:r w:rsidR="00AA2AC3" w:rsidRPr="00BF6615">
        <w:t xml:space="preserve"> swoje doświadczenia korzystania z deklaracji jako pozytywne</w:t>
      </w:r>
      <w:r w:rsidR="00336685" w:rsidRPr="00BF6615">
        <w:t xml:space="preserve">. </w:t>
      </w:r>
    </w:p>
    <w:p w14:paraId="2919A548" w14:textId="3F08420C" w:rsidR="00B00A6D" w:rsidRPr="00BF6615" w:rsidRDefault="001A310F" w:rsidP="007E26B5">
      <w:r w:rsidRPr="00BF6615">
        <w:t>O</w:t>
      </w:r>
      <w:r w:rsidR="00B00A6D" w:rsidRPr="00BF6615">
        <w:t>soby, które miały do czynienia z deklaracjami</w:t>
      </w:r>
      <w:r w:rsidRPr="00BF6615">
        <w:t xml:space="preserve"> </w:t>
      </w:r>
      <w:r w:rsidR="00B35BA0" w:rsidRPr="00BF6615">
        <w:t>najczęściej</w:t>
      </w:r>
      <w:r w:rsidR="00B00A6D" w:rsidRPr="00BF6615">
        <w:t xml:space="preserve"> wskazują, że brakuje w nich szczegółowych informacji o dostępności strony www lub aplikacji oraz kontaktów do osób odpowiedzialnych za dostępność.</w:t>
      </w:r>
      <w:r w:rsidR="00B35BA0" w:rsidRPr="00BF6615">
        <w:t xml:space="preserve"> </w:t>
      </w:r>
      <w:r w:rsidR="00600F38" w:rsidRPr="00BF6615">
        <w:t>Wskazano także na braki w zakresie opisu dostępności architektonicznej oraz na brak informacji o</w:t>
      </w:r>
      <w:r w:rsidR="002C48DF" w:rsidRPr="00BF6615">
        <w:t xml:space="preserve"> dostępności informacyjno- komunikacyjnej podmiotu (np. dostęp do pętli indukcyjnej). Dwie osoby wskazały, że ni</w:t>
      </w:r>
      <w:r w:rsidR="00DA07CA" w:rsidRPr="00BF6615">
        <w:t>e</w:t>
      </w:r>
      <w:r w:rsidR="002C48DF" w:rsidRPr="00BF6615">
        <w:t xml:space="preserve"> widzą braków</w:t>
      </w:r>
      <w:r w:rsidR="00DA07CA" w:rsidRPr="00BF6615">
        <w:t>- jeden z badanych stwierdził:</w:t>
      </w:r>
      <w:r w:rsidR="002C48DF" w:rsidRPr="00BF6615">
        <w:t xml:space="preserve"> „</w:t>
      </w:r>
      <w:r w:rsidR="00DA07CA" w:rsidRPr="00BF6615">
        <w:t>co chciałem wiedzieć to znalazłem”.</w:t>
      </w:r>
    </w:p>
    <w:p w14:paraId="57E69704" w14:textId="77777777" w:rsidR="00B00A6D" w:rsidRPr="00BF6615" w:rsidRDefault="00B00A6D" w:rsidP="007E26B5">
      <w:pPr>
        <w:spacing w:after="160" w:line="259" w:lineRule="auto"/>
        <w:rPr>
          <w:rFonts w:eastAsiaTheme="majorEastAsia" w:cstheme="majorBidi"/>
          <w:b/>
          <w:u w:val="single"/>
        </w:rPr>
      </w:pPr>
      <w:r w:rsidRPr="00BF6615">
        <w:br w:type="page"/>
      </w:r>
    </w:p>
    <w:p w14:paraId="29E1C059" w14:textId="77777777" w:rsidR="0027312B" w:rsidRPr="00137936" w:rsidRDefault="0027312B" w:rsidP="00B271C3">
      <w:pPr>
        <w:pStyle w:val="Nagwek4"/>
        <w:rPr>
          <w:bCs/>
        </w:rPr>
      </w:pPr>
      <w:r w:rsidRPr="00137936">
        <w:rPr>
          <w:bCs/>
        </w:rPr>
        <w:lastRenderedPageBreak/>
        <w:t>Osoby z niepełnosprawnościami- podsumowanie wyników</w:t>
      </w:r>
    </w:p>
    <w:p w14:paraId="549CDD70" w14:textId="77777777" w:rsidR="0027312B" w:rsidRPr="00BF6615" w:rsidRDefault="0027312B" w:rsidP="007E26B5">
      <w:pPr>
        <w:rPr>
          <w:szCs w:val="24"/>
        </w:rPr>
      </w:pPr>
      <w:r w:rsidRPr="00BF6615">
        <w:rPr>
          <w:szCs w:val="24"/>
        </w:rPr>
        <w:t>Analiza wyników pokazała, że osoby z niepełnosprawnościami są grupą, w której niemal 40% badanych ocenia swoje umiejętności posługiwania się komputerem jako bardzo dobre. Podobnie badani deklarowali w zakresie obsługi Internetu- 37% wskazało, że jest biegła w korzystaniu z sieci. Wyniki te przełożyły się na ocenę częstotliwości korzystania z Internetu- 92% badanych osób z niepełnosprawnościami korzysta z Internetu codziennie, co świadczy o dużej wadze tych narzędzi w codziennym życiu. Codzienność używania technologii do załatwiania spraw dotyczących własnego życia i zdrowia deklarowała większość badanych w tej grupie- cele osobiste, rozrywka, komunikacja czy poszukiwania informacji były najczęściej wskazywane. Uwagę zwraca wysoki udział załatwiania spraw związanych ze zdrowiem na tle innych grup badanych, co może wynikać z posiadanej niepełnosprawności. Potwierdzają to także wyniki w zakresie najczęściej odwiedzanych stron- przeważają te związane z rejestracją do lekarzy oraz odwiedzane strony w</w:t>
      </w:r>
      <w:r w:rsidRPr="00BF6615">
        <w:t xml:space="preserve"> grupie stron tematycznych, gdzie najczęściej wskazywano na strony instytucji zdrowotnych.</w:t>
      </w:r>
    </w:p>
    <w:p w14:paraId="20E7F9FD" w14:textId="77777777" w:rsidR="0027312B" w:rsidRPr="00BF6615" w:rsidRDefault="0027312B" w:rsidP="007E26B5">
      <w:r w:rsidRPr="00BF6615">
        <w:rPr>
          <w:szCs w:val="24"/>
        </w:rPr>
        <w:t>Wykorzystanie komputera i Internetu do załatwiania spraw urzędowych deklarowała niespełna połowa (48%) badanych, a w</w:t>
      </w:r>
      <w:r w:rsidRPr="00BF6615">
        <w:t>iększość respondentów określiła korzystanie ze stron podmiotów publicznych i aplikacji, jako sporadyczne (dla stron 67%: dla aplikacji: 40%). Wyniki te uwidoczniły się w pytaniu o to, w jaki sposób badania załatwiają sprawy urzędowe- tylko 22% deklarowało, że robi to online. Przy czym w tej grupie większość stanowiły osoby z niepełnosprawnością ruchu. Można założyć, że rodzaj niepełnosprawności determinuje taki sposób załatwienia spraw z uwagi na słabą dostępność infrastruktury architektonicznej podmiotów publicznych.</w:t>
      </w:r>
    </w:p>
    <w:p w14:paraId="73B48B2D" w14:textId="71DF1099" w:rsidR="00CE7312" w:rsidRPr="00BF6615" w:rsidRDefault="0027312B" w:rsidP="007E26B5">
      <w:r w:rsidRPr="00BF6615">
        <w:t xml:space="preserve">Badani w grupie osoby z niepełnosprawnościami wskazywali, </w:t>
      </w:r>
      <w:r w:rsidR="46E98287" w:rsidRPr="00BF6615">
        <w:t>ż</w:t>
      </w:r>
      <w:r w:rsidRPr="00BF6615">
        <w:t xml:space="preserve">e najczęściej korzystają ze stron rządowych, ministerstw lub agencji (22%), nieco rzadziej ze stron urzędów miejskich/gminnych (16%) czy stron Urzędów Skarbowych (15%). Wśród aplikacji mobilnych największą popularnością cieszyła aplikacja się </w:t>
      </w:r>
      <w:proofErr w:type="spellStart"/>
      <w:r w:rsidRPr="00BF6615">
        <w:t>mObywatel</w:t>
      </w:r>
      <w:proofErr w:type="spellEnd"/>
      <w:r w:rsidRPr="00BF6615">
        <w:t xml:space="preserve">, </w:t>
      </w:r>
      <w:proofErr w:type="spellStart"/>
      <w:r w:rsidRPr="00BF6615">
        <w:t>mojeIKP</w:t>
      </w:r>
      <w:proofErr w:type="spellEnd"/>
      <w:r w:rsidRPr="00BF6615">
        <w:t xml:space="preserve"> </w:t>
      </w:r>
      <w:r w:rsidR="008B0B0A" w:rsidRPr="00BF6615">
        <w:t>i</w:t>
      </w:r>
      <w:r w:rsidR="008B0B0A">
        <w:t> </w:t>
      </w:r>
      <w:r w:rsidRPr="00BF6615">
        <w:t xml:space="preserve">aplikacje transportowe. </w:t>
      </w:r>
    </w:p>
    <w:p w14:paraId="1A961C9D" w14:textId="158CB4A5" w:rsidR="006159CD" w:rsidRPr="00BF6615" w:rsidRDefault="0027312B" w:rsidP="007E26B5">
      <w:pPr>
        <w:rPr>
          <w:szCs w:val="24"/>
        </w:rPr>
      </w:pPr>
      <w:r w:rsidRPr="00BF6615">
        <w:rPr>
          <w:szCs w:val="24"/>
        </w:rPr>
        <w:t xml:space="preserve">Średnie oceny dostępności stron publicznych </w:t>
      </w:r>
      <w:r w:rsidR="00742230" w:rsidRPr="00BF6615">
        <w:rPr>
          <w:szCs w:val="24"/>
        </w:rPr>
        <w:t>są dość wysokie, przy czym znacząco niżej badani w tej grupie ocenili strony rządowe. Tak, jak</w:t>
      </w:r>
      <w:r w:rsidR="00B22861" w:rsidRPr="00BF6615">
        <w:rPr>
          <w:szCs w:val="24"/>
        </w:rPr>
        <w:t xml:space="preserve"> </w:t>
      </w:r>
      <w:r w:rsidR="00742230" w:rsidRPr="00BF6615">
        <w:rPr>
          <w:szCs w:val="24"/>
        </w:rPr>
        <w:t>w</w:t>
      </w:r>
      <w:r w:rsidR="00CE7312" w:rsidRPr="00BF6615">
        <w:rPr>
          <w:szCs w:val="24"/>
        </w:rPr>
        <w:t xml:space="preserve"> </w:t>
      </w:r>
      <w:r w:rsidR="00742230" w:rsidRPr="00BF6615">
        <w:rPr>
          <w:szCs w:val="24"/>
        </w:rPr>
        <w:t>przypadku innych grup wskazywano na problem z kontaktem z podmiotem</w:t>
      </w:r>
      <w:r w:rsidR="00B22861" w:rsidRPr="00BF6615">
        <w:rPr>
          <w:szCs w:val="24"/>
        </w:rPr>
        <w:t xml:space="preserve">, a strony instytucji kultury zostały ocenione najwyżej. </w:t>
      </w:r>
      <w:r w:rsidRPr="00BF6615">
        <w:rPr>
          <w:szCs w:val="24"/>
        </w:rPr>
        <w:t xml:space="preserve">Aplikacje </w:t>
      </w:r>
      <w:r w:rsidR="00B22861" w:rsidRPr="00BF6615">
        <w:rPr>
          <w:szCs w:val="24"/>
        </w:rPr>
        <w:t>zostały</w:t>
      </w:r>
      <w:r w:rsidR="006159CD" w:rsidRPr="00BF6615">
        <w:rPr>
          <w:szCs w:val="24"/>
        </w:rPr>
        <w:t xml:space="preserve"> </w:t>
      </w:r>
      <w:r w:rsidR="00B22861" w:rsidRPr="00BF6615">
        <w:rPr>
          <w:szCs w:val="24"/>
        </w:rPr>
        <w:t>ocenione lepiej niż strony</w:t>
      </w:r>
      <w:r w:rsidR="006159CD" w:rsidRPr="00BF6615">
        <w:rPr>
          <w:szCs w:val="24"/>
        </w:rPr>
        <w:t xml:space="preserve">, a ocena ich dostępności cyfrowej jest wysoka, bo wynosi ponad 4 w skali 1-5. W zakresie dostępności stron </w:t>
      </w:r>
      <w:r w:rsidR="008B0B0A" w:rsidRPr="00BF6615">
        <w:rPr>
          <w:szCs w:val="24"/>
        </w:rPr>
        <w:t>i</w:t>
      </w:r>
      <w:r w:rsidR="008B0B0A">
        <w:rPr>
          <w:szCs w:val="24"/>
        </w:rPr>
        <w:t> </w:t>
      </w:r>
      <w:r w:rsidR="006159CD" w:rsidRPr="00BF6615">
        <w:rPr>
          <w:szCs w:val="24"/>
        </w:rPr>
        <w:t>aplikacji pojawiły się problemy z brakiem tekstów ETR</w:t>
      </w:r>
      <w:r w:rsidR="00390F0D" w:rsidRPr="00BF6615">
        <w:rPr>
          <w:szCs w:val="24"/>
        </w:rPr>
        <w:t xml:space="preserve">, </w:t>
      </w:r>
      <w:r w:rsidR="00CE7312" w:rsidRPr="00BF6615">
        <w:rPr>
          <w:szCs w:val="24"/>
        </w:rPr>
        <w:t xml:space="preserve">brakiem dostępności formularzy </w:t>
      </w:r>
      <w:r w:rsidR="006159CD" w:rsidRPr="00BF6615">
        <w:rPr>
          <w:szCs w:val="24"/>
        </w:rPr>
        <w:t>czy brakiem możliwości obsługi za pomocą klawiatury.</w:t>
      </w:r>
    </w:p>
    <w:p w14:paraId="32120952" w14:textId="5FBA23B6" w:rsidR="0027312B" w:rsidRPr="00BF6615" w:rsidRDefault="0027312B" w:rsidP="007E26B5">
      <w:pPr>
        <w:rPr>
          <w:szCs w:val="24"/>
        </w:rPr>
      </w:pPr>
      <w:r w:rsidRPr="00BF6615">
        <w:rPr>
          <w:szCs w:val="24"/>
        </w:rPr>
        <w:lastRenderedPageBreak/>
        <w:t xml:space="preserve">W radzeniu sobie z problemami dominowała strategia samodzielnego poszukiwania rozwiązań (36%) oraz wsparcie znajomych lub rodziny (20%). Częściej niż w innych grupach pojawiają się także odpowiedzi, że badani korzystają z pomocy obsługi klienta (19%). </w:t>
      </w:r>
    </w:p>
    <w:p w14:paraId="291706DF" w14:textId="77777777" w:rsidR="0027312B" w:rsidRPr="00BF6615" w:rsidRDefault="0027312B" w:rsidP="007E26B5">
      <w:r w:rsidRPr="00BF6615">
        <w:rPr>
          <w:szCs w:val="24"/>
        </w:rPr>
        <w:t xml:space="preserve">W grupie osób z niepełnosprawnościami wykorzystanie technologii wspomagających jest zdecydowanie wyższe niż w innych grupach, co wynika ze specyfiki typów niepełnosprawności wśród badanych. Co trzecia osoba korzysta </w:t>
      </w:r>
      <w:r w:rsidRPr="00BF6615">
        <w:t>z technologii wspomagających podczas używania stron podmiotów publicznych. Osoby te wskazywały, że korzystają najczęściej z czytników ekranu (18 osób).</w:t>
      </w:r>
    </w:p>
    <w:p w14:paraId="736F69B5" w14:textId="51FAE98B" w:rsidR="0027312B" w:rsidRPr="00BF6615" w:rsidRDefault="0027312B" w:rsidP="007E26B5">
      <w:r w:rsidRPr="00BF6615">
        <w:rPr>
          <w:szCs w:val="24"/>
        </w:rPr>
        <w:t xml:space="preserve">43% badanych wie, że podmioty musza przygotowywać deklaracje dostępności, </w:t>
      </w:r>
      <w:r w:rsidR="008B0B0A" w:rsidRPr="00BF6615">
        <w:rPr>
          <w:szCs w:val="24"/>
        </w:rPr>
        <w:t>a</w:t>
      </w:r>
      <w:r w:rsidR="008B0B0A">
        <w:rPr>
          <w:szCs w:val="24"/>
        </w:rPr>
        <w:t> </w:t>
      </w:r>
      <w:r w:rsidRPr="00BF6615">
        <w:rPr>
          <w:szCs w:val="24"/>
        </w:rPr>
        <w:t>p</w:t>
      </w:r>
      <w:r w:rsidRPr="00BF6615">
        <w:t xml:space="preserve">ołowa z grupy badanych, która wie, że podmioty muszą przygotować deklarację dostępności korzystała z nich kiedykolwiek oceniając w większości swoje doświadczenia jako pozytywne. Inaczej niż w innych grupach w grupie osób z niepełnosprawnościami poza brakami w deklaracjach dotyczącymi braku szczegółowych informacji o dostępności strony www lub aplikacji czy kontaktów do osób odpowiedzialnych za dostępność badani wskazali inne elementy. W tej grupie znalazły się: brak opisu dostępności architektonicznej oraz brak informacji o dostępności informacyjno- komunikacyjnej podmiotu (np. dostęp do pętli indukcyjnej). </w:t>
      </w:r>
    </w:p>
    <w:p w14:paraId="11AAEF03" w14:textId="77777777" w:rsidR="0088376F" w:rsidRPr="00BF6615" w:rsidRDefault="00A62D34" w:rsidP="007E26B5">
      <w:r w:rsidRPr="00BF6615">
        <w:t xml:space="preserve">Jako najważniejsze przy korzystaniu ze stron podmiotów publicznych respondenci wskazali: </w:t>
      </w:r>
      <w:r w:rsidR="008C38DC" w:rsidRPr="00BF6615">
        <w:t>możliwość łatwego kontaktu z urzędem</w:t>
      </w:r>
      <w:r w:rsidR="007E1A2E" w:rsidRPr="00BF6615">
        <w:t>,</w:t>
      </w:r>
      <w:r w:rsidR="008C38DC" w:rsidRPr="00BF6615">
        <w:t xml:space="preserve"> przejrzystość informacji, treści napisane w sposób zrozumiały, czy łatwość przeglądania poszczególnych podstron. </w:t>
      </w:r>
      <w:r w:rsidR="007E1A2E" w:rsidRPr="00BF6615">
        <w:t>Dodatkowo często wskazywano na potrzeb</w:t>
      </w:r>
      <w:r w:rsidR="0088376F" w:rsidRPr="00BF6615">
        <w:t xml:space="preserve">y w zakresie </w:t>
      </w:r>
      <w:r w:rsidR="008C38DC" w:rsidRPr="00BF6615">
        <w:t>prostot</w:t>
      </w:r>
      <w:r w:rsidR="0088376F" w:rsidRPr="00BF6615">
        <w:t>y</w:t>
      </w:r>
      <w:r w:rsidR="008C38DC" w:rsidRPr="00BF6615">
        <w:t xml:space="preserve"> obsługi stron</w:t>
      </w:r>
      <w:r w:rsidR="0088376F" w:rsidRPr="00BF6615">
        <w:t xml:space="preserve"> czy szybkości ich działania.</w:t>
      </w:r>
    </w:p>
    <w:p w14:paraId="2C7C9756" w14:textId="21DE5DE7" w:rsidR="0027312B" w:rsidRPr="00BF6615" w:rsidRDefault="007519DC" w:rsidP="007E26B5">
      <w:pPr>
        <w:rPr>
          <w:szCs w:val="24"/>
        </w:rPr>
      </w:pPr>
      <w:r w:rsidRPr="00BF6615">
        <w:rPr>
          <w:szCs w:val="24"/>
        </w:rPr>
        <w:t>Osoby z niepełnosprawnościami sformułowały swoje oczekiwania w stosunku do aplikacji jako</w:t>
      </w:r>
      <w:r w:rsidR="00561696" w:rsidRPr="00BF6615">
        <w:rPr>
          <w:szCs w:val="24"/>
        </w:rPr>
        <w:t xml:space="preserve">: </w:t>
      </w:r>
      <w:r w:rsidR="0088376F" w:rsidRPr="00BF6615">
        <w:t xml:space="preserve">łatwa nawigacja w aplikacji, przejrzystość informacji i treści napisane </w:t>
      </w:r>
      <w:r w:rsidR="008B0B0A" w:rsidRPr="00BF6615">
        <w:t>w</w:t>
      </w:r>
      <w:r w:rsidR="008B0B0A">
        <w:t> </w:t>
      </w:r>
      <w:r w:rsidR="0088376F" w:rsidRPr="00BF6615">
        <w:t xml:space="preserve">sposób zrozumiały. </w:t>
      </w:r>
      <w:r w:rsidR="0088376F" w:rsidRPr="00BF6615">
        <w:rPr>
          <w:szCs w:val="24"/>
        </w:rPr>
        <w:t>Dodatkowo mocno podkreślano przejrzystość i prostotę aplikacji.</w:t>
      </w:r>
    </w:p>
    <w:p w14:paraId="25383561" w14:textId="28DCCBFC" w:rsidR="0027312B" w:rsidRPr="00BF6615" w:rsidRDefault="0027312B" w:rsidP="007E26B5">
      <w:pPr>
        <w:rPr>
          <w:szCs w:val="24"/>
        </w:rPr>
      </w:pPr>
      <w:r w:rsidRPr="00BF6615">
        <w:rPr>
          <w:szCs w:val="24"/>
        </w:rPr>
        <w:t xml:space="preserve">Analiza wyników pozwala stwierdzić, że respondenci w grupie osoby </w:t>
      </w:r>
      <w:r w:rsidR="008B0B0A" w:rsidRPr="00BF6615">
        <w:rPr>
          <w:szCs w:val="24"/>
        </w:rPr>
        <w:t>z</w:t>
      </w:r>
      <w:r w:rsidR="008B0B0A">
        <w:rPr>
          <w:szCs w:val="24"/>
        </w:rPr>
        <w:t> </w:t>
      </w:r>
      <w:r w:rsidRPr="00BF6615">
        <w:rPr>
          <w:szCs w:val="24"/>
        </w:rPr>
        <w:t xml:space="preserve">niepełnosprawnościami, wykazują bardzo wysoką aktywność w Internecie, przy czym odnosi się ona głównie do aktywności osobistych. Wykorzystanie komputera i Internetu do kontaktów z administracją jest wyraźnie niższe, niż w innych badanych grupach. Mimo takiego wyniku należy stwierdzić, że w badanej grupie wykorzystanie Internetu </w:t>
      </w:r>
      <w:r w:rsidR="008B0B0A" w:rsidRPr="00BF6615">
        <w:rPr>
          <w:szCs w:val="24"/>
        </w:rPr>
        <w:t>w</w:t>
      </w:r>
      <w:r w:rsidR="008B0B0A">
        <w:rPr>
          <w:szCs w:val="24"/>
        </w:rPr>
        <w:t> </w:t>
      </w:r>
      <w:r w:rsidRPr="00BF6615">
        <w:rPr>
          <w:szCs w:val="24"/>
        </w:rPr>
        <w:t>ogóle było nieznacznie wyższe niż w badaniach GUS</w:t>
      </w:r>
      <w:r w:rsidRPr="00BF6615">
        <w:rPr>
          <w:rStyle w:val="Odwoanieprzypisudolnego"/>
          <w:szCs w:val="24"/>
        </w:rPr>
        <w:footnoteReference w:id="47"/>
      </w:r>
      <w:r w:rsidRPr="00BF6615">
        <w:rPr>
          <w:szCs w:val="24"/>
        </w:rPr>
        <w:t xml:space="preserve">. Mimo wszystko nadal wiele spraw badani załatwiają osobiście, czy łącząc różne sposoby kontaktu z administracją. </w:t>
      </w:r>
      <w:r w:rsidRPr="00BF6615">
        <w:rPr>
          <w:szCs w:val="24"/>
        </w:rPr>
        <w:lastRenderedPageBreak/>
        <w:t>Wysokie jest wykorzystanie stron czy aplikacji z obszaru zdrowia, co wynika ze specyfiki badanej grupy.</w:t>
      </w:r>
    </w:p>
    <w:p w14:paraId="57B11034" w14:textId="30CA4D09" w:rsidR="0027312B" w:rsidRPr="00BF6615" w:rsidRDefault="0027312B" w:rsidP="007E26B5">
      <w:pPr>
        <w:rPr>
          <w:szCs w:val="24"/>
        </w:rPr>
      </w:pPr>
      <w:r w:rsidRPr="00BF6615">
        <w:rPr>
          <w:szCs w:val="24"/>
        </w:rPr>
        <w:t xml:space="preserve">Osoby z niepełnosprawnościami oceniają ogólną dostępność cyfrową </w:t>
      </w:r>
      <w:r w:rsidR="00561696" w:rsidRPr="00BF6615">
        <w:rPr>
          <w:szCs w:val="24"/>
        </w:rPr>
        <w:t>stron</w:t>
      </w:r>
      <w:r w:rsidRPr="00BF6615">
        <w:rPr>
          <w:szCs w:val="24"/>
        </w:rPr>
        <w:t xml:space="preserve"> i </w:t>
      </w:r>
      <w:r w:rsidR="00561696" w:rsidRPr="00BF6615">
        <w:rPr>
          <w:szCs w:val="24"/>
        </w:rPr>
        <w:t xml:space="preserve">aplikacji </w:t>
      </w:r>
      <w:r w:rsidR="00546B83" w:rsidRPr="00BF6615">
        <w:rPr>
          <w:szCs w:val="24"/>
        </w:rPr>
        <w:t>dobrze- większość ocen wyniosła powyżej 4 pkt, a żadna z ocen jednostkowych nie spadła poniżej 3 w skali 1-5.</w:t>
      </w:r>
      <w:r w:rsidRPr="00BF6615">
        <w:rPr>
          <w:szCs w:val="24"/>
        </w:rPr>
        <w:t xml:space="preserve"> Wysoko oceniane są szczególnie strony i aplikacje instytucji kultury. </w:t>
      </w:r>
      <w:r w:rsidR="008F7C65" w:rsidRPr="00BF6615">
        <w:rPr>
          <w:szCs w:val="24"/>
        </w:rPr>
        <w:t xml:space="preserve">Zdecydowanie mnie </w:t>
      </w:r>
      <w:r w:rsidRPr="00BF6615">
        <w:rPr>
          <w:szCs w:val="24"/>
        </w:rPr>
        <w:t xml:space="preserve">przychylne opinie dotyczą serwisów </w:t>
      </w:r>
      <w:r w:rsidR="008F7C65" w:rsidRPr="00BF6615">
        <w:rPr>
          <w:szCs w:val="24"/>
        </w:rPr>
        <w:t xml:space="preserve">rządowych. </w:t>
      </w:r>
    </w:p>
    <w:p w14:paraId="63FE8908" w14:textId="06BA50AF" w:rsidR="008F7C65" w:rsidRPr="00BF6615" w:rsidRDefault="008F7C65" w:rsidP="007E26B5">
      <w:pPr>
        <w:spacing w:after="160" w:line="259" w:lineRule="auto"/>
        <w:rPr>
          <w:szCs w:val="24"/>
        </w:rPr>
      </w:pPr>
      <w:r w:rsidRPr="00BF6615">
        <w:rPr>
          <w:szCs w:val="24"/>
        </w:rPr>
        <w:t xml:space="preserve">Konieczna jest dalsza poprawa dostępności na stronach i w aplikacjach rządowych oraz poprawa dostępności możliwości kontaktu z podmiotem czy korzystania ze wsparcia helpdesku w zasadzie w każdym typie strony czy aplikacji. Zidentyfikowane problemy powinny stanowić podstawę do dalszych działań na rzecz poprawy dostępności stron </w:t>
      </w:r>
      <w:r w:rsidR="008B0B0A" w:rsidRPr="00BF6615">
        <w:rPr>
          <w:szCs w:val="24"/>
        </w:rPr>
        <w:t>i</w:t>
      </w:r>
      <w:r w:rsidR="008B0B0A">
        <w:rPr>
          <w:szCs w:val="24"/>
        </w:rPr>
        <w:t> </w:t>
      </w:r>
      <w:r w:rsidRPr="00BF6615">
        <w:rPr>
          <w:szCs w:val="24"/>
        </w:rPr>
        <w:t xml:space="preserve">aplikacji. </w:t>
      </w:r>
      <w:r w:rsidR="00DF36B5" w:rsidRPr="00BF6615">
        <w:rPr>
          <w:szCs w:val="24"/>
        </w:rPr>
        <w:t>Wyniki badania w grupie osób z niepełnosprawnościami potwierdzają ocenę, jaka prowadzi Ministerstwo Cyfryzacji w zakresie dostępności cyfrowej stron i aplikacji</w:t>
      </w:r>
      <w:r w:rsidR="00DF36B5" w:rsidRPr="00BF6615">
        <w:rPr>
          <w:rStyle w:val="Odwoanieprzypisudolnego"/>
          <w:szCs w:val="24"/>
        </w:rPr>
        <w:footnoteReference w:id="48"/>
      </w:r>
      <w:r w:rsidR="00DF36B5" w:rsidRPr="00BF6615">
        <w:rPr>
          <w:szCs w:val="24"/>
        </w:rPr>
        <w:t xml:space="preserve">- na dzień dzisiejszy należy stwierdzić, że nie ma w Polsce w pełni dostępnych stron </w:t>
      </w:r>
      <w:r w:rsidR="008B0B0A" w:rsidRPr="00BF6615">
        <w:rPr>
          <w:szCs w:val="24"/>
        </w:rPr>
        <w:t>i</w:t>
      </w:r>
      <w:r w:rsidR="008B0B0A">
        <w:rPr>
          <w:szCs w:val="24"/>
        </w:rPr>
        <w:t> </w:t>
      </w:r>
      <w:r w:rsidR="00DF36B5" w:rsidRPr="00BF6615">
        <w:rPr>
          <w:szCs w:val="24"/>
        </w:rPr>
        <w:t xml:space="preserve">aplikacji. </w:t>
      </w:r>
    </w:p>
    <w:p w14:paraId="650AD369" w14:textId="77777777" w:rsidR="008F7C65" w:rsidRPr="00BF6615" w:rsidRDefault="008F7C65" w:rsidP="007E26B5">
      <w:pPr>
        <w:spacing w:after="160" w:line="259" w:lineRule="auto"/>
        <w:rPr>
          <w:szCs w:val="24"/>
        </w:rPr>
      </w:pPr>
    </w:p>
    <w:p w14:paraId="06E8BCF9" w14:textId="77777777" w:rsidR="0027312B" w:rsidRPr="00BF6615" w:rsidRDefault="0027312B" w:rsidP="007E26B5"/>
    <w:p w14:paraId="29D43C83" w14:textId="77777777" w:rsidR="0027312B" w:rsidRPr="00BF6615" w:rsidRDefault="0027312B" w:rsidP="007E26B5">
      <w:pPr>
        <w:spacing w:after="160" w:line="259" w:lineRule="auto"/>
        <w:rPr>
          <w:rFonts w:eastAsiaTheme="majorEastAsia" w:cstheme="majorBidi"/>
          <w:b/>
          <w:u w:val="single"/>
        </w:rPr>
      </w:pPr>
      <w:r w:rsidRPr="00BF6615">
        <w:br w:type="page"/>
      </w:r>
    </w:p>
    <w:p w14:paraId="1F282A11" w14:textId="7EB3041F" w:rsidR="007163F4" w:rsidRPr="00BF6615" w:rsidRDefault="007163F4">
      <w:pPr>
        <w:pStyle w:val="Nagwek3"/>
        <w:numPr>
          <w:ilvl w:val="1"/>
          <w:numId w:val="6"/>
        </w:numPr>
      </w:pPr>
      <w:bookmarkStart w:id="276" w:name="_Toc204179297"/>
      <w:r w:rsidRPr="00BF6615">
        <w:lastRenderedPageBreak/>
        <w:t>Osoby 60+</w:t>
      </w:r>
      <w:bookmarkEnd w:id="276"/>
      <w:r w:rsidRPr="00BF6615">
        <w:t xml:space="preserve"> </w:t>
      </w:r>
    </w:p>
    <w:p w14:paraId="1D00837B" w14:textId="77777777" w:rsidR="008B4905" w:rsidRPr="00137936" w:rsidRDefault="008B4905" w:rsidP="00B271C3">
      <w:pPr>
        <w:pStyle w:val="Nagwek4"/>
        <w:rPr>
          <w:bCs/>
        </w:rPr>
      </w:pPr>
      <w:r w:rsidRPr="00137936">
        <w:rPr>
          <w:bCs/>
        </w:rPr>
        <w:t>Grupa badana</w:t>
      </w:r>
    </w:p>
    <w:p w14:paraId="2632F9BD" w14:textId="47A195E6" w:rsidR="007163F4" w:rsidRPr="00BF6615" w:rsidRDefault="003A44D3" w:rsidP="007E26B5">
      <w:r w:rsidRPr="00BF6615">
        <w:t>W tej grupie badanej</w:t>
      </w:r>
      <w:r w:rsidR="007163F4" w:rsidRPr="00BF6615">
        <w:t xml:space="preserve"> najwięcej respondentów pochodziło z miast powyżej 20 tys. do 100 tys. mieszkańców oraz wsi i małych miast do 20 tys. mieszkańców. N</w:t>
      </w:r>
      <w:r w:rsidR="0051317E" w:rsidRPr="00BF6615">
        <w:t>ieco m</w:t>
      </w:r>
      <w:r w:rsidR="007163F4" w:rsidRPr="00BF6615">
        <w:t>niej licznie reprezentowane były duże i średnie miasta powyżej 100 tys. mieszkańców.</w:t>
      </w:r>
    </w:p>
    <w:p w14:paraId="7A6694F7" w14:textId="2A55B090" w:rsidR="007163F4" w:rsidRPr="00BF6615" w:rsidRDefault="007163F4" w:rsidP="007E26B5">
      <w:pPr>
        <w:pStyle w:val="Legenda"/>
        <w:keepNext/>
      </w:pPr>
      <w:bookmarkStart w:id="277" w:name="_Toc204179197"/>
      <w:r w:rsidRPr="00BF6615">
        <w:t xml:space="preserve">Wykres </w:t>
      </w:r>
      <w:r w:rsidRPr="00BF6615">
        <w:fldChar w:fldCharType="begin"/>
      </w:r>
      <w:r w:rsidRPr="00BF6615">
        <w:instrText xml:space="preserve"> SEQ Wykres \* ARABIC </w:instrText>
      </w:r>
      <w:r w:rsidRPr="00BF6615">
        <w:fldChar w:fldCharType="separate"/>
      </w:r>
      <w:r w:rsidR="00FD0843">
        <w:rPr>
          <w:noProof/>
        </w:rPr>
        <w:t>51</w:t>
      </w:r>
      <w:r w:rsidRPr="00BF6615">
        <w:fldChar w:fldCharType="end"/>
      </w:r>
      <w:r w:rsidR="00FD0843">
        <w:t>.</w:t>
      </w:r>
      <w:r w:rsidRPr="00BF6615">
        <w:t xml:space="preserve"> Wielkość miejsca zamieszkania w grupie </w:t>
      </w:r>
      <w:bookmarkStart w:id="278" w:name="OLE_LINK1"/>
      <w:r w:rsidRPr="00BF6615">
        <w:t xml:space="preserve">osoby 60+ </w:t>
      </w:r>
      <w:bookmarkEnd w:id="278"/>
      <w:r w:rsidRPr="00BF6615">
        <w:t>(n=100)</w:t>
      </w:r>
      <w:bookmarkEnd w:id="277"/>
    </w:p>
    <w:p w14:paraId="744DBC2C" w14:textId="5D27C0A2" w:rsidR="007163F4" w:rsidRPr="00BF6615" w:rsidRDefault="004C4BEF" w:rsidP="007E26B5">
      <w:r w:rsidRPr="00BF6615">
        <w:rPr>
          <w:noProof/>
          <w:lang w:eastAsia="pl-PL"/>
        </w:rPr>
        <w:drawing>
          <wp:inline distT="0" distB="0" distL="0" distR="0" wp14:anchorId="57346426" wp14:editId="2C1AA2D9">
            <wp:extent cx="4870078" cy="2538248"/>
            <wp:effectExtent l="0" t="0" r="6985" b="0"/>
            <wp:docPr id="349030710" name="Wykres 1" descr="miasto powyżej 100 tys. do 500 tys. - 22%&#10;miasto powyżej 20 tys. do 100 tys. - 30%&#10;miasto powyżej 500 tys. - 22%&#10;wieś i małe miasto do 20 tys. - 26%">
              <a:extLst xmlns:a="http://schemas.openxmlformats.org/drawingml/2006/main">
                <a:ext uri="{FF2B5EF4-FFF2-40B4-BE49-F238E27FC236}">
                  <a16:creationId xmlns:a16="http://schemas.microsoft.com/office/drawing/2014/main" id="{33E55671-14B9-B640-9B47-A251C890E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538CB9C" w14:textId="77777777" w:rsidR="007163F4" w:rsidRPr="00BF6615" w:rsidRDefault="007163F4" w:rsidP="007E26B5">
      <w:r w:rsidRPr="00BF6615">
        <w:t>Źródło: opracowanie własne.</w:t>
      </w:r>
    </w:p>
    <w:p w14:paraId="35925A4C" w14:textId="42F381D4" w:rsidR="007163F4" w:rsidRPr="00BF6615" w:rsidRDefault="007163F4" w:rsidP="007E26B5">
      <w:r w:rsidRPr="00BF6615">
        <w:t xml:space="preserve">W badaniu dominowali respondenci na emeryturze. Osoby aktywne zawodowo – zarówno zatrudnieni na umowę o pracę, jak i prowadzący działalność gospodarczą, </w:t>
      </w:r>
      <w:r w:rsidR="008B0B0A" w:rsidRPr="00BF6615">
        <w:t>a</w:t>
      </w:r>
      <w:r w:rsidR="008B0B0A">
        <w:t> </w:t>
      </w:r>
      <w:r w:rsidRPr="00BF6615">
        <w:t xml:space="preserve">także poszukujące pracy - stanowiły mniejszość. Szczegółowy rozkład przedstawiono </w:t>
      </w:r>
      <w:r w:rsidR="008B0B0A" w:rsidRPr="00BF6615">
        <w:t>w</w:t>
      </w:r>
      <w:r w:rsidR="008B0B0A">
        <w:t> </w:t>
      </w:r>
      <w:r w:rsidRPr="00BF6615">
        <w:t>tabeli poniżej.</w:t>
      </w:r>
    </w:p>
    <w:p w14:paraId="4A9ED7EC" w14:textId="77777777" w:rsidR="007163F4" w:rsidRPr="00BF6615" w:rsidRDefault="007163F4" w:rsidP="007E26B5"/>
    <w:p w14:paraId="4ACE490F" w14:textId="34633CE2" w:rsidR="007163F4" w:rsidRPr="00BF6615" w:rsidRDefault="007163F4" w:rsidP="007E26B5">
      <w:pPr>
        <w:pStyle w:val="Legenda"/>
        <w:keepNext/>
      </w:pPr>
      <w:bookmarkStart w:id="279" w:name="_Toc204179198"/>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52</w:t>
      </w:r>
      <w:r w:rsidRPr="00BF6615">
        <w:fldChar w:fldCharType="end"/>
      </w:r>
      <w:r w:rsidR="00FD0843">
        <w:t>.</w:t>
      </w:r>
      <w:r w:rsidRPr="00BF6615">
        <w:t xml:space="preserve"> Status na rynku pracy w grupie osoby 60+ (n=100)</w:t>
      </w:r>
      <w:bookmarkEnd w:id="279"/>
    </w:p>
    <w:p w14:paraId="66D5937F" w14:textId="78DA07F4" w:rsidR="007163F4" w:rsidRPr="00BF6615" w:rsidRDefault="00CB7461" w:rsidP="007E26B5">
      <w:r w:rsidRPr="00BF6615">
        <w:rPr>
          <w:noProof/>
          <w:lang w:eastAsia="pl-PL"/>
        </w:rPr>
        <w:drawing>
          <wp:inline distT="0" distB="0" distL="0" distR="0" wp14:anchorId="5F701C71" wp14:editId="02E84842">
            <wp:extent cx="5486400" cy="3114392"/>
            <wp:effectExtent l="0" t="0" r="0" b="0"/>
            <wp:docPr id="1916311558" name="Wykres 1" descr="osoba na emeryturze - 72%&#10;osoba na rencie - 0%&#10;osoba niepracująca i nieposzukująca pracy - 0%&#10;osoba niepracująca, poszukująca pracy - 1%&#10;osoba pracująca - 23%&#10;osoba pracująca i ucząca - 0%&#10;osoba prowadząca własną działalność gospodarczą - 4%">
              <a:extLst xmlns:a="http://schemas.openxmlformats.org/drawingml/2006/main">
                <a:ext uri="{FF2B5EF4-FFF2-40B4-BE49-F238E27FC236}">
                  <a16:creationId xmlns:a16="http://schemas.microsoft.com/office/drawing/2014/main" id="{F6DE319C-2D72-7048-B257-940203DC18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2A88612E" w14:textId="77777777" w:rsidR="007163F4" w:rsidRPr="007E26B5" w:rsidRDefault="007163F4" w:rsidP="007E26B5">
      <w:r w:rsidRPr="007E26B5">
        <w:t>Źródło: opracowanie własne.</w:t>
      </w:r>
    </w:p>
    <w:p w14:paraId="2B3129FA" w14:textId="104C9DD4" w:rsidR="007163F4" w:rsidRPr="00137936" w:rsidRDefault="007163F4" w:rsidP="00B271C3">
      <w:pPr>
        <w:pStyle w:val="Nagwek4"/>
        <w:rPr>
          <w:bCs/>
        </w:rPr>
      </w:pPr>
      <w:r w:rsidRPr="00137936">
        <w:rPr>
          <w:bCs/>
        </w:rPr>
        <w:t xml:space="preserve">Korzystanie z </w:t>
      </w:r>
      <w:r w:rsidR="00B913A5">
        <w:rPr>
          <w:bCs/>
        </w:rPr>
        <w:t xml:space="preserve">komputera i </w:t>
      </w:r>
      <w:r w:rsidR="00D333F2" w:rsidRPr="00137936">
        <w:rPr>
          <w:bCs/>
        </w:rPr>
        <w:t>Internetu</w:t>
      </w:r>
    </w:p>
    <w:p w14:paraId="182434FD" w14:textId="77777777" w:rsidR="007163F4" w:rsidRPr="00BF6615" w:rsidRDefault="007163F4" w:rsidP="007E26B5">
      <w:r w:rsidRPr="00BF6615">
        <w:t xml:space="preserve">W grupie badanej znalazły się osoby, które deklarowały, że potrafią posługiwać się komputerem w wystarczającym stopniu do ich potrzeb (40%). Pozostałe osoby wskazały, że potrafią bardzo dobrze posługiwać się komputerem (22%) oraz, że potrafią dobrze posługiwać się komputerem (38%). </w:t>
      </w:r>
    </w:p>
    <w:p w14:paraId="4011873B" w14:textId="3ED7AC0C" w:rsidR="007163F4" w:rsidRPr="00BF6615" w:rsidRDefault="002F0F88" w:rsidP="007E26B5">
      <w:r w:rsidRPr="00BF6615">
        <w:t>Jednocześnie</w:t>
      </w:r>
      <w:r w:rsidR="007163F4" w:rsidRPr="00BF6615">
        <w:t xml:space="preserve"> 48% osób zadeklarowało, że ma umiejętności korzystania z </w:t>
      </w:r>
      <w:r w:rsidR="00D333F2" w:rsidRPr="00BF6615">
        <w:t>Internetu</w:t>
      </w:r>
      <w:r w:rsidR="007163F4" w:rsidRPr="00BF6615">
        <w:t xml:space="preserve"> wystarczające do swoich potrzeb</w:t>
      </w:r>
      <w:r w:rsidRPr="00BF6615">
        <w:t xml:space="preserve"> lub </w:t>
      </w:r>
      <w:r w:rsidR="007163F4" w:rsidRPr="00BF6615">
        <w:t xml:space="preserve">posługuje się </w:t>
      </w:r>
      <w:r w:rsidRPr="00BF6615">
        <w:t>nim dobrze (</w:t>
      </w:r>
      <w:r w:rsidR="007163F4" w:rsidRPr="00BF6615">
        <w:t>34%</w:t>
      </w:r>
      <w:r w:rsidRPr="00BF6615">
        <w:t>). W</w:t>
      </w:r>
      <w:r w:rsidR="007163F4" w:rsidRPr="00BF6615">
        <w:t xml:space="preserve"> mniejszości były osoby, które odpowiedziały, że ich umiejętności korzystania z </w:t>
      </w:r>
      <w:r w:rsidR="00D333F2" w:rsidRPr="00BF6615">
        <w:t>Internetu</w:t>
      </w:r>
      <w:r w:rsidR="007163F4" w:rsidRPr="00BF6615">
        <w:t xml:space="preserve"> są bardzo dobre (18%).</w:t>
      </w:r>
    </w:p>
    <w:p w14:paraId="7B7DBA8C" w14:textId="77B767CC" w:rsidR="007163F4" w:rsidRPr="00BF6615" w:rsidRDefault="007163F4" w:rsidP="007E26B5">
      <w:r w:rsidRPr="00BF6615">
        <w:t xml:space="preserve">Zdecydowana większość badanych wskazywała, że korzysta z </w:t>
      </w:r>
      <w:r w:rsidR="00D333F2" w:rsidRPr="00BF6615">
        <w:t>Internetu</w:t>
      </w:r>
      <w:r w:rsidRPr="00BF6615">
        <w:t xml:space="preserve"> codziennie (98%), pozostała grupa korzysta kilka razy w tygodniu. Wynik ten należy uznać za bardzo wysoki. Może to wynikać z tego, że</w:t>
      </w:r>
      <w:r w:rsidR="00814EF2" w:rsidRPr="00BF6615">
        <w:t>, jak opisujemy niżej</w:t>
      </w:r>
      <w:r w:rsidRPr="00BF6615">
        <w:t xml:space="preserve"> osoby </w:t>
      </w:r>
      <w:r w:rsidR="00814EF2" w:rsidRPr="00BF6615">
        <w:t>badane są aktywne w sieci z u</w:t>
      </w:r>
      <w:r w:rsidR="00CF5A2F" w:rsidRPr="00BF6615">
        <w:t>w</w:t>
      </w:r>
      <w:r w:rsidR="00814EF2" w:rsidRPr="00BF6615">
        <w:t>a</w:t>
      </w:r>
      <w:r w:rsidR="00CF5A2F" w:rsidRPr="00BF6615">
        <w:t>g</w:t>
      </w:r>
      <w:r w:rsidR="00814EF2" w:rsidRPr="00BF6615">
        <w:t>i na swoje szerokie zainteresowania</w:t>
      </w:r>
      <w:r w:rsidR="00CF5A2F" w:rsidRPr="00BF6615">
        <w:t>: w</w:t>
      </w:r>
      <w:r w:rsidRPr="00BF6615">
        <w:t xml:space="preserve">iele respondentów wskazało, że korzystają z </w:t>
      </w:r>
      <w:r w:rsidR="00D333F2" w:rsidRPr="00BF6615">
        <w:t>Internetu</w:t>
      </w:r>
      <w:r w:rsidRPr="00BF6615">
        <w:t xml:space="preserve"> w celu poszukiwania informacji związanych z zainteresowaniami, a także by śledzić wiadomości z kraju i świata.</w:t>
      </w:r>
    </w:p>
    <w:p w14:paraId="0D738A6E" w14:textId="6860B73B" w:rsidR="007163F4" w:rsidRPr="00BF6615" w:rsidRDefault="007163F4" w:rsidP="00FD0843">
      <w:pPr>
        <w:pStyle w:val="Legenda"/>
        <w:keepNext/>
        <w:pageBreakBefore/>
      </w:pPr>
      <w:bookmarkStart w:id="280" w:name="_Toc204179199"/>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53</w:t>
      </w:r>
      <w:r w:rsidRPr="00BF6615">
        <w:fldChar w:fldCharType="end"/>
      </w:r>
      <w:r w:rsidR="00FD0843">
        <w:t>.</w:t>
      </w:r>
      <w:r w:rsidRPr="00BF6615">
        <w:t xml:space="preserve"> Częstotliwość korzystania z </w:t>
      </w:r>
      <w:r w:rsidR="00D333F2" w:rsidRPr="00BF6615">
        <w:t>Internetu</w:t>
      </w:r>
      <w:r w:rsidRPr="00BF6615">
        <w:t xml:space="preserve"> w grupie osoby 60+ (n=100)</w:t>
      </w:r>
      <w:bookmarkEnd w:id="280"/>
    </w:p>
    <w:p w14:paraId="46B6F72A" w14:textId="77777777" w:rsidR="007163F4" w:rsidRPr="00BF6615" w:rsidRDefault="007163F4" w:rsidP="007E26B5">
      <w:r w:rsidRPr="00BF6615">
        <w:rPr>
          <w:noProof/>
          <w:lang w:eastAsia="pl-PL"/>
        </w:rPr>
        <w:drawing>
          <wp:inline distT="0" distB="0" distL="0" distR="0" wp14:anchorId="2BA89F78" wp14:editId="29FC1D85">
            <wp:extent cx="5430741" cy="2846567"/>
            <wp:effectExtent l="0" t="0" r="0" b="0"/>
            <wp:docPr id="394001734" name="Wykres 1" descr="codziennie - 98%&#10;kilka razy w tygodniu - 2%">
              <a:extLst xmlns:a="http://schemas.openxmlformats.org/drawingml/2006/main">
                <a:ext uri="{FF2B5EF4-FFF2-40B4-BE49-F238E27FC236}">
                  <a16:creationId xmlns:a16="http://schemas.microsoft.com/office/drawing/2014/main" id="{74E59099-8E17-00E5-69C5-8BFC5DE482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7434DEE5" w14:textId="77777777" w:rsidR="007163F4" w:rsidRPr="00BF6615" w:rsidRDefault="007163F4" w:rsidP="007E26B5">
      <w:r w:rsidRPr="00BF6615">
        <w:t>Źródło: opracowanie własne.</w:t>
      </w:r>
    </w:p>
    <w:p w14:paraId="680B5766" w14:textId="12C87A5C" w:rsidR="007163F4" w:rsidRPr="00BF6615" w:rsidRDefault="007163F4" w:rsidP="007E26B5">
      <w:pPr>
        <w:rPr>
          <w:rFonts w:cstheme="minorHAnsi"/>
        </w:rPr>
      </w:pPr>
      <w:r w:rsidRPr="00BF6615">
        <w:t xml:space="preserve">Cele korzystania z </w:t>
      </w:r>
      <w:r w:rsidR="00D333F2" w:rsidRPr="00BF6615">
        <w:t>Internetu</w:t>
      </w:r>
      <w:r w:rsidRPr="00BF6615">
        <w:t xml:space="preserve"> w grupie badanej pozostają tylko częściowo zbieżne </w:t>
      </w:r>
      <w:r w:rsidR="008B0B0A" w:rsidRPr="00BF6615">
        <w:t>z</w:t>
      </w:r>
      <w:r w:rsidR="008B0B0A">
        <w:t> </w:t>
      </w:r>
      <w:r w:rsidRPr="00BF6615">
        <w:t xml:space="preserve">badaniami </w:t>
      </w:r>
      <w:r w:rsidRPr="00BF6615">
        <w:rPr>
          <w:rFonts w:cstheme="minorHAnsi"/>
        </w:rPr>
        <w:t>GUS</w:t>
      </w:r>
      <w:r w:rsidRPr="00BF6615">
        <w:rPr>
          <w:rStyle w:val="Odwoanieprzypisudolnego"/>
          <w:rFonts w:cstheme="minorHAnsi"/>
        </w:rPr>
        <w:footnoteReference w:id="49"/>
      </w:r>
      <w:r w:rsidRPr="00BF6615">
        <w:rPr>
          <w:rFonts w:cstheme="minorHAnsi"/>
        </w:rPr>
        <w:t>, gdzie w tej grupie przeważa cel związany z poszukiwaniem nowych informacji</w:t>
      </w:r>
      <w:r w:rsidR="00EB092C" w:rsidRPr="00BF6615">
        <w:rPr>
          <w:rFonts w:cstheme="minorHAnsi"/>
        </w:rPr>
        <w:t xml:space="preserve"> (</w:t>
      </w:r>
      <w:r w:rsidRPr="00BF6615">
        <w:rPr>
          <w:rFonts w:cstheme="minorHAnsi"/>
        </w:rPr>
        <w:t>79% badanych</w:t>
      </w:r>
      <w:r w:rsidR="00EB092C" w:rsidRPr="00BF6615">
        <w:rPr>
          <w:rFonts w:cstheme="minorHAnsi"/>
        </w:rPr>
        <w:t>)</w:t>
      </w:r>
      <w:r w:rsidRPr="00BF6615">
        <w:rPr>
          <w:rFonts w:cstheme="minorHAnsi"/>
        </w:rPr>
        <w:t xml:space="preserve">. Wysoki wynik (71%) odnotowano również w kategorii związanej z rozrywką. Ponadto duża część badanej grupy (79%) używa </w:t>
      </w:r>
      <w:r w:rsidR="00D333F2" w:rsidRPr="00BF6615">
        <w:rPr>
          <w:rFonts w:cstheme="minorHAnsi"/>
        </w:rPr>
        <w:t>Internetu</w:t>
      </w:r>
      <w:r w:rsidRPr="00BF6615">
        <w:rPr>
          <w:rFonts w:cstheme="minorHAnsi"/>
        </w:rPr>
        <w:t xml:space="preserve"> w celach związanych z komunikowaniem się na co nie zwrócono uwagi w badaniu GUS. Aż 70% respondentów wykazało, że używa </w:t>
      </w:r>
      <w:r w:rsidR="00D333F2" w:rsidRPr="00BF6615">
        <w:rPr>
          <w:rFonts w:cstheme="minorHAnsi"/>
        </w:rPr>
        <w:t>Internetu</w:t>
      </w:r>
      <w:r w:rsidRPr="00BF6615">
        <w:rPr>
          <w:rFonts w:cstheme="minorHAnsi"/>
        </w:rPr>
        <w:t xml:space="preserve"> do załatwiania spraw urzędowych. Dla większości osób starszych jest to użyteczne narzędzie, ale nie zawsze niezbędne, ponieważ wciąż wiele przedstawicieli tej grupy woli załatwiać sprawy telefonicznie lub osobiście</w:t>
      </w:r>
      <w:r w:rsidR="005222BE" w:rsidRPr="00BF6615">
        <w:rPr>
          <w:rFonts w:cstheme="minorHAnsi"/>
        </w:rPr>
        <w:t xml:space="preserve">. </w:t>
      </w:r>
      <w:r w:rsidR="00F731B5" w:rsidRPr="00BF6615">
        <w:rPr>
          <w:rFonts w:cstheme="minorHAnsi"/>
        </w:rPr>
        <w:t xml:space="preserve">Ponad płowa badanych korzysta z Internetu w celu </w:t>
      </w:r>
      <w:r w:rsidRPr="00BF6615">
        <w:rPr>
          <w:rFonts w:cstheme="minorHAnsi"/>
        </w:rPr>
        <w:t xml:space="preserve">załatwiania spraw zdrowotnych (54%). </w:t>
      </w:r>
      <w:r w:rsidRPr="00BF6615">
        <w:t>Poniższy wykres przedstawia szczegółowy rozkład wskazań.</w:t>
      </w:r>
    </w:p>
    <w:p w14:paraId="6B1A4186" w14:textId="77777777" w:rsidR="00CB7461" w:rsidRPr="00BF6615" w:rsidRDefault="00CB7461" w:rsidP="007E26B5">
      <w:pPr>
        <w:rPr>
          <w:rFonts w:cstheme="minorHAnsi"/>
        </w:rPr>
      </w:pPr>
    </w:p>
    <w:p w14:paraId="1624E097" w14:textId="7748E42F" w:rsidR="007163F4" w:rsidRPr="00BF6615" w:rsidRDefault="007163F4" w:rsidP="007E26B5">
      <w:pPr>
        <w:pStyle w:val="Legenda"/>
        <w:keepNext/>
      </w:pPr>
      <w:bookmarkStart w:id="281" w:name="_Toc204179200"/>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54</w:t>
      </w:r>
      <w:r w:rsidRPr="00BF6615">
        <w:fldChar w:fldCharType="end"/>
      </w:r>
      <w:r w:rsidR="00FD0843">
        <w:t>.</w:t>
      </w:r>
      <w:r w:rsidRPr="00BF6615">
        <w:t xml:space="preserve"> Cele korzystania z </w:t>
      </w:r>
      <w:r w:rsidR="00D333F2" w:rsidRPr="00BF6615">
        <w:t>Internetu</w:t>
      </w:r>
      <w:r w:rsidRPr="00BF6615">
        <w:t xml:space="preserve"> w grupie osoby 60+ (n=100)</w:t>
      </w:r>
      <w:bookmarkEnd w:id="281"/>
    </w:p>
    <w:p w14:paraId="1FC8AFFD" w14:textId="48F524ED" w:rsidR="007163F4" w:rsidRPr="00BF6615" w:rsidRDefault="00EC040B" w:rsidP="007E26B5">
      <w:r w:rsidRPr="00BF6615">
        <w:rPr>
          <w:noProof/>
          <w:lang w:eastAsia="pl-PL"/>
        </w:rPr>
        <w:drawing>
          <wp:inline distT="0" distB="0" distL="0" distR="0" wp14:anchorId="7F966352" wp14:editId="06688C0F">
            <wp:extent cx="5486400" cy="3512744"/>
            <wp:effectExtent l="0" t="0" r="0" b="0"/>
            <wp:docPr id="407715862" name="Wykres 1" descr="Cele osobiste (np. kontakt z rodziną, znajomymi) - 79%&#10;Rozrywka (np. film, muzyka) - 71%&#10;Załatwianie spraw urzędowych (np. wniosek o dowód) - 70%&#10;Poszukiwanie innych informacji - 79%&#10;Załatwianie spraw zdrowotnych (np. umówienie wizyty u lekarza) - 54%&#10;Cele edukacyjne (np. poszukiwanie materiałów edukacyjnych, filmów instruktażowych - 41%&#10;Cele zawodowe (np. poszukiwanie pracy, sprawy rentowe) - 20%&#10;Załatwianie spraw społecznych (np. turnus rehabilitacyjny, świadczenia z pomocy społecznej) - 24%">
              <a:extLst xmlns:a="http://schemas.openxmlformats.org/drawingml/2006/main">
                <a:ext uri="{FF2B5EF4-FFF2-40B4-BE49-F238E27FC236}">
                  <a16:creationId xmlns:a16="http://schemas.microsoft.com/office/drawing/2014/main" id="{09BB55B7-D644-D14C-87E3-3E6B43A1C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003E6F4" w14:textId="77777777" w:rsidR="007163F4" w:rsidRPr="00BF6615" w:rsidRDefault="007163F4" w:rsidP="007E26B5">
      <w:r w:rsidRPr="00BF6615">
        <w:t>Źródło: opracowanie własne.</w:t>
      </w:r>
    </w:p>
    <w:p w14:paraId="5C7A9503" w14:textId="77777777" w:rsidR="007163F4" w:rsidRPr="00BF6615" w:rsidRDefault="007163F4" w:rsidP="007E26B5">
      <w:r w:rsidRPr="00BF6615">
        <w:t xml:space="preserve">Do najczęściej załatwianych spraw online należą: płatności rachunków (92%), zakupy online (81%) czy komunikacja (71%). Wskazuje to na intensywne wykorzystanie narzędzi cyfrowych do realizacji spraw osobistych. Zdecydowanie najrzadziej załatwiane sprawy online to poszukiwanie pracy (6%) oraz nauka (15%), co z pewnością ma związek z tym, że większość badanych w tej grupie to osoby na emeryturze. </w:t>
      </w:r>
    </w:p>
    <w:p w14:paraId="31A0E8AC" w14:textId="64EE0227" w:rsidR="007163F4" w:rsidRPr="00BF6615" w:rsidRDefault="007163F4" w:rsidP="00FD0843">
      <w:pPr>
        <w:pStyle w:val="Legenda"/>
        <w:keepNext/>
        <w:pageBreakBefore/>
      </w:pPr>
      <w:bookmarkStart w:id="282" w:name="_Toc204179201"/>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55</w:t>
      </w:r>
      <w:r w:rsidRPr="00BF6615">
        <w:fldChar w:fldCharType="end"/>
      </w:r>
      <w:r w:rsidR="00FD0843">
        <w:t>.</w:t>
      </w:r>
      <w:r w:rsidRPr="00BF6615">
        <w:t xml:space="preserve"> Rodzaje spraw załatwianych najczęściej online w grupie osoby 60+ (n=100)</w:t>
      </w:r>
      <w:bookmarkEnd w:id="282"/>
    </w:p>
    <w:p w14:paraId="0DF59009" w14:textId="573C902C" w:rsidR="007163F4" w:rsidRPr="00BF6615" w:rsidRDefault="00353B71" w:rsidP="007E26B5">
      <w:pPr>
        <w:rPr>
          <w:color w:val="4472C4" w:themeColor="accent1"/>
        </w:rPr>
      </w:pPr>
      <w:r w:rsidRPr="00BF6615">
        <w:rPr>
          <w:noProof/>
          <w:lang w:eastAsia="pl-PL"/>
        </w:rPr>
        <w:drawing>
          <wp:inline distT="0" distB="0" distL="0" distR="0" wp14:anchorId="4973C8A4" wp14:editId="17158311">
            <wp:extent cx="5417185" cy="3648547"/>
            <wp:effectExtent l="0" t="0" r="0" b="0"/>
            <wp:docPr id="1613896688" name="Wykres 1" descr="Zakupy online - 81%&#10;Komunikacja (np. e-mail, media społecznościowe) - 71%&#10;Płatności rachunków - 92%&#10;Inne rezerwacje (np. bilety do kina, bilety na przejazdy np. PKP) - 50%&#10;Załatwianie spraw urzędowych (np. składanie PIT, wnioskowanie o zaświadczenia) - 59%&#10;Nauka (np. kursy, szkolenia) - 15%&#10;Rezerwacje wizyt lekarskich - 41%&#10;Poszukiwanie pracy - 6%">
              <a:extLst xmlns:a="http://schemas.openxmlformats.org/drawingml/2006/main">
                <a:ext uri="{FF2B5EF4-FFF2-40B4-BE49-F238E27FC236}">
                  <a16:creationId xmlns:a16="http://schemas.microsoft.com/office/drawing/2014/main" id="{6E806AB3-87A5-BF48-8232-EAF110786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0A3624B" w14:textId="77777777" w:rsidR="007163F4" w:rsidRPr="00BF6615" w:rsidRDefault="007163F4" w:rsidP="007E26B5">
      <w:r w:rsidRPr="00BF6615">
        <w:t>Źródło: opracowanie własne.</w:t>
      </w:r>
    </w:p>
    <w:p w14:paraId="5F6CFDBF" w14:textId="14B3ECFA" w:rsidR="007163F4" w:rsidRPr="00BF6615" w:rsidRDefault="007163F4" w:rsidP="007E26B5">
      <w:r w:rsidRPr="00BF6615">
        <w:t>W pytaniu otwartym o to, jakich informacji badani najczęściej szukają w sieci, znalazł się szeroki katalog, przy czym zdecydowanie przeważały kwestie z obszaru celów osobistych takie jak: polityka, sport, zainteresowania, wiadomości i aktualności z kraju i świata, pogoda, informacje dot. zdrowia i leczenia, zakupy oraz turystyka. Pojawiło się wiele przykładów z kategorii zainteresowań takich, jak: „nici do robótek szydełkowania”, „części samochodowe”, „wyniki meczów piłkarskich i baseballowych”, „notowania GPW”, „filatelistyka”.</w:t>
      </w:r>
    </w:p>
    <w:p w14:paraId="49E220F0" w14:textId="77777777" w:rsidR="007163F4" w:rsidRPr="00137936" w:rsidRDefault="007163F4" w:rsidP="00B271C3">
      <w:pPr>
        <w:pStyle w:val="Nagwek4"/>
        <w:rPr>
          <w:bCs/>
        </w:rPr>
      </w:pPr>
      <w:r w:rsidRPr="00137936">
        <w:rPr>
          <w:bCs/>
        </w:rPr>
        <w:t xml:space="preserve">Kontakty z administracją przez strony i aplikacje </w:t>
      </w:r>
    </w:p>
    <w:p w14:paraId="0E5FB234" w14:textId="2A933503" w:rsidR="007163F4" w:rsidRPr="00BF6615" w:rsidRDefault="007163F4" w:rsidP="007E26B5">
      <w:r w:rsidRPr="00BF6615">
        <w:t xml:space="preserve">Tylko 6% osób wskazało, że nie korzysta ze stron podmiotów publicznych, a 18%, że nie korzysta z aplikacji. Podczas, gdy w grupie korzystających często ze stron, jest 30%, </w:t>
      </w:r>
      <w:r w:rsidR="008B0B0A" w:rsidRPr="00BF6615">
        <w:t>a</w:t>
      </w:r>
      <w:r w:rsidR="008B0B0A">
        <w:t> </w:t>
      </w:r>
      <w:r w:rsidRPr="00BF6615">
        <w:t xml:space="preserve">aplikacji 34% wskazań. Większość respondentów określiła korzystanie ze stron podmiotów publicznych i aplikacji, jako sporadyczne. Jest to odpowiednio: dla stron 64%, dla aplikacji 48%. Wśród badanych, którzy nie korzystają ze stron, kilka osób jako powód podało fakt, że wolą załatwiać sprawy osobiście lub telefonicznie. Osoby w tej grupie były zróżnicowane z uwagi wielkość miejsca zamieszkania. W grupie, która nie korzysta z aplikacji, znalazły się osoby, które wolą załatwiać sprawy osobiście </w:t>
      </w:r>
      <w:r w:rsidR="008B0B0A" w:rsidRPr="00BF6615">
        <w:t>i</w:t>
      </w:r>
      <w:r w:rsidR="008B0B0A">
        <w:t> </w:t>
      </w:r>
      <w:r w:rsidRPr="00BF6615">
        <w:t xml:space="preserve">telefonicznie, osoby, które wskazywały na słabą dostępność aplikacji, ale także osoby, które deklarowały trudność z załatwianiem spraw przez telefon z pomocą aplikacji. Kilka </w:t>
      </w:r>
      <w:r w:rsidRPr="00BF6615">
        <w:lastRenderedPageBreak/>
        <w:t>osób jako powód niekorzystania z aplikacji podało również świadome ograniczanie czasu spędzanego przed telefonem i korzystania z aplikacji mobilnych.</w:t>
      </w:r>
    </w:p>
    <w:p w14:paraId="08442048" w14:textId="77777777" w:rsidR="007163F4" w:rsidRPr="00BF6615" w:rsidRDefault="007163F4" w:rsidP="007E26B5">
      <w:r w:rsidRPr="00BF6615">
        <w:t>Wyniki te pokrywają się z danymi GUS</w:t>
      </w:r>
      <w:r w:rsidRPr="00BF6615">
        <w:rPr>
          <w:rStyle w:val="Odwoanieprzypisudolnego"/>
        </w:rPr>
        <w:footnoteReference w:id="50"/>
      </w:r>
      <w:r w:rsidRPr="00BF6615">
        <w:t xml:space="preserve">, z których wynika, że głównym powodem niekorzystania przez osoby starsze ze stron i aplikacji mobilnych są trudności techniczne, a także przyzwyczajenie do tradycyjnych metod załatwiania spraw, tj. telefonicznie lub osobiście. </w:t>
      </w:r>
    </w:p>
    <w:p w14:paraId="389714CB" w14:textId="19D58509" w:rsidR="007163F4" w:rsidRPr="00BF6615" w:rsidRDefault="007163F4" w:rsidP="007E26B5">
      <w:pPr>
        <w:pStyle w:val="Legenda"/>
        <w:keepNext/>
      </w:pPr>
      <w:bookmarkStart w:id="283" w:name="_Toc204179202"/>
      <w:r w:rsidRPr="00BF6615">
        <w:t xml:space="preserve">Wykres </w:t>
      </w:r>
      <w:r w:rsidRPr="00BF6615">
        <w:fldChar w:fldCharType="begin"/>
      </w:r>
      <w:r w:rsidRPr="00BF6615">
        <w:instrText xml:space="preserve"> SEQ Wykres \* ARABIC </w:instrText>
      </w:r>
      <w:r w:rsidRPr="00BF6615">
        <w:fldChar w:fldCharType="separate"/>
      </w:r>
      <w:r w:rsidR="00FD0843">
        <w:rPr>
          <w:noProof/>
        </w:rPr>
        <w:t>56</w:t>
      </w:r>
      <w:r w:rsidRPr="00BF6615">
        <w:fldChar w:fldCharType="end"/>
      </w:r>
      <w:r w:rsidR="00FD0843">
        <w:t>.</w:t>
      </w:r>
      <w:r w:rsidRPr="00BF6615">
        <w:t xml:space="preserve"> Korzystanie ze stron i aplikacji podmiotów publicznych w grupie osoby 60+ (n=100)</w:t>
      </w:r>
      <w:bookmarkEnd w:id="283"/>
    </w:p>
    <w:p w14:paraId="46C49BF9" w14:textId="0CCC1FF1" w:rsidR="007163F4" w:rsidRPr="00BF6615" w:rsidRDefault="00DC2171" w:rsidP="007E26B5">
      <w:r w:rsidRPr="00BF6615">
        <w:rPr>
          <w:noProof/>
          <w:lang w:eastAsia="pl-PL"/>
        </w:rPr>
        <w:drawing>
          <wp:inline distT="0" distB="0" distL="0" distR="0" wp14:anchorId="0DF226D6" wp14:editId="3C9045FE">
            <wp:extent cx="4653481" cy="3186820"/>
            <wp:effectExtent l="0" t="0" r="0" b="1270"/>
            <wp:docPr id="265094831" name="Wykres 1" descr="nie korzystam &#10;aplikacje - 18%&#10;strony - 6%&#10;&#10;sporadycznie &#10;aplikacje - 48%&#10;strony - 64%&#10;&#10;często&#10;aplikacje - 34%&#10;strony - 30%">
              <a:extLst xmlns:a="http://schemas.openxmlformats.org/drawingml/2006/main">
                <a:ext uri="{FF2B5EF4-FFF2-40B4-BE49-F238E27FC236}">
                  <a16:creationId xmlns:a16="http://schemas.microsoft.com/office/drawing/2014/main" id="{6F6191B8-7915-204D-9ABA-99CC0AA562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FA067D6" w14:textId="77777777" w:rsidR="007163F4" w:rsidRPr="00BF6615" w:rsidRDefault="007163F4" w:rsidP="007E26B5">
      <w:r w:rsidRPr="00BF6615">
        <w:t>Źródło: opracowanie własne.</w:t>
      </w:r>
    </w:p>
    <w:p w14:paraId="21FE8519" w14:textId="16581FD6" w:rsidR="007163F4" w:rsidRPr="00BF6615" w:rsidRDefault="007163F4" w:rsidP="007E26B5">
      <w:r w:rsidRPr="00BF6615">
        <w:t>Najwięcej respondentów zadeklarowało, że najczęściej załatwia sprawy urzędowe osobiście (63%). Około 1/3 badanych wskazało na łączenie ze sobą różnych sposobów (38%), a także wybieranie formy on-line (31%).</w:t>
      </w:r>
      <w:r w:rsidR="0068002D" w:rsidRPr="00BF6615">
        <w:t xml:space="preserve"> Co jak wskazaliśmy wyżej</w:t>
      </w:r>
      <w:r w:rsidR="4AE12B21" w:rsidRPr="00BF6615">
        <w:t>,</w:t>
      </w:r>
      <w:r w:rsidR="0068002D" w:rsidRPr="00BF6615">
        <w:t xml:space="preserve"> może </w:t>
      </w:r>
      <w:r w:rsidR="002D081F" w:rsidRPr="00BF6615">
        <w:t>wynikać</w:t>
      </w:r>
      <w:r w:rsidR="0068002D" w:rsidRPr="00BF6615">
        <w:t xml:space="preserve"> z wielu czynników, ale jednym z nich może być </w:t>
      </w:r>
      <w:r w:rsidR="002D081F" w:rsidRPr="00BF6615">
        <w:t>prozaiczne przyzwyczajenie do załatwiania spraw osobiście lub telefonicznie. Z drugiej strony w tej grupie takie załatwianie spraw może świadczyć o potrzebie kontaktu z drugą osobą.</w:t>
      </w:r>
    </w:p>
    <w:p w14:paraId="38874EA9" w14:textId="2F5D6F34" w:rsidR="007163F4" w:rsidRPr="00BF6615" w:rsidRDefault="007163F4" w:rsidP="007E26B5">
      <w:pPr>
        <w:pStyle w:val="Legenda"/>
        <w:keepNext/>
      </w:pPr>
      <w:bookmarkStart w:id="284" w:name="_Toc204179203"/>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57</w:t>
      </w:r>
      <w:r w:rsidRPr="00BF6615">
        <w:fldChar w:fldCharType="end"/>
      </w:r>
      <w:r w:rsidR="00FD0843">
        <w:t>.</w:t>
      </w:r>
      <w:r w:rsidRPr="00BF6615">
        <w:t xml:space="preserve"> Sposób załatwiania spraw urzędowych w grupie osoby 60+ (n=100)</w:t>
      </w:r>
      <w:bookmarkEnd w:id="284"/>
    </w:p>
    <w:p w14:paraId="1A46940D" w14:textId="2DCEED88" w:rsidR="007163F4" w:rsidRPr="00BF6615" w:rsidRDefault="0085554E" w:rsidP="007E26B5">
      <w:r w:rsidRPr="00BF6615">
        <w:rPr>
          <w:noProof/>
          <w:lang w:eastAsia="pl-PL"/>
        </w:rPr>
        <w:drawing>
          <wp:inline distT="0" distB="0" distL="0" distR="0" wp14:anchorId="767B549E" wp14:editId="14A671AA">
            <wp:extent cx="4861711" cy="3069125"/>
            <wp:effectExtent l="0" t="0" r="0" b="0"/>
            <wp:docPr id="855859741" name="Wykres 1" descr="On-line - 31%&#10;Osobiście - 63%&#10;Łączę ze sobą różne sposoby (np. uzyskuję informacje telefonicznie, później załatwiam sprawę osobiście) - 38%&#10;Telefonicznie - 6%">
              <a:extLst xmlns:a="http://schemas.openxmlformats.org/drawingml/2006/main">
                <a:ext uri="{FF2B5EF4-FFF2-40B4-BE49-F238E27FC236}">
                  <a16:creationId xmlns:a16="http://schemas.microsoft.com/office/drawing/2014/main" id="{08EAAA74-4091-2546-868B-7F8266EAA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20AA7477" w14:textId="77777777" w:rsidR="007163F4" w:rsidRPr="00BF6615" w:rsidRDefault="007163F4" w:rsidP="007E26B5">
      <w:r w:rsidRPr="00BF6615">
        <w:t>Źródło: opracowanie własne.</w:t>
      </w:r>
    </w:p>
    <w:p w14:paraId="4C591260" w14:textId="77777777" w:rsidR="007163F4" w:rsidRPr="00137936" w:rsidRDefault="007163F4" w:rsidP="00B271C3">
      <w:pPr>
        <w:pStyle w:val="Nagwek4"/>
        <w:rPr>
          <w:bCs/>
        </w:rPr>
      </w:pPr>
      <w:r w:rsidRPr="00137936">
        <w:rPr>
          <w:bCs/>
        </w:rPr>
        <w:t>Doświadczenia korzystania ze stron i aplikacji podmiotów publicznych</w:t>
      </w:r>
    </w:p>
    <w:p w14:paraId="21818867" w14:textId="77777777" w:rsidR="007163F4" w:rsidRPr="00BF6615" w:rsidRDefault="007163F4" w:rsidP="007E26B5">
      <w:r w:rsidRPr="00BF6615">
        <w:t xml:space="preserve">Sprawy, które najczęściej badani załatwiają online w urzędach, to płatności podatków (68%) oraz składanie różnego rodzaju wniosków (49%). Niemalże połowa ankietowanych wskazała również rejestrację do lekarza (47%), co z pewnością jest korelacją z wiekiem ankietowanych w tej grupie. </w:t>
      </w:r>
    </w:p>
    <w:p w14:paraId="015AAC64" w14:textId="5BA0E3FE" w:rsidR="007163F4" w:rsidRPr="00BF6615" w:rsidRDefault="007163F4" w:rsidP="00FD0843">
      <w:pPr>
        <w:pStyle w:val="Legenda"/>
        <w:keepNext/>
        <w:pageBreakBefore/>
      </w:pPr>
      <w:bookmarkStart w:id="285" w:name="_Toc204179204"/>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58</w:t>
      </w:r>
      <w:r w:rsidRPr="00BF6615">
        <w:fldChar w:fldCharType="end"/>
      </w:r>
      <w:r w:rsidR="00FD0843">
        <w:t>.</w:t>
      </w:r>
      <w:r w:rsidRPr="00BF6615">
        <w:t xml:space="preserve"> Sprawy regularnie załatwiane online za pośrednictwem stron podmiotów publicznych </w:t>
      </w:r>
      <w:r w:rsidR="00986E64" w:rsidRPr="00BF6615">
        <w:t xml:space="preserve">w grupie osoby 60+ </w:t>
      </w:r>
      <w:r w:rsidRPr="00BF6615">
        <w:t>(n=100)</w:t>
      </w:r>
      <w:bookmarkEnd w:id="285"/>
    </w:p>
    <w:p w14:paraId="654490CD" w14:textId="63A58857" w:rsidR="007163F4" w:rsidRPr="00BF6615" w:rsidRDefault="00202FF5" w:rsidP="007E26B5">
      <w:pPr>
        <w:rPr>
          <w:color w:val="4472C4" w:themeColor="accent1"/>
        </w:rPr>
      </w:pPr>
      <w:r w:rsidRPr="00BF6615">
        <w:rPr>
          <w:noProof/>
          <w:lang w:eastAsia="pl-PL"/>
        </w:rPr>
        <w:drawing>
          <wp:inline distT="0" distB="0" distL="0" distR="0" wp14:anchorId="75D82172" wp14:editId="4175C4F4">
            <wp:extent cx="5314384" cy="2833735"/>
            <wp:effectExtent l="0" t="0" r="635" b="5080"/>
            <wp:docPr id="275161215" name="Wykres 1" descr="Składanie różnego typu wniosków (np. wniosek o wydanie zaświadczenia) - 49%&#10;Płatność podatków - 68%&#10;Rejestracja do lekarza - 47%&#10;Zgłaszanie problemów (np. awarie) - 37%">
              <a:extLst xmlns:a="http://schemas.openxmlformats.org/drawingml/2006/main">
                <a:ext uri="{FF2B5EF4-FFF2-40B4-BE49-F238E27FC236}">
                  <a16:creationId xmlns:a16="http://schemas.microsoft.com/office/drawing/2014/main" id="{7E6E76A1-C636-C34B-A290-C8615C600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1273F037" w14:textId="77777777" w:rsidR="007163F4" w:rsidRPr="00BF6615" w:rsidRDefault="007163F4" w:rsidP="007E26B5">
      <w:r w:rsidRPr="00BF6615">
        <w:t>Źródło: opracowanie własne.</w:t>
      </w:r>
    </w:p>
    <w:p w14:paraId="329D7857" w14:textId="4846A75F" w:rsidR="007163F4" w:rsidRPr="00BF6615" w:rsidRDefault="007163F4" w:rsidP="007E26B5">
      <w:r w:rsidRPr="00BF6615">
        <w:t>Badani wskazywali, że najczęściej korzystają ze strony Urzędów Skarbowych (62%), nieco rzadziej ze stron urzędów miejskich/gminnych (58%), stron rządowych, ministerstw lub agencji (56%) i stron instytucji zdrowotnych (56%).</w:t>
      </w:r>
    </w:p>
    <w:p w14:paraId="5230790F" w14:textId="46576C20" w:rsidR="007163F4" w:rsidRPr="00BF6615" w:rsidRDefault="007163F4" w:rsidP="00FD0843">
      <w:pPr>
        <w:pStyle w:val="Legenda"/>
        <w:keepNext/>
        <w:pageBreakBefore/>
      </w:pPr>
      <w:bookmarkStart w:id="286" w:name="_Toc204179205"/>
      <w:r w:rsidRPr="00BF6615">
        <w:lastRenderedPageBreak/>
        <w:t xml:space="preserve">Wykres </w:t>
      </w:r>
      <w:r w:rsidRPr="00BF6615">
        <w:fldChar w:fldCharType="begin"/>
      </w:r>
      <w:r w:rsidRPr="00BF6615">
        <w:instrText xml:space="preserve"> SEQ Wykres \* ARABIC </w:instrText>
      </w:r>
      <w:r w:rsidRPr="00BF6615">
        <w:fldChar w:fldCharType="separate"/>
      </w:r>
      <w:r w:rsidR="00FD0843">
        <w:rPr>
          <w:noProof/>
        </w:rPr>
        <w:t>59</w:t>
      </w:r>
      <w:r w:rsidRPr="00BF6615">
        <w:fldChar w:fldCharType="end"/>
      </w:r>
      <w:r w:rsidR="00FD0843">
        <w:t>.</w:t>
      </w:r>
      <w:r w:rsidRPr="00BF6615">
        <w:t xml:space="preserve"> Strony podmiotów publicznych, z jakich najczęściej korzystają badani w grupie osoby 60+ (n=100)</w:t>
      </w:r>
      <w:bookmarkEnd w:id="286"/>
    </w:p>
    <w:p w14:paraId="28A11FE6" w14:textId="174F1014" w:rsidR="007163F4" w:rsidRPr="00BF6615" w:rsidRDefault="00900F7F" w:rsidP="007E26B5">
      <w:pPr>
        <w:rPr>
          <w:lang w:eastAsia="pl-PL"/>
        </w:rPr>
      </w:pPr>
      <w:r w:rsidRPr="00BF6615">
        <w:rPr>
          <w:noProof/>
          <w:lang w:eastAsia="pl-PL"/>
        </w:rPr>
        <w:drawing>
          <wp:inline distT="0" distB="0" distL="0" distR="0" wp14:anchorId="4F288E81" wp14:editId="6EBB8484">
            <wp:extent cx="5486400" cy="5122606"/>
            <wp:effectExtent l="0" t="0" r="0" b="0"/>
            <wp:docPr id="326063306" name="Wykres 1" descr="Strony urzędów miejskich/gminnych - 58%&#10;Strony Powiatowych Centrów Pomocy Rodzinie/Miejskich lub Gminnych Ośrodków Pomocy Społecznej - 8%&#10;Strony rządowe, ministerstw lub agencji - 56%&#10;Strony Urzędów Skarbowych - 62%&#10;Strony Urzędów Pracy - 5%&#10;Strony instytucji zdrowotnych - 56%&#10;Strony edukacyjne - 10%&#10;Strony instytucji kultury - 36%&#10;Inne - 1%">
              <a:extLst xmlns:a="http://schemas.openxmlformats.org/drawingml/2006/main">
                <a:ext uri="{FF2B5EF4-FFF2-40B4-BE49-F238E27FC236}">
                  <a16:creationId xmlns:a16="http://schemas.microsoft.com/office/drawing/2014/main" id="{5940797D-3709-2448-90AF-BE23458AF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3A87F2B2" w14:textId="77777777" w:rsidR="007163F4" w:rsidRPr="00BF6615" w:rsidRDefault="007163F4" w:rsidP="007E26B5">
      <w:r w:rsidRPr="00BF6615">
        <w:t>Źródło: opracowanie własne.</w:t>
      </w:r>
    </w:p>
    <w:p w14:paraId="4DEE5BA9" w14:textId="3887E6CE" w:rsidR="007163F4" w:rsidRPr="00BF6615" w:rsidRDefault="007163F4" w:rsidP="007E26B5">
      <w:r w:rsidRPr="00BF6615">
        <w:t>Respondenci proszeni byli o wskazanie stron podmiotów publicznych, z których korzystają, a następnie o ocenę tych stron w różnych aspektach dostępności cyfrowej. Tabele poniżej przedstawiają średnie oceny nadane przez użytkowników dla poszczególnych cech stron. Skala ocen zawierała się w przedziale 1-5, gdzie 1 było najniższą, a 5 najwyższą oceną.</w:t>
      </w:r>
    </w:p>
    <w:p w14:paraId="4C3F3C9C" w14:textId="5EEC5E70" w:rsidR="007163F4" w:rsidRPr="00BF6615" w:rsidRDefault="007163F4" w:rsidP="007E26B5">
      <w:r w:rsidRPr="00BF6615">
        <w:t>W grupach stron, które oceniali badani znalazły się</w:t>
      </w:r>
      <w:r w:rsidR="00AE13D4" w:rsidRPr="00BF6615">
        <w:rPr>
          <w:rStyle w:val="Odwoanieprzypisudolnego"/>
        </w:rPr>
        <w:footnoteReference w:id="51"/>
      </w:r>
      <w:r w:rsidRPr="00BF6615">
        <w:t>:</w:t>
      </w:r>
    </w:p>
    <w:p w14:paraId="3104FAD3" w14:textId="35A58023" w:rsidR="007163F4" w:rsidRPr="00BF6615" w:rsidRDefault="007163F4">
      <w:pPr>
        <w:pStyle w:val="Akapitzlist"/>
        <w:numPr>
          <w:ilvl w:val="0"/>
          <w:numId w:val="68"/>
        </w:numPr>
      </w:pPr>
      <w:r w:rsidRPr="00BF6615">
        <w:t xml:space="preserve">strony rządowe/ministerstw: m.in. </w:t>
      </w:r>
      <w:r w:rsidR="00C91D2B" w:rsidRPr="00BF6615">
        <w:t>ministerstwo finansów czy kultury</w:t>
      </w:r>
      <w:r w:rsidR="002D1030" w:rsidRPr="00BF6615">
        <w:t>;</w:t>
      </w:r>
    </w:p>
    <w:p w14:paraId="27173570" w14:textId="77777777" w:rsidR="007163F4" w:rsidRPr="00BF6615" w:rsidRDefault="007163F4">
      <w:pPr>
        <w:pStyle w:val="Akapitzlist"/>
        <w:numPr>
          <w:ilvl w:val="0"/>
          <w:numId w:val="68"/>
        </w:numPr>
      </w:pPr>
      <w:r w:rsidRPr="00BF6615">
        <w:lastRenderedPageBreak/>
        <w:t>strony Urzędów Skarbowych: US różnych miast;</w:t>
      </w:r>
    </w:p>
    <w:p w14:paraId="4069D9C9" w14:textId="6BF610F1" w:rsidR="007163F4" w:rsidRPr="00BF6615" w:rsidRDefault="007163F4">
      <w:pPr>
        <w:pStyle w:val="Akapitzlist"/>
        <w:numPr>
          <w:ilvl w:val="0"/>
          <w:numId w:val="68"/>
        </w:numPr>
      </w:pPr>
      <w:r w:rsidRPr="00BF6615">
        <w:t>strony urzędów miejskich/gminnych: m.in. Urzędy Miast (w tym miasta wojewódzkie), Urzędy Gmin;</w:t>
      </w:r>
    </w:p>
    <w:p w14:paraId="37D4D487" w14:textId="6E427360" w:rsidR="007163F4" w:rsidRPr="00BF6615" w:rsidRDefault="007163F4">
      <w:pPr>
        <w:pStyle w:val="Akapitzlist"/>
        <w:numPr>
          <w:ilvl w:val="0"/>
          <w:numId w:val="68"/>
        </w:numPr>
      </w:pPr>
      <w:r w:rsidRPr="00BF6615">
        <w:t>strony Powiatowych Centrów Pomocy Rodzinie/Miejskich lub Gminnych Ośrodków Pomocy Społecznej;</w:t>
      </w:r>
    </w:p>
    <w:p w14:paraId="7AEA1715" w14:textId="2D5565CA" w:rsidR="007163F4" w:rsidRPr="00BF6615" w:rsidRDefault="007163F4">
      <w:pPr>
        <w:pStyle w:val="Akapitzlist"/>
        <w:numPr>
          <w:ilvl w:val="0"/>
          <w:numId w:val="68"/>
        </w:numPr>
      </w:pPr>
      <w:r w:rsidRPr="00BF6615">
        <w:t>strony instytucji zdrowotnych: m.in. strony przychodni, strona NFZ</w:t>
      </w:r>
      <w:r w:rsidR="00405493" w:rsidRPr="00BF6615">
        <w:t>,</w:t>
      </w:r>
      <w:r w:rsidR="00E013D7" w:rsidRPr="00BF6615">
        <w:t xml:space="preserve"> pacjent.gov.pl</w:t>
      </w:r>
      <w:r w:rsidRPr="00BF6615">
        <w:t>;</w:t>
      </w:r>
    </w:p>
    <w:p w14:paraId="01846AE2" w14:textId="71AF7C54" w:rsidR="007163F4" w:rsidRPr="00BF6615" w:rsidRDefault="007163F4">
      <w:pPr>
        <w:pStyle w:val="Akapitzlist"/>
        <w:numPr>
          <w:ilvl w:val="0"/>
          <w:numId w:val="68"/>
        </w:numPr>
      </w:pPr>
      <w:r w:rsidRPr="00BF6615">
        <w:t>strony edukacyjne: strony U</w:t>
      </w:r>
      <w:r w:rsidR="00A45DE1" w:rsidRPr="00BF6615">
        <w:t>niwersytetów Trzeciego Wieku</w:t>
      </w:r>
      <w:r w:rsidRPr="00BF6615">
        <w:t xml:space="preserve">; </w:t>
      </w:r>
    </w:p>
    <w:p w14:paraId="50050318" w14:textId="77777777" w:rsidR="007163F4" w:rsidRPr="00BF6615" w:rsidRDefault="007163F4">
      <w:pPr>
        <w:pStyle w:val="Akapitzlist"/>
        <w:numPr>
          <w:ilvl w:val="0"/>
          <w:numId w:val="68"/>
        </w:numPr>
      </w:pPr>
      <w:r w:rsidRPr="00BF6615">
        <w:t>strony instytucji kultury: m.in. muzea, biblioteki, kina, domy kultury.</w:t>
      </w:r>
    </w:p>
    <w:p w14:paraId="6B5482E3" w14:textId="42842E8B" w:rsidR="007163F4" w:rsidRPr="00BF6615" w:rsidRDefault="00963E1B" w:rsidP="007E26B5">
      <w:r w:rsidRPr="00BF6615">
        <w:t>Tylko 1 osoba badana dokonała</w:t>
      </w:r>
      <w:r w:rsidR="007163F4" w:rsidRPr="00BF6615">
        <w:t xml:space="preserve"> oceny stron</w:t>
      </w:r>
      <w:r w:rsidRPr="00BF6615">
        <w:t>y</w:t>
      </w:r>
      <w:r w:rsidR="007163F4" w:rsidRPr="00BF6615">
        <w:t xml:space="preserve"> Urzędów Pracy</w:t>
      </w:r>
      <w:r w:rsidR="001A4B2D" w:rsidRPr="00BF6615">
        <w:t>, dlatego wynik ten nie został poddany analizie</w:t>
      </w:r>
      <w:r w:rsidR="007163F4" w:rsidRPr="00BF6615">
        <w:t>.</w:t>
      </w:r>
    </w:p>
    <w:p w14:paraId="4063D721" w14:textId="6C657AD2" w:rsidR="0080384E" w:rsidRPr="00BF6615" w:rsidRDefault="007163F4" w:rsidP="007E26B5">
      <w:r w:rsidRPr="00BF6615">
        <w:t xml:space="preserve">Średnie ocen poszczególnych aspektów dostępności </w:t>
      </w:r>
      <w:r w:rsidR="00D51BC9" w:rsidRPr="00BF6615">
        <w:t>na stronach publicznych są</w:t>
      </w:r>
      <w:r w:rsidR="008B132A" w:rsidRPr="00BF6615">
        <w:t xml:space="preserve"> dość wysok</w:t>
      </w:r>
      <w:r w:rsidR="00493336" w:rsidRPr="00BF6615">
        <w:t>ie</w:t>
      </w:r>
      <w:r w:rsidR="008B132A" w:rsidRPr="00BF6615">
        <w:t xml:space="preserve">- wahają </w:t>
      </w:r>
      <w:r w:rsidR="00D51BC9" w:rsidRPr="00BF6615">
        <w:t>3,67 -</w:t>
      </w:r>
      <w:r w:rsidRPr="00BF6615">
        <w:t xml:space="preserve"> 4,</w:t>
      </w:r>
      <w:r w:rsidR="00D51BC9" w:rsidRPr="00BF6615">
        <w:t>75.</w:t>
      </w:r>
      <w:r w:rsidRPr="00BF6615">
        <w:t xml:space="preserve"> Najniżej został</w:t>
      </w:r>
      <w:r w:rsidR="00D51BC9" w:rsidRPr="00BF6615">
        <w:t>y</w:t>
      </w:r>
      <w:r w:rsidRPr="00BF6615">
        <w:t xml:space="preserve"> ocenion</w:t>
      </w:r>
      <w:r w:rsidR="00D51BC9" w:rsidRPr="00BF6615">
        <w:t>e</w:t>
      </w:r>
      <w:r w:rsidRPr="00BF6615">
        <w:t xml:space="preserve"> kwestie </w:t>
      </w:r>
      <w:r w:rsidR="0080384E" w:rsidRPr="00BF6615">
        <w:t xml:space="preserve">dostępu do tłumaczeń </w:t>
      </w:r>
      <w:r w:rsidR="008B0B0A" w:rsidRPr="00BF6615">
        <w:t>w</w:t>
      </w:r>
      <w:r w:rsidR="008B0B0A">
        <w:t> </w:t>
      </w:r>
      <w:r w:rsidR="0080384E" w:rsidRPr="00BF6615">
        <w:t xml:space="preserve">PJM (oceny 3,67 dla stron </w:t>
      </w:r>
      <w:r w:rsidR="00894B12" w:rsidRPr="00BF6615">
        <w:t xml:space="preserve">urzędów miast/gmin i MOPS/PCPR). Badani zwracali także uwagę na istotne braki w zakresie </w:t>
      </w:r>
      <w:r w:rsidR="00B035AE" w:rsidRPr="00BF6615">
        <w:t>braku zrozumienia dla treści oraz responsywności- obie te niższe oceny dotyczyły stron MOPS/PCPR.</w:t>
      </w:r>
      <w:r w:rsidR="001207F6" w:rsidRPr="00BF6615">
        <w:t xml:space="preserve"> Także na tych stronach uwidoczniono najwyższą ocenę- 4,75 dla zrozumiałości grafik</w:t>
      </w:r>
      <w:r w:rsidR="0064439F" w:rsidRPr="00BF6615">
        <w:t xml:space="preserve"> i zdjęć</w:t>
      </w:r>
      <w:r w:rsidR="001207F6" w:rsidRPr="00BF6615">
        <w:t>.</w:t>
      </w:r>
    </w:p>
    <w:p w14:paraId="1ED5CD4A" w14:textId="788EE1B1" w:rsidR="00B035AE" w:rsidRPr="00BF6615" w:rsidRDefault="00B035AE" w:rsidP="007E26B5">
      <w:r w:rsidRPr="00BF6615">
        <w:t xml:space="preserve">Najniżej zostały ocenione strony </w:t>
      </w:r>
      <w:r w:rsidR="00786F00" w:rsidRPr="00BF6615">
        <w:t xml:space="preserve">urzędów miejskich i gmin- wyraźnie niżej niż inne oceniane typy stron- ocena </w:t>
      </w:r>
      <w:r w:rsidR="00975FA7" w:rsidRPr="00BF6615">
        <w:t xml:space="preserve">łączna 3,88 w stosunku do oceny łącznej innych typów stron w zakresie </w:t>
      </w:r>
      <w:r w:rsidR="00992C20" w:rsidRPr="00BF6615">
        <w:t xml:space="preserve">4,09- 4,48. Najwyżej oceniono strony rządowe. </w:t>
      </w:r>
    </w:p>
    <w:p w14:paraId="42B8DB1E" w14:textId="77777777" w:rsidR="0080384E" w:rsidRPr="00BF6615" w:rsidRDefault="0080384E" w:rsidP="007E26B5"/>
    <w:p w14:paraId="51BBCA5C" w14:textId="77777777" w:rsidR="007163F4" w:rsidRPr="00BF6615" w:rsidRDefault="007163F4" w:rsidP="007E26B5">
      <w:pPr>
        <w:sectPr w:rsidR="007163F4" w:rsidRPr="00BF6615" w:rsidSect="007163F4">
          <w:footerReference w:type="default" r:id="rId101"/>
          <w:pgSz w:w="12240" w:h="15840"/>
          <w:pgMar w:top="1440" w:right="1800" w:bottom="1440" w:left="1800" w:header="720" w:footer="720" w:gutter="0"/>
          <w:cols w:space="720"/>
          <w:docGrid w:linePitch="360"/>
        </w:sectPr>
      </w:pPr>
    </w:p>
    <w:p w14:paraId="51AAD2A5" w14:textId="5362A204" w:rsidR="003B514A" w:rsidRPr="00BF6615" w:rsidRDefault="007163F4" w:rsidP="007E26B5">
      <w:pPr>
        <w:pStyle w:val="Legenda"/>
        <w:keepNext/>
      </w:pPr>
      <w:bookmarkStart w:id="287" w:name="_Toc204179141"/>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43</w:t>
      </w:r>
      <w:r w:rsidRPr="00BF6615">
        <w:fldChar w:fldCharType="end"/>
      </w:r>
      <w:r w:rsidR="00FD0843">
        <w:t>.</w:t>
      </w:r>
      <w:r w:rsidRPr="00BF6615">
        <w:t xml:space="preserve"> </w:t>
      </w:r>
      <w:r w:rsidR="003B514A" w:rsidRPr="00BF6615">
        <w:t>Średnie oceny stron publicznych wg aspektów dostępności cyfrowej dla stron, z których korzystają osoby badane w grupie 60+</w:t>
      </w:r>
      <w:bookmarkEnd w:id="287"/>
    </w:p>
    <w:tbl>
      <w:tblPr>
        <w:tblStyle w:val="PARP"/>
        <w:tblW w:w="13445" w:type="dxa"/>
        <w:tblLook w:val="04A0" w:firstRow="1" w:lastRow="0" w:firstColumn="1" w:lastColumn="0" w:noHBand="0" w:noVBand="1"/>
        <w:tblCaption w:val="Średnie oceny stron publicznych wg aspektów dostępności cyfrowej dla stron, z których korzystają osoby badane w grupie 60+"/>
        <w:tblDescription w:val="Średnie oceny stron publicznych wg aspektów dostępności cyfrowej dla stron, z których korzystają osoby badane w grupie 60+"/>
      </w:tblPr>
      <w:tblGrid>
        <w:gridCol w:w="5098"/>
        <w:gridCol w:w="1764"/>
        <w:gridCol w:w="1305"/>
        <w:gridCol w:w="2096"/>
        <w:gridCol w:w="1764"/>
        <w:gridCol w:w="1418"/>
      </w:tblGrid>
      <w:tr w:rsidR="00012671" w:rsidRPr="00BF6615" w14:paraId="672441AC" w14:textId="77777777" w:rsidTr="00A41666">
        <w:trPr>
          <w:cnfStyle w:val="100000000000" w:firstRow="1" w:lastRow="0" w:firstColumn="0" w:lastColumn="0" w:oddVBand="0" w:evenVBand="0" w:oddHBand="0" w:evenHBand="0" w:firstRowFirstColumn="0" w:firstRowLastColumn="0" w:lastRowFirstColumn="0" w:lastRowLastColumn="0"/>
          <w:trHeight w:val="2320"/>
        </w:trPr>
        <w:tc>
          <w:tcPr>
            <w:tcW w:w="5098" w:type="dxa"/>
            <w:hideMark/>
          </w:tcPr>
          <w:p w14:paraId="2734E816" w14:textId="77777777" w:rsidR="00E36726" w:rsidRPr="00BF6615" w:rsidRDefault="00E36726"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764" w:type="dxa"/>
            <w:hideMark/>
          </w:tcPr>
          <w:p w14:paraId="33B865E4" w14:textId="77777777" w:rsidR="00E36726" w:rsidRPr="00BF6615" w:rsidRDefault="00E36726" w:rsidP="007E26B5">
            <w:pPr>
              <w:spacing w:after="0" w:line="240" w:lineRule="auto"/>
              <w:rPr>
                <w:rFonts w:eastAsia="Times New Roman" w:cs="Calibri"/>
                <w:b/>
                <w:sz w:val="22"/>
                <w:lang w:eastAsia="pl-PL"/>
              </w:rPr>
            </w:pPr>
            <w:r w:rsidRPr="00BF6615">
              <w:rPr>
                <w:rFonts w:eastAsia="Times New Roman" w:cs="Calibri"/>
                <w:b/>
                <w:sz w:val="22"/>
                <w:lang w:eastAsia="pl-PL"/>
              </w:rPr>
              <w:t>Strona urzędu centralnego, w tym rządowa, ministerstwa, agencji</w:t>
            </w:r>
          </w:p>
        </w:tc>
        <w:tc>
          <w:tcPr>
            <w:tcW w:w="1305" w:type="dxa"/>
            <w:hideMark/>
          </w:tcPr>
          <w:p w14:paraId="4429A3C2" w14:textId="77777777" w:rsidR="00E36726" w:rsidRPr="00BF6615" w:rsidRDefault="00E36726" w:rsidP="007E26B5">
            <w:pPr>
              <w:spacing w:after="0" w:line="240" w:lineRule="auto"/>
              <w:rPr>
                <w:rFonts w:eastAsia="Times New Roman" w:cs="Calibri"/>
                <w:b/>
                <w:sz w:val="22"/>
                <w:lang w:eastAsia="pl-PL"/>
              </w:rPr>
            </w:pPr>
            <w:r w:rsidRPr="00BF6615">
              <w:rPr>
                <w:rFonts w:eastAsia="Times New Roman" w:cs="Calibri"/>
                <w:b/>
                <w:sz w:val="22"/>
                <w:lang w:eastAsia="pl-PL"/>
              </w:rPr>
              <w:t>Strona urzędu skarbowego</w:t>
            </w:r>
          </w:p>
        </w:tc>
        <w:tc>
          <w:tcPr>
            <w:tcW w:w="2096" w:type="dxa"/>
            <w:hideMark/>
          </w:tcPr>
          <w:p w14:paraId="0C7C31B5" w14:textId="3A21B8E3" w:rsidR="00E36726" w:rsidRPr="00BF6615" w:rsidRDefault="00B3365B" w:rsidP="007E26B5">
            <w:pPr>
              <w:spacing w:after="0" w:line="240" w:lineRule="auto"/>
              <w:rPr>
                <w:rFonts w:eastAsia="Times New Roman" w:cs="Calibri"/>
                <w:b/>
                <w:sz w:val="22"/>
                <w:lang w:eastAsia="pl-PL"/>
              </w:rPr>
            </w:pPr>
            <w:r w:rsidRPr="00BF6615">
              <w:rPr>
                <w:rFonts w:eastAsia="Times New Roman" w:cs="Calibri"/>
                <w:b/>
                <w:sz w:val="22"/>
                <w:lang w:eastAsia="pl-PL"/>
              </w:rPr>
              <w:t>S</w:t>
            </w:r>
            <w:r w:rsidR="00E36726" w:rsidRPr="00BF6615">
              <w:rPr>
                <w:rFonts w:eastAsia="Times New Roman" w:cs="Calibri"/>
                <w:b/>
                <w:sz w:val="22"/>
                <w:lang w:eastAsia="pl-PL"/>
              </w:rPr>
              <w:t>trona urzędu miejskiego/gminnego</w:t>
            </w:r>
          </w:p>
        </w:tc>
        <w:tc>
          <w:tcPr>
            <w:tcW w:w="1764" w:type="dxa"/>
            <w:hideMark/>
          </w:tcPr>
          <w:p w14:paraId="138B9345" w14:textId="77777777" w:rsidR="00E36726" w:rsidRPr="00BF6615" w:rsidRDefault="00E36726" w:rsidP="007E26B5">
            <w:pPr>
              <w:spacing w:after="0" w:line="240" w:lineRule="auto"/>
              <w:rPr>
                <w:rFonts w:eastAsia="Times New Roman" w:cs="Calibri"/>
                <w:b/>
                <w:sz w:val="22"/>
                <w:lang w:eastAsia="pl-PL"/>
              </w:rPr>
            </w:pPr>
            <w:r w:rsidRPr="00BF6615">
              <w:rPr>
                <w:rFonts w:eastAsia="Times New Roman" w:cs="Calibri"/>
                <w:b/>
                <w:sz w:val="22"/>
                <w:lang w:eastAsia="pl-PL"/>
              </w:rPr>
              <w:t>Strona Powiatowego Centrum Pomocy Rodzinie/ Miejskiego lub Gminnego Ośrodka Pomocy Społecznej</w:t>
            </w:r>
          </w:p>
        </w:tc>
        <w:tc>
          <w:tcPr>
            <w:tcW w:w="1418" w:type="dxa"/>
            <w:hideMark/>
          </w:tcPr>
          <w:p w14:paraId="71305B1C" w14:textId="77777777" w:rsidR="00E36726" w:rsidRPr="00BF6615" w:rsidRDefault="00E36726"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012671" w:rsidRPr="00BF6615" w14:paraId="0151831A" w14:textId="77777777" w:rsidTr="00FD0843">
        <w:trPr>
          <w:cnfStyle w:val="000000100000" w:firstRow="0" w:lastRow="0" w:firstColumn="0" w:lastColumn="0" w:oddVBand="0" w:evenVBand="0" w:oddHBand="1" w:evenHBand="0" w:firstRowFirstColumn="0" w:firstRowLastColumn="0" w:lastRowFirstColumn="0" w:lastRowLastColumn="0"/>
          <w:trHeight w:val="580"/>
        </w:trPr>
        <w:tc>
          <w:tcPr>
            <w:tcW w:w="5098" w:type="dxa"/>
            <w:hideMark/>
          </w:tcPr>
          <w:p w14:paraId="74F8511A"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przeglądać zawartość i znajdować potrzebne mi informacje</w:t>
            </w:r>
          </w:p>
        </w:tc>
        <w:tc>
          <w:tcPr>
            <w:tcW w:w="1764" w:type="dxa"/>
            <w:hideMark/>
          </w:tcPr>
          <w:p w14:paraId="754C48AE"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4,54</w:t>
            </w:r>
          </w:p>
        </w:tc>
        <w:tc>
          <w:tcPr>
            <w:tcW w:w="1305" w:type="dxa"/>
            <w:hideMark/>
          </w:tcPr>
          <w:p w14:paraId="0A8D2D55"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4,15</w:t>
            </w:r>
          </w:p>
        </w:tc>
        <w:tc>
          <w:tcPr>
            <w:tcW w:w="2096" w:type="dxa"/>
            <w:hideMark/>
          </w:tcPr>
          <w:p w14:paraId="6510BB91"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3,86</w:t>
            </w:r>
          </w:p>
        </w:tc>
        <w:tc>
          <w:tcPr>
            <w:tcW w:w="1764" w:type="dxa"/>
            <w:hideMark/>
          </w:tcPr>
          <w:p w14:paraId="4DF89187"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418" w:type="dxa"/>
            <w:hideMark/>
          </w:tcPr>
          <w:p w14:paraId="47F79D11" w14:textId="08CDD7AB"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14</w:t>
            </w:r>
          </w:p>
        </w:tc>
      </w:tr>
      <w:tr w:rsidR="00012671" w:rsidRPr="00BF6615" w14:paraId="73923A36" w14:textId="77777777" w:rsidTr="00FD0843">
        <w:trPr>
          <w:cnfStyle w:val="000000010000" w:firstRow="0" w:lastRow="0" w:firstColumn="0" w:lastColumn="0" w:oddVBand="0" w:evenVBand="0" w:oddHBand="0" w:evenHBand="1" w:firstRowFirstColumn="0" w:firstRowLastColumn="0" w:lastRowFirstColumn="0" w:lastRowLastColumn="0"/>
          <w:trHeight w:val="290"/>
        </w:trPr>
        <w:tc>
          <w:tcPr>
            <w:tcW w:w="5098" w:type="dxa"/>
            <w:hideMark/>
          </w:tcPr>
          <w:p w14:paraId="2F1F1B78"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na stronie są dla mnie zrozumiałe</w:t>
            </w:r>
          </w:p>
        </w:tc>
        <w:tc>
          <w:tcPr>
            <w:tcW w:w="1764" w:type="dxa"/>
            <w:hideMark/>
          </w:tcPr>
          <w:p w14:paraId="576D85B6"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305" w:type="dxa"/>
            <w:hideMark/>
          </w:tcPr>
          <w:p w14:paraId="1FAF8886"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2096" w:type="dxa"/>
            <w:hideMark/>
          </w:tcPr>
          <w:p w14:paraId="2C153FF8"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3,90</w:t>
            </w:r>
          </w:p>
        </w:tc>
        <w:tc>
          <w:tcPr>
            <w:tcW w:w="1764" w:type="dxa"/>
            <w:hideMark/>
          </w:tcPr>
          <w:p w14:paraId="4643C4EA"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3,75</w:t>
            </w:r>
          </w:p>
        </w:tc>
        <w:tc>
          <w:tcPr>
            <w:tcW w:w="1418" w:type="dxa"/>
            <w:hideMark/>
          </w:tcPr>
          <w:p w14:paraId="0914872B" w14:textId="74784135"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09</w:t>
            </w:r>
          </w:p>
        </w:tc>
      </w:tr>
      <w:tr w:rsidR="00012671" w:rsidRPr="00BF6615" w14:paraId="0955EAE2" w14:textId="77777777" w:rsidTr="00FD0843">
        <w:trPr>
          <w:cnfStyle w:val="000000100000" w:firstRow="0" w:lastRow="0" w:firstColumn="0" w:lastColumn="0" w:oddVBand="0" w:evenVBand="0" w:oddHBand="1" w:evenHBand="0" w:firstRowFirstColumn="0" w:firstRowLastColumn="0" w:lastRowFirstColumn="0" w:lastRowLastColumn="0"/>
          <w:trHeight w:val="940"/>
        </w:trPr>
        <w:tc>
          <w:tcPr>
            <w:tcW w:w="5098" w:type="dxa"/>
            <w:hideMark/>
          </w:tcPr>
          <w:p w14:paraId="4BD00F4B"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ma czytelny układ treści bez względu na urządzenie, z którego korzystam, w widoku poziomym i pionowym</w:t>
            </w:r>
          </w:p>
        </w:tc>
        <w:tc>
          <w:tcPr>
            <w:tcW w:w="1764" w:type="dxa"/>
            <w:hideMark/>
          </w:tcPr>
          <w:p w14:paraId="07E79CD2"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305" w:type="dxa"/>
            <w:hideMark/>
          </w:tcPr>
          <w:p w14:paraId="5B77DF55"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4,17</w:t>
            </w:r>
          </w:p>
        </w:tc>
        <w:tc>
          <w:tcPr>
            <w:tcW w:w="2096" w:type="dxa"/>
            <w:hideMark/>
          </w:tcPr>
          <w:p w14:paraId="20BF9ED1"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3,79</w:t>
            </w:r>
          </w:p>
        </w:tc>
        <w:tc>
          <w:tcPr>
            <w:tcW w:w="1764" w:type="dxa"/>
            <w:hideMark/>
          </w:tcPr>
          <w:p w14:paraId="723C70B8"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3,75</w:t>
            </w:r>
          </w:p>
        </w:tc>
        <w:tc>
          <w:tcPr>
            <w:tcW w:w="1418" w:type="dxa"/>
            <w:hideMark/>
          </w:tcPr>
          <w:p w14:paraId="5CF04A0E" w14:textId="43197C04"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05</w:t>
            </w:r>
          </w:p>
        </w:tc>
      </w:tr>
      <w:tr w:rsidR="00012671" w:rsidRPr="00BF6615" w14:paraId="5465A83D" w14:textId="77777777" w:rsidTr="00FD0843">
        <w:trPr>
          <w:cnfStyle w:val="000000010000" w:firstRow="0" w:lastRow="0" w:firstColumn="0" w:lastColumn="0" w:oddVBand="0" w:evenVBand="0" w:oddHBand="0" w:evenHBand="1" w:firstRowFirstColumn="0" w:firstRowLastColumn="0" w:lastRowFirstColumn="0" w:lastRowLastColumn="0"/>
          <w:trHeight w:val="580"/>
        </w:trPr>
        <w:tc>
          <w:tcPr>
            <w:tcW w:w="5098" w:type="dxa"/>
            <w:hideMark/>
          </w:tcPr>
          <w:p w14:paraId="402093E1"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na stronie są dla mnie przyjazne</w:t>
            </w:r>
          </w:p>
        </w:tc>
        <w:tc>
          <w:tcPr>
            <w:tcW w:w="1764" w:type="dxa"/>
            <w:hideMark/>
          </w:tcPr>
          <w:p w14:paraId="3CD5E5EC"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4,47</w:t>
            </w:r>
          </w:p>
        </w:tc>
        <w:tc>
          <w:tcPr>
            <w:tcW w:w="1305" w:type="dxa"/>
            <w:hideMark/>
          </w:tcPr>
          <w:p w14:paraId="74E257A3"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4,34</w:t>
            </w:r>
          </w:p>
        </w:tc>
        <w:tc>
          <w:tcPr>
            <w:tcW w:w="2096" w:type="dxa"/>
            <w:hideMark/>
          </w:tcPr>
          <w:p w14:paraId="2A48FE4E"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3,85</w:t>
            </w:r>
          </w:p>
        </w:tc>
        <w:tc>
          <w:tcPr>
            <w:tcW w:w="1764" w:type="dxa"/>
            <w:hideMark/>
          </w:tcPr>
          <w:p w14:paraId="4D50B400"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418" w:type="dxa"/>
            <w:hideMark/>
          </w:tcPr>
          <w:p w14:paraId="6F20B250" w14:textId="73EE3725"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04</w:t>
            </w:r>
          </w:p>
        </w:tc>
      </w:tr>
      <w:tr w:rsidR="00012671" w:rsidRPr="00BF6615" w14:paraId="6676018F" w14:textId="77777777" w:rsidTr="00FD0843">
        <w:trPr>
          <w:cnfStyle w:val="000000100000" w:firstRow="0" w:lastRow="0" w:firstColumn="0" w:lastColumn="0" w:oddVBand="0" w:evenVBand="0" w:oddHBand="1" w:evenHBand="0" w:firstRowFirstColumn="0" w:firstRowLastColumn="0" w:lastRowFirstColumn="0" w:lastRowLastColumn="0"/>
          <w:trHeight w:val="580"/>
        </w:trPr>
        <w:tc>
          <w:tcPr>
            <w:tcW w:w="5098" w:type="dxa"/>
            <w:hideMark/>
          </w:tcPr>
          <w:p w14:paraId="5AF40BB1"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Formularze zamieszczone na stronie są dla mnie dostępne</w:t>
            </w:r>
          </w:p>
        </w:tc>
        <w:tc>
          <w:tcPr>
            <w:tcW w:w="1764" w:type="dxa"/>
            <w:hideMark/>
          </w:tcPr>
          <w:p w14:paraId="5F7175D7"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305" w:type="dxa"/>
            <w:hideMark/>
          </w:tcPr>
          <w:p w14:paraId="1EC2B291"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2096" w:type="dxa"/>
            <w:hideMark/>
          </w:tcPr>
          <w:p w14:paraId="2E492903"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3,94</w:t>
            </w:r>
          </w:p>
        </w:tc>
        <w:tc>
          <w:tcPr>
            <w:tcW w:w="1764" w:type="dxa"/>
            <w:hideMark/>
          </w:tcPr>
          <w:p w14:paraId="47B724BE"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418" w:type="dxa"/>
            <w:hideMark/>
          </w:tcPr>
          <w:p w14:paraId="7AB0A9FB" w14:textId="1DBB2A0A"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14</w:t>
            </w:r>
          </w:p>
        </w:tc>
      </w:tr>
      <w:tr w:rsidR="00012671" w:rsidRPr="00BF6615" w14:paraId="35B2ECE9" w14:textId="77777777" w:rsidTr="00FD0843">
        <w:trPr>
          <w:cnfStyle w:val="000000010000" w:firstRow="0" w:lastRow="0" w:firstColumn="0" w:lastColumn="0" w:oddVBand="0" w:evenVBand="0" w:oddHBand="0" w:evenHBand="1" w:firstRowFirstColumn="0" w:firstRowLastColumn="0" w:lastRowFirstColumn="0" w:lastRowLastColumn="0"/>
          <w:trHeight w:val="290"/>
        </w:trPr>
        <w:tc>
          <w:tcPr>
            <w:tcW w:w="5098" w:type="dxa"/>
            <w:hideMark/>
          </w:tcPr>
          <w:p w14:paraId="5826C30F"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Łatwo można korzystać z wyszukiwarki</w:t>
            </w:r>
          </w:p>
        </w:tc>
        <w:tc>
          <w:tcPr>
            <w:tcW w:w="1764" w:type="dxa"/>
            <w:hideMark/>
          </w:tcPr>
          <w:p w14:paraId="6215F6CE"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305" w:type="dxa"/>
            <w:hideMark/>
          </w:tcPr>
          <w:p w14:paraId="7FAA2D4D"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4,18</w:t>
            </w:r>
          </w:p>
        </w:tc>
        <w:tc>
          <w:tcPr>
            <w:tcW w:w="2096" w:type="dxa"/>
            <w:hideMark/>
          </w:tcPr>
          <w:p w14:paraId="3E98D577"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3,94</w:t>
            </w:r>
          </w:p>
        </w:tc>
        <w:tc>
          <w:tcPr>
            <w:tcW w:w="1764" w:type="dxa"/>
            <w:hideMark/>
          </w:tcPr>
          <w:p w14:paraId="0841FEB1"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418" w:type="dxa"/>
            <w:hideMark/>
          </w:tcPr>
          <w:p w14:paraId="7F2E7E5F" w14:textId="6A61FB12"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20</w:t>
            </w:r>
          </w:p>
        </w:tc>
      </w:tr>
      <w:tr w:rsidR="00012671" w:rsidRPr="00BF6615" w14:paraId="26EFAA59" w14:textId="77777777" w:rsidTr="00FD0843">
        <w:trPr>
          <w:cnfStyle w:val="000000100000" w:firstRow="0" w:lastRow="0" w:firstColumn="0" w:lastColumn="0" w:oddVBand="0" w:evenVBand="0" w:oddHBand="1" w:evenHBand="0" w:firstRowFirstColumn="0" w:firstRowLastColumn="0" w:lastRowFirstColumn="0" w:lastRowLastColumn="0"/>
          <w:trHeight w:val="580"/>
        </w:trPr>
        <w:tc>
          <w:tcPr>
            <w:tcW w:w="5098" w:type="dxa"/>
            <w:hideMark/>
          </w:tcPr>
          <w:p w14:paraId="2C377DCA"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Obrazy, grafiki i zdjęcia na stronie są dla mnie zrozumiałe</w:t>
            </w:r>
          </w:p>
        </w:tc>
        <w:tc>
          <w:tcPr>
            <w:tcW w:w="1764" w:type="dxa"/>
            <w:hideMark/>
          </w:tcPr>
          <w:p w14:paraId="67E16B5F"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4,45</w:t>
            </w:r>
          </w:p>
        </w:tc>
        <w:tc>
          <w:tcPr>
            <w:tcW w:w="1305" w:type="dxa"/>
            <w:hideMark/>
          </w:tcPr>
          <w:p w14:paraId="4DE1162B"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2096" w:type="dxa"/>
            <w:hideMark/>
          </w:tcPr>
          <w:p w14:paraId="4F1C56B9"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764" w:type="dxa"/>
            <w:hideMark/>
          </w:tcPr>
          <w:p w14:paraId="0D37CEA7"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1418" w:type="dxa"/>
            <w:hideMark/>
          </w:tcPr>
          <w:p w14:paraId="57244ECB" w14:textId="627296A4"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39</w:t>
            </w:r>
          </w:p>
        </w:tc>
      </w:tr>
      <w:tr w:rsidR="00012671" w:rsidRPr="00BF6615" w14:paraId="16AAC3AD" w14:textId="77777777" w:rsidTr="00FD0843">
        <w:trPr>
          <w:cnfStyle w:val="000000010000" w:firstRow="0" w:lastRow="0" w:firstColumn="0" w:lastColumn="0" w:oddVBand="0" w:evenVBand="0" w:oddHBand="0" w:evenHBand="1" w:firstRowFirstColumn="0" w:firstRowLastColumn="0" w:lastRowFirstColumn="0" w:lastRowLastColumn="0"/>
          <w:trHeight w:val="290"/>
        </w:trPr>
        <w:tc>
          <w:tcPr>
            <w:tcW w:w="5098" w:type="dxa"/>
            <w:hideMark/>
          </w:tcPr>
          <w:p w14:paraId="5366E1B0"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Multimedia są dla mnie zrozumiałe</w:t>
            </w:r>
          </w:p>
        </w:tc>
        <w:tc>
          <w:tcPr>
            <w:tcW w:w="1764" w:type="dxa"/>
            <w:hideMark/>
          </w:tcPr>
          <w:p w14:paraId="2CECF01C"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4,61</w:t>
            </w:r>
          </w:p>
        </w:tc>
        <w:tc>
          <w:tcPr>
            <w:tcW w:w="1305" w:type="dxa"/>
            <w:hideMark/>
          </w:tcPr>
          <w:p w14:paraId="18C42D7A"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4,26</w:t>
            </w:r>
          </w:p>
        </w:tc>
        <w:tc>
          <w:tcPr>
            <w:tcW w:w="2096" w:type="dxa"/>
            <w:hideMark/>
          </w:tcPr>
          <w:p w14:paraId="391169DA"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3,96</w:t>
            </w:r>
          </w:p>
        </w:tc>
        <w:tc>
          <w:tcPr>
            <w:tcW w:w="1764" w:type="dxa"/>
            <w:hideMark/>
          </w:tcPr>
          <w:p w14:paraId="6C16A370"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418" w:type="dxa"/>
            <w:hideMark/>
          </w:tcPr>
          <w:p w14:paraId="10AB4CB7" w14:textId="547F5AB5"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33</w:t>
            </w:r>
          </w:p>
        </w:tc>
      </w:tr>
      <w:tr w:rsidR="00012671" w:rsidRPr="00BF6615" w14:paraId="7CD59093" w14:textId="77777777" w:rsidTr="00FD0843">
        <w:trPr>
          <w:cnfStyle w:val="000000100000" w:firstRow="0" w:lastRow="0" w:firstColumn="0" w:lastColumn="0" w:oddVBand="0" w:evenVBand="0" w:oddHBand="1" w:evenHBand="0" w:firstRowFirstColumn="0" w:firstRowLastColumn="0" w:lastRowFirstColumn="0" w:lastRowLastColumn="0"/>
          <w:trHeight w:val="1450"/>
        </w:trPr>
        <w:tc>
          <w:tcPr>
            <w:tcW w:w="5098" w:type="dxa"/>
            <w:hideMark/>
          </w:tcPr>
          <w:p w14:paraId="30218A5B"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 (E-mail, chat, SMS, wideo rozmowa, itp.)</w:t>
            </w:r>
          </w:p>
        </w:tc>
        <w:tc>
          <w:tcPr>
            <w:tcW w:w="1764" w:type="dxa"/>
            <w:hideMark/>
          </w:tcPr>
          <w:p w14:paraId="11C59BFB"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305" w:type="dxa"/>
            <w:hideMark/>
          </w:tcPr>
          <w:p w14:paraId="64FD9445"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4,10</w:t>
            </w:r>
          </w:p>
        </w:tc>
        <w:tc>
          <w:tcPr>
            <w:tcW w:w="2096" w:type="dxa"/>
            <w:hideMark/>
          </w:tcPr>
          <w:p w14:paraId="6F2DFBB9"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3,82</w:t>
            </w:r>
          </w:p>
        </w:tc>
        <w:tc>
          <w:tcPr>
            <w:tcW w:w="1764" w:type="dxa"/>
            <w:hideMark/>
          </w:tcPr>
          <w:p w14:paraId="521ECE2F"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418" w:type="dxa"/>
            <w:hideMark/>
          </w:tcPr>
          <w:p w14:paraId="50C3A674" w14:textId="6ACC9ADD"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w:t>
            </w:r>
            <w:r w:rsidR="00A41666" w:rsidRPr="00BF6615">
              <w:rPr>
                <w:rFonts w:ascii="Calibri" w:eastAsia="Times New Roman" w:hAnsi="Calibri" w:cs="Calibri"/>
                <w:b/>
                <w:color w:val="000000"/>
                <w:sz w:val="22"/>
                <w:lang w:eastAsia="pl-PL"/>
              </w:rPr>
              <w:t>14</w:t>
            </w:r>
          </w:p>
        </w:tc>
      </w:tr>
      <w:tr w:rsidR="00012671" w:rsidRPr="00BF6615" w14:paraId="5C21C13D" w14:textId="77777777" w:rsidTr="00FD0843">
        <w:trPr>
          <w:cnfStyle w:val="000000010000" w:firstRow="0" w:lastRow="0" w:firstColumn="0" w:lastColumn="0" w:oddVBand="0" w:evenVBand="0" w:oddHBand="0" w:evenHBand="1" w:firstRowFirstColumn="0" w:firstRowLastColumn="0" w:lastRowFirstColumn="0" w:lastRowLastColumn="0"/>
          <w:trHeight w:val="580"/>
        </w:trPr>
        <w:tc>
          <w:tcPr>
            <w:tcW w:w="5098" w:type="dxa"/>
            <w:hideMark/>
          </w:tcPr>
          <w:p w14:paraId="28183F7B"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lastRenderedPageBreak/>
              <w:t>Wszystkie elementy strony mogę obsłużyć za pomocą klawiatury</w:t>
            </w:r>
          </w:p>
        </w:tc>
        <w:tc>
          <w:tcPr>
            <w:tcW w:w="1764" w:type="dxa"/>
            <w:hideMark/>
          </w:tcPr>
          <w:p w14:paraId="454810B3"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4,68</w:t>
            </w:r>
          </w:p>
        </w:tc>
        <w:tc>
          <w:tcPr>
            <w:tcW w:w="1305" w:type="dxa"/>
            <w:hideMark/>
          </w:tcPr>
          <w:p w14:paraId="78B573A6"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4,14</w:t>
            </w:r>
          </w:p>
        </w:tc>
        <w:tc>
          <w:tcPr>
            <w:tcW w:w="2096" w:type="dxa"/>
            <w:hideMark/>
          </w:tcPr>
          <w:p w14:paraId="6422923A"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3,95</w:t>
            </w:r>
          </w:p>
        </w:tc>
        <w:tc>
          <w:tcPr>
            <w:tcW w:w="1764" w:type="dxa"/>
            <w:hideMark/>
          </w:tcPr>
          <w:p w14:paraId="1D509CB4"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418" w:type="dxa"/>
            <w:hideMark/>
          </w:tcPr>
          <w:p w14:paraId="4B7B8172" w14:textId="1E8F210F"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32</w:t>
            </w:r>
          </w:p>
        </w:tc>
      </w:tr>
      <w:tr w:rsidR="00012671" w:rsidRPr="00BF6615" w14:paraId="4E84F464" w14:textId="77777777" w:rsidTr="00FD0843">
        <w:trPr>
          <w:cnfStyle w:val="000000100000" w:firstRow="0" w:lastRow="0" w:firstColumn="0" w:lastColumn="0" w:oddVBand="0" w:evenVBand="0" w:oddHBand="1" w:evenHBand="0" w:firstRowFirstColumn="0" w:firstRowLastColumn="0" w:lastRowFirstColumn="0" w:lastRowLastColumn="0"/>
          <w:trHeight w:val="580"/>
        </w:trPr>
        <w:tc>
          <w:tcPr>
            <w:tcW w:w="5098" w:type="dxa"/>
            <w:hideMark/>
          </w:tcPr>
          <w:p w14:paraId="15FF1E4D"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tłumaczenia na Polski język migowy (PJM)</w:t>
            </w:r>
          </w:p>
        </w:tc>
        <w:tc>
          <w:tcPr>
            <w:tcW w:w="1764" w:type="dxa"/>
            <w:hideMark/>
          </w:tcPr>
          <w:p w14:paraId="773A1AFA"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4,08</w:t>
            </w:r>
          </w:p>
        </w:tc>
        <w:tc>
          <w:tcPr>
            <w:tcW w:w="1305" w:type="dxa"/>
            <w:hideMark/>
          </w:tcPr>
          <w:p w14:paraId="0B29F311"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3,94</w:t>
            </w:r>
          </w:p>
        </w:tc>
        <w:tc>
          <w:tcPr>
            <w:tcW w:w="2096" w:type="dxa"/>
            <w:hideMark/>
          </w:tcPr>
          <w:p w14:paraId="635E8B98"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764" w:type="dxa"/>
            <w:hideMark/>
          </w:tcPr>
          <w:p w14:paraId="3D1E3DCE"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3,67</w:t>
            </w:r>
          </w:p>
        </w:tc>
        <w:tc>
          <w:tcPr>
            <w:tcW w:w="1418" w:type="dxa"/>
            <w:hideMark/>
          </w:tcPr>
          <w:p w14:paraId="498A023F" w14:textId="70E641A7"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3,</w:t>
            </w:r>
            <w:r w:rsidR="00A41666" w:rsidRPr="00BF6615">
              <w:rPr>
                <w:rFonts w:ascii="Calibri" w:hAnsi="Calibri" w:cs="Calibri"/>
                <w:b/>
                <w:color w:val="000000"/>
                <w:sz w:val="22"/>
              </w:rPr>
              <w:t>84</w:t>
            </w:r>
          </w:p>
        </w:tc>
      </w:tr>
      <w:tr w:rsidR="00012671" w:rsidRPr="00BF6615" w14:paraId="610C7FFE" w14:textId="77777777" w:rsidTr="00FD0843">
        <w:trPr>
          <w:cnfStyle w:val="000000010000" w:firstRow="0" w:lastRow="0" w:firstColumn="0" w:lastColumn="0" w:oddVBand="0" w:evenVBand="0" w:oddHBand="0" w:evenHBand="1" w:firstRowFirstColumn="0" w:firstRowLastColumn="0" w:lastRowFirstColumn="0" w:lastRowLastColumn="0"/>
          <w:trHeight w:val="580"/>
        </w:trPr>
        <w:tc>
          <w:tcPr>
            <w:tcW w:w="5098" w:type="dxa"/>
            <w:hideMark/>
          </w:tcPr>
          <w:p w14:paraId="5DA0816F"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informacje w tekście łatwym do czytania i zrozumienia (ETR)</w:t>
            </w:r>
          </w:p>
        </w:tc>
        <w:tc>
          <w:tcPr>
            <w:tcW w:w="1764" w:type="dxa"/>
            <w:hideMark/>
          </w:tcPr>
          <w:p w14:paraId="719268BF"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4,64</w:t>
            </w:r>
          </w:p>
        </w:tc>
        <w:tc>
          <w:tcPr>
            <w:tcW w:w="1305" w:type="dxa"/>
            <w:hideMark/>
          </w:tcPr>
          <w:p w14:paraId="18C95708"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2096" w:type="dxa"/>
            <w:hideMark/>
          </w:tcPr>
          <w:p w14:paraId="7F1C9A41"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3,85</w:t>
            </w:r>
          </w:p>
        </w:tc>
        <w:tc>
          <w:tcPr>
            <w:tcW w:w="1764" w:type="dxa"/>
            <w:hideMark/>
          </w:tcPr>
          <w:p w14:paraId="0756B357"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418" w:type="dxa"/>
            <w:hideMark/>
          </w:tcPr>
          <w:p w14:paraId="19941594" w14:textId="3F212E54"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27</w:t>
            </w:r>
          </w:p>
        </w:tc>
      </w:tr>
      <w:tr w:rsidR="00012671" w:rsidRPr="00BF6615" w14:paraId="73780FA1" w14:textId="77777777" w:rsidTr="00FD0843">
        <w:trPr>
          <w:cnfStyle w:val="000000100000" w:firstRow="0" w:lastRow="0" w:firstColumn="0" w:lastColumn="0" w:oddVBand="0" w:evenVBand="0" w:oddHBand="1" w:evenHBand="0" w:firstRowFirstColumn="0" w:firstRowLastColumn="0" w:lastRowFirstColumn="0" w:lastRowLastColumn="0"/>
          <w:trHeight w:val="580"/>
        </w:trPr>
        <w:tc>
          <w:tcPr>
            <w:tcW w:w="5098" w:type="dxa"/>
            <w:hideMark/>
          </w:tcPr>
          <w:p w14:paraId="37971A13" w14:textId="77777777" w:rsidR="00E36726" w:rsidRPr="00BF6615" w:rsidRDefault="00E36726"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jest dla mnie dostępna pod każdym względem</w:t>
            </w:r>
          </w:p>
        </w:tc>
        <w:tc>
          <w:tcPr>
            <w:tcW w:w="1764" w:type="dxa"/>
            <w:hideMark/>
          </w:tcPr>
          <w:p w14:paraId="3AD02CD6"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4,64</w:t>
            </w:r>
          </w:p>
        </w:tc>
        <w:tc>
          <w:tcPr>
            <w:tcW w:w="1305" w:type="dxa"/>
            <w:hideMark/>
          </w:tcPr>
          <w:p w14:paraId="5F54D0BA"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4,16</w:t>
            </w:r>
          </w:p>
        </w:tc>
        <w:tc>
          <w:tcPr>
            <w:tcW w:w="2096" w:type="dxa"/>
            <w:hideMark/>
          </w:tcPr>
          <w:p w14:paraId="53D8583F"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3,98</w:t>
            </w:r>
          </w:p>
        </w:tc>
        <w:tc>
          <w:tcPr>
            <w:tcW w:w="1764" w:type="dxa"/>
            <w:hideMark/>
          </w:tcPr>
          <w:p w14:paraId="2DBE3936" w14:textId="77777777"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418" w:type="dxa"/>
            <w:hideMark/>
          </w:tcPr>
          <w:p w14:paraId="6D51BACC" w14:textId="1A04395D"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hAnsi="Calibri" w:cs="Calibri"/>
                <w:b/>
                <w:color w:val="000000"/>
                <w:sz w:val="22"/>
              </w:rPr>
              <w:t>4,</w:t>
            </w:r>
            <w:r w:rsidR="00A41666" w:rsidRPr="00BF6615">
              <w:rPr>
                <w:rFonts w:ascii="Calibri" w:hAnsi="Calibri" w:cs="Calibri"/>
                <w:b/>
                <w:color w:val="000000"/>
                <w:sz w:val="22"/>
              </w:rPr>
              <w:t>19</w:t>
            </w:r>
          </w:p>
        </w:tc>
      </w:tr>
      <w:tr w:rsidR="00012671" w:rsidRPr="00BF6615" w14:paraId="08BC72CA" w14:textId="77777777" w:rsidTr="00FD0843">
        <w:trPr>
          <w:cnfStyle w:val="000000010000" w:firstRow="0" w:lastRow="0" w:firstColumn="0" w:lastColumn="0" w:oddVBand="0" w:evenVBand="0" w:oddHBand="0" w:evenHBand="1" w:firstRowFirstColumn="0" w:firstRowLastColumn="0" w:lastRowFirstColumn="0" w:lastRowLastColumn="0"/>
          <w:trHeight w:val="290"/>
        </w:trPr>
        <w:tc>
          <w:tcPr>
            <w:tcW w:w="5098" w:type="dxa"/>
            <w:hideMark/>
          </w:tcPr>
          <w:p w14:paraId="5FFC8680" w14:textId="77777777" w:rsidR="00E36726" w:rsidRPr="00BF6615" w:rsidRDefault="00E36726"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Sumaryczna średnia ocen</w:t>
            </w:r>
          </w:p>
        </w:tc>
        <w:tc>
          <w:tcPr>
            <w:tcW w:w="1764" w:type="dxa"/>
            <w:noWrap/>
            <w:hideMark/>
          </w:tcPr>
          <w:p w14:paraId="75C0D5CE" w14:textId="77777777"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4,48</w:t>
            </w:r>
          </w:p>
        </w:tc>
        <w:tc>
          <w:tcPr>
            <w:tcW w:w="1305" w:type="dxa"/>
            <w:noWrap/>
            <w:hideMark/>
          </w:tcPr>
          <w:p w14:paraId="01D742F7" w14:textId="77777777"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4,20</w:t>
            </w:r>
          </w:p>
        </w:tc>
        <w:tc>
          <w:tcPr>
            <w:tcW w:w="2096" w:type="dxa"/>
            <w:noWrap/>
            <w:hideMark/>
          </w:tcPr>
          <w:p w14:paraId="3A30AC69" w14:textId="77777777"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3,88</w:t>
            </w:r>
          </w:p>
        </w:tc>
        <w:tc>
          <w:tcPr>
            <w:tcW w:w="1764" w:type="dxa"/>
            <w:noWrap/>
            <w:hideMark/>
          </w:tcPr>
          <w:p w14:paraId="78531834" w14:textId="77777777" w:rsidR="00E36726" w:rsidRPr="00BF6615" w:rsidRDefault="00E36726" w:rsidP="00FD0843">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4,09</w:t>
            </w:r>
          </w:p>
        </w:tc>
        <w:tc>
          <w:tcPr>
            <w:tcW w:w="1418" w:type="dxa"/>
            <w:noWrap/>
            <w:hideMark/>
          </w:tcPr>
          <w:p w14:paraId="3E9F84F5" w14:textId="102B6929" w:rsidR="00E36726" w:rsidRPr="00BF6615" w:rsidRDefault="00E36726" w:rsidP="00FD0843">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 </w:t>
            </w:r>
            <w:r w:rsidR="00B3365B" w:rsidRPr="00BF6615">
              <w:rPr>
                <w:rFonts w:ascii="Calibri" w:eastAsia="Times New Roman" w:hAnsi="Calibri" w:cs="Calibri"/>
                <w:color w:val="000000"/>
                <w:sz w:val="22"/>
                <w:lang w:eastAsia="pl-PL"/>
              </w:rPr>
              <w:t>-</w:t>
            </w:r>
          </w:p>
        </w:tc>
      </w:tr>
    </w:tbl>
    <w:p w14:paraId="350F6C6B" w14:textId="77777777" w:rsidR="007163F4" w:rsidRPr="00BF6615" w:rsidRDefault="007163F4" w:rsidP="007E26B5">
      <w:r w:rsidRPr="00BF6615">
        <w:t>Źródło: opracowanie własne.</w:t>
      </w:r>
    </w:p>
    <w:p w14:paraId="0F36AF42" w14:textId="77777777" w:rsidR="00B3365B" w:rsidRPr="00BF6615" w:rsidRDefault="00B3365B" w:rsidP="007E26B5">
      <w:pPr>
        <w:sectPr w:rsidR="00B3365B" w:rsidRPr="00BF6615" w:rsidSect="00B3365B">
          <w:headerReference w:type="even" r:id="rId102"/>
          <w:headerReference w:type="default" r:id="rId103"/>
          <w:footerReference w:type="even" r:id="rId104"/>
          <w:footerReference w:type="default" r:id="rId105"/>
          <w:headerReference w:type="first" r:id="rId106"/>
          <w:pgSz w:w="15840" w:h="12240" w:orient="landscape"/>
          <w:pgMar w:top="1440" w:right="1440" w:bottom="1440" w:left="1440" w:header="709" w:footer="709" w:gutter="0"/>
          <w:cols w:space="708"/>
          <w:titlePg/>
          <w:docGrid w:linePitch="360"/>
        </w:sectPr>
      </w:pPr>
    </w:p>
    <w:p w14:paraId="7BA31AAC" w14:textId="28F8D08D" w:rsidR="00B335DD" w:rsidRPr="00BF6615" w:rsidRDefault="002A1749" w:rsidP="007E26B5">
      <w:r w:rsidRPr="00BF6615">
        <w:lastRenderedPageBreak/>
        <w:t>Średnie ocen poszczególnych aspektów dostępności wg aplikacji tematycznych są dość wysokie</w:t>
      </w:r>
      <w:r w:rsidR="00BF0003" w:rsidRPr="00BF6615">
        <w:t>, mimo, że są niższe niż oceny dla tych samych stron w pełnej grupie badanej. S</w:t>
      </w:r>
      <w:r w:rsidRPr="00BF6615">
        <w:t>kala ocen waha się od 3,</w:t>
      </w:r>
      <w:r w:rsidR="00BF0003" w:rsidRPr="00BF6615">
        <w:t>00 do</w:t>
      </w:r>
      <w:r w:rsidRPr="00BF6615">
        <w:t xml:space="preserve"> 4,8</w:t>
      </w:r>
      <w:r w:rsidR="00BF0003" w:rsidRPr="00BF6615">
        <w:t>6</w:t>
      </w:r>
      <w:r w:rsidRPr="00BF6615">
        <w:t>. Najniż</w:t>
      </w:r>
      <w:r w:rsidR="00B335DD" w:rsidRPr="00BF6615">
        <w:t>ej zostały ocenione strony edukacyjne- średnia ocen dla wszystkich aspektów wyniosła 3,0</w:t>
      </w:r>
      <w:r w:rsidR="008A45FE" w:rsidRPr="00BF6615">
        <w:t xml:space="preserve">, strony instytucji zdrowia </w:t>
      </w:r>
      <w:r w:rsidR="00BB3D9E" w:rsidRPr="00BF6615">
        <w:t>uzyskały</w:t>
      </w:r>
      <w:r w:rsidR="008A45FE" w:rsidRPr="00BF6615">
        <w:t xml:space="preserve"> </w:t>
      </w:r>
      <w:r w:rsidR="00BB3D9E" w:rsidRPr="00BF6615">
        <w:t>łączna</w:t>
      </w:r>
      <w:r w:rsidR="008A45FE" w:rsidRPr="00BF6615">
        <w:t xml:space="preserve"> </w:t>
      </w:r>
      <w:r w:rsidR="00BB3D9E" w:rsidRPr="00BF6615">
        <w:t>ocen</w:t>
      </w:r>
      <w:r w:rsidR="008A45FE" w:rsidRPr="00BF6615">
        <w:t xml:space="preserve"> 3,69, a strony instytucji kultury zostały ocenione </w:t>
      </w:r>
      <w:r w:rsidR="00BB3D9E" w:rsidRPr="00BF6615">
        <w:t>wyraźnie</w:t>
      </w:r>
      <w:r w:rsidR="008A45FE" w:rsidRPr="00BF6615">
        <w:t xml:space="preserve"> lepiej- </w:t>
      </w:r>
      <w:r w:rsidR="00BB3D9E" w:rsidRPr="00BF6615">
        <w:t>średnia</w:t>
      </w:r>
      <w:r w:rsidR="008A45FE" w:rsidRPr="00BF6615">
        <w:t xml:space="preserve"> ocen to 4,69</w:t>
      </w:r>
      <w:r w:rsidR="00B335DD" w:rsidRPr="00BF6615">
        <w:t>.</w:t>
      </w:r>
      <w:r w:rsidR="003C121B" w:rsidRPr="00BF6615">
        <w:t xml:space="preserve"> Wysoki wynik stron instytucji kultury odpowiada wynikowi tych stron w pełnej grupie badanej. </w:t>
      </w:r>
    </w:p>
    <w:p w14:paraId="09B80E7C" w14:textId="30C45787" w:rsidR="003C121B" w:rsidRPr="00BF6615" w:rsidRDefault="003C121B" w:rsidP="007E26B5">
      <w:r w:rsidRPr="00BF6615">
        <w:t xml:space="preserve">Najniżej ocenione kryteria to: </w:t>
      </w:r>
      <w:r w:rsidR="00924685" w:rsidRPr="00BF6615">
        <w:t xml:space="preserve">brak tłumaczenia na PJM i </w:t>
      </w:r>
      <w:r w:rsidR="00500A6E" w:rsidRPr="00BF6615">
        <w:t xml:space="preserve">dostępność formularzy </w:t>
      </w:r>
      <w:r w:rsidR="003D7192" w:rsidRPr="00BF6615">
        <w:t xml:space="preserve">zamieszczonych </w:t>
      </w:r>
      <w:r w:rsidR="00500A6E" w:rsidRPr="00BF6615">
        <w:t>na stronie.</w:t>
      </w:r>
    </w:p>
    <w:p w14:paraId="4F16D683" w14:textId="15DE8A82" w:rsidR="003B514A" w:rsidRPr="00BF6615" w:rsidRDefault="003B514A" w:rsidP="007E26B5">
      <w:pPr>
        <w:pStyle w:val="Legenda"/>
        <w:keepNext/>
      </w:pPr>
      <w:bookmarkStart w:id="288" w:name="_Toc204179142"/>
      <w:r w:rsidRPr="00BF6615">
        <w:t xml:space="preserve">Tabela </w:t>
      </w:r>
      <w:r w:rsidRPr="00BF6615">
        <w:fldChar w:fldCharType="begin"/>
      </w:r>
      <w:r w:rsidRPr="00BF6615">
        <w:instrText xml:space="preserve"> SEQ Tabela \* ARABIC </w:instrText>
      </w:r>
      <w:r w:rsidRPr="00BF6615">
        <w:fldChar w:fldCharType="separate"/>
      </w:r>
      <w:r w:rsidR="00FD0843">
        <w:rPr>
          <w:noProof/>
        </w:rPr>
        <w:t>44</w:t>
      </w:r>
      <w:r w:rsidRPr="00BF6615">
        <w:fldChar w:fldCharType="end"/>
      </w:r>
      <w:r w:rsidR="00FD0843">
        <w:t>.</w:t>
      </w:r>
      <w:r w:rsidRPr="00BF6615">
        <w:t xml:space="preserve"> Średnie oceny tematycznych stron publicznych wg aspektów dostępności cyfrowej dla stron, z których korzystają osoby badane w grupie 60+</w:t>
      </w:r>
      <w:bookmarkEnd w:id="288"/>
    </w:p>
    <w:tbl>
      <w:tblPr>
        <w:tblStyle w:val="PARP"/>
        <w:tblW w:w="10138" w:type="dxa"/>
        <w:tblLook w:val="04A0" w:firstRow="1" w:lastRow="0" w:firstColumn="1" w:lastColumn="0" w:noHBand="0" w:noVBand="1"/>
        <w:tblCaption w:val="Średnie oceny tematycznych stron publicznych wg aspektów dostępności cyfrowej dla stron, z których korzystają osoby badane w grupie 60+"/>
        <w:tblDescription w:val="Średnie oceny tematycznych stron publicznych wg aspektów dostępności cyfrowej dla stron, z których korzystają osoby badane w grupie 60+"/>
      </w:tblPr>
      <w:tblGrid>
        <w:gridCol w:w="5240"/>
        <w:gridCol w:w="1276"/>
        <w:gridCol w:w="1197"/>
        <w:gridCol w:w="1212"/>
        <w:gridCol w:w="1213"/>
      </w:tblGrid>
      <w:tr w:rsidR="00B51038" w:rsidRPr="00BF6615" w14:paraId="24EBABAB" w14:textId="77777777" w:rsidTr="008815FE">
        <w:trPr>
          <w:cnfStyle w:val="100000000000" w:firstRow="1" w:lastRow="0" w:firstColumn="0" w:lastColumn="0" w:oddVBand="0" w:evenVBand="0" w:oddHBand="0" w:evenHBand="0" w:firstRowFirstColumn="0" w:firstRowLastColumn="0" w:lastRowFirstColumn="0" w:lastRowLastColumn="0"/>
          <w:trHeight w:val="580"/>
        </w:trPr>
        <w:tc>
          <w:tcPr>
            <w:tcW w:w="5240" w:type="dxa"/>
            <w:hideMark/>
          </w:tcPr>
          <w:p w14:paraId="7C6B42C3" w14:textId="77777777" w:rsidR="009A78EA" w:rsidRPr="00BF6615" w:rsidRDefault="009A78EA"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276" w:type="dxa"/>
            <w:hideMark/>
          </w:tcPr>
          <w:p w14:paraId="39ED3298" w14:textId="77777777" w:rsidR="009A78EA" w:rsidRPr="00BF6615" w:rsidRDefault="009A78EA" w:rsidP="007E26B5">
            <w:pPr>
              <w:spacing w:after="0" w:line="240" w:lineRule="auto"/>
              <w:rPr>
                <w:rFonts w:eastAsia="Times New Roman" w:cs="Calibri"/>
                <w:b/>
                <w:sz w:val="22"/>
                <w:lang w:eastAsia="pl-PL"/>
              </w:rPr>
            </w:pPr>
            <w:r w:rsidRPr="00BF6615">
              <w:rPr>
                <w:rFonts w:eastAsia="Times New Roman" w:cs="Calibri"/>
                <w:b/>
                <w:sz w:val="22"/>
                <w:lang w:eastAsia="pl-PL"/>
              </w:rPr>
              <w:t>Strona instytucji zdrowia</w:t>
            </w:r>
          </w:p>
        </w:tc>
        <w:tc>
          <w:tcPr>
            <w:tcW w:w="1197" w:type="dxa"/>
            <w:hideMark/>
          </w:tcPr>
          <w:p w14:paraId="5BBABF84" w14:textId="77777777" w:rsidR="009A78EA" w:rsidRPr="00BF6615" w:rsidRDefault="009A78EA" w:rsidP="007E26B5">
            <w:pPr>
              <w:spacing w:after="0" w:line="240" w:lineRule="auto"/>
              <w:rPr>
                <w:rFonts w:eastAsia="Times New Roman" w:cs="Calibri"/>
                <w:b/>
                <w:sz w:val="22"/>
                <w:lang w:eastAsia="pl-PL"/>
              </w:rPr>
            </w:pPr>
            <w:r w:rsidRPr="00BF6615">
              <w:rPr>
                <w:rFonts w:eastAsia="Times New Roman" w:cs="Calibri"/>
                <w:b/>
                <w:sz w:val="22"/>
                <w:lang w:eastAsia="pl-PL"/>
              </w:rPr>
              <w:t>Strona edukacyjna</w:t>
            </w:r>
          </w:p>
        </w:tc>
        <w:tc>
          <w:tcPr>
            <w:tcW w:w="1212" w:type="dxa"/>
            <w:hideMark/>
          </w:tcPr>
          <w:p w14:paraId="2652240A" w14:textId="77777777" w:rsidR="009A78EA" w:rsidRPr="00BF6615" w:rsidRDefault="009A78EA" w:rsidP="007E26B5">
            <w:pPr>
              <w:spacing w:after="0" w:line="240" w:lineRule="auto"/>
              <w:rPr>
                <w:rFonts w:eastAsia="Times New Roman" w:cs="Calibri"/>
                <w:b/>
                <w:sz w:val="22"/>
                <w:lang w:eastAsia="pl-PL"/>
              </w:rPr>
            </w:pPr>
            <w:r w:rsidRPr="00BF6615">
              <w:rPr>
                <w:rFonts w:eastAsia="Times New Roman" w:cs="Calibri"/>
                <w:b/>
                <w:sz w:val="22"/>
                <w:lang w:eastAsia="pl-PL"/>
              </w:rPr>
              <w:t>Strona instytucji kultury</w:t>
            </w:r>
          </w:p>
        </w:tc>
        <w:tc>
          <w:tcPr>
            <w:tcW w:w="1213" w:type="dxa"/>
            <w:hideMark/>
          </w:tcPr>
          <w:p w14:paraId="383D5B7D" w14:textId="77777777" w:rsidR="009A78EA" w:rsidRPr="00BF6615" w:rsidRDefault="009A78EA"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B51038" w:rsidRPr="00BF6615" w14:paraId="5F5FCCCB" w14:textId="77777777" w:rsidTr="008815FE">
        <w:trPr>
          <w:cnfStyle w:val="000000100000" w:firstRow="0" w:lastRow="0" w:firstColumn="0" w:lastColumn="0" w:oddVBand="0" w:evenVBand="0" w:oddHBand="1" w:evenHBand="0" w:firstRowFirstColumn="0" w:firstRowLastColumn="0" w:lastRowFirstColumn="0" w:lastRowLastColumn="0"/>
          <w:trHeight w:val="580"/>
        </w:trPr>
        <w:tc>
          <w:tcPr>
            <w:tcW w:w="5240" w:type="dxa"/>
            <w:hideMark/>
          </w:tcPr>
          <w:p w14:paraId="0025901F"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przeglądać zawartość i znajdować potrzebne mi informacje</w:t>
            </w:r>
          </w:p>
        </w:tc>
        <w:tc>
          <w:tcPr>
            <w:tcW w:w="1276" w:type="dxa"/>
            <w:hideMark/>
          </w:tcPr>
          <w:p w14:paraId="3C16B64D"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3,65</w:t>
            </w:r>
          </w:p>
        </w:tc>
        <w:tc>
          <w:tcPr>
            <w:tcW w:w="1197" w:type="dxa"/>
            <w:hideMark/>
          </w:tcPr>
          <w:p w14:paraId="4E5C74ED"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4BFE7EDD"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213" w:type="dxa"/>
            <w:noWrap/>
            <w:hideMark/>
          </w:tcPr>
          <w:p w14:paraId="7D55CB29"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3,69</w:t>
            </w:r>
          </w:p>
        </w:tc>
      </w:tr>
      <w:tr w:rsidR="00B51038" w:rsidRPr="00BF6615" w14:paraId="52E4CF21" w14:textId="77777777" w:rsidTr="008815FE">
        <w:trPr>
          <w:cnfStyle w:val="000000010000" w:firstRow="0" w:lastRow="0" w:firstColumn="0" w:lastColumn="0" w:oddVBand="0" w:evenVBand="0" w:oddHBand="0" w:evenHBand="1" w:firstRowFirstColumn="0" w:firstRowLastColumn="0" w:lastRowFirstColumn="0" w:lastRowLastColumn="0"/>
          <w:trHeight w:val="290"/>
        </w:trPr>
        <w:tc>
          <w:tcPr>
            <w:tcW w:w="5240" w:type="dxa"/>
            <w:hideMark/>
          </w:tcPr>
          <w:p w14:paraId="79406CF9"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na stronie są dla mnie zrozumiałe</w:t>
            </w:r>
          </w:p>
        </w:tc>
        <w:tc>
          <w:tcPr>
            <w:tcW w:w="1276" w:type="dxa"/>
            <w:hideMark/>
          </w:tcPr>
          <w:p w14:paraId="37A17582"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3,74</w:t>
            </w:r>
          </w:p>
        </w:tc>
        <w:tc>
          <w:tcPr>
            <w:tcW w:w="1197" w:type="dxa"/>
            <w:hideMark/>
          </w:tcPr>
          <w:p w14:paraId="4825C92E"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6CA3B217"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4,86</w:t>
            </w:r>
          </w:p>
        </w:tc>
        <w:tc>
          <w:tcPr>
            <w:tcW w:w="1213" w:type="dxa"/>
            <w:noWrap/>
            <w:hideMark/>
          </w:tcPr>
          <w:p w14:paraId="5EF40807"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3,87</w:t>
            </w:r>
          </w:p>
        </w:tc>
      </w:tr>
      <w:tr w:rsidR="00B51038" w:rsidRPr="00BF6615" w14:paraId="4B94515C" w14:textId="77777777" w:rsidTr="008815FE">
        <w:trPr>
          <w:cnfStyle w:val="000000100000" w:firstRow="0" w:lastRow="0" w:firstColumn="0" w:lastColumn="0" w:oddVBand="0" w:evenVBand="0" w:oddHBand="1" w:evenHBand="0" w:firstRowFirstColumn="0" w:firstRowLastColumn="0" w:lastRowFirstColumn="0" w:lastRowLastColumn="0"/>
          <w:trHeight w:val="916"/>
        </w:trPr>
        <w:tc>
          <w:tcPr>
            <w:tcW w:w="5240" w:type="dxa"/>
            <w:hideMark/>
          </w:tcPr>
          <w:p w14:paraId="2EEB15FB"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ma czytelny układ treści bez względu na urządzenie, z którego korzystam, w widoku poziomym i pionowym</w:t>
            </w:r>
          </w:p>
        </w:tc>
        <w:tc>
          <w:tcPr>
            <w:tcW w:w="1276" w:type="dxa"/>
            <w:hideMark/>
          </w:tcPr>
          <w:p w14:paraId="0BB714BB"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3,57</w:t>
            </w:r>
          </w:p>
        </w:tc>
        <w:tc>
          <w:tcPr>
            <w:tcW w:w="1197" w:type="dxa"/>
            <w:hideMark/>
          </w:tcPr>
          <w:p w14:paraId="09A2F58C"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4BB2A465"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213" w:type="dxa"/>
            <w:noWrap/>
            <w:hideMark/>
          </w:tcPr>
          <w:p w14:paraId="1F599ACC"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3,69</w:t>
            </w:r>
          </w:p>
        </w:tc>
      </w:tr>
      <w:tr w:rsidR="00B51038" w:rsidRPr="00BF6615" w14:paraId="47468B07" w14:textId="77777777" w:rsidTr="00FD0843">
        <w:trPr>
          <w:cnfStyle w:val="000000010000" w:firstRow="0" w:lastRow="0" w:firstColumn="0" w:lastColumn="0" w:oddVBand="0" w:evenVBand="0" w:oddHBand="0" w:evenHBand="1" w:firstRowFirstColumn="0" w:firstRowLastColumn="0" w:lastRowFirstColumn="0" w:lastRowLastColumn="0"/>
          <w:trHeight w:val="95"/>
        </w:trPr>
        <w:tc>
          <w:tcPr>
            <w:tcW w:w="5240" w:type="dxa"/>
            <w:hideMark/>
          </w:tcPr>
          <w:p w14:paraId="14021AAE"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na stronie są dla mnie przyjazne</w:t>
            </w:r>
          </w:p>
        </w:tc>
        <w:tc>
          <w:tcPr>
            <w:tcW w:w="1276" w:type="dxa"/>
            <w:hideMark/>
          </w:tcPr>
          <w:p w14:paraId="2FC63A09"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3,68</w:t>
            </w:r>
          </w:p>
        </w:tc>
        <w:tc>
          <w:tcPr>
            <w:tcW w:w="1197" w:type="dxa"/>
            <w:hideMark/>
          </w:tcPr>
          <w:p w14:paraId="62AD4748"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2C947118"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4,69</w:t>
            </w:r>
          </w:p>
        </w:tc>
        <w:tc>
          <w:tcPr>
            <w:tcW w:w="1213" w:type="dxa"/>
            <w:noWrap/>
            <w:hideMark/>
          </w:tcPr>
          <w:p w14:paraId="55C37AB0"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3,79</w:t>
            </w:r>
          </w:p>
        </w:tc>
      </w:tr>
      <w:tr w:rsidR="00B51038" w:rsidRPr="00BF6615" w14:paraId="5A282D69" w14:textId="77777777" w:rsidTr="008815FE">
        <w:trPr>
          <w:cnfStyle w:val="000000100000" w:firstRow="0" w:lastRow="0" w:firstColumn="0" w:lastColumn="0" w:oddVBand="0" w:evenVBand="0" w:oddHBand="1" w:evenHBand="0" w:firstRowFirstColumn="0" w:firstRowLastColumn="0" w:lastRowFirstColumn="0" w:lastRowLastColumn="0"/>
          <w:trHeight w:val="580"/>
        </w:trPr>
        <w:tc>
          <w:tcPr>
            <w:tcW w:w="5240" w:type="dxa"/>
            <w:hideMark/>
          </w:tcPr>
          <w:p w14:paraId="78506441"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Formularze zamieszczone na stronie są dla mnie dostępne</w:t>
            </w:r>
          </w:p>
        </w:tc>
        <w:tc>
          <w:tcPr>
            <w:tcW w:w="1276" w:type="dxa"/>
            <w:hideMark/>
          </w:tcPr>
          <w:p w14:paraId="3F231437"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3,64</w:t>
            </w:r>
          </w:p>
        </w:tc>
        <w:tc>
          <w:tcPr>
            <w:tcW w:w="1197" w:type="dxa"/>
            <w:hideMark/>
          </w:tcPr>
          <w:p w14:paraId="3FCB4C89"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7543F357"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4,42</w:t>
            </w:r>
          </w:p>
        </w:tc>
        <w:tc>
          <w:tcPr>
            <w:tcW w:w="1213" w:type="dxa"/>
            <w:noWrap/>
            <w:hideMark/>
          </w:tcPr>
          <w:p w14:paraId="4ADB4D10"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3,68</w:t>
            </w:r>
          </w:p>
        </w:tc>
      </w:tr>
      <w:tr w:rsidR="00B51038" w:rsidRPr="00BF6615" w14:paraId="0C62A964" w14:textId="77777777" w:rsidTr="008815FE">
        <w:trPr>
          <w:cnfStyle w:val="000000010000" w:firstRow="0" w:lastRow="0" w:firstColumn="0" w:lastColumn="0" w:oddVBand="0" w:evenVBand="0" w:oddHBand="0" w:evenHBand="1" w:firstRowFirstColumn="0" w:firstRowLastColumn="0" w:lastRowFirstColumn="0" w:lastRowLastColumn="0"/>
          <w:trHeight w:val="290"/>
        </w:trPr>
        <w:tc>
          <w:tcPr>
            <w:tcW w:w="5240" w:type="dxa"/>
            <w:hideMark/>
          </w:tcPr>
          <w:p w14:paraId="526303BD"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Łatwo można korzystać z wyszukiwarki</w:t>
            </w:r>
          </w:p>
        </w:tc>
        <w:tc>
          <w:tcPr>
            <w:tcW w:w="1276" w:type="dxa"/>
            <w:hideMark/>
          </w:tcPr>
          <w:p w14:paraId="3B934765"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3,59</w:t>
            </w:r>
          </w:p>
        </w:tc>
        <w:tc>
          <w:tcPr>
            <w:tcW w:w="1197" w:type="dxa"/>
            <w:hideMark/>
          </w:tcPr>
          <w:p w14:paraId="1C26D073"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18178EB1"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4,77</w:t>
            </w:r>
          </w:p>
        </w:tc>
        <w:tc>
          <w:tcPr>
            <w:tcW w:w="1213" w:type="dxa"/>
            <w:noWrap/>
            <w:hideMark/>
          </w:tcPr>
          <w:p w14:paraId="5AC9D7A5"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3,79</w:t>
            </w:r>
          </w:p>
        </w:tc>
      </w:tr>
      <w:tr w:rsidR="00B51038" w:rsidRPr="00BF6615" w14:paraId="1F8A8EA9" w14:textId="77777777" w:rsidTr="00FD0843">
        <w:trPr>
          <w:cnfStyle w:val="000000100000" w:firstRow="0" w:lastRow="0" w:firstColumn="0" w:lastColumn="0" w:oddVBand="0" w:evenVBand="0" w:oddHBand="1" w:evenHBand="0" w:firstRowFirstColumn="0" w:firstRowLastColumn="0" w:lastRowFirstColumn="0" w:lastRowLastColumn="0"/>
          <w:trHeight w:val="228"/>
        </w:trPr>
        <w:tc>
          <w:tcPr>
            <w:tcW w:w="5240" w:type="dxa"/>
            <w:hideMark/>
          </w:tcPr>
          <w:p w14:paraId="400909A4"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Obrazy, grafiki i zdjęcia na stronie są dla mnie zrozumiałe</w:t>
            </w:r>
          </w:p>
        </w:tc>
        <w:tc>
          <w:tcPr>
            <w:tcW w:w="1276" w:type="dxa"/>
            <w:hideMark/>
          </w:tcPr>
          <w:p w14:paraId="35C3A7C7"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3,65</w:t>
            </w:r>
          </w:p>
        </w:tc>
        <w:tc>
          <w:tcPr>
            <w:tcW w:w="1197" w:type="dxa"/>
            <w:hideMark/>
          </w:tcPr>
          <w:p w14:paraId="2E0856E9"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10FAE56A"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4,85</w:t>
            </w:r>
          </w:p>
        </w:tc>
        <w:tc>
          <w:tcPr>
            <w:tcW w:w="1213" w:type="dxa"/>
            <w:noWrap/>
            <w:hideMark/>
          </w:tcPr>
          <w:p w14:paraId="043FD2E7"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3,83</w:t>
            </w:r>
          </w:p>
        </w:tc>
      </w:tr>
      <w:tr w:rsidR="00B51038" w:rsidRPr="00BF6615" w14:paraId="5A4FAADA" w14:textId="77777777" w:rsidTr="008815FE">
        <w:trPr>
          <w:cnfStyle w:val="000000010000" w:firstRow="0" w:lastRow="0" w:firstColumn="0" w:lastColumn="0" w:oddVBand="0" w:evenVBand="0" w:oddHBand="0" w:evenHBand="1" w:firstRowFirstColumn="0" w:firstRowLastColumn="0" w:lastRowFirstColumn="0" w:lastRowLastColumn="0"/>
          <w:trHeight w:val="290"/>
        </w:trPr>
        <w:tc>
          <w:tcPr>
            <w:tcW w:w="5240" w:type="dxa"/>
            <w:hideMark/>
          </w:tcPr>
          <w:p w14:paraId="218F995A"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Multimedia są dla mnie zrozumiałe</w:t>
            </w:r>
          </w:p>
        </w:tc>
        <w:tc>
          <w:tcPr>
            <w:tcW w:w="1276" w:type="dxa"/>
            <w:hideMark/>
          </w:tcPr>
          <w:p w14:paraId="1CFACEC4"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3,57</w:t>
            </w:r>
          </w:p>
        </w:tc>
        <w:tc>
          <w:tcPr>
            <w:tcW w:w="1197" w:type="dxa"/>
            <w:hideMark/>
          </w:tcPr>
          <w:p w14:paraId="5CDAEA1A"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5553CA6D"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4,77</w:t>
            </w:r>
          </w:p>
        </w:tc>
        <w:tc>
          <w:tcPr>
            <w:tcW w:w="1213" w:type="dxa"/>
            <w:noWrap/>
            <w:hideMark/>
          </w:tcPr>
          <w:p w14:paraId="0A898F6B"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3,78</w:t>
            </w:r>
          </w:p>
        </w:tc>
      </w:tr>
      <w:tr w:rsidR="00183FB7" w:rsidRPr="00BF6615" w14:paraId="68736EAB" w14:textId="77777777" w:rsidTr="003C121B">
        <w:trPr>
          <w:cnfStyle w:val="000000100000" w:firstRow="0" w:lastRow="0" w:firstColumn="0" w:lastColumn="0" w:oddVBand="0" w:evenVBand="0" w:oddHBand="1" w:evenHBand="0" w:firstRowFirstColumn="0" w:firstRowLastColumn="0" w:lastRowFirstColumn="0" w:lastRowLastColumn="0"/>
          <w:trHeight w:val="1108"/>
        </w:trPr>
        <w:tc>
          <w:tcPr>
            <w:tcW w:w="5240" w:type="dxa"/>
            <w:hideMark/>
          </w:tcPr>
          <w:p w14:paraId="3D5A42C4"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 (E-mail, chat, SMS, wideo rozmowa, itp.)</w:t>
            </w:r>
          </w:p>
        </w:tc>
        <w:tc>
          <w:tcPr>
            <w:tcW w:w="1276" w:type="dxa"/>
            <w:hideMark/>
          </w:tcPr>
          <w:p w14:paraId="4AC01D50"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3,48</w:t>
            </w:r>
          </w:p>
        </w:tc>
        <w:tc>
          <w:tcPr>
            <w:tcW w:w="1197" w:type="dxa"/>
            <w:hideMark/>
          </w:tcPr>
          <w:p w14:paraId="4731642C"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4CDCCB38"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4,75</w:t>
            </w:r>
          </w:p>
        </w:tc>
        <w:tc>
          <w:tcPr>
            <w:tcW w:w="1213" w:type="dxa"/>
            <w:noWrap/>
            <w:hideMark/>
          </w:tcPr>
          <w:p w14:paraId="4D6CF803"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3,74</w:t>
            </w:r>
          </w:p>
        </w:tc>
      </w:tr>
      <w:tr w:rsidR="00B51038" w:rsidRPr="00BF6615" w14:paraId="15D5AB5A" w14:textId="77777777" w:rsidTr="008815FE">
        <w:trPr>
          <w:cnfStyle w:val="000000010000" w:firstRow="0" w:lastRow="0" w:firstColumn="0" w:lastColumn="0" w:oddVBand="0" w:evenVBand="0" w:oddHBand="0" w:evenHBand="1" w:firstRowFirstColumn="0" w:firstRowLastColumn="0" w:lastRowFirstColumn="0" w:lastRowLastColumn="0"/>
          <w:trHeight w:val="580"/>
        </w:trPr>
        <w:tc>
          <w:tcPr>
            <w:tcW w:w="5240" w:type="dxa"/>
            <w:hideMark/>
          </w:tcPr>
          <w:p w14:paraId="2F697F52"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strony mogę obsłużyć za pomocą klawiatury</w:t>
            </w:r>
          </w:p>
        </w:tc>
        <w:tc>
          <w:tcPr>
            <w:tcW w:w="1276" w:type="dxa"/>
            <w:hideMark/>
          </w:tcPr>
          <w:p w14:paraId="7D464786"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3,86</w:t>
            </w:r>
          </w:p>
        </w:tc>
        <w:tc>
          <w:tcPr>
            <w:tcW w:w="1197" w:type="dxa"/>
            <w:hideMark/>
          </w:tcPr>
          <w:p w14:paraId="0C32DE9D"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1692D520"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4,70</w:t>
            </w:r>
          </w:p>
        </w:tc>
        <w:tc>
          <w:tcPr>
            <w:tcW w:w="1213" w:type="dxa"/>
            <w:noWrap/>
            <w:hideMark/>
          </w:tcPr>
          <w:p w14:paraId="1A06E6EC"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3,85</w:t>
            </w:r>
          </w:p>
        </w:tc>
      </w:tr>
      <w:tr w:rsidR="00B51038" w:rsidRPr="00BF6615" w14:paraId="013DED6A" w14:textId="77777777" w:rsidTr="008815FE">
        <w:trPr>
          <w:cnfStyle w:val="000000100000" w:firstRow="0" w:lastRow="0" w:firstColumn="0" w:lastColumn="0" w:oddVBand="0" w:evenVBand="0" w:oddHBand="1" w:evenHBand="0" w:firstRowFirstColumn="0" w:firstRowLastColumn="0" w:lastRowFirstColumn="0" w:lastRowLastColumn="0"/>
          <w:trHeight w:val="580"/>
        </w:trPr>
        <w:tc>
          <w:tcPr>
            <w:tcW w:w="5240" w:type="dxa"/>
            <w:hideMark/>
          </w:tcPr>
          <w:p w14:paraId="411B5757"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tłumaczenia na Polski język migowy (PJM)</w:t>
            </w:r>
          </w:p>
        </w:tc>
        <w:tc>
          <w:tcPr>
            <w:tcW w:w="1276" w:type="dxa"/>
            <w:hideMark/>
          </w:tcPr>
          <w:p w14:paraId="50F26E8F"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197" w:type="dxa"/>
            <w:hideMark/>
          </w:tcPr>
          <w:p w14:paraId="7F884880"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2A524D90"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213" w:type="dxa"/>
            <w:noWrap/>
            <w:hideMark/>
          </w:tcPr>
          <w:p w14:paraId="327658EB"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3,56</w:t>
            </w:r>
          </w:p>
        </w:tc>
      </w:tr>
      <w:tr w:rsidR="00B51038" w:rsidRPr="00BF6615" w14:paraId="1CF5443E" w14:textId="77777777" w:rsidTr="008815FE">
        <w:trPr>
          <w:cnfStyle w:val="000000010000" w:firstRow="0" w:lastRow="0" w:firstColumn="0" w:lastColumn="0" w:oddVBand="0" w:evenVBand="0" w:oddHBand="0" w:evenHBand="1" w:firstRowFirstColumn="0" w:firstRowLastColumn="0" w:lastRowFirstColumn="0" w:lastRowLastColumn="0"/>
          <w:trHeight w:val="580"/>
        </w:trPr>
        <w:tc>
          <w:tcPr>
            <w:tcW w:w="5240" w:type="dxa"/>
            <w:hideMark/>
          </w:tcPr>
          <w:p w14:paraId="3FC9BE45"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zawiera informacje w tekście łatwym do czytania i zrozumienia (ETR)</w:t>
            </w:r>
          </w:p>
        </w:tc>
        <w:tc>
          <w:tcPr>
            <w:tcW w:w="1276" w:type="dxa"/>
            <w:hideMark/>
          </w:tcPr>
          <w:p w14:paraId="399530D7"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3,89</w:t>
            </w:r>
          </w:p>
        </w:tc>
        <w:tc>
          <w:tcPr>
            <w:tcW w:w="1197" w:type="dxa"/>
            <w:hideMark/>
          </w:tcPr>
          <w:p w14:paraId="2B7F69E5"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520E3C19"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4,83</w:t>
            </w:r>
          </w:p>
        </w:tc>
        <w:tc>
          <w:tcPr>
            <w:tcW w:w="1213" w:type="dxa"/>
            <w:noWrap/>
            <w:hideMark/>
          </w:tcPr>
          <w:p w14:paraId="072476FC"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3,91</w:t>
            </w:r>
          </w:p>
        </w:tc>
      </w:tr>
      <w:tr w:rsidR="00B51038" w:rsidRPr="00BF6615" w14:paraId="16D3133C" w14:textId="77777777" w:rsidTr="008815FE">
        <w:trPr>
          <w:cnfStyle w:val="000000100000" w:firstRow="0" w:lastRow="0" w:firstColumn="0" w:lastColumn="0" w:oddVBand="0" w:evenVBand="0" w:oddHBand="1" w:evenHBand="0" w:firstRowFirstColumn="0" w:firstRowLastColumn="0" w:lastRowFirstColumn="0" w:lastRowLastColumn="0"/>
          <w:trHeight w:val="580"/>
        </w:trPr>
        <w:tc>
          <w:tcPr>
            <w:tcW w:w="5240" w:type="dxa"/>
            <w:hideMark/>
          </w:tcPr>
          <w:p w14:paraId="0847B5D3"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Strona jest dla mnie dostępna pod każdym względem</w:t>
            </w:r>
          </w:p>
        </w:tc>
        <w:tc>
          <w:tcPr>
            <w:tcW w:w="1276" w:type="dxa"/>
            <w:hideMark/>
          </w:tcPr>
          <w:p w14:paraId="42171514"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3,52</w:t>
            </w:r>
          </w:p>
        </w:tc>
        <w:tc>
          <w:tcPr>
            <w:tcW w:w="1197" w:type="dxa"/>
            <w:hideMark/>
          </w:tcPr>
          <w:p w14:paraId="0A90674D"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3,00</w:t>
            </w:r>
          </w:p>
        </w:tc>
        <w:tc>
          <w:tcPr>
            <w:tcW w:w="1212" w:type="dxa"/>
            <w:hideMark/>
          </w:tcPr>
          <w:p w14:paraId="60D7AFF1" w14:textId="77777777"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4,79</w:t>
            </w:r>
          </w:p>
        </w:tc>
        <w:tc>
          <w:tcPr>
            <w:tcW w:w="1213" w:type="dxa"/>
            <w:noWrap/>
            <w:hideMark/>
          </w:tcPr>
          <w:p w14:paraId="4D858884"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3,77</w:t>
            </w:r>
          </w:p>
        </w:tc>
      </w:tr>
      <w:tr w:rsidR="00B51038" w:rsidRPr="00BF6615" w14:paraId="4D118088" w14:textId="77777777" w:rsidTr="008815FE">
        <w:trPr>
          <w:cnfStyle w:val="000000010000" w:firstRow="0" w:lastRow="0" w:firstColumn="0" w:lastColumn="0" w:oddVBand="0" w:evenVBand="0" w:oddHBand="0" w:evenHBand="1" w:firstRowFirstColumn="0" w:firstRowLastColumn="0" w:lastRowFirstColumn="0" w:lastRowLastColumn="0"/>
          <w:trHeight w:val="290"/>
        </w:trPr>
        <w:tc>
          <w:tcPr>
            <w:tcW w:w="5240" w:type="dxa"/>
            <w:hideMark/>
          </w:tcPr>
          <w:p w14:paraId="3A95B220"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Sumaryczna średnia ocen</w:t>
            </w:r>
          </w:p>
        </w:tc>
        <w:tc>
          <w:tcPr>
            <w:tcW w:w="1276" w:type="dxa"/>
            <w:noWrap/>
            <w:hideMark/>
          </w:tcPr>
          <w:p w14:paraId="1BDF3A7D"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3,60</w:t>
            </w:r>
          </w:p>
        </w:tc>
        <w:tc>
          <w:tcPr>
            <w:tcW w:w="1197" w:type="dxa"/>
            <w:noWrap/>
            <w:hideMark/>
          </w:tcPr>
          <w:p w14:paraId="5DD37E1D"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3,00</w:t>
            </w:r>
          </w:p>
        </w:tc>
        <w:tc>
          <w:tcPr>
            <w:tcW w:w="1212" w:type="dxa"/>
            <w:noWrap/>
            <w:hideMark/>
          </w:tcPr>
          <w:p w14:paraId="1599FAED" w14:textId="77777777" w:rsidR="009A78EA" w:rsidRPr="00BF6615" w:rsidRDefault="009A78EA"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4,69</w:t>
            </w:r>
          </w:p>
        </w:tc>
        <w:tc>
          <w:tcPr>
            <w:tcW w:w="1213" w:type="dxa"/>
            <w:noWrap/>
            <w:hideMark/>
          </w:tcPr>
          <w:p w14:paraId="4F3C0826" w14:textId="4CAFD8DD" w:rsidR="009A78EA" w:rsidRPr="00BF6615" w:rsidRDefault="009A78EA"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 -</w:t>
            </w:r>
          </w:p>
        </w:tc>
      </w:tr>
    </w:tbl>
    <w:p w14:paraId="21D55CC5" w14:textId="77777777" w:rsidR="007163F4" w:rsidRPr="00BF6615" w:rsidRDefault="007163F4" w:rsidP="007E26B5">
      <w:r w:rsidRPr="00BF6615">
        <w:t>Źródło: opracowanie własne.</w:t>
      </w:r>
    </w:p>
    <w:p w14:paraId="74861B17" w14:textId="77777777" w:rsidR="007163F4" w:rsidRPr="00BF6615" w:rsidRDefault="007163F4" w:rsidP="00FD0843">
      <w:r w:rsidRPr="00BF6615">
        <w:lastRenderedPageBreak/>
        <w:t>Rozkład odpowiedzi na pytanie o to, z jakich aplikacji mobilnych podmiotów publicznych korzystają badani pokazuje, że aplikacje rządowe są używane zdecydowanie najczęściej (68%). Stosunkowo często (45%) wykorzystywane są także aplikacje komunikacyjne i aplikacje dotyczące zdrowia (39%).</w:t>
      </w:r>
    </w:p>
    <w:p w14:paraId="021D00E9" w14:textId="0C25B61D" w:rsidR="007163F4" w:rsidRPr="00BF6615" w:rsidRDefault="007163F4" w:rsidP="007E26B5">
      <w:pPr>
        <w:pStyle w:val="Legenda"/>
        <w:keepNext/>
        <w:rPr>
          <w:szCs w:val="22"/>
        </w:rPr>
      </w:pPr>
      <w:bookmarkStart w:id="289" w:name="_Toc204179206"/>
      <w:r w:rsidRPr="00BF6615">
        <w:t xml:space="preserve">Wykres </w:t>
      </w:r>
      <w:r w:rsidRPr="00BF6615">
        <w:fldChar w:fldCharType="begin"/>
      </w:r>
      <w:r w:rsidRPr="00BF6615">
        <w:instrText xml:space="preserve"> SEQ Wykres \* ARABIC </w:instrText>
      </w:r>
      <w:r w:rsidRPr="00BF6615">
        <w:fldChar w:fldCharType="separate"/>
      </w:r>
      <w:r w:rsidR="00FD0843">
        <w:rPr>
          <w:noProof/>
        </w:rPr>
        <w:t>60</w:t>
      </w:r>
      <w:r w:rsidRPr="00BF6615">
        <w:fldChar w:fldCharType="end"/>
      </w:r>
      <w:r w:rsidR="00FD0843">
        <w:t>.</w:t>
      </w:r>
      <w:r w:rsidRPr="00BF6615">
        <w:t xml:space="preserve"> </w:t>
      </w:r>
      <w:r w:rsidRPr="00BF6615">
        <w:rPr>
          <w:szCs w:val="22"/>
        </w:rPr>
        <w:t xml:space="preserve">Aplikacje mobilne podmiotów publicznych, z których </w:t>
      </w:r>
      <w:r w:rsidR="00986E64" w:rsidRPr="00BF6615">
        <w:rPr>
          <w:szCs w:val="22"/>
        </w:rPr>
        <w:t>naj</w:t>
      </w:r>
      <w:r w:rsidR="005918E4" w:rsidRPr="00BF6615">
        <w:rPr>
          <w:szCs w:val="22"/>
        </w:rPr>
        <w:t xml:space="preserve">częściej </w:t>
      </w:r>
      <w:r w:rsidRPr="00BF6615">
        <w:rPr>
          <w:szCs w:val="22"/>
        </w:rPr>
        <w:t xml:space="preserve">korzystają badani </w:t>
      </w:r>
      <w:r w:rsidR="008B0B0A" w:rsidRPr="00BF6615">
        <w:rPr>
          <w:szCs w:val="22"/>
        </w:rPr>
        <w:t>w</w:t>
      </w:r>
      <w:r w:rsidR="008B0B0A">
        <w:rPr>
          <w:szCs w:val="22"/>
        </w:rPr>
        <w:t> </w:t>
      </w:r>
      <w:r w:rsidRPr="00BF6615">
        <w:rPr>
          <w:szCs w:val="22"/>
        </w:rPr>
        <w:t xml:space="preserve">grupie </w:t>
      </w:r>
      <w:r w:rsidRPr="00BF6615">
        <w:t xml:space="preserve">osoby 60+ </w:t>
      </w:r>
      <w:r w:rsidRPr="00BF6615">
        <w:rPr>
          <w:szCs w:val="22"/>
        </w:rPr>
        <w:t>(n=100)</w:t>
      </w:r>
      <w:bookmarkEnd w:id="289"/>
    </w:p>
    <w:p w14:paraId="2003EC84" w14:textId="71FC9340" w:rsidR="007163F4" w:rsidRPr="00BF6615" w:rsidRDefault="00811A91" w:rsidP="007E26B5">
      <w:r w:rsidRPr="00BF6615">
        <w:rPr>
          <w:noProof/>
          <w:lang w:eastAsia="pl-PL"/>
        </w:rPr>
        <w:drawing>
          <wp:inline distT="0" distB="0" distL="0" distR="0" wp14:anchorId="3DBE9752" wp14:editId="0C66BFCF">
            <wp:extent cx="5088048" cy="2996697"/>
            <wp:effectExtent l="0" t="0" r="0" b="0"/>
            <wp:docPr id="1307184270" name="Wykres 1" descr="Aplikacje rządowe (np. mObywatel, e-Urząd Skarbowy, mZus) - 68%&#10;Aplikacje urzędu miasta lub urzędu gminy - 24%&#10;Aplikacje dotyczące zdrowia (np. aplikacja publicznej przychodni zdrowia) - 39%&#10;Aplikacje instytucji kultury (np. biblioteki, muzeum) - 16%&#10;Aplikacje edukacyjne (np. szkoły, uczelni) - 4%&#10;Aplikacje komunikacyjne (np. rozkłady jazdy, rezerwacja biletów PKP) - 45%">
              <a:extLst xmlns:a="http://schemas.openxmlformats.org/drawingml/2006/main">
                <a:ext uri="{FF2B5EF4-FFF2-40B4-BE49-F238E27FC236}">
                  <a16:creationId xmlns:a16="http://schemas.microsoft.com/office/drawing/2014/main" id="{10DCDFF4-A1A3-9E45-86A8-3187E759F6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51953555" w14:textId="77777777" w:rsidR="007163F4" w:rsidRPr="00BF6615" w:rsidRDefault="007163F4" w:rsidP="007E26B5">
      <w:r w:rsidRPr="00BF6615">
        <w:t>Źródło: opracowanie własne.</w:t>
      </w:r>
    </w:p>
    <w:p w14:paraId="7F47B34D" w14:textId="2CC5C097" w:rsidR="007163F4" w:rsidRPr="00BF6615" w:rsidRDefault="007163F4" w:rsidP="007E26B5">
      <w:pPr>
        <w:rPr>
          <w:rStyle w:val="normalny0"/>
        </w:rPr>
      </w:pPr>
      <w:r w:rsidRPr="00BF6615">
        <w:rPr>
          <w:rStyle w:val="normalny0"/>
        </w:rPr>
        <w:t xml:space="preserve">Na pytanie o to, z jakich aplikacji najczęściej korzystają badani zdecydowanie najczęściej pojawiała się aplikacja </w:t>
      </w:r>
      <w:proofErr w:type="spellStart"/>
      <w:r w:rsidRPr="00BF6615">
        <w:rPr>
          <w:rStyle w:val="normalny0"/>
        </w:rPr>
        <w:t>mObywatel</w:t>
      </w:r>
      <w:proofErr w:type="spellEnd"/>
      <w:r w:rsidRPr="00BF6615">
        <w:rPr>
          <w:rStyle w:val="normalny0"/>
        </w:rPr>
        <w:t xml:space="preserve">- użytkownicy korzystają z niej najczęściej jako głównego narzędzia dostępu do usług publicznych. </w:t>
      </w:r>
      <w:r w:rsidR="00D17A02" w:rsidRPr="00BF6615">
        <w:rPr>
          <w:rStyle w:val="normalny0"/>
        </w:rPr>
        <w:t xml:space="preserve">Wskazywano tez na </w:t>
      </w:r>
      <w:proofErr w:type="spellStart"/>
      <w:r w:rsidR="00D17A02" w:rsidRPr="00BF6615">
        <w:rPr>
          <w:rStyle w:val="normalny0"/>
        </w:rPr>
        <w:t>eZUS</w:t>
      </w:r>
      <w:proofErr w:type="spellEnd"/>
      <w:r w:rsidR="00D17A02" w:rsidRPr="00BF6615">
        <w:rPr>
          <w:rStyle w:val="normalny0"/>
        </w:rPr>
        <w:t xml:space="preserve"> czy </w:t>
      </w:r>
      <w:r w:rsidR="00397B77" w:rsidRPr="00BF6615">
        <w:rPr>
          <w:rStyle w:val="normalny0"/>
        </w:rPr>
        <w:t>aplikacje transportowe np. PKP.</w:t>
      </w:r>
    </w:p>
    <w:p w14:paraId="7F9C432B" w14:textId="3B32CEFE" w:rsidR="007163F4" w:rsidRPr="00BF6615" w:rsidRDefault="007163F4" w:rsidP="007E26B5">
      <w:pPr>
        <w:rPr>
          <w:color w:val="4472C4" w:themeColor="accent1"/>
        </w:rPr>
      </w:pPr>
      <w:r w:rsidRPr="00BF6615">
        <w:t xml:space="preserve">Respondenci proszeni byli o dokonanie oceny ww. aplikacji w różnych aspektach dostępności cyfrowej. Skala ocen zawierała się w przedziale 1-5, gdzie 1 było najniższą, a 5 najwyższą oceną. </w:t>
      </w:r>
    </w:p>
    <w:p w14:paraId="215543FF" w14:textId="77777777" w:rsidR="009E7023" w:rsidRPr="00BF6615" w:rsidRDefault="007163F4" w:rsidP="007E26B5">
      <w:r w:rsidRPr="00BF6615">
        <w:t xml:space="preserve">Średnie ocen poszczególnych aspektów dostępności pokazują dość wysoką </w:t>
      </w:r>
      <w:r w:rsidR="005D4A6D" w:rsidRPr="00BF6615">
        <w:t xml:space="preserve">ogólną </w:t>
      </w:r>
      <w:r w:rsidRPr="00BF6615">
        <w:t xml:space="preserve">ocenę- skala waha się od </w:t>
      </w:r>
      <w:r w:rsidR="005D4A6D" w:rsidRPr="00BF6615">
        <w:t>3</w:t>
      </w:r>
      <w:r w:rsidRPr="00BF6615">
        <w:t>,</w:t>
      </w:r>
      <w:r w:rsidR="009E7023" w:rsidRPr="00BF6615">
        <w:t>18</w:t>
      </w:r>
      <w:r w:rsidRPr="00BF6615">
        <w:t xml:space="preserve"> do 4,</w:t>
      </w:r>
      <w:r w:rsidR="009E7023" w:rsidRPr="00BF6615">
        <w:t xml:space="preserve">35. </w:t>
      </w:r>
    </w:p>
    <w:p w14:paraId="6A4E942D" w14:textId="2ABCEA66" w:rsidR="009E7023" w:rsidRPr="00BF6615" w:rsidRDefault="007163F4" w:rsidP="007E26B5">
      <w:r w:rsidRPr="00BF6615">
        <w:t xml:space="preserve">Aplikacje rządowe </w:t>
      </w:r>
      <w:r w:rsidR="009E7023" w:rsidRPr="00BF6615">
        <w:t>zostały ocenione znacznie wyżej niż samorządowe- 4,23 do 3,5</w:t>
      </w:r>
      <w:r w:rsidR="76EA37A7" w:rsidRPr="00BF6615">
        <w:t>0</w:t>
      </w:r>
      <w:r w:rsidR="009E7023" w:rsidRPr="00BF6615">
        <w:t xml:space="preserve">. </w:t>
      </w:r>
      <w:r w:rsidR="00516D8B" w:rsidRPr="00BF6615">
        <w:br/>
        <w:t xml:space="preserve">Najniżej oceniono kwestię </w:t>
      </w:r>
      <w:r w:rsidR="00611C96" w:rsidRPr="00BF6615">
        <w:t xml:space="preserve">dot. tłumaczenia treści na PJM (średnia: </w:t>
      </w:r>
      <w:r w:rsidR="009A2FDB" w:rsidRPr="00BF6615">
        <w:t>3,62).</w:t>
      </w:r>
      <w:r w:rsidR="00611C96" w:rsidRPr="00BF6615">
        <w:t xml:space="preserve"> </w:t>
      </w:r>
      <w:r w:rsidR="001477B2" w:rsidRPr="00BF6615">
        <w:t xml:space="preserve">W aplikacjach urzędów miast i gmin wskazywano na problemy w obszarze obsługi za pomocą klawiatury, </w:t>
      </w:r>
      <w:r w:rsidR="007E5C62" w:rsidRPr="00BF6615">
        <w:t xml:space="preserve">braku dostępnych informacji o błędach czy </w:t>
      </w:r>
      <w:r w:rsidR="00C713D6" w:rsidRPr="00BF6615">
        <w:t xml:space="preserve">braku </w:t>
      </w:r>
      <w:r w:rsidR="00540379" w:rsidRPr="00BF6615">
        <w:t>możliwości zrozumienia m</w:t>
      </w:r>
      <w:r w:rsidR="00C713D6" w:rsidRPr="00BF6615">
        <w:t>ateriał</w:t>
      </w:r>
      <w:r w:rsidR="00540379" w:rsidRPr="00BF6615">
        <w:t>ów</w:t>
      </w:r>
      <w:r w:rsidR="00C713D6" w:rsidRPr="00BF6615">
        <w:t xml:space="preserve"> multimedialn</w:t>
      </w:r>
      <w:r w:rsidR="00540379" w:rsidRPr="00BF6615">
        <w:t>ych</w:t>
      </w:r>
      <w:r w:rsidR="00C713D6" w:rsidRPr="00BF6615">
        <w:t xml:space="preserve"> oraz grafik</w:t>
      </w:r>
      <w:r w:rsidR="00540379" w:rsidRPr="00BF6615">
        <w:t xml:space="preserve"> (brak</w:t>
      </w:r>
      <w:r w:rsidR="00C713D6" w:rsidRPr="00BF6615">
        <w:t xml:space="preserve"> audiodeskrypcj</w:t>
      </w:r>
      <w:r w:rsidR="00540379" w:rsidRPr="00BF6615">
        <w:t>i</w:t>
      </w:r>
      <w:r w:rsidR="00C713D6" w:rsidRPr="00BF6615">
        <w:t xml:space="preserve"> oraz napis</w:t>
      </w:r>
      <w:r w:rsidR="00540379" w:rsidRPr="00BF6615">
        <w:t>ów</w:t>
      </w:r>
      <w:r w:rsidR="00C713D6" w:rsidRPr="00BF6615">
        <w:t xml:space="preserve"> rozszerzon</w:t>
      </w:r>
      <w:r w:rsidR="00540379" w:rsidRPr="00BF6615">
        <w:t>ych</w:t>
      </w:r>
      <w:r w:rsidR="00C713D6" w:rsidRPr="00BF6615">
        <w:t>)</w:t>
      </w:r>
      <w:r w:rsidR="00540379" w:rsidRPr="00BF6615">
        <w:t>.</w:t>
      </w:r>
      <w:r w:rsidR="00611C96" w:rsidRPr="00BF6615">
        <w:t xml:space="preserve"> </w:t>
      </w:r>
    </w:p>
    <w:p w14:paraId="5E52AD9B" w14:textId="77777777" w:rsidR="007163F4" w:rsidRPr="00BF6615" w:rsidRDefault="007163F4" w:rsidP="007E26B5"/>
    <w:p w14:paraId="1154CFA4" w14:textId="58BD1182" w:rsidR="003B514A" w:rsidRPr="00BF6615" w:rsidRDefault="003B514A" w:rsidP="007E26B5">
      <w:pPr>
        <w:pStyle w:val="Legenda"/>
      </w:pPr>
      <w:bookmarkStart w:id="290" w:name="_Toc204179143"/>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45</w:t>
      </w:r>
      <w:r w:rsidRPr="00BF6615">
        <w:fldChar w:fldCharType="end"/>
      </w:r>
      <w:r w:rsidR="00FD0843">
        <w:t>.</w:t>
      </w:r>
      <w:r w:rsidRPr="00BF6615">
        <w:t xml:space="preserve"> Średnie oceny aplikacji publicznych wg aspektów dostępności cyfrowej dla aplikacji, z których korzystają osoby badane w grupie 60+</w:t>
      </w:r>
      <w:bookmarkEnd w:id="290"/>
    </w:p>
    <w:tbl>
      <w:tblPr>
        <w:tblStyle w:val="PARP"/>
        <w:tblW w:w="9969" w:type="dxa"/>
        <w:tblLook w:val="04A0" w:firstRow="1" w:lastRow="0" w:firstColumn="1" w:lastColumn="0" w:noHBand="0" w:noVBand="1"/>
        <w:tblCaption w:val="Średnie oceny aplikacji publicznych wg aspektów dostępności cyfrowej dla aplikacji, z których korzystają osoby badane w grupie 60+"/>
        <w:tblDescription w:val="Średnie oceny aplikacji publicznych wg aspektów dostępności cyfrowej dla aplikacji, z których korzystają osoby badane w grupie 60+"/>
      </w:tblPr>
      <w:tblGrid>
        <w:gridCol w:w="5949"/>
        <w:gridCol w:w="1046"/>
        <w:gridCol w:w="1761"/>
        <w:gridCol w:w="1213"/>
      </w:tblGrid>
      <w:tr w:rsidR="00370F93" w:rsidRPr="00BF6615" w14:paraId="615D9D19" w14:textId="77777777" w:rsidTr="00B74A42">
        <w:trPr>
          <w:cnfStyle w:val="100000000000" w:firstRow="1" w:lastRow="0" w:firstColumn="0" w:lastColumn="0" w:oddVBand="0" w:evenVBand="0" w:oddHBand="0" w:evenHBand="0" w:firstRowFirstColumn="0" w:firstRowLastColumn="0" w:lastRowFirstColumn="0" w:lastRowLastColumn="0"/>
          <w:trHeight w:val="870"/>
        </w:trPr>
        <w:tc>
          <w:tcPr>
            <w:tcW w:w="5949" w:type="dxa"/>
            <w:hideMark/>
          </w:tcPr>
          <w:p w14:paraId="6796C89A" w14:textId="77777777" w:rsidR="00B74A42" w:rsidRPr="00BF6615" w:rsidRDefault="00B74A42"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046" w:type="dxa"/>
            <w:hideMark/>
          </w:tcPr>
          <w:p w14:paraId="1E9A9A6F" w14:textId="77777777" w:rsidR="00B74A42" w:rsidRPr="00BF6615" w:rsidRDefault="00B74A42" w:rsidP="007E26B5">
            <w:pPr>
              <w:spacing w:after="0" w:line="240" w:lineRule="auto"/>
              <w:rPr>
                <w:rFonts w:eastAsia="Times New Roman" w:cs="Calibri"/>
                <w:b/>
                <w:sz w:val="22"/>
                <w:lang w:eastAsia="pl-PL"/>
              </w:rPr>
            </w:pPr>
            <w:r w:rsidRPr="00BF6615">
              <w:rPr>
                <w:rFonts w:eastAsia="Times New Roman" w:cs="Calibri"/>
                <w:b/>
                <w:sz w:val="22"/>
                <w:lang w:eastAsia="pl-PL"/>
              </w:rPr>
              <w:t>Aplikacja rządowa</w:t>
            </w:r>
          </w:p>
        </w:tc>
        <w:tc>
          <w:tcPr>
            <w:tcW w:w="1761" w:type="dxa"/>
            <w:hideMark/>
          </w:tcPr>
          <w:p w14:paraId="2C2349AD" w14:textId="77777777" w:rsidR="00B74A42" w:rsidRPr="00BF6615" w:rsidRDefault="00B74A42" w:rsidP="007E26B5">
            <w:pPr>
              <w:spacing w:after="0" w:line="240" w:lineRule="auto"/>
              <w:rPr>
                <w:rFonts w:eastAsia="Times New Roman" w:cs="Calibri"/>
                <w:b/>
                <w:sz w:val="22"/>
                <w:lang w:eastAsia="pl-PL"/>
              </w:rPr>
            </w:pPr>
            <w:r w:rsidRPr="00BF6615">
              <w:rPr>
                <w:rFonts w:eastAsia="Times New Roman" w:cs="Calibri"/>
                <w:b/>
                <w:sz w:val="22"/>
                <w:lang w:eastAsia="pl-PL"/>
              </w:rPr>
              <w:t>Aplikacja urzędu miejskiego lub urzędu gminy</w:t>
            </w:r>
          </w:p>
        </w:tc>
        <w:tc>
          <w:tcPr>
            <w:tcW w:w="1213" w:type="dxa"/>
            <w:hideMark/>
          </w:tcPr>
          <w:p w14:paraId="60CE31E9" w14:textId="77777777" w:rsidR="00B74A42" w:rsidRPr="00BF6615" w:rsidRDefault="00B74A42"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370F93" w:rsidRPr="00BF6615" w14:paraId="6C05374C" w14:textId="77777777" w:rsidTr="00B74A42">
        <w:trPr>
          <w:cnfStyle w:val="000000100000" w:firstRow="0" w:lastRow="0" w:firstColumn="0" w:lastColumn="0" w:oddVBand="0" w:evenVBand="0" w:oddHBand="1" w:evenHBand="0" w:firstRowFirstColumn="0" w:firstRowLastColumn="0" w:lastRowFirstColumn="0" w:lastRowLastColumn="0"/>
          <w:trHeight w:val="580"/>
        </w:trPr>
        <w:tc>
          <w:tcPr>
            <w:tcW w:w="5949" w:type="dxa"/>
            <w:hideMark/>
          </w:tcPr>
          <w:p w14:paraId="5F609FAC"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nawigować/poruszać się po aplikacji</w:t>
            </w:r>
          </w:p>
        </w:tc>
        <w:tc>
          <w:tcPr>
            <w:tcW w:w="1046" w:type="dxa"/>
            <w:hideMark/>
          </w:tcPr>
          <w:p w14:paraId="18DA704A"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4,24</w:t>
            </w:r>
          </w:p>
        </w:tc>
        <w:tc>
          <w:tcPr>
            <w:tcW w:w="1761" w:type="dxa"/>
            <w:hideMark/>
          </w:tcPr>
          <w:p w14:paraId="0F128274"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3,58</w:t>
            </w:r>
          </w:p>
        </w:tc>
        <w:tc>
          <w:tcPr>
            <w:tcW w:w="1213" w:type="dxa"/>
            <w:hideMark/>
          </w:tcPr>
          <w:p w14:paraId="54235F20"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3,91</w:t>
            </w:r>
          </w:p>
        </w:tc>
      </w:tr>
      <w:tr w:rsidR="00370F93" w:rsidRPr="00BF6615" w14:paraId="5ED38EB9" w14:textId="77777777" w:rsidTr="00B74A42">
        <w:trPr>
          <w:cnfStyle w:val="000000010000" w:firstRow="0" w:lastRow="0" w:firstColumn="0" w:lastColumn="0" w:oddVBand="0" w:evenVBand="0" w:oddHBand="0" w:evenHBand="1" w:firstRowFirstColumn="0" w:firstRowLastColumn="0" w:lastRowFirstColumn="0" w:lastRowLastColumn="0"/>
          <w:trHeight w:val="290"/>
        </w:trPr>
        <w:tc>
          <w:tcPr>
            <w:tcW w:w="5949" w:type="dxa"/>
            <w:hideMark/>
          </w:tcPr>
          <w:p w14:paraId="1F27554C"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znaleźć potrzebne mi informacje</w:t>
            </w:r>
          </w:p>
        </w:tc>
        <w:tc>
          <w:tcPr>
            <w:tcW w:w="1046" w:type="dxa"/>
            <w:hideMark/>
          </w:tcPr>
          <w:p w14:paraId="430013A9"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761" w:type="dxa"/>
            <w:hideMark/>
          </w:tcPr>
          <w:p w14:paraId="74FF0612"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213" w:type="dxa"/>
            <w:hideMark/>
          </w:tcPr>
          <w:p w14:paraId="7698CBE9"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3,85</w:t>
            </w:r>
          </w:p>
        </w:tc>
      </w:tr>
      <w:tr w:rsidR="00370F93" w:rsidRPr="00BF6615" w14:paraId="488FCA49" w14:textId="77777777" w:rsidTr="00B74A42">
        <w:trPr>
          <w:cnfStyle w:val="000000100000" w:firstRow="0" w:lastRow="0" w:firstColumn="0" w:lastColumn="0" w:oddVBand="0" w:evenVBand="0" w:oddHBand="1" w:evenHBand="0" w:firstRowFirstColumn="0" w:firstRowLastColumn="0" w:lastRowFirstColumn="0" w:lastRowLastColumn="0"/>
          <w:trHeight w:val="290"/>
        </w:trPr>
        <w:tc>
          <w:tcPr>
            <w:tcW w:w="5949" w:type="dxa"/>
            <w:hideMark/>
          </w:tcPr>
          <w:p w14:paraId="75172A64"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szybko się ładuje</w:t>
            </w:r>
          </w:p>
        </w:tc>
        <w:tc>
          <w:tcPr>
            <w:tcW w:w="1046" w:type="dxa"/>
            <w:hideMark/>
          </w:tcPr>
          <w:p w14:paraId="14C240B5"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4,18</w:t>
            </w:r>
          </w:p>
        </w:tc>
        <w:tc>
          <w:tcPr>
            <w:tcW w:w="1761" w:type="dxa"/>
            <w:hideMark/>
          </w:tcPr>
          <w:p w14:paraId="7B391553"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213" w:type="dxa"/>
            <w:hideMark/>
          </w:tcPr>
          <w:p w14:paraId="57F40C7C"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3,84</w:t>
            </w:r>
          </w:p>
        </w:tc>
      </w:tr>
      <w:tr w:rsidR="00370F93" w:rsidRPr="00BF6615" w14:paraId="699165E7" w14:textId="77777777" w:rsidTr="00B74A42">
        <w:trPr>
          <w:cnfStyle w:val="000000010000" w:firstRow="0" w:lastRow="0" w:firstColumn="0" w:lastColumn="0" w:oddVBand="0" w:evenVBand="0" w:oddHBand="0" w:evenHBand="1" w:firstRowFirstColumn="0" w:firstRowLastColumn="0" w:lastRowFirstColumn="0" w:lastRowLastColumn="0"/>
          <w:trHeight w:val="290"/>
        </w:trPr>
        <w:tc>
          <w:tcPr>
            <w:tcW w:w="5949" w:type="dxa"/>
            <w:hideMark/>
          </w:tcPr>
          <w:p w14:paraId="4F50392C"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ma czytelny układ treści</w:t>
            </w:r>
          </w:p>
        </w:tc>
        <w:tc>
          <w:tcPr>
            <w:tcW w:w="1046" w:type="dxa"/>
            <w:hideMark/>
          </w:tcPr>
          <w:p w14:paraId="53AE20FA"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761" w:type="dxa"/>
            <w:hideMark/>
          </w:tcPr>
          <w:p w14:paraId="5A340869"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3,73</w:t>
            </w:r>
          </w:p>
        </w:tc>
        <w:tc>
          <w:tcPr>
            <w:tcW w:w="1213" w:type="dxa"/>
            <w:hideMark/>
          </w:tcPr>
          <w:p w14:paraId="19338C13"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3,99</w:t>
            </w:r>
          </w:p>
        </w:tc>
      </w:tr>
      <w:tr w:rsidR="00370F93" w:rsidRPr="00BF6615" w14:paraId="1F6032E5" w14:textId="77777777" w:rsidTr="00B74A42">
        <w:trPr>
          <w:cnfStyle w:val="000000100000" w:firstRow="0" w:lastRow="0" w:firstColumn="0" w:lastColumn="0" w:oddVBand="0" w:evenVBand="0" w:oddHBand="1" w:evenHBand="0" w:firstRowFirstColumn="0" w:firstRowLastColumn="0" w:lastRowFirstColumn="0" w:lastRowLastColumn="0"/>
          <w:trHeight w:val="467"/>
        </w:trPr>
        <w:tc>
          <w:tcPr>
            <w:tcW w:w="5949" w:type="dxa"/>
            <w:hideMark/>
          </w:tcPr>
          <w:p w14:paraId="09FF472E"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w aplikacji są dla mnie przyjazne</w:t>
            </w:r>
          </w:p>
        </w:tc>
        <w:tc>
          <w:tcPr>
            <w:tcW w:w="1046" w:type="dxa"/>
            <w:hideMark/>
          </w:tcPr>
          <w:p w14:paraId="215A77A5"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4,34</w:t>
            </w:r>
          </w:p>
        </w:tc>
        <w:tc>
          <w:tcPr>
            <w:tcW w:w="1761" w:type="dxa"/>
            <w:hideMark/>
          </w:tcPr>
          <w:p w14:paraId="26ACB6CE"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3,73</w:t>
            </w:r>
          </w:p>
        </w:tc>
        <w:tc>
          <w:tcPr>
            <w:tcW w:w="1213" w:type="dxa"/>
            <w:hideMark/>
          </w:tcPr>
          <w:p w14:paraId="4AEDC9B6"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4,03</w:t>
            </w:r>
          </w:p>
        </w:tc>
      </w:tr>
      <w:tr w:rsidR="00370F93" w:rsidRPr="00BF6615" w14:paraId="725A7428" w14:textId="77777777" w:rsidTr="00B74A42">
        <w:trPr>
          <w:cnfStyle w:val="000000010000" w:firstRow="0" w:lastRow="0" w:firstColumn="0" w:lastColumn="0" w:oddVBand="0" w:evenVBand="0" w:oddHBand="0" w:evenHBand="1" w:firstRowFirstColumn="0" w:firstRowLastColumn="0" w:lastRowFirstColumn="0" w:lastRowLastColumn="0"/>
          <w:trHeight w:val="580"/>
        </w:trPr>
        <w:tc>
          <w:tcPr>
            <w:tcW w:w="5949" w:type="dxa"/>
            <w:hideMark/>
          </w:tcPr>
          <w:p w14:paraId="488D449F"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jest dla mnie dostępna cyfrowo</w:t>
            </w:r>
          </w:p>
        </w:tc>
        <w:tc>
          <w:tcPr>
            <w:tcW w:w="1046" w:type="dxa"/>
            <w:hideMark/>
          </w:tcPr>
          <w:p w14:paraId="6E8E61E6"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4,33</w:t>
            </w:r>
          </w:p>
        </w:tc>
        <w:tc>
          <w:tcPr>
            <w:tcW w:w="1761" w:type="dxa"/>
            <w:hideMark/>
          </w:tcPr>
          <w:p w14:paraId="674EA219"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3,44</w:t>
            </w:r>
          </w:p>
        </w:tc>
        <w:tc>
          <w:tcPr>
            <w:tcW w:w="1213" w:type="dxa"/>
            <w:hideMark/>
          </w:tcPr>
          <w:p w14:paraId="4EAD8880"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3,89</w:t>
            </w:r>
          </w:p>
        </w:tc>
      </w:tr>
      <w:tr w:rsidR="00370F93" w:rsidRPr="00BF6615" w14:paraId="07637DFC" w14:textId="77777777" w:rsidTr="00B74A42">
        <w:trPr>
          <w:cnfStyle w:val="000000100000" w:firstRow="0" w:lastRow="0" w:firstColumn="0" w:lastColumn="0" w:oddVBand="0" w:evenVBand="0" w:oddHBand="1" w:evenHBand="0" w:firstRowFirstColumn="0" w:firstRowLastColumn="0" w:lastRowFirstColumn="0" w:lastRowLastColumn="0"/>
          <w:trHeight w:val="383"/>
        </w:trPr>
        <w:tc>
          <w:tcPr>
            <w:tcW w:w="5949" w:type="dxa"/>
            <w:hideMark/>
          </w:tcPr>
          <w:p w14:paraId="132724AF" w14:textId="77777777" w:rsidR="00B74A42" w:rsidRPr="00BF6615" w:rsidRDefault="00B74A42" w:rsidP="007E26B5">
            <w:pPr>
              <w:spacing w:after="0" w:line="240" w:lineRule="auto"/>
              <w:rPr>
                <w:rFonts w:ascii="Calibri" w:eastAsia="Times New Roman" w:hAnsi="Calibri" w:cs="Calibri"/>
                <w:color w:val="000000"/>
                <w:sz w:val="22"/>
                <w:lang w:eastAsia="pl-PL"/>
              </w:rPr>
            </w:pPr>
            <w:proofErr w:type="spellStart"/>
            <w:r w:rsidRPr="00BF6615">
              <w:rPr>
                <w:rFonts w:ascii="Calibri" w:eastAsia="Times New Roman" w:hAnsi="Calibri" w:cs="Calibri"/>
                <w:color w:val="000000"/>
                <w:sz w:val="22"/>
                <w:lang w:eastAsia="pl-PL"/>
              </w:rPr>
              <w:t>Responsywność</w:t>
            </w:r>
            <w:proofErr w:type="spellEnd"/>
            <w:r w:rsidRPr="00BF6615">
              <w:rPr>
                <w:rFonts w:ascii="Calibri" w:eastAsia="Times New Roman" w:hAnsi="Calibri" w:cs="Calibri"/>
                <w:color w:val="000000"/>
                <w:sz w:val="22"/>
                <w:lang w:eastAsia="pl-PL"/>
              </w:rPr>
              <w:t xml:space="preserve"> aplikacji jest odpowiednia</w:t>
            </w:r>
          </w:p>
        </w:tc>
        <w:tc>
          <w:tcPr>
            <w:tcW w:w="1046" w:type="dxa"/>
            <w:hideMark/>
          </w:tcPr>
          <w:p w14:paraId="5FB714AE"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4,34</w:t>
            </w:r>
          </w:p>
        </w:tc>
        <w:tc>
          <w:tcPr>
            <w:tcW w:w="1761" w:type="dxa"/>
            <w:hideMark/>
          </w:tcPr>
          <w:p w14:paraId="0DA13F84"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213" w:type="dxa"/>
            <w:hideMark/>
          </w:tcPr>
          <w:p w14:paraId="7E0E586E"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3,92</w:t>
            </w:r>
          </w:p>
        </w:tc>
      </w:tr>
      <w:tr w:rsidR="00370F93" w:rsidRPr="00BF6615" w14:paraId="75E22350" w14:textId="77777777" w:rsidTr="00B74A42">
        <w:trPr>
          <w:cnfStyle w:val="000000010000" w:firstRow="0" w:lastRow="0" w:firstColumn="0" w:lastColumn="0" w:oddVBand="0" w:evenVBand="0" w:oddHBand="0" w:evenHBand="1" w:firstRowFirstColumn="0" w:firstRowLastColumn="0" w:lastRowFirstColumn="0" w:lastRowLastColumn="0"/>
          <w:trHeight w:val="580"/>
        </w:trPr>
        <w:tc>
          <w:tcPr>
            <w:tcW w:w="5949" w:type="dxa"/>
            <w:hideMark/>
          </w:tcPr>
          <w:p w14:paraId="0EE4D024"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skontaktować się z obsługa klienta/pomocą</w:t>
            </w:r>
          </w:p>
        </w:tc>
        <w:tc>
          <w:tcPr>
            <w:tcW w:w="1046" w:type="dxa"/>
            <w:hideMark/>
          </w:tcPr>
          <w:p w14:paraId="7B11B344"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4,24</w:t>
            </w:r>
          </w:p>
        </w:tc>
        <w:tc>
          <w:tcPr>
            <w:tcW w:w="1761" w:type="dxa"/>
            <w:hideMark/>
          </w:tcPr>
          <w:p w14:paraId="71172EC3"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3,60</w:t>
            </w:r>
          </w:p>
        </w:tc>
        <w:tc>
          <w:tcPr>
            <w:tcW w:w="1213" w:type="dxa"/>
            <w:hideMark/>
          </w:tcPr>
          <w:p w14:paraId="2169E0CF"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3,92</w:t>
            </w:r>
          </w:p>
        </w:tc>
      </w:tr>
      <w:tr w:rsidR="00370F93" w:rsidRPr="00BF6615" w14:paraId="53615FC5" w14:textId="77777777" w:rsidTr="00B74A42">
        <w:trPr>
          <w:cnfStyle w:val="000000100000" w:firstRow="0" w:lastRow="0" w:firstColumn="0" w:lastColumn="0" w:oddVBand="0" w:evenVBand="0" w:oddHBand="1" w:evenHBand="0" w:firstRowFirstColumn="0" w:firstRowLastColumn="0" w:lastRowFirstColumn="0" w:lastRowLastColumn="0"/>
          <w:trHeight w:val="822"/>
        </w:trPr>
        <w:tc>
          <w:tcPr>
            <w:tcW w:w="5949" w:type="dxa"/>
            <w:hideMark/>
          </w:tcPr>
          <w:p w14:paraId="7F71A427"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w:t>
            </w:r>
          </w:p>
        </w:tc>
        <w:tc>
          <w:tcPr>
            <w:tcW w:w="1046" w:type="dxa"/>
            <w:hideMark/>
          </w:tcPr>
          <w:p w14:paraId="45B3622E"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761" w:type="dxa"/>
            <w:hideMark/>
          </w:tcPr>
          <w:p w14:paraId="0DCA5BDA"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3,50</w:t>
            </w:r>
          </w:p>
        </w:tc>
        <w:tc>
          <w:tcPr>
            <w:tcW w:w="1213" w:type="dxa"/>
            <w:hideMark/>
          </w:tcPr>
          <w:p w14:paraId="27326535"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3,85</w:t>
            </w:r>
          </w:p>
        </w:tc>
      </w:tr>
      <w:tr w:rsidR="00370F93" w:rsidRPr="00BF6615" w14:paraId="2F146C55" w14:textId="77777777" w:rsidTr="00B74A42">
        <w:trPr>
          <w:cnfStyle w:val="000000010000" w:firstRow="0" w:lastRow="0" w:firstColumn="0" w:lastColumn="0" w:oddVBand="0" w:evenVBand="0" w:oddHBand="0" w:evenHBand="1" w:firstRowFirstColumn="0" w:firstRowLastColumn="0" w:lastRowFirstColumn="0" w:lastRowLastColumn="0"/>
          <w:trHeight w:val="870"/>
        </w:trPr>
        <w:tc>
          <w:tcPr>
            <w:tcW w:w="5949" w:type="dxa"/>
            <w:hideMark/>
          </w:tcPr>
          <w:p w14:paraId="59A3E746"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aplikacji mobilnej mogę obsłużyć za pomocą klawiatury zewnętrznej</w:t>
            </w:r>
          </w:p>
        </w:tc>
        <w:tc>
          <w:tcPr>
            <w:tcW w:w="1046" w:type="dxa"/>
            <w:hideMark/>
          </w:tcPr>
          <w:p w14:paraId="7FEC590B"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4,30</w:t>
            </w:r>
          </w:p>
        </w:tc>
        <w:tc>
          <w:tcPr>
            <w:tcW w:w="1761" w:type="dxa"/>
            <w:hideMark/>
          </w:tcPr>
          <w:p w14:paraId="2920FB6D"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3,18</w:t>
            </w:r>
          </w:p>
        </w:tc>
        <w:tc>
          <w:tcPr>
            <w:tcW w:w="1213" w:type="dxa"/>
            <w:hideMark/>
          </w:tcPr>
          <w:p w14:paraId="715A44F5"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3,74</w:t>
            </w:r>
          </w:p>
        </w:tc>
      </w:tr>
      <w:tr w:rsidR="00370F93" w:rsidRPr="00BF6615" w14:paraId="1043BB69" w14:textId="77777777" w:rsidTr="00B74A42">
        <w:trPr>
          <w:cnfStyle w:val="000000100000" w:firstRow="0" w:lastRow="0" w:firstColumn="0" w:lastColumn="0" w:oddVBand="0" w:evenVBand="0" w:oddHBand="1" w:evenHBand="0" w:firstRowFirstColumn="0" w:firstRowLastColumn="0" w:lastRowFirstColumn="0" w:lastRowLastColumn="0"/>
          <w:trHeight w:val="812"/>
        </w:trPr>
        <w:tc>
          <w:tcPr>
            <w:tcW w:w="5949" w:type="dxa"/>
            <w:hideMark/>
          </w:tcPr>
          <w:p w14:paraId="3D8CC023"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Materiały multimedialne oraz grafiki są dla mnie zrozumiałe (filmy posiadają audiodeskrypcję oraz napisy rozszerzone)</w:t>
            </w:r>
          </w:p>
        </w:tc>
        <w:tc>
          <w:tcPr>
            <w:tcW w:w="1046" w:type="dxa"/>
            <w:hideMark/>
          </w:tcPr>
          <w:p w14:paraId="5BB3CE96"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1761" w:type="dxa"/>
            <w:hideMark/>
          </w:tcPr>
          <w:p w14:paraId="1C094276"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3,36</w:t>
            </w:r>
          </w:p>
        </w:tc>
        <w:tc>
          <w:tcPr>
            <w:tcW w:w="1213" w:type="dxa"/>
            <w:hideMark/>
          </w:tcPr>
          <w:p w14:paraId="2A4766E9"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3,86</w:t>
            </w:r>
          </w:p>
        </w:tc>
      </w:tr>
      <w:tr w:rsidR="00370F93" w:rsidRPr="00BF6615" w14:paraId="2BF862B2" w14:textId="77777777" w:rsidTr="00B74A42">
        <w:trPr>
          <w:cnfStyle w:val="000000010000" w:firstRow="0" w:lastRow="0" w:firstColumn="0" w:lastColumn="0" w:oddVBand="0" w:evenVBand="0" w:oddHBand="0" w:evenHBand="1" w:firstRowFirstColumn="0" w:firstRowLastColumn="0" w:lastRowFirstColumn="0" w:lastRowLastColumn="0"/>
          <w:trHeight w:val="770"/>
        </w:trPr>
        <w:tc>
          <w:tcPr>
            <w:tcW w:w="5949" w:type="dxa"/>
            <w:hideMark/>
          </w:tcPr>
          <w:p w14:paraId="1179588E"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Niezależnie od wykonywanych czynności otrzymuję informację zwrotną, również o błędach w sposób dostępny cyfrowo</w:t>
            </w:r>
          </w:p>
        </w:tc>
        <w:tc>
          <w:tcPr>
            <w:tcW w:w="1046" w:type="dxa"/>
            <w:hideMark/>
          </w:tcPr>
          <w:p w14:paraId="7746F5E8"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4,17</w:t>
            </w:r>
          </w:p>
        </w:tc>
        <w:tc>
          <w:tcPr>
            <w:tcW w:w="1761" w:type="dxa"/>
            <w:hideMark/>
          </w:tcPr>
          <w:p w14:paraId="7854B991"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3,30</w:t>
            </w:r>
          </w:p>
        </w:tc>
        <w:tc>
          <w:tcPr>
            <w:tcW w:w="1213" w:type="dxa"/>
            <w:hideMark/>
          </w:tcPr>
          <w:p w14:paraId="655FEC48"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3,74</w:t>
            </w:r>
          </w:p>
        </w:tc>
      </w:tr>
      <w:tr w:rsidR="00370F93" w:rsidRPr="00BF6615" w14:paraId="13C5EA9B" w14:textId="77777777" w:rsidTr="00B74A42">
        <w:trPr>
          <w:cnfStyle w:val="000000100000" w:firstRow="0" w:lastRow="0" w:firstColumn="0" w:lastColumn="0" w:oddVBand="0" w:evenVBand="0" w:oddHBand="1" w:evenHBand="0" w:firstRowFirstColumn="0" w:firstRowLastColumn="0" w:lastRowFirstColumn="0" w:lastRowLastColumn="0"/>
          <w:trHeight w:val="870"/>
        </w:trPr>
        <w:tc>
          <w:tcPr>
            <w:tcW w:w="5949" w:type="dxa"/>
            <w:hideMark/>
          </w:tcPr>
          <w:p w14:paraId="72EF06A6"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wyświetlane na ekranie są czytelne zarówno w widoku poziomym jak i pionowym</w:t>
            </w:r>
          </w:p>
        </w:tc>
        <w:tc>
          <w:tcPr>
            <w:tcW w:w="1046" w:type="dxa"/>
            <w:hideMark/>
          </w:tcPr>
          <w:p w14:paraId="56DF1327"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4,31</w:t>
            </w:r>
          </w:p>
        </w:tc>
        <w:tc>
          <w:tcPr>
            <w:tcW w:w="1761" w:type="dxa"/>
            <w:hideMark/>
          </w:tcPr>
          <w:p w14:paraId="46EE9AF4"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3,55</w:t>
            </w:r>
          </w:p>
        </w:tc>
        <w:tc>
          <w:tcPr>
            <w:tcW w:w="1213" w:type="dxa"/>
            <w:hideMark/>
          </w:tcPr>
          <w:p w14:paraId="4ABB7009"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3,93</w:t>
            </w:r>
          </w:p>
        </w:tc>
      </w:tr>
      <w:tr w:rsidR="00370F93" w:rsidRPr="00BF6615" w14:paraId="3F51E892" w14:textId="77777777" w:rsidTr="00B74A42">
        <w:trPr>
          <w:cnfStyle w:val="000000010000" w:firstRow="0" w:lastRow="0" w:firstColumn="0" w:lastColumn="0" w:oddVBand="0" w:evenVBand="0" w:oddHBand="0" w:evenHBand="1" w:firstRowFirstColumn="0" w:firstRowLastColumn="0" w:lastRowFirstColumn="0" w:lastRowLastColumn="0"/>
          <w:trHeight w:val="580"/>
        </w:trPr>
        <w:tc>
          <w:tcPr>
            <w:tcW w:w="5949" w:type="dxa"/>
            <w:hideMark/>
          </w:tcPr>
          <w:p w14:paraId="2AC5EDEA"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tłumaczenia na Polski język migowy (PJM)</w:t>
            </w:r>
          </w:p>
        </w:tc>
        <w:tc>
          <w:tcPr>
            <w:tcW w:w="1046" w:type="dxa"/>
            <w:hideMark/>
          </w:tcPr>
          <w:p w14:paraId="0644E6EE"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3,81</w:t>
            </w:r>
          </w:p>
        </w:tc>
        <w:tc>
          <w:tcPr>
            <w:tcW w:w="1761" w:type="dxa"/>
            <w:hideMark/>
          </w:tcPr>
          <w:p w14:paraId="1C5BDF6D"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3,43</w:t>
            </w:r>
          </w:p>
        </w:tc>
        <w:tc>
          <w:tcPr>
            <w:tcW w:w="1213" w:type="dxa"/>
            <w:hideMark/>
          </w:tcPr>
          <w:p w14:paraId="0B971D76"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3,62</w:t>
            </w:r>
          </w:p>
        </w:tc>
      </w:tr>
      <w:tr w:rsidR="00370F93" w:rsidRPr="00BF6615" w14:paraId="7C0FC9EF" w14:textId="77777777" w:rsidTr="00B74A42">
        <w:trPr>
          <w:cnfStyle w:val="000000100000" w:firstRow="0" w:lastRow="0" w:firstColumn="0" w:lastColumn="0" w:oddVBand="0" w:evenVBand="0" w:oddHBand="1" w:evenHBand="0" w:firstRowFirstColumn="0" w:firstRowLastColumn="0" w:lastRowFirstColumn="0" w:lastRowLastColumn="0"/>
          <w:trHeight w:val="580"/>
        </w:trPr>
        <w:tc>
          <w:tcPr>
            <w:tcW w:w="5949" w:type="dxa"/>
            <w:hideMark/>
          </w:tcPr>
          <w:p w14:paraId="4454056D"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informacje w tekście łatwym do czytania i zrozumienia (ETR)</w:t>
            </w:r>
          </w:p>
        </w:tc>
        <w:tc>
          <w:tcPr>
            <w:tcW w:w="1046" w:type="dxa"/>
            <w:hideMark/>
          </w:tcPr>
          <w:p w14:paraId="6660FF03"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4,20</w:t>
            </w:r>
          </w:p>
        </w:tc>
        <w:tc>
          <w:tcPr>
            <w:tcW w:w="1761" w:type="dxa"/>
            <w:hideMark/>
          </w:tcPr>
          <w:p w14:paraId="3223FCD1" w14:textId="77777777" w:rsidR="00B74A42" w:rsidRPr="00BF6615" w:rsidRDefault="00B74A42"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3,56</w:t>
            </w:r>
          </w:p>
        </w:tc>
        <w:tc>
          <w:tcPr>
            <w:tcW w:w="1213" w:type="dxa"/>
            <w:hideMark/>
          </w:tcPr>
          <w:p w14:paraId="29A6B8E4"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3,88</w:t>
            </w:r>
          </w:p>
        </w:tc>
      </w:tr>
      <w:tr w:rsidR="00370F93" w:rsidRPr="00BF6615" w14:paraId="11757CB5" w14:textId="77777777" w:rsidTr="00B74A42">
        <w:trPr>
          <w:cnfStyle w:val="000000010000" w:firstRow="0" w:lastRow="0" w:firstColumn="0" w:lastColumn="0" w:oddVBand="0" w:evenVBand="0" w:oddHBand="0" w:evenHBand="1" w:firstRowFirstColumn="0" w:firstRowLastColumn="0" w:lastRowFirstColumn="0" w:lastRowLastColumn="0"/>
          <w:trHeight w:val="290"/>
        </w:trPr>
        <w:tc>
          <w:tcPr>
            <w:tcW w:w="5949" w:type="dxa"/>
            <w:hideMark/>
          </w:tcPr>
          <w:p w14:paraId="04C2BE21"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Sumaryczna średnia ocen</w:t>
            </w:r>
          </w:p>
        </w:tc>
        <w:tc>
          <w:tcPr>
            <w:tcW w:w="1046" w:type="dxa"/>
            <w:hideMark/>
          </w:tcPr>
          <w:p w14:paraId="3E04A578"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4,23</w:t>
            </w:r>
          </w:p>
        </w:tc>
        <w:tc>
          <w:tcPr>
            <w:tcW w:w="1761" w:type="dxa"/>
            <w:hideMark/>
          </w:tcPr>
          <w:p w14:paraId="534CD03F" w14:textId="7777777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3,50</w:t>
            </w:r>
          </w:p>
        </w:tc>
        <w:tc>
          <w:tcPr>
            <w:tcW w:w="1213" w:type="dxa"/>
            <w:hideMark/>
          </w:tcPr>
          <w:p w14:paraId="44DDF10E" w14:textId="584AD1E7" w:rsidR="00B74A42" w:rsidRPr="00BF6615" w:rsidRDefault="00B74A42"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 -</w:t>
            </w:r>
          </w:p>
        </w:tc>
      </w:tr>
    </w:tbl>
    <w:p w14:paraId="6D4B9D4D" w14:textId="77777777" w:rsidR="007163F4" w:rsidRPr="00BF6615" w:rsidRDefault="007163F4" w:rsidP="007E26B5">
      <w:r w:rsidRPr="00BF6615">
        <w:t>Źródło: opracowanie własne.</w:t>
      </w:r>
    </w:p>
    <w:p w14:paraId="08DE86F7" w14:textId="77777777" w:rsidR="007163F4" w:rsidRPr="00BF6615" w:rsidRDefault="007163F4" w:rsidP="007E26B5">
      <w:pPr>
        <w:rPr>
          <w:color w:val="4472C4" w:themeColor="accent1"/>
        </w:rPr>
      </w:pPr>
    </w:p>
    <w:p w14:paraId="5BEC6C19" w14:textId="00EFC3E2" w:rsidR="007163F4" w:rsidRPr="00BF6615" w:rsidRDefault="007163F4" w:rsidP="007E26B5">
      <w:r w:rsidRPr="00BF6615">
        <w:t>Dostępność aplikacji tematycznych wskazuje, że najwyżej oceniono dostępność aplikacji instytucji kultury (4,6</w:t>
      </w:r>
      <w:r w:rsidR="00293E95" w:rsidRPr="00BF6615">
        <w:t>2</w:t>
      </w:r>
      <w:r w:rsidRPr="00BF6615">
        <w:t>), kolejno komunikacyjnych (4,</w:t>
      </w:r>
      <w:r w:rsidR="00293E95" w:rsidRPr="00BF6615">
        <w:t>33</w:t>
      </w:r>
      <w:r w:rsidRPr="00BF6615">
        <w:t>) i zdrowia (4,</w:t>
      </w:r>
      <w:r w:rsidR="00293E95" w:rsidRPr="00BF6615">
        <w:t>19</w:t>
      </w:r>
      <w:r w:rsidRPr="00BF6615">
        <w:t xml:space="preserve">). </w:t>
      </w:r>
      <w:r w:rsidR="001363A3" w:rsidRPr="00BF6615">
        <w:t>Badani w tej grupie nie ocenili aplikacji edukacyjnych.</w:t>
      </w:r>
    </w:p>
    <w:p w14:paraId="296BA980" w14:textId="77939A16" w:rsidR="00091993" w:rsidRPr="00BF6615" w:rsidRDefault="00091993" w:rsidP="007E26B5">
      <w:r w:rsidRPr="00BF6615">
        <w:lastRenderedPageBreak/>
        <w:t xml:space="preserve">Tak, jak w przypadku stron i </w:t>
      </w:r>
      <w:r w:rsidR="009305A2" w:rsidRPr="00BF6615">
        <w:t xml:space="preserve">typów </w:t>
      </w:r>
      <w:r w:rsidRPr="00BF6615">
        <w:t xml:space="preserve">aplikacji </w:t>
      </w:r>
      <w:r w:rsidR="009305A2" w:rsidRPr="00BF6615">
        <w:t>najniższa ocenę jednostkow</w:t>
      </w:r>
      <w:r w:rsidR="002A6652" w:rsidRPr="00BF6615">
        <w:t>ą</w:t>
      </w:r>
      <w:r w:rsidR="009305A2" w:rsidRPr="00BF6615">
        <w:t xml:space="preserve"> otrzymał dostęp do tłumaczeń PJM- 3,88 w kategorii aplikacje komunikacyjne. Najwyższą jednostkowa </w:t>
      </w:r>
      <w:r w:rsidR="00992CE9" w:rsidRPr="00BF6615">
        <w:t>ocenę</w:t>
      </w:r>
      <w:r w:rsidR="009305A2" w:rsidRPr="00BF6615">
        <w:t xml:space="preserve"> zanotowano w aplikacjach instytucji kultury- ocena 5,0 dla </w:t>
      </w:r>
      <w:r w:rsidR="00992CE9" w:rsidRPr="00BF6615">
        <w:t>kryterium zawartości tekstu ETR.</w:t>
      </w:r>
    </w:p>
    <w:p w14:paraId="6D217EBD" w14:textId="52D0E79A" w:rsidR="003B514A" w:rsidRPr="00BF6615" w:rsidRDefault="003B514A" w:rsidP="007E26B5">
      <w:pPr>
        <w:pStyle w:val="Legenda"/>
      </w:pPr>
      <w:bookmarkStart w:id="291" w:name="_Toc204179144"/>
      <w:r w:rsidRPr="00BF6615">
        <w:t xml:space="preserve">Tabela </w:t>
      </w:r>
      <w:r w:rsidRPr="00BF6615">
        <w:fldChar w:fldCharType="begin"/>
      </w:r>
      <w:r w:rsidRPr="00BF6615">
        <w:instrText xml:space="preserve"> SEQ Tabela \* ARABIC </w:instrText>
      </w:r>
      <w:r w:rsidRPr="00BF6615">
        <w:fldChar w:fldCharType="separate"/>
      </w:r>
      <w:r w:rsidR="00FD0843">
        <w:rPr>
          <w:noProof/>
        </w:rPr>
        <w:t>46</w:t>
      </w:r>
      <w:r w:rsidRPr="00BF6615">
        <w:fldChar w:fldCharType="end"/>
      </w:r>
      <w:r w:rsidR="00FD0843">
        <w:t>.</w:t>
      </w:r>
      <w:r w:rsidRPr="00BF6615">
        <w:t xml:space="preserve"> Średnie oceny tematycznych aplikacji publiczny wg aspektów dostępności cyfrowej, </w:t>
      </w:r>
      <w:r w:rsidR="008B0B0A" w:rsidRPr="00BF6615">
        <w:t>z</w:t>
      </w:r>
      <w:r w:rsidR="008B0B0A">
        <w:t> </w:t>
      </w:r>
      <w:r w:rsidRPr="00BF6615">
        <w:t>których korzystają osoby badane w grupie 60+</w:t>
      </w:r>
      <w:bookmarkEnd w:id="291"/>
    </w:p>
    <w:tbl>
      <w:tblPr>
        <w:tblStyle w:val="PARP"/>
        <w:tblW w:w="10314" w:type="dxa"/>
        <w:tblLook w:val="04A0" w:firstRow="1" w:lastRow="0" w:firstColumn="1" w:lastColumn="0" w:noHBand="0" w:noVBand="1"/>
        <w:tblCaption w:val="Średnie oceny tematycznych aplikacji publiczny wg aspektów dostępności cyfrowej, z których korzystają osoby badane w grupie 60+"/>
        <w:tblDescription w:val="Średnie oceny tematycznych aplikacji publiczny wg aspektów dostępności cyfrowej, z których korzystają osoby badane w grupie 60+"/>
      </w:tblPr>
      <w:tblGrid>
        <w:gridCol w:w="5491"/>
        <w:gridCol w:w="1022"/>
        <w:gridCol w:w="1087"/>
        <w:gridCol w:w="1501"/>
        <w:gridCol w:w="1213"/>
      </w:tblGrid>
      <w:tr w:rsidR="00012671" w:rsidRPr="00BF6615" w14:paraId="0760A305" w14:textId="77777777" w:rsidTr="00BF7479">
        <w:trPr>
          <w:cnfStyle w:val="100000000000" w:firstRow="1" w:lastRow="0" w:firstColumn="0" w:lastColumn="0" w:oddVBand="0" w:evenVBand="0" w:oddHBand="0" w:evenHBand="0" w:firstRowFirstColumn="0" w:firstRowLastColumn="0" w:lastRowFirstColumn="0" w:lastRowLastColumn="0"/>
          <w:trHeight w:val="870"/>
        </w:trPr>
        <w:tc>
          <w:tcPr>
            <w:tcW w:w="5491" w:type="dxa"/>
            <w:hideMark/>
          </w:tcPr>
          <w:p w14:paraId="623346D0" w14:textId="77777777" w:rsidR="00BF7479" w:rsidRPr="00BF6615" w:rsidRDefault="00BF7479" w:rsidP="007E26B5">
            <w:pPr>
              <w:spacing w:after="0" w:line="240" w:lineRule="auto"/>
              <w:rPr>
                <w:rFonts w:eastAsia="Times New Roman" w:cs="Calibri"/>
                <w:b/>
                <w:sz w:val="22"/>
                <w:lang w:eastAsia="pl-PL"/>
              </w:rPr>
            </w:pPr>
            <w:r w:rsidRPr="00BF6615">
              <w:rPr>
                <w:rFonts w:eastAsia="Times New Roman" w:cs="Calibri"/>
                <w:b/>
                <w:sz w:val="22"/>
                <w:lang w:eastAsia="pl-PL"/>
              </w:rPr>
              <w:t> Oceniany aspekt dostępności</w:t>
            </w:r>
          </w:p>
        </w:tc>
        <w:tc>
          <w:tcPr>
            <w:tcW w:w="1022" w:type="dxa"/>
            <w:hideMark/>
          </w:tcPr>
          <w:p w14:paraId="6430914C" w14:textId="77777777" w:rsidR="00BF7479" w:rsidRPr="00BF6615" w:rsidRDefault="00BF7479" w:rsidP="007E26B5">
            <w:pPr>
              <w:spacing w:after="0" w:line="240" w:lineRule="auto"/>
              <w:rPr>
                <w:rFonts w:eastAsia="Times New Roman" w:cs="Calibri"/>
                <w:b/>
                <w:sz w:val="22"/>
                <w:lang w:eastAsia="pl-PL"/>
              </w:rPr>
            </w:pPr>
            <w:r w:rsidRPr="00BF6615">
              <w:rPr>
                <w:rFonts w:eastAsia="Times New Roman" w:cs="Calibri"/>
                <w:b/>
                <w:sz w:val="22"/>
                <w:lang w:eastAsia="pl-PL"/>
              </w:rPr>
              <w:t>Aplikacja dotyczące zdrowia</w:t>
            </w:r>
          </w:p>
        </w:tc>
        <w:tc>
          <w:tcPr>
            <w:tcW w:w="1087" w:type="dxa"/>
            <w:hideMark/>
          </w:tcPr>
          <w:p w14:paraId="3642F47D" w14:textId="77777777" w:rsidR="00BF7479" w:rsidRPr="00BF6615" w:rsidRDefault="00BF7479" w:rsidP="007E26B5">
            <w:pPr>
              <w:spacing w:after="0" w:line="240" w:lineRule="auto"/>
              <w:rPr>
                <w:rFonts w:eastAsia="Times New Roman" w:cs="Calibri"/>
                <w:b/>
                <w:sz w:val="22"/>
                <w:lang w:eastAsia="pl-PL"/>
              </w:rPr>
            </w:pPr>
            <w:r w:rsidRPr="00BF6615">
              <w:rPr>
                <w:rFonts w:eastAsia="Times New Roman" w:cs="Calibri"/>
                <w:b/>
                <w:sz w:val="22"/>
                <w:lang w:eastAsia="pl-PL"/>
              </w:rPr>
              <w:t>Aplikacja instytucji kultury</w:t>
            </w:r>
          </w:p>
        </w:tc>
        <w:tc>
          <w:tcPr>
            <w:tcW w:w="1501" w:type="dxa"/>
            <w:hideMark/>
          </w:tcPr>
          <w:p w14:paraId="41AA3E1F" w14:textId="77777777" w:rsidR="00BF7479" w:rsidRPr="00BF6615" w:rsidRDefault="00BF7479" w:rsidP="007E26B5">
            <w:pPr>
              <w:spacing w:after="0" w:line="240" w:lineRule="auto"/>
              <w:rPr>
                <w:rFonts w:eastAsia="Times New Roman" w:cs="Calibri"/>
                <w:b/>
                <w:sz w:val="22"/>
                <w:lang w:eastAsia="pl-PL"/>
              </w:rPr>
            </w:pPr>
            <w:r w:rsidRPr="00BF6615">
              <w:rPr>
                <w:rFonts w:eastAsia="Times New Roman" w:cs="Calibri"/>
                <w:b/>
                <w:sz w:val="22"/>
                <w:lang w:eastAsia="pl-PL"/>
              </w:rPr>
              <w:t>Aplikacja komunikacyjna</w:t>
            </w:r>
          </w:p>
        </w:tc>
        <w:tc>
          <w:tcPr>
            <w:tcW w:w="1213" w:type="dxa"/>
            <w:hideMark/>
          </w:tcPr>
          <w:p w14:paraId="3B1DF584" w14:textId="77777777" w:rsidR="00BF7479" w:rsidRPr="00BF6615" w:rsidRDefault="00BF7479" w:rsidP="007E26B5">
            <w:pPr>
              <w:spacing w:after="0" w:line="240" w:lineRule="auto"/>
              <w:rPr>
                <w:rFonts w:eastAsia="Times New Roman" w:cs="Calibri"/>
                <w:b/>
                <w:sz w:val="22"/>
                <w:lang w:eastAsia="pl-PL"/>
              </w:rPr>
            </w:pPr>
            <w:r w:rsidRPr="00BF6615">
              <w:rPr>
                <w:rFonts w:eastAsia="Times New Roman" w:cs="Calibri"/>
                <w:b/>
                <w:sz w:val="22"/>
                <w:lang w:eastAsia="pl-PL"/>
              </w:rPr>
              <w:t>Sumaryczna średnia ocen</w:t>
            </w:r>
          </w:p>
        </w:tc>
      </w:tr>
      <w:tr w:rsidR="00012671" w:rsidRPr="00BF6615" w14:paraId="313D1E89" w14:textId="77777777" w:rsidTr="00BF7479">
        <w:trPr>
          <w:cnfStyle w:val="000000100000" w:firstRow="0" w:lastRow="0" w:firstColumn="0" w:lastColumn="0" w:oddVBand="0" w:evenVBand="0" w:oddHBand="1" w:evenHBand="0" w:firstRowFirstColumn="0" w:firstRowLastColumn="0" w:lastRowFirstColumn="0" w:lastRowLastColumn="0"/>
          <w:trHeight w:val="580"/>
        </w:trPr>
        <w:tc>
          <w:tcPr>
            <w:tcW w:w="5491" w:type="dxa"/>
            <w:hideMark/>
          </w:tcPr>
          <w:p w14:paraId="215AB708"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bez trudu nawigować/poruszać się po aplikacji</w:t>
            </w:r>
          </w:p>
        </w:tc>
        <w:tc>
          <w:tcPr>
            <w:tcW w:w="1022" w:type="dxa"/>
            <w:hideMark/>
          </w:tcPr>
          <w:p w14:paraId="302C7AEF"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4,26</w:t>
            </w:r>
          </w:p>
        </w:tc>
        <w:tc>
          <w:tcPr>
            <w:tcW w:w="1087" w:type="dxa"/>
            <w:hideMark/>
          </w:tcPr>
          <w:p w14:paraId="3574F22D"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4,29</w:t>
            </w:r>
          </w:p>
        </w:tc>
        <w:tc>
          <w:tcPr>
            <w:tcW w:w="1501" w:type="dxa"/>
            <w:hideMark/>
          </w:tcPr>
          <w:p w14:paraId="627B6989"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213" w:type="dxa"/>
            <w:hideMark/>
          </w:tcPr>
          <w:p w14:paraId="338C87A9"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4,32</w:t>
            </w:r>
          </w:p>
        </w:tc>
      </w:tr>
      <w:tr w:rsidR="00012671" w:rsidRPr="00BF6615" w14:paraId="56DCD120" w14:textId="77777777" w:rsidTr="00BF7479">
        <w:trPr>
          <w:cnfStyle w:val="000000010000" w:firstRow="0" w:lastRow="0" w:firstColumn="0" w:lastColumn="0" w:oddVBand="0" w:evenVBand="0" w:oddHBand="0" w:evenHBand="1" w:firstRowFirstColumn="0" w:firstRowLastColumn="0" w:lastRowFirstColumn="0" w:lastRowLastColumn="0"/>
          <w:trHeight w:val="290"/>
        </w:trPr>
        <w:tc>
          <w:tcPr>
            <w:tcW w:w="5491" w:type="dxa"/>
            <w:hideMark/>
          </w:tcPr>
          <w:p w14:paraId="10C933D5"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znaleźć potrzebne mi informacje</w:t>
            </w:r>
          </w:p>
        </w:tc>
        <w:tc>
          <w:tcPr>
            <w:tcW w:w="1022" w:type="dxa"/>
            <w:hideMark/>
          </w:tcPr>
          <w:p w14:paraId="11D61F7D"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4,04</w:t>
            </w:r>
          </w:p>
        </w:tc>
        <w:tc>
          <w:tcPr>
            <w:tcW w:w="1087" w:type="dxa"/>
            <w:hideMark/>
          </w:tcPr>
          <w:p w14:paraId="5E82BF39"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4,57</w:t>
            </w:r>
          </w:p>
        </w:tc>
        <w:tc>
          <w:tcPr>
            <w:tcW w:w="1501" w:type="dxa"/>
            <w:hideMark/>
          </w:tcPr>
          <w:p w14:paraId="58EECC1E"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4,40</w:t>
            </w:r>
          </w:p>
        </w:tc>
        <w:tc>
          <w:tcPr>
            <w:tcW w:w="1213" w:type="dxa"/>
            <w:hideMark/>
          </w:tcPr>
          <w:p w14:paraId="5C196FA4"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4,34</w:t>
            </w:r>
          </w:p>
        </w:tc>
      </w:tr>
      <w:tr w:rsidR="00012671" w:rsidRPr="00BF6615" w14:paraId="7668E4F4" w14:textId="77777777" w:rsidTr="00BF7479">
        <w:trPr>
          <w:cnfStyle w:val="000000100000" w:firstRow="0" w:lastRow="0" w:firstColumn="0" w:lastColumn="0" w:oddVBand="0" w:evenVBand="0" w:oddHBand="1" w:evenHBand="0" w:firstRowFirstColumn="0" w:firstRowLastColumn="0" w:lastRowFirstColumn="0" w:lastRowLastColumn="0"/>
          <w:trHeight w:val="290"/>
        </w:trPr>
        <w:tc>
          <w:tcPr>
            <w:tcW w:w="5491" w:type="dxa"/>
            <w:hideMark/>
          </w:tcPr>
          <w:p w14:paraId="704F9DB3"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szybko się ładuje</w:t>
            </w:r>
          </w:p>
        </w:tc>
        <w:tc>
          <w:tcPr>
            <w:tcW w:w="1022" w:type="dxa"/>
            <w:hideMark/>
          </w:tcPr>
          <w:p w14:paraId="3961DD81"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1087" w:type="dxa"/>
            <w:hideMark/>
          </w:tcPr>
          <w:p w14:paraId="7A7B72E7"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4,71</w:t>
            </w:r>
          </w:p>
        </w:tc>
        <w:tc>
          <w:tcPr>
            <w:tcW w:w="1501" w:type="dxa"/>
            <w:hideMark/>
          </w:tcPr>
          <w:p w14:paraId="6CF40E56"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4,47</w:t>
            </w:r>
          </w:p>
        </w:tc>
        <w:tc>
          <w:tcPr>
            <w:tcW w:w="1213" w:type="dxa"/>
            <w:hideMark/>
          </w:tcPr>
          <w:p w14:paraId="69D6F459"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4,51</w:t>
            </w:r>
          </w:p>
        </w:tc>
      </w:tr>
      <w:tr w:rsidR="00012671" w:rsidRPr="00BF6615" w14:paraId="72B951E0" w14:textId="77777777" w:rsidTr="00BF7479">
        <w:trPr>
          <w:cnfStyle w:val="000000010000" w:firstRow="0" w:lastRow="0" w:firstColumn="0" w:lastColumn="0" w:oddVBand="0" w:evenVBand="0" w:oddHBand="0" w:evenHBand="1" w:firstRowFirstColumn="0" w:firstRowLastColumn="0" w:lastRowFirstColumn="0" w:lastRowLastColumn="0"/>
          <w:trHeight w:val="290"/>
        </w:trPr>
        <w:tc>
          <w:tcPr>
            <w:tcW w:w="5491" w:type="dxa"/>
            <w:hideMark/>
          </w:tcPr>
          <w:p w14:paraId="312450B0"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ma czytelny układ treści</w:t>
            </w:r>
          </w:p>
        </w:tc>
        <w:tc>
          <w:tcPr>
            <w:tcW w:w="1022" w:type="dxa"/>
            <w:hideMark/>
          </w:tcPr>
          <w:p w14:paraId="59384714"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4,35</w:t>
            </w:r>
          </w:p>
        </w:tc>
        <w:tc>
          <w:tcPr>
            <w:tcW w:w="1087" w:type="dxa"/>
            <w:hideMark/>
          </w:tcPr>
          <w:p w14:paraId="5F0BAD9E"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4,86</w:t>
            </w:r>
          </w:p>
        </w:tc>
        <w:tc>
          <w:tcPr>
            <w:tcW w:w="1501" w:type="dxa"/>
            <w:hideMark/>
          </w:tcPr>
          <w:p w14:paraId="5E10810E"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4,43</w:t>
            </w:r>
          </w:p>
        </w:tc>
        <w:tc>
          <w:tcPr>
            <w:tcW w:w="1213" w:type="dxa"/>
            <w:hideMark/>
          </w:tcPr>
          <w:p w14:paraId="3A33DD30"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4,55</w:t>
            </w:r>
          </w:p>
        </w:tc>
      </w:tr>
      <w:tr w:rsidR="00012671" w:rsidRPr="00BF6615" w14:paraId="7BF29CF9" w14:textId="77777777" w:rsidTr="00BF7479">
        <w:trPr>
          <w:cnfStyle w:val="000000100000" w:firstRow="0" w:lastRow="0" w:firstColumn="0" w:lastColumn="0" w:oddVBand="0" w:evenVBand="0" w:oddHBand="1" w:evenHBand="0" w:firstRowFirstColumn="0" w:firstRowLastColumn="0" w:lastRowFirstColumn="0" w:lastRowLastColumn="0"/>
          <w:trHeight w:val="580"/>
        </w:trPr>
        <w:tc>
          <w:tcPr>
            <w:tcW w:w="5491" w:type="dxa"/>
            <w:hideMark/>
          </w:tcPr>
          <w:p w14:paraId="4A86FD9A"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Czcionki i kolory w aplikacji są dla mnie przyjazne</w:t>
            </w:r>
          </w:p>
        </w:tc>
        <w:tc>
          <w:tcPr>
            <w:tcW w:w="1022" w:type="dxa"/>
            <w:hideMark/>
          </w:tcPr>
          <w:p w14:paraId="37BBE745"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4,41</w:t>
            </w:r>
          </w:p>
        </w:tc>
        <w:tc>
          <w:tcPr>
            <w:tcW w:w="1087" w:type="dxa"/>
            <w:hideMark/>
          </w:tcPr>
          <w:p w14:paraId="3EA4123D"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4,86</w:t>
            </w:r>
          </w:p>
        </w:tc>
        <w:tc>
          <w:tcPr>
            <w:tcW w:w="1501" w:type="dxa"/>
            <w:hideMark/>
          </w:tcPr>
          <w:p w14:paraId="375C95A3"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4,53</w:t>
            </w:r>
          </w:p>
        </w:tc>
        <w:tc>
          <w:tcPr>
            <w:tcW w:w="1213" w:type="dxa"/>
            <w:hideMark/>
          </w:tcPr>
          <w:p w14:paraId="75E56222"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4,60</w:t>
            </w:r>
          </w:p>
        </w:tc>
      </w:tr>
      <w:tr w:rsidR="00012671" w:rsidRPr="00BF6615" w14:paraId="3B0EC5E8" w14:textId="77777777" w:rsidTr="00BF7479">
        <w:trPr>
          <w:cnfStyle w:val="000000010000" w:firstRow="0" w:lastRow="0" w:firstColumn="0" w:lastColumn="0" w:oddVBand="0" w:evenVBand="0" w:oddHBand="0" w:evenHBand="1" w:firstRowFirstColumn="0" w:firstRowLastColumn="0" w:lastRowFirstColumn="0" w:lastRowLastColumn="0"/>
          <w:trHeight w:val="580"/>
        </w:trPr>
        <w:tc>
          <w:tcPr>
            <w:tcW w:w="5491" w:type="dxa"/>
            <w:hideMark/>
          </w:tcPr>
          <w:p w14:paraId="257CE895"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jest dla mnie dostępna cyfrowo</w:t>
            </w:r>
          </w:p>
        </w:tc>
        <w:tc>
          <w:tcPr>
            <w:tcW w:w="1022" w:type="dxa"/>
            <w:hideMark/>
          </w:tcPr>
          <w:p w14:paraId="43F353CD"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087" w:type="dxa"/>
            <w:hideMark/>
          </w:tcPr>
          <w:p w14:paraId="68E2B7BC"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4,83</w:t>
            </w:r>
          </w:p>
        </w:tc>
        <w:tc>
          <w:tcPr>
            <w:tcW w:w="1501" w:type="dxa"/>
            <w:hideMark/>
          </w:tcPr>
          <w:p w14:paraId="5CAFA673"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213" w:type="dxa"/>
            <w:hideMark/>
          </w:tcPr>
          <w:p w14:paraId="59916CFB"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4,57</w:t>
            </w:r>
          </w:p>
        </w:tc>
      </w:tr>
      <w:tr w:rsidR="00012671" w:rsidRPr="00BF6615" w14:paraId="54428AC1" w14:textId="77777777" w:rsidTr="00BF7479">
        <w:trPr>
          <w:cnfStyle w:val="000000100000" w:firstRow="0" w:lastRow="0" w:firstColumn="0" w:lastColumn="0" w:oddVBand="0" w:evenVBand="0" w:oddHBand="1" w:evenHBand="0" w:firstRowFirstColumn="0" w:firstRowLastColumn="0" w:lastRowFirstColumn="0" w:lastRowLastColumn="0"/>
          <w:trHeight w:val="580"/>
        </w:trPr>
        <w:tc>
          <w:tcPr>
            <w:tcW w:w="5491" w:type="dxa"/>
            <w:hideMark/>
          </w:tcPr>
          <w:p w14:paraId="40CB1E43" w14:textId="77777777" w:rsidR="00BF7479" w:rsidRPr="00BF6615" w:rsidRDefault="00BF7479" w:rsidP="007E26B5">
            <w:pPr>
              <w:spacing w:after="0" w:line="240" w:lineRule="auto"/>
              <w:rPr>
                <w:rFonts w:ascii="Calibri" w:eastAsia="Times New Roman" w:hAnsi="Calibri" w:cs="Calibri"/>
                <w:color w:val="000000"/>
                <w:sz w:val="22"/>
                <w:lang w:eastAsia="pl-PL"/>
              </w:rPr>
            </w:pPr>
            <w:proofErr w:type="spellStart"/>
            <w:r w:rsidRPr="00BF6615">
              <w:rPr>
                <w:rFonts w:ascii="Calibri" w:eastAsia="Times New Roman" w:hAnsi="Calibri" w:cs="Calibri"/>
                <w:color w:val="000000"/>
                <w:sz w:val="22"/>
                <w:lang w:eastAsia="pl-PL"/>
              </w:rPr>
              <w:t>Responsywność</w:t>
            </w:r>
            <w:proofErr w:type="spellEnd"/>
            <w:r w:rsidRPr="00BF6615">
              <w:rPr>
                <w:rFonts w:ascii="Calibri" w:eastAsia="Times New Roman" w:hAnsi="Calibri" w:cs="Calibri"/>
                <w:color w:val="000000"/>
                <w:sz w:val="22"/>
                <w:lang w:eastAsia="pl-PL"/>
              </w:rPr>
              <w:t xml:space="preserve"> aplikacji jest odpowiednia</w:t>
            </w:r>
          </w:p>
        </w:tc>
        <w:tc>
          <w:tcPr>
            <w:tcW w:w="1022" w:type="dxa"/>
            <w:hideMark/>
          </w:tcPr>
          <w:p w14:paraId="4B54C708"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4,23</w:t>
            </w:r>
          </w:p>
        </w:tc>
        <w:tc>
          <w:tcPr>
            <w:tcW w:w="1087" w:type="dxa"/>
            <w:hideMark/>
          </w:tcPr>
          <w:p w14:paraId="0E645DD1"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4,83</w:t>
            </w:r>
          </w:p>
        </w:tc>
        <w:tc>
          <w:tcPr>
            <w:tcW w:w="1501" w:type="dxa"/>
            <w:hideMark/>
          </w:tcPr>
          <w:p w14:paraId="3B6FE195"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213" w:type="dxa"/>
            <w:hideMark/>
          </w:tcPr>
          <w:p w14:paraId="4E2DF5FB"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4,52</w:t>
            </w:r>
          </w:p>
        </w:tc>
      </w:tr>
      <w:tr w:rsidR="00012671" w:rsidRPr="00BF6615" w14:paraId="19C41B3B" w14:textId="77777777" w:rsidTr="00BF7479">
        <w:trPr>
          <w:cnfStyle w:val="000000010000" w:firstRow="0" w:lastRow="0" w:firstColumn="0" w:lastColumn="0" w:oddVBand="0" w:evenVBand="0" w:oddHBand="0" w:evenHBand="1" w:firstRowFirstColumn="0" w:firstRowLastColumn="0" w:lastRowFirstColumn="0" w:lastRowLastColumn="0"/>
          <w:trHeight w:val="580"/>
        </w:trPr>
        <w:tc>
          <w:tcPr>
            <w:tcW w:w="5491" w:type="dxa"/>
            <w:hideMark/>
          </w:tcPr>
          <w:p w14:paraId="17D1EF86"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skontaktować się z obsługa klienta/pomocą</w:t>
            </w:r>
          </w:p>
        </w:tc>
        <w:tc>
          <w:tcPr>
            <w:tcW w:w="1022" w:type="dxa"/>
            <w:hideMark/>
          </w:tcPr>
          <w:p w14:paraId="6BDEA040"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4,10</w:t>
            </w:r>
          </w:p>
        </w:tc>
        <w:tc>
          <w:tcPr>
            <w:tcW w:w="1087" w:type="dxa"/>
            <w:hideMark/>
          </w:tcPr>
          <w:p w14:paraId="56B69668"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501" w:type="dxa"/>
            <w:hideMark/>
          </w:tcPr>
          <w:p w14:paraId="35B507FF"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4,16</w:t>
            </w:r>
          </w:p>
        </w:tc>
        <w:tc>
          <w:tcPr>
            <w:tcW w:w="1213" w:type="dxa"/>
            <w:hideMark/>
          </w:tcPr>
          <w:p w14:paraId="7D0090E8"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4,28</w:t>
            </w:r>
          </w:p>
        </w:tc>
      </w:tr>
      <w:tr w:rsidR="00012671" w:rsidRPr="00BF6615" w14:paraId="02BB992B" w14:textId="77777777" w:rsidTr="00BF7479">
        <w:trPr>
          <w:cnfStyle w:val="000000100000" w:firstRow="0" w:lastRow="0" w:firstColumn="0" w:lastColumn="0" w:oddVBand="0" w:evenVBand="0" w:oddHBand="1" w:evenHBand="0" w:firstRowFirstColumn="0" w:firstRowLastColumn="0" w:lastRowFirstColumn="0" w:lastRowLastColumn="0"/>
          <w:trHeight w:val="1160"/>
        </w:trPr>
        <w:tc>
          <w:tcPr>
            <w:tcW w:w="5491" w:type="dxa"/>
            <w:hideMark/>
          </w:tcPr>
          <w:p w14:paraId="13555F28"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Mogę w łatwy sposób skontaktować się z podmiotem publicznym, również z wykorzystaniem alternatywnych form kontaktu</w:t>
            </w:r>
          </w:p>
        </w:tc>
        <w:tc>
          <w:tcPr>
            <w:tcW w:w="1022" w:type="dxa"/>
            <w:hideMark/>
          </w:tcPr>
          <w:p w14:paraId="4D304843"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4,15</w:t>
            </w:r>
          </w:p>
        </w:tc>
        <w:tc>
          <w:tcPr>
            <w:tcW w:w="1087" w:type="dxa"/>
            <w:hideMark/>
          </w:tcPr>
          <w:p w14:paraId="50511E29"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4,60</w:t>
            </w:r>
          </w:p>
        </w:tc>
        <w:tc>
          <w:tcPr>
            <w:tcW w:w="1501" w:type="dxa"/>
            <w:hideMark/>
          </w:tcPr>
          <w:p w14:paraId="52FEF358"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4,11</w:t>
            </w:r>
          </w:p>
        </w:tc>
        <w:tc>
          <w:tcPr>
            <w:tcW w:w="1213" w:type="dxa"/>
            <w:hideMark/>
          </w:tcPr>
          <w:p w14:paraId="19CA58C1"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4,29</w:t>
            </w:r>
          </w:p>
        </w:tc>
      </w:tr>
      <w:tr w:rsidR="00B51038" w:rsidRPr="00BF6615" w14:paraId="0146C7B1" w14:textId="77777777" w:rsidTr="009F7879">
        <w:trPr>
          <w:cnfStyle w:val="000000010000" w:firstRow="0" w:lastRow="0" w:firstColumn="0" w:lastColumn="0" w:oddVBand="0" w:evenVBand="0" w:oddHBand="0" w:evenHBand="1" w:firstRowFirstColumn="0" w:firstRowLastColumn="0" w:lastRowFirstColumn="0" w:lastRowLastColumn="0"/>
          <w:trHeight w:val="812"/>
        </w:trPr>
        <w:tc>
          <w:tcPr>
            <w:tcW w:w="5491" w:type="dxa"/>
            <w:hideMark/>
          </w:tcPr>
          <w:p w14:paraId="71EFAACF"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Wszystkie elementy aplikacji mobilnej mogę obsłużyć za pomocą klawiatury zewnętrznej</w:t>
            </w:r>
          </w:p>
        </w:tc>
        <w:tc>
          <w:tcPr>
            <w:tcW w:w="1022" w:type="dxa"/>
            <w:hideMark/>
          </w:tcPr>
          <w:p w14:paraId="1278BD24"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4,10</w:t>
            </w:r>
          </w:p>
        </w:tc>
        <w:tc>
          <w:tcPr>
            <w:tcW w:w="1087" w:type="dxa"/>
            <w:hideMark/>
          </w:tcPr>
          <w:p w14:paraId="3CFCD4E3"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501" w:type="dxa"/>
            <w:hideMark/>
          </w:tcPr>
          <w:p w14:paraId="4A7FD4E4"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4,38</w:t>
            </w:r>
          </w:p>
        </w:tc>
        <w:tc>
          <w:tcPr>
            <w:tcW w:w="1213" w:type="dxa"/>
            <w:hideMark/>
          </w:tcPr>
          <w:p w14:paraId="25171329"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4,24</w:t>
            </w:r>
          </w:p>
        </w:tc>
      </w:tr>
      <w:tr w:rsidR="00B51038" w:rsidRPr="00BF6615" w14:paraId="7FD3E0DA" w14:textId="77777777" w:rsidTr="009F7879">
        <w:trPr>
          <w:cnfStyle w:val="000000100000" w:firstRow="0" w:lastRow="0" w:firstColumn="0" w:lastColumn="0" w:oddVBand="0" w:evenVBand="0" w:oddHBand="1" w:evenHBand="0" w:firstRowFirstColumn="0" w:firstRowLastColumn="0" w:lastRowFirstColumn="0" w:lastRowLastColumn="0"/>
          <w:trHeight w:val="780"/>
        </w:trPr>
        <w:tc>
          <w:tcPr>
            <w:tcW w:w="5491" w:type="dxa"/>
            <w:hideMark/>
          </w:tcPr>
          <w:p w14:paraId="136782D5"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Materiały multimedialne oraz grafiki są dla mnie zrozumiałe (filmy posiadają audiodeskrypcję oraz napisy rozszerzone)</w:t>
            </w:r>
          </w:p>
        </w:tc>
        <w:tc>
          <w:tcPr>
            <w:tcW w:w="1022" w:type="dxa"/>
            <w:hideMark/>
          </w:tcPr>
          <w:p w14:paraId="0512DB55"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087" w:type="dxa"/>
            <w:hideMark/>
          </w:tcPr>
          <w:p w14:paraId="3F750277"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501" w:type="dxa"/>
            <w:hideMark/>
          </w:tcPr>
          <w:p w14:paraId="06EC625E"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4,19</w:t>
            </w:r>
          </w:p>
        </w:tc>
        <w:tc>
          <w:tcPr>
            <w:tcW w:w="1213" w:type="dxa"/>
            <w:hideMark/>
          </w:tcPr>
          <w:p w14:paraId="358664C0"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4,13</w:t>
            </w:r>
          </w:p>
        </w:tc>
      </w:tr>
      <w:tr w:rsidR="00B51038" w:rsidRPr="00BF6615" w14:paraId="0FEC2B95" w14:textId="77777777" w:rsidTr="009F7879">
        <w:trPr>
          <w:cnfStyle w:val="000000010000" w:firstRow="0" w:lastRow="0" w:firstColumn="0" w:lastColumn="0" w:oddVBand="0" w:evenVBand="0" w:oddHBand="0" w:evenHBand="1" w:firstRowFirstColumn="0" w:firstRowLastColumn="0" w:lastRowFirstColumn="0" w:lastRowLastColumn="0"/>
          <w:trHeight w:val="975"/>
        </w:trPr>
        <w:tc>
          <w:tcPr>
            <w:tcW w:w="5491" w:type="dxa"/>
            <w:hideMark/>
          </w:tcPr>
          <w:p w14:paraId="7E6619DB"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Niezależnie od wykonywanych czynności otrzymuję informację zwrotną, również o błędach w sposób dostępny cyfrowo</w:t>
            </w:r>
          </w:p>
        </w:tc>
        <w:tc>
          <w:tcPr>
            <w:tcW w:w="1022" w:type="dxa"/>
            <w:hideMark/>
          </w:tcPr>
          <w:p w14:paraId="2DFAE0C5"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087" w:type="dxa"/>
            <w:hideMark/>
          </w:tcPr>
          <w:p w14:paraId="0C8DA2F0"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4,50</w:t>
            </w:r>
          </w:p>
        </w:tc>
        <w:tc>
          <w:tcPr>
            <w:tcW w:w="1501" w:type="dxa"/>
            <w:hideMark/>
          </w:tcPr>
          <w:p w14:paraId="30B07B99"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4,14</w:t>
            </w:r>
          </w:p>
        </w:tc>
        <w:tc>
          <w:tcPr>
            <w:tcW w:w="1213" w:type="dxa"/>
            <w:hideMark/>
          </w:tcPr>
          <w:p w14:paraId="7D826F13"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4,21</w:t>
            </w:r>
          </w:p>
        </w:tc>
      </w:tr>
      <w:tr w:rsidR="00B51038" w:rsidRPr="00BF6615" w14:paraId="34C7A635" w14:textId="77777777" w:rsidTr="009F7879">
        <w:trPr>
          <w:cnfStyle w:val="000000100000" w:firstRow="0" w:lastRow="0" w:firstColumn="0" w:lastColumn="0" w:oddVBand="0" w:evenVBand="0" w:oddHBand="1" w:evenHBand="0" w:firstRowFirstColumn="0" w:firstRowLastColumn="0" w:lastRowFirstColumn="0" w:lastRowLastColumn="0"/>
          <w:trHeight w:val="706"/>
        </w:trPr>
        <w:tc>
          <w:tcPr>
            <w:tcW w:w="5491" w:type="dxa"/>
            <w:hideMark/>
          </w:tcPr>
          <w:p w14:paraId="7250BA62"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Treści wyświetlane na ekranie są czytelne zarówno w widoku poziomym jak i pionowym</w:t>
            </w:r>
          </w:p>
        </w:tc>
        <w:tc>
          <w:tcPr>
            <w:tcW w:w="1022" w:type="dxa"/>
            <w:hideMark/>
          </w:tcPr>
          <w:p w14:paraId="1E0B37D7"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4,00</w:t>
            </w:r>
          </w:p>
        </w:tc>
        <w:tc>
          <w:tcPr>
            <w:tcW w:w="1087" w:type="dxa"/>
            <w:hideMark/>
          </w:tcPr>
          <w:p w14:paraId="2F69FEDC"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501" w:type="dxa"/>
            <w:hideMark/>
          </w:tcPr>
          <w:p w14:paraId="106309E7"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4,37</w:t>
            </w:r>
          </w:p>
        </w:tc>
        <w:tc>
          <w:tcPr>
            <w:tcW w:w="1213" w:type="dxa"/>
            <w:hideMark/>
          </w:tcPr>
          <w:p w14:paraId="427F9D70"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4,35</w:t>
            </w:r>
          </w:p>
        </w:tc>
      </w:tr>
      <w:tr w:rsidR="00B51038" w:rsidRPr="00BF6615" w14:paraId="1D122D77" w14:textId="77777777" w:rsidTr="009F7879">
        <w:trPr>
          <w:cnfStyle w:val="000000010000" w:firstRow="0" w:lastRow="0" w:firstColumn="0" w:lastColumn="0" w:oddVBand="0" w:evenVBand="0" w:oddHBand="0" w:evenHBand="1" w:firstRowFirstColumn="0" w:firstRowLastColumn="0" w:lastRowFirstColumn="0" w:lastRowLastColumn="0"/>
          <w:trHeight w:val="418"/>
        </w:trPr>
        <w:tc>
          <w:tcPr>
            <w:tcW w:w="5491" w:type="dxa"/>
            <w:hideMark/>
          </w:tcPr>
          <w:p w14:paraId="6A4014E5"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tłumaczenia na Polski język migowy (PJM)</w:t>
            </w:r>
          </w:p>
        </w:tc>
        <w:tc>
          <w:tcPr>
            <w:tcW w:w="1022" w:type="dxa"/>
            <w:hideMark/>
          </w:tcPr>
          <w:p w14:paraId="376E86A2"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4,07</w:t>
            </w:r>
          </w:p>
        </w:tc>
        <w:tc>
          <w:tcPr>
            <w:tcW w:w="1087" w:type="dxa"/>
            <w:hideMark/>
          </w:tcPr>
          <w:p w14:paraId="262FCED8"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4,67</w:t>
            </w:r>
          </w:p>
        </w:tc>
        <w:tc>
          <w:tcPr>
            <w:tcW w:w="1501" w:type="dxa"/>
            <w:hideMark/>
          </w:tcPr>
          <w:p w14:paraId="131EEDB8"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3,88</w:t>
            </w:r>
          </w:p>
        </w:tc>
        <w:tc>
          <w:tcPr>
            <w:tcW w:w="1213" w:type="dxa"/>
            <w:hideMark/>
          </w:tcPr>
          <w:p w14:paraId="249256A1"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4,20</w:t>
            </w:r>
          </w:p>
        </w:tc>
      </w:tr>
      <w:tr w:rsidR="00012671" w:rsidRPr="00BF6615" w14:paraId="4D41F20D" w14:textId="77777777" w:rsidTr="00BF7479">
        <w:trPr>
          <w:cnfStyle w:val="000000100000" w:firstRow="0" w:lastRow="0" w:firstColumn="0" w:lastColumn="0" w:oddVBand="0" w:evenVBand="0" w:oddHBand="1" w:evenHBand="0" w:firstRowFirstColumn="0" w:firstRowLastColumn="0" w:lastRowFirstColumn="0" w:lastRowLastColumn="0"/>
          <w:trHeight w:val="580"/>
        </w:trPr>
        <w:tc>
          <w:tcPr>
            <w:tcW w:w="5491" w:type="dxa"/>
            <w:hideMark/>
          </w:tcPr>
          <w:p w14:paraId="5D66F2F0"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Aplikacja zawiera informacje w tekście łatwym do czytania i zrozumienia (ETR)</w:t>
            </w:r>
          </w:p>
        </w:tc>
        <w:tc>
          <w:tcPr>
            <w:tcW w:w="1022" w:type="dxa"/>
            <w:hideMark/>
          </w:tcPr>
          <w:p w14:paraId="5182D0AE"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4,25</w:t>
            </w:r>
          </w:p>
        </w:tc>
        <w:tc>
          <w:tcPr>
            <w:tcW w:w="1087" w:type="dxa"/>
            <w:hideMark/>
          </w:tcPr>
          <w:p w14:paraId="228C87D7"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5,00</w:t>
            </w:r>
          </w:p>
        </w:tc>
        <w:tc>
          <w:tcPr>
            <w:tcW w:w="1501" w:type="dxa"/>
            <w:hideMark/>
          </w:tcPr>
          <w:p w14:paraId="04441AC7" w14:textId="77777777" w:rsidR="00BF7479" w:rsidRPr="00BF6615" w:rsidRDefault="00BF7479" w:rsidP="007E26B5">
            <w:pPr>
              <w:spacing w:after="0" w:line="240" w:lineRule="auto"/>
              <w:rPr>
                <w:rFonts w:ascii="Calibri" w:eastAsia="Times New Roman" w:hAnsi="Calibri" w:cs="Calibri"/>
                <w:color w:val="000000"/>
                <w:sz w:val="22"/>
                <w:lang w:eastAsia="pl-PL"/>
              </w:rPr>
            </w:pPr>
            <w:r w:rsidRPr="00BF6615">
              <w:rPr>
                <w:rFonts w:ascii="Calibri" w:eastAsia="Times New Roman" w:hAnsi="Calibri" w:cs="Calibri"/>
                <w:color w:val="000000"/>
                <w:sz w:val="22"/>
                <w:lang w:eastAsia="pl-PL"/>
              </w:rPr>
              <w:t>4,46</w:t>
            </w:r>
          </w:p>
        </w:tc>
        <w:tc>
          <w:tcPr>
            <w:tcW w:w="1213" w:type="dxa"/>
            <w:hideMark/>
          </w:tcPr>
          <w:p w14:paraId="43C3E556"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4,57</w:t>
            </w:r>
          </w:p>
        </w:tc>
      </w:tr>
      <w:tr w:rsidR="00012671" w:rsidRPr="00BF6615" w14:paraId="3781C0E4" w14:textId="77777777" w:rsidTr="00BF7479">
        <w:trPr>
          <w:cnfStyle w:val="000000010000" w:firstRow="0" w:lastRow="0" w:firstColumn="0" w:lastColumn="0" w:oddVBand="0" w:evenVBand="0" w:oddHBand="0" w:evenHBand="1" w:firstRowFirstColumn="0" w:firstRowLastColumn="0" w:lastRowFirstColumn="0" w:lastRowLastColumn="0"/>
          <w:trHeight w:val="290"/>
        </w:trPr>
        <w:tc>
          <w:tcPr>
            <w:tcW w:w="5491" w:type="dxa"/>
            <w:hideMark/>
          </w:tcPr>
          <w:p w14:paraId="75EFC672"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Sumaryczna średnia ocen</w:t>
            </w:r>
          </w:p>
        </w:tc>
        <w:tc>
          <w:tcPr>
            <w:tcW w:w="1022" w:type="dxa"/>
            <w:hideMark/>
          </w:tcPr>
          <w:p w14:paraId="0A9CE892"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4,19</w:t>
            </w:r>
          </w:p>
        </w:tc>
        <w:tc>
          <w:tcPr>
            <w:tcW w:w="1087" w:type="dxa"/>
            <w:hideMark/>
          </w:tcPr>
          <w:p w14:paraId="4092E4E8"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4,62</w:t>
            </w:r>
          </w:p>
        </w:tc>
        <w:tc>
          <w:tcPr>
            <w:tcW w:w="1501" w:type="dxa"/>
            <w:hideMark/>
          </w:tcPr>
          <w:p w14:paraId="5E647724" w14:textId="7777777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4,33</w:t>
            </w:r>
          </w:p>
        </w:tc>
        <w:tc>
          <w:tcPr>
            <w:tcW w:w="1213" w:type="dxa"/>
            <w:hideMark/>
          </w:tcPr>
          <w:p w14:paraId="4F3B7845" w14:textId="443C5427" w:rsidR="00BF7479" w:rsidRPr="00BF6615" w:rsidRDefault="00BF7479" w:rsidP="007E26B5">
            <w:pPr>
              <w:spacing w:after="0" w:line="240" w:lineRule="auto"/>
              <w:rPr>
                <w:rFonts w:ascii="Calibri" w:eastAsia="Times New Roman" w:hAnsi="Calibri" w:cs="Calibri"/>
                <w:b/>
                <w:color w:val="000000"/>
                <w:sz w:val="22"/>
                <w:lang w:eastAsia="pl-PL"/>
              </w:rPr>
            </w:pPr>
            <w:r w:rsidRPr="00BF6615">
              <w:rPr>
                <w:rFonts w:ascii="Calibri" w:eastAsia="Times New Roman" w:hAnsi="Calibri" w:cs="Calibri"/>
                <w:b/>
                <w:color w:val="000000"/>
                <w:sz w:val="22"/>
                <w:lang w:eastAsia="pl-PL"/>
              </w:rPr>
              <w:t>- </w:t>
            </w:r>
          </w:p>
        </w:tc>
      </w:tr>
    </w:tbl>
    <w:p w14:paraId="3FDE3618" w14:textId="77777777" w:rsidR="007163F4" w:rsidRPr="00BF6615" w:rsidRDefault="007163F4" w:rsidP="007E26B5">
      <w:r w:rsidRPr="00BF6615">
        <w:t>Źródło: opracowanie własne.</w:t>
      </w:r>
    </w:p>
    <w:p w14:paraId="2A581183" w14:textId="3AD29639" w:rsidR="00A72C11" w:rsidRPr="00BF6615" w:rsidRDefault="00A72C11" w:rsidP="007E26B5">
      <w:r w:rsidRPr="00BF6615">
        <w:lastRenderedPageBreak/>
        <w:t>Zarówno strony, jak i aplikacje instytucji kultury zostały ocenione najwyżej</w:t>
      </w:r>
      <w:r w:rsidR="00B66481" w:rsidRPr="00BF6615">
        <w:t xml:space="preserve">, często wyraźnie wyżej niż pozostałe oceniane strony/aplikacje tematyczne. Wysokie oceny zarówno </w:t>
      </w:r>
      <w:r w:rsidR="008B0B0A" w:rsidRPr="00BF6615">
        <w:t>w</w:t>
      </w:r>
      <w:r w:rsidR="008B0B0A">
        <w:t> </w:t>
      </w:r>
      <w:r w:rsidR="00131E7D" w:rsidRPr="00BF6615">
        <w:t>odniesieniu</w:t>
      </w:r>
      <w:r w:rsidR="00B66481" w:rsidRPr="00BF6615">
        <w:t xml:space="preserve"> do stron i aplikacji otrzymały </w:t>
      </w:r>
      <w:r w:rsidR="00E65E6E" w:rsidRPr="00BF6615">
        <w:t>rządowe platformy cyfrowe</w:t>
      </w:r>
      <w:r w:rsidR="004906BC" w:rsidRPr="00BF6615">
        <w:t>.</w:t>
      </w:r>
      <w:r w:rsidR="00E65E6E" w:rsidRPr="00BF6615">
        <w:t xml:space="preserve"> </w:t>
      </w:r>
      <w:r w:rsidR="001E3AB2" w:rsidRPr="00BF6615">
        <w:t>Uwagę</w:t>
      </w:r>
      <w:r w:rsidR="00E65E6E" w:rsidRPr="00BF6615">
        <w:t xml:space="preserve"> zwraca niski wynik dla </w:t>
      </w:r>
      <w:r w:rsidR="006E09EE" w:rsidRPr="00BF6615">
        <w:t xml:space="preserve">kategorii </w:t>
      </w:r>
      <w:r w:rsidR="001E3AB2" w:rsidRPr="00BF6615">
        <w:t>dostępności</w:t>
      </w:r>
      <w:r w:rsidR="006E09EE" w:rsidRPr="00BF6615">
        <w:t xml:space="preserve"> tłumaczeń PJM we wszystkich badanych typach </w:t>
      </w:r>
      <w:r w:rsidR="001E3AB2" w:rsidRPr="00BF6615">
        <w:t>stron czy aplikacji.</w:t>
      </w:r>
    </w:p>
    <w:p w14:paraId="2677CF43" w14:textId="77777777" w:rsidR="007163F4" w:rsidRPr="00137936" w:rsidRDefault="007163F4" w:rsidP="00B271C3">
      <w:pPr>
        <w:pStyle w:val="Nagwek4"/>
        <w:rPr>
          <w:bCs/>
        </w:rPr>
      </w:pPr>
      <w:r w:rsidRPr="00137936">
        <w:rPr>
          <w:bCs/>
        </w:rPr>
        <w:t>Oczekiwania w stosunku do jakości stron podmiotów publicznych i aplikacji mobilnych</w:t>
      </w:r>
    </w:p>
    <w:p w14:paraId="5D56FE3A" w14:textId="405AEED3" w:rsidR="007163F4" w:rsidRPr="00BF6615" w:rsidRDefault="007163F4" w:rsidP="007E26B5">
      <w:r w:rsidRPr="00BF6615">
        <w:t>Wśród cech stron podmiotów publicznych, które są najważniejsze przy ocenie ich jakości dominowały te, które są ważne dla każdego użytkownika: treści napisane w sposób zrozumiały, przejrzystość informacji</w:t>
      </w:r>
      <w:r w:rsidR="00396606" w:rsidRPr="00BF6615">
        <w:t xml:space="preserve"> </w:t>
      </w:r>
      <w:r w:rsidR="00DF32A2" w:rsidRPr="00BF6615">
        <w:t>kolejno</w:t>
      </w:r>
      <w:r w:rsidR="00396606" w:rsidRPr="00BF6615">
        <w:t xml:space="preserve"> </w:t>
      </w:r>
      <w:r w:rsidR="00DF32A2" w:rsidRPr="00BF6615">
        <w:t>zrozumiałe ostrzeżenia o błędnym wypełnieniu formularzy oraz propozycje poprawy, możliwość łatwego kontaktu z urzędem czy logiczna struktura strony internetowej</w:t>
      </w:r>
      <w:r w:rsidRPr="00BF6615">
        <w:t>.</w:t>
      </w:r>
    </w:p>
    <w:p w14:paraId="08B91313" w14:textId="77777777" w:rsidR="007163F4" w:rsidRPr="00BF6615" w:rsidRDefault="007163F4" w:rsidP="007E26B5">
      <w:pPr>
        <w:spacing w:after="0" w:line="240" w:lineRule="auto"/>
        <w:rPr>
          <w:rFonts w:ascii="Aptos Narrow" w:eastAsia="Times New Roman" w:hAnsi="Aptos Narrow" w:cs="Times New Roman"/>
          <w:b/>
          <w:color w:val="FFFFFF" w:themeColor="background1"/>
          <w:sz w:val="22"/>
          <w:lang w:eastAsia="pl-PL"/>
        </w:rPr>
      </w:pPr>
    </w:p>
    <w:p w14:paraId="71BF71DD" w14:textId="77777777" w:rsidR="00064651" w:rsidRPr="00BF6615" w:rsidRDefault="00064651" w:rsidP="007E26B5">
      <w:pPr>
        <w:pStyle w:val="Legenda"/>
        <w:sectPr w:rsidR="00064651" w:rsidRPr="00BF6615" w:rsidSect="007163F4">
          <w:pgSz w:w="12240" w:h="15840"/>
          <w:pgMar w:top="1440" w:right="1440" w:bottom="1440" w:left="1440" w:header="708" w:footer="708" w:gutter="0"/>
          <w:cols w:space="708"/>
          <w:titlePg/>
          <w:docGrid w:linePitch="360"/>
        </w:sectPr>
      </w:pPr>
    </w:p>
    <w:p w14:paraId="4214A365" w14:textId="422E2093" w:rsidR="00A357D2" w:rsidRPr="00BF6615" w:rsidRDefault="00A357D2" w:rsidP="007E26B5">
      <w:pPr>
        <w:pStyle w:val="Legenda"/>
      </w:pPr>
      <w:bookmarkStart w:id="292" w:name="_Toc204179145"/>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47</w:t>
      </w:r>
      <w:r w:rsidRPr="00BF6615">
        <w:fldChar w:fldCharType="end"/>
      </w:r>
      <w:r w:rsidR="00FD0843">
        <w:t>.</w:t>
      </w:r>
      <w:r w:rsidRPr="00BF6615">
        <w:t xml:space="preserve"> Oczekiwania w stosunku do stron podmiotów publicznych wg kryterium ważności w grupie </w:t>
      </w:r>
      <w:r w:rsidR="00064651" w:rsidRPr="00BF6615">
        <w:t>osoby 60+</w:t>
      </w:r>
      <w:bookmarkEnd w:id="292"/>
    </w:p>
    <w:tbl>
      <w:tblPr>
        <w:tblStyle w:val="PARP"/>
        <w:tblW w:w="15059" w:type="dxa"/>
        <w:tblInd w:w="-856" w:type="dxa"/>
        <w:tblLook w:val="04A0" w:firstRow="1" w:lastRow="0" w:firstColumn="1" w:lastColumn="0" w:noHBand="0" w:noVBand="1"/>
        <w:tblCaption w:val="Oczekiwania w stosunku do stron podmiotów publicznych wg kryterium ważności w grupie osoby 60+"/>
        <w:tblDescription w:val="Oczekiwania w stosunku do stron podmiotów publicznych wg kryterium ważności w grupie osoby 60+"/>
      </w:tblPr>
      <w:tblGrid>
        <w:gridCol w:w="1066"/>
        <w:gridCol w:w="1502"/>
        <w:gridCol w:w="1286"/>
        <w:gridCol w:w="1095"/>
        <w:gridCol w:w="1307"/>
        <w:gridCol w:w="1333"/>
        <w:gridCol w:w="1223"/>
        <w:gridCol w:w="1072"/>
        <w:gridCol w:w="1290"/>
        <w:gridCol w:w="1413"/>
        <w:gridCol w:w="1253"/>
        <w:gridCol w:w="1219"/>
      </w:tblGrid>
      <w:tr w:rsidR="00BA771C" w:rsidRPr="00BF6615" w14:paraId="0973DBD4" w14:textId="77777777" w:rsidTr="00064651">
        <w:trPr>
          <w:cnfStyle w:val="100000000000" w:firstRow="1" w:lastRow="0" w:firstColumn="0" w:lastColumn="0" w:oddVBand="0" w:evenVBand="0" w:oddHBand="0" w:evenHBand="0" w:firstRowFirstColumn="0" w:firstRowLastColumn="0" w:lastRowFirstColumn="0" w:lastRowLastColumn="0"/>
          <w:trHeight w:val="3480"/>
        </w:trPr>
        <w:tc>
          <w:tcPr>
            <w:tcW w:w="1066" w:type="dxa"/>
            <w:hideMark/>
          </w:tcPr>
          <w:p w14:paraId="2B0CF867" w14:textId="77777777" w:rsidR="007163F4" w:rsidRPr="00BF6615" w:rsidRDefault="007163F4" w:rsidP="007E26B5">
            <w:pPr>
              <w:rPr>
                <w:rFonts w:ascii="Times New Roman" w:hAnsi="Times New Roman"/>
                <w:sz w:val="22"/>
                <w:lang w:eastAsia="pl-PL"/>
              </w:rPr>
            </w:pPr>
            <w:r w:rsidRPr="00BF6615">
              <w:rPr>
                <w:sz w:val="22"/>
                <w:lang w:eastAsia="pl-PL"/>
              </w:rPr>
              <w:t>Ocena</w:t>
            </w:r>
          </w:p>
        </w:tc>
        <w:tc>
          <w:tcPr>
            <w:tcW w:w="1502" w:type="dxa"/>
            <w:hideMark/>
          </w:tcPr>
          <w:p w14:paraId="2BA24BFB" w14:textId="77777777" w:rsidR="007163F4" w:rsidRPr="00BF6615" w:rsidRDefault="007163F4" w:rsidP="007E26B5">
            <w:pPr>
              <w:rPr>
                <w:sz w:val="22"/>
                <w:lang w:eastAsia="pl-PL"/>
              </w:rPr>
            </w:pPr>
            <w:r w:rsidRPr="00BF6615">
              <w:rPr>
                <w:sz w:val="22"/>
                <w:lang w:eastAsia="pl-PL"/>
              </w:rPr>
              <w:t>Łatwość przeglądania poszczególnych podstron</w:t>
            </w:r>
          </w:p>
        </w:tc>
        <w:tc>
          <w:tcPr>
            <w:tcW w:w="1286" w:type="dxa"/>
            <w:hideMark/>
          </w:tcPr>
          <w:p w14:paraId="0C499761" w14:textId="77777777" w:rsidR="007163F4" w:rsidRPr="00BF6615" w:rsidRDefault="007163F4" w:rsidP="007E26B5">
            <w:pPr>
              <w:rPr>
                <w:sz w:val="22"/>
                <w:lang w:eastAsia="pl-PL"/>
              </w:rPr>
            </w:pPr>
            <w:r w:rsidRPr="00BF6615">
              <w:rPr>
                <w:sz w:val="22"/>
                <w:lang w:eastAsia="pl-PL"/>
              </w:rPr>
              <w:t>Przejrzystość informacji</w:t>
            </w:r>
          </w:p>
        </w:tc>
        <w:tc>
          <w:tcPr>
            <w:tcW w:w="1095" w:type="dxa"/>
            <w:hideMark/>
          </w:tcPr>
          <w:p w14:paraId="7E412ABE" w14:textId="77777777" w:rsidR="007163F4" w:rsidRPr="00BF6615" w:rsidRDefault="007163F4" w:rsidP="007E26B5">
            <w:pPr>
              <w:rPr>
                <w:sz w:val="22"/>
                <w:lang w:eastAsia="pl-PL"/>
              </w:rPr>
            </w:pPr>
            <w:r w:rsidRPr="00BF6615">
              <w:rPr>
                <w:sz w:val="22"/>
                <w:lang w:eastAsia="pl-PL"/>
              </w:rPr>
              <w:t>Treści napisane w sposób zrozumiały</w:t>
            </w:r>
          </w:p>
        </w:tc>
        <w:tc>
          <w:tcPr>
            <w:tcW w:w="1307" w:type="dxa"/>
            <w:hideMark/>
          </w:tcPr>
          <w:p w14:paraId="2511B84E" w14:textId="77777777" w:rsidR="007163F4" w:rsidRPr="00BF6615" w:rsidRDefault="007163F4" w:rsidP="007E26B5">
            <w:pPr>
              <w:rPr>
                <w:sz w:val="22"/>
                <w:lang w:eastAsia="pl-PL"/>
              </w:rPr>
            </w:pPr>
            <w:r w:rsidRPr="00BF6615">
              <w:rPr>
                <w:sz w:val="22"/>
                <w:lang w:eastAsia="pl-PL"/>
              </w:rPr>
              <w:t>Dostępność na różnych urządzeniach</w:t>
            </w:r>
          </w:p>
        </w:tc>
        <w:tc>
          <w:tcPr>
            <w:tcW w:w="1333" w:type="dxa"/>
            <w:hideMark/>
          </w:tcPr>
          <w:p w14:paraId="33D856C9" w14:textId="77777777" w:rsidR="007163F4" w:rsidRPr="00BF6615" w:rsidRDefault="007163F4" w:rsidP="007E26B5">
            <w:pPr>
              <w:rPr>
                <w:sz w:val="22"/>
                <w:lang w:eastAsia="pl-PL"/>
              </w:rPr>
            </w:pPr>
            <w:r w:rsidRPr="00BF6615">
              <w:rPr>
                <w:sz w:val="22"/>
                <w:lang w:eastAsia="pl-PL"/>
              </w:rPr>
              <w:t>Ułatwienia dostępności (np. możliwość powiększenia tekstu, zmiany kolorów, itp.)</w:t>
            </w:r>
          </w:p>
        </w:tc>
        <w:tc>
          <w:tcPr>
            <w:tcW w:w="1223" w:type="dxa"/>
            <w:hideMark/>
          </w:tcPr>
          <w:p w14:paraId="0D863DAE" w14:textId="77777777" w:rsidR="007163F4" w:rsidRPr="00BF6615" w:rsidRDefault="007163F4" w:rsidP="007E26B5">
            <w:pPr>
              <w:rPr>
                <w:sz w:val="22"/>
                <w:lang w:eastAsia="pl-PL"/>
              </w:rPr>
            </w:pPr>
            <w:r w:rsidRPr="00BF6615">
              <w:rPr>
                <w:sz w:val="22"/>
                <w:lang w:eastAsia="pl-PL"/>
              </w:rPr>
              <w:t>Zrozumiałe ostrzeżenia o błędnym wypełnieniu formularzy oraz propozycje poprawy</w:t>
            </w:r>
          </w:p>
        </w:tc>
        <w:tc>
          <w:tcPr>
            <w:tcW w:w="1072" w:type="dxa"/>
            <w:hideMark/>
          </w:tcPr>
          <w:p w14:paraId="71F8FBD3" w14:textId="77777777" w:rsidR="007163F4" w:rsidRPr="00BF6615" w:rsidRDefault="007163F4" w:rsidP="007E26B5">
            <w:pPr>
              <w:rPr>
                <w:sz w:val="22"/>
                <w:lang w:eastAsia="pl-PL"/>
              </w:rPr>
            </w:pPr>
            <w:r w:rsidRPr="00BF6615">
              <w:rPr>
                <w:sz w:val="22"/>
                <w:lang w:eastAsia="pl-PL"/>
              </w:rPr>
              <w:t>Możliwość łatwego kontaktu z urzędem</w:t>
            </w:r>
          </w:p>
        </w:tc>
        <w:tc>
          <w:tcPr>
            <w:tcW w:w="1290" w:type="dxa"/>
            <w:hideMark/>
          </w:tcPr>
          <w:p w14:paraId="77E1AFA8" w14:textId="77777777" w:rsidR="007163F4" w:rsidRPr="00BF6615" w:rsidRDefault="007163F4" w:rsidP="007E26B5">
            <w:pPr>
              <w:rPr>
                <w:sz w:val="22"/>
                <w:lang w:eastAsia="pl-PL"/>
              </w:rPr>
            </w:pPr>
            <w:r w:rsidRPr="00BF6615">
              <w:rPr>
                <w:sz w:val="22"/>
                <w:lang w:eastAsia="pl-PL"/>
              </w:rPr>
              <w:t>Logiczna struktura strony internetowej</w:t>
            </w:r>
          </w:p>
        </w:tc>
        <w:tc>
          <w:tcPr>
            <w:tcW w:w="1413" w:type="dxa"/>
            <w:hideMark/>
          </w:tcPr>
          <w:p w14:paraId="281CB05A" w14:textId="77777777" w:rsidR="007163F4" w:rsidRPr="00BF6615" w:rsidRDefault="007163F4" w:rsidP="007E26B5">
            <w:pPr>
              <w:rPr>
                <w:sz w:val="22"/>
                <w:lang w:eastAsia="pl-PL"/>
              </w:rPr>
            </w:pPr>
            <w:r w:rsidRPr="00BF6615">
              <w:rPr>
                <w:sz w:val="22"/>
                <w:lang w:eastAsia="pl-PL"/>
              </w:rPr>
              <w:t>Zrozumiałe materiały multimedialne i graficzne</w:t>
            </w:r>
          </w:p>
        </w:tc>
        <w:tc>
          <w:tcPr>
            <w:tcW w:w="1253" w:type="dxa"/>
            <w:hideMark/>
          </w:tcPr>
          <w:p w14:paraId="6FA62AF5" w14:textId="77777777" w:rsidR="007163F4" w:rsidRPr="00BF6615" w:rsidRDefault="007163F4" w:rsidP="007E26B5">
            <w:pPr>
              <w:rPr>
                <w:sz w:val="22"/>
                <w:lang w:eastAsia="pl-PL"/>
              </w:rPr>
            </w:pPr>
            <w:r w:rsidRPr="00BF6615">
              <w:rPr>
                <w:sz w:val="22"/>
                <w:lang w:eastAsia="pl-PL"/>
              </w:rPr>
              <w:t>Tłumaczenie treści na Polski język migowy (PJM)</w:t>
            </w:r>
          </w:p>
        </w:tc>
        <w:tc>
          <w:tcPr>
            <w:tcW w:w="1219" w:type="dxa"/>
            <w:hideMark/>
          </w:tcPr>
          <w:p w14:paraId="54CAF708" w14:textId="77777777" w:rsidR="007163F4" w:rsidRPr="00BF6615" w:rsidRDefault="007163F4" w:rsidP="007E26B5">
            <w:pPr>
              <w:rPr>
                <w:sz w:val="22"/>
                <w:lang w:eastAsia="pl-PL"/>
              </w:rPr>
            </w:pPr>
            <w:r w:rsidRPr="00BF6615">
              <w:rPr>
                <w:sz w:val="22"/>
                <w:lang w:eastAsia="pl-PL"/>
              </w:rPr>
              <w:t>Informacje w tekście łatwym do czytania i zrozumienia (ETR)</w:t>
            </w:r>
          </w:p>
        </w:tc>
      </w:tr>
      <w:tr w:rsidR="00BA771C" w:rsidRPr="00BF6615" w14:paraId="0D8EE6B4" w14:textId="77777777" w:rsidTr="00064651">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3CC51966" w14:textId="77777777" w:rsidR="007163F4" w:rsidRPr="00BF6615" w:rsidRDefault="007163F4" w:rsidP="007E26B5">
            <w:pPr>
              <w:rPr>
                <w:lang w:eastAsia="pl-PL"/>
              </w:rPr>
            </w:pPr>
            <w:r w:rsidRPr="00BF6615">
              <w:rPr>
                <w:lang w:eastAsia="pl-PL"/>
              </w:rPr>
              <w:t xml:space="preserve">bardzo ważne </w:t>
            </w:r>
          </w:p>
        </w:tc>
        <w:tc>
          <w:tcPr>
            <w:tcW w:w="1502" w:type="dxa"/>
            <w:hideMark/>
          </w:tcPr>
          <w:p w14:paraId="706C3F89" w14:textId="5B970C36" w:rsidR="007163F4" w:rsidRPr="00BF6615" w:rsidRDefault="00BE2CB8" w:rsidP="007E26B5">
            <w:pPr>
              <w:rPr>
                <w:lang w:eastAsia="pl-PL"/>
              </w:rPr>
            </w:pPr>
            <w:r w:rsidRPr="00BF6615">
              <w:rPr>
                <w:lang w:eastAsia="pl-PL"/>
              </w:rPr>
              <w:t>51</w:t>
            </w:r>
            <w:r w:rsidR="007163F4" w:rsidRPr="00BF6615">
              <w:rPr>
                <w:lang w:eastAsia="pl-PL"/>
              </w:rPr>
              <w:t>%</w:t>
            </w:r>
          </w:p>
        </w:tc>
        <w:tc>
          <w:tcPr>
            <w:tcW w:w="1286" w:type="dxa"/>
            <w:hideMark/>
          </w:tcPr>
          <w:p w14:paraId="03CE50AD" w14:textId="0292022D" w:rsidR="007163F4" w:rsidRPr="00BF6615" w:rsidRDefault="007163F4" w:rsidP="007E26B5">
            <w:pPr>
              <w:rPr>
                <w:lang w:eastAsia="pl-PL"/>
              </w:rPr>
            </w:pPr>
            <w:r w:rsidRPr="00BF6615">
              <w:rPr>
                <w:lang w:eastAsia="pl-PL"/>
              </w:rPr>
              <w:t>6</w:t>
            </w:r>
            <w:r w:rsidR="00F501D6" w:rsidRPr="00BF6615">
              <w:rPr>
                <w:lang w:eastAsia="pl-PL"/>
              </w:rPr>
              <w:t>4</w:t>
            </w:r>
            <w:r w:rsidRPr="00BF6615">
              <w:rPr>
                <w:lang w:eastAsia="pl-PL"/>
              </w:rPr>
              <w:t>%</w:t>
            </w:r>
          </w:p>
        </w:tc>
        <w:tc>
          <w:tcPr>
            <w:tcW w:w="1095" w:type="dxa"/>
            <w:hideMark/>
          </w:tcPr>
          <w:p w14:paraId="1CF9B186" w14:textId="051BAEE8" w:rsidR="007163F4" w:rsidRPr="00BF6615" w:rsidRDefault="007163F4" w:rsidP="007E26B5">
            <w:pPr>
              <w:rPr>
                <w:lang w:eastAsia="pl-PL"/>
              </w:rPr>
            </w:pPr>
            <w:r w:rsidRPr="00BF6615">
              <w:rPr>
                <w:lang w:eastAsia="pl-PL"/>
              </w:rPr>
              <w:t>6</w:t>
            </w:r>
            <w:r w:rsidR="00A730EE" w:rsidRPr="00BF6615">
              <w:rPr>
                <w:lang w:eastAsia="pl-PL"/>
              </w:rPr>
              <w:t>7</w:t>
            </w:r>
            <w:r w:rsidRPr="00BF6615">
              <w:rPr>
                <w:lang w:eastAsia="pl-PL"/>
              </w:rPr>
              <w:t>%</w:t>
            </w:r>
          </w:p>
        </w:tc>
        <w:tc>
          <w:tcPr>
            <w:tcW w:w="1307" w:type="dxa"/>
            <w:hideMark/>
          </w:tcPr>
          <w:p w14:paraId="321C2FC2" w14:textId="325F0435" w:rsidR="007163F4" w:rsidRPr="00BF6615" w:rsidRDefault="009C49F1" w:rsidP="007E26B5">
            <w:pPr>
              <w:rPr>
                <w:lang w:eastAsia="pl-PL"/>
              </w:rPr>
            </w:pPr>
            <w:r w:rsidRPr="00BF6615">
              <w:rPr>
                <w:lang w:eastAsia="pl-PL"/>
              </w:rPr>
              <w:t>4</w:t>
            </w:r>
            <w:r w:rsidR="00756A32" w:rsidRPr="00BF6615">
              <w:rPr>
                <w:lang w:eastAsia="pl-PL"/>
              </w:rPr>
              <w:t>1</w:t>
            </w:r>
            <w:r w:rsidR="007163F4" w:rsidRPr="00BF6615">
              <w:rPr>
                <w:lang w:eastAsia="pl-PL"/>
              </w:rPr>
              <w:t>%</w:t>
            </w:r>
          </w:p>
        </w:tc>
        <w:tc>
          <w:tcPr>
            <w:tcW w:w="1333" w:type="dxa"/>
            <w:hideMark/>
          </w:tcPr>
          <w:p w14:paraId="7E60E34A" w14:textId="7179D168" w:rsidR="007163F4" w:rsidRPr="00BF6615" w:rsidRDefault="007163F4" w:rsidP="007E26B5">
            <w:pPr>
              <w:rPr>
                <w:lang w:eastAsia="pl-PL"/>
              </w:rPr>
            </w:pPr>
            <w:r w:rsidRPr="00BF6615">
              <w:rPr>
                <w:lang w:eastAsia="pl-PL"/>
              </w:rPr>
              <w:t>3</w:t>
            </w:r>
            <w:r w:rsidR="004B644C" w:rsidRPr="00BF6615">
              <w:rPr>
                <w:lang w:eastAsia="pl-PL"/>
              </w:rPr>
              <w:t>6</w:t>
            </w:r>
            <w:r w:rsidRPr="00BF6615">
              <w:rPr>
                <w:lang w:eastAsia="pl-PL"/>
              </w:rPr>
              <w:t>%</w:t>
            </w:r>
          </w:p>
        </w:tc>
        <w:tc>
          <w:tcPr>
            <w:tcW w:w="1223" w:type="dxa"/>
            <w:hideMark/>
          </w:tcPr>
          <w:p w14:paraId="65FC8877" w14:textId="0A725003" w:rsidR="007163F4" w:rsidRPr="00BF6615" w:rsidRDefault="005018CD" w:rsidP="007E26B5">
            <w:pPr>
              <w:rPr>
                <w:lang w:eastAsia="pl-PL"/>
              </w:rPr>
            </w:pPr>
            <w:r w:rsidRPr="00BF6615">
              <w:rPr>
                <w:lang w:eastAsia="pl-PL"/>
              </w:rPr>
              <w:t>62</w:t>
            </w:r>
            <w:r w:rsidR="007163F4" w:rsidRPr="00BF6615">
              <w:rPr>
                <w:lang w:eastAsia="pl-PL"/>
              </w:rPr>
              <w:t>%</w:t>
            </w:r>
          </w:p>
        </w:tc>
        <w:tc>
          <w:tcPr>
            <w:tcW w:w="1072" w:type="dxa"/>
            <w:hideMark/>
          </w:tcPr>
          <w:p w14:paraId="240C1D5E" w14:textId="3137FD38" w:rsidR="007163F4" w:rsidRPr="00BF6615" w:rsidRDefault="007163F4" w:rsidP="007E26B5">
            <w:pPr>
              <w:rPr>
                <w:lang w:eastAsia="pl-PL"/>
              </w:rPr>
            </w:pPr>
            <w:r w:rsidRPr="00BF6615">
              <w:rPr>
                <w:lang w:eastAsia="pl-PL"/>
              </w:rPr>
              <w:t>5</w:t>
            </w:r>
            <w:r w:rsidR="00341BCD" w:rsidRPr="00BF6615">
              <w:rPr>
                <w:lang w:eastAsia="pl-PL"/>
              </w:rPr>
              <w:t>8</w:t>
            </w:r>
            <w:r w:rsidRPr="00BF6615">
              <w:rPr>
                <w:lang w:eastAsia="pl-PL"/>
              </w:rPr>
              <w:t>%</w:t>
            </w:r>
          </w:p>
        </w:tc>
        <w:tc>
          <w:tcPr>
            <w:tcW w:w="1290" w:type="dxa"/>
            <w:hideMark/>
          </w:tcPr>
          <w:p w14:paraId="7FCF5458" w14:textId="2FE6EF8D" w:rsidR="007163F4" w:rsidRPr="00BF6615" w:rsidRDefault="00360FE7" w:rsidP="007E26B5">
            <w:pPr>
              <w:rPr>
                <w:lang w:eastAsia="pl-PL"/>
              </w:rPr>
            </w:pPr>
            <w:r w:rsidRPr="00BF6615">
              <w:rPr>
                <w:lang w:eastAsia="pl-PL"/>
              </w:rPr>
              <w:t>52</w:t>
            </w:r>
            <w:r w:rsidR="007163F4" w:rsidRPr="00BF6615">
              <w:rPr>
                <w:lang w:eastAsia="pl-PL"/>
              </w:rPr>
              <w:t>%</w:t>
            </w:r>
          </w:p>
        </w:tc>
        <w:tc>
          <w:tcPr>
            <w:tcW w:w="1413" w:type="dxa"/>
            <w:hideMark/>
          </w:tcPr>
          <w:p w14:paraId="4FE3B2D2" w14:textId="03441F18" w:rsidR="007163F4" w:rsidRPr="00BF6615" w:rsidRDefault="00CA7785" w:rsidP="007E26B5">
            <w:pPr>
              <w:rPr>
                <w:lang w:eastAsia="pl-PL"/>
              </w:rPr>
            </w:pPr>
            <w:r w:rsidRPr="00BF6615">
              <w:rPr>
                <w:lang w:eastAsia="pl-PL"/>
              </w:rPr>
              <w:t>48</w:t>
            </w:r>
            <w:r w:rsidR="007163F4" w:rsidRPr="00BF6615">
              <w:rPr>
                <w:lang w:eastAsia="pl-PL"/>
              </w:rPr>
              <w:t>%</w:t>
            </w:r>
          </w:p>
        </w:tc>
        <w:tc>
          <w:tcPr>
            <w:tcW w:w="1253" w:type="dxa"/>
            <w:hideMark/>
          </w:tcPr>
          <w:p w14:paraId="6D50100E" w14:textId="29D5B8BF" w:rsidR="007163F4" w:rsidRPr="00BF6615" w:rsidRDefault="00C8207E" w:rsidP="007E26B5">
            <w:pPr>
              <w:rPr>
                <w:lang w:eastAsia="pl-PL"/>
              </w:rPr>
            </w:pPr>
            <w:r w:rsidRPr="00BF6615">
              <w:rPr>
                <w:lang w:eastAsia="pl-PL"/>
              </w:rPr>
              <w:t>15</w:t>
            </w:r>
            <w:r w:rsidR="007163F4" w:rsidRPr="00BF6615">
              <w:rPr>
                <w:lang w:eastAsia="pl-PL"/>
              </w:rPr>
              <w:t>%</w:t>
            </w:r>
          </w:p>
        </w:tc>
        <w:tc>
          <w:tcPr>
            <w:tcW w:w="1219" w:type="dxa"/>
            <w:hideMark/>
          </w:tcPr>
          <w:p w14:paraId="3384ED43" w14:textId="55F4A1D9" w:rsidR="007163F4" w:rsidRPr="00BF6615" w:rsidRDefault="00062A3B" w:rsidP="007E26B5">
            <w:pPr>
              <w:rPr>
                <w:lang w:eastAsia="pl-PL"/>
              </w:rPr>
            </w:pPr>
            <w:r w:rsidRPr="00BF6615">
              <w:rPr>
                <w:lang w:eastAsia="pl-PL"/>
              </w:rPr>
              <w:t>43</w:t>
            </w:r>
            <w:r w:rsidR="007163F4" w:rsidRPr="00BF6615">
              <w:rPr>
                <w:lang w:eastAsia="pl-PL"/>
              </w:rPr>
              <w:t>%</w:t>
            </w:r>
          </w:p>
        </w:tc>
      </w:tr>
      <w:tr w:rsidR="00BA771C" w:rsidRPr="00BF6615" w14:paraId="4981CB0C" w14:textId="77777777" w:rsidTr="00064651">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3E35462E" w14:textId="77777777" w:rsidR="007163F4" w:rsidRPr="00BF6615" w:rsidRDefault="007163F4" w:rsidP="007E26B5">
            <w:pPr>
              <w:rPr>
                <w:lang w:eastAsia="pl-PL"/>
              </w:rPr>
            </w:pPr>
            <w:r w:rsidRPr="00BF6615">
              <w:rPr>
                <w:lang w:eastAsia="pl-PL"/>
              </w:rPr>
              <w:t>ważne</w:t>
            </w:r>
          </w:p>
        </w:tc>
        <w:tc>
          <w:tcPr>
            <w:tcW w:w="1502" w:type="dxa"/>
            <w:hideMark/>
          </w:tcPr>
          <w:p w14:paraId="1CD234CB" w14:textId="171ABAF6" w:rsidR="007163F4" w:rsidRPr="00BF6615" w:rsidRDefault="007163F4" w:rsidP="007E26B5">
            <w:pPr>
              <w:rPr>
                <w:lang w:eastAsia="pl-PL"/>
              </w:rPr>
            </w:pPr>
            <w:r w:rsidRPr="00BF6615">
              <w:rPr>
                <w:lang w:eastAsia="pl-PL"/>
              </w:rPr>
              <w:t>3</w:t>
            </w:r>
            <w:r w:rsidR="008E0E1E" w:rsidRPr="00BF6615">
              <w:rPr>
                <w:lang w:eastAsia="pl-PL"/>
              </w:rPr>
              <w:t>7</w:t>
            </w:r>
            <w:r w:rsidRPr="00BF6615">
              <w:rPr>
                <w:lang w:eastAsia="pl-PL"/>
              </w:rPr>
              <w:t>%</w:t>
            </w:r>
          </w:p>
        </w:tc>
        <w:tc>
          <w:tcPr>
            <w:tcW w:w="1286" w:type="dxa"/>
            <w:hideMark/>
          </w:tcPr>
          <w:p w14:paraId="474020AB" w14:textId="2239D4D7" w:rsidR="007163F4" w:rsidRPr="00BF6615" w:rsidRDefault="007163F4" w:rsidP="007E26B5">
            <w:pPr>
              <w:rPr>
                <w:lang w:eastAsia="pl-PL"/>
              </w:rPr>
            </w:pPr>
            <w:r w:rsidRPr="00BF6615">
              <w:rPr>
                <w:lang w:eastAsia="pl-PL"/>
              </w:rPr>
              <w:t>2</w:t>
            </w:r>
            <w:r w:rsidR="00EC4977" w:rsidRPr="00BF6615">
              <w:rPr>
                <w:lang w:eastAsia="pl-PL"/>
              </w:rPr>
              <w:t>8</w:t>
            </w:r>
            <w:r w:rsidRPr="00BF6615">
              <w:rPr>
                <w:lang w:eastAsia="pl-PL"/>
              </w:rPr>
              <w:t>%</w:t>
            </w:r>
          </w:p>
        </w:tc>
        <w:tc>
          <w:tcPr>
            <w:tcW w:w="1095" w:type="dxa"/>
            <w:hideMark/>
          </w:tcPr>
          <w:p w14:paraId="0232208F" w14:textId="364CFF7B" w:rsidR="007163F4" w:rsidRPr="00BF6615" w:rsidRDefault="0038240F" w:rsidP="007E26B5">
            <w:pPr>
              <w:rPr>
                <w:lang w:eastAsia="pl-PL"/>
              </w:rPr>
            </w:pPr>
            <w:r w:rsidRPr="00BF6615">
              <w:rPr>
                <w:lang w:eastAsia="pl-PL"/>
              </w:rPr>
              <w:t>24</w:t>
            </w:r>
            <w:r w:rsidR="007163F4" w:rsidRPr="00BF6615">
              <w:rPr>
                <w:lang w:eastAsia="pl-PL"/>
              </w:rPr>
              <w:t>%</w:t>
            </w:r>
          </w:p>
        </w:tc>
        <w:tc>
          <w:tcPr>
            <w:tcW w:w="1307" w:type="dxa"/>
            <w:hideMark/>
          </w:tcPr>
          <w:p w14:paraId="5817B8A8" w14:textId="564DA53B" w:rsidR="007163F4" w:rsidRPr="00BF6615" w:rsidRDefault="007163F4" w:rsidP="007E26B5">
            <w:pPr>
              <w:rPr>
                <w:lang w:eastAsia="pl-PL"/>
              </w:rPr>
            </w:pPr>
            <w:r w:rsidRPr="00BF6615">
              <w:rPr>
                <w:lang w:eastAsia="pl-PL"/>
              </w:rPr>
              <w:t>3</w:t>
            </w:r>
            <w:r w:rsidR="008173B4" w:rsidRPr="00BF6615">
              <w:rPr>
                <w:lang w:eastAsia="pl-PL"/>
              </w:rPr>
              <w:t>4</w:t>
            </w:r>
            <w:r w:rsidRPr="00BF6615">
              <w:rPr>
                <w:lang w:eastAsia="pl-PL"/>
              </w:rPr>
              <w:t>%</w:t>
            </w:r>
          </w:p>
        </w:tc>
        <w:tc>
          <w:tcPr>
            <w:tcW w:w="1333" w:type="dxa"/>
            <w:hideMark/>
          </w:tcPr>
          <w:p w14:paraId="2113F368" w14:textId="5CE353A2" w:rsidR="007163F4" w:rsidRPr="00BF6615" w:rsidRDefault="007163F4" w:rsidP="007E26B5">
            <w:pPr>
              <w:rPr>
                <w:lang w:eastAsia="pl-PL"/>
              </w:rPr>
            </w:pPr>
            <w:r w:rsidRPr="00BF6615">
              <w:rPr>
                <w:lang w:eastAsia="pl-PL"/>
              </w:rPr>
              <w:t>3</w:t>
            </w:r>
            <w:r w:rsidR="008173B4" w:rsidRPr="00BF6615">
              <w:rPr>
                <w:lang w:eastAsia="pl-PL"/>
              </w:rPr>
              <w:t>4</w:t>
            </w:r>
            <w:r w:rsidRPr="00BF6615">
              <w:rPr>
                <w:lang w:eastAsia="pl-PL"/>
              </w:rPr>
              <w:t>%</w:t>
            </w:r>
          </w:p>
        </w:tc>
        <w:tc>
          <w:tcPr>
            <w:tcW w:w="1223" w:type="dxa"/>
            <w:hideMark/>
          </w:tcPr>
          <w:p w14:paraId="156D9641" w14:textId="3DFA0FF8" w:rsidR="007163F4" w:rsidRPr="00BF6615" w:rsidRDefault="00C75A87" w:rsidP="007E26B5">
            <w:pPr>
              <w:rPr>
                <w:lang w:eastAsia="pl-PL"/>
              </w:rPr>
            </w:pPr>
            <w:r w:rsidRPr="00BF6615">
              <w:rPr>
                <w:lang w:eastAsia="pl-PL"/>
              </w:rPr>
              <w:t>26</w:t>
            </w:r>
            <w:r w:rsidR="007163F4" w:rsidRPr="00BF6615">
              <w:rPr>
                <w:lang w:eastAsia="pl-PL"/>
              </w:rPr>
              <w:t>%</w:t>
            </w:r>
          </w:p>
        </w:tc>
        <w:tc>
          <w:tcPr>
            <w:tcW w:w="1072" w:type="dxa"/>
            <w:hideMark/>
          </w:tcPr>
          <w:p w14:paraId="2829FB4E" w14:textId="035BFAC1" w:rsidR="007163F4" w:rsidRPr="00BF6615" w:rsidRDefault="00163738" w:rsidP="007E26B5">
            <w:pPr>
              <w:rPr>
                <w:lang w:eastAsia="pl-PL"/>
              </w:rPr>
            </w:pPr>
            <w:r w:rsidRPr="00BF6615">
              <w:rPr>
                <w:lang w:eastAsia="pl-PL"/>
              </w:rPr>
              <w:t>30</w:t>
            </w:r>
            <w:r w:rsidR="007163F4" w:rsidRPr="00BF6615">
              <w:rPr>
                <w:lang w:eastAsia="pl-PL"/>
              </w:rPr>
              <w:t>%</w:t>
            </w:r>
          </w:p>
        </w:tc>
        <w:tc>
          <w:tcPr>
            <w:tcW w:w="1290" w:type="dxa"/>
            <w:hideMark/>
          </w:tcPr>
          <w:p w14:paraId="6D9AA1F2" w14:textId="22B3A719" w:rsidR="007163F4" w:rsidRPr="00BF6615" w:rsidRDefault="00372F6A" w:rsidP="007E26B5">
            <w:pPr>
              <w:rPr>
                <w:lang w:eastAsia="pl-PL"/>
              </w:rPr>
            </w:pPr>
            <w:r w:rsidRPr="00BF6615">
              <w:rPr>
                <w:lang w:eastAsia="pl-PL"/>
              </w:rPr>
              <w:t>36</w:t>
            </w:r>
            <w:r w:rsidR="007163F4" w:rsidRPr="00BF6615">
              <w:rPr>
                <w:lang w:eastAsia="pl-PL"/>
              </w:rPr>
              <w:t>%</w:t>
            </w:r>
          </w:p>
        </w:tc>
        <w:tc>
          <w:tcPr>
            <w:tcW w:w="1413" w:type="dxa"/>
            <w:hideMark/>
          </w:tcPr>
          <w:p w14:paraId="6043AD1C" w14:textId="587AD94C" w:rsidR="007163F4" w:rsidRPr="00BF6615" w:rsidRDefault="00D52E50" w:rsidP="007E26B5">
            <w:pPr>
              <w:rPr>
                <w:lang w:eastAsia="pl-PL"/>
              </w:rPr>
            </w:pPr>
            <w:r w:rsidRPr="00BF6615">
              <w:rPr>
                <w:lang w:eastAsia="pl-PL"/>
              </w:rPr>
              <w:t>35</w:t>
            </w:r>
            <w:r w:rsidR="007163F4" w:rsidRPr="00BF6615">
              <w:rPr>
                <w:lang w:eastAsia="pl-PL"/>
              </w:rPr>
              <w:t>%</w:t>
            </w:r>
          </w:p>
        </w:tc>
        <w:tc>
          <w:tcPr>
            <w:tcW w:w="1253" w:type="dxa"/>
            <w:hideMark/>
          </w:tcPr>
          <w:p w14:paraId="1F54F01A" w14:textId="23CC9107" w:rsidR="007163F4" w:rsidRPr="00BF6615" w:rsidRDefault="00E65E21" w:rsidP="007E26B5">
            <w:pPr>
              <w:rPr>
                <w:lang w:eastAsia="pl-PL"/>
              </w:rPr>
            </w:pPr>
            <w:r w:rsidRPr="00BF6615">
              <w:rPr>
                <w:lang w:eastAsia="pl-PL"/>
              </w:rPr>
              <w:t>11</w:t>
            </w:r>
            <w:r w:rsidR="007163F4" w:rsidRPr="00BF6615">
              <w:rPr>
                <w:lang w:eastAsia="pl-PL"/>
              </w:rPr>
              <w:t>%</w:t>
            </w:r>
          </w:p>
        </w:tc>
        <w:tc>
          <w:tcPr>
            <w:tcW w:w="1219" w:type="dxa"/>
            <w:hideMark/>
          </w:tcPr>
          <w:p w14:paraId="188BE2A0" w14:textId="1226BBE7" w:rsidR="007163F4" w:rsidRPr="00BF6615" w:rsidRDefault="009614B2" w:rsidP="007E26B5">
            <w:pPr>
              <w:rPr>
                <w:lang w:eastAsia="pl-PL"/>
              </w:rPr>
            </w:pPr>
            <w:r w:rsidRPr="00BF6615">
              <w:rPr>
                <w:lang w:eastAsia="pl-PL"/>
              </w:rPr>
              <w:t>29</w:t>
            </w:r>
            <w:r w:rsidR="007163F4" w:rsidRPr="00BF6615">
              <w:rPr>
                <w:lang w:eastAsia="pl-PL"/>
              </w:rPr>
              <w:t>%</w:t>
            </w:r>
          </w:p>
        </w:tc>
      </w:tr>
      <w:tr w:rsidR="00BA771C" w:rsidRPr="00BF6615" w14:paraId="3902D381" w14:textId="77777777" w:rsidTr="00064651">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13576AAC" w14:textId="77777777" w:rsidR="007163F4" w:rsidRPr="00BF6615" w:rsidRDefault="007163F4" w:rsidP="007E26B5">
            <w:pPr>
              <w:rPr>
                <w:lang w:eastAsia="pl-PL"/>
              </w:rPr>
            </w:pPr>
            <w:r w:rsidRPr="00BF6615">
              <w:rPr>
                <w:lang w:eastAsia="pl-PL"/>
              </w:rPr>
              <w:t>neutralne</w:t>
            </w:r>
          </w:p>
        </w:tc>
        <w:tc>
          <w:tcPr>
            <w:tcW w:w="1502" w:type="dxa"/>
            <w:hideMark/>
          </w:tcPr>
          <w:p w14:paraId="1BA3FDC3" w14:textId="0697A2E7" w:rsidR="007163F4" w:rsidRPr="00BF6615" w:rsidRDefault="008E0E1E" w:rsidP="007E26B5">
            <w:pPr>
              <w:rPr>
                <w:lang w:eastAsia="pl-PL"/>
              </w:rPr>
            </w:pPr>
            <w:r w:rsidRPr="00BF6615">
              <w:rPr>
                <w:lang w:eastAsia="pl-PL"/>
              </w:rPr>
              <w:t>10</w:t>
            </w:r>
            <w:r w:rsidR="007163F4" w:rsidRPr="00BF6615">
              <w:rPr>
                <w:lang w:eastAsia="pl-PL"/>
              </w:rPr>
              <w:t>%</w:t>
            </w:r>
          </w:p>
        </w:tc>
        <w:tc>
          <w:tcPr>
            <w:tcW w:w="1286" w:type="dxa"/>
            <w:hideMark/>
          </w:tcPr>
          <w:p w14:paraId="7D4ADAEF" w14:textId="03B51EB3" w:rsidR="007163F4" w:rsidRPr="00BF6615" w:rsidRDefault="0030582B" w:rsidP="007E26B5">
            <w:pPr>
              <w:rPr>
                <w:lang w:eastAsia="pl-PL"/>
              </w:rPr>
            </w:pPr>
            <w:r w:rsidRPr="00BF6615">
              <w:rPr>
                <w:lang w:eastAsia="pl-PL"/>
              </w:rPr>
              <w:t>4</w:t>
            </w:r>
            <w:r w:rsidR="007163F4" w:rsidRPr="00BF6615">
              <w:rPr>
                <w:lang w:eastAsia="pl-PL"/>
              </w:rPr>
              <w:t>%</w:t>
            </w:r>
          </w:p>
        </w:tc>
        <w:tc>
          <w:tcPr>
            <w:tcW w:w="1095" w:type="dxa"/>
            <w:hideMark/>
          </w:tcPr>
          <w:p w14:paraId="3BBDEC66" w14:textId="77777777" w:rsidR="007163F4" w:rsidRPr="00BF6615" w:rsidRDefault="007163F4" w:rsidP="007E26B5">
            <w:pPr>
              <w:rPr>
                <w:lang w:eastAsia="pl-PL"/>
              </w:rPr>
            </w:pPr>
            <w:r w:rsidRPr="00BF6615">
              <w:rPr>
                <w:lang w:eastAsia="pl-PL"/>
              </w:rPr>
              <w:t>4%</w:t>
            </w:r>
          </w:p>
        </w:tc>
        <w:tc>
          <w:tcPr>
            <w:tcW w:w="1307" w:type="dxa"/>
            <w:hideMark/>
          </w:tcPr>
          <w:p w14:paraId="0022DC5A" w14:textId="545E6D9F" w:rsidR="007163F4" w:rsidRPr="00BF6615" w:rsidRDefault="007F34B5" w:rsidP="007E26B5">
            <w:pPr>
              <w:rPr>
                <w:lang w:eastAsia="pl-PL"/>
              </w:rPr>
            </w:pPr>
            <w:r w:rsidRPr="00BF6615">
              <w:rPr>
                <w:lang w:eastAsia="pl-PL"/>
              </w:rPr>
              <w:t>19</w:t>
            </w:r>
            <w:r w:rsidR="007163F4" w:rsidRPr="00BF6615">
              <w:rPr>
                <w:lang w:eastAsia="pl-PL"/>
              </w:rPr>
              <w:t>%</w:t>
            </w:r>
          </w:p>
        </w:tc>
        <w:tc>
          <w:tcPr>
            <w:tcW w:w="1333" w:type="dxa"/>
            <w:hideMark/>
          </w:tcPr>
          <w:p w14:paraId="546C0D42" w14:textId="46E8026E" w:rsidR="007163F4" w:rsidRPr="00BF6615" w:rsidRDefault="00A970BC" w:rsidP="007E26B5">
            <w:pPr>
              <w:rPr>
                <w:lang w:eastAsia="pl-PL"/>
              </w:rPr>
            </w:pPr>
            <w:r w:rsidRPr="00BF6615">
              <w:rPr>
                <w:lang w:eastAsia="pl-PL"/>
              </w:rPr>
              <w:t>2</w:t>
            </w:r>
            <w:r w:rsidR="0004006E" w:rsidRPr="00BF6615">
              <w:rPr>
                <w:lang w:eastAsia="pl-PL"/>
              </w:rPr>
              <w:t>2</w:t>
            </w:r>
            <w:r w:rsidR="007163F4" w:rsidRPr="00BF6615">
              <w:rPr>
                <w:lang w:eastAsia="pl-PL"/>
              </w:rPr>
              <w:t>%</w:t>
            </w:r>
          </w:p>
        </w:tc>
        <w:tc>
          <w:tcPr>
            <w:tcW w:w="1223" w:type="dxa"/>
            <w:hideMark/>
          </w:tcPr>
          <w:p w14:paraId="50458F65" w14:textId="77777777" w:rsidR="007163F4" w:rsidRPr="00BF6615" w:rsidRDefault="00A970BC" w:rsidP="007E26B5">
            <w:pPr>
              <w:rPr>
                <w:lang w:eastAsia="pl-PL"/>
              </w:rPr>
            </w:pPr>
            <w:r w:rsidRPr="00BF6615">
              <w:rPr>
                <w:lang w:eastAsia="pl-PL"/>
              </w:rPr>
              <w:t>7</w:t>
            </w:r>
            <w:r w:rsidR="007163F4" w:rsidRPr="00BF6615">
              <w:rPr>
                <w:lang w:eastAsia="pl-PL"/>
              </w:rPr>
              <w:t>%</w:t>
            </w:r>
          </w:p>
        </w:tc>
        <w:tc>
          <w:tcPr>
            <w:tcW w:w="1072" w:type="dxa"/>
            <w:hideMark/>
          </w:tcPr>
          <w:p w14:paraId="179AE591" w14:textId="4445E6F8" w:rsidR="007163F4" w:rsidRPr="00BF6615" w:rsidRDefault="003544C4" w:rsidP="007E26B5">
            <w:pPr>
              <w:rPr>
                <w:lang w:eastAsia="pl-PL"/>
              </w:rPr>
            </w:pPr>
            <w:r w:rsidRPr="00BF6615">
              <w:rPr>
                <w:lang w:eastAsia="pl-PL"/>
              </w:rPr>
              <w:t>9</w:t>
            </w:r>
            <w:r w:rsidR="007163F4" w:rsidRPr="00BF6615">
              <w:rPr>
                <w:lang w:eastAsia="pl-PL"/>
              </w:rPr>
              <w:t>%</w:t>
            </w:r>
          </w:p>
        </w:tc>
        <w:tc>
          <w:tcPr>
            <w:tcW w:w="1290" w:type="dxa"/>
            <w:hideMark/>
          </w:tcPr>
          <w:p w14:paraId="2C65B748" w14:textId="5C2A16E5" w:rsidR="007163F4" w:rsidRPr="00BF6615" w:rsidRDefault="003544C4" w:rsidP="007E26B5">
            <w:pPr>
              <w:rPr>
                <w:lang w:eastAsia="pl-PL"/>
              </w:rPr>
            </w:pPr>
            <w:r w:rsidRPr="00BF6615">
              <w:rPr>
                <w:lang w:eastAsia="pl-PL"/>
              </w:rPr>
              <w:t>10</w:t>
            </w:r>
            <w:r w:rsidR="007163F4" w:rsidRPr="00BF6615">
              <w:rPr>
                <w:lang w:eastAsia="pl-PL"/>
              </w:rPr>
              <w:t>%</w:t>
            </w:r>
          </w:p>
        </w:tc>
        <w:tc>
          <w:tcPr>
            <w:tcW w:w="1413" w:type="dxa"/>
            <w:hideMark/>
          </w:tcPr>
          <w:p w14:paraId="55350332" w14:textId="1092A1FA" w:rsidR="007163F4" w:rsidRPr="00BF6615" w:rsidRDefault="00063536" w:rsidP="007E26B5">
            <w:pPr>
              <w:rPr>
                <w:lang w:eastAsia="pl-PL"/>
              </w:rPr>
            </w:pPr>
            <w:r w:rsidRPr="00BF6615">
              <w:rPr>
                <w:lang w:eastAsia="pl-PL"/>
              </w:rPr>
              <w:t>13</w:t>
            </w:r>
            <w:r w:rsidR="007163F4" w:rsidRPr="00BF6615">
              <w:rPr>
                <w:lang w:eastAsia="pl-PL"/>
              </w:rPr>
              <w:t>%</w:t>
            </w:r>
          </w:p>
        </w:tc>
        <w:tc>
          <w:tcPr>
            <w:tcW w:w="1253" w:type="dxa"/>
            <w:hideMark/>
          </w:tcPr>
          <w:p w14:paraId="6DC87E49" w14:textId="6EA897F8" w:rsidR="007163F4" w:rsidRPr="00BF6615" w:rsidRDefault="003C04DC" w:rsidP="007E26B5">
            <w:pPr>
              <w:rPr>
                <w:lang w:eastAsia="pl-PL"/>
              </w:rPr>
            </w:pPr>
            <w:r w:rsidRPr="00BF6615">
              <w:rPr>
                <w:lang w:eastAsia="pl-PL"/>
              </w:rPr>
              <w:t>19</w:t>
            </w:r>
            <w:r w:rsidR="007163F4" w:rsidRPr="00BF6615">
              <w:rPr>
                <w:lang w:eastAsia="pl-PL"/>
              </w:rPr>
              <w:t>%</w:t>
            </w:r>
          </w:p>
        </w:tc>
        <w:tc>
          <w:tcPr>
            <w:tcW w:w="1219" w:type="dxa"/>
            <w:hideMark/>
          </w:tcPr>
          <w:p w14:paraId="3FA1B0A7" w14:textId="47440D69" w:rsidR="007163F4" w:rsidRPr="00BF6615" w:rsidRDefault="003C04DC" w:rsidP="007E26B5">
            <w:pPr>
              <w:rPr>
                <w:lang w:eastAsia="pl-PL"/>
              </w:rPr>
            </w:pPr>
            <w:r w:rsidRPr="00BF6615">
              <w:rPr>
                <w:lang w:eastAsia="pl-PL"/>
              </w:rPr>
              <w:t>12</w:t>
            </w:r>
            <w:r w:rsidR="007163F4" w:rsidRPr="00BF6615">
              <w:rPr>
                <w:lang w:eastAsia="pl-PL"/>
              </w:rPr>
              <w:t>%</w:t>
            </w:r>
          </w:p>
        </w:tc>
      </w:tr>
      <w:tr w:rsidR="00BA771C" w:rsidRPr="00BF6615" w14:paraId="52DA5412" w14:textId="77777777" w:rsidTr="00064651">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3C78D7BA" w14:textId="77777777" w:rsidR="007163F4" w:rsidRPr="00BF6615" w:rsidRDefault="007163F4" w:rsidP="007E26B5">
            <w:pPr>
              <w:rPr>
                <w:lang w:eastAsia="pl-PL"/>
              </w:rPr>
            </w:pPr>
            <w:r w:rsidRPr="00BF6615">
              <w:rPr>
                <w:lang w:eastAsia="pl-PL"/>
              </w:rPr>
              <w:t>mało ważne</w:t>
            </w:r>
          </w:p>
        </w:tc>
        <w:tc>
          <w:tcPr>
            <w:tcW w:w="1502" w:type="dxa"/>
            <w:hideMark/>
          </w:tcPr>
          <w:p w14:paraId="02F8C893" w14:textId="28345332" w:rsidR="007163F4" w:rsidRPr="00BF6615" w:rsidRDefault="0081760E" w:rsidP="007E26B5">
            <w:pPr>
              <w:rPr>
                <w:lang w:eastAsia="pl-PL"/>
              </w:rPr>
            </w:pPr>
            <w:r w:rsidRPr="00BF6615">
              <w:rPr>
                <w:lang w:eastAsia="pl-PL"/>
              </w:rPr>
              <w:t>1</w:t>
            </w:r>
            <w:r w:rsidR="007163F4" w:rsidRPr="00BF6615">
              <w:rPr>
                <w:lang w:eastAsia="pl-PL"/>
              </w:rPr>
              <w:t>%</w:t>
            </w:r>
          </w:p>
        </w:tc>
        <w:tc>
          <w:tcPr>
            <w:tcW w:w="1286" w:type="dxa"/>
            <w:hideMark/>
          </w:tcPr>
          <w:p w14:paraId="1D336641" w14:textId="77777777" w:rsidR="007163F4" w:rsidRPr="00BF6615" w:rsidRDefault="007163F4" w:rsidP="007E26B5">
            <w:pPr>
              <w:rPr>
                <w:lang w:eastAsia="pl-PL"/>
              </w:rPr>
            </w:pPr>
            <w:r w:rsidRPr="00BF6615">
              <w:rPr>
                <w:lang w:eastAsia="pl-PL"/>
              </w:rPr>
              <w:t>3%</w:t>
            </w:r>
          </w:p>
        </w:tc>
        <w:tc>
          <w:tcPr>
            <w:tcW w:w="1095" w:type="dxa"/>
            <w:hideMark/>
          </w:tcPr>
          <w:p w14:paraId="57E67D97" w14:textId="77777777" w:rsidR="007163F4" w:rsidRPr="00BF6615" w:rsidRDefault="007163F4" w:rsidP="007E26B5">
            <w:pPr>
              <w:rPr>
                <w:lang w:eastAsia="pl-PL"/>
              </w:rPr>
            </w:pPr>
            <w:r w:rsidRPr="00BF6615">
              <w:rPr>
                <w:lang w:eastAsia="pl-PL"/>
              </w:rPr>
              <w:t>3%</w:t>
            </w:r>
          </w:p>
        </w:tc>
        <w:tc>
          <w:tcPr>
            <w:tcW w:w="1307" w:type="dxa"/>
            <w:hideMark/>
          </w:tcPr>
          <w:p w14:paraId="406D009E" w14:textId="77777777" w:rsidR="007163F4" w:rsidRPr="00BF6615" w:rsidRDefault="007163F4" w:rsidP="007E26B5">
            <w:pPr>
              <w:rPr>
                <w:lang w:eastAsia="pl-PL"/>
              </w:rPr>
            </w:pPr>
            <w:r w:rsidRPr="00BF6615">
              <w:rPr>
                <w:lang w:eastAsia="pl-PL"/>
              </w:rPr>
              <w:t>3%</w:t>
            </w:r>
          </w:p>
        </w:tc>
        <w:tc>
          <w:tcPr>
            <w:tcW w:w="1333" w:type="dxa"/>
            <w:hideMark/>
          </w:tcPr>
          <w:p w14:paraId="30BD836B" w14:textId="77777777" w:rsidR="007163F4" w:rsidRPr="00BF6615" w:rsidRDefault="007163F4" w:rsidP="007E26B5">
            <w:pPr>
              <w:rPr>
                <w:lang w:eastAsia="pl-PL"/>
              </w:rPr>
            </w:pPr>
            <w:r w:rsidRPr="00BF6615">
              <w:rPr>
                <w:lang w:eastAsia="pl-PL"/>
              </w:rPr>
              <w:t>6%</w:t>
            </w:r>
          </w:p>
        </w:tc>
        <w:tc>
          <w:tcPr>
            <w:tcW w:w="1223" w:type="dxa"/>
            <w:hideMark/>
          </w:tcPr>
          <w:p w14:paraId="7167676D" w14:textId="77777777" w:rsidR="007163F4" w:rsidRPr="00BF6615" w:rsidRDefault="007163F4" w:rsidP="007E26B5">
            <w:pPr>
              <w:rPr>
                <w:lang w:eastAsia="pl-PL"/>
              </w:rPr>
            </w:pPr>
            <w:r w:rsidRPr="00BF6615">
              <w:rPr>
                <w:lang w:eastAsia="pl-PL"/>
              </w:rPr>
              <w:t>3%</w:t>
            </w:r>
          </w:p>
        </w:tc>
        <w:tc>
          <w:tcPr>
            <w:tcW w:w="1072" w:type="dxa"/>
            <w:hideMark/>
          </w:tcPr>
          <w:p w14:paraId="26F7AC59" w14:textId="77777777" w:rsidR="007163F4" w:rsidRPr="00BF6615" w:rsidRDefault="007163F4" w:rsidP="007E26B5">
            <w:pPr>
              <w:rPr>
                <w:lang w:eastAsia="pl-PL"/>
              </w:rPr>
            </w:pPr>
            <w:r w:rsidRPr="00BF6615">
              <w:rPr>
                <w:lang w:eastAsia="pl-PL"/>
              </w:rPr>
              <w:t>2%</w:t>
            </w:r>
          </w:p>
        </w:tc>
        <w:tc>
          <w:tcPr>
            <w:tcW w:w="1290" w:type="dxa"/>
            <w:hideMark/>
          </w:tcPr>
          <w:p w14:paraId="069B8D9B" w14:textId="77777777" w:rsidR="007163F4" w:rsidRPr="00BF6615" w:rsidRDefault="007163F4" w:rsidP="007E26B5">
            <w:pPr>
              <w:rPr>
                <w:lang w:eastAsia="pl-PL"/>
              </w:rPr>
            </w:pPr>
            <w:r w:rsidRPr="00BF6615">
              <w:rPr>
                <w:lang w:eastAsia="pl-PL"/>
              </w:rPr>
              <w:t>1%</w:t>
            </w:r>
          </w:p>
        </w:tc>
        <w:tc>
          <w:tcPr>
            <w:tcW w:w="1413" w:type="dxa"/>
            <w:hideMark/>
          </w:tcPr>
          <w:p w14:paraId="18941A6D" w14:textId="77777777" w:rsidR="007163F4" w:rsidRPr="00BF6615" w:rsidRDefault="007163F4" w:rsidP="007E26B5">
            <w:pPr>
              <w:rPr>
                <w:lang w:eastAsia="pl-PL"/>
              </w:rPr>
            </w:pPr>
            <w:r w:rsidRPr="00BF6615">
              <w:rPr>
                <w:lang w:eastAsia="pl-PL"/>
              </w:rPr>
              <w:t>3%</w:t>
            </w:r>
          </w:p>
        </w:tc>
        <w:tc>
          <w:tcPr>
            <w:tcW w:w="1253" w:type="dxa"/>
            <w:hideMark/>
          </w:tcPr>
          <w:p w14:paraId="04C67409" w14:textId="3AD2F1AC" w:rsidR="007163F4" w:rsidRPr="00BF6615" w:rsidRDefault="007163F4" w:rsidP="007E26B5">
            <w:pPr>
              <w:rPr>
                <w:lang w:eastAsia="pl-PL"/>
              </w:rPr>
            </w:pPr>
            <w:r w:rsidRPr="00BF6615">
              <w:rPr>
                <w:lang w:eastAsia="pl-PL"/>
              </w:rPr>
              <w:t>1</w:t>
            </w:r>
            <w:r w:rsidR="004931D7" w:rsidRPr="00BF6615">
              <w:rPr>
                <w:lang w:eastAsia="pl-PL"/>
              </w:rPr>
              <w:t>9</w:t>
            </w:r>
            <w:r w:rsidRPr="00BF6615">
              <w:rPr>
                <w:lang w:eastAsia="pl-PL"/>
              </w:rPr>
              <w:t>%</w:t>
            </w:r>
          </w:p>
        </w:tc>
        <w:tc>
          <w:tcPr>
            <w:tcW w:w="1219" w:type="dxa"/>
            <w:hideMark/>
          </w:tcPr>
          <w:p w14:paraId="4C5E25BB" w14:textId="4A3744ED" w:rsidR="007163F4" w:rsidRPr="00BF6615" w:rsidRDefault="00A305DE" w:rsidP="007E26B5">
            <w:pPr>
              <w:rPr>
                <w:lang w:eastAsia="pl-PL"/>
              </w:rPr>
            </w:pPr>
            <w:r w:rsidRPr="00BF6615">
              <w:rPr>
                <w:lang w:eastAsia="pl-PL"/>
              </w:rPr>
              <w:t>8</w:t>
            </w:r>
            <w:r w:rsidR="007163F4" w:rsidRPr="00BF6615">
              <w:rPr>
                <w:lang w:eastAsia="pl-PL"/>
              </w:rPr>
              <w:t>%</w:t>
            </w:r>
          </w:p>
        </w:tc>
      </w:tr>
      <w:tr w:rsidR="00BA771C" w:rsidRPr="00BF6615" w14:paraId="260E0562" w14:textId="77777777" w:rsidTr="00064651">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1CD807EA" w14:textId="77777777" w:rsidR="007163F4" w:rsidRPr="00BF6615" w:rsidRDefault="007163F4" w:rsidP="007E26B5">
            <w:pPr>
              <w:rPr>
                <w:lang w:eastAsia="pl-PL"/>
              </w:rPr>
            </w:pPr>
            <w:r w:rsidRPr="00BF6615">
              <w:rPr>
                <w:lang w:eastAsia="pl-PL"/>
              </w:rPr>
              <w:t>zupełnie nieważne</w:t>
            </w:r>
          </w:p>
        </w:tc>
        <w:tc>
          <w:tcPr>
            <w:tcW w:w="1502" w:type="dxa"/>
            <w:hideMark/>
          </w:tcPr>
          <w:p w14:paraId="26B45987" w14:textId="77777777" w:rsidR="007163F4" w:rsidRPr="00BF6615" w:rsidRDefault="007163F4" w:rsidP="007E26B5">
            <w:pPr>
              <w:rPr>
                <w:lang w:eastAsia="pl-PL"/>
              </w:rPr>
            </w:pPr>
            <w:r w:rsidRPr="00BF6615">
              <w:rPr>
                <w:lang w:eastAsia="pl-PL"/>
              </w:rPr>
              <w:t>1%</w:t>
            </w:r>
          </w:p>
        </w:tc>
        <w:tc>
          <w:tcPr>
            <w:tcW w:w="1286" w:type="dxa"/>
            <w:hideMark/>
          </w:tcPr>
          <w:p w14:paraId="6FDB4863" w14:textId="77777777" w:rsidR="007163F4" w:rsidRPr="00BF6615" w:rsidRDefault="007163F4" w:rsidP="007E26B5">
            <w:pPr>
              <w:rPr>
                <w:lang w:eastAsia="pl-PL"/>
              </w:rPr>
            </w:pPr>
            <w:r w:rsidRPr="00BF6615">
              <w:rPr>
                <w:lang w:eastAsia="pl-PL"/>
              </w:rPr>
              <w:t>1%</w:t>
            </w:r>
          </w:p>
        </w:tc>
        <w:tc>
          <w:tcPr>
            <w:tcW w:w="1095" w:type="dxa"/>
            <w:hideMark/>
          </w:tcPr>
          <w:p w14:paraId="4A74EE95" w14:textId="77777777" w:rsidR="007163F4" w:rsidRPr="00BF6615" w:rsidRDefault="007163F4" w:rsidP="007E26B5">
            <w:pPr>
              <w:rPr>
                <w:lang w:eastAsia="pl-PL"/>
              </w:rPr>
            </w:pPr>
            <w:r w:rsidRPr="00BF6615">
              <w:rPr>
                <w:lang w:eastAsia="pl-PL"/>
              </w:rPr>
              <w:t>2%</w:t>
            </w:r>
          </w:p>
        </w:tc>
        <w:tc>
          <w:tcPr>
            <w:tcW w:w="1307" w:type="dxa"/>
            <w:hideMark/>
          </w:tcPr>
          <w:p w14:paraId="02F1A446" w14:textId="77777777" w:rsidR="007163F4" w:rsidRPr="00BF6615" w:rsidRDefault="007163F4" w:rsidP="007E26B5">
            <w:pPr>
              <w:rPr>
                <w:lang w:eastAsia="pl-PL"/>
              </w:rPr>
            </w:pPr>
            <w:r w:rsidRPr="00BF6615">
              <w:rPr>
                <w:lang w:eastAsia="pl-PL"/>
              </w:rPr>
              <w:t>3%</w:t>
            </w:r>
          </w:p>
        </w:tc>
        <w:tc>
          <w:tcPr>
            <w:tcW w:w="1333" w:type="dxa"/>
            <w:hideMark/>
          </w:tcPr>
          <w:p w14:paraId="0B37B240" w14:textId="77777777" w:rsidR="007163F4" w:rsidRPr="00BF6615" w:rsidRDefault="007163F4" w:rsidP="007E26B5">
            <w:pPr>
              <w:rPr>
                <w:lang w:eastAsia="pl-PL"/>
              </w:rPr>
            </w:pPr>
            <w:r w:rsidRPr="00BF6615">
              <w:rPr>
                <w:lang w:eastAsia="pl-PL"/>
              </w:rPr>
              <w:t>2%</w:t>
            </w:r>
          </w:p>
        </w:tc>
        <w:tc>
          <w:tcPr>
            <w:tcW w:w="1223" w:type="dxa"/>
            <w:hideMark/>
          </w:tcPr>
          <w:p w14:paraId="72BE0A28" w14:textId="77777777" w:rsidR="007163F4" w:rsidRPr="00BF6615" w:rsidRDefault="007163F4" w:rsidP="007E26B5">
            <w:pPr>
              <w:rPr>
                <w:lang w:eastAsia="pl-PL"/>
              </w:rPr>
            </w:pPr>
            <w:r w:rsidRPr="00BF6615">
              <w:rPr>
                <w:lang w:eastAsia="pl-PL"/>
              </w:rPr>
              <w:t>2%</w:t>
            </w:r>
          </w:p>
        </w:tc>
        <w:tc>
          <w:tcPr>
            <w:tcW w:w="1072" w:type="dxa"/>
            <w:hideMark/>
          </w:tcPr>
          <w:p w14:paraId="7F98873F" w14:textId="77777777" w:rsidR="007163F4" w:rsidRPr="00BF6615" w:rsidRDefault="007163F4" w:rsidP="007E26B5">
            <w:pPr>
              <w:rPr>
                <w:lang w:eastAsia="pl-PL"/>
              </w:rPr>
            </w:pPr>
            <w:r w:rsidRPr="00BF6615">
              <w:rPr>
                <w:lang w:eastAsia="pl-PL"/>
              </w:rPr>
              <w:t>1%</w:t>
            </w:r>
          </w:p>
        </w:tc>
        <w:tc>
          <w:tcPr>
            <w:tcW w:w="1290" w:type="dxa"/>
            <w:hideMark/>
          </w:tcPr>
          <w:p w14:paraId="19896E01" w14:textId="77777777" w:rsidR="007163F4" w:rsidRPr="00BF6615" w:rsidRDefault="007163F4" w:rsidP="007E26B5">
            <w:pPr>
              <w:rPr>
                <w:lang w:eastAsia="pl-PL"/>
              </w:rPr>
            </w:pPr>
            <w:r w:rsidRPr="00BF6615">
              <w:rPr>
                <w:lang w:eastAsia="pl-PL"/>
              </w:rPr>
              <w:t>1%</w:t>
            </w:r>
          </w:p>
        </w:tc>
        <w:tc>
          <w:tcPr>
            <w:tcW w:w="1413" w:type="dxa"/>
            <w:hideMark/>
          </w:tcPr>
          <w:p w14:paraId="484DE86A" w14:textId="77777777" w:rsidR="007163F4" w:rsidRPr="00BF6615" w:rsidRDefault="007163F4" w:rsidP="007E26B5">
            <w:pPr>
              <w:rPr>
                <w:lang w:eastAsia="pl-PL"/>
              </w:rPr>
            </w:pPr>
            <w:r w:rsidRPr="00BF6615">
              <w:rPr>
                <w:lang w:eastAsia="pl-PL"/>
              </w:rPr>
              <w:t>1%</w:t>
            </w:r>
          </w:p>
        </w:tc>
        <w:tc>
          <w:tcPr>
            <w:tcW w:w="1253" w:type="dxa"/>
            <w:hideMark/>
          </w:tcPr>
          <w:p w14:paraId="6FDA125B" w14:textId="7462F268" w:rsidR="007163F4" w:rsidRPr="00BF6615" w:rsidRDefault="007163F4" w:rsidP="007E26B5">
            <w:pPr>
              <w:rPr>
                <w:lang w:eastAsia="pl-PL"/>
              </w:rPr>
            </w:pPr>
            <w:r w:rsidRPr="00BF6615">
              <w:rPr>
                <w:lang w:eastAsia="pl-PL"/>
              </w:rPr>
              <w:t>3</w:t>
            </w:r>
            <w:r w:rsidR="00D77AD2" w:rsidRPr="00BF6615">
              <w:rPr>
                <w:lang w:eastAsia="pl-PL"/>
              </w:rPr>
              <w:t>6</w:t>
            </w:r>
            <w:r w:rsidRPr="00BF6615">
              <w:rPr>
                <w:lang w:eastAsia="pl-PL"/>
              </w:rPr>
              <w:t>%</w:t>
            </w:r>
          </w:p>
        </w:tc>
        <w:tc>
          <w:tcPr>
            <w:tcW w:w="1219" w:type="dxa"/>
            <w:hideMark/>
          </w:tcPr>
          <w:p w14:paraId="1BFF23D3" w14:textId="14986B56" w:rsidR="007163F4" w:rsidRPr="00BF6615" w:rsidRDefault="00A305DE" w:rsidP="007E26B5">
            <w:pPr>
              <w:rPr>
                <w:lang w:eastAsia="pl-PL"/>
              </w:rPr>
            </w:pPr>
            <w:r w:rsidRPr="00BF6615">
              <w:rPr>
                <w:lang w:eastAsia="pl-PL"/>
              </w:rPr>
              <w:t>8</w:t>
            </w:r>
            <w:r w:rsidR="007163F4" w:rsidRPr="00BF6615">
              <w:rPr>
                <w:lang w:eastAsia="pl-PL"/>
              </w:rPr>
              <w:t>%</w:t>
            </w:r>
          </w:p>
        </w:tc>
      </w:tr>
    </w:tbl>
    <w:p w14:paraId="02F14F21" w14:textId="77777777" w:rsidR="007163F4" w:rsidRPr="00BF6615" w:rsidRDefault="007163F4" w:rsidP="007E26B5">
      <w:r w:rsidRPr="00BF6615">
        <w:t>Źródło: opracowanie własne.</w:t>
      </w:r>
    </w:p>
    <w:p w14:paraId="7E75663F" w14:textId="77777777" w:rsidR="007163F4" w:rsidRPr="00BF6615" w:rsidRDefault="007163F4" w:rsidP="007E26B5">
      <w:pPr>
        <w:rPr>
          <w:color w:val="4472C4" w:themeColor="accent1"/>
        </w:rPr>
      </w:pPr>
    </w:p>
    <w:p w14:paraId="78E0871B" w14:textId="77777777" w:rsidR="007163F4" w:rsidRPr="00BF6615" w:rsidRDefault="007163F4" w:rsidP="007E26B5">
      <w:pPr>
        <w:rPr>
          <w:color w:val="4472C4" w:themeColor="accent1"/>
        </w:rPr>
      </w:pPr>
    </w:p>
    <w:p w14:paraId="58AC1044" w14:textId="77777777" w:rsidR="007163F4" w:rsidRPr="00BF6615" w:rsidRDefault="007163F4" w:rsidP="007E26B5">
      <w:pPr>
        <w:rPr>
          <w:color w:val="4472C4" w:themeColor="accent1"/>
        </w:rPr>
        <w:sectPr w:rsidR="007163F4" w:rsidRPr="00BF6615" w:rsidSect="007163F4">
          <w:pgSz w:w="15840" w:h="12240" w:orient="landscape"/>
          <w:pgMar w:top="1440" w:right="1440" w:bottom="1440" w:left="1440" w:header="709" w:footer="709" w:gutter="0"/>
          <w:cols w:space="708"/>
          <w:titlePg/>
          <w:docGrid w:linePitch="360"/>
        </w:sectPr>
      </w:pPr>
    </w:p>
    <w:p w14:paraId="0F9251A7" w14:textId="77777777" w:rsidR="00655FC8" w:rsidRPr="00BF6615" w:rsidRDefault="00655FC8" w:rsidP="007E26B5">
      <w:r w:rsidRPr="00BF6615">
        <w:lastRenderedPageBreak/>
        <w:t>Na podstawie odpowiedzi z tej grupy na pytanie „Co byłoby dla Pani/Pana największym ułatwieniem w korzystaniu ze stron podmiotów publicznych?”, można wyróżnić 5 kluczowych wniosków:</w:t>
      </w:r>
    </w:p>
    <w:p w14:paraId="7B5323B2" w14:textId="77777777" w:rsidR="00655FC8" w:rsidRPr="00BF6615" w:rsidRDefault="00655FC8">
      <w:pPr>
        <w:pStyle w:val="Akapitzlist"/>
        <w:numPr>
          <w:ilvl w:val="0"/>
          <w:numId w:val="69"/>
        </w:numPr>
      </w:pPr>
      <w:r w:rsidRPr="00BF6615">
        <w:rPr>
          <w:b/>
        </w:rPr>
        <w:t>Przejrzystość i prostota</w:t>
      </w:r>
      <w:r w:rsidRPr="00BF6615">
        <w:t>- respondenci często wskazywali na potrzebę prostych, czytelnych stron z intuicyjną nawigacją, uproszczonym układem treści oraz jasnymi instrukcjami (np. „instrukcja poruszania się po stronie”, „prosty język”, „logiczne działanie”, „jasna nawigacja”).</w:t>
      </w:r>
    </w:p>
    <w:p w14:paraId="3F8D4E10" w14:textId="77777777" w:rsidR="00655FC8" w:rsidRPr="00BF6615" w:rsidRDefault="00655FC8">
      <w:pPr>
        <w:pStyle w:val="Akapitzlist"/>
        <w:numPr>
          <w:ilvl w:val="0"/>
          <w:numId w:val="69"/>
        </w:numPr>
      </w:pPr>
      <w:r w:rsidRPr="00BF6615">
        <w:rPr>
          <w:b/>
        </w:rPr>
        <w:t>Stabilność i szybkość działania</w:t>
      </w:r>
      <w:r w:rsidRPr="00BF6615">
        <w:t>- wielokrotnie pojawiały się oczekiwania dotyczące szybkości ładowania stron, braku awarii, łatwego przesyłania załączników oraz ogólnej niezawodności (np. „szybka reakcja na sprawę”, „działają dobrze”, „szybkość działania strony”).</w:t>
      </w:r>
    </w:p>
    <w:p w14:paraId="2AF892F5" w14:textId="3BD9DA28" w:rsidR="00655FC8" w:rsidRPr="00BF6615" w:rsidRDefault="00655FC8">
      <w:pPr>
        <w:pStyle w:val="Akapitzlist"/>
        <w:numPr>
          <w:ilvl w:val="0"/>
          <w:numId w:val="69"/>
        </w:numPr>
      </w:pPr>
      <w:r w:rsidRPr="00BF6615">
        <w:rPr>
          <w:b/>
        </w:rPr>
        <w:t>Stałość i spójność</w:t>
      </w:r>
      <w:r w:rsidRPr="00BF6615">
        <w:t xml:space="preserve">- użytkownicy zaznaczali, że niepożądane są częste zmiany </w:t>
      </w:r>
      <w:r w:rsidR="008B0B0A" w:rsidRPr="00BF6615">
        <w:t>w</w:t>
      </w:r>
      <w:r w:rsidR="008B0B0A">
        <w:t> </w:t>
      </w:r>
      <w:r w:rsidRPr="00BF6615">
        <w:t>układzie i sposobie działania stron – preferują stabilny wygląd i rozmieszczenie elementów („żeby strony nie zmieniały swojego układu”, „stała struktura”).</w:t>
      </w:r>
    </w:p>
    <w:p w14:paraId="1D2A7DFF" w14:textId="77777777" w:rsidR="00655FC8" w:rsidRPr="00BF6615" w:rsidRDefault="00655FC8">
      <w:pPr>
        <w:pStyle w:val="Akapitzlist"/>
        <w:numPr>
          <w:ilvl w:val="0"/>
          <w:numId w:val="69"/>
        </w:numPr>
      </w:pPr>
      <w:r w:rsidRPr="00BF6615">
        <w:rPr>
          <w:b/>
        </w:rPr>
        <w:t>Dostępność informacji i formularzy</w:t>
      </w:r>
      <w:r w:rsidRPr="00BF6615">
        <w:t>- wskazywano na potrzebę łatwego dostępu do formularzy, załączników, spisu treści, a także bieżących informacji dotyczących popularnych spraw („zakładka dot. spraw najpopularniejszych”, „łatwość wypełnienia wniosków”, „dostęp do formularzy”).</w:t>
      </w:r>
    </w:p>
    <w:p w14:paraId="023073EF" w14:textId="77777777" w:rsidR="00655FC8" w:rsidRPr="00BF6615" w:rsidRDefault="00655FC8">
      <w:pPr>
        <w:pStyle w:val="Akapitzlist"/>
        <w:numPr>
          <w:ilvl w:val="0"/>
          <w:numId w:val="69"/>
        </w:numPr>
      </w:pPr>
      <w:r w:rsidRPr="00BF6615">
        <w:rPr>
          <w:b/>
        </w:rPr>
        <w:t>Pomoc i wsparcie użytkownika (w tym AI)</w:t>
      </w:r>
      <w:r w:rsidRPr="00BF6615">
        <w:t>- pojawiły się głosy dotyczące potrzeby wsparcia w formie sztucznej inteligencji, automatycznych podpowiedzi czy lepszych wyjaśnień („pomoc AI”, „podpowiedź szybkie załatwić sprawę”, „jasność informacji, przystępność”).</w:t>
      </w:r>
    </w:p>
    <w:p w14:paraId="517E18A1" w14:textId="33CE750B" w:rsidR="00AF0782" w:rsidRPr="00BF6615" w:rsidRDefault="00AF0782" w:rsidP="007E26B5">
      <w:pPr>
        <w:sectPr w:rsidR="00AF0782" w:rsidRPr="00BF6615" w:rsidSect="00AF0782">
          <w:footerReference w:type="default" r:id="rId108"/>
          <w:pgSz w:w="12240" w:h="15840"/>
          <w:pgMar w:top="1440" w:right="1797" w:bottom="1440" w:left="1797" w:header="720" w:footer="720" w:gutter="0"/>
          <w:cols w:space="720"/>
          <w:docGrid w:linePitch="360"/>
        </w:sectPr>
      </w:pPr>
      <w:r w:rsidRPr="00BF6615">
        <w:t xml:space="preserve">Oczekiwania w stosunku do aplikacji mobilnych podmiotów publicznych w badanej grupie </w:t>
      </w:r>
      <w:r w:rsidR="007E26B5">
        <w:t>koncentrowały</w:t>
      </w:r>
      <w:r w:rsidRPr="00BF6615">
        <w:t xml:space="preserve"> się na łatwej nawigacji w aplikacji, przejrzystości informacji </w:t>
      </w:r>
      <w:r w:rsidR="008B0B0A" w:rsidRPr="00BF6615">
        <w:t>i</w:t>
      </w:r>
      <w:r w:rsidR="008B0B0A">
        <w:t> </w:t>
      </w:r>
      <w:r w:rsidRPr="00BF6615">
        <w:t>pisania treści w sposób zrozumiały. W badanej grupie tłumaczenia PJM były najmniej ważne</w:t>
      </w:r>
      <w:r w:rsidR="00001CD8" w:rsidRPr="00BF6615">
        <w:t>, pomimo, że w ocenach stron i aplikacji w tej grupie zwracano uwagę na brak tłumaczenia oceniając te n aspekt stron/aplikacji najniżej.</w:t>
      </w:r>
      <w:r w:rsidRPr="00BF6615">
        <w:t xml:space="preserve"> Całość danych zebrano </w:t>
      </w:r>
      <w:r w:rsidR="008B0B0A" w:rsidRPr="00BF6615">
        <w:t>w</w:t>
      </w:r>
      <w:r w:rsidR="008B0B0A">
        <w:t> </w:t>
      </w:r>
      <w:r w:rsidRPr="00BF6615">
        <w:t>poniższej tabeli</w:t>
      </w:r>
      <w:r w:rsidR="00001CD8" w:rsidRPr="00BF6615">
        <w:t>.</w:t>
      </w:r>
    </w:p>
    <w:p w14:paraId="63ADE540" w14:textId="447AC48B" w:rsidR="00CA3523" w:rsidRPr="00BF6615" w:rsidRDefault="00CA3523" w:rsidP="007E26B5">
      <w:pPr>
        <w:pStyle w:val="Legenda"/>
      </w:pPr>
      <w:bookmarkStart w:id="293" w:name="_Toc204179146"/>
      <w:r w:rsidRPr="00BF6615">
        <w:lastRenderedPageBreak/>
        <w:t xml:space="preserve">Tabela </w:t>
      </w:r>
      <w:r w:rsidRPr="00BF6615">
        <w:fldChar w:fldCharType="begin"/>
      </w:r>
      <w:r w:rsidRPr="00BF6615">
        <w:instrText xml:space="preserve"> SEQ Tabela \* ARABIC </w:instrText>
      </w:r>
      <w:r w:rsidRPr="00BF6615">
        <w:fldChar w:fldCharType="separate"/>
      </w:r>
      <w:r w:rsidR="00FD0843">
        <w:rPr>
          <w:noProof/>
        </w:rPr>
        <w:t>48</w:t>
      </w:r>
      <w:r w:rsidRPr="00BF6615">
        <w:fldChar w:fldCharType="end"/>
      </w:r>
      <w:r w:rsidR="00FD0843">
        <w:t>.</w:t>
      </w:r>
      <w:r w:rsidRPr="00BF6615">
        <w:t xml:space="preserve"> Oczekiwania w stosunku do aplikacji mobilnych wg kryterium ważności w grupie </w:t>
      </w:r>
      <w:r w:rsidR="00064651" w:rsidRPr="00BF6615">
        <w:t>osoby 60+</w:t>
      </w:r>
      <w:bookmarkEnd w:id="293"/>
    </w:p>
    <w:tbl>
      <w:tblPr>
        <w:tblStyle w:val="PARP"/>
        <w:tblW w:w="13858" w:type="dxa"/>
        <w:tblInd w:w="-856" w:type="dxa"/>
        <w:tblLook w:val="04A0" w:firstRow="1" w:lastRow="0" w:firstColumn="1" w:lastColumn="0" w:noHBand="0" w:noVBand="1"/>
        <w:tblCaption w:val="Oczekiwania w stosunku do aplikacji mobilnych wg kryterium ważności w grupie osoby 60+"/>
        <w:tblDescription w:val="Oczekiwania w stosunku do aplikacji mobilnych wg kryterium ważności w grupie osoby 60+"/>
      </w:tblPr>
      <w:tblGrid>
        <w:gridCol w:w="1066"/>
        <w:gridCol w:w="1444"/>
        <w:gridCol w:w="1283"/>
        <w:gridCol w:w="1092"/>
        <w:gridCol w:w="1305"/>
        <w:gridCol w:w="1330"/>
        <w:gridCol w:w="1218"/>
        <w:gridCol w:w="1069"/>
        <w:gridCol w:w="1413"/>
        <w:gridCol w:w="1392"/>
        <w:gridCol w:w="1246"/>
      </w:tblGrid>
      <w:tr w:rsidR="00BA771C" w:rsidRPr="00BF6615" w14:paraId="67306123" w14:textId="77777777" w:rsidTr="00FD0843">
        <w:trPr>
          <w:cnfStyle w:val="100000000000" w:firstRow="1" w:lastRow="0" w:firstColumn="0" w:lastColumn="0" w:oddVBand="0" w:evenVBand="0" w:oddHBand="0" w:evenHBand="0" w:firstRowFirstColumn="0" w:firstRowLastColumn="0" w:lastRowFirstColumn="0" w:lastRowLastColumn="0"/>
          <w:trHeight w:val="2503"/>
        </w:trPr>
        <w:tc>
          <w:tcPr>
            <w:tcW w:w="1066" w:type="dxa"/>
            <w:hideMark/>
          </w:tcPr>
          <w:p w14:paraId="4A997B5E" w14:textId="77777777" w:rsidR="00CA3523" w:rsidRPr="00BF6615" w:rsidRDefault="00CA3523" w:rsidP="00FD0843">
            <w:pPr>
              <w:rPr>
                <w:rFonts w:ascii="Times New Roman" w:hAnsi="Times New Roman"/>
                <w:sz w:val="22"/>
                <w:lang w:eastAsia="pl-PL"/>
              </w:rPr>
            </w:pPr>
            <w:r w:rsidRPr="00BF6615">
              <w:rPr>
                <w:sz w:val="22"/>
                <w:lang w:eastAsia="pl-PL"/>
              </w:rPr>
              <w:t>Ocena</w:t>
            </w:r>
          </w:p>
        </w:tc>
        <w:tc>
          <w:tcPr>
            <w:tcW w:w="1444" w:type="dxa"/>
            <w:hideMark/>
          </w:tcPr>
          <w:p w14:paraId="7D1EA6A0" w14:textId="77777777" w:rsidR="00CA3523" w:rsidRPr="00BF6615" w:rsidRDefault="00CA3523" w:rsidP="00FD0843">
            <w:pPr>
              <w:rPr>
                <w:sz w:val="22"/>
                <w:lang w:eastAsia="pl-PL"/>
              </w:rPr>
            </w:pPr>
            <w:r w:rsidRPr="00BF6615">
              <w:rPr>
                <w:sz w:val="22"/>
                <w:lang w:eastAsia="pl-PL"/>
              </w:rPr>
              <w:t xml:space="preserve"> Łatwa nawigacja w aplikacji</w:t>
            </w:r>
          </w:p>
        </w:tc>
        <w:tc>
          <w:tcPr>
            <w:tcW w:w="1283" w:type="dxa"/>
            <w:hideMark/>
          </w:tcPr>
          <w:p w14:paraId="1BEB5465" w14:textId="7D5582C7" w:rsidR="00CA3523" w:rsidRPr="00BF6615" w:rsidRDefault="00CA3523" w:rsidP="00FD0843">
            <w:pPr>
              <w:rPr>
                <w:sz w:val="22"/>
                <w:lang w:eastAsia="pl-PL"/>
              </w:rPr>
            </w:pPr>
            <w:r w:rsidRPr="00BF6615">
              <w:rPr>
                <w:sz w:val="22"/>
                <w:lang w:eastAsia="pl-PL"/>
              </w:rPr>
              <w:t>Przejrzystość informacji</w:t>
            </w:r>
          </w:p>
        </w:tc>
        <w:tc>
          <w:tcPr>
            <w:tcW w:w="1092" w:type="dxa"/>
            <w:hideMark/>
          </w:tcPr>
          <w:p w14:paraId="2E115B5E" w14:textId="77777777" w:rsidR="00CA3523" w:rsidRPr="00BF6615" w:rsidRDefault="00CA3523" w:rsidP="00FD0843">
            <w:pPr>
              <w:rPr>
                <w:sz w:val="22"/>
                <w:lang w:eastAsia="pl-PL"/>
              </w:rPr>
            </w:pPr>
            <w:r w:rsidRPr="00BF6615">
              <w:rPr>
                <w:sz w:val="22"/>
                <w:lang w:eastAsia="pl-PL"/>
              </w:rPr>
              <w:t xml:space="preserve"> Treści napisane w sposób zrozumiały</w:t>
            </w:r>
          </w:p>
        </w:tc>
        <w:tc>
          <w:tcPr>
            <w:tcW w:w="1305" w:type="dxa"/>
            <w:hideMark/>
          </w:tcPr>
          <w:p w14:paraId="6AEAF339" w14:textId="77777777" w:rsidR="00CA3523" w:rsidRPr="00BF6615" w:rsidRDefault="00CA3523" w:rsidP="00FD0843">
            <w:pPr>
              <w:rPr>
                <w:sz w:val="22"/>
                <w:lang w:eastAsia="pl-PL"/>
              </w:rPr>
            </w:pPr>
            <w:r w:rsidRPr="00BF6615">
              <w:rPr>
                <w:sz w:val="22"/>
                <w:lang w:eastAsia="pl-PL"/>
              </w:rPr>
              <w:t xml:space="preserve"> Dostępność na różnych urządzeniach</w:t>
            </w:r>
          </w:p>
        </w:tc>
        <w:tc>
          <w:tcPr>
            <w:tcW w:w="1330" w:type="dxa"/>
            <w:hideMark/>
          </w:tcPr>
          <w:p w14:paraId="5281B5E3" w14:textId="77777777" w:rsidR="00CA3523" w:rsidRPr="00BF6615" w:rsidRDefault="00CA3523" w:rsidP="00FD0843">
            <w:pPr>
              <w:rPr>
                <w:sz w:val="22"/>
                <w:lang w:eastAsia="pl-PL"/>
              </w:rPr>
            </w:pPr>
            <w:r w:rsidRPr="00BF6615">
              <w:rPr>
                <w:sz w:val="22"/>
                <w:lang w:eastAsia="pl-PL"/>
              </w:rPr>
              <w:t xml:space="preserve"> Ułatwienia dostępności (np. możliwość powiększenia tekstu, zmiany kolorów, itp.)</w:t>
            </w:r>
          </w:p>
        </w:tc>
        <w:tc>
          <w:tcPr>
            <w:tcW w:w="1218" w:type="dxa"/>
            <w:hideMark/>
          </w:tcPr>
          <w:p w14:paraId="552B99C2" w14:textId="77777777" w:rsidR="00CA3523" w:rsidRPr="00BF6615" w:rsidRDefault="00CA3523" w:rsidP="00FD0843">
            <w:pPr>
              <w:rPr>
                <w:sz w:val="22"/>
                <w:lang w:eastAsia="pl-PL"/>
              </w:rPr>
            </w:pPr>
            <w:r w:rsidRPr="00BF6615">
              <w:rPr>
                <w:sz w:val="22"/>
                <w:lang w:eastAsia="pl-PL"/>
              </w:rPr>
              <w:t xml:space="preserve"> Zrozumiałe ostrzeżenia o błędnym wypełnieniu formularzy oraz propozycje poprawy</w:t>
            </w:r>
          </w:p>
        </w:tc>
        <w:tc>
          <w:tcPr>
            <w:tcW w:w="1069" w:type="dxa"/>
            <w:hideMark/>
          </w:tcPr>
          <w:p w14:paraId="04B68E95" w14:textId="5486FA10" w:rsidR="00CA3523" w:rsidRPr="00BF6615" w:rsidRDefault="00CA3523" w:rsidP="00FD0843">
            <w:pPr>
              <w:rPr>
                <w:sz w:val="22"/>
                <w:lang w:eastAsia="pl-PL"/>
              </w:rPr>
            </w:pPr>
            <w:r w:rsidRPr="00BF6615">
              <w:rPr>
                <w:sz w:val="22"/>
                <w:lang w:eastAsia="pl-PL"/>
              </w:rPr>
              <w:t>Możliwość łatwego kontaktu z urzędem</w:t>
            </w:r>
          </w:p>
        </w:tc>
        <w:tc>
          <w:tcPr>
            <w:tcW w:w="1413" w:type="dxa"/>
            <w:hideMark/>
          </w:tcPr>
          <w:p w14:paraId="6A889B34" w14:textId="77777777" w:rsidR="00CA3523" w:rsidRPr="00BF6615" w:rsidRDefault="00CA3523" w:rsidP="00FD0843">
            <w:pPr>
              <w:rPr>
                <w:sz w:val="22"/>
                <w:lang w:eastAsia="pl-PL"/>
              </w:rPr>
            </w:pPr>
            <w:r w:rsidRPr="00BF6615">
              <w:rPr>
                <w:sz w:val="22"/>
                <w:lang w:eastAsia="pl-PL"/>
              </w:rPr>
              <w:t>Zrozumiałe materiały multimedialne i graficzne</w:t>
            </w:r>
          </w:p>
        </w:tc>
        <w:tc>
          <w:tcPr>
            <w:tcW w:w="1392" w:type="dxa"/>
            <w:hideMark/>
          </w:tcPr>
          <w:p w14:paraId="15B7191F" w14:textId="77777777" w:rsidR="00CA3523" w:rsidRPr="00BF6615" w:rsidRDefault="00CA3523" w:rsidP="00FD0843">
            <w:pPr>
              <w:rPr>
                <w:sz w:val="22"/>
                <w:lang w:eastAsia="pl-PL"/>
              </w:rPr>
            </w:pPr>
            <w:r w:rsidRPr="00BF6615">
              <w:rPr>
                <w:sz w:val="22"/>
                <w:lang w:eastAsia="pl-PL"/>
              </w:rPr>
              <w:t>Tłumaczenia treści na Polski język migowy (PJM)</w:t>
            </w:r>
          </w:p>
        </w:tc>
        <w:tc>
          <w:tcPr>
            <w:tcW w:w="1246" w:type="dxa"/>
            <w:hideMark/>
          </w:tcPr>
          <w:p w14:paraId="2C4B7E13" w14:textId="593415B2" w:rsidR="00CA3523" w:rsidRPr="00BF6615" w:rsidRDefault="00CA3523" w:rsidP="00FD0843">
            <w:pPr>
              <w:rPr>
                <w:sz w:val="22"/>
                <w:lang w:eastAsia="pl-PL"/>
              </w:rPr>
            </w:pPr>
            <w:r w:rsidRPr="00BF6615">
              <w:rPr>
                <w:sz w:val="22"/>
                <w:lang w:eastAsia="pl-PL"/>
              </w:rPr>
              <w:t>Informacje w tekście łatwym do czytania i zrozumienia (ETR)</w:t>
            </w:r>
          </w:p>
        </w:tc>
      </w:tr>
      <w:tr w:rsidR="00BA771C" w:rsidRPr="00BF6615" w14:paraId="39A95BD2" w14:textId="77777777">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460B6B6F" w14:textId="77777777" w:rsidR="00CA3523" w:rsidRPr="00BF6615" w:rsidRDefault="00CA3523" w:rsidP="007E26B5">
            <w:pPr>
              <w:rPr>
                <w:lang w:eastAsia="pl-PL"/>
              </w:rPr>
            </w:pPr>
            <w:r w:rsidRPr="00BF6615">
              <w:rPr>
                <w:lang w:eastAsia="pl-PL"/>
              </w:rPr>
              <w:t xml:space="preserve">bardzo ważne </w:t>
            </w:r>
          </w:p>
        </w:tc>
        <w:tc>
          <w:tcPr>
            <w:tcW w:w="1444" w:type="dxa"/>
            <w:vAlign w:val="center"/>
          </w:tcPr>
          <w:p w14:paraId="3F25547F" w14:textId="53F997D3" w:rsidR="00CA3523" w:rsidRPr="00BF6615" w:rsidRDefault="004A0F28" w:rsidP="007E26B5">
            <w:pPr>
              <w:rPr>
                <w:lang w:eastAsia="pl-PL"/>
              </w:rPr>
            </w:pPr>
            <w:r w:rsidRPr="00BF6615">
              <w:rPr>
                <w:lang w:eastAsia="pl-PL"/>
              </w:rPr>
              <w:t>6</w:t>
            </w:r>
            <w:r w:rsidR="000A5F39" w:rsidRPr="00BF6615">
              <w:rPr>
                <w:lang w:eastAsia="pl-PL"/>
              </w:rPr>
              <w:t>7</w:t>
            </w:r>
            <w:r w:rsidRPr="00BF6615">
              <w:rPr>
                <w:lang w:eastAsia="pl-PL"/>
              </w:rPr>
              <w:t>%</w:t>
            </w:r>
          </w:p>
        </w:tc>
        <w:tc>
          <w:tcPr>
            <w:tcW w:w="1283" w:type="dxa"/>
            <w:vAlign w:val="center"/>
          </w:tcPr>
          <w:p w14:paraId="16275771" w14:textId="164679CE" w:rsidR="00CA3523" w:rsidRPr="00BF6615" w:rsidRDefault="002F44B8" w:rsidP="007E26B5">
            <w:pPr>
              <w:rPr>
                <w:lang w:eastAsia="pl-PL"/>
              </w:rPr>
            </w:pPr>
            <w:r w:rsidRPr="00BF6615">
              <w:rPr>
                <w:lang w:eastAsia="pl-PL"/>
              </w:rPr>
              <w:t>70%</w:t>
            </w:r>
          </w:p>
        </w:tc>
        <w:tc>
          <w:tcPr>
            <w:tcW w:w="1092" w:type="dxa"/>
            <w:vAlign w:val="center"/>
          </w:tcPr>
          <w:p w14:paraId="7E525294" w14:textId="4FF71359" w:rsidR="00CA3523" w:rsidRPr="00BF6615" w:rsidRDefault="000D445F" w:rsidP="007E26B5">
            <w:pPr>
              <w:rPr>
                <w:lang w:eastAsia="pl-PL"/>
              </w:rPr>
            </w:pPr>
            <w:r w:rsidRPr="00BF6615">
              <w:rPr>
                <w:lang w:eastAsia="pl-PL"/>
              </w:rPr>
              <w:t>72%</w:t>
            </w:r>
          </w:p>
        </w:tc>
        <w:tc>
          <w:tcPr>
            <w:tcW w:w="1305" w:type="dxa"/>
            <w:vAlign w:val="center"/>
          </w:tcPr>
          <w:p w14:paraId="3736F160" w14:textId="14AB5833" w:rsidR="00CA3523" w:rsidRPr="00BF6615" w:rsidRDefault="00752AB2" w:rsidP="007E26B5">
            <w:pPr>
              <w:rPr>
                <w:lang w:eastAsia="pl-PL"/>
              </w:rPr>
            </w:pPr>
            <w:r w:rsidRPr="00BF6615">
              <w:rPr>
                <w:lang w:eastAsia="pl-PL"/>
              </w:rPr>
              <w:t>50</w:t>
            </w:r>
            <w:r w:rsidR="001E59D5" w:rsidRPr="00BF6615">
              <w:rPr>
                <w:lang w:eastAsia="pl-PL"/>
              </w:rPr>
              <w:t>%</w:t>
            </w:r>
          </w:p>
        </w:tc>
        <w:tc>
          <w:tcPr>
            <w:tcW w:w="1330" w:type="dxa"/>
            <w:vAlign w:val="center"/>
          </w:tcPr>
          <w:p w14:paraId="51D6C238" w14:textId="6507532A" w:rsidR="00CA3523" w:rsidRPr="00BF6615" w:rsidRDefault="00842485" w:rsidP="007E26B5">
            <w:pPr>
              <w:rPr>
                <w:lang w:eastAsia="pl-PL"/>
              </w:rPr>
            </w:pPr>
            <w:r w:rsidRPr="00BF6615">
              <w:rPr>
                <w:lang w:eastAsia="pl-PL"/>
              </w:rPr>
              <w:t>4</w:t>
            </w:r>
            <w:r w:rsidR="004F1851" w:rsidRPr="00BF6615">
              <w:rPr>
                <w:lang w:eastAsia="pl-PL"/>
              </w:rPr>
              <w:t>7</w:t>
            </w:r>
            <w:r w:rsidRPr="00BF6615">
              <w:rPr>
                <w:lang w:eastAsia="pl-PL"/>
              </w:rPr>
              <w:t>%</w:t>
            </w:r>
          </w:p>
        </w:tc>
        <w:tc>
          <w:tcPr>
            <w:tcW w:w="1218" w:type="dxa"/>
            <w:vAlign w:val="center"/>
          </w:tcPr>
          <w:p w14:paraId="36E5D016" w14:textId="0624B8EB" w:rsidR="00CA3523" w:rsidRPr="00BF6615" w:rsidRDefault="00377463" w:rsidP="007E26B5">
            <w:pPr>
              <w:rPr>
                <w:lang w:eastAsia="pl-PL"/>
              </w:rPr>
            </w:pPr>
            <w:r w:rsidRPr="00BF6615">
              <w:rPr>
                <w:lang w:eastAsia="pl-PL"/>
              </w:rPr>
              <w:t>61%</w:t>
            </w:r>
          </w:p>
        </w:tc>
        <w:tc>
          <w:tcPr>
            <w:tcW w:w="1069" w:type="dxa"/>
            <w:vAlign w:val="center"/>
          </w:tcPr>
          <w:p w14:paraId="296CAB7E" w14:textId="04FC220D" w:rsidR="00CA3523" w:rsidRPr="00BF6615" w:rsidRDefault="0011638D" w:rsidP="007E26B5">
            <w:pPr>
              <w:rPr>
                <w:lang w:eastAsia="pl-PL"/>
              </w:rPr>
            </w:pPr>
            <w:r w:rsidRPr="00BF6615">
              <w:rPr>
                <w:lang w:eastAsia="pl-PL"/>
              </w:rPr>
              <w:t>60%</w:t>
            </w:r>
          </w:p>
        </w:tc>
        <w:tc>
          <w:tcPr>
            <w:tcW w:w="1413" w:type="dxa"/>
            <w:vAlign w:val="center"/>
          </w:tcPr>
          <w:p w14:paraId="48FBCFE6" w14:textId="017496E6" w:rsidR="00CA3523" w:rsidRPr="00BF6615" w:rsidRDefault="00B206A8" w:rsidP="007E26B5">
            <w:pPr>
              <w:rPr>
                <w:lang w:eastAsia="pl-PL"/>
              </w:rPr>
            </w:pPr>
            <w:r w:rsidRPr="00BF6615">
              <w:rPr>
                <w:lang w:eastAsia="pl-PL"/>
              </w:rPr>
              <w:t>46%</w:t>
            </w:r>
          </w:p>
        </w:tc>
        <w:tc>
          <w:tcPr>
            <w:tcW w:w="1392" w:type="dxa"/>
            <w:vAlign w:val="center"/>
          </w:tcPr>
          <w:p w14:paraId="7F637D32" w14:textId="30A4756F" w:rsidR="00CA3523" w:rsidRPr="00BF6615" w:rsidRDefault="0048268E" w:rsidP="007E26B5">
            <w:pPr>
              <w:rPr>
                <w:lang w:eastAsia="pl-PL"/>
              </w:rPr>
            </w:pPr>
            <w:r w:rsidRPr="00BF6615">
              <w:rPr>
                <w:lang w:eastAsia="pl-PL"/>
              </w:rPr>
              <w:t>22%</w:t>
            </w:r>
          </w:p>
        </w:tc>
        <w:tc>
          <w:tcPr>
            <w:tcW w:w="1246" w:type="dxa"/>
            <w:vAlign w:val="center"/>
          </w:tcPr>
          <w:p w14:paraId="26C6F4C8" w14:textId="7A6E31F2" w:rsidR="00CA3523" w:rsidRPr="00BF6615" w:rsidRDefault="007554EF" w:rsidP="007E26B5">
            <w:pPr>
              <w:rPr>
                <w:lang w:eastAsia="pl-PL"/>
              </w:rPr>
            </w:pPr>
            <w:r w:rsidRPr="00BF6615">
              <w:rPr>
                <w:lang w:eastAsia="pl-PL"/>
              </w:rPr>
              <w:t>44%</w:t>
            </w:r>
          </w:p>
        </w:tc>
      </w:tr>
      <w:tr w:rsidR="00BA771C" w:rsidRPr="00BF6615" w14:paraId="42A9031C" w14:textId="77777777">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313465DA" w14:textId="77777777" w:rsidR="00CA3523" w:rsidRPr="00BF6615" w:rsidRDefault="00CA3523" w:rsidP="007E26B5">
            <w:pPr>
              <w:rPr>
                <w:lang w:eastAsia="pl-PL"/>
              </w:rPr>
            </w:pPr>
            <w:r w:rsidRPr="00BF6615">
              <w:rPr>
                <w:lang w:eastAsia="pl-PL"/>
              </w:rPr>
              <w:t>ważne</w:t>
            </w:r>
          </w:p>
        </w:tc>
        <w:tc>
          <w:tcPr>
            <w:tcW w:w="1444" w:type="dxa"/>
            <w:vAlign w:val="center"/>
          </w:tcPr>
          <w:p w14:paraId="42341883" w14:textId="123171A6" w:rsidR="00CA3523" w:rsidRPr="00BF6615" w:rsidRDefault="004A0F28" w:rsidP="007E26B5">
            <w:pPr>
              <w:rPr>
                <w:lang w:eastAsia="pl-PL"/>
              </w:rPr>
            </w:pPr>
            <w:r w:rsidRPr="00BF6615">
              <w:rPr>
                <w:lang w:eastAsia="pl-PL"/>
              </w:rPr>
              <w:t>20%</w:t>
            </w:r>
          </w:p>
        </w:tc>
        <w:tc>
          <w:tcPr>
            <w:tcW w:w="1283" w:type="dxa"/>
            <w:vAlign w:val="center"/>
          </w:tcPr>
          <w:p w14:paraId="639D3BE5" w14:textId="3B36163E" w:rsidR="00CA3523" w:rsidRPr="00BF6615" w:rsidRDefault="008D09EE" w:rsidP="007E26B5">
            <w:pPr>
              <w:rPr>
                <w:lang w:eastAsia="pl-PL"/>
              </w:rPr>
            </w:pPr>
            <w:r w:rsidRPr="00BF6615">
              <w:rPr>
                <w:lang w:eastAsia="pl-PL"/>
              </w:rPr>
              <w:t>22%</w:t>
            </w:r>
          </w:p>
        </w:tc>
        <w:tc>
          <w:tcPr>
            <w:tcW w:w="1092" w:type="dxa"/>
            <w:vAlign w:val="center"/>
          </w:tcPr>
          <w:p w14:paraId="220FA605" w14:textId="5CEC7E29" w:rsidR="00CA3523" w:rsidRPr="00BF6615" w:rsidRDefault="00A01B66" w:rsidP="007E26B5">
            <w:pPr>
              <w:rPr>
                <w:lang w:eastAsia="pl-PL"/>
              </w:rPr>
            </w:pPr>
            <w:r w:rsidRPr="00BF6615">
              <w:rPr>
                <w:lang w:eastAsia="pl-PL"/>
              </w:rPr>
              <w:t>20%</w:t>
            </w:r>
          </w:p>
        </w:tc>
        <w:tc>
          <w:tcPr>
            <w:tcW w:w="1305" w:type="dxa"/>
            <w:vAlign w:val="center"/>
          </w:tcPr>
          <w:p w14:paraId="4D60E1E3" w14:textId="6CA59226" w:rsidR="00CA3523" w:rsidRPr="00BF6615" w:rsidRDefault="00364D09" w:rsidP="007E26B5">
            <w:pPr>
              <w:rPr>
                <w:lang w:eastAsia="pl-PL"/>
              </w:rPr>
            </w:pPr>
            <w:r w:rsidRPr="00BF6615">
              <w:rPr>
                <w:lang w:eastAsia="pl-PL"/>
              </w:rPr>
              <w:t>29%</w:t>
            </w:r>
          </w:p>
        </w:tc>
        <w:tc>
          <w:tcPr>
            <w:tcW w:w="1330" w:type="dxa"/>
            <w:vAlign w:val="center"/>
          </w:tcPr>
          <w:p w14:paraId="18C693AA" w14:textId="0CD271E7" w:rsidR="00CA3523" w:rsidRPr="00BF6615" w:rsidRDefault="00D85CBF" w:rsidP="007E26B5">
            <w:pPr>
              <w:rPr>
                <w:lang w:eastAsia="pl-PL"/>
              </w:rPr>
            </w:pPr>
            <w:r w:rsidRPr="00BF6615">
              <w:rPr>
                <w:lang w:eastAsia="pl-PL"/>
              </w:rPr>
              <w:t>30%</w:t>
            </w:r>
          </w:p>
        </w:tc>
        <w:tc>
          <w:tcPr>
            <w:tcW w:w="1218" w:type="dxa"/>
            <w:vAlign w:val="center"/>
          </w:tcPr>
          <w:p w14:paraId="151B9E34" w14:textId="59329437" w:rsidR="00CA3523" w:rsidRPr="00BF6615" w:rsidRDefault="00F04041" w:rsidP="007E26B5">
            <w:pPr>
              <w:rPr>
                <w:lang w:eastAsia="pl-PL"/>
              </w:rPr>
            </w:pPr>
            <w:r w:rsidRPr="00BF6615">
              <w:rPr>
                <w:lang w:eastAsia="pl-PL"/>
              </w:rPr>
              <w:t>28%</w:t>
            </w:r>
          </w:p>
        </w:tc>
        <w:tc>
          <w:tcPr>
            <w:tcW w:w="1069" w:type="dxa"/>
            <w:vAlign w:val="center"/>
          </w:tcPr>
          <w:p w14:paraId="5F90E244" w14:textId="4D6CFA29" w:rsidR="00CA3523" w:rsidRPr="00BF6615" w:rsidRDefault="001A7C13" w:rsidP="007E26B5">
            <w:pPr>
              <w:rPr>
                <w:lang w:eastAsia="pl-PL"/>
              </w:rPr>
            </w:pPr>
            <w:r w:rsidRPr="00BF6615">
              <w:rPr>
                <w:lang w:eastAsia="pl-PL"/>
              </w:rPr>
              <w:t>24%</w:t>
            </w:r>
          </w:p>
        </w:tc>
        <w:tc>
          <w:tcPr>
            <w:tcW w:w="1413" w:type="dxa"/>
            <w:vAlign w:val="center"/>
          </w:tcPr>
          <w:p w14:paraId="54453F71" w14:textId="3A901DE5" w:rsidR="00CA3523" w:rsidRPr="00BF6615" w:rsidRDefault="009D097E" w:rsidP="007E26B5">
            <w:pPr>
              <w:rPr>
                <w:lang w:eastAsia="pl-PL"/>
              </w:rPr>
            </w:pPr>
            <w:r w:rsidRPr="00BF6615">
              <w:rPr>
                <w:lang w:eastAsia="pl-PL"/>
              </w:rPr>
              <w:t>39%</w:t>
            </w:r>
          </w:p>
        </w:tc>
        <w:tc>
          <w:tcPr>
            <w:tcW w:w="1392" w:type="dxa"/>
            <w:vAlign w:val="center"/>
          </w:tcPr>
          <w:p w14:paraId="7F9FABBD" w14:textId="78CD4497" w:rsidR="00CA3523" w:rsidRPr="00BF6615" w:rsidRDefault="0075025D" w:rsidP="007E26B5">
            <w:pPr>
              <w:rPr>
                <w:lang w:eastAsia="pl-PL"/>
              </w:rPr>
            </w:pPr>
            <w:r w:rsidRPr="00BF6615">
              <w:rPr>
                <w:lang w:eastAsia="pl-PL"/>
              </w:rPr>
              <w:t>10%</w:t>
            </w:r>
          </w:p>
        </w:tc>
        <w:tc>
          <w:tcPr>
            <w:tcW w:w="1246" w:type="dxa"/>
            <w:vAlign w:val="center"/>
          </w:tcPr>
          <w:p w14:paraId="2B8C5BC3" w14:textId="758F9D4C" w:rsidR="00CA3523" w:rsidRPr="00BF6615" w:rsidRDefault="00741FBD" w:rsidP="007E26B5">
            <w:pPr>
              <w:rPr>
                <w:lang w:eastAsia="pl-PL"/>
              </w:rPr>
            </w:pPr>
            <w:r w:rsidRPr="00BF6615">
              <w:rPr>
                <w:lang w:eastAsia="pl-PL"/>
              </w:rPr>
              <w:t>24%</w:t>
            </w:r>
          </w:p>
        </w:tc>
      </w:tr>
      <w:tr w:rsidR="00BA771C" w:rsidRPr="00BF6615" w14:paraId="6FB9753E" w14:textId="77777777">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68E916A5" w14:textId="77777777" w:rsidR="00CA3523" w:rsidRPr="00BF6615" w:rsidRDefault="00CA3523" w:rsidP="007E26B5">
            <w:pPr>
              <w:rPr>
                <w:lang w:eastAsia="pl-PL"/>
              </w:rPr>
            </w:pPr>
            <w:r w:rsidRPr="00BF6615">
              <w:rPr>
                <w:lang w:eastAsia="pl-PL"/>
              </w:rPr>
              <w:t>neutralne</w:t>
            </w:r>
          </w:p>
        </w:tc>
        <w:tc>
          <w:tcPr>
            <w:tcW w:w="1444" w:type="dxa"/>
            <w:vAlign w:val="center"/>
          </w:tcPr>
          <w:p w14:paraId="5116B11A" w14:textId="400B77A7" w:rsidR="00CA3523" w:rsidRPr="00BF6615" w:rsidRDefault="004A0F28" w:rsidP="007E26B5">
            <w:pPr>
              <w:rPr>
                <w:lang w:eastAsia="pl-PL"/>
              </w:rPr>
            </w:pPr>
            <w:r w:rsidRPr="00BF6615">
              <w:rPr>
                <w:lang w:eastAsia="pl-PL"/>
              </w:rPr>
              <w:t>10%</w:t>
            </w:r>
          </w:p>
        </w:tc>
        <w:tc>
          <w:tcPr>
            <w:tcW w:w="1283" w:type="dxa"/>
            <w:vAlign w:val="center"/>
          </w:tcPr>
          <w:p w14:paraId="6E950144" w14:textId="05D29B1C" w:rsidR="00CA3523" w:rsidRPr="00BF6615" w:rsidRDefault="007079D2" w:rsidP="007E26B5">
            <w:pPr>
              <w:rPr>
                <w:lang w:eastAsia="pl-PL"/>
              </w:rPr>
            </w:pPr>
            <w:r w:rsidRPr="00BF6615">
              <w:rPr>
                <w:lang w:eastAsia="pl-PL"/>
              </w:rPr>
              <w:t>5%</w:t>
            </w:r>
          </w:p>
        </w:tc>
        <w:tc>
          <w:tcPr>
            <w:tcW w:w="1092" w:type="dxa"/>
            <w:vAlign w:val="center"/>
          </w:tcPr>
          <w:p w14:paraId="655E9133" w14:textId="02EDC9B5" w:rsidR="00CA3523" w:rsidRPr="00BF6615" w:rsidRDefault="00F55DEB" w:rsidP="007E26B5">
            <w:pPr>
              <w:rPr>
                <w:lang w:eastAsia="pl-PL"/>
              </w:rPr>
            </w:pPr>
            <w:r w:rsidRPr="00BF6615">
              <w:rPr>
                <w:lang w:eastAsia="pl-PL"/>
              </w:rPr>
              <w:t>6%</w:t>
            </w:r>
          </w:p>
        </w:tc>
        <w:tc>
          <w:tcPr>
            <w:tcW w:w="1305" w:type="dxa"/>
            <w:vAlign w:val="center"/>
          </w:tcPr>
          <w:p w14:paraId="77F54956" w14:textId="58DF3F75" w:rsidR="00CA3523" w:rsidRPr="00BF6615" w:rsidRDefault="00174C50" w:rsidP="007E26B5">
            <w:pPr>
              <w:rPr>
                <w:lang w:eastAsia="pl-PL"/>
              </w:rPr>
            </w:pPr>
            <w:r w:rsidRPr="00BF6615">
              <w:rPr>
                <w:lang w:eastAsia="pl-PL"/>
              </w:rPr>
              <w:t>13%</w:t>
            </w:r>
          </w:p>
        </w:tc>
        <w:tc>
          <w:tcPr>
            <w:tcW w:w="1330" w:type="dxa"/>
            <w:vAlign w:val="center"/>
          </w:tcPr>
          <w:p w14:paraId="180B5318" w14:textId="3A0902E8" w:rsidR="00CA3523" w:rsidRPr="00BF6615" w:rsidRDefault="00C90652" w:rsidP="007E26B5">
            <w:pPr>
              <w:rPr>
                <w:lang w:eastAsia="pl-PL"/>
              </w:rPr>
            </w:pPr>
            <w:r w:rsidRPr="00BF6615">
              <w:rPr>
                <w:lang w:eastAsia="pl-PL"/>
              </w:rPr>
              <w:t>17%</w:t>
            </w:r>
          </w:p>
        </w:tc>
        <w:tc>
          <w:tcPr>
            <w:tcW w:w="1218" w:type="dxa"/>
            <w:vAlign w:val="center"/>
          </w:tcPr>
          <w:p w14:paraId="057F7419" w14:textId="0D038647" w:rsidR="00CA3523" w:rsidRPr="00BF6615" w:rsidRDefault="00965852" w:rsidP="007E26B5">
            <w:pPr>
              <w:rPr>
                <w:lang w:eastAsia="pl-PL"/>
              </w:rPr>
            </w:pPr>
            <w:r w:rsidRPr="00BF6615">
              <w:rPr>
                <w:lang w:eastAsia="pl-PL"/>
              </w:rPr>
              <w:t>9%</w:t>
            </w:r>
          </w:p>
        </w:tc>
        <w:tc>
          <w:tcPr>
            <w:tcW w:w="1069" w:type="dxa"/>
            <w:vAlign w:val="center"/>
          </w:tcPr>
          <w:p w14:paraId="0595954A" w14:textId="739D4C61" w:rsidR="00CA3523" w:rsidRPr="00BF6615" w:rsidRDefault="00704B6E" w:rsidP="007E26B5">
            <w:pPr>
              <w:rPr>
                <w:lang w:eastAsia="pl-PL"/>
              </w:rPr>
            </w:pPr>
            <w:r w:rsidRPr="00BF6615">
              <w:rPr>
                <w:lang w:eastAsia="pl-PL"/>
              </w:rPr>
              <w:t>9%</w:t>
            </w:r>
          </w:p>
        </w:tc>
        <w:tc>
          <w:tcPr>
            <w:tcW w:w="1413" w:type="dxa"/>
            <w:vAlign w:val="center"/>
          </w:tcPr>
          <w:p w14:paraId="568CDFD2" w14:textId="7B4CBC9C" w:rsidR="00CA3523" w:rsidRPr="00BF6615" w:rsidRDefault="00986C08" w:rsidP="007E26B5">
            <w:pPr>
              <w:rPr>
                <w:lang w:eastAsia="pl-PL"/>
              </w:rPr>
            </w:pPr>
            <w:r w:rsidRPr="00BF6615">
              <w:rPr>
                <w:lang w:eastAsia="pl-PL"/>
              </w:rPr>
              <w:t>9%</w:t>
            </w:r>
          </w:p>
        </w:tc>
        <w:tc>
          <w:tcPr>
            <w:tcW w:w="1392" w:type="dxa"/>
            <w:vAlign w:val="center"/>
          </w:tcPr>
          <w:p w14:paraId="75734E02" w14:textId="1E0BBD25" w:rsidR="00CA3523" w:rsidRPr="00BF6615" w:rsidRDefault="003C3296" w:rsidP="007E26B5">
            <w:pPr>
              <w:rPr>
                <w:lang w:eastAsia="pl-PL"/>
              </w:rPr>
            </w:pPr>
            <w:r w:rsidRPr="00BF6615">
              <w:rPr>
                <w:lang w:eastAsia="pl-PL"/>
              </w:rPr>
              <w:t>23%</w:t>
            </w:r>
          </w:p>
        </w:tc>
        <w:tc>
          <w:tcPr>
            <w:tcW w:w="1246" w:type="dxa"/>
            <w:vAlign w:val="center"/>
          </w:tcPr>
          <w:p w14:paraId="638490F2" w14:textId="18FD0A9B" w:rsidR="00CA3523" w:rsidRPr="00BF6615" w:rsidRDefault="00B77C20" w:rsidP="007E26B5">
            <w:pPr>
              <w:rPr>
                <w:lang w:eastAsia="pl-PL"/>
              </w:rPr>
            </w:pPr>
            <w:r w:rsidRPr="00BF6615">
              <w:rPr>
                <w:lang w:eastAsia="pl-PL"/>
              </w:rPr>
              <w:t>15%</w:t>
            </w:r>
          </w:p>
        </w:tc>
      </w:tr>
      <w:tr w:rsidR="00BA771C" w:rsidRPr="00BF6615" w14:paraId="3194D430" w14:textId="77777777">
        <w:trPr>
          <w:cnfStyle w:val="000000010000" w:firstRow="0" w:lastRow="0" w:firstColumn="0" w:lastColumn="0" w:oddVBand="0" w:evenVBand="0" w:oddHBand="0" w:evenHBand="1" w:firstRowFirstColumn="0" w:firstRowLastColumn="0" w:lastRowFirstColumn="0" w:lastRowLastColumn="0"/>
          <w:trHeight w:val="290"/>
        </w:trPr>
        <w:tc>
          <w:tcPr>
            <w:tcW w:w="1066" w:type="dxa"/>
            <w:hideMark/>
          </w:tcPr>
          <w:p w14:paraId="38D3C9DA" w14:textId="77777777" w:rsidR="00CA3523" w:rsidRPr="00BF6615" w:rsidRDefault="00CA3523" w:rsidP="007E26B5">
            <w:pPr>
              <w:rPr>
                <w:lang w:eastAsia="pl-PL"/>
              </w:rPr>
            </w:pPr>
            <w:r w:rsidRPr="00BF6615">
              <w:rPr>
                <w:lang w:eastAsia="pl-PL"/>
              </w:rPr>
              <w:t>mało ważne</w:t>
            </w:r>
          </w:p>
        </w:tc>
        <w:tc>
          <w:tcPr>
            <w:tcW w:w="1444" w:type="dxa"/>
            <w:vAlign w:val="center"/>
          </w:tcPr>
          <w:p w14:paraId="2FF393A0" w14:textId="4A94AC50" w:rsidR="00CA3523" w:rsidRPr="00BF6615" w:rsidRDefault="000A5F39" w:rsidP="007E26B5">
            <w:pPr>
              <w:rPr>
                <w:lang w:eastAsia="pl-PL"/>
              </w:rPr>
            </w:pPr>
            <w:r w:rsidRPr="00BF6615">
              <w:rPr>
                <w:lang w:eastAsia="pl-PL"/>
              </w:rPr>
              <w:t>2%</w:t>
            </w:r>
          </w:p>
        </w:tc>
        <w:tc>
          <w:tcPr>
            <w:tcW w:w="1283" w:type="dxa"/>
            <w:vAlign w:val="center"/>
          </w:tcPr>
          <w:p w14:paraId="2E733C64" w14:textId="1CA225E7" w:rsidR="00CA3523" w:rsidRPr="00BF6615" w:rsidRDefault="00E85632" w:rsidP="007E26B5">
            <w:pPr>
              <w:rPr>
                <w:lang w:eastAsia="pl-PL"/>
              </w:rPr>
            </w:pPr>
            <w:r w:rsidRPr="00BF6615">
              <w:rPr>
                <w:lang w:eastAsia="pl-PL"/>
              </w:rPr>
              <w:t>2%</w:t>
            </w:r>
          </w:p>
        </w:tc>
        <w:tc>
          <w:tcPr>
            <w:tcW w:w="1092" w:type="dxa"/>
            <w:vAlign w:val="center"/>
          </w:tcPr>
          <w:p w14:paraId="15E084F3" w14:textId="4486ECE5" w:rsidR="00CA3523" w:rsidRPr="00BF6615" w:rsidRDefault="00C4662A" w:rsidP="007E26B5">
            <w:pPr>
              <w:rPr>
                <w:lang w:eastAsia="pl-PL"/>
              </w:rPr>
            </w:pPr>
            <w:r w:rsidRPr="00BF6615">
              <w:rPr>
                <w:lang w:eastAsia="pl-PL"/>
              </w:rPr>
              <w:t>1%</w:t>
            </w:r>
          </w:p>
        </w:tc>
        <w:tc>
          <w:tcPr>
            <w:tcW w:w="1305" w:type="dxa"/>
            <w:vAlign w:val="center"/>
          </w:tcPr>
          <w:p w14:paraId="61590FBA" w14:textId="229A3612" w:rsidR="00CA3523" w:rsidRPr="00BF6615" w:rsidRDefault="00B87F4D" w:rsidP="007E26B5">
            <w:pPr>
              <w:rPr>
                <w:lang w:eastAsia="pl-PL"/>
              </w:rPr>
            </w:pPr>
            <w:r w:rsidRPr="00BF6615">
              <w:rPr>
                <w:lang w:eastAsia="pl-PL"/>
              </w:rPr>
              <w:t>7%</w:t>
            </w:r>
          </w:p>
        </w:tc>
        <w:tc>
          <w:tcPr>
            <w:tcW w:w="1330" w:type="dxa"/>
            <w:vAlign w:val="center"/>
          </w:tcPr>
          <w:p w14:paraId="30BD4E47" w14:textId="60DF3D8D" w:rsidR="00CA3523" w:rsidRPr="00BF6615" w:rsidRDefault="00AA0727" w:rsidP="007E26B5">
            <w:pPr>
              <w:rPr>
                <w:lang w:eastAsia="pl-PL"/>
              </w:rPr>
            </w:pPr>
            <w:r w:rsidRPr="00BF6615">
              <w:rPr>
                <w:lang w:eastAsia="pl-PL"/>
              </w:rPr>
              <w:t>5%</w:t>
            </w:r>
          </w:p>
        </w:tc>
        <w:tc>
          <w:tcPr>
            <w:tcW w:w="1218" w:type="dxa"/>
            <w:vAlign w:val="center"/>
          </w:tcPr>
          <w:p w14:paraId="6970CF5C" w14:textId="0A989F4E" w:rsidR="00CA3523" w:rsidRPr="00BF6615" w:rsidRDefault="000B2E98" w:rsidP="007E26B5">
            <w:pPr>
              <w:rPr>
                <w:lang w:eastAsia="pl-PL"/>
              </w:rPr>
            </w:pPr>
            <w:r w:rsidRPr="00BF6615">
              <w:rPr>
                <w:lang w:eastAsia="pl-PL"/>
              </w:rPr>
              <w:t>1%</w:t>
            </w:r>
          </w:p>
        </w:tc>
        <w:tc>
          <w:tcPr>
            <w:tcW w:w="1069" w:type="dxa"/>
            <w:vAlign w:val="center"/>
          </w:tcPr>
          <w:p w14:paraId="27CFE6E6" w14:textId="2587AA22" w:rsidR="00CA3523" w:rsidRPr="00BF6615" w:rsidRDefault="002E7E35" w:rsidP="007E26B5">
            <w:pPr>
              <w:rPr>
                <w:lang w:eastAsia="pl-PL"/>
              </w:rPr>
            </w:pPr>
            <w:r w:rsidRPr="00BF6615">
              <w:rPr>
                <w:lang w:eastAsia="pl-PL"/>
              </w:rPr>
              <w:t>5%</w:t>
            </w:r>
          </w:p>
        </w:tc>
        <w:tc>
          <w:tcPr>
            <w:tcW w:w="1413" w:type="dxa"/>
            <w:vAlign w:val="center"/>
          </w:tcPr>
          <w:p w14:paraId="6DD9BD4D" w14:textId="34259A1C" w:rsidR="00CA3523" w:rsidRPr="00BF6615" w:rsidRDefault="00154504" w:rsidP="007E26B5">
            <w:pPr>
              <w:rPr>
                <w:lang w:eastAsia="pl-PL"/>
              </w:rPr>
            </w:pPr>
            <w:r w:rsidRPr="00BF6615">
              <w:rPr>
                <w:lang w:eastAsia="pl-PL"/>
              </w:rPr>
              <w:t>5%</w:t>
            </w:r>
          </w:p>
        </w:tc>
        <w:tc>
          <w:tcPr>
            <w:tcW w:w="1392" w:type="dxa"/>
            <w:vAlign w:val="center"/>
          </w:tcPr>
          <w:p w14:paraId="55401235" w14:textId="58CC9B6A" w:rsidR="00CA3523" w:rsidRPr="00BF6615" w:rsidRDefault="00843337" w:rsidP="007E26B5">
            <w:pPr>
              <w:rPr>
                <w:lang w:eastAsia="pl-PL"/>
              </w:rPr>
            </w:pPr>
            <w:r w:rsidRPr="00BF6615">
              <w:rPr>
                <w:lang w:eastAsia="pl-PL"/>
              </w:rPr>
              <w:t>15%</w:t>
            </w:r>
          </w:p>
        </w:tc>
        <w:tc>
          <w:tcPr>
            <w:tcW w:w="1246" w:type="dxa"/>
            <w:vAlign w:val="center"/>
          </w:tcPr>
          <w:p w14:paraId="16075000" w14:textId="10340F0B" w:rsidR="00CA3523" w:rsidRPr="00BF6615" w:rsidRDefault="00F74DC9" w:rsidP="007E26B5">
            <w:pPr>
              <w:rPr>
                <w:lang w:eastAsia="pl-PL"/>
              </w:rPr>
            </w:pPr>
            <w:r w:rsidRPr="00BF6615">
              <w:rPr>
                <w:lang w:eastAsia="pl-PL"/>
              </w:rPr>
              <w:t>7%</w:t>
            </w:r>
          </w:p>
        </w:tc>
      </w:tr>
      <w:tr w:rsidR="00BA771C" w:rsidRPr="00BF6615" w14:paraId="3503012B" w14:textId="77777777">
        <w:trPr>
          <w:cnfStyle w:val="000000100000" w:firstRow="0" w:lastRow="0" w:firstColumn="0" w:lastColumn="0" w:oddVBand="0" w:evenVBand="0" w:oddHBand="1" w:evenHBand="0" w:firstRowFirstColumn="0" w:firstRowLastColumn="0" w:lastRowFirstColumn="0" w:lastRowLastColumn="0"/>
          <w:trHeight w:val="290"/>
        </w:trPr>
        <w:tc>
          <w:tcPr>
            <w:tcW w:w="1066" w:type="dxa"/>
            <w:hideMark/>
          </w:tcPr>
          <w:p w14:paraId="359CF427" w14:textId="77777777" w:rsidR="009A008A" w:rsidRPr="00BF6615" w:rsidRDefault="009A008A" w:rsidP="007E26B5">
            <w:pPr>
              <w:rPr>
                <w:lang w:eastAsia="pl-PL"/>
              </w:rPr>
            </w:pPr>
            <w:r w:rsidRPr="00BF6615">
              <w:rPr>
                <w:lang w:eastAsia="pl-PL"/>
              </w:rPr>
              <w:t>zupełnie nieważne</w:t>
            </w:r>
          </w:p>
        </w:tc>
        <w:tc>
          <w:tcPr>
            <w:tcW w:w="1444" w:type="dxa"/>
            <w:vAlign w:val="center"/>
          </w:tcPr>
          <w:p w14:paraId="614F5747" w14:textId="4AC6E189" w:rsidR="009A008A" w:rsidRPr="00BF6615" w:rsidRDefault="009A008A" w:rsidP="007E26B5">
            <w:pPr>
              <w:rPr>
                <w:lang w:eastAsia="pl-PL"/>
              </w:rPr>
            </w:pPr>
            <w:r w:rsidRPr="00BF6615">
              <w:rPr>
                <w:lang w:eastAsia="pl-PL"/>
              </w:rPr>
              <w:t>1%</w:t>
            </w:r>
          </w:p>
        </w:tc>
        <w:tc>
          <w:tcPr>
            <w:tcW w:w="1283" w:type="dxa"/>
            <w:vAlign w:val="center"/>
          </w:tcPr>
          <w:p w14:paraId="3BD43A33" w14:textId="3E8A684D" w:rsidR="009A008A" w:rsidRPr="00BF6615" w:rsidRDefault="009A008A" w:rsidP="007E26B5">
            <w:pPr>
              <w:rPr>
                <w:lang w:eastAsia="pl-PL"/>
              </w:rPr>
            </w:pPr>
            <w:r w:rsidRPr="00BF6615">
              <w:rPr>
                <w:lang w:eastAsia="pl-PL"/>
              </w:rPr>
              <w:t>1%</w:t>
            </w:r>
          </w:p>
        </w:tc>
        <w:tc>
          <w:tcPr>
            <w:tcW w:w="1092" w:type="dxa"/>
            <w:vAlign w:val="center"/>
          </w:tcPr>
          <w:p w14:paraId="57C99696" w14:textId="4C06B68D" w:rsidR="009A008A" w:rsidRPr="00BF6615" w:rsidRDefault="009A008A" w:rsidP="007E26B5">
            <w:pPr>
              <w:rPr>
                <w:lang w:eastAsia="pl-PL"/>
              </w:rPr>
            </w:pPr>
            <w:r w:rsidRPr="00BF6615">
              <w:rPr>
                <w:lang w:eastAsia="pl-PL"/>
              </w:rPr>
              <w:t>1%</w:t>
            </w:r>
          </w:p>
        </w:tc>
        <w:tc>
          <w:tcPr>
            <w:tcW w:w="1305" w:type="dxa"/>
            <w:vAlign w:val="center"/>
          </w:tcPr>
          <w:p w14:paraId="6BA2CD15" w14:textId="11B06119" w:rsidR="009A008A" w:rsidRPr="00BF6615" w:rsidRDefault="009A008A" w:rsidP="007E26B5">
            <w:pPr>
              <w:rPr>
                <w:lang w:eastAsia="pl-PL"/>
              </w:rPr>
            </w:pPr>
            <w:r w:rsidRPr="00BF6615">
              <w:rPr>
                <w:lang w:eastAsia="pl-PL"/>
              </w:rPr>
              <w:t>1%</w:t>
            </w:r>
          </w:p>
        </w:tc>
        <w:tc>
          <w:tcPr>
            <w:tcW w:w="1330" w:type="dxa"/>
            <w:vAlign w:val="center"/>
          </w:tcPr>
          <w:p w14:paraId="5FA2A19A" w14:textId="4059B4B3" w:rsidR="009A008A" w:rsidRPr="00BF6615" w:rsidRDefault="009A008A" w:rsidP="007E26B5">
            <w:pPr>
              <w:rPr>
                <w:lang w:eastAsia="pl-PL"/>
              </w:rPr>
            </w:pPr>
            <w:r w:rsidRPr="00BF6615">
              <w:rPr>
                <w:lang w:eastAsia="pl-PL"/>
              </w:rPr>
              <w:t>1%</w:t>
            </w:r>
          </w:p>
        </w:tc>
        <w:tc>
          <w:tcPr>
            <w:tcW w:w="1218" w:type="dxa"/>
            <w:vAlign w:val="center"/>
          </w:tcPr>
          <w:p w14:paraId="7D1E7E43" w14:textId="27BE5861" w:rsidR="009A008A" w:rsidRPr="00BF6615" w:rsidRDefault="009A008A" w:rsidP="007E26B5">
            <w:pPr>
              <w:rPr>
                <w:lang w:eastAsia="pl-PL"/>
              </w:rPr>
            </w:pPr>
            <w:r w:rsidRPr="00BF6615">
              <w:rPr>
                <w:lang w:eastAsia="pl-PL"/>
              </w:rPr>
              <w:t>1%</w:t>
            </w:r>
          </w:p>
        </w:tc>
        <w:tc>
          <w:tcPr>
            <w:tcW w:w="1069" w:type="dxa"/>
            <w:vAlign w:val="center"/>
          </w:tcPr>
          <w:p w14:paraId="15DED112" w14:textId="206B1CA8" w:rsidR="009A008A" w:rsidRPr="00BF6615" w:rsidRDefault="009A008A" w:rsidP="007E26B5">
            <w:pPr>
              <w:rPr>
                <w:lang w:eastAsia="pl-PL"/>
              </w:rPr>
            </w:pPr>
            <w:r w:rsidRPr="00BF6615">
              <w:rPr>
                <w:lang w:eastAsia="pl-PL"/>
              </w:rPr>
              <w:t>2%</w:t>
            </w:r>
          </w:p>
        </w:tc>
        <w:tc>
          <w:tcPr>
            <w:tcW w:w="1413" w:type="dxa"/>
            <w:vAlign w:val="center"/>
          </w:tcPr>
          <w:p w14:paraId="2007556A" w14:textId="56F68458" w:rsidR="009A008A" w:rsidRPr="00BF6615" w:rsidRDefault="009A008A" w:rsidP="007E26B5">
            <w:pPr>
              <w:rPr>
                <w:lang w:eastAsia="pl-PL"/>
              </w:rPr>
            </w:pPr>
            <w:r w:rsidRPr="00BF6615">
              <w:rPr>
                <w:lang w:eastAsia="pl-PL"/>
              </w:rPr>
              <w:t>1%</w:t>
            </w:r>
          </w:p>
        </w:tc>
        <w:tc>
          <w:tcPr>
            <w:tcW w:w="1392" w:type="dxa"/>
            <w:vAlign w:val="center"/>
          </w:tcPr>
          <w:p w14:paraId="54648DFC" w14:textId="5CFF2931" w:rsidR="009A008A" w:rsidRPr="00BF6615" w:rsidRDefault="007D072A" w:rsidP="007E26B5">
            <w:pPr>
              <w:rPr>
                <w:lang w:eastAsia="pl-PL"/>
              </w:rPr>
            </w:pPr>
            <w:r w:rsidRPr="00BF6615">
              <w:rPr>
                <w:lang w:eastAsia="pl-PL"/>
              </w:rPr>
              <w:t>30%</w:t>
            </w:r>
          </w:p>
        </w:tc>
        <w:tc>
          <w:tcPr>
            <w:tcW w:w="1246" w:type="dxa"/>
            <w:vAlign w:val="center"/>
          </w:tcPr>
          <w:p w14:paraId="30A7EB84" w14:textId="1947D7E0" w:rsidR="009A008A" w:rsidRPr="00BF6615" w:rsidRDefault="00F851CB" w:rsidP="007E26B5">
            <w:pPr>
              <w:rPr>
                <w:lang w:eastAsia="pl-PL"/>
              </w:rPr>
            </w:pPr>
            <w:r w:rsidRPr="00BF6615">
              <w:rPr>
                <w:lang w:eastAsia="pl-PL"/>
              </w:rPr>
              <w:t>10%</w:t>
            </w:r>
          </w:p>
        </w:tc>
      </w:tr>
    </w:tbl>
    <w:p w14:paraId="4F509CC5" w14:textId="77777777" w:rsidR="00CA3523" w:rsidRPr="00BF6615" w:rsidRDefault="00CA3523" w:rsidP="007E26B5">
      <w:r w:rsidRPr="00BF6615">
        <w:t>Źródło: opracowanie własne.</w:t>
      </w:r>
    </w:p>
    <w:p w14:paraId="6406606B" w14:textId="77777777" w:rsidR="00CA3523" w:rsidRPr="00BF6615" w:rsidRDefault="00CA3523" w:rsidP="007E26B5"/>
    <w:p w14:paraId="650A6049" w14:textId="77777777" w:rsidR="00A357D2" w:rsidRPr="00BF6615" w:rsidRDefault="00A357D2" w:rsidP="007E26B5">
      <w:pPr>
        <w:rPr>
          <w:u w:val="single"/>
        </w:rPr>
        <w:sectPr w:rsidR="00A357D2" w:rsidRPr="00BF6615" w:rsidSect="00A357D2">
          <w:pgSz w:w="15840" w:h="12240" w:orient="landscape"/>
          <w:pgMar w:top="1440" w:right="1440" w:bottom="1440" w:left="1440" w:header="709" w:footer="709" w:gutter="0"/>
          <w:cols w:space="708"/>
          <w:titlePg/>
          <w:docGrid w:linePitch="360"/>
        </w:sectPr>
      </w:pPr>
    </w:p>
    <w:p w14:paraId="6E90811F" w14:textId="77777777" w:rsidR="00655FC8" w:rsidRPr="00BF6615" w:rsidRDefault="00655FC8" w:rsidP="007E26B5">
      <w:r w:rsidRPr="00BF6615">
        <w:lastRenderedPageBreak/>
        <w:t>Na pytanie o to, co byłoby największym ułatwieniem w korzystaniu z aplikacji podmiotów publicznych badani wskazali:</w:t>
      </w:r>
    </w:p>
    <w:p w14:paraId="38B66ACA" w14:textId="77777777" w:rsidR="00655FC8" w:rsidRPr="00BF6615" w:rsidRDefault="00655FC8">
      <w:pPr>
        <w:pStyle w:val="Akapitzlist"/>
        <w:numPr>
          <w:ilvl w:val="0"/>
          <w:numId w:val="70"/>
        </w:numPr>
      </w:pPr>
      <w:r w:rsidRPr="00BF6615">
        <w:rPr>
          <w:b/>
        </w:rPr>
        <w:t>Szybkość i wydajność</w:t>
      </w:r>
      <w:r w:rsidRPr="00BF6615">
        <w:t xml:space="preserve"> – respondenci wskazywali na potrzebę szybszego działania aplikacji, sprawniejszego ładowania i szybszego załatwiania spraw.</w:t>
      </w:r>
    </w:p>
    <w:p w14:paraId="492B89D8" w14:textId="77777777" w:rsidR="00655FC8" w:rsidRPr="00BF6615" w:rsidRDefault="00655FC8">
      <w:pPr>
        <w:pStyle w:val="Akapitzlist"/>
        <w:numPr>
          <w:ilvl w:val="0"/>
          <w:numId w:val="70"/>
        </w:numPr>
      </w:pPr>
      <w:r w:rsidRPr="00BF6615">
        <w:rPr>
          <w:b/>
        </w:rPr>
        <w:t>Intuicyjność i prostota obsługi</w:t>
      </w:r>
      <w:r w:rsidRPr="00BF6615">
        <w:t xml:space="preserve"> – pojawiły się głosy o potrzebie łatwiejszej i bardziej intuicyjnej nawigacji, prostych objaśnieniach i większych ikonach.</w:t>
      </w:r>
    </w:p>
    <w:p w14:paraId="265401BB" w14:textId="77777777" w:rsidR="00655FC8" w:rsidRPr="00BF6615" w:rsidRDefault="00655FC8">
      <w:pPr>
        <w:pStyle w:val="Akapitzlist"/>
        <w:numPr>
          <w:ilvl w:val="0"/>
          <w:numId w:val="70"/>
        </w:numPr>
      </w:pPr>
      <w:r w:rsidRPr="00BF6615">
        <w:rPr>
          <w:b/>
        </w:rPr>
        <w:t>Automatyzacja danych i logowania</w:t>
      </w:r>
      <w:r w:rsidRPr="00BF6615">
        <w:t xml:space="preserve"> – doceniono pomysły takie jak automatyczne uzupełnianie danych czy proste logowanie.</w:t>
      </w:r>
    </w:p>
    <w:p w14:paraId="7FD329BD" w14:textId="77777777" w:rsidR="00655FC8" w:rsidRPr="00BF6615" w:rsidRDefault="00655FC8">
      <w:pPr>
        <w:pStyle w:val="Akapitzlist"/>
        <w:numPr>
          <w:ilvl w:val="0"/>
          <w:numId w:val="70"/>
        </w:numPr>
      </w:pPr>
      <w:r w:rsidRPr="00BF6615">
        <w:rPr>
          <w:b/>
        </w:rPr>
        <w:t>Pomoc AI i dostępność</w:t>
      </w:r>
      <w:r w:rsidRPr="00BF6615">
        <w:t xml:space="preserve"> – część osób wskazała na potencjał wykorzystania sztucznej inteligencji jako wsparcia oraz na potrzebę większej czytelności i zrozumiałości treści.</w:t>
      </w:r>
    </w:p>
    <w:p w14:paraId="62F52A73" w14:textId="77777777" w:rsidR="00655FC8" w:rsidRPr="00BF6615" w:rsidRDefault="00655FC8" w:rsidP="007E26B5">
      <w:r w:rsidRPr="00BF6615">
        <w:t>Warto także odnotować, że część osób wskazywała, że nie widzi potrzeby zmian. Uznano, że aplikacje działają dobrze i nie wymagają ulepszeń („jest dobrze”, „nic”, „nie potrzebuję ułatwień”, „wszystko już jest”).</w:t>
      </w:r>
    </w:p>
    <w:p w14:paraId="4F4DA871" w14:textId="6B593B90" w:rsidR="007163F4" w:rsidRPr="00137936" w:rsidRDefault="007163F4" w:rsidP="00B271C3">
      <w:pPr>
        <w:pStyle w:val="Nagwek4"/>
        <w:rPr>
          <w:bCs/>
        </w:rPr>
      </w:pPr>
      <w:r w:rsidRPr="00137936">
        <w:rPr>
          <w:bCs/>
        </w:rPr>
        <w:t>Technologie wspomagające w korzystaniu ze stron i aplikacji podmiotów publicznych</w:t>
      </w:r>
    </w:p>
    <w:p w14:paraId="7143D66F" w14:textId="126CF1A1" w:rsidR="007163F4" w:rsidRPr="00BF6615" w:rsidRDefault="007163F4" w:rsidP="007E26B5">
      <w:r w:rsidRPr="00BF6615">
        <w:t>85% respondentów nie korzysta z technologii wspomagających podczas używania stron podmiotów publicznych. Osoby, które korzystają wskazywały najczęściej na klawiaturę (</w:t>
      </w:r>
      <w:r w:rsidR="008B0B0A" w:rsidRPr="00BF6615">
        <w:t>8</w:t>
      </w:r>
      <w:r w:rsidR="008B0B0A">
        <w:t> </w:t>
      </w:r>
      <w:r w:rsidRPr="00BF6615">
        <w:t>wskazań), funkcje powiększania ekranu (5) czy tłumaczenia online (4).</w:t>
      </w:r>
    </w:p>
    <w:p w14:paraId="03C27FCD" w14:textId="77777777" w:rsidR="007163F4" w:rsidRPr="00137936" w:rsidRDefault="007163F4" w:rsidP="00B271C3">
      <w:pPr>
        <w:pStyle w:val="Nagwek4"/>
        <w:rPr>
          <w:bCs/>
        </w:rPr>
      </w:pPr>
      <w:r w:rsidRPr="00137936">
        <w:rPr>
          <w:bCs/>
        </w:rPr>
        <w:t>Trudności w obsłudze stron i aplikacji- poszukiwanie rozwiązań</w:t>
      </w:r>
    </w:p>
    <w:p w14:paraId="3ABBD625" w14:textId="77777777" w:rsidR="007163F4" w:rsidRPr="00BF6615" w:rsidRDefault="007163F4" w:rsidP="007E26B5">
      <w:r w:rsidRPr="00BF6615">
        <w:t>Tylko 13% badanych nie miała problemów w obsłudze stron i aplikacji. Pozostałe osoby, które doświadczyły takich trudności najczęściej próbowały sobie poradzić z nimi samodzielnie (45%) lub z pomocą znajomych lub rodziny (22%) oraz obsługi klienta (15%).</w:t>
      </w:r>
    </w:p>
    <w:p w14:paraId="1F9F39F1" w14:textId="787E5DAA" w:rsidR="007163F4" w:rsidRPr="00BF6615" w:rsidRDefault="007163F4" w:rsidP="007E26B5">
      <w:pPr>
        <w:pStyle w:val="Legenda"/>
      </w:pPr>
      <w:bookmarkStart w:id="294" w:name="_Toc204179207"/>
      <w:r w:rsidRPr="00BF6615">
        <w:t xml:space="preserve">Wykres </w:t>
      </w:r>
      <w:r w:rsidRPr="00BF6615">
        <w:fldChar w:fldCharType="begin"/>
      </w:r>
      <w:r w:rsidRPr="00BF6615">
        <w:instrText xml:space="preserve"> SEQ Wykres \* ARABIC </w:instrText>
      </w:r>
      <w:r w:rsidRPr="00BF6615">
        <w:fldChar w:fldCharType="separate"/>
      </w:r>
      <w:r w:rsidR="00FD0843">
        <w:rPr>
          <w:noProof/>
        </w:rPr>
        <w:t>61</w:t>
      </w:r>
      <w:r w:rsidRPr="00BF6615">
        <w:fldChar w:fldCharType="end"/>
      </w:r>
      <w:r w:rsidR="00FD0843">
        <w:t>.</w:t>
      </w:r>
      <w:r w:rsidRPr="00BF6615">
        <w:t xml:space="preserve"> Sposoby radzenia sobie z trudnościami technicznymi w obsłudze stron i aplikacji </w:t>
      </w:r>
      <w:r w:rsidR="008B0B0A" w:rsidRPr="00BF6615">
        <w:t>w</w:t>
      </w:r>
      <w:r w:rsidR="008B0B0A">
        <w:t> </w:t>
      </w:r>
      <w:r w:rsidRPr="00BF6615">
        <w:t>grupie osoby 60+ (n=100)</w:t>
      </w:r>
      <w:bookmarkEnd w:id="294"/>
    </w:p>
    <w:p w14:paraId="280FF0DB" w14:textId="552F5793" w:rsidR="007163F4" w:rsidRPr="00BF6615" w:rsidRDefault="0055248A" w:rsidP="007E26B5">
      <w:r w:rsidRPr="00BF6615">
        <w:rPr>
          <w:noProof/>
          <w:lang w:eastAsia="pl-PL"/>
        </w:rPr>
        <w:drawing>
          <wp:inline distT="0" distB="0" distL="0" distR="0" wp14:anchorId="17312832" wp14:editId="228B97BB">
            <wp:extent cx="5223510" cy="2419643"/>
            <wp:effectExtent l="0" t="0" r="0" b="0"/>
            <wp:docPr id="406336700" name="Wykres 1" descr="nie miałem/am takiego problemu - 31%&#10;samodzielnie - 45%&#10;z pomocą obsługi klienta - 15%&#10;z pomocą znajomych/rodziny - 22%&#10;nie próbowałem/am pokonać tych trudności - 1%">
              <a:extLst xmlns:a="http://schemas.openxmlformats.org/drawingml/2006/main">
                <a:ext uri="{FF2B5EF4-FFF2-40B4-BE49-F238E27FC236}">
                  <a16:creationId xmlns:a16="http://schemas.microsoft.com/office/drawing/2014/main" id="{49531285-9B03-1C46-8910-DEFD26BA74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0697CF30" w14:textId="77777777" w:rsidR="007163F4" w:rsidRPr="00BF6615" w:rsidRDefault="007163F4" w:rsidP="007E26B5">
      <w:r w:rsidRPr="00BF6615">
        <w:t>Źródło: opracowanie własne.</w:t>
      </w:r>
    </w:p>
    <w:p w14:paraId="1E07238B" w14:textId="77777777" w:rsidR="007163F4" w:rsidRPr="00137936" w:rsidRDefault="007163F4" w:rsidP="00B271C3">
      <w:pPr>
        <w:pStyle w:val="Nagwek4"/>
        <w:rPr>
          <w:bCs/>
        </w:rPr>
      </w:pPr>
      <w:r w:rsidRPr="00137936">
        <w:rPr>
          <w:bCs/>
        </w:rPr>
        <w:lastRenderedPageBreak/>
        <w:t>Deklaracje dostępności</w:t>
      </w:r>
    </w:p>
    <w:p w14:paraId="07D504B6" w14:textId="1FCE115A" w:rsidR="009C1135" w:rsidRPr="00BF6615" w:rsidRDefault="007163F4" w:rsidP="007E26B5">
      <w:r w:rsidRPr="00BF6615">
        <w:t>64% respondentów nie wie, że podmioty muszą przygotować deklarację dostępności.</w:t>
      </w:r>
      <w:r w:rsidR="009C1135" w:rsidRPr="00BF6615">
        <w:t xml:space="preserve"> Spośród grupy</w:t>
      </w:r>
      <w:r w:rsidR="001B0F7D" w:rsidRPr="00BF6615">
        <w:t>, która wie, że podmioty musz</w:t>
      </w:r>
      <w:r w:rsidR="799FEFFC" w:rsidRPr="00BF6615">
        <w:t>ą</w:t>
      </w:r>
      <w:r w:rsidR="001B0F7D" w:rsidRPr="00BF6615">
        <w:t xml:space="preserve"> przygotowywać deklaracje (36%) </w:t>
      </w:r>
      <w:r w:rsidR="009C1135" w:rsidRPr="00BF6615">
        <w:t xml:space="preserve">ok. 69% osób korzystało z nich kiedykolwiek. Ponad połowa z tej grupy ocenia swoje doświadczenia korzystania </w:t>
      </w:r>
      <w:r w:rsidR="008B0B0A" w:rsidRPr="00BF6615">
        <w:t>z</w:t>
      </w:r>
      <w:r w:rsidR="008B0B0A">
        <w:t> </w:t>
      </w:r>
      <w:r w:rsidR="009C1135" w:rsidRPr="00BF6615">
        <w:t xml:space="preserve">deklaracji jako pozytywne, a pozostali jako neutralne - deklaracje spełniają oczekiwania. Jednocześnie osoby, które miały do czynienia z deklaracjami, zarówno neutralne, jak </w:t>
      </w:r>
      <w:r w:rsidR="008B0B0A" w:rsidRPr="00BF6615">
        <w:t>i</w:t>
      </w:r>
      <w:r w:rsidR="008B0B0A">
        <w:t> </w:t>
      </w:r>
      <w:r w:rsidR="009C1135" w:rsidRPr="00BF6615">
        <w:t xml:space="preserve">pozytywne, wskazują, że brakuje w nich szczegółowych informacji o dostępności strony www lub aplikacji mobilnej (60% wskazań) oraz kontaktów do osób odpowiedzialnych za </w:t>
      </w:r>
      <w:r w:rsidR="008B0B0A" w:rsidRPr="00BF6615">
        <w:t>dostępność</w:t>
      </w:r>
      <w:r w:rsidR="008B0B0A">
        <w:t> </w:t>
      </w:r>
      <w:r w:rsidR="009C1135" w:rsidRPr="00BF6615">
        <w:t>(44%).</w:t>
      </w:r>
    </w:p>
    <w:p w14:paraId="18B1FC08" w14:textId="60E47317" w:rsidR="007163F4" w:rsidRPr="00BF6615" w:rsidRDefault="007163F4" w:rsidP="007E26B5">
      <w:pPr>
        <w:pStyle w:val="Legenda"/>
        <w:keepNext/>
      </w:pPr>
      <w:bookmarkStart w:id="295" w:name="_Toc204179208"/>
      <w:r w:rsidRPr="00BF6615">
        <w:t xml:space="preserve">Wykres </w:t>
      </w:r>
      <w:r w:rsidRPr="00BF6615">
        <w:fldChar w:fldCharType="begin"/>
      </w:r>
      <w:r w:rsidRPr="00BF6615">
        <w:instrText xml:space="preserve"> SEQ Wykres \* ARABIC </w:instrText>
      </w:r>
      <w:r w:rsidRPr="00BF6615">
        <w:fldChar w:fldCharType="separate"/>
      </w:r>
      <w:r w:rsidR="00FD0843">
        <w:rPr>
          <w:noProof/>
        </w:rPr>
        <w:t>62</w:t>
      </w:r>
      <w:r w:rsidRPr="00BF6615">
        <w:fldChar w:fldCharType="end"/>
      </w:r>
      <w:r w:rsidR="00FD0843">
        <w:t>.</w:t>
      </w:r>
      <w:r w:rsidRPr="00BF6615">
        <w:t xml:space="preserve"> Wiedza o tym, że każdy podmiot publiczny musi przygotowywać i publikować na swojej stronie deklarację dostępności </w:t>
      </w:r>
      <w:r w:rsidR="007D0B50" w:rsidRPr="00BF6615">
        <w:t xml:space="preserve">w grupie osoby 60+ </w:t>
      </w:r>
      <w:r w:rsidRPr="00BF6615">
        <w:t>(n=100)</w:t>
      </w:r>
      <w:bookmarkEnd w:id="295"/>
    </w:p>
    <w:p w14:paraId="7F1E8C4E" w14:textId="77777777" w:rsidR="007163F4" w:rsidRPr="00BF6615" w:rsidRDefault="007163F4" w:rsidP="007E26B5"/>
    <w:p w14:paraId="51F97E87" w14:textId="77777777" w:rsidR="007163F4" w:rsidRPr="00BF6615" w:rsidRDefault="007163F4" w:rsidP="007E26B5"/>
    <w:p w14:paraId="6B77D3FC" w14:textId="3FF15166" w:rsidR="007163F4" w:rsidRPr="00BF6615" w:rsidRDefault="006B6A6B" w:rsidP="0090320A">
      <w:pPr>
        <w:jc w:val="center"/>
      </w:pPr>
      <w:r w:rsidRPr="00BF6615">
        <w:rPr>
          <w:noProof/>
          <w:lang w:eastAsia="pl-PL"/>
        </w:rPr>
        <w:drawing>
          <wp:inline distT="0" distB="0" distL="0" distR="0" wp14:anchorId="52D3D69D" wp14:editId="5C7EE5A8">
            <wp:extent cx="4671588" cy="2453489"/>
            <wp:effectExtent l="0" t="0" r="0" b="4445"/>
            <wp:docPr id="614500206" name="Wykres 1" descr="wiem - 36%&#10;nie wiem - 64%">
              <a:extLst xmlns:a="http://schemas.openxmlformats.org/drawingml/2006/main">
                <a:ext uri="{FF2B5EF4-FFF2-40B4-BE49-F238E27FC236}">
                  <a16:creationId xmlns:a16="http://schemas.microsoft.com/office/drawing/2014/main" id="{DC274FC2-3A38-F049-B109-A4EBDEEA85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6F0C6DAB" w14:textId="77777777" w:rsidR="007163F4" w:rsidRPr="00BF6615" w:rsidRDefault="007163F4" w:rsidP="007E26B5">
      <w:r w:rsidRPr="00BF6615">
        <w:t>Źródło: opracowanie własne.</w:t>
      </w:r>
    </w:p>
    <w:p w14:paraId="18D94A60" w14:textId="15E78AE5" w:rsidR="007163F4" w:rsidRPr="00137936" w:rsidRDefault="007163F4" w:rsidP="00B271C3">
      <w:pPr>
        <w:pStyle w:val="Nagwek4"/>
        <w:rPr>
          <w:bCs/>
        </w:rPr>
      </w:pPr>
      <w:r w:rsidRPr="00137936">
        <w:rPr>
          <w:bCs/>
        </w:rPr>
        <w:t>Osoby 60+</w:t>
      </w:r>
      <w:r w:rsidR="007E26B5">
        <w:rPr>
          <w:bCs/>
        </w:rPr>
        <w:t xml:space="preserve"> – </w:t>
      </w:r>
      <w:r w:rsidRPr="00137936">
        <w:rPr>
          <w:bCs/>
        </w:rPr>
        <w:t>podsumowanie wyników</w:t>
      </w:r>
    </w:p>
    <w:p w14:paraId="78708DC0" w14:textId="3F7C6616" w:rsidR="00756BC1" w:rsidRPr="00BF6615" w:rsidRDefault="00B51038" w:rsidP="007E26B5">
      <w:r w:rsidRPr="00BF6615">
        <w:t xml:space="preserve">Na podstawie zebranych danych dokonano analizy sposobu, w jaki osoby 60+ korzystają </w:t>
      </w:r>
      <w:r w:rsidR="008B0B0A" w:rsidRPr="00BF6615">
        <w:t>z</w:t>
      </w:r>
      <w:r w:rsidR="008B0B0A">
        <w:t> </w:t>
      </w:r>
      <w:r w:rsidRPr="00BF6615">
        <w:t>Internetu oraz cyfrowych usług oferowanych przez podmioty publiczne. Zbadano także potrzeby i oczekiwania względem</w:t>
      </w:r>
      <w:r w:rsidR="00776905" w:rsidRPr="00BF6615">
        <w:t xml:space="preserve"> ich</w:t>
      </w:r>
      <w:r w:rsidRPr="00BF6615">
        <w:t xml:space="preserve"> dostępności. Aż 98% respondentów </w:t>
      </w:r>
      <w:r w:rsidR="00776905" w:rsidRPr="00BF6615">
        <w:t xml:space="preserve">w </w:t>
      </w:r>
      <w:r w:rsidR="00B76DED" w:rsidRPr="00BF6615">
        <w:t>badanej grupie</w:t>
      </w:r>
      <w:r w:rsidR="00012671" w:rsidRPr="00BF6615">
        <w:t xml:space="preserve"> </w:t>
      </w:r>
      <w:r w:rsidRPr="00BF6615">
        <w:t xml:space="preserve">codziennie korzysta z Internetu, co </w:t>
      </w:r>
      <w:r w:rsidR="00963150" w:rsidRPr="00BF6615">
        <w:t xml:space="preserve">jest bardzo wysokim wynikiem i </w:t>
      </w:r>
      <w:r w:rsidRPr="00BF6615">
        <w:t xml:space="preserve">wskazuje na jego istotną rolę w ich codziennym funkcjonowaniu. Główne motywy korzystania z sieci to </w:t>
      </w:r>
      <w:r w:rsidR="00C1620A" w:rsidRPr="00BF6615">
        <w:t>komunikacja</w:t>
      </w:r>
      <w:r w:rsidRPr="00BF6615">
        <w:t>,</w:t>
      </w:r>
      <w:r w:rsidR="00864799" w:rsidRPr="00BF6615">
        <w:t xml:space="preserve"> poszukiwanie informacji</w:t>
      </w:r>
      <w:r w:rsidR="0060231B" w:rsidRPr="00BF6615">
        <w:t>,</w:t>
      </w:r>
      <w:r w:rsidRPr="00BF6615">
        <w:t xml:space="preserve"> rozrywka oraz załatwianie spraw urzędowych</w:t>
      </w:r>
      <w:r w:rsidR="00EA6933" w:rsidRPr="00BF6615">
        <w:t>.</w:t>
      </w:r>
      <w:r w:rsidRPr="00BF6615">
        <w:t xml:space="preserve"> Do najczęściej wykonywanych czynności online należą</w:t>
      </w:r>
      <w:r w:rsidR="009F66DA" w:rsidRPr="00BF6615">
        <w:t xml:space="preserve"> płatności rachunków,</w:t>
      </w:r>
      <w:r w:rsidRPr="00BF6615">
        <w:t xml:space="preserve"> zakupy </w:t>
      </w:r>
      <w:r w:rsidR="008B12AA" w:rsidRPr="00BF6615">
        <w:t>i</w:t>
      </w:r>
      <w:r w:rsidRPr="00BF6615">
        <w:t xml:space="preserve"> komunikacja</w:t>
      </w:r>
      <w:r w:rsidR="00EA6933" w:rsidRPr="00BF6615">
        <w:t>.</w:t>
      </w:r>
      <w:r w:rsidRPr="00BF6615">
        <w:t xml:space="preserve"> Wyszukiwane informacje mają głównie charakter prywatny – dotyczą </w:t>
      </w:r>
      <w:r w:rsidR="00D0179B" w:rsidRPr="00BF6615">
        <w:t>zainteresowań,</w:t>
      </w:r>
      <w:r w:rsidR="00756BC1" w:rsidRPr="00BF6615">
        <w:t xml:space="preserve"> </w:t>
      </w:r>
      <w:r w:rsidR="00093173" w:rsidRPr="00BF6615">
        <w:t>polityki, sportu, turystyki, a także wiadomości z kraju i świata oraz informacji dot. zdrowia.</w:t>
      </w:r>
    </w:p>
    <w:p w14:paraId="4A11C263" w14:textId="22654345" w:rsidR="0043487C" w:rsidRPr="00BF6615" w:rsidRDefault="00C96F7E" w:rsidP="007E26B5">
      <w:r w:rsidRPr="00BF6615">
        <w:lastRenderedPageBreak/>
        <w:t xml:space="preserve">W </w:t>
      </w:r>
      <w:r w:rsidR="00B76DED" w:rsidRPr="00BF6615">
        <w:t>badanej grupie</w:t>
      </w:r>
      <w:r w:rsidRPr="00BF6615">
        <w:t xml:space="preserve"> 70% </w:t>
      </w:r>
      <w:r w:rsidR="00B76DED" w:rsidRPr="00BF6615">
        <w:t>osób</w:t>
      </w:r>
      <w:r w:rsidR="00637773" w:rsidRPr="00BF6615">
        <w:t xml:space="preserve"> zadeklarował</w:t>
      </w:r>
      <w:r w:rsidRPr="00BF6615">
        <w:t>o</w:t>
      </w:r>
      <w:r w:rsidR="00637773" w:rsidRPr="00BF6615">
        <w:t xml:space="preserve"> załatwianie spraw urzędowych przez Internet</w:t>
      </w:r>
      <w:r w:rsidR="003134B0" w:rsidRPr="00BF6615">
        <w:t xml:space="preserve">, jednak tylko </w:t>
      </w:r>
      <w:r w:rsidR="0085247A" w:rsidRPr="00BF6615">
        <w:t>co trzecia osoba</w:t>
      </w:r>
      <w:r w:rsidR="00637773" w:rsidRPr="00BF6615">
        <w:t xml:space="preserve"> preferuje formę online</w:t>
      </w:r>
      <w:r w:rsidR="003134B0" w:rsidRPr="00BF6615">
        <w:t>, podczas gdy</w:t>
      </w:r>
      <w:r w:rsidR="00637773" w:rsidRPr="00BF6615">
        <w:t xml:space="preserve"> </w:t>
      </w:r>
      <w:r w:rsidR="0085247A" w:rsidRPr="00BF6615">
        <w:t>2/3</w:t>
      </w:r>
      <w:r w:rsidR="00637773" w:rsidRPr="00BF6615">
        <w:t xml:space="preserve"> korzysta z różnych form kontaktu, a kolejne </w:t>
      </w:r>
      <w:r w:rsidR="00390C64" w:rsidRPr="00BF6615">
        <w:t>3</w:t>
      </w:r>
      <w:r w:rsidR="0033370F" w:rsidRPr="00BF6615">
        <w:t>8</w:t>
      </w:r>
      <w:r w:rsidR="00637773" w:rsidRPr="00BF6615">
        <w:t>% wybiera tradycyjny kontakt osobisty.</w:t>
      </w:r>
      <w:r w:rsidR="00390C64" w:rsidRPr="00BF6615">
        <w:t xml:space="preserve"> </w:t>
      </w:r>
      <w:r w:rsidR="00637773" w:rsidRPr="00BF6615">
        <w:t>Z</w:t>
      </w:r>
      <w:r w:rsidR="00496E88" w:rsidRPr="00BF6615">
        <w:t xml:space="preserve">e stron </w:t>
      </w:r>
      <w:r w:rsidR="00637773" w:rsidRPr="00BF6615">
        <w:t xml:space="preserve">internetowych </w:t>
      </w:r>
      <w:r w:rsidR="00496E88" w:rsidRPr="00BF6615">
        <w:t>podmiotów</w:t>
      </w:r>
      <w:r w:rsidR="00637773" w:rsidRPr="00BF6615">
        <w:t xml:space="preserve"> publicznych korzysta 94% ankietowanych, natomiast aplikacje mobilne wykorzystuje 8</w:t>
      </w:r>
      <w:r w:rsidR="00A11ABE" w:rsidRPr="00BF6615">
        <w:t>2</w:t>
      </w:r>
      <w:r w:rsidR="00637773" w:rsidRPr="00BF6615">
        <w:t xml:space="preserve">%. Osoby, które nie </w:t>
      </w:r>
      <w:r w:rsidR="00496E88" w:rsidRPr="00BF6615">
        <w:t>korzystają ze</w:t>
      </w:r>
      <w:r w:rsidR="00637773" w:rsidRPr="00BF6615">
        <w:t xml:space="preserve"> stron lub aplikacji najczęściej wskazują na preferencję kontaktu osobistego bądź telefonicznego. </w:t>
      </w:r>
      <w:r w:rsidR="0043487C" w:rsidRPr="00BF6615">
        <w:t xml:space="preserve">Jako jeden z powodów niekorzystania </w:t>
      </w:r>
      <w:r w:rsidR="008B0B0A" w:rsidRPr="00BF6615">
        <w:t>z</w:t>
      </w:r>
      <w:r w:rsidR="008B0B0A">
        <w:t> </w:t>
      </w:r>
      <w:r w:rsidR="0043487C" w:rsidRPr="00BF6615">
        <w:t xml:space="preserve">aplikacji badani wskazywali na słabą dostępność aplikacji oraz trudności w korzystaniu z nich. </w:t>
      </w:r>
    </w:p>
    <w:p w14:paraId="1BB0E367" w14:textId="21D26969" w:rsidR="00921947" w:rsidRPr="00BF6615" w:rsidRDefault="00C97C61" w:rsidP="007E26B5">
      <w:r w:rsidRPr="00BF6615">
        <w:t xml:space="preserve">Do najczęściej odwiedzanych stron należą </w:t>
      </w:r>
      <w:r w:rsidR="008148DA" w:rsidRPr="00BF6615">
        <w:t>portale urzędów skarbowych</w:t>
      </w:r>
      <w:r w:rsidR="007240B3" w:rsidRPr="00BF6615">
        <w:t xml:space="preserve">, </w:t>
      </w:r>
      <w:r w:rsidRPr="00BF6615">
        <w:t xml:space="preserve">serwisy rządowe </w:t>
      </w:r>
      <w:r w:rsidR="008B0B0A" w:rsidRPr="00BF6615">
        <w:t>i</w:t>
      </w:r>
      <w:r w:rsidR="008B0B0A">
        <w:t> </w:t>
      </w:r>
      <w:r w:rsidRPr="00BF6615">
        <w:t>ministerialne</w:t>
      </w:r>
      <w:r w:rsidR="005D7477" w:rsidRPr="00BF6615">
        <w:t>, kolejno</w:t>
      </w:r>
      <w:r w:rsidRPr="00BF6615">
        <w:t xml:space="preserve"> strony </w:t>
      </w:r>
      <w:r w:rsidR="00264152" w:rsidRPr="00BF6615">
        <w:t>instytucji zdrowotnych</w:t>
      </w:r>
      <w:r w:rsidRPr="00BF6615">
        <w:t xml:space="preserve">. Wśród aplikacji mobilnych największą popularnością cieszy się </w:t>
      </w:r>
      <w:proofErr w:type="spellStart"/>
      <w:r w:rsidRPr="00BF6615">
        <w:t>mObywatel</w:t>
      </w:r>
      <w:proofErr w:type="spellEnd"/>
      <w:r w:rsidR="00FF1CAB" w:rsidRPr="00BF6615">
        <w:t xml:space="preserve">. Wskazywano również na </w:t>
      </w:r>
      <w:proofErr w:type="spellStart"/>
      <w:r w:rsidR="00FF1CAB" w:rsidRPr="00BF6615">
        <w:t>eZUS</w:t>
      </w:r>
      <w:proofErr w:type="spellEnd"/>
      <w:r w:rsidR="00FF1CAB" w:rsidRPr="00BF6615">
        <w:t xml:space="preserve"> i PKP. </w:t>
      </w:r>
    </w:p>
    <w:p w14:paraId="63F6E9C5" w14:textId="5BE89971" w:rsidR="007F3F6B" w:rsidRPr="00BF6615" w:rsidRDefault="009C7332" w:rsidP="007E26B5">
      <w:r w:rsidRPr="00BF6615">
        <w:t>Uśrednione oceny</w:t>
      </w:r>
      <w:r w:rsidR="00C97C61" w:rsidRPr="00BF6615">
        <w:t xml:space="preserve"> </w:t>
      </w:r>
      <w:r w:rsidR="00DC1454" w:rsidRPr="00BF6615">
        <w:t xml:space="preserve">poszczególnych aspektów </w:t>
      </w:r>
      <w:r w:rsidR="00C97C61" w:rsidRPr="00BF6615">
        <w:t>dostępności</w:t>
      </w:r>
      <w:r w:rsidR="00DC1454" w:rsidRPr="00BF6615">
        <w:t xml:space="preserve"> na </w:t>
      </w:r>
      <w:r w:rsidR="00C97C61" w:rsidRPr="00BF6615">
        <w:t>stron</w:t>
      </w:r>
      <w:r w:rsidR="00DC1454" w:rsidRPr="00BF6615">
        <w:t>ach</w:t>
      </w:r>
      <w:r w:rsidR="00C97C61" w:rsidRPr="00BF6615">
        <w:t xml:space="preserve"> internetowych </w:t>
      </w:r>
      <w:r w:rsidR="009617E7" w:rsidRPr="00BF6615">
        <w:t xml:space="preserve">sad oś wysokie i </w:t>
      </w:r>
      <w:r w:rsidR="00C97C61" w:rsidRPr="00BF6615">
        <w:t xml:space="preserve">mieszczą się w przedziale </w:t>
      </w:r>
      <w:r w:rsidR="00C87E85" w:rsidRPr="00BF6615">
        <w:t xml:space="preserve">3,67 - 4,75 </w:t>
      </w:r>
      <w:r w:rsidR="00C97C61" w:rsidRPr="00BF6615">
        <w:t xml:space="preserve">(w skali 1–5). Najwyżej oceniono </w:t>
      </w:r>
      <w:r w:rsidR="007457A5" w:rsidRPr="00BF6615">
        <w:t>strony</w:t>
      </w:r>
      <w:r w:rsidR="00C97C61" w:rsidRPr="00BF6615">
        <w:t xml:space="preserve"> instytucji </w:t>
      </w:r>
      <w:r w:rsidR="00251632" w:rsidRPr="00BF6615">
        <w:t>kultury</w:t>
      </w:r>
      <w:r w:rsidR="00C97C61" w:rsidRPr="00BF6615">
        <w:t xml:space="preserve"> i </w:t>
      </w:r>
      <w:r w:rsidR="005234E1" w:rsidRPr="00BF6615">
        <w:t>urzęd</w:t>
      </w:r>
      <w:r w:rsidR="009617E7" w:rsidRPr="00BF6615">
        <w:t>ów</w:t>
      </w:r>
      <w:r w:rsidR="005234E1" w:rsidRPr="00BF6615">
        <w:t xml:space="preserve"> centraln</w:t>
      </w:r>
      <w:r w:rsidR="009617E7" w:rsidRPr="00BF6615">
        <w:t>ych. N</w:t>
      </w:r>
      <w:r w:rsidR="00C97C61" w:rsidRPr="00BF6615">
        <w:t xml:space="preserve">ajniżej – strony </w:t>
      </w:r>
      <w:r w:rsidR="00415859" w:rsidRPr="00BF6615">
        <w:t>edukacyjne</w:t>
      </w:r>
      <w:r w:rsidR="00C97C61" w:rsidRPr="00BF6615">
        <w:t xml:space="preserve">. </w:t>
      </w:r>
      <w:r w:rsidR="00FA7117" w:rsidRPr="00BF6615">
        <w:t>Najniższy wynik w kategoriach dostępności przyznano d</w:t>
      </w:r>
      <w:r w:rsidR="009C3DC4" w:rsidRPr="00BF6615">
        <w:t>ostęp</w:t>
      </w:r>
      <w:r w:rsidR="00FA7117" w:rsidRPr="00BF6615">
        <w:t>owi</w:t>
      </w:r>
      <w:r w:rsidR="009C3DC4" w:rsidRPr="00BF6615">
        <w:t xml:space="preserve"> do tłumacze</w:t>
      </w:r>
      <w:r w:rsidR="00FF189A" w:rsidRPr="00BF6615">
        <w:t>ń PJM</w:t>
      </w:r>
      <w:r w:rsidR="00C97C61" w:rsidRPr="00BF6615">
        <w:t xml:space="preserve">. </w:t>
      </w:r>
      <w:r w:rsidR="004917F4" w:rsidRPr="00BF6615">
        <w:t>W przypadku aplikacji, tak, jak i stron najwyżej oceniono aplikacje instytucji</w:t>
      </w:r>
      <w:r w:rsidR="00C97C61" w:rsidRPr="00BF6615">
        <w:t xml:space="preserve"> kultury</w:t>
      </w:r>
      <w:r w:rsidR="004917F4" w:rsidRPr="00BF6615">
        <w:t xml:space="preserve">, a najniższe noty otrzymały aplikacje </w:t>
      </w:r>
      <w:r w:rsidR="005B10C4" w:rsidRPr="00BF6615">
        <w:t>urzędu miejskiego lub gminn</w:t>
      </w:r>
      <w:r w:rsidR="00501704" w:rsidRPr="00BF6615">
        <w:t xml:space="preserve">y i aplikacje </w:t>
      </w:r>
      <w:r w:rsidR="005B10C4" w:rsidRPr="00BF6615">
        <w:t xml:space="preserve">dot. zdrowia. </w:t>
      </w:r>
    </w:p>
    <w:p w14:paraId="4F8AC8A3" w14:textId="142E0434" w:rsidR="00C03D6B" w:rsidRPr="00BF6615" w:rsidRDefault="007163F4" w:rsidP="007E26B5">
      <w:pPr>
        <w:rPr>
          <w:szCs w:val="24"/>
        </w:rPr>
      </w:pPr>
      <w:r w:rsidRPr="00BF6615">
        <w:rPr>
          <w:szCs w:val="24"/>
        </w:rPr>
        <w:t>W zakresie barier w korzystaniu ze stron należy wskazać</w:t>
      </w:r>
      <w:r w:rsidR="00B65EAE" w:rsidRPr="00BF6615">
        <w:rPr>
          <w:szCs w:val="24"/>
        </w:rPr>
        <w:t xml:space="preserve"> brak tłumaczenia na PJM,</w:t>
      </w:r>
      <w:r w:rsidRPr="00BF6615">
        <w:rPr>
          <w:szCs w:val="24"/>
        </w:rPr>
        <w:t xml:space="preserve"> </w:t>
      </w:r>
      <w:r w:rsidR="00B65EAE" w:rsidRPr="00BF6615">
        <w:rPr>
          <w:szCs w:val="24"/>
        </w:rPr>
        <w:t>dostępność formularzy zamieszczonych na stronie</w:t>
      </w:r>
      <w:r w:rsidR="00245B9A" w:rsidRPr="00BF6615">
        <w:rPr>
          <w:szCs w:val="24"/>
        </w:rPr>
        <w:t xml:space="preserve">, a także </w:t>
      </w:r>
      <w:r w:rsidR="00DA3364" w:rsidRPr="00BF6615">
        <w:rPr>
          <w:szCs w:val="24"/>
        </w:rPr>
        <w:t>trudność w</w:t>
      </w:r>
      <w:r w:rsidR="00245B9A" w:rsidRPr="00BF6615">
        <w:rPr>
          <w:szCs w:val="24"/>
        </w:rPr>
        <w:t xml:space="preserve"> znajdowani</w:t>
      </w:r>
      <w:r w:rsidR="00DA3364" w:rsidRPr="00BF6615">
        <w:rPr>
          <w:szCs w:val="24"/>
        </w:rPr>
        <w:t>u</w:t>
      </w:r>
      <w:r w:rsidR="00245B9A" w:rsidRPr="00BF6615">
        <w:rPr>
          <w:szCs w:val="24"/>
        </w:rPr>
        <w:t xml:space="preserve"> szukanych informacji. </w:t>
      </w:r>
      <w:r w:rsidRPr="00BF6615">
        <w:rPr>
          <w:szCs w:val="24"/>
        </w:rPr>
        <w:t xml:space="preserve">Największe bariery w aplikacjach </w:t>
      </w:r>
      <w:r w:rsidR="004F51BA" w:rsidRPr="00BF6615">
        <w:rPr>
          <w:szCs w:val="24"/>
        </w:rPr>
        <w:t>to również brak dostępu do treści w PJM</w:t>
      </w:r>
      <w:r w:rsidR="00B55099" w:rsidRPr="00BF6615">
        <w:rPr>
          <w:szCs w:val="24"/>
        </w:rPr>
        <w:t xml:space="preserve">, brak informacji zwrotnej w formie cyfrowej oraz ograniczenia w obsługiwaniu wszystkich elementów aplikacji przy użyciu klawiatury zewnętrznej. </w:t>
      </w:r>
    </w:p>
    <w:p w14:paraId="4907CCDF" w14:textId="5CD5EDEF" w:rsidR="004433E7" w:rsidRPr="00BF6615" w:rsidRDefault="00863D82" w:rsidP="007E26B5">
      <w:r w:rsidRPr="00BF6615">
        <w:t xml:space="preserve">Zdecydowana większość badanych </w:t>
      </w:r>
      <w:r w:rsidR="00C03D6B" w:rsidRPr="00BF6615">
        <w:t>(85%)</w:t>
      </w:r>
      <w:r w:rsidRPr="00BF6615">
        <w:t xml:space="preserve"> nie używa </w:t>
      </w:r>
      <w:r w:rsidR="00C03D6B" w:rsidRPr="00BF6615">
        <w:t>technologii wspomagających podczas korzystania ze stron podmiotów publicznych</w:t>
      </w:r>
      <w:r w:rsidRPr="00BF6615">
        <w:t>. Wśród tych, którzy je wykorzystują, najczęściej wskazywano klawiatury</w:t>
      </w:r>
      <w:r w:rsidR="00AE13ED" w:rsidRPr="00BF6615">
        <w:t xml:space="preserve">, </w:t>
      </w:r>
      <w:r w:rsidRPr="00BF6615">
        <w:t>funkcje powiększania ekranu</w:t>
      </w:r>
      <w:r w:rsidR="00AE13ED" w:rsidRPr="00BF6615">
        <w:t xml:space="preserve"> i tłumaczenia online</w:t>
      </w:r>
      <w:r w:rsidRPr="00BF6615">
        <w:t xml:space="preserve">. </w:t>
      </w:r>
      <w:r w:rsidR="0085392C" w:rsidRPr="00BF6615">
        <w:t>Mniejszość badanych (</w:t>
      </w:r>
      <w:r w:rsidR="004433E7" w:rsidRPr="00BF6615">
        <w:t>36</w:t>
      </w:r>
      <w:r w:rsidRPr="00BF6615">
        <w:t>%</w:t>
      </w:r>
      <w:r w:rsidR="0085392C" w:rsidRPr="00BF6615">
        <w:t>)</w:t>
      </w:r>
      <w:r w:rsidRPr="00BF6615">
        <w:t xml:space="preserve"> słyszał</w:t>
      </w:r>
      <w:r w:rsidR="0085392C" w:rsidRPr="00BF6615">
        <w:t>a</w:t>
      </w:r>
      <w:r w:rsidRPr="00BF6615">
        <w:t xml:space="preserve"> o deklaracjach dostępności, a </w:t>
      </w:r>
      <w:r w:rsidR="00AF3518" w:rsidRPr="00BF6615">
        <w:t xml:space="preserve">część </w:t>
      </w:r>
      <w:r w:rsidRPr="00BF6615">
        <w:t xml:space="preserve">z tej grupy </w:t>
      </w:r>
      <w:r w:rsidR="00AF3518" w:rsidRPr="00BF6615">
        <w:t>nigdy</w:t>
      </w:r>
      <w:r w:rsidR="00050EF7" w:rsidRPr="00BF6615">
        <w:t xml:space="preserve"> z nich </w:t>
      </w:r>
      <w:r w:rsidR="00AF3518" w:rsidRPr="00BF6615">
        <w:t xml:space="preserve">nie </w:t>
      </w:r>
      <w:r w:rsidR="00050EF7" w:rsidRPr="00BF6615">
        <w:t>korzystała</w:t>
      </w:r>
      <w:r w:rsidRPr="00BF6615">
        <w:t>. Spośród użytkowników deklarac</w:t>
      </w:r>
      <w:r w:rsidR="008330BD" w:rsidRPr="00BF6615">
        <w:t>ji</w:t>
      </w:r>
      <w:r w:rsidRPr="00BF6615">
        <w:t xml:space="preserve"> </w:t>
      </w:r>
      <w:r w:rsidR="00AF3518" w:rsidRPr="00BF6615">
        <w:t>2/3</w:t>
      </w:r>
      <w:r w:rsidRPr="00BF6615">
        <w:t xml:space="preserve"> uważa, że zawierają zbyt mało szczegółowych informacji, </w:t>
      </w:r>
      <w:r w:rsidR="004421F3" w:rsidRPr="00BF6615">
        <w:t>kolejna grupa wskazuje</w:t>
      </w:r>
      <w:r w:rsidRPr="00BF6615">
        <w:t xml:space="preserve"> na brak danych kontaktowych do osoby odpowiedzialnej za dostępność.</w:t>
      </w:r>
    </w:p>
    <w:p w14:paraId="27984313" w14:textId="4196FD87" w:rsidR="006F1160" w:rsidRPr="00BF6615" w:rsidRDefault="000E08CC" w:rsidP="007E26B5">
      <w:r w:rsidRPr="00BF6615">
        <w:t>W przypadku napotkania trudności</w:t>
      </w:r>
      <w:r w:rsidR="00C979AE" w:rsidRPr="00BF6615">
        <w:t xml:space="preserve"> </w:t>
      </w:r>
      <w:r w:rsidR="004421F3" w:rsidRPr="00BF6615">
        <w:t xml:space="preserve">w korzystaniu z komputera i Internetu </w:t>
      </w:r>
      <w:r w:rsidRPr="00BF6615">
        <w:t>użytkownicy najczęściej samodzielnie poszukiwali rozwiązań</w:t>
      </w:r>
      <w:r w:rsidR="786A3643" w:rsidRPr="00BF6615">
        <w:t>,</w:t>
      </w:r>
      <w:r w:rsidRPr="00BF6615">
        <w:t xml:space="preserve"> </w:t>
      </w:r>
      <w:r w:rsidR="004421F3" w:rsidRPr="00BF6615">
        <w:t>ale dość często</w:t>
      </w:r>
      <w:r w:rsidRPr="00BF6615">
        <w:t xml:space="preserve"> prosili o pomoc bliskich albo korzystali </w:t>
      </w:r>
      <w:r w:rsidR="005F40F7" w:rsidRPr="00BF6615">
        <w:t>z obsługi klienta</w:t>
      </w:r>
      <w:r w:rsidRPr="00BF6615">
        <w:t>.</w:t>
      </w:r>
    </w:p>
    <w:p w14:paraId="7256F202" w14:textId="394F914E" w:rsidR="006214FA" w:rsidRPr="00BF6615" w:rsidRDefault="00B7416B" w:rsidP="007E26B5">
      <w:pPr>
        <w:rPr>
          <w:rFonts w:ascii="Calibri" w:hAnsi="Calibri" w:cs="Calibri"/>
        </w:rPr>
      </w:pPr>
      <w:r w:rsidRPr="00BF6615">
        <w:t>N</w:t>
      </w:r>
      <w:r w:rsidR="00EF1053" w:rsidRPr="00BF6615">
        <w:t xml:space="preserve">ajistotniejszymi cechami stron publicznych </w:t>
      </w:r>
      <w:r w:rsidRPr="00BF6615">
        <w:t xml:space="preserve">wg badanych </w:t>
      </w:r>
      <w:r w:rsidR="00EF1053" w:rsidRPr="00BF6615">
        <w:t>są</w:t>
      </w:r>
      <w:r w:rsidRPr="00BF6615">
        <w:t>:</w:t>
      </w:r>
      <w:r w:rsidR="00EF1053" w:rsidRPr="00BF6615">
        <w:t xml:space="preserve"> zrozumiałość treści</w:t>
      </w:r>
      <w:r w:rsidRPr="00BF6615">
        <w:t>,</w:t>
      </w:r>
      <w:r w:rsidR="00EF1053" w:rsidRPr="00BF6615">
        <w:t xml:space="preserve"> </w:t>
      </w:r>
      <w:r w:rsidR="00D90C4D" w:rsidRPr="00BF6615">
        <w:rPr>
          <w:rFonts w:ascii="Calibri" w:hAnsi="Calibri" w:cs="Calibri"/>
        </w:rPr>
        <w:t xml:space="preserve">przejrzystość informacji </w:t>
      </w:r>
      <w:r w:rsidR="00EF1053" w:rsidRPr="00BF6615">
        <w:rPr>
          <w:rFonts w:ascii="Calibri" w:hAnsi="Calibri" w:cs="Calibri"/>
        </w:rPr>
        <w:t xml:space="preserve">i </w:t>
      </w:r>
      <w:r w:rsidR="00E0031A" w:rsidRPr="00BF6615">
        <w:rPr>
          <w:rFonts w:ascii="Calibri" w:hAnsi="Calibri" w:cs="Calibri"/>
        </w:rPr>
        <w:t xml:space="preserve">zrozumiałe ostrzeżenia </w:t>
      </w:r>
      <w:r w:rsidR="00EF1053" w:rsidRPr="00BF6615">
        <w:rPr>
          <w:rFonts w:ascii="Calibri" w:hAnsi="Calibri" w:cs="Calibri"/>
        </w:rPr>
        <w:t>o błędach. Wskazywano również na potrzebę prostoty języka</w:t>
      </w:r>
      <w:r w:rsidR="00CC1745" w:rsidRPr="00BF6615">
        <w:rPr>
          <w:rFonts w:ascii="Calibri" w:hAnsi="Calibri" w:cs="Calibri"/>
        </w:rPr>
        <w:t>, intuicyjnej nawigacji na stronie i jasnych instrukcji</w:t>
      </w:r>
      <w:r w:rsidR="00EF1053" w:rsidRPr="00BF6615">
        <w:rPr>
          <w:rFonts w:ascii="Calibri" w:hAnsi="Calibri" w:cs="Calibri"/>
        </w:rPr>
        <w:t xml:space="preserve">. </w:t>
      </w:r>
      <w:r w:rsidR="004934A3" w:rsidRPr="00BF6615">
        <w:rPr>
          <w:rFonts w:ascii="Calibri" w:hAnsi="Calibri" w:cs="Calibri"/>
        </w:rPr>
        <w:t xml:space="preserve">Podkreślano także </w:t>
      </w:r>
      <w:r w:rsidR="00E51DCF" w:rsidRPr="00BF6615">
        <w:rPr>
          <w:rFonts w:ascii="Calibri" w:hAnsi="Calibri" w:cs="Calibri"/>
        </w:rPr>
        <w:t>wagę dostępności danych i formularzy oraz szybkości działania stron.</w:t>
      </w:r>
      <w:r w:rsidR="009506D1" w:rsidRPr="00BF6615">
        <w:rPr>
          <w:rFonts w:ascii="Calibri" w:hAnsi="Calibri" w:cs="Calibri"/>
        </w:rPr>
        <w:t xml:space="preserve"> </w:t>
      </w:r>
    </w:p>
    <w:p w14:paraId="5CD0BFE6" w14:textId="24695A5C" w:rsidR="009C15B4" w:rsidRPr="00BF6615" w:rsidRDefault="00EF1053" w:rsidP="007E26B5">
      <w:pPr>
        <w:rPr>
          <w:rFonts w:ascii="Calibri" w:hAnsi="Calibri" w:cs="Calibri"/>
        </w:rPr>
      </w:pPr>
      <w:r w:rsidRPr="00BF6615">
        <w:rPr>
          <w:rFonts w:ascii="Calibri" w:hAnsi="Calibri" w:cs="Calibri"/>
        </w:rPr>
        <w:lastRenderedPageBreak/>
        <w:t xml:space="preserve">Oczekiwania wobec aplikacji mobilnych koncentrowały się wokół </w:t>
      </w:r>
      <w:r w:rsidR="006214FA" w:rsidRPr="00BF6615">
        <w:rPr>
          <w:rFonts w:ascii="Calibri" w:hAnsi="Calibri" w:cs="Calibri"/>
        </w:rPr>
        <w:t xml:space="preserve">łatwej nawigacji w aplikacji, przejrzystości informacji oraz publikowania treści napisanych w sposób zrozumiały. </w:t>
      </w:r>
      <w:r w:rsidRPr="00BF6615">
        <w:rPr>
          <w:rFonts w:ascii="Calibri" w:hAnsi="Calibri" w:cs="Calibri"/>
        </w:rPr>
        <w:t>Wiele osób zaznaczało</w:t>
      </w:r>
      <w:r w:rsidR="009C15B4" w:rsidRPr="00BF6615">
        <w:rPr>
          <w:rFonts w:ascii="Calibri" w:hAnsi="Calibri" w:cs="Calibri"/>
        </w:rPr>
        <w:t xml:space="preserve"> potrzebę szybszego działania aplikacji i sprawniejszego załatwiania spraw. </w:t>
      </w:r>
      <w:r w:rsidR="00D16CE0" w:rsidRPr="00BF6615">
        <w:rPr>
          <w:rFonts w:ascii="Calibri" w:hAnsi="Calibri" w:cs="Calibri"/>
        </w:rPr>
        <w:t>Uwagę zwraca fakt, że część respondentów w grupie osób 60+</w:t>
      </w:r>
      <w:r w:rsidR="00031D3B" w:rsidRPr="00BF6615">
        <w:rPr>
          <w:rFonts w:ascii="Calibri" w:hAnsi="Calibri" w:cs="Calibri"/>
        </w:rPr>
        <w:t xml:space="preserve"> sugerowała wykorzystanie sztucznej inteligencji jako formy wsparcia</w:t>
      </w:r>
      <w:r w:rsidR="002F3471" w:rsidRPr="00BF6615">
        <w:rPr>
          <w:rFonts w:ascii="Calibri" w:hAnsi="Calibri" w:cs="Calibri"/>
        </w:rPr>
        <w:t xml:space="preserve"> w aplikacjach podmiotów publicznych.</w:t>
      </w:r>
    </w:p>
    <w:p w14:paraId="7C66A69B" w14:textId="6E9D3087" w:rsidR="001421E2" w:rsidRPr="00BF6615" w:rsidRDefault="001421E2" w:rsidP="007E26B5">
      <w:r w:rsidRPr="00BF6615">
        <w:t xml:space="preserve">Podsumowując, osoby z grupy wiekowej 60+ wykazują zaskakująco wysoką aktywność </w:t>
      </w:r>
      <w:r w:rsidR="008B0B0A" w:rsidRPr="00BF6615">
        <w:t>w</w:t>
      </w:r>
      <w:r w:rsidR="008B0B0A">
        <w:t> </w:t>
      </w:r>
      <w:r w:rsidRPr="00BF6615">
        <w:t xml:space="preserve">Internecie – aż 98% respondentów korzysta z niego codziennie. Główne cele korzystania </w:t>
      </w:r>
      <w:r w:rsidR="008B0B0A" w:rsidRPr="00BF6615">
        <w:t>z</w:t>
      </w:r>
      <w:r w:rsidR="008B0B0A">
        <w:t> </w:t>
      </w:r>
      <w:r w:rsidRPr="00BF6615">
        <w:t>sieci to komunikacja, poszukiwanie informacji, rozrywka oraz załatwianie spraw urzędowych. Najczęściej podejmowane działania to płatności rachunków, zakupy online i kontakt z bliskimi. Choć osoby starsze wykazują dużą otwartość na cyfrowe rozwiązania i deklarują dużą częstotliwość korzystania z Internetu to wciąż większość łączy różne formy kontaktu z urzędami, a istotna część nadal polega na tradycyjnych metodach.</w:t>
      </w:r>
    </w:p>
    <w:p w14:paraId="219C7E24" w14:textId="62795911" w:rsidR="001421E2" w:rsidRPr="00BF6615" w:rsidRDefault="001421E2" w:rsidP="007E26B5">
      <w:r w:rsidRPr="00BF6615">
        <w:t>Wnioski z badania podkreślają konieczność projektowania usług cyfrowych uwzględniających potrzeby osób starszych – szczególnie w zakresie czytelności, prostoty obsługi oraz dostępności językowej i technologicznej.</w:t>
      </w:r>
      <w:r w:rsidR="00AC16C9" w:rsidRPr="00BF6615">
        <w:t xml:space="preserve"> Dalsze kierunki rozwoju powinny koncentrować się na wzmacnianiu samodzielności i eliminowaniu barier technicznych i informacyjnych.</w:t>
      </w:r>
      <w:r w:rsidRPr="00BF6615">
        <w:t xml:space="preserve"> </w:t>
      </w:r>
    </w:p>
    <w:p w14:paraId="68C881AF" w14:textId="77777777" w:rsidR="007163F4" w:rsidRPr="00BF6615" w:rsidRDefault="007163F4" w:rsidP="007E26B5"/>
    <w:p w14:paraId="6F2415F3" w14:textId="5952B3BB" w:rsidR="007163F4" w:rsidRPr="00BF6615" w:rsidRDefault="007163F4" w:rsidP="007E26B5">
      <w:pPr>
        <w:pStyle w:val="Nagwek2"/>
      </w:pPr>
      <w:r w:rsidRPr="00BF6615">
        <w:br w:type="page"/>
      </w:r>
      <w:bookmarkStart w:id="296" w:name="_Toc204179298"/>
      <w:r w:rsidR="002A598D" w:rsidRPr="00BF6615">
        <w:lastRenderedPageBreak/>
        <w:t>Wnioski z badania ilościowego</w:t>
      </w:r>
      <w:bookmarkEnd w:id="296"/>
      <w:r w:rsidR="002A598D" w:rsidRPr="00BF6615">
        <w:t xml:space="preserve"> </w:t>
      </w:r>
    </w:p>
    <w:p w14:paraId="4D9E9575" w14:textId="40339DFD" w:rsidR="00C8508E" w:rsidRPr="00B271C3" w:rsidRDefault="00C8508E" w:rsidP="00B271C3">
      <w:pPr>
        <w:pStyle w:val="Nagwek4"/>
      </w:pPr>
      <w:r w:rsidRPr="00B271C3">
        <w:t xml:space="preserve">Korzystanie z </w:t>
      </w:r>
      <w:r w:rsidR="00B913A5" w:rsidRPr="00B271C3">
        <w:t xml:space="preserve">komputera i </w:t>
      </w:r>
      <w:r w:rsidRPr="00B271C3">
        <w:t>Internetu</w:t>
      </w:r>
    </w:p>
    <w:p w14:paraId="57D8977F" w14:textId="7630A7BB" w:rsidR="00C8508E" w:rsidRPr="00BF6615" w:rsidRDefault="00C8508E" w:rsidP="007E26B5">
      <w:r w:rsidRPr="00BF6615">
        <w:t>We wszystkich trzech badanych grup</w:t>
      </w:r>
      <w:r w:rsidR="00786231" w:rsidRPr="00BF6615">
        <w:t>ach</w:t>
      </w:r>
      <w:r w:rsidRPr="00BF6615">
        <w:t xml:space="preserve"> – obywateli w wieku 18–59 lat bez niepełnosprawności, osób z niepełnosprawnościami oraz seniorów 60+ – korzystanie </w:t>
      </w:r>
      <w:r w:rsidR="008B0B0A" w:rsidRPr="00BF6615">
        <w:t>z</w:t>
      </w:r>
      <w:r w:rsidR="008B0B0A">
        <w:t> </w:t>
      </w:r>
      <w:r w:rsidRPr="00BF6615">
        <w:t xml:space="preserve">Internetu jest zjawiskiem powszechnym. Niemal wszyscy respondenci deklarują codzienny dostęp do sieci, co świadczy o głęboko zakorzenionej roli Internetu w ich życiu codziennym. Mimo tak wysokiej częstotliwości, odczuwalne są różnice w poziomie </w:t>
      </w:r>
      <w:r w:rsidRPr="00BF6615">
        <w:rPr>
          <w:b/>
        </w:rPr>
        <w:t>kompetencji cyfrowych</w:t>
      </w:r>
      <w:r w:rsidRPr="00BF6615">
        <w:t xml:space="preserve"> </w:t>
      </w:r>
      <w:r w:rsidR="008B0B0A" w:rsidRPr="00BF6615">
        <w:t>i</w:t>
      </w:r>
      <w:r w:rsidR="008B0B0A">
        <w:t> </w:t>
      </w:r>
      <w:r w:rsidRPr="00BF6615">
        <w:t xml:space="preserve">pewności siebie przy obsłudze nowych technologii. Osoby młodsze (18–59 lat) najczęściej oceniały swoje umiejętności jako bardzo dobre lub dobre – ponad połowa z nich czuje się </w:t>
      </w:r>
      <w:r w:rsidRPr="00BF6615">
        <w:rPr>
          <w:b/>
        </w:rPr>
        <w:t>biegła w korzystaniu z Internetu</w:t>
      </w:r>
      <w:r w:rsidRPr="00BF6615">
        <w:t xml:space="preserve">. Dla porównania, respondenci z niepełnosprawnościami rzadziej deklarowali najwyższą biegłość i częściej określali swoje umiejętności po prostu jako wystarczające do bieżących potrzeb. Jeszcze ostrożniej własne kompetencje oceniały osoby starsze: w grupie 60+ tylko nieliczni uznali, że </w:t>
      </w:r>
      <w:r w:rsidRPr="00BF6615">
        <w:rPr>
          <w:b/>
        </w:rPr>
        <w:t>bardzo dobrze</w:t>
      </w:r>
      <w:r w:rsidRPr="00BF6615">
        <w:t xml:space="preserve"> radzą sobie z komputerem lub Internetem, większość zaś </w:t>
      </w:r>
      <w:r w:rsidR="00E83E07" w:rsidRPr="00BF6615">
        <w:t xml:space="preserve">oceniała swój poziom jako </w:t>
      </w:r>
      <w:r w:rsidRPr="00BF6615">
        <w:t>umiarkowany (dobr</w:t>
      </w:r>
      <w:r w:rsidR="00E83E07" w:rsidRPr="00BF6615">
        <w:t>y</w:t>
      </w:r>
      <w:r w:rsidRPr="00BF6615">
        <w:t xml:space="preserve"> lub podstawowy). </w:t>
      </w:r>
      <w:r w:rsidR="008B0B0A" w:rsidRPr="00BF6615">
        <w:t>Te</w:t>
      </w:r>
      <w:r w:rsidR="008B0B0A">
        <w:t> </w:t>
      </w:r>
      <w:r w:rsidRPr="00BF6615">
        <w:t xml:space="preserve">deklaracje przekładają się na styl korzystania – młodsi użytkownicy bywają bardziej </w:t>
      </w:r>
      <w:r w:rsidRPr="00BF6615">
        <w:rPr>
          <w:b/>
        </w:rPr>
        <w:t>zaawansowani i samodzielni</w:t>
      </w:r>
      <w:r w:rsidRPr="00BF6615">
        <w:t>, podczas gdy seniorzy częściej potrzebują upewnienia się, że robią wszystko poprawnie.</w:t>
      </w:r>
    </w:p>
    <w:p w14:paraId="2B38D5DB" w14:textId="53CF0843" w:rsidR="00C8508E" w:rsidRPr="00BF6615" w:rsidRDefault="00C8508E" w:rsidP="007E26B5">
      <w:r w:rsidRPr="00BF6615">
        <w:rPr>
          <w:b/>
        </w:rPr>
        <w:t>Cele korzystania z Internetu</w:t>
      </w:r>
      <w:r w:rsidRPr="00BF6615">
        <w:t xml:space="preserve"> okazały się w dużej mierze wspólne dla wszystkich grup, choć </w:t>
      </w:r>
      <w:r w:rsidR="008B0B0A" w:rsidRPr="00BF6615">
        <w:t>z</w:t>
      </w:r>
      <w:r w:rsidR="008B0B0A">
        <w:t> </w:t>
      </w:r>
      <w:r w:rsidRPr="00BF6615">
        <w:t xml:space="preserve">paroma akcentami szczególnymi. Utrzymywanie kontaktów osobistych i towarzyskich oraz rozrywka należą do najczęściej wskazywanych aktywności online bez względu na grupę. Na przykład komunikowanie się z bliskimi i konsumpcja treści rozrywkowych znalazły się w ścisłej czołówce zastosowań sieci zarówno u obywateli 18–59, jak i u osób z niepełnosprawnościami oraz seniorów. Różnice pojawiają się w mniej oczywistych obszarach: osoby </w:t>
      </w:r>
      <w:r w:rsidR="008B0B0A" w:rsidRPr="00BF6615">
        <w:t>z</w:t>
      </w:r>
      <w:r w:rsidR="008B0B0A">
        <w:t> </w:t>
      </w:r>
      <w:r w:rsidRPr="00BF6615">
        <w:t xml:space="preserve">niepełnosprawnościami częściej niż pozostali podkreślały, że Internet służy im do spraw związanych ze zdrowiem i leczeniem (ta kategoria była wyraźnie obecna w wypowiedziach tej grupy). Seniorzy również często używają sieci do pozyskiwania informacji o zdrowiu, ale szczególnie wyróżnili się zamiłowaniem do śledzenia bieżących wiadomości i rozwijania swoich zainteresowań – w ich spontanicznych odpowiedziach pojawiały się przykłady szukania informacji o polityce, wydarzeniach sportowych, hobby (np. filatelistyka, robótki ręczne) czy choćby prognozie pogody. Młodsi obywatele natomiast najrzadziej łączyli Internet z tematyką administracji publicznej – w pytaniach otwartych praktycznie </w:t>
      </w:r>
      <w:r w:rsidRPr="00BF6615">
        <w:rPr>
          <w:b/>
        </w:rPr>
        <w:t>nie wspominali o poszukiwaniu informacji urzędowych</w:t>
      </w:r>
      <w:r w:rsidRPr="00BF6615">
        <w:t xml:space="preserve">, koncentrując się na sprawach życia codziennego, zakupach, newsach </w:t>
      </w:r>
      <w:r w:rsidR="008B0B0A" w:rsidRPr="00BF6615">
        <w:t>i</w:t>
      </w:r>
      <w:r w:rsidR="008B0B0A">
        <w:t> </w:t>
      </w:r>
      <w:r w:rsidRPr="00BF6615">
        <w:t xml:space="preserve">rozrywce. Można zatem stwierdzić, że </w:t>
      </w:r>
      <w:r w:rsidRPr="00BF6615">
        <w:rPr>
          <w:b/>
        </w:rPr>
        <w:t>Internet dla wszystkich grup jest przede wszystkim narzędziem osobistym</w:t>
      </w:r>
      <w:r w:rsidRPr="00BF6615">
        <w:t xml:space="preserve">, choć osoby z niepełnosprawnościami i seniorzy nieco częściej wykorzystują go także w celach prozdrowotnych i informacyjnych, podczas gdy osoby </w:t>
      </w:r>
      <w:r w:rsidR="008B0B0A" w:rsidRPr="00BF6615">
        <w:t>w</w:t>
      </w:r>
      <w:r w:rsidR="008B0B0A">
        <w:t> </w:t>
      </w:r>
      <w:r w:rsidRPr="00BF6615">
        <w:t>średnim wieku traktują sieć bardziej użytkowo i rozrywkowo.</w:t>
      </w:r>
    </w:p>
    <w:p w14:paraId="3E70E98E" w14:textId="487CCFED" w:rsidR="00C8508E" w:rsidRPr="00BF6615" w:rsidRDefault="00C8508E" w:rsidP="007E26B5">
      <w:r w:rsidRPr="00BF6615">
        <w:lastRenderedPageBreak/>
        <w:t xml:space="preserve">Warto zauważyć, że </w:t>
      </w:r>
      <w:r w:rsidRPr="00BF6615">
        <w:rPr>
          <w:b/>
        </w:rPr>
        <w:t>załatwianie spraw urzędowych przez Internet</w:t>
      </w:r>
      <w:r w:rsidRPr="00BF6615">
        <w:t xml:space="preserve"> deklarowała ponad połowa ogółu badanych, jednak analiza szczegółowa pokazuje, iż faktycznie regularnie podejmuje takie działania tylko ok</w:t>
      </w:r>
      <w:r w:rsidR="00411D92" w:rsidRPr="00BF6615">
        <w:t>oło</w:t>
      </w:r>
      <w:r w:rsidRPr="00BF6615">
        <w:t xml:space="preserve"> jedna trzecia użytkowników. Seniorzy zaskakująco często twierdzili, że korzystają z Internetu do spraw administracyjnych – aż mniej więcej co druga osoba 60+ wskazała taki cel (co jest wynikiem wyższym niż w pozostałych grupach) – jednak jednocześnie wielu z nich podkreśla, że </w:t>
      </w:r>
      <w:r w:rsidRPr="00BF6615">
        <w:rPr>
          <w:b/>
        </w:rPr>
        <w:t>internetowe kanały nie są dla nich jedynymi ani ulubionymi</w:t>
      </w:r>
      <w:r w:rsidRPr="00BF6615">
        <w:t xml:space="preserve"> i nadal chętnie sięgają po telefon lub wizytę w urzędzie. Podsumowując, </w:t>
      </w:r>
      <w:r w:rsidRPr="00BF6615">
        <w:rPr>
          <w:b/>
        </w:rPr>
        <w:t>korzystanie z Internetu jest codziennością</w:t>
      </w:r>
      <w:r w:rsidRPr="00BF6615">
        <w:t xml:space="preserve"> dla badanych obywateli, seniorów i osób z niepełnosprawnościami, przy czym </w:t>
      </w:r>
      <w:r w:rsidRPr="00BF6615">
        <w:rPr>
          <w:b/>
        </w:rPr>
        <w:t>osoby młodsze czują się w cyfrowym świecie najpewniej</w:t>
      </w:r>
      <w:r w:rsidRPr="00BF6615">
        <w:t xml:space="preserve">, a </w:t>
      </w:r>
      <w:r w:rsidRPr="00BF6615">
        <w:rPr>
          <w:b/>
        </w:rPr>
        <w:t xml:space="preserve">osoby z niepełnosprawnościami </w:t>
      </w:r>
      <w:r w:rsidR="008B0B0A" w:rsidRPr="00BF6615">
        <w:rPr>
          <w:b/>
        </w:rPr>
        <w:t>i</w:t>
      </w:r>
      <w:r w:rsidR="008B0B0A">
        <w:rPr>
          <w:b/>
        </w:rPr>
        <w:t> </w:t>
      </w:r>
      <w:r w:rsidRPr="00BF6615">
        <w:rPr>
          <w:b/>
        </w:rPr>
        <w:t>60+ częściej natrafiają na ograniczenia</w:t>
      </w:r>
      <w:r w:rsidRPr="00BF6615">
        <w:t xml:space="preserve"> – czy to wynikające z własnych </w:t>
      </w:r>
      <w:r w:rsidR="00E32CA3" w:rsidRPr="00BF6615">
        <w:t>obaw i ostrożności</w:t>
      </w:r>
      <w:r w:rsidRPr="00BF6615">
        <w:t xml:space="preserve"> czy specyficznych potrzeb (zdrowotnych, poznawczych), które wpływają na ich wzorce użytkowania.</w:t>
      </w:r>
    </w:p>
    <w:p w14:paraId="0CBCD2DE" w14:textId="5B53C7D2" w:rsidR="00C8508E" w:rsidRPr="00B271C3" w:rsidRDefault="00C8508E" w:rsidP="00B271C3">
      <w:pPr>
        <w:pStyle w:val="Nagwek4"/>
      </w:pPr>
      <w:r w:rsidRPr="00B271C3">
        <w:t>Kontakty z administracją przez strony i aplikacje</w:t>
      </w:r>
    </w:p>
    <w:p w14:paraId="42F23FCD" w14:textId="56F2D2B6" w:rsidR="00C8508E" w:rsidRPr="00BF6615" w:rsidRDefault="00C8508E" w:rsidP="007E26B5">
      <w:r w:rsidRPr="00BF6615">
        <w:rPr>
          <w:b/>
        </w:rPr>
        <w:t>Korzystanie z e-administracji</w:t>
      </w:r>
      <w:r w:rsidRPr="00BF6615">
        <w:t xml:space="preserve"> – a więc odwiedzanie stron internetowych urzędów czy używanie aplikacji mobilnych instytucji publicznych – nie jest jeszcze nawykiem codziennym dla wszystkich, ale w każdej badanej grupie zdecydowana większość ma przynajmniej </w:t>
      </w:r>
      <w:r w:rsidRPr="00BF6615">
        <w:rPr>
          <w:b/>
        </w:rPr>
        <w:t>sporadyczny kontakt</w:t>
      </w:r>
      <w:r w:rsidRPr="00BF6615">
        <w:t xml:space="preserve"> z cyfrowymi usługami administracji. Tylko nieliczni respondenci przyznali, że w ogóle </w:t>
      </w:r>
      <w:r w:rsidRPr="00BF6615">
        <w:rPr>
          <w:b/>
        </w:rPr>
        <w:t>nie korzystają z internetowych stron urzędowych</w:t>
      </w:r>
      <w:r w:rsidRPr="00BF6615">
        <w:t xml:space="preserve"> (raptem kilka procent badanych</w:t>
      </w:r>
      <w:r w:rsidR="00FB357A" w:rsidRPr="00BF6615">
        <w:t>-</w:t>
      </w:r>
      <w:r w:rsidRPr="00BF6615">
        <w:t xml:space="preserve"> we wszystkich grupach podobnie mały odsetek). Aplikacje mobilne są nieco rzadziej wykorzystywane: zwłaszcza wśród osób z niepełnosprawnościami znaleźli się tacy, którzy całkowicie </w:t>
      </w:r>
      <w:r w:rsidRPr="00BF6615">
        <w:rPr>
          <w:b/>
        </w:rPr>
        <w:t>unikają aplikacji publicznych</w:t>
      </w:r>
      <w:r w:rsidRPr="00BF6615">
        <w:t xml:space="preserve"> – odsetek niekorzystających z aplikacji był tam najwyższy spośród grup (większość tej </w:t>
      </w:r>
      <w:proofErr w:type="spellStart"/>
      <w:r w:rsidRPr="00BF6615">
        <w:t>subgrupy</w:t>
      </w:r>
      <w:proofErr w:type="spellEnd"/>
      <w:r w:rsidRPr="00BF6615">
        <w:t xml:space="preserve"> stanowiły osoby niewidome lub głuche, wskazujące na bariery dostępu). Również część seniorów deklaruje brak potrzeby używania aplikacji urzędowych (około co piąty senior nie sięga po aplikacje) – oprócz przyzwyczajeń do tradycyjnych metod, pojawia się u nich obawy o prywatność i bezpieczeństwo danych </w:t>
      </w:r>
      <w:r w:rsidR="008B0B0A" w:rsidRPr="00BF6615">
        <w:t>w</w:t>
      </w:r>
      <w:r w:rsidR="008B0B0A">
        <w:t> </w:t>
      </w:r>
      <w:r w:rsidRPr="00BF6615">
        <w:t xml:space="preserve">aplikacjach. Młodsi obywatele są najbardziej otwarci na mobilne rozwiązania – tylko mniej więcej co szósty z nich unika aplikacji, reszta przynajmniej czasem z nich korzysta. W sumie jednak we wszystkich grupach przeważa podejście: </w:t>
      </w:r>
      <w:r w:rsidRPr="00BF6615">
        <w:rPr>
          <w:b/>
        </w:rPr>
        <w:t>korzystam od czasu do czasu</w:t>
      </w:r>
      <w:r w:rsidRPr="00BF6615">
        <w:t xml:space="preserve">. Większość badanych opisywała swoją styczność ze stronami urzędów czy oficjalnymi aplikacjami jako </w:t>
      </w:r>
      <w:r w:rsidRPr="00BF6615">
        <w:rPr>
          <w:b/>
        </w:rPr>
        <w:t>sporadyczną</w:t>
      </w:r>
      <w:r w:rsidRPr="00BF6615">
        <w:t>, używaną tylko w razie konkretnej potrzeby. Regularne, częste korzystanie (np</w:t>
      </w:r>
      <w:r w:rsidR="008B0B0A" w:rsidRPr="00BF6615">
        <w:t>.</w:t>
      </w:r>
      <w:r w:rsidR="008B0B0A">
        <w:t> </w:t>
      </w:r>
      <w:r w:rsidRPr="00BF6615">
        <w:t xml:space="preserve">kilka razy w tygodniu) ze stron administracji deklarowała </w:t>
      </w:r>
      <w:r w:rsidRPr="00BF6615">
        <w:rPr>
          <w:b/>
        </w:rPr>
        <w:t>mniejszość użytkowników</w:t>
      </w:r>
      <w:r w:rsidRPr="00BF6615">
        <w:t xml:space="preserve"> – około jedna trzecia respondentów młodszych i seniorów oraz nieco mniej osób </w:t>
      </w:r>
      <w:r w:rsidR="008B0B0A" w:rsidRPr="00BF6615">
        <w:t>z</w:t>
      </w:r>
      <w:r w:rsidR="008B0B0A">
        <w:t> </w:t>
      </w:r>
      <w:r w:rsidRPr="00BF6615">
        <w:t>niepełnosprawnościami przyznało, że odwiedza e-urzędy często. To pokazuje, że choć potencjał e-administracji jest doceniany, dla sporej części obywateli nadal pozostaje ona rozwiązaniem okazjonalnym.</w:t>
      </w:r>
    </w:p>
    <w:p w14:paraId="62867B4E" w14:textId="6F2830A9" w:rsidR="00C8508E" w:rsidRPr="00BF6615" w:rsidRDefault="00C8508E" w:rsidP="007E26B5">
      <w:r w:rsidRPr="00BF6615">
        <w:rPr>
          <w:b/>
        </w:rPr>
        <w:t>Preferowane kanały kontaktu z urzędem</w:t>
      </w:r>
      <w:r w:rsidRPr="00BF6615">
        <w:t xml:space="preserve"> różnią się wyraźnie między grupami. Młodzi dorośli (18–59 lat) najczęściej wybierają formę online do załatwiania spraw urzędowych – w tej grupie </w:t>
      </w:r>
      <w:r w:rsidRPr="00BF6615">
        <w:rPr>
          <w:b/>
        </w:rPr>
        <w:lastRenderedPageBreak/>
        <w:t>przeważały deklaracje preferowania Internetu</w:t>
      </w:r>
      <w:r w:rsidRPr="00BF6615">
        <w:t xml:space="preserve"> jako głównego sposobu kontaktu (ponad jedna trzecia wskazań, porównywalnie z liczbą osób wciąż stawiających na podejście osobiste). Warto podkreślić, że równie liczna grupa obywateli wybiera </w:t>
      </w:r>
      <w:r w:rsidRPr="00BF6615">
        <w:rPr>
          <w:b/>
        </w:rPr>
        <w:t>model mieszany</w:t>
      </w:r>
      <w:r w:rsidRPr="00BF6615">
        <w:t xml:space="preserve"> – np. najpierw sprawdza informacje w Internecie lub dzwoni, a finalnie i tak udaje się do urzędu osobiście. Tylko pojedyncze osoby młodsze polegają wyłącznie na rozmowie telefonicznej z urzędem – kontakt telefoniczny jako ulubiony kanał był </w:t>
      </w:r>
      <w:r w:rsidRPr="00BF6615">
        <w:rPr>
          <w:b/>
        </w:rPr>
        <w:t>marginalny (kilkuprocentowy)</w:t>
      </w:r>
      <w:r w:rsidRPr="00BF6615">
        <w:t xml:space="preserve"> w tej grupie. Zgoła inaczej wygląda to u seniorów 60+: oni </w:t>
      </w:r>
      <w:r w:rsidRPr="00BF6615">
        <w:rPr>
          <w:b/>
        </w:rPr>
        <w:t>zdecydowanie częściej wybierają wizytę osobistą</w:t>
      </w:r>
      <w:r w:rsidRPr="00BF6615">
        <w:t xml:space="preserve">. Większość starszych badanych stwierdziła, że najczęściej załatwia sprawy </w:t>
      </w:r>
      <w:r w:rsidRPr="00BF6615">
        <w:rPr>
          <w:b/>
        </w:rPr>
        <w:t>tradycyjnie, twarzą w twarz</w:t>
      </w:r>
      <w:r w:rsidRPr="00BF6615">
        <w:t xml:space="preserve"> </w:t>
      </w:r>
      <w:r w:rsidR="008B0B0A" w:rsidRPr="00BF6615">
        <w:t>w</w:t>
      </w:r>
      <w:r w:rsidR="008B0B0A">
        <w:t> </w:t>
      </w:r>
      <w:r w:rsidRPr="00BF6615">
        <w:t xml:space="preserve">urzędzie, a rozwiązania internetowe traktuje pomocniczo lub w ogóle z nich rezygnuje. Nawet ci seniorzy, którzy są dość biegli cyfrowo, często </w:t>
      </w:r>
      <w:r w:rsidRPr="00BF6615">
        <w:rPr>
          <w:b/>
        </w:rPr>
        <w:t>łącza różne sposoby</w:t>
      </w:r>
      <w:r w:rsidRPr="00BF6615">
        <w:t xml:space="preserve"> – ponad jedna trzecia deklaruje, że stosuje zarówno Internet, jak i kontakt bezpośredni zamiennie, wybierając </w:t>
      </w:r>
      <w:r w:rsidR="008B0B0A" w:rsidRPr="00BF6615">
        <w:t>w</w:t>
      </w:r>
      <w:r w:rsidR="008B0B0A">
        <w:t> </w:t>
      </w:r>
      <w:r w:rsidRPr="00BF6615">
        <w:t xml:space="preserve">zależności od sytuacji. Tylko około co trzeci senior gotów jest </w:t>
      </w:r>
      <w:r w:rsidRPr="00BF6615">
        <w:rPr>
          <w:b/>
        </w:rPr>
        <w:t>w pełni oprzeć się na trybie online</w:t>
      </w:r>
      <w:r w:rsidRPr="00BF6615">
        <w:t>, reszta czuje potrzebę kontaktu osobistego lub przynajmniej rozmowy telefonicznej dla pewności</w:t>
      </w:r>
      <w:r w:rsidR="00EA3712" w:rsidRPr="00BF6615">
        <w:t>, że poprawnie załatwia sprawę</w:t>
      </w:r>
      <w:r w:rsidRPr="00BF6615">
        <w:t xml:space="preserve">. Osoby z niepełnosprawnościami również rzadko ograniczają się wyłącznie do Internetu: </w:t>
      </w:r>
      <w:r w:rsidRPr="00BF6615">
        <w:rPr>
          <w:b/>
        </w:rPr>
        <w:t>niewielu z nich (około jednej piątej)</w:t>
      </w:r>
      <w:r w:rsidRPr="00BF6615">
        <w:t xml:space="preserve"> deklarowało, że wszystkie sprawy urzędowe załatwia online. W tej grupie występuje jednak ciekawy podział wewnętrzny – </w:t>
      </w:r>
      <w:r w:rsidRPr="00BF6615">
        <w:rPr>
          <w:b/>
        </w:rPr>
        <w:t>osoby z niepełnosprawnością ruchu</w:t>
      </w:r>
      <w:r w:rsidRPr="00BF6615">
        <w:t xml:space="preserve"> relatywnie częściej korzystają </w:t>
      </w:r>
      <w:r w:rsidR="008B0B0A">
        <w:br/>
      </w:r>
      <w:r w:rsidRPr="00BF6615">
        <w:t xml:space="preserve">z e-administracji, prawdopodobnie dlatego, że bariery architektoniczne </w:t>
      </w:r>
      <w:r w:rsidR="008219BD" w:rsidRPr="00BF6615">
        <w:t>w urzędach</w:t>
      </w:r>
      <w:r w:rsidRPr="00BF6615">
        <w:t xml:space="preserve"> skłaniają je ku formie zdalnej. Natomiast osoby niewidome częściej wolały załatwiać pewne sprawy osobiście, wskazując na brak pełnej dostępności cyfrowej niektórych usług (np. trudności </w:t>
      </w:r>
      <w:r w:rsidR="008B0B0A" w:rsidRPr="00BF6615">
        <w:t>w</w:t>
      </w:r>
      <w:r w:rsidR="008B0B0A">
        <w:t> </w:t>
      </w:r>
      <w:r w:rsidRPr="00BF6615">
        <w:t>obsłudze nieprzystosowanych aplikacji wymuszały udanie się do urzędu).</w:t>
      </w:r>
    </w:p>
    <w:p w14:paraId="5C354563" w14:textId="0C530CB3" w:rsidR="00C8508E" w:rsidRPr="00BF6615" w:rsidRDefault="00C8508E" w:rsidP="007E26B5">
      <w:r w:rsidRPr="00BF6615">
        <w:rPr>
          <w:b/>
        </w:rPr>
        <w:t>Przyczyny unikania kanałów cyfrowych</w:t>
      </w:r>
      <w:r w:rsidRPr="00BF6615">
        <w:t xml:space="preserve"> są do pewnego stopnia zbieżne w każdej grupie. Najczęściej respondenci tłumaczyli brak korzystania z e-urzędów </w:t>
      </w:r>
      <w:r w:rsidRPr="00BF6615">
        <w:rPr>
          <w:b/>
        </w:rPr>
        <w:t>przywiązaniem do tradycyjnych metod</w:t>
      </w:r>
      <w:r w:rsidRPr="00BF6615">
        <w:t xml:space="preserve"> – wiele osób, zwłaszcza starszych, </w:t>
      </w:r>
      <w:r w:rsidRPr="00BF6615">
        <w:rPr>
          <w:b/>
        </w:rPr>
        <w:t>„woli załatwiać sprawy osobiście lub telefonicznie”</w:t>
      </w:r>
      <w:r w:rsidRPr="00BF6615">
        <w:t xml:space="preserve">, bo tak jest dla nich prościej i pewniej. Niektórzy podnosili też </w:t>
      </w:r>
      <w:r w:rsidRPr="00BF6615">
        <w:rPr>
          <w:b/>
        </w:rPr>
        <w:t>trudności techniczne lub brak zaufania</w:t>
      </w:r>
      <w:r w:rsidRPr="00BF6615">
        <w:t>: tu dominowały głosy osób mniej obytych z aplikacjami (np</w:t>
      </w:r>
      <w:r w:rsidR="008B0B0A" w:rsidRPr="00BF6615">
        <w:t>.</w:t>
      </w:r>
      <w:r w:rsidR="008B0B0A">
        <w:t> </w:t>
      </w:r>
      <w:r w:rsidRPr="00BF6615">
        <w:t xml:space="preserve">seniorzy obawiający się, że smartfon ich „podgląda” lub po prostu chcący ograniczyć jego użycie) oraz osób z niepełnosprawnościami (np. skarżących się, że aplikacje są </w:t>
      </w:r>
      <w:r w:rsidRPr="00BF6615">
        <w:rPr>
          <w:b/>
        </w:rPr>
        <w:t>„słabo dostępne”</w:t>
      </w:r>
      <w:r w:rsidRPr="00BF6615">
        <w:t xml:space="preserve"> dla nich albo że procedury online są dla nich zbyt skomplikowane bez pomocy). Część osób </w:t>
      </w:r>
      <w:r w:rsidR="008B0B0A" w:rsidRPr="00BF6615">
        <w:t>z</w:t>
      </w:r>
      <w:r w:rsidR="008B0B0A">
        <w:t> </w:t>
      </w:r>
      <w:r w:rsidRPr="00BF6615">
        <w:t xml:space="preserve">niepełnosprawnościami przyznała wprost, że </w:t>
      </w:r>
      <w:r w:rsidRPr="00BF6615">
        <w:rPr>
          <w:b/>
        </w:rPr>
        <w:t xml:space="preserve">nie radzi sobie z e-formularzami czy </w:t>
      </w:r>
      <w:proofErr w:type="spellStart"/>
      <w:r w:rsidRPr="00BF6615">
        <w:rPr>
          <w:b/>
        </w:rPr>
        <w:t>ePUAP</w:t>
      </w:r>
      <w:proofErr w:type="spellEnd"/>
      <w:r w:rsidRPr="00BF6615">
        <w:rPr>
          <w:b/>
        </w:rPr>
        <w:t>-em</w:t>
      </w:r>
      <w:r w:rsidRPr="00BF6615">
        <w:t xml:space="preserve"> </w:t>
      </w:r>
      <w:r w:rsidR="008B0B0A" w:rsidRPr="00BF6615">
        <w:t>i</w:t>
      </w:r>
      <w:r w:rsidR="008B0B0A">
        <w:t> </w:t>
      </w:r>
      <w:r w:rsidRPr="00BF6615">
        <w:t xml:space="preserve">dlatego mimo prób wraca do tradycyjnej ścieżki. W grupie obywateli bez specjalnych potrzeb pojawiła się zaś wzmianka o </w:t>
      </w:r>
      <w:r w:rsidRPr="00BF6615">
        <w:rPr>
          <w:b/>
        </w:rPr>
        <w:t>obawie przed nadmiernym nadzorem</w:t>
      </w:r>
      <w:r w:rsidRPr="00BF6615">
        <w:t xml:space="preserve"> – pojedyncze osoby nie chcą instalować aplikacji rządowych, bo nie życzą sobie być „pod stałą obserwacją” cyfrową. Choć to odosobniony głos, sygnalizuje pewien </w:t>
      </w:r>
      <w:r w:rsidRPr="00BF6615">
        <w:rPr>
          <w:b/>
        </w:rPr>
        <w:t>deficyt zaufania</w:t>
      </w:r>
      <w:r w:rsidRPr="00BF6615">
        <w:t xml:space="preserve"> do technologii, który może występować także u części seniorów. Ogólnie jednak główne powody niekorzystania z e-administracji są </w:t>
      </w:r>
      <w:r w:rsidR="008B0B0A" w:rsidRPr="00BF6615">
        <w:t>z</w:t>
      </w:r>
      <w:r w:rsidR="008B0B0A">
        <w:t> </w:t>
      </w:r>
      <w:r w:rsidR="00F10F39" w:rsidRPr="00BF6615">
        <w:t xml:space="preserve">jednej strony </w:t>
      </w:r>
      <w:r w:rsidRPr="00BF6615">
        <w:t>prozaiczne</w:t>
      </w:r>
      <w:r w:rsidR="00F10F39" w:rsidRPr="00BF6615">
        <w:t>, jak</w:t>
      </w:r>
      <w:r w:rsidRPr="00BF6615">
        <w:t xml:space="preserve"> </w:t>
      </w:r>
      <w:r w:rsidRPr="00BF6615">
        <w:rPr>
          <w:b/>
        </w:rPr>
        <w:t xml:space="preserve">przyzwyczajenie </w:t>
      </w:r>
      <w:r w:rsidR="009829D8" w:rsidRPr="00BF6615">
        <w:rPr>
          <w:b/>
        </w:rPr>
        <w:t xml:space="preserve">ale </w:t>
      </w:r>
      <w:r w:rsidRPr="00BF6615">
        <w:rPr>
          <w:b/>
        </w:rPr>
        <w:t xml:space="preserve">i </w:t>
      </w:r>
      <w:r w:rsidR="00771674" w:rsidRPr="00BF6615">
        <w:rPr>
          <w:b/>
        </w:rPr>
        <w:t xml:space="preserve">wyraźnie </w:t>
      </w:r>
      <w:r w:rsidR="00F10F39" w:rsidRPr="00BF6615">
        <w:rPr>
          <w:b/>
        </w:rPr>
        <w:t xml:space="preserve">uzasadnione </w:t>
      </w:r>
      <w:r w:rsidRPr="00BF6615">
        <w:rPr>
          <w:b/>
        </w:rPr>
        <w:t>barier</w:t>
      </w:r>
      <w:r w:rsidR="00F10F39" w:rsidRPr="00BF6615">
        <w:rPr>
          <w:b/>
        </w:rPr>
        <w:t>ami</w:t>
      </w:r>
      <w:r w:rsidRPr="00BF6615">
        <w:rPr>
          <w:b/>
        </w:rPr>
        <w:t xml:space="preserve"> użyteczności</w:t>
      </w:r>
      <w:r w:rsidRPr="00BF6615">
        <w:t xml:space="preserve">. Co istotne, dane z badania pokrywają się z szerszymi statystykami – na przykład </w:t>
      </w:r>
      <w:r w:rsidRPr="00BF6615">
        <w:lastRenderedPageBreak/>
        <w:t>zgodnie z danymi GUS</w:t>
      </w:r>
      <w:r w:rsidR="00771674" w:rsidRPr="00BF6615">
        <w:rPr>
          <w:rStyle w:val="Odwoanieprzypisudolnego"/>
        </w:rPr>
        <w:footnoteReference w:id="52"/>
      </w:r>
      <w:r w:rsidRPr="00BF6615">
        <w:t xml:space="preserve"> starsze osoby najczęściej rezygnują z usług online przez </w:t>
      </w:r>
      <w:r w:rsidRPr="00BF6615">
        <w:rPr>
          <w:b/>
        </w:rPr>
        <w:t>problemy techniczne lub preferencję kontaktu tradycyjnego</w:t>
      </w:r>
      <w:r w:rsidRPr="00BF6615">
        <w:t>, co dokładnie potwierdzili respondenci.</w:t>
      </w:r>
    </w:p>
    <w:p w14:paraId="02B3CFF2" w14:textId="691AE1C0" w:rsidR="00C8508E" w:rsidRPr="00BF6615" w:rsidRDefault="00C8508E" w:rsidP="007E26B5">
      <w:r w:rsidRPr="00BF6615">
        <w:t xml:space="preserve">Podsumowując, </w:t>
      </w:r>
      <w:r w:rsidRPr="00BF6615">
        <w:rPr>
          <w:b/>
        </w:rPr>
        <w:t>kontakt z administracją przez Internet</w:t>
      </w:r>
      <w:r w:rsidRPr="00BF6615">
        <w:t xml:space="preserve"> staje się coraz powszechniejszy, ale </w:t>
      </w:r>
      <w:r w:rsidRPr="00BF6615">
        <w:rPr>
          <w:b/>
        </w:rPr>
        <w:t>stopień jego intensywności zależy od grupy wiekowej</w:t>
      </w:r>
      <w:r w:rsidR="004309DA" w:rsidRPr="00BF6615">
        <w:rPr>
          <w:b/>
        </w:rPr>
        <w:t>,</w:t>
      </w:r>
      <w:r w:rsidRPr="00BF6615">
        <w:rPr>
          <w:b/>
        </w:rPr>
        <w:t xml:space="preserve"> sytuacji</w:t>
      </w:r>
      <w:r w:rsidR="004309DA" w:rsidRPr="00BF6615">
        <w:rPr>
          <w:b/>
        </w:rPr>
        <w:t xml:space="preserve"> i dostępności stron oraz aplikacji</w:t>
      </w:r>
      <w:r w:rsidRPr="00BF6615">
        <w:t xml:space="preserve">. Młodsi obywatele coraz śmielej korzystają z e-usług (choć i oni nie porzucili całkiem </w:t>
      </w:r>
      <w:r w:rsidR="004309DA" w:rsidRPr="00BF6615">
        <w:t>załatwiania spraw na miejscu</w:t>
      </w:r>
      <w:r w:rsidRPr="00BF6615">
        <w:t xml:space="preserve">), podczas gdy seniorzy traktują je jako </w:t>
      </w:r>
      <w:r w:rsidRPr="00BF6615">
        <w:rPr>
          <w:b/>
        </w:rPr>
        <w:t>dodatkową opcję</w:t>
      </w:r>
      <w:r w:rsidRPr="00BF6615">
        <w:t xml:space="preserve">, często wymagającą wsparcia lub łączoną z tradycyjnymi formami. Osoby z niepełnosprawnościami </w:t>
      </w:r>
      <w:r w:rsidR="008B0B0A" w:rsidRPr="00BF6615">
        <w:t>z</w:t>
      </w:r>
      <w:r w:rsidR="008B0B0A">
        <w:t> </w:t>
      </w:r>
      <w:r w:rsidRPr="00BF6615">
        <w:t xml:space="preserve">kolei </w:t>
      </w:r>
      <w:r w:rsidRPr="00BF6615">
        <w:rPr>
          <w:b/>
        </w:rPr>
        <w:t>doceniają ułatwienia online</w:t>
      </w:r>
      <w:r w:rsidRPr="00BF6615">
        <w:t xml:space="preserve">, ale </w:t>
      </w:r>
      <w:r w:rsidRPr="00BF6615">
        <w:rPr>
          <w:b/>
        </w:rPr>
        <w:t>napotkane bariery dostępności mogą ich zniechęcać</w:t>
      </w:r>
      <w:r w:rsidRPr="00BF6615">
        <w:t>, przez co część tej grupy również pozostaje przy sprawdzonych, bezpośrednich metodach załatwiania spraw.</w:t>
      </w:r>
    </w:p>
    <w:p w14:paraId="473D1662" w14:textId="47424286" w:rsidR="00C8508E" w:rsidRPr="001C11F9" w:rsidRDefault="00C8508E" w:rsidP="00B271C3">
      <w:pPr>
        <w:pStyle w:val="Nagwek4"/>
      </w:pPr>
      <w:r w:rsidRPr="001C11F9">
        <w:t>Doświadczenia korzystania ze stron i aplikacji podmiotów publicznych</w:t>
      </w:r>
    </w:p>
    <w:p w14:paraId="0D909289" w14:textId="26C0B753" w:rsidR="00C8508E" w:rsidRPr="00BF6615" w:rsidRDefault="00C8508E" w:rsidP="007E26B5">
      <w:r w:rsidRPr="00BF6615">
        <w:rPr>
          <w:b/>
        </w:rPr>
        <w:t>Zakres spraw załatwianych online</w:t>
      </w:r>
      <w:r w:rsidRPr="00BF6615">
        <w:t xml:space="preserve"> w urzędach okazał się zróżnicowany między badanymi grupami, odzwierciedlając ich odmienne potrzeby życiowe. Ogółem najczęściej przez Internet respondenci załatwiają kwestie podatkowo-finansowe oraz administracyjne formalności. </w:t>
      </w:r>
      <w:r w:rsidR="008B0B0A" w:rsidRPr="00BF6615">
        <w:t>W</w:t>
      </w:r>
      <w:r w:rsidR="008B0B0A">
        <w:t> </w:t>
      </w:r>
      <w:r w:rsidRPr="00BF6615">
        <w:t xml:space="preserve">grupie obywateli 18–59 najczęściej wspominano o </w:t>
      </w:r>
      <w:r w:rsidRPr="00BF6615">
        <w:rPr>
          <w:b/>
        </w:rPr>
        <w:t>składaniu wniosków czy formularzy urzędowych oraz opłacaniu podatków</w:t>
      </w:r>
      <w:r w:rsidRPr="00BF6615">
        <w:t xml:space="preserve"> – te dwie kategorie były zdecydowanie dominujące. Osoby młodsze koncentrują się zatem na wykorzystaniu e-administracji do celów czysto administracyjnych (np. złożenie wniosku o dokument, rozliczenie PIT). Warto zauważyć, że </w:t>
      </w:r>
      <w:r w:rsidRPr="00BF6615">
        <w:rPr>
          <w:b/>
        </w:rPr>
        <w:t>młodsi nie wskazywali spontanicznie innych typów spraw</w:t>
      </w:r>
      <w:r w:rsidRPr="00BF6615">
        <w:t xml:space="preserve"> – na przykład rejestracja do lekarza online czy zgłaszanie spraw społecznych nie pojawiły się w odpowiedziach obywateli bez niepełnosprawności. Najwyraźniej dla tej grupy e-usługi publiczne to głównie </w:t>
      </w:r>
      <w:r w:rsidRPr="00BF6615">
        <w:rPr>
          <w:b/>
        </w:rPr>
        <w:t>platforma do wypełniania obowiązków urzędowych</w:t>
      </w:r>
      <w:r w:rsidRPr="00BF6615">
        <w:t xml:space="preserve">, a mniej narzędzie do usług takich jak zdrowie (być może młodzi rzadziej potrzebują umawiać wizyty lekarskie online). Zupełnie inaczej wygląda to </w:t>
      </w:r>
      <w:r w:rsidR="008B0B0A" w:rsidRPr="00BF6615">
        <w:t>u</w:t>
      </w:r>
      <w:r w:rsidR="008B0B0A">
        <w:t> </w:t>
      </w:r>
      <w:r w:rsidRPr="00BF6615">
        <w:t xml:space="preserve">seniorów: osoby 60+ </w:t>
      </w:r>
      <w:r w:rsidRPr="00BF6615">
        <w:rPr>
          <w:b/>
        </w:rPr>
        <w:t>bardzo często korzystają z Internetu, by zarejestrować się do lekarza</w:t>
      </w:r>
      <w:r w:rsidRPr="00BF6615">
        <w:t xml:space="preserve"> czy wykonać inne czynności związane ze służbą zdrowia. W ich grupie rejestracja medyczna była trzecią najpopularniejszą sprawą załatwianą online – niemal połowa badanych seniorów deklaruje, że zapisuje się do lekarzy przez internetowe systemy. Równie wysoki odsetek seniorów wskazywał, że składa różnego typu wnioski urzędowe i opłaca należności (np. podatki) drogą elektroniczną. Można więc stwierdzić, że </w:t>
      </w:r>
      <w:r w:rsidRPr="00BF6615">
        <w:rPr>
          <w:b/>
        </w:rPr>
        <w:t xml:space="preserve">aktywni cyfrowo seniorzy korzystają </w:t>
      </w:r>
      <w:r w:rsidR="008B0B0A">
        <w:rPr>
          <w:b/>
        </w:rPr>
        <w:br/>
      </w:r>
      <w:r w:rsidRPr="00BF6615">
        <w:rPr>
          <w:b/>
        </w:rPr>
        <w:t>z e-administracji szerzej niż tylko dla jednej kategorii spraw</w:t>
      </w:r>
      <w:r w:rsidRPr="00BF6615">
        <w:t xml:space="preserve">, obejmując nią zarówno obowiązki finansowe, jak i opiekę zdrowotną. Z kolei </w:t>
      </w:r>
      <w:r w:rsidRPr="00BF6615">
        <w:rPr>
          <w:b/>
        </w:rPr>
        <w:t>osoby z niepełnosprawnościami załatwiają przez Internet stosunkowo najmniej spraw urzędowych</w:t>
      </w:r>
      <w:r w:rsidRPr="00BF6615">
        <w:t xml:space="preserve"> – spośród nich najwięcej wskazań dotyczyło rejestracji do lekarza, ale dotyczy to tylko około jednej trzeciej badanych w tej grupie. Rzadziej jeszcze wymieniali oni składanie wniosków czy opłaty (niespełna co czwarty badany </w:t>
      </w:r>
      <w:r w:rsidR="008B0B0A" w:rsidRPr="00BF6615">
        <w:t>z</w:t>
      </w:r>
      <w:r w:rsidR="008B0B0A">
        <w:t> </w:t>
      </w:r>
      <w:r w:rsidRPr="00BF6615">
        <w:t xml:space="preserve">niepełnosprawnością wykonuje te czynności online). Sugeruje to, że znaczna część osób </w:t>
      </w:r>
      <w:r w:rsidR="008B0B0A" w:rsidRPr="00BF6615">
        <w:lastRenderedPageBreak/>
        <w:t>z</w:t>
      </w:r>
      <w:r w:rsidR="008B0B0A">
        <w:t> </w:t>
      </w:r>
      <w:r w:rsidRPr="00BF6615">
        <w:t xml:space="preserve">niepełnosprawnościami </w:t>
      </w:r>
      <w:r w:rsidRPr="00BF6615">
        <w:rPr>
          <w:b/>
        </w:rPr>
        <w:t>w ogóle nie realizuje samodzielnie spraw urzędowych przez Internet</w:t>
      </w:r>
      <w:r w:rsidRPr="00BF6615">
        <w:t xml:space="preserve"> – być może z powodu barier </w:t>
      </w:r>
      <w:r w:rsidR="00E8470F" w:rsidRPr="00BF6615">
        <w:t>dostępności</w:t>
      </w:r>
      <w:r w:rsidRPr="00BF6615">
        <w:t xml:space="preserve"> lub złożoności procedur wolą inne drogi. Warto przy tym zaznaczyć, że </w:t>
      </w:r>
      <w:r w:rsidRPr="00BF6615">
        <w:rPr>
          <w:b/>
        </w:rPr>
        <w:t>rodzaj załatwianych e-spraw</w:t>
      </w:r>
      <w:r w:rsidRPr="00BF6615">
        <w:t xml:space="preserve"> wynika też z sytuacji życiowej: np. poszukiwanie pracy i nauka były najrzadziej załatwiane online przez, co jest zrozumiałe</w:t>
      </w:r>
      <w:r w:rsidR="00CA039F" w:rsidRPr="00BF6615">
        <w:t xml:space="preserve"> z uwagi</w:t>
      </w:r>
      <w:r w:rsidRPr="00BF6615">
        <w:t xml:space="preserve"> na </w:t>
      </w:r>
      <w:r w:rsidR="00CA039F" w:rsidRPr="00BF6615">
        <w:t>wiek badanych</w:t>
      </w:r>
      <w:r w:rsidRPr="00BF6615">
        <w:t>.</w:t>
      </w:r>
    </w:p>
    <w:p w14:paraId="7E524F95" w14:textId="71B18315" w:rsidR="00C8508E" w:rsidRPr="00BF6615" w:rsidRDefault="00C8508E" w:rsidP="007E26B5">
      <w:r w:rsidRPr="00BF6615">
        <w:rPr>
          <w:b/>
        </w:rPr>
        <w:t>Najczęściej odwiedzane strony publiczne</w:t>
      </w:r>
      <w:r w:rsidRPr="00BF6615">
        <w:t xml:space="preserve"> różnią się między grupami zgodnie z ich potrzebami. Młodsi dorośli najczęściej korzystają ze stron </w:t>
      </w:r>
      <w:r w:rsidRPr="00BF6615">
        <w:rPr>
          <w:b/>
        </w:rPr>
        <w:t>rządowych (ministerstw, ogólnopaństwowych portali)</w:t>
      </w:r>
      <w:r w:rsidRPr="00BF6615">
        <w:t xml:space="preserve"> – wśród obywateli była to najpopularniejsza kategoria wskazywana jako używana regularnie. Niewiele rzadziej wymieniali strony </w:t>
      </w:r>
      <w:r w:rsidRPr="00BF6615">
        <w:rPr>
          <w:b/>
        </w:rPr>
        <w:t>urzędów miejskich i gminnych</w:t>
      </w:r>
      <w:r w:rsidRPr="00BF6615">
        <w:t xml:space="preserve">, a także </w:t>
      </w:r>
      <w:r w:rsidRPr="00BF6615">
        <w:rPr>
          <w:b/>
        </w:rPr>
        <w:t>urzędów skarbowych</w:t>
      </w:r>
      <w:r w:rsidRPr="00BF6615">
        <w:t xml:space="preserve">. W grupie 18–59 lat widać więc duże zainteresowanie zarówno centralnymi </w:t>
      </w:r>
      <w:r w:rsidR="008B0B0A">
        <w:br/>
      </w:r>
      <w:r w:rsidRPr="00BF6615">
        <w:t xml:space="preserve">e-usługami (np. serwisy typu obywatel.gov.pl, </w:t>
      </w:r>
      <w:proofErr w:type="spellStart"/>
      <w:r w:rsidRPr="00BF6615">
        <w:t>ePUAP</w:t>
      </w:r>
      <w:proofErr w:type="spellEnd"/>
      <w:r w:rsidRPr="00BF6615">
        <w:t xml:space="preserve">), jak i lokalnymi portalami samorządowymi czy systemami podatkowymi. W odróżnieniu od nich seniorzy </w:t>
      </w:r>
      <w:r w:rsidRPr="00BF6615">
        <w:rPr>
          <w:b/>
        </w:rPr>
        <w:t xml:space="preserve">bardzo aktywnie korzystają </w:t>
      </w:r>
      <w:r w:rsidR="008B0B0A">
        <w:rPr>
          <w:b/>
        </w:rPr>
        <w:br/>
      </w:r>
      <w:r w:rsidRPr="00BF6615">
        <w:rPr>
          <w:b/>
        </w:rPr>
        <w:t>z e-usług skarbowych</w:t>
      </w:r>
      <w:r w:rsidRPr="00BF6615">
        <w:t xml:space="preserve"> – spośród osób 60+ najwięcej wskazań uzyskały właśnie strony urzędów skarbowych (np. e-PIT, e-US), z których korzysta prawie dwóch na trzech badanych seniorów. Tuż za nimi plasują się serwisy lokalnych władz (gmin, miast) oraz platformy rządowe – ponad połowa seniorów regularnie zagląda i na jedne, i na drugie. Wysoko znalazły się też strony </w:t>
      </w:r>
      <w:r w:rsidRPr="00BF6615">
        <w:rPr>
          <w:b/>
        </w:rPr>
        <w:t>instytucji zdrowotnych</w:t>
      </w:r>
      <w:r w:rsidRPr="00BF6615">
        <w:t xml:space="preserve"> (jak NFZ, Internetowe Konto Pacjenta) – również ponad połowa osób 60+ z nich korzysta. Można więc powiedzieć, że </w:t>
      </w:r>
      <w:r w:rsidRPr="00BF6615">
        <w:rPr>
          <w:b/>
        </w:rPr>
        <w:t>seniorzy e-obywatele</w:t>
      </w:r>
      <w:r w:rsidRPr="00BF6615">
        <w:t xml:space="preserve"> wykorzystują pełne spektrum serwisów publicznych: od podatków i administracji ogólnej, po zdrowie i sprawy lokalne. Tymczasem </w:t>
      </w:r>
      <w:r w:rsidRPr="00BF6615">
        <w:rPr>
          <w:b/>
        </w:rPr>
        <w:t>osoby z niepełnosprawnościami</w:t>
      </w:r>
      <w:r w:rsidRPr="00BF6615">
        <w:t xml:space="preserve"> korzystają z tych stron dużo rzadziej. </w:t>
      </w:r>
      <w:r w:rsidR="008B0B0A" w:rsidRPr="00BF6615">
        <w:t>W</w:t>
      </w:r>
      <w:r w:rsidR="008B0B0A">
        <w:t> </w:t>
      </w:r>
      <w:r w:rsidRPr="00BF6615">
        <w:t xml:space="preserve">ich przypadku </w:t>
      </w:r>
      <w:r w:rsidRPr="00BF6615">
        <w:rPr>
          <w:b/>
        </w:rPr>
        <w:t xml:space="preserve">żadna kategoria stron publicznych nie była wskazywana przez więcej niż jedną </w:t>
      </w:r>
      <w:r w:rsidR="001B1E4E" w:rsidRPr="00BF6615">
        <w:rPr>
          <w:b/>
        </w:rPr>
        <w:t>czwartą</w:t>
      </w:r>
      <w:r w:rsidRPr="00BF6615">
        <w:rPr>
          <w:b/>
        </w:rPr>
        <w:t xml:space="preserve"> badanych</w:t>
      </w:r>
      <w:r w:rsidRPr="00BF6615">
        <w:t xml:space="preserve">. Najczęściej (ale i tak tylko przez około 22% tej grupy) wymieniano strony rządowe i ministerialne, rzadziej samorządowe czy skarbowe (około 15% wskazań). Oznacza to, że </w:t>
      </w:r>
      <w:r w:rsidRPr="00BF6615">
        <w:rPr>
          <w:b/>
        </w:rPr>
        <w:t>znaczna część osób z niepełnosprawnościami unika lub nie potrzebuje większości serwisów urzędowych</w:t>
      </w:r>
      <w:r w:rsidRPr="00BF6615">
        <w:t xml:space="preserve"> – być może korzystają oni z pomocy innych osób </w:t>
      </w:r>
      <w:r w:rsidR="008B0B0A" w:rsidRPr="00BF6615">
        <w:t>w</w:t>
      </w:r>
      <w:r w:rsidR="008B0B0A">
        <w:t> </w:t>
      </w:r>
      <w:r w:rsidRPr="00BF6615">
        <w:t xml:space="preserve">załatwianiu spraw lub </w:t>
      </w:r>
      <w:r w:rsidR="007B7A1F" w:rsidRPr="00BF6615">
        <w:t xml:space="preserve">wynika to z </w:t>
      </w:r>
      <w:r w:rsidRPr="00BF6615">
        <w:t>napotyka</w:t>
      </w:r>
      <w:r w:rsidR="007B7A1F" w:rsidRPr="00BF6615">
        <w:t>nych</w:t>
      </w:r>
      <w:r w:rsidRPr="00BF6615">
        <w:t xml:space="preserve"> barier, które zniechęcają do samodzielnego surfowania po tych witrynach. </w:t>
      </w:r>
    </w:p>
    <w:p w14:paraId="36C401B6" w14:textId="63E4319B" w:rsidR="00C8508E" w:rsidRPr="00BF6615" w:rsidRDefault="00C8508E" w:rsidP="007E26B5">
      <w:r w:rsidRPr="00BF6615">
        <w:rPr>
          <w:b/>
        </w:rPr>
        <w:t>Oceny jakości stron i aplikacji publicznych</w:t>
      </w:r>
      <w:r w:rsidRPr="00BF6615">
        <w:t xml:space="preserve"> dokonywane przez użytkowników były zaskakująco pozytywne we wszystkich grupach, choć dostrzec można pewne różnice akcentów. Ogólnie respondenci wysoko ocenili dostępność i wygodę korzystania z badanych serwisów – w skali szkolnej 1–5 przeciętne noty oscylowały wokół czwórki lub wyżej, a </w:t>
      </w:r>
      <w:r w:rsidRPr="00BF6615">
        <w:rPr>
          <w:b/>
        </w:rPr>
        <w:t>praktycznie nie odnotowano ocen bardzo niskich</w:t>
      </w:r>
      <w:r w:rsidRPr="00BF6615">
        <w:t xml:space="preserve">. Oznacza to, że użytkownicy – nawet ci krytyczni – rzadko oceniają strony publiczne jako zupełnie niedostępne czy bezużyteczne. </w:t>
      </w:r>
      <w:r w:rsidRPr="00BF6615">
        <w:rPr>
          <w:b/>
        </w:rPr>
        <w:t>Najbardziej zadowoleni byli odbiorcy treści kulturalnych oraz zdrowotnych</w:t>
      </w:r>
      <w:r w:rsidRPr="00BF6615">
        <w:t xml:space="preserve"> – serwisy instytucji kultury (muzea, biblioteki, itp.) zdobywały najwyższe noty w każdej grupie, często wyraźnie wyższe niż inne witryny. To samo dotyczyło aplikacji mobilnych: aplikacje związane z kulturą (np. do rezerwacji </w:t>
      </w:r>
      <w:r w:rsidRPr="00BF6615">
        <w:lastRenderedPageBreak/>
        <w:t xml:space="preserve">biletów czy zwiedzania) oceniano wprost celująco (nawet maksymalnie, jak wskazali seniorzy), podczas gdy aplikacje urzędowe wypadały nieco słabiej. Można przypuszczać, że </w:t>
      </w:r>
      <w:r w:rsidR="00852891" w:rsidRPr="00BF6615">
        <w:t xml:space="preserve">wynika to </w:t>
      </w:r>
      <w:r w:rsidR="008B0B0A" w:rsidRPr="00BF6615">
        <w:t>z</w:t>
      </w:r>
      <w:r w:rsidR="008B0B0A">
        <w:t> </w:t>
      </w:r>
      <w:r w:rsidR="00852891" w:rsidRPr="00BF6615">
        <w:t xml:space="preserve">tego, że w zakresie poprawy zapewniania </w:t>
      </w:r>
      <w:r w:rsidR="00083C96" w:rsidRPr="00BF6615">
        <w:t>dostępności</w:t>
      </w:r>
      <w:r w:rsidR="00852891" w:rsidRPr="00BF6615">
        <w:t xml:space="preserve"> instytucje kultury </w:t>
      </w:r>
      <w:r w:rsidR="00083C96" w:rsidRPr="00BF6615">
        <w:t>wiodą</w:t>
      </w:r>
      <w:r w:rsidR="00852891" w:rsidRPr="00BF6615">
        <w:t xml:space="preserve"> prym</w:t>
      </w:r>
      <w:r w:rsidR="00083C96" w:rsidRPr="00BF6615">
        <w:t xml:space="preserve">, ich strony i </w:t>
      </w:r>
      <w:r w:rsidRPr="00BF6615">
        <w:t xml:space="preserve">aplikacje </w:t>
      </w:r>
      <w:r w:rsidR="00083C96" w:rsidRPr="00BF6615">
        <w:t>stają się</w:t>
      </w:r>
      <w:r w:rsidRPr="00BF6615">
        <w:t xml:space="preserve"> </w:t>
      </w:r>
      <w:r w:rsidRPr="00BF6615">
        <w:rPr>
          <w:b/>
        </w:rPr>
        <w:t>prostsze i przyjaźniejsze w obsłudze</w:t>
      </w:r>
      <w:r w:rsidRPr="00BF6615">
        <w:t xml:space="preserve">, stąd ich przewaga. Jeśli chodzi </w:t>
      </w:r>
      <w:r w:rsidR="008B0B0A" w:rsidRPr="00BF6615">
        <w:t>o</w:t>
      </w:r>
      <w:r w:rsidR="008B0B0A">
        <w:t> </w:t>
      </w:r>
      <w:r w:rsidRPr="00BF6615">
        <w:rPr>
          <w:b/>
        </w:rPr>
        <w:t>najniżej oceniane serwisy</w:t>
      </w:r>
      <w:r w:rsidRPr="00BF6615">
        <w:t>, to tutaj zdania grup się różniły</w:t>
      </w:r>
      <w:r w:rsidR="00383A9B" w:rsidRPr="00BF6615">
        <w:t>:</w:t>
      </w:r>
    </w:p>
    <w:p w14:paraId="18828341" w14:textId="4968CA5D" w:rsidR="00C8508E" w:rsidRPr="00BF6615" w:rsidRDefault="00C8508E">
      <w:pPr>
        <w:numPr>
          <w:ilvl w:val="0"/>
          <w:numId w:val="71"/>
        </w:numPr>
      </w:pPr>
      <w:r w:rsidRPr="00BF6615">
        <w:rPr>
          <w:b/>
        </w:rPr>
        <w:t>Osoby z niepełnosprawnościami</w:t>
      </w:r>
      <w:r w:rsidRPr="00BF6615">
        <w:t xml:space="preserve"> wyraziły największe niezadowolenie z </w:t>
      </w:r>
      <w:r w:rsidRPr="00BF6615">
        <w:rPr>
          <w:b/>
        </w:rPr>
        <w:t>centralnych stron rządowych</w:t>
      </w:r>
      <w:r w:rsidRPr="00BF6615">
        <w:t xml:space="preserve"> – przeciętnie oceniły je znacząco niżej niż np. strony samorządowe czy pomocy społecznej. To ważny sygnał, bo sugeruje, że główne portale administracji (ministerstw, urzędu centralnego) mogą zawierać bariery dla tej grupy. Dla kontrastu, osoby z niepełnosprawnościami </w:t>
      </w:r>
      <w:r w:rsidRPr="00BF6615">
        <w:rPr>
          <w:b/>
        </w:rPr>
        <w:t>bardzo dobrze oceniły strony ośrodków pomocy społecznej</w:t>
      </w:r>
      <w:r w:rsidRPr="00BF6615">
        <w:t xml:space="preserve"> (MOPS/PCPR) – czyli te, z których być może same często korzystają i gdzie dostępność jest dla nich krytyczna. Wygląda na to, że wiele serwisów dedykowanych wsparciu społecznemu sprostało ich oczekiwaniom. Ogólnie w grupie osób </w:t>
      </w:r>
      <w:r w:rsidR="008B0B0A" w:rsidRPr="00BF6615">
        <w:t>z</w:t>
      </w:r>
      <w:r w:rsidR="008B0B0A">
        <w:t> </w:t>
      </w:r>
      <w:r w:rsidRPr="00BF6615">
        <w:t xml:space="preserve">niepełnosprawnościami </w:t>
      </w:r>
      <w:r w:rsidRPr="00BF6615">
        <w:rPr>
          <w:b/>
        </w:rPr>
        <w:t xml:space="preserve">najlepiej wypadły strony instytucji nastawionych na pomoc </w:t>
      </w:r>
      <w:r w:rsidR="008B0B0A" w:rsidRPr="00BF6615">
        <w:rPr>
          <w:b/>
        </w:rPr>
        <w:t>i</w:t>
      </w:r>
      <w:r w:rsidR="008B0B0A">
        <w:rPr>
          <w:b/>
        </w:rPr>
        <w:t> </w:t>
      </w:r>
      <w:r w:rsidRPr="00BF6615">
        <w:rPr>
          <w:b/>
        </w:rPr>
        <w:t>lokalne usługi</w:t>
      </w:r>
      <w:r w:rsidRPr="00BF6615">
        <w:t xml:space="preserve">, a </w:t>
      </w:r>
      <w:r w:rsidRPr="00BF6615">
        <w:rPr>
          <w:b/>
        </w:rPr>
        <w:t>najsłabiej – duże portale ogólnokrajowe</w:t>
      </w:r>
      <w:r w:rsidRPr="00BF6615">
        <w:t>.</w:t>
      </w:r>
    </w:p>
    <w:p w14:paraId="61F209D0" w14:textId="54281D03" w:rsidR="00C8508E" w:rsidRPr="00BF6615" w:rsidRDefault="00C8508E">
      <w:pPr>
        <w:numPr>
          <w:ilvl w:val="0"/>
          <w:numId w:val="71"/>
        </w:numPr>
      </w:pPr>
      <w:r w:rsidRPr="00BF6615">
        <w:rPr>
          <w:b/>
        </w:rPr>
        <w:t>Seniorzy 60+</w:t>
      </w:r>
      <w:r w:rsidRPr="00BF6615">
        <w:t xml:space="preserve"> przedstawili nieco odmienny obraz: oni </w:t>
      </w:r>
      <w:r w:rsidRPr="00BF6615">
        <w:rPr>
          <w:b/>
        </w:rPr>
        <w:t>najwyżej ocenili strony rządowe</w:t>
      </w:r>
      <w:r w:rsidRPr="00BF6615">
        <w:t xml:space="preserve"> </w:t>
      </w:r>
      <w:r w:rsidR="008B0B0A" w:rsidRPr="00BF6615">
        <w:t>i</w:t>
      </w:r>
      <w:r w:rsidR="008B0B0A">
        <w:t> </w:t>
      </w:r>
      <w:r w:rsidRPr="00BF6615">
        <w:t xml:space="preserve">resortowe, czyli portale centralne, być może dlatego, że docenili ich funkcjonalność (np. wysoko cenili sobie szybkość e-usług finansowych czy przejrzystość serwisów informacyjnych). Natomiast </w:t>
      </w:r>
      <w:r w:rsidRPr="00BF6615">
        <w:rPr>
          <w:b/>
        </w:rPr>
        <w:t>najniżej ocenili strony urzędów miejskich i gminnych</w:t>
      </w:r>
      <w:r w:rsidRPr="00BF6615">
        <w:t xml:space="preserve"> – co sugeruje, że lokalne witryny mogły im sprawiać więcej kłopotów. Sumaryczna ocena dla stron samorządowych w grupie 60+ była wyraźnie niższa niż dla pozostałych typów serwisów. Seniorom podobały się natomiast serwisy zdrowotne – co zgadza się z ich potrzebami, bo często z nich korzystają – oraz wspomniane </w:t>
      </w:r>
      <w:r w:rsidR="00E10D9D" w:rsidRPr="00BF6615">
        <w:t xml:space="preserve">wyżej serwisy </w:t>
      </w:r>
      <w:r w:rsidRPr="00BF6615">
        <w:t>instytucj</w:t>
      </w:r>
      <w:r w:rsidR="00E10D9D" w:rsidRPr="00BF6615">
        <w:t>i</w:t>
      </w:r>
      <w:r w:rsidRPr="00BF6615">
        <w:t xml:space="preserve"> kultury. W przypadku aplikacji mobilnych, starsi użytkownicy wyżej ocenili aplikacje tematyczne (np. zdrowotne, edukacyjne) niż oficjalne aplikacje urzędów; najlepiej w ich oczach wypadły aplikacje kulturalne, a najgorzej – miejskie (samorządowe). Można to interpretować tak, że </w:t>
      </w:r>
      <w:r w:rsidRPr="00BF6615">
        <w:rPr>
          <w:b/>
        </w:rPr>
        <w:t>aplikacje miejskie są dla seniorów mniej przyjazne</w:t>
      </w:r>
      <w:r w:rsidRPr="00BF6615">
        <w:t xml:space="preserve"> (być może zbyt skomplikowane), za to np. aplikacja </w:t>
      </w:r>
      <w:proofErr w:type="spellStart"/>
      <w:r w:rsidRPr="00BF6615">
        <w:rPr>
          <w:b/>
        </w:rPr>
        <w:t>mObywatel</w:t>
      </w:r>
      <w:proofErr w:type="spellEnd"/>
      <w:r w:rsidRPr="00BF6615">
        <w:t xml:space="preserve"> czy </w:t>
      </w:r>
      <w:proofErr w:type="spellStart"/>
      <w:r w:rsidRPr="00BF6615">
        <w:rPr>
          <w:b/>
        </w:rPr>
        <w:t>mojeIKP</w:t>
      </w:r>
      <w:proofErr w:type="spellEnd"/>
      <w:r w:rsidRPr="00BF6615">
        <w:t xml:space="preserve"> została przez wielu z nich opanowana całkiem dobrze (te dwie wymieniano jako najpopularniejsze w tej grupie).</w:t>
      </w:r>
    </w:p>
    <w:p w14:paraId="1D6F490E" w14:textId="3E5144D2" w:rsidR="00C8508E" w:rsidRPr="00BF6615" w:rsidRDefault="00C8508E">
      <w:pPr>
        <w:numPr>
          <w:ilvl w:val="0"/>
          <w:numId w:val="71"/>
        </w:numPr>
      </w:pPr>
      <w:r w:rsidRPr="00BF6615">
        <w:rPr>
          <w:b/>
        </w:rPr>
        <w:t>Obywatele 18–59 lat bez niepełnosprawności</w:t>
      </w:r>
      <w:r w:rsidRPr="00BF6615">
        <w:t xml:space="preserve"> mieli jeszcze inne zdanie: ich najwyższe oceny zebrały </w:t>
      </w:r>
      <w:r w:rsidRPr="00BF6615">
        <w:rPr>
          <w:b/>
        </w:rPr>
        <w:t>strony lokalnych urzędów</w:t>
      </w:r>
      <w:r w:rsidRPr="00BF6615">
        <w:t xml:space="preserve"> – wielu spośród tej grupy uznało serwisy miast i gmin za bardzo dobrze przygotowane, z czytelnym układem i przydatnymi treściami. Możliwe, że młodsi dorośli częściej korzystają z usług samorządowych (np. sprawy meldunkowe, lokalne opłaty) i akurat te strony spełniły ich oczekiwania. Nieco gorzej wypadły w ich oczach strony pomocy społecznej (MOPS/PCPR) – w grupie obywateli </w:t>
      </w:r>
      <w:r w:rsidR="008B0B0A" w:rsidRPr="00BF6615">
        <w:t>to</w:t>
      </w:r>
      <w:r w:rsidR="008B0B0A">
        <w:t> </w:t>
      </w:r>
      <w:r w:rsidRPr="00BF6615">
        <w:t xml:space="preserve">one uzyskały relatywnie najniższe noty, choć nadal mieszczące się w kategorii „dobre”. Interesującym szczegółem jest tu </w:t>
      </w:r>
      <w:r w:rsidRPr="00BF6615">
        <w:rPr>
          <w:b/>
        </w:rPr>
        <w:t>rozbieżność ocen w obrębie jednej kategorii</w:t>
      </w:r>
      <w:r w:rsidRPr="00BF6615">
        <w:t xml:space="preserve">: </w:t>
      </w:r>
      <w:r w:rsidRPr="00BF6615">
        <w:lastRenderedPageBreak/>
        <w:t xml:space="preserve">obywatele zauważyli, że niektóre strony MOPS/PCPR oferują znakomite udogodnienia, </w:t>
      </w:r>
      <w:r w:rsidR="008B0B0A" w:rsidRPr="00BF6615">
        <w:t>a</w:t>
      </w:r>
      <w:r w:rsidR="008B0B0A">
        <w:t> </w:t>
      </w:r>
      <w:r w:rsidRPr="00BF6615">
        <w:t xml:space="preserve">jednocześnie inne aspekty kuleją. To wskazuje, że między poszczególnymi miastami/gminami mogą być spore różnice – jedne </w:t>
      </w:r>
      <w:r w:rsidR="009A4D85" w:rsidRPr="00BF6615">
        <w:t>o</w:t>
      </w:r>
      <w:r w:rsidRPr="00BF6615">
        <w:t xml:space="preserve">środki wdrożyły wzorowo elementy dostępności </w:t>
      </w:r>
      <w:r w:rsidR="007F5270" w:rsidRPr="00BF6615">
        <w:t xml:space="preserve">w konkretnym kryterium np. dostępność </w:t>
      </w:r>
      <w:r w:rsidRPr="00BF6615">
        <w:t>dla osób głuchych, ale mogły zaniedbać ogólną użyteczność strony dla przeciętnego użytkownika.</w:t>
      </w:r>
    </w:p>
    <w:p w14:paraId="5152656B" w14:textId="6770E15F" w:rsidR="00C8508E" w:rsidRPr="00BF6615" w:rsidRDefault="00C8508E" w:rsidP="007E26B5">
      <w:r w:rsidRPr="00BF6615">
        <w:t xml:space="preserve">Pomimo powyższych różnic, </w:t>
      </w:r>
      <w:r w:rsidRPr="00BF6615">
        <w:rPr>
          <w:b/>
        </w:rPr>
        <w:t>pewne wspólne problemy</w:t>
      </w:r>
      <w:r w:rsidRPr="00BF6615">
        <w:t xml:space="preserve"> pojawiły się we wszystkich grupach. Naj</w:t>
      </w:r>
      <w:r w:rsidR="006E556C" w:rsidRPr="00BF6615">
        <w:t>wyraźniej zarysowanym problemem</w:t>
      </w:r>
      <w:r w:rsidRPr="00BF6615">
        <w:t xml:space="preserve"> jest </w:t>
      </w:r>
      <w:r w:rsidRPr="00BF6615">
        <w:rPr>
          <w:b/>
        </w:rPr>
        <w:t>utrudniony kontakt z urzędem przez stronę/aplikację</w:t>
      </w:r>
      <w:r w:rsidRPr="00BF6615">
        <w:t xml:space="preserve">. Respondenci skarżyli się, że brakuje łatwego sposobu skontaktowania się </w:t>
      </w:r>
      <w:r w:rsidR="008B0B0A" w:rsidRPr="00BF6615">
        <w:t>z</w:t>
      </w:r>
      <w:r w:rsidR="008B0B0A">
        <w:t> </w:t>
      </w:r>
      <w:r w:rsidRPr="00BF6615">
        <w:t xml:space="preserve">daną instytucją online – np. </w:t>
      </w:r>
      <w:r w:rsidRPr="00BF6615">
        <w:rPr>
          <w:b/>
        </w:rPr>
        <w:t>formularze kontaktowe są nieczytelne, brak opcji czatu na żywo, brak jasnych informacji o infolinii</w:t>
      </w:r>
      <w:r w:rsidRPr="00BF6615">
        <w:t xml:space="preserve">. W badaniu ocen aspekt </w:t>
      </w:r>
      <w:r w:rsidRPr="00BF6615">
        <w:rPr>
          <w:b/>
        </w:rPr>
        <w:t xml:space="preserve">„możliwość łatwego kontaktu </w:t>
      </w:r>
      <w:r w:rsidR="008B0B0A" w:rsidRPr="00BF6615">
        <w:rPr>
          <w:b/>
        </w:rPr>
        <w:t>z</w:t>
      </w:r>
      <w:r w:rsidR="008B0B0A">
        <w:rPr>
          <w:b/>
        </w:rPr>
        <w:t> </w:t>
      </w:r>
      <w:r w:rsidRPr="00BF6615">
        <w:rPr>
          <w:b/>
        </w:rPr>
        <w:t>podmiotem”</w:t>
      </w:r>
      <w:r w:rsidRPr="00BF6615">
        <w:t xml:space="preserve"> otrzymał najniższe oceny spośród wszystkich badanych cech dostępności w pełnej próbie. Dotyczyło to zwłaszcza stron urzędów pracy i niektórych stron centralnych, gdzie użytkownicy czuli się pozostawieni sami sobie (najniższa średnia ocena – poniżej 4 na 5 – dotyczyła właśnie tej funkcjonalności). Podobnie </w:t>
      </w:r>
      <w:r w:rsidRPr="00BF6615">
        <w:rPr>
          <w:b/>
        </w:rPr>
        <w:t>w aplikacjach mobilnych</w:t>
      </w:r>
      <w:r w:rsidRPr="00BF6615">
        <w:t xml:space="preserve"> jedną z najczęściej wskazywanych wad był brak prostego sposobu zadania pytania czy uzyskania pomocy od urzędu. Innym powtarzającym się mankamentem jest kwestia </w:t>
      </w:r>
      <w:r w:rsidRPr="00BF6615">
        <w:rPr>
          <w:b/>
        </w:rPr>
        <w:t>języka specjalistycznego</w:t>
      </w:r>
      <w:r w:rsidRPr="00BF6615">
        <w:t xml:space="preserve">: część respondentów (szczególnie osoby z niepełnosprawnościami i seniorzy) uważa, że treści na stronach urzędowych bywają pisane zbyt zawiłym, prawniczym językiem, trudnym do zrozumienia. Chwalono więc serwisy, gdzie informacje podane są </w:t>
      </w:r>
      <w:r w:rsidRPr="00BF6615">
        <w:rPr>
          <w:b/>
        </w:rPr>
        <w:t>prosto i klarownie</w:t>
      </w:r>
      <w:r w:rsidRPr="00BF6615">
        <w:t xml:space="preserve">, </w:t>
      </w:r>
      <w:r w:rsidR="008B0B0A" w:rsidRPr="00BF6615">
        <w:t>a</w:t>
      </w:r>
      <w:r w:rsidR="008B0B0A">
        <w:t> </w:t>
      </w:r>
      <w:r w:rsidRPr="00BF6615">
        <w:t xml:space="preserve">krytykowano te, gdzie </w:t>
      </w:r>
      <w:r w:rsidR="00CD7DA0" w:rsidRPr="00BF6615">
        <w:t>sposób pisania</w:t>
      </w:r>
      <w:r w:rsidRPr="00BF6615">
        <w:t xml:space="preserve"> utrudnia obywatelowi zrozumienie komunikatu. </w:t>
      </w:r>
      <w:proofErr w:type="spellStart"/>
      <w:r w:rsidRPr="00BF6615">
        <w:rPr>
          <w:b/>
        </w:rPr>
        <w:t>Responsywność</w:t>
      </w:r>
      <w:proofErr w:type="spellEnd"/>
      <w:r w:rsidRPr="00BF6615">
        <w:rPr>
          <w:b/>
        </w:rPr>
        <w:t xml:space="preserve"> i układ strony</w:t>
      </w:r>
      <w:r w:rsidRPr="00BF6615">
        <w:t xml:space="preserve"> to kolejny aspekt, który okazał się problematyczny dla niektórych – np. seniorzy wskazali, że układ stron MOPS/PCPR bywa nieczytelny, a czcionki za małe (oni akurat niżej ocenili </w:t>
      </w:r>
      <w:proofErr w:type="spellStart"/>
      <w:r w:rsidRPr="00BF6615">
        <w:t>responsywność</w:t>
      </w:r>
      <w:proofErr w:type="spellEnd"/>
      <w:r w:rsidRPr="00BF6615">
        <w:t xml:space="preserve"> mobilną tych serwisów). </w:t>
      </w:r>
      <w:r w:rsidRPr="00BF6615">
        <w:rPr>
          <w:b/>
        </w:rPr>
        <w:t>Multimedia i grafiki</w:t>
      </w:r>
      <w:r w:rsidRPr="00BF6615">
        <w:t xml:space="preserve"> generalnie oceniono dobrze (użytkownicy raczej potrafią odczytać przekaz ze zdjęć, infografik itp.), choć oczywiście osoby niewidome zwracały uwagę na brak opisów alternatywnych. Ciekawostką jest, że seniorzy bardzo wysoko ocenili </w:t>
      </w:r>
      <w:r w:rsidRPr="00BF6615">
        <w:rPr>
          <w:b/>
        </w:rPr>
        <w:t>zrozumiałość grafik na stronach MOPS/PCPR</w:t>
      </w:r>
      <w:r w:rsidRPr="00BF6615">
        <w:t xml:space="preserve"> – co sugeruje, że akurat </w:t>
      </w:r>
      <w:r w:rsidR="0022518F" w:rsidRPr="00BF6615">
        <w:t xml:space="preserve">na tych stronach </w:t>
      </w:r>
      <w:r w:rsidRPr="00BF6615">
        <w:t xml:space="preserve">obrazki i </w:t>
      </w:r>
      <w:proofErr w:type="spellStart"/>
      <w:r w:rsidRPr="00BF6615">
        <w:t>ikonografiki</w:t>
      </w:r>
      <w:proofErr w:type="spellEnd"/>
      <w:r w:rsidRPr="00BF6615">
        <w:t xml:space="preserve"> </w:t>
      </w:r>
      <w:r w:rsidR="00D01E47" w:rsidRPr="00BF6615">
        <w:t xml:space="preserve">były dla nich </w:t>
      </w:r>
      <w:r w:rsidRPr="00BF6615">
        <w:t>pom</w:t>
      </w:r>
      <w:r w:rsidR="00D01E47" w:rsidRPr="00BF6615">
        <w:t>ocne</w:t>
      </w:r>
      <w:r w:rsidRPr="00BF6615">
        <w:t xml:space="preserve"> (dano im najwyższą notę w tej kategorii).</w:t>
      </w:r>
    </w:p>
    <w:p w14:paraId="610990B6" w14:textId="1E98D3B4" w:rsidR="00C8508E" w:rsidRPr="00BF6615" w:rsidRDefault="00C8508E" w:rsidP="007E26B5">
      <w:r w:rsidRPr="00BF6615">
        <w:t xml:space="preserve">Reasumując, </w:t>
      </w:r>
      <w:r w:rsidRPr="00BF6615">
        <w:rPr>
          <w:b/>
        </w:rPr>
        <w:t>doświadczenia użytkowników stron i aplikacji publicznych są na ogół pozytywne</w:t>
      </w:r>
      <w:r w:rsidRPr="00BF6615">
        <w:t xml:space="preserve">, ale </w:t>
      </w:r>
      <w:r w:rsidRPr="00BF6615">
        <w:rPr>
          <w:b/>
        </w:rPr>
        <w:t>każda grupa ma swoje specyficzne spostrzeżenia</w:t>
      </w:r>
      <w:r w:rsidRPr="00BF6615">
        <w:t>. Osoby z niepełnosprawnościami doceniają te serwisy, które realnie wdrożyły dostępność (np. tłumacza języka migowego, kompatybilność z czytnikami</w:t>
      </w:r>
      <w:r w:rsidR="00480233" w:rsidRPr="00BF6615">
        <w:t>, możliwość obsługi klawiaturą</w:t>
      </w:r>
      <w:r w:rsidRPr="00BF6615">
        <w:t xml:space="preserve">) – tam noty szybują wysoko – natomiast są bardzo wyczulone na brak dostępności w kluczowych portalach (stąd niskie oceny dla stron rządowych, jeśli nie spełniają wymogów). Seniorzy chwalą strony, które są </w:t>
      </w:r>
      <w:r w:rsidRPr="00BF6615">
        <w:rPr>
          <w:b/>
        </w:rPr>
        <w:t>przejrzyste, stabilne i pomagają im załatwić konkretne sprawy</w:t>
      </w:r>
      <w:r w:rsidRPr="00BF6615">
        <w:t xml:space="preserve"> (np. podatki, zdrowie), ale surowo oceniają wszelkie </w:t>
      </w:r>
      <w:r w:rsidRPr="00BF6615">
        <w:rPr>
          <w:b/>
        </w:rPr>
        <w:t>nieintuicyjne zmiany układu czy brak czytelności</w:t>
      </w:r>
      <w:r w:rsidRPr="00BF6615">
        <w:t xml:space="preserve">. Młodsi użytkownicy są generalnie zadowoleni z e-usług, choć </w:t>
      </w:r>
      <w:r w:rsidRPr="00BF6615">
        <w:rPr>
          <w:b/>
        </w:rPr>
        <w:t>oczekują nowoczesności i integracji</w:t>
      </w:r>
      <w:r w:rsidRPr="00BF6615">
        <w:t xml:space="preserve"> – tam gdzie system jest </w:t>
      </w:r>
      <w:r w:rsidRPr="00BF6615">
        <w:lastRenderedPageBreak/>
        <w:t xml:space="preserve">rozproszony lub wymaga wielu logowań, pojawia się znużenie. Wszyscy natomiast zgodnie wskazali, że </w:t>
      </w:r>
      <w:r w:rsidRPr="00BF6615">
        <w:rPr>
          <w:b/>
        </w:rPr>
        <w:t>poprawy wymagają kanały komunikacji z urzędem</w:t>
      </w:r>
      <w:r w:rsidRPr="00BF6615">
        <w:t>– chcieliby móc łatwiej dopytać, uzyskać wsparcie czy wskazówkę podczas korzystania z serwisu.</w:t>
      </w:r>
    </w:p>
    <w:p w14:paraId="470183F6" w14:textId="24F84133" w:rsidR="00C8508E" w:rsidRPr="00BF6615" w:rsidRDefault="00C8508E" w:rsidP="007E26B5">
      <w:pPr>
        <w:rPr>
          <w:b/>
          <w:bCs/>
        </w:rPr>
      </w:pPr>
      <w:r w:rsidRPr="00BF6615">
        <w:rPr>
          <w:b/>
          <w:bCs/>
        </w:rPr>
        <w:t>Oczekiwania w stosunku do jakości stron podmiotów publicznych i aplikacji mobilnych</w:t>
      </w:r>
    </w:p>
    <w:p w14:paraId="20305926" w14:textId="69C16986" w:rsidR="00C8508E" w:rsidRPr="00BF6615" w:rsidRDefault="00C8508E" w:rsidP="007E26B5">
      <w:r w:rsidRPr="00BF6615">
        <w:t xml:space="preserve">Pomiędzy badanymi grupami panuje duża zgodność co do </w:t>
      </w:r>
      <w:r w:rsidRPr="00BF6615">
        <w:rPr>
          <w:b/>
        </w:rPr>
        <w:t>najważniejszych cech dobrej strony lub aplikacji publicznej</w:t>
      </w:r>
      <w:r w:rsidRPr="00BF6615">
        <w:t xml:space="preserve">. Na czele listy oczekiwań w każdej grupie znalazły się </w:t>
      </w:r>
      <w:r w:rsidRPr="00BF6615">
        <w:rPr>
          <w:b/>
        </w:rPr>
        <w:t>uniwersalne wymogi użyteczności</w:t>
      </w:r>
      <w:r w:rsidRPr="00BF6615">
        <w:t xml:space="preserve">, ważne dla każdego internauty bez względu na wiek czy sprawność. Przede wszystkim respondenci chcą, by treści na stronach urzędów były </w:t>
      </w:r>
      <w:r w:rsidRPr="00BF6615">
        <w:rPr>
          <w:b/>
        </w:rPr>
        <w:t>pisane prostym, zrozumiałym językiem</w:t>
      </w:r>
      <w:r w:rsidRPr="00BF6615">
        <w:t xml:space="preserve"> oraz by informacje były przedstawione </w:t>
      </w:r>
      <w:r w:rsidRPr="00BF6615">
        <w:rPr>
          <w:b/>
        </w:rPr>
        <w:t>przejrzyście i logicznie</w:t>
      </w:r>
      <w:r w:rsidRPr="00BF6615">
        <w:t xml:space="preserve">. Użytkownicy – czy to młodsi, czy starsi czy z niepełnosprawnościami – mają dość urzędowego żargonu i skomplikowanych opisów; oczekują </w:t>
      </w:r>
      <w:r w:rsidRPr="00BF6615">
        <w:rPr>
          <w:b/>
        </w:rPr>
        <w:t xml:space="preserve">jasnych komunikatów, intuicyjnego menu </w:t>
      </w:r>
      <w:r w:rsidR="008B0B0A" w:rsidRPr="00BF6615">
        <w:rPr>
          <w:b/>
        </w:rPr>
        <w:t>i</w:t>
      </w:r>
      <w:r w:rsidR="008B0B0A">
        <w:rPr>
          <w:b/>
        </w:rPr>
        <w:t> </w:t>
      </w:r>
      <w:r w:rsidRPr="00BF6615">
        <w:rPr>
          <w:b/>
        </w:rPr>
        <w:t>czytelnego układu</w:t>
      </w:r>
      <w:r w:rsidRPr="00BF6615">
        <w:t xml:space="preserve">. Na wysokiej pozycji wśród priorytetów znalazła się również </w:t>
      </w:r>
      <w:r w:rsidRPr="00BF6615">
        <w:rPr>
          <w:b/>
        </w:rPr>
        <w:t>możliwość łatwego kontaktu z urzędem</w:t>
      </w:r>
      <w:r w:rsidRPr="00BF6615">
        <w:t xml:space="preserve"> (np. poprzez podany numer telefonu, adres e-mail, formularz czy czat) – szczególnie osoby z niepełnosprawnościami kładły na to nacisk, wskazując to kryterium nawet częściej niż inne grupy. Bardzo istotne okazały się także </w:t>
      </w:r>
      <w:r w:rsidRPr="00BF6615">
        <w:rPr>
          <w:b/>
        </w:rPr>
        <w:t xml:space="preserve">zrozumiałe komunikaty </w:t>
      </w:r>
      <w:r w:rsidR="008B0B0A" w:rsidRPr="00BF6615">
        <w:rPr>
          <w:b/>
        </w:rPr>
        <w:t>o</w:t>
      </w:r>
      <w:r w:rsidR="008B0B0A">
        <w:rPr>
          <w:b/>
        </w:rPr>
        <w:t> </w:t>
      </w:r>
      <w:r w:rsidRPr="00BF6615">
        <w:rPr>
          <w:b/>
        </w:rPr>
        <w:t>błędach w formularzach</w:t>
      </w:r>
      <w:r w:rsidRPr="00BF6615">
        <w:t xml:space="preserve"> – respondenci chcą, aby w razie pomyłki system klarownie wyjaśnił, co poprawić i jak. Ten aspekt pojawiał się wysoko zarówno u seniorów, jak i w grupie obywateli czy osób z niepełnosprawnościami. W praktyce oznacza to oczekiwanie, by np. formularz online wyraźnie zaznaczył brakujące pole czy zły format danych i podał prostą podpowiedź – takie funkcjonalności budują zaufanie użytkownika.</w:t>
      </w:r>
    </w:p>
    <w:p w14:paraId="79D8C60A" w14:textId="77777777" w:rsidR="00C8508E" w:rsidRPr="00BF6615" w:rsidRDefault="00C8508E" w:rsidP="007E26B5">
      <w:r w:rsidRPr="00BF6615">
        <w:t xml:space="preserve">Kolejnym kluczowym wymogiem jest </w:t>
      </w:r>
      <w:r w:rsidRPr="00BF6615">
        <w:rPr>
          <w:b/>
        </w:rPr>
        <w:t>dostosowanie serwisów do różnych urządzeń</w:t>
      </w:r>
      <w:r w:rsidRPr="00BF6615">
        <w:t xml:space="preserve"> i ekranów, czyli pełna </w:t>
      </w:r>
      <w:proofErr w:type="spellStart"/>
      <w:r w:rsidRPr="00BF6615">
        <w:rPr>
          <w:b/>
        </w:rPr>
        <w:t>responsywność</w:t>
      </w:r>
      <w:proofErr w:type="spellEnd"/>
      <w:r w:rsidRPr="00BF6615">
        <w:rPr>
          <w:b/>
        </w:rPr>
        <w:t xml:space="preserve"> oraz mobilność</w:t>
      </w:r>
      <w:r w:rsidRPr="00BF6615">
        <w:t xml:space="preserve">. Szczególnie młodsi użytkownicy często korzystają ze smartfonów, dlatego </w:t>
      </w:r>
      <w:r w:rsidRPr="00BF6615">
        <w:rPr>
          <w:b/>
        </w:rPr>
        <w:t>łatwa nawigacja na telefonie</w:t>
      </w:r>
      <w:r w:rsidRPr="00BF6615">
        <w:t xml:space="preserve"> czy tablecie została wskazana jako bardzo ważna cecha aplikacji mobilnych i stron (w przypadku aplikacji mobilnych “łatwa nawigacja” była absolutnym numerem jeden oczekiwań). Seniorzy również doceniają wersje mobilne – wielu z nich posiada smartfony i chciałoby móc skorzystać z urzędu także za ich pomocą, choć dla nich równie ważne jest, by strona dobrze działała na tradycyjnym komputerze z dużym ekranem. </w:t>
      </w:r>
      <w:r w:rsidRPr="00BF6615">
        <w:rPr>
          <w:b/>
        </w:rPr>
        <w:t>Logiczna struktura strony</w:t>
      </w:r>
      <w:r w:rsidRPr="00BF6615">
        <w:t xml:space="preserve"> (czyli przejrzysta architektura informacji) to kolejny aspekt ceniony we wszystkich grupach. Użytkownicy chcą, by serwisy miały sensowny podział na sekcje, konsekwentne menu i żeby mogli </w:t>
      </w:r>
      <w:r w:rsidRPr="00BF6615">
        <w:rPr>
          <w:b/>
        </w:rPr>
        <w:t>„bez trudu przeglądać zawartość i znajdować potrzebne informacje”</w:t>
      </w:r>
      <w:r w:rsidRPr="00BF6615">
        <w:t xml:space="preserve"> – tak sformułowany postulat otrzymał wysokie noty ważności we wszystkich segmentach.</w:t>
      </w:r>
    </w:p>
    <w:p w14:paraId="0C327987" w14:textId="5BAFAD27" w:rsidR="00C8508E" w:rsidRPr="00BF6615" w:rsidRDefault="00C8508E" w:rsidP="007E26B5">
      <w:r w:rsidRPr="00BF6615">
        <w:t xml:space="preserve">Choć </w:t>
      </w:r>
      <w:r w:rsidRPr="00BF6615">
        <w:rPr>
          <w:b/>
        </w:rPr>
        <w:t>ułatwienia typowo dostępnościowe</w:t>
      </w:r>
      <w:r w:rsidRPr="00BF6615">
        <w:t xml:space="preserve"> (specjalistyczne) nie są priorytetem dla ogółu, to jednak spora część badanych uznaje je za </w:t>
      </w:r>
      <w:r w:rsidRPr="00BF6615">
        <w:rPr>
          <w:b/>
        </w:rPr>
        <w:t>ważne</w:t>
      </w:r>
      <w:r w:rsidRPr="00BF6615">
        <w:t xml:space="preserve">. Funkcje takie jak możliwość powiększenia tekstu, zmiany kontrastu czy tryb dla słabowidzących zostały ocenione jako istotne szczególnie przez seniorów oraz oczywiście osoby z niepełnosprawnościami – np. około jedna trzecia osób </w:t>
      </w:r>
      <w:r w:rsidR="008B0B0A" w:rsidRPr="00BF6615">
        <w:t>z</w:t>
      </w:r>
      <w:r w:rsidR="008B0B0A">
        <w:t> </w:t>
      </w:r>
      <w:r w:rsidRPr="00BF6615">
        <w:t xml:space="preserve">obu tych grup uznała takie ułatwienia za bardzo ważne lub ważne. Młodsi respondenci </w:t>
      </w:r>
      <w:r w:rsidRPr="00BF6615">
        <w:lastRenderedPageBreak/>
        <w:t xml:space="preserve">przywiązywali do nich mniejszą wagę, ale mimo to niemal </w:t>
      </w:r>
      <w:r w:rsidRPr="00BF6615">
        <w:rPr>
          <w:b/>
        </w:rPr>
        <w:t>jedna czwarta obywateli 18–59</w:t>
      </w:r>
      <w:r w:rsidRPr="00BF6615">
        <w:t xml:space="preserve"> też wskazała, że obecność takich opcji poprawia jakość strony. </w:t>
      </w:r>
      <w:r w:rsidRPr="00BF6615">
        <w:rPr>
          <w:b/>
        </w:rPr>
        <w:t>Tłumaczenie treści na język migowy (PJM)</w:t>
      </w:r>
      <w:r w:rsidRPr="00BF6615">
        <w:t xml:space="preserve"> okazało się najmniej istotnym elementem w oczach ogółu – i nie jest to zaskoczenie, jako że dotyczy głównie społeczności osób Głuchych. Tylko nieliczni słyszący uznali je za bardzo ważne (możliwe, że z </w:t>
      </w:r>
      <w:r w:rsidRPr="00BF6615">
        <w:rPr>
          <w:b/>
        </w:rPr>
        <w:t>empatii</w:t>
      </w:r>
      <w:r w:rsidRPr="00BF6615">
        <w:t xml:space="preserve"> dla niesłyszących użytkowników, bo np. w grupie obywateli bez niepełnosprawności odsetek ten był kilkuprocentowy). Natomiast </w:t>
      </w:r>
      <w:r w:rsidRPr="00BF6615">
        <w:rPr>
          <w:b/>
        </w:rPr>
        <w:t xml:space="preserve">dla samych osób </w:t>
      </w:r>
      <w:r w:rsidR="008B0B0A" w:rsidRPr="00BF6615">
        <w:rPr>
          <w:b/>
        </w:rPr>
        <w:t>z</w:t>
      </w:r>
      <w:r w:rsidR="008B0B0A">
        <w:rPr>
          <w:b/>
        </w:rPr>
        <w:t> </w:t>
      </w:r>
      <w:r w:rsidRPr="00BF6615">
        <w:rPr>
          <w:b/>
        </w:rPr>
        <w:t>niepełnosprawnościami</w:t>
      </w:r>
      <w:r w:rsidRPr="00BF6615">
        <w:t xml:space="preserve"> obecność tłumacza migowego na stronach ma większe znaczenie – blisko co czwarty respondent z tej grupy uznał to za cechę bardzo ważną, a kolejni za dość ważną. Podobnie ma się rzecz z informacjami w </w:t>
      </w:r>
      <w:r w:rsidRPr="00BF6615">
        <w:rPr>
          <w:b/>
        </w:rPr>
        <w:t>tekście łatwym do czytania (ETR)</w:t>
      </w:r>
      <w:r w:rsidRPr="00BF6615">
        <w:t xml:space="preserve"> – ta forma upraszczania języka dla osób z ograniczeniami poznawczymi była stosunkowo wysoko ceniona przez grupę z niepełnosprawnościami (prawie połowa z nich chciałaby widzieć takie treści na stronach). Seniorzy również dostrzegają zalety </w:t>
      </w:r>
      <w:r w:rsidR="00F91DBD" w:rsidRPr="00BF6615">
        <w:t>ETR</w:t>
      </w:r>
      <w:r w:rsidRPr="00BF6615">
        <w:t xml:space="preserve"> – spora część (ponad 40% w grupie 60+) uznała format ETR za bardzo przydatny. Z kolei młodsi dorośli przywiązywali do ETR mniejszą wagę (tylko nieco ponad 1/4 wskazała go jako bardzo ważny). Te różnice są zrozumiałe, bo </w:t>
      </w:r>
      <w:r w:rsidRPr="00BF6615">
        <w:rPr>
          <w:b/>
        </w:rPr>
        <w:t>prostota języka i przekazu</w:t>
      </w:r>
      <w:r w:rsidRPr="00BF6615">
        <w:t xml:space="preserve"> szczególnie pomaga tym, którzy mogą mieć trudności </w:t>
      </w:r>
      <w:r w:rsidR="008B0B0A" w:rsidRPr="00BF6615">
        <w:t>z</w:t>
      </w:r>
      <w:r w:rsidR="008B0B0A">
        <w:t> </w:t>
      </w:r>
      <w:r w:rsidRPr="00BF6615">
        <w:t>przyswajaniem złożonych komunikatów – jak osoby starsze lub z niepełnosprawnościami intelektualnymi.</w:t>
      </w:r>
    </w:p>
    <w:p w14:paraId="076CE851" w14:textId="7D92A0CF" w:rsidR="00C8508E" w:rsidRPr="00BF6615" w:rsidRDefault="00C8508E" w:rsidP="007E26B5">
      <w:r w:rsidRPr="00BF6615">
        <w:t xml:space="preserve">W pytaniach otwartych respondenci jeszcze dobitniej wyrazili swoje oczekiwania. Przewijały się tam cztery główne motywy: </w:t>
      </w:r>
      <w:r w:rsidRPr="00BF6615">
        <w:rPr>
          <w:b/>
        </w:rPr>
        <w:t>przejrzystość, integracja, szybkość i wsparcie</w:t>
      </w:r>
      <w:r w:rsidRPr="00BF6615">
        <w:t xml:space="preserve">. Użytkownicy wszystkich grup mówili jednym głosem o potrzebie </w:t>
      </w:r>
      <w:r w:rsidRPr="00BF6615">
        <w:rPr>
          <w:b/>
        </w:rPr>
        <w:t>maksymalnego uproszczenia i czytelności stron</w:t>
      </w:r>
      <w:r w:rsidRPr="00BF6615">
        <w:t xml:space="preserve">: powtarzały się postulaty </w:t>
      </w:r>
      <w:r w:rsidRPr="00BF6615">
        <w:rPr>
          <w:b/>
        </w:rPr>
        <w:t>„prosty układ, intuicyjna nawigacja, duża czcionka, unikanie żargonu i skrótów”</w:t>
      </w:r>
      <w:r w:rsidRPr="00BF6615">
        <w:t xml:space="preserve">. Ten apel o </w:t>
      </w:r>
      <w:r w:rsidRPr="00BF6615">
        <w:rPr>
          <w:b/>
        </w:rPr>
        <w:t>przystępność językową i wizualną</w:t>
      </w:r>
      <w:r w:rsidRPr="00BF6615">
        <w:t xml:space="preserve"> jest szczególnie ważny dla seniorów, którzy wręcz prosili o instrukcje „krok po kroku” na stronach, ale i młodsi doceniliby bardziej przyjazny interfejs (mówią np. „jasność tekstu, prostota przekazu”). </w:t>
      </w:r>
      <w:r w:rsidRPr="00BF6615">
        <w:rPr>
          <w:b/>
        </w:rPr>
        <w:t>Lepsza integracja usług</w:t>
      </w:r>
      <w:r w:rsidRPr="00BF6615">
        <w:t xml:space="preserve"> to kolejny postulat silnie obecny zwłaszcza u młodszych: ludzie są zmęczeni </w:t>
      </w:r>
      <w:r w:rsidR="005C00FF" w:rsidRPr="00BF6615">
        <w:t>„</w:t>
      </w:r>
      <w:r w:rsidRPr="00BF6615">
        <w:t>skakaniem</w:t>
      </w:r>
      <w:r w:rsidR="005C00FF" w:rsidRPr="00BF6615">
        <w:t>”</w:t>
      </w:r>
      <w:r w:rsidRPr="00BF6615">
        <w:t xml:space="preserve"> po wielu portalach i chcieliby </w:t>
      </w:r>
      <w:r w:rsidRPr="00BF6615">
        <w:rPr>
          <w:b/>
        </w:rPr>
        <w:t>jednego loginu do różnych usług publicznych, jednego miejsca do załatwienia spraw</w:t>
      </w:r>
      <w:r w:rsidRPr="00BF6615">
        <w:t xml:space="preserve">. Często powtarzano pomysł, by połączyć serwisy różnych urzędów w spójny system – tak, aby obywatel nie musiał odrębnie logować się do ZUS, osobno do podatków </w:t>
      </w:r>
      <w:r w:rsidR="008B0B0A" w:rsidRPr="00BF6615">
        <w:t>i</w:t>
      </w:r>
      <w:r w:rsidR="008B0B0A">
        <w:t> </w:t>
      </w:r>
      <w:r w:rsidRPr="00BF6615">
        <w:t xml:space="preserve">jeszcze gdzie indziej do spraw lokalnych. W tym duchu mówiono też o </w:t>
      </w:r>
      <w:r w:rsidRPr="00BF6615">
        <w:rPr>
          <w:b/>
        </w:rPr>
        <w:t>centralizacji i spójności</w:t>
      </w:r>
      <w:r w:rsidRPr="00BF6615">
        <w:t xml:space="preserve">: szczególnie młodzi skarżyli się, że strony urzędowe są rozproszone i niespójne ze sobą, co utrudnia ich używanie – chcieliby, aby interfejs i struktura były podobne wszędzie, by nie trzeba było uczyć się każdej strony od nowa. </w:t>
      </w:r>
      <w:r w:rsidRPr="00BF6615">
        <w:rPr>
          <w:b/>
        </w:rPr>
        <w:t>Szybkość i niezawodność</w:t>
      </w:r>
      <w:r w:rsidRPr="00BF6615">
        <w:t xml:space="preserve"> działania stron również pojawiały się w oczekiwaniach wszystkich grup – doceniane są strony, które </w:t>
      </w:r>
      <w:r w:rsidRPr="00BF6615">
        <w:rPr>
          <w:b/>
        </w:rPr>
        <w:t>szybko się ładują, nie zawieszają i pozwalają np. na wgranie większych załączników bez błędów</w:t>
      </w:r>
      <w:r w:rsidRPr="00BF6615">
        <w:t>. Usterki techniczne i powolność zdecydowanie zniechęcają użytkowników (wystarczy przypomnieć, że część osób z niepełnosprawnościami powiedziała o aplikacjach publicznych: „to co jest, do niczego się nie nadaje, są za często awaryjne” – więc jasno oczekują poprawy stabilności).</w:t>
      </w:r>
    </w:p>
    <w:p w14:paraId="78192EB5" w14:textId="7D3017C3" w:rsidR="00C8508E" w:rsidRPr="00BF6615" w:rsidRDefault="00C8508E" w:rsidP="007E26B5">
      <w:r w:rsidRPr="00BF6615">
        <w:lastRenderedPageBreak/>
        <w:t xml:space="preserve">Wszyscy respondenci pragną też </w:t>
      </w:r>
      <w:r w:rsidRPr="00BF6615">
        <w:rPr>
          <w:b/>
        </w:rPr>
        <w:t>lepszego wsparcia i instrukcji</w:t>
      </w:r>
      <w:r w:rsidRPr="00BF6615">
        <w:t xml:space="preserve"> podczas korzystania z e-usług. Proponowano dodanie </w:t>
      </w:r>
      <w:r w:rsidRPr="00BF6615">
        <w:rPr>
          <w:b/>
        </w:rPr>
        <w:t>czatów z konsultantami lub botami AI</w:t>
      </w:r>
      <w:r w:rsidRPr="00BF6615">
        <w:t xml:space="preserve"> jako pomocy na stronach – pomysł szczególnie popularny wśród młodszych, ale i seniorzy widzieliby korzyść z „wirtualnego asystenta”, który podpowie, co zrobić dalej. Ponadto bardzo pożądane są </w:t>
      </w:r>
      <w:r w:rsidRPr="00BF6615">
        <w:rPr>
          <w:b/>
        </w:rPr>
        <w:t xml:space="preserve">przykłady </w:t>
      </w:r>
      <w:r w:rsidR="008B0B0A" w:rsidRPr="00BF6615">
        <w:rPr>
          <w:b/>
        </w:rPr>
        <w:t>i</w:t>
      </w:r>
      <w:r w:rsidR="008B0B0A">
        <w:rPr>
          <w:b/>
        </w:rPr>
        <w:t> </w:t>
      </w:r>
      <w:r w:rsidRPr="00BF6615">
        <w:rPr>
          <w:b/>
        </w:rPr>
        <w:t>podpowiedzi</w:t>
      </w:r>
      <w:r w:rsidRPr="00BF6615">
        <w:t xml:space="preserve"> przy wypełnianiu formularzy: użytkownicy chcieliby, by strony oferowały np. </w:t>
      </w:r>
      <w:r w:rsidRPr="00BF6615">
        <w:rPr>
          <w:b/>
        </w:rPr>
        <w:t>wzory dokumentów, instrukcje do pobrania, listy najczęstszych pytań</w:t>
      </w:r>
      <w:r w:rsidRPr="00BF6615">
        <w:t xml:space="preserve">. Seniorzy wręcz postulowali umieszczenie na stronach </w:t>
      </w:r>
      <w:r w:rsidRPr="00BF6615">
        <w:rPr>
          <w:b/>
        </w:rPr>
        <w:t>sekcji z najpopularniejszymi sprawami i jasną instrukcją ich załatwienia</w:t>
      </w:r>
      <w:r w:rsidRPr="00BF6615">
        <w:t xml:space="preserve">, co świadczy o potrzebie przewodnika po e-urzędzie. Kilka osób starszych zaznaczyło też, że strony nie powinny się zbyt często zmieniać – </w:t>
      </w:r>
      <w:r w:rsidRPr="00BF6615">
        <w:rPr>
          <w:b/>
        </w:rPr>
        <w:t>stabilność i stały układ</w:t>
      </w:r>
      <w:r w:rsidRPr="00BF6615">
        <w:t xml:space="preserve"> dają im poczucie pewności (cyt. „żeby strony nie zmieniały swojego układu, stała struktura”). To ważna wskazówka: częste </w:t>
      </w:r>
      <w:r w:rsidR="00546B63" w:rsidRPr="00BF6615">
        <w:t>zmiany wyglądu</w:t>
      </w:r>
      <w:r w:rsidRPr="00BF6615">
        <w:t>, które młodszym mogą imponować nowoczesnością, dla seniorów są raczej barierą dezorientującą.</w:t>
      </w:r>
    </w:p>
    <w:p w14:paraId="7921DA4D" w14:textId="2343B379" w:rsidR="00C8508E" w:rsidRPr="00BF6615" w:rsidRDefault="00C8508E" w:rsidP="007E26B5">
      <w:r w:rsidRPr="00BF6615">
        <w:t xml:space="preserve">Osoby z niepełnosprawnościami dodatkowo zgłaszały oczekiwanie, by przy projektowaniu serwisów </w:t>
      </w:r>
      <w:r w:rsidRPr="00BF6615">
        <w:rPr>
          <w:b/>
        </w:rPr>
        <w:t>konsultować się z ich środowiskiem</w:t>
      </w:r>
      <w:r w:rsidRPr="00BF6615">
        <w:t xml:space="preserve"> – padły głosy, że </w:t>
      </w:r>
      <w:r w:rsidRPr="00BF6615">
        <w:rPr>
          <w:b/>
        </w:rPr>
        <w:t xml:space="preserve">„konieczna jest konsultacja </w:t>
      </w:r>
      <w:r w:rsidR="008B0B0A" w:rsidRPr="00BF6615">
        <w:rPr>
          <w:b/>
        </w:rPr>
        <w:t>z</w:t>
      </w:r>
      <w:r w:rsidR="008B0B0A">
        <w:rPr>
          <w:b/>
        </w:rPr>
        <w:t> </w:t>
      </w:r>
      <w:r w:rsidRPr="00BF6615">
        <w:rPr>
          <w:b/>
        </w:rPr>
        <w:t>osobami z niepełnosprawnościami przy projektowaniu stron”</w:t>
      </w:r>
      <w:r w:rsidRPr="00BF6615">
        <w:t xml:space="preserve">, bo tylko tak można wychwycić ich realne potrzeby. Ta grupa oczywiście domagała się też dostępności w sensie ścisłym: </w:t>
      </w:r>
      <w:r w:rsidRPr="00BF6615">
        <w:rPr>
          <w:b/>
        </w:rPr>
        <w:t>tłumacza PJM na stronach, audiodeskrypcji materiałów wideo, tekstów ETR</w:t>
      </w:r>
      <w:r w:rsidRPr="00BF6615">
        <w:t xml:space="preserve"> – czyli wszystkiego, co pozwoli im konsumować treść na równi z </w:t>
      </w:r>
      <w:r w:rsidR="007F4E78" w:rsidRPr="00BF6615">
        <w:t xml:space="preserve">obywatelami </w:t>
      </w:r>
      <w:r w:rsidRPr="00BF6615">
        <w:t xml:space="preserve">pełnosprawnymi. </w:t>
      </w:r>
      <w:r w:rsidR="008B0B0A" w:rsidRPr="00BF6615">
        <w:t>Co</w:t>
      </w:r>
      <w:r w:rsidR="008B0B0A">
        <w:t> </w:t>
      </w:r>
      <w:r w:rsidRPr="00BF6615">
        <w:t xml:space="preserve">ważne, pojawiały się zarówno </w:t>
      </w:r>
      <w:r w:rsidRPr="00BF6615">
        <w:rPr>
          <w:b/>
        </w:rPr>
        <w:t>pozytywne głosy doceniające obecny stan</w:t>
      </w:r>
      <w:r w:rsidRPr="00BF6615">
        <w:t xml:space="preserve">, jak i wyrazy rozczarowania. Wielu respondentów (szczególnie w grupie obywateli) zaznaczało, że </w:t>
      </w:r>
      <w:r w:rsidRPr="00BF6615">
        <w:rPr>
          <w:b/>
        </w:rPr>
        <w:t>„nie ma problemów z korzystaniem, wszystko jest OK”</w:t>
      </w:r>
      <w:r w:rsidRPr="00BF6615">
        <w:t xml:space="preserve">, chwalili przejrzystość i funkcjonalność wielu </w:t>
      </w:r>
      <w:r w:rsidR="008B0B0A">
        <w:br/>
      </w:r>
      <w:r w:rsidRPr="00BF6615">
        <w:t xml:space="preserve">e-usług. Z drugiej strony pojedyncze osoby – zwłaszcza z niepełnosprawnościami – stwierdziły ostro, że strony publiczne „nie mają cech, tylko wady” albo że obecnie „są słabe”. Te skrajne opinie podkreślają, jak różne mogą być doświadczenia: dla jednych obywateli system działa </w:t>
      </w:r>
      <w:r w:rsidR="008B0B0A" w:rsidRPr="00BF6615">
        <w:t>i</w:t>
      </w:r>
      <w:r w:rsidR="008B0B0A">
        <w:t> </w:t>
      </w:r>
      <w:r w:rsidRPr="00BF6615">
        <w:t xml:space="preserve">jest zrozumiały, dla innych – bywa frustrujący. Niemniej </w:t>
      </w:r>
      <w:r w:rsidRPr="00BF6615">
        <w:rPr>
          <w:b/>
        </w:rPr>
        <w:t>trzon oczekiwań jest spójny</w:t>
      </w:r>
      <w:r w:rsidRPr="00BF6615">
        <w:t xml:space="preserve">: prostota, </w:t>
      </w:r>
      <w:proofErr w:type="spellStart"/>
      <w:r w:rsidRPr="00BF6615">
        <w:rPr>
          <w:b/>
        </w:rPr>
        <w:t>user</w:t>
      </w:r>
      <w:proofErr w:type="spellEnd"/>
      <w:r w:rsidRPr="00BF6615">
        <w:rPr>
          <w:b/>
        </w:rPr>
        <w:t xml:space="preserve"> </w:t>
      </w:r>
      <w:proofErr w:type="spellStart"/>
      <w:r w:rsidRPr="00BF6615">
        <w:rPr>
          <w:b/>
        </w:rPr>
        <w:t>friendly</w:t>
      </w:r>
      <w:proofErr w:type="spellEnd"/>
      <w:r w:rsidRPr="00BF6615">
        <w:t xml:space="preserve"> design, szybka obsługa i </w:t>
      </w:r>
      <w:r w:rsidR="00A23552" w:rsidRPr="00BF6615">
        <w:t>możliwość</w:t>
      </w:r>
      <w:r w:rsidR="00462C6E" w:rsidRPr="00BF6615">
        <w:t xml:space="preserve"> skorzystania z</w:t>
      </w:r>
      <w:r w:rsidRPr="00BF6615">
        <w:t xml:space="preserve"> pomocy</w:t>
      </w:r>
      <w:r w:rsidR="00462C6E" w:rsidRPr="00BF6615">
        <w:t>/obsługi</w:t>
      </w:r>
      <w:r w:rsidRPr="00BF6615">
        <w:t>.</w:t>
      </w:r>
    </w:p>
    <w:p w14:paraId="22C0A240" w14:textId="7748E5B9" w:rsidR="00C8508E" w:rsidRPr="00BF6615" w:rsidRDefault="00C8508E" w:rsidP="007E26B5">
      <w:r w:rsidRPr="00BF6615">
        <w:t xml:space="preserve">Jeśli chodzi o </w:t>
      </w:r>
      <w:r w:rsidRPr="00BF6615">
        <w:rPr>
          <w:b/>
        </w:rPr>
        <w:t>aplikacje mobilne</w:t>
      </w:r>
      <w:r w:rsidRPr="00BF6615">
        <w:t xml:space="preserve">, badani akcentowali niemal te same cechy co przy stronach. </w:t>
      </w:r>
      <w:r w:rsidRPr="00BF6615">
        <w:rPr>
          <w:b/>
        </w:rPr>
        <w:t>Łatwa nawigacja w aplikacji</w:t>
      </w:r>
      <w:r w:rsidRPr="00BF6615">
        <w:t xml:space="preserve">, </w:t>
      </w:r>
      <w:r w:rsidRPr="00BF6615">
        <w:rPr>
          <w:b/>
        </w:rPr>
        <w:t>przejrzystość informacji</w:t>
      </w:r>
      <w:r w:rsidRPr="00BF6615">
        <w:t xml:space="preserve"> i </w:t>
      </w:r>
      <w:r w:rsidRPr="00BF6615">
        <w:rPr>
          <w:b/>
        </w:rPr>
        <w:t>zrozumiałość treści</w:t>
      </w:r>
      <w:r w:rsidRPr="00BF6615">
        <w:t xml:space="preserve"> to top 3 oczekiwań względem aplikacji według pełnej grupy. Różnica jest taka, że w aplikacjach mniej osób oczekuje np. tłumacza PJM (to wydaje się odległe dla przeciętnego </w:t>
      </w:r>
      <w:r w:rsidR="008C7223" w:rsidRPr="00BF6615">
        <w:t>użytkownika</w:t>
      </w:r>
      <w:r w:rsidRPr="00BF6615">
        <w:t xml:space="preserve">) – liczy się raczej, by aplikacja była </w:t>
      </w:r>
      <w:r w:rsidRPr="00BF6615">
        <w:rPr>
          <w:b/>
        </w:rPr>
        <w:t>intuicyjna i szybka</w:t>
      </w:r>
      <w:r w:rsidRPr="00BF6615">
        <w:t xml:space="preserve">. Takie atrybuty jak </w:t>
      </w:r>
      <w:r w:rsidRPr="00BF6615">
        <w:rPr>
          <w:b/>
        </w:rPr>
        <w:t>integracja z funkcjami telefonu</w:t>
      </w:r>
      <w:r w:rsidRPr="00BF6615">
        <w:t xml:space="preserve"> (np</w:t>
      </w:r>
      <w:r w:rsidR="008B0B0A" w:rsidRPr="00BF6615">
        <w:t>.</w:t>
      </w:r>
      <w:r w:rsidR="008B0B0A">
        <w:t> </w:t>
      </w:r>
      <w:r w:rsidRPr="00BF6615">
        <w:t xml:space="preserve">automatyczne uzupełnianie danych, logowanie przez odcisk palca itp.) też zostały wspomniane jako mile widziane ulepszenia. Część użytkowników, głównie młodszych, wskazała na </w:t>
      </w:r>
      <w:r w:rsidRPr="00BF6615">
        <w:rPr>
          <w:b/>
        </w:rPr>
        <w:t>nowoczesne technologie</w:t>
      </w:r>
      <w:r w:rsidRPr="00BF6615">
        <w:t xml:space="preserve"> jako oczekiwany kierunek – padały sugestie szerszego wykorzystania </w:t>
      </w:r>
      <w:r w:rsidRPr="00BF6615">
        <w:rPr>
          <w:b/>
        </w:rPr>
        <w:t>sztucznej inteligencji</w:t>
      </w:r>
      <w:r w:rsidRPr="00BF6615">
        <w:t xml:space="preserve"> w obsłudze obywatela czy wprowadzenia bardziej </w:t>
      </w:r>
      <w:r w:rsidRPr="00BF6615">
        <w:rPr>
          <w:b/>
        </w:rPr>
        <w:t>spersonalizowanych rozwiązań</w:t>
      </w:r>
      <w:r w:rsidRPr="00BF6615">
        <w:t xml:space="preserve"> w e-administracji. Jednak na pierwszym miejscu pozostają fundamenty: </w:t>
      </w:r>
      <w:r w:rsidRPr="00BF6615">
        <w:rPr>
          <w:b/>
        </w:rPr>
        <w:t>czytelność, prostota, spójność</w:t>
      </w:r>
      <w:r w:rsidRPr="00BF6615">
        <w:t>.</w:t>
      </w:r>
    </w:p>
    <w:p w14:paraId="531D48D7" w14:textId="54B3DD9E" w:rsidR="00C8508E" w:rsidRPr="00BF6615" w:rsidRDefault="00C8508E" w:rsidP="007E26B5">
      <w:r w:rsidRPr="00BF6615">
        <w:lastRenderedPageBreak/>
        <w:t xml:space="preserve">Podsumowując, </w:t>
      </w:r>
      <w:r w:rsidRPr="00BF6615">
        <w:rPr>
          <w:b/>
        </w:rPr>
        <w:t>opinie co do jakości idealnego serwisu publicznego są zadziwiająco zbieżne między grupami</w:t>
      </w:r>
      <w:r w:rsidRPr="00BF6615">
        <w:t xml:space="preserve">. Niezależnie od wieku czy stanu zdrowia, użytkownicy chcą </w:t>
      </w:r>
      <w:r w:rsidRPr="00BF6615">
        <w:rPr>
          <w:b/>
        </w:rPr>
        <w:t>łatwo znaleźć informację i załatwić sprawę, nie gubiąc się na stronie i nie walcząc z niezrozumiałym językiem</w:t>
      </w:r>
      <w:r w:rsidRPr="00BF6615">
        <w:t xml:space="preserve">. Różnice między grupami widać raczej w </w:t>
      </w:r>
      <w:r w:rsidRPr="00BF6615">
        <w:rPr>
          <w:b/>
        </w:rPr>
        <w:t>stopniu nacisku</w:t>
      </w:r>
      <w:r w:rsidRPr="00BF6615">
        <w:t xml:space="preserve"> na pewne elementy: osoby </w:t>
      </w:r>
      <w:r w:rsidR="008B0B0A" w:rsidRPr="00BF6615">
        <w:t>z</w:t>
      </w:r>
      <w:r w:rsidR="008B0B0A">
        <w:t> </w:t>
      </w:r>
      <w:r w:rsidRPr="00BF6615">
        <w:t xml:space="preserve">niepełnosprawnościami mocniej akcentują potrzeby dostępności </w:t>
      </w:r>
      <w:r w:rsidR="004148D4" w:rsidRPr="00BF6615">
        <w:t>„specjalistycznej”</w:t>
      </w:r>
      <w:r w:rsidRPr="00BF6615">
        <w:t xml:space="preserve"> (PJM, ETR, audiodeskrypcja), seniorzy – potrzebę </w:t>
      </w:r>
      <w:r w:rsidRPr="00BF6615">
        <w:rPr>
          <w:b/>
        </w:rPr>
        <w:t>stałości i dużej czytelnej czcionki</w:t>
      </w:r>
      <w:r w:rsidRPr="00BF6615">
        <w:t xml:space="preserve">, a młodsi – </w:t>
      </w:r>
      <w:r w:rsidRPr="00BF6615">
        <w:rPr>
          <w:b/>
        </w:rPr>
        <w:t xml:space="preserve">integrację </w:t>
      </w:r>
      <w:r w:rsidR="008B0B0A" w:rsidRPr="00BF6615">
        <w:rPr>
          <w:b/>
        </w:rPr>
        <w:t>i</w:t>
      </w:r>
      <w:r w:rsidR="008B0B0A">
        <w:rPr>
          <w:b/>
        </w:rPr>
        <w:t> </w:t>
      </w:r>
      <w:r w:rsidRPr="00BF6615">
        <w:rPr>
          <w:b/>
        </w:rPr>
        <w:t>nowoczesność (AI, automatyzacja)</w:t>
      </w:r>
      <w:r w:rsidRPr="00BF6615">
        <w:t xml:space="preserve">. Te akcenty warto brać pod uwagę przy projektowaniu, ale podstawowa </w:t>
      </w:r>
      <w:r w:rsidR="005F34D5" w:rsidRPr="00BF6615">
        <w:t xml:space="preserve">wniosek, to </w:t>
      </w:r>
      <w:r w:rsidR="005F34D5" w:rsidRPr="00BF6615">
        <w:rPr>
          <w:b/>
        </w:rPr>
        <w:t>d</w:t>
      </w:r>
      <w:r w:rsidRPr="00BF6615">
        <w:rPr>
          <w:b/>
        </w:rPr>
        <w:t>obre dla wszystkich znaczy czytelne i proste</w:t>
      </w:r>
      <w:r w:rsidRPr="00BF6615">
        <w:t xml:space="preserve"> – i tego zgodnie życzą sobie obywatele od swoich e-urzędów.</w:t>
      </w:r>
    </w:p>
    <w:p w14:paraId="258046E9" w14:textId="6650DC63" w:rsidR="00C8508E" w:rsidRPr="001C11F9" w:rsidRDefault="00C8508E" w:rsidP="00B271C3">
      <w:pPr>
        <w:pStyle w:val="Nagwek4"/>
      </w:pPr>
      <w:r w:rsidRPr="001C11F9">
        <w:t>Technologie wspomagające w korzystaniu ze stron i aplikacji</w:t>
      </w:r>
    </w:p>
    <w:p w14:paraId="452D1436" w14:textId="68449492" w:rsidR="00C8508E" w:rsidRPr="00BF6615" w:rsidRDefault="00C8508E" w:rsidP="007E26B5">
      <w:r w:rsidRPr="00BF6615">
        <w:t xml:space="preserve">W kontekście dostępności cyfrowej kluczowe jest pytanie, </w:t>
      </w:r>
      <w:r w:rsidRPr="00BF6615">
        <w:rPr>
          <w:b/>
        </w:rPr>
        <w:t>ilu użytkowników potrzebuje dodatkowych technologii wspierających</w:t>
      </w:r>
      <w:r w:rsidRPr="00BF6615">
        <w:t xml:space="preserve"> (asystujących), by korzystać z serwisów publicznych, </w:t>
      </w:r>
      <w:r w:rsidR="008B0B0A" w:rsidRPr="00BF6615">
        <w:t>i</w:t>
      </w:r>
      <w:r w:rsidR="008B0B0A">
        <w:t> </w:t>
      </w:r>
      <w:r w:rsidRPr="00BF6615">
        <w:t xml:space="preserve">jakiego rodzaju są to narzędzia. Okazuje się, że </w:t>
      </w:r>
      <w:r w:rsidRPr="00BF6615">
        <w:rPr>
          <w:b/>
        </w:rPr>
        <w:t>większość badanych nie korzysta z żadnych specjalnych technologii wspomagających</w:t>
      </w:r>
      <w:r w:rsidRPr="00BF6615">
        <w:t xml:space="preserve"> podczas używania stron i aplikacji podmiotów publicznych. Dla ogromnej części użytkowników </w:t>
      </w:r>
      <w:r w:rsidRPr="00BF6615">
        <w:rPr>
          <w:b/>
        </w:rPr>
        <w:t xml:space="preserve">standardowy komputer lub smartfon </w:t>
      </w:r>
      <w:r w:rsidR="008B0B0A" w:rsidRPr="00BF6615">
        <w:rPr>
          <w:b/>
        </w:rPr>
        <w:t>z</w:t>
      </w:r>
      <w:r w:rsidR="008B0B0A">
        <w:rPr>
          <w:b/>
        </w:rPr>
        <w:t> </w:t>
      </w:r>
      <w:r w:rsidRPr="00BF6615">
        <w:rPr>
          <w:b/>
        </w:rPr>
        <w:t>przeglądarką</w:t>
      </w:r>
      <w:r w:rsidRPr="00BF6615">
        <w:t xml:space="preserve"> w zupełności wystarcza do obsługi e-usług – dotyczy to szczególnie obywateli </w:t>
      </w:r>
      <w:r w:rsidR="008B0B0A" w:rsidRPr="00BF6615">
        <w:t>w</w:t>
      </w:r>
      <w:r w:rsidR="008B0B0A">
        <w:t> </w:t>
      </w:r>
      <w:r w:rsidRPr="00BF6615">
        <w:t xml:space="preserve">wieku produkcyjnym oraz seniorów, z których zdecydowana większość (od około 80% do 85%) deklaruje brak potrzeby dodatkowych udogodnień technologicznych. Wśród osób 60+ tylko co siódma osoba używa jakiegoś narzędzia wspomagającego typu powiększenie czy syntezator mowy, a w grupie obywateli 18–59 ten odsetek jest jeszcze mniejszy (mniej więcej co piąty w tej grupie wskazał korzystanie z technologii asystujących, reszta – około 80% – radzi sobie bez nich). </w:t>
      </w:r>
    </w:p>
    <w:p w14:paraId="6D6D44F7" w14:textId="272F43AD" w:rsidR="00C8508E" w:rsidRPr="00BF6615" w:rsidRDefault="00C8508E" w:rsidP="007E26B5">
      <w:r w:rsidRPr="00BF6615">
        <w:t xml:space="preserve">Największe znaczenie technologie wspomagające mają oczywiście dla grupy osób </w:t>
      </w:r>
      <w:r w:rsidR="008B0B0A" w:rsidRPr="00BF6615">
        <w:t>z</w:t>
      </w:r>
      <w:r w:rsidR="008B0B0A">
        <w:t> </w:t>
      </w:r>
      <w:r w:rsidRPr="00BF6615">
        <w:t xml:space="preserve">niepełnosprawnościami. Tutaj niemal </w:t>
      </w:r>
      <w:r w:rsidRPr="00BF6615">
        <w:rPr>
          <w:b/>
        </w:rPr>
        <w:t>co trzecia osoba</w:t>
      </w:r>
      <w:r w:rsidRPr="00BF6615">
        <w:t xml:space="preserve"> korzysta z jakiegoś narzędzia asystującego przy korzystaniu z e-serwisów. W porównaniu – w grupie seniorów tylko co siódma, a wśród obywateli bez niepełnosprawności mniej więcej co piąta osoba – więc w grupie z niepełnosprawnościami jest to wyraźnie częstsze zjawisko. </w:t>
      </w:r>
      <w:r w:rsidRPr="00BF6615">
        <w:rPr>
          <w:b/>
        </w:rPr>
        <w:t>Jakie technologie są stosowane?</w:t>
      </w:r>
      <w:r w:rsidRPr="00BF6615">
        <w:t xml:space="preserve"> Zdecydowanie prym wiodą </w:t>
      </w:r>
      <w:r w:rsidRPr="00BF6615">
        <w:rPr>
          <w:b/>
        </w:rPr>
        <w:t>czytniki ekranu</w:t>
      </w:r>
      <w:r w:rsidRPr="00BF6615">
        <w:t xml:space="preserve"> – czyli oprogramowanie odczytujące na głos zawartość strony dla osób niewidomych lub słabowidzących. W grupie osób </w:t>
      </w:r>
      <w:r w:rsidR="008B0B0A" w:rsidRPr="00BF6615">
        <w:t>z</w:t>
      </w:r>
      <w:r w:rsidR="008B0B0A">
        <w:t> </w:t>
      </w:r>
      <w:r w:rsidRPr="00BF6615">
        <w:t xml:space="preserve">niepełnosprawnościami prawie połowa spośród korzystających z ułatwień wskazała właśnie czytnik ekranu jako swoje narzędzie. To zrozumiałe, bo bez tego niewidomy użytkownik w ogóle nie skorzystałby z serwisu. Kolejnym często wymienianym ułatwieniem jest </w:t>
      </w:r>
      <w:r w:rsidRPr="00BF6615">
        <w:rPr>
          <w:b/>
        </w:rPr>
        <w:t>powiększanie obrazu</w:t>
      </w:r>
      <w:r w:rsidRPr="00BF6615">
        <w:t xml:space="preserve"> – dotyczy to osób słabowidzących, które powiększają czcionkę lub używają lupy ekranowej, by móc przeczytać treść. Zarówno wśród seniorów, jak i osób </w:t>
      </w:r>
      <w:r w:rsidR="008B0B0A" w:rsidRPr="00BF6615">
        <w:t>z</w:t>
      </w:r>
      <w:r w:rsidR="008B0B0A">
        <w:t> </w:t>
      </w:r>
      <w:r w:rsidRPr="00BF6615">
        <w:t xml:space="preserve">niepełnosprawnościami, sporo osób wspomniało o korzystaniu z funkcji powiększenia tekstu jako pomocnej technologii. </w:t>
      </w:r>
      <w:r w:rsidR="00F77AD3" w:rsidRPr="00BF6615">
        <w:t>D</w:t>
      </w:r>
      <w:r w:rsidRPr="00BF6615">
        <w:t xml:space="preserve">o </w:t>
      </w:r>
      <w:r w:rsidR="00F77AD3" w:rsidRPr="00BF6615">
        <w:t xml:space="preserve">listy używanych </w:t>
      </w:r>
      <w:r w:rsidRPr="00BF6615">
        <w:t xml:space="preserve">technologii wspomagających respondenci </w:t>
      </w:r>
      <w:r w:rsidR="00E01132" w:rsidRPr="00BF6615">
        <w:t>dodali</w:t>
      </w:r>
      <w:r w:rsidRPr="00BF6615">
        <w:t xml:space="preserve"> także </w:t>
      </w:r>
      <w:r w:rsidRPr="00BF6615">
        <w:rPr>
          <w:b/>
        </w:rPr>
        <w:t>zewnętrzn</w:t>
      </w:r>
      <w:r w:rsidR="00F77AD3" w:rsidRPr="00BF6615">
        <w:rPr>
          <w:b/>
        </w:rPr>
        <w:t>e</w:t>
      </w:r>
      <w:r w:rsidRPr="00BF6615">
        <w:rPr>
          <w:b/>
        </w:rPr>
        <w:t xml:space="preserve"> klawiatury</w:t>
      </w:r>
      <w:r w:rsidRPr="00BF6615">
        <w:t xml:space="preserve">. </w:t>
      </w:r>
      <w:r w:rsidRPr="00BF6615">
        <w:rPr>
          <w:b/>
        </w:rPr>
        <w:t xml:space="preserve">Tłumaczenia </w:t>
      </w:r>
      <w:r w:rsidR="00C66A0A" w:rsidRPr="00BF6615">
        <w:rPr>
          <w:b/>
        </w:rPr>
        <w:t>PJM</w:t>
      </w:r>
      <w:r w:rsidRPr="00BF6615">
        <w:rPr>
          <w:b/>
        </w:rPr>
        <w:t xml:space="preserve"> online</w:t>
      </w:r>
      <w:r w:rsidRPr="00BF6615">
        <w:t xml:space="preserve"> –to kolejne narzędzie, z którego </w:t>
      </w:r>
      <w:r w:rsidRPr="00BF6615">
        <w:lastRenderedPageBreak/>
        <w:t>korzysta</w:t>
      </w:r>
      <w:r w:rsidR="00C64A34" w:rsidRPr="00BF6615">
        <w:t>ją badani w grupie osób z niepełnosprawnościami</w:t>
      </w:r>
      <w:r w:rsidRPr="00BF6615">
        <w:t xml:space="preserve">. </w:t>
      </w:r>
      <w:r w:rsidR="004E0CC2" w:rsidRPr="00BF6615">
        <w:t>Dodatkowo z</w:t>
      </w:r>
      <w:r w:rsidRPr="00BF6615">
        <w:t xml:space="preserve">arówno wśród seniorów, jak i osób z niepełnosprawnościami pojawiły się wskazania, że </w:t>
      </w:r>
      <w:r w:rsidR="004E0CC2" w:rsidRPr="00BF6615">
        <w:t>osoby</w:t>
      </w:r>
      <w:r w:rsidRPr="00BF6615">
        <w:t xml:space="preserve"> używają np. Google </w:t>
      </w:r>
      <w:proofErr w:type="spellStart"/>
      <w:r w:rsidRPr="00BF6615">
        <w:t>Translate</w:t>
      </w:r>
      <w:proofErr w:type="spellEnd"/>
      <w:r w:rsidRPr="00BF6615">
        <w:t xml:space="preserve"> do przetłumaczenia niezrozumiałego tekstu na bardziej przystępny (może dotyczyć to np. osób starszych, którym łatwiej zrozumieć tekst przeredagowany maszynowo, lub osób z dysleksją korzystających z takich ułatwień). Wreszcie, pewna część respondentów (głównie w grupie z niepełnosprawnościami) używa </w:t>
      </w:r>
      <w:r w:rsidRPr="00BF6615">
        <w:rPr>
          <w:b/>
        </w:rPr>
        <w:t>oprogramowania do rozpoznawania mowy</w:t>
      </w:r>
      <w:r w:rsidRPr="00BF6615">
        <w:t xml:space="preserve">. Pojawiły się też wzmianki o </w:t>
      </w:r>
      <w:r w:rsidRPr="00BF6615">
        <w:rPr>
          <w:b/>
        </w:rPr>
        <w:t>programach zmieniających kontrast i kolory</w:t>
      </w:r>
      <w:r w:rsidRPr="00BF6615">
        <w:t xml:space="preserve"> (dla osób </w:t>
      </w:r>
      <w:r w:rsidR="008B0B0A" w:rsidRPr="00BF6615">
        <w:t>z</w:t>
      </w:r>
      <w:r w:rsidR="008B0B0A">
        <w:t> </w:t>
      </w:r>
      <w:r w:rsidRPr="00BF6615">
        <w:t>problemami wzroku, wrażliwych na kolory czy daltoni</w:t>
      </w:r>
      <w:r w:rsidR="00305D11" w:rsidRPr="00BF6615">
        <w:t>st</w:t>
      </w:r>
      <w:r w:rsidRPr="00BF6615">
        <w:t>ów)</w:t>
      </w:r>
      <w:r w:rsidR="00305D11" w:rsidRPr="00BF6615">
        <w:t>.</w:t>
      </w:r>
    </w:p>
    <w:p w14:paraId="13FBA069" w14:textId="3B2335DC" w:rsidR="00C8508E" w:rsidRPr="00BF6615" w:rsidRDefault="00C8508E" w:rsidP="007E26B5">
      <w:r w:rsidRPr="00BF6615">
        <w:t xml:space="preserve">Z powyższego rysuje się </w:t>
      </w:r>
      <w:r w:rsidR="00305D11" w:rsidRPr="00BF6615">
        <w:t xml:space="preserve">następujący </w:t>
      </w:r>
      <w:r w:rsidRPr="00BF6615">
        <w:t xml:space="preserve">obraz: </w:t>
      </w:r>
      <w:r w:rsidRPr="00BF6615">
        <w:rPr>
          <w:b/>
        </w:rPr>
        <w:t>osoby z niepełnosprawnościami często muszą wspierać się dodatkowymi narzędziami</w:t>
      </w:r>
      <w:r w:rsidRPr="00BF6615">
        <w:t xml:space="preserve">, co jest zrozumiałe, bo ich </w:t>
      </w:r>
      <w:r w:rsidR="009B2CAE" w:rsidRPr="00BF6615">
        <w:rPr>
          <w:b/>
        </w:rPr>
        <w:t>szczególne</w:t>
      </w:r>
      <w:r w:rsidRPr="00BF6615">
        <w:rPr>
          <w:b/>
        </w:rPr>
        <w:t xml:space="preserve"> potrzeby wymuszają specjalne rozwiązania</w:t>
      </w:r>
      <w:r w:rsidRPr="00BF6615">
        <w:t xml:space="preserve">. Natomiast dla reszty użytkowników </w:t>
      </w:r>
      <w:r w:rsidRPr="00BF6615">
        <w:rPr>
          <w:b/>
        </w:rPr>
        <w:t>serwisy są w miarę dostępne</w:t>
      </w:r>
      <w:r w:rsidRPr="00BF6615">
        <w:t xml:space="preserve">, bez konieczności </w:t>
      </w:r>
      <w:r w:rsidR="009B2CAE" w:rsidRPr="00BF6615">
        <w:t xml:space="preserve">używania </w:t>
      </w:r>
      <w:r w:rsidRPr="00BF6615">
        <w:t>dodatkowych technologii – co jednak nie znaczy, że wszystko jest idealnie. Wszak spora grupa osób np. powiększa tekst – c</w:t>
      </w:r>
      <w:r w:rsidR="006C55DB" w:rsidRPr="00BF6615">
        <w:t>zeg</w:t>
      </w:r>
      <w:r w:rsidRPr="00BF6615">
        <w:t xml:space="preserve">o mogłaby nie robić, gdyby strony oferowały większą czcionkę domyślnie lub tryb wysokiego kontrastu. Można więc powiedzieć, że </w:t>
      </w:r>
      <w:r w:rsidRPr="00BF6615">
        <w:rPr>
          <w:b/>
        </w:rPr>
        <w:t>ułatwienia wbudowane w strony mogłyby zastąpić część technologii</w:t>
      </w:r>
      <w:r w:rsidR="005075D1" w:rsidRPr="00BF6615">
        <w:t xml:space="preserve"> </w:t>
      </w:r>
      <w:r w:rsidR="002D2F61" w:rsidRPr="00BF6615">
        <w:t xml:space="preserve"> </w:t>
      </w:r>
      <w:r w:rsidRPr="00BF6615">
        <w:t>jeśli strona ma swój przełącznik dużej czcionki czy tryb nocny, użytkownik nie musi instalować własnego dodatku.</w:t>
      </w:r>
    </w:p>
    <w:p w14:paraId="3745862E" w14:textId="22E99B78" w:rsidR="00C8508E" w:rsidRPr="00BF6615" w:rsidRDefault="00C8508E" w:rsidP="007E26B5">
      <w:r w:rsidRPr="00BF6615">
        <w:t xml:space="preserve">Interesujące jest też spojrzenie na tych, którzy nie używają technologii asystujących – zapytani, </w:t>
      </w:r>
      <w:r w:rsidRPr="00BF6615">
        <w:rPr>
          <w:b/>
        </w:rPr>
        <w:t>dlaczego nie korzystają</w:t>
      </w:r>
      <w:r w:rsidRPr="00BF6615">
        <w:t>, często odpowiadali po prostu, że nie mają takiej potrzeby. Dla wielu seniorów np. wystarcza powiększenie w przeglądarce, co nie jest przez nich postrzegane jako „technologia wspomagająca”, tylko zwykła funkcja. Młodsi z kolei zazwyczaj nie mają żadnych barier, więc nie szukają dodatkowych rozwiązań.</w:t>
      </w:r>
    </w:p>
    <w:p w14:paraId="66AC8518" w14:textId="5EACEEB5" w:rsidR="00383437" w:rsidRPr="00BF6615" w:rsidRDefault="00C8508E" w:rsidP="007E26B5">
      <w:r w:rsidRPr="00BF6615">
        <w:t xml:space="preserve">Ogólnie rzecz biorąc, </w:t>
      </w:r>
      <w:r w:rsidRPr="00BF6615">
        <w:rPr>
          <w:b/>
        </w:rPr>
        <w:t>ponad 80% ogółu badanych radzi sobie bez technologii wspomagających</w:t>
      </w:r>
      <w:r w:rsidRPr="00BF6615">
        <w:t xml:space="preserve">. Ci, którzy ich potrzebują, najczęściej już je mają i stosują – i to od ich stosowania zależy, czy </w:t>
      </w:r>
      <w:r w:rsidR="008B0B0A" w:rsidRPr="00BF6615">
        <w:t>w</w:t>
      </w:r>
      <w:r w:rsidR="008B0B0A">
        <w:t> </w:t>
      </w:r>
      <w:r w:rsidRPr="00BF6615">
        <w:t xml:space="preserve">ogóle mogą obsłużyć stronę </w:t>
      </w:r>
      <w:r w:rsidR="00FD0C3E" w:rsidRPr="00BF6615">
        <w:t xml:space="preserve">lub aplikację </w:t>
      </w:r>
      <w:r w:rsidRPr="00BF6615">
        <w:t xml:space="preserve">publiczną. Można zatem wnioskować, </w:t>
      </w:r>
      <w:r w:rsidR="008B0B0A" w:rsidRPr="00BF6615">
        <w:t>że</w:t>
      </w:r>
      <w:r w:rsidR="008B0B0A">
        <w:t> </w:t>
      </w:r>
      <w:r w:rsidRPr="00BF6615">
        <w:rPr>
          <w:b/>
        </w:rPr>
        <w:t>zapewnienie kompatybilności serwisów z czytnikami ekranu czy programami do rozpoznawania mowy jest absolutnie krytyczne</w:t>
      </w:r>
      <w:r w:rsidRPr="00BF6615">
        <w:t xml:space="preserve">, bo inaczej </w:t>
      </w:r>
      <w:r w:rsidR="0068573E" w:rsidRPr="00BF6615">
        <w:t xml:space="preserve">około </w:t>
      </w:r>
      <w:r w:rsidRPr="00BF6615">
        <w:t>20% użytkowników (</w:t>
      </w:r>
      <w:r w:rsidR="008B0B0A" w:rsidRPr="00BF6615">
        <w:t>w</w:t>
      </w:r>
      <w:r w:rsidR="008B0B0A">
        <w:t> </w:t>
      </w:r>
      <w:r w:rsidRPr="00BF6615">
        <w:t xml:space="preserve">populacji osób z niepełnosprawnościami jeszcze więcej) będzie kompletnie wykluczone </w:t>
      </w:r>
      <w:r w:rsidR="008B0B0A" w:rsidRPr="00BF6615">
        <w:t>z</w:t>
      </w:r>
      <w:r w:rsidR="008B0B0A">
        <w:t> </w:t>
      </w:r>
      <w:r w:rsidRPr="00BF6615">
        <w:t xml:space="preserve">cyfrowej administracji. Wypowiedzi respondentów z niepełnosprawnościami potwierdzają ten wniosek: gdy </w:t>
      </w:r>
      <w:r w:rsidRPr="00BF6615">
        <w:rPr>
          <w:b/>
        </w:rPr>
        <w:t>strona nie działa z ich technologią (np. czytnikiem)</w:t>
      </w:r>
      <w:r w:rsidRPr="00BF6615">
        <w:t xml:space="preserve">, staje się dla nich bezużyteczna, co zmusza ich do rezygnacji z e-usługi i szukania pomocy gdzie indziej. Na szczęście wielu badanych z tej grupy zaznaczyło, że obecnie udaje im się znaleźć to, czego potrzebują, przy użyciu swoich narzędzi – co wskazuje, że </w:t>
      </w:r>
      <w:r w:rsidRPr="00BF6615">
        <w:rPr>
          <w:b/>
        </w:rPr>
        <w:t>polskie e-usługi zaczynają być dla nich osiągalne</w:t>
      </w:r>
      <w:r w:rsidRPr="00BF6615">
        <w:t>, choć często nie bez dodatkowego wsparcia technicznego z ich strony</w:t>
      </w:r>
      <w:r w:rsidR="00372704" w:rsidRPr="00BF6615">
        <w:t xml:space="preserve"> czy pomocy innej osoby</w:t>
      </w:r>
      <w:r w:rsidRPr="00BF6615">
        <w:t>.</w:t>
      </w:r>
    </w:p>
    <w:p w14:paraId="1273957E" w14:textId="439B9602" w:rsidR="00C8508E" w:rsidRPr="001C11F9" w:rsidRDefault="00C8508E" w:rsidP="00B271C3">
      <w:pPr>
        <w:pStyle w:val="Nagwek4"/>
      </w:pPr>
      <w:r w:rsidRPr="001C11F9">
        <w:lastRenderedPageBreak/>
        <w:t>Trudności w obsłudze stron i aplikacji oraz sposoby poszukiwania rozwiązań</w:t>
      </w:r>
    </w:p>
    <w:p w14:paraId="773AC828" w14:textId="2B4E8A45" w:rsidR="00C8508E" w:rsidRPr="00BF6615" w:rsidRDefault="00C8508E" w:rsidP="007E26B5">
      <w:r w:rsidRPr="00BF6615">
        <w:t xml:space="preserve">Nawet najlepiej zaprojektowane serwisy mogą sprawiać użytkownikom problemy – szczególnie jeśli ci użytkownicy mają zróżnicowane umiejętności i potrzeby. </w:t>
      </w:r>
      <w:r w:rsidR="00CE0613" w:rsidRPr="00BF6615">
        <w:t>B</w:t>
      </w:r>
      <w:r w:rsidRPr="00BF6615">
        <w:t xml:space="preserve">adanie ujawniło, że </w:t>
      </w:r>
      <w:r w:rsidRPr="00BF6615">
        <w:rPr>
          <w:b/>
        </w:rPr>
        <w:t>większość osób przynajmniej raz napotkała trudność</w:t>
      </w:r>
      <w:r w:rsidRPr="00BF6615">
        <w:t xml:space="preserve"> podczas korzystania ze strony lub aplikacji publicznej. Co znamienne, </w:t>
      </w:r>
      <w:r w:rsidRPr="00BF6615">
        <w:rPr>
          <w:b/>
        </w:rPr>
        <w:t>tylko nieliczni użytkownicy deklarują całkowity brak problemów</w:t>
      </w:r>
      <w:r w:rsidRPr="00BF6615">
        <w:t xml:space="preserve">. </w:t>
      </w:r>
      <w:r w:rsidR="008B0B0A" w:rsidRPr="00BF6615">
        <w:t>W</w:t>
      </w:r>
      <w:r w:rsidR="008B0B0A">
        <w:t> </w:t>
      </w:r>
      <w:r w:rsidRPr="00BF6615">
        <w:t xml:space="preserve">grupie ogółem jedynie około 15% stwierdziło, że „nigdy nie miało problemów” z obsługą stron czy aplikacji. Oznacza to, że </w:t>
      </w:r>
      <w:r w:rsidRPr="00BF6615">
        <w:rPr>
          <w:b/>
        </w:rPr>
        <w:t>85% użytkowników jednak na jakieś bariery trafia</w:t>
      </w:r>
      <w:r w:rsidRPr="00BF6615">
        <w:t xml:space="preserve"> – być może drobne, lecz zauważalne. Odsetek </w:t>
      </w:r>
      <w:r w:rsidRPr="00BF6615">
        <w:rPr>
          <w:b/>
        </w:rPr>
        <w:t>bezproblemowych doświadczeń</w:t>
      </w:r>
      <w:r w:rsidRPr="00BF6615">
        <w:t xml:space="preserve"> był nieco wyższy wśród obywateli 18–59 (tam więcej osób czuło się w pełni swobodnie), a najniższy w grupie osób z niepełnosprawnościami, gdzie tylko co dziesiąty respondent powiedział, że </w:t>
      </w:r>
      <w:r w:rsidRPr="00BF6615">
        <w:rPr>
          <w:b/>
        </w:rPr>
        <w:t>nie ma żadnych trudności</w:t>
      </w:r>
      <w:r w:rsidRPr="00BF6615">
        <w:t xml:space="preserve">. Seniorzy plasują się pośrodku – około 13% z nich oceniło, że radzi sobie bez problemów, reszta jednak na coś się natyka. Wynika z tego jasno, że </w:t>
      </w:r>
      <w:r w:rsidRPr="00BF6615">
        <w:rPr>
          <w:b/>
        </w:rPr>
        <w:t xml:space="preserve">problemy w obsłudze </w:t>
      </w:r>
      <w:r w:rsidR="008B0B0A">
        <w:rPr>
          <w:b/>
        </w:rPr>
        <w:br/>
      </w:r>
      <w:r w:rsidRPr="00BF6615">
        <w:rPr>
          <w:b/>
        </w:rPr>
        <w:t>e-usług są powszechne</w:t>
      </w:r>
      <w:r w:rsidRPr="00BF6615">
        <w:t xml:space="preserve">, a szczególnie </w:t>
      </w:r>
      <w:r w:rsidRPr="00BF6615">
        <w:rPr>
          <w:b/>
        </w:rPr>
        <w:t>osoby starsze i z niepełnosprawnościami częściej je zgłaszają</w:t>
      </w:r>
      <w:r w:rsidRPr="00BF6615">
        <w:t xml:space="preserve"> (co spójne jest z tym, że te grupy mają ogólnie niższe kompetencje rozwiązywania problemów cyfrowych </w:t>
      </w:r>
      <w:r w:rsidR="0036542A" w:rsidRPr="00BF6615">
        <w:t xml:space="preserve">np. </w:t>
      </w:r>
      <w:r w:rsidRPr="00BF6615">
        <w:t>według badań GUS).</w:t>
      </w:r>
    </w:p>
    <w:p w14:paraId="251D9384" w14:textId="7F1B3DD9" w:rsidR="00C8508E" w:rsidRPr="00BF6615" w:rsidRDefault="00C8508E" w:rsidP="007E26B5">
      <w:r w:rsidRPr="00BF6615">
        <w:t xml:space="preserve">Jakie to problemy? Respondenci w opisach wspominali o różnych kwestiach: </w:t>
      </w:r>
      <w:r w:rsidRPr="00BF6615">
        <w:rPr>
          <w:b/>
        </w:rPr>
        <w:t>błędy techniczne serwisów</w:t>
      </w:r>
      <w:r w:rsidRPr="00BF6615">
        <w:t xml:space="preserve"> (awarie, nieładowanie się stron, problemy z logowaniem), </w:t>
      </w:r>
      <w:r w:rsidRPr="00BF6615">
        <w:rPr>
          <w:b/>
        </w:rPr>
        <w:t>zagubienie w strukturze strony</w:t>
      </w:r>
      <w:r w:rsidRPr="00BF6615">
        <w:t xml:space="preserve"> (nie mogli znaleźć potrzebnej informacji), </w:t>
      </w:r>
      <w:r w:rsidRPr="00BF6615">
        <w:rPr>
          <w:b/>
        </w:rPr>
        <w:t>niejasne komunikaty</w:t>
      </w:r>
      <w:r w:rsidRPr="00BF6615">
        <w:t xml:space="preserve"> (np. niezrozumiałe instrukcje urzędowe lub brak informacji zwrotnej po wysłaniu formularza), a także </w:t>
      </w:r>
      <w:r w:rsidRPr="00BF6615">
        <w:rPr>
          <w:b/>
        </w:rPr>
        <w:t>braki dostępności</w:t>
      </w:r>
      <w:r w:rsidRPr="00BF6615">
        <w:t xml:space="preserve"> (to dotyczy głównie osób z niepełnosprawnościami – np. strony niekompatybilne </w:t>
      </w:r>
      <w:r w:rsidR="008B0B0A" w:rsidRPr="00BF6615">
        <w:t>z</w:t>
      </w:r>
      <w:r w:rsidR="008B0B0A">
        <w:t> </w:t>
      </w:r>
      <w:r w:rsidRPr="00BF6615">
        <w:t xml:space="preserve">ich czytnikiem, brak napisów do filmów). Seniorzy dodatkowo jako problem wskazywali np. </w:t>
      </w:r>
      <w:r w:rsidRPr="00BF6615">
        <w:rPr>
          <w:b/>
        </w:rPr>
        <w:t>częste zmiany wyglądu stron</w:t>
      </w:r>
      <w:r w:rsidRPr="00BF6615">
        <w:t xml:space="preserve"> – co dla nich jest kłopotem, bo gdy już się </w:t>
      </w:r>
      <w:r w:rsidR="009E6087" w:rsidRPr="00BF6615">
        <w:t xml:space="preserve">jej </w:t>
      </w:r>
      <w:r w:rsidRPr="00BF6615">
        <w:t xml:space="preserve">nauczą, a strona zostanie przebudowana, to znów czują się niepewnie. Z kolei młodsi raczej technicznych problemów doświadczali rzadko, dla nich trudnością bywała np. </w:t>
      </w:r>
      <w:r w:rsidRPr="00BF6615">
        <w:rPr>
          <w:b/>
        </w:rPr>
        <w:t>konieczność przechodzenia przez zbyt wiele etapów</w:t>
      </w:r>
      <w:r w:rsidRPr="00BF6615">
        <w:t xml:space="preserve"> (żmudne procesy) albo brak integracji (kilka różnych kont, haseł do zapamiętania itp.).</w:t>
      </w:r>
    </w:p>
    <w:p w14:paraId="7AB0FD40" w14:textId="264BB1D5" w:rsidR="00C8508E" w:rsidRPr="00BF6615" w:rsidRDefault="00C8508E" w:rsidP="007E26B5">
      <w:r w:rsidRPr="00BF6615">
        <w:rPr>
          <w:b/>
        </w:rPr>
        <w:t>Sposoby radzenia sobie z trudnościami</w:t>
      </w:r>
      <w:r w:rsidRPr="00BF6615">
        <w:t xml:space="preserve"> okazały się dość podobne w przekroju wszystkich grup, z drobnymi różnicami akcentów. </w:t>
      </w:r>
      <w:r w:rsidRPr="00BF6615">
        <w:rPr>
          <w:b/>
        </w:rPr>
        <w:t>Najczęstszą strategią jest samodzielne próbowanie rozwiązania problemu</w:t>
      </w:r>
      <w:r w:rsidRPr="00BF6615">
        <w:t xml:space="preserve"> – większość użytkowników, gdy napotka kłopot na stronie czy </w:t>
      </w:r>
      <w:r w:rsidR="008B0B0A" w:rsidRPr="00BF6615">
        <w:t>w</w:t>
      </w:r>
      <w:r w:rsidR="008B0B0A">
        <w:t> </w:t>
      </w:r>
      <w:r w:rsidRPr="00BF6615">
        <w:t xml:space="preserve">aplikacji, zaczyna </w:t>
      </w:r>
      <w:r w:rsidR="00DF461F" w:rsidRPr="00BF6615">
        <w:t>szukać rozwiązania</w:t>
      </w:r>
      <w:r w:rsidRPr="00BF6615">
        <w:t xml:space="preserve"> na własną rękę. Ponad 40% ogółu badanych wskazało, że </w:t>
      </w:r>
      <w:r w:rsidRPr="00BF6615">
        <w:rPr>
          <w:b/>
        </w:rPr>
        <w:t>rozwiązuje problemy samemu</w:t>
      </w:r>
      <w:r w:rsidRPr="00BF6615">
        <w:t xml:space="preserve">, metodą prób i błędów. Co ciekawe, młodsi użytkownicy </w:t>
      </w:r>
      <w:r w:rsidR="008B0B0A" w:rsidRPr="00BF6615">
        <w:t>i</w:t>
      </w:r>
      <w:r w:rsidR="008B0B0A">
        <w:t> </w:t>
      </w:r>
      <w:r w:rsidRPr="00BF6615">
        <w:t xml:space="preserve">seniorzy deklarowali to nawet częściej (np. w grupie 60+ aż 45% wskazań na samodzielne radzenie sobie), podczas gdy wśród osób z niepełnosprawnościami odsetek ten był trochę niższy (około 36%). Może to wynikać z faktu, że niektóre osoby z niepełnosprawnościami </w:t>
      </w:r>
      <w:r w:rsidRPr="00BF6615">
        <w:rPr>
          <w:b/>
        </w:rPr>
        <w:t>nie mają fizycznej możliwości samodzielnie rozwiązać pewnych problemów</w:t>
      </w:r>
      <w:r w:rsidRPr="00BF6615">
        <w:t xml:space="preserve"> (np. </w:t>
      </w:r>
      <w:r w:rsidR="00840B5C" w:rsidRPr="00BF6615">
        <w:t xml:space="preserve">osoba </w:t>
      </w:r>
      <w:r w:rsidRPr="00BF6615">
        <w:t>niewidom</w:t>
      </w:r>
      <w:r w:rsidR="00840B5C" w:rsidRPr="00BF6615">
        <w:t>a</w:t>
      </w:r>
      <w:r w:rsidRPr="00BF6615">
        <w:t xml:space="preserve"> nie “obejdzie” problemu</w:t>
      </w:r>
      <w:r w:rsidR="00840B5C" w:rsidRPr="00BF6615">
        <w:t xml:space="preserve">, jeśli </w:t>
      </w:r>
      <w:r w:rsidR="00C574F8" w:rsidRPr="00BF6615">
        <w:t>obraz nie ma tekstu alternatywnego</w:t>
      </w:r>
      <w:r w:rsidRPr="00BF6615">
        <w:t>) i szybciej muszą posiłkować się pomocą innych.</w:t>
      </w:r>
    </w:p>
    <w:p w14:paraId="72F07955" w14:textId="01F6EDE3" w:rsidR="00C8508E" w:rsidRPr="00BF6615" w:rsidRDefault="00C8508E" w:rsidP="007E26B5">
      <w:r w:rsidRPr="00BF6615">
        <w:lastRenderedPageBreak/>
        <w:t xml:space="preserve">Na drugim miejscu plasuje się </w:t>
      </w:r>
      <w:r w:rsidRPr="00BF6615">
        <w:rPr>
          <w:b/>
        </w:rPr>
        <w:t>szukanie pomocy u rodziny lub znajomych</w:t>
      </w:r>
      <w:r w:rsidRPr="00BF6615">
        <w:t xml:space="preserve">. Zwłaszcza seniorzy często </w:t>
      </w:r>
      <w:r w:rsidRPr="00BF6615">
        <w:rPr>
          <w:b/>
        </w:rPr>
        <w:t>proszą kogoś bliskiego o pomoc</w:t>
      </w:r>
      <w:r w:rsidRPr="00BF6615">
        <w:t xml:space="preserve">, gdy utkną na jakimś etapie. W grupie 60+ ponad jedna piąta badanych stwierdziła, że korzysta z wsparcia krewnych/znajomych przy problemach. Osoby z niepełnosprawnościami również dość często polegają na otoczeniu – około 20% z nich zwraca się do rodziny lub przyjaciół w razie trudności. Młodsi dorośli też nie stronią od porad </w:t>
      </w:r>
      <w:r w:rsidR="003517C1" w:rsidRPr="00BF6615">
        <w:t>innych</w:t>
      </w:r>
      <w:r w:rsidRPr="00BF6615">
        <w:t xml:space="preserve">, choć w ich przypadku odsetek ten jest nieco niższy (poniżej 20%). Tak czy inaczej, </w:t>
      </w:r>
      <w:r w:rsidRPr="00BF6615">
        <w:rPr>
          <w:b/>
        </w:rPr>
        <w:t>rola „domowego wsparcia technicznego”</w:t>
      </w:r>
      <w:r w:rsidRPr="00BF6615">
        <w:t xml:space="preserve"> jest istotna. Zwłaszcza seniorzy często wspominali, że „jak coś nie działa, to proszę wnuczka/córkę”, co jest naturalnym mechanizmem wyrównywania braków kompetencji.</w:t>
      </w:r>
    </w:p>
    <w:p w14:paraId="0E6BA01A" w14:textId="1CB8594F" w:rsidR="00C8508E" w:rsidRPr="00BF6615" w:rsidRDefault="00C8508E" w:rsidP="007E26B5">
      <w:r w:rsidRPr="00BF6615">
        <w:t xml:space="preserve">Kolejnym źródłem pomocy jest </w:t>
      </w:r>
      <w:r w:rsidRPr="00BF6615">
        <w:rPr>
          <w:b/>
        </w:rPr>
        <w:t>oficjalna obsługa klienta danego serwisu</w:t>
      </w:r>
      <w:r w:rsidRPr="00BF6615">
        <w:t xml:space="preserve"> – czyli infolinie, czaty pomocowe lub punkty informacyjne urzędu. Okazuje się, że </w:t>
      </w:r>
      <w:r w:rsidRPr="00BF6615">
        <w:rPr>
          <w:b/>
        </w:rPr>
        <w:t>relatywnie niewielu użytkowników kontaktuje się z pomocą techniczną urzędu</w:t>
      </w:r>
      <w:r w:rsidRPr="00BF6615">
        <w:t xml:space="preserve">, gdy napotka problem, ale pewna grupa to robi. </w:t>
      </w:r>
      <w:r w:rsidR="008B0B0A" w:rsidRPr="00BF6615">
        <w:t>W</w:t>
      </w:r>
      <w:r w:rsidR="008B0B0A">
        <w:t> </w:t>
      </w:r>
      <w:r w:rsidRPr="00BF6615">
        <w:t xml:space="preserve">pełnej próbie około 16% wskazało, że korzysta z pomocy obsługi klienta. W grupie osób </w:t>
      </w:r>
      <w:r w:rsidR="008B0B0A" w:rsidRPr="00BF6615">
        <w:t>z</w:t>
      </w:r>
      <w:r w:rsidR="008B0B0A">
        <w:t> </w:t>
      </w:r>
      <w:r w:rsidRPr="00BF6615">
        <w:t xml:space="preserve">niepełnosprawnościami było to </w:t>
      </w:r>
      <w:r w:rsidR="006C66B1" w:rsidRPr="00BF6615">
        <w:t>nieco</w:t>
      </w:r>
      <w:r w:rsidRPr="00BF6615">
        <w:t xml:space="preserve"> więcej (19%), co sugeruje, że dla nich dedykowane wsparcie bywa bardziej potrzebne. Seniorzy rzadziej korzystają z oficjalnej pomocy (15%) – być może nie wiedzą, gdzie jej szukać, albo wolą od razu załatwić sprawę offline niż </w:t>
      </w:r>
      <w:r w:rsidR="009E4EAE" w:rsidRPr="00BF6615">
        <w:t>d</w:t>
      </w:r>
      <w:r w:rsidRPr="00BF6615">
        <w:t>zw</w:t>
      </w:r>
      <w:r w:rsidR="009E4EAE" w:rsidRPr="00BF6615">
        <w:t>o</w:t>
      </w:r>
      <w:r w:rsidRPr="00BF6615">
        <w:t>nić do helpdesku.</w:t>
      </w:r>
    </w:p>
    <w:p w14:paraId="51E9C06A" w14:textId="51FA0401" w:rsidR="00C8508E" w:rsidRPr="00BF6615" w:rsidRDefault="00C8508E" w:rsidP="007E26B5">
      <w:r w:rsidRPr="00BF6615">
        <w:t xml:space="preserve">Ciekawą, choć mniej wyeksponowaną metodą radzenia sobie z problemami jest </w:t>
      </w:r>
      <w:r w:rsidRPr="00BF6615">
        <w:rPr>
          <w:b/>
        </w:rPr>
        <w:t>poszukiwanie informacji w Internecie</w:t>
      </w:r>
      <w:r w:rsidRPr="00BF6615">
        <w:t xml:space="preserve"> (np. na forach, grupach dyskusyjnych). Zwłaszcza młodsi użytkownicy, zanim poproszą kogokolwiek o pomoc, wpisują komunikat błędu w wyszukiwarkę lub sprawdzają, czy inni mieli podobny problem. W wynikach nie pojawia </w:t>
      </w:r>
      <w:r w:rsidR="00CB315E" w:rsidRPr="00BF6615">
        <w:t xml:space="preserve">się ta kwestia wyrażona </w:t>
      </w:r>
      <w:r w:rsidRPr="00BF6615">
        <w:t xml:space="preserve">jako liczba, ale z wypowiedzi </w:t>
      </w:r>
      <w:r w:rsidR="00CB315E" w:rsidRPr="00BF6615">
        <w:t xml:space="preserve">otwartych </w:t>
      </w:r>
      <w:r w:rsidRPr="00BF6615">
        <w:t xml:space="preserve">wiadomo, że niektórzy </w:t>
      </w:r>
      <w:r w:rsidR="006C08E9" w:rsidRPr="00BF6615">
        <w:t xml:space="preserve">badania </w:t>
      </w:r>
      <w:r w:rsidRPr="00BF6615">
        <w:t>tak robią.</w:t>
      </w:r>
    </w:p>
    <w:p w14:paraId="0F877A7A" w14:textId="6746F547" w:rsidR="00C8508E" w:rsidRPr="00BF6615" w:rsidRDefault="00C8508E" w:rsidP="007E26B5">
      <w:r w:rsidRPr="00BF6615">
        <w:t xml:space="preserve">Generalnie jednak dominują trzy strategie: </w:t>
      </w:r>
      <w:r w:rsidRPr="00BF6615">
        <w:rPr>
          <w:b/>
        </w:rPr>
        <w:t xml:space="preserve">samemu, z pomocą bliskich, lub poprzez kontakt </w:t>
      </w:r>
      <w:r w:rsidR="008B0B0A" w:rsidRPr="00BF6615">
        <w:rPr>
          <w:b/>
        </w:rPr>
        <w:t>z</w:t>
      </w:r>
      <w:r w:rsidR="008B0B0A">
        <w:rPr>
          <w:b/>
        </w:rPr>
        <w:t> </w:t>
      </w:r>
      <w:r w:rsidRPr="00BF6615">
        <w:rPr>
          <w:b/>
        </w:rPr>
        <w:t>urzędem</w:t>
      </w:r>
      <w:r w:rsidRPr="00BF6615">
        <w:t xml:space="preserve">. Rozkład ich wykorzystania różni się od grupy. </w:t>
      </w:r>
      <w:r w:rsidRPr="00BF6615">
        <w:rPr>
          <w:b/>
        </w:rPr>
        <w:t>Osoby z niepełnosprawnościami</w:t>
      </w:r>
      <w:r w:rsidRPr="00BF6615">
        <w:t xml:space="preserve"> trochę rzadziej walczą same, za to ciut częściej niż inni sięgają po wsparcie oficjalne. </w:t>
      </w:r>
      <w:r w:rsidRPr="00BF6615">
        <w:rPr>
          <w:b/>
        </w:rPr>
        <w:t>Seniorzy</w:t>
      </w:r>
      <w:r w:rsidRPr="00BF6615">
        <w:t xml:space="preserve"> chętnie korzystają z pomocy rodziny, ale całkiem sporo z nich także podejmuje własne próby rozwiązania zanim poprosi o pomoc (co przeczy stereotypowi, że od razu się poddają – wielu seniorów próbuje aż do skutku, nim zadzwoni po wnuka). </w:t>
      </w:r>
      <w:r w:rsidRPr="00BF6615">
        <w:rPr>
          <w:b/>
        </w:rPr>
        <w:t>Młodsi dorośli</w:t>
      </w:r>
      <w:r w:rsidRPr="00BF6615">
        <w:t xml:space="preserve"> w największym stopniu działają samodzielnie – wynika to z ich lepszych kompetencji, ale i być może z pewnej niecierpliwości w czekaniu na cudzą pomoc.</w:t>
      </w:r>
    </w:p>
    <w:p w14:paraId="5B72573C" w14:textId="5DC60040" w:rsidR="00C8508E" w:rsidRPr="00BF6615" w:rsidRDefault="00C8508E" w:rsidP="007E26B5">
      <w:r w:rsidRPr="00BF6615">
        <w:t xml:space="preserve">Wszystkie grupy łączy natomiast to, że </w:t>
      </w:r>
      <w:r w:rsidRPr="00BF6615">
        <w:rPr>
          <w:b/>
        </w:rPr>
        <w:t>prawie nikt nie pozostaje zupełnie bezradny</w:t>
      </w:r>
      <w:r w:rsidRPr="00BF6615">
        <w:t xml:space="preserve"> – tylko niewielki ułamek użytkowników zapewne rezygnuje całkiem z załatwienia sprawy po napotkaniu trudności. Większość próbuje innych dróg: np. </w:t>
      </w:r>
      <w:r w:rsidRPr="00BF6615">
        <w:rPr>
          <w:b/>
        </w:rPr>
        <w:t>jeśli e-formularz nie działa, idą osobiście do urzędu</w:t>
      </w:r>
      <w:r w:rsidRPr="00BF6615">
        <w:t xml:space="preserve">. To też jest pewna strategia radzenia – tyle że już poza systemem cyfrowym. W badaniu pojawiały się takie głosy: że jak online sprawa się komplikuje, to ludzie rezygnują z dalszej walki i </w:t>
      </w:r>
      <w:r w:rsidRPr="00BF6615">
        <w:rPr>
          <w:b/>
        </w:rPr>
        <w:t>wracają do tradycyjnej ścieżki</w:t>
      </w:r>
      <w:r w:rsidRPr="00BF6615">
        <w:t xml:space="preserve">. Niestety, w statystykach tego nie </w:t>
      </w:r>
      <w:r w:rsidRPr="00BF6615">
        <w:lastRenderedPageBreak/>
        <w:t>widać bezpośrednio, ale można to wywnioskować z liczby osób, które powiedziały, że wolą jednak załatwiać osobiście – to często wynik poprzednich złych doświadczeń cyfrowych.</w:t>
      </w:r>
    </w:p>
    <w:p w14:paraId="4C898C7C" w14:textId="77777777" w:rsidR="00C8508E" w:rsidRPr="00BF6615" w:rsidRDefault="00C8508E" w:rsidP="007E26B5">
      <w:r w:rsidRPr="00BF6615">
        <w:t xml:space="preserve">Porównując nasze wyniki z danymi GUS dotyczącymi umiejętności rozwiązywania problemów cyfrowych, widać pewną zależność: tam, gdzie GUS wskazuje niski poziom kompetencji (np. tylko ok. 12% osób 65-74 oceniało, że ma ponadpodstawowe umiejętności rozwiązywania problemów), tam u nas więcej osób polega na pomocy innych. Innymi słowy, </w:t>
      </w:r>
      <w:r w:rsidRPr="00BF6615">
        <w:rPr>
          <w:b/>
        </w:rPr>
        <w:t>im starszy lub mniej sprawny użytkownik, tym częściej potrzebuje wsparcia z zewnątrz przy problemach</w:t>
      </w:r>
      <w:r w:rsidRPr="00BF6615">
        <w:t xml:space="preserve"> – co jest intuicyjne. Z kolei młodzi, pewni siebie użytkownicy rzadziej proszą o pomoc, bo ufają swoim zdolnościom lub znajdą informacje w sieci.</w:t>
      </w:r>
    </w:p>
    <w:p w14:paraId="53DF5C45" w14:textId="3A1BB5BE" w:rsidR="00C8508E" w:rsidRPr="00BF6615" w:rsidRDefault="00C8508E" w:rsidP="007E26B5">
      <w:r w:rsidRPr="00BF6615">
        <w:t xml:space="preserve">Z perspektywy dostępności cyfrowej, wyniki te są ważną wskazówką: </w:t>
      </w:r>
      <w:r w:rsidRPr="00BF6615">
        <w:rPr>
          <w:b/>
        </w:rPr>
        <w:t>serwisy powinny być projektowane tak, by minimalizować te punkty potknięcia</w:t>
      </w:r>
      <w:r w:rsidRPr="00BF6615">
        <w:t xml:space="preserve">, bo chociaż ludzie jakoś sobie radzą, to jednak kosztuje ich to czas, stres i często angażuje inne osoby. Dobrze działający e-urząd to taki, gdzie użytkownik nie musi dzwonić do </w:t>
      </w:r>
      <w:r w:rsidR="008F2B5B" w:rsidRPr="00BF6615">
        <w:t>rodziny czy znajomych</w:t>
      </w:r>
      <w:r w:rsidRPr="00BF6615">
        <w:t xml:space="preserve"> ani na infolinię, bo wszystko jest jasne i działa. Na razie jesteśmy w miejscu, gdzie </w:t>
      </w:r>
      <w:r w:rsidRPr="00BF6615">
        <w:rPr>
          <w:b/>
        </w:rPr>
        <w:t>tylko około 1 na 6 użytkowników nie napotyka żadnych kłopotów</w:t>
      </w:r>
      <w:r w:rsidRPr="00BF6615">
        <w:t xml:space="preserve"> – celem powinno być zwiększenie tej liczby.</w:t>
      </w:r>
    </w:p>
    <w:p w14:paraId="3AE39A22" w14:textId="75F5F1ED" w:rsidR="00C8508E" w:rsidRPr="001C11F9" w:rsidRDefault="00C8508E" w:rsidP="00B271C3">
      <w:pPr>
        <w:pStyle w:val="Nagwek4"/>
      </w:pPr>
      <w:r w:rsidRPr="001C11F9">
        <w:t>Deklaracje dostępności</w:t>
      </w:r>
    </w:p>
    <w:p w14:paraId="489CE6BD" w14:textId="35F505F4" w:rsidR="00C8508E" w:rsidRPr="00BF6615" w:rsidRDefault="00C8508E" w:rsidP="007E26B5">
      <w:r w:rsidRPr="00BF6615">
        <w:rPr>
          <w:b/>
        </w:rPr>
        <w:t>Deklaracje dostępności</w:t>
      </w:r>
      <w:r w:rsidRPr="00BF6615">
        <w:t xml:space="preserve"> to wymagane prawem oświadczenia publikowane na stronach podmiotów publicznych, które informują o tym, na ile dana strona lub aplikacja jest dostosowana do potrzeb osób ze szczególnymi potrzebami. Nasze badanie pokazało jednak, że </w:t>
      </w:r>
      <w:r w:rsidRPr="00BF6615">
        <w:rPr>
          <w:b/>
        </w:rPr>
        <w:t>świadomość istnienia takich deklaracji jest wciąż ograniczona</w:t>
      </w:r>
      <w:r w:rsidRPr="00BF6615">
        <w:t xml:space="preserve"> w społeczeństwie. Większość użytkowników – niezależnie od grupy – </w:t>
      </w:r>
      <w:r w:rsidRPr="00BF6615">
        <w:rPr>
          <w:b/>
        </w:rPr>
        <w:t xml:space="preserve">nie wiedziała, że instytucje muszą przygotowywać </w:t>
      </w:r>
      <w:r w:rsidR="008B0B0A" w:rsidRPr="00BF6615">
        <w:rPr>
          <w:b/>
        </w:rPr>
        <w:t>i</w:t>
      </w:r>
      <w:r w:rsidR="008B0B0A">
        <w:rPr>
          <w:b/>
        </w:rPr>
        <w:t> </w:t>
      </w:r>
      <w:r w:rsidRPr="00BF6615">
        <w:rPr>
          <w:b/>
        </w:rPr>
        <w:t>udostępniać deklarację dostępności</w:t>
      </w:r>
      <w:r w:rsidRPr="00BF6615">
        <w:t xml:space="preserve"> na swojej stronie. Najniższą wiedzę wykazali seniorzy 60+: niemal dwie trzecie z nich nigdy nie słyszało o deklaracjach. W grupie obywateli 18–59 sytuacja była podobna – około 60% nie zdawało sobie sprawy z takiego obowiązku ustawowego. </w:t>
      </w:r>
      <w:r w:rsidR="00F04A99" w:rsidRPr="00BF6615">
        <w:t>Nieco</w:t>
      </w:r>
      <w:r w:rsidRPr="00BF6615">
        <w:t xml:space="preserve"> lepiej pod tym względem wypada grupa osób z niepełnosprawnościami: tu odsetek świadomych był największy, choć nadal ponad połowa (57%) nie miała tej wiedzy. Można przypuszczać, że wśród osób z niepełnosprawnościami jest większa świadomość praw dostępności, bo temat bardziej ich dotyczy. Mimo to i tak prawie 6 na 10 z nich nie wiedziało </w:t>
      </w:r>
      <w:r w:rsidR="008B0B0A" w:rsidRPr="00BF6615">
        <w:t>o</w:t>
      </w:r>
      <w:r w:rsidR="008B0B0A">
        <w:t> </w:t>
      </w:r>
      <w:r w:rsidRPr="00BF6615">
        <w:t xml:space="preserve">deklaracjach, co pokazuje, że </w:t>
      </w:r>
      <w:r w:rsidRPr="00BF6615">
        <w:rPr>
          <w:b/>
        </w:rPr>
        <w:t>promocja i informacja o tych deklaracjach w przestrzeni publicznej są raczej słabe</w:t>
      </w:r>
      <w:r w:rsidRPr="00BF6615">
        <w:t>.</w:t>
      </w:r>
    </w:p>
    <w:p w14:paraId="464CB913" w14:textId="13F22B4C" w:rsidR="00C8508E" w:rsidRPr="00BF6615" w:rsidRDefault="00C8508E" w:rsidP="007E26B5">
      <w:r w:rsidRPr="00BF6615">
        <w:t xml:space="preserve">Jeszcze mniej osób niż wiedzę, ma </w:t>
      </w:r>
      <w:r w:rsidRPr="00BF6615">
        <w:rPr>
          <w:b/>
        </w:rPr>
        <w:t>doświadczenie praktyczne z deklaracjami dostępności</w:t>
      </w:r>
      <w:r w:rsidRPr="00BF6615">
        <w:t xml:space="preserve">. Spośród tych, którzy w ogóle słyszeli o deklaracjach, tylko pewna część kiedykolwiek taką deklarację przeczytała lub skorzystała z niej. W grupie obywateli 18–59 okazało się, że </w:t>
      </w:r>
      <w:r w:rsidRPr="00BF6615">
        <w:rPr>
          <w:b/>
        </w:rPr>
        <w:t>tylko jedna trzecia osób świadomych istnienia deklaracji faktycznie kiedykolwiek do niej zajrzała</w:t>
      </w:r>
      <w:r w:rsidRPr="00BF6615">
        <w:t xml:space="preserve">. Podobnie niski odsetek użytkowników deklaracji zaobserwowaliśmy u seniorów – oni co prawda rzadziej wiedzieli o deklaracjach, ale jeśli już wiedzieli, to nieco ponad dwie trzecie z nich </w:t>
      </w:r>
      <w:r w:rsidRPr="00BF6615">
        <w:lastRenderedPageBreak/>
        <w:t>deklaracje przeglądało (w liczbach bezwzględnych to nadal mała grupa</w:t>
      </w:r>
      <w:r w:rsidR="003A455E" w:rsidRPr="00BF6615">
        <w:t>)</w:t>
      </w:r>
      <w:r w:rsidRPr="00BF6615">
        <w:t xml:space="preserve">. Najczęściej </w:t>
      </w:r>
      <w:r w:rsidR="008B0B0A" w:rsidRPr="00BF6615">
        <w:t>z</w:t>
      </w:r>
      <w:r w:rsidR="008B0B0A">
        <w:t> </w:t>
      </w:r>
      <w:r w:rsidRPr="00BF6615">
        <w:t xml:space="preserve">deklaracjami stykają się osoby z niepełnosprawnościami – spośród tych, które wiedziały o ich istnieniu, połowa zadeklarowała, że </w:t>
      </w:r>
      <w:r w:rsidRPr="00BF6615">
        <w:rPr>
          <w:b/>
        </w:rPr>
        <w:t>korzystała z nich przynajmniej raz</w:t>
      </w:r>
      <w:r w:rsidRPr="00BF6615">
        <w:t xml:space="preserve">. To zrozumiałe, bo to właśnie ta grupa ma realny powód, by do deklaracji zaglądać (np. chcą sprawdzić, czy strona będzie dla nich </w:t>
      </w:r>
      <w:proofErr w:type="spellStart"/>
      <w:r w:rsidRPr="00BF6615">
        <w:t>obsługiwalna</w:t>
      </w:r>
      <w:proofErr w:type="spellEnd"/>
      <w:r w:rsidRPr="00BF6615">
        <w:t xml:space="preserve">, albo szukają kontaktu do koordynatora dostępności). Niemniej jednak, nawet w grupie osób z niepełnosprawnościami </w:t>
      </w:r>
      <w:r w:rsidRPr="00BF6615">
        <w:rPr>
          <w:b/>
        </w:rPr>
        <w:t>połowa świadomych nigdy deklaracji nie czytała</w:t>
      </w:r>
      <w:r w:rsidRPr="00BF6615">
        <w:t>, być może dlatego, że nie czuli potrzeby lub nie wierzą, że coś wartościowego tam znajdą.</w:t>
      </w:r>
    </w:p>
    <w:p w14:paraId="0864F4A2" w14:textId="7A5DD134" w:rsidR="00C8508E" w:rsidRPr="00BF6615" w:rsidRDefault="00C8508E" w:rsidP="007E26B5">
      <w:r w:rsidRPr="00BF6615">
        <w:t xml:space="preserve">Ci badani, którzy </w:t>
      </w:r>
      <w:r w:rsidRPr="00BF6615">
        <w:rPr>
          <w:b/>
        </w:rPr>
        <w:t>mieli do czynienia z deklaracjami dostępności</w:t>
      </w:r>
      <w:r w:rsidRPr="00BF6615">
        <w:t xml:space="preserve">, ocenili swoje doświadczenia </w:t>
      </w:r>
      <w:r w:rsidR="008B0B0A" w:rsidRPr="00BF6615">
        <w:t>z</w:t>
      </w:r>
      <w:r w:rsidR="008B0B0A">
        <w:t> </w:t>
      </w:r>
      <w:r w:rsidRPr="00BF6615">
        <w:t xml:space="preserve">nimi przeważnie pozytywnie lub neutralnie. Bardzo mało osób zgłosiło negatywną ocenę deklaracji – w całej próbie dosłownie pojedyncze osoby stwierdziły, że deklaracja ich rozczarowała. Znacznie częściej pojawiało się stwierdzenie, że </w:t>
      </w:r>
      <w:r w:rsidRPr="00BF6615">
        <w:rPr>
          <w:b/>
        </w:rPr>
        <w:t>„deklaracje spełniają oczekiwania”</w:t>
      </w:r>
      <w:r w:rsidRPr="00BF6615">
        <w:t xml:space="preserve"> lub że nie mieli z nimi problemu. Szczególnie w grupie osób z niepełnosprawnościami aż 68% tych, co skorzystali z deklaracji, oceniło swoje doświadczenie jako pozytywne. To dobry sygnał – sugeruje, że jeśli już użytkownik dotrze do deklaracji, </w:t>
      </w:r>
      <w:r w:rsidR="008B0B0A" w:rsidRPr="00BF6615">
        <w:t>to</w:t>
      </w:r>
      <w:r w:rsidR="008B0B0A">
        <w:t> </w:t>
      </w:r>
      <w:r w:rsidRPr="00BF6615">
        <w:t xml:space="preserve">raczej znajduje tam to, czego potrzebuje, lub przynajmniej nie napotyka dodatkowych trudności. Seniorzy i obywatele młodsi częściej mówili, że </w:t>
      </w:r>
      <w:r w:rsidRPr="00BF6615">
        <w:rPr>
          <w:b/>
        </w:rPr>
        <w:t>ich odczucia są neutralne</w:t>
      </w:r>
      <w:r w:rsidRPr="00BF6615">
        <w:t xml:space="preserve"> – deklaracja była dla nich po prostu suchą informacją, którą przyjęli do wiadomości. Być może dlatego, że </w:t>
      </w:r>
      <w:r w:rsidRPr="00BF6615">
        <w:rPr>
          <w:b/>
        </w:rPr>
        <w:t>wielu z nich nie szukało tam niczego konkretnego</w:t>
      </w:r>
      <w:r w:rsidRPr="00BF6615">
        <w:t xml:space="preserve">, a sprawdzili deklarację </w:t>
      </w:r>
      <w:r w:rsidR="008B0B0A" w:rsidRPr="00BF6615">
        <w:t>z</w:t>
      </w:r>
      <w:r w:rsidR="008B0B0A">
        <w:t> </w:t>
      </w:r>
      <w:r w:rsidRPr="00BF6615">
        <w:t>ciekawości.</w:t>
      </w:r>
    </w:p>
    <w:p w14:paraId="24099F74" w14:textId="6F006630" w:rsidR="00C8508E" w:rsidRPr="00BF6615" w:rsidRDefault="00C8508E" w:rsidP="007E26B5">
      <w:r w:rsidRPr="00BF6615">
        <w:t xml:space="preserve">Jednak to, że doświadczenia oceniono nieźle, nie oznacza, że deklaracje są idealne. Wszyscy użytkownicy, niezależnie od grupy, wskazali pewne </w:t>
      </w:r>
      <w:r w:rsidRPr="00BF6615">
        <w:rPr>
          <w:b/>
        </w:rPr>
        <w:t>braki w treści deklaracji</w:t>
      </w:r>
      <w:r w:rsidRPr="00BF6615">
        <w:t xml:space="preserve">. Najczęstszą uwagą – przewijającą się we wszystkich grupach – był </w:t>
      </w:r>
      <w:r w:rsidRPr="00BF6615">
        <w:rPr>
          <w:b/>
        </w:rPr>
        <w:t>brak szczegółowych informacji o dostępności strony lub aplikacji</w:t>
      </w:r>
      <w:r w:rsidRPr="00BF6615">
        <w:t xml:space="preserve">. Użytkownicy deklarowali, że w tych dokumentach przydałoby się więcej konkretów: np. zamiast ogólnego stwierdzenia „strona częściowo zgodna z WCAG”, chcieliby wiedzieć </w:t>
      </w:r>
      <w:r w:rsidRPr="00BF6615">
        <w:rPr>
          <w:b/>
        </w:rPr>
        <w:t>które elementy są niedostępne, a które spełniają standard</w:t>
      </w:r>
      <w:r w:rsidRPr="00BF6615">
        <w:t xml:space="preserve">. Osoby z niepełnosprawnościami szczególnie na to </w:t>
      </w:r>
      <w:r w:rsidR="002A5ABA" w:rsidRPr="00BF6615">
        <w:t>zwracały uwagę</w:t>
      </w:r>
      <w:r w:rsidRPr="00BF6615">
        <w:t xml:space="preserve"> – dla nich informacja, że np. „filmy nie posiadają napisów dla niesłyszących” albo „mapy są wyłączone z dostępności” jest kluczowa, a często deklaracja tego nie precyzuje. Druga często zgłaszana wada to </w:t>
      </w:r>
      <w:r w:rsidRPr="00BF6615">
        <w:rPr>
          <w:b/>
        </w:rPr>
        <w:t>brak danych kontaktowych do osób odpowiedzialnych za dostępność</w:t>
      </w:r>
      <w:r w:rsidRPr="00BF6615">
        <w:t xml:space="preserve">. Użytkownicy oczekują, że w deklaracji będzie jasno podane </w:t>
      </w:r>
      <w:r w:rsidRPr="00BF6615">
        <w:rPr>
          <w:b/>
        </w:rPr>
        <w:t>kogo i jak można powiadomić o napotkanych problemach</w:t>
      </w:r>
      <w:r w:rsidRPr="00BF6615">
        <w:t xml:space="preserve"> (np. e-mail do koordynatora dostępności w danej instytucji). Niestety, wiele deklaracji podaje tylko ogólny kontakt do urzędu lub żaden – co utrudnia zgłoszenie bariery. Ten brak kontaktu wskazywało ok. 44–55% osób korzystających z deklaracji (w zależności od grupy).</w:t>
      </w:r>
    </w:p>
    <w:p w14:paraId="2036EC40" w14:textId="7C2FA369" w:rsidR="00C8508E" w:rsidRPr="00BF6615" w:rsidRDefault="00C8508E" w:rsidP="007E26B5">
      <w:r w:rsidRPr="00BF6615">
        <w:t xml:space="preserve">Ponadto pojawiły się uwagi specyficzne: </w:t>
      </w:r>
      <w:r w:rsidRPr="00BF6615">
        <w:rPr>
          <w:b/>
        </w:rPr>
        <w:t>brak informacji o dostępności architektonicznej budynków urzędu</w:t>
      </w:r>
      <w:r w:rsidRPr="00BF6615">
        <w:t xml:space="preserve"> oraz </w:t>
      </w:r>
      <w:r w:rsidRPr="00BF6615">
        <w:rPr>
          <w:b/>
        </w:rPr>
        <w:t>brak informacji o dostępności komunikacyjno-informacyjnej</w:t>
      </w:r>
      <w:r w:rsidRPr="00BF6615">
        <w:t xml:space="preserve"> (np. czy urząd ma pętlę indukcyjną dla niedosłyszących, czy zapewnia materiały w Brajlu). Te kwestie </w:t>
      </w:r>
      <w:r w:rsidRPr="00BF6615">
        <w:lastRenderedPageBreak/>
        <w:t xml:space="preserve">podnosili głównie respondenci z niepełnosprawnościami, bo to ich bezpośrednio dotyczy. Wskazywali, że deklaracje skupiają się na stronie internetowej, a często zapominają wspomnieć o dostępności samej instytucji w świecie fizycznym czy w </w:t>
      </w:r>
      <w:r w:rsidR="00E2234C" w:rsidRPr="00BF6615">
        <w:t xml:space="preserve">zakresie </w:t>
      </w:r>
      <w:r w:rsidRPr="00BF6615">
        <w:t xml:space="preserve">komunikacji. A przecież ustawowo deklaracja powinna obejmować trzy obszary: cyfrowy, architektoniczny </w:t>
      </w:r>
      <w:r w:rsidR="008B0B0A" w:rsidRPr="00BF6615">
        <w:t>i</w:t>
      </w:r>
      <w:r w:rsidR="008B0B0A">
        <w:t> </w:t>
      </w:r>
      <w:r w:rsidRPr="00BF6615">
        <w:t>informacyjno-komunikacyjny. Najwyraźniej jednak wiele deklaracji albo pomija te ostatnie dwa, albo robi to zdawkowo</w:t>
      </w:r>
      <w:r w:rsidR="00E60178" w:rsidRPr="00BF6615">
        <w:t>, co</w:t>
      </w:r>
      <w:r w:rsidRPr="00BF6615">
        <w:t xml:space="preserve"> zauważyli</w:t>
      </w:r>
      <w:r w:rsidR="00E60178" w:rsidRPr="00BF6615">
        <w:t xml:space="preserve"> badani</w:t>
      </w:r>
      <w:r w:rsidRPr="00BF6615">
        <w:t>.</w:t>
      </w:r>
    </w:p>
    <w:p w14:paraId="7612152F" w14:textId="4A9CE629" w:rsidR="00C8508E" w:rsidRPr="00BF6615" w:rsidRDefault="00C8508E" w:rsidP="007E26B5">
      <w:r w:rsidRPr="00BF6615">
        <w:t xml:space="preserve">Mimo wskazanych braków, niektórzy użytkownicy z grupy z niepełnosprawnościami przyznali, że </w:t>
      </w:r>
      <w:r w:rsidRPr="00BF6615">
        <w:rPr>
          <w:b/>
        </w:rPr>
        <w:t>znaleźli w deklaracji to, czego szukali</w:t>
      </w:r>
      <w:r w:rsidRPr="00BF6615">
        <w:t xml:space="preserve">. </w:t>
      </w:r>
      <w:r w:rsidR="00020DD9" w:rsidRPr="00BF6615">
        <w:t>J</w:t>
      </w:r>
      <w:r w:rsidRPr="00BF6615">
        <w:t xml:space="preserve">edna osoba stwierdziła: „co chciałem wiedzieć, </w:t>
      </w:r>
      <w:r w:rsidR="008B0B0A" w:rsidRPr="00BF6615">
        <w:t>to</w:t>
      </w:r>
      <w:r w:rsidR="008B0B0A">
        <w:t> </w:t>
      </w:r>
      <w:r w:rsidRPr="00BF6615">
        <w:t>znalazłem”, co pokazuje, że kiedy deklaracja jest dobrze przygotowana, potrafi odpowiedzieć na konkretne pytania użytkownika. Niestety, takich głosów było niewiele – przeważały postulaty, że trzeba by jednak te dokumenty uzupełnić.</w:t>
      </w:r>
    </w:p>
    <w:p w14:paraId="2EC3A649" w14:textId="64E29C36" w:rsidR="00C8508E" w:rsidRPr="00BF6615" w:rsidRDefault="00C8508E" w:rsidP="007E26B5">
      <w:r w:rsidRPr="00BF6615">
        <w:t xml:space="preserve">Ogólny obraz jest więc taki: </w:t>
      </w:r>
      <w:r w:rsidRPr="00BF6615">
        <w:rPr>
          <w:b/>
        </w:rPr>
        <w:t>niewielu obywateli korzysta z deklaracji dostępności</w:t>
      </w:r>
      <w:r w:rsidRPr="00BF6615">
        <w:t xml:space="preserve">, a </w:t>
      </w:r>
      <w:r w:rsidRPr="00BF6615">
        <w:rPr>
          <w:b/>
        </w:rPr>
        <w:t>jeszcze mniejsza grupa naprawdę czerpie z nich istotne informacje</w:t>
      </w:r>
      <w:r w:rsidRPr="00BF6615">
        <w:t xml:space="preserve">. Wydaje się, że deklaracje są wciąż </w:t>
      </w:r>
      <w:r w:rsidRPr="00BF6615">
        <w:rPr>
          <w:b/>
        </w:rPr>
        <w:t>mało widoczne i mało zrozumiałe</w:t>
      </w:r>
      <w:r w:rsidRPr="00BF6615">
        <w:t xml:space="preserve"> dla przeciętnego użytkownika. Mimo to dla części odbiorców, szczególnie z niepełnosprawnościami, deklaracje stanowią ważne źródło wiedzy – np. czy będą mogli obsłużyć daną stronę, czy nie</w:t>
      </w:r>
      <w:r w:rsidR="00DE5671" w:rsidRPr="00BF6615">
        <w:t xml:space="preserve"> lub dostać się do urzędu czy skomunikować w sposób dostępny</w:t>
      </w:r>
      <w:r w:rsidRPr="00BF6615">
        <w:t xml:space="preserve">. Dlatego istotne jest, by </w:t>
      </w:r>
      <w:r w:rsidRPr="00BF6615">
        <w:rPr>
          <w:b/>
        </w:rPr>
        <w:t>podnieść zarówno świadomość istnienia deklaracji, jak i ich jakość merytoryczną</w:t>
      </w:r>
      <w:r w:rsidR="00DE5671" w:rsidRPr="00BF6615">
        <w:rPr>
          <w:b/>
        </w:rPr>
        <w:t xml:space="preserve"> gł</w:t>
      </w:r>
      <w:r w:rsidR="00EA6615">
        <w:rPr>
          <w:b/>
        </w:rPr>
        <w:t>ó</w:t>
      </w:r>
      <w:r w:rsidR="00DE5671" w:rsidRPr="00BF6615">
        <w:rPr>
          <w:b/>
        </w:rPr>
        <w:t>wnie w odniesieniu do dostępności architektonicznej i informacyjno- komunikacyjnej</w:t>
      </w:r>
      <w:r w:rsidRPr="00BF6615">
        <w:t>.</w:t>
      </w:r>
    </w:p>
    <w:p w14:paraId="22CEFBE3" w14:textId="45DE8E24" w:rsidR="00C8508E" w:rsidRPr="001C11F9" w:rsidRDefault="00C8508E" w:rsidP="00B271C3">
      <w:pPr>
        <w:pStyle w:val="Nagwek4"/>
      </w:pPr>
      <w:r w:rsidRPr="001C11F9">
        <w:t>Ogólna ocena dostępności stron i aplikacji publicznych oraz rekomendacje</w:t>
      </w:r>
    </w:p>
    <w:p w14:paraId="79A2043C" w14:textId="75575967" w:rsidR="00C8508E" w:rsidRPr="00BF6615" w:rsidRDefault="00C8508E" w:rsidP="007E26B5">
      <w:r w:rsidRPr="00BF6615">
        <w:rPr>
          <w:b/>
        </w:rPr>
        <w:t>Ogólna ocena dostępności cyfrowej polskich serwisów publicznych na podstawie badania wypada umiarkowanie pozytywnie</w:t>
      </w:r>
      <w:r w:rsidRPr="00BF6615">
        <w:t xml:space="preserve">, ale z ważnymi zastrzeżeniami. Użytkownicy wszystkich badanych grup są w stanie korzystać z internetowych stron urzędów i aplikacji mobilnych </w:t>
      </w:r>
      <w:r w:rsidR="008B0B0A" w:rsidRPr="00BF6615">
        <w:t>w</w:t>
      </w:r>
      <w:r w:rsidR="008B0B0A">
        <w:t> </w:t>
      </w:r>
      <w:r w:rsidRPr="00BF6615">
        <w:t xml:space="preserve">dużym zakresie – </w:t>
      </w:r>
      <w:r w:rsidRPr="00BF6615">
        <w:rPr>
          <w:b/>
        </w:rPr>
        <w:t>wielu z nich chwali nawet ich funkcjonalność i dostrzega realne korzyści</w:t>
      </w:r>
      <w:r w:rsidRPr="00BF6615">
        <w:t xml:space="preserve"> </w:t>
      </w:r>
      <w:r w:rsidR="008B0B0A" w:rsidRPr="00BF6615">
        <w:t>z</w:t>
      </w:r>
      <w:r w:rsidR="008B0B0A">
        <w:t> </w:t>
      </w:r>
      <w:r w:rsidRPr="00BF6615">
        <w:t xml:space="preserve">e-administracji (np. oszczędność czasu, możliwość załatwienia sprawy z domu). Świadczy </w:t>
      </w:r>
      <w:r w:rsidR="008B0B0A" w:rsidRPr="00BF6615">
        <w:t>o</w:t>
      </w:r>
      <w:r w:rsidR="008B0B0A">
        <w:t> </w:t>
      </w:r>
      <w:r w:rsidRPr="00BF6615">
        <w:t xml:space="preserve">tym chociażby fakt, że </w:t>
      </w:r>
      <w:r w:rsidRPr="00BF6615">
        <w:rPr>
          <w:b/>
        </w:rPr>
        <w:t>prawie wszyscy respondenci korzystają z Internetu codziennie i ponad połowa deklaruje załatwianie spraw urzędowych online</w:t>
      </w:r>
      <w:r w:rsidRPr="00BF6615">
        <w:t xml:space="preserve">. Co więcej, </w:t>
      </w:r>
      <w:r w:rsidRPr="00BF6615">
        <w:rPr>
          <w:b/>
        </w:rPr>
        <w:t>subiektywne oceny dostępności stron i aplikacji</w:t>
      </w:r>
      <w:r w:rsidRPr="00BF6615">
        <w:t xml:space="preserve"> – wyrażone w skali ocen – były w większości wysokie (przeważały oceny dobre i bardzo dobre, brak było masowych ocen negatywnych). Można więc stwierdzić, że </w:t>
      </w:r>
      <w:r w:rsidRPr="00BF6615">
        <w:rPr>
          <w:b/>
        </w:rPr>
        <w:t>polskie e-usługi publiczne generalnie działają i spełniają swoje zadanie dla znaczącej części społeczeństwa</w:t>
      </w:r>
      <w:r w:rsidRPr="00BF6615">
        <w:t xml:space="preserve">. Szczególnie dobrze wypadają serwisy w takich obszarach jak kultura czy zdrowie, które zostały ocenione najwyżej – być może dlatego, że są one projektowane z myślą </w:t>
      </w:r>
      <w:r w:rsidR="008B0B0A" w:rsidRPr="00BF6615">
        <w:t>o</w:t>
      </w:r>
      <w:r w:rsidR="008B0B0A">
        <w:t> </w:t>
      </w:r>
      <w:r w:rsidRPr="00BF6615">
        <w:t xml:space="preserve">szerokim gronie odbiorców, w tym mniej biegłych cyfrowo (np. rejestracja do lekarza musi być prosta, bo korzystają z niej również osoby starsze). To pozytywne osiągnięcia, które warto podtrzymać: </w:t>
      </w:r>
      <w:r w:rsidRPr="00BF6615">
        <w:rPr>
          <w:b/>
        </w:rPr>
        <w:t xml:space="preserve">użytkownicy doceniają przejrzystość, łatwość obsługi oraz szybkość wielu stron </w:t>
      </w:r>
      <w:r w:rsidR="008B0B0A" w:rsidRPr="00BF6615">
        <w:rPr>
          <w:b/>
        </w:rPr>
        <w:t>i</w:t>
      </w:r>
      <w:r w:rsidR="008B0B0A">
        <w:rPr>
          <w:b/>
        </w:rPr>
        <w:t> </w:t>
      </w:r>
      <w:r w:rsidRPr="00BF6615">
        <w:rPr>
          <w:b/>
        </w:rPr>
        <w:t>aplikacji</w:t>
      </w:r>
      <w:r w:rsidRPr="00BF6615">
        <w:t xml:space="preserve"> i często zaznaczali, że „nie mają problemów, wszystko jest w porządku” w ich doświadczeniu online.</w:t>
      </w:r>
    </w:p>
    <w:p w14:paraId="57896AA8" w14:textId="2EF29F7A" w:rsidR="00C8508E" w:rsidRPr="00BF6615" w:rsidRDefault="00C8508E" w:rsidP="007E26B5">
      <w:r w:rsidRPr="00BF6615">
        <w:lastRenderedPageBreak/>
        <w:t xml:space="preserve">Nie oznacza to jednak, że dostępność cyfrowa przestała być wyzwaniem. </w:t>
      </w:r>
      <w:r w:rsidRPr="00BF6615">
        <w:rPr>
          <w:b/>
        </w:rPr>
        <w:t>Badanie obnażyło kilka istotnych obszarów do poprawy, zwłaszcza w kontekście potrzeb grup wrażliwych – osób z niepełnosprawnościami i seniorów.</w:t>
      </w:r>
      <w:r w:rsidRPr="00BF6615">
        <w:t xml:space="preserve"> Przede wszystkim, mimo formalnego wdrożenia wymogów WCAG, </w:t>
      </w:r>
      <w:r w:rsidRPr="00BF6615">
        <w:rPr>
          <w:b/>
        </w:rPr>
        <w:t>nie wszystkie strony są tak samo dostępne</w:t>
      </w:r>
      <w:r w:rsidRPr="00BF6615">
        <w:t xml:space="preserve">: osoby z niepełnosprawnościami wskazały, że </w:t>
      </w:r>
      <w:r w:rsidRPr="00BF6615">
        <w:rPr>
          <w:b/>
        </w:rPr>
        <w:t>strony rządowe i centralne instytucje bywają dla nich trudne w obsłudze</w:t>
      </w:r>
      <w:r w:rsidRPr="00BF6615">
        <w:t xml:space="preserve"> (ocenili je znacznie niżej niż reszta użytkowników). Może to sugerować, że te kluczowe portale – choć spełniają pewne standardy – nie zostały przetestowane dostatecznie dobrze pod kątem użytkowników np. niewidomych czy głuchych. </w:t>
      </w:r>
      <w:r w:rsidR="006779B0" w:rsidRPr="00BF6615">
        <w:t>Braki na tych stronach i w aplikacjach</w:t>
      </w:r>
      <w:r w:rsidRPr="00BF6615">
        <w:t xml:space="preserve"> </w:t>
      </w:r>
      <w:r w:rsidRPr="00BF6615">
        <w:rPr>
          <w:b/>
        </w:rPr>
        <w:t>dla przeciętnego użytkownika są niewidoczne, ale dla osób z niepełnosprawnościami stanowią różnicę między serwisem dostępnym a niedostępnym</w:t>
      </w:r>
      <w:r w:rsidRPr="00BF6615">
        <w:t xml:space="preserve">. Z drugiej strony, </w:t>
      </w:r>
      <w:r w:rsidR="00062050" w:rsidRPr="00BF6615">
        <w:t>serwisy</w:t>
      </w:r>
      <w:r w:rsidRPr="00BF6615">
        <w:t xml:space="preserve"> np. pomocy społecznej ocenione zostały przez tę grupę wysoko, co dowodzi, że </w:t>
      </w:r>
      <w:r w:rsidRPr="00BF6615">
        <w:rPr>
          <w:b/>
        </w:rPr>
        <w:t xml:space="preserve">dobre praktyki są możliwe </w:t>
      </w:r>
      <w:r w:rsidR="00C565B4" w:rsidRPr="00BF6615">
        <w:rPr>
          <w:b/>
        </w:rPr>
        <w:t>i</w:t>
      </w:r>
      <w:r w:rsidR="00C565B4">
        <w:rPr>
          <w:b/>
        </w:rPr>
        <w:t> </w:t>
      </w:r>
      <w:r w:rsidRPr="00BF6615">
        <w:rPr>
          <w:b/>
        </w:rPr>
        <w:t>istnieją</w:t>
      </w:r>
      <w:r w:rsidRPr="00BF6615">
        <w:t xml:space="preserve"> – trzeba je tylko upowszechnić. Seniorzy z kolei wnieśli ważny głos o </w:t>
      </w:r>
      <w:r w:rsidRPr="00BF6615">
        <w:rPr>
          <w:b/>
        </w:rPr>
        <w:t xml:space="preserve">stabilności </w:t>
      </w:r>
      <w:r w:rsidR="00C565B4" w:rsidRPr="00BF6615">
        <w:rPr>
          <w:b/>
        </w:rPr>
        <w:t>i</w:t>
      </w:r>
      <w:r w:rsidR="00C565B4">
        <w:rPr>
          <w:b/>
        </w:rPr>
        <w:t> </w:t>
      </w:r>
      <w:r w:rsidRPr="00BF6615">
        <w:rPr>
          <w:b/>
        </w:rPr>
        <w:t>prostocie interfejsu</w:t>
      </w:r>
      <w:r w:rsidRPr="00BF6615">
        <w:t xml:space="preserve">: narzekali na zbyt częste zmiany w układzie stron oraz zbyt skomplikowany język przekazu. Te czynniki, choć mogą wydawać się drugorzędne, realnie wpływają na ich zdolność korzystania z e-usług. </w:t>
      </w:r>
      <w:r w:rsidRPr="00BF6615">
        <w:rPr>
          <w:b/>
        </w:rPr>
        <w:t>Zbyt zawiłe komunikaty lub nieustanne przebudowy stron dezorientują osoby starsze</w:t>
      </w:r>
      <w:r w:rsidRPr="00BF6615">
        <w:t>, które wtedy tracą zaufanie do kanału cyfrowego i wracają do okienka w urzędzie.</w:t>
      </w:r>
    </w:p>
    <w:p w14:paraId="4DCD886C" w14:textId="2CDCDE7E" w:rsidR="00C8508E" w:rsidRPr="00BF6615" w:rsidRDefault="00C8508E" w:rsidP="007E26B5">
      <w:r w:rsidRPr="00BF6615">
        <w:rPr>
          <w:b/>
        </w:rPr>
        <w:t>Komunikacja i kontakt z użytkownikiem</w:t>
      </w:r>
      <w:r w:rsidRPr="00BF6615">
        <w:t xml:space="preserve"> to kolejny słaby punkt – wszystkie grupy zgodnie wskazały, że czują się pozostawione bez łatwej możliwości uzyskania pomocy na stronie czy </w:t>
      </w:r>
      <w:r w:rsidR="00C565B4" w:rsidRPr="00BF6615">
        <w:t>w</w:t>
      </w:r>
      <w:r w:rsidR="00C565B4">
        <w:t> </w:t>
      </w:r>
      <w:r w:rsidRPr="00BF6615">
        <w:t xml:space="preserve">aplikacji. Najniższe oceny aspektów dostępności dotyczyły właśnie </w:t>
      </w:r>
      <w:r w:rsidRPr="00BF6615">
        <w:rPr>
          <w:b/>
        </w:rPr>
        <w:t>możliwości skontaktowania się z podmiotem publicznym</w:t>
      </w:r>
      <w:r w:rsidRPr="00BF6615">
        <w:t xml:space="preserve"> oraz, w pewnym stopniu, </w:t>
      </w:r>
      <w:r w:rsidRPr="00BF6615">
        <w:rPr>
          <w:b/>
        </w:rPr>
        <w:t>instrukcji przy błędach formularzy</w:t>
      </w:r>
      <w:r w:rsidRPr="00BF6615">
        <w:t xml:space="preserve">. Oznacza to, że </w:t>
      </w:r>
      <w:r w:rsidRPr="00BF6615">
        <w:rPr>
          <w:b/>
        </w:rPr>
        <w:t>strony urzędów powinny lepiej „zaopiekować się” użytkownikiem</w:t>
      </w:r>
      <w:r w:rsidRPr="00BF6615">
        <w:t xml:space="preserve">: zapewnić mu czytelną informację, do kogo zadzwonić w razie problemu, lub wdrożyć rozwiązania typu czat, wirtualny asystent, obsługa wideo połączeń itp., zwłaszcza dla osób ze </w:t>
      </w:r>
      <w:r w:rsidR="00DF01FB" w:rsidRPr="00BF6615">
        <w:t>szczególnymi</w:t>
      </w:r>
      <w:r w:rsidRPr="00BF6615">
        <w:t xml:space="preserve"> potrzebami (np. możliwość rozmowy </w:t>
      </w:r>
      <w:r w:rsidR="00DF01FB" w:rsidRPr="00BF6615">
        <w:t xml:space="preserve">online </w:t>
      </w:r>
      <w:r w:rsidRPr="00BF6615">
        <w:t>w PJM dla Głuchych). Bez tego część obywateli będzie nadal rezygnować z kanału online przy pierwszej poważniejszej przeszkodzie.</w:t>
      </w:r>
    </w:p>
    <w:p w14:paraId="60F76575" w14:textId="30505314" w:rsidR="00C8508E" w:rsidRPr="00BF6615" w:rsidRDefault="00C8508E" w:rsidP="007E26B5">
      <w:r w:rsidRPr="00BF6615">
        <w:t xml:space="preserve">Ważnym zagadnieniem jest także </w:t>
      </w:r>
      <w:r w:rsidRPr="00BF6615">
        <w:rPr>
          <w:b/>
        </w:rPr>
        <w:t>niska świadomość i wykorzystanie deklaracji dostępności</w:t>
      </w:r>
      <w:r w:rsidRPr="00BF6615">
        <w:t xml:space="preserve"> – narzędzia, które ma służyć transparentności i poprawie dostępności. Skoro 60%–64% społeczeństwa nawet nie wie o istnieniu deklaracji, to znak, że </w:t>
      </w:r>
      <w:r w:rsidRPr="00BF6615">
        <w:rPr>
          <w:b/>
        </w:rPr>
        <w:t xml:space="preserve">obecna forma komunikacji </w:t>
      </w:r>
      <w:r w:rsidR="00C565B4" w:rsidRPr="00BF6615">
        <w:rPr>
          <w:b/>
        </w:rPr>
        <w:t>o</w:t>
      </w:r>
      <w:r w:rsidR="00C565B4">
        <w:rPr>
          <w:b/>
        </w:rPr>
        <w:t> </w:t>
      </w:r>
      <w:r w:rsidRPr="00BF6615">
        <w:rPr>
          <w:b/>
        </w:rPr>
        <w:t>nich jest niewystarczająca</w:t>
      </w:r>
      <w:r w:rsidRPr="00BF6615">
        <w:t xml:space="preserve">. A ci, co wiedzą, często nie znajdują tam potrzebnych szczegółów (jak brak kontaktu do koordynatora ds. dostępności czy brak konkretnych informacji). To oznacza, że </w:t>
      </w:r>
      <w:r w:rsidRPr="00BF6615">
        <w:rPr>
          <w:b/>
        </w:rPr>
        <w:t>podmioty publiczne muszą przyłożyć większą wagę do jakości tych deklaracji</w:t>
      </w:r>
      <w:r w:rsidRPr="00BF6615">
        <w:t xml:space="preserve"> – bo same wymagania prawne nie wystarczą, jeśli dokument jest traktowany pro forma. Lepsza, bardziej szczegółowa deklaracja mogłaby np. uprzedzić osobę niewidomą, że strona ma pewne ograniczenia, ale np. oferuje alternatywę. Może też budować zaufanie, pokazując, że urząd </w:t>
      </w:r>
      <w:r w:rsidRPr="00BF6615">
        <w:rPr>
          <w:b/>
        </w:rPr>
        <w:t>poważnie traktuje temat dostępności</w:t>
      </w:r>
      <w:r w:rsidRPr="00BF6615">
        <w:t xml:space="preserve"> i ma wyznaczonego człowieka do kontaktu.</w:t>
      </w:r>
    </w:p>
    <w:p w14:paraId="0DFC2BA0" w14:textId="148FEECD" w:rsidR="00C8508E" w:rsidRPr="00BF6615" w:rsidRDefault="00C8508E" w:rsidP="007E26B5">
      <w:r w:rsidRPr="00BF6615">
        <w:rPr>
          <w:b/>
        </w:rPr>
        <w:lastRenderedPageBreak/>
        <w:t>Rekomendowane dalsze działania</w:t>
      </w:r>
      <w:r w:rsidRPr="00BF6615">
        <w:t xml:space="preserve"> w celu poprawy dostępności cyfrowej, wynikające </w:t>
      </w:r>
      <w:r w:rsidR="00C565B4" w:rsidRPr="00BF6615">
        <w:t>z</w:t>
      </w:r>
      <w:r w:rsidR="00C565B4">
        <w:t> </w:t>
      </w:r>
      <w:r w:rsidRPr="00BF6615">
        <w:t>powyższych obserwacji, obejmują:</w:t>
      </w:r>
    </w:p>
    <w:p w14:paraId="1E223EBE" w14:textId="70C8DB5A" w:rsidR="00C8508E" w:rsidRPr="00BF6615" w:rsidRDefault="00C8508E">
      <w:pPr>
        <w:numPr>
          <w:ilvl w:val="0"/>
          <w:numId w:val="72"/>
        </w:numPr>
      </w:pPr>
      <w:r w:rsidRPr="00BF6615">
        <w:rPr>
          <w:b/>
        </w:rPr>
        <w:t>Angażowanie użytkowników z grup wrażliwych w projektowanie i testowanie serwisów</w:t>
      </w:r>
      <w:r w:rsidR="00816853">
        <w:t>.</w:t>
      </w:r>
      <w:r w:rsidRPr="00BF6615">
        <w:t xml:space="preserve"> Podmioty publiczne powinny współpracować z osobami </w:t>
      </w:r>
      <w:r w:rsidR="00C565B4" w:rsidRPr="00BF6615">
        <w:t>z</w:t>
      </w:r>
      <w:r w:rsidR="00C565B4">
        <w:t> </w:t>
      </w:r>
      <w:r w:rsidRPr="00BF6615">
        <w:t xml:space="preserve">niepełnosprawnościami oraz seniorami na etapie tworzenia i ulepszania stron czy aplikacji. Realne testy z użytkownikami o </w:t>
      </w:r>
      <w:r w:rsidR="00CF312D" w:rsidRPr="00BF6615">
        <w:t>szczególnych</w:t>
      </w:r>
      <w:r w:rsidRPr="00BF6615">
        <w:t xml:space="preserve"> potrzebach pozwolą wychwycić bariery, których </w:t>
      </w:r>
      <w:r w:rsidR="00C57C58" w:rsidRPr="00BF6615">
        <w:t>np.</w:t>
      </w:r>
      <w:r w:rsidRPr="00BF6615">
        <w:t xml:space="preserve"> młody programista </w:t>
      </w:r>
      <w:r w:rsidR="00C57C58" w:rsidRPr="00BF6615">
        <w:t xml:space="preserve">bez szczególnych potrzeb </w:t>
      </w:r>
      <w:r w:rsidRPr="00BF6615">
        <w:t xml:space="preserve">może nie dostrzec. Taka </w:t>
      </w:r>
      <w:r w:rsidRPr="00BF6615">
        <w:rPr>
          <w:b/>
        </w:rPr>
        <w:t>partycypacja</w:t>
      </w:r>
      <w:r w:rsidRPr="00BF6615">
        <w:t xml:space="preserve"> sprawi, że rozwiązania będą bardziej intuicyjne dla wszystkich. Jak wskazywali respondenci, </w:t>
      </w:r>
      <w:r w:rsidRPr="00BF6615">
        <w:rPr>
          <w:b/>
        </w:rPr>
        <w:t>konsultacje z osobami z niepełnosprawnościami są konieczne</w:t>
      </w:r>
      <w:r w:rsidRPr="00BF6615">
        <w:t xml:space="preserve"> – i warto je </w:t>
      </w:r>
      <w:r w:rsidR="003F14E9" w:rsidRPr="00BF6615">
        <w:t>prowadzić</w:t>
      </w:r>
      <w:r w:rsidRPr="00BF6615">
        <w:t xml:space="preserve"> systemowo.</w:t>
      </w:r>
    </w:p>
    <w:p w14:paraId="22CDB98B" w14:textId="2C98440F" w:rsidR="00C8508E" w:rsidRPr="00BF6615" w:rsidRDefault="00C8508E">
      <w:pPr>
        <w:numPr>
          <w:ilvl w:val="0"/>
          <w:numId w:val="72"/>
        </w:numPr>
      </w:pPr>
      <w:r w:rsidRPr="00BF6615">
        <w:rPr>
          <w:b/>
        </w:rPr>
        <w:t>Szkolenia i podnoszenie kompetencji</w:t>
      </w:r>
      <w:r w:rsidR="00816853">
        <w:t>.</w:t>
      </w:r>
      <w:r w:rsidRPr="00BF6615">
        <w:t xml:space="preserve"> zarówno po stronie twórców serwisów (programistów, redaktorów stron), jak i urzędników obsługujących te kanały. Ci pierwsi muszą być na bieżąco z wytycznymi WCAG 2.1 oraz rozumieć, jak ich implementacja przekłada się na praktyczne korzystanie</w:t>
      </w:r>
      <w:r w:rsidR="00206E28" w:rsidRPr="00BF6615">
        <w:t xml:space="preserve"> z serwisów</w:t>
      </w:r>
      <w:r w:rsidRPr="00BF6615">
        <w:t xml:space="preserve">. Ci drudzy </w:t>
      </w:r>
      <w:r w:rsidR="00816853">
        <w:t>(</w:t>
      </w:r>
      <w:r w:rsidRPr="00BF6615">
        <w:t>personel urzędów</w:t>
      </w:r>
      <w:r w:rsidR="00816853">
        <w:t>)</w:t>
      </w:r>
      <w:r w:rsidRPr="00BF6615">
        <w:t xml:space="preserve"> powinni wiedzieć, jak udzielić </w:t>
      </w:r>
      <w:r w:rsidR="00DF2CFC" w:rsidRPr="00BF6615">
        <w:t>wsparcia</w:t>
      </w:r>
      <w:r w:rsidRPr="00BF6615">
        <w:t xml:space="preserve"> osobie, która ma problem cyfrowy. Warto też prowadzić warsztaty dla urzędników z </w:t>
      </w:r>
      <w:r w:rsidRPr="00BF6615">
        <w:rPr>
          <w:b/>
        </w:rPr>
        <w:t>pisania prostym językiem</w:t>
      </w:r>
      <w:r w:rsidRPr="00BF6615">
        <w:t>, by komunikaty na stronach były zrozumialsze.</w:t>
      </w:r>
    </w:p>
    <w:p w14:paraId="4953DE04" w14:textId="77B2AB3E" w:rsidR="00C8508E" w:rsidRPr="00BF6615" w:rsidRDefault="00C8508E">
      <w:pPr>
        <w:numPr>
          <w:ilvl w:val="0"/>
          <w:numId w:val="72"/>
        </w:numPr>
      </w:pPr>
      <w:r w:rsidRPr="00BF6615">
        <w:rPr>
          <w:b/>
        </w:rPr>
        <w:t>Ulepszanie treści deklaracji dostępności</w:t>
      </w:r>
      <w:r w:rsidR="00816853">
        <w:t>.</w:t>
      </w:r>
      <w:r w:rsidRPr="00BF6615">
        <w:t xml:space="preserve"> Każdy podmiot publiczny powinien zrewidować swoją deklarację i uzupełnić ją o brakujące elementy. Należy </w:t>
      </w:r>
      <w:r w:rsidRPr="00BF6615">
        <w:rPr>
          <w:b/>
        </w:rPr>
        <w:t>jasno wskazać kontakty</w:t>
      </w:r>
      <w:r w:rsidRPr="00BF6615">
        <w:t xml:space="preserve"> (telefon/mail) do osoby lub działu odpowiedzialnego za dostępność cyfrową </w:t>
      </w:r>
      <w:r w:rsidR="00C565B4" w:rsidRPr="00BF6615">
        <w:t>w</w:t>
      </w:r>
      <w:r w:rsidR="00C565B4">
        <w:t> </w:t>
      </w:r>
      <w:r w:rsidRPr="00BF6615">
        <w:t xml:space="preserve">instytucji, by użytkownik wiedział, gdzie zgłaszać problemy. Deklaracja powinna też zawierać </w:t>
      </w:r>
      <w:r w:rsidRPr="00BF6615">
        <w:rPr>
          <w:b/>
        </w:rPr>
        <w:t>szczegółowy wykaz niedostępnych elementów</w:t>
      </w:r>
      <w:r w:rsidRPr="00BF6615">
        <w:t xml:space="preserve"> (jeśli takie są) – np. „filmy na stronie nie mają napisów, pracujemy nad tym” – bo taka informacja uprzedza użytkownika i ewentualnie skieruje go do alternatywy. Ponadto część architektoniczna </w:t>
      </w:r>
      <w:r w:rsidR="00C565B4" w:rsidRPr="00BF6615">
        <w:t>i</w:t>
      </w:r>
      <w:r w:rsidR="00C565B4">
        <w:t> </w:t>
      </w:r>
      <w:r w:rsidRPr="00BF6615">
        <w:t xml:space="preserve">komunikacyjna deklaracji powinna być wypełniona konkretnie (np. „budynek posiada podjazd, ale </w:t>
      </w:r>
      <w:r w:rsidR="003E441F" w:rsidRPr="00BF6615">
        <w:t>nie ma</w:t>
      </w:r>
      <w:r w:rsidRPr="00BF6615">
        <w:t xml:space="preserve"> windy”, „dostępna jest pętla indukcyjna w sali obsługi”) – to są informacje cenne dla osób z niepełnosprawnościami planujących wizytę w urzędzie, </w:t>
      </w:r>
      <w:r w:rsidR="00C565B4" w:rsidRPr="00BF6615">
        <w:t>a</w:t>
      </w:r>
      <w:r w:rsidR="00C565B4">
        <w:t> </w:t>
      </w:r>
      <w:r w:rsidRPr="00BF6615">
        <w:t xml:space="preserve">często pomijane. Wreszcie, </w:t>
      </w:r>
      <w:r w:rsidRPr="00BF6615">
        <w:rPr>
          <w:b/>
        </w:rPr>
        <w:t>promocja wiedzy o deklaracjach</w:t>
      </w:r>
      <w:r w:rsidRPr="00BF6615">
        <w:t xml:space="preserve"> – np. krótk</w:t>
      </w:r>
      <w:r w:rsidR="001C2E6C" w:rsidRPr="00BF6615">
        <w:t>a informacja</w:t>
      </w:r>
      <w:r w:rsidRPr="00BF6615">
        <w:t xml:space="preserve"> na stronie głównej urzędu typu „Zobacz jak korzystać – deklaracja dostępności” – mogłaby zwiększyć zainteresowanie tym narzędziem.</w:t>
      </w:r>
    </w:p>
    <w:p w14:paraId="31791519" w14:textId="36DF37AF" w:rsidR="00C8508E" w:rsidRPr="00BF6615" w:rsidRDefault="00C8508E">
      <w:pPr>
        <w:numPr>
          <w:ilvl w:val="0"/>
          <w:numId w:val="72"/>
        </w:numPr>
      </w:pPr>
      <w:r w:rsidRPr="00BF6615">
        <w:rPr>
          <w:b/>
        </w:rPr>
        <w:t>Poprawa komunikacji na liniach użytkownik-urząd</w:t>
      </w:r>
      <w:r w:rsidR="00816853">
        <w:t>.</w:t>
      </w:r>
      <w:r w:rsidRPr="00BF6615">
        <w:t xml:space="preserve"> Warto wdrożyć więcej </w:t>
      </w:r>
      <w:r w:rsidRPr="00BF6615">
        <w:rPr>
          <w:b/>
        </w:rPr>
        <w:t>narzędzi wsparcia online</w:t>
      </w:r>
      <w:r w:rsidRPr="00BF6615">
        <w:t xml:space="preserve">. Rozwiązania takie jak </w:t>
      </w:r>
      <w:proofErr w:type="spellStart"/>
      <w:r w:rsidRPr="00BF6615">
        <w:rPr>
          <w:b/>
        </w:rPr>
        <w:t>chatboty</w:t>
      </w:r>
      <w:proofErr w:type="spellEnd"/>
      <w:r w:rsidRPr="00BF6615">
        <w:rPr>
          <w:b/>
        </w:rPr>
        <w:t xml:space="preserve"> lub czat z konsultantem na żywo</w:t>
      </w:r>
      <w:r w:rsidRPr="00BF6615">
        <w:t xml:space="preserve"> </w:t>
      </w:r>
      <w:r w:rsidR="00C565B4" w:rsidRPr="00BF6615">
        <w:t>w</w:t>
      </w:r>
      <w:r w:rsidR="00C565B4">
        <w:t> </w:t>
      </w:r>
      <w:r w:rsidRPr="00BF6615">
        <w:t xml:space="preserve">godzinach pracy urzędu mogłyby znacząco pomóc tym, którzy </w:t>
      </w:r>
      <w:r w:rsidR="00B526C8" w:rsidRPr="00BF6615">
        <w:t>maja problem cyfrowy</w:t>
      </w:r>
      <w:r w:rsidRPr="00BF6615">
        <w:t xml:space="preserve">. Również </w:t>
      </w:r>
      <w:r w:rsidRPr="00BF6615">
        <w:rPr>
          <w:b/>
        </w:rPr>
        <w:t>lepsza widoczność infolinii</w:t>
      </w:r>
      <w:r w:rsidRPr="00BF6615">
        <w:t xml:space="preserve"> (np. stały banner „</w:t>
      </w:r>
      <w:r w:rsidR="005B0B83" w:rsidRPr="00BF6615">
        <w:t xml:space="preserve">Pojawiły się trudności </w:t>
      </w:r>
      <w:r w:rsidR="00C565B4" w:rsidRPr="00BF6615">
        <w:t>w</w:t>
      </w:r>
      <w:r w:rsidR="00C565B4">
        <w:t> </w:t>
      </w:r>
      <w:r w:rsidR="005B0B83" w:rsidRPr="00BF6615">
        <w:t>załatwianiu sprawy? Skontaktuj się z nami…</w:t>
      </w:r>
      <w:r w:rsidRPr="00BF6615">
        <w:t>”) może skłonić użytkownika do szukania pomocy zamiast rezygnacji</w:t>
      </w:r>
      <w:r w:rsidR="00176A91" w:rsidRPr="00BF6615">
        <w:t xml:space="preserve"> z usług cyfrowych</w:t>
      </w:r>
      <w:r w:rsidRPr="00BF6615">
        <w:t xml:space="preserve">. Dla osób głuchych </w:t>
      </w:r>
      <w:r w:rsidR="00176A91" w:rsidRPr="00BF6615">
        <w:t>konieczne są</w:t>
      </w:r>
      <w:r w:rsidRPr="00BF6615">
        <w:t xml:space="preserve"> opcje kontaktu przez </w:t>
      </w:r>
      <w:proofErr w:type="spellStart"/>
      <w:r w:rsidRPr="00BF6615">
        <w:rPr>
          <w:b/>
        </w:rPr>
        <w:t>wideorozmowę</w:t>
      </w:r>
      <w:proofErr w:type="spellEnd"/>
      <w:r w:rsidRPr="00BF6615">
        <w:rPr>
          <w:b/>
        </w:rPr>
        <w:t xml:space="preserve"> z tłumaczem PJM</w:t>
      </w:r>
      <w:r w:rsidRPr="00BF6615">
        <w:t xml:space="preserve">. Krótko mówiąc, urząd powinien </w:t>
      </w:r>
      <w:r w:rsidRPr="00BF6615">
        <w:lastRenderedPageBreak/>
        <w:t>sygnalizować</w:t>
      </w:r>
      <w:r w:rsidR="00816853">
        <w:t>.</w:t>
      </w:r>
      <w:r w:rsidRPr="00BF6615">
        <w:t xml:space="preserve"> „jeśli coś jest nie tak – skontaktuj się z nami, pomożemy”, bo obecnie wiele osób nie wie, gdzie szukać ratunku w razie problemu.</w:t>
      </w:r>
    </w:p>
    <w:p w14:paraId="0D2B2B2A" w14:textId="6E5CB06F" w:rsidR="00C8508E" w:rsidRPr="00BF6615" w:rsidRDefault="00C8508E">
      <w:pPr>
        <w:numPr>
          <w:ilvl w:val="0"/>
          <w:numId w:val="72"/>
        </w:numPr>
      </w:pPr>
      <w:r w:rsidRPr="00BF6615">
        <w:rPr>
          <w:b/>
        </w:rPr>
        <w:t>Ujednolicanie i integracja systemów e-administracji</w:t>
      </w:r>
      <w:r w:rsidR="00816853">
        <w:t>.</w:t>
      </w:r>
      <w:r w:rsidRPr="00BF6615">
        <w:t xml:space="preserve"> Postulat użytkowników, by różne usługi publiczne były dostępne bardziej </w:t>
      </w:r>
      <w:r w:rsidRPr="00BF6615">
        <w:rPr>
          <w:b/>
        </w:rPr>
        <w:t>spójnie i centralnie</w:t>
      </w:r>
      <w:r w:rsidRPr="00BF6615">
        <w:t xml:space="preserve">, jest wyzwaniem organizacyjnym, ale warto do tego dążyć. Już teraz platforma </w:t>
      </w:r>
      <w:proofErr w:type="spellStart"/>
      <w:r w:rsidRPr="00BF6615">
        <w:t>ePUAP</w:t>
      </w:r>
      <w:proofErr w:type="spellEnd"/>
      <w:r w:rsidRPr="00BF6615">
        <w:t xml:space="preserve"> integruje sporo spraw, ale wciąż wiele serwisów działa osobno (ZUS PUE, pacjent.gov.pl, obywatel.gov.pl, lokalne portale). Dalsza integracja – np. logowanie jednym profilem obywatela do wszystkich tych usług – </w:t>
      </w:r>
      <w:r w:rsidRPr="00BF6615">
        <w:rPr>
          <w:b/>
        </w:rPr>
        <w:t>ułatwi życie wszystkim grupom</w:t>
      </w:r>
      <w:r w:rsidRPr="00BF6615">
        <w:t xml:space="preserve">, szczególnie tym mniej </w:t>
      </w:r>
      <w:r w:rsidR="009349B7" w:rsidRPr="00BF6615">
        <w:t>zaawansowanym technologicznie</w:t>
      </w:r>
      <w:r w:rsidRPr="00BF6615">
        <w:t xml:space="preserve">, którym mnożenie kont sprawia trudność. Ponadto, </w:t>
      </w:r>
      <w:r w:rsidRPr="00BF6615">
        <w:rPr>
          <w:b/>
        </w:rPr>
        <w:t>spójny wygląd i nawigacja</w:t>
      </w:r>
      <w:r w:rsidRPr="00BF6615">
        <w:t xml:space="preserve"> w różnych serwisach (np. unifikacja interfejsu, jak to ma miejsce w bankowości, gdzie aplikacje są różne, ale pewne standardy UX wspólne) pomogłaby zwłaszcza seniorom czuć się pewniej online. Seniorzy wyraźnie mówili</w:t>
      </w:r>
      <w:r w:rsidR="00816853">
        <w:t>.</w:t>
      </w:r>
      <w:r w:rsidRPr="00BF6615">
        <w:t xml:space="preserve"> „wolimy, jak nie zmienia się układ, jak jest stała struktura”. Jeśli więc każdy urząd ma zupełnie inną stronę</w:t>
      </w:r>
      <w:r w:rsidR="00183600" w:rsidRPr="00BF6615">
        <w:t xml:space="preserve"> czy aplikację</w:t>
      </w:r>
      <w:r w:rsidRPr="00BF6615">
        <w:t xml:space="preserve">, senior za każdym razem uczy się </w:t>
      </w:r>
      <w:r w:rsidR="00593EAA" w:rsidRPr="00BF6615">
        <w:t xml:space="preserve">jej </w:t>
      </w:r>
      <w:r w:rsidRPr="00BF6615">
        <w:t>od nowa – stąd integracja wizualna (np. wspólna szata graficzna rządowych i samorządowych serwisów w pewnym stopniu) mogłaby zmniejszyć tę barierę.</w:t>
      </w:r>
    </w:p>
    <w:p w14:paraId="4C239DE2" w14:textId="3DC42C84" w:rsidR="00C8508E" w:rsidRPr="00BF6615" w:rsidRDefault="00C8508E">
      <w:pPr>
        <w:numPr>
          <w:ilvl w:val="0"/>
          <w:numId w:val="72"/>
        </w:numPr>
      </w:pPr>
      <w:r w:rsidRPr="00BF6615">
        <w:rPr>
          <w:b/>
        </w:rPr>
        <w:t>Dalsze monitorowanie i egzekwowanie standardów dostępności</w:t>
      </w:r>
      <w:r w:rsidR="00816853">
        <w:t>.</w:t>
      </w:r>
      <w:r w:rsidRPr="00BF6615">
        <w:t xml:space="preserve"> Trzeba kontynuować regularne audyty dostępności stron i aplikacji publicznych (tak jak to jest robione od kilku lat), ale równocześnie </w:t>
      </w:r>
      <w:r w:rsidRPr="00BF6615">
        <w:rPr>
          <w:b/>
        </w:rPr>
        <w:t>bardziej przekładać wyniki na konkretne działania naprawcze</w:t>
      </w:r>
      <w:r w:rsidRPr="00BF6615">
        <w:t xml:space="preserve">. Jeśli np. monitoring wykaże, że 30% stron ma problem z kontrastem kolorów czy brak alternatyw tekstowych, to należy przeprowadzić akcję kierowaną do tych podmiotów z zaleceniami i wsparciem, jak to poprawić. Osiągnięcia są dobre (brak ocen poniżej 3 w skali 1-5 w naszym badaniu to powód do </w:t>
      </w:r>
      <w:r w:rsidR="00D84B4C" w:rsidRPr="00BF6615">
        <w:t>zadowolenia</w:t>
      </w:r>
      <w:r w:rsidRPr="00BF6615">
        <w:t xml:space="preserve">), ale należy dążyć do tego, by </w:t>
      </w:r>
      <w:r w:rsidRPr="00BF6615">
        <w:rPr>
          <w:b/>
        </w:rPr>
        <w:t>przeciętna ocena zbliżała się do maksimum, a rozrzut między najlepszymi a najgorszymi serwisami malał</w:t>
      </w:r>
      <w:r w:rsidRPr="00BF6615">
        <w:t xml:space="preserve">. W tej chwili różnice były – np. jedne instytucje kulturalne </w:t>
      </w:r>
      <w:r w:rsidR="000A6527" w:rsidRPr="00BF6615">
        <w:t xml:space="preserve">otrzymały oceny </w:t>
      </w:r>
      <w:r w:rsidRPr="00BF6615">
        <w:t xml:space="preserve">5.0 a niektóre urzędy tylko 3.8 w ocenie seniorów. Celem jest, by wszędzie poziom był wyrównany na wysokości </w:t>
      </w:r>
      <w:r w:rsidR="000A6527" w:rsidRPr="00BF6615">
        <w:t>minimum 4+</w:t>
      </w:r>
      <w:r w:rsidRPr="00BF6615">
        <w:t>.</w:t>
      </w:r>
    </w:p>
    <w:p w14:paraId="0D6CC6B7" w14:textId="2E5431D0" w:rsidR="00C8508E" w:rsidRPr="00BF6615" w:rsidRDefault="00C8508E">
      <w:pPr>
        <w:numPr>
          <w:ilvl w:val="0"/>
          <w:numId w:val="72"/>
        </w:numPr>
      </w:pPr>
      <w:r w:rsidRPr="00BF6615">
        <w:rPr>
          <w:b/>
        </w:rPr>
        <w:t>Edukacja użytkowników</w:t>
      </w:r>
      <w:r w:rsidR="00816853">
        <w:t>.</w:t>
      </w:r>
      <w:r w:rsidRPr="00BF6615">
        <w:t xml:space="preserve"> Choć to nie jest główna rola urzędów, warto rozważyć także działania zwiększające </w:t>
      </w:r>
      <w:r w:rsidRPr="00BF6615">
        <w:rPr>
          <w:b/>
        </w:rPr>
        <w:t>kompetencje cyfrowe obywateli</w:t>
      </w:r>
      <w:r w:rsidRPr="00BF6615">
        <w:t xml:space="preserve">, zwłaszcza tych najsłabszych cyfrowo (seniorów, niepełnosprawnych, osób z mniejszych miejscowości). Może to przybrać formę </w:t>
      </w:r>
      <w:r w:rsidRPr="00BF6615">
        <w:rPr>
          <w:b/>
        </w:rPr>
        <w:t>warsztatów z e-administracji</w:t>
      </w:r>
      <w:r w:rsidRPr="00BF6615">
        <w:t xml:space="preserve"> organizowanych lokalnie (np. biblioteki uczą jak założyć profil zaufany i wysłać wniosek online), albo kampanii informacyjnych </w:t>
      </w:r>
      <w:r w:rsidR="00C565B4" w:rsidRPr="00BF6615">
        <w:t>w</w:t>
      </w:r>
      <w:r w:rsidR="00C565B4">
        <w:t> </w:t>
      </w:r>
      <w:r w:rsidRPr="00BF6615">
        <w:t xml:space="preserve">mediach publicznych na temat możliwości załatwiania spraw przez Internet i podstaw obsługi. Im bardziej obywatel poczuje się pewnie w świecie cyfrowym, tym chętniej skorzysta z dostępnych serwisów i tym mniej problemów będzie napotykał. W badaniu widać, że często </w:t>
      </w:r>
      <w:r w:rsidRPr="00BF6615">
        <w:rPr>
          <w:b/>
        </w:rPr>
        <w:t>barierą jest psychologia i nawyk</w:t>
      </w:r>
      <w:r w:rsidRPr="00BF6615">
        <w:t xml:space="preserve"> – wielu seniorów umie</w:t>
      </w:r>
      <w:r w:rsidR="00DF306D" w:rsidRPr="00BF6615">
        <w:t xml:space="preserve"> załatwić </w:t>
      </w:r>
      <w:r w:rsidR="00DF306D" w:rsidRPr="00BF6615">
        <w:lastRenderedPageBreak/>
        <w:t>sprawy online</w:t>
      </w:r>
      <w:r w:rsidRPr="00BF6615">
        <w:t xml:space="preserve">, ale woli </w:t>
      </w:r>
      <w:r w:rsidR="008F4544" w:rsidRPr="00BF6615">
        <w:t xml:space="preserve">je załatwić </w:t>
      </w:r>
      <w:r w:rsidRPr="00BF6615">
        <w:t xml:space="preserve">osobiście. Jeśli pokażemy im, że to naprawdę proste </w:t>
      </w:r>
      <w:r w:rsidR="00C565B4" w:rsidRPr="00BF6615">
        <w:t>i</w:t>
      </w:r>
      <w:r w:rsidR="00C565B4">
        <w:t> </w:t>
      </w:r>
      <w:r w:rsidRPr="00BF6615">
        <w:t>bezpieczne, część może się przekona</w:t>
      </w:r>
      <w:r w:rsidR="008F4544" w:rsidRPr="00BF6615">
        <w:t xml:space="preserve"> do takiej formy</w:t>
      </w:r>
      <w:r w:rsidRPr="00BF6615">
        <w:t>.</w:t>
      </w:r>
    </w:p>
    <w:p w14:paraId="21100544" w14:textId="163FD7B6" w:rsidR="00C8508E" w:rsidRPr="00BF6615" w:rsidRDefault="00C8508E" w:rsidP="007E26B5">
      <w:r w:rsidRPr="00BF6615">
        <w:t xml:space="preserve">Podsumowując, </w:t>
      </w:r>
      <w:r w:rsidRPr="00BF6615">
        <w:rPr>
          <w:b/>
        </w:rPr>
        <w:t xml:space="preserve">dostępność cyfrowa polskich stron i aplikacji publicznych </w:t>
      </w:r>
      <w:r w:rsidR="007139E9" w:rsidRPr="00BF6615">
        <w:rPr>
          <w:b/>
        </w:rPr>
        <w:t xml:space="preserve">w </w:t>
      </w:r>
      <w:r w:rsidR="009C5A12" w:rsidRPr="00BF6615">
        <w:rPr>
          <w:b/>
        </w:rPr>
        <w:t>ostatnich</w:t>
      </w:r>
      <w:r w:rsidR="007139E9" w:rsidRPr="00BF6615">
        <w:rPr>
          <w:b/>
        </w:rPr>
        <w:t xml:space="preserve"> latach znacznie się poprawiła</w:t>
      </w:r>
      <w:r w:rsidRPr="00BF6615">
        <w:rPr>
          <w:b/>
        </w:rPr>
        <w:t xml:space="preserve">, ale wciąż wymaga </w:t>
      </w:r>
      <w:r w:rsidR="009C5A12" w:rsidRPr="00BF6615">
        <w:rPr>
          <w:b/>
        </w:rPr>
        <w:t>zainteresowania</w:t>
      </w:r>
      <w:r w:rsidRPr="00BF6615">
        <w:rPr>
          <w:b/>
        </w:rPr>
        <w:t xml:space="preserve"> i dalszych usprawnień</w:t>
      </w:r>
      <w:r w:rsidRPr="00BF6615">
        <w:t xml:space="preserve">. Użytkownicy doceniają istniejące udogodnienia i generalnie dobrze oceniają e-administrację, co jest budujące. Jednak szczegółowa analiza pokazała, że </w:t>
      </w:r>
      <w:r w:rsidRPr="00BF6615">
        <w:rPr>
          <w:b/>
        </w:rPr>
        <w:t xml:space="preserve">nie </w:t>
      </w:r>
      <w:r w:rsidR="002A4C48" w:rsidRPr="00BF6615">
        <w:rPr>
          <w:b/>
        </w:rPr>
        <w:t>należy poprzestać w drodze do poprawy dostępności</w:t>
      </w:r>
      <w:r w:rsidRPr="00BF6615">
        <w:t xml:space="preserve">: potrzeby osób z niepełnosprawnościami i osób starszych nie są jeszcze </w:t>
      </w:r>
      <w:r w:rsidR="00C565B4" w:rsidRPr="00BF6615">
        <w:t>w</w:t>
      </w:r>
      <w:r w:rsidR="00C565B4">
        <w:t> </w:t>
      </w:r>
      <w:r w:rsidRPr="00BF6615">
        <w:t xml:space="preserve">pełni zaspokojone. </w:t>
      </w:r>
      <w:r w:rsidRPr="00BF6615">
        <w:rPr>
          <w:b/>
        </w:rPr>
        <w:t>Kluczowe obszary do poprawy to komunikacja z użytkownikiem, prostota języka, pełna zgodność ze standardami dostępności oraz świadomość i edukacja</w:t>
      </w:r>
      <w:r w:rsidRPr="00BF6615">
        <w:t xml:space="preserve"> – zarówno po stronie dostawców usług, jak i ich odbiorców. Realizując rekomendowane działania, instytucje publiczne mogą </w:t>
      </w:r>
      <w:r w:rsidRPr="00BF6615">
        <w:rPr>
          <w:b/>
        </w:rPr>
        <w:t>zmniejszyć dystans cyfrowy</w:t>
      </w:r>
      <w:r w:rsidRPr="00BF6615">
        <w:t xml:space="preserve"> dzielący niektórych obywateli od </w:t>
      </w:r>
      <w:r w:rsidR="00C565B4">
        <w:br/>
      </w:r>
      <w:r w:rsidRPr="00BF6615">
        <w:t xml:space="preserve">e-usług. A warto to robić, bo </w:t>
      </w:r>
      <w:r w:rsidRPr="00BF6615">
        <w:rPr>
          <w:b/>
        </w:rPr>
        <w:t>dostępność cyfrowa to nie tylko wymóg prawny, ale przede wszystkim korzyść dla społeczeństwa</w:t>
      </w:r>
      <w:r w:rsidRPr="00BF6615">
        <w:t xml:space="preserve">: serwisy przyjazne osobom z niepełnosprawnościami </w:t>
      </w:r>
      <w:r w:rsidR="00C565B4" w:rsidRPr="00BF6615">
        <w:t>i</w:t>
      </w:r>
      <w:r w:rsidR="00C565B4">
        <w:t> </w:t>
      </w:r>
      <w:r w:rsidRPr="00BF6615">
        <w:t xml:space="preserve">seniorom będą jednocześnie wygodniejsze i bardziej funkcjonalne dla </w:t>
      </w:r>
      <w:r w:rsidRPr="00BF6615">
        <w:rPr>
          <w:b/>
        </w:rPr>
        <w:t>wszystkich użytkowników</w:t>
      </w:r>
      <w:r w:rsidRPr="00BF6615">
        <w:t xml:space="preserve">. Utrzymanie tego kursu – ciągłego doskonalenia dostępności – sprawi, że polska e-administracja stanie się faktycznie </w:t>
      </w:r>
      <w:r w:rsidRPr="00BF6615">
        <w:rPr>
          <w:b/>
        </w:rPr>
        <w:t>administracją dla każdego, bez wyjątku</w:t>
      </w:r>
      <w:r w:rsidRPr="00BF6615">
        <w:t>.</w:t>
      </w:r>
    </w:p>
    <w:p w14:paraId="66BAA1BA" w14:textId="77777777" w:rsidR="009C1FEF" w:rsidRPr="00BF6615" w:rsidRDefault="009C1FEF" w:rsidP="007E26B5">
      <w:pPr>
        <w:pStyle w:val="Nagwek1"/>
        <w:sectPr w:rsidR="009C1FEF" w:rsidRPr="00BF6615" w:rsidSect="007B330E">
          <w:footerReference w:type="default" r:id="rId111"/>
          <w:pgSz w:w="12240" w:h="15840"/>
          <w:pgMar w:top="1440" w:right="1440" w:bottom="1440" w:left="1440" w:header="709" w:footer="709" w:gutter="0"/>
          <w:cols w:space="708"/>
          <w:titlePg/>
          <w:docGrid w:linePitch="360"/>
        </w:sectPr>
      </w:pPr>
    </w:p>
    <w:p w14:paraId="4C494FA6" w14:textId="7324EC1B" w:rsidR="00DF4488" w:rsidRPr="00BF6615" w:rsidRDefault="00DF4488" w:rsidP="007E26B5">
      <w:pPr>
        <w:pStyle w:val="Nagwek1"/>
      </w:pPr>
      <w:bookmarkStart w:id="297" w:name="_Toc204179299"/>
      <w:r w:rsidRPr="00BF6615">
        <w:lastRenderedPageBreak/>
        <w:t>Wnioski i rekomendacje</w:t>
      </w:r>
      <w:r w:rsidR="001C00C7" w:rsidRPr="00BF6615">
        <w:t xml:space="preserve"> z badania</w:t>
      </w:r>
      <w:bookmarkEnd w:id="297"/>
    </w:p>
    <w:p w14:paraId="1F6F9364" w14:textId="77777777" w:rsidR="00D134CF" w:rsidRPr="00BF6615" w:rsidRDefault="00D134CF" w:rsidP="007E26B5">
      <w:pPr>
        <w:pStyle w:val="Nagwek2"/>
      </w:pPr>
      <w:bookmarkStart w:id="298" w:name="_Toc204179300"/>
      <w:bookmarkEnd w:id="0"/>
      <w:bookmarkEnd w:id="1"/>
      <w:bookmarkEnd w:id="2"/>
      <w:r w:rsidRPr="00BF6615">
        <w:t>Weryfikacja hipotez badawczych</w:t>
      </w:r>
      <w:bookmarkEnd w:id="298"/>
    </w:p>
    <w:p w14:paraId="4F7A5EC9" w14:textId="77777777" w:rsidR="00D134CF" w:rsidRPr="00B271C3" w:rsidRDefault="00D134CF" w:rsidP="00B271C3">
      <w:pPr>
        <w:rPr>
          <w:color w:val="000000" w:themeColor="text1"/>
        </w:rPr>
      </w:pPr>
      <w:r w:rsidRPr="00BF6615">
        <w:t xml:space="preserve">Poniżej przedstawiono ocenę każdej z postawionych hipotez badawczych. Dla każdej hipotezy wskazano jednoznaczną ocenę jej słuszności w kontekście wyników badania. Weryfikacja </w:t>
      </w:r>
      <w:r w:rsidRPr="00B271C3">
        <w:rPr>
          <w:color w:val="000000" w:themeColor="text1"/>
        </w:rPr>
        <w:t>została przeprowadzona w oparciu o dane jakościowe (wywiady indywidualne i testy użytkowników) oraz ilościowe (n=306), co pozwala na kompleksową ocenę problemu dostępności cyfrowej z perspektywy osób z niepełnosprawnościami i osób starszych.</w:t>
      </w:r>
    </w:p>
    <w:p w14:paraId="3D163872" w14:textId="77777777" w:rsidR="00D134CF" w:rsidRPr="00B271C3" w:rsidRDefault="00D134CF" w:rsidP="00B271C3">
      <w:pPr>
        <w:pStyle w:val="Nagwek4"/>
        <w:rPr>
          <w:b w:val="0"/>
          <w:color w:val="000000" w:themeColor="text1"/>
        </w:rPr>
      </w:pPr>
      <w:r w:rsidRPr="00B271C3">
        <w:rPr>
          <w:color w:val="000000" w:themeColor="text1"/>
        </w:rPr>
        <w:t>Hipoteza główna</w:t>
      </w:r>
    </w:p>
    <w:p w14:paraId="18803E0A" w14:textId="77777777" w:rsidR="00D134CF" w:rsidRPr="00C565B4" w:rsidRDefault="00D134CF" w:rsidP="00B271C3">
      <w:r w:rsidRPr="00B271C3">
        <w:t>Treść:</w:t>
      </w:r>
      <w:r w:rsidRPr="00C565B4">
        <w:br/>
        <w:t>Osoby z niepełnosprawnościami i osoby starsze mają specyficzne potrzeby i oczekiwania dotyczące dostępności cyfrowej, które nie są w pełni zaspokajane przez obecne rozwiązania stosowane przez podmioty publiczne, przez co osoby te napotykają na istotne bariery podczas korzystania z aplikacji mobilnych i stron internetowych podmiotów publicznych, które wynikają głównie z nieprzystosowanej struktury i funkcjonalności tych zasobów.</w:t>
      </w:r>
    </w:p>
    <w:p w14:paraId="0AD8CA32" w14:textId="77777777" w:rsidR="00D134CF" w:rsidRPr="00B271C3" w:rsidRDefault="00D134CF" w:rsidP="007E26B5">
      <w:pPr>
        <w:spacing w:after="160" w:line="259" w:lineRule="auto"/>
        <w:rPr>
          <w:color w:val="000000" w:themeColor="text1"/>
        </w:rPr>
      </w:pPr>
      <w:r w:rsidRPr="00B271C3">
        <w:rPr>
          <w:color w:val="000000" w:themeColor="text1"/>
        </w:rPr>
        <w:t>Weryfikacja: Pozytywna</w:t>
      </w:r>
    </w:p>
    <w:p w14:paraId="39D19B5C" w14:textId="77777777" w:rsidR="00D134CF" w:rsidRPr="00C565B4" w:rsidRDefault="00D134CF" w:rsidP="00B271C3">
      <w:r w:rsidRPr="00C565B4">
        <w:t>Wyniki badania jednoznacznie potwierdzają tę hipotezę. Dane jakościowe wskazują na liczne trudności w korzystaniu z usług cyfrowych – najczęściej wymieniano nieczytelność treści, złożoną nawigację, brak kompatybilności z technologiami wspomagającymi, nieintuicyjną strukturę oraz brak wersji alternatywnych (PJM, tekst łatwy do czytania, opisy alternatywne). Dane ilościowe w pełni to potwierdzają: aż 85% respondentów zadeklarowało, że przynajmniej raz napotkało trudności przy korzystaniu z serwisów publicznych. Jedynie 15% stwierdziło, że nigdy nie miało takich problemów. Zarówno osoby z niepełnosprawnościami, jak i seniorzy korzystają z e-usług rzadko i często rezygnują z nich na rzecz kontaktu osobistego. Wyniki dowodzą, że wykluczenie cyfrowe jest zjawiskiem powszechnym i pogłębionym przez niedostosowanie technologiczne serwisów.</w:t>
      </w:r>
    </w:p>
    <w:p w14:paraId="2F122761" w14:textId="77777777" w:rsidR="00D134CF" w:rsidRPr="00B271C3" w:rsidRDefault="00D134CF" w:rsidP="00B271C3">
      <w:pPr>
        <w:pStyle w:val="Nagwek4"/>
        <w:rPr>
          <w:b w:val="0"/>
          <w:color w:val="000000" w:themeColor="text1"/>
        </w:rPr>
      </w:pPr>
      <w:r w:rsidRPr="00B271C3">
        <w:rPr>
          <w:color w:val="000000" w:themeColor="text1"/>
        </w:rPr>
        <w:t>Hipotezy szczegółowe:</w:t>
      </w:r>
    </w:p>
    <w:p w14:paraId="667D82B0" w14:textId="77777777" w:rsidR="00D134CF" w:rsidRPr="00B271C3" w:rsidRDefault="00D134CF" w:rsidP="007E26B5">
      <w:pPr>
        <w:spacing w:after="160" w:line="259" w:lineRule="auto"/>
        <w:rPr>
          <w:b/>
          <w:bCs/>
          <w:color w:val="000000" w:themeColor="text1"/>
        </w:rPr>
      </w:pPr>
      <w:r w:rsidRPr="00B271C3">
        <w:rPr>
          <w:b/>
          <w:bCs/>
          <w:color w:val="000000" w:themeColor="text1"/>
        </w:rPr>
        <w:t>Hipoteza 1</w:t>
      </w:r>
    </w:p>
    <w:p w14:paraId="780B7A98" w14:textId="1D34D478" w:rsidR="00D134CF" w:rsidRPr="00C565B4" w:rsidRDefault="00D134CF" w:rsidP="00B271C3">
      <w:r w:rsidRPr="00B271C3">
        <w:t>Treść:</w:t>
      </w:r>
      <w:r w:rsidRPr="00C565B4">
        <w:br/>
        <w:t xml:space="preserve">Osoby z niepełnosprawnościami i starsze korzystają z Internetu głównie w celach osobistych </w:t>
      </w:r>
      <w:r w:rsidR="00C565B4" w:rsidRPr="00C565B4">
        <w:t>i</w:t>
      </w:r>
      <w:r w:rsidR="00C565B4">
        <w:t> </w:t>
      </w:r>
      <w:r w:rsidRPr="00C565B4">
        <w:t>edukacyjnych, a ich potrzeby w zakresie informacji i usług publicznych pozostają często zaspokajane w sposób tradycyjny, np. telefonicznie lub poprzez wizytę osobistą.</w:t>
      </w:r>
    </w:p>
    <w:p w14:paraId="6B6AFF32" w14:textId="77777777" w:rsidR="00D134CF" w:rsidRPr="00B271C3" w:rsidRDefault="00D134CF" w:rsidP="007E26B5">
      <w:pPr>
        <w:spacing w:after="160" w:line="259" w:lineRule="auto"/>
        <w:rPr>
          <w:color w:val="000000" w:themeColor="text1"/>
        </w:rPr>
      </w:pPr>
      <w:r w:rsidRPr="00B271C3">
        <w:rPr>
          <w:color w:val="000000" w:themeColor="text1"/>
        </w:rPr>
        <w:lastRenderedPageBreak/>
        <w:t>Weryfikacja: Pozytywna</w:t>
      </w:r>
    </w:p>
    <w:p w14:paraId="02CD0340" w14:textId="0EC7BB51" w:rsidR="00D134CF" w:rsidRPr="00C565B4" w:rsidRDefault="00D134CF" w:rsidP="00B271C3">
      <w:r w:rsidRPr="00C565B4">
        <w:t xml:space="preserve">Zarówno analiza jakościowa, jak i ilościowa potwierdzają, że Internet służy badanym głównie do celów prywatnych (zakupy, rozrywka, kontakt z rodziną, edukacja). Z kolei kontakt </w:t>
      </w:r>
      <w:r w:rsidR="00C565B4" w:rsidRPr="00C565B4">
        <w:t>z</w:t>
      </w:r>
      <w:r w:rsidR="00C565B4">
        <w:t> </w:t>
      </w:r>
      <w:r w:rsidRPr="00C565B4">
        <w:t>administracją publiczną najczęściej odbywa się w sposób bezpośredni lub telefoniczny. Dane ilościowe pokazują, że tylko 30–31% osób starszych i z niepełnosprawnościami załatwia sprawy urzędowe online, podczas gdy aż 63% seniorów preferuje wizyty osobiste. Większość respondentów załatwia sprawy urzędowe w modelu hybrydowym (online + offline), co wskazuje na brak pełnego zaufania do kanałów cyfrowych i ich ograniczoną funkcjonalność.</w:t>
      </w:r>
    </w:p>
    <w:p w14:paraId="0B18BD82" w14:textId="77777777" w:rsidR="00D134CF" w:rsidRPr="00B271C3" w:rsidRDefault="00D134CF" w:rsidP="007E26B5">
      <w:pPr>
        <w:spacing w:after="160" w:line="259" w:lineRule="auto"/>
        <w:rPr>
          <w:b/>
          <w:bCs/>
          <w:color w:val="000000" w:themeColor="text1"/>
        </w:rPr>
      </w:pPr>
      <w:r w:rsidRPr="00B271C3">
        <w:rPr>
          <w:b/>
          <w:bCs/>
          <w:color w:val="000000" w:themeColor="text1"/>
        </w:rPr>
        <w:t>Hipoteza 2</w:t>
      </w:r>
    </w:p>
    <w:p w14:paraId="4F2AE1D1" w14:textId="77777777" w:rsidR="00D134CF" w:rsidRPr="00C565B4" w:rsidRDefault="00D134CF" w:rsidP="00B271C3">
      <w:r w:rsidRPr="00B271C3">
        <w:t>Treść:</w:t>
      </w:r>
      <w:r w:rsidRPr="00C565B4">
        <w:br/>
        <w:t>Problemy związane z dostępnością cyfrową stron i aplikacji mobilnych są różnie oceniane przez różne grupy osób z niepełnosprawnościami i osoby starsze, przy czym największe trudności sprawiają tym grupom kwestie związane z czytelnością treści.</w:t>
      </w:r>
    </w:p>
    <w:p w14:paraId="3B25F49B" w14:textId="77777777" w:rsidR="00D134CF" w:rsidRPr="00B271C3" w:rsidRDefault="00D134CF" w:rsidP="007E26B5">
      <w:pPr>
        <w:spacing w:after="160" w:line="259" w:lineRule="auto"/>
        <w:rPr>
          <w:color w:val="000000" w:themeColor="text1"/>
        </w:rPr>
      </w:pPr>
      <w:r w:rsidRPr="00B271C3">
        <w:rPr>
          <w:color w:val="000000" w:themeColor="text1"/>
        </w:rPr>
        <w:t>Weryfikacja: Pozytywna</w:t>
      </w:r>
    </w:p>
    <w:p w14:paraId="3A25A471" w14:textId="77777777" w:rsidR="00D134CF" w:rsidRPr="00C565B4" w:rsidRDefault="00D134CF" w:rsidP="00B271C3">
      <w:r w:rsidRPr="00C565B4">
        <w:t>Hipoteza znajduje potwierdzenie we wszystkich danych. Grupy badawcze wskazują różne problemy – osoby słabowidzące podnoszą kwestię czcionki i kontrastu, osoby niewidome – braku opisów alternatywnych, a osoby z niepełnosprawnością intelektualną – nadmiaru informacji i chaosu wizualnego. Dane ilościowe pokazują, że dla 82–85% respondentów czytelność treści oraz prosty, zrozumiały język są kluczowymi kryteriami dostępności. Potrzeba tekstów łatwych do czytania i logicznej struktury została uznana za najistotniejszy element dostępności cyfrowej. Brak czytelności i klarowności okazuje się więc uniwersalną barierą, niezależnie od rodzaju niepełnosprawności.</w:t>
      </w:r>
    </w:p>
    <w:p w14:paraId="2E696777" w14:textId="77777777" w:rsidR="00D134CF" w:rsidRPr="00B271C3" w:rsidRDefault="00D134CF" w:rsidP="007E26B5">
      <w:pPr>
        <w:spacing w:after="160" w:line="259" w:lineRule="auto"/>
        <w:rPr>
          <w:b/>
          <w:bCs/>
          <w:color w:val="000000" w:themeColor="text1"/>
        </w:rPr>
      </w:pPr>
      <w:r w:rsidRPr="00B271C3">
        <w:rPr>
          <w:b/>
          <w:bCs/>
          <w:color w:val="000000" w:themeColor="text1"/>
        </w:rPr>
        <w:t>Hipoteza 3</w:t>
      </w:r>
    </w:p>
    <w:p w14:paraId="1CB31F04" w14:textId="1F69BCFD" w:rsidR="00D134CF" w:rsidRPr="00C565B4" w:rsidRDefault="00D134CF" w:rsidP="00B271C3">
      <w:r w:rsidRPr="00B271C3">
        <w:t>Treść:</w:t>
      </w:r>
      <w:r w:rsidRPr="00C565B4">
        <w:br/>
        <w:t xml:space="preserve">Osoby z niepełnosprawnościami i osoby starsze, które korzystają z dodatkowych technologii wspomagających, takich jak aplikacje asystujące, doświadczają mniejszych trudności </w:t>
      </w:r>
      <w:r w:rsidR="00C565B4" w:rsidRPr="00C565B4">
        <w:t>w</w:t>
      </w:r>
      <w:r w:rsidR="00C565B4">
        <w:t> </w:t>
      </w:r>
      <w:r w:rsidRPr="00C565B4">
        <w:t>korzystaniu z zasobów cyfrowych podmiotów publicznych.</w:t>
      </w:r>
    </w:p>
    <w:p w14:paraId="1EB9ADAE" w14:textId="77777777" w:rsidR="00D134CF" w:rsidRPr="00B271C3" w:rsidRDefault="00D134CF" w:rsidP="007E26B5">
      <w:pPr>
        <w:spacing w:after="160" w:line="259" w:lineRule="auto"/>
        <w:rPr>
          <w:color w:val="000000" w:themeColor="text1"/>
        </w:rPr>
      </w:pPr>
      <w:r w:rsidRPr="00B271C3">
        <w:rPr>
          <w:color w:val="000000" w:themeColor="text1"/>
        </w:rPr>
        <w:t>Weryfikacja: Częściowo pozytywna</w:t>
      </w:r>
    </w:p>
    <w:p w14:paraId="54489BCA" w14:textId="3683EFFB" w:rsidR="00D134CF" w:rsidRPr="00C565B4" w:rsidRDefault="00D134CF" w:rsidP="00B271C3">
      <w:r w:rsidRPr="00C565B4">
        <w:t xml:space="preserve">Choć technologie wspomagające (czytniki ekranu, powiększenia) są wykorzystywane, ich skuteczność zależy od poziomu dostępności samych stron. Dane jakościowe potwierdzają, że nawet przy użyciu czytników ekranu użytkownicy napotykają na bariery, takie jak brak opisów alternatywnych czy zła struktura HTML. Dane ilościowe pokazują, że tylko ok. 33% osób </w:t>
      </w:r>
      <w:r w:rsidR="00C565B4" w:rsidRPr="00C565B4">
        <w:t>z</w:t>
      </w:r>
      <w:r w:rsidR="00C565B4">
        <w:t> </w:t>
      </w:r>
      <w:r w:rsidRPr="00C565B4">
        <w:t xml:space="preserve">niepełnosprawnościami korzysta z jakiejkolwiek formy technologii wspomagających, mimo tego nawet w tej grupie 90% zgłasza trudności z obsługą stron czy aplikacji. Technologie są więc </w:t>
      </w:r>
      <w:r w:rsidRPr="00C565B4">
        <w:lastRenderedPageBreak/>
        <w:t>pomocne, ale niewystarczające – nie eliminują barier wynikających z niedostosowania strony do standardów dostępności.</w:t>
      </w:r>
    </w:p>
    <w:p w14:paraId="4EC15BBF" w14:textId="77777777" w:rsidR="00D134CF" w:rsidRPr="00B271C3" w:rsidRDefault="00D134CF" w:rsidP="007E26B5">
      <w:pPr>
        <w:spacing w:after="160" w:line="259" w:lineRule="auto"/>
        <w:rPr>
          <w:b/>
          <w:bCs/>
          <w:color w:val="000000" w:themeColor="text1"/>
        </w:rPr>
      </w:pPr>
      <w:r w:rsidRPr="00B271C3">
        <w:rPr>
          <w:b/>
          <w:bCs/>
          <w:color w:val="000000" w:themeColor="text1"/>
        </w:rPr>
        <w:t>Hipoteza 4</w:t>
      </w:r>
    </w:p>
    <w:p w14:paraId="6AE98F7E" w14:textId="77777777" w:rsidR="00D134CF" w:rsidRPr="00C565B4" w:rsidRDefault="00D134CF" w:rsidP="00B271C3">
      <w:r w:rsidRPr="00B271C3">
        <w:t>Treść:</w:t>
      </w:r>
      <w:r w:rsidRPr="00C565B4">
        <w:br/>
        <w:t>Strony internetowe i aplikacje mobilne związane z usługami zdrowotnymi i socjalnymi powinny być priorytetowo dostosowane do pełnej dostępności cyfrowej, ze względu na ich kluczowe znaczenie dla codziennego funkcjonowania osób z niepełnosprawnościami i osób starszych.</w:t>
      </w:r>
    </w:p>
    <w:p w14:paraId="1D32C9AA" w14:textId="77777777" w:rsidR="00D134CF" w:rsidRPr="00B271C3" w:rsidRDefault="00D134CF" w:rsidP="007E26B5">
      <w:pPr>
        <w:spacing w:after="160" w:line="259" w:lineRule="auto"/>
        <w:rPr>
          <w:color w:val="000000" w:themeColor="text1"/>
        </w:rPr>
      </w:pPr>
      <w:r w:rsidRPr="00B271C3">
        <w:rPr>
          <w:color w:val="000000" w:themeColor="text1"/>
        </w:rPr>
        <w:t>Weryfikacja: Pozytywna</w:t>
      </w:r>
    </w:p>
    <w:p w14:paraId="406F4005" w14:textId="7E9A4141" w:rsidR="00D134CF" w:rsidRPr="00C565B4" w:rsidRDefault="00D134CF" w:rsidP="00B271C3">
      <w:r w:rsidRPr="00C565B4">
        <w:t xml:space="preserve">Badani wskazywali jednoznacznie, że serwisy związane z ochroną zdrowia (Internetowe Konto Pacjenta, e-rejestracja, strony przychodni) oraz usługami socjalnymi (OPS, PUP) są dla nich ważne. Niestety, to właśnie te serwisy są najczęściej oceniane jako nieczytelne i trudne </w:t>
      </w:r>
      <w:r w:rsidR="00C565B4" w:rsidRPr="00C565B4">
        <w:t>w</w:t>
      </w:r>
      <w:r w:rsidR="00C565B4">
        <w:t> </w:t>
      </w:r>
      <w:r w:rsidRPr="00C565B4">
        <w:t>obsłudze. Dane ilościowe potwierdzają te obserwacje – strony zdrowotne są w czołówce najczęściej odwiedzanych, a jednocześnie najniżej ocenianych pod względem użyteczności. Ponad połowa seniorów i jedna trzecia osób z niepełnosprawnościami korzysta z nich, ale wielu wskazuje na potrzebę pomocy przy obsłudze. Priorytetowe dostosowanie tych obszarów przyniosłoby wymierne korzyści dla niezależności i komfortu życia tych grup.</w:t>
      </w:r>
    </w:p>
    <w:p w14:paraId="6E9965DD" w14:textId="77777777" w:rsidR="00D134CF" w:rsidRPr="00B271C3" w:rsidRDefault="00D134CF" w:rsidP="007E26B5">
      <w:pPr>
        <w:spacing w:after="160" w:line="259" w:lineRule="auto"/>
        <w:rPr>
          <w:b/>
          <w:bCs/>
          <w:color w:val="000000" w:themeColor="text1"/>
        </w:rPr>
      </w:pPr>
      <w:r w:rsidRPr="00B271C3">
        <w:rPr>
          <w:b/>
          <w:bCs/>
          <w:color w:val="000000" w:themeColor="text1"/>
        </w:rPr>
        <w:t>Hipoteza 5</w:t>
      </w:r>
    </w:p>
    <w:p w14:paraId="0DE5BC16" w14:textId="7EC648FB" w:rsidR="00D134CF" w:rsidRPr="00C565B4" w:rsidRDefault="00D134CF" w:rsidP="00B271C3">
      <w:r w:rsidRPr="00B271C3">
        <w:t>Treść:</w:t>
      </w:r>
      <w:r w:rsidRPr="00C565B4">
        <w:br/>
        <w:t xml:space="preserve">Deklaracje dostępności nie są znane osobom ze szczególnymi potrzebami i osobom starszym </w:t>
      </w:r>
      <w:r w:rsidR="00C565B4" w:rsidRPr="00C565B4">
        <w:t>i</w:t>
      </w:r>
      <w:r w:rsidR="00C565B4">
        <w:t> </w:t>
      </w:r>
      <w:r w:rsidRPr="00C565B4">
        <w:t>grupy te nie korzystają z ich treści.</w:t>
      </w:r>
    </w:p>
    <w:p w14:paraId="416D4194" w14:textId="77777777" w:rsidR="00D134CF" w:rsidRPr="00B271C3" w:rsidRDefault="00D134CF" w:rsidP="007E26B5">
      <w:pPr>
        <w:spacing w:after="160" w:line="259" w:lineRule="auto"/>
        <w:rPr>
          <w:color w:val="000000" w:themeColor="text1"/>
        </w:rPr>
      </w:pPr>
      <w:r w:rsidRPr="00B271C3">
        <w:rPr>
          <w:color w:val="000000" w:themeColor="text1"/>
        </w:rPr>
        <w:t>Weryfikacja: Pozytywna</w:t>
      </w:r>
    </w:p>
    <w:p w14:paraId="17799D57" w14:textId="77777777" w:rsidR="00D134CF" w:rsidRPr="00C565B4" w:rsidRDefault="00D134CF" w:rsidP="00B271C3">
      <w:r w:rsidRPr="00C565B4">
        <w:t>Zarówno dane jakościowe, jak i ilościowe wskazują na niski poziom świadomości istnienia deklaracji dostępności. Ponad 60% respondentów nie wie, czym jest taki dokument. Zaledwie połowa respondentów, którzy wiedzieli o istnieniu deklaracji, kiedykolwiek do niej zajrzała. Respondenci wskazywali na rozbieżność między treścią deklaracji a realnym działaniem strony. W efekcie osoby z niepełnosprawnościami oraz osoby starsze nie postrzegają deklaracji jako pomocnego narzędzia.</w:t>
      </w:r>
    </w:p>
    <w:p w14:paraId="20D41A2E" w14:textId="77777777" w:rsidR="00D134CF" w:rsidRPr="00B271C3" w:rsidRDefault="00D134CF" w:rsidP="00B271C3">
      <w:pPr>
        <w:pStyle w:val="Nagwek4"/>
        <w:rPr>
          <w:b w:val="0"/>
          <w:color w:val="000000" w:themeColor="text1"/>
        </w:rPr>
      </w:pPr>
      <w:r w:rsidRPr="00B271C3">
        <w:rPr>
          <w:color w:val="000000" w:themeColor="text1"/>
        </w:rPr>
        <w:t>Podsumowanie</w:t>
      </w:r>
    </w:p>
    <w:p w14:paraId="3B75D294" w14:textId="17EAB474" w:rsidR="00D134CF" w:rsidRPr="00BF6615" w:rsidRDefault="00D134CF" w:rsidP="00B271C3">
      <w:pPr>
        <w:rPr>
          <w:rFonts w:eastAsiaTheme="majorEastAsia" w:cstheme="minorHAnsi"/>
          <w:b/>
          <w:bCs/>
          <w:color w:val="C00000"/>
          <w:sz w:val="36"/>
          <w:szCs w:val="28"/>
        </w:rPr>
      </w:pPr>
      <w:r w:rsidRPr="00C565B4">
        <w:t xml:space="preserve">Wszystkie hipotezy badawcze zostały potwierdzone (z wyjątkiem jednej częściowo). Wyniki ilościowe wzmocniły obserwacje z badania jakościowego, pokazując, że problemy dostępności cyfrowej mają charakter systemowy, a ich skala jest znaczna. Zarówno potrzeby użytkowników, jak i konkretne bariery są dobrze </w:t>
      </w:r>
      <w:r w:rsidRPr="00BF6615">
        <w:t>zdefiniowane i mierzalne. Wyniki badania stanowią solidną podstawę do formułowania rekomendacji dla podmiotów publicznych w zakresie poprawy dostępności stron i aplikacji.</w:t>
      </w:r>
      <w:r w:rsidRPr="00BF6615">
        <w:br w:type="page"/>
      </w:r>
    </w:p>
    <w:p w14:paraId="537416AD" w14:textId="24A4A9CD" w:rsidR="00DF4488" w:rsidRPr="00BF6615" w:rsidRDefault="00DF0066" w:rsidP="007E26B5">
      <w:pPr>
        <w:pStyle w:val="Nagwek2"/>
      </w:pPr>
      <w:bookmarkStart w:id="299" w:name="_Toc204179301"/>
      <w:r w:rsidRPr="00BF6615">
        <w:lastRenderedPageBreak/>
        <w:t>W</w:t>
      </w:r>
      <w:r w:rsidR="00412A8D" w:rsidRPr="00BF6615">
        <w:t xml:space="preserve">nioski </w:t>
      </w:r>
      <w:r w:rsidR="00B54AF6" w:rsidRPr="00BF6615">
        <w:t>z badania</w:t>
      </w:r>
      <w:bookmarkEnd w:id="299"/>
    </w:p>
    <w:p w14:paraId="111A9025" w14:textId="5297D7CE" w:rsidR="00424D39" w:rsidRPr="00424D39" w:rsidRDefault="00424D39" w:rsidP="00B271C3">
      <w:pPr>
        <w:pStyle w:val="Nagwek4"/>
      </w:pPr>
      <w:r w:rsidRPr="00424D39">
        <w:t xml:space="preserve">Korzystanie z </w:t>
      </w:r>
      <w:r>
        <w:t xml:space="preserve">komputera i </w:t>
      </w:r>
      <w:r w:rsidRPr="00424D39">
        <w:t>Internetu</w:t>
      </w:r>
    </w:p>
    <w:p w14:paraId="09AC1EC4" w14:textId="77777777" w:rsidR="00323F42" w:rsidRDefault="00424D39" w:rsidP="007E26B5">
      <w:r w:rsidRPr="00424D39">
        <w:t xml:space="preserve">Analiza </w:t>
      </w:r>
      <w:r w:rsidR="00323F42">
        <w:t xml:space="preserve">zebranych </w:t>
      </w:r>
      <w:r w:rsidRPr="00424D39">
        <w:t xml:space="preserve">danych ilościowych wskazała, że </w:t>
      </w:r>
      <w:r w:rsidRPr="00451DCB">
        <w:rPr>
          <w:b/>
          <w:bCs/>
        </w:rPr>
        <w:t>codzienne lub prawie codzienne korzystanie z Internetu deklarowała przytłaczająca większość respondentów</w:t>
      </w:r>
      <w:r w:rsidRPr="00424D39">
        <w:t>, a wskaźnik ten przekraczał poziomy odnotowane w badaniach GUS</w:t>
      </w:r>
      <w:r w:rsidR="00323F42">
        <w:t xml:space="preserve">. Potwierdza to, że </w:t>
      </w:r>
      <w:r w:rsidRPr="00424D39">
        <w:t>badana próba charakteryz</w:t>
      </w:r>
      <w:r w:rsidR="00EF1BA5">
        <w:t>owała się wysokim wskaźnikiem korzystania z si</w:t>
      </w:r>
      <w:r w:rsidR="00323F42">
        <w:t>e</w:t>
      </w:r>
      <w:r w:rsidR="00EF1BA5">
        <w:t>ci.</w:t>
      </w:r>
      <w:r w:rsidRPr="00424D39">
        <w:t xml:space="preserve"> Jednocześnie średni</w:t>
      </w:r>
      <w:r w:rsidR="00EF1BA5">
        <w:t>a</w:t>
      </w:r>
      <w:r w:rsidRPr="00424D39">
        <w:t xml:space="preserve"> samoo</w:t>
      </w:r>
      <w:r w:rsidR="00EF1BA5">
        <w:t xml:space="preserve">cena </w:t>
      </w:r>
      <w:r w:rsidRPr="00424D39">
        <w:t xml:space="preserve">kompetencji cyfrowych </w:t>
      </w:r>
      <w:r w:rsidR="00323F42">
        <w:t xml:space="preserve">w badanej grupie była wysoka- oscylowała na poziomie </w:t>
      </w:r>
      <w:r w:rsidRPr="00424D39">
        <w:t xml:space="preserve">„dobry”–„bardzo dobry”, co odróżnia próbę badawczą od populacji generalnej, w której częściej obserwuje się </w:t>
      </w:r>
      <w:r w:rsidR="00323F42">
        <w:t>różnicę</w:t>
      </w:r>
      <w:r w:rsidRPr="00424D39">
        <w:t xml:space="preserve"> pomiędzy użytkownikami zaawansowanymi a </w:t>
      </w:r>
      <w:r w:rsidR="00323F42">
        <w:t xml:space="preserve">z grup tzw. zagrożonych </w:t>
      </w:r>
      <w:r w:rsidRPr="00424D39">
        <w:t>wyklucz</w:t>
      </w:r>
      <w:r w:rsidR="00323F42">
        <w:t>eniem cyfrowym</w:t>
      </w:r>
      <w:r w:rsidR="008322F9">
        <w:t>.</w:t>
      </w:r>
      <w:r w:rsidRPr="00424D39">
        <w:t xml:space="preserve"> </w:t>
      </w:r>
    </w:p>
    <w:p w14:paraId="431896AC" w14:textId="3C2FF3FA" w:rsidR="00424D39" w:rsidRDefault="00424D39" w:rsidP="007E26B5">
      <w:r w:rsidRPr="00424D39">
        <w:t xml:space="preserve">W wymiarze jakościowym uczestnicy wywiadów, niezależnie od wieku i sprawności, </w:t>
      </w:r>
      <w:r w:rsidRPr="00451DCB">
        <w:rPr>
          <w:b/>
          <w:bCs/>
        </w:rPr>
        <w:t>określali Internet mianem „warunku codziennego funkcjonowania”</w:t>
      </w:r>
      <w:r w:rsidRPr="00424D39">
        <w:t>, choć część rozmówców zauważała, że intensywność korzystania wynika raczej z konieczności niż z pasji (np. obowiązek bankowości elektronicznej)</w:t>
      </w:r>
      <w:r w:rsidR="008322F9">
        <w:t>.</w:t>
      </w:r>
      <w:r w:rsidRPr="00424D39">
        <w:t xml:space="preserve"> Porównanie grup </w:t>
      </w:r>
      <w:r w:rsidR="00323F42">
        <w:t>pokazało</w:t>
      </w:r>
      <w:r w:rsidRPr="00424D39">
        <w:t>, iż obywatele w wieku 18–59 lat najczęściej charakteryzują się ponadpodstawowymi kompetencjami we wszystkich kategoriach umiejętności, co przekłada się na deklarowaną swobodę w samodzielnym rozwiązywaniu problemów online</w:t>
      </w:r>
      <w:r w:rsidR="008322F9">
        <w:t>.</w:t>
      </w:r>
      <w:r w:rsidRPr="00424D39">
        <w:t xml:space="preserve"> Seniorzy 60+ równie często deklarowali codzienn</w:t>
      </w:r>
      <w:r w:rsidR="00323F42">
        <w:t>e korzystanie z</w:t>
      </w:r>
      <w:r w:rsidRPr="00424D39">
        <w:t xml:space="preserve"> sieci, lecz </w:t>
      </w:r>
      <w:r w:rsidR="00C565B4" w:rsidRPr="00424D39">
        <w:t>w</w:t>
      </w:r>
      <w:r w:rsidR="00C565B4">
        <w:t> </w:t>
      </w:r>
      <w:r w:rsidRPr="00424D39">
        <w:t>wywiadach częściej akcentowali poczucie niepewności wobec nowych formatów usług</w:t>
      </w:r>
      <w:r w:rsidR="00323F42">
        <w:t xml:space="preserve">. Przyznawali także, że </w:t>
      </w:r>
      <w:r w:rsidRPr="00424D39">
        <w:t>utrwalone przyzwyczajenia ‒ np. sprawdzanie prognozy pogody czy wiadomości o wydarzeniach lokalnych ‒ popychają ich ku Internetowi, ale zarazem ograniczają do kilku sprawdzonych witryn</w:t>
      </w:r>
      <w:r w:rsidR="008322F9">
        <w:t>.</w:t>
      </w:r>
      <w:r w:rsidRPr="00424D39">
        <w:t xml:space="preserve"> W grupie osób z niepełnosprawnościami wystąpiła największa rozpiętość </w:t>
      </w:r>
      <w:r w:rsidR="00323F42">
        <w:t xml:space="preserve">deklarowanych </w:t>
      </w:r>
      <w:r w:rsidRPr="00424D39">
        <w:t xml:space="preserve">kompetencji: respondenci niewidomi i niesłyszący deklarowali wysoki stopień zależności od technologii wspomagających, podczas gdy osoby </w:t>
      </w:r>
      <w:r w:rsidR="00C565B4" w:rsidRPr="00424D39">
        <w:t>z</w:t>
      </w:r>
      <w:r w:rsidR="00C565B4">
        <w:t> </w:t>
      </w:r>
      <w:r w:rsidRPr="00424D39">
        <w:t>niepełnosprawnością ruchu częściej czuły się równie biegłe, jak użytkownicy pełnosprawni. Jakościowo osoby te podkreślały rolę Internetu w zarządzaniu zdrowiem (wyszukiwanie informacji o leczeniu, kontakt ze specjalistami)</w:t>
      </w:r>
      <w:r w:rsidR="008322F9">
        <w:t>.</w:t>
      </w:r>
      <w:r w:rsidRPr="00424D39">
        <w:t xml:space="preserve"> Nieliczne rozbieżności między wynikami obu </w:t>
      </w:r>
      <w:r w:rsidR="001A00B8">
        <w:t>elementów</w:t>
      </w:r>
      <w:r w:rsidRPr="00424D39">
        <w:t xml:space="preserve"> dotyczyły seniorów: </w:t>
      </w:r>
      <w:r w:rsidR="001A00B8">
        <w:t xml:space="preserve">wyniki ilościowe nie </w:t>
      </w:r>
      <w:r w:rsidRPr="00424D39">
        <w:t xml:space="preserve">uwidoczniły w pełni jakościowego wątku „ostrożnego korzystania” – starsi badani opisując codzienną aktywność przyznawali zarazem, że spędzają online ograniczoną liczbę minut i unikają nowych aplikacji. W efekcie </w:t>
      </w:r>
      <w:r w:rsidR="00323F42">
        <w:t xml:space="preserve">ujawniony </w:t>
      </w:r>
      <w:r w:rsidRPr="00424D39">
        <w:t>statystyczny wskaźnik</w:t>
      </w:r>
      <w:r w:rsidR="00323F42">
        <w:t>:</w:t>
      </w:r>
      <w:r w:rsidRPr="00424D39">
        <w:t xml:space="preserve"> „korzysta codziennie” </w:t>
      </w:r>
      <w:r w:rsidR="00323F42">
        <w:t>nie oddaje faktycznych obaw i dystansu do technologii i e- usług, jaki maja osoby starsze</w:t>
      </w:r>
      <w:r w:rsidRPr="00424D39">
        <w:t>.</w:t>
      </w:r>
    </w:p>
    <w:p w14:paraId="215921A9" w14:textId="77777777" w:rsidR="00424D39" w:rsidRPr="00424D39" w:rsidRDefault="00424D39" w:rsidP="00B271C3">
      <w:pPr>
        <w:pStyle w:val="Nagwek4"/>
        <w:rPr>
          <w:bCs/>
        </w:rPr>
      </w:pPr>
      <w:r w:rsidRPr="00424D39">
        <w:rPr>
          <w:bCs/>
        </w:rPr>
        <w:t xml:space="preserve">Kontakty z administracją </w:t>
      </w:r>
      <w:r w:rsidRPr="001A0952">
        <w:t>przez</w:t>
      </w:r>
      <w:r w:rsidRPr="00424D39">
        <w:rPr>
          <w:bCs/>
        </w:rPr>
        <w:t xml:space="preserve"> strony i aplikacje</w:t>
      </w:r>
    </w:p>
    <w:p w14:paraId="5D6FF7F7" w14:textId="57BDFF13" w:rsidR="00323F42" w:rsidRDefault="00424D39" w:rsidP="007E26B5">
      <w:r w:rsidRPr="00424D39">
        <w:t xml:space="preserve">Z perspektywy całej próby </w:t>
      </w:r>
      <w:r w:rsidRPr="00451DCB">
        <w:rPr>
          <w:b/>
          <w:bCs/>
        </w:rPr>
        <w:t>korzystani</w:t>
      </w:r>
      <w:r w:rsidR="00451DCB">
        <w:rPr>
          <w:b/>
          <w:bCs/>
        </w:rPr>
        <w:t>e</w:t>
      </w:r>
      <w:r w:rsidRPr="00451DCB">
        <w:rPr>
          <w:b/>
          <w:bCs/>
        </w:rPr>
        <w:t xml:space="preserve"> z e-administracji ma charakter powszechny, choć dla większości jest to aktywność okazjonalna</w:t>
      </w:r>
      <w:r w:rsidRPr="00424D39">
        <w:t>: niespełna jedna trzecia respondentów deklarowała częste odwiedzanie stron urzędowych, a jedynie co czwart</w:t>
      </w:r>
      <w:r w:rsidR="00323F42">
        <w:t>a osoba badana</w:t>
      </w:r>
      <w:r w:rsidRPr="00424D39">
        <w:t xml:space="preserve">– regularne używanie aplikacji mobilnych podmiotów publicznych. Badanie jakościowe potwierdziło tę motywację, </w:t>
      </w:r>
      <w:r w:rsidRPr="00424D39">
        <w:lastRenderedPageBreak/>
        <w:t xml:space="preserve">ukazując, że respondentów przyciąga do kanałów cyfrowych przede wszystkim konieczność rozliczenia podatku lub złożenia konkretnego wniosku, a nie przyjemność korzystania z portalu administracji. </w:t>
      </w:r>
    </w:p>
    <w:p w14:paraId="736D1207" w14:textId="196D5675" w:rsidR="00424D39" w:rsidRDefault="00424D39" w:rsidP="007E26B5">
      <w:r w:rsidRPr="00424D39">
        <w:t xml:space="preserve">Wspólne dla wszystkich grup jest przekonanie o </w:t>
      </w:r>
      <w:r w:rsidR="00323F42">
        <w:t xml:space="preserve">e- usługach, jako tych, które pozwalają szybciej załatwić sprawę (o ile są dostępne), lecz stopień zaufania do takiego sposobu jest różny </w:t>
      </w:r>
      <w:r w:rsidR="00C565B4">
        <w:t>w </w:t>
      </w:r>
      <w:r w:rsidR="00323F42">
        <w:t xml:space="preserve">zależności od badanej grupy. </w:t>
      </w:r>
      <w:r w:rsidRPr="00424D39">
        <w:t xml:space="preserve">Obywatele (18–59 lat) najczęściej wybierali formę w pełni cyfrową jako podstawowy sposób załatwiania spraw i postrzegali kontakt osobisty jako „wariant awaryjny”, co odzwierciedla zarówno preferencje ilościowe, jak i narracje o wygodzie </w:t>
      </w:r>
      <w:r w:rsidR="00087888">
        <w:t>korzystania z e-usług</w:t>
      </w:r>
      <w:r w:rsidR="008322F9">
        <w:t>.</w:t>
      </w:r>
      <w:r w:rsidRPr="00424D39">
        <w:t xml:space="preserve"> Seniorzy wykazywali większą </w:t>
      </w:r>
      <w:r w:rsidR="00323F42">
        <w:t>ostrożność</w:t>
      </w:r>
      <w:r w:rsidRPr="00424D39">
        <w:t xml:space="preserve">: odsetek w pełni cyfrowych </w:t>
      </w:r>
      <w:r w:rsidR="00323F42">
        <w:t>działań</w:t>
      </w:r>
      <w:r w:rsidRPr="00424D39">
        <w:t xml:space="preserve"> był u nich niższy, a jako powód wskazywano lęk przed błędem i potrzebę „ludzkiego potwierdzenia” podczas </w:t>
      </w:r>
      <w:r w:rsidR="00323F42">
        <w:t>załatwiania</w:t>
      </w:r>
      <w:r w:rsidRPr="00424D39">
        <w:t xml:space="preserve"> spraw</w:t>
      </w:r>
      <w:r w:rsidR="008322F9">
        <w:t>.</w:t>
      </w:r>
      <w:r w:rsidRPr="00424D39">
        <w:t xml:space="preserve"> Osoby z niepełnosprawnościami tworzyły najbardziej niejednorodny profil: użytkownicy </w:t>
      </w:r>
      <w:r w:rsidR="00323F42" w:rsidRPr="00424D39">
        <w:t xml:space="preserve">niesprawni </w:t>
      </w:r>
      <w:r w:rsidRPr="00424D39">
        <w:t xml:space="preserve">ruchowo doceniali </w:t>
      </w:r>
      <w:r w:rsidR="00BD60AA">
        <w:t>możliwość załatwienia sprawy zdalnie</w:t>
      </w:r>
      <w:r w:rsidRPr="00424D39">
        <w:t>, natomiast osoby niewidome lub głuche częściej sygnalizowały rezygnację z</w:t>
      </w:r>
      <w:r w:rsidR="00323F42">
        <w:t xml:space="preserve">e strony czy </w:t>
      </w:r>
      <w:r w:rsidRPr="00424D39">
        <w:t>aplikacji ze względu na bariery dostępności</w:t>
      </w:r>
      <w:r w:rsidR="008322F9">
        <w:t>.</w:t>
      </w:r>
      <w:r w:rsidRPr="00424D39">
        <w:t xml:space="preserve"> Wyniki jakościowe </w:t>
      </w:r>
      <w:r w:rsidR="00323F42">
        <w:t>uwidoczniły</w:t>
      </w:r>
      <w:r w:rsidRPr="00424D39">
        <w:t xml:space="preserve">, że wskaźniki deklarowanego użycia stron urzędowych wśród osób </w:t>
      </w:r>
      <w:r w:rsidR="00C565B4" w:rsidRPr="00424D39">
        <w:t>z</w:t>
      </w:r>
      <w:r w:rsidR="00C565B4">
        <w:t> </w:t>
      </w:r>
      <w:r w:rsidRPr="00424D39">
        <w:t xml:space="preserve">niepełnosprawnościami nie </w:t>
      </w:r>
      <w:r w:rsidR="00A97A6E">
        <w:t>odbiegają od średniej</w:t>
      </w:r>
      <w:r w:rsidRPr="00424D39">
        <w:t>,</w:t>
      </w:r>
      <w:r w:rsidR="00A97A6E">
        <w:t xml:space="preserve"> ale</w:t>
      </w:r>
      <w:r w:rsidRPr="00424D39">
        <w:t xml:space="preserve"> faktyczna satysfakcja i samodzielność </w:t>
      </w:r>
      <w:r w:rsidR="00C565B4" w:rsidRPr="00424D39">
        <w:t>są</w:t>
      </w:r>
      <w:r w:rsidR="00C565B4">
        <w:t> </w:t>
      </w:r>
      <w:r w:rsidRPr="00424D39">
        <w:t>niższe</w:t>
      </w:r>
      <w:r w:rsidR="00A97A6E">
        <w:t>. R</w:t>
      </w:r>
      <w:r w:rsidRPr="00424D39">
        <w:t>espondenci z tej grupy relacjonowali, iż e-formularze bywają zbyt złożone do wypełnienia z użyciem czytnika ekranu lub że aplikacje mobilne „magazynują błędy” przy obsłudze gestami. Rozbieżność metod polega na tym, że dane ankietowe akcentują sam fakt wejścia na stronę lub pobrania aplikacji, podczas gdy relacje w wywiadach ujawniają zjawisko porzucania procesu w połowie i powrotu do kontaktu telefonicznego lub osobistego</w:t>
      </w:r>
      <w:r w:rsidR="008322F9">
        <w:t>.</w:t>
      </w:r>
    </w:p>
    <w:p w14:paraId="3A599B3E" w14:textId="77777777" w:rsidR="00424D39" w:rsidRPr="00424D39" w:rsidRDefault="00424D39" w:rsidP="00B271C3">
      <w:pPr>
        <w:pStyle w:val="Nagwek4"/>
        <w:rPr>
          <w:bCs/>
        </w:rPr>
      </w:pPr>
      <w:r w:rsidRPr="00424D39">
        <w:rPr>
          <w:bCs/>
        </w:rPr>
        <w:t xml:space="preserve">Doświadczenia </w:t>
      </w:r>
      <w:r w:rsidRPr="001A0952">
        <w:t>korzystania</w:t>
      </w:r>
      <w:r w:rsidRPr="00424D39">
        <w:rPr>
          <w:bCs/>
        </w:rPr>
        <w:t xml:space="preserve"> ze stron i aplikacji publicznych</w:t>
      </w:r>
    </w:p>
    <w:p w14:paraId="1AA56760" w14:textId="3AE3DE05" w:rsidR="00424D39" w:rsidRDefault="00424D39" w:rsidP="007E26B5">
      <w:r w:rsidRPr="00424D39">
        <w:t>Średnie oceny poszczególnych aspektów dostępności stron i aplikacji w skali pięciostopniowej lokowały się pomiędzy 3</w:t>
      </w:r>
      <w:r w:rsidR="00D74B76">
        <w:t xml:space="preserve">,0 </w:t>
      </w:r>
      <w:r w:rsidRPr="00424D39">
        <w:t xml:space="preserve">a </w:t>
      </w:r>
      <w:r w:rsidR="00D74B76">
        <w:t>5,0</w:t>
      </w:r>
      <w:r w:rsidRPr="00424D39">
        <w:t xml:space="preserve">, co </w:t>
      </w:r>
      <w:r w:rsidRPr="00FE3BD0">
        <w:t xml:space="preserve">świadczy o </w:t>
      </w:r>
      <w:r w:rsidRPr="00451DCB">
        <w:rPr>
          <w:b/>
          <w:bCs/>
        </w:rPr>
        <w:t>generalnie dobrym poziomie satysfakcji</w:t>
      </w:r>
      <w:r w:rsidR="008322F9" w:rsidRPr="00FE3BD0">
        <w:t>.</w:t>
      </w:r>
      <w:r w:rsidRPr="00FE3BD0">
        <w:t xml:space="preserve"> Jednak </w:t>
      </w:r>
      <w:r w:rsidR="00A97A6E" w:rsidRPr="00FE3BD0">
        <w:t xml:space="preserve">szczegółowa </w:t>
      </w:r>
      <w:r w:rsidRPr="00FE3BD0">
        <w:t xml:space="preserve">analiza </w:t>
      </w:r>
      <w:r w:rsidR="00A97A6E" w:rsidRPr="00FE3BD0">
        <w:t>ocen</w:t>
      </w:r>
      <w:r w:rsidRPr="00FE3BD0">
        <w:t xml:space="preserve"> wskazuje na wyraźne różnice między kategoriami: najwyżej premiowane były serwisy instytucji kultury, natomiast najniższe noty otrzymały portale powiatowych urzędów pracy, zwłaszcza w kryterium „łatwego kontaktu z podmiotem”</w:t>
      </w:r>
      <w:r w:rsidR="008322F9" w:rsidRPr="00FE3BD0">
        <w:t>.</w:t>
      </w:r>
      <w:r w:rsidRPr="00FE3BD0">
        <w:t xml:space="preserve"> </w:t>
      </w:r>
      <w:r w:rsidR="00C565B4" w:rsidRPr="00FE3BD0">
        <w:t>W</w:t>
      </w:r>
      <w:r w:rsidR="00C565B4">
        <w:t> </w:t>
      </w:r>
      <w:r w:rsidRPr="00FE3BD0">
        <w:t>wymiarze jakościowym respondenci wszystkich grup chwalili strony kulturalne za klarowny układ, atrakcyjną ikonografię i bezproblemową rezerwację biletów; z kolei krytyczne relacje</w:t>
      </w:r>
      <w:r w:rsidRPr="00424D39">
        <w:t xml:space="preserve"> dotyczyły głównie witryn rządowych, których architektura informacji bywała dla osób niewidomych „labiryntem bez wyjścia”</w:t>
      </w:r>
      <w:r w:rsidR="008322F9">
        <w:t>.</w:t>
      </w:r>
      <w:r w:rsidRPr="00424D39">
        <w:t xml:space="preserve"> Obywatele oceniali najwyżej lokalne portale gminne, podkreślając ich prostotę i szybkie publikowanie ogłoszeń</w:t>
      </w:r>
      <w:r w:rsidR="008322F9">
        <w:t>.</w:t>
      </w:r>
      <w:r w:rsidRPr="00424D39">
        <w:t xml:space="preserve"> Seniorzy byli bardziej zadowoleni </w:t>
      </w:r>
      <w:r w:rsidR="00C565B4" w:rsidRPr="00424D39">
        <w:t>z</w:t>
      </w:r>
      <w:r w:rsidR="00C565B4">
        <w:t> </w:t>
      </w:r>
      <w:r w:rsidRPr="00424D39">
        <w:t>serwisów skarbowych i zdrowotnych, w których cenili przewidywalny układ pól oraz precyzyjne etykietowanie</w:t>
      </w:r>
      <w:r w:rsidR="00FE3BD0">
        <w:t>. N</w:t>
      </w:r>
      <w:r w:rsidRPr="00424D39">
        <w:t>egatywnie oceniali dynamicznie przebudowywane strony miejskie, które „gubią” przyzwyczajenia użytkownika</w:t>
      </w:r>
      <w:r w:rsidR="008322F9">
        <w:t>.</w:t>
      </w:r>
      <w:r w:rsidRPr="00424D39">
        <w:t xml:space="preserve"> Osoby z niepełnosprawnościami relatywnie wysoko oceniły strony MOPS/PCPR, prawdopodobnie dlatego, że te podmioty lepiej implementują WCAG (np. tłumacz</w:t>
      </w:r>
      <w:r w:rsidR="00FE3BD0">
        <w:t xml:space="preserve">enie na </w:t>
      </w:r>
      <w:r w:rsidRPr="00424D39">
        <w:t>PJM)</w:t>
      </w:r>
      <w:r w:rsidR="008322F9">
        <w:t>.</w:t>
      </w:r>
      <w:r w:rsidRPr="00424D39">
        <w:t xml:space="preserve"> Rozbieżność widoczna jest zwłaszcza przy serwisach </w:t>
      </w:r>
      <w:r w:rsidRPr="00424D39">
        <w:lastRenderedPageBreak/>
        <w:t xml:space="preserve">centralnych: ankieta rejestrowała noty około „dostateczny+”, lecz w wywiadach osoby </w:t>
      </w:r>
      <w:r w:rsidR="00C565B4" w:rsidRPr="00424D39">
        <w:t>z</w:t>
      </w:r>
      <w:r w:rsidR="00C565B4">
        <w:t> </w:t>
      </w:r>
      <w:r w:rsidRPr="00424D39">
        <w:t xml:space="preserve">niepełnosprawnościami opisywały te strony jako „najtrudniejsze w użyciu”, dzięki czemu można wnioskować, iż część respondentów zaniża negatywne doświadczenia </w:t>
      </w:r>
      <w:r w:rsidR="00C565B4" w:rsidRPr="00424D39">
        <w:t>w</w:t>
      </w:r>
      <w:r w:rsidR="00C565B4">
        <w:t> </w:t>
      </w:r>
      <w:r w:rsidRPr="00424D39">
        <w:t xml:space="preserve">kwestionariuszu, dopiero w </w:t>
      </w:r>
      <w:r w:rsidR="00FE3BD0">
        <w:t>wywiadzie</w:t>
      </w:r>
      <w:r w:rsidRPr="00424D39">
        <w:t xml:space="preserve"> ujawniając frustrację. Podobny rozdźwięk odnotowano w odniesieniu do aplikacji samorządowych ‒ </w:t>
      </w:r>
      <w:r w:rsidR="00FE3BD0">
        <w:t xml:space="preserve">średnia ocen to zazwyczaj </w:t>
      </w:r>
      <w:r w:rsidRPr="00424D39">
        <w:t xml:space="preserve">„dobry”, natomiast seniorzy w testach terenowych wycofywali się z </w:t>
      </w:r>
      <w:r w:rsidR="00D74B76">
        <w:t>działania w aplikacjach</w:t>
      </w:r>
      <w:r w:rsidRPr="00424D39">
        <w:t xml:space="preserve"> po kilku nieudanych próbach, wskazując na realną barierę użyteczności niezarejestrowaną w danych liczbowych.</w:t>
      </w:r>
    </w:p>
    <w:p w14:paraId="567B9D26" w14:textId="77777777" w:rsidR="00424D39" w:rsidRPr="00424D39" w:rsidRDefault="00424D39" w:rsidP="00B271C3">
      <w:pPr>
        <w:pStyle w:val="Nagwek4"/>
        <w:rPr>
          <w:bCs/>
        </w:rPr>
      </w:pPr>
      <w:r w:rsidRPr="00424D39">
        <w:rPr>
          <w:bCs/>
        </w:rPr>
        <w:t xml:space="preserve">Oczekiwania </w:t>
      </w:r>
      <w:r w:rsidRPr="001A0952">
        <w:t>użytkowników</w:t>
      </w:r>
      <w:r w:rsidRPr="00424D39">
        <w:rPr>
          <w:bCs/>
        </w:rPr>
        <w:t xml:space="preserve"> wobec stron i aplikacji</w:t>
      </w:r>
    </w:p>
    <w:p w14:paraId="5F489B63" w14:textId="71603C06" w:rsidR="00424D39" w:rsidRDefault="00FE3BD0" w:rsidP="007E26B5">
      <w:r w:rsidRPr="00451DCB">
        <w:rPr>
          <w:b/>
          <w:bCs/>
        </w:rPr>
        <w:t>Oczekiwania są</w:t>
      </w:r>
      <w:r w:rsidR="00424D39" w:rsidRPr="00451DCB">
        <w:rPr>
          <w:b/>
          <w:bCs/>
        </w:rPr>
        <w:t xml:space="preserve"> wspóln</w:t>
      </w:r>
      <w:r w:rsidRPr="00451DCB">
        <w:rPr>
          <w:b/>
          <w:bCs/>
        </w:rPr>
        <w:t>e</w:t>
      </w:r>
      <w:r w:rsidR="00424D39" w:rsidRPr="00451DCB">
        <w:rPr>
          <w:b/>
          <w:bCs/>
        </w:rPr>
        <w:t xml:space="preserve"> dla badanych </w:t>
      </w:r>
      <w:r w:rsidRPr="00451DCB">
        <w:rPr>
          <w:b/>
          <w:bCs/>
        </w:rPr>
        <w:t>wszystkich grup badanych</w:t>
      </w:r>
      <w:r w:rsidR="00424D39" w:rsidRPr="00451DCB">
        <w:rPr>
          <w:b/>
          <w:bCs/>
        </w:rPr>
        <w:t>: najwyżej cenione cechy to klarowność języka, przejrzysta struktura informacji oraz łatwy kanał kontaktu z urzędem</w:t>
      </w:r>
      <w:r w:rsidR="008322F9">
        <w:t>.</w:t>
      </w:r>
      <w:r w:rsidR="00424D39" w:rsidRPr="00424D39">
        <w:t xml:space="preserve"> Analiza ankiet wykazała, że ponad połowa respondentów we wszystkich grupach uznała prosty język i przejrzystość za „bardzo ważne”, a niemal tyle samo wskazało potrzebę zrozumiałych komunikatów o błędach formularzy</w:t>
      </w:r>
      <w:r w:rsidR="008322F9">
        <w:t>.</w:t>
      </w:r>
      <w:r w:rsidR="00424D39" w:rsidRPr="00424D39">
        <w:t xml:space="preserve"> Jednak</w:t>
      </w:r>
      <w:r>
        <w:t xml:space="preserve"> nacisk na p</w:t>
      </w:r>
      <w:r w:rsidR="00424D39" w:rsidRPr="00424D39">
        <w:t>oszczególn</w:t>
      </w:r>
      <w:r>
        <w:t>e</w:t>
      </w:r>
      <w:r w:rsidR="00424D39" w:rsidRPr="00424D39">
        <w:t xml:space="preserve"> kryteri</w:t>
      </w:r>
      <w:r>
        <w:t>a</w:t>
      </w:r>
      <w:r w:rsidR="00424D39" w:rsidRPr="00424D39">
        <w:t xml:space="preserve"> </w:t>
      </w:r>
      <w:r>
        <w:t>był różny</w:t>
      </w:r>
      <w:r w:rsidR="00424D39" w:rsidRPr="00424D39">
        <w:t xml:space="preserve"> </w:t>
      </w:r>
      <w:r w:rsidR="00C565B4" w:rsidRPr="00424D39">
        <w:t>w</w:t>
      </w:r>
      <w:r w:rsidR="00C565B4">
        <w:t> </w:t>
      </w:r>
      <w:r w:rsidR="00424D39" w:rsidRPr="00424D39">
        <w:t>zależności od grupy: osoby z niepełnosprawnościami częściej niż inne domagały się obecności tłumacza PJM oraz tekstów łatwych do czytania (ETR), zaś seniorzy wskazywali na stałość interfejsu i możliwość powiększenia czcionki jako warunek zaufania do e-usługi</w:t>
      </w:r>
      <w:r w:rsidR="008322F9">
        <w:t>.</w:t>
      </w:r>
      <w:r w:rsidR="00424D39" w:rsidRPr="00424D39">
        <w:t xml:space="preserve"> Wśród obywateli w wieku 18–59 lat wątkiem dominującym była oczekiwana integracja usług </w:t>
      </w:r>
      <w:r w:rsidR="00C565B4" w:rsidRPr="00424D39">
        <w:t>w</w:t>
      </w:r>
      <w:r w:rsidR="00C565B4">
        <w:t> </w:t>
      </w:r>
      <w:r w:rsidR="00424D39" w:rsidRPr="00424D39">
        <w:t>pojedynczej platformie i logika „jednego logowania”, co wybrzmiało silnie w odpowiedziach otwartych</w:t>
      </w:r>
      <w:r w:rsidR="008322F9">
        <w:t>.</w:t>
      </w:r>
      <w:r w:rsidR="00424D39" w:rsidRPr="00424D39">
        <w:t xml:space="preserve"> W badaniu jakościowym zbieżności te potwierdzono, lecz rozmówcy rozszerzyli je </w:t>
      </w:r>
      <w:r w:rsidR="00C565B4" w:rsidRPr="00424D39">
        <w:t>o</w:t>
      </w:r>
      <w:r w:rsidR="00C565B4">
        <w:t> </w:t>
      </w:r>
      <w:r w:rsidR="00424D39" w:rsidRPr="00424D39">
        <w:t>postulaty wdrożenia narzędzi AI do automatycznej asysty i personalizacji, szczególnie cenione przez młodszych użytkowników</w:t>
      </w:r>
      <w:r w:rsidR="008322F9">
        <w:t>.</w:t>
      </w:r>
      <w:r w:rsidR="00424D39" w:rsidRPr="00424D39">
        <w:t xml:space="preserve"> Rozbieżności między </w:t>
      </w:r>
      <w:r>
        <w:t>potrzebami</w:t>
      </w:r>
      <w:r w:rsidR="00424D39" w:rsidRPr="00424D39">
        <w:t xml:space="preserve"> pojawiły się przy ocenie roli ułatwień </w:t>
      </w:r>
      <w:proofErr w:type="spellStart"/>
      <w:r w:rsidR="00424D39" w:rsidRPr="00424D39">
        <w:t>dostępnościowych</w:t>
      </w:r>
      <w:proofErr w:type="spellEnd"/>
      <w:r w:rsidR="00424D39" w:rsidRPr="00424D39">
        <w:t>: ankieta sugerowała umiarkowane zainteresowanie trybem wysokiego kontrastu w populacji ogólnej, natomiast w grupie fokusowej seniorzy deklarowali, że regularnie włączają takie funkcje, tyle że nie zawsze zdają sobie sprawę, iż są to „ułatwienia dostępności” w sensie formalnym.</w:t>
      </w:r>
    </w:p>
    <w:p w14:paraId="7F7E03F8" w14:textId="77777777" w:rsidR="00424D39" w:rsidRPr="00424D39" w:rsidRDefault="00424D39" w:rsidP="00B271C3">
      <w:pPr>
        <w:pStyle w:val="Nagwek4"/>
        <w:rPr>
          <w:bCs/>
        </w:rPr>
      </w:pPr>
      <w:r w:rsidRPr="00424D39">
        <w:rPr>
          <w:bCs/>
        </w:rPr>
        <w:t xml:space="preserve">Technologie </w:t>
      </w:r>
      <w:r w:rsidRPr="001A0952">
        <w:t>wspomagające</w:t>
      </w:r>
    </w:p>
    <w:p w14:paraId="206B4D96" w14:textId="13EBA32D" w:rsidR="00424D39" w:rsidRDefault="00424D39" w:rsidP="007E26B5">
      <w:r w:rsidRPr="00424D39">
        <w:t xml:space="preserve">W wymiarze ogólnym ponad </w:t>
      </w:r>
      <w:r w:rsidR="00FE3BD0" w:rsidRPr="00451DCB">
        <w:rPr>
          <w:b/>
          <w:bCs/>
        </w:rPr>
        <w:t>cztery piąte</w:t>
      </w:r>
      <w:r w:rsidRPr="00451DCB">
        <w:rPr>
          <w:b/>
          <w:bCs/>
        </w:rPr>
        <w:t xml:space="preserve"> respondentów nie korzystało z żadnych specjalistycznych technologii wspomagających podczas pracy ze stronami i aplikacjami publicznymi</w:t>
      </w:r>
      <w:r w:rsidR="008322F9">
        <w:t>.</w:t>
      </w:r>
      <w:r w:rsidRPr="00424D39">
        <w:t xml:space="preserve"> Jednak </w:t>
      </w:r>
      <w:r w:rsidR="00FE3BD0">
        <w:t>różnice między grupami</w:t>
      </w:r>
      <w:r w:rsidRPr="00424D39">
        <w:t xml:space="preserve"> się wyraźnie: osoby z niepełnosprawnościami deklarowały użycie czytników ekranu, lup ekranowych i oprogramowania rozpoznawania mowy prawie trzykrotnie częściej niż pozostałe grupy</w:t>
      </w:r>
      <w:r w:rsidR="008322F9">
        <w:t>.</w:t>
      </w:r>
      <w:r w:rsidRPr="00424D39">
        <w:t xml:space="preserve"> Najpowszechniejszym narzędziem w tej grupie był czytnik ekranu, wskazywany przede wszystkim przez osoby niewidome, a zarazem uznany </w:t>
      </w:r>
      <w:r w:rsidR="00FE3BD0">
        <w:t xml:space="preserve">przez nich </w:t>
      </w:r>
      <w:r w:rsidRPr="00424D39">
        <w:t xml:space="preserve">za </w:t>
      </w:r>
      <w:r w:rsidR="005E5F32">
        <w:t xml:space="preserve">fundamentalny </w:t>
      </w:r>
      <w:r w:rsidRPr="00424D39">
        <w:t>warunek dostępu do e-usług</w:t>
      </w:r>
      <w:r w:rsidR="008322F9">
        <w:t>.</w:t>
      </w:r>
      <w:r w:rsidRPr="00424D39">
        <w:t xml:space="preserve"> Seniorzy zwykle ograniczali się do funkcji powiększania czcionki lub kontrastu w ustawieniach przeglądarki, nie identyfikując tych działań jako „technologii wspomagających”</w:t>
      </w:r>
      <w:r w:rsidR="008322F9">
        <w:t>.</w:t>
      </w:r>
      <w:r w:rsidRPr="00424D39">
        <w:t xml:space="preserve"> Obywatele 18–59 lat najrzadziej zgłaszali potrzebę dodatkowych narzędzi, choć część używała zewnętrznej klawiatury do formularzy na </w:t>
      </w:r>
      <w:r w:rsidRPr="00424D39">
        <w:lastRenderedPageBreak/>
        <w:t>smartfonie, traktując ją raczej jako akcesorium niż wsparcie</w:t>
      </w:r>
      <w:r w:rsidR="008322F9">
        <w:t>.</w:t>
      </w:r>
      <w:r w:rsidRPr="00424D39">
        <w:t xml:space="preserve"> Dane jakościowe ujawniły, że wbrew oczekiwaniom osoby z niepełnosprawnościami nie zawsze wykorzystywały pełen potencjał dostępnych technologii: część osób głuchych deklarowała rezygnację z wideo-tłumacza, uznając, że „strona i tak nie ma nic w PJM”, co obrazuje błędne koło braku popytu </w:t>
      </w:r>
      <w:r w:rsidR="00C565B4" w:rsidRPr="00424D39">
        <w:t>i</w:t>
      </w:r>
      <w:r w:rsidR="00C565B4">
        <w:t> </w:t>
      </w:r>
      <w:r w:rsidRPr="00424D39">
        <w:t>podaży. Rozbieżność metod polega tu na tym, że ankieta ujawnia jedynie fakt posiadania narzędzia, natomiast wywiady demaskują stopień jego faktycznego użycia i użyteczności – nie zawsze zbieżny z deklaracją.</w:t>
      </w:r>
    </w:p>
    <w:p w14:paraId="4F8C3D25" w14:textId="1CA78F66" w:rsidR="00424D39" w:rsidRPr="00424D39" w:rsidRDefault="00424D39" w:rsidP="00B271C3">
      <w:pPr>
        <w:pStyle w:val="Nagwek4"/>
        <w:rPr>
          <w:bCs/>
        </w:rPr>
      </w:pPr>
      <w:r w:rsidRPr="00424D39">
        <w:rPr>
          <w:bCs/>
        </w:rPr>
        <w:t xml:space="preserve">Trudności w </w:t>
      </w:r>
      <w:r w:rsidRPr="001A0952">
        <w:t>obsłudze</w:t>
      </w:r>
      <w:r w:rsidRPr="00424D39">
        <w:rPr>
          <w:bCs/>
        </w:rPr>
        <w:t xml:space="preserve"> i strategie radzenia sobie</w:t>
      </w:r>
      <w:r w:rsidR="000F666C">
        <w:rPr>
          <w:bCs/>
        </w:rPr>
        <w:t xml:space="preserve"> z nimi</w:t>
      </w:r>
    </w:p>
    <w:p w14:paraId="5212A37C" w14:textId="554B0A2B" w:rsidR="00424D39" w:rsidRDefault="00424D39" w:rsidP="007E26B5">
      <w:r w:rsidRPr="00424D39">
        <w:t xml:space="preserve">Łącznie jedynie około </w:t>
      </w:r>
      <w:r w:rsidR="000F666C">
        <w:t>15%</w:t>
      </w:r>
      <w:r w:rsidRPr="00424D39">
        <w:t xml:space="preserve"> badanych deklarowało, że nigdy nie natrafia na problemy podczas korzystania z e-usług publicznych, co oznacza, że </w:t>
      </w:r>
      <w:r w:rsidRPr="00451DCB">
        <w:rPr>
          <w:b/>
          <w:bCs/>
        </w:rPr>
        <w:t>doświadczenie barier jest normą, a nie wyjątkiem</w:t>
      </w:r>
      <w:r w:rsidR="008322F9">
        <w:t>.</w:t>
      </w:r>
      <w:r w:rsidRPr="00424D39">
        <w:t xml:space="preserve"> Najczęstszymi trudnościami raportowanymi w ankiecie były błędy techniczne, nieczytelne lub zbyt małe pola formularzy, zbyt niski kontrast tekstu i brak informacji zwrotnej po wysłaniu dokumentu</w:t>
      </w:r>
      <w:r w:rsidR="008322F9">
        <w:t>.</w:t>
      </w:r>
      <w:r w:rsidRPr="00424D39">
        <w:t xml:space="preserve"> W wywiadach osoby z niepełnosprawnościami dodawały problemy specyficzne</w:t>
      </w:r>
      <w:r w:rsidR="00FE3BD0">
        <w:t xml:space="preserve"> dla potrzeb tej grupy</w:t>
      </w:r>
      <w:r w:rsidRPr="00424D39">
        <w:t>, takie jak nieopisane przyciski dla czytników oraz niekompatybilne kontrolki typu drag-and-drop</w:t>
      </w:r>
      <w:r w:rsidR="00FD5DC9">
        <w:t xml:space="preserve"> (złap i upuść). S</w:t>
      </w:r>
      <w:r w:rsidRPr="00424D39">
        <w:t xml:space="preserve">eniorzy podkreślali </w:t>
      </w:r>
      <w:r w:rsidR="00FD5DC9">
        <w:t>niezadowolenie</w:t>
      </w:r>
      <w:r w:rsidRPr="00424D39">
        <w:t xml:space="preserve"> powodowan</w:t>
      </w:r>
      <w:r w:rsidR="00FD5DC9">
        <w:t>e</w:t>
      </w:r>
      <w:r w:rsidRPr="00424D39">
        <w:t xml:space="preserve"> nagłymi zmianami wyglądu stron</w:t>
      </w:r>
      <w:r w:rsidR="008322F9">
        <w:t>.</w:t>
      </w:r>
      <w:r w:rsidRPr="00424D39">
        <w:t xml:space="preserve"> Strategie radzenia sobie </w:t>
      </w:r>
      <w:r w:rsidR="00FD5DC9">
        <w:t>były rożne</w:t>
      </w:r>
      <w:r w:rsidRPr="00424D39">
        <w:t xml:space="preserve">: samodzielne próby dominowały wśród obywateli (ponad </w:t>
      </w:r>
      <w:r w:rsidR="00B95BCC">
        <w:t>40%</w:t>
      </w:r>
      <w:r w:rsidRPr="00424D39">
        <w:t>) oraz seniorów (wysoki odsetek wskazywał, że „klikają do skutku”), natomiast osoby z niepełnosprawnościami częściej sięgały po pomoc instytucjonalną lub wsparcie rodziny</w:t>
      </w:r>
      <w:r w:rsidR="008322F9">
        <w:t>.</w:t>
      </w:r>
      <w:r w:rsidRPr="00424D39">
        <w:t xml:space="preserve"> </w:t>
      </w:r>
      <w:r w:rsidR="00FD5DC9">
        <w:t>W</w:t>
      </w:r>
      <w:r w:rsidRPr="00424D39">
        <w:t xml:space="preserve"> ocenie skuteczności infolinii</w:t>
      </w:r>
      <w:r w:rsidR="00FD5DC9">
        <w:t xml:space="preserve"> można stwierdzić „błędne koło”- </w:t>
      </w:r>
      <w:r w:rsidRPr="00424D39">
        <w:t xml:space="preserve"> ankieta </w:t>
      </w:r>
      <w:r w:rsidR="00FD5DC9">
        <w:t>wskazywała</w:t>
      </w:r>
      <w:r w:rsidRPr="00424D39">
        <w:t xml:space="preserve"> umiarkowaną popularność tego kanału (ok. 16 %), </w:t>
      </w:r>
      <w:r w:rsidR="00FD5DC9">
        <w:t>a</w:t>
      </w:r>
      <w:r w:rsidRPr="00424D39">
        <w:t xml:space="preserve"> w rozmowach użytkownicy wyrażali silną frustrację z powodu długiego oczekiwania i zbyt złożon</w:t>
      </w:r>
      <w:r w:rsidR="001048B2">
        <w:t>ego procesu</w:t>
      </w:r>
      <w:r w:rsidRPr="00424D39">
        <w:t xml:space="preserve">, co zniechęca do ponownego korzystania. Dodatkowo narracje osób starszych ujawniły zjawisko „cyfrowego odwrotu”: po serii nieudanych prób online respondenci wracali do tradycyjnej wizyty w urzędzie, co nie zostało w pełni </w:t>
      </w:r>
      <w:r w:rsidR="005B3798">
        <w:t>uwidocznione</w:t>
      </w:r>
      <w:r w:rsidRPr="00424D39">
        <w:t xml:space="preserve"> w pytaniach zamkniętych.</w:t>
      </w:r>
    </w:p>
    <w:p w14:paraId="3016AD3B" w14:textId="77777777" w:rsidR="00424D39" w:rsidRPr="00424D39" w:rsidRDefault="00424D39" w:rsidP="00B271C3">
      <w:pPr>
        <w:pStyle w:val="Nagwek4"/>
        <w:rPr>
          <w:bCs/>
        </w:rPr>
      </w:pPr>
      <w:r w:rsidRPr="00424D39">
        <w:rPr>
          <w:bCs/>
        </w:rPr>
        <w:t xml:space="preserve">Deklaracje </w:t>
      </w:r>
      <w:r w:rsidRPr="001A0952">
        <w:t>dostępności</w:t>
      </w:r>
    </w:p>
    <w:p w14:paraId="71007A76" w14:textId="243B96CD" w:rsidR="00424D39" w:rsidRDefault="00424D39" w:rsidP="007E26B5">
      <w:r w:rsidRPr="0090320A">
        <w:t xml:space="preserve">Świadomość obowiązku </w:t>
      </w:r>
      <w:r w:rsidR="0090320A" w:rsidRPr="0090320A">
        <w:t xml:space="preserve">przygotowywania i </w:t>
      </w:r>
      <w:r w:rsidRPr="0090320A">
        <w:t>publikowania deklaracji dostępności okazała się niska</w:t>
      </w:r>
      <w:r w:rsidR="0090320A">
        <w:t xml:space="preserve"> w każdej z badanych grup i wahała się od 36% w grupie osób 60+ do 43% w grupie osób</w:t>
      </w:r>
      <w:r w:rsidRPr="0090320A">
        <w:t xml:space="preserve"> </w:t>
      </w:r>
      <w:r w:rsidR="00C565B4" w:rsidRPr="0090320A">
        <w:t>z</w:t>
      </w:r>
      <w:r w:rsidR="00C565B4">
        <w:t> </w:t>
      </w:r>
      <w:r w:rsidRPr="0090320A">
        <w:t>niepełnosprawnościami</w:t>
      </w:r>
      <w:r w:rsidR="0090320A">
        <w:t xml:space="preserve">. Oznacza to, że </w:t>
      </w:r>
      <w:r w:rsidR="0090320A" w:rsidRPr="00451DCB">
        <w:rPr>
          <w:b/>
          <w:bCs/>
        </w:rPr>
        <w:t>większość badanych nie wiedziała o deklaracjach dostępności</w:t>
      </w:r>
      <w:r w:rsidR="0090320A">
        <w:t>.</w:t>
      </w:r>
      <w:r w:rsidRPr="0090320A">
        <w:t xml:space="preserve"> Co więcej, tylko niewielki ułamek świadomych użytkowników kiedykolwiek zajrzał do deklaracji, a jeszcze mniejszy potrafił wskazać, że znalazł tam konkretne, przydatne informacje</w:t>
      </w:r>
      <w:r w:rsidR="008322F9" w:rsidRPr="0090320A">
        <w:t>.</w:t>
      </w:r>
      <w:r w:rsidRPr="0090320A">
        <w:t xml:space="preserve"> Wśród osób z niepełnosprawnościami połowa korzystających oceniła deklaracje pozytywnie jako źródło wiedzy o barierach, lecz </w:t>
      </w:r>
      <w:r w:rsidR="003F35C5" w:rsidRPr="0090320A">
        <w:t>użyteczność</w:t>
      </w:r>
      <w:r w:rsidRPr="0090320A">
        <w:t xml:space="preserve"> tych dokumentów kwestionowano w odniesieniu do braków szczegółów i kontaktu do koordynatora dostępności</w:t>
      </w:r>
      <w:r w:rsidR="008322F9" w:rsidRPr="0090320A">
        <w:t>.</w:t>
      </w:r>
      <w:r w:rsidRPr="0090320A">
        <w:t xml:space="preserve"> Seniorzy </w:t>
      </w:r>
      <w:r w:rsidR="00C565B4" w:rsidRPr="0090320A">
        <w:t>w</w:t>
      </w:r>
      <w:r w:rsidR="00C565B4">
        <w:t> </w:t>
      </w:r>
      <w:r w:rsidRPr="0090320A">
        <w:t>większości nie odczuwali potrzeby lektury deklaracji, tłumacząc, że „jeśli strona działa, nie muszę czytać</w:t>
      </w:r>
      <w:r w:rsidRPr="00424D39">
        <w:t xml:space="preserve"> o jej dostępności”</w:t>
      </w:r>
      <w:r w:rsidR="008322F9">
        <w:t>.</w:t>
      </w:r>
      <w:r w:rsidRPr="00424D39">
        <w:t xml:space="preserve"> W badaniu jakościowym osoby niewidome krytykowały deklaracje jako „gołosłowne”, sugerując, że instytucje wpisują formułę „częściowa zgodność </w:t>
      </w:r>
      <w:r w:rsidR="00C565B4" w:rsidRPr="00424D39">
        <w:lastRenderedPageBreak/>
        <w:t>z</w:t>
      </w:r>
      <w:r w:rsidR="00C565B4">
        <w:t> </w:t>
      </w:r>
      <w:r w:rsidRPr="00424D39">
        <w:t>WCAG” bez konkretnych wyjaśnień</w:t>
      </w:r>
      <w:r w:rsidR="008322F9">
        <w:t>.</w:t>
      </w:r>
      <w:r w:rsidRPr="00424D39">
        <w:t xml:space="preserve"> </w:t>
      </w:r>
      <w:r w:rsidR="0090320A">
        <w:t>Podsumowując</w:t>
      </w:r>
      <w:r w:rsidRPr="00424D39">
        <w:t>: ankieta rejestruje niską świadomość</w:t>
      </w:r>
      <w:r w:rsidR="0090320A">
        <w:t xml:space="preserve"> </w:t>
      </w:r>
      <w:r w:rsidR="00C565B4">
        <w:t>o </w:t>
      </w:r>
      <w:r w:rsidR="0090320A">
        <w:t>deklaracjach</w:t>
      </w:r>
      <w:r w:rsidRPr="00424D39">
        <w:t>, natomiast wywiady pokazują, że nawet osoby świadome bywają zawiedzione treścią deklaracji.</w:t>
      </w:r>
    </w:p>
    <w:p w14:paraId="3A66EC64" w14:textId="77777777" w:rsidR="00424D39" w:rsidRPr="00424D39" w:rsidRDefault="00424D39" w:rsidP="00B271C3">
      <w:pPr>
        <w:pStyle w:val="Nagwek4"/>
        <w:rPr>
          <w:bCs/>
        </w:rPr>
      </w:pPr>
      <w:r w:rsidRPr="00424D39">
        <w:rPr>
          <w:bCs/>
        </w:rPr>
        <w:t>Ogólna ocena i wnioski</w:t>
      </w:r>
    </w:p>
    <w:p w14:paraId="7A9FCA5C" w14:textId="77777777" w:rsidR="0090320A" w:rsidRDefault="00424D39" w:rsidP="007E26B5">
      <w:r w:rsidRPr="00424D39">
        <w:t>Łączne wyniki wskazują, iż dostępność cyfrowa serwisów publicznych osiąga poziom dobry, ale nierówny: najwyższe oceny uzyskały witryny kulturalne i zdrowotne, najniższe – portale urzędów pracy oraz część stron rządowych, szczególnie w ocenie osób z niepełnosprawnościami</w:t>
      </w:r>
      <w:r w:rsidR="008322F9">
        <w:t>.</w:t>
      </w:r>
      <w:r w:rsidRPr="00424D39">
        <w:t xml:space="preserve"> Wyniki jakościowe potwierdziły ogólne wnioski z </w:t>
      </w:r>
      <w:r w:rsidR="00886DBF">
        <w:t>badania ilościowego</w:t>
      </w:r>
      <w:r w:rsidRPr="00424D39">
        <w:t>, jednocześnie ujawniając, że bariery deklarowane przez użytkowników często odzwierciedlają konkretne niezgodności wykryte technicznie, takie jak brak opisów alternatywnych</w:t>
      </w:r>
      <w:r w:rsidR="008322F9">
        <w:t>.</w:t>
      </w:r>
      <w:r w:rsidRPr="00424D39">
        <w:t xml:space="preserve"> </w:t>
      </w:r>
    </w:p>
    <w:p w14:paraId="0B7B3731" w14:textId="1D1503BA" w:rsidR="0090320A" w:rsidRDefault="00424D39" w:rsidP="007E26B5">
      <w:r w:rsidRPr="00424D39">
        <w:t xml:space="preserve">Najistotniejszym problemem wspólnym pozostaje niedostateczny kanał kontaktu online </w:t>
      </w:r>
      <w:r w:rsidR="00C565B4" w:rsidRPr="00424D39">
        <w:t>z</w:t>
      </w:r>
      <w:r w:rsidR="00C565B4">
        <w:t> </w:t>
      </w:r>
      <w:r w:rsidRPr="00424D39">
        <w:t xml:space="preserve">urzędem, co odbija się negatywnie na satysfakcji wszystkich grup, a najbardziej dotyka seniorów i osoby z niepełnosprawnościami. Jednocześnie </w:t>
      </w:r>
      <w:r w:rsidRPr="0090320A">
        <w:rPr>
          <w:b/>
          <w:bCs/>
        </w:rPr>
        <w:t xml:space="preserve">przejrzysty język, zrozumiałe komunikaty o błędach i konsekwentna struktura nawigacyjna zostały zidentyfikowane jako </w:t>
      </w:r>
      <w:r w:rsidR="0090320A">
        <w:rPr>
          <w:b/>
          <w:bCs/>
        </w:rPr>
        <w:t>kluczowe elementy</w:t>
      </w:r>
      <w:r w:rsidRPr="0090320A">
        <w:rPr>
          <w:b/>
          <w:bCs/>
        </w:rPr>
        <w:t xml:space="preserve"> pozytywnych ocen niezależnie od profilu użytkownika</w:t>
      </w:r>
      <w:r w:rsidRPr="00424D39">
        <w:t xml:space="preserve">. Badanie wskazuje, że implementacja WCAG w ujęciu formalnym nie gwarantuje pełnej użyteczności, jeśli nie towarzyszą jej testy z realnymi użytkownikami oraz mechanizmy szybkiej pomocy online. </w:t>
      </w:r>
    </w:p>
    <w:p w14:paraId="198784FC" w14:textId="3BA33E3F" w:rsidR="00424D39" w:rsidRPr="00424D39" w:rsidRDefault="00424D39" w:rsidP="007E26B5">
      <w:r w:rsidRPr="00424D39">
        <w:t xml:space="preserve">Dlatego rekomenduje się systematyczne włączanie przedstawicieli grup wrażliwych do testów użyteczności, bieżące aktualizowanie deklaracji dostępności i nadrzędne traktowanie </w:t>
      </w:r>
      <w:proofErr w:type="spellStart"/>
      <w:r w:rsidRPr="00424D39">
        <w:t>user</w:t>
      </w:r>
      <w:proofErr w:type="spellEnd"/>
      <w:r w:rsidRPr="00424D39">
        <w:t xml:space="preserve"> </w:t>
      </w:r>
      <w:proofErr w:type="spellStart"/>
      <w:r w:rsidRPr="00424D39">
        <w:t>experience</w:t>
      </w:r>
      <w:proofErr w:type="spellEnd"/>
      <w:r w:rsidR="00451DCB">
        <w:rPr>
          <w:rStyle w:val="Odwoanieprzypisudolnego"/>
        </w:rPr>
        <w:footnoteReference w:id="53"/>
      </w:r>
      <w:r w:rsidR="0090320A">
        <w:t xml:space="preserve"> (doświadczenie użytkowania)</w:t>
      </w:r>
      <w:r w:rsidRPr="00424D39">
        <w:t xml:space="preserve"> jako integralnej części standardu dostępności cyfrowej. Takie podejście powinno zagwarantować równe korzystanie z e-usług publicznych wszystkim obywatelom.</w:t>
      </w:r>
    </w:p>
    <w:p w14:paraId="43579E98" w14:textId="77777777" w:rsidR="00B54AF6" w:rsidRPr="00BF6615" w:rsidRDefault="00B54AF6" w:rsidP="007E26B5"/>
    <w:p w14:paraId="702BB6CC" w14:textId="77777777" w:rsidR="007C0058" w:rsidRDefault="007C0058" w:rsidP="007E26B5">
      <w:pPr>
        <w:spacing w:after="160" w:line="259" w:lineRule="auto"/>
        <w:rPr>
          <w:rFonts w:eastAsiaTheme="majorEastAsia" w:cstheme="minorHAnsi"/>
          <w:b/>
          <w:bCs/>
          <w:color w:val="C00000"/>
          <w:sz w:val="36"/>
          <w:szCs w:val="28"/>
        </w:rPr>
      </w:pPr>
      <w:r>
        <w:br w:type="page"/>
      </w:r>
    </w:p>
    <w:p w14:paraId="56C6908A" w14:textId="2F0F11D4" w:rsidR="0082716C" w:rsidRPr="00BF6615" w:rsidRDefault="00DF0066" w:rsidP="007E26B5">
      <w:pPr>
        <w:pStyle w:val="Nagwek2"/>
        <w:spacing w:after="160" w:line="259" w:lineRule="auto"/>
      </w:pPr>
      <w:bookmarkStart w:id="300" w:name="_Toc204179302"/>
      <w:r w:rsidRPr="00BF6615">
        <w:lastRenderedPageBreak/>
        <w:t>Rekomendacje z badania</w:t>
      </w:r>
      <w:bookmarkEnd w:id="300"/>
    </w:p>
    <w:p w14:paraId="769DBBBC" w14:textId="5FD3CD10" w:rsidR="00821A5F" w:rsidRPr="00BF6615" w:rsidRDefault="00821A5F" w:rsidP="007E26B5">
      <w:r w:rsidRPr="00BF6615">
        <w:t xml:space="preserve">Wnioski płynące z przeprowadzonego badania, zarówno w części ilościowej, jak i jakościowej, wskazują jednoznacznie na istnienie licznych barier w dostępie do cyfrowych usług publicznych </w:t>
      </w:r>
      <w:r w:rsidR="00EA04B7" w:rsidRPr="00BF6615">
        <w:t xml:space="preserve">głownie </w:t>
      </w:r>
      <w:r w:rsidRPr="00BF6615">
        <w:t xml:space="preserve">dla osób z niepełnosprawnościami oraz osób starszych. Bariery te dotyczą zarówno aspektów technicznych, jak i funkcjonalnych, strukturalnych oraz językowych, a także organizacyjnych i systemowych uwarunkowań w działaniu instytucji publicznych. Mimo formalnego obowiązku zapewnienia dostępności cyfrowej, wiele serwisów internetowych oraz aplikacji mobilnych podmiotów publicznych nadal pozostaje niedostępnych lub częściowo dostępnych, co w praktyce oznacza wykluczenie dla znacznej części użytkowników. Analiza doświadczeń respondentów potwierdza, że potrzeby użytkowników ze szczególnymi </w:t>
      </w:r>
      <w:r w:rsidR="00EA04B7" w:rsidRPr="00BF6615">
        <w:t>potrzebami</w:t>
      </w:r>
      <w:r w:rsidRPr="00BF6615">
        <w:t xml:space="preserve"> są często pomijane już na etapie projektowania interfejsów i planowania funkcjonalności serwisów.</w:t>
      </w:r>
    </w:p>
    <w:p w14:paraId="4EA669A0" w14:textId="77777777" w:rsidR="0020463D" w:rsidRPr="00BF6615" w:rsidRDefault="00EA04B7" w:rsidP="007E26B5">
      <w:r w:rsidRPr="00BF6615">
        <w:t>Przedstawione r</w:t>
      </w:r>
      <w:r w:rsidR="00821A5F" w:rsidRPr="00BF6615">
        <w:t xml:space="preserve">ekomendacje mają charakter praktyczny i systemowy, a ich adresatami są trzy kluczowe grupy interesariuszy procesu zapewniania dostępności cyfrowej: </w:t>
      </w:r>
    </w:p>
    <w:p w14:paraId="3511EB91" w14:textId="77777777" w:rsidR="0020463D" w:rsidRPr="00BF6615" w:rsidRDefault="00821A5F">
      <w:pPr>
        <w:pStyle w:val="Akapitzlist"/>
        <w:numPr>
          <w:ilvl w:val="0"/>
          <w:numId w:val="65"/>
        </w:numPr>
      </w:pPr>
      <w:r w:rsidRPr="00BF6615">
        <w:t xml:space="preserve">twórcy (projektanci, programiści, dostawcy rozwiązań IT), </w:t>
      </w:r>
    </w:p>
    <w:p w14:paraId="50C35CF2" w14:textId="77777777" w:rsidR="0020463D" w:rsidRPr="00BF6615" w:rsidRDefault="00821A5F">
      <w:pPr>
        <w:pStyle w:val="Akapitzlist"/>
        <w:numPr>
          <w:ilvl w:val="0"/>
          <w:numId w:val="65"/>
        </w:numPr>
      </w:pPr>
      <w:r w:rsidRPr="00BF6615">
        <w:t xml:space="preserve">właściciele i zarządcy serwisów (organy administracji, instytucje publiczne), </w:t>
      </w:r>
    </w:p>
    <w:p w14:paraId="119280C7" w14:textId="16F1957A" w:rsidR="0020463D" w:rsidRPr="00BF6615" w:rsidRDefault="00821A5F">
      <w:pPr>
        <w:pStyle w:val="Akapitzlist"/>
        <w:numPr>
          <w:ilvl w:val="0"/>
          <w:numId w:val="65"/>
        </w:numPr>
      </w:pPr>
      <w:r w:rsidRPr="00BF6615">
        <w:t xml:space="preserve">użytkownicy i użytkowniczki – </w:t>
      </w:r>
      <w:r w:rsidR="0020463D" w:rsidRPr="00BF6615">
        <w:t>głownie</w:t>
      </w:r>
      <w:r w:rsidRPr="00BF6615">
        <w:t xml:space="preserve"> osoby ze s</w:t>
      </w:r>
      <w:r w:rsidR="0020463D" w:rsidRPr="00BF6615">
        <w:t>zczególnymi</w:t>
      </w:r>
      <w:r w:rsidRPr="00BF6615">
        <w:t xml:space="preserve"> potrzebami. </w:t>
      </w:r>
    </w:p>
    <w:p w14:paraId="1C380E77" w14:textId="71D19D75" w:rsidR="00821A5F" w:rsidRPr="00BF6615" w:rsidRDefault="00821A5F" w:rsidP="007E26B5">
      <w:r w:rsidRPr="00BF6615">
        <w:t>Propozycje zawarte w rekomendacjach zostały sformułowane na podstawie zidentyfikowanych problemów oraz oczekiwań badanych, a także w oparciu o aktualne wytyczne standardów dostępności (m.in. WCAG 2.2, ustawa o dostępności cyfrowej, dobre praktyki UX).</w:t>
      </w:r>
    </w:p>
    <w:p w14:paraId="1A24C667" w14:textId="77777777" w:rsidR="00EA6615" w:rsidRDefault="00821A5F" w:rsidP="007E26B5">
      <w:r w:rsidRPr="00BF6615">
        <w:t xml:space="preserve">Wskazane działania powinny być traktowane nie jako zbiór fakultatywnych usprawnień, lecz jako nieodzowny element projektowania </w:t>
      </w:r>
      <w:proofErr w:type="spellStart"/>
      <w:r w:rsidRPr="00BF6615">
        <w:t>inkluzywnego</w:t>
      </w:r>
      <w:proofErr w:type="spellEnd"/>
      <w:r w:rsidRPr="00BF6615">
        <w:t xml:space="preserve">, które uwzględnia różnorodność kompetencji, percepcji i potrzeb odbiorców. Kluczowe jest także zaangażowanie samych użytkowników na etapie testów, audytów i wdrażania zmian – dostępność nie może być efektem wyłącznie technicznej analizy, lecz musi odpowiadać rzeczywistym warunkom korzystania. Rekomendacje obejmują zarówno rozwiązania </w:t>
      </w:r>
      <w:proofErr w:type="spellStart"/>
      <w:r w:rsidRPr="00BF6615">
        <w:t>niskokosztowe</w:t>
      </w:r>
      <w:proofErr w:type="spellEnd"/>
      <w:r w:rsidRPr="00BF6615">
        <w:t xml:space="preserve"> możliwe do szybkiego wdrożenia, jak i działania o charakterze strategicznym, wymagające zmiany podejścia instytucjonalnego. </w:t>
      </w:r>
      <w:r w:rsidR="00EA6615" w:rsidRPr="00EA6615">
        <w:t>Wdrożenie rekomendowanych działań systemowo ograniczy bariery, zwiększy zaufanie społeczne i poprawi jakość usług publicznych. Umożliwi też realizację konstytucyjnego prawa do równego dostępu do informacji i usług.</w:t>
      </w:r>
      <w:r w:rsidR="00EA6615">
        <w:t xml:space="preserve"> </w:t>
      </w:r>
    </w:p>
    <w:p w14:paraId="7A697C5B" w14:textId="63ADB5D0" w:rsidR="00480A77" w:rsidRPr="00BF6615" w:rsidRDefault="00821A5F" w:rsidP="007E26B5">
      <w:r w:rsidRPr="00BF6615">
        <w:t xml:space="preserve">Zalecenia te mogą również stanowić punkt odniesienia dla przyszłych strategii transformacji cyfrowej w administracji publicznej, projektów grantowych, szkoleń oraz aktualizacji polityk wewnętrznych jednostek publicznych. Wdrażanie zmian w zakresie dostępności powinno być postrzegane nie jako dodatkowy koszt, lecz jako inwestycja w jakość usług, z której korzystają wszyscy użytkownicy, nie tylko osoby ze szczególnymi potrzebami. Co istotne, działania te </w:t>
      </w:r>
      <w:r w:rsidRPr="00BF6615">
        <w:lastRenderedPageBreak/>
        <w:t>wymagają także świadomości i zaangażowania odbiorców końcowych, dlatego część rekomendacji skierowana została bezpośrednio do użytkowników i użytkowniczek, by wspierać ich aktywne uczestnictwo w poprawie dostępności.</w:t>
      </w:r>
    </w:p>
    <w:p w14:paraId="2F84B996" w14:textId="0D6E5499" w:rsidR="00FE16A7" w:rsidRPr="00BF6615" w:rsidRDefault="00FE16A7" w:rsidP="007E26B5">
      <w:r w:rsidRPr="00BF6615">
        <w:t>Rekomendacje wynikające z badania</w:t>
      </w:r>
      <w:r w:rsidR="00480A77" w:rsidRPr="00BF6615">
        <w:t>:</w:t>
      </w:r>
    </w:p>
    <w:p w14:paraId="089E8EA4" w14:textId="10B65383" w:rsidR="00FE16A7" w:rsidRPr="00BF6615" w:rsidRDefault="00FE16A7" w:rsidP="007E26B5">
      <w:pPr>
        <w:rPr>
          <w:b/>
          <w:bCs/>
        </w:rPr>
      </w:pPr>
      <w:r w:rsidRPr="00BF6615">
        <w:rPr>
          <w:b/>
          <w:bCs/>
        </w:rPr>
        <w:t>1. Dla twórców stron internetowych i aplikacji mobilnych</w:t>
      </w:r>
      <w:r w:rsidR="00081E92" w:rsidRPr="00BF6615">
        <w:rPr>
          <w:b/>
          <w:bCs/>
        </w:rPr>
        <w:t>:</w:t>
      </w:r>
    </w:p>
    <w:p w14:paraId="45D2D975" w14:textId="447288B1" w:rsidR="00FE16A7" w:rsidRPr="00BF6615" w:rsidRDefault="00FE16A7">
      <w:pPr>
        <w:numPr>
          <w:ilvl w:val="0"/>
          <w:numId w:val="55"/>
        </w:numPr>
      </w:pPr>
      <w:r w:rsidRPr="00BF6615">
        <w:rPr>
          <w:b/>
          <w:bCs/>
        </w:rPr>
        <w:t>Projektować w myśl zasady “</w:t>
      </w:r>
      <w:proofErr w:type="spellStart"/>
      <w:r w:rsidRPr="00BF6615">
        <w:rPr>
          <w:b/>
          <w:bCs/>
        </w:rPr>
        <w:t>accessibility-first</w:t>
      </w:r>
      <w:proofErr w:type="spellEnd"/>
      <w:r w:rsidRPr="00BF6615">
        <w:rPr>
          <w:b/>
          <w:bCs/>
        </w:rPr>
        <w:t>”</w:t>
      </w:r>
      <w:r w:rsidRPr="00BF6615">
        <w:t xml:space="preserve"> – uwzględniać wymagania WCAG 2.2 (AA) od etapu makiet, a nie „dosztukowywać” dostępność po wdrożeniu.</w:t>
      </w:r>
      <w:r w:rsidR="001A0952">
        <w:t xml:space="preserve"> </w:t>
      </w:r>
      <w:r w:rsidR="001A0952" w:rsidRPr="001A0952">
        <w:t>Dostępność powinna być integralną częścią procesu projektowego, a nie dodatkiem „na końcu”. Uwzględnienie jej od początku zmniejsza koszty poprawek i ryzyko błędów.</w:t>
      </w:r>
    </w:p>
    <w:p w14:paraId="44ED39F7" w14:textId="5AA0D923" w:rsidR="00FE16A7" w:rsidRPr="00BF6615" w:rsidRDefault="00FE16A7">
      <w:pPr>
        <w:numPr>
          <w:ilvl w:val="0"/>
          <w:numId w:val="55"/>
        </w:numPr>
      </w:pPr>
      <w:r w:rsidRPr="00BF6615">
        <w:rPr>
          <w:b/>
          <w:bCs/>
        </w:rPr>
        <w:t>Uprościć architekturę informacji</w:t>
      </w:r>
      <w:r w:rsidR="00FD0843">
        <w:t xml:space="preserve"> – </w:t>
      </w:r>
      <w:r w:rsidRPr="00BF6615">
        <w:t>maksymalnie 2-3 poziomy nawigacji, stała lokalizacja menu, jednoznaczne nazwy sekcji i linków.</w:t>
      </w:r>
      <w:r w:rsidR="001A0952">
        <w:t xml:space="preserve"> </w:t>
      </w:r>
      <w:r w:rsidR="001A0952" w:rsidRPr="001A0952">
        <w:t>Złożona struktura utrudnia użytkownikom z</w:t>
      </w:r>
      <w:r w:rsidR="00C565B4">
        <w:t> </w:t>
      </w:r>
      <w:r w:rsidR="001A0952" w:rsidRPr="001A0952">
        <w:t>niepełnosprawnościami poruszanie się po stronie. Intuicyjna i spójna nawigacja poprawia komfort korzystania dla wszystkich.</w:t>
      </w:r>
    </w:p>
    <w:p w14:paraId="5BD5981D" w14:textId="1FCB35D2" w:rsidR="00FE16A7" w:rsidRPr="00BF6615" w:rsidRDefault="00FE16A7">
      <w:pPr>
        <w:numPr>
          <w:ilvl w:val="0"/>
          <w:numId w:val="55"/>
        </w:numPr>
      </w:pPr>
      <w:r w:rsidRPr="00BF6615">
        <w:rPr>
          <w:b/>
          <w:bCs/>
        </w:rPr>
        <w:t>Zapewnić pełną obsługę klawiaturą i technologiami asystującymi</w:t>
      </w:r>
      <w:r w:rsidRPr="00BF6615">
        <w:t xml:space="preserve"> (role ARIA, nagłówki, „skip to </w:t>
      </w:r>
      <w:proofErr w:type="spellStart"/>
      <w:r w:rsidRPr="00BF6615">
        <w:t>main</w:t>
      </w:r>
      <w:proofErr w:type="spellEnd"/>
      <w:r w:rsidRPr="00BF6615">
        <w:t xml:space="preserve"> </w:t>
      </w:r>
      <w:proofErr w:type="spellStart"/>
      <w:r w:rsidRPr="00BF6615">
        <w:t>content</w:t>
      </w:r>
      <w:proofErr w:type="spellEnd"/>
      <w:r w:rsidRPr="00BF6615">
        <w:t xml:space="preserve">”, brak pułapek </w:t>
      </w:r>
      <w:proofErr w:type="spellStart"/>
      <w:r w:rsidRPr="00BF6615">
        <w:t>fokusa</w:t>
      </w:r>
      <w:proofErr w:type="spellEnd"/>
      <w:r w:rsidRPr="00BF6615">
        <w:t>).</w:t>
      </w:r>
      <w:r w:rsidR="001A0952">
        <w:t xml:space="preserve"> </w:t>
      </w:r>
      <w:r w:rsidR="001A0952" w:rsidRPr="001A0952">
        <w:t xml:space="preserve">Osoby niewidome i z ograniczeniami ruchowymi często korzystają z klawiatury zamiast myszy – interfejs musi być w pełni </w:t>
      </w:r>
      <w:proofErr w:type="spellStart"/>
      <w:r w:rsidR="001A0952" w:rsidRPr="001A0952">
        <w:t>obsługiwalny</w:t>
      </w:r>
      <w:proofErr w:type="spellEnd"/>
      <w:r w:rsidR="001A0952" w:rsidRPr="001A0952">
        <w:t xml:space="preserve"> bez użycia kursora.</w:t>
      </w:r>
    </w:p>
    <w:p w14:paraId="2C397324" w14:textId="44120223" w:rsidR="00FE16A7" w:rsidRPr="00BF6615" w:rsidRDefault="00FE16A7">
      <w:pPr>
        <w:numPr>
          <w:ilvl w:val="0"/>
          <w:numId w:val="55"/>
        </w:numPr>
      </w:pPr>
      <w:r w:rsidRPr="00BF6615">
        <w:rPr>
          <w:b/>
          <w:bCs/>
        </w:rPr>
        <w:t>Czytelność wizualna jako domyślny standard</w:t>
      </w:r>
      <w:r w:rsidRPr="00BF6615">
        <w:t xml:space="preserve"> – minimum 4.5:1 kontrastu, podstawowa czcionka ≥ 16 </w:t>
      </w:r>
      <w:proofErr w:type="spellStart"/>
      <w:r w:rsidRPr="00BF6615">
        <w:t>px</w:t>
      </w:r>
      <w:proofErr w:type="spellEnd"/>
      <w:r w:rsidRPr="00BF6615">
        <w:t>, możliwość powiększenia treści bez utraty układu i funkcji.</w:t>
      </w:r>
      <w:r w:rsidR="001A0952">
        <w:t xml:space="preserve"> </w:t>
      </w:r>
      <w:r w:rsidR="001A0952" w:rsidRPr="001A0952">
        <w:t>Dobre praktyki wizualne wspierają nie tylko osoby słabowidzące, ale też osoby starsze i</w:t>
      </w:r>
      <w:r w:rsidR="00C565B4">
        <w:t> </w:t>
      </w:r>
      <w:r w:rsidR="001A0952" w:rsidRPr="001A0952">
        <w:t>użytkowników z trudnościami poznawczymi.</w:t>
      </w:r>
    </w:p>
    <w:p w14:paraId="3303076B" w14:textId="71E5B336" w:rsidR="00FE16A7" w:rsidRPr="00BF6615" w:rsidRDefault="00FE16A7">
      <w:pPr>
        <w:numPr>
          <w:ilvl w:val="0"/>
          <w:numId w:val="55"/>
        </w:numPr>
      </w:pPr>
      <w:r w:rsidRPr="00BF6615">
        <w:rPr>
          <w:b/>
          <w:bCs/>
        </w:rPr>
        <w:t>Alternatywy multimodalne</w:t>
      </w:r>
      <w:r w:rsidR="00FD0843">
        <w:t xml:space="preserve"> – </w:t>
      </w:r>
      <w:r w:rsidRPr="00BF6615">
        <w:t>atrybut alt dla każdej grafiki, transkrypcje i napisy do filmów, integracja wideo z tłumaczem PJM w kluczowych procesach.</w:t>
      </w:r>
      <w:r w:rsidR="001A0952">
        <w:t xml:space="preserve"> </w:t>
      </w:r>
      <w:r w:rsidR="001A0952" w:rsidRPr="001A0952">
        <w:t>Różnorodne formaty informacji pozwalają użytkownikom wybrać sposób odbioru zgodny z ich możliwościami percepcyjnymi.</w:t>
      </w:r>
    </w:p>
    <w:p w14:paraId="16405776" w14:textId="335B9CAD" w:rsidR="00FE16A7" w:rsidRPr="00BF6615" w:rsidRDefault="00FE16A7">
      <w:pPr>
        <w:numPr>
          <w:ilvl w:val="0"/>
          <w:numId w:val="55"/>
        </w:numPr>
      </w:pPr>
      <w:r w:rsidRPr="00BF6615">
        <w:rPr>
          <w:b/>
          <w:bCs/>
        </w:rPr>
        <w:t>Formularze bez barier</w:t>
      </w:r>
      <w:r w:rsidRPr="00BF6615">
        <w:t xml:space="preserve"> – etykiety i podpowiedzi przy polach („aria-</w:t>
      </w:r>
      <w:proofErr w:type="spellStart"/>
      <w:r w:rsidRPr="00BF6615">
        <w:t>describedby</w:t>
      </w:r>
      <w:proofErr w:type="spellEnd"/>
      <w:r w:rsidRPr="00BF6615">
        <w:t>”), walidacja po wysłaniu, komunikaty błędów zrozumiałe w prostym języku.</w:t>
      </w:r>
      <w:r w:rsidR="001A0952">
        <w:t xml:space="preserve"> </w:t>
      </w:r>
      <w:r w:rsidR="001A0952" w:rsidRPr="001A0952">
        <w:t>Formularze często są punktami krytycznymi – ich nieczytelność może skutecznie wykluczyć część użytkowników z możliwości załatwienia sprawy online.</w:t>
      </w:r>
    </w:p>
    <w:p w14:paraId="58A3D646" w14:textId="4A3CB476" w:rsidR="001A0952" w:rsidRPr="00B271C3" w:rsidRDefault="00FE16A7" w:rsidP="001A0952">
      <w:pPr>
        <w:numPr>
          <w:ilvl w:val="0"/>
          <w:numId w:val="55"/>
        </w:numPr>
      </w:pPr>
      <w:r w:rsidRPr="001A0952">
        <w:rPr>
          <w:b/>
          <w:bCs/>
        </w:rPr>
        <w:t xml:space="preserve">Unikać elementów </w:t>
      </w:r>
      <w:proofErr w:type="spellStart"/>
      <w:r w:rsidRPr="001A0952">
        <w:rPr>
          <w:b/>
          <w:bCs/>
        </w:rPr>
        <w:t>time</w:t>
      </w:r>
      <w:proofErr w:type="spellEnd"/>
      <w:r w:rsidRPr="001A0952">
        <w:rPr>
          <w:b/>
          <w:bCs/>
        </w:rPr>
        <w:t>-out oraz CAPTCHA obrazkowych</w:t>
      </w:r>
      <w:r w:rsidR="00FD0843">
        <w:t xml:space="preserve"> – </w:t>
      </w:r>
      <w:r w:rsidRPr="00BF6615">
        <w:t xml:space="preserve">jeśli wymagana jest weryfikacja, stosować wersje dostępne (np. </w:t>
      </w:r>
      <w:proofErr w:type="spellStart"/>
      <w:r w:rsidRPr="00BF6615">
        <w:t>reCAPTCHA</w:t>
      </w:r>
      <w:proofErr w:type="spellEnd"/>
      <w:r w:rsidRPr="00BF6615">
        <w:t xml:space="preserve"> v3 lub pytania logiczne).</w:t>
      </w:r>
      <w:r w:rsidR="001A0952">
        <w:t xml:space="preserve"> </w:t>
      </w:r>
      <w:r w:rsidR="001A0952" w:rsidRPr="001A0952">
        <w:t>Automatyczne wylogowanie i bariery weryfikacyjne są szczególnie problematyczne dla osób z wolniejszym tempem obsługi</w:t>
      </w:r>
      <w:r w:rsidR="001A0952">
        <w:t xml:space="preserve"> (elementy </w:t>
      </w:r>
      <w:proofErr w:type="spellStart"/>
      <w:r w:rsidR="001A0952">
        <w:t>time</w:t>
      </w:r>
      <w:proofErr w:type="spellEnd"/>
      <w:r w:rsidR="001A0952">
        <w:t>-out) lub też osób słabowidzących / osób z trudnościami poznawczymi</w:t>
      </w:r>
      <w:r w:rsidR="001A0952" w:rsidRPr="001A0952">
        <w:t xml:space="preserve">. </w:t>
      </w:r>
    </w:p>
    <w:p w14:paraId="5883353E" w14:textId="0F178C4D" w:rsidR="00FE16A7" w:rsidRPr="00BF6615" w:rsidRDefault="00FE16A7" w:rsidP="001A0952">
      <w:pPr>
        <w:numPr>
          <w:ilvl w:val="0"/>
          <w:numId w:val="55"/>
        </w:numPr>
      </w:pPr>
      <w:proofErr w:type="spellStart"/>
      <w:r w:rsidRPr="001A0952">
        <w:rPr>
          <w:b/>
          <w:bCs/>
        </w:rPr>
        <w:lastRenderedPageBreak/>
        <w:t>Responsywność</w:t>
      </w:r>
      <w:proofErr w:type="spellEnd"/>
      <w:r w:rsidRPr="001A0952">
        <w:rPr>
          <w:b/>
          <w:bCs/>
        </w:rPr>
        <w:t xml:space="preserve"> = funkcjonalność</w:t>
      </w:r>
      <w:r w:rsidRPr="00BF6615">
        <w:t xml:space="preserve"> – ta sama gama możliwości na desktopie i urządzeniach mobilnych, bez ukrywania krytycznych funkcji w aplikacji.</w:t>
      </w:r>
      <w:r w:rsidR="001A0952">
        <w:t xml:space="preserve"> C</w:t>
      </w:r>
      <w:r w:rsidR="001A0952" w:rsidRPr="001A0952">
        <w:t>oraz więcej osób korzysta wyłącznie z urządzeń mobilnych – serwisy powinny zapewniać im pełen dostęp do usług, bez ograniczania funkcjonalności.</w:t>
      </w:r>
    </w:p>
    <w:p w14:paraId="3C9E83EF" w14:textId="130C08BC" w:rsidR="00FE16A7" w:rsidRPr="00BF6615" w:rsidRDefault="00B21F75">
      <w:pPr>
        <w:numPr>
          <w:ilvl w:val="0"/>
          <w:numId w:val="55"/>
        </w:numPr>
      </w:pPr>
      <w:r w:rsidRPr="00BF6615">
        <w:rPr>
          <w:b/>
          <w:bCs/>
        </w:rPr>
        <w:t xml:space="preserve">Tworzenie treści w języku prostym oraz najważniejszych w tekście </w:t>
      </w:r>
      <w:r w:rsidR="00FE16A7" w:rsidRPr="00BF6615">
        <w:rPr>
          <w:b/>
          <w:bCs/>
        </w:rPr>
        <w:t>ETR</w:t>
      </w:r>
      <w:r w:rsidR="00FE16A7" w:rsidRPr="00BF6615">
        <w:t xml:space="preserve"> – </w:t>
      </w:r>
      <w:r w:rsidRPr="00BF6615">
        <w:t>bez konieczności wyboru takiego trybu, tylko pisanie tekstów od razu w języku prostym</w:t>
      </w:r>
      <w:r w:rsidR="00FE16A7" w:rsidRPr="00BF6615">
        <w:t>.</w:t>
      </w:r>
      <w:r w:rsidR="001A0952">
        <w:t xml:space="preserve"> Warto nadmienić, że j</w:t>
      </w:r>
      <w:r w:rsidR="001A0952" w:rsidRPr="001A0952">
        <w:t>ęzyk prosty nie oznacza infantylizacji</w:t>
      </w:r>
      <w:r w:rsidR="001A0952">
        <w:t>. Poz</w:t>
      </w:r>
      <w:r w:rsidR="001A0952" w:rsidRPr="001A0952">
        <w:t xml:space="preserve">wala </w:t>
      </w:r>
      <w:r w:rsidR="001A0952">
        <w:t xml:space="preserve">on </w:t>
      </w:r>
      <w:r w:rsidR="001A0952" w:rsidRPr="001A0952">
        <w:t>skutecznie dotrzeć do osób z trudnościami w czytaniu, poznawczymi czy słabszym wykształceniem.</w:t>
      </w:r>
    </w:p>
    <w:p w14:paraId="28383DB2" w14:textId="30897A05" w:rsidR="00FE16A7" w:rsidRPr="00BF6615" w:rsidRDefault="00FE16A7">
      <w:pPr>
        <w:numPr>
          <w:ilvl w:val="0"/>
          <w:numId w:val="55"/>
        </w:numPr>
      </w:pPr>
      <w:r w:rsidRPr="00BF6615">
        <w:rPr>
          <w:b/>
          <w:bCs/>
        </w:rPr>
        <w:t>Automaty i testy manualne</w:t>
      </w:r>
      <w:r w:rsidR="001A0952">
        <w:t xml:space="preserve"> – rekomenduje się łączenie </w:t>
      </w:r>
      <w:r w:rsidRPr="00BF6615">
        <w:t>narzędzi skanując</w:t>
      </w:r>
      <w:r w:rsidR="001A0952">
        <w:t>ych</w:t>
      </w:r>
      <w:r w:rsidRPr="00BF6615">
        <w:t xml:space="preserve"> (</w:t>
      </w:r>
      <w:r w:rsidR="001A0952">
        <w:t xml:space="preserve">np. </w:t>
      </w:r>
      <w:proofErr w:type="spellStart"/>
      <w:r w:rsidRPr="00BF6615">
        <w:t>axe</w:t>
      </w:r>
      <w:proofErr w:type="spellEnd"/>
      <w:r w:rsidRPr="00BF6615">
        <w:t>, Pa11y) ze sprawdzaniem przez osoby z różnymi niepełnosprawnościami (</w:t>
      </w:r>
      <w:r w:rsidR="00746325" w:rsidRPr="00BF6615">
        <w:t>kilka osób, różne profile potrzeb</w:t>
      </w:r>
      <w:r w:rsidRPr="00BF6615">
        <w:t>).</w:t>
      </w:r>
      <w:r w:rsidR="001A0952">
        <w:t xml:space="preserve"> </w:t>
      </w:r>
      <w:r w:rsidR="001A0952" w:rsidRPr="001A0952">
        <w:t xml:space="preserve">Testy automatyczne wykrywają tylko część problemów </w:t>
      </w:r>
      <w:r w:rsidR="001A0952">
        <w:t>związanych z dostępnością. K</w:t>
      </w:r>
      <w:r w:rsidR="001A0952" w:rsidRPr="001A0952">
        <w:t xml:space="preserve">luczowe są też testy empiryczne, które pozwalają uchwycić realne bariery </w:t>
      </w:r>
      <w:r w:rsidR="001A0952">
        <w:t>z perspektywy różnych grup użytkowników stron czy też aplikacji mobilnych</w:t>
      </w:r>
      <w:r w:rsidR="001A0952" w:rsidRPr="001A0952">
        <w:t>.</w:t>
      </w:r>
    </w:p>
    <w:p w14:paraId="6DBCB125" w14:textId="3DAE94CB" w:rsidR="00FE16A7" w:rsidRPr="00BF6615" w:rsidRDefault="00FE16A7" w:rsidP="007E26B5">
      <w:pPr>
        <w:rPr>
          <w:b/>
          <w:bCs/>
        </w:rPr>
      </w:pPr>
      <w:r w:rsidRPr="00BF6615">
        <w:rPr>
          <w:b/>
          <w:bCs/>
        </w:rPr>
        <w:t>2. Dla właścicieli i zarządców serwisów publicznych</w:t>
      </w:r>
      <w:r w:rsidR="00081E92" w:rsidRPr="00BF6615">
        <w:rPr>
          <w:b/>
          <w:bCs/>
        </w:rPr>
        <w:t>:</w:t>
      </w:r>
    </w:p>
    <w:p w14:paraId="7AE4B92C" w14:textId="16D8276D" w:rsidR="00FE16A7" w:rsidRPr="00BF6615" w:rsidRDefault="00FE16A7">
      <w:pPr>
        <w:numPr>
          <w:ilvl w:val="0"/>
          <w:numId w:val="56"/>
        </w:numPr>
      </w:pPr>
      <w:r w:rsidRPr="00BF6615">
        <w:rPr>
          <w:b/>
          <w:bCs/>
        </w:rPr>
        <w:t>Polityka dostępności na poziomie instytucji</w:t>
      </w:r>
      <w:r w:rsidRPr="00BF6615">
        <w:t xml:space="preserve"> – formalny dokument, budżet, osoby odpowiedzialne i mierzalne cele roczne.</w:t>
      </w:r>
      <w:r w:rsidR="001A0952">
        <w:t xml:space="preserve"> </w:t>
      </w:r>
      <w:r w:rsidR="001A0952" w:rsidRPr="001A0952">
        <w:t>Polityka ta powinna być dokumentem obowiązującym całą organizację, pokazującym, że dostępność nie jest incydentalna, lecz systemowa. Konieczne jest przypisanie odpowiedzialności i zabezpieczenie środków na działania dostępnościowe.</w:t>
      </w:r>
    </w:p>
    <w:p w14:paraId="33A0BA02" w14:textId="0BF69604" w:rsidR="00FE16A7" w:rsidRPr="00BF6615" w:rsidRDefault="00FE16A7">
      <w:pPr>
        <w:numPr>
          <w:ilvl w:val="0"/>
          <w:numId w:val="56"/>
        </w:numPr>
      </w:pPr>
      <w:r w:rsidRPr="00BF6615">
        <w:rPr>
          <w:b/>
          <w:bCs/>
        </w:rPr>
        <w:t>Włączenie dostępności do zamówień publicznych</w:t>
      </w:r>
      <w:r w:rsidR="00FD0843">
        <w:t xml:space="preserve"> – </w:t>
      </w:r>
      <w:r w:rsidRPr="00BF6615">
        <w:t>w SIWZ/KPO zawsze wymagać zgodności z WCAG 2.2 AA oraz potwierdzonych audytów powykonawczych.</w:t>
      </w:r>
      <w:r w:rsidR="001A0952">
        <w:t xml:space="preserve"> </w:t>
      </w:r>
      <w:r w:rsidR="001A0952" w:rsidRPr="001A0952">
        <w:t>Wymogi dotyczące dostępności muszą być obecne już na etapie ogłoszenia przetargu, a ich spełnienie powinno być weryfikowane przed odbiorem końcowym – np. poprzez niezależny audyt.</w:t>
      </w:r>
    </w:p>
    <w:p w14:paraId="380C9D4B" w14:textId="37C316B8" w:rsidR="00FE16A7" w:rsidRPr="00BF6615" w:rsidRDefault="00FE16A7">
      <w:pPr>
        <w:numPr>
          <w:ilvl w:val="0"/>
          <w:numId w:val="56"/>
        </w:numPr>
      </w:pPr>
      <w:r w:rsidRPr="00BF6615">
        <w:rPr>
          <w:b/>
          <w:bCs/>
        </w:rPr>
        <w:t>Stałe audyty i monitoring</w:t>
      </w:r>
      <w:r w:rsidRPr="00BF6615">
        <w:t xml:space="preserve"> – automatyczny </w:t>
      </w:r>
      <w:r w:rsidR="00875B95" w:rsidRPr="00BF6615">
        <w:t>cykliczny</w:t>
      </w:r>
      <w:r w:rsidRPr="00BF6615">
        <w:t xml:space="preserve"> skan plus pełny audyt ekspercki c</w:t>
      </w:r>
      <w:r w:rsidR="00875B95" w:rsidRPr="00BF6615">
        <w:t>o jakiś czas</w:t>
      </w:r>
      <w:r w:rsidRPr="00BF6615">
        <w:t xml:space="preserve">. Wyniki i plan naprawczy </w:t>
      </w:r>
      <w:r w:rsidR="00875B95" w:rsidRPr="00BF6615">
        <w:t>jako element planu na rzecz poprawy zapewniania dostępności zgodnego z ustawa o zapewnianiu dostępności.</w:t>
      </w:r>
      <w:r w:rsidR="001A0952">
        <w:t xml:space="preserve"> </w:t>
      </w:r>
      <w:r w:rsidR="001A0952" w:rsidRPr="001A0952">
        <w:t xml:space="preserve">Jednorazowy audyt </w:t>
      </w:r>
      <w:r w:rsidR="001A0952">
        <w:t>jest niewystarczający. K</w:t>
      </w:r>
      <w:r w:rsidR="001A0952" w:rsidRPr="001A0952">
        <w:t>onieczny jest stały proces kontroli jakości, pozwalający na szybkie reagowanie na pojawiające się problemy.</w:t>
      </w:r>
    </w:p>
    <w:p w14:paraId="56FB136C" w14:textId="4783B8E5" w:rsidR="00FE16A7" w:rsidRPr="00BF6615" w:rsidRDefault="00FE16A7">
      <w:pPr>
        <w:numPr>
          <w:ilvl w:val="0"/>
          <w:numId w:val="56"/>
        </w:numPr>
      </w:pPr>
      <w:r w:rsidRPr="00BF6615">
        <w:rPr>
          <w:b/>
          <w:bCs/>
        </w:rPr>
        <w:t>Deklaracja dostępności w wersji zrozumiałej</w:t>
      </w:r>
      <w:r w:rsidRPr="00BF6615">
        <w:t xml:space="preserve"> – krótka karta „co działa / co nie, do kiedy naprawimy”, dane kontaktowe do koordynatora</w:t>
      </w:r>
      <w:r w:rsidR="00804291" w:rsidRPr="00BF6615">
        <w:t>, uzupełnienie o elementy dotyczące dostępności architektonicznej oraz informacyjno- komunikacyjnej.</w:t>
      </w:r>
      <w:r w:rsidR="001A0952">
        <w:t xml:space="preserve"> </w:t>
      </w:r>
      <w:r w:rsidR="001A0952" w:rsidRPr="001A0952">
        <w:t>Użytkownicy powinni szybko zorientować się, czego mogą się spodziewać na stronie i jak zgłosić problem – deklaracja nie powinna być dokumentem technicznym, ale praktyczną informacją.</w:t>
      </w:r>
    </w:p>
    <w:p w14:paraId="7924F384" w14:textId="4C566F79" w:rsidR="00FE16A7" w:rsidRPr="00BF6615" w:rsidRDefault="00FE16A7">
      <w:pPr>
        <w:numPr>
          <w:ilvl w:val="0"/>
          <w:numId w:val="56"/>
        </w:numPr>
      </w:pPr>
      <w:r w:rsidRPr="00BF6615">
        <w:rPr>
          <w:b/>
          <w:bCs/>
        </w:rPr>
        <w:lastRenderedPageBreak/>
        <w:t>Budowanie zespołów interdyscyplinarnych</w:t>
      </w:r>
      <w:r w:rsidR="00804291" w:rsidRPr="00BF6615">
        <w:rPr>
          <w:b/>
          <w:bCs/>
        </w:rPr>
        <w:t xml:space="preserve"> do tworzenia stron/aplikacji i treści</w:t>
      </w:r>
      <w:r w:rsidRPr="00BF6615">
        <w:t xml:space="preserve"> – UX, programista, redaktor treści, specjalista ds. dostępności, przedstawiciel użytkowników.</w:t>
      </w:r>
      <w:r w:rsidR="001A0952">
        <w:t xml:space="preserve"> </w:t>
      </w:r>
      <w:r w:rsidR="001A0952" w:rsidRPr="001A0952">
        <w:t>Zespoły projektowe powinny łączyć różne kompetencje – dzięki temu możliwe jest tworzenie bardziej zrównoważonych i dostępnych rozwiązań, które uwzględniają potrzeby realnych użytkowników.</w:t>
      </w:r>
    </w:p>
    <w:p w14:paraId="199F14A1" w14:textId="527A4F79" w:rsidR="00FE16A7" w:rsidRPr="00BF6615" w:rsidRDefault="00FE16A7">
      <w:pPr>
        <w:numPr>
          <w:ilvl w:val="0"/>
          <w:numId w:val="56"/>
        </w:numPr>
      </w:pPr>
      <w:r w:rsidRPr="00BF6615">
        <w:rPr>
          <w:b/>
          <w:bCs/>
        </w:rPr>
        <w:t>Szkolenia cykliczne dla pracowników</w:t>
      </w:r>
      <w:r w:rsidRPr="00BF6615">
        <w:t xml:space="preserve"> (redaktorów, IT, kadr kierowniczych) z języka prostego, projektowania </w:t>
      </w:r>
      <w:proofErr w:type="spellStart"/>
      <w:r w:rsidRPr="00BF6615">
        <w:t>inkluzywnego</w:t>
      </w:r>
      <w:proofErr w:type="spellEnd"/>
      <w:r w:rsidRPr="00BF6615">
        <w:t>.</w:t>
      </w:r>
      <w:r w:rsidR="00F047E5">
        <w:t xml:space="preserve"> </w:t>
      </w:r>
      <w:r w:rsidR="00F047E5" w:rsidRPr="00F047E5">
        <w:t>Kompetencje związane z dostępnością należy rozwijać systematycznie</w:t>
      </w:r>
      <w:r w:rsidR="00F047E5">
        <w:t>. Dotyczy to nie tylko osób zajmujących stanowiska techniczne, programistyczne</w:t>
      </w:r>
      <w:r w:rsidR="00F047E5" w:rsidRPr="00F047E5">
        <w:t>, ale również wśród osób decyzyjnych oraz odpowiedzialnych za treści.</w:t>
      </w:r>
    </w:p>
    <w:p w14:paraId="06E719C4" w14:textId="6E0067A8" w:rsidR="00FE16A7" w:rsidRPr="00BF6615" w:rsidRDefault="00FE16A7">
      <w:pPr>
        <w:numPr>
          <w:ilvl w:val="0"/>
          <w:numId w:val="56"/>
        </w:numPr>
      </w:pPr>
      <w:r w:rsidRPr="00BF6615">
        <w:rPr>
          <w:b/>
          <w:bCs/>
        </w:rPr>
        <w:t>Testy z użytkownikami przed każdą dużą zmianą</w:t>
      </w:r>
      <w:r w:rsidRPr="00BF6615">
        <w:t xml:space="preserve"> – co najmniej </w:t>
      </w:r>
      <w:r w:rsidR="00217442" w:rsidRPr="00BF6615">
        <w:t>kilka</w:t>
      </w:r>
      <w:r w:rsidRPr="00BF6615">
        <w:t xml:space="preserve"> osób z różnych grup (wzrok, słuch, ruch/koordynacja, </w:t>
      </w:r>
      <w:r w:rsidR="00217442" w:rsidRPr="00BF6615">
        <w:t xml:space="preserve">problemy </w:t>
      </w:r>
      <w:r w:rsidRPr="00BF6615">
        <w:t>poznawcze, seniorzy).</w:t>
      </w:r>
      <w:r w:rsidR="00F047E5">
        <w:t xml:space="preserve"> </w:t>
      </w:r>
      <w:r w:rsidR="00F047E5" w:rsidRPr="00F047E5">
        <w:t>Testy empiryczne pokazują prawdziwe problemy, których nie wychwyci automatyczny skaner</w:t>
      </w:r>
      <w:r w:rsidR="00F047E5">
        <w:t>. Z</w:t>
      </w:r>
      <w:r w:rsidR="00F047E5" w:rsidRPr="00F047E5">
        <w:t>różnicowane grupy testowe są kluczowe dla rzetelnej oceny</w:t>
      </w:r>
      <w:r w:rsidR="00F047E5">
        <w:t xml:space="preserve"> dostępności strony, aplikacji czy też dokumentów cyfrowych</w:t>
      </w:r>
      <w:r w:rsidR="00F047E5" w:rsidRPr="00F047E5">
        <w:t>.</w:t>
      </w:r>
    </w:p>
    <w:p w14:paraId="6AD42D4C" w14:textId="78E163E2" w:rsidR="00FE16A7" w:rsidRPr="00BF6615" w:rsidRDefault="00FE16A7">
      <w:pPr>
        <w:numPr>
          <w:ilvl w:val="0"/>
          <w:numId w:val="56"/>
        </w:numPr>
      </w:pPr>
      <w:r w:rsidRPr="00BF6615">
        <w:rPr>
          <w:b/>
          <w:bCs/>
        </w:rPr>
        <w:t>Jedno konto do wielu usług</w:t>
      </w:r>
      <w:r w:rsidRPr="00BF6615">
        <w:t xml:space="preserve"> – integracja logowania i automatyczne pobieranie danych użytkownika, by uniknąć wielokrotnego wprowadzania tych samych informacji.</w:t>
      </w:r>
      <w:r w:rsidR="00F047E5">
        <w:t xml:space="preserve"> </w:t>
      </w:r>
      <w:r w:rsidR="00F047E5" w:rsidRPr="00F047E5">
        <w:t>Zmniejsza to bariery cyfrowe i frustrację użytkowników, szczególnie tych z trudnościami poznawczymi lub ograniczoną sprawnością manualną.</w:t>
      </w:r>
    </w:p>
    <w:p w14:paraId="68DAA62E" w14:textId="251AE6C9" w:rsidR="00FE16A7" w:rsidRPr="00BF6615" w:rsidRDefault="00FE16A7">
      <w:pPr>
        <w:numPr>
          <w:ilvl w:val="0"/>
          <w:numId w:val="56"/>
        </w:numPr>
      </w:pPr>
      <w:r w:rsidRPr="00BF6615">
        <w:rPr>
          <w:b/>
          <w:bCs/>
        </w:rPr>
        <w:t>Kanały pomocy w trybie „live”</w:t>
      </w:r>
      <w:r w:rsidRPr="00BF6615">
        <w:t xml:space="preserve"> – czat tekstowy, </w:t>
      </w:r>
      <w:proofErr w:type="spellStart"/>
      <w:r w:rsidRPr="00BF6615">
        <w:t>wideoczat</w:t>
      </w:r>
      <w:proofErr w:type="spellEnd"/>
      <w:r w:rsidRPr="00BF6615">
        <w:t xml:space="preserve"> z tłumaczem PJM, infolinia </w:t>
      </w:r>
      <w:r w:rsidR="00C565B4" w:rsidRPr="00BF6615">
        <w:t>z</w:t>
      </w:r>
      <w:r w:rsidR="00C565B4">
        <w:t> </w:t>
      </w:r>
      <w:r w:rsidRPr="00BF6615">
        <w:t>możliwością przełączenia na tekst; widoczne na każdej podstronie.</w:t>
      </w:r>
      <w:r w:rsidR="00F047E5">
        <w:t xml:space="preserve"> </w:t>
      </w:r>
      <w:r w:rsidR="00F047E5" w:rsidRPr="00F047E5">
        <w:t xml:space="preserve"> Ułatwiony kontakt to realne wsparcie dla osób napotykających trudności. Usługi te powinny być łatwo dostępne i jednoznacznie oznaczone w całym serwisie.</w:t>
      </w:r>
    </w:p>
    <w:p w14:paraId="2726305E" w14:textId="472B9571" w:rsidR="00FE16A7" w:rsidRPr="00BF6615" w:rsidRDefault="00FE16A7">
      <w:pPr>
        <w:numPr>
          <w:ilvl w:val="0"/>
          <w:numId w:val="56"/>
        </w:numPr>
      </w:pPr>
      <w:r w:rsidRPr="00BF6615">
        <w:rPr>
          <w:b/>
          <w:bCs/>
        </w:rPr>
        <w:t>Publikacja wskaźników</w:t>
      </w:r>
      <w:r w:rsidRPr="00BF6615">
        <w:t xml:space="preserve"> – np. procent treści z napisami, czas reakcji na zgłoszenie bariery; transparentność buduje zaufanie i motywuje do poprawy.</w:t>
      </w:r>
      <w:r w:rsidR="00F047E5">
        <w:t xml:space="preserve"> </w:t>
      </w:r>
      <w:r w:rsidR="00F047E5" w:rsidRPr="00F047E5">
        <w:t>Publiczne raportowanie efektów działań na rzecz dostępności wzmacnia odpowiedzialność instytucji i umożliwia społeczną kontrolę postępów.</w:t>
      </w:r>
    </w:p>
    <w:p w14:paraId="2FA53852" w14:textId="6D8EFF2B" w:rsidR="00FE16A7" w:rsidRPr="00BF6615" w:rsidRDefault="00FE16A7" w:rsidP="007E26B5">
      <w:pPr>
        <w:rPr>
          <w:b/>
          <w:bCs/>
        </w:rPr>
      </w:pPr>
      <w:r w:rsidRPr="00BF6615">
        <w:rPr>
          <w:b/>
          <w:bCs/>
        </w:rPr>
        <w:t>3. Dla użytkowników i użytkowniczek serwisów</w:t>
      </w:r>
      <w:r w:rsidR="00081E92" w:rsidRPr="00BF6615">
        <w:rPr>
          <w:b/>
          <w:bCs/>
        </w:rPr>
        <w:t>:</w:t>
      </w:r>
    </w:p>
    <w:p w14:paraId="706E6359" w14:textId="3381B344" w:rsidR="00FE16A7" w:rsidRPr="00BF6615" w:rsidRDefault="00FE16A7">
      <w:pPr>
        <w:numPr>
          <w:ilvl w:val="0"/>
          <w:numId w:val="57"/>
        </w:numPr>
      </w:pPr>
      <w:r w:rsidRPr="00BF6615">
        <w:rPr>
          <w:b/>
          <w:bCs/>
        </w:rPr>
        <w:t>Korzystać z wbudowanych ułatwień</w:t>
      </w:r>
      <w:r w:rsidRPr="00BF6615">
        <w:t xml:space="preserve"> systemu (powiększenie, kontrast, czytnik ekranu, dyktowanie głosowe) – większość urządzeń ma je w ustawieniach „Ułatwienia dostępu”.</w:t>
      </w:r>
      <w:r w:rsidR="00F047E5">
        <w:t xml:space="preserve"> </w:t>
      </w:r>
      <w:r w:rsidR="00F047E5" w:rsidRPr="00F047E5">
        <w:t>Narzędzia te często wystarczają do poprawienia komfortu korzystania z serwisu bez konieczności instalowania dodatkowego oprogramowania. Warto poznać ich możliwości i skróty klawiszowe.</w:t>
      </w:r>
    </w:p>
    <w:p w14:paraId="7A590977" w14:textId="77777777" w:rsidR="00F047E5" w:rsidRPr="00F047E5" w:rsidRDefault="00FE16A7" w:rsidP="00F047E5">
      <w:pPr>
        <w:pStyle w:val="Akapitzlist"/>
        <w:numPr>
          <w:ilvl w:val="0"/>
          <w:numId w:val="57"/>
        </w:numPr>
      </w:pPr>
      <w:r w:rsidRPr="00F047E5">
        <w:rPr>
          <w:b/>
          <w:bCs/>
        </w:rPr>
        <w:t>Aktualizować technologie asystujące</w:t>
      </w:r>
      <w:r w:rsidRPr="00BF6615">
        <w:t xml:space="preserve"> (</w:t>
      </w:r>
      <w:proofErr w:type="spellStart"/>
      <w:r w:rsidRPr="00BF6615">
        <w:t>screen</w:t>
      </w:r>
      <w:proofErr w:type="spellEnd"/>
      <w:r w:rsidRPr="00BF6615">
        <w:t xml:space="preserve"> </w:t>
      </w:r>
      <w:proofErr w:type="spellStart"/>
      <w:r w:rsidRPr="00BF6615">
        <w:t>reader</w:t>
      </w:r>
      <w:proofErr w:type="spellEnd"/>
      <w:r w:rsidRPr="00BF6615">
        <w:t>, lupa, aplikacje PJM) – nowsze wersje poprawiają kompatybilność ze stronami.</w:t>
      </w:r>
      <w:r w:rsidR="00F047E5">
        <w:t xml:space="preserve"> </w:t>
      </w:r>
      <w:r w:rsidR="00F047E5" w:rsidRPr="00F047E5">
        <w:t xml:space="preserve">Nowe wersje przeglądarek i czytników </w:t>
      </w:r>
      <w:r w:rsidR="00F047E5" w:rsidRPr="00F047E5">
        <w:lastRenderedPageBreak/>
        <w:t>ekranu częściej wspierają aktualne standardy (np. WCAG 2.2), co pozwala uniknąć błędów i ograniczeń wynikających z niekompatybilności.</w:t>
      </w:r>
    </w:p>
    <w:p w14:paraId="7EDA76DB" w14:textId="41283E7B" w:rsidR="00FE16A7" w:rsidRPr="00BF6615" w:rsidRDefault="00FE16A7">
      <w:pPr>
        <w:numPr>
          <w:ilvl w:val="0"/>
          <w:numId w:val="57"/>
        </w:numPr>
      </w:pPr>
      <w:r w:rsidRPr="00BF6615">
        <w:rPr>
          <w:b/>
          <w:bCs/>
        </w:rPr>
        <w:t>Zgłaszać bariery</w:t>
      </w:r>
      <w:r w:rsidRPr="00BF6615">
        <w:t xml:space="preserve"> –</w:t>
      </w:r>
      <w:r w:rsidR="00E50034">
        <w:t xml:space="preserve"> </w:t>
      </w:r>
      <w:r w:rsidRPr="00BF6615">
        <w:t xml:space="preserve">wysyłać </w:t>
      </w:r>
      <w:r w:rsidR="00915D73" w:rsidRPr="00BF6615">
        <w:t>żądania zapewniania dostępności cyfrowej, zgłaszać błędy na stronach czy w aplikacjach</w:t>
      </w:r>
      <w:r w:rsidRPr="00BF6615">
        <w:t>; każde zgłoszenie jest odnotowywane i przyspiesza naprawy.</w:t>
      </w:r>
      <w:r w:rsidR="00F047E5">
        <w:t xml:space="preserve"> </w:t>
      </w:r>
      <w:r w:rsidR="00F047E5" w:rsidRPr="00F047E5">
        <w:t xml:space="preserve">Zgłoszenia mają moc prawną – zgodnie z ustawą o dostępności cyfrowej, instytucje </w:t>
      </w:r>
      <w:r w:rsidR="00F047E5">
        <w:t xml:space="preserve">zobowiązane do stosowania zapisów ustawy </w:t>
      </w:r>
      <w:r w:rsidR="00F047E5" w:rsidRPr="00F047E5">
        <w:t>są zobowiązane do reakcji</w:t>
      </w:r>
      <w:r w:rsidR="00F047E5">
        <w:t xml:space="preserve">. Znaczna liczba zgłoszeń dotyczących powtarzających się problemów </w:t>
      </w:r>
      <w:r w:rsidR="00F047E5" w:rsidRPr="00F047E5">
        <w:t>może wpływać na decyzje o</w:t>
      </w:r>
      <w:r w:rsidR="00F047E5">
        <w:t> </w:t>
      </w:r>
      <w:r w:rsidR="00F047E5" w:rsidRPr="00F047E5">
        <w:t>modernizacji serwisu.</w:t>
      </w:r>
    </w:p>
    <w:p w14:paraId="1E0EABCB" w14:textId="45B573C7" w:rsidR="00FE16A7" w:rsidRPr="00BF6615" w:rsidRDefault="00FE16A7">
      <w:pPr>
        <w:numPr>
          <w:ilvl w:val="0"/>
          <w:numId w:val="57"/>
        </w:numPr>
      </w:pPr>
      <w:r w:rsidRPr="00BF6615">
        <w:rPr>
          <w:b/>
          <w:bCs/>
        </w:rPr>
        <w:t>Wykorzystywać narzędzia społecznościowe</w:t>
      </w:r>
      <w:r w:rsidRPr="00BF6615">
        <w:t xml:space="preserve"> (fora, grupy FB, listy dyskusyjne) do wymiany porad: jak obejść daną barierę, która przeglądarka działa najlepiej itp.</w:t>
      </w:r>
      <w:r w:rsidR="00F047E5">
        <w:t xml:space="preserve"> Grupy</w:t>
      </w:r>
      <w:r w:rsidR="00F047E5" w:rsidRPr="00F047E5">
        <w:t xml:space="preserve"> użytkowników często są źródłem praktycznych rozwiązań i obejść, które nie są dostępne w oficjalnych instrukcjach czy dokumentacjach.</w:t>
      </w:r>
    </w:p>
    <w:p w14:paraId="33E14484" w14:textId="49ABDD5F" w:rsidR="00FE16A7" w:rsidRPr="00BF6615" w:rsidRDefault="00FE16A7">
      <w:pPr>
        <w:numPr>
          <w:ilvl w:val="0"/>
          <w:numId w:val="57"/>
        </w:numPr>
      </w:pPr>
      <w:r w:rsidRPr="00BF6615">
        <w:rPr>
          <w:b/>
          <w:bCs/>
        </w:rPr>
        <w:t>Korzystać z profilu zaufanego i jednego konta rządowego</w:t>
      </w:r>
      <w:r w:rsidRPr="00BF6615">
        <w:t xml:space="preserve"> – zmniejsza to liczbę logowań i skraca ścieżkę w wielu usługach.</w:t>
      </w:r>
      <w:r w:rsidR="00F047E5">
        <w:t xml:space="preserve"> </w:t>
      </w:r>
      <w:r w:rsidR="00F047E5" w:rsidRPr="00F047E5">
        <w:t>Dzięki temu można szybciej przejść do załatwienia sprawy bez konieczności powtarzania danych i logowania się w różnych systemach.</w:t>
      </w:r>
    </w:p>
    <w:p w14:paraId="640E5783" w14:textId="5275C698" w:rsidR="00FE16A7" w:rsidRPr="00BF6615" w:rsidRDefault="00FE16A7">
      <w:pPr>
        <w:numPr>
          <w:ilvl w:val="0"/>
          <w:numId w:val="57"/>
        </w:numPr>
      </w:pPr>
      <w:r w:rsidRPr="00BF6615">
        <w:rPr>
          <w:b/>
          <w:bCs/>
        </w:rPr>
        <w:t xml:space="preserve">Rozważyć </w:t>
      </w:r>
      <w:proofErr w:type="spellStart"/>
      <w:r w:rsidRPr="00BF6615">
        <w:rPr>
          <w:b/>
          <w:bCs/>
        </w:rPr>
        <w:t>menedżery</w:t>
      </w:r>
      <w:proofErr w:type="spellEnd"/>
      <w:r w:rsidRPr="00BF6615">
        <w:rPr>
          <w:b/>
          <w:bCs/>
        </w:rPr>
        <w:t xml:space="preserve"> haseł</w:t>
      </w:r>
      <w:r w:rsidRPr="00BF6615">
        <w:t xml:space="preserve"> – upraszczają logowanie na złożonych stronach, zwłaszcza gdy korzysta się z alternatywnych urządzeń wejścia.</w:t>
      </w:r>
      <w:r w:rsidR="00F047E5">
        <w:t xml:space="preserve"> </w:t>
      </w:r>
      <w:r w:rsidR="00F047E5" w:rsidRPr="00F047E5">
        <w:t>Narzędzia te pozwalają automatycznie uzupełniać dane logowania, co jest szczególnie pomocne dla osób mających trudności z pisaniem lub zapamiętywaniem haseł.</w:t>
      </w:r>
    </w:p>
    <w:p w14:paraId="15403B72" w14:textId="01B492D0" w:rsidR="00FE16A7" w:rsidRPr="00BF6615" w:rsidRDefault="00FE16A7">
      <w:pPr>
        <w:numPr>
          <w:ilvl w:val="0"/>
          <w:numId w:val="57"/>
        </w:numPr>
      </w:pPr>
      <w:r w:rsidRPr="00BF6615">
        <w:rPr>
          <w:b/>
          <w:bCs/>
        </w:rPr>
        <w:t>Brać udział w konsultacjach i testach użyteczności</w:t>
      </w:r>
      <w:r w:rsidRPr="00BF6615">
        <w:t xml:space="preserve"> organizowanych przez instytucje – pozwala to wpływać na kształt nowych funkcji i priorytety napraw.</w:t>
      </w:r>
      <w:r w:rsidR="00F047E5">
        <w:t xml:space="preserve"> </w:t>
      </w:r>
      <w:r w:rsidR="00F047E5" w:rsidRPr="00F047E5">
        <w:t>Udział w testach to realna szansa na wypowiedzenie się o barierach i potrzebach – instytucje często szukają osób do konsultacji, ale mają problem z ich pozyskaniem.</w:t>
      </w:r>
    </w:p>
    <w:p w14:paraId="5C354BBF" w14:textId="78D8BEA8" w:rsidR="00FE16A7" w:rsidRPr="00BF6615" w:rsidRDefault="00FE16A7">
      <w:pPr>
        <w:numPr>
          <w:ilvl w:val="0"/>
          <w:numId w:val="57"/>
        </w:numPr>
      </w:pPr>
      <w:r w:rsidRPr="00BF6615">
        <w:rPr>
          <w:b/>
          <w:bCs/>
        </w:rPr>
        <w:t>Dokumentować błędy</w:t>
      </w:r>
      <w:r w:rsidRPr="00BF6615">
        <w:t xml:space="preserve"> (zrzut ekranu, opis kroków, krótki filmik) – ułatwia to deweloperom reprodukcję problemu i szybszą naprawę.</w:t>
      </w:r>
      <w:r w:rsidR="00F047E5">
        <w:t xml:space="preserve"> </w:t>
      </w:r>
      <w:r w:rsidR="00F047E5" w:rsidRPr="00F047E5">
        <w:t>Dobrze udokumentowane zgłoszenie pozwala uniknąć nieporozumień i skraca czas potrzebny na znalezienie oraz usunięcie usterki.</w:t>
      </w:r>
    </w:p>
    <w:p w14:paraId="03A7B53C" w14:textId="0D64AAC5" w:rsidR="00FE16A7" w:rsidRPr="00BF6615" w:rsidRDefault="00FE16A7">
      <w:pPr>
        <w:numPr>
          <w:ilvl w:val="0"/>
          <w:numId w:val="57"/>
        </w:numPr>
      </w:pPr>
      <w:r w:rsidRPr="00BF6615">
        <w:rPr>
          <w:b/>
          <w:bCs/>
        </w:rPr>
        <w:t>Śledzić aktualizacje serwisów</w:t>
      </w:r>
      <w:r w:rsidRPr="00BF6615">
        <w:t xml:space="preserve"> – często nowe wersje aplikacji wprowadzają poprawki dostępności, warto instalować je na bieżąco.</w:t>
      </w:r>
      <w:r w:rsidR="00F047E5">
        <w:t xml:space="preserve"> </w:t>
      </w:r>
      <w:r w:rsidR="00F047E5" w:rsidRPr="00F047E5">
        <w:t>Utrzymywanie aktualnej wersji aplikacji zwiększa szansę na korzystanie z poprawionej dostępności oraz nowych funkcji ułatwiających obsługę.</w:t>
      </w:r>
    </w:p>
    <w:p w14:paraId="7C429C9E" w14:textId="25047652" w:rsidR="00FE16A7" w:rsidRPr="00BF6615" w:rsidRDefault="00FE16A7" w:rsidP="007E26B5">
      <w:r w:rsidRPr="00BF6615">
        <w:t xml:space="preserve">Wdrożenie powyższych zaleceń przez wszystkie trzy grupy interesariuszy jednocześnie jest warunkiem koniecznym, aby postulowana w badaniu „dostępność w praktyce” zastąpiła obecny stan </w:t>
      </w:r>
      <w:r w:rsidR="00996C51" w:rsidRPr="00BF6615">
        <w:t>deklaratywny</w:t>
      </w:r>
      <w:r w:rsidRPr="00BF6615">
        <w:t xml:space="preserve"> i częściow</w:t>
      </w:r>
      <w:r w:rsidR="00EA6615">
        <w:t>e</w:t>
      </w:r>
      <w:r w:rsidRPr="00BF6615">
        <w:t xml:space="preserve"> rozwiąza</w:t>
      </w:r>
      <w:r w:rsidR="00EA6615">
        <w:t>nia</w:t>
      </w:r>
      <w:r w:rsidRPr="00BF6615">
        <w:t>.</w:t>
      </w:r>
    </w:p>
    <w:p w14:paraId="7A70B39E" w14:textId="77777777" w:rsidR="00821A5F" w:rsidRPr="00BF6615" w:rsidRDefault="00821A5F" w:rsidP="007E26B5"/>
    <w:p w14:paraId="576A9484" w14:textId="77777777" w:rsidR="0082716C" w:rsidRPr="00BF6615" w:rsidRDefault="0082716C" w:rsidP="007E26B5">
      <w:pPr>
        <w:rPr>
          <w:rFonts w:cstheme="minorHAnsi"/>
        </w:rPr>
        <w:sectPr w:rsidR="0082716C" w:rsidRPr="00BF6615" w:rsidSect="007B330E">
          <w:pgSz w:w="12240" w:h="15840"/>
          <w:pgMar w:top="1440" w:right="1440" w:bottom="1440" w:left="1440" w:header="709" w:footer="709" w:gutter="0"/>
          <w:cols w:space="708"/>
          <w:titlePg/>
          <w:docGrid w:linePitch="360"/>
        </w:sectPr>
      </w:pPr>
    </w:p>
    <w:p w14:paraId="66C2425B" w14:textId="032B2A15" w:rsidR="002471B7" w:rsidRPr="00BF6615" w:rsidRDefault="00412A8D" w:rsidP="007E26B5">
      <w:pPr>
        <w:pStyle w:val="Nagwek1"/>
      </w:pPr>
      <w:bookmarkStart w:id="301" w:name="_Toc204179303"/>
      <w:r w:rsidRPr="00BF6615">
        <w:lastRenderedPageBreak/>
        <w:t xml:space="preserve">Spis </w:t>
      </w:r>
      <w:r w:rsidRPr="00BF6615">
        <w:rPr>
          <w:bCs/>
        </w:rPr>
        <w:t>tabel i wykresów</w:t>
      </w:r>
      <w:bookmarkEnd w:id="301"/>
    </w:p>
    <w:p w14:paraId="479FF5FC" w14:textId="02CA4F5A" w:rsidR="00AD79EF" w:rsidRPr="00BF6615" w:rsidRDefault="00D26CEC" w:rsidP="007E26B5">
      <w:pPr>
        <w:pStyle w:val="Nagwek2"/>
      </w:pPr>
      <w:bookmarkStart w:id="302" w:name="_Toc204179304"/>
      <w:r w:rsidRPr="00BF6615">
        <w:t>Spis</w:t>
      </w:r>
      <w:r w:rsidR="00650D56" w:rsidRPr="00BF6615">
        <w:t xml:space="preserve"> tabel</w:t>
      </w:r>
      <w:bookmarkEnd w:id="302"/>
    </w:p>
    <w:p w14:paraId="66DCE24E" w14:textId="00666F45" w:rsidR="00C565B4" w:rsidRDefault="00412A8D">
      <w:pPr>
        <w:pStyle w:val="Spisilustracji"/>
        <w:tabs>
          <w:tab w:val="right" w:leader="dot" w:pos="9350"/>
        </w:tabs>
        <w:rPr>
          <w:rFonts w:eastAsiaTheme="minorEastAsia"/>
          <w:noProof/>
          <w:kern w:val="2"/>
          <w:szCs w:val="24"/>
          <w:lang w:val="en-US"/>
          <w14:ligatures w14:val="standardContextual"/>
        </w:rPr>
      </w:pPr>
      <w:r w:rsidRPr="00BF6615">
        <w:rPr>
          <w:rFonts w:cstheme="minorHAnsi"/>
        </w:rPr>
        <w:fldChar w:fldCharType="begin"/>
      </w:r>
      <w:r w:rsidRPr="00BF6615">
        <w:rPr>
          <w:rFonts w:cstheme="minorHAnsi"/>
        </w:rPr>
        <w:instrText xml:space="preserve"> TOC \h \z \c "Tabela" </w:instrText>
      </w:r>
      <w:r w:rsidRPr="00BF6615">
        <w:rPr>
          <w:rFonts w:cstheme="minorHAnsi"/>
        </w:rPr>
        <w:fldChar w:fldCharType="separate"/>
      </w:r>
      <w:hyperlink w:anchor="_Toc204179099" w:history="1">
        <w:r w:rsidR="00C565B4" w:rsidRPr="00FB5A06">
          <w:rPr>
            <w:rStyle w:val="Hipercze"/>
            <w:rFonts w:cstheme="minorHAnsi"/>
            <w:noProof/>
          </w:rPr>
          <w:t>Tabela 1. Osoby z niepełnosprawnościami posiadające orzeczenie w podziale na typy niepełnosprawności</w:t>
        </w:r>
        <w:r w:rsidR="00C565B4">
          <w:rPr>
            <w:noProof/>
            <w:webHidden/>
          </w:rPr>
          <w:tab/>
        </w:r>
        <w:r w:rsidR="00C565B4">
          <w:rPr>
            <w:noProof/>
            <w:webHidden/>
          </w:rPr>
          <w:fldChar w:fldCharType="begin"/>
        </w:r>
        <w:r w:rsidR="00C565B4">
          <w:rPr>
            <w:noProof/>
            <w:webHidden/>
          </w:rPr>
          <w:instrText xml:space="preserve"> PAGEREF _Toc204179099 \h </w:instrText>
        </w:r>
        <w:r w:rsidR="00C565B4">
          <w:rPr>
            <w:noProof/>
            <w:webHidden/>
          </w:rPr>
        </w:r>
        <w:r w:rsidR="00C565B4">
          <w:rPr>
            <w:noProof/>
            <w:webHidden/>
          </w:rPr>
          <w:fldChar w:fldCharType="separate"/>
        </w:r>
        <w:r w:rsidR="00D024E8">
          <w:rPr>
            <w:noProof/>
            <w:webHidden/>
          </w:rPr>
          <w:t>10</w:t>
        </w:r>
        <w:r w:rsidR="00C565B4">
          <w:rPr>
            <w:noProof/>
            <w:webHidden/>
          </w:rPr>
          <w:fldChar w:fldCharType="end"/>
        </w:r>
      </w:hyperlink>
    </w:p>
    <w:p w14:paraId="42E2C73E" w14:textId="0F34C6B5"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0" w:history="1">
        <w:r w:rsidRPr="00FB5A06">
          <w:rPr>
            <w:rStyle w:val="Hipercze"/>
            <w:noProof/>
          </w:rPr>
          <w:t>Tabela 2. Umiejętności cyfrowe (deklarowane przez badanych w badaniu GUS)</w:t>
        </w:r>
        <w:r>
          <w:rPr>
            <w:noProof/>
            <w:webHidden/>
          </w:rPr>
          <w:tab/>
        </w:r>
        <w:r>
          <w:rPr>
            <w:noProof/>
            <w:webHidden/>
          </w:rPr>
          <w:fldChar w:fldCharType="begin"/>
        </w:r>
        <w:r>
          <w:rPr>
            <w:noProof/>
            <w:webHidden/>
          </w:rPr>
          <w:instrText xml:space="preserve"> PAGEREF _Toc204179100 \h </w:instrText>
        </w:r>
        <w:r>
          <w:rPr>
            <w:noProof/>
            <w:webHidden/>
          </w:rPr>
        </w:r>
        <w:r>
          <w:rPr>
            <w:noProof/>
            <w:webHidden/>
          </w:rPr>
          <w:fldChar w:fldCharType="separate"/>
        </w:r>
        <w:r w:rsidR="00D024E8">
          <w:rPr>
            <w:noProof/>
            <w:webHidden/>
          </w:rPr>
          <w:t>11</w:t>
        </w:r>
        <w:r>
          <w:rPr>
            <w:noProof/>
            <w:webHidden/>
          </w:rPr>
          <w:fldChar w:fldCharType="end"/>
        </w:r>
      </w:hyperlink>
    </w:p>
    <w:p w14:paraId="11026780" w14:textId="6AF65B30"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1" w:history="1">
        <w:r w:rsidRPr="00FB5A06">
          <w:rPr>
            <w:rStyle w:val="Hipercze"/>
            <w:noProof/>
          </w:rPr>
          <w:t>Tabela 3. Częstotliwość korzystania z Internetu</w:t>
        </w:r>
        <w:r>
          <w:rPr>
            <w:noProof/>
            <w:webHidden/>
          </w:rPr>
          <w:tab/>
        </w:r>
        <w:r>
          <w:rPr>
            <w:noProof/>
            <w:webHidden/>
          </w:rPr>
          <w:fldChar w:fldCharType="begin"/>
        </w:r>
        <w:r>
          <w:rPr>
            <w:noProof/>
            <w:webHidden/>
          </w:rPr>
          <w:instrText xml:space="preserve"> PAGEREF _Toc204179101 \h </w:instrText>
        </w:r>
        <w:r>
          <w:rPr>
            <w:noProof/>
            <w:webHidden/>
          </w:rPr>
        </w:r>
        <w:r>
          <w:rPr>
            <w:noProof/>
            <w:webHidden/>
          </w:rPr>
          <w:fldChar w:fldCharType="separate"/>
        </w:r>
        <w:r w:rsidR="00D024E8">
          <w:rPr>
            <w:noProof/>
            <w:webHidden/>
          </w:rPr>
          <w:t>13</w:t>
        </w:r>
        <w:r>
          <w:rPr>
            <w:noProof/>
            <w:webHidden/>
          </w:rPr>
          <w:fldChar w:fldCharType="end"/>
        </w:r>
      </w:hyperlink>
    </w:p>
    <w:p w14:paraId="2449420A" w14:textId="5B0E070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2" w:history="1">
        <w:r w:rsidRPr="00FB5A06">
          <w:rPr>
            <w:rStyle w:val="Hipercze"/>
            <w:rFonts w:cstheme="minorHAnsi"/>
            <w:noProof/>
          </w:rPr>
          <w:t>Tabela 4. Cel korzystania z Internetu w sprawach prywatnych w ciągu ostatnich 3 miesięcy</w:t>
        </w:r>
        <w:r>
          <w:rPr>
            <w:noProof/>
            <w:webHidden/>
          </w:rPr>
          <w:tab/>
        </w:r>
        <w:r>
          <w:rPr>
            <w:noProof/>
            <w:webHidden/>
          </w:rPr>
          <w:fldChar w:fldCharType="begin"/>
        </w:r>
        <w:r>
          <w:rPr>
            <w:noProof/>
            <w:webHidden/>
          </w:rPr>
          <w:instrText xml:space="preserve"> PAGEREF _Toc204179102 \h </w:instrText>
        </w:r>
        <w:r>
          <w:rPr>
            <w:noProof/>
            <w:webHidden/>
          </w:rPr>
        </w:r>
        <w:r>
          <w:rPr>
            <w:noProof/>
            <w:webHidden/>
          </w:rPr>
          <w:fldChar w:fldCharType="separate"/>
        </w:r>
        <w:r w:rsidR="00D024E8">
          <w:rPr>
            <w:noProof/>
            <w:webHidden/>
          </w:rPr>
          <w:t>14</w:t>
        </w:r>
        <w:r>
          <w:rPr>
            <w:noProof/>
            <w:webHidden/>
          </w:rPr>
          <w:fldChar w:fldCharType="end"/>
        </w:r>
      </w:hyperlink>
    </w:p>
    <w:p w14:paraId="29773760" w14:textId="778BB5C6"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3" w:history="1">
        <w:r w:rsidRPr="00FB5A06">
          <w:rPr>
            <w:rStyle w:val="Hipercze"/>
            <w:rFonts w:cstheme="minorHAnsi"/>
            <w:noProof/>
          </w:rPr>
          <w:t>Tabela 5. Problemy napotkane podczas korzystania ze stron internetowych lub aplikacji jednostek administracji publicznej</w:t>
        </w:r>
        <w:r>
          <w:rPr>
            <w:noProof/>
            <w:webHidden/>
          </w:rPr>
          <w:tab/>
        </w:r>
        <w:r>
          <w:rPr>
            <w:noProof/>
            <w:webHidden/>
          </w:rPr>
          <w:fldChar w:fldCharType="begin"/>
        </w:r>
        <w:r>
          <w:rPr>
            <w:noProof/>
            <w:webHidden/>
          </w:rPr>
          <w:instrText xml:space="preserve"> PAGEREF _Toc204179103 \h </w:instrText>
        </w:r>
        <w:r>
          <w:rPr>
            <w:noProof/>
            <w:webHidden/>
          </w:rPr>
        </w:r>
        <w:r>
          <w:rPr>
            <w:noProof/>
            <w:webHidden/>
          </w:rPr>
          <w:fldChar w:fldCharType="separate"/>
        </w:r>
        <w:r w:rsidR="00D024E8">
          <w:rPr>
            <w:noProof/>
            <w:webHidden/>
          </w:rPr>
          <w:t>17</w:t>
        </w:r>
        <w:r>
          <w:rPr>
            <w:noProof/>
            <w:webHidden/>
          </w:rPr>
          <w:fldChar w:fldCharType="end"/>
        </w:r>
      </w:hyperlink>
    </w:p>
    <w:p w14:paraId="5D942B20" w14:textId="1570EF7D"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4" w:history="1">
        <w:r w:rsidRPr="00FB5A06">
          <w:rPr>
            <w:rStyle w:val="Hipercze"/>
            <w:rFonts w:cstheme="minorHAnsi"/>
            <w:noProof/>
          </w:rPr>
          <w:t>Tabela 6. Liczba zidentyfikowanych problemów w zasadzie 1: Postrzegalność ) (osoby ociemniałe lub niewidome)</w:t>
        </w:r>
        <w:r>
          <w:rPr>
            <w:noProof/>
            <w:webHidden/>
          </w:rPr>
          <w:tab/>
        </w:r>
        <w:r>
          <w:rPr>
            <w:noProof/>
            <w:webHidden/>
          </w:rPr>
          <w:fldChar w:fldCharType="begin"/>
        </w:r>
        <w:r>
          <w:rPr>
            <w:noProof/>
            <w:webHidden/>
          </w:rPr>
          <w:instrText xml:space="preserve"> PAGEREF _Toc204179104 \h </w:instrText>
        </w:r>
        <w:r>
          <w:rPr>
            <w:noProof/>
            <w:webHidden/>
          </w:rPr>
        </w:r>
        <w:r>
          <w:rPr>
            <w:noProof/>
            <w:webHidden/>
          </w:rPr>
          <w:fldChar w:fldCharType="separate"/>
        </w:r>
        <w:r w:rsidR="00D024E8">
          <w:rPr>
            <w:noProof/>
            <w:webHidden/>
          </w:rPr>
          <w:t>53</w:t>
        </w:r>
        <w:r>
          <w:rPr>
            <w:noProof/>
            <w:webHidden/>
          </w:rPr>
          <w:fldChar w:fldCharType="end"/>
        </w:r>
      </w:hyperlink>
    </w:p>
    <w:p w14:paraId="18474EE2" w14:textId="69916E1F"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5" w:history="1">
        <w:r w:rsidRPr="00FB5A06">
          <w:rPr>
            <w:rStyle w:val="Hipercze"/>
            <w:rFonts w:cstheme="minorHAnsi"/>
            <w:noProof/>
          </w:rPr>
          <w:t>Tabela 7. Liczba zidentyfikowanych problemów w zasadzie 2: Funkcjonalność ) (osoby ociemniałe lub niewidome)</w:t>
        </w:r>
        <w:r>
          <w:rPr>
            <w:noProof/>
            <w:webHidden/>
          </w:rPr>
          <w:tab/>
        </w:r>
        <w:r>
          <w:rPr>
            <w:noProof/>
            <w:webHidden/>
          </w:rPr>
          <w:fldChar w:fldCharType="begin"/>
        </w:r>
        <w:r>
          <w:rPr>
            <w:noProof/>
            <w:webHidden/>
          </w:rPr>
          <w:instrText xml:space="preserve"> PAGEREF _Toc204179105 \h </w:instrText>
        </w:r>
        <w:r>
          <w:rPr>
            <w:noProof/>
            <w:webHidden/>
          </w:rPr>
        </w:r>
        <w:r>
          <w:rPr>
            <w:noProof/>
            <w:webHidden/>
          </w:rPr>
          <w:fldChar w:fldCharType="separate"/>
        </w:r>
        <w:r w:rsidR="00D024E8">
          <w:rPr>
            <w:noProof/>
            <w:webHidden/>
          </w:rPr>
          <w:t>54</w:t>
        </w:r>
        <w:r>
          <w:rPr>
            <w:noProof/>
            <w:webHidden/>
          </w:rPr>
          <w:fldChar w:fldCharType="end"/>
        </w:r>
      </w:hyperlink>
    </w:p>
    <w:p w14:paraId="02A9E8EE" w14:textId="0E92765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6" w:history="1">
        <w:r w:rsidRPr="00FB5A06">
          <w:rPr>
            <w:rStyle w:val="Hipercze"/>
            <w:rFonts w:cstheme="minorHAnsi"/>
            <w:noProof/>
          </w:rPr>
          <w:t>Tabela 8. Liczba zidentyfikowanych problemów w zasadzie 3: Zrozumiałość ) (osoby ociemniałe lub niewidome)</w:t>
        </w:r>
        <w:r>
          <w:rPr>
            <w:noProof/>
            <w:webHidden/>
          </w:rPr>
          <w:tab/>
        </w:r>
        <w:r>
          <w:rPr>
            <w:noProof/>
            <w:webHidden/>
          </w:rPr>
          <w:fldChar w:fldCharType="begin"/>
        </w:r>
        <w:r>
          <w:rPr>
            <w:noProof/>
            <w:webHidden/>
          </w:rPr>
          <w:instrText xml:space="preserve"> PAGEREF _Toc204179106 \h </w:instrText>
        </w:r>
        <w:r>
          <w:rPr>
            <w:noProof/>
            <w:webHidden/>
          </w:rPr>
        </w:r>
        <w:r>
          <w:rPr>
            <w:noProof/>
            <w:webHidden/>
          </w:rPr>
          <w:fldChar w:fldCharType="separate"/>
        </w:r>
        <w:r w:rsidR="00D024E8">
          <w:rPr>
            <w:noProof/>
            <w:webHidden/>
          </w:rPr>
          <w:t>54</w:t>
        </w:r>
        <w:r>
          <w:rPr>
            <w:noProof/>
            <w:webHidden/>
          </w:rPr>
          <w:fldChar w:fldCharType="end"/>
        </w:r>
      </w:hyperlink>
    </w:p>
    <w:p w14:paraId="4B59A81C" w14:textId="73133926"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7" w:history="1">
        <w:r w:rsidRPr="00FB5A06">
          <w:rPr>
            <w:rStyle w:val="Hipercze"/>
            <w:rFonts w:cstheme="minorHAnsi"/>
            <w:noProof/>
          </w:rPr>
          <w:t>Tabela 9. Liczba zidentyfikowanych problemów w zasadzie 1: Postrzegalność (osoby słabowidzące)</w:t>
        </w:r>
        <w:r>
          <w:rPr>
            <w:noProof/>
            <w:webHidden/>
          </w:rPr>
          <w:tab/>
        </w:r>
        <w:r>
          <w:rPr>
            <w:noProof/>
            <w:webHidden/>
          </w:rPr>
          <w:fldChar w:fldCharType="begin"/>
        </w:r>
        <w:r>
          <w:rPr>
            <w:noProof/>
            <w:webHidden/>
          </w:rPr>
          <w:instrText xml:space="preserve"> PAGEREF _Toc204179107 \h </w:instrText>
        </w:r>
        <w:r>
          <w:rPr>
            <w:noProof/>
            <w:webHidden/>
          </w:rPr>
        </w:r>
        <w:r>
          <w:rPr>
            <w:noProof/>
            <w:webHidden/>
          </w:rPr>
          <w:fldChar w:fldCharType="separate"/>
        </w:r>
        <w:r w:rsidR="00D024E8">
          <w:rPr>
            <w:noProof/>
            <w:webHidden/>
          </w:rPr>
          <w:t>61</w:t>
        </w:r>
        <w:r>
          <w:rPr>
            <w:noProof/>
            <w:webHidden/>
          </w:rPr>
          <w:fldChar w:fldCharType="end"/>
        </w:r>
      </w:hyperlink>
    </w:p>
    <w:p w14:paraId="4993161C" w14:textId="55C0D098"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8" w:history="1">
        <w:r w:rsidRPr="00FB5A06">
          <w:rPr>
            <w:rStyle w:val="Hipercze"/>
            <w:rFonts w:cstheme="minorHAnsi"/>
            <w:noProof/>
          </w:rPr>
          <w:t>Tabela 10. Liczba zidentyfikowanych problemów w zasadzie 2: Funkcjonalność (osoby słabowidzące)</w:t>
        </w:r>
        <w:r>
          <w:rPr>
            <w:noProof/>
            <w:webHidden/>
          </w:rPr>
          <w:tab/>
        </w:r>
        <w:r>
          <w:rPr>
            <w:noProof/>
            <w:webHidden/>
          </w:rPr>
          <w:fldChar w:fldCharType="begin"/>
        </w:r>
        <w:r>
          <w:rPr>
            <w:noProof/>
            <w:webHidden/>
          </w:rPr>
          <w:instrText xml:space="preserve"> PAGEREF _Toc204179108 \h </w:instrText>
        </w:r>
        <w:r>
          <w:rPr>
            <w:noProof/>
            <w:webHidden/>
          </w:rPr>
        </w:r>
        <w:r>
          <w:rPr>
            <w:noProof/>
            <w:webHidden/>
          </w:rPr>
          <w:fldChar w:fldCharType="separate"/>
        </w:r>
        <w:r w:rsidR="00D024E8">
          <w:rPr>
            <w:noProof/>
            <w:webHidden/>
          </w:rPr>
          <w:t>61</w:t>
        </w:r>
        <w:r>
          <w:rPr>
            <w:noProof/>
            <w:webHidden/>
          </w:rPr>
          <w:fldChar w:fldCharType="end"/>
        </w:r>
      </w:hyperlink>
    </w:p>
    <w:p w14:paraId="2AC41C25" w14:textId="6532AA9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09" w:history="1">
        <w:r w:rsidRPr="00FB5A06">
          <w:rPr>
            <w:rStyle w:val="Hipercze"/>
            <w:rFonts w:cstheme="minorHAnsi"/>
            <w:noProof/>
          </w:rPr>
          <w:t>Tabela 11. Liczba zidentyfikowanych problemów w zasadzie 3: Zrozumiałość (osoby słabowidzące)</w:t>
        </w:r>
        <w:r>
          <w:rPr>
            <w:noProof/>
            <w:webHidden/>
          </w:rPr>
          <w:tab/>
        </w:r>
        <w:r>
          <w:rPr>
            <w:noProof/>
            <w:webHidden/>
          </w:rPr>
          <w:fldChar w:fldCharType="begin"/>
        </w:r>
        <w:r>
          <w:rPr>
            <w:noProof/>
            <w:webHidden/>
          </w:rPr>
          <w:instrText xml:space="preserve"> PAGEREF _Toc204179109 \h </w:instrText>
        </w:r>
        <w:r>
          <w:rPr>
            <w:noProof/>
            <w:webHidden/>
          </w:rPr>
        </w:r>
        <w:r>
          <w:rPr>
            <w:noProof/>
            <w:webHidden/>
          </w:rPr>
          <w:fldChar w:fldCharType="separate"/>
        </w:r>
        <w:r w:rsidR="00D024E8">
          <w:rPr>
            <w:noProof/>
            <w:webHidden/>
          </w:rPr>
          <w:t>62</w:t>
        </w:r>
        <w:r>
          <w:rPr>
            <w:noProof/>
            <w:webHidden/>
          </w:rPr>
          <w:fldChar w:fldCharType="end"/>
        </w:r>
      </w:hyperlink>
    </w:p>
    <w:p w14:paraId="40788777" w14:textId="44D352CC"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0" w:history="1">
        <w:r w:rsidRPr="00FB5A06">
          <w:rPr>
            <w:rStyle w:val="Hipercze"/>
            <w:rFonts w:cstheme="minorHAnsi"/>
            <w:noProof/>
          </w:rPr>
          <w:t>Tabela 12. Liczba zidentyfikowanych problemów w zasadzie 1: Postrzegalność (osoby słabosłyszące lub niesłyszące)</w:t>
        </w:r>
        <w:r>
          <w:rPr>
            <w:noProof/>
            <w:webHidden/>
          </w:rPr>
          <w:tab/>
        </w:r>
        <w:r>
          <w:rPr>
            <w:noProof/>
            <w:webHidden/>
          </w:rPr>
          <w:fldChar w:fldCharType="begin"/>
        </w:r>
        <w:r>
          <w:rPr>
            <w:noProof/>
            <w:webHidden/>
          </w:rPr>
          <w:instrText xml:space="preserve"> PAGEREF _Toc204179110 \h </w:instrText>
        </w:r>
        <w:r>
          <w:rPr>
            <w:noProof/>
            <w:webHidden/>
          </w:rPr>
        </w:r>
        <w:r>
          <w:rPr>
            <w:noProof/>
            <w:webHidden/>
          </w:rPr>
          <w:fldChar w:fldCharType="separate"/>
        </w:r>
        <w:r w:rsidR="00D024E8">
          <w:rPr>
            <w:noProof/>
            <w:webHidden/>
          </w:rPr>
          <w:t>69</w:t>
        </w:r>
        <w:r>
          <w:rPr>
            <w:noProof/>
            <w:webHidden/>
          </w:rPr>
          <w:fldChar w:fldCharType="end"/>
        </w:r>
      </w:hyperlink>
    </w:p>
    <w:p w14:paraId="6AF1B9C4" w14:textId="2ABD0A1F"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1" w:history="1">
        <w:r w:rsidRPr="00FB5A06">
          <w:rPr>
            <w:rStyle w:val="Hipercze"/>
            <w:rFonts w:cstheme="minorHAnsi"/>
            <w:noProof/>
          </w:rPr>
          <w:t>Tabela 13. Liczba zidentyfikowanych problemów w zasadzie 3: Zrozumiałość (osoby słabosłyszące lub niesłyszące)</w:t>
        </w:r>
        <w:r>
          <w:rPr>
            <w:noProof/>
            <w:webHidden/>
          </w:rPr>
          <w:tab/>
        </w:r>
        <w:r>
          <w:rPr>
            <w:noProof/>
            <w:webHidden/>
          </w:rPr>
          <w:fldChar w:fldCharType="begin"/>
        </w:r>
        <w:r>
          <w:rPr>
            <w:noProof/>
            <w:webHidden/>
          </w:rPr>
          <w:instrText xml:space="preserve"> PAGEREF _Toc204179111 \h </w:instrText>
        </w:r>
        <w:r>
          <w:rPr>
            <w:noProof/>
            <w:webHidden/>
          </w:rPr>
        </w:r>
        <w:r>
          <w:rPr>
            <w:noProof/>
            <w:webHidden/>
          </w:rPr>
          <w:fldChar w:fldCharType="separate"/>
        </w:r>
        <w:r w:rsidR="00D024E8">
          <w:rPr>
            <w:noProof/>
            <w:webHidden/>
          </w:rPr>
          <w:t>70</w:t>
        </w:r>
        <w:r>
          <w:rPr>
            <w:noProof/>
            <w:webHidden/>
          </w:rPr>
          <w:fldChar w:fldCharType="end"/>
        </w:r>
      </w:hyperlink>
    </w:p>
    <w:p w14:paraId="567096BA" w14:textId="0340D65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2" w:history="1">
        <w:r w:rsidRPr="00FB5A06">
          <w:rPr>
            <w:rStyle w:val="Hipercze"/>
            <w:rFonts w:cstheme="minorHAnsi"/>
            <w:noProof/>
          </w:rPr>
          <w:t>Tabela 14. Liczba zidentyfikowanych problemów w zasadzie 1: Postrzegalność (osoby z dysfunkcją narządu ruchu)</w:t>
        </w:r>
        <w:r>
          <w:rPr>
            <w:noProof/>
            <w:webHidden/>
          </w:rPr>
          <w:tab/>
        </w:r>
        <w:r>
          <w:rPr>
            <w:noProof/>
            <w:webHidden/>
          </w:rPr>
          <w:fldChar w:fldCharType="begin"/>
        </w:r>
        <w:r>
          <w:rPr>
            <w:noProof/>
            <w:webHidden/>
          </w:rPr>
          <w:instrText xml:space="preserve"> PAGEREF _Toc204179112 \h </w:instrText>
        </w:r>
        <w:r>
          <w:rPr>
            <w:noProof/>
            <w:webHidden/>
          </w:rPr>
        </w:r>
        <w:r>
          <w:rPr>
            <w:noProof/>
            <w:webHidden/>
          </w:rPr>
          <w:fldChar w:fldCharType="separate"/>
        </w:r>
        <w:r w:rsidR="00D024E8">
          <w:rPr>
            <w:noProof/>
            <w:webHidden/>
          </w:rPr>
          <w:t>76</w:t>
        </w:r>
        <w:r>
          <w:rPr>
            <w:noProof/>
            <w:webHidden/>
          </w:rPr>
          <w:fldChar w:fldCharType="end"/>
        </w:r>
      </w:hyperlink>
    </w:p>
    <w:p w14:paraId="38534798" w14:textId="5A4938FC"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3" w:history="1">
        <w:r w:rsidRPr="00FB5A06">
          <w:rPr>
            <w:rStyle w:val="Hipercze"/>
            <w:rFonts w:cstheme="minorHAnsi"/>
            <w:noProof/>
          </w:rPr>
          <w:t>Tabela 15. Liczba zidentyfikowanych problemów w zasadzie 2: Funkcjonalność (osoby z dysfunkcją narządu ruchu)</w:t>
        </w:r>
        <w:r>
          <w:rPr>
            <w:noProof/>
            <w:webHidden/>
          </w:rPr>
          <w:tab/>
        </w:r>
        <w:r>
          <w:rPr>
            <w:noProof/>
            <w:webHidden/>
          </w:rPr>
          <w:fldChar w:fldCharType="begin"/>
        </w:r>
        <w:r>
          <w:rPr>
            <w:noProof/>
            <w:webHidden/>
          </w:rPr>
          <w:instrText xml:space="preserve"> PAGEREF _Toc204179113 \h </w:instrText>
        </w:r>
        <w:r>
          <w:rPr>
            <w:noProof/>
            <w:webHidden/>
          </w:rPr>
        </w:r>
        <w:r>
          <w:rPr>
            <w:noProof/>
            <w:webHidden/>
          </w:rPr>
          <w:fldChar w:fldCharType="separate"/>
        </w:r>
        <w:r w:rsidR="00D024E8">
          <w:rPr>
            <w:noProof/>
            <w:webHidden/>
          </w:rPr>
          <w:t>76</w:t>
        </w:r>
        <w:r>
          <w:rPr>
            <w:noProof/>
            <w:webHidden/>
          </w:rPr>
          <w:fldChar w:fldCharType="end"/>
        </w:r>
      </w:hyperlink>
    </w:p>
    <w:p w14:paraId="6DEE6CE1" w14:textId="1BBC388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4" w:history="1">
        <w:r w:rsidRPr="00FB5A06">
          <w:rPr>
            <w:rStyle w:val="Hipercze"/>
            <w:rFonts w:cstheme="minorHAnsi"/>
            <w:noProof/>
          </w:rPr>
          <w:t>Tabela 16. Liczba zidentyfikowanych problemów w zasadzie 3: Zrozumiałość (osoby z dysfunkcją narządu ruchu)</w:t>
        </w:r>
        <w:r>
          <w:rPr>
            <w:noProof/>
            <w:webHidden/>
          </w:rPr>
          <w:tab/>
        </w:r>
        <w:r>
          <w:rPr>
            <w:noProof/>
            <w:webHidden/>
          </w:rPr>
          <w:fldChar w:fldCharType="begin"/>
        </w:r>
        <w:r>
          <w:rPr>
            <w:noProof/>
            <w:webHidden/>
          </w:rPr>
          <w:instrText xml:space="preserve"> PAGEREF _Toc204179114 \h </w:instrText>
        </w:r>
        <w:r>
          <w:rPr>
            <w:noProof/>
            <w:webHidden/>
          </w:rPr>
        </w:r>
        <w:r>
          <w:rPr>
            <w:noProof/>
            <w:webHidden/>
          </w:rPr>
          <w:fldChar w:fldCharType="separate"/>
        </w:r>
        <w:r w:rsidR="00D024E8">
          <w:rPr>
            <w:noProof/>
            <w:webHidden/>
          </w:rPr>
          <w:t>77</w:t>
        </w:r>
        <w:r>
          <w:rPr>
            <w:noProof/>
            <w:webHidden/>
          </w:rPr>
          <w:fldChar w:fldCharType="end"/>
        </w:r>
      </w:hyperlink>
    </w:p>
    <w:p w14:paraId="6ED3EBB2" w14:textId="7921AE9B"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5" w:history="1">
        <w:r w:rsidRPr="00FB5A06">
          <w:rPr>
            <w:rStyle w:val="Hipercze"/>
            <w:rFonts w:cstheme="minorHAnsi"/>
            <w:noProof/>
          </w:rPr>
          <w:t>Tabela 17. Liczba zidentyfikowanych problemów w zasadzie 1: Postrzegalność (osoby z niepełnosprawnością intelektualną i ograniczeniami poznawczymi)</w:t>
        </w:r>
        <w:r>
          <w:rPr>
            <w:noProof/>
            <w:webHidden/>
          </w:rPr>
          <w:tab/>
        </w:r>
        <w:r>
          <w:rPr>
            <w:noProof/>
            <w:webHidden/>
          </w:rPr>
          <w:fldChar w:fldCharType="begin"/>
        </w:r>
        <w:r>
          <w:rPr>
            <w:noProof/>
            <w:webHidden/>
          </w:rPr>
          <w:instrText xml:space="preserve"> PAGEREF _Toc204179115 \h </w:instrText>
        </w:r>
        <w:r>
          <w:rPr>
            <w:noProof/>
            <w:webHidden/>
          </w:rPr>
        </w:r>
        <w:r>
          <w:rPr>
            <w:noProof/>
            <w:webHidden/>
          </w:rPr>
          <w:fldChar w:fldCharType="separate"/>
        </w:r>
        <w:r w:rsidR="00D024E8">
          <w:rPr>
            <w:noProof/>
            <w:webHidden/>
          </w:rPr>
          <w:t>84</w:t>
        </w:r>
        <w:r>
          <w:rPr>
            <w:noProof/>
            <w:webHidden/>
          </w:rPr>
          <w:fldChar w:fldCharType="end"/>
        </w:r>
      </w:hyperlink>
    </w:p>
    <w:p w14:paraId="53060486" w14:textId="79F0C81D"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6" w:history="1">
        <w:r w:rsidRPr="00FB5A06">
          <w:rPr>
            <w:rStyle w:val="Hipercze"/>
            <w:rFonts w:cstheme="minorHAnsi"/>
            <w:noProof/>
          </w:rPr>
          <w:t>Tabela 18. Liczba zidentyfikowanych problemów w zasadzie 2: Funkcjonalność (osoby z niepełnosprawnością intelektualną i ograniczeniami poznawczymi)</w:t>
        </w:r>
        <w:r>
          <w:rPr>
            <w:noProof/>
            <w:webHidden/>
          </w:rPr>
          <w:tab/>
        </w:r>
        <w:r>
          <w:rPr>
            <w:noProof/>
            <w:webHidden/>
          </w:rPr>
          <w:fldChar w:fldCharType="begin"/>
        </w:r>
        <w:r>
          <w:rPr>
            <w:noProof/>
            <w:webHidden/>
          </w:rPr>
          <w:instrText xml:space="preserve"> PAGEREF _Toc204179116 \h </w:instrText>
        </w:r>
        <w:r>
          <w:rPr>
            <w:noProof/>
            <w:webHidden/>
          </w:rPr>
        </w:r>
        <w:r>
          <w:rPr>
            <w:noProof/>
            <w:webHidden/>
          </w:rPr>
          <w:fldChar w:fldCharType="separate"/>
        </w:r>
        <w:r w:rsidR="00D024E8">
          <w:rPr>
            <w:noProof/>
            <w:webHidden/>
          </w:rPr>
          <w:t>84</w:t>
        </w:r>
        <w:r>
          <w:rPr>
            <w:noProof/>
            <w:webHidden/>
          </w:rPr>
          <w:fldChar w:fldCharType="end"/>
        </w:r>
      </w:hyperlink>
    </w:p>
    <w:p w14:paraId="28E86212" w14:textId="68124127"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7" w:history="1">
        <w:r w:rsidRPr="00FB5A06">
          <w:rPr>
            <w:rStyle w:val="Hipercze"/>
            <w:rFonts w:cstheme="minorHAnsi"/>
            <w:noProof/>
          </w:rPr>
          <w:t>Tabela 19. Liczba zidentyfikowanych problemów w zasadzie 3: Zrozumiałość (osoby z niepełnosprawnością intelektualną i ograniczeniami poznawczymi)</w:t>
        </w:r>
        <w:r>
          <w:rPr>
            <w:noProof/>
            <w:webHidden/>
          </w:rPr>
          <w:tab/>
        </w:r>
        <w:r>
          <w:rPr>
            <w:noProof/>
            <w:webHidden/>
          </w:rPr>
          <w:fldChar w:fldCharType="begin"/>
        </w:r>
        <w:r>
          <w:rPr>
            <w:noProof/>
            <w:webHidden/>
          </w:rPr>
          <w:instrText xml:space="preserve"> PAGEREF _Toc204179117 \h </w:instrText>
        </w:r>
        <w:r>
          <w:rPr>
            <w:noProof/>
            <w:webHidden/>
          </w:rPr>
        </w:r>
        <w:r>
          <w:rPr>
            <w:noProof/>
            <w:webHidden/>
          </w:rPr>
          <w:fldChar w:fldCharType="separate"/>
        </w:r>
        <w:r w:rsidR="00D024E8">
          <w:rPr>
            <w:noProof/>
            <w:webHidden/>
          </w:rPr>
          <w:t>85</w:t>
        </w:r>
        <w:r>
          <w:rPr>
            <w:noProof/>
            <w:webHidden/>
          </w:rPr>
          <w:fldChar w:fldCharType="end"/>
        </w:r>
      </w:hyperlink>
    </w:p>
    <w:p w14:paraId="76071AC3" w14:textId="28133571"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8" w:history="1">
        <w:r w:rsidRPr="00FB5A06">
          <w:rPr>
            <w:rStyle w:val="Hipercze"/>
            <w:rFonts w:cstheme="minorHAnsi"/>
            <w:noProof/>
          </w:rPr>
          <w:t>Tabela 20. Liczba zidentyfikowanych problemów w zasadzie 1: Postrzegalność (osoby, które ukończyły 60 rok życia)</w:t>
        </w:r>
        <w:r>
          <w:rPr>
            <w:noProof/>
            <w:webHidden/>
          </w:rPr>
          <w:tab/>
        </w:r>
        <w:r>
          <w:rPr>
            <w:noProof/>
            <w:webHidden/>
          </w:rPr>
          <w:fldChar w:fldCharType="begin"/>
        </w:r>
        <w:r>
          <w:rPr>
            <w:noProof/>
            <w:webHidden/>
          </w:rPr>
          <w:instrText xml:space="preserve"> PAGEREF _Toc204179118 \h </w:instrText>
        </w:r>
        <w:r>
          <w:rPr>
            <w:noProof/>
            <w:webHidden/>
          </w:rPr>
        </w:r>
        <w:r>
          <w:rPr>
            <w:noProof/>
            <w:webHidden/>
          </w:rPr>
          <w:fldChar w:fldCharType="separate"/>
        </w:r>
        <w:r w:rsidR="00D024E8">
          <w:rPr>
            <w:noProof/>
            <w:webHidden/>
          </w:rPr>
          <w:t>91</w:t>
        </w:r>
        <w:r>
          <w:rPr>
            <w:noProof/>
            <w:webHidden/>
          </w:rPr>
          <w:fldChar w:fldCharType="end"/>
        </w:r>
      </w:hyperlink>
    </w:p>
    <w:p w14:paraId="099A9CF6" w14:textId="053295F6"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19" w:history="1">
        <w:r w:rsidRPr="00FB5A06">
          <w:rPr>
            <w:rStyle w:val="Hipercze"/>
            <w:noProof/>
          </w:rPr>
          <w:t>Tabela 21. Liczba zidentyfikowanych problemów w zasadzie 2: Funkcjonalność (osoby, które ukończyły 60 rok życia)</w:t>
        </w:r>
        <w:r>
          <w:rPr>
            <w:noProof/>
            <w:webHidden/>
          </w:rPr>
          <w:tab/>
        </w:r>
        <w:r>
          <w:rPr>
            <w:noProof/>
            <w:webHidden/>
          </w:rPr>
          <w:fldChar w:fldCharType="begin"/>
        </w:r>
        <w:r>
          <w:rPr>
            <w:noProof/>
            <w:webHidden/>
          </w:rPr>
          <w:instrText xml:space="preserve"> PAGEREF _Toc204179119 \h </w:instrText>
        </w:r>
        <w:r>
          <w:rPr>
            <w:noProof/>
            <w:webHidden/>
          </w:rPr>
        </w:r>
        <w:r>
          <w:rPr>
            <w:noProof/>
            <w:webHidden/>
          </w:rPr>
          <w:fldChar w:fldCharType="separate"/>
        </w:r>
        <w:r w:rsidR="00D024E8">
          <w:rPr>
            <w:noProof/>
            <w:webHidden/>
          </w:rPr>
          <w:t>91</w:t>
        </w:r>
        <w:r>
          <w:rPr>
            <w:noProof/>
            <w:webHidden/>
          </w:rPr>
          <w:fldChar w:fldCharType="end"/>
        </w:r>
      </w:hyperlink>
    </w:p>
    <w:p w14:paraId="0B842F0F" w14:textId="4D07C057"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0" w:history="1">
        <w:r w:rsidRPr="00FB5A06">
          <w:rPr>
            <w:rStyle w:val="Hipercze"/>
            <w:rFonts w:cstheme="minorHAnsi"/>
            <w:noProof/>
          </w:rPr>
          <w:t>Tabela 22. Liczba zidentyfikowanych problemów w zasadzie 3: Zrozumiałość (osoby, które ukończyły 60 rok życia)</w:t>
        </w:r>
        <w:r>
          <w:rPr>
            <w:noProof/>
            <w:webHidden/>
          </w:rPr>
          <w:tab/>
        </w:r>
        <w:r>
          <w:rPr>
            <w:noProof/>
            <w:webHidden/>
          </w:rPr>
          <w:fldChar w:fldCharType="begin"/>
        </w:r>
        <w:r>
          <w:rPr>
            <w:noProof/>
            <w:webHidden/>
          </w:rPr>
          <w:instrText xml:space="preserve"> PAGEREF _Toc204179120 \h </w:instrText>
        </w:r>
        <w:r>
          <w:rPr>
            <w:noProof/>
            <w:webHidden/>
          </w:rPr>
        </w:r>
        <w:r>
          <w:rPr>
            <w:noProof/>
            <w:webHidden/>
          </w:rPr>
          <w:fldChar w:fldCharType="separate"/>
        </w:r>
        <w:r w:rsidR="00D024E8">
          <w:rPr>
            <w:noProof/>
            <w:webHidden/>
          </w:rPr>
          <w:t>92</w:t>
        </w:r>
        <w:r>
          <w:rPr>
            <w:noProof/>
            <w:webHidden/>
          </w:rPr>
          <w:fldChar w:fldCharType="end"/>
        </w:r>
      </w:hyperlink>
    </w:p>
    <w:p w14:paraId="690E13EF" w14:textId="7A72EE3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1" w:history="1">
        <w:r w:rsidRPr="00FB5A06">
          <w:rPr>
            <w:rStyle w:val="Hipercze"/>
            <w:rFonts w:cstheme="minorHAnsi"/>
            <w:noProof/>
          </w:rPr>
          <w:t>Tabela 23. Zestawienie hierarchii potrzeb wspólnych dla grup badanych</w:t>
        </w:r>
        <w:r>
          <w:rPr>
            <w:noProof/>
            <w:webHidden/>
          </w:rPr>
          <w:tab/>
        </w:r>
        <w:r>
          <w:rPr>
            <w:noProof/>
            <w:webHidden/>
          </w:rPr>
          <w:fldChar w:fldCharType="begin"/>
        </w:r>
        <w:r>
          <w:rPr>
            <w:noProof/>
            <w:webHidden/>
          </w:rPr>
          <w:instrText xml:space="preserve"> PAGEREF _Toc204179121 \h </w:instrText>
        </w:r>
        <w:r>
          <w:rPr>
            <w:noProof/>
            <w:webHidden/>
          </w:rPr>
        </w:r>
        <w:r>
          <w:rPr>
            <w:noProof/>
            <w:webHidden/>
          </w:rPr>
          <w:fldChar w:fldCharType="separate"/>
        </w:r>
        <w:r w:rsidR="00D024E8">
          <w:rPr>
            <w:noProof/>
            <w:webHidden/>
          </w:rPr>
          <w:t>96</w:t>
        </w:r>
        <w:r>
          <w:rPr>
            <w:noProof/>
            <w:webHidden/>
          </w:rPr>
          <w:fldChar w:fldCharType="end"/>
        </w:r>
      </w:hyperlink>
    </w:p>
    <w:p w14:paraId="5C1FAE96" w14:textId="18FD8B30"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2" w:history="1">
        <w:r w:rsidRPr="00FB5A06">
          <w:rPr>
            <w:rStyle w:val="Hipercze"/>
            <w:noProof/>
          </w:rPr>
          <w:t>Tabela 24. Podsumowanie realizacji próby</w:t>
        </w:r>
        <w:r>
          <w:rPr>
            <w:noProof/>
            <w:webHidden/>
          </w:rPr>
          <w:tab/>
        </w:r>
        <w:r>
          <w:rPr>
            <w:noProof/>
            <w:webHidden/>
          </w:rPr>
          <w:fldChar w:fldCharType="begin"/>
        </w:r>
        <w:r>
          <w:rPr>
            <w:noProof/>
            <w:webHidden/>
          </w:rPr>
          <w:instrText xml:space="preserve"> PAGEREF _Toc204179122 \h </w:instrText>
        </w:r>
        <w:r>
          <w:rPr>
            <w:noProof/>
            <w:webHidden/>
          </w:rPr>
        </w:r>
        <w:r>
          <w:rPr>
            <w:noProof/>
            <w:webHidden/>
          </w:rPr>
          <w:fldChar w:fldCharType="separate"/>
        </w:r>
        <w:r w:rsidR="00D024E8">
          <w:rPr>
            <w:noProof/>
            <w:webHidden/>
          </w:rPr>
          <w:t>129</w:t>
        </w:r>
        <w:r>
          <w:rPr>
            <w:noProof/>
            <w:webHidden/>
          </w:rPr>
          <w:fldChar w:fldCharType="end"/>
        </w:r>
      </w:hyperlink>
    </w:p>
    <w:p w14:paraId="46798683" w14:textId="1122FA58"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3" w:history="1">
        <w:r w:rsidRPr="00FB5A06">
          <w:rPr>
            <w:rStyle w:val="Hipercze"/>
            <w:noProof/>
          </w:rPr>
          <w:t>Tabela 25. Średnie oceny stron publicznych wg aspektów dostępności cyfrowej dla stron, z których korzystają osoby badane w pełnej grupie badanej</w:t>
        </w:r>
        <w:r>
          <w:rPr>
            <w:noProof/>
            <w:webHidden/>
          </w:rPr>
          <w:tab/>
        </w:r>
        <w:r>
          <w:rPr>
            <w:noProof/>
            <w:webHidden/>
          </w:rPr>
          <w:fldChar w:fldCharType="begin"/>
        </w:r>
        <w:r>
          <w:rPr>
            <w:noProof/>
            <w:webHidden/>
          </w:rPr>
          <w:instrText xml:space="preserve"> PAGEREF _Toc204179123 \h </w:instrText>
        </w:r>
        <w:r>
          <w:rPr>
            <w:noProof/>
            <w:webHidden/>
          </w:rPr>
        </w:r>
        <w:r>
          <w:rPr>
            <w:noProof/>
            <w:webHidden/>
          </w:rPr>
          <w:fldChar w:fldCharType="separate"/>
        </w:r>
        <w:r w:rsidR="00D024E8">
          <w:rPr>
            <w:noProof/>
            <w:webHidden/>
          </w:rPr>
          <w:t>149</w:t>
        </w:r>
        <w:r>
          <w:rPr>
            <w:noProof/>
            <w:webHidden/>
          </w:rPr>
          <w:fldChar w:fldCharType="end"/>
        </w:r>
      </w:hyperlink>
    </w:p>
    <w:p w14:paraId="3F2A1726" w14:textId="065F9785"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4" w:history="1">
        <w:r w:rsidRPr="00FB5A06">
          <w:rPr>
            <w:rStyle w:val="Hipercze"/>
            <w:noProof/>
          </w:rPr>
          <w:t>Tabela 26. Średnie oceny tematycznych stron publicznych wg aspektów dostępności cyfrowej dla stron, z których korzystają osoby badane w pełnej grupie badanej</w:t>
        </w:r>
        <w:r>
          <w:rPr>
            <w:noProof/>
            <w:webHidden/>
          </w:rPr>
          <w:tab/>
        </w:r>
        <w:r>
          <w:rPr>
            <w:noProof/>
            <w:webHidden/>
          </w:rPr>
          <w:fldChar w:fldCharType="begin"/>
        </w:r>
        <w:r>
          <w:rPr>
            <w:noProof/>
            <w:webHidden/>
          </w:rPr>
          <w:instrText xml:space="preserve"> PAGEREF _Toc204179124 \h </w:instrText>
        </w:r>
        <w:r>
          <w:rPr>
            <w:noProof/>
            <w:webHidden/>
          </w:rPr>
        </w:r>
        <w:r>
          <w:rPr>
            <w:noProof/>
            <w:webHidden/>
          </w:rPr>
          <w:fldChar w:fldCharType="separate"/>
        </w:r>
        <w:r w:rsidR="00D024E8">
          <w:rPr>
            <w:noProof/>
            <w:webHidden/>
          </w:rPr>
          <w:t>151</w:t>
        </w:r>
        <w:r>
          <w:rPr>
            <w:noProof/>
            <w:webHidden/>
          </w:rPr>
          <w:fldChar w:fldCharType="end"/>
        </w:r>
      </w:hyperlink>
    </w:p>
    <w:p w14:paraId="4CC6D230" w14:textId="64894A6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5" w:history="1">
        <w:r w:rsidRPr="00FB5A06">
          <w:rPr>
            <w:rStyle w:val="Hipercze"/>
            <w:noProof/>
          </w:rPr>
          <w:t>Tabela 27. Średnie oceny aplikacji publicznych wg aspektów dostępności cyfrowej dla aplikacji, z których korzystają osoby badane w pełnej grupie badanej</w:t>
        </w:r>
        <w:r>
          <w:rPr>
            <w:noProof/>
            <w:webHidden/>
          </w:rPr>
          <w:tab/>
        </w:r>
        <w:r>
          <w:rPr>
            <w:noProof/>
            <w:webHidden/>
          </w:rPr>
          <w:fldChar w:fldCharType="begin"/>
        </w:r>
        <w:r>
          <w:rPr>
            <w:noProof/>
            <w:webHidden/>
          </w:rPr>
          <w:instrText xml:space="preserve"> PAGEREF _Toc204179125 \h </w:instrText>
        </w:r>
        <w:r>
          <w:rPr>
            <w:noProof/>
            <w:webHidden/>
          </w:rPr>
        </w:r>
        <w:r>
          <w:rPr>
            <w:noProof/>
            <w:webHidden/>
          </w:rPr>
          <w:fldChar w:fldCharType="separate"/>
        </w:r>
        <w:r w:rsidR="00D024E8">
          <w:rPr>
            <w:noProof/>
            <w:webHidden/>
          </w:rPr>
          <w:t>153</w:t>
        </w:r>
        <w:r>
          <w:rPr>
            <w:noProof/>
            <w:webHidden/>
          </w:rPr>
          <w:fldChar w:fldCharType="end"/>
        </w:r>
      </w:hyperlink>
    </w:p>
    <w:p w14:paraId="027A5CEC" w14:textId="135B0D28"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6" w:history="1">
        <w:r w:rsidRPr="00FB5A06">
          <w:rPr>
            <w:rStyle w:val="Hipercze"/>
            <w:noProof/>
          </w:rPr>
          <w:t>Tabela 28. Średnie oceny tematycznych aplikacji publiczny wg aspektów dostępności cyfrowej, z których korzystają osoby badane w pełnej grupie badanej</w:t>
        </w:r>
        <w:r>
          <w:rPr>
            <w:noProof/>
            <w:webHidden/>
          </w:rPr>
          <w:tab/>
        </w:r>
        <w:r>
          <w:rPr>
            <w:noProof/>
            <w:webHidden/>
          </w:rPr>
          <w:fldChar w:fldCharType="begin"/>
        </w:r>
        <w:r>
          <w:rPr>
            <w:noProof/>
            <w:webHidden/>
          </w:rPr>
          <w:instrText xml:space="preserve"> PAGEREF _Toc204179126 \h </w:instrText>
        </w:r>
        <w:r>
          <w:rPr>
            <w:noProof/>
            <w:webHidden/>
          </w:rPr>
        </w:r>
        <w:r>
          <w:rPr>
            <w:noProof/>
            <w:webHidden/>
          </w:rPr>
          <w:fldChar w:fldCharType="separate"/>
        </w:r>
        <w:r w:rsidR="00D024E8">
          <w:rPr>
            <w:noProof/>
            <w:webHidden/>
          </w:rPr>
          <w:t>154</w:t>
        </w:r>
        <w:r>
          <w:rPr>
            <w:noProof/>
            <w:webHidden/>
          </w:rPr>
          <w:fldChar w:fldCharType="end"/>
        </w:r>
      </w:hyperlink>
    </w:p>
    <w:p w14:paraId="2B4B8946" w14:textId="0287BC9E"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7" w:history="1">
        <w:r w:rsidRPr="00FB5A06">
          <w:rPr>
            <w:rStyle w:val="Hipercze"/>
            <w:noProof/>
          </w:rPr>
          <w:t>Tabela 29. Oczekiwania w stosunku do stron podmiotów publicznych wg kryterium ważności w pełnej grupie badanej</w:t>
        </w:r>
        <w:r>
          <w:rPr>
            <w:noProof/>
            <w:webHidden/>
          </w:rPr>
          <w:tab/>
        </w:r>
        <w:r>
          <w:rPr>
            <w:noProof/>
            <w:webHidden/>
          </w:rPr>
          <w:fldChar w:fldCharType="begin"/>
        </w:r>
        <w:r>
          <w:rPr>
            <w:noProof/>
            <w:webHidden/>
          </w:rPr>
          <w:instrText xml:space="preserve"> PAGEREF _Toc204179127 \h </w:instrText>
        </w:r>
        <w:r>
          <w:rPr>
            <w:noProof/>
            <w:webHidden/>
          </w:rPr>
        </w:r>
        <w:r>
          <w:rPr>
            <w:noProof/>
            <w:webHidden/>
          </w:rPr>
          <w:fldChar w:fldCharType="separate"/>
        </w:r>
        <w:r w:rsidR="00D024E8">
          <w:rPr>
            <w:noProof/>
            <w:webHidden/>
          </w:rPr>
          <w:t>156</w:t>
        </w:r>
        <w:r>
          <w:rPr>
            <w:noProof/>
            <w:webHidden/>
          </w:rPr>
          <w:fldChar w:fldCharType="end"/>
        </w:r>
      </w:hyperlink>
    </w:p>
    <w:p w14:paraId="0BDE1D79" w14:textId="63C1DDF3"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8" w:history="1">
        <w:r w:rsidRPr="00FB5A06">
          <w:rPr>
            <w:rStyle w:val="Hipercze"/>
            <w:noProof/>
          </w:rPr>
          <w:t>Tabela 30. Oczekiwania w stosunku do aplikacji mobilnych wg kryterium ważności w pełnej grupie badanej</w:t>
        </w:r>
        <w:r>
          <w:rPr>
            <w:noProof/>
            <w:webHidden/>
          </w:rPr>
          <w:tab/>
        </w:r>
        <w:r>
          <w:rPr>
            <w:noProof/>
            <w:webHidden/>
          </w:rPr>
          <w:fldChar w:fldCharType="begin"/>
        </w:r>
        <w:r>
          <w:rPr>
            <w:noProof/>
            <w:webHidden/>
          </w:rPr>
          <w:instrText xml:space="preserve"> PAGEREF _Toc204179128 \h </w:instrText>
        </w:r>
        <w:r>
          <w:rPr>
            <w:noProof/>
            <w:webHidden/>
          </w:rPr>
        </w:r>
        <w:r>
          <w:rPr>
            <w:noProof/>
            <w:webHidden/>
          </w:rPr>
          <w:fldChar w:fldCharType="separate"/>
        </w:r>
        <w:r w:rsidR="00D024E8">
          <w:rPr>
            <w:noProof/>
            <w:webHidden/>
          </w:rPr>
          <w:t>158</w:t>
        </w:r>
        <w:r>
          <w:rPr>
            <w:noProof/>
            <w:webHidden/>
          </w:rPr>
          <w:fldChar w:fldCharType="end"/>
        </w:r>
      </w:hyperlink>
    </w:p>
    <w:p w14:paraId="631D69AC" w14:textId="7FDE0D97"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29" w:history="1">
        <w:r w:rsidRPr="00FB5A06">
          <w:rPr>
            <w:rStyle w:val="Hipercze"/>
            <w:noProof/>
          </w:rPr>
          <w:t>Tabela 31. Średnie oceny stron publicznych wg aspektów dostępności cyfrowej dla stron, z których korzystają osoby badane w grupie obywatele</w:t>
        </w:r>
        <w:r>
          <w:rPr>
            <w:noProof/>
            <w:webHidden/>
          </w:rPr>
          <w:tab/>
        </w:r>
        <w:r>
          <w:rPr>
            <w:noProof/>
            <w:webHidden/>
          </w:rPr>
          <w:fldChar w:fldCharType="begin"/>
        </w:r>
        <w:r>
          <w:rPr>
            <w:noProof/>
            <w:webHidden/>
          </w:rPr>
          <w:instrText xml:space="preserve"> PAGEREF _Toc204179129 \h </w:instrText>
        </w:r>
        <w:r>
          <w:rPr>
            <w:noProof/>
            <w:webHidden/>
          </w:rPr>
        </w:r>
        <w:r>
          <w:rPr>
            <w:noProof/>
            <w:webHidden/>
          </w:rPr>
          <w:fldChar w:fldCharType="separate"/>
        </w:r>
        <w:r w:rsidR="00D024E8">
          <w:rPr>
            <w:noProof/>
            <w:webHidden/>
          </w:rPr>
          <w:t>173</w:t>
        </w:r>
        <w:r>
          <w:rPr>
            <w:noProof/>
            <w:webHidden/>
          </w:rPr>
          <w:fldChar w:fldCharType="end"/>
        </w:r>
      </w:hyperlink>
    </w:p>
    <w:p w14:paraId="7A6BC698" w14:textId="4EC9C69A"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0" w:history="1">
        <w:r w:rsidRPr="00FB5A06">
          <w:rPr>
            <w:rStyle w:val="Hipercze"/>
            <w:noProof/>
          </w:rPr>
          <w:t>Tabela 32. Średnie oceny tematycznych stron publicznych wg aspektów dostępności cyfrowej dla stron, z których korzystają osoby badane w grupie obywatele</w:t>
        </w:r>
        <w:r>
          <w:rPr>
            <w:noProof/>
            <w:webHidden/>
          </w:rPr>
          <w:tab/>
        </w:r>
        <w:r>
          <w:rPr>
            <w:noProof/>
            <w:webHidden/>
          </w:rPr>
          <w:fldChar w:fldCharType="begin"/>
        </w:r>
        <w:r>
          <w:rPr>
            <w:noProof/>
            <w:webHidden/>
          </w:rPr>
          <w:instrText xml:space="preserve"> PAGEREF _Toc204179130 \h </w:instrText>
        </w:r>
        <w:r>
          <w:rPr>
            <w:noProof/>
            <w:webHidden/>
          </w:rPr>
        </w:r>
        <w:r>
          <w:rPr>
            <w:noProof/>
            <w:webHidden/>
          </w:rPr>
          <w:fldChar w:fldCharType="separate"/>
        </w:r>
        <w:r w:rsidR="00D024E8">
          <w:rPr>
            <w:noProof/>
            <w:webHidden/>
          </w:rPr>
          <w:t>175</w:t>
        </w:r>
        <w:r>
          <w:rPr>
            <w:noProof/>
            <w:webHidden/>
          </w:rPr>
          <w:fldChar w:fldCharType="end"/>
        </w:r>
      </w:hyperlink>
    </w:p>
    <w:p w14:paraId="13AEB0A1" w14:textId="177E757A"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1" w:history="1">
        <w:r w:rsidRPr="00FB5A06">
          <w:rPr>
            <w:rStyle w:val="Hipercze"/>
            <w:noProof/>
          </w:rPr>
          <w:t>Tabela 33. Średnie oceny aplikacji publicznych wg aspektów dostępności cyfrowej dla aplikacji, z których korzystają osoby badane w grupie obywatele</w:t>
        </w:r>
        <w:r>
          <w:rPr>
            <w:noProof/>
            <w:webHidden/>
          </w:rPr>
          <w:tab/>
        </w:r>
        <w:r>
          <w:rPr>
            <w:noProof/>
            <w:webHidden/>
          </w:rPr>
          <w:fldChar w:fldCharType="begin"/>
        </w:r>
        <w:r>
          <w:rPr>
            <w:noProof/>
            <w:webHidden/>
          </w:rPr>
          <w:instrText xml:space="preserve"> PAGEREF _Toc204179131 \h </w:instrText>
        </w:r>
        <w:r>
          <w:rPr>
            <w:noProof/>
            <w:webHidden/>
          </w:rPr>
        </w:r>
        <w:r>
          <w:rPr>
            <w:noProof/>
            <w:webHidden/>
          </w:rPr>
          <w:fldChar w:fldCharType="separate"/>
        </w:r>
        <w:r w:rsidR="00D024E8">
          <w:rPr>
            <w:noProof/>
            <w:webHidden/>
          </w:rPr>
          <w:t>177</w:t>
        </w:r>
        <w:r>
          <w:rPr>
            <w:noProof/>
            <w:webHidden/>
          </w:rPr>
          <w:fldChar w:fldCharType="end"/>
        </w:r>
      </w:hyperlink>
    </w:p>
    <w:p w14:paraId="2FBACA42" w14:textId="57514A0E"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2" w:history="1">
        <w:r w:rsidRPr="00FB5A06">
          <w:rPr>
            <w:rStyle w:val="Hipercze"/>
            <w:noProof/>
          </w:rPr>
          <w:t>Tabela 34. Średnie oceny tematycznych aplikacji publiczny wg aspektów dostępności cyfrowej, z których korzystają osoby badane w grupie obywatele</w:t>
        </w:r>
        <w:r>
          <w:rPr>
            <w:noProof/>
            <w:webHidden/>
          </w:rPr>
          <w:tab/>
        </w:r>
        <w:r>
          <w:rPr>
            <w:noProof/>
            <w:webHidden/>
          </w:rPr>
          <w:fldChar w:fldCharType="begin"/>
        </w:r>
        <w:r>
          <w:rPr>
            <w:noProof/>
            <w:webHidden/>
          </w:rPr>
          <w:instrText xml:space="preserve"> PAGEREF _Toc204179132 \h </w:instrText>
        </w:r>
        <w:r>
          <w:rPr>
            <w:noProof/>
            <w:webHidden/>
          </w:rPr>
        </w:r>
        <w:r>
          <w:rPr>
            <w:noProof/>
            <w:webHidden/>
          </w:rPr>
          <w:fldChar w:fldCharType="separate"/>
        </w:r>
        <w:r w:rsidR="00D024E8">
          <w:rPr>
            <w:noProof/>
            <w:webHidden/>
          </w:rPr>
          <w:t>178</w:t>
        </w:r>
        <w:r>
          <w:rPr>
            <w:noProof/>
            <w:webHidden/>
          </w:rPr>
          <w:fldChar w:fldCharType="end"/>
        </w:r>
      </w:hyperlink>
    </w:p>
    <w:p w14:paraId="2BEE218A" w14:textId="5420C761"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3" w:history="1">
        <w:r w:rsidRPr="00FB5A06">
          <w:rPr>
            <w:rStyle w:val="Hipercze"/>
            <w:noProof/>
          </w:rPr>
          <w:t>Tabela 35. Oczekiwania w stosunku do stron publicznych wg kryterium ważności w grupie obywatele</w:t>
        </w:r>
        <w:r>
          <w:rPr>
            <w:noProof/>
            <w:webHidden/>
          </w:rPr>
          <w:tab/>
        </w:r>
        <w:r>
          <w:rPr>
            <w:noProof/>
            <w:webHidden/>
          </w:rPr>
          <w:fldChar w:fldCharType="begin"/>
        </w:r>
        <w:r>
          <w:rPr>
            <w:noProof/>
            <w:webHidden/>
          </w:rPr>
          <w:instrText xml:space="preserve"> PAGEREF _Toc204179133 \h </w:instrText>
        </w:r>
        <w:r>
          <w:rPr>
            <w:noProof/>
            <w:webHidden/>
          </w:rPr>
        </w:r>
        <w:r>
          <w:rPr>
            <w:noProof/>
            <w:webHidden/>
          </w:rPr>
          <w:fldChar w:fldCharType="separate"/>
        </w:r>
        <w:r w:rsidR="00D024E8">
          <w:rPr>
            <w:noProof/>
            <w:webHidden/>
          </w:rPr>
          <w:t>180</w:t>
        </w:r>
        <w:r>
          <w:rPr>
            <w:noProof/>
            <w:webHidden/>
          </w:rPr>
          <w:fldChar w:fldCharType="end"/>
        </w:r>
      </w:hyperlink>
    </w:p>
    <w:p w14:paraId="6989839F" w14:textId="758EEE9D"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4" w:history="1">
        <w:r w:rsidRPr="00FB5A06">
          <w:rPr>
            <w:rStyle w:val="Hipercze"/>
            <w:noProof/>
          </w:rPr>
          <w:t>Tabela 36. Oczekiwania w stosunku do aplikacji mobilnych wg kryterium ważności w grupie obywatele</w:t>
        </w:r>
        <w:r>
          <w:rPr>
            <w:noProof/>
            <w:webHidden/>
          </w:rPr>
          <w:tab/>
        </w:r>
        <w:r>
          <w:rPr>
            <w:noProof/>
            <w:webHidden/>
          </w:rPr>
          <w:fldChar w:fldCharType="begin"/>
        </w:r>
        <w:r>
          <w:rPr>
            <w:noProof/>
            <w:webHidden/>
          </w:rPr>
          <w:instrText xml:space="preserve"> PAGEREF _Toc204179134 \h </w:instrText>
        </w:r>
        <w:r>
          <w:rPr>
            <w:noProof/>
            <w:webHidden/>
          </w:rPr>
        </w:r>
        <w:r>
          <w:rPr>
            <w:noProof/>
            <w:webHidden/>
          </w:rPr>
          <w:fldChar w:fldCharType="separate"/>
        </w:r>
        <w:r w:rsidR="00D024E8">
          <w:rPr>
            <w:noProof/>
            <w:webHidden/>
          </w:rPr>
          <w:t>182</w:t>
        </w:r>
        <w:r>
          <w:rPr>
            <w:noProof/>
            <w:webHidden/>
          </w:rPr>
          <w:fldChar w:fldCharType="end"/>
        </w:r>
      </w:hyperlink>
    </w:p>
    <w:p w14:paraId="5B8B5875" w14:textId="0C236CD7"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5" w:history="1">
        <w:r w:rsidRPr="00FB5A06">
          <w:rPr>
            <w:rStyle w:val="Hipercze"/>
            <w:noProof/>
          </w:rPr>
          <w:t>Tabela 37. Średnie oceny stron publicznych wg aspektów dostępności cyfrowej dla stron, z których korzystają osoby badane w grupie osoby z niepełnosprawnościami</w:t>
        </w:r>
        <w:r>
          <w:rPr>
            <w:noProof/>
            <w:webHidden/>
          </w:rPr>
          <w:tab/>
        </w:r>
        <w:r>
          <w:rPr>
            <w:noProof/>
            <w:webHidden/>
          </w:rPr>
          <w:fldChar w:fldCharType="begin"/>
        </w:r>
        <w:r>
          <w:rPr>
            <w:noProof/>
            <w:webHidden/>
          </w:rPr>
          <w:instrText xml:space="preserve"> PAGEREF _Toc204179135 \h </w:instrText>
        </w:r>
        <w:r>
          <w:rPr>
            <w:noProof/>
            <w:webHidden/>
          </w:rPr>
        </w:r>
        <w:r>
          <w:rPr>
            <w:noProof/>
            <w:webHidden/>
          </w:rPr>
          <w:fldChar w:fldCharType="separate"/>
        </w:r>
        <w:r w:rsidR="00D024E8">
          <w:rPr>
            <w:noProof/>
            <w:webHidden/>
          </w:rPr>
          <w:t>198</w:t>
        </w:r>
        <w:r>
          <w:rPr>
            <w:noProof/>
            <w:webHidden/>
          </w:rPr>
          <w:fldChar w:fldCharType="end"/>
        </w:r>
      </w:hyperlink>
    </w:p>
    <w:p w14:paraId="0BCD5759" w14:textId="53D9726A"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6" w:history="1">
        <w:r w:rsidRPr="00FB5A06">
          <w:rPr>
            <w:rStyle w:val="Hipercze"/>
            <w:noProof/>
          </w:rPr>
          <w:t>Tabela 38. Średnie oceny tematycznych stron publicznych wg aspektów dostępności cyfrowej dla stron, z których korzystają osoby badane w grupie osoby z niepełnosprawnościami</w:t>
        </w:r>
        <w:r>
          <w:rPr>
            <w:noProof/>
            <w:webHidden/>
          </w:rPr>
          <w:tab/>
        </w:r>
        <w:r>
          <w:rPr>
            <w:noProof/>
            <w:webHidden/>
          </w:rPr>
          <w:fldChar w:fldCharType="begin"/>
        </w:r>
        <w:r>
          <w:rPr>
            <w:noProof/>
            <w:webHidden/>
          </w:rPr>
          <w:instrText xml:space="preserve"> PAGEREF _Toc204179136 \h </w:instrText>
        </w:r>
        <w:r>
          <w:rPr>
            <w:noProof/>
            <w:webHidden/>
          </w:rPr>
        </w:r>
        <w:r>
          <w:rPr>
            <w:noProof/>
            <w:webHidden/>
          </w:rPr>
          <w:fldChar w:fldCharType="separate"/>
        </w:r>
        <w:r w:rsidR="00D024E8">
          <w:rPr>
            <w:noProof/>
            <w:webHidden/>
          </w:rPr>
          <w:t>200</w:t>
        </w:r>
        <w:r>
          <w:rPr>
            <w:noProof/>
            <w:webHidden/>
          </w:rPr>
          <w:fldChar w:fldCharType="end"/>
        </w:r>
      </w:hyperlink>
    </w:p>
    <w:p w14:paraId="5F9CB8D0" w14:textId="6714C351"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7" w:history="1">
        <w:r w:rsidRPr="00FB5A06">
          <w:rPr>
            <w:rStyle w:val="Hipercze"/>
            <w:noProof/>
          </w:rPr>
          <w:t>Tabela 39. Średnie oceny aplikacji publicznych wg aspektów dostępności cyfrowej dla aplikacji, z których korzystają osoby badane w grupie osoby z niepełnosprawnościami</w:t>
        </w:r>
        <w:r>
          <w:rPr>
            <w:noProof/>
            <w:webHidden/>
          </w:rPr>
          <w:tab/>
        </w:r>
        <w:r>
          <w:rPr>
            <w:noProof/>
            <w:webHidden/>
          </w:rPr>
          <w:fldChar w:fldCharType="begin"/>
        </w:r>
        <w:r>
          <w:rPr>
            <w:noProof/>
            <w:webHidden/>
          </w:rPr>
          <w:instrText xml:space="preserve"> PAGEREF _Toc204179137 \h </w:instrText>
        </w:r>
        <w:r>
          <w:rPr>
            <w:noProof/>
            <w:webHidden/>
          </w:rPr>
        </w:r>
        <w:r>
          <w:rPr>
            <w:noProof/>
            <w:webHidden/>
          </w:rPr>
          <w:fldChar w:fldCharType="separate"/>
        </w:r>
        <w:r w:rsidR="00D024E8">
          <w:rPr>
            <w:noProof/>
            <w:webHidden/>
          </w:rPr>
          <w:t>202</w:t>
        </w:r>
        <w:r>
          <w:rPr>
            <w:noProof/>
            <w:webHidden/>
          </w:rPr>
          <w:fldChar w:fldCharType="end"/>
        </w:r>
      </w:hyperlink>
    </w:p>
    <w:p w14:paraId="1A6AE858" w14:textId="0B056CEF"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8" w:history="1">
        <w:r w:rsidRPr="00FB5A06">
          <w:rPr>
            <w:rStyle w:val="Hipercze"/>
            <w:noProof/>
          </w:rPr>
          <w:t>Tabela 40. Średnie oceny tematycznych aplikacji publiczny wg aspektów dostępności cyfrowej, z których korzystają osoby badane w grupie osoby z niepełnosprawnościami</w:t>
        </w:r>
        <w:r>
          <w:rPr>
            <w:noProof/>
            <w:webHidden/>
          </w:rPr>
          <w:tab/>
        </w:r>
        <w:r>
          <w:rPr>
            <w:noProof/>
            <w:webHidden/>
          </w:rPr>
          <w:fldChar w:fldCharType="begin"/>
        </w:r>
        <w:r>
          <w:rPr>
            <w:noProof/>
            <w:webHidden/>
          </w:rPr>
          <w:instrText xml:space="preserve"> PAGEREF _Toc204179138 \h </w:instrText>
        </w:r>
        <w:r>
          <w:rPr>
            <w:noProof/>
            <w:webHidden/>
          </w:rPr>
        </w:r>
        <w:r>
          <w:rPr>
            <w:noProof/>
            <w:webHidden/>
          </w:rPr>
          <w:fldChar w:fldCharType="separate"/>
        </w:r>
        <w:r w:rsidR="00D024E8">
          <w:rPr>
            <w:noProof/>
            <w:webHidden/>
          </w:rPr>
          <w:t>203</w:t>
        </w:r>
        <w:r>
          <w:rPr>
            <w:noProof/>
            <w:webHidden/>
          </w:rPr>
          <w:fldChar w:fldCharType="end"/>
        </w:r>
      </w:hyperlink>
    </w:p>
    <w:p w14:paraId="12603736" w14:textId="5606902A"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39" w:history="1">
        <w:r w:rsidRPr="00FB5A06">
          <w:rPr>
            <w:rStyle w:val="Hipercze"/>
            <w:noProof/>
          </w:rPr>
          <w:t>Tabela 41. Oczekiwania w stosunku do stron publicznych wg kryterium ważności w grupie osoby z niepełnosprawnościami</w:t>
        </w:r>
        <w:r>
          <w:rPr>
            <w:noProof/>
            <w:webHidden/>
          </w:rPr>
          <w:tab/>
        </w:r>
        <w:r>
          <w:rPr>
            <w:noProof/>
            <w:webHidden/>
          </w:rPr>
          <w:fldChar w:fldCharType="begin"/>
        </w:r>
        <w:r>
          <w:rPr>
            <w:noProof/>
            <w:webHidden/>
          </w:rPr>
          <w:instrText xml:space="preserve"> PAGEREF _Toc204179139 \h </w:instrText>
        </w:r>
        <w:r>
          <w:rPr>
            <w:noProof/>
            <w:webHidden/>
          </w:rPr>
        </w:r>
        <w:r>
          <w:rPr>
            <w:noProof/>
            <w:webHidden/>
          </w:rPr>
          <w:fldChar w:fldCharType="separate"/>
        </w:r>
        <w:r w:rsidR="00D024E8">
          <w:rPr>
            <w:noProof/>
            <w:webHidden/>
          </w:rPr>
          <w:t>205</w:t>
        </w:r>
        <w:r>
          <w:rPr>
            <w:noProof/>
            <w:webHidden/>
          </w:rPr>
          <w:fldChar w:fldCharType="end"/>
        </w:r>
      </w:hyperlink>
    </w:p>
    <w:p w14:paraId="1032D1C9" w14:textId="2E790B10"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40" w:history="1">
        <w:r w:rsidRPr="00FB5A06">
          <w:rPr>
            <w:rStyle w:val="Hipercze"/>
            <w:noProof/>
          </w:rPr>
          <w:t>Tabela 42. Oczekiwania w stosunku do aplikacji mobilnych wg kryterium ważności w grupie osoby z niepełnosprawnościami</w:t>
        </w:r>
        <w:r>
          <w:rPr>
            <w:noProof/>
            <w:webHidden/>
          </w:rPr>
          <w:tab/>
        </w:r>
        <w:r>
          <w:rPr>
            <w:noProof/>
            <w:webHidden/>
          </w:rPr>
          <w:fldChar w:fldCharType="begin"/>
        </w:r>
        <w:r>
          <w:rPr>
            <w:noProof/>
            <w:webHidden/>
          </w:rPr>
          <w:instrText xml:space="preserve"> PAGEREF _Toc204179140 \h </w:instrText>
        </w:r>
        <w:r>
          <w:rPr>
            <w:noProof/>
            <w:webHidden/>
          </w:rPr>
        </w:r>
        <w:r>
          <w:rPr>
            <w:noProof/>
            <w:webHidden/>
          </w:rPr>
          <w:fldChar w:fldCharType="separate"/>
        </w:r>
        <w:r w:rsidR="00D024E8">
          <w:rPr>
            <w:noProof/>
            <w:webHidden/>
          </w:rPr>
          <w:t>207</w:t>
        </w:r>
        <w:r>
          <w:rPr>
            <w:noProof/>
            <w:webHidden/>
          </w:rPr>
          <w:fldChar w:fldCharType="end"/>
        </w:r>
      </w:hyperlink>
    </w:p>
    <w:p w14:paraId="08A6C438" w14:textId="5D919A2B"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41" w:history="1">
        <w:r w:rsidRPr="00FB5A06">
          <w:rPr>
            <w:rStyle w:val="Hipercze"/>
            <w:noProof/>
          </w:rPr>
          <w:t>Tabela 43. Średnie oceny stron publicznych wg aspektów dostępności cyfrowej dla stron, z których korzystają osoby badane w grupie 60+</w:t>
        </w:r>
        <w:r>
          <w:rPr>
            <w:noProof/>
            <w:webHidden/>
          </w:rPr>
          <w:tab/>
        </w:r>
        <w:r>
          <w:rPr>
            <w:noProof/>
            <w:webHidden/>
          </w:rPr>
          <w:fldChar w:fldCharType="begin"/>
        </w:r>
        <w:r>
          <w:rPr>
            <w:noProof/>
            <w:webHidden/>
          </w:rPr>
          <w:instrText xml:space="preserve"> PAGEREF _Toc204179141 \h </w:instrText>
        </w:r>
        <w:r>
          <w:rPr>
            <w:noProof/>
            <w:webHidden/>
          </w:rPr>
        </w:r>
        <w:r>
          <w:rPr>
            <w:noProof/>
            <w:webHidden/>
          </w:rPr>
          <w:fldChar w:fldCharType="separate"/>
        </w:r>
        <w:r w:rsidR="00D024E8">
          <w:rPr>
            <w:noProof/>
            <w:webHidden/>
          </w:rPr>
          <w:t>224</w:t>
        </w:r>
        <w:r>
          <w:rPr>
            <w:noProof/>
            <w:webHidden/>
          </w:rPr>
          <w:fldChar w:fldCharType="end"/>
        </w:r>
      </w:hyperlink>
    </w:p>
    <w:p w14:paraId="00C254AA" w14:textId="41069BBC"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42" w:history="1">
        <w:r w:rsidRPr="00FB5A06">
          <w:rPr>
            <w:rStyle w:val="Hipercze"/>
            <w:noProof/>
          </w:rPr>
          <w:t>Tabela 44. Średnie oceny tematycznych stron publicznych wg aspektów dostępności cyfrowej dla stron, z których korzystają osoby badane w grupie 60+</w:t>
        </w:r>
        <w:r>
          <w:rPr>
            <w:noProof/>
            <w:webHidden/>
          </w:rPr>
          <w:tab/>
        </w:r>
        <w:r>
          <w:rPr>
            <w:noProof/>
            <w:webHidden/>
          </w:rPr>
          <w:fldChar w:fldCharType="begin"/>
        </w:r>
        <w:r>
          <w:rPr>
            <w:noProof/>
            <w:webHidden/>
          </w:rPr>
          <w:instrText xml:space="preserve"> PAGEREF _Toc204179142 \h </w:instrText>
        </w:r>
        <w:r>
          <w:rPr>
            <w:noProof/>
            <w:webHidden/>
          </w:rPr>
        </w:r>
        <w:r>
          <w:rPr>
            <w:noProof/>
            <w:webHidden/>
          </w:rPr>
          <w:fldChar w:fldCharType="separate"/>
        </w:r>
        <w:r w:rsidR="00D024E8">
          <w:rPr>
            <w:noProof/>
            <w:webHidden/>
          </w:rPr>
          <w:t>226</w:t>
        </w:r>
        <w:r>
          <w:rPr>
            <w:noProof/>
            <w:webHidden/>
          </w:rPr>
          <w:fldChar w:fldCharType="end"/>
        </w:r>
      </w:hyperlink>
    </w:p>
    <w:p w14:paraId="3A36B9B3" w14:textId="5AAF470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43" w:history="1">
        <w:r w:rsidRPr="00FB5A06">
          <w:rPr>
            <w:rStyle w:val="Hipercze"/>
            <w:noProof/>
          </w:rPr>
          <w:t>Tabela 45. Średnie oceny aplikacji publicznych wg aspektów dostępności cyfrowej dla aplikacji, z których korzystają osoby badane w grupie 60+</w:t>
        </w:r>
        <w:r>
          <w:rPr>
            <w:noProof/>
            <w:webHidden/>
          </w:rPr>
          <w:tab/>
        </w:r>
        <w:r>
          <w:rPr>
            <w:noProof/>
            <w:webHidden/>
          </w:rPr>
          <w:fldChar w:fldCharType="begin"/>
        </w:r>
        <w:r>
          <w:rPr>
            <w:noProof/>
            <w:webHidden/>
          </w:rPr>
          <w:instrText xml:space="preserve"> PAGEREF _Toc204179143 \h </w:instrText>
        </w:r>
        <w:r>
          <w:rPr>
            <w:noProof/>
            <w:webHidden/>
          </w:rPr>
        </w:r>
        <w:r>
          <w:rPr>
            <w:noProof/>
            <w:webHidden/>
          </w:rPr>
          <w:fldChar w:fldCharType="separate"/>
        </w:r>
        <w:r w:rsidR="00D024E8">
          <w:rPr>
            <w:noProof/>
            <w:webHidden/>
          </w:rPr>
          <w:t>228</w:t>
        </w:r>
        <w:r>
          <w:rPr>
            <w:noProof/>
            <w:webHidden/>
          </w:rPr>
          <w:fldChar w:fldCharType="end"/>
        </w:r>
      </w:hyperlink>
    </w:p>
    <w:p w14:paraId="607EEDDB" w14:textId="57926296"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44" w:history="1">
        <w:r w:rsidRPr="00FB5A06">
          <w:rPr>
            <w:rStyle w:val="Hipercze"/>
            <w:noProof/>
          </w:rPr>
          <w:t>Tabela 46. Średnie oceny tematycznych aplikacji publiczny wg aspektów dostępności cyfrowej, z których korzystają osoby badane w grupie 60+</w:t>
        </w:r>
        <w:r>
          <w:rPr>
            <w:noProof/>
            <w:webHidden/>
          </w:rPr>
          <w:tab/>
        </w:r>
        <w:r>
          <w:rPr>
            <w:noProof/>
            <w:webHidden/>
          </w:rPr>
          <w:fldChar w:fldCharType="begin"/>
        </w:r>
        <w:r>
          <w:rPr>
            <w:noProof/>
            <w:webHidden/>
          </w:rPr>
          <w:instrText xml:space="preserve"> PAGEREF _Toc204179144 \h </w:instrText>
        </w:r>
        <w:r>
          <w:rPr>
            <w:noProof/>
            <w:webHidden/>
          </w:rPr>
        </w:r>
        <w:r>
          <w:rPr>
            <w:noProof/>
            <w:webHidden/>
          </w:rPr>
          <w:fldChar w:fldCharType="separate"/>
        </w:r>
        <w:r w:rsidR="00D024E8">
          <w:rPr>
            <w:noProof/>
            <w:webHidden/>
          </w:rPr>
          <w:t>229</w:t>
        </w:r>
        <w:r>
          <w:rPr>
            <w:noProof/>
            <w:webHidden/>
          </w:rPr>
          <w:fldChar w:fldCharType="end"/>
        </w:r>
      </w:hyperlink>
    </w:p>
    <w:p w14:paraId="0077CA19" w14:textId="7F5CC9A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45" w:history="1">
        <w:r w:rsidRPr="00FB5A06">
          <w:rPr>
            <w:rStyle w:val="Hipercze"/>
            <w:noProof/>
          </w:rPr>
          <w:t>Tabela 47. Oczekiwania w stosunku do stron podmiotów publicznych wg kryterium ważności w grupie osoby 60+</w:t>
        </w:r>
        <w:r>
          <w:rPr>
            <w:noProof/>
            <w:webHidden/>
          </w:rPr>
          <w:tab/>
        </w:r>
        <w:r>
          <w:rPr>
            <w:noProof/>
            <w:webHidden/>
          </w:rPr>
          <w:fldChar w:fldCharType="begin"/>
        </w:r>
        <w:r>
          <w:rPr>
            <w:noProof/>
            <w:webHidden/>
          </w:rPr>
          <w:instrText xml:space="preserve"> PAGEREF _Toc204179145 \h </w:instrText>
        </w:r>
        <w:r>
          <w:rPr>
            <w:noProof/>
            <w:webHidden/>
          </w:rPr>
        </w:r>
        <w:r>
          <w:rPr>
            <w:noProof/>
            <w:webHidden/>
          </w:rPr>
          <w:fldChar w:fldCharType="separate"/>
        </w:r>
        <w:r w:rsidR="00D024E8">
          <w:rPr>
            <w:noProof/>
            <w:webHidden/>
          </w:rPr>
          <w:t>231</w:t>
        </w:r>
        <w:r>
          <w:rPr>
            <w:noProof/>
            <w:webHidden/>
          </w:rPr>
          <w:fldChar w:fldCharType="end"/>
        </w:r>
      </w:hyperlink>
    </w:p>
    <w:p w14:paraId="0E90C4E7" w14:textId="7FE4F808"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46" w:history="1">
        <w:r w:rsidRPr="00FB5A06">
          <w:rPr>
            <w:rStyle w:val="Hipercze"/>
            <w:noProof/>
          </w:rPr>
          <w:t>Tabela 48. Oczekiwania w stosunku do aplikacji mobilnych wg kryterium ważności w grupie osoby 60+</w:t>
        </w:r>
        <w:r>
          <w:rPr>
            <w:noProof/>
            <w:webHidden/>
          </w:rPr>
          <w:tab/>
        </w:r>
        <w:r>
          <w:rPr>
            <w:noProof/>
            <w:webHidden/>
          </w:rPr>
          <w:fldChar w:fldCharType="begin"/>
        </w:r>
        <w:r>
          <w:rPr>
            <w:noProof/>
            <w:webHidden/>
          </w:rPr>
          <w:instrText xml:space="preserve"> PAGEREF _Toc204179146 \h </w:instrText>
        </w:r>
        <w:r>
          <w:rPr>
            <w:noProof/>
            <w:webHidden/>
          </w:rPr>
        </w:r>
        <w:r>
          <w:rPr>
            <w:noProof/>
            <w:webHidden/>
          </w:rPr>
          <w:fldChar w:fldCharType="separate"/>
        </w:r>
        <w:r w:rsidR="00D024E8">
          <w:rPr>
            <w:noProof/>
            <w:webHidden/>
          </w:rPr>
          <w:t>233</w:t>
        </w:r>
        <w:r>
          <w:rPr>
            <w:noProof/>
            <w:webHidden/>
          </w:rPr>
          <w:fldChar w:fldCharType="end"/>
        </w:r>
      </w:hyperlink>
    </w:p>
    <w:p w14:paraId="75C0B1B4" w14:textId="12185171" w:rsidR="00660DC9" w:rsidRPr="00BF6615" w:rsidRDefault="00412A8D" w:rsidP="007E26B5">
      <w:pPr>
        <w:pStyle w:val="Spisilustracji"/>
        <w:tabs>
          <w:tab w:val="right" w:leader="dot" w:pos="9350"/>
        </w:tabs>
      </w:pPr>
      <w:r w:rsidRPr="00BF6615">
        <w:fldChar w:fldCharType="end"/>
      </w:r>
    </w:p>
    <w:p w14:paraId="0577FE38" w14:textId="77777777" w:rsidR="00660DC9" w:rsidRPr="00BF6615" w:rsidRDefault="00D26CEC" w:rsidP="007E26B5">
      <w:pPr>
        <w:pStyle w:val="Nagwek2"/>
      </w:pPr>
      <w:bookmarkStart w:id="303" w:name="_Toc204179305"/>
      <w:r w:rsidRPr="00BF6615">
        <w:t>Spis</w:t>
      </w:r>
      <w:r w:rsidR="00650D56" w:rsidRPr="00BF6615">
        <w:t xml:space="preserve"> wykresów</w:t>
      </w:r>
      <w:bookmarkEnd w:id="303"/>
    </w:p>
    <w:bookmarkStart w:id="304" w:name="_Hlt202271278"/>
    <w:p w14:paraId="3B72AB1A" w14:textId="3E6180C9" w:rsidR="00C565B4" w:rsidRDefault="00412A8D">
      <w:pPr>
        <w:pStyle w:val="Spisilustracji"/>
        <w:tabs>
          <w:tab w:val="right" w:leader="dot" w:pos="9350"/>
        </w:tabs>
        <w:rPr>
          <w:rFonts w:eastAsiaTheme="minorEastAsia"/>
          <w:noProof/>
          <w:kern w:val="2"/>
          <w:szCs w:val="24"/>
          <w:lang w:val="en-US"/>
          <w14:ligatures w14:val="standardContextual"/>
        </w:rPr>
      </w:pPr>
      <w:r w:rsidRPr="00BF6615">
        <w:rPr>
          <w:rFonts w:eastAsiaTheme="majorEastAsia"/>
          <w:b/>
          <w:bCs/>
          <w:color w:val="000000" w:themeColor="text1"/>
          <w:sz w:val="28"/>
          <w:szCs w:val="28"/>
        </w:rPr>
        <w:fldChar w:fldCharType="begin"/>
      </w:r>
      <w:bookmarkEnd w:id="304"/>
      <w:r w:rsidRPr="00BF6615">
        <w:instrText xml:space="preserve"> TOC \h \z \c "Wykres" </w:instrText>
      </w:r>
      <w:r w:rsidRPr="00BF6615">
        <w:rPr>
          <w:rFonts w:eastAsiaTheme="majorEastAsia"/>
          <w:b/>
          <w:bCs/>
          <w:color w:val="000000" w:themeColor="text1"/>
          <w:sz w:val="28"/>
          <w:szCs w:val="28"/>
        </w:rPr>
        <w:fldChar w:fldCharType="separate"/>
      </w:r>
      <w:bookmarkStart w:id="305" w:name="_Toc196815540"/>
      <w:bookmarkStart w:id="306" w:name="_Toc196815539"/>
      <w:bookmarkEnd w:id="305"/>
      <w:bookmarkEnd w:id="306"/>
      <w:r w:rsidR="00C565B4" w:rsidRPr="00CB0335">
        <w:rPr>
          <w:rStyle w:val="Hipercze"/>
          <w:noProof/>
        </w:rPr>
        <w:fldChar w:fldCharType="begin"/>
      </w:r>
      <w:r w:rsidR="00C565B4" w:rsidRPr="00CB0335">
        <w:rPr>
          <w:rStyle w:val="Hipercze"/>
          <w:noProof/>
        </w:rPr>
        <w:instrText xml:space="preserve"> </w:instrText>
      </w:r>
      <w:r w:rsidR="00C565B4">
        <w:rPr>
          <w:noProof/>
        </w:rPr>
        <w:instrText>HYPERLINK \l "_Toc204179147"</w:instrText>
      </w:r>
      <w:r w:rsidR="00C565B4" w:rsidRPr="00CB0335">
        <w:rPr>
          <w:rStyle w:val="Hipercze"/>
          <w:noProof/>
        </w:rPr>
        <w:instrText xml:space="preserve"> </w:instrText>
      </w:r>
      <w:r w:rsidR="00C565B4" w:rsidRPr="00CB0335">
        <w:rPr>
          <w:rStyle w:val="Hipercze"/>
          <w:noProof/>
        </w:rPr>
      </w:r>
      <w:r w:rsidR="00C565B4" w:rsidRPr="00CB0335">
        <w:rPr>
          <w:rStyle w:val="Hipercze"/>
          <w:noProof/>
        </w:rPr>
        <w:fldChar w:fldCharType="separate"/>
      </w:r>
      <w:r w:rsidR="00C565B4" w:rsidRPr="00CB0335">
        <w:rPr>
          <w:rStyle w:val="Hipercze"/>
          <w:rFonts w:cstheme="minorHAnsi"/>
          <w:noProof/>
        </w:rPr>
        <w:t>Wykres 1. Poziom realizacji zadań według rodzajów stron i aplikacji (średnia ocen w skali  1–5) (osoby ociemniałe lub niewidome)</w:t>
      </w:r>
      <w:r w:rsidR="00C565B4">
        <w:rPr>
          <w:noProof/>
          <w:webHidden/>
        </w:rPr>
        <w:tab/>
      </w:r>
      <w:r w:rsidR="00C565B4">
        <w:rPr>
          <w:noProof/>
          <w:webHidden/>
        </w:rPr>
        <w:fldChar w:fldCharType="begin"/>
      </w:r>
      <w:r w:rsidR="00C565B4">
        <w:rPr>
          <w:noProof/>
          <w:webHidden/>
        </w:rPr>
        <w:instrText xml:space="preserve"> PAGEREF _Toc204179147 \h </w:instrText>
      </w:r>
      <w:r w:rsidR="00C565B4">
        <w:rPr>
          <w:noProof/>
          <w:webHidden/>
        </w:rPr>
      </w:r>
      <w:r w:rsidR="00C565B4">
        <w:rPr>
          <w:noProof/>
          <w:webHidden/>
        </w:rPr>
        <w:fldChar w:fldCharType="separate"/>
      </w:r>
      <w:r w:rsidR="00D024E8">
        <w:rPr>
          <w:noProof/>
          <w:webHidden/>
        </w:rPr>
        <w:t>50</w:t>
      </w:r>
      <w:r w:rsidR="00C565B4">
        <w:rPr>
          <w:noProof/>
          <w:webHidden/>
        </w:rPr>
        <w:fldChar w:fldCharType="end"/>
      </w:r>
      <w:r w:rsidR="00C565B4" w:rsidRPr="00CB0335">
        <w:rPr>
          <w:rStyle w:val="Hipercze"/>
          <w:noProof/>
        </w:rPr>
        <w:fldChar w:fldCharType="end"/>
      </w:r>
    </w:p>
    <w:p w14:paraId="391AC6FB" w14:textId="1062A06B"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48" w:history="1">
        <w:r w:rsidRPr="00CB0335">
          <w:rPr>
            <w:rStyle w:val="Hipercze"/>
            <w:rFonts w:cstheme="minorHAnsi"/>
            <w:noProof/>
          </w:rPr>
          <w:t>Wykres 2. Najczęściej zgłaszane problemy na stronach i w aplikacjach (liczba zgłoszeń) (osoby ociemniałe lub niewidome)</w:t>
        </w:r>
        <w:r>
          <w:rPr>
            <w:noProof/>
            <w:webHidden/>
          </w:rPr>
          <w:tab/>
        </w:r>
        <w:r>
          <w:rPr>
            <w:noProof/>
            <w:webHidden/>
          </w:rPr>
          <w:fldChar w:fldCharType="begin"/>
        </w:r>
        <w:r>
          <w:rPr>
            <w:noProof/>
            <w:webHidden/>
          </w:rPr>
          <w:instrText xml:space="preserve"> PAGEREF _Toc204179148 \h </w:instrText>
        </w:r>
        <w:r>
          <w:rPr>
            <w:noProof/>
            <w:webHidden/>
          </w:rPr>
        </w:r>
        <w:r>
          <w:rPr>
            <w:noProof/>
            <w:webHidden/>
          </w:rPr>
          <w:fldChar w:fldCharType="separate"/>
        </w:r>
        <w:r w:rsidR="00D024E8">
          <w:rPr>
            <w:noProof/>
            <w:webHidden/>
          </w:rPr>
          <w:t>52</w:t>
        </w:r>
        <w:r>
          <w:rPr>
            <w:noProof/>
            <w:webHidden/>
          </w:rPr>
          <w:fldChar w:fldCharType="end"/>
        </w:r>
      </w:hyperlink>
    </w:p>
    <w:p w14:paraId="53507069" w14:textId="51265A3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49" w:history="1">
        <w:r w:rsidRPr="00CB0335">
          <w:rPr>
            <w:rStyle w:val="Hipercze"/>
            <w:rFonts w:cstheme="minorHAnsi"/>
            <w:noProof/>
          </w:rPr>
          <w:t>Wykres 3. Poziom realizacji zadań według rodzajów stron i aplikacji (średnia ocen w skali  1–5) (osoby słabowidzące)</w:t>
        </w:r>
        <w:r>
          <w:rPr>
            <w:noProof/>
            <w:webHidden/>
          </w:rPr>
          <w:tab/>
        </w:r>
        <w:r>
          <w:rPr>
            <w:noProof/>
            <w:webHidden/>
          </w:rPr>
          <w:fldChar w:fldCharType="begin"/>
        </w:r>
        <w:r>
          <w:rPr>
            <w:noProof/>
            <w:webHidden/>
          </w:rPr>
          <w:instrText xml:space="preserve"> PAGEREF _Toc204179149 \h </w:instrText>
        </w:r>
        <w:r>
          <w:rPr>
            <w:noProof/>
            <w:webHidden/>
          </w:rPr>
        </w:r>
        <w:r>
          <w:rPr>
            <w:noProof/>
            <w:webHidden/>
          </w:rPr>
          <w:fldChar w:fldCharType="separate"/>
        </w:r>
        <w:r w:rsidR="00D024E8">
          <w:rPr>
            <w:noProof/>
            <w:webHidden/>
          </w:rPr>
          <w:t>59</w:t>
        </w:r>
        <w:r>
          <w:rPr>
            <w:noProof/>
            <w:webHidden/>
          </w:rPr>
          <w:fldChar w:fldCharType="end"/>
        </w:r>
      </w:hyperlink>
    </w:p>
    <w:p w14:paraId="4FF55531" w14:textId="16F6B67A"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0" w:history="1">
        <w:r w:rsidRPr="00CB0335">
          <w:rPr>
            <w:rStyle w:val="Hipercze"/>
            <w:rFonts w:cstheme="minorHAnsi"/>
            <w:noProof/>
          </w:rPr>
          <w:t>Wykres 4. Najczęściej zgłaszane problemy na stronach i w aplikacjach (liczba zgłoszeń) (osoby słabowidzące)</w:t>
        </w:r>
        <w:r>
          <w:rPr>
            <w:noProof/>
            <w:webHidden/>
          </w:rPr>
          <w:tab/>
        </w:r>
        <w:r>
          <w:rPr>
            <w:noProof/>
            <w:webHidden/>
          </w:rPr>
          <w:fldChar w:fldCharType="begin"/>
        </w:r>
        <w:r>
          <w:rPr>
            <w:noProof/>
            <w:webHidden/>
          </w:rPr>
          <w:instrText xml:space="preserve"> PAGEREF _Toc204179150 \h </w:instrText>
        </w:r>
        <w:r>
          <w:rPr>
            <w:noProof/>
            <w:webHidden/>
          </w:rPr>
        </w:r>
        <w:r>
          <w:rPr>
            <w:noProof/>
            <w:webHidden/>
          </w:rPr>
          <w:fldChar w:fldCharType="separate"/>
        </w:r>
        <w:r w:rsidR="00D024E8">
          <w:rPr>
            <w:noProof/>
            <w:webHidden/>
          </w:rPr>
          <w:t>60</w:t>
        </w:r>
        <w:r>
          <w:rPr>
            <w:noProof/>
            <w:webHidden/>
          </w:rPr>
          <w:fldChar w:fldCharType="end"/>
        </w:r>
      </w:hyperlink>
    </w:p>
    <w:p w14:paraId="11D22BF8" w14:textId="36D7010C"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1" w:history="1">
        <w:r w:rsidRPr="00CB0335">
          <w:rPr>
            <w:rStyle w:val="Hipercze"/>
            <w:rFonts w:cstheme="minorHAnsi"/>
            <w:noProof/>
          </w:rPr>
          <w:t>Wykres 5. Poziom realizacji zadań według rodzajów stron i aplikacji (skala 1 – niezrealizowane do 5 – zrealizowane bez problemu) (osoby słabosłyszące lub niesłyszące)</w:t>
        </w:r>
        <w:r>
          <w:rPr>
            <w:noProof/>
            <w:webHidden/>
          </w:rPr>
          <w:tab/>
        </w:r>
        <w:r>
          <w:rPr>
            <w:noProof/>
            <w:webHidden/>
          </w:rPr>
          <w:fldChar w:fldCharType="begin"/>
        </w:r>
        <w:r>
          <w:rPr>
            <w:noProof/>
            <w:webHidden/>
          </w:rPr>
          <w:instrText xml:space="preserve"> PAGEREF _Toc204179151 \h </w:instrText>
        </w:r>
        <w:r>
          <w:rPr>
            <w:noProof/>
            <w:webHidden/>
          </w:rPr>
        </w:r>
        <w:r>
          <w:rPr>
            <w:noProof/>
            <w:webHidden/>
          </w:rPr>
          <w:fldChar w:fldCharType="separate"/>
        </w:r>
        <w:r w:rsidR="00D024E8">
          <w:rPr>
            <w:noProof/>
            <w:webHidden/>
          </w:rPr>
          <w:t>67</w:t>
        </w:r>
        <w:r>
          <w:rPr>
            <w:noProof/>
            <w:webHidden/>
          </w:rPr>
          <w:fldChar w:fldCharType="end"/>
        </w:r>
      </w:hyperlink>
    </w:p>
    <w:p w14:paraId="46ED838A" w14:textId="09401B7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2" w:history="1">
        <w:r w:rsidRPr="00CB0335">
          <w:rPr>
            <w:rStyle w:val="Hipercze"/>
            <w:rFonts w:cstheme="minorHAnsi"/>
            <w:noProof/>
          </w:rPr>
          <w:t>Wykres 6. Najczęściej zgłaszane problemy na stronach i w aplikacjach (liczba zgłoszeń) (osoby słabosłyszące lub niesłyszące)</w:t>
        </w:r>
        <w:r>
          <w:rPr>
            <w:noProof/>
            <w:webHidden/>
          </w:rPr>
          <w:tab/>
        </w:r>
        <w:r>
          <w:rPr>
            <w:noProof/>
            <w:webHidden/>
          </w:rPr>
          <w:fldChar w:fldCharType="begin"/>
        </w:r>
        <w:r>
          <w:rPr>
            <w:noProof/>
            <w:webHidden/>
          </w:rPr>
          <w:instrText xml:space="preserve"> PAGEREF _Toc204179152 \h </w:instrText>
        </w:r>
        <w:r>
          <w:rPr>
            <w:noProof/>
            <w:webHidden/>
          </w:rPr>
        </w:r>
        <w:r>
          <w:rPr>
            <w:noProof/>
            <w:webHidden/>
          </w:rPr>
          <w:fldChar w:fldCharType="separate"/>
        </w:r>
        <w:r w:rsidR="00D024E8">
          <w:rPr>
            <w:noProof/>
            <w:webHidden/>
          </w:rPr>
          <w:t>68</w:t>
        </w:r>
        <w:r>
          <w:rPr>
            <w:noProof/>
            <w:webHidden/>
          </w:rPr>
          <w:fldChar w:fldCharType="end"/>
        </w:r>
      </w:hyperlink>
    </w:p>
    <w:p w14:paraId="20DC12B0" w14:textId="137BCEF7"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3" w:history="1">
        <w:r w:rsidRPr="00CB0335">
          <w:rPr>
            <w:rStyle w:val="Hipercze"/>
            <w:rFonts w:cstheme="minorHAnsi"/>
            <w:noProof/>
          </w:rPr>
          <w:t>Wykres 7. Poziom realizacji zadań według rodzajów stron i aplikacji (skala 1 – niezrealizowane do 5 – zrealizowane bez problemu) (osoby z dysfunkcją narządu ruchu)</w:t>
        </w:r>
        <w:r>
          <w:rPr>
            <w:noProof/>
            <w:webHidden/>
          </w:rPr>
          <w:tab/>
        </w:r>
        <w:r>
          <w:rPr>
            <w:noProof/>
            <w:webHidden/>
          </w:rPr>
          <w:fldChar w:fldCharType="begin"/>
        </w:r>
        <w:r>
          <w:rPr>
            <w:noProof/>
            <w:webHidden/>
          </w:rPr>
          <w:instrText xml:space="preserve"> PAGEREF _Toc204179153 \h </w:instrText>
        </w:r>
        <w:r>
          <w:rPr>
            <w:noProof/>
            <w:webHidden/>
          </w:rPr>
        </w:r>
        <w:r>
          <w:rPr>
            <w:noProof/>
            <w:webHidden/>
          </w:rPr>
          <w:fldChar w:fldCharType="separate"/>
        </w:r>
        <w:r w:rsidR="00D024E8">
          <w:rPr>
            <w:noProof/>
            <w:webHidden/>
          </w:rPr>
          <w:t>74</w:t>
        </w:r>
        <w:r>
          <w:rPr>
            <w:noProof/>
            <w:webHidden/>
          </w:rPr>
          <w:fldChar w:fldCharType="end"/>
        </w:r>
      </w:hyperlink>
    </w:p>
    <w:p w14:paraId="35C59D57" w14:textId="2F185D90"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4" w:history="1">
        <w:r w:rsidRPr="00CB0335">
          <w:rPr>
            <w:rStyle w:val="Hipercze"/>
            <w:rFonts w:cstheme="minorHAnsi"/>
            <w:noProof/>
          </w:rPr>
          <w:t>Wykres 8. Najczęściej zgłaszane problemy na stronach i w aplikacjach (liczba zgłoszeń) (osoby z dysfunkcją narządu ruchu)</w:t>
        </w:r>
        <w:r>
          <w:rPr>
            <w:noProof/>
            <w:webHidden/>
          </w:rPr>
          <w:tab/>
        </w:r>
        <w:r>
          <w:rPr>
            <w:noProof/>
            <w:webHidden/>
          </w:rPr>
          <w:fldChar w:fldCharType="begin"/>
        </w:r>
        <w:r>
          <w:rPr>
            <w:noProof/>
            <w:webHidden/>
          </w:rPr>
          <w:instrText xml:space="preserve"> PAGEREF _Toc204179154 \h </w:instrText>
        </w:r>
        <w:r>
          <w:rPr>
            <w:noProof/>
            <w:webHidden/>
          </w:rPr>
        </w:r>
        <w:r>
          <w:rPr>
            <w:noProof/>
            <w:webHidden/>
          </w:rPr>
          <w:fldChar w:fldCharType="separate"/>
        </w:r>
        <w:r w:rsidR="00D024E8">
          <w:rPr>
            <w:noProof/>
            <w:webHidden/>
          </w:rPr>
          <w:t>75</w:t>
        </w:r>
        <w:r>
          <w:rPr>
            <w:noProof/>
            <w:webHidden/>
          </w:rPr>
          <w:fldChar w:fldCharType="end"/>
        </w:r>
      </w:hyperlink>
    </w:p>
    <w:p w14:paraId="7931DD4E" w14:textId="71F3D2C0"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5" w:history="1">
        <w:r w:rsidRPr="00CB0335">
          <w:rPr>
            <w:rStyle w:val="Hipercze"/>
            <w:rFonts w:cstheme="minorHAnsi"/>
            <w:noProof/>
          </w:rPr>
          <w:t>Wykres 9. Poziom realizacji zadań według rodzajów stron i aplikacji (skala 1 – niezrealizowane do 5 – zrealizowane bez problemu) (osoby z niepełnosprawnością intelektualną i ograniczeniami poznawczymi)</w:t>
        </w:r>
        <w:r>
          <w:rPr>
            <w:noProof/>
            <w:webHidden/>
          </w:rPr>
          <w:tab/>
        </w:r>
        <w:r>
          <w:rPr>
            <w:noProof/>
            <w:webHidden/>
          </w:rPr>
          <w:fldChar w:fldCharType="begin"/>
        </w:r>
        <w:r>
          <w:rPr>
            <w:noProof/>
            <w:webHidden/>
          </w:rPr>
          <w:instrText xml:space="preserve"> PAGEREF _Toc204179155 \h </w:instrText>
        </w:r>
        <w:r>
          <w:rPr>
            <w:noProof/>
            <w:webHidden/>
          </w:rPr>
        </w:r>
        <w:r>
          <w:rPr>
            <w:noProof/>
            <w:webHidden/>
          </w:rPr>
          <w:fldChar w:fldCharType="separate"/>
        </w:r>
        <w:r w:rsidR="00D024E8">
          <w:rPr>
            <w:noProof/>
            <w:webHidden/>
          </w:rPr>
          <w:t>82</w:t>
        </w:r>
        <w:r>
          <w:rPr>
            <w:noProof/>
            <w:webHidden/>
          </w:rPr>
          <w:fldChar w:fldCharType="end"/>
        </w:r>
      </w:hyperlink>
    </w:p>
    <w:p w14:paraId="0903FD37" w14:textId="02FA819A"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6" w:history="1">
        <w:r w:rsidRPr="00CB0335">
          <w:rPr>
            <w:rStyle w:val="Hipercze"/>
            <w:rFonts w:cstheme="minorHAnsi"/>
            <w:noProof/>
          </w:rPr>
          <w:t>Wykres 10. Najczęściej zgłaszane problemy na stronach i w aplikacjach (liczba zgłoszeń) (osoby z niepełnosprawnością intelektualną i ograniczeniami poznawczymi)</w:t>
        </w:r>
        <w:r>
          <w:rPr>
            <w:noProof/>
            <w:webHidden/>
          </w:rPr>
          <w:tab/>
        </w:r>
        <w:r>
          <w:rPr>
            <w:noProof/>
            <w:webHidden/>
          </w:rPr>
          <w:fldChar w:fldCharType="begin"/>
        </w:r>
        <w:r>
          <w:rPr>
            <w:noProof/>
            <w:webHidden/>
          </w:rPr>
          <w:instrText xml:space="preserve"> PAGEREF _Toc204179156 \h </w:instrText>
        </w:r>
        <w:r>
          <w:rPr>
            <w:noProof/>
            <w:webHidden/>
          </w:rPr>
        </w:r>
        <w:r>
          <w:rPr>
            <w:noProof/>
            <w:webHidden/>
          </w:rPr>
          <w:fldChar w:fldCharType="separate"/>
        </w:r>
        <w:r w:rsidR="00D024E8">
          <w:rPr>
            <w:noProof/>
            <w:webHidden/>
          </w:rPr>
          <w:t>83</w:t>
        </w:r>
        <w:r>
          <w:rPr>
            <w:noProof/>
            <w:webHidden/>
          </w:rPr>
          <w:fldChar w:fldCharType="end"/>
        </w:r>
      </w:hyperlink>
    </w:p>
    <w:p w14:paraId="7915CE77" w14:textId="1775893C"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7" w:history="1">
        <w:r w:rsidRPr="00CB0335">
          <w:rPr>
            <w:rStyle w:val="Hipercze"/>
            <w:rFonts w:cstheme="minorHAnsi"/>
            <w:noProof/>
          </w:rPr>
          <w:t>Wykres 11. Poziom realizacji zadań według rodzajów stron i aplikacji (skala 1 – niezrealizowane do 5 – zrealizowane bez problemu) (osoby, które ukończyły 60 rok życia)</w:t>
        </w:r>
        <w:r>
          <w:rPr>
            <w:noProof/>
            <w:webHidden/>
          </w:rPr>
          <w:tab/>
        </w:r>
        <w:r>
          <w:rPr>
            <w:noProof/>
            <w:webHidden/>
          </w:rPr>
          <w:fldChar w:fldCharType="begin"/>
        </w:r>
        <w:r>
          <w:rPr>
            <w:noProof/>
            <w:webHidden/>
          </w:rPr>
          <w:instrText xml:space="preserve"> PAGEREF _Toc204179157 \h </w:instrText>
        </w:r>
        <w:r>
          <w:rPr>
            <w:noProof/>
            <w:webHidden/>
          </w:rPr>
        </w:r>
        <w:r>
          <w:rPr>
            <w:noProof/>
            <w:webHidden/>
          </w:rPr>
          <w:fldChar w:fldCharType="separate"/>
        </w:r>
        <w:r w:rsidR="00D024E8">
          <w:rPr>
            <w:noProof/>
            <w:webHidden/>
          </w:rPr>
          <w:t>89</w:t>
        </w:r>
        <w:r>
          <w:rPr>
            <w:noProof/>
            <w:webHidden/>
          </w:rPr>
          <w:fldChar w:fldCharType="end"/>
        </w:r>
      </w:hyperlink>
    </w:p>
    <w:p w14:paraId="549EA0DE" w14:textId="2FDD40B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8" w:history="1">
        <w:r w:rsidRPr="00CB0335">
          <w:rPr>
            <w:rStyle w:val="Hipercze"/>
            <w:rFonts w:cstheme="minorHAnsi"/>
            <w:noProof/>
          </w:rPr>
          <w:t>Wykres 12. Najczęściej zgłaszane problemy na stronach i w aplikacjach (liczba zgłoszeń) (osoby, które ukończyły 60 rok życia)</w:t>
        </w:r>
        <w:r>
          <w:rPr>
            <w:noProof/>
            <w:webHidden/>
          </w:rPr>
          <w:tab/>
        </w:r>
        <w:r>
          <w:rPr>
            <w:noProof/>
            <w:webHidden/>
          </w:rPr>
          <w:fldChar w:fldCharType="begin"/>
        </w:r>
        <w:r>
          <w:rPr>
            <w:noProof/>
            <w:webHidden/>
          </w:rPr>
          <w:instrText xml:space="preserve"> PAGEREF _Toc204179158 \h </w:instrText>
        </w:r>
        <w:r>
          <w:rPr>
            <w:noProof/>
            <w:webHidden/>
          </w:rPr>
        </w:r>
        <w:r>
          <w:rPr>
            <w:noProof/>
            <w:webHidden/>
          </w:rPr>
          <w:fldChar w:fldCharType="separate"/>
        </w:r>
        <w:r w:rsidR="00D024E8">
          <w:rPr>
            <w:noProof/>
            <w:webHidden/>
          </w:rPr>
          <w:t>90</w:t>
        </w:r>
        <w:r>
          <w:rPr>
            <w:noProof/>
            <w:webHidden/>
          </w:rPr>
          <w:fldChar w:fldCharType="end"/>
        </w:r>
      </w:hyperlink>
    </w:p>
    <w:p w14:paraId="648E4561" w14:textId="5E297BC5"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59" w:history="1">
        <w:r w:rsidRPr="00CB0335">
          <w:rPr>
            <w:rStyle w:val="Hipercze"/>
            <w:noProof/>
          </w:rPr>
          <w:t>Wykres 13. Wielkość miejsca zamieszkania w pełnej grupie badanej (n=306)</w:t>
        </w:r>
        <w:r>
          <w:rPr>
            <w:noProof/>
            <w:webHidden/>
          </w:rPr>
          <w:tab/>
        </w:r>
        <w:r>
          <w:rPr>
            <w:noProof/>
            <w:webHidden/>
          </w:rPr>
          <w:fldChar w:fldCharType="begin"/>
        </w:r>
        <w:r>
          <w:rPr>
            <w:noProof/>
            <w:webHidden/>
          </w:rPr>
          <w:instrText xml:space="preserve"> PAGEREF _Toc204179159 \h </w:instrText>
        </w:r>
        <w:r>
          <w:rPr>
            <w:noProof/>
            <w:webHidden/>
          </w:rPr>
        </w:r>
        <w:r>
          <w:rPr>
            <w:noProof/>
            <w:webHidden/>
          </w:rPr>
          <w:fldChar w:fldCharType="separate"/>
        </w:r>
        <w:r w:rsidR="00D024E8">
          <w:rPr>
            <w:noProof/>
            <w:webHidden/>
          </w:rPr>
          <w:t>138</w:t>
        </w:r>
        <w:r>
          <w:rPr>
            <w:noProof/>
            <w:webHidden/>
          </w:rPr>
          <w:fldChar w:fldCharType="end"/>
        </w:r>
      </w:hyperlink>
    </w:p>
    <w:p w14:paraId="4108872F" w14:textId="63987ABF"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0" w:history="1">
        <w:r w:rsidRPr="00CB0335">
          <w:rPr>
            <w:rStyle w:val="Hipercze"/>
            <w:noProof/>
          </w:rPr>
          <w:t>Wykres 14. Status na rynku pracy w pełnej grupie badanej (n=306)</w:t>
        </w:r>
        <w:r>
          <w:rPr>
            <w:noProof/>
            <w:webHidden/>
          </w:rPr>
          <w:tab/>
        </w:r>
        <w:r>
          <w:rPr>
            <w:noProof/>
            <w:webHidden/>
          </w:rPr>
          <w:fldChar w:fldCharType="begin"/>
        </w:r>
        <w:r>
          <w:rPr>
            <w:noProof/>
            <w:webHidden/>
          </w:rPr>
          <w:instrText xml:space="preserve"> PAGEREF _Toc204179160 \h </w:instrText>
        </w:r>
        <w:r>
          <w:rPr>
            <w:noProof/>
            <w:webHidden/>
          </w:rPr>
        </w:r>
        <w:r>
          <w:rPr>
            <w:noProof/>
            <w:webHidden/>
          </w:rPr>
          <w:fldChar w:fldCharType="separate"/>
        </w:r>
        <w:r w:rsidR="00D024E8">
          <w:rPr>
            <w:noProof/>
            <w:webHidden/>
          </w:rPr>
          <w:t>139</w:t>
        </w:r>
        <w:r>
          <w:rPr>
            <w:noProof/>
            <w:webHidden/>
          </w:rPr>
          <w:fldChar w:fldCharType="end"/>
        </w:r>
      </w:hyperlink>
    </w:p>
    <w:p w14:paraId="7F36F3F5" w14:textId="6BB4753E"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1" w:history="1">
        <w:r w:rsidRPr="00CB0335">
          <w:rPr>
            <w:rStyle w:val="Hipercze"/>
            <w:noProof/>
          </w:rPr>
          <w:t>Wykres 15. Częstotliwość korzystania z Internetu w pełnej grupie badanej (n=306)</w:t>
        </w:r>
        <w:r>
          <w:rPr>
            <w:noProof/>
            <w:webHidden/>
          </w:rPr>
          <w:tab/>
        </w:r>
        <w:r>
          <w:rPr>
            <w:noProof/>
            <w:webHidden/>
          </w:rPr>
          <w:fldChar w:fldCharType="begin"/>
        </w:r>
        <w:r>
          <w:rPr>
            <w:noProof/>
            <w:webHidden/>
          </w:rPr>
          <w:instrText xml:space="preserve"> PAGEREF _Toc204179161 \h </w:instrText>
        </w:r>
        <w:r>
          <w:rPr>
            <w:noProof/>
            <w:webHidden/>
          </w:rPr>
        </w:r>
        <w:r>
          <w:rPr>
            <w:noProof/>
            <w:webHidden/>
          </w:rPr>
          <w:fldChar w:fldCharType="separate"/>
        </w:r>
        <w:r w:rsidR="00D024E8">
          <w:rPr>
            <w:noProof/>
            <w:webHidden/>
          </w:rPr>
          <w:t>140</w:t>
        </w:r>
        <w:r>
          <w:rPr>
            <w:noProof/>
            <w:webHidden/>
          </w:rPr>
          <w:fldChar w:fldCharType="end"/>
        </w:r>
      </w:hyperlink>
    </w:p>
    <w:p w14:paraId="7A39EEB1" w14:textId="160681B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2" w:history="1">
        <w:r w:rsidRPr="00CB0335">
          <w:rPr>
            <w:rStyle w:val="Hipercze"/>
            <w:noProof/>
          </w:rPr>
          <w:t>Wykres 16. Cele korzystania z Internetu w pełnej grupie badanej (n=306)</w:t>
        </w:r>
        <w:r>
          <w:rPr>
            <w:noProof/>
            <w:webHidden/>
          </w:rPr>
          <w:tab/>
        </w:r>
        <w:r>
          <w:rPr>
            <w:noProof/>
            <w:webHidden/>
          </w:rPr>
          <w:fldChar w:fldCharType="begin"/>
        </w:r>
        <w:r>
          <w:rPr>
            <w:noProof/>
            <w:webHidden/>
          </w:rPr>
          <w:instrText xml:space="preserve"> PAGEREF _Toc204179162 \h </w:instrText>
        </w:r>
        <w:r>
          <w:rPr>
            <w:noProof/>
            <w:webHidden/>
          </w:rPr>
        </w:r>
        <w:r>
          <w:rPr>
            <w:noProof/>
            <w:webHidden/>
          </w:rPr>
          <w:fldChar w:fldCharType="separate"/>
        </w:r>
        <w:r w:rsidR="00D024E8">
          <w:rPr>
            <w:noProof/>
            <w:webHidden/>
          </w:rPr>
          <w:t>141</w:t>
        </w:r>
        <w:r>
          <w:rPr>
            <w:noProof/>
            <w:webHidden/>
          </w:rPr>
          <w:fldChar w:fldCharType="end"/>
        </w:r>
      </w:hyperlink>
    </w:p>
    <w:p w14:paraId="1B8703B3" w14:textId="37B01820"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3" w:history="1">
        <w:r w:rsidRPr="00CB0335">
          <w:rPr>
            <w:rStyle w:val="Hipercze"/>
            <w:noProof/>
          </w:rPr>
          <w:t>Wykres 17. Rodzaje spraw załatwianych najczęściej online w pełnej grupie badanej (n=306)</w:t>
        </w:r>
        <w:r>
          <w:rPr>
            <w:noProof/>
            <w:webHidden/>
          </w:rPr>
          <w:tab/>
        </w:r>
        <w:r>
          <w:rPr>
            <w:noProof/>
            <w:webHidden/>
          </w:rPr>
          <w:fldChar w:fldCharType="begin"/>
        </w:r>
        <w:r>
          <w:rPr>
            <w:noProof/>
            <w:webHidden/>
          </w:rPr>
          <w:instrText xml:space="preserve"> PAGEREF _Toc204179163 \h </w:instrText>
        </w:r>
        <w:r>
          <w:rPr>
            <w:noProof/>
            <w:webHidden/>
          </w:rPr>
        </w:r>
        <w:r>
          <w:rPr>
            <w:noProof/>
            <w:webHidden/>
          </w:rPr>
          <w:fldChar w:fldCharType="separate"/>
        </w:r>
        <w:r w:rsidR="00D024E8">
          <w:rPr>
            <w:noProof/>
            <w:webHidden/>
          </w:rPr>
          <w:t>142</w:t>
        </w:r>
        <w:r>
          <w:rPr>
            <w:noProof/>
            <w:webHidden/>
          </w:rPr>
          <w:fldChar w:fldCharType="end"/>
        </w:r>
      </w:hyperlink>
    </w:p>
    <w:p w14:paraId="25A5A632" w14:textId="7386BF1B"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4" w:history="1">
        <w:r w:rsidRPr="00CB0335">
          <w:rPr>
            <w:rStyle w:val="Hipercze"/>
            <w:noProof/>
          </w:rPr>
          <w:t>Wykres 18. Korzystanie ze stron i aplikacji podmiotów publicznych w pełnej grupie badanej (n=306)</w:t>
        </w:r>
        <w:r>
          <w:rPr>
            <w:noProof/>
            <w:webHidden/>
          </w:rPr>
          <w:tab/>
        </w:r>
        <w:r>
          <w:rPr>
            <w:noProof/>
            <w:webHidden/>
          </w:rPr>
          <w:fldChar w:fldCharType="begin"/>
        </w:r>
        <w:r>
          <w:rPr>
            <w:noProof/>
            <w:webHidden/>
          </w:rPr>
          <w:instrText xml:space="preserve"> PAGEREF _Toc204179164 \h </w:instrText>
        </w:r>
        <w:r>
          <w:rPr>
            <w:noProof/>
            <w:webHidden/>
          </w:rPr>
        </w:r>
        <w:r>
          <w:rPr>
            <w:noProof/>
            <w:webHidden/>
          </w:rPr>
          <w:fldChar w:fldCharType="separate"/>
        </w:r>
        <w:r w:rsidR="00D024E8">
          <w:rPr>
            <w:noProof/>
            <w:webHidden/>
          </w:rPr>
          <w:t>143</w:t>
        </w:r>
        <w:r>
          <w:rPr>
            <w:noProof/>
            <w:webHidden/>
          </w:rPr>
          <w:fldChar w:fldCharType="end"/>
        </w:r>
      </w:hyperlink>
    </w:p>
    <w:p w14:paraId="5EE5A088" w14:textId="03B9903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5" w:history="1">
        <w:r w:rsidRPr="00CB0335">
          <w:rPr>
            <w:rStyle w:val="Hipercze"/>
            <w:noProof/>
          </w:rPr>
          <w:t>Wykres 19. Sposób załatwiania spraw urzędowych w pełnej grupie badanej (n=306)</w:t>
        </w:r>
        <w:r>
          <w:rPr>
            <w:noProof/>
            <w:webHidden/>
          </w:rPr>
          <w:tab/>
        </w:r>
        <w:r>
          <w:rPr>
            <w:noProof/>
            <w:webHidden/>
          </w:rPr>
          <w:fldChar w:fldCharType="begin"/>
        </w:r>
        <w:r>
          <w:rPr>
            <w:noProof/>
            <w:webHidden/>
          </w:rPr>
          <w:instrText xml:space="preserve"> PAGEREF _Toc204179165 \h </w:instrText>
        </w:r>
        <w:r>
          <w:rPr>
            <w:noProof/>
            <w:webHidden/>
          </w:rPr>
        </w:r>
        <w:r>
          <w:rPr>
            <w:noProof/>
            <w:webHidden/>
          </w:rPr>
          <w:fldChar w:fldCharType="separate"/>
        </w:r>
        <w:r w:rsidR="00D024E8">
          <w:rPr>
            <w:noProof/>
            <w:webHidden/>
          </w:rPr>
          <w:t>144</w:t>
        </w:r>
        <w:r>
          <w:rPr>
            <w:noProof/>
            <w:webHidden/>
          </w:rPr>
          <w:fldChar w:fldCharType="end"/>
        </w:r>
      </w:hyperlink>
    </w:p>
    <w:p w14:paraId="2A4C6F7A" w14:textId="607942D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6" w:history="1">
        <w:r w:rsidRPr="00CB0335">
          <w:rPr>
            <w:rStyle w:val="Hipercze"/>
            <w:noProof/>
          </w:rPr>
          <w:t>Wykres 20. Sprawy regularnie załatwiane online za pośrednictwem stron podmiotów publicznych w pełnej grupie badanej (n=306)</w:t>
        </w:r>
        <w:r>
          <w:rPr>
            <w:noProof/>
            <w:webHidden/>
          </w:rPr>
          <w:tab/>
        </w:r>
        <w:r>
          <w:rPr>
            <w:noProof/>
            <w:webHidden/>
          </w:rPr>
          <w:fldChar w:fldCharType="begin"/>
        </w:r>
        <w:r>
          <w:rPr>
            <w:noProof/>
            <w:webHidden/>
          </w:rPr>
          <w:instrText xml:space="preserve"> PAGEREF _Toc204179166 \h </w:instrText>
        </w:r>
        <w:r>
          <w:rPr>
            <w:noProof/>
            <w:webHidden/>
          </w:rPr>
        </w:r>
        <w:r>
          <w:rPr>
            <w:noProof/>
            <w:webHidden/>
          </w:rPr>
          <w:fldChar w:fldCharType="separate"/>
        </w:r>
        <w:r w:rsidR="00D024E8">
          <w:rPr>
            <w:noProof/>
            <w:webHidden/>
          </w:rPr>
          <w:t>145</w:t>
        </w:r>
        <w:r>
          <w:rPr>
            <w:noProof/>
            <w:webHidden/>
          </w:rPr>
          <w:fldChar w:fldCharType="end"/>
        </w:r>
      </w:hyperlink>
    </w:p>
    <w:p w14:paraId="515D6EA4" w14:textId="374D35D6"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7" w:history="1">
        <w:r w:rsidRPr="00CB0335">
          <w:rPr>
            <w:rStyle w:val="Hipercze"/>
            <w:noProof/>
          </w:rPr>
          <w:t>Wykres 21. Strony podmiotów publicznych, z jakich najczęściej korzystają badani w pełnej grupie badanej (n=306)</w:t>
        </w:r>
        <w:r>
          <w:rPr>
            <w:noProof/>
            <w:webHidden/>
          </w:rPr>
          <w:tab/>
        </w:r>
        <w:r>
          <w:rPr>
            <w:noProof/>
            <w:webHidden/>
          </w:rPr>
          <w:fldChar w:fldCharType="begin"/>
        </w:r>
        <w:r>
          <w:rPr>
            <w:noProof/>
            <w:webHidden/>
          </w:rPr>
          <w:instrText xml:space="preserve"> PAGEREF _Toc204179167 \h </w:instrText>
        </w:r>
        <w:r>
          <w:rPr>
            <w:noProof/>
            <w:webHidden/>
          </w:rPr>
        </w:r>
        <w:r>
          <w:rPr>
            <w:noProof/>
            <w:webHidden/>
          </w:rPr>
          <w:fldChar w:fldCharType="separate"/>
        </w:r>
        <w:r w:rsidR="00D024E8">
          <w:rPr>
            <w:noProof/>
            <w:webHidden/>
          </w:rPr>
          <w:t>146</w:t>
        </w:r>
        <w:r>
          <w:rPr>
            <w:noProof/>
            <w:webHidden/>
          </w:rPr>
          <w:fldChar w:fldCharType="end"/>
        </w:r>
      </w:hyperlink>
    </w:p>
    <w:p w14:paraId="086A62D2" w14:textId="73A44A9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8" w:history="1">
        <w:r w:rsidRPr="00CB0335">
          <w:rPr>
            <w:rStyle w:val="Hipercze"/>
            <w:noProof/>
          </w:rPr>
          <w:t>Wykres 22. Aplikacje mobilne podmiotów publicznych, z których najczęściej korzystają badani w pełnej grupie badanej (n=243)</w:t>
        </w:r>
        <w:r>
          <w:rPr>
            <w:noProof/>
            <w:webHidden/>
          </w:rPr>
          <w:tab/>
        </w:r>
        <w:r>
          <w:rPr>
            <w:noProof/>
            <w:webHidden/>
          </w:rPr>
          <w:fldChar w:fldCharType="begin"/>
        </w:r>
        <w:r>
          <w:rPr>
            <w:noProof/>
            <w:webHidden/>
          </w:rPr>
          <w:instrText xml:space="preserve"> PAGEREF _Toc204179168 \h </w:instrText>
        </w:r>
        <w:r>
          <w:rPr>
            <w:noProof/>
            <w:webHidden/>
          </w:rPr>
        </w:r>
        <w:r>
          <w:rPr>
            <w:noProof/>
            <w:webHidden/>
          </w:rPr>
          <w:fldChar w:fldCharType="separate"/>
        </w:r>
        <w:r w:rsidR="00D024E8">
          <w:rPr>
            <w:noProof/>
            <w:webHidden/>
          </w:rPr>
          <w:t>152</w:t>
        </w:r>
        <w:r>
          <w:rPr>
            <w:noProof/>
            <w:webHidden/>
          </w:rPr>
          <w:fldChar w:fldCharType="end"/>
        </w:r>
      </w:hyperlink>
    </w:p>
    <w:p w14:paraId="745DD293" w14:textId="02B5842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69" w:history="1">
        <w:r w:rsidRPr="00CB0335">
          <w:rPr>
            <w:rStyle w:val="Hipercze"/>
            <w:noProof/>
          </w:rPr>
          <w:t>Wykres 23. Sposoby radzenia sobie z trudnościami technicznymi w obsłudze stron i aplikacji w pełnej grupie badanej (n=306)</w:t>
        </w:r>
        <w:r>
          <w:rPr>
            <w:noProof/>
            <w:webHidden/>
          </w:rPr>
          <w:tab/>
        </w:r>
        <w:r>
          <w:rPr>
            <w:noProof/>
            <w:webHidden/>
          </w:rPr>
          <w:fldChar w:fldCharType="begin"/>
        </w:r>
        <w:r>
          <w:rPr>
            <w:noProof/>
            <w:webHidden/>
          </w:rPr>
          <w:instrText xml:space="preserve"> PAGEREF _Toc204179169 \h </w:instrText>
        </w:r>
        <w:r>
          <w:rPr>
            <w:noProof/>
            <w:webHidden/>
          </w:rPr>
        </w:r>
        <w:r>
          <w:rPr>
            <w:noProof/>
            <w:webHidden/>
          </w:rPr>
          <w:fldChar w:fldCharType="separate"/>
        </w:r>
        <w:r w:rsidR="00D024E8">
          <w:rPr>
            <w:noProof/>
            <w:webHidden/>
          </w:rPr>
          <w:t>160</w:t>
        </w:r>
        <w:r>
          <w:rPr>
            <w:noProof/>
            <w:webHidden/>
          </w:rPr>
          <w:fldChar w:fldCharType="end"/>
        </w:r>
      </w:hyperlink>
    </w:p>
    <w:p w14:paraId="4E644BC2" w14:textId="45161FFA"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0" w:history="1">
        <w:r w:rsidRPr="00CB0335">
          <w:rPr>
            <w:rStyle w:val="Hipercze"/>
            <w:noProof/>
          </w:rPr>
          <w:t>Wykres 24. Wiedza o tym, że każdy podmiot publiczny musi przygotowywać i publikować na swojej stronie deklarację dostępności w pełnej grupie badanej (n=306)</w:t>
        </w:r>
        <w:r>
          <w:rPr>
            <w:noProof/>
            <w:webHidden/>
          </w:rPr>
          <w:tab/>
        </w:r>
        <w:r>
          <w:rPr>
            <w:noProof/>
            <w:webHidden/>
          </w:rPr>
          <w:fldChar w:fldCharType="begin"/>
        </w:r>
        <w:r>
          <w:rPr>
            <w:noProof/>
            <w:webHidden/>
          </w:rPr>
          <w:instrText xml:space="preserve"> PAGEREF _Toc204179170 \h </w:instrText>
        </w:r>
        <w:r>
          <w:rPr>
            <w:noProof/>
            <w:webHidden/>
          </w:rPr>
        </w:r>
        <w:r>
          <w:rPr>
            <w:noProof/>
            <w:webHidden/>
          </w:rPr>
          <w:fldChar w:fldCharType="separate"/>
        </w:r>
        <w:r w:rsidR="00D024E8">
          <w:rPr>
            <w:noProof/>
            <w:webHidden/>
          </w:rPr>
          <w:t>160</w:t>
        </w:r>
        <w:r>
          <w:rPr>
            <w:noProof/>
            <w:webHidden/>
          </w:rPr>
          <w:fldChar w:fldCharType="end"/>
        </w:r>
      </w:hyperlink>
    </w:p>
    <w:p w14:paraId="78BB4324" w14:textId="4A046EC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1" w:history="1">
        <w:r w:rsidRPr="00CB0335">
          <w:rPr>
            <w:rStyle w:val="Hipercze"/>
            <w:noProof/>
          </w:rPr>
          <w:t>Wykres 25. Wiek respondentów w grupie obywatele (n=100)</w:t>
        </w:r>
        <w:r>
          <w:rPr>
            <w:noProof/>
            <w:webHidden/>
          </w:rPr>
          <w:tab/>
        </w:r>
        <w:r>
          <w:rPr>
            <w:noProof/>
            <w:webHidden/>
          </w:rPr>
          <w:fldChar w:fldCharType="begin"/>
        </w:r>
        <w:r>
          <w:rPr>
            <w:noProof/>
            <w:webHidden/>
          </w:rPr>
          <w:instrText xml:space="preserve"> PAGEREF _Toc204179171 \h </w:instrText>
        </w:r>
        <w:r>
          <w:rPr>
            <w:noProof/>
            <w:webHidden/>
          </w:rPr>
        </w:r>
        <w:r>
          <w:rPr>
            <w:noProof/>
            <w:webHidden/>
          </w:rPr>
          <w:fldChar w:fldCharType="separate"/>
        </w:r>
        <w:r w:rsidR="00D024E8">
          <w:rPr>
            <w:noProof/>
            <w:webHidden/>
          </w:rPr>
          <w:t>163</w:t>
        </w:r>
        <w:r>
          <w:rPr>
            <w:noProof/>
            <w:webHidden/>
          </w:rPr>
          <w:fldChar w:fldCharType="end"/>
        </w:r>
      </w:hyperlink>
    </w:p>
    <w:p w14:paraId="430BAAF9" w14:textId="788B7008"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2" w:history="1">
        <w:r w:rsidRPr="00CB0335">
          <w:rPr>
            <w:rStyle w:val="Hipercze"/>
            <w:noProof/>
          </w:rPr>
          <w:t>Wykres 26. Wielkość miejsca zamieszkania w grupie obywatele (n=100)</w:t>
        </w:r>
        <w:r>
          <w:rPr>
            <w:noProof/>
            <w:webHidden/>
          </w:rPr>
          <w:tab/>
        </w:r>
        <w:r>
          <w:rPr>
            <w:noProof/>
            <w:webHidden/>
          </w:rPr>
          <w:fldChar w:fldCharType="begin"/>
        </w:r>
        <w:r>
          <w:rPr>
            <w:noProof/>
            <w:webHidden/>
          </w:rPr>
          <w:instrText xml:space="preserve"> PAGEREF _Toc204179172 \h </w:instrText>
        </w:r>
        <w:r>
          <w:rPr>
            <w:noProof/>
            <w:webHidden/>
          </w:rPr>
        </w:r>
        <w:r>
          <w:rPr>
            <w:noProof/>
            <w:webHidden/>
          </w:rPr>
          <w:fldChar w:fldCharType="separate"/>
        </w:r>
        <w:r w:rsidR="00D024E8">
          <w:rPr>
            <w:noProof/>
            <w:webHidden/>
          </w:rPr>
          <w:t>164</w:t>
        </w:r>
        <w:r>
          <w:rPr>
            <w:noProof/>
            <w:webHidden/>
          </w:rPr>
          <w:fldChar w:fldCharType="end"/>
        </w:r>
      </w:hyperlink>
    </w:p>
    <w:p w14:paraId="31AAE5B4" w14:textId="26CA79E8"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3" w:history="1">
        <w:r w:rsidRPr="00CB0335">
          <w:rPr>
            <w:rStyle w:val="Hipercze"/>
            <w:noProof/>
          </w:rPr>
          <w:t>Wykres 27. Status na rynku pracy w grupie obywatele (n=100)</w:t>
        </w:r>
        <w:r>
          <w:rPr>
            <w:noProof/>
            <w:webHidden/>
          </w:rPr>
          <w:tab/>
        </w:r>
        <w:r>
          <w:rPr>
            <w:noProof/>
            <w:webHidden/>
          </w:rPr>
          <w:fldChar w:fldCharType="begin"/>
        </w:r>
        <w:r>
          <w:rPr>
            <w:noProof/>
            <w:webHidden/>
          </w:rPr>
          <w:instrText xml:space="preserve"> PAGEREF _Toc204179173 \h </w:instrText>
        </w:r>
        <w:r>
          <w:rPr>
            <w:noProof/>
            <w:webHidden/>
          </w:rPr>
        </w:r>
        <w:r>
          <w:rPr>
            <w:noProof/>
            <w:webHidden/>
          </w:rPr>
          <w:fldChar w:fldCharType="separate"/>
        </w:r>
        <w:r w:rsidR="00D024E8">
          <w:rPr>
            <w:noProof/>
            <w:webHidden/>
          </w:rPr>
          <w:t>164</w:t>
        </w:r>
        <w:r>
          <w:rPr>
            <w:noProof/>
            <w:webHidden/>
          </w:rPr>
          <w:fldChar w:fldCharType="end"/>
        </w:r>
      </w:hyperlink>
    </w:p>
    <w:p w14:paraId="043AFCAA" w14:textId="689E690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4" w:history="1">
        <w:r w:rsidRPr="00CB0335">
          <w:rPr>
            <w:rStyle w:val="Hipercze"/>
            <w:noProof/>
          </w:rPr>
          <w:t>Wykres 28. Częstotliwość korzystania z Internetu w grupie obywatele (n=100)</w:t>
        </w:r>
        <w:r>
          <w:rPr>
            <w:noProof/>
            <w:webHidden/>
          </w:rPr>
          <w:tab/>
        </w:r>
        <w:r>
          <w:rPr>
            <w:noProof/>
            <w:webHidden/>
          </w:rPr>
          <w:fldChar w:fldCharType="begin"/>
        </w:r>
        <w:r>
          <w:rPr>
            <w:noProof/>
            <w:webHidden/>
          </w:rPr>
          <w:instrText xml:space="preserve"> PAGEREF _Toc204179174 \h </w:instrText>
        </w:r>
        <w:r>
          <w:rPr>
            <w:noProof/>
            <w:webHidden/>
          </w:rPr>
        </w:r>
        <w:r>
          <w:rPr>
            <w:noProof/>
            <w:webHidden/>
          </w:rPr>
          <w:fldChar w:fldCharType="separate"/>
        </w:r>
        <w:r w:rsidR="00D024E8">
          <w:rPr>
            <w:noProof/>
            <w:webHidden/>
          </w:rPr>
          <w:t>165</w:t>
        </w:r>
        <w:r>
          <w:rPr>
            <w:noProof/>
            <w:webHidden/>
          </w:rPr>
          <w:fldChar w:fldCharType="end"/>
        </w:r>
      </w:hyperlink>
    </w:p>
    <w:p w14:paraId="65FBCA2A" w14:textId="764B4338"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5" w:history="1">
        <w:r w:rsidRPr="00CB0335">
          <w:rPr>
            <w:rStyle w:val="Hipercze"/>
            <w:noProof/>
          </w:rPr>
          <w:t>Wykres 29. Cele korzystania z Internetu w grupie obywatele (n=100)</w:t>
        </w:r>
        <w:r>
          <w:rPr>
            <w:noProof/>
            <w:webHidden/>
          </w:rPr>
          <w:tab/>
        </w:r>
        <w:r>
          <w:rPr>
            <w:noProof/>
            <w:webHidden/>
          </w:rPr>
          <w:fldChar w:fldCharType="begin"/>
        </w:r>
        <w:r>
          <w:rPr>
            <w:noProof/>
            <w:webHidden/>
          </w:rPr>
          <w:instrText xml:space="preserve"> PAGEREF _Toc204179175 \h </w:instrText>
        </w:r>
        <w:r>
          <w:rPr>
            <w:noProof/>
            <w:webHidden/>
          </w:rPr>
        </w:r>
        <w:r>
          <w:rPr>
            <w:noProof/>
            <w:webHidden/>
          </w:rPr>
          <w:fldChar w:fldCharType="separate"/>
        </w:r>
        <w:r w:rsidR="00D024E8">
          <w:rPr>
            <w:noProof/>
            <w:webHidden/>
          </w:rPr>
          <w:t>166</w:t>
        </w:r>
        <w:r>
          <w:rPr>
            <w:noProof/>
            <w:webHidden/>
          </w:rPr>
          <w:fldChar w:fldCharType="end"/>
        </w:r>
      </w:hyperlink>
    </w:p>
    <w:p w14:paraId="0787A73F" w14:textId="3D3F40FF"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6" w:history="1">
        <w:r w:rsidRPr="00CB0335">
          <w:rPr>
            <w:rStyle w:val="Hipercze"/>
            <w:noProof/>
          </w:rPr>
          <w:t>Wykres 30. Rodzaje spraw załatwianych najczęściej online w grupie obywatele (n=100)</w:t>
        </w:r>
        <w:r>
          <w:rPr>
            <w:noProof/>
            <w:webHidden/>
          </w:rPr>
          <w:tab/>
        </w:r>
        <w:r>
          <w:rPr>
            <w:noProof/>
            <w:webHidden/>
          </w:rPr>
          <w:fldChar w:fldCharType="begin"/>
        </w:r>
        <w:r>
          <w:rPr>
            <w:noProof/>
            <w:webHidden/>
          </w:rPr>
          <w:instrText xml:space="preserve"> PAGEREF _Toc204179176 \h </w:instrText>
        </w:r>
        <w:r>
          <w:rPr>
            <w:noProof/>
            <w:webHidden/>
          </w:rPr>
        </w:r>
        <w:r>
          <w:rPr>
            <w:noProof/>
            <w:webHidden/>
          </w:rPr>
          <w:fldChar w:fldCharType="separate"/>
        </w:r>
        <w:r w:rsidR="00D024E8">
          <w:rPr>
            <w:noProof/>
            <w:webHidden/>
          </w:rPr>
          <w:t>167</w:t>
        </w:r>
        <w:r>
          <w:rPr>
            <w:noProof/>
            <w:webHidden/>
          </w:rPr>
          <w:fldChar w:fldCharType="end"/>
        </w:r>
      </w:hyperlink>
    </w:p>
    <w:p w14:paraId="7A27C445" w14:textId="30B4819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7" w:history="1">
        <w:r w:rsidRPr="00CB0335">
          <w:rPr>
            <w:rStyle w:val="Hipercze"/>
            <w:noProof/>
          </w:rPr>
          <w:t>Wykres 31. Korzystanie ze stron i aplikacji podmiotów publicznych w grupie obywatele (n=100)</w:t>
        </w:r>
        <w:r>
          <w:rPr>
            <w:noProof/>
            <w:webHidden/>
          </w:rPr>
          <w:tab/>
        </w:r>
        <w:r>
          <w:rPr>
            <w:noProof/>
            <w:webHidden/>
          </w:rPr>
          <w:fldChar w:fldCharType="begin"/>
        </w:r>
        <w:r>
          <w:rPr>
            <w:noProof/>
            <w:webHidden/>
          </w:rPr>
          <w:instrText xml:space="preserve"> PAGEREF _Toc204179177 \h </w:instrText>
        </w:r>
        <w:r>
          <w:rPr>
            <w:noProof/>
            <w:webHidden/>
          </w:rPr>
        </w:r>
        <w:r>
          <w:rPr>
            <w:noProof/>
            <w:webHidden/>
          </w:rPr>
          <w:fldChar w:fldCharType="separate"/>
        </w:r>
        <w:r w:rsidR="00D024E8">
          <w:rPr>
            <w:noProof/>
            <w:webHidden/>
          </w:rPr>
          <w:t>168</w:t>
        </w:r>
        <w:r>
          <w:rPr>
            <w:noProof/>
            <w:webHidden/>
          </w:rPr>
          <w:fldChar w:fldCharType="end"/>
        </w:r>
      </w:hyperlink>
    </w:p>
    <w:p w14:paraId="62A18798" w14:textId="0A947F4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8" w:history="1">
        <w:r w:rsidRPr="00CB0335">
          <w:rPr>
            <w:rStyle w:val="Hipercze"/>
            <w:noProof/>
          </w:rPr>
          <w:t>Wykres 32. Sposób załatwiania spraw urzędowych w grupie obywatele (n=100)</w:t>
        </w:r>
        <w:r>
          <w:rPr>
            <w:noProof/>
            <w:webHidden/>
          </w:rPr>
          <w:tab/>
        </w:r>
        <w:r>
          <w:rPr>
            <w:noProof/>
            <w:webHidden/>
          </w:rPr>
          <w:fldChar w:fldCharType="begin"/>
        </w:r>
        <w:r>
          <w:rPr>
            <w:noProof/>
            <w:webHidden/>
          </w:rPr>
          <w:instrText xml:space="preserve"> PAGEREF _Toc204179178 \h </w:instrText>
        </w:r>
        <w:r>
          <w:rPr>
            <w:noProof/>
            <w:webHidden/>
          </w:rPr>
        </w:r>
        <w:r>
          <w:rPr>
            <w:noProof/>
            <w:webHidden/>
          </w:rPr>
          <w:fldChar w:fldCharType="separate"/>
        </w:r>
        <w:r w:rsidR="00D024E8">
          <w:rPr>
            <w:noProof/>
            <w:webHidden/>
          </w:rPr>
          <w:t>169</w:t>
        </w:r>
        <w:r>
          <w:rPr>
            <w:noProof/>
            <w:webHidden/>
          </w:rPr>
          <w:fldChar w:fldCharType="end"/>
        </w:r>
      </w:hyperlink>
    </w:p>
    <w:p w14:paraId="69DBCE39" w14:textId="35C47273"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79" w:history="1">
        <w:r w:rsidRPr="00CB0335">
          <w:rPr>
            <w:rStyle w:val="Hipercze"/>
            <w:noProof/>
          </w:rPr>
          <w:t>Wykres 33. Sprawy regularnie załatwiane online za pośrednictwem stron podmiotów publicznych w grupie obywatele (n=100)</w:t>
        </w:r>
        <w:r>
          <w:rPr>
            <w:noProof/>
            <w:webHidden/>
          </w:rPr>
          <w:tab/>
        </w:r>
        <w:r>
          <w:rPr>
            <w:noProof/>
            <w:webHidden/>
          </w:rPr>
          <w:fldChar w:fldCharType="begin"/>
        </w:r>
        <w:r>
          <w:rPr>
            <w:noProof/>
            <w:webHidden/>
          </w:rPr>
          <w:instrText xml:space="preserve"> PAGEREF _Toc204179179 \h </w:instrText>
        </w:r>
        <w:r>
          <w:rPr>
            <w:noProof/>
            <w:webHidden/>
          </w:rPr>
        </w:r>
        <w:r>
          <w:rPr>
            <w:noProof/>
            <w:webHidden/>
          </w:rPr>
          <w:fldChar w:fldCharType="separate"/>
        </w:r>
        <w:r w:rsidR="00D024E8">
          <w:rPr>
            <w:noProof/>
            <w:webHidden/>
          </w:rPr>
          <w:t>170</w:t>
        </w:r>
        <w:r>
          <w:rPr>
            <w:noProof/>
            <w:webHidden/>
          </w:rPr>
          <w:fldChar w:fldCharType="end"/>
        </w:r>
      </w:hyperlink>
    </w:p>
    <w:p w14:paraId="30835226" w14:textId="11E62733"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0" w:history="1">
        <w:r w:rsidRPr="00CB0335">
          <w:rPr>
            <w:rStyle w:val="Hipercze"/>
            <w:noProof/>
          </w:rPr>
          <w:t>Wykres 34. Strony podmiotów publicznych, z jakich najczęściej korzystają badani w grupie obywatele (n=100)</w:t>
        </w:r>
        <w:r>
          <w:rPr>
            <w:noProof/>
            <w:webHidden/>
          </w:rPr>
          <w:tab/>
        </w:r>
        <w:r>
          <w:rPr>
            <w:noProof/>
            <w:webHidden/>
          </w:rPr>
          <w:fldChar w:fldCharType="begin"/>
        </w:r>
        <w:r>
          <w:rPr>
            <w:noProof/>
            <w:webHidden/>
          </w:rPr>
          <w:instrText xml:space="preserve"> PAGEREF _Toc204179180 \h </w:instrText>
        </w:r>
        <w:r>
          <w:rPr>
            <w:noProof/>
            <w:webHidden/>
          </w:rPr>
        </w:r>
        <w:r>
          <w:rPr>
            <w:noProof/>
            <w:webHidden/>
          </w:rPr>
          <w:fldChar w:fldCharType="separate"/>
        </w:r>
        <w:r w:rsidR="00D024E8">
          <w:rPr>
            <w:noProof/>
            <w:webHidden/>
          </w:rPr>
          <w:t>171</w:t>
        </w:r>
        <w:r>
          <w:rPr>
            <w:noProof/>
            <w:webHidden/>
          </w:rPr>
          <w:fldChar w:fldCharType="end"/>
        </w:r>
      </w:hyperlink>
    </w:p>
    <w:p w14:paraId="38F355CB" w14:textId="2990358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1" w:history="1">
        <w:r w:rsidRPr="00CB0335">
          <w:rPr>
            <w:rStyle w:val="Hipercze"/>
            <w:noProof/>
          </w:rPr>
          <w:t>Wykres 35. Aplikacje mobilne podmiotów publicznych, z których najczęściej korzystają badani w grupie obywatele (n=100)</w:t>
        </w:r>
        <w:r>
          <w:rPr>
            <w:noProof/>
            <w:webHidden/>
          </w:rPr>
          <w:tab/>
        </w:r>
        <w:r>
          <w:rPr>
            <w:noProof/>
            <w:webHidden/>
          </w:rPr>
          <w:fldChar w:fldCharType="begin"/>
        </w:r>
        <w:r>
          <w:rPr>
            <w:noProof/>
            <w:webHidden/>
          </w:rPr>
          <w:instrText xml:space="preserve"> PAGEREF _Toc204179181 \h </w:instrText>
        </w:r>
        <w:r>
          <w:rPr>
            <w:noProof/>
            <w:webHidden/>
          </w:rPr>
        </w:r>
        <w:r>
          <w:rPr>
            <w:noProof/>
            <w:webHidden/>
          </w:rPr>
          <w:fldChar w:fldCharType="separate"/>
        </w:r>
        <w:r w:rsidR="00D024E8">
          <w:rPr>
            <w:noProof/>
            <w:webHidden/>
          </w:rPr>
          <w:t>176</w:t>
        </w:r>
        <w:r>
          <w:rPr>
            <w:noProof/>
            <w:webHidden/>
          </w:rPr>
          <w:fldChar w:fldCharType="end"/>
        </w:r>
      </w:hyperlink>
    </w:p>
    <w:p w14:paraId="6A2F2C5A" w14:textId="1D48C730"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2" w:history="1">
        <w:r w:rsidRPr="00CB0335">
          <w:rPr>
            <w:rStyle w:val="Hipercze"/>
            <w:noProof/>
          </w:rPr>
          <w:t>Wykres 36. Sposoby radzenia sobie z trudnościami technicznymi w obsłudze stron i aplikacji w grupie obywatele</w:t>
        </w:r>
        <w:r>
          <w:rPr>
            <w:noProof/>
            <w:webHidden/>
          </w:rPr>
          <w:tab/>
        </w:r>
        <w:r>
          <w:rPr>
            <w:noProof/>
            <w:webHidden/>
          </w:rPr>
          <w:fldChar w:fldCharType="begin"/>
        </w:r>
        <w:r>
          <w:rPr>
            <w:noProof/>
            <w:webHidden/>
          </w:rPr>
          <w:instrText xml:space="preserve"> PAGEREF _Toc204179182 \h </w:instrText>
        </w:r>
        <w:r>
          <w:rPr>
            <w:noProof/>
            <w:webHidden/>
          </w:rPr>
        </w:r>
        <w:r>
          <w:rPr>
            <w:noProof/>
            <w:webHidden/>
          </w:rPr>
          <w:fldChar w:fldCharType="separate"/>
        </w:r>
        <w:r w:rsidR="00D024E8">
          <w:rPr>
            <w:noProof/>
            <w:webHidden/>
          </w:rPr>
          <w:t>183</w:t>
        </w:r>
        <w:r>
          <w:rPr>
            <w:noProof/>
            <w:webHidden/>
          </w:rPr>
          <w:fldChar w:fldCharType="end"/>
        </w:r>
      </w:hyperlink>
    </w:p>
    <w:p w14:paraId="2EC57035" w14:textId="03A8402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3" w:history="1">
        <w:r w:rsidRPr="00CB0335">
          <w:rPr>
            <w:rStyle w:val="Hipercze"/>
            <w:noProof/>
          </w:rPr>
          <w:t>Wykres 37. Wiedza o tym, że każdy podmiot publiczny musi przygotowywać i publikować na swojej stronie deklarację dostępności w grupie obywatele</w:t>
        </w:r>
        <w:r>
          <w:rPr>
            <w:noProof/>
            <w:webHidden/>
          </w:rPr>
          <w:tab/>
        </w:r>
        <w:r>
          <w:rPr>
            <w:noProof/>
            <w:webHidden/>
          </w:rPr>
          <w:fldChar w:fldCharType="begin"/>
        </w:r>
        <w:r>
          <w:rPr>
            <w:noProof/>
            <w:webHidden/>
          </w:rPr>
          <w:instrText xml:space="preserve"> PAGEREF _Toc204179183 \h </w:instrText>
        </w:r>
        <w:r>
          <w:rPr>
            <w:noProof/>
            <w:webHidden/>
          </w:rPr>
        </w:r>
        <w:r>
          <w:rPr>
            <w:noProof/>
            <w:webHidden/>
          </w:rPr>
          <w:fldChar w:fldCharType="separate"/>
        </w:r>
        <w:r w:rsidR="00D024E8">
          <w:rPr>
            <w:noProof/>
            <w:webHidden/>
          </w:rPr>
          <w:t>184</w:t>
        </w:r>
        <w:r>
          <w:rPr>
            <w:noProof/>
            <w:webHidden/>
          </w:rPr>
          <w:fldChar w:fldCharType="end"/>
        </w:r>
      </w:hyperlink>
    </w:p>
    <w:p w14:paraId="676E703A" w14:textId="018B5863"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4" w:history="1">
        <w:r w:rsidRPr="00CB0335">
          <w:rPr>
            <w:rStyle w:val="Hipercze"/>
            <w:noProof/>
          </w:rPr>
          <w:t>Wykres 38. Wiek respondentów w grupie osoby z niepełnosprawnościami (n=106)</w:t>
        </w:r>
        <w:r>
          <w:rPr>
            <w:noProof/>
            <w:webHidden/>
          </w:rPr>
          <w:tab/>
        </w:r>
        <w:r>
          <w:rPr>
            <w:noProof/>
            <w:webHidden/>
          </w:rPr>
          <w:fldChar w:fldCharType="begin"/>
        </w:r>
        <w:r>
          <w:rPr>
            <w:noProof/>
            <w:webHidden/>
          </w:rPr>
          <w:instrText xml:space="preserve"> PAGEREF _Toc204179184 \h </w:instrText>
        </w:r>
        <w:r>
          <w:rPr>
            <w:noProof/>
            <w:webHidden/>
          </w:rPr>
        </w:r>
        <w:r>
          <w:rPr>
            <w:noProof/>
            <w:webHidden/>
          </w:rPr>
          <w:fldChar w:fldCharType="separate"/>
        </w:r>
        <w:r w:rsidR="00D024E8">
          <w:rPr>
            <w:noProof/>
            <w:webHidden/>
          </w:rPr>
          <w:t>187</w:t>
        </w:r>
        <w:r>
          <w:rPr>
            <w:noProof/>
            <w:webHidden/>
          </w:rPr>
          <w:fldChar w:fldCharType="end"/>
        </w:r>
      </w:hyperlink>
    </w:p>
    <w:p w14:paraId="12D44C25" w14:textId="75282251"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5" w:history="1">
        <w:r w:rsidRPr="00CB0335">
          <w:rPr>
            <w:rStyle w:val="Hipercze"/>
            <w:noProof/>
          </w:rPr>
          <w:t>Wykres 39. Wielkość miejsca zamieszkania w grupie osoby z niepełnosprawnościami (n=106)</w:t>
        </w:r>
        <w:r>
          <w:rPr>
            <w:noProof/>
            <w:webHidden/>
          </w:rPr>
          <w:tab/>
        </w:r>
        <w:r>
          <w:rPr>
            <w:noProof/>
            <w:webHidden/>
          </w:rPr>
          <w:fldChar w:fldCharType="begin"/>
        </w:r>
        <w:r>
          <w:rPr>
            <w:noProof/>
            <w:webHidden/>
          </w:rPr>
          <w:instrText xml:space="preserve"> PAGEREF _Toc204179185 \h </w:instrText>
        </w:r>
        <w:r>
          <w:rPr>
            <w:noProof/>
            <w:webHidden/>
          </w:rPr>
        </w:r>
        <w:r>
          <w:rPr>
            <w:noProof/>
            <w:webHidden/>
          </w:rPr>
          <w:fldChar w:fldCharType="separate"/>
        </w:r>
        <w:r w:rsidR="00D024E8">
          <w:rPr>
            <w:noProof/>
            <w:webHidden/>
          </w:rPr>
          <w:t>188</w:t>
        </w:r>
        <w:r>
          <w:rPr>
            <w:noProof/>
            <w:webHidden/>
          </w:rPr>
          <w:fldChar w:fldCharType="end"/>
        </w:r>
      </w:hyperlink>
    </w:p>
    <w:p w14:paraId="7579F092" w14:textId="284DCE2C"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6" w:history="1">
        <w:r w:rsidRPr="00CB0335">
          <w:rPr>
            <w:rStyle w:val="Hipercze"/>
            <w:noProof/>
          </w:rPr>
          <w:t>Wykres 40 Status na rynku pracy w grupie osoby z niepełnosprawnościami (n=106)</w:t>
        </w:r>
        <w:r>
          <w:rPr>
            <w:noProof/>
            <w:webHidden/>
          </w:rPr>
          <w:tab/>
        </w:r>
        <w:r>
          <w:rPr>
            <w:noProof/>
            <w:webHidden/>
          </w:rPr>
          <w:fldChar w:fldCharType="begin"/>
        </w:r>
        <w:r>
          <w:rPr>
            <w:noProof/>
            <w:webHidden/>
          </w:rPr>
          <w:instrText xml:space="preserve"> PAGEREF _Toc204179186 \h </w:instrText>
        </w:r>
        <w:r>
          <w:rPr>
            <w:noProof/>
            <w:webHidden/>
          </w:rPr>
        </w:r>
        <w:r>
          <w:rPr>
            <w:noProof/>
            <w:webHidden/>
          </w:rPr>
          <w:fldChar w:fldCharType="separate"/>
        </w:r>
        <w:r w:rsidR="00D024E8">
          <w:rPr>
            <w:noProof/>
            <w:webHidden/>
          </w:rPr>
          <w:t>189</w:t>
        </w:r>
        <w:r>
          <w:rPr>
            <w:noProof/>
            <w:webHidden/>
          </w:rPr>
          <w:fldChar w:fldCharType="end"/>
        </w:r>
      </w:hyperlink>
    </w:p>
    <w:p w14:paraId="620EF5AA" w14:textId="20A01227"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7" w:history="1">
        <w:r w:rsidRPr="00CB0335">
          <w:rPr>
            <w:rStyle w:val="Hipercze"/>
            <w:noProof/>
          </w:rPr>
          <w:t>Wykres 41. Częstotliwość korzystania z Internetu w grupie osoby z niepełnosprawnościami (n=106)</w:t>
        </w:r>
        <w:r>
          <w:rPr>
            <w:noProof/>
            <w:webHidden/>
          </w:rPr>
          <w:tab/>
        </w:r>
        <w:r>
          <w:rPr>
            <w:noProof/>
            <w:webHidden/>
          </w:rPr>
          <w:fldChar w:fldCharType="begin"/>
        </w:r>
        <w:r>
          <w:rPr>
            <w:noProof/>
            <w:webHidden/>
          </w:rPr>
          <w:instrText xml:space="preserve"> PAGEREF _Toc204179187 \h </w:instrText>
        </w:r>
        <w:r>
          <w:rPr>
            <w:noProof/>
            <w:webHidden/>
          </w:rPr>
        </w:r>
        <w:r>
          <w:rPr>
            <w:noProof/>
            <w:webHidden/>
          </w:rPr>
          <w:fldChar w:fldCharType="separate"/>
        </w:r>
        <w:r w:rsidR="00D024E8">
          <w:rPr>
            <w:noProof/>
            <w:webHidden/>
          </w:rPr>
          <w:t>190</w:t>
        </w:r>
        <w:r>
          <w:rPr>
            <w:noProof/>
            <w:webHidden/>
          </w:rPr>
          <w:fldChar w:fldCharType="end"/>
        </w:r>
      </w:hyperlink>
    </w:p>
    <w:p w14:paraId="72F378DC" w14:textId="15D1B95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8" w:history="1">
        <w:r w:rsidRPr="00CB0335">
          <w:rPr>
            <w:rStyle w:val="Hipercze"/>
            <w:noProof/>
          </w:rPr>
          <w:t>Wykres 42. Cele korzystania z Internetu w grupie osoby z niepełnosprawnościami (n=106)</w:t>
        </w:r>
        <w:r>
          <w:rPr>
            <w:noProof/>
            <w:webHidden/>
          </w:rPr>
          <w:tab/>
        </w:r>
        <w:r>
          <w:rPr>
            <w:noProof/>
            <w:webHidden/>
          </w:rPr>
          <w:fldChar w:fldCharType="begin"/>
        </w:r>
        <w:r>
          <w:rPr>
            <w:noProof/>
            <w:webHidden/>
          </w:rPr>
          <w:instrText xml:space="preserve"> PAGEREF _Toc204179188 \h </w:instrText>
        </w:r>
        <w:r>
          <w:rPr>
            <w:noProof/>
            <w:webHidden/>
          </w:rPr>
        </w:r>
        <w:r>
          <w:rPr>
            <w:noProof/>
            <w:webHidden/>
          </w:rPr>
          <w:fldChar w:fldCharType="separate"/>
        </w:r>
        <w:r w:rsidR="00D024E8">
          <w:rPr>
            <w:noProof/>
            <w:webHidden/>
          </w:rPr>
          <w:t>191</w:t>
        </w:r>
        <w:r>
          <w:rPr>
            <w:noProof/>
            <w:webHidden/>
          </w:rPr>
          <w:fldChar w:fldCharType="end"/>
        </w:r>
      </w:hyperlink>
    </w:p>
    <w:p w14:paraId="017084AA" w14:textId="14D1FD1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89" w:history="1">
        <w:r w:rsidRPr="00CB0335">
          <w:rPr>
            <w:rStyle w:val="Hipercze"/>
            <w:noProof/>
          </w:rPr>
          <w:t>Wykres 43. Rodzaje spraw załatwianych najczęściej online w grupie osoby z niepełnosprawnościami (n=106)</w:t>
        </w:r>
        <w:r>
          <w:rPr>
            <w:noProof/>
            <w:webHidden/>
          </w:rPr>
          <w:tab/>
        </w:r>
        <w:r>
          <w:rPr>
            <w:noProof/>
            <w:webHidden/>
          </w:rPr>
          <w:fldChar w:fldCharType="begin"/>
        </w:r>
        <w:r>
          <w:rPr>
            <w:noProof/>
            <w:webHidden/>
          </w:rPr>
          <w:instrText xml:space="preserve"> PAGEREF _Toc204179189 \h </w:instrText>
        </w:r>
        <w:r>
          <w:rPr>
            <w:noProof/>
            <w:webHidden/>
          </w:rPr>
        </w:r>
        <w:r>
          <w:rPr>
            <w:noProof/>
            <w:webHidden/>
          </w:rPr>
          <w:fldChar w:fldCharType="separate"/>
        </w:r>
        <w:r w:rsidR="00D024E8">
          <w:rPr>
            <w:noProof/>
            <w:webHidden/>
          </w:rPr>
          <w:t>192</w:t>
        </w:r>
        <w:r>
          <w:rPr>
            <w:noProof/>
            <w:webHidden/>
          </w:rPr>
          <w:fldChar w:fldCharType="end"/>
        </w:r>
      </w:hyperlink>
    </w:p>
    <w:p w14:paraId="549E213C" w14:textId="167BA375"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0" w:history="1">
        <w:r w:rsidRPr="00CB0335">
          <w:rPr>
            <w:rStyle w:val="Hipercze"/>
            <w:noProof/>
          </w:rPr>
          <w:t>Wykres 44. Korzystanie ze stron i aplikacji podmiotów publicznych w grupie osoby z niepełnosprawnościami (n=106)</w:t>
        </w:r>
        <w:r>
          <w:rPr>
            <w:noProof/>
            <w:webHidden/>
          </w:rPr>
          <w:tab/>
        </w:r>
        <w:r>
          <w:rPr>
            <w:noProof/>
            <w:webHidden/>
          </w:rPr>
          <w:fldChar w:fldCharType="begin"/>
        </w:r>
        <w:r>
          <w:rPr>
            <w:noProof/>
            <w:webHidden/>
          </w:rPr>
          <w:instrText xml:space="preserve"> PAGEREF _Toc204179190 \h </w:instrText>
        </w:r>
        <w:r>
          <w:rPr>
            <w:noProof/>
            <w:webHidden/>
          </w:rPr>
        </w:r>
        <w:r>
          <w:rPr>
            <w:noProof/>
            <w:webHidden/>
          </w:rPr>
          <w:fldChar w:fldCharType="separate"/>
        </w:r>
        <w:r w:rsidR="00D024E8">
          <w:rPr>
            <w:noProof/>
            <w:webHidden/>
          </w:rPr>
          <w:t>193</w:t>
        </w:r>
        <w:r>
          <w:rPr>
            <w:noProof/>
            <w:webHidden/>
          </w:rPr>
          <w:fldChar w:fldCharType="end"/>
        </w:r>
      </w:hyperlink>
    </w:p>
    <w:p w14:paraId="516DCC78" w14:textId="2C1272E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1" w:history="1">
        <w:r w:rsidRPr="00CB0335">
          <w:rPr>
            <w:rStyle w:val="Hipercze"/>
            <w:noProof/>
          </w:rPr>
          <w:t>Wykres 45. Sposób załatwiania spraw urzędowych w grupie osoby z niepełnosprawnościami (n=106)</w:t>
        </w:r>
        <w:r>
          <w:rPr>
            <w:noProof/>
            <w:webHidden/>
          </w:rPr>
          <w:tab/>
        </w:r>
        <w:r>
          <w:rPr>
            <w:noProof/>
            <w:webHidden/>
          </w:rPr>
          <w:fldChar w:fldCharType="begin"/>
        </w:r>
        <w:r>
          <w:rPr>
            <w:noProof/>
            <w:webHidden/>
          </w:rPr>
          <w:instrText xml:space="preserve"> PAGEREF _Toc204179191 \h </w:instrText>
        </w:r>
        <w:r>
          <w:rPr>
            <w:noProof/>
            <w:webHidden/>
          </w:rPr>
        </w:r>
        <w:r>
          <w:rPr>
            <w:noProof/>
            <w:webHidden/>
          </w:rPr>
          <w:fldChar w:fldCharType="separate"/>
        </w:r>
        <w:r w:rsidR="00D024E8">
          <w:rPr>
            <w:noProof/>
            <w:webHidden/>
          </w:rPr>
          <w:t>194</w:t>
        </w:r>
        <w:r>
          <w:rPr>
            <w:noProof/>
            <w:webHidden/>
          </w:rPr>
          <w:fldChar w:fldCharType="end"/>
        </w:r>
      </w:hyperlink>
    </w:p>
    <w:p w14:paraId="7C49FC72" w14:textId="25000DEB"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2" w:history="1">
        <w:r w:rsidRPr="00CB0335">
          <w:rPr>
            <w:rStyle w:val="Hipercze"/>
            <w:noProof/>
          </w:rPr>
          <w:t>Wykres 46. Sprawy regularnie załatwiane online za pośrednictwem stron podmiotów publicznych w grupie osoby z niepełnosprawnościami (n=106)</w:t>
        </w:r>
        <w:r>
          <w:rPr>
            <w:noProof/>
            <w:webHidden/>
          </w:rPr>
          <w:tab/>
        </w:r>
        <w:r>
          <w:rPr>
            <w:noProof/>
            <w:webHidden/>
          </w:rPr>
          <w:fldChar w:fldCharType="begin"/>
        </w:r>
        <w:r>
          <w:rPr>
            <w:noProof/>
            <w:webHidden/>
          </w:rPr>
          <w:instrText xml:space="preserve"> PAGEREF _Toc204179192 \h </w:instrText>
        </w:r>
        <w:r>
          <w:rPr>
            <w:noProof/>
            <w:webHidden/>
          </w:rPr>
        </w:r>
        <w:r>
          <w:rPr>
            <w:noProof/>
            <w:webHidden/>
          </w:rPr>
          <w:fldChar w:fldCharType="separate"/>
        </w:r>
        <w:r w:rsidR="00D024E8">
          <w:rPr>
            <w:noProof/>
            <w:webHidden/>
          </w:rPr>
          <w:t>195</w:t>
        </w:r>
        <w:r>
          <w:rPr>
            <w:noProof/>
            <w:webHidden/>
          </w:rPr>
          <w:fldChar w:fldCharType="end"/>
        </w:r>
      </w:hyperlink>
    </w:p>
    <w:p w14:paraId="3D668DFC" w14:textId="5D27AD32"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3" w:history="1">
        <w:r w:rsidRPr="00CB0335">
          <w:rPr>
            <w:rStyle w:val="Hipercze"/>
            <w:noProof/>
          </w:rPr>
          <w:t>Wykres 47. Strony podmiotów publicznych, z jakich najczęściej korzystają badani w grupie osoby z niepełnosprawnościami (n=106)</w:t>
        </w:r>
        <w:r>
          <w:rPr>
            <w:noProof/>
            <w:webHidden/>
          </w:rPr>
          <w:tab/>
        </w:r>
        <w:r>
          <w:rPr>
            <w:noProof/>
            <w:webHidden/>
          </w:rPr>
          <w:fldChar w:fldCharType="begin"/>
        </w:r>
        <w:r>
          <w:rPr>
            <w:noProof/>
            <w:webHidden/>
          </w:rPr>
          <w:instrText xml:space="preserve"> PAGEREF _Toc204179193 \h </w:instrText>
        </w:r>
        <w:r>
          <w:rPr>
            <w:noProof/>
            <w:webHidden/>
          </w:rPr>
        </w:r>
        <w:r>
          <w:rPr>
            <w:noProof/>
            <w:webHidden/>
          </w:rPr>
          <w:fldChar w:fldCharType="separate"/>
        </w:r>
        <w:r w:rsidR="00D024E8">
          <w:rPr>
            <w:noProof/>
            <w:webHidden/>
          </w:rPr>
          <w:t>196</w:t>
        </w:r>
        <w:r>
          <w:rPr>
            <w:noProof/>
            <w:webHidden/>
          </w:rPr>
          <w:fldChar w:fldCharType="end"/>
        </w:r>
      </w:hyperlink>
    </w:p>
    <w:p w14:paraId="2261DE08" w14:textId="226349CE"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4" w:history="1">
        <w:r w:rsidRPr="00CB0335">
          <w:rPr>
            <w:rStyle w:val="Hipercze"/>
            <w:noProof/>
          </w:rPr>
          <w:t>Wykres 48. Aplikacje mobilne podmiotów publicznych, z których najczęściej korzystają badani w grupie osoby z niepełnosprawnościami (n=106)</w:t>
        </w:r>
        <w:r>
          <w:rPr>
            <w:noProof/>
            <w:webHidden/>
          </w:rPr>
          <w:tab/>
        </w:r>
        <w:r>
          <w:rPr>
            <w:noProof/>
            <w:webHidden/>
          </w:rPr>
          <w:fldChar w:fldCharType="begin"/>
        </w:r>
        <w:r>
          <w:rPr>
            <w:noProof/>
            <w:webHidden/>
          </w:rPr>
          <w:instrText xml:space="preserve"> PAGEREF _Toc204179194 \h </w:instrText>
        </w:r>
        <w:r>
          <w:rPr>
            <w:noProof/>
            <w:webHidden/>
          </w:rPr>
        </w:r>
        <w:r>
          <w:rPr>
            <w:noProof/>
            <w:webHidden/>
          </w:rPr>
          <w:fldChar w:fldCharType="separate"/>
        </w:r>
        <w:r w:rsidR="00D024E8">
          <w:rPr>
            <w:noProof/>
            <w:webHidden/>
          </w:rPr>
          <w:t>201</w:t>
        </w:r>
        <w:r>
          <w:rPr>
            <w:noProof/>
            <w:webHidden/>
          </w:rPr>
          <w:fldChar w:fldCharType="end"/>
        </w:r>
      </w:hyperlink>
    </w:p>
    <w:p w14:paraId="1F8F9873" w14:textId="26887841"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5" w:history="1">
        <w:r w:rsidRPr="00CB0335">
          <w:rPr>
            <w:rStyle w:val="Hipercze"/>
            <w:noProof/>
          </w:rPr>
          <w:t>Wykres 49. Sposoby radzenia sobie z trudnościami technicznymi w obsłudze stron i aplikacji w grupie osoby z niepełnosprawnościami (n=106)</w:t>
        </w:r>
        <w:r>
          <w:rPr>
            <w:noProof/>
            <w:webHidden/>
          </w:rPr>
          <w:tab/>
        </w:r>
        <w:r>
          <w:rPr>
            <w:noProof/>
            <w:webHidden/>
          </w:rPr>
          <w:fldChar w:fldCharType="begin"/>
        </w:r>
        <w:r>
          <w:rPr>
            <w:noProof/>
            <w:webHidden/>
          </w:rPr>
          <w:instrText xml:space="preserve"> PAGEREF _Toc204179195 \h </w:instrText>
        </w:r>
        <w:r>
          <w:rPr>
            <w:noProof/>
            <w:webHidden/>
          </w:rPr>
        </w:r>
        <w:r>
          <w:rPr>
            <w:noProof/>
            <w:webHidden/>
          </w:rPr>
          <w:fldChar w:fldCharType="separate"/>
        </w:r>
        <w:r w:rsidR="00D024E8">
          <w:rPr>
            <w:noProof/>
            <w:webHidden/>
          </w:rPr>
          <w:t>209</w:t>
        </w:r>
        <w:r>
          <w:rPr>
            <w:noProof/>
            <w:webHidden/>
          </w:rPr>
          <w:fldChar w:fldCharType="end"/>
        </w:r>
      </w:hyperlink>
    </w:p>
    <w:p w14:paraId="62D82873" w14:textId="14D7395E"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6" w:history="1">
        <w:r w:rsidRPr="00CB0335">
          <w:rPr>
            <w:rStyle w:val="Hipercze"/>
            <w:noProof/>
          </w:rPr>
          <w:t>Wykres 50. Wiedza o tym, że każdy podmiot publiczny musi przygotowywać i publikować na swojej stronie deklarację dostępności w grupie osoby z niepełnosprawnościami (n=106)</w:t>
        </w:r>
        <w:r>
          <w:rPr>
            <w:noProof/>
            <w:webHidden/>
          </w:rPr>
          <w:tab/>
        </w:r>
        <w:r>
          <w:rPr>
            <w:noProof/>
            <w:webHidden/>
          </w:rPr>
          <w:fldChar w:fldCharType="begin"/>
        </w:r>
        <w:r>
          <w:rPr>
            <w:noProof/>
            <w:webHidden/>
          </w:rPr>
          <w:instrText xml:space="preserve"> PAGEREF _Toc204179196 \h </w:instrText>
        </w:r>
        <w:r>
          <w:rPr>
            <w:noProof/>
            <w:webHidden/>
          </w:rPr>
        </w:r>
        <w:r>
          <w:rPr>
            <w:noProof/>
            <w:webHidden/>
          </w:rPr>
          <w:fldChar w:fldCharType="separate"/>
        </w:r>
        <w:r w:rsidR="00D024E8">
          <w:rPr>
            <w:noProof/>
            <w:webHidden/>
          </w:rPr>
          <w:t>210</w:t>
        </w:r>
        <w:r>
          <w:rPr>
            <w:noProof/>
            <w:webHidden/>
          </w:rPr>
          <w:fldChar w:fldCharType="end"/>
        </w:r>
      </w:hyperlink>
    </w:p>
    <w:p w14:paraId="1994B838" w14:textId="5C100757"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7" w:history="1">
        <w:r w:rsidRPr="00CB0335">
          <w:rPr>
            <w:rStyle w:val="Hipercze"/>
            <w:noProof/>
          </w:rPr>
          <w:t>Wykres 51. Wielkość miejsca zamieszkania w grupie osoby 60+ (n=100)</w:t>
        </w:r>
        <w:r>
          <w:rPr>
            <w:noProof/>
            <w:webHidden/>
          </w:rPr>
          <w:tab/>
        </w:r>
        <w:r>
          <w:rPr>
            <w:noProof/>
            <w:webHidden/>
          </w:rPr>
          <w:fldChar w:fldCharType="begin"/>
        </w:r>
        <w:r>
          <w:rPr>
            <w:noProof/>
            <w:webHidden/>
          </w:rPr>
          <w:instrText xml:space="preserve"> PAGEREF _Toc204179197 \h </w:instrText>
        </w:r>
        <w:r>
          <w:rPr>
            <w:noProof/>
            <w:webHidden/>
          </w:rPr>
        </w:r>
        <w:r>
          <w:rPr>
            <w:noProof/>
            <w:webHidden/>
          </w:rPr>
          <w:fldChar w:fldCharType="separate"/>
        </w:r>
        <w:r w:rsidR="00D024E8">
          <w:rPr>
            <w:noProof/>
            <w:webHidden/>
          </w:rPr>
          <w:t>214</w:t>
        </w:r>
        <w:r>
          <w:rPr>
            <w:noProof/>
            <w:webHidden/>
          </w:rPr>
          <w:fldChar w:fldCharType="end"/>
        </w:r>
      </w:hyperlink>
    </w:p>
    <w:p w14:paraId="796BFA28" w14:textId="71C35B9A"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8" w:history="1">
        <w:r w:rsidRPr="00CB0335">
          <w:rPr>
            <w:rStyle w:val="Hipercze"/>
            <w:noProof/>
          </w:rPr>
          <w:t>Wykres 52. Status na rynku pracy w grupie osoby 60+ (n=100)</w:t>
        </w:r>
        <w:r>
          <w:rPr>
            <w:noProof/>
            <w:webHidden/>
          </w:rPr>
          <w:tab/>
        </w:r>
        <w:r>
          <w:rPr>
            <w:noProof/>
            <w:webHidden/>
          </w:rPr>
          <w:fldChar w:fldCharType="begin"/>
        </w:r>
        <w:r>
          <w:rPr>
            <w:noProof/>
            <w:webHidden/>
          </w:rPr>
          <w:instrText xml:space="preserve"> PAGEREF _Toc204179198 \h </w:instrText>
        </w:r>
        <w:r>
          <w:rPr>
            <w:noProof/>
            <w:webHidden/>
          </w:rPr>
        </w:r>
        <w:r>
          <w:rPr>
            <w:noProof/>
            <w:webHidden/>
          </w:rPr>
          <w:fldChar w:fldCharType="separate"/>
        </w:r>
        <w:r w:rsidR="00D024E8">
          <w:rPr>
            <w:noProof/>
            <w:webHidden/>
          </w:rPr>
          <w:t>215</w:t>
        </w:r>
        <w:r>
          <w:rPr>
            <w:noProof/>
            <w:webHidden/>
          </w:rPr>
          <w:fldChar w:fldCharType="end"/>
        </w:r>
      </w:hyperlink>
    </w:p>
    <w:p w14:paraId="3E68CB1D" w14:textId="2032D34D"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199" w:history="1">
        <w:r w:rsidRPr="00CB0335">
          <w:rPr>
            <w:rStyle w:val="Hipercze"/>
            <w:noProof/>
          </w:rPr>
          <w:t>Wykres 53. Częstotliwość korzystania z Internetu w grupie osoby 60+ (n=100)</w:t>
        </w:r>
        <w:r>
          <w:rPr>
            <w:noProof/>
            <w:webHidden/>
          </w:rPr>
          <w:tab/>
        </w:r>
        <w:r>
          <w:rPr>
            <w:noProof/>
            <w:webHidden/>
          </w:rPr>
          <w:fldChar w:fldCharType="begin"/>
        </w:r>
        <w:r>
          <w:rPr>
            <w:noProof/>
            <w:webHidden/>
          </w:rPr>
          <w:instrText xml:space="preserve"> PAGEREF _Toc204179199 \h </w:instrText>
        </w:r>
        <w:r>
          <w:rPr>
            <w:noProof/>
            <w:webHidden/>
          </w:rPr>
        </w:r>
        <w:r>
          <w:rPr>
            <w:noProof/>
            <w:webHidden/>
          </w:rPr>
          <w:fldChar w:fldCharType="separate"/>
        </w:r>
        <w:r w:rsidR="00D024E8">
          <w:rPr>
            <w:noProof/>
            <w:webHidden/>
          </w:rPr>
          <w:t>216</w:t>
        </w:r>
        <w:r>
          <w:rPr>
            <w:noProof/>
            <w:webHidden/>
          </w:rPr>
          <w:fldChar w:fldCharType="end"/>
        </w:r>
      </w:hyperlink>
    </w:p>
    <w:p w14:paraId="5544F7AB" w14:textId="2C86153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200" w:history="1">
        <w:r w:rsidRPr="00CB0335">
          <w:rPr>
            <w:rStyle w:val="Hipercze"/>
            <w:noProof/>
          </w:rPr>
          <w:t>Wykres 54. Cele korzystania z Internetu w grupie osoby 60+ (n=100)</w:t>
        </w:r>
        <w:r>
          <w:rPr>
            <w:noProof/>
            <w:webHidden/>
          </w:rPr>
          <w:tab/>
        </w:r>
        <w:r>
          <w:rPr>
            <w:noProof/>
            <w:webHidden/>
          </w:rPr>
          <w:fldChar w:fldCharType="begin"/>
        </w:r>
        <w:r>
          <w:rPr>
            <w:noProof/>
            <w:webHidden/>
          </w:rPr>
          <w:instrText xml:space="preserve"> PAGEREF _Toc204179200 \h </w:instrText>
        </w:r>
        <w:r>
          <w:rPr>
            <w:noProof/>
            <w:webHidden/>
          </w:rPr>
        </w:r>
        <w:r>
          <w:rPr>
            <w:noProof/>
            <w:webHidden/>
          </w:rPr>
          <w:fldChar w:fldCharType="separate"/>
        </w:r>
        <w:r w:rsidR="00D024E8">
          <w:rPr>
            <w:noProof/>
            <w:webHidden/>
          </w:rPr>
          <w:t>217</w:t>
        </w:r>
        <w:r>
          <w:rPr>
            <w:noProof/>
            <w:webHidden/>
          </w:rPr>
          <w:fldChar w:fldCharType="end"/>
        </w:r>
      </w:hyperlink>
    </w:p>
    <w:p w14:paraId="51DE36AF" w14:textId="1AD03B8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201" w:history="1">
        <w:r w:rsidRPr="00CB0335">
          <w:rPr>
            <w:rStyle w:val="Hipercze"/>
            <w:noProof/>
          </w:rPr>
          <w:t>Wykres 55. Rodzaje spraw załatwianych najczęściej online w grupie osoby 60+ (n=100)</w:t>
        </w:r>
        <w:r>
          <w:rPr>
            <w:noProof/>
            <w:webHidden/>
          </w:rPr>
          <w:tab/>
        </w:r>
        <w:r>
          <w:rPr>
            <w:noProof/>
            <w:webHidden/>
          </w:rPr>
          <w:fldChar w:fldCharType="begin"/>
        </w:r>
        <w:r>
          <w:rPr>
            <w:noProof/>
            <w:webHidden/>
          </w:rPr>
          <w:instrText xml:space="preserve"> PAGEREF _Toc204179201 \h </w:instrText>
        </w:r>
        <w:r>
          <w:rPr>
            <w:noProof/>
            <w:webHidden/>
          </w:rPr>
        </w:r>
        <w:r>
          <w:rPr>
            <w:noProof/>
            <w:webHidden/>
          </w:rPr>
          <w:fldChar w:fldCharType="separate"/>
        </w:r>
        <w:r w:rsidR="00D024E8">
          <w:rPr>
            <w:noProof/>
            <w:webHidden/>
          </w:rPr>
          <w:t>218</w:t>
        </w:r>
        <w:r>
          <w:rPr>
            <w:noProof/>
            <w:webHidden/>
          </w:rPr>
          <w:fldChar w:fldCharType="end"/>
        </w:r>
      </w:hyperlink>
    </w:p>
    <w:p w14:paraId="54E4B010" w14:textId="7516FABC"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202" w:history="1">
        <w:r w:rsidRPr="00CB0335">
          <w:rPr>
            <w:rStyle w:val="Hipercze"/>
            <w:noProof/>
          </w:rPr>
          <w:t>Wykres 56. Korzystanie ze stron i aplikacji podmiotów publicznych w grupie osoby 60+ (n=100)</w:t>
        </w:r>
        <w:r>
          <w:rPr>
            <w:noProof/>
            <w:webHidden/>
          </w:rPr>
          <w:tab/>
        </w:r>
        <w:r>
          <w:rPr>
            <w:noProof/>
            <w:webHidden/>
          </w:rPr>
          <w:fldChar w:fldCharType="begin"/>
        </w:r>
        <w:r>
          <w:rPr>
            <w:noProof/>
            <w:webHidden/>
          </w:rPr>
          <w:instrText xml:space="preserve"> PAGEREF _Toc204179202 \h </w:instrText>
        </w:r>
        <w:r>
          <w:rPr>
            <w:noProof/>
            <w:webHidden/>
          </w:rPr>
        </w:r>
        <w:r>
          <w:rPr>
            <w:noProof/>
            <w:webHidden/>
          </w:rPr>
          <w:fldChar w:fldCharType="separate"/>
        </w:r>
        <w:r w:rsidR="00D024E8">
          <w:rPr>
            <w:noProof/>
            <w:webHidden/>
          </w:rPr>
          <w:t>219</w:t>
        </w:r>
        <w:r>
          <w:rPr>
            <w:noProof/>
            <w:webHidden/>
          </w:rPr>
          <w:fldChar w:fldCharType="end"/>
        </w:r>
      </w:hyperlink>
    </w:p>
    <w:p w14:paraId="64434381" w14:textId="1B22EBC9"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203" w:history="1">
        <w:r w:rsidRPr="00CB0335">
          <w:rPr>
            <w:rStyle w:val="Hipercze"/>
            <w:noProof/>
          </w:rPr>
          <w:t>Wykres 57. Sposób załatwiania spraw urzędowych w grupie osoby 60+ (n=100)</w:t>
        </w:r>
        <w:r>
          <w:rPr>
            <w:noProof/>
            <w:webHidden/>
          </w:rPr>
          <w:tab/>
        </w:r>
        <w:r>
          <w:rPr>
            <w:noProof/>
            <w:webHidden/>
          </w:rPr>
          <w:fldChar w:fldCharType="begin"/>
        </w:r>
        <w:r>
          <w:rPr>
            <w:noProof/>
            <w:webHidden/>
          </w:rPr>
          <w:instrText xml:space="preserve"> PAGEREF _Toc204179203 \h </w:instrText>
        </w:r>
        <w:r>
          <w:rPr>
            <w:noProof/>
            <w:webHidden/>
          </w:rPr>
        </w:r>
        <w:r>
          <w:rPr>
            <w:noProof/>
            <w:webHidden/>
          </w:rPr>
          <w:fldChar w:fldCharType="separate"/>
        </w:r>
        <w:r w:rsidR="00D024E8">
          <w:rPr>
            <w:noProof/>
            <w:webHidden/>
          </w:rPr>
          <w:t>220</w:t>
        </w:r>
        <w:r>
          <w:rPr>
            <w:noProof/>
            <w:webHidden/>
          </w:rPr>
          <w:fldChar w:fldCharType="end"/>
        </w:r>
      </w:hyperlink>
    </w:p>
    <w:p w14:paraId="0381A913" w14:textId="59326B14"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204" w:history="1">
        <w:r w:rsidRPr="00CB0335">
          <w:rPr>
            <w:rStyle w:val="Hipercze"/>
            <w:noProof/>
          </w:rPr>
          <w:t>Wykres 58. Sprawy regularnie załatwiane online za pośrednictwem stron podmiotów publicznych w grupie osoby 60+ (n=100)</w:t>
        </w:r>
        <w:r>
          <w:rPr>
            <w:noProof/>
            <w:webHidden/>
          </w:rPr>
          <w:tab/>
        </w:r>
        <w:r>
          <w:rPr>
            <w:noProof/>
            <w:webHidden/>
          </w:rPr>
          <w:fldChar w:fldCharType="begin"/>
        </w:r>
        <w:r>
          <w:rPr>
            <w:noProof/>
            <w:webHidden/>
          </w:rPr>
          <w:instrText xml:space="preserve"> PAGEREF _Toc204179204 \h </w:instrText>
        </w:r>
        <w:r>
          <w:rPr>
            <w:noProof/>
            <w:webHidden/>
          </w:rPr>
        </w:r>
        <w:r>
          <w:rPr>
            <w:noProof/>
            <w:webHidden/>
          </w:rPr>
          <w:fldChar w:fldCharType="separate"/>
        </w:r>
        <w:r w:rsidR="00D024E8">
          <w:rPr>
            <w:noProof/>
            <w:webHidden/>
          </w:rPr>
          <w:t>221</w:t>
        </w:r>
        <w:r>
          <w:rPr>
            <w:noProof/>
            <w:webHidden/>
          </w:rPr>
          <w:fldChar w:fldCharType="end"/>
        </w:r>
      </w:hyperlink>
    </w:p>
    <w:p w14:paraId="203FDF06" w14:textId="1C2C2D91"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205" w:history="1">
        <w:r w:rsidRPr="00CB0335">
          <w:rPr>
            <w:rStyle w:val="Hipercze"/>
            <w:noProof/>
          </w:rPr>
          <w:t>Wykres 59. Strony podmiotów publicznych, z jakich najczęściej korzystają badani w grupie osoby 60+ (n=100)</w:t>
        </w:r>
        <w:r>
          <w:rPr>
            <w:noProof/>
            <w:webHidden/>
          </w:rPr>
          <w:tab/>
        </w:r>
        <w:r>
          <w:rPr>
            <w:noProof/>
            <w:webHidden/>
          </w:rPr>
          <w:fldChar w:fldCharType="begin"/>
        </w:r>
        <w:r>
          <w:rPr>
            <w:noProof/>
            <w:webHidden/>
          </w:rPr>
          <w:instrText xml:space="preserve"> PAGEREF _Toc204179205 \h </w:instrText>
        </w:r>
        <w:r>
          <w:rPr>
            <w:noProof/>
            <w:webHidden/>
          </w:rPr>
        </w:r>
        <w:r>
          <w:rPr>
            <w:noProof/>
            <w:webHidden/>
          </w:rPr>
          <w:fldChar w:fldCharType="separate"/>
        </w:r>
        <w:r w:rsidR="00D024E8">
          <w:rPr>
            <w:noProof/>
            <w:webHidden/>
          </w:rPr>
          <w:t>222</w:t>
        </w:r>
        <w:r>
          <w:rPr>
            <w:noProof/>
            <w:webHidden/>
          </w:rPr>
          <w:fldChar w:fldCharType="end"/>
        </w:r>
      </w:hyperlink>
    </w:p>
    <w:p w14:paraId="4D5BA798" w14:textId="3D5CFD85"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206" w:history="1">
        <w:r w:rsidRPr="00CB0335">
          <w:rPr>
            <w:rStyle w:val="Hipercze"/>
            <w:noProof/>
          </w:rPr>
          <w:t>Wykres 60. Aplikacje mobilne podmiotów publicznych, z których najczęściej korzystają badani w grupie osoby 60+ (n=100)</w:t>
        </w:r>
        <w:r>
          <w:rPr>
            <w:noProof/>
            <w:webHidden/>
          </w:rPr>
          <w:tab/>
        </w:r>
        <w:r>
          <w:rPr>
            <w:noProof/>
            <w:webHidden/>
          </w:rPr>
          <w:fldChar w:fldCharType="begin"/>
        </w:r>
        <w:r>
          <w:rPr>
            <w:noProof/>
            <w:webHidden/>
          </w:rPr>
          <w:instrText xml:space="preserve"> PAGEREF _Toc204179206 \h </w:instrText>
        </w:r>
        <w:r>
          <w:rPr>
            <w:noProof/>
            <w:webHidden/>
          </w:rPr>
        </w:r>
        <w:r>
          <w:rPr>
            <w:noProof/>
            <w:webHidden/>
          </w:rPr>
          <w:fldChar w:fldCharType="separate"/>
        </w:r>
        <w:r w:rsidR="00D024E8">
          <w:rPr>
            <w:noProof/>
            <w:webHidden/>
          </w:rPr>
          <w:t>227</w:t>
        </w:r>
        <w:r>
          <w:rPr>
            <w:noProof/>
            <w:webHidden/>
          </w:rPr>
          <w:fldChar w:fldCharType="end"/>
        </w:r>
      </w:hyperlink>
    </w:p>
    <w:p w14:paraId="503957D2" w14:textId="1C314400"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207" w:history="1">
        <w:r w:rsidRPr="00CB0335">
          <w:rPr>
            <w:rStyle w:val="Hipercze"/>
            <w:noProof/>
          </w:rPr>
          <w:t>Wykres 61. Sposoby radzenia sobie z trudnościami technicznymi w obsłudze stron i aplikacji w grupie osoby 60+ (n=100)</w:t>
        </w:r>
        <w:r>
          <w:rPr>
            <w:noProof/>
            <w:webHidden/>
          </w:rPr>
          <w:tab/>
        </w:r>
        <w:r>
          <w:rPr>
            <w:noProof/>
            <w:webHidden/>
          </w:rPr>
          <w:fldChar w:fldCharType="begin"/>
        </w:r>
        <w:r>
          <w:rPr>
            <w:noProof/>
            <w:webHidden/>
          </w:rPr>
          <w:instrText xml:space="preserve"> PAGEREF _Toc204179207 \h </w:instrText>
        </w:r>
        <w:r>
          <w:rPr>
            <w:noProof/>
            <w:webHidden/>
          </w:rPr>
        </w:r>
        <w:r>
          <w:rPr>
            <w:noProof/>
            <w:webHidden/>
          </w:rPr>
          <w:fldChar w:fldCharType="separate"/>
        </w:r>
        <w:r w:rsidR="00D024E8">
          <w:rPr>
            <w:noProof/>
            <w:webHidden/>
          </w:rPr>
          <w:t>234</w:t>
        </w:r>
        <w:r>
          <w:rPr>
            <w:noProof/>
            <w:webHidden/>
          </w:rPr>
          <w:fldChar w:fldCharType="end"/>
        </w:r>
      </w:hyperlink>
    </w:p>
    <w:p w14:paraId="42EAF8D1" w14:textId="554D78C3" w:rsidR="00C565B4" w:rsidRDefault="00C565B4">
      <w:pPr>
        <w:pStyle w:val="Spisilustracji"/>
        <w:tabs>
          <w:tab w:val="right" w:leader="dot" w:pos="9350"/>
        </w:tabs>
        <w:rPr>
          <w:rFonts w:eastAsiaTheme="minorEastAsia"/>
          <w:noProof/>
          <w:kern w:val="2"/>
          <w:szCs w:val="24"/>
          <w:lang w:val="en-US"/>
          <w14:ligatures w14:val="standardContextual"/>
        </w:rPr>
      </w:pPr>
      <w:hyperlink w:anchor="_Toc204179208" w:history="1">
        <w:r w:rsidRPr="00CB0335">
          <w:rPr>
            <w:rStyle w:val="Hipercze"/>
            <w:noProof/>
          </w:rPr>
          <w:t>Wykres 62. Wiedza o tym, że każdy podmiot publiczny musi przygotowywać i publikować na swojej stronie deklarację dostępności w grupie osoby 60+ (n=100)</w:t>
        </w:r>
        <w:r>
          <w:rPr>
            <w:noProof/>
            <w:webHidden/>
          </w:rPr>
          <w:tab/>
        </w:r>
        <w:r>
          <w:rPr>
            <w:noProof/>
            <w:webHidden/>
          </w:rPr>
          <w:fldChar w:fldCharType="begin"/>
        </w:r>
        <w:r>
          <w:rPr>
            <w:noProof/>
            <w:webHidden/>
          </w:rPr>
          <w:instrText xml:space="preserve"> PAGEREF _Toc204179208 \h </w:instrText>
        </w:r>
        <w:r>
          <w:rPr>
            <w:noProof/>
            <w:webHidden/>
          </w:rPr>
        </w:r>
        <w:r>
          <w:rPr>
            <w:noProof/>
            <w:webHidden/>
          </w:rPr>
          <w:fldChar w:fldCharType="separate"/>
        </w:r>
        <w:r w:rsidR="00D024E8">
          <w:rPr>
            <w:noProof/>
            <w:webHidden/>
          </w:rPr>
          <w:t>235</w:t>
        </w:r>
        <w:r>
          <w:rPr>
            <w:noProof/>
            <w:webHidden/>
          </w:rPr>
          <w:fldChar w:fldCharType="end"/>
        </w:r>
      </w:hyperlink>
    </w:p>
    <w:p w14:paraId="7B088B51" w14:textId="50B5BB09" w:rsidR="00412A8D" w:rsidRDefault="00412A8D" w:rsidP="007E26B5">
      <w:r w:rsidRPr="00BF6615">
        <w:fldChar w:fldCharType="end"/>
      </w:r>
    </w:p>
    <w:p w14:paraId="501BBB52" w14:textId="21F26C63" w:rsidR="003440E5" w:rsidRDefault="003440E5" w:rsidP="003440E5">
      <w:pPr>
        <w:pStyle w:val="Nagwek1"/>
      </w:pPr>
      <w:bookmarkStart w:id="307" w:name="_Toc204179306"/>
      <w:r>
        <w:lastRenderedPageBreak/>
        <w:t>Załączniki</w:t>
      </w:r>
      <w:bookmarkEnd w:id="307"/>
    </w:p>
    <w:p w14:paraId="2329B2B5" w14:textId="792E8B17" w:rsidR="003440E5" w:rsidRDefault="003440E5" w:rsidP="003440E5">
      <w:pPr>
        <w:pStyle w:val="Nagwek2"/>
      </w:pPr>
      <w:bookmarkStart w:id="308" w:name="_Toc204179307"/>
      <w:r>
        <w:t>Narzędzia badawcze</w:t>
      </w:r>
      <w:bookmarkEnd w:id="308"/>
    </w:p>
    <w:p w14:paraId="78B8C0F7" w14:textId="4D8B73B9" w:rsidR="003440E5" w:rsidRDefault="003440E5" w:rsidP="00352609">
      <w:pPr>
        <w:pStyle w:val="Nagwek3"/>
        <w:numPr>
          <w:ilvl w:val="1"/>
          <w:numId w:val="6"/>
        </w:numPr>
      </w:pPr>
      <w:bookmarkStart w:id="309" w:name="_Toc204179308"/>
      <w:r>
        <w:t>Arkusz obserwacji użytkownika</w:t>
      </w:r>
      <w:bookmarkEnd w:id="309"/>
    </w:p>
    <w:p w14:paraId="4C60FEBF" w14:textId="5D43334E" w:rsidR="003440E5" w:rsidRDefault="00F047E5" w:rsidP="003440E5">
      <w:r>
        <w:t xml:space="preserve">Arkusz obserwacji stanowi </w:t>
      </w:r>
      <w:r w:rsidRPr="00F047E5">
        <w:t>odrębny uzupełniający do raportu dokument</w:t>
      </w:r>
      <w:r w:rsidR="003440E5">
        <w:t xml:space="preserve">. </w:t>
      </w:r>
    </w:p>
    <w:p w14:paraId="05141DD6" w14:textId="0E7C20EA" w:rsidR="003440E5" w:rsidRDefault="003440E5" w:rsidP="00352609">
      <w:pPr>
        <w:pStyle w:val="Nagwek3"/>
        <w:numPr>
          <w:ilvl w:val="1"/>
          <w:numId w:val="6"/>
        </w:numPr>
      </w:pPr>
      <w:bookmarkStart w:id="310" w:name="_Toc204179309"/>
      <w:r>
        <w:t>Scenariusz pogłębionego wywiadu indywidualnego</w:t>
      </w:r>
      <w:bookmarkEnd w:id="310"/>
    </w:p>
    <w:p w14:paraId="6FC95E53" w14:textId="761419B7" w:rsidR="003440E5" w:rsidRPr="003440E5" w:rsidRDefault="003440E5" w:rsidP="003440E5">
      <w:r>
        <w:t xml:space="preserve">Scenariusz </w:t>
      </w:r>
      <w:r w:rsidR="00F047E5">
        <w:t xml:space="preserve">stanowi </w:t>
      </w:r>
      <w:r w:rsidR="00F047E5" w:rsidRPr="00F047E5">
        <w:t>odrębny uzupełniający do raportu dokument</w:t>
      </w:r>
      <w:r w:rsidR="00F047E5">
        <w:t xml:space="preserve">. </w:t>
      </w:r>
      <w:r>
        <w:t xml:space="preserve"> </w:t>
      </w:r>
    </w:p>
    <w:p w14:paraId="63C986BC" w14:textId="031FBB71" w:rsidR="003440E5" w:rsidRDefault="003440E5" w:rsidP="00352609">
      <w:pPr>
        <w:pStyle w:val="Nagwek3"/>
        <w:numPr>
          <w:ilvl w:val="1"/>
          <w:numId w:val="6"/>
        </w:numPr>
      </w:pPr>
      <w:bookmarkStart w:id="311" w:name="_Toc204179310"/>
      <w:r>
        <w:t>Kwestionariusz wywiadu bezpośredniego</w:t>
      </w:r>
      <w:bookmarkEnd w:id="311"/>
    </w:p>
    <w:p w14:paraId="4542CDC3" w14:textId="7C2B6E46" w:rsidR="003440E5" w:rsidRPr="003440E5" w:rsidRDefault="003440E5" w:rsidP="003440E5">
      <w:r>
        <w:t xml:space="preserve">Kwestionariusz </w:t>
      </w:r>
      <w:r w:rsidR="00F047E5">
        <w:t xml:space="preserve">stanowi </w:t>
      </w:r>
      <w:r w:rsidR="00F047E5" w:rsidRPr="00F047E5">
        <w:t>odrębny uzupełniający do raportu dokument</w:t>
      </w:r>
      <w:r w:rsidR="00F047E5">
        <w:t xml:space="preserve">. </w:t>
      </w:r>
    </w:p>
    <w:p w14:paraId="25B76AC3" w14:textId="28CD736C" w:rsidR="003440E5" w:rsidRDefault="003440E5" w:rsidP="00352609">
      <w:pPr>
        <w:pStyle w:val="Nagwek3"/>
        <w:numPr>
          <w:ilvl w:val="1"/>
          <w:numId w:val="6"/>
        </w:numPr>
      </w:pPr>
      <w:bookmarkStart w:id="312" w:name="_Toc204179311"/>
      <w:r>
        <w:t>Scenariusze testów</w:t>
      </w:r>
      <w:bookmarkEnd w:id="312"/>
    </w:p>
    <w:p w14:paraId="0887785C" w14:textId="293269BE" w:rsidR="003440E5" w:rsidRPr="003440E5" w:rsidRDefault="003440E5" w:rsidP="003440E5">
      <w:r>
        <w:t xml:space="preserve">Scenariusze testów </w:t>
      </w:r>
      <w:r w:rsidR="00F047E5">
        <w:t xml:space="preserve">stanowią </w:t>
      </w:r>
      <w:r w:rsidR="00F047E5" w:rsidRPr="00F047E5">
        <w:t>odrębn</w:t>
      </w:r>
      <w:r w:rsidR="00F047E5">
        <w:t>e</w:t>
      </w:r>
      <w:r w:rsidR="00F047E5" w:rsidRPr="00F047E5">
        <w:t xml:space="preserve"> uzupełniając</w:t>
      </w:r>
      <w:r w:rsidR="00F047E5">
        <w:t>e</w:t>
      </w:r>
      <w:r w:rsidR="00F047E5" w:rsidRPr="00F047E5">
        <w:t xml:space="preserve"> do raportu dokument</w:t>
      </w:r>
      <w:r w:rsidR="00F047E5">
        <w:t xml:space="preserve">y. </w:t>
      </w:r>
    </w:p>
    <w:p w14:paraId="13C7AF56" w14:textId="77777777" w:rsidR="003440E5" w:rsidRPr="003440E5" w:rsidRDefault="003440E5" w:rsidP="003440E5"/>
    <w:sectPr w:rsidR="003440E5" w:rsidRPr="003440E5" w:rsidSect="00D520B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79AB2" w14:textId="77777777" w:rsidR="00C42A71" w:rsidRDefault="00C42A71" w:rsidP="00D2492D">
      <w:pPr>
        <w:spacing w:after="0" w:line="240" w:lineRule="auto"/>
      </w:pPr>
      <w:r>
        <w:separator/>
      </w:r>
    </w:p>
  </w:endnote>
  <w:endnote w:type="continuationSeparator" w:id="0">
    <w:p w14:paraId="5EA9992D" w14:textId="77777777" w:rsidR="00C42A71" w:rsidRDefault="00C42A71" w:rsidP="00D2492D">
      <w:pPr>
        <w:spacing w:after="0" w:line="240" w:lineRule="auto"/>
      </w:pPr>
      <w:r>
        <w:continuationSeparator/>
      </w:r>
    </w:p>
  </w:endnote>
  <w:endnote w:type="continuationNotice" w:id="1">
    <w:p w14:paraId="0A8CD45A" w14:textId="77777777" w:rsidR="00C42A71" w:rsidRDefault="00C42A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511550"/>
      <w:docPartObj>
        <w:docPartGallery w:val="Page Numbers (Bottom of Page)"/>
        <w:docPartUnique/>
      </w:docPartObj>
    </w:sdtPr>
    <w:sdtContent>
      <w:p w14:paraId="273A2F28" w14:textId="68E46275" w:rsidR="00294112" w:rsidRDefault="00294112">
        <w:pPr>
          <w:pStyle w:val="Stopka"/>
          <w:jc w:val="right"/>
        </w:pPr>
        <w:r>
          <w:fldChar w:fldCharType="begin"/>
        </w:r>
        <w:r>
          <w:instrText>PAGE   \* MERGEFORMAT</w:instrText>
        </w:r>
        <w:r>
          <w:fldChar w:fldCharType="separate"/>
        </w:r>
        <w:r w:rsidR="0035713A">
          <w:rPr>
            <w:noProof/>
          </w:rPr>
          <w:t>30</w:t>
        </w:r>
        <w:r>
          <w:fldChar w:fldCharType="end"/>
        </w:r>
      </w:p>
    </w:sdtContent>
  </w:sdt>
  <w:p w14:paraId="7E2FE5F9" w14:textId="77777777" w:rsidR="00294112" w:rsidRDefault="00294112">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713573"/>
      <w:docPartObj>
        <w:docPartGallery w:val="Page Numbers (Bottom of Page)"/>
        <w:docPartUnique/>
      </w:docPartObj>
    </w:sdtPr>
    <w:sdtContent>
      <w:p w14:paraId="43CA68D9" w14:textId="78DC61FC" w:rsidR="00294112" w:rsidRDefault="00294112">
        <w:pPr>
          <w:pStyle w:val="Stopka"/>
          <w:jc w:val="right"/>
        </w:pPr>
        <w:r>
          <w:fldChar w:fldCharType="begin"/>
        </w:r>
        <w:r>
          <w:instrText>PAGE   \* MERGEFORMAT</w:instrText>
        </w:r>
        <w:r>
          <w:fldChar w:fldCharType="separate"/>
        </w:r>
        <w:r w:rsidR="00202A8F">
          <w:rPr>
            <w:noProof/>
          </w:rPr>
          <w:t>183</w:t>
        </w:r>
        <w:r>
          <w:fldChar w:fldCharType="end"/>
        </w:r>
      </w:p>
    </w:sdtContent>
  </w:sdt>
  <w:p w14:paraId="472530F0" w14:textId="77777777" w:rsidR="00294112" w:rsidRDefault="00294112">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105569"/>
      <w:docPartObj>
        <w:docPartGallery w:val="Page Numbers (Bottom of Page)"/>
        <w:docPartUnique/>
      </w:docPartObj>
    </w:sdtPr>
    <w:sdtEndPr>
      <w:rPr>
        <w:spacing w:val="60"/>
      </w:rPr>
    </w:sdtEndPr>
    <w:sdtContent>
      <w:p w14:paraId="45200FF1" w14:textId="229F9D99" w:rsidR="00294112" w:rsidRDefault="00294112">
        <w:pPr>
          <w:pStyle w:val="Stopka"/>
          <w:pBdr>
            <w:top w:val="single" w:sz="4" w:space="1" w:color="D9D9D9" w:themeColor="background1" w:themeShade="D9"/>
          </w:pBdr>
          <w:jc w:val="right"/>
        </w:pPr>
        <w:r>
          <w:fldChar w:fldCharType="begin"/>
        </w:r>
        <w:r>
          <w:instrText>PAGE   \* MERGEFORMAT</w:instrText>
        </w:r>
        <w:r>
          <w:fldChar w:fldCharType="separate"/>
        </w:r>
        <w:r w:rsidR="00202A8F">
          <w:rPr>
            <w:noProof/>
          </w:rPr>
          <w:t>224</w:t>
        </w:r>
        <w:r>
          <w:fldChar w:fldCharType="end"/>
        </w:r>
        <w:r>
          <w:t xml:space="preserve"> </w:t>
        </w:r>
        <w:r w:rsidRPr="00FF2AF6">
          <w:rPr>
            <w:b/>
            <w:bCs/>
            <w:color w:val="C00000"/>
          </w:rPr>
          <w:t>|</w:t>
        </w:r>
        <w:r>
          <w:t xml:space="preserve"> </w:t>
        </w:r>
        <w:r w:rsidRPr="00A537F0">
          <w:rPr>
            <w:spacing w:val="60"/>
          </w:rPr>
          <w:t>Strona</w:t>
        </w:r>
      </w:p>
    </w:sdtContent>
  </w:sdt>
  <w:p w14:paraId="7A10625F" w14:textId="77777777" w:rsidR="00294112" w:rsidRDefault="00294112">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412005"/>
      <w:docPartObj>
        <w:docPartGallery w:val="Page Numbers (Bottom of Page)"/>
        <w:docPartUnique/>
      </w:docPartObj>
    </w:sdtPr>
    <w:sdtEndPr>
      <w:rPr>
        <w:color w:val="767171" w:themeColor="background2" w:themeShade="80"/>
        <w:spacing w:val="60"/>
      </w:rPr>
    </w:sdtEndPr>
    <w:sdtContent>
      <w:p w14:paraId="6A15CBBF" w14:textId="096D376E" w:rsidR="00294112" w:rsidRDefault="00294112" w:rsidP="00FF2AF6">
        <w:pPr>
          <w:pStyle w:val="Stopka"/>
          <w:pBdr>
            <w:top w:val="single" w:sz="4" w:space="1" w:color="D9D9D9" w:themeColor="background1" w:themeShade="D9"/>
          </w:pBdr>
          <w:jc w:val="right"/>
        </w:pPr>
        <w:r>
          <w:fldChar w:fldCharType="begin"/>
        </w:r>
        <w:r>
          <w:instrText>PAGE   \* MERGEFORMAT</w:instrText>
        </w:r>
        <w:r>
          <w:fldChar w:fldCharType="separate"/>
        </w:r>
        <w:r w:rsidR="00202A8F">
          <w:rPr>
            <w:noProof/>
          </w:rPr>
          <w:t>205</w:t>
        </w:r>
        <w:r>
          <w:fldChar w:fldCharType="end"/>
        </w:r>
        <w:r>
          <w:t xml:space="preserve"> </w:t>
        </w:r>
        <w:r w:rsidRPr="00FF2AF6">
          <w:rPr>
            <w:b/>
            <w:bCs/>
            <w:color w:val="C00000"/>
          </w:rPr>
          <w:t>|</w:t>
        </w:r>
        <w:r>
          <w:t xml:space="preserve"> </w:t>
        </w:r>
        <w:r w:rsidRPr="00A537F0">
          <w:rPr>
            <w:color w:val="767171" w:themeColor="background2" w:themeShade="80"/>
            <w:spacing w:val="60"/>
          </w:rPr>
          <w:t>Strona</w:t>
        </w:r>
      </w:p>
    </w:sdtContent>
  </w:sdt>
  <w:p w14:paraId="61363CCB" w14:textId="77777777" w:rsidR="00294112" w:rsidRDefault="00294112">
    <w:pPr>
      <w:pStyle w:val="Stopk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012183"/>
      <w:docPartObj>
        <w:docPartGallery w:val="Page Numbers (Bottom of Page)"/>
        <w:docPartUnique/>
      </w:docPartObj>
    </w:sdtPr>
    <w:sdtContent>
      <w:p w14:paraId="45E7D345" w14:textId="5F7C60CD" w:rsidR="00294112" w:rsidRDefault="00294112">
        <w:pPr>
          <w:pStyle w:val="Stopka"/>
          <w:jc w:val="right"/>
        </w:pPr>
        <w:r>
          <w:fldChar w:fldCharType="begin"/>
        </w:r>
        <w:r>
          <w:instrText>PAGE   \* MERGEFORMAT</w:instrText>
        </w:r>
        <w:r>
          <w:fldChar w:fldCharType="separate"/>
        </w:r>
        <w:r w:rsidR="00202A8F">
          <w:rPr>
            <w:noProof/>
          </w:rPr>
          <w:t>207</w:t>
        </w:r>
        <w:r>
          <w:fldChar w:fldCharType="end"/>
        </w:r>
      </w:p>
    </w:sdtContent>
  </w:sdt>
  <w:p w14:paraId="69A0E936" w14:textId="77777777" w:rsidR="00294112" w:rsidRDefault="00294112">
    <w:pPr>
      <w:pStyle w:val="Stopk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5620"/>
      <w:docPartObj>
        <w:docPartGallery w:val="Page Numbers (Bottom of Page)"/>
        <w:docPartUnique/>
      </w:docPartObj>
    </w:sdtPr>
    <w:sdtContent>
      <w:p w14:paraId="368D62AE" w14:textId="3B9A1B41" w:rsidR="00294112" w:rsidRDefault="00294112">
        <w:pPr>
          <w:pStyle w:val="Stopka"/>
          <w:jc w:val="right"/>
        </w:pPr>
        <w:r>
          <w:fldChar w:fldCharType="begin"/>
        </w:r>
        <w:r>
          <w:instrText>PAGE   \* MERGEFORMAT</w:instrText>
        </w:r>
        <w:r>
          <w:fldChar w:fldCharType="separate"/>
        </w:r>
        <w:r w:rsidR="00202A8F">
          <w:rPr>
            <w:noProof/>
          </w:rPr>
          <w:t>209</w:t>
        </w:r>
        <w:r>
          <w:fldChar w:fldCharType="end"/>
        </w:r>
      </w:p>
    </w:sdtContent>
  </w:sdt>
  <w:p w14:paraId="690F7CB5" w14:textId="77777777" w:rsidR="00294112" w:rsidRDefault="00294112">
    <w:pPr>
      <w:pStyle w:val="Stopka"/>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4547473"/>
      <w:docPartObj>
        <w:docPartGallery w:val="Page Numbers (Bottom of Page)"/>
        <w:docPartUnique/>
      </w:docPartObj>
    </w:sdtPr>
    <w:sdtContent>
      <w:p w14:paraId="54848A0E" w14:textId="62231635" w:rsidR="00294112" w:rsidRDefault="00294112">
        <w:pPr>
          <w:pStyle w:val="Stopka"/>
          <w:jc w:val="right"/>
        </w:pPr>
        <w:r>
          <w:fldChar w:fldCharType="begin"/>
        </w:r>
        <w:r>
          <w:instrText>PAGE   \* MERGEFORMAT</w:instrText>
        </w:r>
        <w:r>
          <w:fldChar w:fldCharType="separate"/>
        </w:r>
        <w:r w:rsidR="00202A8F">
          <w:rPr>
            <w:noProof/>
          </w:rPr>
          <w:t>225</w:t>
        </w:r>
        <w:r>
          <w:fldChar w:fldCharType="end"/>
        </w:r>
      </w:p>
    </w:sdtContent>
  </w:sdt>
  <w:p w14:paraId="7BB1106D" w14:textId="77777777" w:rsidR="00294112" w:rsidRDefault="00294112">
    <w:pPr>
      <w:pStyle w:val="Stopka"/>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247402"/>
      <w:docPartObj>
        <w:docPartGallery w:val="Page Numbers (Bottom of Page)"/>
        <w:docPartUnique/>
      </w:docPartObj>
    </w:sdtPr>
    <w:sdtEndPr>
      <w:rPr>
        <w:spacing w:val="60"/>
      </w:rPr>
    </w:sdtEndPr>
    <w:sdtContent>
      <w:p w14:paraId="099011C7" w14:textId="4F530814" w:rsidR="00294112" w:rsidRDefault="00294112">
        <w:pPr>
          <w:pStyle w:val="Stopka"/>
          <w:pBdr>
            <w:top w:val="single" w:sz="4" w:space="1" w:color="D9D9D9" w:themeColor="background1" w:themeShade="D9"/>
          </w:pBdr>
          <w:jc w:val="right"/>
        </w:pPr>
        <w:r>
          <w:fldChar w:fldCharType="begin"/>
        </w:r>
        <w:r>
          <w:instrText>PAGE   \* MERGEFORMAT</w:instrText>
        </w:r>
        <w:r>
          <w:fldChar w:fldCharType="separate"/>
        </w:r>
        <w:r w:rsidR="00202A8F">
          <w:rPr>
            <w:noProof/>
          </w:rPr>
          <w:t>278</w:t>
        </w:r>
        <w:r>
          <w:fldChar w:fldCharType="end"/>
        </w:r>
        <w:r>
          <w:t xml:space="preserve"> </w:t>
        </w:r>
        <w:r w:rsidRPr="00FF2AF6">
          <w:rPr>
            <w:b/>
            <w:bCs/>
            <w:color w:val="C00000"/>
          </w:rPr>
          <w:t>|</w:t>
        </w:r>
        <w:r>
          <w:t xml:space="preserve"> </w:t>
        </w:r>
        <w:r w:rsidRPr="00A537F0">
          <w:rPr>
            <w:spacing w:val="60"/>
          </w:rPr>
          <w:t>Strona</w:t>
        </w:r>
      </w:p>
    </w:sdtContent>
  </w:sdt>
  <w:p w14:paraId="7706A714" w14:textId="77777777" w:rsidR="00294112" w:rsidRDefault="00294112">
    <w:pPr>
      <w:pStyle w:val="Stopk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3939780"/>
      <w:docPartObj>
        <w:docPartGallery w:val="Page Numbers (Bottom of Page)"/>
        <w:docPartUnique/>
      </w:docPartObj>
    </w:sdtPr>
    <w:sdtEndPr>
      <w:rPr>
        <w:color w:val="767171" w:themeColor="background2" w:themeShade="80"/>
        <w:spacing w:val="60"/>
      </w:rPr>
    </w:sdtEndPr>
    <w:sdtContent>
      <w:p w14:paraId="04631AC0" w14:textId="7352F238" w:rsidR="00294112" w:rsidRDefault="00294112" w:rsidP="00FF2AF6">
        <w:pPr>
          <w:pStyle w:val="Stopka"/>
          <w:pBdr>
            <w:top w:val="single" w:sz="4" w:space="1" w:color="D9D9D9" w:themeColor="background1" w:themeShade="D9"/>
          </w:pBdr>
          <w:jc w:val="right"/>
        </w:pPr>
        <w:r>
          <w:fldChar w:fldCharType="begin"/>
        </w:r>
        <w:r>
          <w:instrText>PAGE   \* MERGEFORMAT</w:instrText>
        </w:r>
        <w:r>
          <w:fldChar w:fldCharType="separate"/>
        </w:r>
        <w:r w:rsidR="00202A8F">
          <w:rPr>
            <w:noProof/>
          </w:rPr>
          <w:t>231</w:t>
        </w:r>
        <w:r>
          <w:fldChar w:fldCharType="end"/>
        </w:r>
        <w:r>
          <w:t xml:space="preserve"> </w:t>
        </w:r>
        <w:r w:rsidRPr="00FF2AF6">
          <w:rPr>
            <w:b/>
            <w:bCs/>
            <w:color w:val="C00000"/>
          </w:rPr>
          <w:t>|</w:t>
        </w:r>
        <w:r>
          <w:t xml:space="preserve"> </w:t>
        </w:r>
        <w:r w:rsidRPr="00A537F0">
          <w:rPr>
            <w:color w:val="767171" w:themeColor="background2" w:themeShade="80"/>
            <w:spacing w:val="60"/>
          </w:rPr>
          <w:t>Strona</w:t>
        </w:r>
      </w:p>
    </w:sdtContent>
  </w:sdt>
  <w:p w14:paraId="6905FC75" w14:textId="77777777" w:rsidR="00294112" w:rsidRDefault="00294112">
    <w:pPr>
      <w:pStyle w:val="Stopka"/>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307063"/>
      <w:docPartObj>
        <w:docPartGallery w:val="Page Numbers (Bottom of Page)"/>
        <w:docPartUnique/>
      </w:docPartObj>
    </w:sdtPr>
    <w:sdtContent>
      <w:p w14:paraId="15F350BA" w14:textId="77777777" w:rsidR="00294112" w:rsidRDefault="00294112">
        <w:pPr>
          <w:pStyle w:val="Stopka"/>
          <w:jc w:val="right"/>
        </w:pPr>
        <w:r>
          <w:fldChar w:fldCharType="begin"/>
        </w:r>
        <w:r>
          <w:instrText>PAGE   \* MERGEFORMAT</w:instrText>
        </w:r>
        <w:r>
          <w:fldChar w:fldCharType="separate"/>
        </w:r>
        <w:r>
          <w:rPr>
            <w:noProof/>
          </w:rPr>
          <w:t>19</w:t>
        </w:r>
        <w:r>
          <w:fldChar w:fldCharType="end"/>
        </w:r>
      </w:p>
    </w:sdtContent>
  </w:sdt>
  <w:p w14:paraId="326CB6D4" w14:textId="77777777" w:rsidR="00294112" w:rsidRDefault="00294112">
    <w:pPr>
      <w:pStyle w:val="Stopka"/>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864891"/>
      <w:docPartObj>
        <w:docPartGallery w:val="Page Numbers (Bottom of Page)"/>
        <w:docPartUnique/>
      </w:docPartObj>
    </w:sdtPr>
    <w:sdtContent>
      <w:p w14:paraId="13AA59CA" w14:textId="3F04DAED" w:rsidR="00294112" w:rsidRDefault="00294112">
        <w:pPr>
          <w:pStyle w:val="Stopka"/>
          <w:jc w:val="right"/>
        </w:pPr>
        <w:r>
          <w:fldChar w:fldCharType="begin"/>
        </w:r>
        <w:r>
          <w:instrText>PAGE   \* MERGEFORMAT</w:instrText>
        </w:r>
        <w:r>
          <w:fldChar w:fldCharType="separate"/>
        </w:r>
        <w:r w:rsidR="00202A8F">
          <w:rPr>
            <w:noProof/>
          </w:rPr>
          <w:t>277</w:t>
        </w:r>
        <w:r>
          <w:fldChar w:fldCharType="end"/>
        </w:r>
      </w:p>
    </w:sdtContent>
  </w:sdt>
  <w:p w14:paraId="09434DA3" w14:textId="77777777" w:rsidR="00294112" w:rsidRDefault="002941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021170"/>
      <w:docPartObj>
        <w:docPartGallery w:val="Page Numbers (Bottom of Page)"/>
        <w:docPartUnique/>
      </w:docPartObj>
    </w:sdtPr>
    <w:sdtContent>
      <w:p w14:paraId="0ABA94F8" w14:textId="77777777" w:rsidR="000A692A" w:rsidRDefault="000A692A" w:rsidP="000A692A">
        <w:pPr>
          <w:pStyle w:val="Stopka"/>
          <w:jc w:val="right"/>
        </w:pPr>
        <w:r>
          <w:fldChar w:fldCharType="begin"/>
        </w:r>
        <w:r>
          <w:instrText>PAGE   \* MERGEFORMAT</w:instrText>
        </w:r>
        <w:r>
          <w:fldChar w:fldCharType="separate"/>
        </w:r>
        <w:r>
          <w:t>72</w:t>
        </w:r>
        <w:r>
          <w:fldChar w:fldCharType="end"/>
        </w:r>
      </w:p>
    </w:sdtContent>
  </w:sdt>
  <w:p w14:paraId="15DE7A1A" w14:textId="77777777" w:rsidR="000A692A" w:rsidRDefault="000A692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355008"/>
      <w:docPartObj>
        <w:docPartGallery w:val="Page Numbers (Bottom of Page)"/>
        <w:docPartUnique/>
      </w:docPartObj>
    </w:sdtPr>
    <w:sdtContent>
      <w:p w14:paraId="7B27D2EA" w14:textId="08164497" w:rsidR="00294112" w:rsidRDefault="00294112">
        <w:pPr>
          <w:pStyle w:val="Stopka"/>
          <w:jc w:val="right"/>
        </w:pPr>
        <w:r>
          <w:fldChar w:fldCharType="begin"/>
        </w:r>
        <w:r>
          <w:instrText>PAGE   \* MERGEFORMAT</w:instrText>
        </w:r>
        <w:r>
          <w:fldChar w:fldCharType="separate"/>
        </w:r>
        <w:r w:rsidR="00202A8F">
          <w:rPr>
            <w:noProof/>
          </w:rPr>
          <w:t>149</w:t>
        </w:r>
        <w:r>
          <w:fldChar w:fldCharType="end"/>
        </w:r>
      </w:p>
    </w:sdtContent>
  </w:sdt>
  <w:p w14:paraId="41D3603B" w14:textId="77777777" w:rsidR="00294112" w:rsidRDefault="0029411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762955"/>
      <w:docPartObj>
        <w:docPartGallery w:val="Page Numbers (Bottom of Page)"/>
        <w:docPartUnique/>
      </w:docPartObj>
    </w:sdtPr>
    <w:sdtEndPr>
      <w:rPr>
        <w:spacing w:val="60"/>
      </w:rPr>
    </w:sdtEndPr>
    <w:sdtContent>
      <w:p w14:paraId="6436D6D1" w14:textId="0EC6F6A3" w:rsidR="00294112" w:rsidRDefault="00294112">
        <w:pPr>
          <w:pStyle w:val="Stopka"/>
          <w:pBdr>
            <w:top w:val="single" w:sz="4" w:space="1" w:color="D9D9D9" w:themeColor="background1" w:themeShade="D9"/>
          </w:pBdr>
          <w:jc w:val="right"/>
        </w:pPr>
        <w:r>
          <w:fldChar w:fldCharType="begin"/>
        </w:r>
        <w:r>
          <w:instrText>PAGE   \* MERGEFORMAT</w:instrText>
        </w:r>
        <w:r>
          <w:fldChar w:fldCharType="separate"/>
        </w:r>
        <w:r w:rsidR="00202A8F">
          <w:rPr>
            <w:noProof/>
          </w:rPr>
          <w:t>172</w:t>
        </w:r>
        <w:r>
          <w:fldChar w:fldCharType="end"/>
        </w:r>
        <w:r>
          <w:t xml:space="preserve"> </w:t>
        </w:r>
        <w:r w:rsidRPr="00FF2AF6">
          <w:rPr>
            <w:b/>
            <w:bCs/>
            <w:color w:val="C00000"/>
          </w:rPr>
          <w:t>|</w:t>
        </w:r>
        <w:r>
          <w:t xml:space="preserve"> </w:t>
        </w:r>
        <w:r w:rsidRPr="00A537F0">
          <w:rPr>
            <w:spacing w:val="60"/>
          </w:rPr>
          <w:t>Strona</w:t>
        </w:r>
      </w:p>
    </w:sdtContent>
  </w:sdt>
  <w:p w14:paraId="26DC08DD" w14:textId="77777777" w:rsidR="00294112" w:rsidRDefault="00294112">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865911"/>
      <w:docPartObj>
        <w:docPartGallery w:val="Page Numbers (Bottom of Page)"/>
        <w:docPartUnique/>
      </w:docPartObj>
    </w:sdtPr>
    <w:sdtEndPr>
      <w:rPr>
        <w:color w:val="767171" w:themeColor="background2" w:themeShade="80"/>
        <w:spacing w:val="60"/>
      </w:rPr>
    </w:sdtEndPr>
    <w:sdtContent>
      <w:p w14:paraId="0E2925DA" w14:textId="5A61F35C" w:rsidR="00294112" w:rsidRDefault="00294112" w:rsidP="00FF2AF6">
        <w:pPr>
          <w:pStyle w:val="Stopka"/>
          <w:pBdr>
            <w:top w:val="single" w:sz="4" w:space="1" w:color="D9D9D9" w:themeColor="background1" w:themeShade="D9"/>
          </w:pBdr>
          <w:jc w:val="right"/>
        </w:pPr>
        <w:r>
          <w:fldChar w:fldCharType="begin"/>
        </w:r>
        <w:r>
          <w:instrText>PAGE   \* MERGEFORMAT</w:instrText>
        </w:r>
        <w:r>
          <w:fldChar w:fldCharType="separate"/>
        </w:r>
        <w:r w:rsidR="00202A8F">
          <w:rPr>
            <w:noProof/>
          </w:rPr>
          <w:t>155</w:t>
        </w:r>
        <w:r>
          <w:fldChar w:fldCharType="end"/>
        </w:r>
        <w:r>
          <w:t xml:space="preserve"> </w:t>
        </w:r>
        <w:r w:rsidRPr="00FF2AF6">
          <w:rPr>
            <w:b/>
            <w:bCs/>
            <w:color w:val="C00000"/>
          </w:rPr>
          <w:t>|</w:t>
        </w:r>
        <w:r>
          <w:t xml:space="preserve"> </w:t>
        </w:r>
        <w:r w:rsidRPr="00A537F0">
          <w:rPr>
            <w:color w:val="767171" w:themeColor="background2" w:themeShade="80"/>
            <w:spacing w:val="60"/>
          </w:rPr>
          <w:t>Strona</w:t>
        </w:r>
      </w:p>
    </w:sdtContent>
  </w:sdt>
  <w:p w14:paraId="5B9DC5A1" w14:textId="77777777" w:rsidR="00294112" w:rsidRDefault="00294112">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081155"/>
      <w:docPartObj>
        <w:docPartGallery w:val="Page Numbers (Bottom of Page)"/>
        <w:docPartUnique/>
      </w:docPartObj>
    </w:sdtPr>
    <w:sdtContent>
      <w:p w14:paraId="22388EEB" w14:textId="292EF2D9" w:rsidR="00294112" w:rsidRDefault="00294112">
        <w:pPr>
          <w:pStyle w:val="Stopka"/>
          <w:jc w:val="right"/>
        </w:pPr>
        <w:r>
          <w:fldChar w:fldCharType="begin"/>
        </w:r>
        <w:r>
          <w:instrText>PAGE   \* MERGEFORMAT</w:instrText>
        </w:r>
        <w:r>
          <w:fldChar w:fldCharType="separate"/>
        </w:r>
        <w:r w:rsidR="00202A8F">
          <w:rPr>
            <w:noProof/>
          </w:rPr>
          <w:t>159</w:t>
        </w:r>
        <w:r>
          <w:fldChar w:fldCharType="end"/>
        </w:r>
      </w:p>
    </w:sdtContent>
  </w:sdt>
  <w:p w14:paraId="001ABEF8" w14:textId="77777777" w:rsidR="00294112" w:rsidRDefault="00294112">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708901"/>
      <w:docPartObj>
        <w:docPartGallery w:val="Page Numbers (Bottom of Page)"/>
        <w:docPartUnique/>
      </w:docPartObj>
    </w:sdtPr>
    <w:sdtContent>
      <w:p w14:paraId="328CED4D" w14:textId="0722E44B" w:rsidR="00294112" w:rsidRDefault="00294112">
        <w:pPr>
          <w:pStyle w:val="Stopka"/>
          <w:jc w:val="right"/>
        </w:pPr>
        <w:r>
          <w:fldChar w:fldCharType="begin"/>
        </w:r>
        <w:r>
          <w:instrText>PAGE   \* MERGEFORMAT</w:instrText>
        </w:r>
        <w:r>
          <w:fldChar w:fldCharType="separate"/>
        </w:r>
        <w:r w:rsidR="00202A8F">
          <w:rPr>
            <w:noProof/>
          </w:rPr>
          <w:t>173</w:t>
        </w:r>
        <w:r>
          <w:fldChar w:fldCharType="end"/>
        </w:r>
      </w:p>
    </w:sdtContent>
  </w:sdt>
  <w:p w14:paraId="637868CE" w14:textId="77777777" w:rsidR="00294112" w:rsidRDefault="00294112">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797080"/>
      <w:docPartObj>
        <w:docPartGallery w:val="Page Numbers (Bottom of Page)"/>
        <w:docPartUnique/>
      </w:docPartObj>
    </w:sdtPr>
    <w:sdtEndPr>
      <w:rPr>
        <w:spacing w:val="60"/>
      </w:rPr>
    </w:sdtEndPr>
    <w:sdtContent>
      <w:p w14:paraId="4B9A7818" w14:textId="7FF88327" w:rsidR="00294112" w:rsidRDefault="00294112">
        <w:pPr>
          <w:pStyle w:val="Stopka"/>
          <w:pBdr>
            <w:top w:val="single" w:sz="4" w:space="1" w:color="D9D9D9" w:themeColor="background1" w:themeShade="D9"/>
          </w:pBdr>
          <w:jc w:val="right"/>
        </w:pPr>
        <w:r>
          <w:fldChar w:fldCharType="begin"/>
        </w:r>
        <w:r>
          <w:instrText>PAGE   \* MERGEFORMAT</w:instrText>
        </w:r>
        <w:r>
          <w:fldChar w:fldCharType="separate"/>
        </w:r>
        <w:r w:rsidR="00202A8F">
          <w:rPr>
            <w:noProof/>
          </w:rPr>
          <w:t>182</w:t>
        </w:r>
        <w:r>
          <w:fldChar w:fldCharType="end"/>
        </w:r>
        <w:r>
          <w:t xml:space="preserve"> </w:t>
        </w:r>
        <w:r w:rsidRPr="00FF2AF6">
          <w:rPr>
            <w:b/>
            <w:bCs/>
            <w:color w:val="C00000"/>
          </w:rPr>
          <w:t>|</w:t>
        </w:r>
        <w:r>
          <w:t xml:space="preserve"> </w:t>
        </w:r>
        <w:r w:rsidRPr="00A537F0">
          <w:rPr>
            <w:spacing w:val="60"/>
          </w:rPr>
          <w:t>Strona</w:t>
        </w:r>
      </w:p>
    </w:sdtContent>
  </w:sdt>
  <w:p w14:paraId="62FC7ECC" w14:textId="77777777" w:rsidR="00294112" w:rsidRDefault="00294112">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766310"/>
      <w:docPartObj>
        <w:docPartGallery w:val="Page Numbers (Bottom of Page)"/>
        <w:docPartUnique/>
      </w:docPartObj>
    </w:sdtPr>
    <w:sdtEndPr>
      <w:rPr>
        <w:color w:val="767171" w:themeColor="background2" w:themeShade="80"/>
        <w:spacing w:val="60"/>
      </w:rPr>
    </w:sdtEndPr>
    <w:sdtContent>
      <w:p w14:paraId="1D5A6807" w14:textId="0ABBDD81" w:rsidR="00294112" w:rsidRDefault="00294112" w:rsidP="00FF2AF6">
        <w:pPr>
          <w:pStyle w:val="Stopka"/>
          <w:pBdr>
            <w:top w:val="single" w:sz="4" w:space="1" w:color="D9D9D9" w:themeColor="background1" w:themeShade="D9"/>
          </w:pBdr>
          <w:jc w:val="right"/>
        </w:pPr>
        <w:r>
          <w:fldChar w:fldCharType="begin"/>
        </w:r>
        <w:r>
          <w:instrText>PAGE   \* MERGEFORMAT</w:instrText>
        </w:r>
        <w:r>
          <w:fldChar w:fldCharType="separate"/>
        </w:r>
        <w:r w:rsidR="00202A8F">
          <w:rPr>
            <w:noProof/>
          </w:rPr>
          <w:t>179</w:t>
        </w:r>
        <w:r>
          <w:fldChar w:fldCharType="end"/>
        </w:r>
        <w:r>
          <w:t xml:space="preserve"> </w:t>
        </w:r>
        <w:r w:rsidRPr="00FF2AF6">
          <w:rPr>
            <w:b/>
            <w:bCs/>
            <w:color w:val="C00000"/>
          </w:rPr>
          <w:t>|</w:t>
        </w:r>
        <w:r>
          <w:t xml:space="preserve"> </w:t>
        </w:r>
        <w:r w:rsidRPr="00A537F0">
          <w:rPr>
            <w:color w:val="767171" w:themeColor="background2" w:themeShade="80"/>
            <w:spacing w:val="60"/>
          </w:rPr>
          <w:t>Strona</w:t>
        </w:r>
      </w:p>
    </w:sdtContent>
  </w:sdt>
  <w:p w14:paraId="6B78EB90" w14:textId="77777777" w:rsidR="00294112" w:rsidRDefault="002941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9D710" w14:textId="77777777" w:rsidR="00C42A71" w:rsidRDefault="00C42A71" w:rsidP="00D2492D">
      <w:pPr>
        <w:spacing w:after="0" w:line="240" w:lineRule="auto"/>
      </w:pPr>
      <w:r>
        <w:separator/>
      </w:r>
    </w:p>
  </w:footnote>
  <w:footnote w:type="continuationSeparator" w:id="0">
    <w:p w14:paraId="183F97FB" w14:textId="77777777" w:rsidR="00C42A71" w:rsidRDefault="00C42A71" w:rsidP="00D2492D">
      <w:pPr>
        <w:spacing w:after="0" w:line="240" w:lineRule="auto"/>
      </w:pPr>
      <w:r>
        <w:continuationSeparator/>
      </w:r>
    </w:p>
  </w:footnote>
  <w:footnote w:type="continuationNotice" w:id="1">
    <w:p w14:paraId="1B4DF1B4" w14:textId="77777777" w:rsidR="00C42A71" w:rsidRDefault="00C42A71">
      <w:pPr>
        <w:spacing w:after="0" w:line="240" w:lineRule="auto"/>
      </w:pPr>
    </w:p>
  </w:footnote>
  <w:footnote w:id="2">
    <w:p w14:paraId="1DA997F4" w14:textId="4440AE79" w:rsidR="00CF1334" w:rsidRDefault="00CF1334" w:rsidP="00A97A6E">
      <w:pPr>
        <w:pStyle w:val="Tekstprzypisudolnego"/>
      </w:pPr>
      <w:r>
        <w:rPr>
          <w:rStyle w:val="Odwoanieprzypisudolnego"/>
        </w:rPr>
        <w:footnoteRef/>
      </w:r>
      <w:r>
        <w:t xml:space="preserve"> </w:t>
      </w:r>
      <w:r w:rsidRPr="00CF1334">
        <w:t xml:space="preserve">Triangulacja w badaniach to strategia polegająca na wykorzystaniu wielu metod, źródeł danych lub perspektyw badawczych do zbadania tego samego zjawiska. Celem jest uzyskanie bardziej kompleksowego </w:t>
      </w:r>
      <w:r w:rsidR="00F047E5" w:rsidRPr="00CF1334">
        <w:t>i</w:t>
      </w:r>
      <w:r w:rsidR="00F047E5">
        <w:t> </w:t>
      </w:r>
      <w:r w:rsidRPr="00CF1334">
        <w:t>wiarygodnego zrozumienia badanego problemu. Triangulacja może obejmować łączenie danych jakościowych i ilościowych, wykorzystywanie różnych źródeł danych (np. wywiady, ankiety, obserwacje), czy też angażowanie różnych badaczy do analizy tych samych danych. </w:t>
      </w:r>
    </w:p>
  </w:footnote>
  <w:footnote w:id="3">
    <w:p w14:paraId="2CE7E673"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w:t>
      </w:r>
      <w:hyperlink r:id="rId1" w:history="1">
        <w:r>
          <w:rPr>
            <w:rStyle w:val="Hipercze"/>
            <w:rFonts w:cstheme="minorHAnsi"/>
          </w:rPr>
          <w:t>https://www.sejm.gov.pl/prawo/konst/polski/kon1.htm</w:t>
        </w:r>
      </w:hyperlink>
      <w:r>
        <w:rPr>
          <w:rFonts w:cstheme="minorHAnsi"/>
        </w:rPr>
        <w:t xml:space="preserve"> [dostęp 09.04.2025]. </w:t>
      </w:r>
    </w:p>
  </w:footnote>
  <w:footnote w:id="4">
    <w:p w14:paraId="5780A783"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w:t>
      </w:r>
      <w:hyperlink r:id="rId2" w:history="1">
        <w:r>
          <w:rPr>
            <w:rStyle w:val="Hipercze"/>
            <w:rFonts w:cstheme="minorHAnsi"/>
          </w:rPr>
          <w:t>https://isap.sejm.gov.pl/isap.nsf/DocDetails.xsp?id=wdu20120001169</w:t>
        </w:r>
      </w:hyperlink>
      <w:r>
        <w:rPr>
          <w:rFonts w:cstheme="minorHAnsi"/>
        </w:rPr>
        <w:t xml:space="preserve"> [dostęp 09.04.2025].</w:t>
      </w:r>
    </w:p>
  </w:footnote>
  <w:footnote w:id="5">
    <w:p w14:paraId="7DA72F58"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w:t>
      </w:r>
      <w:hyperlink r:id="rId3" w:history="1">
        <w:r>
          <w:rPr>
            <w:rStyle w:val="Hipercze"/>
            <w:rFonts w:cstheme="minorHAnsi"/>
          </w:rPr>
          <w:t>https://isap.sejm.gov.pl/isap.nsf/DocDetails.xsp?id=WDU20190000848</w:t>
        </w:r>
      </w:hyperlink>
      <w:r>
        <w:rPr>
          <w:rFonts w:cstheme="minorHAnsi"/>
        </w:rPr>
        <w:t xml:space="preserve"> [dostęp 09.04.2025].</w:t>
      </w:r>
    </w:p>
  </w:footnote>
  <w:footnote w:id="6">
    <w:p w14:paraId="11D02C3F"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w:t>
      </w:r>
      <w:hyperlink r:id="rId4" w:history="1">
        <w:r>
          <w:rPr>
            <w:rStyle w:val="Hipercze"/>
            <w:rFonts w:cstheme="minorHAnsi"/>
          </w:rPr>
          <w:t>https://isap.sejm.gov.pl/isap.nsf/download.xsp/WDU20190001696/U/D20191696Lj.pdf</w:t>
        </w:r>
      </w:hyperlink>
      <w:r>
        <w:rPr>
          <w:rFonts w:cstheme="minorHAnsi"/>
        </w:rPr>
        <w:t xml:space="preserve"> [dostęp 09.04.2025].</w:t>
      </w:r>
    </w:p>
  </w:footnote>
  <w:footnote w:id="7">
    <w:p w14:paraId="64C44EFE" w14:textId="3ED247BB" w:rsidR="00D024E8" w:rsidRDefault="00D024E8">
      <w:pPr>
        <w:pStyle w:val="Tekstprzypisudolnego"/>
      </w:pPr>
      <w:r>
        <w:rPr>
          <w:rStyle w:val="Odwoanieprzypisudolnego"/>
        </w:rPr>
        <w:footnoteRef/>
      </w:r>
      <w:r>
        <w:t xml:space="preserve"> </w:t>
      </w:r>
      <w:r w:rsidRPr="00D024E8">
        <w:t>Ustawa z 26 kwietnia 2024 r. o zapewnieniu dostępności niektórych produktów i usług przez podmioty gospodarcze (zwana również Polskim Aktem o Dostępności) nakłada również na podmioty gospodarcze obowiązek zapewnienia dostępności niektórych produktów i usług, w tym dostępności cyfrowej.</w:t>
      </w:r>
    </w:p>
  </w:footnote>
  <w:footnote w:id="8">
    <w:p w14:paraId="7A3E284D"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Stan na 30.04.2024 r.</w:t>
      </w:r>
    </w:p>
  </w:footnote>
  <w:footnote w:id="9">
    <w:p w14:paraId="3D9D13C0"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w:t>
      </w:r>
      <w:hyperlink r:id="rId5" w:history="1">
        <w:r w:rsidRPr="005F684E">
          <w:rPr>
            <w:rStyle w:val="Hipercze"/>
          </w:rPr>
          <w:t>https://stat.gov.pl/obszary-tematyczne/zdrowie/zdrowie/stan-zdrowia-ludnosci-polski-w-2019-r-,6,7.html</w:t>
        </w:r>
      </w:hyperlink>
      <w:r>
        <w:rPr>
          <w:rFonts w:cstheme="minorHAnsi"/>
        </w:rPr>
        <w:t xml:space="preserve"> [dostęp 15.04.2025].</w:t>
      </w:r>
    </w:p>
  </w:footnote>
  <w:footnote w:id="10">
    <w:p w14:paraId="4E0B774E"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w:t>
      </w:r>
      <w:hyperlink r:id="rId6" w:history="1">
        <w:r>
          <w:rPr>
            <w:rStyle w:val="Hipercze"/>
            <w:rFonts w:cstheme="minorHAnsi"/>
          </w:rPr>
          <w:t>https://niepelnosprawni.gov.pl/index.php?c=page&amp;id=78</w:t>
        </w:r>
      </w:hyperlink>
      <w:r>
        <w:rPr>
          <w:rFonts w:cstheme="minorHAnsi"/>
        </w:rPr>
        <w:t xml:space="preserve"> [dostęp 09.04.2025].</w:t>
      </w:r>
    </w:p>
  </w:footnote>
  <w:footnote w:id="11">
    <w:p w14:paraId="28ECBAE9"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w:t>
      </w:r>
      <w:hyperlink r:id="rId7" w:history="1">
        <w:r>
          <w:rPr>
            <w:rStyle w:val="Hipercze"/>
            <w:rFonts w:cstheme="minorHAnsi"/>
          </w:rPr>
          <w:t>https://stat.gov.pl/obszary-tematyczne/rynek-pracy/pracujacy-bezrobotni-bierni-zawodowo-wg-bael/aktywnosc-ekonomiczna-ludnosci-polski-2-kwartal-2023-roku,4,51.html</w:t>
        </w:r>
      </w:hyperlink>
      <w:r>
        <w:rPr>
          <w:rFonts w:cstheme="minorHAnsi"/>
        </w:rPr>
        <w:t xml:space="preserve"> [dostęp 09.04.2025].</w:t>
      </w:r>
    </w:p>
  </w:footnote>
  <w:footnote w:id="12">
    <w:p w14:paraId="1CCB52BD"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SI EKSMOoN to Elektroniczny Krajowy System Monitorowania i Orzekania o Niepełnosprawności. Dane z systemu EKSMOoN mają charakter niekompletny – nie zawierają informacji o wszystkich osobach z niepełnosprawnościami w Polsce. Niemniej, próba badawcza jest na tyle duża, że należy określić ją jako reprezentatywną.</w:t>
      </w:r>
    </w:p>
  </w:footnote>
  <w:footnote w:id="13">
    <w:p w14:paraId="3F31EB2F"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w:t>
      </w:r>
      <w:hyperlink r:id="rId8" w:history="1">
        <w:r>
          <w:rPr>
            <w:rStyle w:val="Hipercze"/>
            <w:rFonts w:cstheme="minorHAnsi"/>
          </w:rPr>
          <w:t>https://stat.gov.pl/obszary-tematyczne/osoby-starsze/osoby-starsze/sytuacja-osob-starszych-w-polsce-w-2022-roku,2,5.html</w:t>
        </w:r>
      </w:hyperlink>
      <w:r>
        <w:rPr>
          <w:rFonts w:cstheme="minorHAnsi"/>
        </w:rPr>
        <w:t xml:space="preserve"> [dostęp 09.04.2025].</w:t>
      </w:r>
    </w:p>
  </w:footnote>
  <w:footnote w:id="14">
    <w:p w14:paraId="791851B2"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dr Katarzyna Garwol „Stopień umiejętności korzystania z technologii cyfrowych a wykluczenie społeczne na przykładzie osób niepełnosprawnych, starszych i ubogich” Instytut Socjologii Uniwersytet Rzeszowski; 2019; Publikacja zbiorowa: Nierówności Społeczne a Wzrost Gospodarczy, nr 58 (2/2019).</w:t>
      </w:r>
    </w:p>
  </w:footnote>
  <w:footnote w:id="15">
    <w:p w14:paraId="33ADC432" w14:textId="31766056" w:rsidR="00BF5F55" w:rsidRDefault="00294112" w:rsidP="00A97A6E">
      <w:pPr>
        <w:pStyle w:val="Tekstprzypisudolnego"/>
        <w:rPr>
          <w:rFonts w:cstheme="minorHAnsi"/>
        </w:rPr>
      </w:pPr>
      <w:r>
        <w:rPr>
          <w:rStyle w:val="Odwoanieprzypisudolnego"/>
          <w:rFonts w:cstheme="minorHAnsi"/>
        </w:rPr>
        <w:footnoteRef/>
      </w:r>
      <w:r>
        <w:rPr>
          <w:rFonts w:cstheme="minorHAnsi"/>
        </w:rPr>
        <w:t xml:space="preserve"> GUS, Wykorzystanie technologii informacyjno-komunikacyjnych w przedsiębiorstwach i gospodarstwach domowych w 2024 roku.</w:t>
      </w:r>
    </w:p>
  </w:footnote>
  <w:footnote w:id="16">
    <w:p w14:paraId="020F4F8B" w14:textId="595B9CBE" w:rsidR="00BF5F55" w:rsidRDefault="00BF5F55" w:rsidP="00A97A6E">
      <w:pPr>
        <w:pStyle w:val="Tekstprzypisudolnego"/>
      </w:pPr>
      <w:r>
        <w:rPr>
          <w:rStyle w:val="Odwoanieprzypisudolnego"/>
        </w:rPr>
        <w:footnoteRef/>
      </w:r>
      <w:r>
        <w:t xml:space="preserve"> Liczebność grup w badaniu GUS: ogół badanych: 25,8 mln; osoby w wieku 25-54 lata: 14,41 mln; osoby starsze 65-74 lata: 4,48 mln; osoby z niepełnosprawnościami, w tym osoby korzystające z pomocy społecznej: 1,87 mln; osoby z </w:t>
      </w:r>
      <w:r w:rsidRPr="00BF5F55">
        <w:t>ograniczeniami wykonywania codziennych czynności z powodu problemów zdrowotnych</w:t>
      </w:r>
      <w:r>
        <w:t>: 2,31 mln.</w:t>
      </w:r>
    </w:p>
  </w:footnote>
  <w:footnote w:id="17">
    <w:p w14:paraId="4D55B82D" w14:textId="778C25E5" w:rsidR="00AA7746" w:rsidRDefault="00AA7746" w:rsidP="00A97A6E">
      <w:pPr>
        <w:pStyle w:val="Tekstprzypisudolnego"/>
      </w:pPr>
      <w:r>
        <w:rPr>
          <w:rStyle w:val="Odwoanieprzypisudolnego"/>
        </w:rPr>
        <w:footnoteRef/>
      </w:r>
      <w:r>
        <w:t xml:space="preserve"> We wszystkich tabelach z badania GUS, gdzie mowa o osobach z niepełnosprawnościami wskazano dane uśrednione dla dwóch grup: osób z niepełnosprawnościami i osób z niepełnosprawnościami korzystających z pomocy społecznej.</w:t>
      </w:r>
    </w:p>
  </w:footnote>
  <w:footnote w:id="18">
    <w:p w14:paraId="5437BDA2" w14:textId="77777777" w:rsidR="00294112" w:rsidRDefault="00294112" w:rsidP="00A97A6E">
      <w:pPr>
        <w:pStyle w:val="Tekstprzypisudolnego"/>
      </w:pPr>
      <w:r>
        <w:rPr>
          <w:rStyle w:val="Odwoanieprzypisudolnego"/>
        </w:rPr>
        <w:footnoteRef/>
      </w:r>
      <w:r>
        <w:t xml:space="preserve"> </w:t>
      </w:r>
      <w:hyperlink r:id="rId9" w:history="1">
        <w:r w:rsidRPr="005F684E">
          <w:rPr>
            <w:rStyle w:val="Hipercze"/>
          </w:rPr>
          <w:t>https://cbos.pl/SPISKOM.POL/2024/K_125_24.PDF</w:t>
        </w:r>
      </w:hyperlink>
      <w:r>
        <w:t xml:space="preserve"> [dostęp: 15.04.2025].</w:t>
      </w:r>
    </w:p>
  </w:footnote>
  <w:footnote w:id="19">
    <w:p w14:paraId="7972C438" w14:textId="77777777" w:rsidR="00294112" w:rsidRDefault="00294112" w:rsidP="00A97A6E">
      <w:pPr>
        <w:pStyle w:val="Tekstprzypisudolnego"/>
        <w:rPr>
          <w:rFonts w:cstheme="minorHAnsi"/>
        </w:rPr>
      </w:pPr>
      <w:r>
        <w:rPr>
          <w:rStyle w:val="Odwoanieprzypisudolnego"/>
          <w:rFonts w:cstheme="minorHAnsi"/>
        </w:rPr>
        <w:footnoteRef/>
      </w:r>
      <w:r>
        <w:rPr>
          <w:rFonts w:cstheme="minorHAnsi"/>
        </w:rPr>
        <w:t xml:space="preserve"> </w:t>
      </w:r>
      <w:hyperlink r:id="rId10" w:history="1">
        <w:r w:rsidRPr="00E8119B">
          <w:rPr>
            <w:rStyle w:val="Hipercze"/>
            <w:rFonts w:cstheme="minorHAnsi"/>
          </w:rPr>
          <w:t>https://www.gov.pl/web/dostepnosc-cyfrowa/monitoring-2024-r</w:t>
        </w:r>
      </w:hyperlink>
      <w:r>
        <w:rPr>
          <w:rFonts w:cstheme="minorHAnsi"/>
        </w:rPr>
        <w:t xml:space="preserve"> [dostęp 29.04.2025].</w:t>
      </w:r>
    </w:p>
  </w:footnote>
  <w:footnote w:id="20">
    <w:p w14:paraId="42DE866A" w14:textId="77777777" w:rsidR="00294112" w:rsidRDefault="00294112" w:rsidP="00A97A6E">
      <w:pPr>
        <w:pStyle w:val="Tekstprzypisudolnego"/>
      </w:pPr>
      <w:r>
        <w:rPr>
          <w:rStyle w:val="Odwoanieprzypisudolnego"/>
        </w:rPr>
        <w:footnoteRef/>
      </w:r>
      <w:r>
        <w:t xml:space="preserve"> Art. 6 ustawy o zapewnianiu dostępności wskazuje, że w odniesieniu do dostępności cyfrowej minimalne wymagania służące zapewnieniu dostępności osobom ze szczególnymi potrzebami obejmują spełnienie zapisów określonych w ustawie z dnia 4 kwietnia 2019 r. o dostępności cyfrowej stron internetowych i aplikacji mobilnych podmiotów publicznych.</w:t>
      </w:r>
    </w:p>
  </w:footnote>
  <w:footnote w:id="21">
    <w:p w14:paraId="6DD763E7" w14:textId="77777777" w:rsidR="00294112" w:rsidRDefault="00294112" w:rsidP="00A97A6E">
      <w:pPr>
        <w:pStyle w:val="Tekstpodstawowy"/>
        <w:rPr>
          <w:rFonts w:asciiTheme="minorHAnsi" w:hAnsiTheme="minorHAnsi" w:cstheme="minorHAnsi"/>
          <w:b w:val="0"/>
          <w:bCs w:val="0"/>
          <w:sz w:val="20"/>
        </w:rPr>
      </w:pPr>
      <w:r>
        <w:rPr>
          <w:rStyle w:val="Odwoanieprzypisudolnego"/>
          <w:rFonts w:asciiTheme="minorHAnsi" w:hAnsiTheme="minorHAnsi" w:cstheme="minorHAnsi"/>
          <w:b w:val="0"/>
          <w:bCs w:val="0"/>
          <w:sz w:val="20"/>
        </w:rPr>
        <w:footnoteRef/>
      </w:r>
      <w:r>
        <w:rPr>
          <w:rFonts w:asciiTheme="minorHAnsi" w:hAnsiTheme="minorHAnsi" w:cstheme="minorHAnsi"/>
          <w:b w:val="0"/>
          <w:bCs w:val="0"/>
          <w:sz w:val="20"/>
        </w:rPr>
        <w:t xml:space="preserve"> Ocena dokonywana była w oparciu o przyjęty w projekcie model dojrzałości. Aby osiągnąć drugi poziom urząd powinien spełniać wszystkie wymagania zawarte w ustawach związanych z dostępnością, w szczególności opisane w art. 6 ustawy o zapewnianiu dostępności. Na poziomie trzecim urząd dodatkowo powinien wykazać się szeregiem dobrych praktyk w obszarze dostępności, które mogą być przykładem dla innych jednostek. Projekt w 2 edycjach obejmował 180 podmiotów administracji centralnej i służby zespolone.</w:t>
      </w:r>
    </w:p>
    <w:p w14:paraId="7B20751F" w14:textId="77777777" w:rsidR="00294112" w:rsidRDefault="00294112" w:rsidP="00A97A6E">
      <w:pPr>
        <w:pStyle w:val="Tekstprzypisudolnego"/>
        <w:rPr>
          <w:rFonts w:cstheme="minorHAnsi"/>
        </w:rPr>
      </w:pPr>
    </w:p>
  </w:footnote>
  <w:footnote w:id="22">
    <w:p w14:paraId="5E23453B" w14:textId="77777777" w:rsidR="00294112" w:rsidRDefault="00294112" w:rsidP="00A97A6E">
      <w:pPr>
        <w:pStyle w:val="Tekstprzypisudolnego"/>
      </w:pPr>
      <w:r>
        <w:rPr>
          <w:rStyle w:val="Odwoanieprzypisudolnego"/>
        </w:rPr>
        <w:footnoteRef/>
      </w:r>
      <w:r>
        <w:t xml:space="preserve"> </w:t>
      </w:r>
      <w:r w:rsidRPr="00AA5C3D">
        <w:t xml:space="preserve">Próba </w:t>
      </w:r>
      <w:r w:rsidRPr="00C85BEF">
        <w:rPr>
          <w:rFonts w:cstheme="minorHAnsi"/>
        </w:rPr>
        <w:t>została określona przez Zamawiającego- Ministerstwo Cyfryzacji w O</w:t>
      </w:r>
      <w:r>
        <w:rPr>
          <w:rFonts w:cstheme="minorHAnsi"/>
        </w:rPr>
        <w:t xml:space="preserve">pisie </w:t>
      </w:r>
      <w:r w:rsidRPr="00C85BEF">
        <w:rPr>
          <w:rFonts w:cstheme="minorHAnsi"/>
        </w:rPr>
        <w:t>P</w:t>
      </w:r>
      <w:r>
        <w:rPr>
          <w:rFonts w:cstheme="minorHAnsi"/>
        </w:rPr>
        <w:t xml:space="preserve">rzedmiotu </w:t>
      </w:r>
      <w:r w:rsidRPr="00C85BEF">
        <w:rPr>
          <w:rFonts w:cstheme="minorHAnsi"/>
        </w:rPr>
        <w:t>Z</w:t>
      </w:r>
      <w:r>
        <w:rPr>
          <w:rFonts w:cstheme="minorHAnsi"/>
        </w:rPr>
        <w:t>amówienia.</w:t>
      </w:r>
    </w:p>
  </w:footnote>
  <w:footnote w:id="23">
    <w:p w14:paraId="7ACB2302" w14:textId="77777777" w:rsidR="00294112" w:rsidRDefault="00294112" w:rsidP="00A97A6E">
      <w:pPr>
        <w:pStyle w:val="Tekstprzypisudolnego"/>
      </w:pPr>
      <w:r>
        <w:rPr>
          <w:rStyle w:val="Odwoanieprzypisudolnego"/>
        </w:rPr>
        <w:footnoteRef/>
      </w:r>
      <w:r>
        <w:t xml:space="preserve"> </w:t>
      </w:r>
      <w:r w:rsidRPr="00D63450">
        <w:t>Wyjaśnienie i opis technologii z jakich korzystają osoby niepełnosprawne znajduje się pod poniższym linkiem:</w:t>
      </w:r>
      <w:r>
        <w:t xml:space="preserve"> </w:t>
      </w:r>
      <w:hyperlink r:id="rId11" w:tgtFrame="_blank" w:history="1">
        <w:r w:rsidRPr="00D63450">
          <w:rPr>
            <w:rStyle w:val="Hipercze"/>
          </w:rPr>
          <w:t>https://www.gov.pl/web/dostepnosc-cyfrowa/kto-i-jak-korzysta-z-dostepnosci-cyfrowej</w:t>
        </w:r>
      </w:hyperlink>
      <w:r>
        <w:t xml:space="preserve"> </w:t>
      </w:r>
      <w:r w:rsidRPr="004910AF">
        <w:t>[dostęp 09.04.2025].</w:t>
      </w:r>
    </w:p>
  </w:footnote>
  <w:footnote w:id="24">
    <w:p w14:paraId="56B3FB8F" w14:textId="518C647A" w:rsidR="001C11F9" w:rsidRPr="00B271C3" w:rsidRDefault="001C11F9" w:rsidP="001C11F9">
      <w:pPr>
        <w:pStyle w:val="Tekstprzypisudolnego"/>
        <w:rPr>
          <w:lang w:val="en-US"/>
        </w:rPr>
      </w:pPr>
      <w:r>
        <w:rPr>
          <w:rStyle w:val="Odwoanieprzypisudolnego"/>
        </w:rPr>
        <w:footnoteRef/>
      </w:r>
      <w:r w:rsidRPr="00B271C3">
        <w:rPr>
          <w:lang w:val="en-US"/>
        </w:rPr>
        <w:t xml:space="preserve"> Response Rate</w:t>
      </w:r>
      <w:r>
        <w:rPr>
          <w:lang w:val="en-US"/>
        </w:rPr>
        <w:t>.</w:t>
      </w:r>
    </w:p>
  </w:footnote>
  <w:footnote w:id="25">
    <w:p w14:paraId="51C689D2" w14:textId="7AB5A23B" w:rsidR="001C11F9" w:rsidRPr="00B271C3" w:rsidRDefault="001C11F9" w:rsidP="001C11F9">
      <w:pPr>
        <w:pStyle w:val="Tekstprzypisudolnego"/>
        <w:rPr>
          <w:lang w:val="en-US"/>
        </w:rPr>
      </w:pPr>
      <w:r>
        <w:rPr>
          <w:rStyle w:val="Odwoanieprzypisudolnego"/>
        </w:rPr>
        <w:footnoteRef/>
      </w:r>
      <w:r w:rsidRPr="00B271C3">
        <w:rPr>
          <w:lang w:val="en-US"/>
        </w:rPr>
        <w:t xml:space="preserve"> Incidence Rate</w:t>
      </w:r>
      <w:r>
        <w:rPr>
          <w:lang w:val="en-US"/>
        </w:rPr>
        <w:t>.</w:t>
      </w:r>
    </w:p>
  </w:footnote>
  <w:footnote w:id="26">
    <w:p w14:paraId="48A21435" w14:textId="2A8B1AD1" w:rsidR="001C11F9" w:rsidRPr="00B271C3" w:rsidRDefault="001C11F9" w:rsidP="001C11F9">
      <w:pPr>
        <w:pStyle w:val="Tekstprzypisudolnego"/>
        <w:rPr>
          <w:lang w:val="en-US"/>
        </w:rPr>
      </w:pPr>
      <w:r>
        <w:rPr>
          <w:rStyle w:val="Odwoanieprzypisudolnego"/>
        </w:rPr>
        <w:footnoteRef/>
      </w:r>
      <w:r w:rsidRPr="00B271C3">
        <w:rPr>
          <w:lang w:val="en-US"/>
        </w:rPr>
        <w:t xml:space="preserve"> Incidence Rate</w:t>
      </w:r>
      <w:r>
        <w:rPr>
          <w:lang w:val="en-US"/>
        </w:rPr>
        <w:t>.</w:t>
      </w:r>
    </w:p>
  </w:footnote>
  <w:footnote w:id="27">
    <w:p w14:paraId="5FF8DC67" w14:textId="1B3D5DF2" w:rsidR="00294112" w:rsidRDefault="00294112" w:rsidP="00A97A6E">
      <w:pPr>
        <w:pStyle w:val="Tekstprzypisudolnego"/>
      </w:pPr>
      <w:r>
        <w:rPr>
          <w:rStyle w:val="Odwoanieprzypisudolnego"/>
        </w:rPr>
        <w:footnoteRef/>
      </w:r>
      <w:r>
        <w:t xml:space="preserve"> </w:t>
      </w:r>
      <w:r w:rsidRPr="001D4CFE">
        <w:rPr>
          <w:rFonts w:cstheme="minorHAnsi"/>
        </w:rPr>
        <w:t>GUS, Wykorzystanie technologii informacyjno-komunikacyjnych w przedsiębiorstwach i gospodarstwach domowych w 2024 roku.</w:t>
      </w:r>
    </w:p>
  </w:footnote>
  <w:footnote w:id="28">
    <w:p w14:paraId="62EDA329" w14:textId="1A343D67" w:rsidR="00294112" w:rsidRDefault="00294112" w:rsidP="00A97A6E">
      <w:pPr>
        <w:pStyle w:val="Tekstprzypisudolnego"/>
      </w:pPr>
      <w:r>
        <w:rPr>
          <w:rStyle w:val="Odwoanieprzypisudolnego"/>
        </w:rPr>
        <w:footnoteRef/>
      </w:r>
      <w:r>
        <w:t xml:space="preserve"> Średni wynik dla grupy o</w:t>
      </w:r>
      <w:r w:rsidRPr="00A665DE">
        <w:t>soby z niepełnosprawnościami (w tym osoby korzystające z pomocy społecznej)</w:t>
      </w:r>
      <w:r>
        <w:t xml:space="preserve"> i o</w:t>
      </w:r>
      <w:r w:rsidRPr="00A665DE">
        <w:t>soby z ograniczeniami wykonywania codziennych czynności z powodu problemów zdrowotnych</w:t>
      </w:r>
      <w:r>
        <w:t>.</w:t>
      </w:r>
    </w:p>
  </w:footnote>
  <w:footnote w:id="29">
    <w:p w14:paraId="01FC8F7F" w14:textId="3514ED14" w:rsidR="00294112" w:rsidRDefault="00294112" w:rsidP="00A97A6E">
      <w:pPr>
        <w:pStyle w:val="Tekstprzypisudolnego"/>
      </w:pPr>
      <w:r>
        <w:rPr>
          <w:rStyle w:val="Odwoanieprzypisudolnego"/>
        </w:rPr>
        <w:footnoteRef/>
      </w:r>
      <w:r>
        <w:t xml:space="preserve"> </w:t>
      </w:r>
      <w:r w:rsidRPr="001D4CFE">
        <w:rPr>
          <w:rFonts w:cstheme="minorHAnsi"/>
        </w:rPr>
        <w:t>GUS, Wykorzystanie technologii informacyjno-komunikacyjnych w przedsiębiorstwach i gospodarstwach domowych w 2024 roku.</w:t>
      </w:r>
    </w:p>
  </w:footnote>
  <w:footnote w:id="30">
    <w:p w14:paraId="4BA7B98F" w14:textId="1BF74677" w:rsidR="00294112" w:rsidRPr="001D4CFE" w:rsidRDefault="00294112" w:rsidP="00A97A6E">
      <w:pPr>
        <w:pStyle w:val="Tekstprzypisudolnego"/>
      </w:pPr>
      <w:r w:rsidRPr="001D4CFE">
        <w:rPr>
          <w:rStyle w:val="Odwoanieprzypisudolnego"/>
        </w:rPr>
        <w:footnoteRef/>
      </w:r>
      <w:r w:rsidRPr="001D4CFE">
        <w:t xml:space="preserve"> Badani wskazali tylko </w:t>
      </w:r>
      <w:r>
        <w:t>6</w:t>
      </w:r>
      <w:r w:rsidRPr="001D4CFE">
        <w:t xml:space="preserve"> stron w kategorii inne</w:t>
      </w:r>
      <w:r>
        <w:t>, z czego część dotyczyła stron banków komercyjnych</w:t>
      </w:r>
      <w:r w:rsidRPr="001D4CFE">
        <w:t>. Nie podajemy wyników dla tych stron z uwagi na ich znikomy udział w ogólnej puli ocenianych stron.</w:t>
      </w:r>
    </w:p>
  </w:footnote>
  <w:footnote w:id="31">
    <w:p w14:paraId="3CFCC2C3" w14:textId="54DF755F" w:rsidR="00294112" w:rsidRPr="001D4CFE" w:rsidRDefault="00294112" w:rsidP="00A97A6E">
      <w:pPr>
        <w:spacing w:line="240" w:lineRule="auto"/>
        <w:rPr>
          <w:sz w:val="20"/>
          <w:szCs w:val="20"/>
        </w:rPr>
      </w:pPr>
      <w:r w:rsidRPr="001D4CFE">
        <w:rPr>
          <w:rStyle w:val="Odwoanieprzypisudolnego"/>
          <w:sz w:val="20"/>
          <w:szCs w:val="20"/>
        </w:rPr>
        <w:footnoteRef/>
      </w:r>
      <w:r w:rsidRPr="001D4CFE">
        <w:rPr>
          <w:sz w:val="20"/>
          <w:szCs w:val="20"/>
        </w:rPr>
        <w:t xml:space="preserve"> W analizie danych nie uwzględniliśmy stron podmiotów prywatnych wskazanych przez badanych w kategoriach tematycznych np. stron prywatnych podmiotów medycznych.</w:t>
      </w:r>
    </w:p>
  </w:footnote>
  <w:footnote w:id="32">
    <w:p w14:paraId="634A5070" w14:textId="77777777" w:rsidR="00FE3BD0" w:rsidRDefault="00FE3BD0" w:rsidP="00FE3BD0">
      <w:pPr>
        <w:pStyle w:val="Tekstprzypisudolnego"/>
      </w:pPr>
      <w:r>
        <w:rPr>
          <w:rStyle w:val="Odwoanieprzypisudolnego"/>
        </w:rPr>
        <w:footnoteRef/>
      </w:r>
      <w:r>
        <w:t xml:space="preserve"> Gawska A., Daniłowska S. Tatko A. „</w:t>
      </w:r>
      <w:r w:rsidRPr="00FE3BD0">
        <w:t>Badanie publicznych służb zatrudnienia w zakresie świadczenia usług klientkom i klientom z niepełnosprawnościami</w:t>
      </w:r>
      <w:r>
        <w:t>.” Fundacja Aktywizacja, 2023</w:t>
      </w:r>
    </w:p>
  </w:footnote>
  <w:footnote w:id="33">
    <w:p w14:paraId="7C866FE6" w14:textId="5945F21E" w:rsidR="00294112" w:rsidRPr="001D4CFE" w:rsidRDefault="00294112" w:rsidP="00A97A6E">
      <w:pPr>
        <w:pStyle w:val="Tekstprzypisudolnego"/>
      </w:pPr>
      <w:r w:rsidRPr="001D4CFE">
        <w:rPr>
          <w:rStyle w:val="Odwoanieprzypisudolnego"/>
        </w:rPr>
        <w:footnoteRef/>
      </w:r>
      <w:r w:rsidRPr="001D4CFE">
        <w:t xml:space="preserve"> Wszystkie wyniki procentowe podane w tabeli zostały zaokrąglone. W rubrykach, gdzie znajduje się 0% tylko jedna osoba udzieliła odpowiedzi, co daje wynik około 0,35%.</w:t>
      </w:r>
    </w:p>
  </w:footnote>
  <w:footnote w:id="34">
    <w:p w14:paraId="45EC54D1" w14:textId="3F3FB3CC" w:rsidR="00294112" w:rsidRDefault="00294112" w:rsidP="00A97A6E">
      <w:pPr>
        <w:pStyle w:val="Tekstprzypisudolnego"/>
      </w:pPr>
      <w:r>
        <w:rPr>
          <w:rStyle w:val="Odwoanieprzypisudolnego"/>
        </w:rPr>
        <w:footnoteRef/>
      </w:r>
      <w:r>
        <w:t xml:space="preserve"> </w:t>
      </w:r>
      <w:r w:rsidRPr="001D4CFE">
        <w:rPr>
          <w:rFonts w:cstheme="minorHAnsi"/>
        </w:rPr>
        <w:t>GUS, Wykorzystanie technologii informacyjno-komunikacyjnych w przedsiębiorstwach i gospodarstwach domowych w 2024 roku.</w:t>
      </w:r>
    </w:p>
  </w:footnote>
  <w:footnote w:id="35">
    <w:p w14:paraId="2894F11B" w14:textId="5AF8263E" w:rsidR="00294112" w:rsidRDefault="00294112" w:rsidP="00A97A6E">
      <w:pPr>
        <w:pStyle w:val="Tekstprzypisudolnego"/>
      </w:pPr>
      <w:r>
        <w:rPr>
          <w:rStyle w:val="Odwoanieprzypisudolnego"/>
        </w:rPr>
        <w:footnoteRef/>
      </w:r>
      <w:r>
        <w:t xml:space="preserve"> Średni wynik dla grupy o</w:t>
      </w:r>
      <w:r w:rsidRPr="00A665DE">
        <w:t>soby z niepełnosprawnościami (w tym osoby korzystające z pomocy społecznej)</w:t>
      </w:r>
      <w:r>
        <w:t xml:space="preserve"> i o</w:t>
      </w:r>
      <w:r w:rsidRPr="00A665DE">
        <w:t>soby z ograniczeniami wykonywania codziennych czynności z powodu problemów zdrowotnych</w:t>
      </w:r>
      <w:r>
        <w:t>.</w:t>
      </w:r>
    </w:p>
  </w:footnote>
  <w:footnote w:id="36">
    <w:p w14:paraId="3080A8E7" w14:textId="74F4E734" w:rsidR="00294112" w:rsidRDefault="00294112" w:rsidP="00A97A6E">
      <w:pPr>
        <w:pStyle w:val="Tekstprzypisudolnego"/>
      </w:pPr>
      <w:r>
        <w:rPr>
          <w:rStyle w:val="Odwoanieprzypisudolnego"/>
        </w:rPr>
        <w:footnoteRef/>
      </w:r>
      <w:r>
        <w:t xml:space="preserve"> </w:t>
      </w:r>
      <w:r w:rsidRPr="001D4CFE">
        <w:rPr>
          <w:rFonts w:cstheme="minorHAnsi"/>
        </w:rPr>
        <w:t>GUS, Wykorzystanie technologii informacyjno-komunikacyjnych w przedsiębiorstwach i gospodarstwach domowych w 2024 roku.</w:t>
      </w:r>
    </w:p>
  </w:footnote>
  <w:footnote w:id="37">
    <w:p w14:paraId="70482E83" w14:textId="7A5DC2B6" w:rsidR="00294112" w:rsidRPr="001D4CFE" w:rsidRDefault="00294112" w:rsidP="00A97A6E">
      <w:pPr>
        <w:pStyle w:val="Tekstprzypisudolnego"/>
      </w:pPr>
      <w:r w:rsidRPr="001D4CFE">
        <w:rPr>
          <w:rStyle w:val="Odwoanieprzypisudolnego"/>
        </w:rPr>
        <w:footnoteRef/>
      </w:r>
      <w:r w:rsidRPr="001D4CFE">
        <w:t xml:space="preserve"> </w:t>
      </w:r>
      <w:r w:rsidRPr="001D4CFE">
        <w:rPr>
          <w:rFonts w:cstheme="minorHAnsi"/>
        </w:rPr>
        <w:t>GUS, Wykorzystanie technologii informacyjno-komunikacyjnych w przedsiębiorstwach i gospodarstwach domowych w 2024 roku.</w:t>
      </w:r>
    </w:p>
  </w:footnote>
  <w:footnote w:id="38">
    <w:p w14:paraId="2FB16A17" w14:textId="39E390F9" w:rsidR="00294112" w:rsidRPr="001D4CFE" w:rsidRDefault="00294112" w:rsidP="00A97A6E">
      <w:pPr>
        <w:pStyle w:val="Tekstprzypisudolnego"/>
      </w:pPr>
      <w:r w:rsidRPr="001D4CFE">
        <w:rPr>
          <w:rStyle w:val="Odwoanieprzypisudolnego"/>
        </w:rPr>
        <w:footnoteRef/>
      </w:r>
      <w:r w:rsidRPr="001D4CFE">
        <w:t xml:space="preserve"> </w:t>
      </w:r>
      <w:r w:rsidRPr="001D4CFE">
        <w:rPr>
          <w:rFonts w:cstheme="minorHAnsi"/>
        </w:rPr>
        <w:t>GUS, Wykorzystanie technologii informacyjno-komunikacyjnych w przedsiębiorstwach i gospodarstwach domowych w 2024 roku.</w:t>
      </w:r>
    </w:p>
  </w:footnote>
  <w:footnote w:id="39">
    <w:p w14:paraId="2A60F327" w14:textId="04601E0C" w:rsidR="00294112" w:rsidRPr="001D4CFE" w:rsidRDefault="00294112" w:rsidP="00A97A6E">
      <w:pPr>
        <w:pStyle w:val="Tekstprzypisudolnego"/>
      </w:pPr>
      <w:r w:rsidRPr="001D4CFE">
        <w:rPr>
          <w:rStyle w:val="Odwoanieprzypisudolnego"/>
        </w:rPr>
        <w:footnoteRef/>
      </w:r>
      <w:r w:rsidRPr="001D4CFE">
        <w:t xml:space="preserve"> </w:t>
      </w:r>
      <w:hyperlink r:id="rId12" w:history="1">
        <w:r w:rsidRPr="001D4CFE">
          <w:rPr>
            <w:rStyle w:val="Hipercze"/>
          </w:rPr>
          <w:t>https://cbos.pl/SPISKOM.POL/2024/K_125_24.PDF</w:t>
        </w:r>
      </w:hyperlink>
      <w:r w:rsidRPr="001D4CFE">
        <w:t xml:space="preserve"> [dostęp: 29.05.2025].</w:t>
      </w:r>
    </w:p>
  </w:footnote>
  <w:footnote w:id="40">
    <w:p w14:paraId="6109295E" w14:textId="7D5B6135" w:rsidR="00294112" w:rsidRPr="001D4CFE" w:rsidRDefault="00294112" w:rsidP="00A97A6E">
      <w:pPr>
        <w:spacing w:line="240" w:lineRule="auto"/>
        <w:rPr>
          <w:sz w:val="20"/>
          <w:szCs w:val="20"/>
        </w:rPr>
      </w:pPr>
      <w:r w:rsidRPr="001D4CFE">
        <w:rPr>
          <w:rStyle w:val="Odwoanieprzypisudolnego"/>
          <w:sz w:val="20"/>
          <w:szCs w:val="20"/>
        </w:rPr>
        <w:footnoteRef/>
      </w:r>
      <w:r w:rsidRPr="001D4CFE">
        <w:rPr>
          <w:sz w:val="20"/>
          <w:szCs w:val="20"/>
        </w:rPr>
        <w:t xml:space="preserve"> W analizie danych nie uwzględniliśmy stron podmiotów prywatnych wskazanych przez badanych w kategoriach tematycznych np. stron prywatnych podmiotów medycznych.</w:t>
      </w:r>
    </w:p>
  </w:footnote>
  <w:footnote w:id="41">
    <w:p w14:paraId="316C9095" w14:textId="068BA7A9" w:rsidR="00294112" w:rsidRDefault="00294112" w:rsidP="00A97A6E">
      <w:pPr>
        <w:pStyle w:val="Tekstprzypisudolnego"/>
      </w:pPr>
      <w:r>
        <w:rPr>
          <w:rStyle w:val="Odwoanieprzypisudolnego"/>
        </w:rPr>
        <w:footnoteRef/>
      </w:r>
      <w:r>
        <w:t xml:space="preserve"> </w:t>
      </w:r>
      <w:r w:rsidRPr="001D4CFE">
        <w:rPr>
          <w:rFonts w:cstheme="minorHAnsi"/>
        </w:rPr>
        <w:t>GUS, Wykorzystanie technologii informacyjno-komunikacyjnych w przedsiębiorstwach i gospodarstwach domowych w 2024 roku.</w:t>
      </w:r>
    </w:p>
  </w:footnote>
  <w:footnote w:id="42">
    <w:p w14:paraId="746902F5" w14:textId="56BD12E6" w:rsidR="00294112" w:rsidRDefault="00294112" w:rsidP="00A97A6E">
      <w:pPr>
        <w:pStyle w:val="Tekstprzypisudolnego"/>
      </w:pPr>
      <w:r>
        <w:rPr>
          <w:rStyle w:val="Odwoanieprzypisudolnego"/>
        </w:rPr>
        <w:footnoteRef/>
      </w:r>
      <w:r>
        <w:t xml:space="preserve"> Średni wynik dla grupy o</w:t>
      </w:r>
      <w:r w:rsidRPr="00A665DE">
        <w:t>soby z niepełnosprawnościami (w tym osoby korzystające z pomocy społecznej)</w:t>
      </w:r>
      <w:r>
        <w:t xml:space="preserve"> i o</w:t>
      </w:r>
      <w:r w:rsidRPr="00A665DE">
        <w:t>soby z ograniczeniami wykonywania codziennych czynności z powodu problemów zdrowotnych</w:t>
      </w:r>
      <w:r>
        <w:t>.</w:t>
      </w:r>
    </w:p>
  </w:footnote>
  <w:footnote w:id="43">
    <w:p w14:paraId="63E5DC44" w14:textId="718F5903" w:rsidR="00294112" w:rsidRDefault="00294112" w:rsidP="00A97A6E">
      <w:pPr>
        <w:pStyle w:val="Tekstprzypisudolnego"/>
      </w:pPr>
      <w:r>
        <w:rPr>
          <w:rStyle w:val="Odwoanieprzypisudolnego"/>
        </w:rPr>
        <w:footnoteRef/>
      </w:r>
      <w:r>
        <w:t xml:space="preserve"> </w:t>
      </w:r>
      <w:r w:rsidRPr="001D4CFE">
        <w:rPr>
          <w:rFonts w:cstheme="minorHAnsi"/>
        </w:rPr>
        <w:t>GUS, Wykorzystanie technologii informacyjno-komunikacyjnych w przedsiębiorstwach i gospodarstwach domowych w 2024 roku.</w:t>
      </w:r>
    </w:p>
  </w:footnote>
  <w:footnote w:id="44">
    <w:p w14:paraId="799B4FE0" w14:textId="77777777" w:rsidR="00294112" w:rsidRPr="001D4CFE" w:rsidRDefault="00294112" w:rsidP="00A97A6E">
      <w:pPr>
        <w:pStyle w:val="Tekstprzypisudolnego"/>
      </w:pPr>
      <w:r w:rsidRPr="001D4CFE">
        <w:rPr>
          <w:rStyle w:val="Odwoanieprzypisudolnego"/>
        </w:rPr>
        <w:footnoteRef/>
      </w:r>
      <w:r w:rsidRPr="001D4CFE">
        <w:t xml:space="preserve"> </w:t>
      </w:r>
      <w:r w:rsidRPr="001D4CFE">
        <w:rPr>
          <w:rFonts w:cstheme="minorHAnsi"/>
        </w:rPr>
        <w:t>GUS, Wykorzystanie technologii informacyjno-komunikacyjnych w przedsiębiorstwach i gospodarstwach domowych w 2024 roku.</w:t>
      </w:r>
    </w:p>
  </w:footnote>
  <w:footnote w:id="45">
    <w:p w14:paraId="7822C72B" w14:textId="469540F4" w:rsidR="00294112" w:rsidRPr="001D4CFE" w:rsidRDefault="00294112" w:rsidP="00A97A6E">
      <w:pPr>
        <w:pStyle w:val="Tekstprzypisudolnego"/>
      </w:pPr>
      <w:r w:rsidRPr="001D4CFE">
        <w:rPr>
          <w:rStyle w:val="Odwoanieprzypisudolnego"/>
        </w:rPr>
        <w:footnoteRef/>
      </w:r>
      <w:r w:rsidRPr="001D4CFE">
        <w:t xml:space="preserve"> </w:t>
      </w:r>
      <w:hyperlink r:id="rId13" w:history="1">
        <w:r w:rsidRPr="001D4CFE">
          <w:rPr>
            <w:rStyle w:val="Hipercze"/>
          </w:rPr>
          <w:t>https://cbos.pl/SPISKOM.POL/2024/K_125_24.PDF</w:t>
        </w:r>
      </w:hyperlink>
      <w:r w:rsidRPr="001D4CFE">
        <w:t xml:space="preserve"> [dostęp: 24.06.2025].</w:t>
      </w:r>
    </w:p>
  </w:footnote>
  <w:footnote w:id="46">
    <w:p w14:paraId="686A50AD" w14:textId="764C3906" w:rsidR="00294112" w:rsidRPr="001D4CFE" w:rsidRDefault="00294112" w:rsidP="00A97A6E">
      <w:pPr>
        <w:pStyle w:val="Tekstprzypisudolnego"/>
      </w:pPr>
      <w:r w:rsidRPr="001D4CFE">
        <w:rPr>
          <w:rStyle w:val="Odwoanieprzypisudolnego"/>
        </w:rPr>
        <w:footnoteRef/>
      </w:r>
      <w:r w:rsidRPr="001D4CFE">
        <w:t xml:space="preserve"> W analizie danych nie uwzględniliśmy stron podmiotów prywatnych wskazanych przez badanych w kategoriach tematycznych np. stron prywatnych podmiotów medycznych.</w:t>
      </w:r>
    </w:p>
  </w:footnote>
  <w:footnote w:id="47">
    <w:p w14:paraId="4ADABC65" w14:textId="77777777" w:rsidR="00294112" w:rsidRDefault="00294112" w:rsidP="00A97A6E">
      <w:pPr>
        <w:pStyle w:val="Tekstprzypisudolnego"/>
      </w:pPr>
      <w:r>
        <w:rPr>
          <w:rStyle w:val="Odwoanieprzypisudolnego"/>
        </w:rPr>
        <w:footnoteRef/>
      </w:r>
      <w:r>
        <w:t xml:space="preserve"> </w:t>
      </w:r>
      <w:r w:rsidRPr="001D4CFE">
        <w:rPr>
          <w:rFonts w:cstheme="minorHAnsi"/>
        </w:rPr>
        <w:t>GUS, Wykorzystanie technologii informacyjno-komunikacyjnych w przedsiębiorstwach i gospodarstwach domowych w 2024 roku.</w:t>
      </w:r>
    </w:p>
  </w:footnote>
  <w:footnote w:id="48">
    <w:p w14:paraId="182802ED" w14:textId="10CB94DE" w:rsidR="00294112" w:rsidRDefault="00294112" w:rsidP="00A97A6E">
      <w:pPr>
        <w:pStyle w:val="Tekstprzypisudolnego"/>
      </w:pPr>
      <w:r>
        <w:rPr>
          <w:rStyle w:val="Odwoanieprzypisudolnego"/>
        </w:rPr>
        <w:footnoteRef/>
      </w:r>
      <w:r>
        <w:t xml:space="preserve"> </w:t>
      </w:r>
      <w:hyperlink r:id="rId14" w:history="1">
        <w:r w:rsidRPr="00E8119B">
          <w:rPr>
            <w:rStyle w:val="Hipercze"/>
            <w:rFonts w:cstheme="minorHAnsi"/>
          </w:rPr>
          <w:t>https://www.gov.pl/web/dostepnosc-cyfrowa/monitoring-2024-r</w:t>
        </w:r>
      </w:hyperlink>
      <w:r>
        <w:rPr>
          <w:rFonts w:cstheme="minorHAnsi"/>
        </w:rPr>
        <w:t xml:space="preserve"> [dostęp 02.07.2025].</w:t>
      </w:r>
    </w:p>
  </w:footnote>
  <w:footnote w:id="49">
    <w:p w14:paraId="53316006" w14:textId="77777777" w:rsidR="00294112" w:rsidRPr="001D4CFE" w:rsidRDefault="00294112" w:rsidP="00A97A6E">
      <w:pPr>
        <w:pStyle w:val="Tekstprzypisudolnego"/>
      </w:pPr>
      <w:r w:rsidRPr="001D4CFE">
        <w:rPr>
          <w:rStyle w:val="Odwoanieprzypisudolnego"/>
        </w:rPr>
        <w:footnoteRef/>
      </w:r>
      <w:r w:rsidRPr="001D4CFE">
        <w:t xml:space="preserve"> </w:t>
      </w:r>
      <w:r w:rsidRPr="001D4CFE">
        <w:rPr>
          <w:rFonts w:cstheme="minorHAnsi"/>
        </w:rPr>
        <w:t>GUS, Wykorzystanie technologii informacyjno-komunikacyjnych w przedsiębiorstwach i gospodarstwach domowych w 2024 roku.</w:t>
      </w:r>
    </w:p>
  </w:footnote>
  <w:footnote w:id="50">
    <w:p w14:paraId="283DAB8F" w14:textId="77777777" w:rsidR="00294112" w:rsidRPr="001D4CFE" w:rsidRDefault="00294112" w:rsidP="00A97A6E">
      <w:pPr>
        <w:pStyle w:val="Tekstprzypisudolnego"/>
      </w:pPr>
      <w:r w:rsidRPr="001D4CFE">
        <w:rPr>
          <w:rStyle w:val="Odwoanieprzypisudolnego"/>
        </w:rPr>
        <w:footnoteRef/>
      </w:r>
      <w:r w:rsidRPr="001D4CFE">
        <w:t xml:space="preserve"> </w:t>
      </w:r>
      <w:r w:rsidRPr="001D4CFE">
        <w:rPr>
          <w:rFonts w:cstheme="minorHAnsi"/>
        </w:rPr>
        <w:t>GUS, Wykorzystanie technologii informacyjno-komunikacyjnych w przedsiębiorstwach i gospodarstwach domowych w 2024 roku.</w:t>
      </w:r>
    </w:p>
  </w:footnote>
  <w:footnote w:id="51">
    <w:p w14:paraId="2CEFD2A5" w14:textId="00722D4E" w:rsidR="00294112" w:rsidRPr="001D4CFE" w:rsidRDefault="00294112" w:rsidP="00A97A6E">
      <w:pPr>
        <w:spacing w:line="240" w:lineRule="auto"/>
        <w:rPr>
          <w:sz w:val="20"/>
          <w:szCs w:val="20"/>
        </w:rPr>
      </w:pPr>
      <w:r w:rsidRPr="001D4CFE">
        <w:rPr>
          <w:rStyle w:val="Odwoanieprzypisudolnego"/>
          <w:sz w:val="20"/>
          <w:szCs w:val="20"/>
        </w:rPr>
        <w:footnoteRef/>
      </w:r>
      <w:r w:rsidRPr="001D4CFE">
        <w:rPr>
          <w:sz w:val="20"/>
          <w:szCs w:val="20"/>
        </w:rPr>
        <w:t xml:space="preserve"> W analizie danych nie uwzględniliśmy stron podmiotów prywatnych wskazanych przez badanych </w:t>
      </w:r>
      <w:r w:rsidR="008B0B0A" w:rsidRPr="001D4CFE">
        <w:rPr>
          <w:sz w:val="20"/>
          <w:szCs w:val="20"/>
        </w:rPr>
        <w:t>w</w:t>
      </w:r>
      <w:r w:rsidR="008B0B0A">
        <w:rPr>
          <w:sz w:val="20"/>
          <w:szCs w:val="20"/>
        </w:rPr>
        <w:t> </w:t>
      </w:r>
      <w:r w:rsidRPr="001D4CFE">
        <w:rPr>
          <w:sz w:val="20"/>
          <w:szCs w:val="20"/>
        </w:rPr>
        <w:t>kategoriach tematycznych np. stron prywatnych podmiotów medycznych.</w:t>
      </w:r>
    </w:p>
  </w:footnote>
  <w:footnote w:id="52">
    <w:p w14:paraId="7F36405A" w14:textId="25953F5F" w:rsidR="00294112" w:rsidRDefault="00294112" w:rsidP="00A97A6E">
      <w:pPr>
        <w:pStyle w:val="Tekstprzypisudolnego"/>
      </w:pPr>
      <w:r>
        <w:rPr>
          <w:rStyle w:val="Odwoanieprzypisudolnego"/>
        </w:rPr>
        <w:footnoteRef/>
      </w:r>
      <w:r>
        <w:t xml:space="preserve"> </w:t>
      </w:r>
      <w:r>
        <w:rPr>
          <w:rFonts w:cstheme="minorHAnsi"/>
        </w:rPr>
        <w:t>GUS, Wykorzystanie technologii informacyjno-komunikacyjnych w przedsiębiorstwach i gospodarstwach domowych w 2024 roku.</w:t>
      </w:r>
    </w:p>
  </w:footnote>
  <w:footnote w:id="53">
    <w:p w14:paraId="0097D201" w14:textId="759B2E0F" w:rsidR="00451DCB" w:rsidRDefault="00451DCB">
      <w:pPr>
        <w:pStyle w:val="Tekstprzypisudolnego"/>
      </w:pPr>
      <w:r>
        <w:rPr>
          <w:rStyle w:val="Odwoanieprzypisudolnego"/>
        </w:rPr>
        <w:footnoteRef/>
      </w:r>
      <w:r>
        <w:t xml:space="preserve"> User experience, to </w:t>
      </w:r>
      <w:r w:rsidRPr="00451DCB">
        <w:t>ogół wrażeń i emocji jakie odczuwa użytkownik podczas korzystania ze stron</w:t>
      </w:r>
      <w:r>
        <w:t xml:space="preserve"> czy</w:t>
      </w:r>
      <w:r w:rsidRPr="00451DCB">
        <w:t xml:space="preserve"> aplikacji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7DEA" w14:textId="55D158E4" w:rsidR="00294112" w:rsidRDefault="00000000" w:rsidP="00911B92">
    <w:pPr>
      <w:pStyle w:val="Nagwek"/>
      <w:tabs>
        <w:tab w:val="left" w:pos="3420"/>
        <w:tab w:val="left" w:pos="4404"/>
      </w:tabs>
      <w:rPr>
        <w:color w:val="626769"/>
      </w:rPr>
    </w:pPr>
    <w:sdt>
      <w:sdtPr>
        <w:rPr>
          <w:b/>
          <w:bCs/>
          <w:color w:val="B61928"/>
        </w:rPr>
        <w:id w:val="230054703"/>
        <w:docPartObj>
          <w:docPartGallery w:val="Page Numbers (Top of Page)"/>
          <w:docPartUnique/>
        </w:docPartObj>
      </w:sdtPr>
      <w:sdtContent>
        <w:r w:rsidR="00294112">
          <w:rPr>
            <w:b/>
            <w:bCs/>
            <w:color w:val="B61928"/>
          </w:rPr>
          <w:fldChar w:fldCharType="begin"/>
        </w:r>
        <w:r w:rsidR="00294112" w:rsidRPr="00C765BB">
          <w:rPr>
            <w:b/>
            <w:bCs/>
            <w:color w:val="B61928"/>
          </w:rPr>
          <w:instrText>PAGE   \* MERGEFORMAT</w:instrText>
        </w:r>
        <w:r w:rsidR="00294112">
          <w:rPr>
            <w:b/>
            <w:bCs/>
            <w:color w:val="B61928"/>
          </w:rPr>
          <w:fldChar w:fldCharType="separate"/>
        </w:r>
        <w:r w:rsidR="00202A8F">
          <w:rPr>
            <w:b/>
            <w:bCs/>
            <w:noProof/>
            <w:color w:val="B61928"/>
          </w:rPr>
          <w:t>172</w:t>
        </w:r>
        <w:r w:rsidR="00294112">
          <w:rPr>
            <w:b/>
            <w:bCs/>
            <w:color w:val="B61928"/>
          </w:rPr>
          <w:fldChar w:fldCharType="end"/>
        </w:r>
      </w:sdtContent>
    </w:sdt>
    <w:r w:rsidR="00294112" w:rsidRPr="00C765BB">
      <w:rPr>
        <w:b/>
        <w:bCs/>
        <w:color w:val="B61928"/>
      </w:rPr>
      <w:tab/>
    </w:r>
    <w:r w:rsidR="00294112">
      <w:rPr>
        <w:b/>
        <w:bCs/>
        <w:color w:val="B61928"/>
      </w:rPr>
      <w:tab/>
    </w:r>
    <w:r w:rsidR="00294112" w:rsidRPr="00C765BB">
      <w:rPr>
        <w:b/>
        <w:bCs/>
        <w:color w:val="B61928"/>
      </w:rPr>
      <w:tab/>
    </w:r>
    <w:r w:rsidR="00294112" w:rsidRPr="00C765BB">
      <w:rPr>
        <w:b/>
        <w:bCs/>
        <w:color w:val="B61928"/>
      </w:rPr>
      <w:tab/>
    </w:r>
  </w:p>
  <w:p w14:paraId="39BC3F78" w14:textId="77777777" w:rsidR="00294112" w:rsidRPr="00911B92" w:rsidRDefault="00294112" w:rsidP="00911B92">
    <w:pPr>
      <w:pStyle w:val="Nagwek"/>
      <w:tabs>
        <w:tab w:val="left" w:pos="3420"/>
        <w:tab w:val="left" w:pos="4404"/>
      </w:tabs>
      <w:spacing w:after="120"/>
    </w:pPr>
    <w:r w:rsidRPr="00474DBB">
      <w:rPr>
        <w:noProof/>
        <w:sz w:val="8"/>
        <w:szCs w:val="6"/>
        <w:lang w:eastAsia="pl-PL"/>
      </w:rPr>
      <w:drawing>
        <wp:inline distT="0" distB="0" distL="0" distR="0" wp14:anchorId="55B014FE" wp14:editId="5F222FAF">
          <wp:extent cx="5935980" cy="83820"/>
          <wp:effectExtent l="0" t="0" r="7620" b="0"/>
          <wp:docPr id="656782237" name="Obraz 656782237" descr="Element dekoracyjny - pozioma kr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Element dekoracyjny - pozioma kre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1669" w14:textId="60E9E97E" w:rsidR="00294112" w:rsidRDefault="00000000" w:rsidP="00911B92">
    <w:pPr>
      <w:pStyle w:val="Nagwek"/>
      <w:tabs>
        <w:tab w:val="left" w:pos="3420"/>
        <w:tab w:val="left" w:pos="4404"/>
      </w:tabs>
      <w:rPr>
        <w:color w:val="626769"/>
      </w:rPr>
    </w:pPr>
    <w:sdt>
      <w:sdtPr>
        <w:rPr>
          <w:b/>
          <w:bCs/>
          <w:color w:val="B61928"/>
        </w:rPr>
        <w:id w:val="-1602480369"/>
        <w:docPartObj>
          <w:docPartGallery w:val="Page Numbers (Top of Page)"/>
          <w:docPartUnique/>
        </w:docPartObj>
      </w:sdtPr>
      <w:sdtContent>
        <w:r w:rsidR="00294112">
          <w:rPr>
            <w:b/>
            <w:bCs/>
            <w:color w:val="B61928"/>
          </w:rPr>
          <w:fldChar w:fldCharType="begin"/>
        </w:r>
        <w:r w:rsidR="00294112" w:rsidRPr="00C765BB">
          <w:rPr>
            <w:b/>
            <w:bCs/>
            <w:color w:val="B61928"/>
          </w:rPr>
          <w:instrText>PAGE   \* MERGEFORMAT</w:instrText>
        </w:r>
        <w:r w:rsidR="00294112">
          <w:rPr>
            <w:b/>
            <w:bCs/>
            <w:color w:val="B61928"/>
          </w:rPr>
          <w:fldChar w:fldCharType="separate"/>
        </w:r>
        <w:r w:rsidR="00202A8F">
          <w:rPr>
            <w:b/>
            <w:bCs/>
            <w:noProof/>
            <w:color w:val="B61928"/>
          </w:rPr>
          <w:t>278</w:t>
        </w:r>
        <w:r w:rsidR="00294112">
          <w:rPr>
            <w:b/>
            <w:bCs/>
            <w:color w:val="B61928"/>
          </w:rPr>
          <w:fldChar w:fldCharType="end"/>
        </w:r>
      </w:sdtContent>
    </w:sdt>
    <w:r w:rsidR="00294112" w:rsidRPr="00C765BB">
      <w:rPr>
        <w:b/>
        <w:bCs/>
        <w:color w:val="B61928"/>
      </w:rPr>
      <w:tab/>
    </w:r>
    <w:r w:rsidR="00294112">
      <w:rPr>
        <w:b/>
        <w:bCs/>
        <w:color w:val="B61928"/>
      </w:rPr>
      <w:tab/>
    </w:r>
    <w:r w:rsidR="00294112" w:rsidRPr="00C765BB">
      <w:rPr>
        <w:b/>
        <w:bCs/>
        <w:color w:val="B61928"/>
      </w:rPr>
      <w:tab/>
    </w:r>
    <w:r w:rsidR="00294112" w:rsidRPr="00C765BB">
      <w:rPr>
        <w:b/>
        <w:bCs/>
        <w:color w:val="B61928"/>
      </w:rPr>
      <w:tab/>
    </w:r>
  </w:p>
  <w:p w14:paraId="1355B45B" w14:textId="77777777" w:rsidR="00294112" w:rsidRPr="00911B92" w:rsidRDefault="00294112" w:rsidP="00911B92">
    <w:pPr>
      <w:pStyle w:val="Nagwek"/>
      <w:tabs>
        <w:tab w:val="left" w:pos="3420"/>
        <w:tab w:val="left" w:pos="4404"/>
      </w:tabs>
      <w:spacing w:after="120"/>
    </w:pPr>
    <w:r w:rsidRPr="00474DBB">
      <w:rPr>
        <w:noProof/>
        <w:sz w:val="8"/>
        <w:szCs w:val="6"/>
        <w:lang w:eastAsia="pl-PL"/>
      </w:rPr>
      <w:drawing>
        <wp:inline distT="0" distB="0" distL="0" distR="0" wp14:anchorId="1E205A5F" wp14:editId="5A37C102">
          <wp:extent cx="5935980" cy="83820"/>
          <wp:effectExtent l="0" t="0" r="7620" b="0"/>
          <wp:docPr id="1338716025" name="Obraz 1338716025" descr="Element dekoracyjny - pozioma kr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Element dekoracyjny - pozioma kre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1C17D" w14:textId="1399FE52" w:rsidR="00294112" w:rsidRPr="00401216" w:rsidRDefault="00294112" w:rsidP="00401216">
    <w:pPr>
      <w:pStyle w:val="Nagwek"/>
      <w:tabs>
        <w:tab w:val="left" w:pos="7272"/>
      </w:tabs>
      <w:rPr>
        <w:b/>
        <w:bCs/>
        <w:color w:val="B61928"/>
      </w:rPr>
    </w:pPr>
    <w:r>
      <w:rPr>
        <w:color w:val="626769"/>
      </w:rPr>
      <w:tab/>
    </w:r>
    <w:r>
      <w:rPr>
        <w:color w:val="626769"/>
      </w:rPr>
      <w:tab/>
    </w:r>
    <w:r>
      <w:rPr>
        <w:color w:val="626769"/>
      </w:rPr>
      <w:tab/>
    </w:r>
    <w:sdt>
      <w:sdtPr>
        <w:rPr>
          <w:b/>
          <w:bCs/>
          <w:color w:val="B61928"/>
        </w:rPr>
        <w:id w:val="-735861801"/>
        <w:docPartObj>
          <w:docPartGallery w:val="Page Numbers (Top of Page)"/>
          <w:docPartUnique/>
        </w:docPartObj>
      </w:sdtPr>
      <w:sdtContent>
        <w:r>
          <w:rPr>
            <w:b/>
            <w:bCs/>
            <w:color w:val="B61928"/>
          </w:rPr>
          <w:fldChar w:fldCharType="begin"/>
        </w:r>
        <w:r>
          <w:rPr>
            <w:b/>
            <w:bCs/>
            <w:color w:val="B61928"/>
          </w:rPr>
          <w:instrText>PAGE   \* MERGEFORMAT</w:instrText>
        </w:r>
        <w:r>
          <w:rPr>
            <w:b/>
            <w:bCs/>
            <w:color w:val="B61928"/>
          </w:rPr>
          <w:fldChar w:fldCharType="separate"/>
        </w:r>
        <w:r w:rsidR="00202A8F">
          <w:rPr>
            <w:b/>
            <w:bCs/>
            <w:noProof/>
            <w:color w:val="B61928"/>
          </w:rPr>
          <w:t>277</w:t>
        </w:r>
        <w:r>
          <w:rPr>
            <w:b/>
            <w:bCs/>
            <w:color w:val="B61928"/>
          </w:rPr>
          <w:fldChar w:fldCharType="end"/>
        </w:r>
        <w:r w:rsidRPr="00F76731">
          <w:rPr>
            <w:b/>
            <w:bCs/>
            <w:noProof/>
            <w:color w:val="B61928"/>
            <w:sz w:val="8"/>
            <w:szCs w:val="8"/>
            <w:lang w:eastAsia="pl-PL"/>
          </w:rPr>
          <w:drawing>
            <wp:inline distT="0" distB="0" distL="0" distR="0" wp14:anchorId="2A28EB7F" wp14:editId="7EDF29E5">
              <wp:extent cx="5943600" cy="99060"/>
              <wp:effectExtent l="0" t="0" r="0" b="0"/>
              <wp:docPr id="131276069" name="Obraz 131276069" descr="Element dekoracyjny - pozioma kr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Element dekoracyjny - pozioma kre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060"/>
                      </a:xfrm>
                      <a:prstGeom prst="rect">
                        <a:avLst/>
                      </a:prstGeom>
                      <a:noFill/>
                      <a:ln>
                        <a:noFill/>
                      </a:ln>
                    </pic:spPr>
                  </pic:pic>
                </a:graphicData>
              </a:graphic>
            </wp:inline>
          </w:drawing>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3244" w14:textId="77777777" w:rsidR="00294112" w:rsidRDefault="00294112" w:rsidP="000E5532">
    <w:pPr>
      <w:pStyle w:val="Nagwek"/>
      <w:tabs>
        <w:tab w:val="left" w:pos="7440"/>
      </w:tabs>
    </w:pPr>
    <w:r>
      <w:tab/>
    </w:r>
  </w:p>
  <w:p w14:paraId="126E325F" w14:textId="77777777" w:rsidR="00294112" w:rsidRDefault="00294112" w:rsidP="000E5532">
    <w:pPr>
      <w:pStyle w:val="Nagwek"/>
    </w:pPr>
  </w:p>
  <w:p w14:paraId="288F2DEC" w14:textId="77777777" w:rsidR="00294112" w:rsidRDefault="0029411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85E6E" w14:textId="0402296A" w:rsidR="00294112" w:rsidRPr="00401216" w:rsidRDefault="00294112" w:rsidP="00401216">
    <w:pPr>
      <w:pStyle w:val="Nagwek"/>
      <w:tabs>
        <w:tab w:val="left" w:pos="7272"/>
      </w:tabs>
      <w:rPr>
        <w:b/>
        <w:bCs/>
        <w:color w:val="B61928"/>
      </w:rPr>
    </w:pPr>
    <w:r>
      <w:rPr>
        <w:color w:val="626769"/>
      </w:rPr>
      <w:tab/>
    </w:r>
    <w:r>
      <w:rPr>
        <w:color w:val="626769"/>
      </w:rPr>
      <w:tab/>
    </w:r>
    <w:r>
      <w:rPr>
        <w:color w:val="626769"/>
      </w:rPr>
      <w:tab/>
    </w:r>
    <w:sdt>
      <w:sdtPr>
        <w:rPr>
          <w:b/>
          <w:bCs/>
          <w:color w:val="B61928"/>
        </w:rPr>
        <w:id w:val="2065141823"/>
        <w:docPartObj>
          <w:docPartGallery w:val="Page Numbers (Top of Page)"/>
          <w:docPartUnique/>
        </w:docPartObj>
      </w:sdtPr>
      <w:sdtContent>
        <w:r>
          <w:rPr>
            <w:b/>
            <w:bCs/>
            <w:color w:val="B61928"/>
          </w:rPr>
          <w:fldChar w:fldCharType="begin"/>
        </w:r>
        <w:r>
          <w:rPr>
            <w:b/>
            <w:bCs/>
            <w:color w:val="B61928"/>
          </w:rPr>
          <w:instrText>PAGE   \* MERGEFORMAT</w:instrText>
        </w:r>
        <w:r>
          <w:rPr>
            <w:b/>
            <w:bCs/>
            <w:color w:val="B61928"/>
          </w:rPr>
          <w:fldChar w:fldCharType="separate"/>
        </w:r>
        <w:r w:rsidR="00202A8F">
          <w:rPr>
            <w:b/>
            <w:bCs/>
            <w:noProof/>
            <w:color w:val="B61928"/>
          </w:rPr>
          <w:t>173</w:t>
        </w:r>
        <w:r>
          <w:rPr>
            <w:b/>
            <w:bCs/>
            <w:color w:val="B61928"/>
          </w:rPr>
          <w:fldChar w:fldCharType="end"/>
        </w:r>
        <w:r w:rsidRPr="00F76731">
          <w:rPr>
            <w:b/>
            <w:bCs/>
            <w:noProof/>
            <w:color w:val="B61928"/>
            <w:sz w:val="8"/>
            <w:szCs w:val="8"/>
            <w:lang w:eastAsia="pl-PL"/>
          </w:rPr>
          <w:drawing>
            <wp:inline distT="0" distB="0" distL="0" distR="0" wp14:anchorId="2EF76EE4" wp14:editId="6565DC52">
              <wp:extent cx="5943600" cy="99060"/>
              <wp:effectExtent l="0" t="0" r="0" b="0"/>
              <wp:docPr id="802456727" name="Obraz 802456727" descr="Element dekoracyjny - pozioma kr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Element dekoracyjny - pozioma kre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060"/>
                      </a:xfrm>
                      <a:prstGeom prst="rect">
                        <a:avLst/>
                      </a:prstGeom>
                      <a:noFill/>
                      <a:ln>
                        <a:noFill/>
                      </a:ln>
                    </pic:spPr>
                  </pic:pic>
                </a:graphicData>
              </a:graphic>
            </wp:inline>
          </w:drawing>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2992" w14:textId="77777777" w:rsidR="00294112" w:rsidRDefault="00294112" w:rsidP="000E5532">
    <w:pPr>
      <w:pStyle w:val="Nagwek"/>
      <w:tabs>
        <w:tab w:val="left" w:pos="7440"/>
      </w:tabs>
    </w:pPr>
    <w:r>
      <w:tab/>
    </w:r>
  </w:p>
  <w:p w14:paraId="6B52AEC9" w14:textId="77777777" w:rsidR="00294112" w:rsidRDefault="00294112" w:rsidP="000E5532">
    <w:pPr>
      <w:pStyle w:val="Nagwek"/>
    </w:pPr>
  </w:p>
  <w:p w14:paraId="5E0852AC" w14:textId="77777777" w:rsidR="00294112" w:rsidRDefault="0029411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469C" w14:textId="52CAA983" w:rsidR="00294112" w:rsidRDefault="00000000" w:rsidP="00911B92">
    <w:pPr>
      <w:pStyle w:val="Nagwek"/>
      <w:tabs>
        <w:tab w:val="left" w:pos="3420"/>
        <w:tab w:val="left" w:pos="4404"/>
      </w:tabs>
      <w:rPr>
        <w:color w:val="626769"/>
      </w:rPr>
    </w:pPr>
    <w:sdt>
      <w:sdtPr>
        <w:rPr>
          <w:b/>
          <w:bCs/>
          <w:color w:val="B61928"/>
        </w:rPr>
        <w:id w:val="1067687230"/>
        <w:docPartObj>
          <w:docPartGallery w:val="Page Numbers (Top of Page)"/>
          <w:docPartUnique/>
        </w:docPartObj>
      </w:sdtPr>
      <w:sdtContent>
        <w:r w:rsidR="00294112">
          <w:rPr>
            <w:b/>
            <w:bCs/>
            <w:color w:val="B61928"/>
          </w:rPr>
          <w:fldChar w:fldCharType="begin"/>
        </w:r>
        <w:r w:rsidR="00294112" w:rsidRPr="00C765BB">
          <w:rPr>
            <w:b/>
            <w:bCs/>
            <w:color w:val="B61928"/>
          </w:rPr>
          <w:instrText>PAGE   \* MERGEFORMAT</w:instrText>
        </w:r>
        <w:r w:rsidR="00294112">
          <w:rPr>
            <w:b/>
            <w:bCs/>
            <w:color w:val="B61928"/>
          </w:rPr>
          <w:fldChar w:fldCharType="separate"/>
        </w:r>
        <w:r w:rsidR="00202A8F">
          <w:rPr>
            <w:b/>
            <w:bCs/>
            <w:noProof/>
            <w:color w:val="B61928"/>
          </w:rPr>
          <w:t>182</w:t>
        </w:r>
        <w:r w:rsidR="00294112">
          <w:rPr>
            <w:b/>
            <w:bCs/>
            <w:color w:val="B61928"/>
          </w:rPr>
          <w:fldChar w:fldCharType="end"/>
        </w:r>
      </w:sdtContent>
    </w:sdt>
    <w:r w:rsidR="00294112" w:rsidRPr="00C765BB">
      <w:rPr>
        <w:b/>
        <w:bCs/>
        <w:color w:val="B61928"/>
      </w:rPr>
      <w:tab/>
    </w:r>
    <w:r w:rsidR="00294112">
      <w:rPr>
        <w:b/>
        <w:bCs/>
        <w:color w:val="B61928"/>
      </w:rPr>
      <w:tab/>
    </w:r>
    <w:r w:rsidR="00294112" w:rsidRPr="00C765BB">
      <w:rPr>
        <w:b/>
        <w:bCs/>
        <w:color w:val="B61928"/>
      </w:rPr>
      <w:tab/>
    </w:r>
    <w:r w:rsidR="00294112" w:rsidRPr="00C765BB">
      <w:rPr>
        <w:b/>
        <w:bCs/>
        <w:color w:val="B61928"/>
      </w:rPr>
      <w:tab/>
    </w:r>
  </w:p>
  <w:p w14:paraId="33B4E8FD" w14:textId="12780296" w:rsidR="00294112" w:rsidRPr="00911B92" w:rsidRDefault="00294112" w:rsidP="00911B92">
    <w:pPr>
      <w:pStyle w:val="Nagwek"/>
      <w:tabs>
        <w:tab w:val="left" w:pos="3420"/>
        <w:tab w:val="left" w:pos="4404"/>
      </w:tabs>
      <w:spacing w:after="120"/>
    </w:pPr>
    <w:r w:rsidRPr="00474DBB">
      <w:rPr>
        <w:noProof/>
        <w:sz w:val="8"/>
        <w:szCs w:val="6"/>
        <w:lang w:eastAsia="pl-PL"/>
      </w:rPr>
      <w:drawing>
        <wp:inline distT="0" distB="0" distL="0" distR="0" wp14:anchorId="6EF16BBD" wp14:editId="3EBF359C">
          <wp:extent cx="5935980" cy="83820"/>
          <wp:effectExtent l="0" t="0" r="7620" b="0"/>
          <wp:docPr id="173771950" name="Obraz 173771950" descr="Element dekoracyjny - pozioma kr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Element dekoracyjny - pozioma kre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AF4F" w14:textId="6E7FEE52" w:rsidR="00294112" w:rsidRPr="00401216" w:rsidRDefault="00294112" w:rsidP="00401216">
    <w:pPr>
      <w:pStyle w:val="Nagwek"/>
      <w:tabs>
        <w:tab w:val="left" w:pos="7272"/>
      </w:tabs>
      <w:rPr>
        <w:b/>
        <w:bCs/>
        <w:color w:val="B61928"/>
      </w:rPr>
    </w:pPr>
    <w:r>
      <w:rPr>
        <w:color w:val="626769"/>
      </w:rPr>
      <w:tab/>
    </w:r>
    <w:r>
      <w:rPr>
        <w:color w:val="626769"/>
      </w:rPr>
      <w:tab/>
    </w:r>
    <w:r>
      <w:rPr>
        <w:color w:val="626769"/>
      </w:rPr>
      <w:tab/>
    </w:r>
    <w:sdt>
      <w:sdtPr>
        <w:rPr>
          <w:b/>
          <w:bCs/>
          <w:color w:val="B61928"/>
        </w:rPr>
        <w:id w:val="929005838"/>
        <w:docPartObj>
          <w:docPartGallery w:val="Page Numbers (Top of Page)"/>
          <w:docPartUnique/>
        </w:docPartObj>
      </w:sdtPr>
      <w:sdtContent>
        <w:r>
          <w:rPr>
            <w:b/>
            <w:bCs/>
            <w:color w:val="B61928"/>
          </w:rPr>
          <w:fldChar w:fldCharType="begin"/>
        </w:r>
        <w:r>
          <w:rPr>
            <w:b/>
            <w:bCs/>
            <w:color w:val="B61928"/>
          </w:rPr>
          <w:instrText>PAGE   \* MERGEFORMAT</w:instrText>
        </w:r>
        <w:r>
          <w:rPr>
            <w:b/>
            <w:bCs/>
            <w:color w:val="B61928"/>
          </w:rPr>
          <w:fldChar w:fldCharType="separate"/>
        </w:r>
        <w:r w:rsidR="00202A8F">
          <w:rPr>
            <w:b/>
            <w:bCs/>
            <w:noProof/>
            <w:color w:val="B61928"/>
          </w:rPr>
          <w:t>183</w:t>
        </w:r>
        <w:r>
          <w:rPr>
            <w:b/>
            <w:bCs/>
            <w:color w:val="B61928"/>
          </w:rPr>
          <w:fldChar w:fldCharType="end"/>
        </w:r>
        <w:r w:rsidRPr="00F76731">
          <w:rPr>
            <w:b/>
            <w:bCs/>
            <w:noProof/>
            <w:color w:val="B61928"/>
            <w:sz w:val="8"/>
            <w:szCs w:val="8"/>
            <w:lang w:eastAsia="pl-PL"/>
          </w:rPr>
          <w:drawing>
            <wp:inline distT="0" distB="0" distL="0" distR="0" wp14:anchorId="0629A2BE" wp14:editId="06551963">
              <wp:extent cx="5943600" cy="99060"/>
              <wp:effectExtent l="0" t="0" r="0" b="0"/>
              <wp:docPr id="304869147" name="Obraz 304869147" descr="Element dekoracyjny - pozioma kr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Element dekoracyjny - pozioma kre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060"/>
                      </a:xfrm>
                      <a:prstGeom prst="rect">
                        <a:avLst/>
                      </a:prstGeom>
                      <a:noFill/>
                      <a:ln>
                        <a:noFill/>
                      </a:ln>
                    </pic:spPr>
                  </pic:pic>
                </a:graphicData>
              </a:graphic>
            </wp:inline>
          </w:drawing>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8AF3" w14:textId="2D98CEEC" w:rsidR="00294112" w:rsidRDefault="00294112" w:rsidP="000E5532">
    <w:pPr>
      <w:pStyle w:val="Nagwek"/>
      <w:tabs>
        <w:tab w:val="left" w:pos="7440"/>
      </w:tabs>
    </w:pPr>
    <w:r>
      <w:tab/>
    </w:r>
  </w:p>
  <w:p w14:paraId="453D3DF4" w14:textId="77777777" w:rsidR="00294112" w:rsidRDefault="00294112" w:rsidP="000E5532">
    <w:pPr>
      <w:pStyle w:val="Nagwek"/>
    </w:pPr>
  </w:p>
  <w:p w14:paraId="7552DE54" w14:textId="77777777" w:rsidR="00294112" w:rsidRDefault="00294112">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3C20" w14:textId="3F12A7F1" w:rsidR="00294112" w:rsidRDefault="00000000" w:rsidP="00911B92">
    <w:pPr>
      <w:pStyle w:val="Nagwek"/>
      <w:tabs>
        <w:tab w:val="left" w:pos="3420"/>
        <w:tab w:val="left" w:pos="4404"/>
      </w:tabs>
      <w:rPr>
        <w:color w:val="626769"/>
      </w:rPr>
    </w:pPr>
    <w:sdt>
      <w:sdtPr>
        <w:rPr>
          <w:b/>
          <w:bCs/>
          <w:color w:val="B61928"/>
        </w:rPr>
        <w:id w:val="429017814"/>
        <w:docPartObj>
          <w:docPartGallery w:val="Page Numbers (Top of Page)"/>
          <w:docPartUnique/>
        </w:docPartObj>
      </w:sdtPr>
      <w:sdtContent>
        <w:r w:rsidR="00294112">
          <w:rPr>
            <w:b/>
            <w:bCs/>
            <w:color w:val="B61928"/>
          </w:rPr>
          <w:fldChar w:fldCharType="begin"/>
        </w:r>
        <w:r w:rsidR="00294112" w:rsidRPr="00C765BB">
          <w:rPr>
            <w:b/>
            <w:bCs/>
            <w:color w:val="B61928"/>
          </w:rPr>
          <w:instrText>PAGE   \* MERGEFORMAT</w:instrText>
        </w:r>
        <w:r w:rsidR="00294112">
          <w:rPr>
            <w:b/>
            <w:bCs/>
            <w:color w:val="B61928"/>
          </w:rPr>
          <w:fldChar w:fldCharType="separate"/>
        </w:r>
        <w:r w:rsidR="00202A8F">
          <w:rPr>
            <w:b/>
            <w:bCs/>
            <w:noProof/>
            <w:color w:val="B61928"/>
          </w:rPr>
          <w:t>224</w:t>
        </w:r>
        <w:r w:rsidR="00294112">
          <w:rPr>
            <w:b/>
            <w:bCs/>
            <w:color w:val="B61928"/>
          </w:rPr>
          <w:fldChar w:fldCharType="end"/>
        </w:r>
      </w:sdtContent>
    </w:sdt>
    <w:r w:rsidR="00294112" w:rsidRPr="00C765BB">
      <w:rPr>
        <w:b/>
        <w:bCs/>
        <w:color w:val="B61928"/>
      </w:rPr>
      <w:tab/>
    </w:r>
    <w:r w:rsidR="00294112">
      <w:rPr>
        <w:b/>
        <w:bCs/>
        <w:color w:val="B61928"/>
      </w:rPr>
      <w:tab/>
    </w:r>
    <w:r w:rsidR="00294112" w:rsidRPr="00C765BB">
      <w:rPr>
        <w:b/>
        <w:bCs/>
        <w:color w:val="B61928"/>
      </w:rPr>
      <w:tab/>
    </w:r>
    <w:r w:rsidR="00294112" w:rsidRPr="00C765BB">
      <w:rPr>
        <w:b/>
        <w:bCs/>
        <w:color w:val="B61928"/>
      </w:rPr>
      <w:tab/>
    </w:r>
  </w:p>
  <w:p w14:paraId="7B0E86F7" w14:textId="77777777" w:rsidR="00294112" w:rsidRPr="00911B92" w:rsidRDefault="00294112" w:rsidP="00911B92">
    <w:pPr>
      <w:pStyle w:val="Nagwek"/>
      <w:tabs>
        <w:tab w:val="left" w:pos="3420"/>
        <w:tab w:val="left" w:pos="4404"/>
      </w:tabs>
      <w:spacing w:after="120"/>
    </w:pPr>
    <w:r w:rsidRPr="00474DBB">
      <w:rPr>
        <w:noProof/>
        <w:sz w:val="8"/>
        <w:szCs w:val="6"/>
        <w:lang w:eastAsia="pl-PL"/>
      </w:rPr>
      <w:drawing>
        <wp:inline distT="0" distB="0" distL="0" distR="0" wp14:anchorId="39AA3501" wp14:editId="51C03510">
          <wp:extent cx="5935980" cy="83820"/>
          <wp:effectExtent l="0" t="0" r="7620" b="0"/>
          <wp:docPr id="2071739845" name="Obraz 2071739845" descr="Element dekoracyjny - pozioma kr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Element dekoracyjny - pozioma kre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
                  </a:xfrm>
                  <a:prstGeom prst="rect">
                    <a:avLst/>
                  </a:prstGeom>
                  <a:noFill/>
                  <a:ln>
                    <a:noFill/>
                  </a:ln>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60C5" w14:textId="6F7735B0" w:rsidR="00294112" w:rsidRPr="00401216" w:rsidRDefault="00294112" w:rsidP="00401216">
    <w:pPr>
      <w:pStyle w:val="Nagwek"/>
      <w:tabs>
        <w:tab w:val="left" w:pos="7272"/>
      </w:tabs>
      <w:rPr>
        <w:b/>
        <w:bCs/>
        <w:color w:val="B61928"/>
      </w:rPr>
    </w:pPr>
    <w:r>
      <w:rPr>
        <w:color w:val="626769"/>
      </w:rPr>
      <w:tab/>
    </w:r>
    <w:r>
      <w:rPr>
        <w:color w:val="626769"/>
      </w:rPr>
      <w:tab/>
    </w:r>
    <w:r>
      <w:rPr>
        <w:color w:val="626769"/>
      </w:rPr>
      <w:tab/>
    </w:r>
    <w:sdt>
      <w:sdtPr>
        <w:rPr>
          <w:b/>
          <w:bCs/>
          <w:color w:val="B61928"/>
        </w:rPr>
        <w:id w:val="-2040886347"/>
        <w:docPartObj>
          <w:docPartGallery w:val="Page Numbers (Top of Page)"/>
          <w:docPartUnique/>
        </w:docPartObj>
      </w:sdtPr>
      <w:sdtContent>
        <w:r>
          <w:rPr>
            <w:b/>
            <w:bCs/>
            <w:color w:val="B61928"/>
          </w:rPr>
          <w:fldChar w:fldCharType="begin"/>
        </w:r>
        <w:r>
          <w:rPr>
            <w:b/>
            <w:bCs/>
            <w:color w:val="B61928"/>
          </w:rPr>
          <w:instrText>PAGE   \* MERGEFORMAT</w:instrText>
        </w:r>
        <w:r>
          <w:rPr>
            <w:b/>
            <w:bCs/>
            <w:color w:val="B61928"/>
          </w:rPr>
          <w:fldChar w:fldCharType="separate"/>
        </w:r>
        <w:r w:rsidR="00202A8F">
          <w:rPr>
            <w:b/>
            <w:bCs/>
            <w:noProof/>
            <w:color w:val="B61928"/>
          </w:rPr>
          <w:t>225</w:t>
        </w:r>
        <w:r>
          <w:rPr>
            <w:b/>
            <w:bCs/>
            <w:color w:val="B61928"/>
          </w:rPr>
          <w:fldChar w:fldCharType="end"/>
        </w:r>
        <w:r w:rsidRPr="00F76731">
          <w:rPr>
            <w:b/>
            <w:bCs/>
            <w:noProof/>
            <w:color w:val="B61928"/>
            <w:sz w:val="8"/>
            <w:szCs w:val="8"/>
            <w:lang w:eastAsia="pl-PL"/>
          </w:rPr>
          <w:drawing>
            <wp:inline distT="0" distB="0" distL="0" distR="0" wp14:anchorId="70DC2B4D" wp14:editId="49760D4D">
              <wp:extent cx="5943600" cy="99060"/>
              <wp:effectExtent l="0" t="0" r="0" b="0"/>
              <wp:docPr id="410967838" name="Obraz 410967838" descr="Element dekoracyjny - pozioma kr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Element dekoracyjny - pozioma kre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060"/>
                      </a:xfrm>
                      <a:prstGeom prst="rect">
                        <a:avLst/>
                      </a:prstGeom>
                      <a:noFill/>
                      <a:ln>
                        <a:noFill/>
                      </a:ln>
                    </pic:spPr>
                  </pic:pic>
                </a:graphicData>
              </a:graphic>
            </wp:inline>
          </w:drawing>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BFBF" w14:textId="77777777" w:rsidR="00294112" w:rsidRDefault="00294112" w:rsidP="000E5532">
    <w:pPr>
      <w:pStyle w:val="Nagwek"/>
      <w:tabs>
        <w:tab w:val="left" w:pos="7440"/>
      </w:tabs>
    </w:pPr>
    <w:r>
      <w:tab/>
    </w:r>
  </w:p>
  <w:p w14:paraId="7126C140" w14:textId="77777777" w:rsidR="00294112" w:rsidRDefault="00294112" w:rsidP="000E5532">
    <w:pPr>
      <w:pStyle w:val="Nagwek"/>
    </w:pPr>
  </w:p>
  <w:p w14:paraId="76D09D4C" w14:textId="77777777" w:rsidR="00294112" w:rsidRDefault="0029411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53E4563"/>
    <w:multiLevelType w:val="hybridMultilevel"/>
    <w:tmpl w:val="14348A02"/>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9E25BC"/>
    <w:multiLevelType w:val="hybridMultilevel"/>
    <w:tmpl w:val="878A398C"/>
    <w:lvl w:ilvl="0" w:tplc="F64682FE">
      <w:start w:val="1"/>
      <w:numFmt w:val="bullet"/>
      <w:lvlText w:val=""/>
      <w:lvlJc w:val="left"/>
      <w:pPr>
        <w:ind w:left="1080" w:hanging="360"/>
      </w:pPr>
      <w:rPr>
        <w:rFonts w:ascii="Webdings" w:hAnsi="Webdings" w:hint="default"/>
        <w:color w:val="C0000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5B763C4"/>
    <w:multiLevelType w:val="hybridMultilevel"/>
    <w:tmpl w:val="D9AC130C"/>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B64D25"/>
    <w:multiLevelType w:val="hybridMultilevel"/>
    <w:tmpl w:val="9280D3C8"/>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4E7119"/>
    <w:multiLevelType w:val="hybridMultilevel"/>
    <w:tmpl w:val="44585126"/>
    <w:lvl w:ilvl="0" w:tplc="F64682FE">
      <w:start w:val="1"/>
      <w:numFmt w:val="bullet"/>
      <w:lvlText w:val=""/>
      <w:lvlJc w:val="left"/>
      <w:pPr>
        <w:ind w:left="720" w:hanging="360"/>
      </w:pPr>
      <w:rPr>
        <w:rFonts w:ascii="Webdings" w:hAnsi="Web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D7256"/>
    <w:multiLevelType w:val="hybridMultilevel"/>
    <w:tmpl w:val="35626EF0"/>
    <w:lvl w:ilvl="0" w:tplc="F64682FE">
      <w:start w:val="1"/>
      <w:numFmt w:val="bullet"/>
      <w:lvlText w:val=""/>
      <w:lvlJc w:val="left"/>
      <w:pPr>
        <w:ind w:left="720" w:hanging="360"/>
      </w:pPr>
      <w:rPr>
        <w:rFonts w:ascii="Webdings" w:hAnsi="Web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878EF"/>
    <w:multiLevelType w:val="multilevel"/>
    <w:tmpl w:val="C194DFF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685412"/>
    <w:multiLevelType w:val="hybridMultilevel"/>
    <w:tmpl w:val="C152F374"/>
    <w:lvl w:ilvl="0" w:tplc="F64682FE">
      <w:start w:val="1"/>
      <w:numFmt w:val="bullet"/>
      <w:lvlText w:val=""/>
      <w:lvlJc w:val="left"/>
      <w:pPr>
        <w:ind w:left="770" w:hanging="360"/>
      </w:pPr>
      <w:rPr>
        <w:rFonts w:ascii="Webdings" w:hAnsi="Webdings" w:hint="default"/>
        <w:color w:val="C00000"/>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9" w15:restartNumberingAfterBreak="0">
    <w:nsid w:val="10F41EBB"/>
    <w:multiLevelType w:val="multilevel"/>
    <w:tmpl w:val="52ACF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0C308F"/>
    <w:multiLevelType w:val="hybridMultilevel"/>
    <w:tmpl w:val="30FA3268"/>
    <w:lvl w:ilvl="0" w:tplc="FC0E4618">
      <w:start w:val="1"/>
      <w:numFmt w:val="bullet"/>
      <w:lvlText w:val="o"/>
      <w:lvlJc w:val="left"/>
      <w:pPr>
        <w:ind w:left="1080" w:hanging="360"/>
      </w:pPr>
      <w:rPr>
        <w:rFonts w:ascii="Courier New" w:hAnsi="Courier New" w:hint="default"/>
        <w:color w:val="C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7641874"/>
    <w:multiLevelType w:val="hybridMultilevel"/>
    <w:tmpl w:val="BCA23AF8"/>
    <w:lvl w:ilvl="0" w:tplc="1038B74C">
      <w:start w:val="1"/>
      <w:numFmt w:val="upperRoman"/>
      <w:pStyle w:val="Podtytu"/>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F663DD"/>
    <w:multiLevelType w:val="multilevel"/>
    <w:tmpl w:val="9E8A8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FE653D"/>
    <w:multiLevelType w:val="hybridMultilevel"/>
    <w:tmpl w:val="ACB8A0D4"/>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F277F8"/>
    <w:multiLevelType w:val="hybridMultilevel"/>
    <w:tmpl w:val="5BE49F06"/>
    <w:lvl w:ilvl="0" w:tplc="F64682FE">
      <w:start w:val="1"/>
      <w:numFmt w:val="bullet"/>
      <w:lvlText w:val=""/>
      <w:lvlJc w:val="left"/>
      <w:pPr>
        <w:ind w:left="1080" w:hanging="360"/>
      </w:pPr>
      <w:rPr>
        <w:rFonts w:ascii="Webdings" w:hAnsi="Webdings" w:hint="default"/>
        <w:color w:val="C0000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1B12271D"/>
    <w:multiLevelType w:val="hybridMultilevel"/>
    <w:tmpl w:val="7414C23C"/>
    <w:lvl w:ilvl="0" w:tplc="7C58DD74">
      <w:start w:val="1"/>
      <w:numFmt w:val="decimal"/>
      <w:pStyle w:val="Nagwek3"/>
      <w:lvlText w:val="%1.1"/>
      <w:lvlJc w:val="left"/>
      <w:pPr>
        <w:ind w:left="709" w:hanging="360"/>
      </w:pPr>
      <w:rPr>
        <w:rFonts w:hint="default"/>
        <w:b w:val="0"/>
        <w:i w:val="0"/>
        <w:sz w:val="24"/>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16" w15:restartNumberingAfterBreak="0">
    <w:nsid w:val="1D0F6DB9"/>
    <w:multiLevelType w:val="multilevel"/>
    <w:tmpl w:val="3768FCA6"/>
    <w:lvl w:ilvl="0">
      <w:start w:val="1"/>
      <w:numFmt w:val="bullet"/>
      <w:lvlText w:val=""/>
      <w:lvlJc w:val="left"/>
      <w:pPr>
        <w:tabs>
          <w:tab w:val="num" w:pos="1080"/>
        </w:tabs>
        <w:ind w:left="1080" w:hanging="360"/>
      </w:pPr>
      <w:rPr>
        <w:rFonts w:ascii="Webdings" w:hAnsi="Webdings" w:hint="default"/>
        <w:color w:val="C00000"/>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10F6B59"/>
    <w:multiLevelType w:val="hybridMultilevel"/>
    <w:tmpl w:val="15DCF146"/>
    <w:lvl w:ilvl="0" w:tplc="F64682FE">
      <w:start w:val="1"/>
      <w:numFmt w:val="bullet"/>
      <w:lvlText w:val=""/>
      <w:lvlJc w:val="left"/>
      <w:pPr>
        <w:ind w:left="1080" w:hanging="360"/>
      </w:pPr>
      <w:rPr>
        <w:rFonts w:ascii="Webdings" w:hAnsi="Webdings" w:hint="default"/>
        <w:color w:val="C0000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224D148C"/>
    <w:multiLevelType w:val="hybridMultilevel"/>
    <w:tmpl w:val="1A300E16"/>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3681223"/>
    <w:multiLevelType w:val="multilevel"/>
    <w:tmpl w:val="3B3E10F6"/>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B748AE"/>
    <w:multiLevelType w:val="multilevel"/>
    <w:tmpl w:val="209EBE20"/>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36346A"/>
    <w:multiLevelType w:val="multilevel"/>
    <w:tmpl w:val="8682A33A"/>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33192B"/>
    <w:multiLevelType w:val="hybridMultilevel"/>
    <w:tmpl w:val="1CB8242C"/>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7AA71CB"/>
    <w:multiLevelType w:val="hybridMultilevel"/>
    <w:tmpl w:val="53380A8E"/>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852194E"/>
    <w:multiLevelType w:val="hybridMultilevel"/>
    <w:tmpl w:val="E9F29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8F6C8B"/>
    <w:multiLevelType w:val="hybridMultilevel"/>
    <w:tmpl w:val="84FC264A"/>
    <w:lvl w:ilvl="0" w:tplc="F64682FE">
      <w:start w:val="1"/>
      <w:numFmt w:val="bullet"/>
      <w:lvlText w:val=""/>
      <w:lvlJc w:val="left"/>
      <w:pPr>
        <w:ind w:left="720" w:hanging="360"/>
      </w:pPr>
      <w:rPr>
        <w:rFonts w:ascii="Webdings" w:hAnsi="Webdings" w:hint="default"/>
        <w:color w:val="C0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2ECE4395"/>
    <w:multiLevelType w:val="hybridMultilevel"/>
    <w:tmpl w:val="FF2A729C"/>
    <w:lvl w:ilvl="0" w:tplc="F64682FE">
      <w:start w:val="1"/>
      <w:numFmt w:val="bullet"/>
      <w:lvlText w:val=""/>
      <w:lvlJc w:val="left"/>
      <w:pPr>
        <w:ind w:left="720" w:hanging="360"/>
      </w:pPr>
      <w:rPr>
        <w:rFonts w:ascii="Webdings" w:hAnsi="Webdings" w:hint="default"/>
        <w:color w:val="C0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FDB2291"/>
    <w:multiLevelType w:val="hybridMultilevel"/>
    <w:tmpl w:val="8CFE67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B13421"/>
    <w:multiLevelType w:val="hybridMultilevel"/>
    <w:tmpl w:val="4634A4A0"/>
    <w:lvl w:ilvl="0" w:tplc="F64682FE">
      <w:start w:val="1"/>
      <w:numFmt w:val="bullet"/>
      <w:lvlText w:val=""/>
      <w:lvlJc w:val="left"/>
      <w:pPr>
        <w:ind w:left="720" w:hanging="360"/>
      </w:pPr>
      <w:rPr>
        <w:rFonts w:ascii="Webdings" w:hAnsi="Web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C13A92"/>
    <w:multiLevelType w:val="multilevel"/>
    <w:tmpl w:val="6ACA5682"/>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5E4ABF"/>
    <w:multiLevelType w:val="hybridMultilevel"/>
    <w:tmpl w:val="984E5070"/>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5A37D16"/>
    <w:multiLevelType w:val="hybridMultilevel"/>
    <w:tmpl w:val="1BD40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9708D7"/>
    <w:multiLevelType w:val="hybridMultilevel"/>
    <w:tmpl w:val="85720402"/>
    <w:lvl w:ilvl="0" w:tplc="F64682FE">
      <w:start w:val="1"/>
      <w:numFmt w:val="bullet"/>
      <w:lvlText w:val=""/>
      <w:lvlJc w:val="left"/>
      <w:pPr>
        <w:ind w:left="720" w:hanging="360"/>
      </w:pPr>
      <w:rPr>
        <w:rFonts w:ascii="Webdings" w:hAnsi="Webdings"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BF02CCB"/>
    <w:multiLevelType w:val="hybridMultilevel"/>
    <w:tmpl w:val="677424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DC112B"/>
    <w:multiLevelType w:val="multilevel"/>
    <w:tmpl w:val="8474D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D646441"/>
    <w:multiLevelType w:val="hybridMultilevel"/>
    <w:tmpl w:val="C9567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D722A6"/>
    <w:multiLevelType w:val="multilevel"/>
    <w:tmpl w:val="2BF01146"/>
    <w:lvl w:ilvl="0">
      <w:start w:val="1"/>
      <w:numFmt w:val="bullet"/>
      <w:lvlText w:val=""/>
      <w:lvlJc w:val="left"/>
      <w:pPr>
        <w:tabs>
          <w:tab w:val="num" w:pos="720"/>
        </w:tabs>
        <w:ind w:left="720" w:hanging="360"/>
      </w:pPr>
      <w:rPr>
        <w:rFonts w:ascii="Webdings" w:hAnsi="Webdings" w:hint="default"/>
        <w:color w:val="C000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E6275A5"/>
    <w:multiLevelType w:val="hybridMultilevel"/>
    <w:tmpl w:val="ADC61D26"/>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F712199"/>
    <w:multiLevelType w:val="hybridMultilevel"/>
    <w:tmpl w:val="E89C48CC"/>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0C505A0"/>
    <w:multiLevelType w:val="multilevel"/>
    <w:tmpl w:val="E10AE146"/>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1AC21F9"/>
    <w:multiLevelType w:val="hybridMultilevel"/>
    <w:tmpl w:val="699878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1BC0B69"/>
    <w:multiLevelType w:val="hybridMultilevel"/>
    <w:tmpl w:val="E02C83FE"/>
    <w:lvl w:ilvl="0" w:tplc="F64682FE">
      <w:start w:val="1"/>
      <w:numFmt w:val="bullet"/>
      <w:lvlText w:val=""/>
      <w:lvlJc w:val="left"/>
      <w:pPr>
        <w:ind w:left="1080" w:hanging="360"/>
      </w:pPr>
      <w:rPr>
        <w:rFonts w:ascii="Webdings" w:hAnsi="Webdings" w:hint="default"/>
        <w:color w:val="C0000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42585E24"/>
    <w:multiLevelType w:val="multilevel"/>
    <w:tmpl w:val="2B06C928"/>
    <w:lvl w:ilvl="0">
      <w:start w:val="1"/>
      <w:numFmt w:val="decimal"/>
      <w:pStyle w:val="Nagwek2"/>
      <w:lvlText w:val="%1."/>
      <w:lvlJc w:val="left"/>
      <w:pPr>
        <w:ind w:left="2062" w:hanging="360"/>
      </w:pPr>
    </w:lvl>
    <w:lvl w:ilvl="1">
      <w:start w:val="1"/>
      <w:numFmt w:val="decimal"/>
      <w:isLgl/>
      <w:lvlText w:val="%1.%2."/>
      <w:lvlJc w:val="left"/>
      <w:pPr>
        <w:ind w:left="1069" w:hanging="720"/>
      </w:pPr>
      <w:rPr>
        <w:rFonts w:hint="default"/>
      </w:rPr>
    </w:lvl>
    <w:lvl w:ilvl="2">
      <w:start w:val="1"/>
      <w:numFmt w:val="decimal"/>
      <w:isLgl/>
      <w:lvlText w:val="%1.%2.%3."/>
      <w:lvlJc w:val="left"/>
      <w:pPr>
        <w:ind w:left="1069" w:hanging="720"/>
      </w:pPr>
      <w:rPr>
        <w:rFonts w:hint="default"/>
      </w:rPr>
    </w:lvl>
    <w:lvl w:ilvl="3">
      <w:start w:val="1"/>
      <w:numFmt w:val="decimal"/>
      <w:isLgl/>
      <w:lvlText w:val="%1.%2.%3.%4."/>
      <w:lvlJc w:val="left"/>
      <w:pPr>
        <w:ind w:left="1429" w:hanging="1080"/>
      </w:pPr>
      <w:rPr>
        <w:rFonts w:hint="default"/>
      </w:rPr>
    </w:lvl>
    <w:lvl w:ilvl="4">
      <w:start w:val="1"/>
      <w:numFmt w:val="decimal"/>
      <w:isLgl/>
      <w:lvlText w:val="%1.%2.%3.%4.%5."/>
      <w:lvlJc w:val="left"/>
      <w:pPr>
        <w:ind w:left="1429" w:hanging="1080"/>
      </w:pPr>
      <w:rPr>
        <w:rFonts w:hint="default"/>
      </w:rPr>
    </w:lvl>
    <w:lvl w:ilvl="5">
      <w:start w:val="1"/>
      <w:numFmt w:val="decimal"/>
      <w:isLgl/>
      <w:lvlText w:val="%1.%2.%3.%4.%5.%6."/>
      <w:lvlJc w:val="left"/>
      <w:pPr>
        <w:ind w:left="1789" w:hanging="1440"/>
      </w:pPr>
      <w:rPr>
        <w:rFonts w:hint="default"/>
      </w:rPr>
    </w:lvl>
    <w:lvl w:ilvl="6">
      <w:start w:val="1"/>
      <w:numFmt w:val="decimal"/>
      <w:isLgl/>
      <w:lvlText w:val="%1.%2.%3.%4.%5.%6.%7."/>
      <w:lvlJc w:val="left"/>
      <w:pPr>
        <w:ind w:left="2149" w:hanging="1800"/>
      </w:pPr>
      <w:rPr>
        <w:rFonts w:hint="default"/>
      </w:rPr>
    </w:lvl>
    <w:lvl w:ilvl="7">
      <w:start w:val="1"/>
      <w:numFmt w:val="decimal"/>
      <w:isLgl/>
      <w:lvlText w:val="%1.%2.%3.%4.%5.%6.%7.%8."/>
      <w:lvlJc w:val="left"/>
      <w:pPr>
        <w:ind w:left="2149" w:hanging="1800"/>
      </w:pPr>
      <w:rPr>
        <w:rFonts w:hint="default"/>
      </w:rPr>
    </w:lvl>
    <w:lvl w:ilvl="8">
      <w:start w:val="1"/>
      <w:numFmt w:val="decimal"/>
      <w:isLgl/>
      <w:lvlText w:val="%1.%2.%3.%4.%5.%6.%7.%8.%9."/>
      <w:lvlJc w:val="left"/>
      <w:pPr>
        <w:ind w:left="2509" w:hanging="2160"/>
      </w:pPr>
      <w:rPr>
        <w:rFonts w:hint="default"/>
      </w:rPr>
    </w:lvl>
  </w:abstractNum>
  <w:abstractNum w:abstractNumId="43" w15:restartNumberingAfterBreak="0">
    <w:nsid w:val="42AD2A98"/>
    <w:multiLevelType w:val="hybridMultilevel"/>
    <w:tmpl w:val="5322AF26"/>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3CA5EAA"/>
    <w:multiLevelType w:val="multilevel"/>
    <w:tmpl w:val="6AFCC6B0"/>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47633EA"/>
    <w:multiLevelType w:val="hybridMultilevel"/>
    <w:tmpl w:val="91C49E2E"/>
    <w:lvl w:ilvl="0" w:tplc="D03ABA06">
      <w:start w:val="1"/>
      <w:numFmt w:val="decimal"/>
      <w:lvlText w:val="%1)"/>
      <w:lvlJc w:val="left"/>
      <w:pPr>
        <w:ind w:left="1440" w:hanging="360"/>
      </w:pPr>
    </w:lvl>
    <w:lvl w:ilvl="1" w:tplc="E72ADEC2">
      <w:start w:val="1"/>
      <w:numFmt w:val="decimal"/>
      <w:lvlText w:val="%2)"/>
      <w:lvlJc w:val="left"/>
      <w:pPr>
        <w:ind w:left="1440" w:hanging="360"/>
      </w:pPr>
    </w:lvl>
    <w:lvl w:ilvl="2" w:tplc="4A0E8230">
      <w:start w:val="1"/>
      <w:numFmt w:val="decimal"/>
      <w:lvlText w:val="%3)"/>
      <w:lvlJc w:val="left"/>
      <w:pPr>
        <w:ind w:left="1440" w:hanging="360"/>
      </w:pPr>
    </w:lvl>
    <w:lvl w:ilvl="3" w:tplc="E3A6EDC6">
      <w:start w:val="1"/>
      <w:numFmt w:val="decimal"/>
      <w:lvlText w:val="%4)"/>
      <w:lvlJc w:val="left"/>
      <w:pPr>
        <w:ind w:left="1440" w:hanging="360"/>
      </w:pPr>
    </w:lvl>
    <w:lvl w:ilvl="4" w:tplc="43BAAC00">
      <w:start w:val="1"/>
      <w:numFmt w:val="decimal"/>
      <w:lvlText w:val="%5)"/>
      <w:lvlJc w:val="left"/>
      <w:pPr>
        <w:ind w:left="1440" w:hanging="360"/>
      </w:pPr>
    </w:lvl>
    <w:lvl w:ilvl="5" w:tplc="15FE09B8">
      <w:start w:val="1"/>
      <w:numFmt w:val="decimal"/>
      <w:lvlText w:val="%6)"/>
      <w:lvlJc w:val="left"/>
      <w:pPr>
        <w:ind w:left="1440" w:hanging="360"/>
      </w:pPr>
    </w:lvl>
    <w:lvl w:ilvl="6" w:tplc="522819B6">
      <w:start w:val="1"/>
      <w:numFmt w:val="decimal"/>
      <w:lvlText w:val="%7)"/>
      <w:lvlJc w:val="left"/>
      <w:pPr>
        <w:ind w:left="1440" w:hanging="360"/>
      </w:pPr>
    </w:lvl>
    <w:lvl w:ilvl="7" w:tplc="C7F48B16">
      <w:start w:val="1"/>
      <w:numFmt w:val="decimal"/>
      <w:lvlText w:val="%8)"/>
      <w:lvlJc w:val="left"/>
      <w:pPr>
        <w:ind w:left="1440" w:hanging="360"/>
      </w:pPr>
    </w:lvl>
    <w:lvl w:ilvl="8" w:tplc="35A432B0">
      <w:start w:val="1"/>
      <w:numFmt w:val="decimal"/>
      <w:lvlText w:val="%9)"/>
      <w:lvlJc w:val="left"/>
      <w:pPr>
        <w:ind w:left="1440" w:hanging="360"/>
      </w:pPr>
    </w:lvl>
  </w:abstractNum>
  <w:abstractNum w:abstractNumId="46" w15:restartNumberingAfterBreak="0">
    <w:nsid w:val="44BA6280"/>
    <w:multiLevelType w:val="hybridMultilevel"/>
    <w:tmpl w:val="12DAB552"/>
    <w:lvl w:ilvl="0" w:tplc="F64682FE">
      <w:start w:val="1"/>
      <w:numFmt w:val="bullet"/>
      <w:lvlText w:val=""/>
      <w:lvlJc w:val="left"/>
      <w:pPr>
        <w:ind w:left="1080" w:hanging="360"/>
      </w:pPr>
      <w:rPr>
        <w:rFonts w:ascii="Webdings" w:hAnsi="Webdings" w:hint="default"/>
        <w:color w:val="C0000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47C1745C"/>
    <w:multiLevelType w:val="hybridMultilevel"/>
    <w:tmpl w:val="76F66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AE32D0E"/>
    <w:multiLevelType w:val="hybridMultilevel"/>
    <w:tmpl w:val="7CE042C8"/>
    <w:lvl w:ilvl="0" w:tplc="F64682FE">
      <w:start w:val="1"/>
      <w:numFmt w:val="bullet"/>
      <w:lvlText w:val=""/>
      <w:lvlJc w:val="left"/>
      <w:pPr>
        <w:ind w:left="720" w:hanging="360"/>
      </w:pPr>
      <w:rPr>
        <w:rFonts w:ascii="Webdings" w:hAnsi="Web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AB11F7"/>
    <w:multiLevelType w:val="hybridMultilevel"/>
    <w:tmpl w:val="BE068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0D1343C"/>
    <w:multiLevelType w:val="hybridMultilevel"/>
    <w:tmpl w:val="38A44F78"/>
    <w:lvl w:ilvl="0" w:tplc="F64682FE">
      <w:start w:val="1"/>
      <w:numFmt w:val="bullet"/>
      <w:lvlText w:val=""/>
      <w:lvlJc w:val="left"/>
      <w:pPr>
        <w:ind w:left="720" w:hanging="360"/>
      </w:pPr>
      <w:rPr>
        <w:rFonts w:ascii="Webdings" w:hAnsi="Webdings" w:hint="default"/>
        <w:color w:val="C0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514D4FAA"/>
    <w:multiLevelType w:val="hybridMultilevel"/>
    <w:tmpl w:val="C024C012"/>
    <w:lvl w:ilvl="0" w:tplc="F64682FE">
      <w:start w:val="1"/>
      <w:numFmt w:val="bullet"/>
      <w:lvlText w:val=""/>
      <w:lvlJc w:val="left"/>
      <w:pPr>
        <w:ind w:left="720" w:hanging="360"/>
      </w:pPr>
      <w:rPr>
        <w:rFonts w:ascii="Webdings" w:hAnsi="Web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8B7FCE"/>
    <w:multiLevelType w:val="multilevel"/>
    <w:tmpl w:val="109C8248"/>
    <w:lvl w:ilvl="0">
      <w:start w:val="1"/>
      <w:numFmt w:val="decimal"/>
      <w:lvlText w:val="%1."/>
      <w:lvlJc w:val="left"/>
      <w:pPr>
        <w:tabs>
          <w:tab w:val="num" w:pos="720"/>
        </w:tabs>
        <w:ind w:left="720" w:hanging="360"/>
      </w:pPr>
      <w:rPr>
        <w:rFonts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1E623A0"/>
    <w:multiLevelType w:val="hybridMultilevel"/>
    <w:tmpl w:val="D27A4730"/>
    <w:lvl w:ilvl="0" w:tplc="F64682FE">
      <w:start w:val="1"/>
      <w:numFmt w:val="bullet"/>
      <w:lvlText w:val=""/>
      <w:lvlJc w:val="left"/>
      <w:pPr>
        <w:ind w:left="1080" w:hanging="360"/>
      </w:pPr>
      <w:rPr>
        <w:rFonts w:ascii="Webdings" w:hAnsi="Webdings" w:hint="default"/>
        <w:color w:val="C0000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15:restartNumberingAfterBreak="0">
    <w:nsid w:val="589633D5"/>
    <w:multiLevelType w:val="hybridMultilevel"/>
    <w:tmpl w:val="100E2D08"/>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A0821DD"/>
    <w:multiLevelType w:val="hybridMultilevel"/>
    <w:tmpl w:val="2982BB22"/>
    <w:lvl w:ilvl="0" w:tplc="F64682FE">
      <w:start w:val="1"/>
      <w:numFmt w:val="bullet"/>
      <w:lvlText w:val=""/>
      <w:lvlJc w:val="left"/>
      <w:pPr>
        <w:ind w:left="720" w:hanging="360"/>
      </w:pPr>
      <w:rPr>
        <w:rFonts w:ascii="Webdings" w:hAnsi="Webdings" w:hint="default"/>
        <w:color w:val="C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A2042F9"/>
    <w:multiLevelType w:val="hybridMultilevel"/>
    <w:tmpl w:val="351CD3C6"/>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CC944B3"/>
    <w:multiLevelType w:val="hybridMultilevel"/>
    <w:tmpl w:val="2118F9E8"/>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D2D5D0B"/>
    <w:multiLevelType w:val="multilevel"/>
    <w:tmpl w:val="B3A666B8"/>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394EA7"/>
    <w:multiLevelType w:val="multilevel"/>
    <w:tmpl w:val="CBFC2E44"/>
    <w:lvl w:ilvl="0">
      <w:start w:val="1"/>
      <w:numFmt w:val="bullet"/>
      <w:lvlText w:val=""/>
      <w:lvlJc w:val="left"/>
      <w:pPr>
        <w:tabs>
          <w:tab w:val="num" w:pos="1080"/>
        </w:tabs>
        <w:ind w:left="1080" w:hanging="360"/>
      </w:pPr>
      <w:rPr>
        <w:rFonts w:ascii="Webdings" w:hAnsi="Webdings" w:hint="default"/>
        <w:color w:val="C00000"/>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60236847"/>
    <w:multiLevelType w:val="multilevel"/>
    <w:tmpl w:val="16541D1A"/>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02F37E9"/>
    <w:multiLevelType w:val="hybridMultilevel"/>
    <w:tmpl w:val="38D00112"/>
    <w:lvl w:ilvl="0" w:tplc="F64682FE">
      <w:start w:val="1"/>
      <w:numFmt w:val="bullet"/>
      <w:lvlText w:val=""/>
      <w:lvlJc w:val="left"/>
      <w:pPr>
        <w:ind w:left="1080" w:hanging="360"/>
      </w:pPr>
      <w:rPr>
        <w:rFonts w:ascii="Webdings" w:hAnsi="Web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2D373C2"/>
    <w:multiLevelType w:val="hybridMultilevel"/>
    <w:tmpl w:val="CE3C5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30040C3"/>
    <w:multiLevelType w:val="hybridMultilevel"/>
    <w:tmpl w:val="6A3E35B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72F40C7"/>
    <w:multiLevelType w:val="hybridMultilevel"/>
    <w:tmpl w:val="B7167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E67CDB"/>
    <w:multiLevelType w:val="hybridMultilevel"/>
    <w:tmpl w:val="4DC61B26"/>
    <w:lvl w:ilvl="0" w:tplc="F64682FE">
      <w:start w:val="1"/>
      <w:numFmt w:val="bullet"/>
      <w:lvlText w:val=""/>
      <w:lvlJc w:val="left"/>
      <w:pPr>
        <w:ind w:left="720" w:hanging="360"/>
      </w:pPr>
      <w:rPr>
        <w:rFonts w:ascii="Webdings" w:hAnsi="Web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9F26E0"/>
    <w:multiLevelType w:val="hybridMultilevel"/>
    <w:tmpl w:val="8A6E09F6"/>
    <w:lvl w:ilvl="0" w:tplc="FFFFFFFF">
      <w:start w:val="1"/>
      <w:numFmt w:val="bullet"/>
      <w:lvlText w:val=""/>
      <w:lvlJc w:val="left"/>
      <w:pPr>
        <w:ind w:left="720" w:hanging="360"/>
      </w:pPr>
      <w:rPr>
        <w:rFonts w:ascii="Webdings" w:hAnsi="Webdings" w:hint="default"/>
        <w:color w:val="C00000"/>
      </w:rPr>
    </w:lvl>
    <w:lvl w:ilvl="1" w:tplc="F64682FE">
      <w:start w:val="1"/>
      <w:numFmt w:val="bullet"/>
      <w:lvlText w:val=""/>
      <w:lvlJc w:val="left"/>
      <w:pPr>
        <w:ind w:left="720" w:hanging="360"/>
      </w:pPr>
      <w:rPr>
        <w:rFonts w:ascii="Webdings" w:hAnsi="Webdings" w:hint="default"/>
        <w:color w:val="C000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B6D09F3"/>
    <w:multiLevelType w:val="hybridMultilevel"/>
    <w:tmpl w:val="14A663DA"/>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D5D5820"/>
    <w:multiLevelType w:val="multilevel"/>
    <w:tmpl w:val="8F60D1B4"/>
    <w:lvl w:ilvl="0">
      <w:start w:val="1"/>
      <w:numFmt w:val="decimal"/>
      <w:lvlText w:val="%1."/>
      <w:lvlJc w:val="left"/>
      <w:pPr>
        <w:ind w:left="72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9" w15:restartNumberingAfterBreak="0">
    <w:nsid w:val="6D860831"/>
    <w:multiLevelType w:val="multilevel"/>
    <w:tmpl w:val="39A4A064"/>
    <w:lvl w:ilvl="0">
      <w:start w:val="1"/>
      <w:numFmt w:val="upperRoman"/>
      <w:pStyle w:val="Nagwek1"/>
      <w:lvlText w:val="%1."/>
      <w:lvlJc w:val="right"/>
      <w:pPr>
        <w:ind w:left="355"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6DB46660"/>
    <w:multiLevelType w:val="multilevel"/>
    <w:tmpl w:val="A20422BC"/>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F9A267C"/>
    <w:multiLevelType w:val="hybridMultilevel"/>
    <w:tmpl w:val="546C04AA"/>
    <w:lvl w:ilvl="0" w:tplc="F64682FE">
      <w:start w:val="1"/>
      <w:numFmt w:val="bullet"/>
      <w:lvlText w:val=""/>
      <w:lvlJc w:val="left"/>
      <w:pPr>
        <w:ind w:left="720" w:hanging="360"/>
      </w:pPr>
      <w:rPr>
        <w:rFonts w:ascii="Webdings" w:hAnsi="Web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5F17E9A"/>
    <w:multiLevelType w:val="multilevel"/>
    <w:tmpl w:val="CE6EE3D0"/>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79F67C1"/>
    <w:multiLevelType w:val="multilevel"/>
    <w:tmpl w:val="27E6E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8E37EC7"/>
    <w:multiLevelType w:val="hybridMultilevel"/>
    <w:tmpl w:val="32A433D4"/>
    <w:lvl w:ilvl="0" w:tplc="F64682FE">
      <w:start w:val="1"/>
      <w:numFmt w:val="bullet"/>
      <w:lvlText w:val=""/>
      <w:lvlJc w:val="left"/>
      <w:pPr>
        <w:ind w:left="720" w:hanging="360"/>
      </w:pPr>
      <w:rPr>
        <w:rFonts w:ascii="Webdings" w:hAnsi="Webdings" w:hint="default"/>
        <w:color w:val="C0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5" w15:restartNumberingAfterBreak="0">
    <w:nsid w:val="79340271"/>
    <w:multiLevelType w:val="multilevel"/>
    <w:tmpl w:val="43E655FE"/>
    <w:lvl w:ilvl="0">
      <w:start w:val="1"/>
      <w:numFmt w:val="decimal"/>
      <w:lvlText w:val="%1."/>
      <w:lvlJc w:val="left"/>
      <w:pPr>
        <w:tabs>
          <w:tab w:val="num" w:pos="720"/>
        </w:tabs>
        <w:ind w:left="720" w:hanging="360"/>
      </w:pPr>
      <w:rPr>
        <w:rFonts w:hint="default"/>
        <w:sz w:val="22"/>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9921F47"/>
    <w:multiLevelType w:val="hybridMultilevel"/>
    <w:tmpl w:val="488A3C7A"/>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B4E3566"/>
    <w:multiLevelType w:val="multilevel"/>
    <w:tmpl w:val="F6BC2116"/>
    <w:lvl w:ilvl="0">
      <w:start w:val="1"/>
      <w:numFmt w:val="decimal"/>
      <w:lvlText w:val="%1."/>
      <w:lvlJc w:val="left"/>
      <w:pPr>
        <w:tabs>
          <w:tab w:val="num" w:pos="720"/>
        </w:tabs>
        <w:ind w:left="720" w:hanging="360"/>
      </w:pPr>
      <w:rPr>
        <w:rFonts w:hint="default"/>
        <w:b/>
        <w:bCs/>
        <w:sz w:val="24"/>
        <w:szCs w:val="24"/>
      </w:rPr>
    </w:lvl>
    <w:lvl w:ilvl="1">
      <w:start w:val="1"/>
      <w:numFmt w:val="bullet"/>
      <w:lvlText w:val=""/>
      <w:lvlJc w:val="left"/>
      <w:pPr>
        <w:ind w:left="1440" w:hanging="360"/>
      </w:pPr>
      <w:rPr>
        <w:rFonts w:ascii="Webdings" w:hAnsi="Webdings" w:hint="default"/>
        <w:color w:val="C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C383DFB"/>
    <w:multiLevelType w:val="hybridMultilevel"/>
    <w:tmpl w:val="B09E0B58"/>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CA9245E"/>
    <w:multiLevelType w:val="hybridMultilevel"/>
    <w:tmpl w:val="E36A0390"/>
    <w:lvl w:ilvl="0" w:tplc="F64682FE">
      <w:start w:val="1"/>
      <w:numFmt w:val="bullet"/>
      <w:lvlText w:val=""/>
      <w:lvlJc w:val="left"/>
      <w:pPr>
        <w:ind w:left="720" w:hanging="360"/>
      </w:pPr>
      <w:rPr>
        <w:rFonts w:ascii="Webdings" w:hAnsi="Webdings" w:hint="default"/>
        <w:color w:val="C00000"/>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7CAB7262"/>
    <w:multiLevelType w:val="hybridMultilevel"/>
    <w:tmpl w:val="782A435C"/>
    <w:lvl w:ilvl="0" w:tplc="F64682FE">
      <w:start w:val="1"/>
      <w:numFmt w:val="bullet"/>
      <w:lvlText w:val=""/>
      <w:lvlJc w:val="left"/>
      <w:pPr>
        <w:ind w:left="720" w:hanging="360"/>
      </w:pPr>
      <w:rPr>
        <w:rFonts w:ascii="Webdings" w:hAnsi="Webdings" w:hint="default"/>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DD11D5E"/>
    <w:multiLevelType w:val="multilevel"/>
    <w:tmpl w:val="E4926B20"/>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E4B46E7"/>
    <w:multiLevelType w:val="multilevel"/>
    <w:tmpl w:val="53B6048E"/>
    <w:lvl w:ilvl="0">
      <w:start w:val="1"/>
      <w:numFmt w:val="bullet"/>
      <w:lvlText w:val=""/>
      <w:lvlJc w:val="left"/>
      <w:pPr>
        <w:tabs>
          <w:tab w:val="num" w:pos="720"/>
        </w:tabs>
        <w:ind w:left="720" w:hanging="360"/>
      </w:pPr>
      <w:rPr>
        <w:rFonts w:ascii="Webdings" w:hAnsi="Webdings" w:hint="default"/>
        <w:color w:val="C000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634FDE"/>
    <w:multiLevelType w:val="multilevel"/>
    <w:tmpl w:val="0DFCE5B8"/>
    <w:lvl w:ilvl="0">
      <w:start w:val="1"/>
      <w:numFmt w:val="bullet"/>
      <w:lvlText w:val=""/>
      <w:lvlJc w:val="left"/>
      <w:pPr>
        <w:tabs>
          <w:tab w:val="num" w:pos="720"/>
        </w:tabs>
        <w:ind w:left="720" w:hanging="360"/>
      </w:pPr>
      <w:rPr>
        <w:rFonts w:ascii="Webdings" w:hAnsi="Web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78056">
    <w:abstractNumId w:val="69"/>
  </w:num>
  <w:num w:numId="2" w16cid:durableId="1568999490">
    <w:abstractNumId w:val="0"/>
  </w:num>
  <w:num w:numId="3" w16cid:durableId="416482744">
    <w:abstractNumId w:val="63"/>
  </w:num>
  <w:num w:numId="4" w16cid:durableId="1178692189">
    <w:abstractNumId w:val="76"/>
  </w:num>
  <w:num w:numId="5" w16cid:durableId="326401339">
    <w:abstractNumId w:val="11"/>
  </w:num>
  <w:num w:numId="6" w16cid:durableId="1895315526">
    <w:abstractNumId w:val="42"/>
  </w:num>
  <w:num w:numId="7" w16cid:durableId="1462457290">
    <w:abstractNumId w:val="15"/>
  </w:num>
  <w:num w:numId="8" w16cid:durableId="1591542905">
    <w:abstractNumId w:val="16"/>
  </w:num>
  <w:num w:numId="9" w16cid:durableId="1736662642">
    <w:abstractNumId w:val="64"/>
  </w:num>
  <w:num w:numId="10" w16cid:durableId="1023242229">
    <w:abstractNumId w:val="26"/>
  </w:num>
  <w:num w:numId="11" w16cid:durableId="325866947">
    <w:abstractNumId w:val="50"/>
  </w:num>
  <w:num w:numId="12" w16cid:durableId="1501964746">
    <w:abstractNumId w:val="49"/>
  </w:num>
  <w:num w:numId="13" w16cid:durableId="18223103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6656248">
    <w:abstractNumId w:val="74"/>
  </w:num>
  <w:num w:numId="15" w16cid:durableId="1223516399">
    <w:abstractNumId w:val="79"/>
  </w:num>
  <w:num w:numId="16" w16cid:durableId="554775599">
    <w:abstractNumId w:val="10"/>
  </w:num>
  <w:num w:numId="17" w16cid:durableId="1195383131">
    <w:abstractNumId w:val="35"/>
  </w:num>
  <w:num w:numId="18" w16cid:durableId="656612368">
    <w:abstractNumId w:val="7"/>
  </w:num>
  <w:num w:numId="19" w16cid:durableId="49883568">
    <w:abstractNumId w:val="12"/>
  </w:num>
  <w:num w:numId="20" w16cid:durableId="294219146">
    <w:abstractNumId w:val="75"/>
  </w:num>
  <w:num w:numId="21" w16cid:durableId="1354265415">
    <w:abstractNumId w:val="27"/>
  </w:num>
  <w:num w:numId="22" w16cid:durableId="1302811696">
    <w:abstractNumId w:val="24"/>
  </w:num>
  <w:num w:numId="23" w16cid:durableId="1664699048">
    <w:abstractNumId w:val="77"/>
  </w:num>
  <w:num w:numId="24" w16cid:durableId="1109395716">
    <w:abstractNumId w:val="33"/>
  </w:num>
  <w:num w:numId="25" w16cid:durableId="1002974926">
    <w:abstractNumId w:val="55"/>
  </w:num>
  <w:num w:numId="26" w16cid:durableId="1374311479">
    <w:abstractNumId w:val="29"/>
  </w:num>
  <w:num w:numId="27" w16cid:durableId="523520418">
    <w:abstractNumId w:val="21"/>
  </w:num>
  <w:num w:numId="28" w16cid:durableId="1895123449">
    <w:abstractNumId w:val="23"/>
  </w:num>
  <w:num w:numId="29" w16cid:durableId="1386832854">
    <w:abstractNumId w:val="83"/>
  </w:num>
  <w:num w:numId="30" w16cid:durableId="1106774982">
    <w:abstractNumId w:val="20"/>
  </w:num>
  <w:num w:numId="31" w16cid:durableId="2058314576">
    <w:abstractNumId w:val="70"/>
  </w:num>
  <w:num w:numId="32" w16cid:durableId="201064798">
    <w:abstractNumId w:val="13"/>
  </w:num>
  <w:num w:numId="33" w16cid:durableId="1620916593">
    <w:abstractNumId w:val="19"/>
  </w:num>
  <w:num w:numId="34" w16cid:durableId="840700381">
    <w:abstractNumId w:val="60"/>
  </w:num>
  <w:num w:numId="35" w16cid:durableId="1647852542">
    <w:abstractNumId w:val="39"/>
  </w:num>
  <w:num w:numId="36" w16cid:durableId="38939804">
    <w:abstractNumId w:val="81"/>
  </w:num>
  <w:num w:numId="37" w16cid:durableId="326636717">
    <w:abstractNumId w:val="32"/>
  </w:num>
  <w:num w:numId="38" w16cid:durableId="548567145">
    <w:abstractNumId w:val="78"/>
  </w:num>
  <w:num w:numId="39" w16cid:durableId="385572407">
    <w:abstractNumId w:val="59"/>
  </w:num>
  <w:num w:numId="40" w16cid:durableId="663171093">
    <w:abstractNumId w:val="36"/>
  </w:num>
  <w:num w:numId="41" w16cid:durableId="1855608547">
    <w:abstractNumId w:val="82"/>
  </w:num>
  <w:num w:numId="42" w16cid:durableId="1490294761">
    <w:abstractNumId w:val="52"/>
  </w:num>
  <w:num w:numId="43" w16cid:durableId="443812600">
    <w:abstractNumId w:val="72"/>
  </w:num>
  <w:num w:numId="44" w16cid:durableId="384107342">
    <w:abstractNumId w:val="40"/>
  </w:num>
  <w:num w:numId="45" w16cid:durableId="250434199">
    <w:abstractNumId w:val="46"/>
  </w:num>
  <w:num w:numId="46" w16cid:durableId="1056120690">
    <w:abstractNumId w:val="53"/>
  </w:num>
  <w:num w:numId="47" w16cid:durableId="1982691637">
    <w:abstractNumId w:val="41"/>
  </w:num>
  <w:num w:numId="48" w16cid:durableId="1494640489">
    <w:abstractNumId w:val="14"/>
  </w:num>
  <w:num w:numId="49" w16cid:durableId="410321262">
    <w:abstractNumId w:val="2"/>
  </w:num>
  <w:num w:numId="50" w16cid:durableId="1371229219">
    <w:abstractNumId w:val="17"/>
  </w:num>
  <w:num w:numId="51" w16cid:durableId="1312519665">
    <w:abstractNumId w:val="66"/>
  </w:num>
  <w:num w:numId="52" w16cid:durableId="1885830509">
    <w:abstractNumId w:val="25"/>
  </w:num>
  <w:num w:numId="53" w16cid:durableId="61606070">
    <w:abstractNumId w:val="31"/>
  </w:num>
  <w:num w:numId="54" w16cid:durableId="438063061">
    <w:abstractNumId w:val="61"/>
  </w:num>
  <w:num w:numId="55" w16cid:durableId="1050953857">
    <w:abstractNumId w:val="73"/>
  </w:num>
  <w:num w:numId="56" w16cid:durableId="21519787">
    <w:abstractNumId w:val="9"/>
  </w:num>
  <w:num w:numId="57" w16cid:durableId="1916088224">
    <w:abstractNumId w:val="34"/>
  </w:num>
  <w:num w:numId="58" w16cid:durableId="574823328">
    <w:abstractNumId w:val="28"/>
  </w:num>
  <w:num w:numId="59" w16cid:durableId="367491564">
    <w:abstractNumId w:val="6"/>
  </w:num>
  <w:num w:numId="60" w16cid:durableId="1741519993">
    <w:abstractNumId w:val="5"/>
  </w:num>
  <w:num w:numId="61" w16cid:durableId="239214786">
    <w:abstractNumId w:val="71"/>
  </w:num>
  <w:num w:numId="62" w16cid:durableId="2023315189">
    <w:abstractNumId w:val="65"/>
  </w:num>
  <w:num w:numId="63" w16cid:durableId="204224649">
    <w:abstractNumId w:val="48"/>
  </w:num>
  <w:num w:numId="64" w16cid:durableId="1363825481">
    <w:abstractNumId w:val="1"/>
  </w:num>
  <w:num w:numId="65" w16cid:durableId="628781515">
    <w:abstractNumId w:val="67"/>
  </w:num>
  <w:num w:numId="66" w16cid:durableId="936252307">
    <w:abstractNumId w:val="3"/>
  </w:num>
  <w:num w:numId="67" w16cid:durableId="1465077621">
    <w:abstractNumId w:val="30"/>
  </w:num>
  <w:num w:numId="68" w16cid:durableId="1336959779">
    <w:abstractNumId w:val="56"/>
  </w:num>
  <w:num w:numId="69" w16cid:durableId="1264417385">
    <w:abstractNumId w:val="54"/>
  </w:num>
  <w:num w:numId="70" w16cid:durableId="1787384320">
    <w:abstractNumId w:val="37"/>
  </w:num>
  <w:num w:numId="71" w16cid:durableId="2144233358">
    <w:abstractNumId w:val="58"/>
  </w:num>
  <w:num w:numId="72" w16cid:durableId="2108111208">
    <w:abstractNumId w:val="44"/>
  </w:num>
  <w:num w:numId="73" w16cid:durableId="1059788783">
    <w:abstractNumId w:val="51"/>
  </w:num>
  <w:num w:numId="74" w16cid:durableId="1194227421">
    <w:abstractNumId w:val="57"/>
  </w:num>
  <w:num w:numId="75" w16cid:durableId="870384799">
    <w:abstractNumId w:val="43"/>
  </w:num>
  <w:num w:numId="76" w16cid:durableId="565260615">
    <w:abstractNumId w:val="22"/>
  </w:num>
  <w:num w:numId="77" w16cid:durableId="889878425">
    <w:abstractNumId w:val="38"/>
  </w:num>
  <w:num w:numId="78" w16cid:durableId="913708607">
    <w:abstractNumId w:val="18"/>
  </w:num>
  <w:num w:numId="79" w16cid:durableId="615216037">
    <w:abstractNumId w:val="80"/>
  </w:num>
  <w:num w:numId="80" w16cid:durableId="826045924">
    <w:abstractNumId w:val="8"/>
  </w:num>
  <w:num w:numId="81" w16cid:durableId="422841720">
    <w:abstractNumId w:val="45"/>
  </w:num>
  <w:num w:numId="82" w16cid:durableId="696658705">
    <w:abstractNumId w:val="15"/>
    <w:lvlOverride w:ilvl="0">
      <w:startOverride w:val="1"/>
    </w:lvlOverride>
  </w:num>
  <w:num w:numId="83" w16cid:durableId="1773745423">
    <w:abstractNumId w:val="15"/>
    <w:lvlOverride w:ilvl="0">
      <w:startOverride w:val="1"/>
    </w:lvlOverride>
  </w:num>
  <w:num w:numId="84" w16cid:durableId="1902399328">
    <w:abstractNumId w:val="15"/>
  </w:num>
  <w:num w:numId="85" w16cid:durableId="25958396">
    <w:abstractNumId w:val="15"/>
  </w:num>
  <w:num w:numId="86" w16cid:durableId="1209683577">
    <w:abstractNumId w:val="15"/>
  </w:num>
  <w:num w:numId="87" w16cid:durableId="186254662">
    <w:abstractNumId w:val="15"/>
  </w:num>
  <w:num w:numId="88" w16cid:durableId="1536235199">
    <w:abstractNumId w:val="62"/>
  </w:num>
  <w:num w:numId="89" w16cid:durableId="1756171049">
    <w:abstractNumId w:val="47"/>
  </w:num>
  <w:num w:numId="90" w16cid:durableId="1490635632">
    <w:abstractNumId w:val="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821"/>
    <w:rsid w:val="00000120"/>
    <w:rsid w:val="000006C9"/>
    <w:rsid w:val="000006EA"/>
    <w:rsid w:val="00000D73"/>
    <w:rsid w:val="00001162"/>
    <w:rsid w:val="000011FF"/>
    <w:rsid w:val="00001239"/>
    <w:rsid w:val="000012CF"/>
    <w:rsid w:val="0000187B"/>
    <w:rsid w:val="00001892"/>
    <w:rsid w:val="00001964"/>
    <w:rsid w:val="00001A5F"/>
    <w:rsid w:val="00001CD8"/>
    <w:rsid w:val="00001DC0"/>
    <w:rsid w:val="00001DDB"/>
    <w:rsid w:val="00001DDF"/>
    <w:rsid w:val="00001EBA"/>
    <w:rsid w:val="000023C5"/>
    <w:rsid w:val="0000241B"/>
    <w:rsid w:val="000024D9"/>
    <w:rsid w:val="00002643"/>
    <w:rsid w:val="000026AA"/>
    <w:rsid w:val="00002AA7"/>
    <w:rsid w:val="00002BA9"/>
    <w:rsid w:val="00002C47"/>
    <w:rsid w:val="00002EAE"/>
    <w:rsid w:val="0000305A"/>
    <w:rsid w:val="00003348"/>
    <w:rsid w:val="00003760"/>
    <w:rsid w:val="000038B9"/>
    <w:rsid w:val="0000404E"/>
    <w:rsid w:val="00004586"/>
    <w:rsid w:val="0000460E"/>
    <w:rsid w:val="000047D2"/>
    <w:rsid w:val="00004A1F"/>
    <w:rsid w:val="00004CB2"/>
    <w:rsid w:val="00004DE7"/>
    <w:rsid w:val="00004E1F"/>
    <w:rsid w:val="00004FE7"/>
    <w:rsid w:val="000054DB"/>
    <w:rsid w:val="000056C3"/>
    <w:rsid w:val="0000570E"/>
    <w:rsid w:val="00005AD1"/>
    <w:rsid w:val="00005B5C"/>
    <w:rsid w:val="00005B98"/>
    <w:rsid w:val="00005B9C"/>
    <w:rsid w:val="00005E20"/>
    <w:rsid w:val="00005F2B"/>
    <w:rsid w:val="00006070"/>
    <w:rsid w:val="0000619D"/>
    <w:rsid w:val="00006820"/>
    <w:rsid w:val="000068A0"/>
    <w:rsid w:val="00006B5A"/>
    <w:rsid w:val="00006D8F"/>
    <w:rsid w:val="00006DD4"/>
    <w:rsid w:val="00006FA7"/>
    <w:rsid w:val="000071F9"/>
    <w:rsid w:val="0000752B"/>
    <w:rsid w:val="0000755D"/>
    <w:rsid w:val="00007752"/>
    <w:rsid w:val="00007CC8"/>
    <w:rsid w:val="00007D09"/>
    <w:rsid w:val="00007D72"/>
    <w:rsid w:val="0001007C"/>
    <w:rsid w:val="00010535"/>
    <w:rsid w:val="000108E6"/>
    <w:rsid w:val="00010A8A"/>
    <w:rsid w:val="00010AA6"/>
    <w:rsid w:val="00010BCE"/>
    <w:rsid w:val="00010E76"/>
    <w:rsid w:val="00010EA1"/>
    <w:rsid w:val="00011020"/>
    <w:rsid w:val="00011067"/>
    <w:rsid w:val="000110D5"/>
    <w:rsid w:val="000110ED"/>
    <w:rsid w:val="00011156"/>
    <w:rsid w:val="0001174F"/>
    <w:rsid w:val="000118B3"/>
    <w:rsid w:val="00011A64"/>
    <w:rsid w:val="00011D3C"/>
    <w:rsid w:val="00011EB2"/>
    <w:rsid w:val="00011FCB"/>
    <w:rsid w:val="00011FD9"/>
    <w:rsid w:val="0001213B"/>
    <w:rsid w:val="0001234C"/>
    <w:rsid w:val="00012509"/>
    <w:rsid w:val="00012671"/>
    <w:rsid w:val="0001267B"/>
    <w:rsid w:val="0001280B"/>
    <w:rsid w:val="000128E7"/>
    <w:rsid w:val="00012CF0"/>
    <w:rsid w:val="00012EF3"/>
    <w:rsid w:val="00013057"/>
    <w:rsid w:val="000131FE"/>
    <w:rsid w:val="00013718"/>
    <w:rsid w:val="00013CD2"/>
    <w:rsid w:val="00013EE2"/>
    <w:rsid w:val="00013FEF"/>
    <w:rsid w:val="00014080"/>
    <w:rsid w:val="0001454D"/>
    <w:rsid w:val="000148E8"/>
    <w:rsid w:val="00014B38"/>
    <w:rsid w:val="00014E11"/>
    <w:rsid w:val="00014E5D"/>
    <w:rsid w:val="00014E6E"/>
    <w:rsid w:val="00015064"/>
    <w:rsid w:val="000150AF"/>
    <w:rsid w:val="000152A6"/>
    <w:rsid w:val="000152C0"/>
    <w:rsid w:val="000153D9"/>
    <w:rsid w:val="000154C4"/>
    <w:rsid w:val="0001559D"/>
    <w:rsid w:val="0001571B"/>
    <w:rsid w:val="00015A46"/>
    <w:rsid w:val="00015AB6"/>
    <w:rsid w:val="00015CF5"/>
    <w:rsid w:val="00016430"/>
    <w:rsid w:val="0001645C"/>
    <w:rsid w:val="00016842"/>
    <w:rsid w:val="00016999"/>
    <w:rsid w:val="00016BD6"/>
    <w:rsid w:val="00016E3A"/>
    <w:rsid w:val="00016EAD"/>
    <w:rsid w:val="00016F8D"/>
    <w:rsid w:val="000170F2"/>
    <w:rsid w:val="0001715B"/>
    <w:rsid w:val="00017222"/>
    <w:rsid w:val="00017344"/>
    <w:rsid w:val="0001738B"/>
    <w:rsid w:val="000177FB"/>
    <w:rsid w:val="00017B08"/>
    <w:rsid w:val="00017BC4"/>
    <w:rsid w:val="00017D61"/>
    <w:rsid w:val="00017F12"/>
    <w:rsid w:val="00020085"/>
    <w:rsid w:val="00020364"/>
    <w:rsid w:val="0002048A"/>
    <w:rsid w:val="000204AE"/>
    <w:rsid w:val="000206CF"/>
    <w:rsid w:val="000209EA"/>
    <w:rsid w:val="00020B5A"/>
    <w:rsid w:val="00020C2F"/>
    <w:rsid w:val="00020DD9"/>
    <w:rsid w:val="00020E5E"/>
    <w:rsid w:val="000210FD"/>
    <w:rsid w:val="0002115D"/>
    <w:rsid w:val="0002116F"/>
    <w:rsid w:val="000218B7"/>
    <w:rsid w:val="00021A7F"/>
    <w:rsid w:val="00021ACA"/>
    <w:rsid w:val="00021BE0"/>
    <w:rsid w:val="00021BF5"/>
    <w:rsid w:val="00021CBC"/>
    <w:rsid w:val="00022106"/>
    <w:rsid w:val="00022181"/>
    <w:rsid w:val="000224BD"/>
    <w:rsid w:val="0002278C"/>
    <w:rsid w:val="000227D4"/>
    <w:rsid w:val="00022924"/>
    <w:rsid w:val="00022B1F"/>
    <w:rsid w:val="00022BCE"/>
    <w:rsid w:val="00022C18"/>
    <w:rsid w:val="00022C99"/>
    <w:rsid w:val="00022CC7"/>
    <w:rsid w:val="00022E6D"/>
    <w:rsid w:val="00022F8D"/>
    <w:rsid w:val="00022FC5"/>
    <w:rsid w:val="00023437"/>
    <w:rsid w:val="000237C8"/>
    <w:rsid w:val="00023CBC"/>
    <w:rsid w:val="00023E18"/>
    <w:rsid w:val="00023FEE"/>
    <w:rsid w:val="000248F3"/>
    <w:rsid w:val="00024C37"/>
    <w:rsid w:val="000250C5"/>
    <w:rsid w:val="00025468"/>
    <w:rsid w:val="000256AC"/>
    <w:rsid w:val="0002571A"/>
    <w:rsid w:val="0002581E"/>
    <w:rsid w:val="0002590B"/>
    <w:rsid w:val="00025950"/>
    <w:rsid w:val="00025CD9"/>
    <w:rsid w:val="0002605F"/>
    <w:rsid w:val="00026415"/>
    <w:rsid w:val="000264F4"/>
    <w:rsid w:val="00026595"/>
    <w:rsid w:val="0002665E"/>
    <w:rsid w:val="00026B55"/>
    <w:rsid w:val="00026B62"/>
    <w:rsid w:val="00026C2F"/>
    <w:rsid w:val="00026D9A"/>
    <w:rsid w:val="00027390"/>
    <w:rsid w:val="0002788D"/>
    <w:rsid w:val="000279DB"/>
    <w:rsid w:val="00027A78"/>
    <w:rsid w:val="00027C98"/>
    <w:rsid w:val="00027DBE"/>
    <w:rsid w:val="00027FB2"/>
    <w:rsid w:val="00030009"/>
    <w:rsid w:val="00030075"/>
    <w:rsid w:val="000301BA"/>
    <w:rsid w:val="000302AD"/>
    <w:rsid w:val="00030324"/>
    <w:rsid w:val="00030398"/>
    <w:rsid w:val="000303AA"/>
    <w:rsid w:val="000305AD"/>
    <w:rsid w:val="0003061F"/>
    <w:rsid w:val="000306A1"/>
    <w:rsid w:val="00030757"/>
    <w:rsid w:val="000307F8"/>
    <w:rsid w:val="0003087F"/>
    <w:rsid w:val="00030934"/>
    <w:rsid w:val="000309E6"/>
    <w:rsid w:val="00030A94"/>
    <w:rsid w:val="00030B41"/>
    <w:rsid w:val="00030C7E"/>
    <w:rsid w:val="00030D09"/>
    <w:rsid w:val="00031834"/>
    <w:rsid w:val="00031A81"/>
    <w:rsid w:val="00031D3B"/>
    <w:rsid w:val="00031E88"/>
    <w:rsid w:val="00031EA2"/>
    <w:rsid w:val="000328BA"/>
    <w:rsid w:val="0003317E"/>
    <w:rsid w:val="000334C8"/>
    <w:rsid w:val="000339BC"/>
    <w:rsid w:val="000339D2"/>
    <w:rsid w:val="00033C03"/>
    <w:rsid w:val="00033CD3"/>
    <w:rsid w:val="00033FFD"/>
    <w:rsid w:val="00034153"/>
    <w:rsid w:val="00034225"/>
    <w:rsid w:val="00034247"/>
    <w:rsid w:val="00034785"/>
    <w:rsid w:val="00034C68"/>
    <w:rsid w:val="00034FA4"/>
    <w:rsid w:val="00035355"/>
    <w:rsid w:val="0003556A"/>
    <w:rsid w:val="0003589E"/>
    <w:rsid w:val="0003596C"/>
    <w:rsid w:val="0003598E"/>
    <w:rsid w:val="00035B46"/>
    <w:rsid w:val="00035B6B"/>
    <w:rsid w:val="00035C18"/>
    <w:rsid w:val="00036048"/>
    <w:rsid w:val="000361EA"/>
    <w:rsid w:val="0003635E"/>
    <w:rsid w:val="00036556"/>
    <w:rsid w:val="000368C9"/>
    <w:rsid w:val="00036976"/>
    <w:rsid w:val="00036A49"/>
    <w:rsid w:val="00036B3F"/>
    <w:rsid w:val="00036CB8"/>
    <w:rsid w:val="00036FCC"/>
    <w:rsid w:val="00037315"/>
    <w:rsid w:val="000375C7"/>
    <w:rsid w:val="000376A9"/>
    <w:rsid w:val="000377CB"/>
    <w:rsid w:val="000379B4"/>
    <w:rsid w:val="00037AFD"/>
    <w:rsid w:val="00037B73"/>
    <w:rsid w:val="00037F44"/>
    <w:rsid w:val="0004001C"/>
    <w:rsid w:val="00040057"/>
    <w:rsid w:val="0004006E"/>
    <w:rsid w:val="00040582"/>
    <w:rsid w:val="00040ACA"/>
    <w:rsid w:val="00040CF0"/>
    <w:rsid w:val="00040E84"/>
    <w:rsid w:val="00040F81"/>
    <w:rsid w:val="0004107D"/>
    <w:rsid w:val="000410FE"/>
    <w:rsid w:val="0004111D"/>
    <w:rsid w:val="000411A7"/>
    <w:rsid w:val="00041377"/>
    <w:rsid w:val="00041380"/>
    <w:rsid w:val="0004152A"/>
    <w:rsid w:val="00041850"/>
    <w:rsid w:val="00041A03"/>
    <w:rsid w:val="00041A33"/>
    <w:rsid w:val="00041A39"/>
    <w:rsid w:val="00041B1C"/>
    <w:rsid w:val="00041E35"/>
    <w:rsid w:val="00041F7F"/>
    <w:rsid w:val="000425D0"/>
    <w:rsid w:val="0004269F"/>
    <w:rsid w:val="00042747"/>
    <w:rsid w:val="00042BF5"/>
    <w:rsid w:val="00042C61"/>
    <w:rsid w:val="00042C81"/>
    <w:rsid w:val="00042E49"/>
    <w:rsid w:val="000432E8"/>
    <w:rsid w:val="00043427"/>
    <w:rsid w:val="00043528"/>
    <w:rsid w:val="00043568"/>
    <w:rsid w:val="000435F9"/>
    <w:rsid w:val="000437DB"/>
    <w:rsid w:val="000437F2"/>
    <w:rsid w:val="00043953"/>
    <w:rsid w:val="00043AC8"/>
    <w:rsid w:val="00043EE3"/>
    <w:rsid w:val="00043FC8"/>
    <w:rsid w:val="0004405B"/>
    <w:rsid w:val="00044413"/>
    <w:rsid w:val="000444A8"/>
    <w:rsid w:val="00044654"/>
    <w:rsid w:val="00044713"/>
    <w:rsid w:val="00044B34"/>
    <w:rsid w:val="00044CE5"/>
    <w:rsid w:val="00044F0D"/>
    <w:rsid w:val="0004505E"/>
    <w:rsid w:val="000452DA"/>
    <w:rsid w:val="000459F2"/>
    <w:rsid w:val="000459FB"/>
    <w:rsid w:val="00045C47"/>
    <w:rsid w:val="00045C5F"/>
    <w:rsid w:val="00045CA5"/>
    <w:rsid w:val="00046135"/>
    <w:rsid w:val="0004647B"/>
    <w:rsid w:val="0004653A"/>
    <w:rsid w:val="0004675D"/>
    <w:rsid w:val="0004685E"/>
    <w:rsid w:val="00046D82"/>
    <w:rsid w:val="00046F4D"/>
    <w:rsid w:val="00047073"/>
    <w:rsid w:val="00047136"/>
    <w:rsid w:val="000473E9"/>
    <w:rsid w:val="00047466"/>
    <w:rsid w:val="0004756C"/>
    <w:rsid w:val="0004769A"/>
    <w:rsid w:val="00047983"/>
    <w:rsid w:val="00047AA3"/>
    <w:rsid w:val="00047C4B"/>
    <w:rsid w:val="00047F0E"/>
    <w:rsid w:val="00050055"/>
    <w:rsid w:val="0005006A"/>
    <w:rsid w:val="000501B8"/>
    <w:rsid w:val="0005028A"/>
    <w:rsid w:val="00050559"/>
    <w:rsid w:val="00050579"/>
    <w:rsid w:val="000505C2"/>
    <w:rsid w:val="0005089E"/>
    <w:rsid w:val="000508E9"/>
    <w:rsid w:val="00050951"/>
    <w:rsid w:val="00050B01"/>
    <w:rsid w:val="00050C99"/>
    <w:rsid w:val="00050E62"/>
    <w:rsid w:val="00050EF7"/>
    <w:rsid w:val="00051336"/>
    <w:rsid w:val="00051483"/>
    <w:rsid w:val="000514FF"/>
    <w:rsid w:val="0005178B"/>
    <w:rsid w:val="0005182B"/>
    <w:rsid w:val="0005192D"/>
    <w:rsid w:val="00051A93"/>
    <w:rsid w:val="00052146"/>
    <w:rsid w:val="00052282"/>
    <w:rsid w:val="00052465"/>
    <w:rsid w:val="0005254B"/>
    <w:rsid w:val="000526E1"/>
    <w:rsid w:val="00052D82"/>
    <w:rsid w:val="00052F9E"/>
    <w:rsid w:val="00052FC8"/>
    <w:rsid w:val="00053140"/>
    <w:rsid w:val="00053261"/>
    <w:rsid w:val="00053516"/>
    <w:rsid w:val="000537DF"/>
    <w:rsid w:val="00053819"/>
    <w:rsid w:val="00053A40"/>
    <w:rsid w:val="00053B68"/>
    <w:rsid w:val="00053D09"/>
    <w:rsid w:val="00053E84"/>
    <w:rsid w:val="00054217"/>
    <w:rsid w:val="00054756"/>
    <w:rsid w:val="000548BA"/>
    <w:rsid w:val="00054EEB"/>
    <w:rsid w:val="000550FE"/>
    <w:rsid w:val="00055507"/>
    <w:rsid w:val="00055626"/>
    <w:rsid w:val="00055769"/>
    <w:rsid w:val="000558B4"/>
    <w:rsid w:val="00055969"/>
    <w:rsid w:val="00055AD7"/>
    <w:rsid w:val="000560E4"/>
    <w:rsid w:val="000560FE"/>
    <w:rsid w:val="0005617B"/>
    <w:rsid w:val="000563C4"/>
    <w:rsid w:val="000563CD"/>
    <w:rsid w:val="00056456"/>
    <w:rsid w:val="0005665A"/>
    <w:rsid w:val="0005674B"/>
    <w:rsid w:val="00056770"/>
    <w:rsid w:val="0005685B"/>
    <w:rsid w:val="000568EA"/>
    <w:rsid w:val="00056DE9"/>
    <w:rsid w:val="00056F23"/>
    <w:rsid w:val="00056FCD"/>
    <w:rsid w:val="000571A7"/>
    <w:rsid w:val="00057753"/>
    <w:rsid w:val="00057838"/>
    <w:rsid w:val="00057ED6"/>
    <w:rsid w:val="00057F37"/>
    <w:rsid w:val="00057F5F"/>
    <w:rsid w:val="000602DA"/>
    <w:rsid w:val="00060349"/>
    <w:rsid w:val="0006048C"/>
    <w:rsid w:val="00060496"/>
    <w:rsid w:val="0006060A"/>
    <w:rsid w:val="00060682"/>
    <w:rsid w:val="0006068D"/>
    <w:rsid w:val="00060BBB"/>
    <w:rsid w:val="00060C99"/>
    <w:rsid w:val="00061360"/>
    <w:rsid w:val="00061A62"/>
    <w:rsid w:val="00061BA6"/>
    <w:rsid w:val="00061C26"/>
    <w:rsid w:val="00061EB9"/>
    <w:rsid w:val="00061F86"/>
    <w:rsid w:val="0006204D"/>
    <w:rsid w:val="00062050"/>
    <w:rsid w:val="000620AB"/>
    <w:rsid w:val="00062192"/>
    <w:rsid w:val="000623F7"/>
    <w:rsid w:val="00062429"/>
    <w:rsid w:val="00062638"/>
    <w:rsid w:val="00062A3B"/>
    <w:rsid w:val="00062C25"/>
    <w:rsid w:val="0006318C"/>
    <w:rsid w:val="00063516"/>
    <w:rsid w:val="00063536"/>
    <w:rsid w:val="000639BD"/>
    <w:rsid w:val="00063B8B"/>
    <w:rsid w:val="00063BBC"/>
    <w:rsid w:val="00063C1D"/>
    <w:rsid w:val="00064077"/>
    <w:rsid w:val="00064164"/>
    <w:rsid w:val="0006432B"/>
    <w:rsid w:val="00064340"/>
    <w:rsid w:val="00064651"/>
    <w:rsid w:val="00064664"/>
    <w:rsid w:val="00064878"/>
    <w:rsid w:val="00064A1E"/>
    <w:rsid w:val="00064A51"/>
    <w:rsid w:val="00064C80"/>
    <w:rsid w:val="00064D0A"/>
    <w:rsid w:val="00064D4C"/>
    <w:rsid w:val="00064FCC"/>
    <w:rsid w:val="0006578F"/>
    <w:rsid w:val="0006583C"/>
    <w:rsid w:val="00065841"/>
    <w:rsid w:val="00065BD3"/>
    <w:rsid w:val="00065BEE"/>
    <w:rsid w:val="00065CEC"/>
    <w:rsid w:val="00065D31"/>
    <w:rsid w:val="000661C8"/>
    <w:rsid w:val="00066219"/>
    <w:rsid w:val="00066241"/>
    <w:rsid w:val="000664DC"/>
    <w:rsid w:val="00066600"/>
    <w:rsid w:val="00066786"/>
    <w:rsid w:val="00066980"/>
    <w:rsid w:val="00066A7D"/>
    <w:rsid w:val="00066ADE"/>
    <w:rsid w:val="00066C62"/>
    <w:rsid w:val="00066CCD"/>
    <w:rsid w:val="00066DD5"/>
    <w:rsid w:val="000671C7"/>
    <w:rsid w:val="000675A8"/>
    <w:rsid w:val="00067F8F"/>
    <w:rsid w:val="000700EE"/>
    <w:rsid w:val="000705F8"/>
    <w:rsid w:val="000706E5"/>
    <w:rsid w:val="00070759"/>
    <w:rsid w:val="00070A63"/>
    <w:rsid w:val="00070A9D"/>
    <w:rsid w:val="00070C44"/>
    <w:rsid w:val="00070E3A"/>
    <w:rsid w:val="00070E7A"/>
    <w:rsid w:val="0007116D"/>
    <w:rsid w:val="000713EA"/>
    <w:rsid w:val="00071694"/>
    <w:rsid w:val="00071722"/>
    <w:rsid w:val="0007179F"/>
    <w:rsid w:val="0007181A"/>
    <w:rsid w:val="00071970"/>
    <w:rsid w:val="00071BE1"/>
    <w:rsid w:val="00071C04"/>
    <w:rsid w:val="00071D21"/>
    <w:rsid w:val="0007224F"/>
    <w:rsid w:val="000723F0"/>
    <w:rsid w:val="0007241B"/>
    <w:rsid w:val="00072EB0"/>
    <w:rsid w:val="00072F76"/>
    <w:rsid w:val="00072FA5"/>
    <w:rsid w:val="0007306F"/>
    <w:rsid w:val="00073299"/>
    <w:rsid w:val="00073479"/>
    <w:rsid w:val="00073594"/>
    <w:rsid w:val="00073852"/>
    <w:rsid w:val="00073903"/>
    <w:rsid w:val="00074551"/>
    <w:rsid w:val="00074C2E"/>
    <w:rsid w:val="00074CA1"/>
    <w:rsid w:val="00074D8A"/>
    <w:rsid w:val="0007548A"/>
    <w:rsid w:val="000754B9"/>
    <w:rsid w:val="00075B99"/>
    <w:rsid w:val="00075C40"/>
    <w:rsid w:val="00075E3A"/>
    <w:rsid w:val="00075E43"/>
    <w:rsid w:val="00075EB3"/>
    <w:rsid w:val="00075ECB"/>
    <w:rsid w:val="00075ED6"/>
    <w:rsid w:val="000760F7"/>
    <w:rsid w:val="0007610D"/>
    <w:rsid w:val="00076145"/>
    <w:rsid w:val="000761A9"/>
    <w:rsid w:val="000765CD"/>
    <w:rsid w:val="00076684"/>
    <w:rsid w:val="000766DE"/>
    <w:rsid w:val="000767D7"/>
    <w:rsid w:val="0007688F"/>
    <w:rsid w:val="00076ABA"/>
    <w:rsid w:val="00076F4A"/>
    <w:rsid w:val="00077327"/>
    <w:rsid w:val="00077408"/>
    <w:rsid w:val="00077503"/>
    <w:rsid w:val="000777EA"/>
    <w:rsid w:val="0007795C"/>
    <w:rsid w:val="00077AC8"/>
    <w:rsid w:val="00077AE2"/>
    <w:rsid w:val="00077CF4"/>
    <w:rsid w:val="00077F20"/>
    <w:rsid w:val="00077F61"/>
    <w:rsid w:val="000803AE"/>
    <w:rsid w:val="000803D3"/>
    <w:rsid w:val="00080548"/>
    <w:rsid w:val="00080771"/>
    <w:rsid w:val="00080CBF"/>
    <w:rsid w:val="00080CDA"/>
    <w:rsid w:val="00080E3E"/>
    <w:rsid w:val="00080F14"/>
    <w:rsid w:val="00081214"/>
    <w:rsid w:val="00081236"/>
    <w:rsid w:val="000814A0"/>
    <w:rsid w:val="00081830"/>
    <w:rsid w:val="00081AF2"/>
    <w:rsid w:val="00081B44"/>
    <w:rsid w:val="00081B5A"/>
    <w:rsid w:val="00081E2D"/>
    <w:rsid w:val="00081E92"/>
    <w:rsid w:val="00081FC7"/>
    <w:rsid w:val="00082001"/>
    <w:rsid w:val="00082416"/>
    <w:rsid w:val="000827BF"/>
    <w:rsid w:val="000829C6"/>
    <w:rsid w:val="00082F93"/>
    <w:rsid w:val="0008348D"/>
    <w:rsid w:val="000835AE"/>
    <w:rsid w:val="00083849"/>
    <w:rsid w:val="00083C96"/>
    <w:rsid w:val="00083D41"/>
    <w:rsid w:val="00084076"/>
    <w:rsid w:val="00084230"/>
    <w:rsid w:val="0008424A"/>
    <w:rsid w:val="000846CE"/>
    <w:rsid w:val="0008499A"/>
    <w:rsid w:val="00084AA9"/>
    <w:rsid w:val="00084F26"/>
    <w:rsid w:val="0008505F"/>
    <w:rsid w:val="00085281"/>
    <w:rsid w:val="000853FE"/>
    <w:rsid w:val="000854C6"/>
    <w:rsid w:val="000854DD"/>
    <w:rsid w:val="0008571C"/>
    <w:rsid w:val="00085D25"/>
    <w:rsid w:val="00085DE3"/>
    <w:rsid w:val="00085E9A"/>
    <w:rsid w:val="000860E8"/>
    <w:rsid w:val="00086460"/>
    <w:rsid w:val="0008697A"/>
    <w:rsid w:val="00086AF5"/>
    <w:rsid w:val="00086BC3"/>
    <w:rsid w:val="00086C8B"/>
    <w:rsid w:val="00086D29"/>
    <w:rsid w:val="00086DE1"/>
    <w:rsid w:val="00086E38"/>
    <w:rsid w:val="00086EF2"/>
    <w:rsid w:val="00086F68"/>
    <w:rsid w:val="00087465"/>
    <w:rsid w:val="000877F9"/>
    <w:rsid w:val="00087888"/>
    <w:rsid w:val="00087BC4"/>
    <w:rsid w:val="00087DDA"/>
    <w:rsid w:val="00087E05"/>
    <w:rsid w:val="00087E85"/>
    <w:rsid w:val="000908BD"/>
    <w:rsid w:val="00090AF9"/>
    <w:rsid w:val="00090B9A"/>
    <w:rsid w:val="00090F09"/>
    <w:rsid w:val="000911C8"/>
    <w:rsid w:val="000911E0"/>
    <w:rsid w:val="000916F4"/>
    <w:rsid w:val="00091896"/>
    <w:rsid w:val="00091929"/>
    <w:rsid w:val="00091993"/>
    <w:rsid w:val="00091C0B"/>
    <w:rsid w:val="00091C99"/>
    <w:rsid w:val="00091CD2"/>
    <w:rsid w:val="00091CEE"/>
    <w:rsid w:val="00091D74"/>
    <w:rsid w:val="00092451"/>
    <w:rsid w:val="00092616"/>
    <w:rsid w:val="000929C7"/>
    <w:rsid w:val="00092C76"/>
    <w:rsid w:val="00092FE4"/>
    <w:rsid w:val="0009312C"/>
    <w:rsid w:val="00093173"/>
    <w:rsid w:val="0009331E"/>
    <w:rsid w:val="00093366"/>
    <w:rsid w:val="000933B5"/>
    <w:rsid w:val="000935DD"/>
    <w:rsid w:val="0009362C"/>
    <w:rsid w:val="00093669"/>
    <w:rsid w:val="00094081"/>
    <w:rsid w:val="000944DF"/>
    <w:rsid w:val="000948FD"/>
    <w:rsid w:val="00094974"/>
    <w:rsid w:val="000949B9"/>
    <w:rsid w:val="00094DFB"/>
    <w:rsid w:val="00094EB6"/>
    <w:rsid w:val="00095392"/>
    <w:rsid w:val="00095400"/>
    <w:rsid w:val="00095453"/>
    <w:rsid w:val="000955A0"/>
    <w:rsid w:val="000959BC"/>
    <w:rsid w:val="00095A25"/>
    <w:rsid w:val="00095A4F"/>
    <w:rsid w:val="00095B24"/>
    <w:rsid w:val="00095E7D"/>
    <w:rsid w:val="0009651D"/>
    <w:rsid w:val="000966BA"/>
    <w:rsid w:val="00096763"/>
    <w:rsid w:val="00096816"/>
    <w:rsid w:val="00096825"/>
    <w:rsid w:val="00096E44"/>
    <w:rsid w:val="00096EB1"/>
    <w:rsid w:val="00097522"/>
    <w:rsid w:val="0009757F"/>
    <w:rsid w:val="000975B5"/>
    <w:rsid w:val="00097725"/>
    <w:rsid w:val="00097D1D"/>
    <w:rsid w:val="00097DFF"/>
    <w:rsid w:val="000A024A"/>
    <w:rsid w:val="000A0558"/>
    <w:rsid w:val="000A074F"/>
    <w:rsid w:val="000A0D5E"/>
    <w:rsid w:val="000A0E97"/>
    <w:rsid w:val="000A10CE"/>
    <w:rsid w:val="000A1186"/>
    <w:rsid w:val="000A141D"/>
    <w:rsid w:val="000A1553"/>
    <w:rsid w:val="000A178A"/>
    <w:rsid w:val="000A188E"/>
    <w:rsid w:val="000A19CD"/>
    <w:rsid w:val="000A1CD9"/>
    <w:rsid w:val="000A1E79"/>
    <w:rsid w:val="000A2044"/>
    <w:rsid w:val="000A20C8"/>
    <w:rsid w:val="000A24AD"/>
    <w:rsid w:val="000A2A29"/>
    <w:rsid w:val="000A2E3A"/>
    <w:rsid w:val="000A2EF5"/>
    <w:rsid w:val="000A3481"/>
    <w:rsid w:val="000A35BB"/>
    <w:rsid w:val="000A3637"/>
    <w:rsid w:val="000A39E9"/>
    <w:rsid w:val="000A3CAA"/>
    <w:rsid w:val="000A3F5D"/>
    <w:rsid w:val="000A464C"/>
    <w:rsid w:val="000A4680"/>
    <w:rsid w:val="000A47F3"/>
    <w:rsid w:val="000A4BC3"/>
    <w:rsid w:val="000A4DCF"/>
    <w:rsid w:val="000A4E0D"/>
    <w:rsid w:val="000A5264"/>
    <w:rsid w:val="000A5369"/>
    <w:rsid w:val="000A550E"/>
    <w:rsid w:val="000A566E"/>
    <w:rsid w:val="000A567A"/>
    <w:rsid w:val="000A57D9"/>
    <w:rsid w:val="000A57EC"/>
    <w:rsid w:val="000A59E6"/>
    <w:rsid w:val="000A5AC2"/>
    <w:rsid w:val="000A5C98"/>
    <w:rsid w:val="000A5DF9"/>
    <w:rsid w:val="000A5F39"/>
    <w:rsid w:val="000A61F9"/>
    <w:rsid w:val="000A6527"/>
    <w:rsid w:val="000A671C"/>
    <w:rsid w:val="000A692A"/>
    <w:rsid w:val="000A69EF"/>
    <w:rsid w:val="000A6B76"/>
    <w:rsid w:val="000A6D08"/>
    <w:rsid w:val="000A6D43"/>
    <w:rsid w:val="000A6DF7"/>
    <w:rsid w:val="000A6F12"/>
    <w:rsid w:val="000A6FCD"/>
    <w:rsid w:val="000A73C9"/>
    <w:rsid w:val="000A7682"/>
    <w:rsid w:val="000A76F4"/>
    <w:rsid w:val="000A799E"/>
    <w:rsid w:val="000A7AE7"/>
    <w:rsid w:val="000A7EE4"/>
    <w:rsid w:val="000B039A"/>
    <w:rsid w:val="000B0C34"/>
    <w:rsid w:val="000B1074"/>
    <w:rsid w:val="000B1185"/>
    <w:rsid w:val="000B1225"/>
    <w:rsid w:val="000B12B9"/>
    <w:rsid w:val="000B12F7"/>
    <w:rsid w:val="000B1373"/>
    <w:rsid w:val="000B15EF"/>
    <w:rsid w:val="000B1670"/>
    <w:rsid w:val="000B168F"/>
    <w:rsid w:val="000B1F41"/>
    <w:rsid w:val="000B2036"/>
    <w:rsid w:val="000B207C"/>
    <w:rsid w:val="000B20C1"/>
    <w:rsid w:val="000B20CE"/>
    <w:rsid w:val="000B23E6"/>
    <w:rsid w:val="000B241B"/>
    <w:rsid w:val="000B279A"/>
    <w:rsid w:val="000B2913"/>
    <w:rsid w:val="000B2AF9"/>
    <w:rsid w:val="000B2BEE"/>
    <w:rsid w:val="000B2DC3"/>
    <w:rsid w:val="000B2E98"/>
    <w:rsid w:val="000B3806"/>
    <w:rsid w:val="000B3A31"/>
    <w:rsid w:val="000B3B2B"/>
    <w:rsid w:val="000B3B3E"/>
    <w:rsid w:val="000B3C79"/>
    <w:rsid w:val="000B3F20"/>
    <w:rsid w:val="000B4099"/>
    <w:rsid w:val="000B427D"/>
    <w:rsid w:val="000B436B"/>
    <w:rsid w:val="000B43DD"/>
    <w:rsid w:val="000B454C"/>
    <w:rsid w:val="000B480C"/>
    <w:rsid w:val="000B4B61"/>
    <w:rsid w:val="000B4B87"/>
    <w:rsid w:val="000B4CE6"/>
    <w:rsid w:val="000B4CED"/>
    <w:rsid w:val="000B4D1E"/>
    <w:rsid w:val="000B4D98"/>
    <w:rsid w:val="000B5019"/>
    <w:rsid w:val="000B51AA"/>
    <w:rsid w:val="000B589C"/>
    <w:rsid w:val="000B5A8A"/>
    <w:rsid w:val="000B5B52"/>
    <w:rsid w:val="000B5CE8"/>
    <w:rsid w:val="000B5FAF"/>
    <w:rsid w:val="000B6222"/>
    <w:rsid w:val="000B6528"/>
    <w:rsid w:val="000B66BE"/>
    <w:rsid w:val="000B68FA"/>
    <w:rsid w:val="000B6B81"/>
    <w:rsid w:val="000B7276"/>
    <w:rsid w:val="000B7582"/>
    <w:rsid w:val="000B75E5"/>
    <w:rsid w:val="000B7774"/>
    <w:rsid w:val="000B788D"/>
    <w:rsid w:val="000B7B8A"/>
    <w:rsid w:val="000B7BCC"/>
    <w:rsid w:val="000B7E8E"/>
    <w:rsid w:val="000B7F8F"/>
    <w:rsid w:val="000B7F9D"/>
    <w:rsid w:val="000C0088"/>
    <w:rsid w:val="000C01D3"/>
    <w:rsid w:val="000C0313"/>
    <w:rsid w:val="000C05DB"/>
    <w:rsid w:val="000C05FE"/>
    <w:rsid w:val="000C0A1C"/>
    <w:rsid w:val="000C0CF9"/>
    <w:rsid w:val="000C12EA"/>
    <w:rsid w:val="000C13F3"/>
    <w:rsid w:val="000C142D"/>
    <w:rsid w:val="000C1F09"/>
    <w:rsid w:val="000C20E2"/>
    <w:rsid w:val="000C2207"/>
    <w:rsid w:val="000C22B4"/>
    <w:rsid w:val="000C2609"/>
    <w:rsid w:val="000C2945"/>
    <w:rsid w:val="000C2C15"/>
    <w:rsid w:val="000C2F4A"/>
    <w:rsid w:val="000C323F"/>
    <w:rsid w:val="000C3542"/>
    <w:rsid w:val="000C35EA"/>
    <w:rsid w:val="000C3D1C"/>
    <w:rsid w:val="000C40AA"/>
    <w:rsid w:val="000C437C"/>
    <w:rsid w:val="000C4718"/>
    <w:rsid w:val="000C4907"/>
    <w:rsid w:val="000C4ADB"/>
    <w:rsid w:val="000C4C65"/>
    <w:rsid w:val="000C4DFE"/>
    <w:rsid w:val="000C4E8E"/>
    <w:rsid w:val="000C5078"/>
    <w:rsid w:val="000C524F"/>
    <w:rsid w:val="000C597E"/>
    <w:rsid w:val="000C59D7"/>
    <w:rsid w:val="000C5C31"/>
    <w:rsid w:val="000C5EA0"/>
    <w:rsid w:val="000C620B"/>
    <w:rsid w:val="000C653B"/>
    <w:rsid w:val="000C6AD4"/>
    <w:rsid w:val="000C7070"/>
    <w:rsid w:val="000C713E"/>
    <w:rsid w:val="000C7383"/>
    <w:rsid w:val="000C7601"/>
    <w:rsid w:val="000C775A"/>
    <w:rsid w:val="000C788D"/>
    <w:rsid w:val="000C7B7F"/>
    <w:rsid w:val="000C7E9D"/>
    <w:rsid w:val="000C7EB7"/>
    <w:rsid w:val="000D0074"/>
    <w:rsid w:val="000D0191"/>
    <w:rsid w:val="000D0ACA"/>
    <w:rsid w:val="000D0C09"/>
    <w:rsid w:val="000D0C5A"/>
    <w:rsid w:val="000D0CF2"/>
    <w:rsid w:val="000D0DED"/>
    <w:rsid w:val="000D0E58"/>
    <w:rsid w:val="000D0F4D"/>
    <w:rsid w:val="000D1085"/>
    <w:rsid w:val="000D1096"/>
    <w:rsid w:val="000D12AB"/>
    <w:rsid w:val="000D18C1"/>
    <w:rsid w:val="000D18D4"/>
    <w:rsid w:val="000D1AAD"/>
    <w:rsid w:val="000D1BC3"/>
    <w:rsid w:val="000D21D4"/>
    <w:rsid w:val="000D25C2"/>
    <w:rsid w:val="000D2663"/>
    <w:rsid w:val="000D26CF"/>
    <w:rsid w:val="000D282F"/>
    <w:rsid w:val="000D2A20"/>
    <w:rsid w:val="000D2CCF"/>
    <w:rsid w:val="000D2D88"/>
    <w:rsid w:val="000D30E9"/>
    <w:rsid w:val="000D3134"/>
    <w:rsid w:val="000D3193"/>
    <w:rsid w:val="000D31FB"/>
    <w:rsid w:val="000D333E"/>
    <w:rsid w:val="000D3CFF"/>
    <w:rsid w:val="000D3DA5"/>
    <w:rsid w:val="000D3F09"/>
    <w:rsid w:val="000D408F"/>
    <w:rsid w:val="000D4240"/>
    <w:rsid w:val="000D43D7"/>
    <w:rsid w:val="000D445F"/>
    <w:rsid w:val="000D4551"/>
    <w:rsid w:val="000D4693"/>
    <w:rsid w:val="000D46DB"/>
    <w:rsid w:val="000D4AF7"/>
    <w:rsid w:val="000D4C20"/>
    <w:rsid w:val="000D4E1F"/>
    <w:rsid w:val="000D5C12"/>
    <w:rsid w:val="000D5DF6"/>
    <w:rsid w:val="000D5F3B"/>
    <w:rsid w:val="000D5F49"/>
    <w:rsid w:val="000D6167"/>
    <w:rsid w:val="000D65BE"/>
    <w:rsid w:val="000D6DBC"/>
    <w:rsid w:val="000D713C"/>
    <w:rsid w:val="000D7388"/>
    <w:rsid w:val="000D738A"/>
    <w:rsid w:val="000D75BC"/>
    <w:rsid w:val="000D75DD"/>
    <w:rsid w:val="000D75F5"/>
    <w:rsid w:val="000D771A"/>
    <w:rsid w:val="000D7731"/>
    <w:rsid w:val="000D780B"/>
    <w:rsid w:val="000D7952"/>
    <w:rsid w:val="000D7EEE"/>
    <w:rsid w:val="000E0015"/>
    <w:rsid w:val="000E00E5"/>
    <w:rsid w:val="000E013E"/>
    <w:rsid w:val="000E0528"/>
    <w:rsid w:val="000E0759"/>
    <w:rsid w:val="000E0788"/>
    <w:rsid w:val="000E07DE"/>
    <w:rsid w:val="000E082C"/>
    <w:rsid w:val="000E08CC"/>
    <w:rsid w:val="000E09A5"/>
    <w:rsid w:val="000E0CCE"/>
    <w:rsid w:val="000E0DF6"/>
    <w:rsid w:val="000E0EEE"/>
    <w:rsid w:val="000E11DD"/>
    <w:rsid w:val="000E1293"/>
    <w:rsid w:val="000E15BA"/>
    <w:rsid w:val="000E15FF"/>
    <w:rsid w:val="000E16C9"/>
    <w:rsid w:val="000E17ED"/>
    <w:rsid w:val="000E1966"/>
    <w:rsid w:val="000E1AFB"/>
    <w:rsid w:val="000E1CE2"/>
    <w:rsid w:val="000E1D11"/>
    <w:rsid w:val="000E2225"/>
    <w:rsid w:val="000E229E"/>
    <w:rsid w:val="000E243E"/>
    <w:rsid w:val="000E263D"/>
    <w:rsid w:val="000E2707"/>
    <w:rsid w:val="000E27ED"/>
    <w:rsid w:val="000E2911"/>
    <w:rsid w:val="000E2BAF"/>
    <w:rsid w:val="000E2DFF"/>
    <w:rsid w:val="000E3088"/>
    <w:rsid w:val="000E30A1"/>
    <w:rsid w:val="000E30CC"/>
    <w:rsid w:val="000E377B"/>
    <w:rsid w:val="000E3EB2"/>
    <w:rsid w:val="000E3F42"/>
    <w:rsid w:val="000E410F"/>
    <w:rsid w:val="000E423F"/>
    <w:rsid w:val="000E42E3"/>
    <w:rsid w:val="000E4612"/>
    <w:rsid w:val="000E4A31"/>
    <w:rsid w:val="000E4AF3"/>
    <w:rsid w:val="000E4C2E"/>
    <w:rsid w:val="000E4DE4"/>
    <w:rsid w:val="000E4DFA"/>
    <w:rsid w:val="000E5227"/>
    <w:rsid w:val="000E5532"/>
    <w:rsid w:val="000E5EA7"/>
    <w:rsid w:val="000E5F40"/>
    <w:rsid w:val="000E62FD"/>
    <w:rsid w:val="000E64E5"/>
    <w:rsid w:val="000E6A93"/>
    <w:rsid w:val="000E6BC2"/>
    <w:rsid w:val="000E6F8C"/>
    <w:rsid w:val="000E7408"/>
    <w:rsid w:val="000E754C"/>
    <w:rsid w:val="000E769C"/>
    <w:rsid w:val="000E7755"/>
    <w:rsid w:val="000E7892"/>
    <w:rsid w:val="000E7A0F"/>
    <w:rsid w:val="000E7A78"/>
    <w:rsid w:val="000E7B7B"/>
    <w:rsid w:val="000E7CB0"/>
    <w:rsid w:val="000E7E31"/>
    <w:rsid w:val="000F01A6"/>
    <w:rsid w:val="000F050A"/>
    <w:rsid w:val="000F0579"/>
    <w:rsid w:val="000F0778"/>
    <w:rsid w:val="000F0B51"/>
    <w:rsid w:val="000F0CD1"/>
    <w:rsid w:val="000F0D4D"/>
    <w:rsid w:val="000F108C"/>
    <w:rsid w:val="000F12E9"/>
    <w:rsid w:val="000F13AB"/>
    <w:rsid w:val="000F14AD"/>
    <w:rsid w:val="000F1846"/>
    <w:rsid w:val="000F18A2"/>
    <w:rsid w:val="000F1980"/>
    <w:rsid w:val="000F1A09"/>
    <w:rsid w:val="000F1A78"/>
    <w:rsid w:val="000F1F5C"/>
    <w:rsid w:val="000F24A4"/>
    <w:rsid w:val="000F24DE"/>
    <w:rsid w:val="000F25FE"/>
    <w:rsid w:val="000F290F"/>
    <w:rsid w:val="000F2932"/>
    <w:rsid w:val="000F2978"/>
    <w:rsid w:val="000F2C24"/>
    <w:rsid w:val="000F2EFA"/>
    <w:rsid w:val="000F2F6B"/>
    <w:rsid w:val="000F2F87"/>
    <w:rsid w:val="000F2FB3"/>
    <w:rsid w:val="000F32FE"/>
    <w:rsid w:val="000F335C"/>
    <w:rsid w:val="000F33B4"/>
    <w:rsid w:val="000F39E8"/>
    <w:rsid w:val="000F3C14"/>
    <w:rsid w:val="000F4213"/>
    <w:rsid w:val="000F495E"/>
    <w:rsid w:val="000F4B3B"/>
    <w:rsid w:val="000F4BC1"/>
    <w:rsid w:val="000F4CC1"/>
    <w:rsid w:val="000F51B9"/>
    <w:rsid w:val="000F539B"/>
    <w:rsid w:val="000F5466"/>
    <w:rsid w:val="000F5776"/>
    <w:rsid w:val="000F57E3"/>
    <w:rsid w:val="000F58FE"/>
    <w:rsid w:val="000F5B83"/>
    <w:rsid w:val="000F5E54"/>
    <w:rsid w:val="000F6073"/>
    <w:rsid w:val="000F62E2"/>
    <w:rsid w:val="000F6339"/>
    <w:rsid w:val="000F6568"/>
    <w:rsid w:val="000F666C"/>
    <w:rsid w:val="000F69EF"/>
    <w:rsid w:val="000F6BD4"/>
    <w:rsid w:val="000F6FC4"/>
    <w:rsid w:val="000F7197"/>
    <w:rsid w:val="000F71FB"/>
    <w:rsid w:val="000F75F4"/>
    <w:rsid w:val="000F768C"/>
    <w:rsid w:val="000F7852"/>
    <w:rsid w:val="000F787A"/>
    <w:rsid w:val="000F7A1D"/>
    <w:rsid w:val="000F7AAD"/>
    <w:rsid w:val="000F7B5B"/>
    <w:rsid w:val="000F7C57"/>
    <w:rsid w:val="000F7CCA"/>
    <w:rsid w:val="000F7CF2"/>
    <w:rsid w:val="000F7FB4"/>
    <w:rsid w:val="00100124"/>
    <w:rsid w:val="0010015D"/>
    <w:rsid w:val="00100215"/>
    <w:rsid w:val="0010043B"/>
    <w:rsid w:val="00100489"/>
    <w:rsid w:val="00100525"/>
    <w:rsid w:val="001005BB"/>
    <w:rsid w:val="00100698"/>
    <w:rsid w:val="00100955"/>
    <w:rsid w:val="00100C0B"/>
    <w:rsid w:val="001010EE"/>
    <w:rsid w:val="001011A4"/>
    <w:rsid w:val="001011C3"/>
    <w:rsid w:val="001011CA"/>
    <w:rsid w:val="001015D0"/>
    <w:rsid w:val="0010179F"/>
    <w:rsid w:val="001018AE"/>
    <w:rsid w:val="00101DB9"/>
    <w:rsid w:val="00102087"/>
    <w:rsid w:val="00102237"/>
    <w:rsid w:val="0010277F"/>
    <w:rsid w:val="00102BB8"/>
    <w:rsid w:val="00102EAE"/>
    <w:rsid w:val="001038E5"/>
    <w:rsid w:val="00103A0F"/>
    <w:rsid w:val="00103CA0"/>
    <w:rsid w:val="00103F4E"/>
    <w:rsid w:val="00103F87"/>
    <w:rsid w:val="00104697"/>
    <w:rsid w:val="001048B2"/>
    <w:rsid w:val="0010490A"/>
    <w:rsid w:val="00104A00"/>
    <w:rsid w:val="00104AD5"/>
    <w:rsid w:val="00104B99"/>
    <w:rsid w:val="00104F03"/>
    <w:rsid w:val="00105059"/>
    <w:rsid w:val="0010516A"/>
    <w:rsid w:val="001051E5"/>
    <w:rsid w:val="00105653"/>
    <w:rsid w:val="00105729"/>
    <w:rsid w:val="00105806"/>
    <w:rsid w:val="001058CD"/>
    <w:rsid w:val="00105952"/>
    <w:rsid w:val="00105B57"/>
    <w:rsid w:val="00105CD1"/>
    <w:rsid w:val="00106113"/>
    <w:rsid w:val="001065B7"/>
    <w:rsid w:val="00106BE2"/>
    <w:rsid w:val="00106C52"/>
    <w:rsid w:val="00106F4F"/>
    <w:rsid w:val="0010706E"/>
    <w:rsid w:val="00107112"/>
    <w:rsid w:val="001073D2"/>
    <w:rsid w:val="001074E9"/>
    <w:rsid w:val="001075A7"/>
    <w:rsid w:val="001100F7"/>
    <w:rsid w:val="001103EB"/>
    <w:rsid w:val="001106AD"/>
    <w:rsid w:val="0011071E"/>
    <w:rsid w:val="0011077E"/>
    <w:rsid w:val="001109ED"/>
    <w:rsid w:val="00110AF1"/>
    <w:rsid w:val="00110C0D"/>
    <w:rsid w:val="00110F22"/>
    <w:rsid w:val="001110DA"/>
    <w:rsid w:val="0011119C"/>
    <w:rsid w:val="00111382"/>
    <w:rsid w:val="00111389"/>
    <w:rsid w:val="00111580"/>
    <w:rsid w:val="00111A45"/>
    <w:rsid w:val="00111BCE"/>
    <w:rsid w:val="00111C56"/>
    <w:rsid w:val="00111C62"/>
    <w:rsid w:val="00111F19"/>
    <w:rsid w:val="00112A68"/>
    <w:rsid w:val="00112C4F"/>
    <w:rsid w:val="00112FC9"/>
    <w:rsid w:val="00113097"/>
    <w:rsid w:val="0011314A"/>
    <w:rsid w:val="001131A9"/>
    <w:rsid w:val="00113341"/>
    <w:rsid w:val="001134AF"/>
    <w:rsid w:val="00113525"/>
    <w:rsid w:val="00113B7F"/>
    <w:rsid w:val="00113C3E"/>
    <w:rsid w:val="00113FBA"/>
    <w:rsid w:val="00114440"/>
    <w:rsid w:val="0011447D"/>
    <w:rsid w:val="001144AF"/>
    <w:rsid w:val="0011457D"/>
    <w:rsid w:val="001146C7"/>
    <w:rsid w:val="001147D9"/>
    <w:rsid w:val="00114848"/>
    <w:rsid w:val="001148DB"/>
    <w:rsid w:val="00114913"/>
    <w:rsid w:val="00114C83"/>
    <w:rsid w:val="00114CDB"/>
    <w:rsid w:val="00114DA4"/>
    <w:rsid w:val="00114DF6"/>
    <w:rsid w:val="0011573D"/>
    <w:rsid w:val="00115C74"/>
    <w:rsid w:val="00115C9E"/>
    <w:rsid w:val="00115EBD"/>
    <w:rsid w:val="00116135"/>
    <w:rsid w:val="00116273"/>
    <w:rsid w:val="001162BC"/>
    <w:rsid w:val="0011638D"/>
    <w:rsid w:val="00116397"/>
    <w:rsid w:val="001163A9"/>
    <w:rsid w:val="00116514"/>
    <w:rsid w:val="00116534"/>
    <w:rsid w:val="001169B0"/>
    <w:rsid w:val="00116A56"/>
    <w:rsid w:val="00116B80"/>
    <w:rsid w:val="00116BC1"/>
    <w:rsid w:val="00116DD3"/>
    <w:rsid w:val="00116EC2"/>
    <w:rsid w:val="00117295"/>
    <w:rsid w:val="00117AE3"/>
    <w:rsid w:val="00117B81"/>
    <w:rsid w:val="00117D75"/>
    <w:rsid w:val="00117F1D"/>
    <w:rsid w:val="00120054"/>
    <w:rsid w:val="001202BF"/>
    <w:rsid w:val="001207DD"/>
    <w:rsid w:val="001207F6"/>
    <w:rsid w:val="00120B5C"/>
    <w:rsid w:val="001216DA"/>
    <w:rsid w:val="0012199E"/>
    <w:rsid w:val="00121C94"/>
    <w:rsid w:val="00122260"/>
    <w:rsid w:val="00122887"/>
    <w:rsid w:val="00122C05"/>
    <w:rsid w:val="00122C5A"/>
    <w:rsid w:val="00122C5F"/>
    <w:rsid w:val="00122F23"/>
    <w:rsid w:val="00122F61"/>
    <w:rsid w:val="00122FF4"/>
    <w:rsid w:val="0012306A"/>
    <w:rsid w:val="001230E6"/>
    <w:rsid w:val="00123128"/>
    <w:rsid w:val="001239D1"/>
    <w:rsid w:val="00123C2E"/>
    <w:rsid w:val="00123C63"/>
    <w:rsid w:val="00123FA0"/>
    <w:rsid w:val="0012406A"/>
    <w:rsid w:val="0012446A"/>
    <w:rsid w:val="0012462A"/>
    <w:rsid w:val="00124C85"/>
    <w:rsid w:val="00124D26"/>
    <w:rsid w:val="00124D57"/>
    <w:rsid w:val="00125032"/>
    <w:rsid w:val="001250EB"/>
    <w:rsid w:val="0012514C"/>
    <w:rsid w:val="00125565"/>
    <w:rsid w:val="00125574"/>
    <w:rsid w:val="00125847"/>
    <w:rsid w:val="00125F0D"/>
    <w:rsid w:val="00126186"/>
    <w:rsid w:val="0012624F"/>
    <w:rsid w:val="00126644"/>
    <w:rsid w:val="00126798"/>
    <w:rsid w:val="00126AF0"/>
    <w:rsid w:val="00126B90"/>
    <w:rsid w:val="00126FA5"/>
    <w:rsid w:val="0012729F"/>
    <w:rsid w:val="001272B4"/>
    <w:rsid w:val="00127B84"/>
    <w:rsid w:val="00127E8F"/>
    <w:rsid w:val="00130258"/>
    <w:rsid w:val="00130A83"/>
    <w:rsid w:val="00130D04"/>
    <w:rsid w:val="00130D65"/>
    <w:rsid w:val="00130EDA"/>
    <w:rsid w:val="0013115F"/>
    <w:rsid w:val="0013138C"/>
    <w:rsid w:val="0013140A"/>
    <w:rsid w:val="00131899"/>
    <w:rsid w:val="001318C5"/>
    <w:rsid w:val="00131C44"/>
    <w:rsid w:val="00131DC7"/>
    <w:rsid w:val="00131E06"/>
    <w:rsid w:val="00131E7D"/>
    <w:rsid w:val="00131F58"/>
    <w:rsid w:val="00131FE9"/>
    <w:rsid w:val="00132654"/>
    <w:rsid w:val="0013271C"/>
    <w:rsid w:val="00132732"/>
    <w:rsid w:val="001329A0"/>
    <w:rsid w:val="00132A21"/>
    <w:rsid w:val="00132CED"/>
    <w:rsid w:val="00132D32"/>
    <w:rsid w:val="00132D46"/>
    <w:rsid w:val="0013318D"/>
    <w:rsid w:val="00133451"/>
    <w:rsid w:val="0013358D"/>
    <w:rsid w:val="001335EE"/>
    <w:rsid w:val="00133A61"/>
    <w:rsid w:val="0013419D"/>
    <w:rsid w:val="0013423B"/>
    <w:rsid w:val="001342E2"/>
    <w:rsid w:val="001347CE"/>
    <w:rsid w:val="00134A8F"/>
    <w:rsid w:val="00134CAA"/>
    <w:rsid w:val="00134D48"/>
    <w:rsid w:val="00134F9C"/>
    <w:rsid w:val="001351DC"/>
    <w:rsid w:val="00135517"/>
    <w:rsid w:val="001357EB"/>
    <w:rsid w:val="0013583E"/>
    <w:rsid w:val="001358AC"/>
    <w:rsid w:val="00135AAD"/>
    <w:rsid w:val="00135B0D"/>
    <w:rsid w:val="00135CF5"/>
    <w:rsid w:val="00135DA7"/>
    <w:rsid w:val="00136280"/>
    <w:rsid w:val="001363A3"/>
    <w:rsid w:val="0013642E"/>
    <w:rsid w:val="00136A6D"/>
    <w:rsid w:val="00136D03"/>
    <w:rsid w:val="00136D7C"/>
    <w:rsid w:val="00136D93"/>
    <w:rsid w:val="00136FB4"/>
    <w:rsid w:val="00137044"/>
    <w:rsid w:val="0013767A"/>
    <w:rsid w:val="00137774"/>
    <w:rsid w:val="00137936"/>
    <w:rsid w:val="0013794D"/>
    <w:rsid w:val="00137B4D"/>
    <w:rsid w:val="00137C42"/>
    <w:rsid w:val="00137C87"/>
    <w:rsid w:val="00137C9E"/>
    <w:rsid w:val="00140395"/>
    <w:rsid w:val="0014054E"/>
    <w:rsid w:val="001408FF"/>
    <w:rsid w:val="00140941"/>
    <w:rsid w:val="001409D4"/>
    <w:rsid w:val="00140EC8"/>
    <w:rsid w:val="0014133E"/>
    <w:rsid w:val="001413E5"/>
    <w:rsid w:val="001414BD"/>
    <w:rsid w:val="00141595"/>
    <w:rsid w:val="001416C2"/>
    <w:rsid w:val="0014172F"/>
    <w:rsid w:val="0014183C"/>
    <w:rsid w:val="00141C6D"/>
    <w:rsid w:val="00141E28"/>
    <w:rsid w:val="00141ECF"/>
    <w:rsid w:val="00141F00"/>
    <w:rsid w:val="00141F20"/>
    <w:rsid w:val="0014204F"/>
    <w:rsid w:val="001421E2"/>
    <w:rsid w:val="0014223F"/>
    <w:rsid w:val="001422D6"/>
    <w:rsid w:val="0014250C"/>
    <w:rsid w:val="001425E8"/>
    <w:rsid w:val="00142643"/>
    <w:rsid w:val="001426BE"/>
    <w:rsid w:val="00142A2D"/>
    <w:rsid w:val="00142D6E"/>
    <w:rsid w:val="001435BC"/>
    <w:rsid w:val="00143675"/>
    <w:rsid w:val="00143825"/>
    <w:rsid w:val="00143CD6"/>
    <w:rsid w:val="00143FCC"/>
    <w:rsid w:val="001440D6"/>
    <w:rsid w:val="001445EE"/>
    <w:rsid w:val="001446D0"/>
    <w:rsid w:val="001446F2"/>
    <w:rsid w:val="00144A18"/>
    <w:rsid w:val="00144DE6"/>
    <w:rsid w:val="00144FBE"/>
    <w:rsid w:val="0014513A"/>
    <w:rsid w:val="001451DE"/>
    <w:rsid w:val="0014522B"/>
    <w:rsid w:val="001457DF"/>
    <w:rsid w:val="00145BA5"/>
    <w:rsid w:val="00145D13"/>
    <w:rsid w:val="00145E5E"/>
    <w:rsid w:val="00145FA4"/>
    <w:rsid w:val="001463AE"/>
    <w:rsid w:val="001464CE"/>
    <w:rsid w:val="0014691E"/>
    <w:rsid w:val="00146C5D"/>
    <w:rsid w:val="00146D34"/>
    <w:rsid w:val="00146DCD"/>
    <w:rsid w:val="0014708F"/>
    <w:rsid w:val="0014748F"/>
    <w:rsid w:val="00147497"/>
    <w:rsid w:val="0014765D"/>
    <w:rsid w:val="001476AB"/>
    <w:rsid w:val="001477B2"/>
    <w:rsid w:val="001479CF"/>
    <w:rsid w:val="00147B3D"/>
    <w:rsid w:val="00147C7E"/>
    <w:rsid w:val="00147E3B"/>
    <w:rsid w:val="00147E89"/>
    <w:rsid w:val="00147F47"/>
    <w:rsid w:val="00150003"/>
    <w:rsid w:val="00150685"/>
    <w:rsid w:val="0015071E"/>
    <w:rsid w:val="00150835"/>
    <w:rsid w:val="00150A9C"/>
    <w:rsid w:val="00150CCA"/>
    <w:rsid w:val="00150E09"/>
    <w:rsid w:val="00150EC4"/>
    <w:rsid w:val="00150FB6"/>
    <w:rsid w:val="00151512"/>
    <w:rsid w:val="001518E9"/>
    <w:rsid w:val="001519B6"/>
    <w:rsid w:val="00151AE3"/>
    <w:rsid w:val="00151FB5"/>
    <w:rsid w:val="00152229"/>
    <w:rsid w:val="00152686"/>
    <w:rsid w:val="0015269A"/>
    <w:rsid w:val="001526CF"/>
    <w:rsid w:val="001527FF"/>
    <w:rsid w:val="00152CAB"/>
    <w:rsid w:val="0015306C"/>
    <w:rsid w:val="00153624"/>
    <w:rsid w:val="001537E0"/>
    <w:rsid w:val="0015381E"/>
    <w:rsid w:val="0015383D"/>
    <w:rsid w:val="001538FE"/>
    <w:rsid w:val="001539EF"/>
    <w:rsid w:val="00153AD6"/>
    <w:rsid w:val="00153C63"/>
    <w:rsid w:val="00153DE2"/>
    <w:rsid w:val="00153E33"/>
    <w:rsid w:val="00153EA8"/>
    <w:rsid w:val="00153F40"/>
    <w:rsid w:val="001541BE"/>
    <w:rsid w:val="001542A3"/>
    <w:rsid w:val="001542C7"/>
    <w:rsid w:val="00154504"/>
    <w:rsid w:val="0015485B"/>
    <w:rsid w:val="0015485C"/>
    <w:rsid w:val="0015492B"/>
    <w:rsid w:val="001549D9"/>
    <w:rsid w:val="001549EE"/>
    <w:rsid w:val="00154A03"/>
    <w:rsid w:val="00154A1A"/>
    <w:rsid w:val="00154A49"/>
    <w:rsid w:val="00154AC2"/>
    <w:rsid w:val="00154CD5"/>
    <w:rsid w:val="001551AB"/>
    <w:rsid w:val="0015527A"/>
    <w:rsid w:val="001552E5"/>
    <w:rsid w:val="00155451"/>
    <w:rsid w:val="00155769"/>
    <w:rsid w:val="00155909"/>
    <w:rsid w:val="00155DE7"/>
    <w:rsid w:val="00155FC9"/>
    <w:rsid w:val="0015627F"/>
    <w:rsid w:val="00156D72"/>
    <w:rsid w:val="00156D8C"/>
    <w:rsid w:val="00156F3C"/>
    <w:rsid w:val="0015716B"/>
    <w:rsid w:val="0015735C"/>
    <w:rsid w:val="001575B5"/>
    <w:rsid w:val="001575C1"/>
    <w:rsid w:val="00157618"/>
    <w:rsid w:val="001576D6"/>
    <w:rsid w:val="0015770E"/>
    <w:rsid w:val="001577FE"/>
    <w:rsid w:val="00157990"/>
    <w:rsid w:val="00157A1D"/>
    <w:rsid w:val="00157BC4"/>
    <w:rsid w:val="00157BD3"/>
    <w:rsid w:val="00157C62"/>
    <w:rsid w:val="00157D33"/>
    <w:rsid w:val="0016004B"/>
    <w:rsid w:val="0016017E"/>
    <w:rsid w:val="0016026D"/>
    <w:rsid w:val="001602AB"/>
    <w:rsid w:val="0016061C"/>
    <w:rsid w:val="0016063A"/>
    <w:rsid w:val="001606AB"/>
    <w:rsid w:val="00160704"/>
    <w:rsid w:val="001609FB"/>
    <w:rsid w:val="00160D6B"/>
    <w:rsid w:val="00160DA5"/>
    <w:rsid w:val="00160F61"/>
    <w:rsid w:val="0016102C"/>
    <w:rsid w:val="00161543"/>
    <w:rsid w:val="001618E1"/>
    <w:rsid w:val="00161AB2"/>
    <w:rsid w:val="00161BDC"/>
    <w:rsid w:val="00161E79"/>
    <w:rsid w:val="00162114"/>
    <w:rsid w:val="00162184"/>
    <w:rsid w:val="00162280"/>
    <w:rsid w:val="0016243C"/>
    <w:rsid w:val="001624A1"/>
    <w:rsid w:val="00162802"/>
    <w:rsid w:val="0016286B"/>
    <w:rsid w:val="00162880"/>
    <w:rsid w:val="001629D4"/>
    <w:rsid w:val="00162A9E"/>
    <w:rsid w:val="00162ACA"/>
    <w:rsid w:val="00162B0C"/>
    <w:rsid w:val="00162E56"/>
    <w:rsid w:val="00162EC7"/>
    <w:rsid w:val="00163120"/>
    <w:rsid w:val="001631F6"/>
    <w:rsid w:val="001633C4"/>
    <w:rsid w:val="001634E5"/>
    <w:rsid w:val="001635F7"/>
    <w:rsid w:val="001636D7"/>
    <w:rsid w:val="00163738"/>
    <w:rsid w:val="00163FB3"/>
    <w:rsid w:val="00164022"/>
    <w:rsid w:val="0016403A"/>
    <w:rsid w:val="00164182"/>
    <w:rsid w:val="00164300"/>
    <w:rsid w:val="00164433"/>
    <w:rsid w:val="00164AED"/>
    <w:rsid w:val="00164BB6"/>
    <w:rsid w:val="00165110"/>
    <w:rsid w:val="001651F0"/>
    <w:rsid w:val="00165236"/>
    <w:rsid w:val="001653B8"/>
    <w:rsid w:val="00165D4B"/>
    <w:rsid w:val="00166041"/>
    <w:rsid w:val="00166659"/>
    <w:rsid w:val="00166954"/>
    <w:rsid w:val="00166B84"/>
    <w:rsid w:val="00166DC6"/>
    <w:rsid w:val="00166E2C"/>
    <w:rsid w:val="00167049"/>
    <w:rsid w:val="001671D7"/>
    <w:rsid w:val="00167328"/>
    <w:rsid w:val="0016739E"/>
    <w:rsid w:val="00167435"/>
    <w:rsid w:val="001675A2"/>
    <w:rsid w:val="00167AD6"/>
    <w:rsid w:val="00167C80"/>
    <w:rsid w:val="001704DB"/>
    <w:rsid w:val="00170C1A"/>
    <w:rsid w:val="00170D59"/>
    <w:rsid w:val="00171114"/>
    <w:rsid w:val="00171292"/>
    <w:rsid w:val="0017131F"/>
    <w:rsid w:val="001714C7"/>
    <w:rsid w:val="00171679"/>
    <w:rsid w:val="001718AA"/>
    <w:rsid w:val="0017194B"/>
    <w:rsid w:val="00171BA6"/>
    <w:rsid w:val="00171BE4"/>
    <w:rsid w:val="00171EF0"/>
    <w:rsid w:val="00172013"/>
    <w:rsid w:val="00172294"/>
    <w:rsid w:val="0017280C"/>
    <w:rsid w:val="00172829"/>
    <w:rsid w:val="00172AE4"/>
    <w:rsid w:val="00173258"/>
    <w:rsid w:val="00173A11"/>
    <w:rsid w:val="00173E58"/>
    <w:rsid w:val="001748CC"/>
    <w:rsid w:val="00174AD8"/>
    <w:rsid w:val="00174C50"/>
    <w:rsid w:val="00174F54"/>
    <w:rsid w:val="00174F91"/>
    <w:rsid w:val="0017528B"/>
    <w:rsid w:val="0017561D"/>
    <w:rsid w:val="0017568C"/>
    <w:rsid w:val="001758F3"/>
    <w:rsid w:val="00175A5B"/>
    <w:rsid w:val="00175CD6"/>
    <w:rsid w:val="001760AE"/>
    <w:rsid w:val="0017619B"/>
    <w:rsid w:val="0017620A"/>
    <w:rsid w:val="00176346"/>
    <w:rsid w:val="00176403"/>
    <w:rsid w:val="001766C6"/>
    <w:rsid w:val="00176A91"/>
    <w:rsid w:val="00176E2A"/>
    <w:rsid w:val="001772C9"/>
    <w:rsid w:val="001772FD"/>
    <w:rsid w:val="00177399"/>
    <w:rsid w:val="001776FD"/>
    <w:rsid w:val="00177827"/>
    <w:rsid w:val="001779FE"/>
    <w:rsid w:val="00177A80"/>
    <w:rsid w:val="00177C58"/>
    <w:rsid w:val="001800CC"/>
    <w:rsid w:val="00180399"/>
    <w:rsid w:val="00180621"/>
    <w:rsid w:val="0018092C"/>
    <w:rsid w:val="00180B55"/>
    <w:rsid w:val="0018130C"/>
    <w:rsid w:val="001813DF"/>
    <w:rsid w:val="0018150A"/>
    <w:rsid w:val="0018155B"/>
    <w:rsid w:val="001815ED"/>
    <w:rsid w:val="00181662"/>
    <w:rsid w:val="001816D8"/>
    <w:rsid w:val="00181839"/>
    <w:rsid w:val="00181896"/>
    <w:rsid w:val="001818C9"/>
    <w:rsid w:val="00181B11"/>
    <w:rsid w:val="00181EBD"/>
    <w:rsid w:val="00181F24"/>
    <w:rsid w:val="00181FA1"/>
    <w:rsid w:val="001821A6"/>
    <w:rsid w:val="00182261"/>
    <w:rsid w:val="001823AA"/>
    <w:rsid w:val="00182419"/>
    <w:rsid w:val="00182470"/>
    <w:rsid w:val="00182576"/>
    <w:rsid w:val="00182C71"/>
    <w:rsid w:val="00182DFC"/>
    <w:rsid w:val="00183600"/>
    <w:rsid w:val="0018375A"/>
    <w:rsid w:val="00183961"/>
    <w:rsid w:val="00183B20"/>
    <w:rsid w:val="00183B71"/>
    <w:rsid w:val="00183E8B"/>
    <w:rsid w:val="00183FB7"/>
    <w:rsid w:val="001841C2"/>
    <w:rsid w:val="00184255"/>
    <w:rsid w:val="0018428C"/>
    <w:rsid w:val="001843D9"/>
    <w:rsid w:val="001845AB"/>
    <w:rsid w:val="001845BF"/>
    <w:rsid w:val="00184B8D"/>
    <w:rsid w:val="00184BD8"/>
    <w:rsid w:val="00184C7F"/>
    <w:rsid w:val="00184D27"/>
    <w:rsid w:val="00184F27"/>
    <w:rsid w:val="00184F5F"/>
    <w:rsid w:val="00184FAE"/>
    <w:rsid w:val="00185791"/>
    <w:rsid w:val="001857F8"/>
    <w:rsid w:val="00185903"/>
    <w:rsid w:val="00185F15"/>
    <w:rsid w:val="001862FC"/>
    <w:rsid w:val="001863C6"/>
    <w:rsid w:val="0018648C"/>
    <w:rsid w:val="00186513"/>
    <w:rsid w:val="0018652C"/>
    <w:rsid w:val="0018695C"/>
    <w:rsid w:val="00186A08"/>
    <w:rsid w:val="00186A38"/>
    <w:rsid w:val="00186BA8"/>
    <w:rsid w:val="00186FEF"/>
    <w:rsid w:val="00187046"/>
    <w:rsid w:val="0018708B"/>
    <w:rsid w:val="0018754F"/>
    <w:rsid w:val="00187A1F"/>
    <w:rsid w:val="00187D79"/>
    <w:rsid w:val="001906E1"/>
    <w:rsid w:val="00190D48"/>
    <w:rsid w:val="00190F00"/>
    <w:rsid w:val="00191070"/>
    <w:rsid w:val="00191349"/>
    <w:rsid w:val="001914F3"/>
    <w:rsid w:val="00191577"/>
    <w:rsid w:val="001917F0"/>
    <w:rsid w:val="00191A46"/>
    <w:rsid w:val="00191A55"/>
    <w:rsid w:val="00191BAC"/>
    <w:rsid w:val="00192084"/>
    <w:rsid w:val="00192279"/>
    <w:rsid w:val="001922C0"/>
    <w:rsid w:val="001928DF"/>
    <w:rsid w:val="00192D17"/>
    <w:rsid w:val="00192D75"/>
    <w:rsid w:val="00193142"/>
    <w:rsid w:val="00193670"/>
    <w:rsid w:val="00193684"/>
    <w:rsid w:val="00193D86"/>
    <w:rsid w:val="00193EE8"/>
    <w:rsid w:val="00193FCC"/>
    <w:rsid w:val="0019412C"/>
    <w:rsid w:val="001941C5"/>
    <w:rsid w:val="0019445C"/>
    <w:rsid w:val="00194643"/>
    <w:rsid w:val="001947A2"/>
    <w:rsid w:val="001948EC"/>
    <w:rsid w:val="0019498A"/>
    <w:rsid w:val="00194AF4"/>
    <w:rsid w:val="00194D14"/>
    <w:rsid w:val="00194E4B"/>
    <w:rsid w:val="00195012"/>
    <w:rsid w:val="0019534A"/>
    <w:rsid w:val="001957F5"/>
    <w:rsid w:val="00195908"/>
    <w:rsid w:val="00195A68"/>
    <w:rsid w:val="00195C01"/>
    <w:rsid w:val="00195CF0"/>
    <w:rsid w:val="00195EFB"/>
    <w:rsid w:val="00195F1B"/>
    <w:rsid w:val="0019658B"/>
    <w:rsid w:val="001966AD"/>
    <w:rsid w:val="00196C78"/>
    <w:rsid w:val="00196D18"/>
    <w:rsid w:val="00196EFD"/>
    <w:rsid w:val="0019710D"/>
    <w:rsid w:val="001978A0"/>
    <w:rsid w:val="001979AE"/>
    <w:rsid w:val="00197B72"/>
    <w:rsid w:val="00197ED0"/>
    <w:rsid w:val="001A004D"/>
    <w:rsid w:val="001A007F"/>
    <w:rsid w:val="001A00B8"/>
    <w:rsid w:val="001A0809"/>
    <w:rsid w:val="001A0952"/>
    <w:rsid w:val="001A0C7D"/>
    <w:rsid w:val="001A0C8B"/>
    <w:rsid w:val="001A0CA5"/>
    <w:rsid w:val="001A0CFC"/>
    <w:rsid w:val="001A0D11"/>
    <w:rsid w:val="001A11E4"/>
    <w:rsid w:val="001A1248"/>
    <w:rsid w:val="001A13CF"/>
    <w:rsid w:val="001A1572"/>
    <w:rsid w:val="001A15AF"/>
    <w:rsid w:val="001A15CA"/>
    <w:rsid w:val="001A1624"/>
    <w:rsid w:val="001A1811"/>
    <w:rsid w:val="001A1957"/>
    <w:rsid w:val="001A1A06"/>
    <w:rsid w:val="001A1BE7"/>
    <w:rsid w:val="001A1F7F"/>
    <w:rsid w:val="001A1FA2"/>
    <w:rsid w:val="001A2263"/>
    <w:rsid w:val="001A2371"/>
    <w:rsid w:val="001A24AD"/>
    <w:rsid w:val="001A2586"/>
    <w:rsid w:val="001A26CC"/>
    <w:rsid w:val="001A2910"/>
    <w:rsid w:val="001A2998"/>
    <w:rsid w:val="001A2CBC"/>
    <w:rsid w:val="001A2D57"/>
    <w:rsid w:val="001A310F"/>
    <w:rsid w:val="001A31F8"/>
    <w:rsid w:val="001A3286"/>
    <w:rsid w:val="001A32F1"/>
    <w:rsid w:val="001A35B5"/>
    <w:rsid w:val="001A3686"/>
    <w:rsid w:val="001A3702"/>
    <w:rsid w:val="001A376A"/>
    <w:rsid w:val="001A3B3D"/>
    <w:rsid w:val="001A3CAC"/>
    <w:rsid w:val="001A3D45"/>
    <w:rsid w:val="001A3D96"/>
    <w:rsid w:val="001A3F81"/>
    <w:rsid w:val="001A415D"/>
    <w:rsid w:val="001A41CE"/>
    <w:rsid w:val="001A41F2"/>
    <w:rsid w:val="001A4213"/>
    <w:rsid w:val="001A43A6"/>
    <w:rsid w:val="001A43B1"/>
    <w:rsid w:val="001A4523"/>
    <w:rsid w:val="001A462F"/>
    <w:rsid w:val="001A463E"/>
    <w:rsid w:val="001A4B2D"/>
    <w:rsid w:val="001A4CFA"/>
    <w:rsid w:val="001A4E2A"/>
    <w:rsid w:val="001A5048"/>
    <w:rsid w:val="001A51F4"/>
    <w:rsid w:val="001A53F5"/>
    <w:rsid w:val="001A5424"/>
    <w:rsid w:val="001A54E5"/>
    <w:rsid w:val="001A5A3E"/>
    <w:rsid w:val="001A5CB6"/>
    <w:rsid w:val="001A6118"/>
    <w:rsid w:val="001A62C6"/>
    <w:rsid w:val="001A6736"/>
    <w:rsid w:val="001A6A5E"/>
    <w:rsid w:val="001A6A71"/>
    <w:rsid w:val="001A6ADC"/>
    <w:rsid w:val="001A76C9"/>
    <w:rsid w:val="001A770A"/>
    <w:rsid w:val="001A773E"/>
    <w:rsid w:val="001A7C13"/>
    <w:rsid w:val="001A7C40"/>
    <w:rsid w:val="001A7E21"/>
    <w:rsid w:val="001A7E25"/>
    <w:rsid w:val="001A7E61"/>
    <w:rsid w:val="001B023C"/>
    <w:rsid w:val="001B0288"/>
    <w:rsid w:val="001B0570"/>
    <w:rsid w:val="001B066F"/>
    <w:rsid w:val="001B075F"/>
    <w:rsid w:val="001B076F"/>
    <w:rsid w:val="001B085E"/>
    <w:rsid w:val="001B09B2"/>
    <w:rsid w:val="001B0A86"/>
    <w:rsid w:val="001B0D15"/>
    <w:rsid w:val="001B0F7D"/>
    <w:rsid w:val="001B1007"/>
    <w:rsid w:val="001B107B"/>
    <w:rsid w:val="001B114C"/>
    <w:rsid w:val="001B1515"/>
    <w:rsid w:val="001B1E4E"/>
    <w:rsid w:val="001B1F49"/>
    <w:rsid w:val="001B204E"/>
    <w:rsid w:val="001B2120"/>
    <w:rsid w:val="001B25C2"/>
    <w:rsid w:val="001B25EF"/>
    <w:rsid w:val="001B2B0F"/>
    <w:rsid w:val="001B3348"/>
    <w:rsid w:val="001B3A06"/>
    <w:rsid w:val="001B3A4D"/>
    <w:rsid w:val="001B3F37"/>
    <w:rsid w:val="001B41D6"/>
    <w:rsid w:val="001B43F6"/>
    <w:rsid w:val="001B4602"/>
    <w:rsid w:val="001B4682"/>
    <w:rsid w:val="001B5038"/>
    <w:rsid w:val="001B533B"/>
    <w:rsid w:val="001B5426"/>
    <w:rsid w:val="001B5625"/>
    <w:rsid w:val="001B56AB"/>
    <w:rsid w:val="001B56B2"/>
    <w:rsid w:val="001B57E3"/>
    <w:rsid w:val="001B58C0"/>
    <w:rsid w:val="001B5D35"/>
    <w:rsid w:val="001B6024"/>
    <w:rsid w:val="001B63F6"/>
    <w:rsid w:val="001B65BD"/>
    <w:rsid w:val="001B6AE5"/>
    <w:rsid w:val="001B6CC5"/>
    <w:rsid w:val="001B6D14"/>
    <w:rsid w:val="001B6EB0"/>
    <w:rsid w:val="001B6F48"/>
    <w:rsid w:val="001B71AB"/>
    <w:rsid w:val="001B7505"/>
    <w:rsid w:val="001B759A"/>
    <w:rsid w:val="001B76C5"/>
    <w:rsid w:val="001B7795"/>
    <w:rsid w:val="001B7B3A"/>
    <w:rsid w:val="001B7C2C"/>
    <w:rsid w:val="001B7E6E"/>
    <w:rsid w:val="001B7F4E"/>
    <w:rsid w:val="001C00C7"/>
    <w:rsid w:val="001C04BD"/>
    <w:rsid w:val="001C05CB"/>
    <w:rsid w:val="001C0604"/>
    <w:rsid w:val="001C0964"/>
    <w:rsid w:val="001C0B6C"/>
    <w:rsid w:val="001C116E"/>
    <w:rsid w:val="001C118A"/>
    <w:rsid w:val="001C11F9"/>
    <w:rsid w:val="001C13C2"/>
    <w:rsid w:val="001C15AD"/>
    <w:rsid w:val="001C19B5"/>
    <w:rsid w:val="001C1A51"/>
    <w:rsid w:val="001C1FF7"/>
    <w:rsid w:val="001C201E"/>
    <w:rsid w:val="001C2082"/>
    <w:rsid w:val="001C2129"/>
    <w:rsid w:val="001C2200"/>
    <w:rsid w:val="001C225B"/>
    <w:rsid w:val="001C22A4"/>
    <w:rsid w:val="001C22A7"/>
    <w:rsid w:val="001C2494"/>
    <w:rsid w:val="001C2585"/>
    <w:rsid w:val="001C289C"/>
    <w:rsid w:val="001C2D6D"/>
    <w:rsid w:val="001C2D90"/>
    <w:rsid w:val="001C2D91"/>
    <w:rsid w:val="001C2DC7"/>
    <w:rsid w:val="001C2E6C"/>
    <w:rsid w:val="001C3128"/>
    <w:rsid w:val="001C3261"/>
    <w:rsid w:val="001C3456"/>
    <w:rsid w:val="001C3546"/>
    <w:rsid w:val="001C3584"/>
    <w:rsid w:val="001C36B6"/>
    <w:rsid w:val="001C3BFD"/>
    <w:rsid w:val="001C3DAB"/>
    <w:rsid w:val="001C3DC9"/>
    <w:rsid w:val="001C3ECA"/>
    <w:rsid w:val="001C40FD"/>
    <w:rsid w:val="001C420C"/>
    <w:rsid w:val="001C4479"/>
    <w:rsid w:val="001C483C"/>
    <w:rsid w:val="001C4941"/>
    <w:rsid w:val="001C4ADA"/>
    <w:rsid w:val="001C4DC5"/>
    <w:rsid w:val="001C509A"/>
    <w:rsid w:val="001C5196"/>
    <w:rsid w:val="001C5684"/>
    <w:rsid w:val="001C5909"/>
    <w:rsid w:val="001C590A"/>
    <w:rsid w:val="001C5A4F"/>
    <w:rsid w:val="001C5A8C"/>
    <w:rsid w:val="001C5B2D"/>
    <w:rsid w:val="001C5CE4"/>
    <w:rsid w:val="001C5FB3"/>
    <w:rsid w:val="001C6158"/>
    <w:rsid w:val="001C6544"/>
    <w:rsid w:val="001C67AE"/>
    <w:rsid w:val="001C683E"/>
    <w:rsid w:val="001C6C94"/>
    <w:rsid w:val="001C6D28"/>
    <w:rsid w:val="001C6DBE"/>
    <w:rsid w:val="001C6F2A"/>
    <w:rsid w:val="001C7754"/>
    <w:rsid w:val="001C798F"/>
    <w:rsid w:val="001C7C56"/>
    <w:rsid w:val="001D00A7"/>
    <w:rsid w:val="001D0460"/>
    <w:rsid w:val="001D0B7D"/>
    <w:rsid w:val="001D119E"/>
    <w:rsid w:val="001D165A"/>
    <w:rsid w:val="001D1A6C"/>
    <w:rsid w:val="001D1A86"/>
    <w:rsid w:val="001D1FEC"/>
    <w:rsid w:val="001D20FF"/>
    <w:rsid w:val="001D2230"/>
    <w:rsid w:val="001D25CA"/>
    <w:rsid w:val="001D2663"/>
    <w:rsid w:val="001D2730"/>
    <w:rsid w:val="001D27F2"/>
    <w:rsid w:val="001D2939"/>
    <w:rsid w:val="001D295F"/>
    <w:rsid w:val="001D2B18"/>
    <w:rsid w:val="001D2BC8"/>
    <w:rsid w:val="001D3101"/>
    <w:rsid w:val="001D31C7"/>
    <w:rsid w:val="001D344F"/>
    <w:rsid w:val="001D3551"/>
    <w:rsid w:val="001D3741"/>
    <w:rsid w:val="001D3866"/>
    <w:rsid w:val="001D3C44"/>
    <w:rsid w:val="001D3E2D"/>
    <w:rsid w:val="001D3EF6"/>
    <w:rsid w:val="001D402D"/>
    <w:rsid w:val="001D404B"/>
    <w:rsid w:val="001D4254"/>
    <w:rsid w:val="001D437D"/>
    <w:rsid w:val="001D43F5"/>
    <w:rsid w:val="001D4410"/>
    <w:rsid w:val="001D4496"/>
    <w:rsid w:val="001D44CD"/>
    <w:rsid w:val="001D4775"/>
    <w:rsid w:val="001D4A49"/>
    <w:rsid w:val="001D4A67"/>
    <w:rsid w:val="001D4CFE"/>
    <w:rsid w:val="001D51D7"/>
    <w:rsid w:val="001D524A"/>
    <w:rsid w:val="001D6097"/>
    <w:rsid w:val="001D60DF"/>
    <w:rsid w:val="001D6560"/>
    <w:rsid w:val="001D660E"/>
    <w:rsid w:val="001D68C2"/>
    <w:rsid w:val="001D690C"/>
    <w:rsid w:val="001D69E9"/>
    <w:rsid w:val="001D69F5"/>
    <w:rsid w:val="001D6AFE"/>
    <w:rsid w:val="001D6BD5"/>
    <w:rsid w:val="001D6BF0"/>
    <w:rsid w:val="001D6C90"/>
    <w:rsid w:val="001D6F00"/>
    <w:rsid w:val="001D7237"/>
    <w:rsid w:val="001D7869"/>
    <w:rsid w:val="001D7C2E"/>
    <w:rsid w:val="001D7D32"/>
    <w:rsid w:val="001D7D45"/>
    <w:rsid w:val="001D7EB8"/>
    <w:rsid w:val="001D7F24"/>
    <w:rsid w:val="001E00DE"/>
    <w:rsid w:val="001E03E5"/>
    <w:rsid w:val="001E074F"/>
    <w:rsid w:val="001E08A5"/>
    <w:rsid w:val="001E08E8"/>
    <w:rsid w:val="001E0C16"/>
    <w:rsid w:val="001E0D0C"/>
    <w:rsid w:val="001E0E7C"/>
    <w:rsid w:val="001E0FF2"/>
    <w:rsid w:val="001E111E"/>
    <w:rsid w:val="001E134D"/>
    <w:rsid w:val="001E147A"/>
    <w:rsid w:val="001E1592"/>
    <w:rsid w:val="001E163F"/>
    <w:rsid w:val="001E1A19"/>
    <w:rsid w:val="001E1A58"/>
    <w:rsid w:val="001E1E5D"/>
    <w:rsid w:val="001E1EBC"/>
    <w:rsid w:val="001E1F5F"/>
    <w:rsid w:val="001E1FC8"/>
    <w:rsid w:val="001E209A"/>
    <w:rsid w:val="001E2146"/>
    <w:rsid w:val="001E256A"/>
    <w:rsid w:val="001E269B"/>
    <w:rsid w:val="001E26B8"/>
    <w:rsid w:val="001E270C"/>
    <w:rsid w:val="001E2A59"/>
    <w:rsid w:val="001E2B01"/>
    <w:rsid w:val="001E2B4A"/>
    <w:rsid w:val="001E30B0"/>
    <w:rsid w:val="001E3514"/>
    <w:rsid w:val="001E38DE"/>
    <w:rsid w:val="001E3AB2"/>
    <w:rsid w:val="001E3AD3"/>
    <w:rsid w:val="001E3B12"/>
    <w:rsid w:val="001E3C7B"/>
    <w:rsid w:val="001E3C80"/>
    <w:rsid w:val="001E3DFC"/>
    <w:rsid w:val="001E3E52"/>
    <w:rsid w:val="001E3E63"/>
    <w:rsid w:val="001E3E9C"/>
    <w:rsid w:val="001E4087"/>
    <w:rsid w:val="001E4575"/>
    <w:rsid w:val="001E45DF"/>
    <w:rsid w:val="001E4800"/>
    <w:rsid w:val="001E482E"/>
    <w:rsid w:val="001E49D6"/>
    <w:rsid w:val="001E4A16"/>
    <w:rsid w:val="001E4A25"/>
    <w:rsid w:val="001E4A31"/>
    <w:rsid w:val="001E4BF8"/>
    <w:rsid w:val="001E4F27"/>
    <w:rsid w:val="001E4FDD"/>
    <w:rsid w:val="001E506C"/>
    <w:rsid w:val="001E51C8"/>
    <w:rsid w:val="001E5232"/>
    <w:rsid w:val="001E535F"/>
    <w:rsid w:val="001E5483"/>
    <w:rsid w:val="001E5576"/>
    <w:rsid w:val="001E57E3"/>
    <w:rsid w:val="001E57FC"/>
    <w:rsid w:val="001E5909"/>
    <w:rsid w:val="001E590A"/>
    <w:rsid w:val="001E5931"/>
    <w:rsid w:val="001E59A3"/>
    <w:rsid w:val="001E59D5"/>
    <w:rsid w:val="001E5D59"/>
    <w:rsid w:val="001E600A"/>
    <w:rsid w:val="001E6392"/>
    <w:rsid w:val="001E6417"/>
    <w:rsid w:val="001E66D4"/>
    <w:rsid w:val="001E6728"/>
    <w:rsid w:val="001E68C2"/>
    <w:rsid w:val="001E69B1"/>
    <w:rsid w:val="001E6B9F"/>
    <w:rsid w:val="001E6BA7"/>
    <w:rsid w:val="001E6C3F"/>
    <w:rsid w:val="001E6C66"/>
    <w:rsid w:val="001E6D0A"/>
    <w:rsid w:val="001E6E00"/>
    <w:rsid w:val="001E6F9B"/>
    <w:rsid w:val="001E71B2"/>
    <w:rsid w:val="001E768E"/>
    <w:rsid w:val="001E7B62"/>
    <w:rsid w:val="001E7CD9"/>
    <w:rsid w:val="001F0107"/>
    <w:rsid w:val="001F0127"/>
    <w:rsid w:val="001F0376"/>
    <w:rsid w:val="001F0495"/>
    <w:rsid w:val="001F052B"/>
    <w:rsid w:val="001F0542"/>
    <w:rsid w:val="001F08A3"/>
    <w:rsid w:val="001F090D"/>
    <w:rsid w:val="001F097B"/>
    <w:rsid w:val="001F0CA7"/>
    <w:rsid w:val="001F0ED9"/>
    <w:rsid w:val="001F0F1C"/>
    <w:rsid w:val="001F11C8"/>
    <w:rsid w:val="001F12B7"/>
    <w:rsid w:val="001F1423"/>
    <w:rsid w:val="001F15EF"/>
    <w:rsid w:val="001F172D"/>
    <w:rsid w:val="001F1773"/>
    <w:rsid w:val="001F1927"/>
    <w:rsid w:val="001F1AA5"/>
    <w:rsid w:val="001F1E62"/>
    <w:rsid w:val="001F1EDA"/>
    <w:rsid w:val="001F1EF5"/>
    <w:rsid w:val="001F2151"/>
    <w:rsid w:val="001F2836"/>
    <w:rsid w:val="001F29E7"/>
    <w:rsid w:val="001F2A24"/>
    <w:rsid w:val="001F2A6D"/>
    <w:rsid w:val="001F2E2F"/>
    <w:rsid w:val="001F2EEF"/>
    <w:rsid w:val="001F2FC7"/>
    <w:rsid w:val="001F3274"/>
    <w:rsid w:val="001F34D6"/>
    <w:rsid w:val="001F35C4"/>
    <w:rsid w:val="001F35F0"/>
    <w:rsid w:val="001F3647"/>
    <w:rsid w:val="001F3796"/>
    <w:rsid w:val="001F389A"/>
    <w:rsid w:val="001F389C"/>
    <w:rsid w:val="001F391C"/>
    <w:rsid w:val="001F39E0"/>
    <w:rsid w:val="001F3C96"/>
    <w:rsid w:val="001F3CA0"/>
    <w:rsid w:val="001F3E14"/>
    <w:rsid w:val="001F3EF8"/>
    <w:rsid w:val="001F3FC1"/>
    <w:rsid w:val="001F41EB"/>
    <w:rsid w:val="001F455B"/>
    <w:rsid w:val="001F49E0"/>
    <w:rsid w:val="001F4A38"/>
    <w:rsid w:val="001F4BD9"/>
    <w:rsid w:val="001F4C0D"/>
    <w:rsid w:val="001F515B"/>
    <w:rsid w:val="001F5214"/>
    <w:rsid w:val="001F527D"/>
    <w:rsid w:val="001F5293"/>
    <w:rsid w:val="001F54AD"/>
    <w:rsid w:val="001F55C6"/>
    <w:rsid w:val="001F5A10"/>
    <w:rsid w:val="001F5D6E"/>
    <w:rsid w:val="001F6096"/>
    <w:rsid w:val="001F6157"/>
    <w:rsid w:val="001F6397"/>
    <w:rsid w:val="001F6644"/>
    <w:rsid w:val="001F691F"/>
    <w:rsid w:val="001F700A"/>
    <w:rsid w:val="001F780D"/>
    <w:rsid w:val="001F7B2C"/>
    <w:rsid w:val="001F7B9B"/>
    <w:rsid w:val="001F7FC7"/>
    <w:rsid w:val="002002BD"/>
    <w:rsid w:val="00200470"/>
    <w:rsid w:val="0020053E"/>
    <w:rsid w:val="002005F1"/>
    <w:rsid w:val="0020078B"/>
    <w:rsid w:val="0020082B"/>
    <w:rsid w:val="002008D1"/>
    <w:rsid w:val="00200966"/>
    <w:rsid w:val="00200AD5"/>
    <w:rsid w:val="00200BC2"/>
    <w:rsid w:val="00200C71"/>
    <w:rsid w:val="00200E51"/>
    <w:rsid w:val="00201331"/>
    <w:rsid w:val="002013EF"/>
    <w:rsid w:val="00201513"/>
    <w:rsid w:val="00201801"/>
    <w:rsid w:val="002019B7"/>
    <w:rsid w:val="002019D0"/>
    <w:rsid w:val="00201ADD"/>
    <w:rsid w:val="00201D9C"/>
    <w:rsid w:val="002024FC"/>
    <w:rsid w:val="00202565"/>
    <w:rsid w:val="0020259C"/>
    <w:rsid w:val="00202A8F"/>
    <w:rsid w:val="00202C0E"/>
    <w:rsid w:val="00202C67"/>
    <w:rsid w:val="00202CD4"/>
    <w:rsid w:val="00202F93"/>
    <w:rsid w:val="00202FF5"/>
    <w:rsid w:val="00203097"/>
    <w:rsid w:val="00203455"/>
    <w:rsid w:val="002034E8"/>
    <w:rsid w:val="0020387B"/>
    <w:rsid w:val="00203A95"/>
    <w:rsid w:val="00203BBC"/>
    <w:rsid w:val="00203CD8"/>
    <w:rsid w:val="00203E23"/>
    <w:rsid w:val="00204167"/>
    <w:rsid w:val="002043EF"/>
    <w:rsid w:val="0020446D"/>
    <w:rsid w:val="0020463D"/>
    <w:rsid w:val="00204C8B"/>
    <w:rsid w:val="00204CE6"/>
    <w:rsid w:val="00204D66"/>
    <w:rsid w:val="0020540D"/>
    <w:rsid w:val="00205AB3"/>
    <w:rsid w:val="00205D55"/>
    <w:rsid w:val="00205E14"/>
    <w:rsid w:val="0020617B"/>
    <w:rsid w:val="00206250"/>
    <w:rsid w:val="0020627C"/>
    <w:rsid w:val="00206504"/>
    <w:rsid w:val="00206517"/>
    <w:rsid w:val="002067CD"/>
    <w:rsid w:val="0020698D"/>
    <w:rsid w:val="00206CC5"/>
    <w:rsid w:val="00206CFB"/>
    <w:rsid w:val="00206E28"/>
    <w:rsid w:val="00206E9F"/>
    <w:rsid w:val="002071EB"/>
    <w:rsid w:val="00207287"/>
    <w:rsid w:val="00207741"/>
    <w:rsid w:val="00210064"/>
    <w:rsid w:val="002101ED"/>
    <w:rsid w:val="00210270"/>
    <w:rsid w:val="00210299"/>
    <w:rsid w:val="00210618"/>
    <w:rsid w:val="002108CC"/>
    <w:rsid w:val="00210A2F"/>
    <w:rsid w:val="00210F19"/>
    <w:rsid w:val="00210F5B"/>
    <w:rsid w:val="00211095"/>
    <w:rsid w:val="00211138"/>
    <w:rsid w:val="002111CE"/>
    <w:rsid w:val="00211289"/>
    <w:rsid w:val="002115CC"/>
    <w:rsid w:val="002118C1"/>
    <w:rsid w:val="00211A34"/>
    <w:rsid w:val="00211FB0"/>
    <w:rsid w:val="002120BE"/>
    <w:rsid w:val="002120C3"/>
    <w:rsid w:val="00212222"/>
    <w:rsid w:val="00212268"/>
    <w:rsid w:val="002124A1"/>
    <w:rsid w:val="00212A2D"/>
    <w:rsid w:val="00212B0A"/>
    <w:rsid w:val="00212B43"/>
    <w:rsid w:val="00213092"/>
    <w:rsid w:val="00213189"/>
    <w:rsid w:val="00213A39"/>
    <w:rsid w:val="00213EE2"/>
    <w:rsid w:val="00213F50"/>
    <w:rsid w:val="002140F2"/>
    <w:rsid w:val="00214146"/>
    <w:rsid w:val="002144A6"/>
    <w:rsid w:val="0021453D"/>
    <w:rsid w:val="00214A09"/>
    <w:rsid w:val="00214A0E"/>
    <w:rsid w:val="00214C42"/>
    <w:rsid w:val="00214C8D"/>
    <w:rsid w:val="00214D91"/>
    <w:rsid w:val="00214F37"/>
    <w:rsid w:val="00214FD9"/>
    <w:rsid w:val="002150DB"/>
    <w:rsid w:val="0021522F"/>
    <w:rsid w:val="00215717"/>
    <w:rsid w:val="00215882"/>
    <w:rsid w:val="00215A86"/>
    <w:rsid w:val="00215B1B"/>
    <w:rsid w:val="00215B58"/>
    <w:rsid w:val="00216261"/>
    <w:rsid w:val="002162FA"/>
    <w:rsid w:val="00216343"/>
    <w:rsid w:val="00216BB0"/>
    <w:rsid w:val="00216D9E"/>
    <w:rsid w:val="00216EB6"/>
    <w:rsid w:val="00217442"/>
    <w:rsid w:val="0021759C"/>
    <w:rsid w:val="00217810"/>
    <w:rsid w:val="0021787D"/>
    <w:rsid w:val="00217AD1"/>
    <w:rsid w:val="002208D8"/>
    <w:rsid w:val="00220C83"/>
    <w:rsid w:val="00220F5A"/>
    <w:rsid w:val="00220FD1"/>
    <w:rsid w:val="00221163"/>
    <w:rsid w:val="00221276"/>
    <w:rsid w:val="002214C2"/>
    <w:rsid w:val="002215CC"/>
    <w:rsid w:val="00221B01"/>
    <w:rsid w:val="00221D43"/>
    <w:rsid w:val="00221FA6"/>
    <w:rsid w:val="002220A2"/>
    <w:rsid w:val="00222620"/>
    <w:rsid w:val="00222623"/>
    <w:rsid w:val="0022280B"/>
    <w:rsid w:val="00222874"/>
    <w:rsid w:val="00222879"/>
    <w:rsid w:val="00222BF6"/>
    <w:rsid w:val="0022309B"/>
    <w:rsid w:val="0022312A"/>
    <w:rsid w:val="002235F2"/>
    <w:rsid w:val="002236D3"/>
    <w:rsid w:val="00223EBC"/>
    <w:rsid w:val="0022405D"/>
    <w:rsid w:val="002246E6"/>
    <w:rsid w:val="0022481B"/>
    <w:rsid w:val="00224D99"/>
    <w:rsid w:val="00224E1C"/>
    <w:rsid w:val="0022518F"/>
    <w:rsid w:val="002255CB"/>
    <w:rsid w:val="00225642"/>
    <w:rsid w:val="002258DA"/>
    <w:rsid w:val="00225B10"/>
    <w:rsid w:val="00225D29"/>
    <w:rsid w:val="00225D3E"/>
    <w:rsid w:val="00226132"/>
    <w:rsid w:val="0022695E"/>
    <w:rsid w:val="00226AC6"/>
    <w:rsid w:val="00226B0C"/>
    <w:rsid w:val="00226C5E"/>
    <w:rsid w:val="00226D34"/>
    <w:rsid w:val="00226D7F"/>
    <w:rsid w:val="00226DDC"/>
    <w:rsid w:val="00226E5B"/>
    <w:rsid w:val="002273E9"/>
    <w:rsid w:val="0022769C"/>
    <w:rsid w:val="00227745"/>
    <w:rsid w:val="00227791"/>
    <w:rsid w:val="00227B49"/>
    <w:rsid w:val="00227DC9"/>
    <w:rsid w:val="00227EF3"/>
    <w:rsid w:val="002303D4"/>
    <w:rsid w:val="002305DB"/>
    <w:rsid w:val="0023095A"/>
    <w:rsid w:val="002309AA"/>
    <w:rsid w:val="00230B1F"/>
    <w:rsid w:val="00230B32"/>
    <w:rsid w:val="00230D39"/>
    <w:rsid w:val="00230DD4"/>
    <w:rsid w:val="00230F34"/>
    <w:rsid w:val="0023107D"/>
    <w:rsid w:val="00231478"/>
    <w:rsid w:val="00231741"/>
    <w:rsid w:val="00231966"/>
    <w:rsid w:val="002319EF"/>
    <w:rsid w:val="00231A3B"/>
    <w:rsid w:val="00231F75"/>
    <w:rsid w:val="002320B6"/>
    <w:rsid w:val="0023246C"/>
    <w:rsid w:val="002325CE"/>
    <w:rsid w:val="002328D9"/>
    <w:rsid w:val="00232B8E"/>
    <w:rsid w:val="00232FA9"/>
    <w:rsid w:val="00233150"/>
    <w:rsid w:val="002332C2"/>
    <w:rsid w:val="00233487"/>
    <w:rsid w:val="002334DA"/>
    <w:rsid w:val="00233569"/>
    <w:rsid w:val="002336AD"/>
    <w:rsid w:val="00233907"/>
    <w:rsid w:val="00233B23"/>
    <w:rsid w:val="00233B7F"/>
    <w:rsid w:val="00233BEA"/>
    <w:rsid w:val="00233F07"/>
    <w:rsid w:val="00233F8D"/>
    <w:rsid w:val="0023433F"/>
    <w:rsid w:val="002343A2"/>
    <w:rsid w:val="00234431"/>
    <w:rsid w:val="002344EE"/>
    <w:rsid w:val="00234512"/>
    <w:rsid w:val="00234575"/>
    <w:rsid w:val="002347E3"/>
    <w:rsid w:val="002348D2"/>
    <w:rsid w:val="00234A1E"/>
    <w:rsid w:val="00234F6D"/>
    <w:rsid w:val="0023544B"/>
    <w:rsid w:val="0023567E"/>
    <w:rsid w:val="00235932"/>
    <w:rsid w:val="00235B99"/>
    <w:rsid w:val="00235C57"/>
    <w:rsid w:val="00235C58"/>
    <w:rsid w:val="00235EC0"/>
    <w:rsid w:val="0023606B"/>
    <w:rsid w:val="002361D1"/>
    <w:rsid w:val="00236364"/>
    <w:rsid w:val="002366DC"/>
    <w:rsid w:val="0023675F"/>
    <w:rsid w:val="002369FD"/>
    <w:rsid w:val="00236ABC"/>
    <w:rsid w:val="002370A8"/>
    <w:rsid w:val="002374A2"/>
    <w:rsid w:val="00237567"/>
    <w:rsid w:val="00237584"/>
    <w:rsid w:val="00237D10"/>
    <w:rsid w:val="00240084"/>
    <w:rsid w:val="002404EA"/>
    <w:rsid w:val="00240577"/>
    <w:rsid w:val="002409FA"/>
    <w:rsid w:val="00240A0A"/>
    <w:rsid w:val="00240CD0"/>
    <w:rsid w:val="0024132A"/>
    <w:rsid w:val="00241559"/>
    <w:rsid w:val="002415AD"/>
    <w:rsid w:val="002418C6"/>
    <w:rsid w:val="002419F8"/>
    <w:rsid w:val="00241A65"/>
    <w:rsid w:val="00241D34"/>
    <w:rsid w:val="00241F99"/>
    <w:rsid w:val="00242104"/>
    <w:rsid w:val="00242296"/>
    <w:rsid w:val="0024243D"/>
    <w:rsid w:val="002424E3"/>
    <w:rsid w:val="002425F8"/>
    <w:rsid w:val="00242645"/>
    <w:rsid w:val="002428E6"/>
    <w:rsid w:val="00242ABB"/>
    <w:rsid w:val="00242DA2"/>
    <w:rsid w:val="00242FF1"/>
    <w:rsid w:val="002433B7"/>
    <w:rsid w:val="00243602"/>
    <w:rsid w:val="0024368B"/>
    <w:rsid w:val="002436A5"/>
    <w:rsid w:val="00243D77"/>
    <w:rsid w:val="00243F00"/>
    <w:rsid w:val="0024412D"/>
    <w:rsid w:val="00244225"/>
    <w:rsid w:val="0024499D"/>
    <w:rsid w:val="00244AA0"/>
    <w:rsid w:val="00244F5C"/>
    <w:rsid w:val="00245109"/>
    <w:rsid w:val="002453A6"/>
    <w:rsid w:val="002454B4"/>
    <w:rsid w:val="00245740"/>
    <w:rsid w:val="00245839"/>
    <w:rsid w:val="00245A8C"/>
    <w:rsid w:val="00245B8D"/>
    <w:rsid w:val="00245B9A"/>
    <w:rsid w:val="00245D33"/>
    <w:rsid w:val="00245E69"/>
    <w:rsid w:val="00246789"/>
    <w:rsid w:val="0024684F"/>
    <w:rsid w:val="002468EA"/>
    <w:rsid w:val="00246A12"/>
    <w:rsid w:val="00246A33"/>
    <w:rsid w:val="00246B61"/>
    <w:rsid w:val="00246BB3"/>
    <w:rsid w:val="00246BDF"/>
    <w:rsid w:val="002470AC"/>
    <w:rsid w:val="00247165"/>
    <w:rsid w:val="002471B7"/>
    <w:rsid w:val="00247A7E"/>
    <w:rsid w:val="00247B1E"/>
    <w:rsid w:val="00247C70"/>
    <w:rsid w:val="00247E68"/>
    <w:rsid w:val="00247FAE"/>
    <w:rsid w:val="00247FF0"/>
    <w:rsid w:val="0025021C"/>
    <w:rsid w:val="00250BB5"/>
    <w:rsid w:val="00250E61"/>
    <w:rsid w:val="00250F6F"/>
    <w:rsid w:val="002511ED"/>
    <w:rsid w:val="00251632"/>
    <w:rsid w:val="002518CC"/>
    <w:rsid w:val="00251D7E"/>
    <w:rsid w:val="00251FFE"/>
    <w:rsid w:val="00252135"/>
    <w:rsid w:val="0025243A"/>
    <w:rsid w:val="002524AA"/>
    <w:rsid w:val="0025260A"/>
    <w:rsid w:val="002526A0"/>
    <w:rsid w:val="00252975"/>
    <w:rsid w:val="00252977"/>
    <w:rsid w:val="00252AA2"/>
    <w:rsid w:val="00252B0C"/>
    <w:rsid w:val="00252B13"/>
    <w:rsid w:val="00252F0B"/>
    <w:rsid w:val="002535B1"/>
    <w:rsid w:val="002536B4"/>
    <w:rsid w:val="002536EF"/>
    <w:rsid w:val="002538EA"/>
    <w:rsid w:val="00253A8C"/>
    <w:rsid w:val="00253AF1"/>
    <w:rsid w:val="00253BA4"/>
    <w:rsid w:val="00253DB9"/>
    <w:rsid w:val="00253E54"/>
    <w:rsid w:val="00253E71"/>
    <w:rsid w:val="00254145"/>
    <w:rsid w:val="002542AA"/>
    <w:rsid w:val="0025437A"/>
    <w:rsid w:val="0025442E"/>
    <w:rsid w:val="002545C2"/>
    <w:rsid w:val="002546A0"/>
    <w:rsid w:val="002547F7"/>
    <w:rsid w:val="00254931"/>
    <w:rsid w:val="00254AB2"/>
    <w:rsid w:val="00254AF0"/>
    <w:rsid w:val="00254F79"/>
    <w:rsid w:val="00255023"/>
    <w:rsid w:val="002550CB"/>
    <w:rsid w:val="002550E5"/>
    <w:rsid w:val="002552A3"/>
    <w:rsid w:val="002553DA"/>
    <w:rsid w:val="002554D5"/>
    <w:rsid w:val="002555A9"/>
    <w:rsid w:val="00255623"/>
    <w:rsid w:val="00255627"/>
    <w:rsid w:val="0025570F"/>
    <w:rsid w:val="0025574F"/>
    <w:rsid w:val="00255B95"/>
    <w:rsid w:val="00255FDA"/>
    <w:rsid w:val="002564DD"/>
    <w:rsid w:val="00256536"/>
    <w:rsid w:val="00256963"/>
    <w:rsid w:val="00256977"/>
    <w:rsid w:val="00256A01"/>
    <w:rsid w:val="00256AC3"/>
    <w:rsid w:val="00257039"/>
    <w:rsid w:val="002572F9"/>
    <w:rsid w:val="002574E8"/>
    <w:rsid w:val="00257630"/>
    <w:rsid w:val="002576A0"/>
    <w:rsid w:val="002579AD"/>
    <w:rsid w:val="00257D41"/>
    <w:rsid w:val="00260422"/>
    <w:rsid w:val="002607A0"/>
    <w:rsid w:val="002607DC"/>
    <w:rsid w:val="0026080C"/>
    <w:rsid w:val="00260C02"/>
    <w:rsid w:val="00260C1A"/>
    <w:rsid w:val="00260CB8"/>
    <w:rsid w:val="00260EFA"/>
    <w:rsid w:val="0026123C"/>
    <w:rsid w:val="00261992"/>
    <w:rsid w:val="002621CF"/>
    <w:rsid w:val="00262265"/>
    <w:rsid w:val="002629ED"/>
    <w:rsid w:val="00262D30"/>
    <w:rsid w:val="00262FE3"/>
    <w:rsid w:val="0026367C"/>
    <w:rsid w:val="00263739"/>
    <w:rsid w:val="00263959"/>
    <w:rsid w:val="00263CC8"/>
    <w:rsid w:val="00264152"/>
    <w:rsid w:val="002645A2"/>
    <w:rsid w:val="00264859"/>
    <w:rsid w:val="00264C31"/>
    <w:rsid w:val="00264C4E"/>
    <w:rsid w:val="00264C9B"/>
    <w:rsid w:val="00264DCA"/>
    <w:rsid w:val="002650B7"/>
    <w:rsid w:val="0026583E"/>
    <w:rsid w:val="0026599C"/>
    <w:rsid w:val="00265C43"/>
    <w:rsid w:val="00265E27"/>
    <w:rsid w:val="00265F3F"/>
    <w:rsid w:val="00265FC6"/>
    <w:rsid w:val="00266284"/>
    <w:rsid w:val="00266468"/>
    <w:rsid w:val="002668EC"/>
    <w:rsid w:val="00266A85"/>
    <w:rsid w:val="00266DDE"/>
    <w:rsid w:val="0026707F"/>
    <w:rsid w:val="00267231"/>
    <w:rsid w:val="00267996"/>
    <w:rsid w:val="002679EE"/>
    <w:rsid w:val="00267EB0"/>
    <w:rsid w:val="00267F94"/>
    <w:rsid w:val="00270250"/>
    <w:rsid w:val="002702AB"/>
    <w:rsid w:val="0027053A"/>
    <w:rsid w:val="00270613"/>
    <w:rsid w:val="002706BC"/>
    <w:rsid w:val="002708FD"/>
    <w:rsid w:val="00270A17"/>
    <w:rsid w:val="00270A83"/>
    <w:rsid w:val="00270B84"/>
    <w:rsid w:val="002711E7"/>
    <w:rsid w:val="00271412"/>
    <w:rsid w:val="002715AC"/>
    <w:rsid w:val="0027169E"/>
    <w:rsid w:val="0027175D"/>
    <w:rsid w:val="00271993"/>
    <w:rsid w:val="00271D3F"/>
    <w:rsid w:val="00271D83"/>
    <w:rsid w:val="00271FB5"/>
    <w:rsid w:val="00272A89"/>
    <w:rsid w:val="00272AA8"/>
    <w:rsid w:val="00272B92"/>
    <w:rsid w:val="00272C6E"/>
    <w:rsid w:val="0027312B"/>
    <w:rsid w:val="002733FA"/>
    <w:rsid w:val="002736B6"/>
    <w:rsid w:val="00273891"/>
    <w:rsid w:val="00273A74"/>
    <w:rsid w:val="00273A82"/>
    <w:rsid w:val="00273CE3"/>
    <w:rsid w:val="00273D2E"/>
    <w:rsid w:val="00273E44"/>
    <w:rsid w:val="0027442E"/>
    <w:rsid w:val="002744AE"/>
    <w:rsid w:val="00274549"/>
    <w:rsid w:val="00274694"/>
    <w:rsid w:val="00274E7D"/>
    <w:rsid w:val="00274E86"/>
    <w:rsid w:val="002751A2"/>
    <w:rsid w:val="0027547A"/>
    <w:rsid w:val="0027550F"/>
    <w:rsid w:val="0027568A"/>
    <w:rsid w:val="0027568E"/>
    <w:rsid w:val="00275812"/>
    <w:rsid w:val="002759CA"/>
    <w:rsid w:val="00275A6B"/>
    <w:rsid w:val="00275AAB"/>
    <w:rsid w:val="00275B60"/>
    <w:rsid w:val="00275BBC"/>
    <w:rsid w:val="00275BBE"/>
    <w:rsid w:val="0027641C"/>
    <w:rsid w:val="0027659D"/>
    <w:rsid w:val="002765A3"/>
    <w:rsid w:val="00276C79"/>
    <w:rsid w:val="00277117"/>
    <w:rsid w:val="002772C7"/>
    <w:rsid w:val="00277301"/>
    <w:rsid w:val="002773B1"/>
    <w:rsid w:val="0027784B"/>
    <w:rsid w:val="00277CAE"/>
    <w:rsid w:val="00277CB5"/>
    <w:rsid w:val="00277CBD"/>
    <w:rsid w:val="0028018A"/>
    <w:rsid w:val="002802DE"/>
    <w:rsid w:val="00280348"/>
    <w:rsid w:val="002805CF"/>
    <w:rsid w:val="00280606"/>
    <w:rsid w:val="00280628"/>
    <w:rsid w:val="0028067C"/>
    <w:rsid w:val="00280688"/>
    <w:rsid w:val="00280850"/>
    <w:rsid w:val="00280881"/>
    <w:rsid w:val="00280EB3"/>
    <w:rsid w:val="0028100B"/>
    <w:rsid w:val="00281191"/>
    <w:rsid w:val="0028186F"/>
    <w:rsid w:val="00281943"/>
    <w:rsid w:val="00281A1D"/>
    <w:rsid w:val="00281BDA"/>
    <w:rsid w:val="00281CC2"/>
    <w:rsid w:val="00281E72"/>
    <w:rsid w:val="00281FFF"/>
    <w:rsid w:val="0028200C"/>
    <w:rsid w:val="002822FF"/>
    <w:rsid w:val="0028251E"/>
    <w:rsid w:val="0028281F"/>
    <w:rsid w:val="002828A2"/>
    <w:rsid w:val="00282B75"/>
    <w:rsid w:val="00282BDD"/>
    <w:rsid w:val="00283169"/>
    <w:rsid w:val="0028325F"/>
    <w:rsid w:val="0028357E"/>
    <w:rsid w:val="0028377D"/>
    <w:rsid w:val="0028391E"/>
    <w:rsid w:val="00283A09"/>
    <w:rsid w:val="00283DF6"/>
    <w:rsid w:val="00283E4C"/>
    <w:rsid w:val="002840E0"/>
    <w:rsid w:val="00284147"/>
    <w:rsid w:val="0028460F"/>
    <w:rsid w:val="002846B7"/>
    <w:rsid w:val="00284A61"/>
    <w:rsid w:val="00284BBB"/>
    <w:rsid w:val="00284D81"/>
    <w:rsid w:val="00284E3C"/>
    <w:rsid w:val="0028515B"/>
    <w:rsid w:val="0028524D"/>
    <w:rsid w:val="00285462"/>
    <w:rsid w:val="00285599"/>
    <w:rsid w:val="00285604"/>
    <w:rsid w:val="00285646"/>
    <w:rsid w:val="0028564F"/>
    <w:rsid w:val="0028576F"/>
    <w:rsid w:val="002858F9"/>
    <w:rsid w:val="00285E98"/>
    <w:rsid w:val="00285F5D"/>
    <w:rsid w:val="002863A8"/>
    <w:rsid w:val="00286F58"/>
    <w:rsid w:val="002872EF"/>
    <w:rsid w:val="002874A2"/>
    <w:rsid w:val="0028786A"/>
    <w:rsid w:val="002879B4"/>
    <w:rsid w:val="00287B05"/>
    <w:rsid w:val="00287C5D"/>
    <w:rsid w:val="00287FF3"/>
    <w:rsid w:val="002900B8"/>
    <w:rsid w:val="00290830"/>
    <w:rsid w:val="00290AE6"/>
    <w:rsid w:val="00290AFD"/>
    <w:rsid w:val="00290B58"/>
    <w:rsid w:val="00290CA6"/>
    <w:rsid w:val="0029127A"/>
    <w:rsid w:val="002912E4"/>
    <w:rsid w:val="00291669"/>
    <w:rsid w:val="00291ABB"/>
    <w:rsid w:val="00291CDE"/>
    <w:rsid w:val="00291FBB"/>
    <w:rsid w:val="002920E8"/>
    <w:rsid w:val="00292151"/>
    <w:rsid w:val="0029229A"/>
    <w:rsid w:val="00292391"/>
    <w:rsid w:val="002924F4"/>
    <w:rsid w:val="00292754"/>
    <w:rsid w:val="002928EB"/>
    <w:rsid w:val="002929A5"/>
    <w:rsid w:val="00292AC1"/>
    <w:rsid w:val="00292B9A"/>
    <w:rsid w:val="002930FB"/>
    <w:rsid w:val="0029319D"/>
    <w:rsid w:val="002934DA"/>
    <w:rsid w:val="002937F0"/>
    <w:rsid w:val="00293A9E"/>
    <w:rsid w:val="00293BA1"/>
    <w:rsid w:val="00293BF4"/>
    <w:rsid w:val="00293DFC"/>
    <w:rsid w:val="00293DFF"/>
    <w:rsid w:val="00293E95"/>
    <w:rsid w:val="00294100"/>
    <w:rsid w:val="00294112"/>
    <w:rsid w:val="002946CF"/>
    <w:rsid w:val="002946EE"/>
    <w:rsid w:val="0029471C"/>
    <w:rsid w:val="00294CB8"/>
    <w:rsid w:val="00294DF4"/>
    <w:rsid w:val="00294E0B"/>
    <w:rsid w:val="00294E84"/>
    <w:rsid w:val="00294F31"/>
    <w:rsid w:val="002953D4"/>
    <w:rsid w:val="002953D9"/>
    <w:rsid w:val="002953F8"/>
    <w:rsid w:val="002956D4"/>
    <w:rsid w:val="00295976"/>
    <w:rsid w:val="00295D16"/>
    <w:rsid w:val="00295F5E"/>
    <w:rsid w:val="00295F8F"/>
    <w:rsid w:val="00295FC5"/>
    <w:rsid w:val="00296258"/>
    <w:rsid w:val="002962B8"/>
    <w:rsid w:val="002965C4"/>
    <w:rsid w:val="002969E4"/>
    <w:rsid w:val="00296C5D"/>
    <w:rsid w:val="00296EB9"/>
    <w:rsid w:val="002974A8"/>
    <w:rsid w:val="0029750B"/>
    <w:rsid w:val="0029761E"/>
    <w:rsid w:val="002976E5"/>
    <w:rsid w:val="0029778E"/>
    <w:rsid w:val="0029780C"/>
    <w:rsid w:val="00297CB1"/>
    <w:rsid w:val="00297D94"/>
    <w:rsid w:val="00297E7F"/>
    <w:rsid w:val="00297F92"/>
    <w:rsid w:val="002A00D7"/>
    <w:rsid w:val="002A03FD"/>
    <w:rsid w:val="002A0533"/>
    <w:rsid w:val="002A069B"/>
    <w:rsid w:val="002A080F"/>
    <w:rsid w:val="002A0A17"/>
    <w:rsid w:val="002A0D94"/>
    <w:rsid w:val="002A0EBE"/>
    <w:rsid w:val="002A0F3D"/>
    <w:rsid w:val="002A0F77"/>
    <w:rsid w:val="002A1219"/>
    <w:rsid w:val="002A15F1"/>
    <w:rsid w:val="002A1749"/>
    <w:rsid w:val="002A1880"/>
    <w:rsid w:val="002A1B11"/>
    <w:rsid w:val="002A1DE2"/>
    <w:rsid w:val="002A227B"/>
    <w:rsid w:val="002A22E6"/>
    <w:rsid w:val="002A2470"/>
    <w:rsid w:val="002A264F"/>
    <w:rsid w:val="002A28AD"/>
    <w:rsid w:val="002A2E54"/>
    <w:rsid w:val="002A302B"/>
    <w:rsid w:val="002A318C"/>
    <w:rsid w:val="002A381B"/>
    <w:rsid w:val="002A38BF"/>
    <w:rsid w:val="002A3939"/>
    <w:rsid w:val="002A3ABE"/>
    <w:rsid w:val="002A3C57"/>
    <w:rsid w:val="002A41CF"/>
    <w:rsid w:val="002A4207"/>
    <w:rsid w:val="002A4584"/>
    <w:rsid w:val="002A4770"/>
    <w:rsid w:val="002A47B7"/>
    <w:rsid w:val="002A4AEF"/>
    <w:rsid w:val="002A4B51"/>
    <w:rsid w:val="002A4C48"/>
    <w:rsid w:val="002A4C64"/>
    <w:rsid w:val="002A4F8F"/>
    <w:rsid w:val="002A5052"/>
    <w:rsid w:val="002A5473"/>
    <w:rsid w:val="002A577F"/>
    <w:rsid w:val="002A5929"/>
    <w:rsid w:val="002A598D"/>
    <w:rsid w:val="002A59F6"/>
    <w:rsid w:val="002A5A4C"/>
    <w:rsid w:val="002A5ABA"/>
    <w:rsid w:val="002A5B40"/>
    <w:rsid w:val="002A5C70"/>
    <w:rsid w:val="002A5C74"/>
    <w:rsid w:val="002A5EE5"/>
    <w:rsid w:val="002A6170"/>
    <w:rsid w:val="002A6576"/>
    <w:rsid w:val="002A6652"/>
    <w:rsid w:val="002A6734"/>
    <w:rsid w:val="002A6A77"/>
    <w:rsid w:val="002A6CB4"/>
    <w:rsid w:val="002A6E40"/>
    <w:rsid w:val="002A6F4E"/>
    <w:rsid w:val="002A70B1"/>
    <w:rsid w:val="002A71FD"/>
    <w:rsid w:val="002A7D10"/>
    <w:rsid w:val="002B01B7"/>
    <w:rsid w:val="002B0343"/>
    <w:rsid w:val="002B088B"/>
    <w:rsid w:val="002B0BE0"/>
    <w:rsid w:val="002B0CED"/>
    <w:rsid w:val="002B0E37"/>
    <w:rsid w:val="002B1064"/>
    <w:rsid w:val="002B11CC"/>
    <w:rsid w:val="002B15D9"/>
    <w:rsid w:val="002B1769"/>
    <w:rsid w:val="002B186B"/>
    <w:rsid w:val="002B1AB4"/>
    <w:rsid w:val="002B1BD5"/>
    <w:rsid w:val="002B1D13"/>
    <w:rsid w:val="002B1D89"/>
    <w:rsid w:val="002B2007"/>
    <w:rsid w:val="002B217D"/>
    <w:rsid w:val="002B2495"/>
    <w:rsid w:val="002B26DC"/>
    <w:rsid w:val="002B2703"/>
    <w:rsid w:val="002B27C3"/>
    <w:rsid w:val="002B2D6E"/>
    <w:rsid w:val="002B2DCB"/>
    <w:rsid w:val="002B2E5C"/>
    <w:rsid w:val="002B3192"/>
    <w:rsid w:val="002B3443"/>
    <w:rsid w:val="002B3694"/>
    <w:rsid w:val="002B3957"/>
    <w:rsid w:val="002B40FE"/>
    <w:rsid w:val="002B4248"/>
    <w:rsid w:val="002B42C2"/>
    <w:rsid w:val="002B4388"/>
    <w:rsid w:val="002B4576"/>
    <w:rsid w:val="002B4835"/>
    <w:rsid w:val="002B49B0"/>
    <w:rsid w:val="002B4A9D"/>
    <w:rsid w:val="002B4AB3"/>
    <w:rsid w:val="002B4AB6"/>
    <w:rsid w:val="002B4B71"/>
    <w:rsid w:val="002B4F25"/>
    <w:rsid w:val="002B50FA"/>
    <w:rsid w:val="002B5149"/>
    <w:rsid w:val="002B527D"/>
    <w:rsid w:val="002B5372"/>
    <w:rsid w:val="002B53A5"/>
    <w:rsid w:val="002B544B"/>
    <w:rsid w:val="002B5470"/>
    <w:rsid w:val="002B54CC"/>
    <w:rsid w:val="002B5644"/>
    <w:rsid w:val="002B57F2"/>
    <w:rsid w:val="002B59C9"/>
    <w:rsid w:val="002B5AAE"/>
    <w:rsid w:val="002B5BB7"/>
    <w:rsid w:val="002B6148"/>
    <w:rsid w:val="002B6293"/>
    <w:rsid w:val="002B6476"/>
    <w:rsid w:val="002B652C"/>
    <w:rsid w:val="002B672B"/>
    <w:rsid w:val="002B677C"/>
    <w:rsid w:val="002B6C2A"/>
    <w:rsid w:val="002B6DDB"/>
    <w:rsid w:val="002B6FA5"/>
    <w:rsid w:val="002B72D7"/>
    <w:rsid w:val="002B75D1"/>
    <w:rsid w:val="002B770F"/>
    <w:rsid w:val="002B7764"/>
    <w:rsid w:val="002C036C"/>
    <w:rsid w:val="002C03A6"/>
    <w:rsid w:val="002C03C0"/>
    <w:rsid w:val="002C0CF6"/>
    <w:rsid w:val="002C0EE9"/>
    <w:rsid w:val="002C1156"/>
    <w:rsid w:val="002C1537"/>
    <w:rsid w:val="002C169B"/>
    <w:rsid w:val="002C19F4"/>
    <w:rsid w:val="002C1D08"/>
    <w:rsid w:val="002C208F"/>
    <w:rsid w:val="002C2200"/>
    <w:rsid w:val="002C2219"/>
    <w:rsid w:val="002C247E"/>
    <w:rsid w:val="002C24BA"/>
    <w:rsid w:val="002C2952"/>
    <w:rsid w:val="002C2B78"/>
    <w:rsid w:val="002C3218"/>
    <w:rsid w:val="002C32C8"/>
    <w:rsid w:val="002C33C9"/>
    <w:rsid w:val="002C33F0"/>
    <w:rsid w:val="002C3692"/>
    <w:rsid w:val="002C370B"/>
    <w:rsid w:val="002C377B"/>
    <w:rsid w:val="002C3A52"/>
    <w:rsid w:val="002C3FE0"/>
    <w:rsid w:val="002C3FEC"/>
    <w:rsid w:val="002C41D7"/>
    <w:rsid w:val="002C4258"/>
    <w:rsid w:val="002C4359"/>
    <w:rsid w:val="002C4551"/>
    <w:rsid w:val="002C48DF"/>
    <w:rsid w:val="002C499E"/>
    <w:rsid w:val="002C4C28"/>
    <w:rsid w:val="002C4F7D"/>
    <w:rsid w:val="002C5107"/>
    <w:rsid w:val="002C512C"/>
    <w:rsid w:val="002C52CD"/>
    <w:rsid w:val="002C55B7"/>
    <w:rsid w:val="002C5ADC"/>
    <w:rsid w:val="002C5CDE"/>
    <w:rsid w:val="002C5E26"/>
    <w:rsid w:val="002C5E6A"/>
    <w:rsid w:val="002C6194"/>
    <w:rsid w:val="002C62BC"/>
    <w:rsid w:val="002C63A7"/>
    <w:rsid w:val="002C6554"/>
    <w:rsid w:val="002C6A5E"/>
    <w:rsid w:val="002C6E04"/>
    <w:rsid w:val="002C706F"/>
    <w:rsid w:val="002C718D"/>
    <w:rsid w:val="002C71AF"/>
    <w:rsid w:val="002C71E5"/>
    <w:rsid w:val="002C7203"/>
    <w:rsid w:val="002C7212"/>
    <w:rsid w:val="002C7315"/>
    <w:rsid w:val="002C7488"/>
    <w:rsid w:val="002C76BC"/>
    <w:rsid w:val="002C787E"/>
    <w:rsid w:val="002C7B37"/>
    <w:rsid w:val="002C7C93"/>
    <w:rsid w:val="002D0206"/>
    <w:rsid w:val="002D039E"/>
    <w:rsid w:val="002D067F"/>
    <w:rsid w:val="002D0786"/>
    <w:rsid w:val="002D07CC"/>
    <w:rsid w:val="002D081F"/>
    <w:rsid w:val="002D08E5"/>
    <w:rsid w:val="002D0938"/>
    <w:rsid w:val="002D0974"/>
    <w:rsid w:val="002D09B7"/>
    <w:rsid w:val="002D0B6D"/>
    <w:rsid w:val="002D0EAC"/>
    <w:rsid w:val="002D1030"/>
    <w:rsid w:val="002D1106"/>
    <w:rsid w:val="002D1253"/>
    <w:rsid w:val="002D13F8"/>
    <w:rsid w:val="002D14B7"/>
    <w:rsid w:val="002D1A00"/>
    <w:rsid w:val="002D1C29"/>
    <w:rsid w:val="002D1CAE"/>
    <w:rsid w:val="002D1DE6"/>
    <w:rsid w:val="002D1E30"/>
    <w:rsid w:val="002D1FAD"/>
    <w:rsid w:val="002D1FF1"/>
    <w:rsid w:val="002D210D"/>
    <w:rsid w:val="002D2184"/>
    <w:rsid w:val="002D22CC"/>
    <w:rsid w:val="002D22D9"/>
    <w:rsid w:val="002D23A5"/>
    <w:rsid w:val="002D2409"/>
    <w:rsid w:val="002D277C"/>
    <w:rsid w:val="002D2886"/>
    <w:rsid w:val="002D2985"/>
    <w:rsid w:val="002D2986"/>
    <w:rsid w:val="002D2C52"/>
    <w:rsid w:val="002D2F61"/>
    <w:rsid w:val="002D2FC6"/>
    <w:rsid w:val="002D3029"/>
    <w:rsid w:val="002D30D4"/>
    <w:rsid w:val="002D35D7"/>
    <w:rsid w:val="002D3604"/>
    <w:rsid w:val="002D36F2"/>
    <w:rsid w:val="002D3AC8"/>
    <w:rsid w:val="002D3B6F"/>
    <w:rsid w:val="002D3E4A"/>
    <w:rsid w:val="002D4228"/>
    <w:rsid w:val="002D47F7"/>
    <w:rsid w:val="002D49E4"/>
    <w:rsid w:val="002D4C3B"/>
    <w:rsid w:val="002D4E0F"/>
    <w:rsid w:val="002D4F55"/>
    <w:rsid w:val="002D5036"/>
    <w:rsid w:val="002D5233"/>
    <w:rsid w:val="002D56DB"/>
    <w:rsid w:val="002D580D"/>
    <w:rsid w:val="002D58F5"/>
    <w:rsid w:val="002D5BE3"/>
    <w:rsid w:val="002D5D95"/>
    <w:rsid w:val="002D5F13"/>
    <w:rsid w:val="002D612F"/>
    <w:rsid w:val="002D6179"/>
    <w:rsid w:val="002D63EE"/>
    <w:rsid w:val="002D6594"/>
    <w:rsid w:val="002D6765"/>
    <w:rsid w:val="002D6811"/>
    <w:rsid w:val="002D69E6"/>
    <w:rsid w:val="002D69FE"/>
    <w:rsid w:val="002D6A57"/>
    <w:rsid w:val="002D6BCF"/>
    <w:rsid w:val="002D6EFC"/>
    <w:rsid w:val="002D6FB9"/>
    <w:rsid w:val="002D71BD"/>
    <w:rsid w:val="002D736E"/>
    <w:rsid w:val="002D763D"/>
    <w:rsid w:val="002D7F9C"/>
    <w:rsid w:val="002E0095"/>
    <w:rsid w:val="002E02C9"/>
    <w:rsid w:val="002E02FF"/>
    <w:rsid w:val="002E041A"/>
    <w:rsid w:val="002E0978"/>
    <w:rsid w:val="002E0AD3"/>
    <w:rsid w:val="002E0B16"/>
    <w:rsid w:val="002E0C48"/>
    <w:rsid w:val="002E0F16"/>
    <w:rsid w:val="002E0FA1"/>
    <w:rsid w:val="002E101F"/>
    <w:rsid w:val="002E1353"/>
    <w:rsid w:val="002E19CE"/>
    <w:rsid w:val="002E1A59"/>
    <w:rsid w:val="002E1B67"/>
    <w:rsid w:val="002E1C16"/>
    <w:rsid w:val="002E1C1F"/>
    <w:rsid w:val="002E1CD1"/>
    <w:rsid w:val="002E1D2A"/>
    <w:rsid w:val="002E1E6C"/>
    <w:rsid w:val="002E21C7"/>
    <w:rsid w:val="002E2317"/>
    <w:rsid w:val="002E26B7"/>
    <w:rsid w:val="002E2E1C"/>
    <w:rsid w:val="002E3034"/>
    <w:rsid w:val="002E3065"/>
    <w:rsid w:val="002E335D"/>
    <w:rsid w:val="002E37D1"/>
    <w:rsid w:val="002E39DA"/>
    <w:rsid w:val="002E3D0E"/>
    <w:rsid w:val="002E3D4B"/>
    <w:rsid w:val="002E40CC"/>
    <w:rsid w:val="002E439D"/>
    <w:rsid w:val="002E44DB"/>
    <w:rsid w:val="002E470B"/>
    <w:rsid w:val="002E4845"/>
    <w:rsid w:val="002E4AF9"/>
    <w:rsid w:val="002E4CE1"/>
    <w:rsid w:val="002E4DFB"/>
    <w:rsid w:val="002E4E8B"/>
    <w:rsid w:val="002E4EEE"/>
    <w:rsid w:val="002E4EEF"/>
    <w:rsid w:val="002E4FF9"/>
    <w:rsid w:val="002E50EF"/>
    <w:rsid w:val="002E5144"/>
    <w:rsid w:val="002E5331"/>
    <w:rsid w:val="002E533D"/>
    <w:rsid w:val="002E5447"/>
    <w:rsid w:val="002E5573"/>
    <w:rsid w:val="002E586E"/>
    <w:rsid w:val="002E5A04"/>
    <w:rsid w:val="002E5A4B"/>
    <w:rsid w:val="002E5ACD"/>
    <w:rsid w:val="002E5FB5"/>
    <w:rsid w:val="002E61DF"/>
    <w:rsid w:val="002E62F6"/>
    <w:rsid w:val="002E65F8"/>
    <w:rsid w:val="002E667E"/>
    <w:rsid w:val="002E66BB"/>
    <w:rsid w:val="002E672F"/>
    <w:rsid w:val="002E6869"/>
    <w:rsid w:val="002E691C"/>
    <w:rsid w:val="002E6973"/>
    <w:rsid w:val="002E6B54"/>
    <w:rsid w:val="002E6F65"/>
    <w:rsid w:val="002E6F7E"/>
    <w:rsid w:val="002E6FA5"/>
    <w:rsid w:val="002E7095"/>
    <w:rsid w:val="002E7195"/>
    <w:rsid w:val="002E71EE"/>
    <w:rsid w:val="002E72DC"/>
    <w:rsid w:val="002E77B4"/>
    <w:rsid w:val="002E7927"/>
    <w:rsid w:val="002E7E35"/>
    <w:rsid w:val="002E7EBE"/>
    <w:rsid w:val="002F00AA"/>
    <w:rsid w:val="002F0361"/>
    <w:rsid w:val="002F047A"/>
    <w:rsid w:val="002F04E1"/>
    <w:rsid w:val="002F0644"/>
    <w:rsid w:val="002F07BB"/>
    <w:rsid w:val="002F0E99"/>
    <w:rsid w:val="002F0F63"/>
    <w:rsid w:val="002F0F88"/>
    <w:rsid w:val="002F0FF7"/>
    <w:rsid w:val="002F1486"/>
    <w:rsid w:val="002F1678"/>
    <w:rsid w:val="002F16DD"/>
    <w:rsid w:val="002F183A"/>
    <w:rsid w:val="002F183E"/>
    <w:rsid w:val="002F1AAF"/>
    <w:rsid w:val="002F1DE2"/>
    <w:rsid w:val="002F1EC2"/>
    <w:rsid w:val="002F1FD3"/>
    <w:rsid w:val="002F202A"/>
    <w:rsid w:val="002F2408"/>
    <w:rsid w:val="002F2613"/>
    <w:rsid w:val="002F2689"/>
    <w:rsid w:val="002F28E6"/>
    <w:rsid w:val="002F28EF"/>
    <w:rsid w:val="002F3210"/>
    <w:rsid w:val="002F334A"/>
    <w:rsid w:val="002F335A"/>
    <w:rsid w:val="002F3421"/>
    <w:rsid w:val="002F3471"/>
    <w:rsid w:val="002F3556"/>
    <w:rsid w:val="002F35E5"/>
    <w:rsid w:val="002F369D"/>
    <w:rsid w:val="002F3765"/>
    <w:rsid w:val="002F3A7A"/>
    <w:rsid w:val="002F3AB5"/>
    <w:rsid w:val="002F3B09"/>
    <w:rsid w:val="002F3C9D"/>
    <w:rsid w:val="002F3DB4"/>
    <w:rsid w:val="002F3E62"/>
    <w:rsid w:val="002F4090"/>
    <w:rsid w:val="002F40DC"/>
    <w:rsid w:val="002F4378"/>
    <w:rsid w:val="002F4493"/>
    <w:rsid w:val="002F44B8"/>
    <w:rsid w:val="002F4723"/>
    <w:rsid w:val="002F4918"/>
    <w:rsid w:val="002F49C7"/>
    <w:rsid w:val="002F4BA8"/>
    <w:rsid w:val="002F4C02"/>
    <w:rsid w:val="002F4CDD"/>
    <w:rsid w:val="002F4F48"/>
    <w:rsid w:val="002F518F"/>
    <w:rsid w:val="002F55AF"/>
    <w:rsid w:val="002F5611"/>
    <w:rsid w:val="002F5766"/>
    <w:rsid w:val="002F58C3"/>
    <w:rsid w:val="002F5BBD"/>
    <w:rsid w:val="002F6366"/>
    <w:rsid w:val="002F6492"/>
    <w:rsid w:val="002F64F1"/>
    <w:rsid w:val="002F673A"/>
    <w:rsid w:val="002F6978"/>
    <w:rsid w:val="002F6A8A"/>
    <w:rsid w:val="002F6BD2"/>
    <w:rsid w:val="002F6E28"/>
    <w:rsid w:val="002F6FD2"/>
    <w:rsid w:val="002F70DC"/>
    <w:rsid w:val="002F7148"/>
    <w:rsid w:val="002F74C5"/>
    <w:rsid w:val="002F7769"/>
    <w:rsid w:val="002F7804"/>
    <w:rsid w:val="002F7824"/>
    <w:rsid w:val="002F78EF"/>
    <w:rsid w:val="002F7AB6"/>
    <w:rsid w:val="002F7EDE"/>
    <w:rsid w:val="00300075"/>
    <w:rsid w:val="003006FC"/>
    <w:rsid w:val="00300A19"/>
    <w:rsid w:val="00300C6C"/>
    <w:rsid w:val="00300DB2"/>
    <w:rsid w:val="00300FD7"/>
    <w:rsid w:val="00301536"/>
    <w:rsid w:val="00301D0C"/>
    <w:rsid w:val="00301EF2"/>
    <w:rsid w:val="00301F17"/>
    <w:rsid w:val="0030229B"/>
    <w:rsid w:val="003022E8"/>
    <w:rsid w:val="0030251C"/>
    <w:rsid w:val="00302759"/>
    <w:rsid w:val="00302B4E"/>
    <w:rsid w:val="00302C5F"/>
    <w:rsid w:val="00302F3A"/>
    <w:rsid w:val="00303404"/>
    <w:rsid w:val="00303549"/>
    <w:rsid w:val="003035E2"/>
    <w:rsid w:val="00303974"/>
    <w:rsid w:val="00303ACF"/>
    <w:rsid w:val="00303D91"/>
    <w:rsid w:val="003040E3"/>
    <w:rsid w:val="00304289"/>
    <w:rsid w:val="00304343"/>
    <w:rsid w:val="0030442A"/>
    <w:rsid w:val="003046AC"/>
    <w:rsid w:val="00304A9B"/>
    <w:rsid w:val="00304CFE"/>
    <w:rsid w:val="003051ED"/>
    <w:rsid w:val="00305792"/>
    <w:rsid w:val="0030582B"/>
    <w:rsid w:val="003058E7"/>
    <w:rsid w:val="00305B98"/>
    <w:rsid w:val="00305D11"/>
    <w:rsid w:val="0030605B"/>
    <w:rsid w:val="00306294"/>
    <w:rsid w:val="003067F3"/>
    <w:rsid w:val="00306C22"/>
    <w:rsid w:val="00306DB0"/>
    <w:rsid w:val="00306EDE"/>
    <w:rsid w:val="00307011"/>
    <w:rsid w:val="003070C0"/>
    <w:rsid w:val="00307316"/>
    <w:rsid w:val="003075C7"/>
    <w:rsid w:val="0030797D"/>
    <w:rsid w:val="003079D1"/>
    <w:rsid w:val="003079D4"/>
    <w:rsid w:val="00307AC8"/>
    <w:rsid w:val="00307B53"/>
    <w:rsid w:val="003100CA"/>
    <w:rsid w:val="003102BC"/>
    <w:rsid w:val="003102E0"/>
    <w:rsid w:val="003107FB"/>
    <w:rsid w:val="00310BE6"/>
    <w:rsid w:val="00310EDA"/>
    <w:rsid w:val="0031104A"/>
    <w:rsid w:val="0031107C"/>
    <w:rsid w:val="00311249"/>
    <w:rsid w:val="00311314"/>
    <w:rsid w:val="003113CD"/>
    <w:rsid w:val="00311495"/>
    <w:rsid w:val="003117F5"/>
    <w:rsid w:val="0031182A"/>
    <w:rsid w:val="00311909"/>
    <w:rsid w:val="00311B76"/>
    <w:rsid w:val="00311BD8"/>
    <w:rsid w:val="00311D64"/>
    <w:rsid w:val="00311F69"/>
    <w:rsid w:val="0031204F"/>
    <w:rsid w:val="003120FE"/>
    <w:rsid w:val="0031229E"/>
    <w:rsid w:val="00312369"/>
    <w:rsid w:val="0031284C"/>
    <w:rsid w:val="00312932"/>
    <w:rsid w:val="00312B73"/>
    <w:rsid w:val="00312C38"/>
    <w:rsid w:val="00312DDB"/>
    <w:rsid w:val="00313142"/>
    <w:rsid w:val="003131C1"/>
    <w:rsid w:val="00313331"/>
    <w:rsid w:val="00313405"/>
    <w:rsid w:val="003134B0"/>
    <w:rsid w:val="0031355F"/>
    <w:rsid w:val="00313EFF"/>
    <w:rsid w:val="00313F41"/>
    <w:rsid w:val="00313F89"/>
    <w:rsid w:val="00313F9E"/>
    <w:rsid w:val="00313FA1"/>
    <w:rsid w:val="00314372"/>
    <w:rsid w:val="00314468"/>
    <w:rsid w:val="003144F6"/>
    <w:rsid w:val="00314611"/>
    <w:rsid w:val="00314742"/>
    <w:rsid w:val="0031479B"/>
    <w:rsid w:val="00314FE1"/>
    <w:rsid w:val="003150BE"/>
    <w:rsid w:val="0031547A"/>
    <w:rsid w:val="0031574F"/>
    <w:rsid w:val="00315B08"/>
    <w:rsid w:val="00315F8C"/>
    <w:rsid w:val="00316004"/>
    <w:rsid w:val="00316266"/>
    <w:rsid w:val="003164D8"/>
    <w:rsid w:val="003167A6"/>
    <w:rsid w:val="00316B12"/>
    <w:rsid w:val="00316C54"/>
    <w:rsid w:val="00316D2D"/>
    <w:rsid w:val="00316D70"/>
    <w:rsid w:val="00316E73"/>
    <w:rsid w:val="003173C3"/>
    <w:rsid w:val="0031760F"/>
    <w:rsid w:val="00317662"/>
    <w:rsid w:val="0031775D"/>
    <w:rsid w:val="003177D8"/>
    <w:rsid w:val="00317A95"/>
    <w:rsid w:val="00317B77"/>
    <w:rsid w:val="0032001E"/>
    <w:rsid w:val="003200C7"/>
    <w:rsid w:val="00320174"/>
    <w:rsid w:val="003201D2"/>
    <w:rsid w:val="003204CB"/>
    <w:rsid w:val="00320786"/>
    <w:rsid w:val="003209B7"/>
    <w:rsid w:val="00320B67"/>
    <w:rsid w:val="00320C8E"/>
    <w:rsid w:val="00320E07"/>
    <w:rsid w:val="00321308"/>
    <w:rsid w:val="00321560"/>
    <w:rsid w:val="0032173F"/>
    <w:rsid w:val="00321877"/>
    <w:rsid w:val="00321882"/>
    <w:rsid w:val="0032190F"/>
    <w:rsid w:val="00321BB6"/>
    <w:rsid w:val="00321CC9"/>
    <w:rsid w:val="00321E64"/>
    <w:rsid w:val="00321F14"/>
    <w:rsid w:val="00321F6C"/>
    <w:rsid w:val="00322128"/>
    <w:rsid w:val="00322419"/>
    <w:rsid w:val="003224D6"/>
    <w:rsid w:val="0032272F"/>
    <w:rsid w:val="00322A4B"/>
    <w:rsid w:val="00322B78"/>
    <w:rsid w:val="00322D32"/>
    <w:rsid w:val="00322FC2"/>
    <w:rsid w:val="00322FF0"/>
    <w:rsid w:val="0032347A"/>
    <w:rsid w:val="003236C4"/>
    <w:rsid w:val="0032380A"/>
    <w:rsid w:val="00323C7F"/>
    <w:rsid w:val="00323D6F"/>
    <w:rsid w:val="00323EE2"/>
    <w:rsid w:val="00323F42"/>
    <w:rsid w:val="0032424A"/>
    <w:rsid w:val="00324313"/>
    <w:rsid w:val="0032453F"/>
    <w:rsid w:val="0032457F"/>
    <w:rsid w:val="003245F5"/>
    <w:rsid w:val="003246C4"/>
    <w:rsid w:val="00324A3B"/>
    <w:rsid w:val="00324CE6"/>
    <w:rsid w:val="00324D09"/>
    <w:rsid w:val="00324D0E"/>
    <w:rsid w:val="00324D73"/>
    <w:rsid w:val="00324E0D"/>
    <w:rsid w:val="00324E3E"/>
    <w:rsid w:val="00324E5B"/>
    <w:rsid w:val="00325046"/>
    <w:rsid w:val="0032567C"/>
    <w:rsid w:val="00325A13"/>
    <w:rsid w:val="00325A5B"/>
    <w:rsid w:val="00325DEE"/>
    <w:rsid w:val="00325E6E"/>
    <w:rsid w:val="00325F34"/>
    <w:rsid w:val="00326446"/>
    <w:rsid w:val="00326783"/>
    <w:rsid w:val="00326851"/>
    <w:rsid w:val="00326A10"/>
    <w:rsid w:val="00326AF0"/>
    <w:rsid w:val="00326BAD"/>
    <w:rsid w:val="00326F55"/>
    <w:rsid w:val="0032718A"/>
    <w:rsid w:val="00327351"/>
    <w:rsid w:val="0032743D"/>
    <w:rsid w:val="003274B6"/>
    <w:rsid w:val="003275D2"/>
    <w:rsid w:val="00327EC6"/>
    <w:rsid w:val="0033065A"/>
    <w:rsid w:val="00330857"/>
    <w:rsid w:val="00331029"/>
    <w:rsid w:val="0033120A"/>
    <w:rsid w:val="003312DF"/>
    <w:rsid w:val="00331417"/>
    <w:rsid w:val="00331451"/>
    <w:rsid w:val="00331651"/>
    <w:rsid w:val="00331C2C"/>
    <w:rsid w:val="00331FBC"/>
    <w:rsid w:val="00331FF3"/>
    <w:rsid w:val="0033216E"/>
    <w:rsid w:val="00332180"/>
    <w:rsid w:val="003321AF"/>
    <w:rsid w:val="0033230A"/>
    <w:rsid w:val="003329BB"/>
    <w:rsid w:val="00332E5E"/>
    <w:rsid w:val="00332E8E"/>
    <w:rsid w:val="0033342B"/>
    <w:rsid w:val="003334B0"/>
    <w:rsid w:val="0033370F"/>
    <w:rsid w:val="003339B6"/>
    <w:rsid w:val="003339EC"/>
    <w:rsid w:val="00333C17"/>
    <w:rsid w:val="00333C34"/>
    <w:rsid w:val="00333C7F"/>
    <w:rsid w:val="00333DC0"/>
    <w:rsid w:val="0033442E"/>
    <w:rsid w:val="003344B3"/>
    <w:rsid w:val="0033464A"/>
    <w:rsid w:val="00334986"/>
    <w:rsid w:val="00334CC9"/>
    <w:rsid w:val="00334E0E"/>
    <w:rsid w:val="003351B1"/>
    <w:rsid w:val="00335905"/>
    <w:rsid w:val="00335C4B"/>
    <w:rsid w:val="00335C69"/>
    <w:rsid w:val="00335E86"/>
    <w:rsid w:val="00335EFE"/>
    <w:rsid w:val="003361EC"/>
    <w:rsid w:val="00336204"/>
    <w:rsid w:val="003362F9"/>
    <w:rsid w:val="0033645A"/>
    <w:rsid w:val="00336685"/>
    <w:rsid w:val="0033671A"/>
    <w:rsid w:val="00336A1F"/>
    <w:rsid w:val="00336F54"/>
    <w:rsid w:val="00336F7B"/>
    <w:rsid w:val="00337362"/>
    <w:rsid w:val="00337446"/>
    <w:rsid w:val="00337482"/>
    <w:rsid w:val="003376FC"/>
    <w:rsid w:val="0033770F"/>
    <w:rsid w:val="00337778"/>
    <w:rsid w:val="003378D7"/>
    <w:rsid w:val="003379F4"/>
    <w:rsid w:val="00337B91"/>
    <w:rsid w:val="00337B97"/>
    <w:rsid w:val="00337C47"/>
    <w:rsid w:val="00337CBE"/>
    <w:rsid w:val="00340119"/>
    <w:rsid w:val="00340521"/>
    <w:rsid w:val="00340691"/>
    <w:rsid w:val="00340921"/>
    <w:rsid w:val="00340AFF"/>
    <w:rsid w:val="00340E16"/>
    <w:rsid w:val="00340F1C"/>
    <w:rsid w:val="00341220"/>
    <w:rsid w:val="003412B0"/>
    <w:rsid w:val="00341564"/>
    <w:rsid w:val="00341AD2"/>
    <w:rsid w:val="00341B8C"/>
    <w:rsid w:val="00341BCD"/>
    <w:rsid w:val="00341F38"/>
    <w:rsid w:val="00341F61"/>
    <w:rsid w:val="00341F95"/>
    <w:rsid w:val="003420C6"/>
    <w:rsid w:val="0034219C"/>
    <w:rsid w:val="003423F2"/>
    <w:rsid w:val="003427B2"/>
    <w:rsid w:val="00342A33"/>
    <w:rsid w:val="00342A8A"/>
    <w:rsid w:val="00342B79"/>
    <w:rsid w:val="003433E3"/>
    <w:rsid w:val="0034341D"/>
    <w:rsid w:val="0034394B"/>
    <w:rsid w:val="00343BB1"/>
    <w:rsid w:val="00343DDC"/>
    <w:rsid w:val="00343E94"/>
    <w:rsid w:val="003440AF"/>
    <w:rsid w:val="003440E5"/>
    <w:rsid w:val="0034418E"/>
    <w:rsid w:val="003442B5"/>
    <w:rsid w:val="003442F2"/>
    <w:rsid w:val="00344688"/>
    <w:rsid w:val="0034488C"/>
    <w:rsid w:val="0034495D"/>
    <w:rsid w:val="00344B2E"/>
    <w:rsid w:val="00344D71"/>
    <w:rsid w:val="00345399"/>
    <w:rsid w:val="003455C6"/>
    <w:rsid w:val="00345723"/>
    <w:rsid w:val="003459F3"/>
    <w:rsid w:val="00345F8F"/>
    <w:rsid w:val="003460D8"/>
    <w:rsid w:val="003462B4"/>
    <w:rsid w:val="003465B6"/>
    <w:rsid w:val="003465E7"/>
    <w:rsid w:val="00346974"/>
    <w:rsid w:val="003469A2"/>
    <w:rsid w:val="00346B71"/>
    <w:rsid w:val="00346C48"/>
    <w:rsid w:val="00346D21"/>
    <w:rsid w:val="00346D5D"/>
    <w:rsid w:val="00346E84"/>
    <w:rsid w:val="0034722F"/>
    <w:rsid w:val="003478BA"/>
    <w:rsid w:val="003478E0"/>
    <w:rsid w:val="003479DA"/>
    <w:rsid w:val="00347BAC"/>
    <w:rsid w:val="00347E7B"/>
    <w:rsid w:val="00347EF4"/>
    <w:rsid w:val="003508F8"/>
    <w:rsid w:val="00350ADE"/>
    <w:rsid w:val="00350E3B"/>
    <w:rsid w:val="00350E45"/>
    <w:rsid w:val="00351206"/>
    <w:rsid w:val="003517C1"/>
    <w:rsid w:val="00351801"/>
    <w:rsid w:val="003520B6"/>
    <w:rsid w:val="003521B3"/>
    <w:rsid w:val="0035253C"/>
    <w:rsid w:val="00352609"/>
    <w:rsid w:val="003528B6"/>
    <w:rsid w:val="00352EB2"/>
    <w:rsid w:val="00352EEF"/>
    <w:rsid w:val="0035322F"/>
    <w:rsid w:val="00353426"/>
    <w:rsid w:val="0035358B"/>
    <w:rsid w:val="0035364E"/>
    <w:rsid w:val="003536FF"/>
    <w:rsid w:val="0035372F"/>
    <w:rsid w:val="003539BA"/>
    <w:rsid w:val="00353B58"/>
    <w:rsid w:val="00353B5A"/>
    <w:rsid w:val="00353B71"/>
    <w:rsid w:val="00353C67"/>
    <w:rsid w:val="00353DF6"/>
    <w:rsid w:val="00353E13"/>
    <w:rsid w:val="00353ED0"/>
    <w:rsid w:val="00353FE2"/>
    <w:rsid w:val="003543F6"/>
    <w:rsid w:val="0035442B"/>
    <w:rsid w:val="003544C4"/>
    <w:rsid w:val="0035453D"/>
    <w:rsid w:val="0035464E"/>
    <w:rsid w:val="00354675"/>
    <w:rsid w:val="00354A77"/>
    <w:rsid w:val="00354AEC"/>
    <w:rsid w:val="00354CFF"/>
    <w:rsid w:val="00354E1C"/>
    <w:rsid w:val="0035513E"/>
    <w:rsid w:val="00355293"/>
    <w:rsid w:val="00355572"/>
    <w:rsid w:val="00355662"/>
    <w:rsid w:val="003558D0"/>
    <w:rsid w:val="00355AD1"/>
    <w:rsid w:val="00355AF9"/>
    <w:rsid w:val="00355C3B"/>
    <w:rsid w:val="00355DDD"/>
    <w:rsid w:val="00355EAA"/>
    <w:rsid w:val="00355FED"/>
    <w:rsid w:val="0035607C"/>
    <w:rsid w:val="003561AC"/>
    <w:rsid w:val="00356333"/>
    <w:rsid w:val="003563C8"/>
    <w:rsid w:val="00356749"/>
    <w:rsid w:val="00356928"/>
    <w:rsid w:val="0035699D"/>
    <w:rsid w:val="00356B1B"/>
    <w:rsid w:val="00356B5E"/>
    <w:rsid w:val="00356B9F"/>
    <w:rsid w:val="00356DA4"/>
    <w:rsid w:val="00356DD8"/>
    <w:rsid w:val="00356EF1"/>
    <w:rsid w:val="00356F19"/>
    <w:rsid w:val="0035704E"/>
    <w:rsid w:val="003570D4"/>
    <w:rsid w:val="0035713A"/>
    <w:rsid w:val="003571DB"/>
    <w:rsid w:val="0035777E"/>
    <w:rsid w:val="00357814"/>
    <w:rsid w:val="003579DC"/>
    <w:rsid w:val="00357A29"/>
    <w:rsid w:val="00357CB7"/>
    <w:rsid w:val="00360132"/>
    <w:rsid w:val="0036024A"/>
    <w:rsid w:val="003604E1"/>
    <w:rsid w:val="0036094D"/>
    <w:rsid w:val="00360C88"/>
    <w:rsid w:val="00360FD4"/>
    <w:rsid w:val="00360FE7"/>
    <w:rsid w:val="00361165"/>
    <w:rsid w:val="003612E0"/>
    <w:rsid w:val="003613D3"/>
    <w:rsid w:val="0036158E"/>
    <w:rsid w:val="0036199F"/>
    <w:rsid w:val="00361C18"/>
    <w:rsid w:val="00361EC0"/>
    <w:rsid w:val="00361FA6"/>
    <w:rsid w:val="00361FEE"/>
    <w:rsid w:val="00362155"/>
    <w:rsid w:val="003625AD"/>
    <w:rsid w:val="003627E9"/>
    <w:rsid w:val="003629B2"/>
    <w:rsid w:val="003629F0"/>
    <w:rsid w:val="00362A93"/>
    <w:rsid w:val="00362EB5"/>
    <w:rsid w:val="003630A3"/>
    <w:rsid w:val="0036337F"/>
    <w:rsid w:val="003636A0"/>
    <w:rsid w:val="003636E6"/>
    <w:rsid w:val="00363703"/>
    <w:rsid w:val="0036377A"/>
    <w:rsid w:val="0036381D"/>
    <w:rsid w:val="003639C6"/>
    <w:rsid w:val="00364488"/>
    <w:rsid w:val="003647AD"/>
    <w:rsid w:val="0036496A"/>
    <w:rsid w:val="00364C67"/>
    <w:rsid w:val="00364C82"/>
    <w:rsid w:val="00364D09"/>
    <w:rsid w:val="00364E63"/>
    <w:rsid w:val="003651C7"/>
    <w:rsid w:val="00365392"/>
    <w:rsid w:val="0036542A"/>
    <w:rsid w:val="0036545B"/>
    <w:rsid w:val="0036565E"/>
    <w:rsid w:val="0036578E"/>
    <w:rsid w:val="00365877"/>
    <w:rsid w:val="003659A4"/>
    <w:rsid w:val="00365A50"/>
    <w:rsid w:val="00365EA5"/>
    <w:rsid w:val="003661D7"/>
    <w:rsid w:val="003665C5"/>
    <w:rsid w:val="00366A8C"/>
    <w:rsid w:val="00366B06"/>
    <w:rsid w:val="00366B8E"/>
    <w:rsid w:val="00366DE4"/>
    <w:rsid w:val="00366F5C"/>
    <w:rsid w:val="00366F8B"/>
    <w:rsid w:val="00367052"/>
    <w:rsid w:val="003670E6"/>
    <w:rsid w:val="00367276"/>
    <w:rsid w:val="003675D6"/>
    <w:rsid w:val="00367A92"/>
    <w:rsid w:val="00367AC3"/>
    <w:rsid w:val="003700F3"/>
    <w:rsid w:val="003703D2"/>
    <w:rsid w:val="003705D5"/>
    <w:rsid w:val="00370990"/>
    <w:rsid w:val="00370C33"/>
    <w:rsid w:val="00370DE6"/>
    <w:rsid w:val="00370F69"/>
    <w:rsid w:val="00370F93"/>
    <w:rsid w:val="00370FD3"/>
    <w:rsid w:val="00371873"/>
    <w:rsid w:val="003718E1"/>
    <w:rsid w:val="00371C76"/>
    <w:rsid w:val="00371E33"/>
    <w:rsid w:val="00372295"/>
    <w:rsid w:val="00372324"/>
    <w:rsid w:val="003724A1"/>
    <w:rsid w:val="00372704"/>
    <w:rsid w:val="003727E6"/>
    <w:rsid w:val="00372961"/>
    <w:rsid w:val="00372B4E"/>
    <w:rsid w:val="00372D3C"/>
    <w:rsid w:val="00372F4D"/>
    <w:rsid w:val="00372F6A"/>
    <w:rsid w:val="00373590"/>
    <w:rsid w:val="003738CC"/>
    <w:rsid w:val="00373AA4"/>
    <w:rsid w:val="00373BAC"/>
    <w:rsid w:val="00373F8B"/>
    <w:rsid w:val="0037421B"/>
    <w:rsid w:val="0037462B"/>
    <w:rsid w:val="00374A26"/>
    <w:rsid w:val="00374DEA"/>
    <w:rsid w:val="00375091"/>
    <w:rsid w:val="003750DD"/>
    <w:rsid w:val="00375110"/>
    <w:rsid w:val="003752A5"/>
    <w:rsid w:val="00375433"/>
    <w:rsid w:val="00375489"/>
    <w:rsid w:val="00375712"/>
    <w:rsid w:val="00375957"/>
    <w:rsid w:val="003759F3"/>
    <w:rsid w:val="00375A6C"/>
    <w:rsid w:val="00375C92"/>
    <w:rsid w:val="00375D1D"/>
    <w:rsid w:val="00375DF2"/>
    <w:rsid w:val="003765C2"/>
    <w:rsid w:val="003769D0"/>
    <w:rsid w:val="00376C5D"/>
    <w:rsid w:val="00376FB3"/>
    <w:rsid w:val="00376FBC"/>
    <w:rsid w:val="0037708C"/>
    <w:rsid w:val="003771DB"/>
    <w:rsid w:val="00377358"/>
    <w:rsid w:val="003773B6"/>
    <w:rsid w:val="00377463"/>
    <w:rsid w:val="00377662"/>
    <w:rsid w:val="0037776B"/>
    <w:rsid w:val="00377927"/>
    <w:rsid w:val="00377B33"/>
    <w:rsid w:val="00377ED9"/>
    <w:rsid w:val="00377EDD"/>
    <w:rsid w:val="0038001C"/>
    <w:rsid w:val="00380424"/>
    <w:rsid w:val="00380690"/>
    <w:rsid w:val="00380774"/>
    <w:rsid w:val="003808BD"/>
    <w:rsid w:val="003809A3"/>
    <w:rsid w:val="00380AA5"/>
    <w:rsid w:val="00380AA8"/>
    <w:rsid w:val="00380CD3"/>
    <w:rsid w:val="00380E83"/>
    <w:rsid w:val="00380EC1"/>
    <w:rsid w:val="003810F3"/>
    <w:rsid w:val="00381425"/>
    <w:rsid w:val="00381481"/>
    <w:rsid w:val="003815AB"/>
    <w:rsid w:val="003816DC"/>
    <w:rsid w:val="003817AC"/>
    <w:rsid w:val="003819E4"/>
    <w:rsid w:val="00381A10"/>
    <w:rsid w:val="00381BDA"/>
    <w:rsid w:val="00381CF4"/>
    <w:rsid w:val="00381FBD"/>
    <w:rsid w:val="00381FEB"/>
    <w:rsid w:val="00382082"/>
    <w:rsid w:val="0038228A"/>
    <w:rsid w:val="003822C7"/>
    <w:rsid w:val="003822CD"/>
    <w:rsid w:val="0038240A"/>
    <w:rsid w:val="0038240F"/>
    <w:rsid w:val="003828A7"/>
    <w:rsid w:val="003829CB"/>
    <w:rsid w:val="00382AEB"/>
    <w:rsid w:val="00382BDB"/>
    <w:rsid w:val="00382C24"/>
    <w:rsid w:val="0038309D"/>
    <w:rsid w:val="00383332"/>
    <w:rsid w:val="00383437"/>
    <w:rsid w:val="0038347C"/>
    <w:rsid w:val="003834D7"/>
    <w:rsid w:val="00383809"/>
    <w:rsid w:val="00383A9B"/>
    <w:rsid w:val="00383B1F"/>
    <w:rsid w:val="00383DD3"/>
    <w:rsid w:val="00383ECD"/>
    <w:rsid w:val="0038410D"/>
    <w:rsid w:val="0038423D"/>
    <w:rsid w:val="00384353"/>
    <w:rsid w:val="003848D9"/>
    <w:rsid w:val="00384B90"/>
    <w:rsid w:val="0038519E"/>
    <w:rsid w:val="003853DE"/>
    <w:rsid w:val="00385468"/>
    <w:rsid w:val="003854DD"/>
    <w:rsid w:val="00385951"/>
    <w:rsid w:val="003859B3"/>
    <w:rsid w:val="00385DAE"/>
    <w:rsid w:val="00385EB5"/>
    <w:rsid w:val="0038635E"/>
    <w:rsid w:val="0038651D"/>
    <w:rsid w:val="00386699"/>
    <w:rsid w:val="003867E0"/>
    <w:rsid w:val="00386A4B"/>
    <w:rsid w:val="00386E31"/>
    <w:rsid w:val="00386E83"/>
    <w:rsid w:val="0038728C"/>
    <w:rsid w:val="00387803"/>
    <w:rsid w:val="0038787A"/>
    <w:rsid w:val="00387B0F"/>
    <w:rsid w:val="00387CBE"/>
    <w:rsid w:val="00387E18"/>
    <w:rsid w:val="00387F9F"/>
    <w:rsid w:val="0039007D"/>
    <w:rsid w:val="003902E6"/>
    <w:rsid w:val="003906C1"/>
    <w:rsid w:val="0039098B"/>
    <w:rsid w:val="00390C64"/>
    <w:rsid w:val="00390EA1"/>
    <w:rsid w:val="00390F0D"/>
    <w:rsid w:val="00390F6A"/>
    <w:rsid w:val="00390FD8"/>
    <w:rsid w:val="0039106E"/>
    <w:rsid w:val="003911F4"/>
    <w:rsid w:val="0039121E"/>
    <w:rsid w:val="003912A4"/>
    <w:rsid w:val="00391326"/>
    <w:rsid w:val="003913D8"/>
    <w:rsid w:val="003915CF"/>
    <w:rsid w:val="00391833"/>
    <w:rsid w:val="00391B30"/>
    <w:rsid w:val="00391DD3"/>
    <w:rsid w:val="00391DE1"/>
    <w:rsid w:val="00391F65"/>
    <w:rsid w:val="003922CE"/>
    <w:rsid w:val="003923F3"/>
    <w:rsid w:val="0039251E"/>
    <w:rsid w:val="0039269A"/>
    <w:rsid w:val="003927AA"/>
    <w:rsid w:val="00392A83"/>
    <w:rsid w:val="00392AE3"/>
    <w:rsid w:val="00392B15"/>
    <w:rsid w:val="00392C66"/>
    <w:rsid w:val="00392C8E"/>
    <w:rsid w:val="00392DD5"/>
    <w:rsid w:val="00393043"/>
    <w:rsid w:val="00393085"/>
    <w:rsid w:val="003935D9"/>
    <w:rsid w:val="003936B6"/>
    <w:rsid w:val="00393755"/>
    <w:rsid w:val="00393AB1"/>
    <w:rsid w:val="00393ABD"/>
    <w:rsid w:val="003943D9"/>
    <w:rsid w:val="00394435"/>
    <w:rsid w:val="003944DA"/>
    <w:rsid w:val="00394508"/>
    <w:rsid w:val="00394C6A"/>
    <w:rsid w:val="00394E75"/>
    <w:rsid w:val="003953E9"/>
    <w:rsid w:val="0039565D"/>
    <w:rsid w:val="00395663"/>
    <w:rsid w:val="003956E6"/>
    <w:rsid w:val="0039573A"/>
    <w:rsid w:val="00395C8B"/>
    <w:rsid w:val="00396075"/>
    <w:rsid w:val="003961BF"/>
    <w:rsid w:val="00396270"/>
    <w:rsid w:val="00396338"/>
    <w:rsid w:val="003964DB"/>
    <w:rsid w:val="003965A8"/>
    <w:rsid w:val="00396606"/>
    <w:rsid w:val="0039682F"/>
    <w:rsid w:val="003969D1"/>
    <w:rsid w:val="00396BD9"/>
    <w:rsid w:val="00397009"/>
    <w:rsid w:val="00397074"/>
    <w:rsid w:val="0039745A"/>
    <w:rsid w:val="0039748C"/>
    <w:rsid w:val="00397739"/>
    <w:rsid w:val="0039773F"/>
    <w:rsid w:val="0039784F"/>
    <w:rsid w:val="00397967"/>
    <w:rsid w:val="00397B77"/>
    <w:rsid w:val="00397CC0"/>
    <w:rsid w:val="00397F46"/>
    <w:rsid w:val="003A05CD"/>
    <w:rsid w:val="003A098F"/>
    <w:rsid w:val="003A0A99"/>
    <w:rsid w:val="003A0B01"/>
    <w:rsid w:val="003A0B04"/>
    <w:rsid w:val="003A0C02"/>
    <w:rsid w:val="003A0D0E"/>
    <w:rsid w:val="003A0D22"/>
    <w:rsid w:val="003A0DBC"/>
    <w:rsid w:val="003A0FB9"/>
    <w:rsid w:val="003A159B"/>
    <w:rsid w:val="003A17FE"/>
    <w:rsid w:val="003A186B"/>
    <w:rsid w:val="003A1A0E"/>
    <w:rsid w:val="003A1BB4"/>
    <w:rsid w:val="003A1BFA"/>
    <w:rsid w:val="003A1C94"/>
    <w:rsid w:val="003A1D24"/>
    <w:rsid w:val="003A1DF3"/>
    <w:rsid w:val="003A1E7F"/>
    <w:rsid w:val="003A1ED4"/>
    <w:rsid w:val="003A2193"/>
    <w:rsid w:val="003A274B"/>
    <w:rsid w:val="003A2BEB"/>
    <w:rsid w:val="003A2C32"/>
    <w:rsid w:val="003A2C90"/>
    <w:rsid w:val="003A2D2A"/>
    <w:rsid w:val="003A2DB4"/>
    <w:rsid w:val="003A2DFC"/>
    <w:rsid w:val="003A30F9"/>
    <w:rsid w:val="003A357A"/>
    <w:rsid w:val="003A3722"/>
    <w:rsid w:val="003A39C1"/>
    <w:rsid w:val="003A3A78"/>
    <w:rsid w:val="003A40E1"/>
    <w:rsid w:val="003A4187"/>
    <w:rsid w:val="003A4448"/>
    <w:rsid w:val="003A44D3"/>
    <w:rsid w:val="003A455E"/>
    <w:rsid w:val="003A48CE"/>
    <w:rsid w:val="003A48D4"/>
    <w:rsid w:val="003A4EB1"/>
    <w:rsid w:val="003A5102"/>
    <w:rsid w:val="003A5171"/>
    <w:rsid w:val="003A5555"/>
    <w:rsid w:val="003A5814"/>
    <w:rsid w:val="003A5E42"/>
    <w:rsid w:val="003A5F18"/>
    <w:rsid w:val="003A5F28"/>
    <w:rsid w:val="003A60BA"/>
    <w:rsid w:val="003A618E"/>
    <w:rsid w:val="003A62F3"/>
    <w:rsid w:val="003A641B"/>
    <w:rsid w:val="003A66A7"/>
    <w:rsid w:val="003A6D3A"/>
    <w:rsid w:val="003A70BD"/>
    <w:rsid w:val="003A7188"/>
    <w:rsid w:val="003A71AB"/>
    <w:rsid w:val="003A773E"/>
    <w:rsid w:val="003A7771"/>
    <w:rsid w:val="003A7795"/>
    <w:rsid w:val="003A7965"/>
    <w:rsid w:val="003A7E39"/>
    <w:rsid w:val="003A7F0D"/>
    <w:rsid w:val="003B0091"/>
    <w:rsid w:val="003B0305"/>
    <w:rsid w:val="003B031D"/>
    <w:rsid w:val="003B036C"/>
    <w:rsid w:val="003B0592"/>
    <w:rsid w:val="003B130A"/>
    <w:rsid w:val="003B145B"/>
    <w:rsid w:val="003B14F0"/>
    <w:rsid w:val="003B16F1"/>
    <w:rsid w:val="003B1740"/>
    <w:rsid w:val="003B1AEB"/>
    <w:rsid w:val="003B1CF0"/>
    <w:rsid w:val="003B1CF8"/>
    <w:rsid w:val="003B1D82"/>
    <w:rsid w:val="003B2161"/>
    <w:rsid w:val="003B21C8"/>
    <w:rsid w:val="003B24BE"/>
    <w:rsid w:val="003B2B5E"/>
    <w:rsid w:val="003B305C"/>
    <w:rsid w:val="003B38E6"/>
    <w:rsid w:val="003B3903"/>
    <w:rsid w:val="003B3992"/>
    <w:rsid w:val="003B3BAF"/>
    <w:rsid w:val="003B3E1B"/>
    <w:rsid w:val="003B40B5"/>
    <w:rsid w:val="003B4166"/>
    <w:rsid w:val="003B43DA"/>
    <w:rsid w:val="003B449F"/>
    <w:rsid w:val="003B4607"/>
    <w:rsid w:val="003B4847"/>
    <w:rsid w:val="003B4974"/>
    <w:rsid w:val="003B4C46"/>
    <w:rsid w:val="003B4EFF"/>
    <w:rsid w:val="003B514A"/>
    <w:rsid w:val="003B538B"/>
    <w:rsid w:val="003B54E5"/>
    <w:rsid w:val="003B5568"/>
    <w:rsid w:val="003B568F"/>
    <w:rsid w:val="003B572C"/>
    <w:rsid w:val="003B5758"/>
    <w:rsid w:val="003B5BD7"/>
    <w:rsid w:val="003B5C3B"/>
    <w:rsid w:val="003B5C57"/>
    <w:rsid w:val="003B5D83"/>
    <w:rsid w:val="003B5DD3"/>
    <w:rsid w:val="003B5E21"/>
    <w:rsid w:val="003B6020"/>
    <w:rsid w:val="003B602A"/>
    <w:rsid w:val="003B60A8"/>
    <w:rsid w:val="003B6B0E"/>
    <w:rsid w:val="003B6BFC"/>
    <w:rsid w:val="003B6C88"/>
    <w:rsid w:val="003B6D0F"/>
    <w:rsid w:val="003B7200"/>
    <w:rsid w:val="003B7695"/>
    <w:rsid w:val="003B78E5"/>
    <w:rsid w:val="003B78F6"/>
    <w:rsid w:val="003B79FB"/>
    <w:rsid w:val="003B7A6D"/>
    <w:rsid w:val="003C04DC"/>
    <w:rsid w:val="003C05B0"/>
    <w:rsid w:val="003C06AF"/>
    <w:rsid w:val="003C0900"/>
    <w:rsid w:val="003C09A9"/>
    <w:rsid w:val="003C121B"/>
    <w:rsid w:val="003C1413"/>
    <w:rsid w:val="003C1509"/>
    <w:rsid w:val="003C186C"/>
    <w:rsid w:val="003C1AE0"/>
    <w:rsid w:val="003C1D55"/>
    <w:rsid w:val="003C1E3E"/>
    <w:rsid w:val="003C2A91"/>
    <w:rsid w:val="003C2CFE"/>
    <w:rsid w:val="003C2EB7"/>
    <w:rsid w:val="003C2F21"/>
    <w:rsid w:val="003C3164"/>
    <w:rsid w:val="003C31BF"/>
    <w:rsid w:val="003C3296"/>
    <w:rsid w:val="003C32B1"/>
    <w:rsid w:val="003C35BE"/>
    <w:rsid w:val="003C368D"/>
    <w:rsid w:val="003C372A"/>
    <w:rsid w:val="003C3877"/>
    <w:rsid w:val="003C3978"/>
    <w:rsid w:val="003C39C1"/>
    <w:rsid w:val="003C3B00"/>
    <w:rsid w:val="003C3B45"/>
    <w:rsid w:val="003C3E0C"/>
    <w:rsid w:val="003C45C6"/>
    <w:rsid w:val="003C485A"/>
    <w:rsid w:val="003C4874"/>
    <w:rsid w:val="003C49A1"/>
    <w:rsid w:val="003C4A18"/>
    <w:rsid w:val="003C4E90"/>
    <w:rsid w:val="003C4ED3"/>
    <w:rsid w:val="003C4F4B"/>
    <w:rsid w:val="003C4FA0"/>
    <w:rsid w:val="003C5183"/>
    <w:rsid w:val="003C5340"/>
    <w:rsid w:val="003C551A"/>
    <w:rsid w:val="003C551E"/>
    <w:rsid w:val="003C58B3"/>
    <w:rsid w:val="003C5AB5"/>
    <w:rsid w:val="003C5CEA"/>
    <w:rsid w:val="003C600A"/>
    <w:rsid w:val="003C616B"/>
    <w:rsid w:val="003C635C"/>
    <w:rsid w:val="003C6630"/>
    <w:rsid w:val="003C663C"/>
    <w:rsid w:val="003C6986"/>
    <w:rsid w:val="003C69D4"/>
    <w:rsid w:val="003C6CCB"/>
    <w:rsid w:val="003C6EC7"/>
    <w:rsid w:val="003C7167"/>
    <w:rsid w:val="003C723A"/>
    <w:rsid w:val="003C7435"/>
    <w:rsid w:val="003C74F5"/>
    <w:rsid w:val="003C76BF"/>
    <w:rsid w:val="003C76F5"/>
    <w:rsid w:val="003C7953"/>
    <w:rsid w:val="003C7C10"/>
    <w:rsid w:val="003C7C20"/>
    <w:rsid w:val="003C7FAE"/>
    <w:rsid w:val="003D03AD"/>
    <w:rsid w:val="003D04B5"/>
    <w:rsid w:val="003D092C"/>
    <w:rsid w:val="003D0A2E"/>
    <w:rsid w:val="003D0FE7"/>
    <w:rsid w:val="003D1118"/>
    <w:rsid w:val="003D13A7"/>
    <w:rsid w:val="003D16F7"/>
    <w:rsid w:val="003D1750"/>
    <w:rsid w:val="003D18C2"/>
    <w:rsid w:val="003D1C7E"/>
    <w:rsid w:val="003D1CD9"/>
    <w:rsid w:val="003D2495"/>
    <w:rsid w:val="003D2596"/>
    <w:rsid w:val="003D25FE"/>
    <w:rsid w:val="003D2B0D"/>
    <w:rsid w:val="003D2CF4"/>
    <w:rsid w:val="003D2F6E"/>
    <w:rsid w:val="003D338F"/>
    <w:rsid w:val="003D33DE"/>
    <w:rsid w:val="003D3800"/>
    <w:rsid w:val="003D3B2C"/>
    <w:rsid w:val="003D3C33"/>
    <w:rsid w:val="003D3CB6"/>
    <w:rsid w:val="003D3E49"/>
    <w:rsid w:val="003D40ED"/>
    <w:rsid w:val="003D442F"/>
    <w:rsid w:val="003D483A"/>
    <w:rsid w:val="003D4A9C"/>
    <w:rsid w:val="003D4FCF"/>
    <w:rsid w:val="003D5201"/>
    <w:rsid w:val="003D52AE"/>
    <w:rsid w:val="003D585D"/>
    <w:rsid w:val="003D58DB"/>
    <w:rsid w:val="003D5BC5"/>
    <w:rsid w:val="003D5F25"/>
    <w:rsid w:val="003D6465"/>
    <w:rsid w:val="003D6758"/>
    <w:rsid w:val="003D6B58"/>
    <w:rsid w:val="003D6B5E"/>
    <w:rsid w:val="003D6EE0"/>
    <w:rsid w:val="003D7192"/>
    <w:rsid w:val="003D72DA"/>
    <w:rsid w:val="003D72DE"/>
    <w:rsid w:val="003D73B3"/>
    <w:rsid w:val="003D74F2"/>
    <w:rsid w:val="003D7709"/>
    <w:rsid w:val="003D7765"/>
    <w:rsid w:val="003D7808"/>
    <w:rsid w:val="003D786E"/>
    <w:rsid w:val="003D796B"/>
    <w:rsid w:val="003D7D9E"/>
    <w:rsid w:val="003D7F8E"/>
    <w:rsid w:val="003E0594"/>
    <w:rsid w:val="003E0792"/>
    <w:rsid w:val="003E0BBD"/>
    <w:rsid w:val="003E0F97"/>
    <w:rsid w:val="003E107B"/>
    <w:rsid w:val="003E1361"/>
    <w:rsid w:val="003E1379"/>
    <w:rsid w:val="003E1452"/>
    <w:rsid w:val="003E15BB"/>
    <w:rsid w:val="003E1877"/>
    <w:rsid w:val="003E1BC5"/>
    <w:rsid w:val="003E1C91"/>
    <w:rsid w:val="003E1CA8"/>
    <w:rsid w:val="003E1D38"/>
    <w:rsid w:val="003E1D4B"/>
    <w:rsid w:val="003E25D6"/>
    <w:rsid w:val="003E266D"/>
    <w:rsid w:val="003E284C"/>
    <w:rsid w:val="003E2AAF"/>
    <w:rsid w:val="003E2B76"/>
    <w:rsid w:val="003E314C"/>
    <w:rsid w:val="003E37AB"/>
    <w:rsid w:val="003E37B3"/>
    <w:rsid w:val="003E3ED5"/>
    <w:rsid w:val="003E3F00"/>
    <w:rsid w:val="003E41DC"/>
    <w:rsid w:val="003E423C"/>
    <w:rsid w:val="003E4314"/>
    <w:rsid w:val="003E43EA"/>
    <w:rsid w:val="003E441F"/>
    <w:rsid w:val="003E449C"/>
    <w:rsid w:val="003E4517"/>
    <w:rsid w:val="003E46C1"/>
    <w:rsid w:val="003E4894"/>
    <w:rsid w:val="003E49A1"/>
    <w:rsid w:val="003E4D2B"/>
    <w:rsid w:val="003E5192"/>
    <w:rsid w:val="003E5348"/>
    <w:rsid w:val="003E53A3"/>
    <w:rsid w:val="003E5461"/>
    <w:rsid w:val="003E54FD"/>
    <w:rsid w:val="003E572C"/>
    <w:rsid w:val="003E59B5"/>
    <w:rsid w:val="003E59C6"/>
    <w:rsid w:val="003E5EFE"/>
    <w:rsid w:val="003E5FBA"/>
    <w:rsid w:val="003E5FC1"/>
    <w:rsid w:val="003E5FD6"/>
    <w:rsid w:val="003E660A"/>
    <w:rsid w:val="003E6D08"/>
    <w:rsid w:val="003E6E3E"/>
    <w:rsid w:val="003E6FFB"/>
    <w:rsid w:val="003E75EA"/>
    <w:rsid w:val="003E79A7"/>
    <w:rsid w:val="003E7A82"/>
    <w:rsid w:val="003F00ED"/>
    <w:rsid w:val="003F013C"/>
    <w:rsid w:val="003F07D6"/>
    <w:rsid w:val="003F09F1"/>
    <w:rsid w:val="003F0C78"/>
    <w:rsid w:val="003F0D87"/>
    <w:rsid w:val="003F12EA"/>
    <w:rsid w:val="003F14E9"/>
    <w:rsid w:val="003F1525"/>
    <w:rsid w:val="003F1854"/>
    <w:rsid w:val="003F1961"/>
    <w:rsid w:val="003F1B01"/>
    <w:rsid w:val="003F1B74"/>
    <w:rsid w:val="003F1C30"/>
    <w:rsid w:val="003F1F87"/>
    <w:rsid w:val="003F20BC"/>
    <w:rsid w:val="003F2185"/>
    <w:rsid w:val="003F21D6"/>
    <w:rsid w:val="003F2369"/>
    <w:rsid w:val="003F2558"/>
    <w:rsid w:val="003F2590"/>
    <w:rsid w:val="003F27DF"/>
    <w:rsid w:val="003F2864"/>
    <w:rsid w:val="003F2C83"/>
    <w:rsid w:val="003F2C89"/>
    <w:rsid w:val="003F2F32"/>
    <w:rsid w:val="003F323C"/>
    <w:rsid w:val="003F324F"/>
    <w:rsid w:val="003F33A7"/>
    <w:rsid w:val="003F35C5"/>
    <w:rsid w:val="003F360D"/>
    <w:rsid w:val="003F3C3C"/>
    <w:rsid w:val="003F3D96"/>
    <w:rsid w:val="003F3E26"/>
    <w:rsid w:val="003F40A0"/>
    <w:rsid w:val="003F41FD"/>
    <w:rsid w:val="003F4589"/>
    <w:rsid w:val="003F4640"/>
    <w:rsid w:val="003F4922"/>
    <w:rsid w:val="003F4D48"/>
    <w:rsid w:val="003F4EBD"/>
    <w:rsid w:val="003F509C"/>
    <w:rsid w:val="003F5100"/>
    <w:rsid w:val="003F511A"/>
    <w:rsid w:val="003F5203"/>
    <w:rsid w:val="003F53F6"/>
    <w:rsid w:val="003F5424"/>
    <w:rsid w:val="003F5429"/>
    <w:rsid w:val="003F551D"/>
    <w:rsid w:val="003F5E91"/>
    <w:rsid w:val="003F6154"/>
    <w:rsid w:val="003F6271"/>
    <w:rsid w:val="003F6302"/>
    <w:rsid w:val="003F6401"/>
    <w:rsid w:val="003F65FA"/>
    <w:rsid w:val="003F6650"/>
    <w:rsid w:val="003F6A08"/>
    <w:rsid w:val="003F6C22"/>
    <w:rsid w:val="003F6C44"/>
    <w:rsid w:val="003F7152"/>
    <w:rsid w:val="003F722F"/>
    <w:rsid w:val="003F74E6"/>
    <w:rsid w:val="003F7635"/>
    <w:rsid w:val="003F770B"/>
    <w:rsid w:val="003F77DC"/>
    <w:rsid w:val="003F786A"/>
    <w:rsid w:val="0040060A"/>
    <w:rsid w:val="00400922"/>
    <w:rsid w:val="0040094B"/>
    <w:rsid w:val="0040095A"/>
    <w:rsid w:val="00400C52"/>
    <w:rsid w:val="00400D37"/>
    <w:rsid w:val="00401172"/>
    <w:rsid w:val="00401216"/>
    <w:rsid w:val="004018D2"/>
    <w:rsid w:val="00401AC8"/>
    <w:rsid w:val="00401DB4"/>
    <w:rsid w:val="00402144"/>
    <w:rsid w:val="004022B4"/>
    <w:rsid w:val="0040236A"/>
    <w:rsid w:val="00402E31"/>
    <w:rsid w:val="00402E90"/>
    <w:rsid w:val="00402F24"/>
    <w:rsid w:val="00403245"/>
    <w:rsid w:val="0040324F"/>
    <w:rsid w:val="0040337E"/>
    <w:rsid w:val="0040384E"/>
    <w:rsid w:val="0040388F"/>
    <w:rsid w:val="00403C83"/>
    <w:rsid w:val="00403D30"/>
    <w:rsid w:val="00403E25"/>
    <w:rsid w:val="00403EE0"/>
    <w:rsid w:val="004044CF"/>
    <w:rsid w:val="00404505"/>
    <w:rsid w:val="0040450E"/>
    <w:rsid w:val="0040497E"/>
    <w:rsid w:val="00404BE0"/>
    <w:rsid w:val="00404D52"/>
    <w:rsid w:val="00404EB9"/>
    <w:rsid w:val="00404EFF"/>
    <w:rsid w:val="00404FC3"/>
    <w:rsid w:val="00404FDC"/>
    <w:rsid w:val="0040515C"/>
    <w:rsid w:val="00405410"/>
    <w:rsid w:val="00405493"/>
    <w:rsid w:val="00405BF4"/>
    <w:rsid w:val="00405FE8"/>
    <w:rsid w:val="00406206"/>
    <w:rsid w:val="00406285"/>
    <w:rsid w:val="004062CA"/>
    <w:rsid w:val="004064CD"/>
    <w:rsid w:val="004064D0"/>
    <w:rsid w:val="00406540"/>
    <w:rsid w:val="0040655D"/>
    <w:rsid w:val="004066A9"/>
    <w:rsid w:val="004066D6"/>
    <w:rsid w:val="00406730"/>
    <w:rsid w:val="004069D5"/>
    <w:rsid w:val="00406A0B"/>
    <w:rsid w:val="00406B5D"/>
    <w:rsid w:val="00406DF5"/>
    <w:rsid w:val="004073B2"/>
    <w:rsid w:val="00407603"/>
    <w:rsid w:val="00407777"/>
    <w:rsid w:val="004077ED"/>
    <w:rsid w:val="004079E9"/>
    <w:rsid w:val="00407AE1"/>
    <w:rsid w:val="00407D3C"/>
    <w:rsid w:val="00407E3B"/>
    <w:rsid w:val="00407E3C"/>
    <w:rsid w:val="00407F1B"/>
    <w:rsid w:val="00407FCE"/>
    <w:rsid w:val="00410210"/>
    <w:rsid w:val="004104D5"/>
    <w:rsid w:val="00410888"/>
    <w:rsid w:val="00410CDD"/>
    <w:rsid w:val="00410CE9"/>
    <w:rsid w:val="00410D6B"/>
    <w:rsid w:val="00411136"/>
    <w:rsid w:val="004111A1"/>
    <w:rsid w:val="0041140D"/>
    <w:rsid w:val="004115BC"/>
    <w:rsid w:val="004115C3"/>
    <w:rsid w:val="00411896"/>
    <w:rsid w:val="00411D92"/>
    <w:rsid w:val="00411DC3"/>
    <w:rsid w:val="00411DE2"/>
    <w:rsid w:val="00412342"/>
    <w:rsid w:val="0041234C"/>
    <w:rsid w:val="004123D5"/>
    <w:rsid w:val="00412659"/>
    <w:rsid w:val="00412965"/>
    <w:rsid w:val="00412A8D"/>
    <w:rsid w:val="00412BAE"/>
    <w:rsid w:val="00412D5F"/>
    <w:rsid w:val="00412E8D"/>
    <w:rsid w:val="00412F03"/>
    <w:rsid w:val="00412FB1"/>
    <w:rsid w:val="0041301E"/>
    <w:rsid w:val="00413301"/>
    <w:rsid w:val="0041382A"/>
    <w:rsid w:val="004138C6"/>
    <w:rsid w:val="004138E5"/>
    <w:rsid w:val="004139A3"/>
    <w:rsid w:val="00413AFE"/>
    <w:rsid w:val="00413B33"/>
    <w:rsid w:val="00413F90"/>
    <w:rsid w:val="00413FE7"/>
    <w:rsid w:val="0041400B"/>
    <w:rsid w:val="00414507"/>
    <w:rsid w:val="004145B1"/>
    <w:rsid w:val="00414662"/>
    <w:rsid w:val="00414824"/>
    <w:rsid w:val="0041487C"/>
    <w:rsid w:val="004148D4"/>
    <w:rsid w:val="00414916"/>
    <w:rsid w:val="004149C8"/>
    <w:rsid w:val="00414C03"/>
    <w:rsid w:val="00414D55"/>
    <w:rsid w:val="00414DB5"/>
    <w:rsid w:val="00414F6D"/>
    <w:rsid w:val="00415016"/>
    <w:rsid w:val="0041531D"/>
    <w:rsid w:val="0041580D"/>
    <w:rsid w:val="00415859"/>
    <w:rsid w:val="00415B0B"/>
    <w:rsid w:val="00415B3B"/>
    <w:rsid w:val="00415BC6"/>
    <w:rsid w:val="00415BED"/>
    <w:rsid w:val="00415FBB"/>
    <w:rsid w:val="00415FDC"/>
    <w:rsid w:val="00416363"/>
    <w:rsid w:val="004163A9"/>
    <w:rsid w:val="00416434"/>
    <w:rsid w:val="00416556"/>
    <w:rsid w:val="004165BE"/>
    <w:rsid w:val="004165DA"/>
    <w:rsid w:val="00416954"/>
    <w:rsid w:val="00416968"/>
    <w:rsid w:val="00416A6E"/>
    <w:rsid w:val="00416AFA"/>
    <w:rsid w:val="00416AFF"/>
    <w:rsid w:val="00416B2C"/>
    <w:rsid w:val="00416C93"/>
    <w:rsid w:val="00416DC1"/>
    <w:rsid w:val="00416E8C"/>
    <w:rsid w:val="00416EB1"/>
    <w:rsid w:val="00416FE5"/>
    <w:rsid w:val="0041727C"/>
    <w:rsid w:val="004173CD"/>
    <w:rsid w:val="00417530"/>
    <w:rsid w:val="00417538"/>
    <w:rsid w:val="0041756A"/>
    <w:rsid w:val="0041780E"/>
    <w:rsid w:val="00417F31"/>
    <w:rsid w:val="0042022A"/>
    <w:rsid w:val="0042022F"/>
    <w:rsid w:val="004203D0"/>
    <w:rsid w:val="004204A9"/>
    <w:rsid w:val="00420650"/>
    <w:rsid w:val="00420716"/>
    <w:rsid w:val="00420AB8"/>
    <w:rsid w:val="00420E9D"/>
    <w:rsid w:val="00420EB3"/>
    <w:rsid w:val="00420F5F"/>
    <w:rsid w:val="00421178"/>
    <w:rsid w:val="00421493"/>
    <w:rsid w:val="00421793"/>
    <w:rsid w:val="00421A54"/>
    <w:rsid w:val="00421AFC"/>
    <w:rsid w:val="00421C01"/>
    <w:rsid w:val="00421D04"/>
    <w:rsid w:val="004224AC"/>
    <w:rsid w:val="004229A1"/>
    <w:rsid w:val="00422C52"/>
    <w:rsid w:val="004230B5"/>
    <w:rsid w:val="0042316D"/>
    <w:rsid w:val="0042332E"/>
    <w:rsid w:val="004233B1"/>
    <w:rsid w:val="00423726"/>
    <w:rsid w:val="004237BA"/>
    <w:rsid w:val="00423AD4"/>
    <w:rsid w:val="00423C43"/>
    <w:rsid w:val="00424091"/>
    <w:rsid w:val="004240B2"/>
    <w:rsid w:val="004243A2"/>
    <w:rsid w:val="004243CC"/>
    <w:rsid w:val="0042448C"/>
    <w:rsid w:val="0042475B"/>
    <w:rsid w:val="0042494D"/>
    <w:rsid w:val="00424A57"/>
    <w:rsid w:val="00424ABB"/>
    <w:rsid w:val="00424C9B"/>
    <w:rsid w:val="00424CB3"/>
    <w:rsid w:val="00424D39"/>
    <w:rsid w:val="00425215"/>
    <w:rsid w:val="00425414"/>
    <w:rsid w:val="0042558E"/>
    <w:rsid w:val="004256A6"/>
    <w:rsid w:val="004256B2"/>
    <w:rsid w:val="004256E8"/>
    <w:rsid w:val="00425B24"/>
    <w:rsid w:val="00425B68"/>
    <w:rsid w:val="00425C21"/>
    <w:rsid w:val="00425F6D"/>
    <w:rsid w:val="00425F85"/>
    <w:rsid w:val="00426134"/>
    <w:rsid w:val="0042613C"/>
    <w:rsid w:val="00426568"/>
    <w:rsid w:val="00426BF4"/>
    <w:rsid w:val="00426EC9"/>
    <w:rsid w:val="00427396"/>
    <w:rsid w:val="00427674"/>
    <w:rsid w:val="0042774F"/>
    <w:rsid w:val="004277F2"/>
    <w:rsid w:val="00427B5B"/>
    <w:rsid w:val="00427BD1"/>
    <w:rsid w:val="00427D43"/>
    <w:rsid w:val="00430167"/>
    <w:rsid w:val="004301EE"/>
    <w:rsid w:val="004305AC"/>
    <w:rsid w:val="0043089F"/>
    <w:rsid w:val="004309DA"/>
    <w:rsid w:val="00430AB9"/>
    <w:rsid w:val="00430B6B"/>
    <w:rsid w:val="00430D4B"/>
    <w:rsid w:val="004313A9"/>
    <w:rsid w:val="004313AB"/>
    <w:rsid w:val="0043149C"/>
    <w:rsid w:val="004317AF"/>
    <w:rsid w:val="004317E7"/>
    <w:rsid w:val="00431E69"/>
    <w:rsid w:val="004325BB"/>
    <w:rsid w:val="0043263B"/>
    <w:rsid w:val="00432780"/>
    <w:rsid w:val="00432902"/>
    <w:rsid w:val="00432D74"/>
    <w:rsid w:val="0043324B"/>
    <w:rsid w:val="0043331A"/>
    <w:rsid w:val="0043336F"/>
    <w:rsid w:val="004333AD"/>
    <w:rsid w:val="004335F4"/>
    <w:rsid w:val="00433BAB"/>
    <w:rsid w:val="00433C2B"/>
    <w:rsid w:val="0043409C"/>
    <w:rsid w:val="0043436E"/>
    <w:rsid w:val="00434413"/>
    <w:rsid w:val="00434744"/>
    <w:rsid w:val="0043487C"/>
    <w:rsid w:val="00434882"/>
    <w:rsid w:val="00434897"/>
    <w:rsid w:val="00434B02"/>
    <w:rsid w:val="00434BE8"/>
    <w:rsid w:val="00434C48"/>
    <w:rsid w:val="00434DBD"/>
    <w:rsid w:val="00434FB7"/>
    <w:rsid w:val="00435288"/>
    <w:rsid w:val="004353E6"/>
    <w:rsid w:val="004354D7"/>
    <w:rsid w:val="004356AE"/>
    <w:rsid w:val="004358CC"/>
    <w:rsid w:val="0043597F"/>
    <w:rsid w:val="00435992"/>
    <w:rsid w:val="004362B4"/>
    <w:rsid w:val="0043669C"/>
    <w:rsid w:val="0043699F"/>
    <w:rsid w:val="00436C5D"/>
    <w:rsid w:val="00436D3B"/>
    <w:rsid w:val="00437093"/>
    <w:rsid w:val="00437101"/>
    <w:rsid w:val="0043719C"/>
    <w:rsid w:val="004372A5"/>
    <w:rsid w:val="00437304"/>
    <w:rsid w:val="004373D9"/>
    <w:rsid w:val="00437453"/>
    <w:rsid w:val="00437603"/>
    <w:rsid w:val="00437652"/>
    <w:rsid w:val="004377AC"/>
    <w:rsid w:val="004379FB"/>
    <w:rsid w:val="00437AF4"/>
    <w:rsid w:val="00437BE8"/>
    <w:rsid w:val="00437D60"/>
    <w:rsid w:val="00437DE8"/>
    <w:rsid w:val="00437E85"/>
    <w:rsid w:val="004400BD"/>
    <w:rsid w:val="00440361"/>
    <w:rsid w:val="00440637"/>
    <w:rsid w:val="00440A2F"/>
    <w:rsid w:val="00440FD3"/>
    <w:rsid w:val="00441014"/>
    <w:rsid w:val="0044104E"/>
    <w:rsid w:val="0044109A"/>
    <w:rsid w:val="0044135C"/>
    <w:rsid w:val="004417C2"/>
    <w:rsid w:val="00441AD5"/>
    <w:rsid w:val="00441C22"/>
    <w:rsid w:val="00441CA1"/>
    <w:rsid w:val="00441DBB"/>
    <w:rsid w:val="004421F3"/>
    <w:rsid w:val="004423D6"/>
    <w:rsid w:val="004427A3"/>
    <w:rsid w:val="004427AD"/>
    <w:rsid w:val="00442CAB"/>
    <w:rsid w:val="00442DCC"/>
    <w:rsid w:val="004430CF"/>
    <w:rsid w:val="004433E7"/>
    <w:rsid w:val="00443436"/>
    <w:rsid w:val="004437BE"/>
    <w:rsid w:val="00443AA1"/>
    <w:rsid w:val="00443D1F"/>
    <w:rsid w:val="00443D3A"/>
    <w:rsid w:val="00443E2D"/>
    <w:rsid w:val="00443EF1"/>
    <w:rsid w:val="004443CA"/>
    <w:rsid w:val="004445B7"/>
    <w:rsid w:val="0044473E"/>
    <w:rsid w:val="00444866"/>
    <w:rsid w:val="0044486B"/>
    <w:rsid w:val="00444918"/>
    <w:rsid w:val="004449DB"/>
    <w:rsid w:val="00444AE9"/>
    <w:rsid w:val="00444C5F"/>
    <w:rsid w:val="00444DEF"/>
    <w:rsid w:val="00444E9F"/>
    <w:rsid w:val="00444FE6"/>
    <w:rsid w:val="00445553"/>
    <w:rsid w:val="004457F3"/>
    <w:rsid w:val="00445A00"/>
    <w:rsid w:val="00445A6D"/>
    <w:rsid w:val="00445B23"/>
    <w:rsid w:val="00445B32"/>
    <w:rsid w:val="00445B75"/>
    <w:rsid w:val="0044605B"/>
    <w:rsid w:val="0044631F"/>
    <w:rsid w:val="0044633C"/>
    <w:rsid w:val="00446352"/>
    <w:rsid w:val="00446708"/>
    <w:rsid w:val="004469EF"/>
    <w:rsid w:val="00446D65"/>
    <w:rsid w:val="00446DBD"/>
    <w:rsid w:val="0044702F"/>
    <w:rsid w:val="004474A6"/>
    <w:rsid w:val="004476D5"/>
    <w:rsid w:val="00447971"/>
    <w:rsid w:val="00447FC2"/>
    <w:rsid w:val="00450013"/>
    <w:rsid w:val="00450270"/>
    <w:rsid w:val="00450309"/>
    <w:rsid w:val="0045033F"/>
    <w:rsid w:val="00450342"/>
    <w:rsid w:val="004504A4"/>
    <w:rsid w:val="00450614"/>
    <w:rsid w:val="00450632"/>
    <w:rsid w:val="00450689"/>
    <w:rsid w:val="00450981"/>
    <w:rsid w:val="00450AD9"/>
    <w:rsid w:val="00450E91"/>
    <w:rsid w:val="00450ED0"/>
    <w:rsid w:val="00451044"/>
    <w:rsid w:val="004510F0"/>
    <w:rsid w:val="004511B2"/>
    <w:rsid w:val="00451227"/>
    <w:rsid w:val="00451310"/>
    <w:rsid w:val="00451525"/>
    <w:rsid w:val="004515D3"/>
    <w:rsid w:val="00451A28"/>
    <w:rsid w:val="00451C3F"/>
    <w:rsid w:val="00451DCB"/>
    <w:rsid w:val="00451F46"/>
    <w:rsid w:val="00452031"/>
    <w:rsid w:val="0045235F"/>
    <w:rsid w:val="00452404"/>
    <w:rsid w:val="00452616"/>
    <w:rsid w:val="004526CC"/>
    <w:rsid w:val="0045270B"/>
    <w:rsid w:val="00452B80"/>
    <w:rsid w:val="00452B8F"/>
    <w:rsid w:val="00452C76"/>
    <w:rsid w:val="00452F22"/>
    <w:rsid w:val="004531A7"/>
    <w:rsid w:val="00453239"/>
    <w:rsid w:val="0045355F"/>
    <w:rsid w:val="0045386E"/>
    <w:rsid w:val="004538B1"/>
    <w:rsid w:val="00453A42"/>
    <w:rsid w:val="00453D6A"/>
    <w:rsid w:val="00453F71"/>
    <w:rsid w:val="00453FA0"/>
    <w:rsid w:val="00454059"/>
    <w:rsid w:val="004545C0"/>
    <w:rsid w:val="0045465B"/>
    <w:rsid w:val="00454781"/>
    <w:rsid w:val="004547A4"/>
    <w:rsid w:val="00454B47"/>
    <w:rsid w:val="00454B60"/>
    <w:rsid w:val="00454BD5"/>
    <w:rsid w:val="00454CB7"/>
    <w:rsid w:val="00454DCA"/>
    <w:rsid w:val="00454E9A"/>
    <w:rsid w:val="0045527C"/>
    <w:rsid w:val="00455757"/>
    <w:rsid w:val="0045579D"/>
    <w:rsid w:val="00455876"/>
    <w:rsid w:val="004558EF"/>
    <w:rsid w:val="0045590D"/>
    <w:rsid w:val="00455A0C"/>
    <w:rsid w:val="00455C22"/>
    <w:rsid w:val="00455F0B"/>
    <w:rsid w:val="004562BD"/>
    <w:rsid w:val="00456355"/>
    <w:rsid w:val="0045637A"/>
    <w:rsid w:val="004564B8"/>
    <w:rsid w:val="004564D1"/>
    <w:rsid w:val="00456593"/>
    <w:rsid w:val="0045668E"/>
    <w:rsid w:val="00456796"/>
    <w:rsid w:val="0045685E"/>
    <w:rsid w:val="004568B1"/>
    <w:rsid w:val="0045696B"/>
    <w:rsid w:val="004569E8"/>
    <w:rsid w:val="00456A30"/>
    <w:rsid w:val="00456A92"/>
    <w:rsid w:val="00456DEF"/>
    <w:rsid w:val="00456FC8"/>
    <w:rsid w:val="00457185"/>
    <w:rsid w:val="004571BE"/>
    <w:rsid w:val="004574C8"/>
    <w:rsid w:val="004574DA"/>
    <w:rsid w:val="0045776C"/>
    <w:rsid w:val="00457BD9"/>
    <w:rsid w:val="00457E25"/>
    <w:rsid w:val="00460031"/>
    <w:rsid w:val="0046024A"/>
    <w:rsid w:val="004608E0"/>
    <w:rsid w:val="00460CF1"/>
    <w:rsid w:val="00460F56"/>
    <w:rsid w:val="0046102F"/>
    <w:rsid w:val="0046152F"/>
    <w:rsid w:val="0046158E"/>
    <w:rsid w:val="00461A39"/>
    <w:rsid w:val="00461AD1"/>
    <w:rsid w:val="00461FA5"/>
    <w:rsid w:val="00461FB0"/>
    <w:rsid w:val="004622EE"/>
    <w:rsid w:val="0046254B"/>
    <w:rsid w:val="00462595"/>
    <w:rsid w:val="004626FA"/>
    <w:rsid w:val="00462C6E"/>
    <w:rsid w:val="00463247"/>
    <w:rsid w:val="0046330E"/>
    <w:rsid w:val="004634BC"/>
    <w:rsid w:val="004634EB"/>
    <w:rsid w:val="00463554"/>
    <w:rsid w:val="0046358C"/>
    <w:rsid w:val="00463766"/>
    <w:rsid w:val="004638C3"/>
    <w:rsid w:val="00463936"/>
    <w:rsid w:val="00463E37"/>
    <w:rsid w:val="00464097"/>
    <w:rsid w:val="0046424A"/>
    <w:rsid w:val="00464434"/>
    <w:rsid w:val="00464530"/>
    <w:rsid w:val="0046461F"/>
    <w:rsid w:val="00464786"/>
    <w:rsid w:val="004648B2"/>
    <w:rsid w:val="00464A85"/>
    <w:rsid w:val="00464D2D"/>
    <w:rsid w:val="00464F54"/>
    <w:rsid w:val="00464FFF"/>
    <w:rsid w:val="004651E3"/>
    <w:rsid w:val="004657BC"/>
    <w:rsid w:val="0046581B"/>
    <w:rsid w:val="004659EF"/>
    <w:rsid w:val="00465B03"/>
    <w:rsid w:val="00465BF4"/>
    <w:rsid w:val="00465C8E"/>
    <w:rsid w:val="00465D77"/>
    <w:rsid w:val="00465EDD"/>
    <w:rsid w:val="004661CD"/>
    <w:rsid w:val="004661EE"/>
    <w:rsid w:val="00466380"/>
    <w:rsid w:val="004668F5"/>
    <w:rsid w:val="004669DE"/>
    <w:rsid w:val="00466B5F"/>
    <w:rsid w:val="00466C5F"/>
    <w:rsid w:val="00466E4B"/>
    <w:rsid w:val="00466E5E"/>
    <w:rsid w:val="00466E69"/>
    <w:rsid w:val="004671BD"/>
    <w:rsid w:val="0046721E"/>
    <w:rsid w:val="004675DB"/>
    <w:rsid w:val="0046796E"/>
    <w:rsid w:val="00467C26"/>
    <w:rsid w:val="0047014C"/>
    <w:rsid w:val="0047026A"/>
    <w:rsid w:val="004704AE"/>
    <w:rsid w:val="00470879"/>
    <w:rsid w:val="00470E12"/>
    <w:rsid w:val="004714E1"/>
    <w:rsid w:val="0047155B"/>
    <w:rsid w:val="00471820"/>
    <w:rsid w:val="00471849"/>
    <w:rsid w:val="00471B8C"/>
    <w:rsid w:val="00471E7A"/>
    <w:rsid w:val="00471FE1"/>
    <w:rsid w:val="00471FED"/>
    <w:rsid w:val="00472206"/>
    <w:rsid w:val="004722AF"/>
    <w:rsid w:val="00472364"/>
    <w:rsid w:val="0047256C"/>
    <w:rsid w:val="004728D9"/>
    <w:rsid w:val="004728EF"/>
    <w:rsid w:val="00472C72"/>
    <w:rsid w:val="004730FF"/>
    <w:rsid w:val="004733F3"/>
    <w:rsid w:val="00473B42"/>
    <w:rsid w:val="00473B6E"/>
    <w:rsid w:val="00473DAB"/>
    <w:rsid w:val="00473F8A"/>
    <w:rsid w:val="0047400E"/>
    <w:rsid w:val="00474AD2"/>
    <w:rsid w:val="00474C1C"/>
    <w:rsid w:val="00474D25"/>
    <w:rsid w:val="00474DBB"/>
    <w:rsid w:val="004750D4"/>
    <w:rsid w:val="0047525B"/>
    <w:rsid w:val="004757AA"/>
    <w:rsid w:val="004757AD"/>
    <w:rsid w:val="004757C2"/>
    <w:rsid w:val="00475DFC"/>
    <w:rsid w:val="00476203"/>
    <w:rsid w:val="0047644C"/>
    <w:rsid w:val="00476767"/>
    <w:rsid w:val="0047678A"/>
    <w:rsid w:val="00477128"/>
    <w:rsid w:val="00477257"/>
    <w:rsid w:val="0047772D"/>
    <w:rsid w:val="00477CAF"/>
    <w:rsid w:val="00477E23"/>
    <w:rsid w:val="00477EA4"/>
    <w:rsid w:val="00480233"/>
    <w:rsid w:val="004804AD"/>
    <w:rsid w:val="0048092B"/>
    <w:rsid w:val="00480A77"/>
    <w:rsid w:val="00480BF9"/>
    <w:rsid w:val="00480DE5"/>
    <w:rsid w:val="00480FBD"/>
    <w:rsid w:val="00481113"/>
    <w:rsid w:val="0048120E"/>
    <w:rsid w:val="0048126C"/>
    <w:rsid w:val="00481339"/>
    <w:rsid w:val="004816AC"/>
    <w:rsid w:val="004816EE"/>
    <w:rsid w:val="0048172D"/>
    <w:rsid w:val="004819B4"/>
    <w:rsid w:val="00481A6B"/>
    <w:rsid w:val="00481F3B"/>
    <w:rsid w:val="004821F6"/>
    <w:rsid w:val="00482433"/>
    <w:rsid w:val="004825E2"/>
    <w:rsid w:val="00482602"/>
    <w:rsid w:val="0048268E"/>
    <w:rsid w:val="00482974"/>
    <w:rsid w:val="00482A26"/>
    <w:rsid w:val="00482E5D"/>
    <w:rsid w:val="00482F1B"/>
    <w:rsid w:val="00482FC7"/>
    <w:rsid w:val="00483063"/>
    <w:rsid w:val="0048313F"/>
    <w:rsid w:val="0048335C"/>
    <w:rsid w:val="0048387B"/>
    <w:rsid w:val="004839E7"/>
    <w:rsid w:val="00483A7B"/>
    <w:rsid w:val="00483AFF"/>
    <w:rsid w:val="00483C5F"/>
    <w:rsid w:val="00483DF4"/>
    <w:rsid w:val="0048450C"/>
    <w:rsid w:val="00484B33"/>
    <w:rsid w:val="00484C0B"/>
    <w:rsid w:val="00484DC4"/>
    <w:rsid w:val="00485047"/>
    <w:rsid w:val="004852FB"/>
    <w:rsid w:val="00485351"/>
    <w:rsid w:val="0048546A"/>
    <w:rsid w:val="00485ADB"/>
    <w:rsid w:val="00485C2F"/>
    <w:rsid w:val="00485ED2"/>
    <w:rsid w:val="0048604C"/>
    <w:rsid w:val="0048639B"/>
    <w:rsid w:val="00486432"/>
    <w:rsid w:val="004866E9"/>
    <w:rsid w:val="0048675B"/>
    <w:rsid w:val="00486886"/>
    <w:rsid w:val="004868CB"/>
    <w:rsid w:val="004868CC"/>
    <w:rsid w:val="0048699E"/>
    <w:rsid w:val="00486DFF"/>
    <w:rsid w:val="0048727F"/>
    <w:rsid w:val="00487484"/>
    <w:rsid w:val="004876A6"/>
    <w:rsid w:val="00487949"/>
    <w:rsid w:val="004903A4"/>
    <w:rsid w:val="00490447"/>
    <w:rsid w:val="0049045C"/>
    <w:rsid w:val="004904A4"/>
    <w:rsid w:val="00490509"/>
    <w:rsid w:val="004906BC"/>
    <w:rsid w:val="00490BBF"/>
    <w:rsid w:val="00490BDC"/>
    <w:rsid w:val="00490F7D"/>
    <w:rsid w:val="004910AF"/>
    <w:rsid w:val="00491530"/>
    <w:rsid w:val="004916A5"/>
    <w:rsid w:val="004917F4"/>
    <w:rsid w:val="004918B6"/>
    <w:rsid w:val="00491BD2"/>
    <w:rsid w:val="00491C58"/>
    <w:rsid w:val="00491CFC"/>
    <w:rsid w:val="00491E31"/>
    <w:rsid w:val="00491EDB"/>
    <w:rsid w:val="004920EE"/>
    <w:rsid w:val="0049233C"/>
    <w:rsid w:val="004925A3"/>
    <w:rsid w:val="004927F1"/>
    <w:rsid w:val="00492825"/>
    <w:rsid w:val="0049291B"/>
    <w:rsid w:val="00492A14"/>
    <w:rsid w:val="00492AB6"/>
    <w:rsid w:val="00492C69"/>
    <w:rsid w:val="00492E1E"/>
    <w:rsid w:val="004930A0"/>
    <w:rsid w:val="004931D7"/>
    <w:rsid w:val="004932E3"/>
    <w:rsid w:val="00493316"/>
    <w:rsid w:val="00493336"/>
    <w:rsid w:val="004934A3"/>
    <w:rsid w:val="004935AE"/>
    <w:rsid w:val="004935BD"/>
    <w:rsid w:val="004936AF"/>
    <w:rsid w:val="004937E1"/>
    <w:rsid w:val="00493BB2"/>
    <w:rsid w:val="00493ECC"/>
    <w:rsid w:val="0049411E"/>
    <w:rsid w:val="004941CA"/>
    <w:rsid w:val="004941DF"/>
    <w:rsid w:val="00494283"/>
    <w:rsid w:val="00494436"/>
    <w:rsid w:val="00494693"/>
    <w:rsid w:val="004946B6"/>
    <w:rsid w:val="0049486E"/>
    <w:rsid w:val="004948AD"/>
    <w:rsid w:val="00494A01"/>
    <w:rsid w:val="00494A5C"/>
    <w:rsid w:val="00494C0E"/>
    <w:rsid w:val="00494E66"/>
    <w:rsid w:val="00494FE6"/>
    <w:rsid w:val="0049566F"/>
    <w:rsid w:val="00495714"/>
    <w:rsid w:val="00495807"/>
    <w:rsid w:val="00495866"/>
    <w:rsid w:val="0049593E"/>
    <w:rsid w:val="00495998"/>
    <w:rsid w:val="00495A1D"/>
    <w:rsid w:val="00495B94"/>
    <w:rsid w:val="00495DBF"/>
    <w:rsid w:val="00495EF4"/>
    <w:rsid w:val="00496018"/>
    <w:rsid w:val="0049616D"/>
    <w:rsid w:val="0049619A"/>
    <w:rsid w:val="0049634F"/>
    <w:rsid w:val="00496667"/>
    <w:rsid w:val="004966AB"/>
    <w:rsid w:val="00496727"/>
    <w:rsid w:val="004967C0"/>
    <w:rsid w:val="004968F8"/>
    <w:rsid w:val="00496941"/>
    <w:rsid w:val="00496A12"/>
    <w:rsid w:val="00496E10"/>
    <w:rsid w:val="00496E17"/>
    <w:rsid w:val="00496E88"/>
    <w:rsid w:val="00496FD4"/>
    <w:rsid w:val="004970A1"/>
    <w:rsid w:val="004970D9"/>
    <w:rsid w:val="0049712B"/>
    <w:rsid w:val="0049716A"/>
    <w:rsid w:val="004971B4"/>
    <w:rsid w:val="004971E4"/>
    <w:rsid w:val="0049728A"/>
    <w:rsid w:val="00497421"/>
    <w:rsid w:val="0049760A"/>
    <w:rsid w:val="00497861"/>
    <w:rsid w:val="00497B97"/>
    <w:rsid w:val="004A03B3"/>
    <w:rsid w:val="004A04EC"/>
    <w:rsid w:val="004A06C2"/>
    <w:rsid w:val="004A0E3C"/>
    <w:rsid w:val="004A0F28"/>
    <w:rsid w:val="004A1119"/>
    <w:rsid w:val="004A1425"/>
    <w:rsid w:val="004A1D39"/>
    <w:rsid w:val="004A2127"/>
    <w:rsid w:val="004A2632"/>
    <w:rsid w:val="004A27E5"/>
    <w:rsid w:val="004A2928"/>
    <w:rsid w:val="004A2C3C"/>
    <w:rsid w:val="004A2E1E"/>
    <w:rsid w:val="004A3335"/>
    <w:rsid w:val="004A3640"/>
    <w:rsid w:val="004A376C"/>
    <w:rsid w:val="004A3D41"/>
    <w:rsid w:val="004A3E23"/>
    <w:rsid w:val="004A3F76"/>
    <w:rsid w:val="004A42A8"/>
    <w:rsid w:val="004A44A1"/>
    <w:rsid w:val="004A492A"/>
    <w:rsid w:val="004A4C9F"/>
    <w:rsid w:val="004A4D53"/>
    <w:rsid w:val="004A51D8"/>
    <w:rsid w:val="004A5313"/>
    <w:rsid w:val="004A5319"/>
    <w:rsid w:val="004A53BE"/>
    <w:rsid w:val="004A5806"/>
    <w:rsid w:val="004A581C"/>
    <w:rsid w:val="004A58C9"/>
    <w:rsid w:val="004A5D7B"/>
    <w:rsid w:val="004A6039"/>
    <w:rsid w:val="004A694D"/>
    <w:rsid w:val="004A6B1C"/>
    <w:rsid w:val="004A6DBA"/>
    <w:rsid w:val="004A7298"/>
    <w:rsid w:val="004A7430"/>
    <w:rsid w:val="004A77D8"/>
    <w:rsid w:val="004A799B"/>
    <w:rsid w:val="004A7EAA"/>
    <w:rsid w:val="004A7F6A"/>
    <w:rsid w:val="004B0100"/>
    <w:rsid w:val="004B02A8"/>
    <w:rsid w:val="004B060E"/>
    <w:rsid w:val="004B0713"/>
    <w:rsid w:val="004B0726"/>
    <w:rsid w:val="004B0B5A"/>
    <w:rsid w:val="004B0F07"/>
    <w:rsid w:val="004B0F44"/>
    <w:rsid w:val="004B13B0"/>
    <w:rsid w:val="004B18B9"/>
    <w:rsid w:val="004B1AE0"/>
    <w:rsid w:val="004B1EED"/>
    <w:rsid w:val="004B2062"/>
    <w:rsid w:val="004B2142"/>
    <w:rsid w:val="004B23DF"/>
    <w:rsid w:val="004B23E7"/>
    <w:rsid w:val="004B2659"/>
    <w:rsid w:val="004B3019"/>
    <w:rsid w:val="004B32BE"/>
    <w:rsid w:val="004B3544"/>
    <w:rsid w:val="004B366E"/>
    <w:rsid w:val="004B383D"/>
    <w:rsid w:val="004B39A2"/>
    <w:rsid w:val="004B4406"/>
    <w:rsid w:val="004B4A53"/>
    <w:rsid w:val="004B50AF"/>
    <w:rsid w:val="004B50FA"/>
    <w:rsid w:val="004B51F6"/>
    <w:rsid w:val="004B52B7"/>
    <w:rsid w:val="004B536D"/>
    <w:rsid w:val="004B53FB"/>
    <w:rsid w:val="004B54B8"/>
    <w:rsid w:val="004B54C2"/>
    <w:rsid w:val="004B5507"/>
    <w:rsid w:val="004B566D"/>
    <w:rsid w:val="004B58BD"/>
    <w:rsid w:val="004B5B01"/>
    <w:rsid w:val="004B5BAC"/>
    <w:rsid w:val="004B5C56"/>
    <w:rsid w:val="004B61E1"/>
    <w:rsid w:val="004B644C"/>
    <w:rsid w:val="004B6479"/>
    <w:rsid w:val="004B6703"/>
    <w:rsid w:val="004B6BBD"/>
    <w:rsid w:val="004B708E"/>
    <w:rsid w:val="004B717D"/>
    <w:rsid w:val="004B729F"/>
    <w:rsid w:val="004B73B8"/>
    <w:rsid w:val="004B754E"/>
    <w:rsid w:val="004B764D"/>
    <w:rsid w:val="004B7996"/>
    <w:rsid w:val="004B79BA"/>
    <w:rsid w:val="004B7A6F"/>
    <w:rsid w:val="004B7C7A"/>
    <w:rsid w:val="004B7C8E"/>
    <w:rsid w:val="004B7D8E"/>
    <w:rsid w:val="004B7FC1"/>
    <w:rsid w:val="004C04D0"/>
    <w:rsid w:val="004C084E"/>
    <w:rsid w:val="004C0A58"/>
    <w:rsid w:val="004C0BBF"/>
    <w:rsid w:val="004C0F4E"/>
    <w:rsid w:val="004C0F57"/>
    <w:rsid w:val="004C133E"/>
    <w:rsid w:val="004C13F8"/>
    <w:rsid w:val="004C16B2"/>
    <w:rsid w:val="004C18CC"/>
    <w:rsid w:val="004C1B37"/>
    <w:rsid w:val="004C1F89"/>
    <w:rsid w:val="004C20DA"/>
    <w:rsid w:val="004C2110"/>
    <w:rsid w:val="004C2269"/>
    <w:rsid w:val="004C2735"/>
    <w:rsid w:val="004C27DB"/>
    <w:rsid w:val="004C2A0D"/>
    <w:rsid w:val="004C2A3A"/>
    <w:rsid w:val="004C2BEC"/>
    <w:rsid w:val="004C2DE8"/>
    <w:rsid w:val="004C2E60"/>
    <w:rsid w:val="004C2EB2"/>
    <w:rsid w:val="004C3265"/>
    <w:rsid w:val="004C326C"/>
    <w:rsid w:val="004C33F5"/>
    <w:rsid w:val="004C3752"/>
    <w:rsid w:val="004C3CCD"/>
    <w:rsid w:val="004C421D"/>
    <w:rsid w:val="004C436F"/>
    <w:rsid w:val="004C46AE"/>
    <w:rsid w:val="004C4851"/>
    <w:rsid w:val="004C4A19"/>
    <w:rsid w:val="004C4B8D"/>
    <w:rsid w:val="004C4BEF"/>
    <w:rsid w:val="004C4D0E"/>
    <w:rsid w:val="004C4DE5"/>
    <w:rsid w:val="004C4E86"/>
    <w:rsid w:val="004C4F60"/>
    <w:rsid w:val="004C4F68"/>
    <w:rsid w:val="004C55C6"/>
    <w:rsid w:val="004C565A"/>
    <w:rsid w:val="004C5C2A"/>
    <w:rsid w:val="004C5CF3"/>
    <w:rsid w:val="004C5DC5"/>
    <w:rsid w:val="004C5F7D"/>
    <w:rsid w:val="004C611E"/>
    <w:rsid w:val="004C612F"/>
    <w:rsid w:val="004C6215"/>
    <w:rsid w:val="004C65F3"/>
    <w:rsid w:val="004C6DFC"/>
    <w:rsid w:val="004C6FFF"/>
    <w:rsid w:val="004C753C"/>
    <w:rsid w:val="004C7760"/>
    <w:rsid w:val="004C7983"/>
    <w:rsid w:val="004C79BD"/>
    <w:rsid w:val="004D0083"/>
    <w:rsid w:val="004D0294"/>
    <w:rsid w:val="004D07A1"/>
    <w:rsid w:val="004D0ECC"/>
    <w:rsid w:val="004D0FA4"/>
    <w:rsid w:val="004D1171"/>
    <w:rsid w:val="004D11B1"/>
    <w:rsid w:val="004D1280"/>
    <w:rsid w:val="004D170B"/>
    <w:rsid w:val="004D19C7"/>
    <w:rsid w:val="004D19ED"/>
    <w:rsid w:val="004D1F66"/>
    <w:rsid w:val="004D209C"/>
    <w:rsid w:val="004D2344"/>
    <w:rsid w:val="004D2448"/>
    <w:rsid w:val="004D2A93"/>
    <w:rsid w:val="004D2C20"/>
    <w:rsid w:val="004D2D3F"/>
    <w:rsid w:val="004D2DAB"/>
    <w:rsid w:val="004D2FD7"/>
    <w:rsid w:val="004D301C"/>
    <w:rsid w:val="004D30A1"/>
    <w:rsid w:val="004D31C9"/>
    <w:rsid w:val="004D3639"/>
    <w:rsid w:val="004D3A9C"/>
    <w:rsid w:val="004D3ACB"/>
    <w:rsid w:val="004D3ED1"/>
    <w:rsid w:val="004D3FB7"/>
    <w:rsid w:val="004D43E7"/>
    <w:rsid w:val="004D4424"/>
    <w:rsid w:val="004D4458"/>
    <w:rsid w:val="004D458E"/>
    <w:rsid w:val="004D4619"/>
    <w:rsid w:val="004D4657"/>
    <w:rsid w:val="004D4968"/>
    <w:rsid w:val="004D4D4D"/>
    <w:rsid w:val="004D4DA4"/>
    <w:rsid w:val="004D4E00"/>
    <w:rsid w:val="004D4ECC"/>
    <w:rsid w:val="004D4F53"/>
    <w:rsid w:val="004D51D9"/>
    <w:rsid w:val="004D5343"/>
    <w:rsid w:val="004D5485"/>
    <w:rsid w:val="004D568B"/>
    <w:rsid w:val="004D58E9"/>
    <w:rsid w:val="004D591A"/>
    <w:rsid w:val="004D5933"/>
    <w:rsid w:val="004D5AEE"/>
    <w:rsid w:val="004D5FB6"/>
    <w:rsid w:val="004D6590"/>
    <w:rsid w:val="004D65D2"/>
    <w:rsid w:val="004D6A0C"/>
    <w:rsid w:val="004D6B97"/>
    <w:rsid w:val="004D6BE1"/>
    <w:rsid w:val="004D6FAA"/>
    <w:rsid w:val="004D6FD9"/>
    <w:rsid w:val="004D703F"/>
    <w:rsid w:val="004D73A1"/>
    <w:rsid w:val="004D7886"/>
    <w:rsid w:val="004D7A4E"/>
    <w:rsid w:val="004D7DCF"/>
    <w:rsid w:val="004D7EBA"/>
    <w:rsid w:val="004D7EF5"/>
    <w:rsid w:val="004E048A"/>
    <w:rsid w:val="004E060B"/>
    <w:rsid w:val="004E088E"/>
    <w:rsid w:val="004E0CC2"/>
    <w:rsid w:val="004E0DAB"/>
    <w:rsid w:val="004E1481"/>
    <w:rsid w:val="004E14EE"/>
    <w:rsid w:val="004E1610"/>
    <w:rsid w:val="004E16FC"/>
    <w:rsid w:val="004E1826"/>
    <w:rsid w:val="004E1C2A"/>
    <w:rsid w:val="004E1D86"/>
    <w:rsid w:val="004E1EAE"/>
    <w:rsid w:val="004E2078"/>
    <w:rsid w:val="004E20A3"/>
    <w:rsid w:val="004E231F"/>
    <w:rsid w:val="004E255B"/>
    <w:rsid w:val="004E2757"/>
    <w:rsid w:val="004E2D93"/>
    <w:rsid w:val="004E33B6"/>
    <w:rsid w:val="004E34BA"/>
    <w:rsid w:val="004E354A"/>
    <w:rsid w:val="004E354C"/>
    <w:rsid w:val="004E35C9"/>
    <w:rsid w:val="004E3684"/>
    <w:rsid w:val="004E3884"/>
    <w:rsid w:val="004E3A3F"/>
    <w:rsid w:val="004E3BBA"/>
    <w:rsid w:val="004E3EBB"/>
    <w:rsid w:val="004E40F8"/>
    <w:rsid w:val="004E4281"/>
    <w:rsid w:val="004E4365"/>
    <w:rsid w:val="004E43C2"/>
    <w:rsid w:val="004E469B"/>
    <w:rsid w:val="004E4713"/>
    <w:rsid w:val="004E478E"/>
    <w:rsid w:val="004E47EF"/>
    <w:rsid w:val="004E48A5"/>
    <w:rsid w:val="004E5135"/>
    <w:rsid w:val="004E5225"/>
    <w:rsid w:val="004E52F1"/>
    <w:rsid w:val="004E5573"/>
    <w:rsid w:val="004E55B2"/>
    <w:rsid w:val="004E56C2"/>
    <w:rsid w:val="004E5D28"/>
    <w:rsid w:val="004E611E"/>
    <w:rsid w:val="004E64EA"/>
    <w:rsid w:val="004E655A"/>
    <w:rsid w:val="004E694D"/>
    <w:rsid w:val="004E6F5C"/>
    <w:rsid w:val="004E6FED"/>
    <w:rsid w:val="004E7062"/>
    <w:rsid w:val="004E78E6"/>
    <w:rsid w:val="004E7B57"/>
    <w:rsid w:val="004E7CAB"/>
    <w:rsid w:val="004E7FA3"/>
    <w:rsid w:val="004F024F"/>
    <w:rsid w:val="004F062F"/>
    <w:rsid w:val="004F0919"/>
    <w:rsid w:val="004F094B"/>
    <w:rsid w:val="004F0B89"/>
    <w:rsid w:val="004F0F54"/>
    <w:rsid w:val="004F15C0"/>
    <w:rsid w:val="004F1715"/>
    <w:rsid w:val="004F17CD"/>
    <w:rsid w:val="004F17E1"/>
    <w:rsid w:val="004F1851"/>
    <w:rsid w:val="004F195C"/>
    <w:rsid w:val="004F1A2B"/>
    <w:rsid w:val="004F20E7"/>
    <w:rsid w:val="004F215E"/>
    <w:rsid w:val="004F21EA"/>
    <w:rsid w:val="004F22C3"/>
    <w:rsid w:val="004F282A"/>
    <w:rsid w:val="004F294C"/>
    <w:rsid w:val="004F2AFB"/>
    <w:rsid w:val="004F2BBD"/>
    <w:rsid w:val="004F2CDF"/>
    <w:rsid w:val="004F30DF"/>
    <w:rsid w:val="004F3279"/>
    <w:rsid w:val="004F36BD"/>
    <w:rsid w:val="004F3B68"/>
    <w:rsid w:val="004F3EC6"/>
    <w:rsid w:val="004F40AB"/>
    <w:rsid w:val="004F438C"/>
    <w:rsid w:val="004F478A"/>
    <w:rsid w:val="004F478C"/>
    <w:rsid w:val="004F47F2"/>
    <w:rsid w:val="004F485B"/>
    <w:rsid w:val="004F48FB"/>
    <w:rsid w:val="004F4A3F"/>
    <w:rsid w:val="004F4ACE"/>
    <w:rsid w:val="004F4C67"/>
    <w:rsid w:val="004F4DD1"/>
    <w:rsid w:val="004F4E0D"/>
    <w:rsid w:val="004F513A"/>
    <w:rsid w:val="004F51BA"/>
    <w:rsid w:val="004F52E6"/>
    <w:rsid w:val="004F549E"/>
    <w:rsid w:val="004F54F8"/>
    <w:rsid w:val="004F5870"/>
    <w:rsid w:val="004F59F3"/>
    <w:rsid w:val="004F5ACA"/>
    <w:rsid w:val="004F5BD0"/>
    <w:rsid w:val="004F5CCD"/>
    <w:rsid w:val="004F5D5A"/>
    <w:rsid w:val="004F5D77"/>
    <w:rsid w:val="004F5DA4"/>
    <w:rsid w:val="004F6087"/>
    <w:rsid w:val="004F637C"/>
    <w:rsid w:val="004F63E6"/>
    <w:rsid w:val="004F6516"/>
    <w:rsid w:val="004F69FB"/>
    <w:rsid w:val="004F6CA2"/>
    <w:rsid w:val="004F6F3E"/>
    <w:rsid w:val="004F70DD"/>
    <w:rsid w:val="004F73A7"/>
    <w:rsid w:val="004F7416"/>
    <w:rsid w:val="004F750F"/>
    <w:rsid w:val="004F75EC"/>
    <w:rsid w:val="004F796A"/>
    <w:rsid w:val="004F7B99"/>
    <w:rsid w:val="004F7D9D"/>
    <w:rsid w:val="004F7F80"/>
    <w:rsid w:val="005009CA"/>
    <w:rsid w:val="00500A20"/>
    <w:rsid w:val="00500A6E"/>
    <w:rsid w:val="00500B71"/>
    <w:rsid w:val="00500EF2"/>
    <w:rsid w:val="005012B0"/>
    <w:rsid w:val="005014D3"/>
    <w:rsid w:val="00501600"/>
    <w:rsid w:val="00501704"/>
    <w:rsid w:val="005017CB"/>
    <w:rsid w:val="005018CD"/>
    <w:rsid w:val="00501A44"/>
    <w:rsid w:val="00501A4A"/>
    <w:rsid w:val="00501C9A"/>
    <w:rsid w:val="00502561"/>
    <w:rsid w:val="00502767"/>
    <w:rsid w:val="00502A7F"/>
    <w:rsid w:val="00503113"/>
    <w:rsid w:val="00503274"/>
    <w:rsid w:val="0050340D"/>
    <w:rsid w:val="00503602"/>
    <w:rsid w:val="005036E4"/>
    <w:rsid w:val="0050388A"/>
    <w:rsid w:val="00503B63"/>
    <w:rsid w:val="00503B71"/>
    <w:rsid w:val="00503C01"/>
    <w:rsid w:val="00503E19"/>
    <w:rsid w:val="00504049"/>
    <w:rsid w:val="00504376"/>
    <w:rsid w:val="005045DA"/>
    <w:rsid w:val="005046C2"/>
    <w:rsid w:val="00504889"/>
    <w:rsid w:val="00504922"/>
    <w:rsid w:val="00504988"/>
    <w:rsid w:val="00504F4C"/>
    <w:rsid w:val="0050531F"/>
    <w:rsid w:val="005053CD"/>
    <w:rsid w:val="0050582D"/>
    <w:rsid w:val="00505CE8"/>
    <w:rsid w:val="00505DF1"/>
    <w:rsid w:val="00505EB3"/>
    <w:rsid w:val="0050620A"/>
    <w:rsid w:val="00506247"/>
    <w:rsid w:val="0050632F"/>
    <w:rsid w:val="00506685"/>
    <w:rsid w:val="00506696"/>
    <w:rsid w:val="00506DCA"/>
    <w:rsid w:val="00506F17"/>
    <w:rsid w:val="0050703C"/>
    <w:rsid w:val="005070A0"/>
    <w:rsid w:val="005073BA"/>
    <w:rsid w:val="005075D1"/>
    <w:rsid w:val="00507A62"/>
    <w:rsid w:val="00507A81"/>
    <w:rsid w:val="00507B21"/>
    <w:rsid w:val="00507C5C"/>
    <w:rsid w:val="0051017D"/>
    <w:rsid w:val="00510196"/>
    <w:rsid w:val="0051041C"/>
    <w:rsid w:val="0051074A"/>
    <w:rsid w:val="0051095B"/>
    <w:rsid w:val="00510D31"/>
    <w:rsid w:val="00510EA4"/>
    <w:rsid w:val="0051113B"/>
    <w:rsid w:val="005112B1"/>
    <w:rsid w:val="005114D0"/>
    <w:rsid w:val="00511554"/>
    <w:rsid w:val="005116E8"/>
    <w:rsid w:val="0051187A"/>
    <w:rsid w:val="0051194E"/>
    <w:rsid w:val="00511D91"/>
    <w:rsid w:val="00511DFD"/>
    <w:rsid w:val="00511E41"/>
    <w:rsid w:val="00511EEA"/>
    <w:rsid w:val="00511F58"/>
    <w:rsid w:val="00512114"/>
    <w:rsid w:val="005125CA"/>
    <w:rsid w:val="0051264C"/>
    <w:rsid w:val="0051283F"/>
    <w:rsid w:val="005128F4"/>
    <w:rsid w:val="0051292F"/>
    <w:rsid w:val="00512AF8"/>
    <w:rsid w:val="00512CE0"/>
    <w:rsid w:val="00512ECF"/>
    <w:rsid w:val="00512EEC"/>
    <w:rsid w:val="00512F52"/>
    <w:rsid w:val="00513103"/>
    <w:rsid w:val="0051317E"/>
    <w:rsid w:val="005133EE"/>
    <w:rsid w:val="00513542"/>
    <w:rsid w:val="005136CA"/>
    <w:rsid w:val="00513D30"/>
    <w:rsid w:val="00513E88"/>
    <w:rsid w:val="00514708"/>
    <w:rsid w:val="00514C5E"/>
    <w:rsid w:val="00514F85"/>
    <w:rsid w:val="005151FC"/>
    <w:rsid w:val="00515323"/>
    <w:rsid w:val="00515588"/>
    <w:rsid w:val="00515BA2"/>
    <w:rsid w:val="00515EC9"/>
    <w:rsid w:val="00516D8B"/>
    <w:rsid w:val="00516D99"/>
    <w:rsid w:val="00517166"/>
    <w:rsid w:val="00517314"/>
    <w:rsid w:val="00517500"/>
    <w:rsid w:val="005178B3"/>
    <w:rsid w:val="00520165"/>
    <w:rsid w:val="0052048C"/>
    <w:rsid w:val="005208E4"/>
    <w:rsid w:val="005209D0"/>
    <w:rsid w:val="00520D98"/>
    <w:rsid w:val="00520F4E"/>
    <w:rsid w:val="005210BC"/>
    <w:rsid w:val="0052111C"/>
    <w:rsid w:val="00521609"/>
    <w:rsid w:val="00521B75"/>
    <w:rsid w:val="00521D6B"/>
    <w:rsid w:val="00521EA2"/>
    <w:rsid w:val="00522128"/>
    <w:rsid w:val="005222BE"/>
    <w:rsid w:val="005226CD"/>
    <w:rsid w:val="00522A07"/>
    <w:rsid w:val="0052301A"/>
    <w:rsid w:val="005231B5"/>
    <w:rsid w:val="005234E1"/>
    <w:rsid w:val="005237F6"/>
    <w:rsid w:val="005238A0"/>
    <w:rsid w:val="00523C27"/>
    <w:rsid w:val="00523E5B"/>
    <w:rsid w:val="0052429F"/>
    <w:rsid w:val="005244CD"/>
    <w:rsid w:val="00524606"/>
    <w:rsid w:val="00524762"/>
    <w:rsid w:val="00524827"/>
    <w:rsid w:val="00524B87"/>
    <w:rsid w:val="00524C4A"/>
    <w:rsid w:val="00524ED9"/>
    <w:rsid w:val="0052508A"/>
    <w:rsid w:val="0052508B"/>
    <w:rsid w:val="005250EB"/>
    <w:rsid w:val="0052581C"/>
    <w:rsid w:val="00525978"/>
    <w:rsid w:val="00525A4F"/>
    <w:rsid w:val="00525A53"/>
    <w:rsid w:val="00525B50"/>
    <w:rsid w:val="00525D8B"/>
    <w:rsid w:val="00525E7D"/>
    <w:rsid w:val="00525E8A"/>
    <w:rsid w:val="00525F4B"/>
    <w:rsid w:val="00525FB5"/>
    <w:rsid w:val="00525FF5"/>
    <w:rsid w:val="00526A42"/>
    <w:rsid w:val="00526AC9"/>
    <w:rsid w:val="00526D09"/>
    <w:rsid w:val="00527111"/>
    <w:rsid w:val="00527401"/>
    <w:rsid w:val="005278C6"/>
    <w:rsid w:val="00527910"/>
    <w:rsid w:val="00527ADA"/>
    <w:rsid w:val="00527C93"/>
    <w:rsid w:val="005300CE"/>
    <w:rsid w:val="0053032D"/>
    <w:rsid w:val="00530A90"/>
    <w:rsid w:val="00530B82"/>
    <w:rsid w:val="00530D1C"/>
    <w:rsid w:val="00530E5F"/>
    <w:rsid w:val="00531243"/>
    <w:rsid w:val="00531378"/>
    <w:rsid w:val="005313E9"/>
    <w:rsid w:val="005315EB"/>
    <w:rsid w:val="00531A81"/>
    <w:rsid w:val="00532012"/>
    <w:rsid w:val="00532245"/>
    <w:rsid w:val="005323F9"/>
    <w:rsid w:val="0053251E"/>
    <w:rsid w:val="00532740"/>
    <w:rsid w:val="00532B4D"/>
    <w:rsid w:val="00532C43"/>
    <w:rsid w:val="00532E1E"/>
    <w:rsid w:val="00532F29"/>
    <w:rsid w:val="0053304E"/>
    <w:rsid w:val="00533147"/>
    <w:rsid w:val="005331A6"/>
    <w:rsid w:val="0053369F"/>
    <w:rsid w:val="00533E35"/>
    <w:rsid w:val="00533F89"/>
    <w:rsid w:val="0053407B"/>
    <w:rsid w:val="005340B4"/>
    <w:rsid w:val="00534278"/>
    <w:rsid w:val="00534393"/>
    <w:rsid w:val="005343CD"/>
    <w:rsid w:val="00534526"/>
    <w:rsid w:val="0053460E"/>
    <w:rsid w:val="00534952"/>
    <w:rsid w:val="005349C9"/>
    <w:rsid w:val="00534B53"/>
    <w:rsid w:val="00534DC7"/>
    <w:rsid w:val="00535BA6"/>
    <w:rsid w:val="00535DD8"/>
    <w:rsid w:val="0053601B"/>
    <w:rsid w:val="00536335"/>
    <w:rsid w:val="0053640E"/>
    <w:rsid w:val="005366A1"/>
    <w:rsid w:val="00536961"/>
    <w:rsid w:val="005369AC"/>
    <w:rsid w:val="00536A68"/>
    <w:rsid w:val="00536AA9"/>
    <w:rsid w:val="00536BCA"/>
    <w:rsid w:val="00536CDE"/>
    <w:rsid w:val="00536DFD"/>
    <w:rsid w:val="00536F71"/>
    <w:rsid w:val="0053719A"/>
    <w:rsid w:val="005377E5"/>
    <w:rsid w:val="00537AF0"/>
    <w:rsid w:val="00537C3B"/>
    <w:rsid w:val="00537D64"/>
    <w:rsid w:val="00540379"/>
    <w:rsid w:val="00540566"/>
    <w:rsid w:val="005407D0"/>
    <w:rsid w:val="00540BA2"/>
    <w:rsid w:val="00540BA4"/>
    <w:rsid w:val="00540D44"/>
    <w:rsid w:val="005410D7"/>
    <w:rsid w:val="00541145"/>
    <w:rsid w:val="00541549"/>
    <w:rsid w:val="005419BF"/>
    <w:rsid w:val="00541AC4"/>
    <w:rsid w:val="00541B3B"/>
    <w:rsid w:val="00541B8E"/>
    <w:rsid w:val="00542301"/>
    <w:rsid w:val="00542410"/>
    <w:rsid w:val="00542813"/>
    <w:rsid w:val="00542A9F"/>
    <w:rsid w:val="00542BB3"/>
    <w:rsid w:val="005434B9"/>
    <w:rsid w:val="005437D9"/>
    <w:rsid w:val="00543FC4"/>
    <w:rsid w:val="0054409B"/>
    <w:rsid w:val="005440BD"/>
    <w:rsid w:val="0054435C"/>
    <w:rsid w:val="0054442C"/>
    <w:rsid w:val="00544500"/>
    <w:rsid w:val="00544A3B"/>
    <w:rsid w:val="00544CFD"/>
    <w:rsid w:val="00544FA6"/>
    <w:rsid w:val="0054531F"/>
    <w:rsid w:val="005455C6"/>
    <w:rsid w:val="005457F8"/>
    <w:rsid w:val="00545968"/>
    <w:rsid w:val="00545D8D"/>
    <w:rsid w:val="00545E2A"/>
    <w:rsid w:val="00545E8B"/>
    <w:rsid w:val="00546064"/>
    <w:rsid w:val="0054625F"/>
    <w:rsid w:val="005464AA"/>
    <w:rsid w:val="00546802"/>
    <w:rsid w:val="0054690B"/>
    <w:rsid w:val="00546935"/>
    <w:rsid w:val="00546957"/>
    <w:rsid w:val="00546B35"/>
    <w:rsid w:val="00546B50"/>
    <w:rsid w:val="00546B63"/>
    <w:rsid w:val="00546B68"/>
    <w:rsid w:val="00546B83"/>
    <w:rsid w:val="00546EB3"/>
    <w:rsid w:val="00546FEA"/>
    <w:rsid w:val="005471C9"/>
    <w:rsid w:val="0054744F"/>
    <w:rsid w:val="005474E6"/>
    <w:rsid w:val="005477F8"/>
    <w:rsid w:val="00547D23"/>
    <w:rsid w:val="00547DA6"/>
    <w:rsid w:val="00547EA0"/>
    <w:rsid w:val="00547F0D"/>
    <w:rsid w:val="005502EA"/>
    <w:rsid w:val="00550423"/>
    <w:rsid w:val="00550A64"/>
    <w:rsid w:val="00550BA4"/>
    <w:rsid w:val="00550C24"/>
    <w:rsid w:val="00550CC9"/>
    <w:rsid w:val="00551761"/>
    <w:rsid w:val="00551817"/>
    <w:rsid w:val="00552017"/>
    <w:rsid w:val="00552095"/>
    <w:rsid w:val="0055248A"/>
    <w:rsid w:val="005524A7"/>
    <w:rsid w:val="0055253C"/>
    <w:rsid w:val="005525A0"/>
    <w:rsid w:val="005526B9"/>
    <w:rsid w:val="00552779"/>
    <w:rsid w:val="00552925"/>
    <w:rsid w:val="00552B19"/>
    <w:rsid w:val="00552CBA"/>
    <w:rsid w:val="00552D58"/>
    <w:rsid w:val="005530EE"/>
    <w:rsid w:val="00553358"/>
    <w:rsid w:val="005534A0"/>
    <w:rsid w:val="00553564"/>
    <w:rsid w:val="005538F0"/>
    <w:rsid w:val="00553A85"/>
    <w:rsid w:val="00553E48"/>
    <w:rsid w:val="00553E61"/>
    <w:rsid w:val="00553F4F"/>
    <w:rsid w:val="0055412F"/>
    <w:rsid w:val="00554266"/>
    <w:rsid w:val="00554370"/>
    <w:rsid w:val="00554804"/>
    <w:rsid w:val="005548C0"/>
    <w:rsid w:val="00554A39"/>
    <w:rsid w:val="00554FF4"/>
    <w:rsid w:val="00555255"/>
    <w:rsid w:val="005556BF"/>
    <w:rsid w:val="005557F9"/>
    <w:rsid w:val="005559C8"/>
    <w:rsid w:val="00555AB3"/>
    <w:rsid w:val="00555DC8"/>
    <w:rsid w:val="00555E31"/>
    <w:rsid w:val="00555E3E"/>
    <w:rsid w:val="00555FB5"/>
    <w:rsid w:val="005560A7"/>
    <w:rsid w:val="0055615D"/>
    <w:rsid w:val="00556259"/>
    <w:rsid w:val="005563AA"/>
    <w:rsid w:val="005566F6"/>
    <w:rsid w:val="00556BD6"/>
    <w:rsid w:val="00556D63"/>
    <w:rsid w:val="00556DFD"/>
    <w:rsid w:val="0055739C"/>
    <w:rsid w:val="00557446"/>
    <w:rsid w:val="00557891"/>
    <w:rsid w:val="00557BA7"/>
    <w:rsid w:val="00557D35"/>
    <w:rsid w:val="005603B8"/>
    <w:rsid w:val="00560412"/>
    <w:rsid w:val="00560489"/>
    <w:rsid w:val="005605A9"/>
    <w:rsid w:val="0056071B"/>
    <w:rsid w:val="00560AFC"/>
    <w:rsid w:val="00560B36"/>
    <w:rsid w:val="00560F1F"/>
    <w:rsid w:val="00561112"/>
    <w:rsid w:val="005613F4"/>
    <w:rsid w:val="00561678"/>
    <w:rsid w:val="00561696"/>
    <w:rsid w:val="00561AC8"/>
    <w:rsid w:val="00561BA5"/>
    <w:rsid w:val="00562086"/>
    <w:rsid w:val="005620F0"/>
    <w:rsid w:val="00562572"/>
    <w:rsid w:val="00562924"/>
    <w:rsid w:val="00562938"/>
    <w:rsid w:val="00562A7D"/>
    <w:rsid w:val="00562CB4"/>
    <w:rsid w:val="00562D35"/>
    <w:rsid w:val="00562DC8"/>
    <w:rsid w:val="0056349F"/>
    <w:rsid w:val="005637A2"/>
    <w:rsid w:val="0056382A"/>
    <w:rsid w:val="005640F8"/>
    <w:rsid w:val="0056410C"/>
    <w:rsid w:val="0056423B"/>
    <w:rsid w:val="00564363"/>
    <w:rsid w:val="00564706"/>
    <w:rsid w:val="00564712"/>
    <w:rsid w:val="005647B0"/>
    <w:rsid w:val="00564AD5"/>
    <w:rsid w:val="00564B24"/>
    <w:rsid w:val="00565330"/>
    <w:rsid w:val="0056563F"/>
    <w:rsid w:val="00565D7E"/>
    <w:rsid w:val="00565EE0"/>
    <w:rsid w:val="00566642"/>
    <w:rsid w:val="005667FF"/>
    <w:rsid w:val="005669E1"/>
    <w:rsid w:val="00566C16"/>
    <w:rsid w:val="00566C56"/>
    <w:rsid w:val="00566CCB"/>
    <w:rsid w:val="00566EF8"/>
    <w:rsid w:val="00567023"/>
    <w:rsid w:val="005670A4"/>
    <w:rsid w:val="0056743F"/>
    <w:rsid w:val="005676C2"/>
    <w:rsid w:val="005676F3"/>
    <w:rsid w:val="00567837"/>
    <w:rsid w:val="00567861"/>
    <w:rsid w:val="005679B6"/>
    <w:rsid w:val="00567AD4"/>
    <w:rsid w:val="00567BEA"/>
    <w:rsid w:val="00567DFA"/>
    <w:rsid w:val="005700B3"/>
    <w:rsid w:val="00570173"/>
    <w:rsid w:val="0057026C"/>
    <w:rsid w:val="00570297"/>
    <w:rsid w:val="005710ED"/>
    <w:rsid w:val="005711FE"/>
    <w:rsid w:val="005711FF"/>
    <w:rsid w:val="00571219"/>
    <w:rsid w:val="0057154F"/>
    <w:rsid w:val="0057162F"/>
    <w:rsid w:val="005716C8"/>
    <w:rsid w:val="00571881"/>
    <w:rsid w:val="00571AA1"/>
    <w:rsid w:val="00571C58"/>
    <w:rsid w:val="00571DFC"/>
    <w:rsid w:val="00571E56"/>
    <w:rsid w:val="0057205E"/>
    <w:rsid w:val="005720E0"/>
    <w:rsid w:val="005721DB"/>
    <w:rsid w:val="005722E7"/>
    <w:rsid w:val="005723EF"/>
    <w:rsid w:val="005728DE"/>
    <w:rsid w:val="005729C6"/>
    <w:rsid w:val="00572BD1"/>
    <w:rsid w:val="00572C17"/>
    <w:rsid w:val="00572D62"/>
    <w:rsid w:val="00572FBF"/>
    <w:rsid w:val="005730F9"/>
    <w:rsid w:val="00573149"/>
    <w:rsid w:val="0057318F"/>
    <w:rsid w:val="00573255"/>
    <w:rsid w:val="00573610"/>
    <w:rsid w:val="00573637"/>
    <w:rsid w:val="005736D3"/>
    <w:rsid w:val="0057371F"/>
    <w:rsid w:val="00573789"/>
    <w:rsid w:val="0057398B"/>
    <w:rsid w:val="00573A16"/>
    <w:rsid w:val="00573F99"/>
    <w:rsid w:val="00573FF0"/>
    <w:rsid w:val="005740BC"/>
    <w:rsid w:val="0057418C"/>
    <w:rsid w:val="0057447F"/>
    <w:rsid w:val="005745BD"/>
    <w:rsid w:val="00574B4A"/>
    <w:rsid w:val="0057502A"/>
    <w:rsid w:val="00575114"/>
    <w:rsid w:val="0057566B"/>
    <w:rsid w:val="00575B1E"/>
    <w:rsid w:val="00576243"/>
    <w:rsid w:val="00576285"/>
    <w:rsid w:val="00576418"/>
    <w:rsid w:val="005767DA"/>
    <w:rsid w:val="005769A2"/>
    <w:rsid w:val="00576C38"/>
    <w:rsid w:val="00576E59"/>
    <w:rsid w:val="00577279"/>
    <w:rsid w:val="005772BB"/>
    <w:rsid w:val="00577370"/>
    <w:rsid w:val="005774F1"/>
    <w:rsid w:val="00577567"/>
    <w:rsid w:val="0057758E"/>
    <w:rsid w:val="005775F3"/>
    <w:rsid w:val="005775F8"/>
    <w:rsid w:val="005776BA"/>
    <w:rsid w:val="00577954"/>
    <w:rsid w:val="00577962"/>
    <w:rsid w:val="00577A65"/>
    <w:rsid w:val="00577B25"/>
    <w:rsid w:val="00577CCC"/>
    <w:rsid w:val="00577E05"/>
    <w:rsid w:val="00577E1A"/>
    <w:rsid w:val="00577ED7"/>
    <w:rsid w:val="00577FEB"/>
    <w:rsid w:val="005801E7"/>
    <w:rsid w:val="00580260"/>
    <w:rsid w:val="005802D3"/>
    <w:rsid w:val="005803A5"/>
    <w:rsid w:val="005803E4"/>
    <w:rsid w:val="005804BC"/>
    <w:rsid w:val="0058076D"/>
    <w:rsid w:val="00580A5F"/>
    <w:rsid w:val="00580A6E"/>
    <w:rsid w:val="00580BD2"/>
    <w:rsid w:val="00580E09"/>
    <w:rsid w:val="00581069"/>
    <w:rsid w:val="0058114E"/>
    <w:rsid w:val="005814EA"/>
    <w:rsid w:val="0058162C"/>
    <w:rsid w:val="005816B1"/>
    <w:rsid w:val="00581991"/>
    <w:rsid w:val="00581B47"/>
    <w:rsid w:val="00581B54"/>
    <w:rsid w:val="00582513"/>
    <w:rsid w:val="005825BB"/>
    <w:rsid w:val="005827F1"/>
    <w:rsid w:val="00582AB5"/>
    <w:rsid w:val="00582CC8"/>
    <w:rsid w:val="00582D06"/>
    <w:rsid w:val="00583411"/>
    <w:rsid w:val="0058360F"/>
    <w:rsid w:val="00583BE0"/>
    <w:rsid w:val="00583F6F"/>
    <w:rsid w:val="005840B7"/>
    <w:rsid w:val="005843CE"/>
    <w:rsid w:val="005846EC"/>
    <w:rsid w:val="00584B75"/>
    <w:rsid w:val="00584C52"/>
    <w:rsid w:val="005851A7"/>
    <w:rsid w:val="0058544B"/>
    <w:rsid w:val="00585758"/>
    <w:rsid w:val="00585804"/>
    <w:rsid w:val="00585934"/>
    <w:rsid w:val="00585971"/>
    <w:rsid w:val="00585DCA"/>
    <w:rsid w:val="00585E3A"/>
    <w:rsid w:val="00585ED0"/>
    <w:rsid w:val="005860F7"/>
    <w:rsid w:val="00586407"/>
    <w:rsid w:val="00586555"/>
    <w:rsid w:val="00586647"/>
    <w:rsid w:val="005866F7"/>
    <w:rsid w:val="0058688E"/>
    <w:rsid w:val="00586AF3"/>
    <w:rsid w:val="00586C04"/>
    <w:rsid w:val="00586C96"/>
    <w:rsid w:val="00586D0D"/>
    <w:rsid w:val="0058719C"/>
    <w:rsid w:val="0058766B"/>
    <w:rsid w:val="0058771C"/>
    <w:rsid w:val="0058778E"/>
    <w:rsid w:val="00587797"/>
    <w:rsid w:val="00587C37"/>
    <w:rsid w:val="00587E16"/>
    <w:rsid w:val="00587EFC"/>
    <w:rsid w:val="0059007D"/>
    <w:rsid w:val="00590184"/>
    <w:rsid w:val="0059022E"/>
    <w:rsid w:val="0059032E"/>
    <w:rsid w:val="005907C3"/>
    <w:rsid w:val="005908C1"/>
    <w:rsid w:val="005912F3"/>
    <w:rsid w:val="005913C2"/>
    <w:rsid w:val="005916E6"/>
    <w:rsid w:val="005916E8"/>
    <w:rsid w:val="00591766"/>
    <w:rsid w:val="005918E4"/>
    <w:rsid w:val="005919B9"/>
    <w:rsid w:val="00591BA9"/>
    <w:rsid w:val="00591F21"/>
    <w:rsid w:val="005923CD"/>
    <w:rsid w:val="00592421"/>
    <w:rsid w:val="0059267E"/>
    <w:rsid w:val="00592781"/>
    <w:rsid w:val="0059293F"/>
    <w:rsid w:val="0059296E"/>
    <w:rsid w:val="00592AB0"/>
    <w:rsid w:val="00592DE2"/>
    <w:rsid w:val="00592F97"/>
    <w:rsid w:val="005937B1"/>
    <w:rsid w:val="00593837"/>
    <w:rsid w:val="005938B4"/>
    <w:rsid w:val="00593B05"/>
    <w:rsid w:val="00593E20"/>
    <w:rsid w:val="00593EAA"/>
    <w:rsid w:val="00593F0C"/>
    <w:rsid w:val="00594030"/>
    <w:rsid w:val="00594262"/>
    <w:rsid w:val="00594922"/>
    <w:rsid w:val="00594A24"/>
    <w:rsid w:val="00594A5E"/>
    <w:rsid w:val="00594B9E"/>
    <w:rsid w:val="00594BAD"/>
    <w:rsid w:val="00594C49"/>
    <w:rsid w:val="0059530D"/>
    <w:rsid w:val="00595433"/>
    <w:rsid w:val="005957AB"/>
    <w:rsid w:val="0059588F"/>
    <w:rsid w:val="005959D2"/>
    <w:rsid w:val="00595A9A"/>
    <w:rsid w:val="00595AD3"/>
    <w:rsid w:val="00595C9F"/>
    <w:rsid w:val="00595D9D"/>
    <w:rsid w:val="00596023"/>
    <w:rsid w:val="00596125"/>
    <w:rsid w:val="005961DE"/>
    <w:rsid w:val="005962C8"/>
    <w:rsid w:val="00596375"/>
    <w:rsid w:val="00596704"/>
    <w:rsid w:val="00596733"/>
    <w:rsid w:val="00596856"/>
    <w:rsid w:val="00596D03"/>
    <w:rsid w:val="00596D20"/>
    <w:rsid w:val="005970B0"/>
    <w:rsid w:val="00597537"/>
    <w:rsid w:val="0059758B"/>
    <w:rsid w:val="00597B21"/>
    <w:rsid w:val="005A049B"/>
    <w:rsid w:val="005A05F0"/>
    <w:rsid w:val="005A062A"/>
    <w:rsid w:val="005A0658"/>
    <w:rsid w:val="005A08A1"/>
    <w:rsid w:val="005A0A7C"/>
    <w:rsid w:val="005A0ABA"/>
    <w:rsid w:val="005A0DE2"/>
    <w:rsid w:val="005A0F7A"/>
    <w:rsid w:val="005A11D5"/>
    <w:rsid w:val="005A132E"/>
    <w:rsid w:val="005A14D1"/>
    <w:rsid w:val="005A17FF"/>
    <w:rsid w:val="005A18C3"/>
    <w:rsid w:val="005A1A99"/>
    <w:rsid w:val="005A1E7D"/>
    <w:rsid w:val="005A20BD"/>
    <w:rsid w:val="005A222A"/>
    <w:rsid w:val="005A23A2"/>
    <w:rsid w:val="005A243E"/>
    <w:rsid w:val="005A26DB"/>
    <w:rsid w:val="005A2BE8"/>
    <w:rsid w:val="005A2E06"/>
    <w:rsid w:val="005A35A3"/>
    <w:rsid w:val="005A3B05"/>
    <w:rsid w:val="005A3C9F"/>
    <w:rsid w:val="005A3DD5"/>
    <w:rsid w:val="005A3EB9"/>
    <w:rsid w:val="005A3F00"/>
    <w:rsid w:val="005A40B2"/>
    <w:rsid w:val="005A42E8"/>
    <w:rsid w:val="005A46E7"/>
    <w:rsid w:val="005A4CD6"/>
    <w:rsid w:val="005A5059"/>
    <w:rsid w:val="005A5157"/>
    <w:rsid w:val="005A549F"/>
    <w:rsid w:val="005A5930"/>
    <w:rsid w:val="005A5B1E"/>
    <w:rsid w:val="005A5B94"/>
    <w:rsid w:val="005A5DDE"/>
    <w:rsid w:val="005A6071"/>
    <w:rsid w:val="005A6488"/>
    <w:rsid w:val="005A6A42"/>
    <w:rsid w:val="005A6C02"/>
    <w:rsid w:val="005A6DF3"/>
    <w:rsid w:val="005A6F58"/>
    <w:rsid w:val="005A7044"/>
    <w:rsid w:val="005A7069"/>
    <w:rsid w:val="005A728D"/>
    <w:rsid w:val="005A7358"/>
    <w:rsid w:val="005A7770"/>
    <w:rsid w:val="005A7D06"/>
    <w:rsid w:val="005A7D10"/>
    <w:rsid w:val="005A7D1B"/>
    <w:rsid w:val="005B0414"/>
    <w:rsid w:val="005B0787"/>
    <w:rsid w:val="005B0B83"/>
    <w:rsid w:val="005B0CFB"/>
    <w:rsid w:val="005B10C4"/>
    <w:rsid w:val="005B1570"/>
    <w:rsid w:val="005B15FA"/>
    <w:rsid w:val="005B16D1"/>
    <w:rsid w:val="005B1793"/>
    <w:rsid w:val="005B188C"/>
    <w:rsid w:val="005B19D4"/>
    <w:rsid w:val="005B1A25"/>
    <w:rsid w:val="005B1AEE"/>
    <w:rsid w:val="005B2401"/>
    <w:rsid w:val="005B250F"/>
    <w:rsid w:val="005B2F3D"/>
    <w:rsid w:val="005B313E"/>
    <w:rsid w:val="005B318E"/>
    <w:rsid w:val="005B31C7"/>
    <w:rsid w:val="005B3469"/>
    <w:rsid w:val="005B34B3"/>
    <w:rsid w:val="005B3627"/>
    <w:rsid w:val="005B3728"/>
    <w:rsid w:val="005B376B"/>
    <w:rsid w:val="005B3798"/>
    <w:rsid w:val="005B3B2C"/>
    <w:rsid w:val="005B3C5F"/>
    <w:rsid w:val="005B3C9A"/>
    <w:rsid w:val="005B3CB4"/>
    <w:rsid w:val="005B3D45"/>
    <w:rsid w:val="005B3FB6"/>
    <w:rsid w:val="005B3FBA"/>
    <w:rsid w:val="005B4029"/>
    <w:rsid w:val="005B402E"/>
    <w:rsid w:val="005B40AD"/>
    <w:rsid w:val="005B429D"/>
    <w:rsid w:val="005B4397"/>
    <w:rsid w:val="005B47E1"/>
    <w:rsid w:val="005B4BC0"/>
    <w:rsid w:val="005B4F4F"/>
    <w:rsid w:val="005B50AF"/>
    <w:rsid w:val="005B530C"/>
    <w:rsid w:val="005B55E7"/>
    <w:rsid w:val="005B59CF"/>
    <w:rsid w:val="005B5C27"/>
    <w:rsid w:val="005B5CC2"/>
    <w:rsid w:val="005B63A2"/>
    <w:rsid w:val="005B6804"/>
    <w:rsid w:val="005B6A1B"/>
    <w:rsid w:val="005B6A8D"/>
    <w:rsid w:val="005B6FF8"/>
    <w:rsid w:val="005B70D5"/>
    <w:rsid w:val="005B725C"/>
    <w:rsid w:val="005B75A4"/>
    <w:rsid w:val="005B7724"/>
    <w:rsid w:val="005B7A56"/>
    <w:rsid w:val="005B7A82"/>
    <w:rsid w:val="005B7AFC"/>
    <w:rsid w:val="005B7B5C"/>
    <w:rsid w:val="005B7CB3"/>
    <w:rsid w:val="005B7CBD"/>
    <w:rsid w:val="005B7DEF"/>
    <w:rsid w:val="005B7EC8"/>
    <w:rsid w:val="005B7EE0"/>
    <w:rsid w:val="005C00FF"/>
    <w:rsid w:val="005C0103"/>
    <w:rsid w:val="005C0431"/>
    <w:rsid w:val="005C04BA"/>
    <w:rsid w:val="005C0ACF"/>
    <w:rsid w:val="005C0C26"/>
    <w:rsid w:val="005C0E1C"/>
    <w:rsid w:val="005C0F75"/>
    <w:rsid w:val="005C0FC0"/>
    <w:rsid w:val="005C1180"/>
    <w:rsid w:val="005C19B1"/>
    <w:rsid w:val="005C1C2F"/>
    <w:rsid w:val="005C212C"/>
    <w:rsid w:val="005C21C8"/>
    <w:rsid w:val="005C2704"/>
    <w:rsid w:val="005C2736"/>
    <w:rsid w:val="005C294C"/>
    <w:rsid w:val="005C2BE6"/>
    <w:rsid w:val="005C2C23"/>
    <w:rsid w:val="005C2F1D"/>
    <w:rsid w:val="005C2FAE"/>
    <w:rsid w:val="005C3767"/>
    <w:rsid w:val="005C383C"/>
    <w:rsid w:val="005C391F"/>
    <w:rsid w:val="005C407D"/>
    <w:rsid w:val="005C41A5"/>
    <w:rsid w:val="005C4467"/>
    <w:rsid w:val="005C45A1"/>
    <w:rsid w:val="005C45EB"/>
    <w:rsid w:val="005C46BF"/>
    <w:rsid w:val="005C4CDE"/>
    <w:rsid w:val="005C50EE"/>
    <w:rsid w:val="005C514E"/>
    <w:rsid w:val="005C53A2"/>
    <w:rsid w:val="005C581A"/>
    <w:rsid w:val="005C58B9"/>
    <w:rsid w:val="005C5907"/>
    <w:rsid w:val="005C599E"/>
    <w:rsid w:val="005C599F"/>
    <w:rsid w:val="005C5B47"/>
    <w:rsid w:val="005C5B6A"/>
    <w:rsid w:val="005C5D58"/>
    <w:rsid w:val="005C5E19"/>
    <w:rsid w:val="005C62C3"/>
    <w:rsid w:val="005C6348"/>
    <w:rsid w:val="005C638A"/>
    <w:rsid w:val="005C6506"/>
    <w:rsid w:val="005C6845"/>
    <w:rsid w:val="005C6AAF"/>
    <w:rsid w:val="005C6EC6"/>
    <w:rsid w:val="005C6EEB"/>
    <w:rsid w:val="005C7019"/>
    <w:rsid w:val="005C70CE"/>
    <w:rsid w:val="005C70FB"/>
    <w:rsid w:val="005C72B2"/>
    <w:rsid w:val="005C735A"/>
    <w:rsid w:val="005C7580"/>
    <w:rsid w:val="005C7735"/>
    <w:rsid w:val="005C7ACC"/>
    <w:rsid w:val="005C7C10"/>
    <w:rsid w:val="005C7D57"/>
    <w:rsid w:val="005D03EE"/>
    <w:rsid w:val="005D06D0"/>
    <w:rsid w:val="005D074A"/>
    <w:rsid w:val="005D080F"/>
    <w:rsid w:val="005D0ADD"/>
    <w:rsid w:val="005D0E29"/>
    <w:rsid w:val="005D119A"/>
    <w:rsid w:val="005D1219"/>
    <w:rsid w:val="005D17FD"/>
    <w:rsid w:val="005D196A"/>
    <w:rsid w:val="005D1B48"/>
    <w:rsid w:val="005D1C48"/>
    <w:rsid w:val="005D1D48"/>
    <w:rsid w:val="005D1D5F"/>
    <w:rsid w:val="005D217D"/>
    <w:rsid w:val="005D22C5"/>
    <w:rsid w:val="005D235C"/>
    <w:rsid w:val="005D2467"/>
    <w:rsid w:val="005D26AC"/>
    <w:rsid w:val="005D291B"/>
    <w:rsid w:val="005D2B32"/>
    <w:rsid w:val="005D2C53"/>
    <w:rsid w:val="005D2C60"/>
    <w:rsid w:val="005D2E38"/>
    <w:rsid w:val="005D2EC2"/>
    <w:rsid w:val="005D2F2D"/>
    <w:rsid w:val="005D2FAF"/>
    <w:rsid w:val="005D3496"/>
    <w:rsid w:val="005D3508"/>
    <w:rsid w:val="005D376F"/>
    <w:rsid w:val="005D3980"/>
    <w:rsid w:val="005D3B54"/>
    <w:rsid w:val="005D3C6A"/>
    <w:rsid w:val="005D3D4B"/>
    <w:rsid w:val="005D3E44"/>
    <w:rsid w:val="005D41FA"/>
    <w:rsid w:val="005D4339"/>
    <w:rsid w:val="005D4A6D"/>
    <w:rsid w:val="005D5035"/>
    <w:rsid w:val="005D50A2"/>
    <w:rsid w:val="005D50E7"/>
    <w:rsid w:val="005D533F"/>
    <w:rsid w:val="005D5403"/>
    <w:rsid w:val="005D5480"/>
    <w:rsid w:val="005D562F"/>
    <w:rsid w:val="005D5D1D"/>
    <w:rsid w:val="005D5D34"/>
    <w:rsid w:val="005D5E6B"/>
    <w:rsid w:val="005D5EAC"/>
    <w:rsid w:val="005D6145"/>
    <w:rsid w:val="005D6197"/>
    <w:rsid w:val="005D634F"/>
    <w:rsid w:val="005D64C8"/>
    <w:rsid w:val="005D6792"/>
    <w:rsid w:val="005D680F"/>
    <w:rsid w:val="005D6BB3"/>
    <w:rsid w:val="005D6E0C"/>
    <w:rsid w:val="005D6EC5"/>
    <w:rsid w:val="005D7100"/>
    <w:rsid w:val="005D7120"/>
    <w:rsid w:val="005D71CF"/>
    <w:rsid w:val="005D7477"/>
    <w:rsid w:val="005D7B50"/>
    <w:rsid w:val="005D7BDD"/>
    <w:rsid w:val="005D7E75"/>
    <w:rsid w:val="005E0274"/>
    <w:rsid w:val="005E0781"/>
    <w:rsid w:val="005E0964"/>
    <w:rsid w:val="005E0A9B"/>
    <w:rsid w:val="005E134E"/>
    <w:rsid w:val="005E135A"/>
    <w:rsid w:val="005E13C9"/>
    <w:rsid w:val="005E165C"/>
    <w:rsid w:val="005E169C"/>
    <w:rsid w:val="005E1806"/>
    <w:rsid w:val="005E1954"/>
    <w:rsid w:val="005E19F4"/>
    <w:rsid w:val="005E1B33"/>
    <w:rsid w:val="005E1C57"/>
    <w:rsid w:val="005E1DB0"/>
    <w:rsid w:val="005E1E33"/>
    <w:rsid w:val="005E1E95"/>
    <w:rsid w:val="005E1F69"/>
    <w:rsid w:val="005E2BB9"/>
    <w:rsid w:val="005E2BBD"/>
    <w:rsid w:val="005E2D66"/>
    <w:rsid w:val="005E2E1B"/>
    <w:rsid w:val="005E2EFE"/>
    <w:rsid w:val="005E3008"/>
    <w:rsid w:val="005E3234"/>
    <w:rsid w:val="005E3326"/>
    <w:rsid w:val="005E3471"/>
    <w:rsid w:val="005E3477"/>
    <w:rsid w:val="005E3B82"/>
    <w:rsid w:val="005E3E66"/>
    <w:rsid w:val="005E4612"/>
    <w:rsid w:val="005E486B"/>
    <w:rsid w:val="005E4C32"/>
    <w:rsid w:val="005E4D65"/>
    <w:rsid w:val="005E4F6A"/>
    <w:rsid w:val="005E5186"/>
    <w:rsid w:val="005E5266"/>
    <w:rsid w:val="005E52AC"/>
    <w:rsid w:val="005E557F"/>
    <w:rsid w:val="005E5604"/>
    <w:rsid w:val="005E56DB"/>
    <w:rsid w:val="005E5A00"/>
    <w:rsid w:val="005E5B33"/>
    <w:rsid w:val="005E5B70"/>
    <w:rsid w:val="005E5F32"/>
    <w:rsid w:val="005E62A9"/>
    <w:rsid w:val="005E635C"/>
    <w:rsid w:val="005E6780"/>
    <w:rsid w:val="005E6896"/>
    <w:rsid w:val="005E69B7"/>
    <w:rsid w:val="005E6A37"/>
    <w:rsid w:val="005E6B0C"/>
    <w:rsid w:val="005E6B13"/>
    <w:rsid w:val="005E6BE6"/>
    <w:rsid w:val="005E6C58"/>
    <w:rsid w:val="005E6C86"/>
    <w:rsid w:val="005E6D41"/>
    <w:rsid w:val="005E6F8C"/>
    <w:rsid w:val="005E714F"/>
    <w:rsid w:val="005E7287"/>
    <w:rsid w:val="005E760D"/>
    <w:rsid w:val="005E792B"/>
    <w:rsid w:val="005E7945"/>
    <w:rsid w:val="005E7AAE"/>
    <w:rsid w:val="005E7C66"/>
    <w:rsid w:val="005E7EAF"/>
    <w:rsid w:val="005F004E"/>
    <w:rsid w:val="005F01D2"/>
    <w:rsid w:val="005F02D3"/>
    <w:rsid w:val="005F0654"/>
    <w:rsid w:val="005F0C2F"/>
    <w:rsid w:val="005F0EC9"/>
    <w:rsid w:val="005F104E"/>
    <w:rsid w:val="005F16D3"/>
    <w:rsid w:val="005F188F"/>
    <w:rsid w:val="005F1901"/>
    <w:rsid w:val="005F1F6B"/>
    <w:rsid w:val="005F20EF"/>
    <w:rsid w:val="005F2157"/>
    <w:rsid w:val="005F22F6"/>
    <w:rsid w:val="005F2389"/>
    <w:rsid w:val="005F24E9"/>
    <w:rsid w:val="005F25CD"/>
    <w:rsid w:val="005F2756"/>
    <w:rsid w:val="005F2832"/>
    <w:rsid w:val="005F29ED"/>
    <w:rsid w:val="005F29F1"/>
    <w:rsid w:val="005F2A33"/>
    <w:rsid w:val="005F2A5A"/>
    <w:rsid w:val="005F2CA7"/>
    <w:rsid w:val="005F3156"/>
    <w:rsid w:val="005F340F"/>
    <w:rsid w:val="005F34D5"/>
    <w:rsid w:val="005F37EB"/>
    <w:rsid w:val="005F3CEC"/>
    <w:rsid w:val="005F3FF7"/>
    <w:rsid w:val="005F40F7"/>
    <w:rsid w:val="005F434A"/>
    <w:rsid w:val="005F4988"/>
    <w:rsid w:val="005F4CA6"/>
    <w:rsid w:val="005F4F4A"/>
    <w:rsid w:val="005F5044"/>
    <w:rsid w:val="005F5167"/>
    <w:rsid w:val="005F52C1"/>
    <w:rsid w:val="005F53BD"/>
    <w:rsid w:val="005F5410"/>
    <w:rsid w:val="005F558C"/>
    <w:rsid w:val="005F5701"/>
    <w:rsid w:val="005F5706"/>
    <w:rsid w:val="005F65EF"/>
    <w:rsid w:val="005F66E6"/>
    <w:rsid w:val="005F6EEC"/>
    <w:rsid w:val="005F6FEF"/>
    <w:rsid w:val="005F777F"/>
    <w:rsid w:val="005F7B28"/>
    <w:rsid w:val="005F7C8E"/>
    <w:rsid w:val="005F7E45"/>
    <w:rsid w:val="005F7F17"/>
    <w:rsid w:val="0060020E"/>
    <w:rsid w:val="00600308"/>
    <w:rsid w:val="006007AF"/>
    <w:rsid w:val="00600A0E"/>
    <w:rsid w:val="00600F38"/>
    <w:rsid w:val="00601126"/>
    <w:rsid w:val="0060118B"/>
    <w:rsid w:val="006012EE"/>
    <w:rsid w:val="00601310"/>
    <w:rsid w:val="00601395"/>
    <w:rsid w:val="00601947"/>
    <w:rsid w:val="00601D2A"/>
    <w:rsid w:val="0060217C"/>
    <w:rsid w:val="0060231B"/>
    <w:rsid w:val="0060247B"/>
    <w:rsid w:val="00602933"/>
    <w:rsid w:val="00602DD5"/>
    <w:rsid w:val="00602E59"/>
    <w:rsid w:val="00602FB4"/>
    <w:rsid w:val="00603067"/>
    <w:rsid w:val="0060314F"/>
    <w:rsid w:val="006031D8"/>
    <w:rsid w:val="006031F5"/>
    <w:rsid w:val="006032F0"/>
    <w:rsid w:val="0060364D"/>
    <w:rsid w:val="00603C30"/>
    <w:rsid w:val="00603D18"/>
    <w:rsid w:val="00603D22"/>
    <w:rsid w:val="00604152"/>
    <w:rsid w:val="006042D9"/>
    <w:rsid w:val="00604339"/>
    <w:rsid w:val="006044DC"/>
    <w:rsid w:val="0060465B"/>
    <w:rsid w:val="0060470C"/>
    <w:rsid w:val="0060484A"/>
    <w:rsid w:val="00604878"/>
    <w:rsid w:val="00604983"/>
    <w:rsid w:val="00604A9B"/>
    <w:rsid w:val="00604C5A"/>
    <w:rsid w:val="00604CBB"/>
    <w:rsid w:val="00604E53"/>
    <w:rsid w:val="0060508A"/>
    <w:rsid w:val="00605458"/>
    <w:rsid w:val="006054D4"/>
    <w:rsid w:val="00605554"/>
    <w:rsid w:val="00605930"/>
    <w:rsid w:val="00605BFE"/>
    <w:rsid w:val="00605D47"/>
    <w:rsid w:val="0060609F"/>
    <w:rsid w:val="0060649F"/>
    <w:rsid w:val="006064C3"/>
    <w:rsid w:val="00606653"/>
    <w:rsid w:val="00606773"/>
    <w:rsid w:val="006067C0"/>
    <w:rsid w:val="00606802"/>
    <w:rsid w:val="0060685F"/>
    <w:rsid w:val="00606C62"/>
    <w:rsid w:val="00606D19"/>
    <w:rsid w:val="00606F3F"/>
    <w:rsid w:val="00607195"/>
    <w:rsid w:val="006071B5"/>
    <w:rsid w:val="006072B5"/>
    <w:rsid w:val="00607B38"/>
    <w:rsid w:val="00607BA4"/>
    <w:rsid w:val="00607BC7"/>
    <w:rsid w:val="00607DD3"/>
    <w:rsid w:val="00607E94"/>
    <w:rsid w:val="00607F9C"/>
    <w:rsid w:val="00610025"/>
    <w:rsid w:val="006100DB"/>
    <w:rsid w:val="0061026E"/>
    <w:rsid w:val="006102AB"/>
    <w:rsid w:val="00610428"/>
    <w:rsid w:val="006105C9"/>
    <w:rsid w:val="006107CE"/>
    <w:rsid w:val="006107E3"/>
    <w:rsid w:val="006108B3"/>
    <w:rsid w:val="0061101D"/>
    <w:rsid w:val="0061112C"/>
    <w:rsid w:val="00611174"/>
    <w:rsid w:val="006111B7"/>
    <w:rsid w:val="006113DE"/>
    <w:rsid w:val="00611883"/>
    <w:rsid w:val="0061197C"/>
    <w:rsid w:val="00611AA6"/>
    <w:rsid w:val="00611BE1"/>
    <w:rsid w:val="00611C96"/>
    <w:rsid w:val="00611DD7"/>
    <w:rsid w:val="00611EAB"/>
    <w:rsid w:val="0061209B"/>
    <w:rsid w:val="00612167"/>
    <w:rsid w:val="0061223F"/>
    <w:rsid w:val="00612273"/>
    <w:rsid w:val="00612298"/>
    <w:rsid w:val="0061230E"/>
    <w:rsid w:val="00612361"/>
    <w:rsid w:val="006126F7"/>
    <w:rsid w:val="00612B2C"/>
    <w:rsid w:val="00612B49"/>
    <w:rsid w:val="00612D80"/>
    <w:rsid w:val="00612F10"/>
    <w:rsid w:val="00612F90"/>
    <w:rsid w:val="00612FD1"/>
    <w:rsid w:val="00613515"/>
    <w:rsid w:val="006135A3"/>
    <w:rsid w:val="006139A6"/>
    <w:rsid w:val="006139F5"/>
    <w:rsid w:val="00613D69"/>
    <w:rsid w:val="00613EFB"/>
    <w:rsid w:val="00613FC4"/>
    <w:rsid w:val="006144DE"/>
    <w:rsid w:val="006149A1"/>
    <w:rsid w:val="00614AE7"/>
    <w:rsid w:val="00614D32"/>
    <w:rsid w:val="006159CD"/>
    <w:rsid w:val="00615CAD"/>
    <w:rsid w:val="00615CE3"/>
    <w:rsid w:val="00615D62"/>
    <w:rsid w:val="00615DD3"/>
    <w:rsid w:val="00616318"/>
    <w:rsid w:val="00616538"/>
    <w:rsid w:val="00616547"/>
    <w:rsid w:val="006165ED"/>
    <w:rsid w:val="006165F4"/>
    <w:rsid w:val="00616642"/>
    <w:rsid w:val="006168A0"/>
    <w:rsid w:val="006168CD"/>
    <w:rsid w:val="00616A5B"/>
    <w:rsid w:val="00616B62"/>
    <w:rsid w:val="00616D92"/>
    <w:rsid w:val="00616E90"/>
    <w:rsid w:val="00616ECD"/>
    <w:rsid w:val="00617457"/>
    <w:rsid w:val="00617B49"/>
    <w:rsid w:val="00617DEB"/>
    <w:rsid w:val="00617F95"/>
    <w:rsid w:val="00620097"/>
    <w:rsid w:val="006202AE"/>
    <w:rsid w:val="006204C1"/>
    <w:rsid w:val="00620AA9"/>
    <w:rsid w:val="00620CFE"/>
    <w:rsid w:val="00620E23"/>
    <w:rsid w:val="0062108B"/>
    <w:rsid w:val="00621213"/>
    <w:rsid w:val="0062125D"/>
    <w:rsid w:val="006214FA"/>
    <w:rsid w:val="00621517"/>
    <w:rsid w:val="00621861"/>
    <w:rsid w:val="006218A8"/>
    <w:rsid w:val="0062248B"/>
    <w:rsid w:val="006224D9"/>
    <w:rsid w:val="00622AF6"/>
    <w:rsid w:val="00622B71"/>
    <w:rsid w:val="00622EE4"/>
    <w:rsid w:val="006230DA"/>
    <w:rsid w:val="006231CB"/>
    <w:rsid w:val="006231EE"/>
    <w:rsid w:val="0062325E"/>
    <w:rsid w:val="0062369A"/>
    <w:rsid w:val="00623A07"/>
    <w:rsid w:val="00623A9D"/>
    <w:rsid w:val="00623CB0"/>
    <w:rsid w:val="00623F31"/>
    <w:rsid w:val="00624215"/>
    <w:rsid w:val="006242C8"/>
    <w:rsid w:val="00624762"/>
    <w:rsid w:val="006247BD"/>
    <w:rsid w:val="0062481E"/>
    <w:rsid w:val="00624AEC"/>
    <w:rsid w:val="00624DBC"/>
    <w:rsid w:val="00625013"/>
    <w:rsid w:val="006250B3"/>
    <w:rsid w:val="006251AE"/>
    <w:rsid w:val="0062546F"/>
    <w:rsid w:val="0062561E"/>
    <w:rsid w:val="0062571B"/>
    <w:rsid w:val="00625A60"/>
    <w:rsid w:val="00625A71"/>
    <w:rsid w:val="0062617A"/>
    <w:rsid w:val="006263EC"/>
    <w:rsid w:val="00626791"/>
    <w:rsid w:val="00626A85"/>
    <w:rsid w:val="00626AC1"/>
    <w:rsid w:val="00626C0B"/>
    <w:rsid w:val="00626CA6"/>
    <w:rsid w:val="00626F68"/>
    <w:rsid w:val="0062756F"/>
    <w:rsid w:val="006277F1"/>
    <w:rsid w:val="006277FF"/>
    <w:rsid w:val="00627E9C"/>
    <w:rsid w:val="00630068"/>
    <w:rsid w:val="0063058D"/>
    <w:rsid w:val="00630EBD"/>
    <w:rsid w:val="006310EA"/>
    <w:rsid w:val="00631225"/>
    <w:rsid w:val="0063133C"/>
    <w:rsid w:val="00631398"/>
    <w:rsid w:val="006313EB"/>
    <w:rsid w:val="0063146D"/>
    <w:rsid w:val="006315F0"/>
    <w:rsid w:val="0063177D"/>
    <w:rsid w:val="00631932"/>
    <w:rsid w:val="006319F2"/>
    <w:rsid w:val="00631A37"/>
    <w:rsid w:val="00631C0E"/>
    <w:rsid w:val="00631CDC"/>
    <w:rsid w:val="00631D87"/>
    <w:rsid w:val="00632146"/>
    <w:rsid w:val="006321BF"/>
    <w:rsid w:val="006323E2"/>
    <w:rsid w:val="0063278B"/>
    <w:rsid w:val="00632A41"/>
    <w:rsid w:val="00632A68"/>
    <w:rsid w:val="00632A6F"/>
    <w:rsid w:val="00632AFE"/>
    <w:rsid w:val="00633FF3"/>
    <w:rsid w:val="006340EC"/>
    <w:rsid w:val="00634860"/>
    <w:rsid w:val="00634973"/>
    <w:rsid w:val="006349C5"/>
    <w:rsid w:val="00634B06"/>
    <w:rsid w:val="00634CF4"/>
    <w:rsid w:val="00634EC1"/>
    <w:rsid w:val="0063509E"/>
    <w:rsid w:val="00635187"/>
    <w:rsid w:val="0063567E"/>
    <w:rsid w:val="00635AC1"/>
    <w:rsid w:val="00635E11"/>
    <w:rsid w:val="006363C9"/>
    <w:rsid w:val="00636484"/>
    <w:rsid w:val="00636546"/>
    <w:rsid w:val="0063660B"/>
    <w:rsid w:val="006367D7"/>
    <w:rsid w:val="00636868"/>
    <w:rsid w:val="0063689F"/>
    <w:rsid w:val="00636E35"/>
    <w:rsid w:val="00636EF9"/>
    <w:rsid w:val="00636F8A"/>
    <w:rsid w:val="006370D1"/>
    <w:rsid w:val="0063720A"/>
    <w:rsid w:val="00637358"/>
    <w:rsid w:val="00637377"/>
    <w:rsid w:val="00637442"/>
    <w:rsid w:val="006374C8"/>
    <w:rsid w:val="00637505"/>
    <w:rsid w:val="006376BF"/>
    <w:rsid w:val="00637773"/>
    <w:rsid w:val="00637A41"/>
    <w:rsid w:val="00637F88"/>
    <w:rsid w:val="00640247"/>
    <w:rsid w:val="00640354"/>
    <w:rsid w:val="0064037D"/>
    <w:rsid w:val="0064047B"/>
    <w:rsid w:val="00640884"/>
    <w:rsid w:val="006409F8"/>
    <w:rsid w:val="00640ABF"/>
    <w:rsid w:val="00640C1C"/>
    <w:rsid w:val="00640C8A"/>
    <w:rsid w:val="00640D99"/>
    <w:rsid w:val="00640F01"/>
    <w:rsid w:val="00640F55"/>
    <w:rsid w:val="00641171"/>
    <w:rsid w:val="006412BC"/>
    <w:rsid w:val="006413C5"/>
    <w:rsid w:val="00641578"/>
    <w:rsid w:val="00641683"/>
    <w:rsid w:val="006418A4"/>
    <w:rsid w:val="00641B71"/>
    <w:rsid w:val="00641BC9"/>
    <w:rsid w:val="00642283"/>
    <w:rsid w:val="006424FC"/>
    <w:rsid w:val="0064253D"/>
    <w:rsid w:val="00642B99"/>
    <w:rsid w:val="00642CDC"/>
    <w:rsid w:val="00643332"/>
    <w:rsid w:val="006434A0"/>
    <w:rsid w:val="006437D4"/>
    <w:rsid w:val="006439E7"/>
    <w:rsid w:val="00643A33"/>
    <w:rsid w:val="00643C27"/>
    <w:rsid w:val="00644024"/>
    <w:rsid w:val="0064428F"/>
    <w:rsid w:val="0064439F"/>
    <w:rsid w:val="006444F0"/>
    <w:rsid w:val="006444F7"/>
    <w:rsid w:val="00644763"/>
    <w:rsid w:val="006449C8"/>
    <w:rsid w:val="00644A07"/>
    <w:rsid w:val="00644B5C"/>
    <w:rsid w:val="00644C8E"/>
    <w:rsid w:val="00644E17"/>
    <w:rsid w:val="00645097"/>
    <w:rsid w:val="00645144"/>
    <w:rsid w:val="0064516D"/>
    <w:rsid w:val="0064542B"/>
    <w:rsid w:val="00645568"/>
    <w:rsid w:val="00645736"/>
    <w:rsid w:val="00645935"/>
    <w:rsid w:val="00645A45"/>
    <w:rsid w:val="00645AFB"/>
    <w:rsid w:val="0064602B"/>
    <w:rsid w:val="006460F3"/>
    <w:rsid w:val="00646581"/>
    <w:rsid w:val="00646797"/>
    <w:rsid w:val="0064680B"/>
    <w:rsid w:val="00646866"/>
    <w:rsid w:val="00646987"/>
    <w:rsid w:val="00646AF1"/>
    <w:rsid w:val="00646E66"/>
    <w:rsid w:val="006470FD"/>
    <w:rsid w:val="00647266"/>
    <w:rsid w:val="006477FF"/>
    <w:rsid w:val="00647864"/>
    <w:rsid w:val="006478B7"/>
    <w:rsid w:val="006478FC"/>
    <w:rsid w:val="00647ADB"/>
    <w:rsid w:val="00647D13"/>
    <w:rsid w:val="00650530"/>
    <w:rsid w:val="00650D3D"/>
    <w:rsid w:val="00650D56"/>
    <w:rsid w:val="00650F03"/>
    <w:rsid w:val="00651176"/>
    <w:rsid w:val="006512DF"/>
    <w:rsid w:val="0065174C"/>
    <w:rsid w:val="00651B36"/>
    <w:rsid w:val="00651C29"/>
    <w:rsid w:val="00651C2F"/>
    <w:rsid w:val="00651CEA"/>
    <w:rsid w:val="00651DEA"/>
    <w:rsid w:val="006522B9"/>
    <w:rsid w:val="0065232D"/>
    <w:rsid w:val="0065259B"/>
    <w:rsid w:val="006525D3"/>
    <w:rsid w:val="00652619"/>
    <w:rsid w:val="0065288C"/>
    <w:rsid w:val="0065298C"/>
    <w:rsid w:val="00652D26"/>
    <w:rsid w:val="00653237"/>
    <w:rsid w:val="00653613"/>
    <w:rsid w:val="00653634"/>
    <w:rsid w:val="0065373E"/>
    <w:rsid w:val="00653951"/>
    <w:rsid w:val="00653A58"/>
    <w:rsid w:val="00653D9A"/>
    <w:rsid w:val="00653DF5"/>
    <w:rsid w:val="00653F62"/>
    <w:rsid w:val="00654054"/>
    <w:rsid w:val="00654253"/>
    <w:rsid w:val="00654B0A"/>
    <w:rsid w:val="00654C73"/>
    <w:rsid w:val="00655026"/>
    <w:rsid w:val="006550D2"/>
    <w:rsid w:val="0065547C"/>
    <w:rsid w:val="006554C1"/>
    <w:rsid w:val="006555BC"/>
    <w:rsid w:val="006557D4"/>
    <w:rsid w:val="00655A02"/>
    <w:rsid w:val="00655AE5"/>
    <w:rsid w:val="00655D5D"/>
    <w:rsid w:val="00655F50"/>
    <w:rsid w:val="00655FC8"/>
    <w:rsid w:val="006560EE"/>
    <w:rsid w:val="006562D4"/>
    <w:rsid w:val="0065638E"/>
    <w:rsid w:val="0065646C"/>
    <w:rsid w:val="006564C1"/>
    <w:rsid w:val="0065669C"/>
    <w:rsid w:val="006568C8"/>
    <w:rsid w:val="006569F8"/>
    <w:rsid w:val="00656F50"/>
    <w:rsid w:val="00657557"/>
    <w:rsid w:val="006576C2"/>
    <w:rsid w:val="006577B7"/>
    <w:rsid w:val="00657A25"/>
    <w:rsid w:val="00657ADD"/>
    <w:rsid w:val="0066005B"/>
    <w:rsid w:val="00660293"/>
    <w:rsid w:val="0066032C"/>
    <w:rsid w:val="006603CC"/>
    <w:rsid w:val="006604C6"/>
    <w:rsid w:val="00660B0A"/>
    <w:rsid w:val="00660C2E"/>
    <w:rsid w:val="00660DAF"/>
    <w:rsid w:val="00660DC9"/>
    <w:rsid w:val="00660E28"/>
    <w:rsid w:val="00660E45"/>
    <w:rsid w:val="00661882"/>
    <w:rsid w:val="00661CF7"/>
    <w:rsid w:val="00662490"/>
    <w:rsid w:val="006624A2"/>
    <w:rsid w:val="00662B77"/>
    <w:rsid w:val="00662C68"/>
    <w:rsid w:val="00662CC2"/>
    <w:rsid w:val="006632D6"/>
    <w:rsid w:val="00663326"/>
    <w:rsid w:val="00663550"/>
    <w:rsid w:val="00663F9E"/>
    <w:rsid w:val="0066426B"/>
    <w:rsid w:val="006643D7"/>
    <w:rsid w:val="0066481C"/>
    <w:rsid w:val="00664B6E"/>
    <w:rsid w:val="00664B8D"/>
    <w:rsid w:val="00664DE3"/>
    <w:rsid w:val="00664F6D"/>
    <w:rsid w:val="00665148"/>
    <w:rsid w:val="00665266"/>
    <w:rsid w:val="00665521"/>
    <w:rsid w:val="006659DE"/>
    <w:rsid w:val="00665B79"/>
    <w:rsid w:val="00665D24"/>
    <w:rsid w:val="00665F37"/>
    <w:rsid w:val="0066669E"/>
    <w:rsid w:val="006667CC"/>
    <w:rsid w:val="00666AB8"/>
    <w:rsid w:val="00666B7C"/>
    <w:rsid w:val="00667187"/>
    <w:rsid w:val="0066723E"/>
    <w:rsid w:val="00667359"/>
    <w:rsid w:val="006673E2"/>
    <w:rsid w:val="006674A5"/>
    <w:rsid w:val="006679EC"/>
    <w:rsid w:val="00667AEA"/>
    <w:rsid w:val="00667CB6"/>
    <w:rsid w:val="00667E6A"/>
    <w:rsid w:val="006700B2"/>
    <w:rsid w:val="006700E8"/>
    <w:rsid w:val="006701EE"/>
    <w:rsid w:val="006702A2"/>
    <w:rsid w:val="00670352"/>
    <w:rsid w:val="00670457"/>
    <w:rsid w:val="00670491"/>
    <w:rsid w:val="00670A41"/>
    <w:rsid w:val="00670B52"/>
    <w:rsid w:val="00670C60"/>
    <w:rsid w:val="00670E11"/>
    <w:rsid w:val="006712A4"/>
    <w:rsid w:val="006718FC"/>
    <w:rsid w:val="0067205F"/>
    <w:rsid w:val="00672138"/>
    <w:rsid w:val="006721DF"/>
    <w:rsid w:val="006723E1"/>
    <w:rsid w:val="00672500"/>
    <w:rsid w:val="0067250C"/>
    <w:rsid w:val="006725D0"/>
    <w:rsid w:val="006726CE"/>
    <w:rsid w:val="006726FE"/>
    <w:rsid w:val="006728DB"/>
    <w:rsid w:val="006729A7"/>
    <w:rsid w:val="00672CB8"/>
    <w:rsid w:val="006730BC"/>
    <w:rsid w:val="006731BF"/>
    <w:rsid w:val="00673633"/>
    <w:rsid w:val="00673648"/>
    <w:rsid w:val="00673804"/>
    <w:rsid w:val="00673AF2"/>
    <w:rsid w:val="00673C00"/>
    <w:rsid w:val="00673D47"/>
    <w:rsid w:val="0067401B"/>
    <w:rsid w:val="006745E5"/>
    <w:rsid w:val="006747A7"/>
    <w:rsid w:val="0067485E"/>
    <w:rsid w:val="00674B4B"/>
    <w:rsid w:val="00674BB6"/>
    <w:rsid w:val="00674CC9"/>
    <w:rsid w:val="00674DE9"/>
    <w:rsid w:val="0067504D"/>
    <w:rsid w:val="006750E2"/>
    <w:rsid w:val="0067514D"/>
    <w:rsid w:val="006755FC"/>
    <w:rsid w:val="00675C40"/>
    <w:rsid w:val="00675C7B"/>
    <w:rsid w:val="00675D64"/>
    <w:rsid w:val="006760B9"/>
    <w:rsid w:val="006760EA"/>
    <w:rsid w:val="0067654D"/>
    <w:rsid w:val="00676685"/>
    <w:rsid w:val="006769AC"/>
    <w:rsid w:val="00676A85"/>
    <w:rsid w:val="00676CD7"/>
    <w:rsid w:val="00676E76"/>
    <w:rsid w:val="00676F36"/>
    <w:rsid w:val="00676F5E"/>
    <w:rsid w:val="00676FEF"/>
    <w:rsid w:val="00677041"/>
    <w:rsid w:val="00677280"/>
    <w:rsid w:val="0067746C"/>
    <w:rsid w:val="00677504"/>
    <w:rsid w:val="006779B0"/>
    <w:rsid w:val="00677BFC"/>
    <w:rsid w:val="00677CE6"/>
    <w:rsid w:val="0068002D"/>
    <w:rsid w:val="006802D3"/>
    <w:rsid w:val="00680890"/>
    <w:rsid w:val="00680AFE"/>
    <w:rsid w:val="00680C1C"/>
    <w:rsid w:val="00680E91"/>
    <w:rsid w:val="00680F36"/>
    <w:rsid w:val="00681129"/>
    <w:rsid w:val="00681659"/>
    <w:rsid w:val="00681849"/>
    <w:rsid w:val="00681958"/>
    <w:rsid w:val="00681F11"/>
    <w:rsid w:val="006820F1"/>
    <w:rsid w:val="00682107"/>
    <w:rsid w:val="00682197"/>
    <w:rsid w:val="0068222D"/>
    <w:rsid w:val="00682371"/>
    <w:rsid w:val="00682AC3"/>
    <w:rsid w:val="00682C04"/>
    <w:rsid w:val="00682C8C"/>
    <w:rsid w:val="00682D76"/>
    <w:rsid w:val="0068334F"/>
    <w:rsid w:val="00683537"/>
    <w:rsid w:val="00683601"/>
    <w:rsid w:val="00683631"/>
    <w:rsid w:val="006837CA"/>
    <w:rsid w:val="006838BD"/>
    <w:rsid w:val="00683943"/>
    <w:rsid w:val="00683D87"/>
    <w:rsid w:val="0068414A"/>
    <w:rsid w:val="0068445D"/>
    <w:rsid w:val="00684466"/>
    <w:rsid w:val="00684681"/>
    <w:rsid w:val="0068486B"/>
    <w:rsid w:val="006848FB"/>
    <w:rsid w:val="00684EE5"/>
    <w:rsid w:val="00684F84"/>
    <w:rsid w:val="00684F8E"/>
    <w:rsid w:val="00685068"/>
    <w:rsid w:val="00685083"/>
    <w:rsid w:val="006850BE"/>
    <w:rsid w:val="00685556"/>
    <w:rsid w:val="006856A5"/>
    <w:rsid w:val="0068573E"/>
    <w:rsid w:val="00685854"/>
    <w:rsid w:val="006859A7"/>
    <w:rsid w:val="00685B61"/>
    <w:rsid w:val="00685B9F"/>
    <w:rsid w:val="00685CAD"/>
    <w:rsid w:val="00685FA3"/>
    <w:rsid w:val="0068650C"/>
    <w:rsid w:val="00686696"/>
    <w:rsid w:val="006868AC"/>
    <w:rsid w:val="006870E8"/>
    <w:rsid w:val="00687A4A"/>
    <w:rsid w:val="00687A91"/>
    <w:rsid w:val="00687ACC"/>
    <w:rsid w:val="00687FCC"/>
    <w:rsid w:val="006902D0"/>
    <w:rsid w:val="006907FD"/>
    <w:rsid w:val="00690A38"/>
    <w:rsid w:val="00690A8B"/>
    <w:rsid w:val="00690C72"/>
    <w:rsid w:val="00690D06"/>
    <w:rsid w:val="00690D61"/>
    <w:rsid w:val="0069136B"/>
    <w:rsid w:val="00691380"/>
    <w:rsid w:val="00691394"/>
    <w:rsid w:val="006914B0"/>
    <w:rsid w:val="0069155B"/>
    <w:rsid w:val="0069156C"/>
    <w:rsid w:val="0069184E"/>
    <w:rsid w:val="00691894"/>
    <w:rsid w:val="006918C0"/>
    <w:rsid w:val="00691A58"/>
    <w:rsid w:val="00691A9F"/>
    <w:rsid w:val="00691E74"/>
    <w:rsid w:val="00692070"/>
    <w:rsid w:val="006920AF"/>
    <w:rsid w:val="006920ED"/>
    <w:rsid w:val="00692147"/>
    <w:rsid w:val="00692200"/>
    <w:rsid w:val="0069227F"/>
    <w:rsid w:val="00692391"/>
    <w:rsid w:val="00692591"/>
    <w:rsid w:val="00692608"/>
    <w:rsid w:val="00692908"/>
    <w:rsid w:val="00692A0E"/>
    <w:rsid w:val="00692AD6"/>
    <w:rsid w:val="00692C9F"/>
    <w:rsid w:val="00692D7A"/>
    <w:rsid w:val="00692F04"/>
    <w:rsid w:val="00692FFB"/>
    <w:rsid w:val="006931A3"/>
    <w:rsid w:val="00693491"/>
    <w:rsid w:val="006938B4"/>
    <w:rsid w:val="00693A82"/>
    <w:rsid w:val="00693F18"/>
    <w:rsid w:val="00694122"/>
    <w:rsid w:val="00694268"/>
    <w:rsid w:val="00694294"/>
    <w:rsid w:val="00694305"/>
    <w:rsid w:val="00694505"/>
    <w:rsid w:val="00694C1E"/>
    <w:rsid w:val="00694D6E"/>
    <w:rsid w:val="00694E2A"/>
    <w:rsid w:val="00694E85"/>
    <w:rsid w:val="0069572F"/>
    <w:rsid w:val="00695A31"/>
    <w:rsid w:val="00695AE0"/>
    <w:rsid w:val="00695B7C"/>
    <w:rsid w:val="00695C79"/>
    <w:rsid w:val="00696224"/>
    <w:rsid w:val="0069624D"/>
    <w:rsid w:val="006962FD"/>
    <w:rsid w:val="006964D9"/>
    <w:rsid w:val="0069664A"/>
    <w:rsid w:val="0069665E"/>
    <w:rsid w:val="006966FD"/>
    <w:rsid w:val="006967DD"/>
    <w:rsid w:val="006969BD"/>
    <w:rsid w:val="00696A55"/>
    <w:rsid w:val="00696B10"/>
    <w:rsid w:val="00696B54"/>
    <w:rsid w:val="00696FC8"/>
    <w:rsid w:val="00697030"/>
    <w:rsid w:val="00697090"/>
    <w:rsid w:val="006970B4"/>
    <w:rsid w:val="00697172"/>
    <w:rsid w:val="006971ED"/>
    <w:rsid w:val="00697238"/>
    <w:rsid w:val="006973A4"/>
    <w:rsid w:val="0069752A"/>
    <w:rsid w:val="006975A9"/>
    <w:rsid w:val="00697A4F"/>
    <w:rsid w:val="00697AAC"/>
    <w:rsid w:val="00697C0E"/>
    <w:rsid w:val="00697C4F"/>
    <w:rsid w:val="00697D66"/>
    <w:rsid w:val="00697FF3"/>
    <w:rsid w:val="006A00AB"/>
    <w:rsid w:val="006A0821"/>
    <w:rsid w:val="006A0D5F"/>
    <w:rsid w:val="006A0E18"/>
    <w:rsid w:val="006A0F48"/>
    <w:rsid w:val="006A0FC6"/>
    <w:rsid w:val="006A0FE9"/>
    <w:rsid w:val="006A1109"/>
    <w:rsid w:val="006A145B"/>
    <w:rsid w:val="006A155A"/>
    <w:rsid w:val="006A1945"/>
    <w:rsid w:val="006A1A3B"/>
    <w:rsid w:val="006A20D3"/>
    <w:rsid w:val="006A2391"/>
    <w:rsid w:val="006A2565"/>
    <w:rsid w:val="006A260D"/>
    <w:rsid w:val="006A2A67"/>
    <w:rsid w:val="006A2B33"/>
    <w:rsid w:val="006A2D13"/>
    <w:rsid w:val="006A2FD1"/>
    <w:rsid w:val="006A30CE"/>
    <w:rsid w:val="006A30EA"/>
    <w:rsid w:val="006A3975"/>
    <w:rsid w:val="006A3DFA"/>
    <w:rsid w:val="006A3FB5"/>
    <w:rsid w:val="006A3FCB"/>
    <w:rsid w:val="006A41C7"/>
    <w:rsid w:val="006A42E0"/>
    <w:rsid w:val="006A4881"/>
    <w:rsid w:val="006A496D"/>
    <w:rsid w:val="006A5060"/>
    <w:rsid w:val="006A5440"/>
    <w:rsid w:val="006A55F2"/>
    <w:rsid w:val="006A58A9"/>
    <w:rsid w:val="006A591C"/>
    <w:rsid w:val="006A5B7F"/>
    <w:rsid w:val="006A5C19"/>
    <w:rsid w:val="006A5DBC"/>
    <w:rsid w:val="006A5DC8"/>
    <w:rsid w:val="006A5DEB"/>
    <w:rsid w:val="006A6118"/>
    <w:rsid w:val="006A68E2"/>
    <w:rsid w:val="006A6990"/>
    <w:rsid w:val="006A6F0F"/>
    <w:rsid w:val="006A7051"/>
    <w:rsid w:val="006B0073"/>
    <w:rsid w:val="006B04DF"/>
    <w:rsid w:val="006B0693"/>
    <w:rsid w:val="006B08D7"/>
    <w:rsid w:val="006B0B7B"/>
    <w:rsid w:val="006B0CBF"/>
    <w:rsid w:val="006B1026"/>
    <w:rsid w:val="006B11CA"/>
    <w:rsid w:val="006B123A"/>
    <w:rsid w:val="006B1302"/>
    <w:rsid w:val="006B136D"/>
    <w:rsid w:val="006B1460"/>
    <w:rsid w:val="006B185F"/>
    <w:rsid w:val="006B1B5D"/>
    <w:rsid w:val="006B1B98"/>
    <w:rsid w:val="006B2847"/>
    <w:rsid w:val="006B2851"/>
    <w:rsid w:val="006B32BB"/>
    <w:rsid w:val="006B3893"/>
    <w:rsid w:val="006B38BA"/>
    <w:rsid w:val="006B3E59"/>
    <w:rsid w:val="006B40A8"/>
    <w:rsid w:val="006B4B45"/>
    <w:rsid w:val="006B4DD5"/>
    <w:rsid w:val="006B5204"/>
    <w:rsid w:val="006B532D"/>
    <w:rsid w:val="006B5464"/>
    <w:rsid w:val="006B5790"/>
    <w:rsid w:val="006B58FE"/>
    <w:rsid w:val="006B5CC5"/>
    <w:rsid w:val="006B5E2D"/>
    <w:rsid w:val="006B5E64"/>
    <w:rsid w:val="006B5E8A"/>
    <w:rsid w:val="006B5EF0"/>
    <w:rsid w:val="006B6182"/>
    <w:rsid w:val="006B6A6B"/>
    <w:rsid w:val="006B6BC1"/>
    <w:rsid w:val="006B6D3E"/>
    <w:rsid w:val="006B6E53"/>
    <w:rsid w:val="006B6FC0"/>
    <w:rsid w:val="006B7336"/>
    <w:rsid w:val="006B73EE"/>
    <w:rsid w:val="006B7803"/>
    <w:rsid w:val="006C014B"/>
    <w:rsid w:val="006C02E4"/>
    <w:rsid w:val="006C04E9"/>
    <w:rsid w:val="006C0618"/>
    <w:rsid w:val="006C0813"/>
    <w:rsid w:val="006C08A4"/>
    <w:rsid w:val="006C08E9"/>
    <w:rsid w:val="006C08F6"/>
    <w:rsid w:val="006C090C"/>
    <w:rsid w:val="006C0D04"/>
    <w:rsid w:val="006C0DDC"/>
    <w:rsid w:val="006C1058"/>
    <w:rsid w:val="006C12FB"/>
    <w:rsid w:val="006C17B3"/>
    <w:rsid w:val="006C191A"/>
    <w:rsid w:val="006C1962"/>
    <w:rsid w:val="006C1A3D"/>
    <w:rsid w:val="006C1A7E"/>
    <w:rsid w:val="006C1D48"/>
    <w:rsid w:val="006C1DA7"/>
    <w:rsid w:val="006C1DB4"/>
    <w:rsid w:val="006C1F43"/>
    <w:rsid w:val="006C1F5F"/>
    <w:rsid w:val="006C20C3"/>
    <w:rsid w:val="006C2226"/>
    <w:rsid w:val="006C2436"/>
    <w:rsid w:val="006C25B9"/>
    <w:rsid w:val="006C2601"/>
    <w:rsid w:val="006C270D"/>
    <w:rsid w:val="006C27E6"/>
    <w:rsid w:val="006C2A18"/>
    <w:rsid w:val="006C2A8D"/>
    <w:rsid w:val="006C2BB1"/>
    <w:rsid w:val="006C30FE"/>
    <w:rsid w:val="006C32D0"/>
    <w:rsid w:val="006C3384"/>
    <w:rsid w:val="006C33ED"/>
    <w:rsid w:val="006C3422"/>
    <w:rsid w:val="006C347B"/>
    <w:rsid w:val="006C366D"/>
    <w:rsid w:val="006C3E97"/>
    <w:rsid w:val="006C3F13"/>
    <w:rsid w:val="006C3F8A"/>
    <w:rsid w:val="006C409C"/>
    <w:rsid w:val="006C41C2"/>
    <w:rsid w:val="006C4223"/>
    <w:rsid w:val="006C42A8"/>
    <w:rsid w:val="006C44FD"/>
    <w:rsid w:val="006C48C4"/>
    <w:rsid w:val="006C4C56"/>
    <w:rsid w:val="006C4F97"/>
    <w:rsid w:val="006C50DA"/>
    <w:rsid w:val="006C5233"/>
    <w:rsid w:val="006C5317"/>
    <w:rsid w:val="006C55DB"/>
    <w:rsid w:val="006C5B30"/>
    <w:rsid w:val="006C5CE7"/>
    <w:rsid w:val="006C5D6D"/>
    <w:rsid w:val="006C651A"/>
    <w:rsid w:val="006C66B1"/>
    <w:rsid w:val="006C6721"/>
    <w:rsid w:val="006C672F"/>
    <w:rsid w:val="006C67B4"/>
    <w:rsid w:val="006C6A0A"/>
    <w:rsid w:val="006C6BA0"/>
    <w:rsid w:val="006C6BFB"/>
    <w:rsid w:val="006C7372"/>
    <w:rsid w:val="006C73B7"/>
    <w:rsid w:val="006C764D"/>
    <w:rsid w:val="006C7C3D"/>
    <w:rsid w:val="006C7F3D"/>
    <w:rsid w:val="006C7F67"/>
    <w:rsid w:val="006C7FA4"/>
    <w:rsid w:val="006D005A"/>
    <w:rsid w:val="006D04DA"/>
    <w:rsid w:val="006D078D"/>
    <w:rsid w:val="006D081F"/>
    <w:rsid w:val="006D0A0B"/>
    <w:rsid w:val="006D0B07"/>
    <w:rsid w:val="006D0E6D"/>
    <w:rsid w:val="006D0F29"/>
    <w:rsid w:val="006D14F6"/>
    <w:rsid w:val="006D1A87"/>
    <w:rsid w:val="006D1D7B"/>
    <w:rsid w:val="006D1EF3"/>
    <w:rsid w:val="006D204A"/>
    <w:rsid w:val="006D216B"/>
    <w:rsid w:val="006D2176"/>
    <w:rsid w:val="006D237F"/>
    <w:rsid w:val="006D2567"/>
    <w:rsid w:val="006D260C"/>
    <w:rsid w:val="006D274B"/>
    <w:rsid w:val="006D28CC"/>
    <w:rsid w:val="006D28F5"/>
    <w:rsid w:val="006D2EE0"/>
    <w:rsid w:val="006D312D"/>
    <w:rsid w:val="006D3472"/>
    <w:rsid w:val="006D350E"/>
    <w:rsid w:val="006D3685"/>
    <w:rsid w:val="006D3CB8"/>
    <w:rsid w:val="006D3CF1"/>
    <w:rsid w:val="006D3CFA"/>
    <w:rsid w:val="006D3DFF"/>
    <w:rsid w:val="006D3E5B"/>
    <w:rsid w:val="006D3F14"/>
    <w:rsid w:val="006D4207"/>
    <w:rsid w:val="006D430D"/>
    <w:rsid w:val="006D4333"/>
    <w:rsid w:val="006D43B4"/>
    <w:rsid w:val="006D43BA"/>
    <w:rsid w:val="006D45F1"/>
    <w:rsid w:val="006D4635"/>
    <w:rsid w:val="006D4813"/>
    <w:rsid w:val="006D49FC"/>
    <w:rsid w:val="006D55B6"/>
    <w:rsid w:val="006D58D9"/>
    <w:rsid w:val="006D5983"/>
    <w:rsid w:val="006D5A82"/>
    <w:rsid w:val="006D5B37"/>
    <w:rsid w:val="006D6142"/>
    <w:rsid w:val="006D61AC"/>
    <w:rsid w:val="006D61F2"/>
    <w:rsid w:val="006D6380"/>
    <w:rsid w:val="006D6580"/>
    <w:rsid w:val="006D65F4"/>
    <w:rsid w:val="006D68C8"/>
    <w:rsid w:val="006D6BC1"/>
    <w:rsid w:val="006D6FED"/>
    <w:rsid w:val="006D722B"/>
    <w:rsid w:val="006D7928"/>
    <w:rsid w:val="006D7966"/>
    <w:rsid w:val="006D7C31"/>
    <w:rsid w:val="006E02FF"/>
    <w:rsid w:val="006E0323"/>
    <w:rsid w:val="006E03FF"/>
    <w:rsid w:val="006E0624"/>
    <w:rsid w:val="006E0992"/>
    <w:rsid w:val="006E09EE"/>
    <w:rsid w:val="006E0C84"/>
    <w:rsid w:val="006E11CD"/>
    <w:rsid w:val="006E12FD"/>
    <w:rsid w:val="006E1361"/>
    <w:rsid w:val="006E16EA"/>
    <w:rsid w:val="006E18A5"/>
    <w:rsid w:val="006E199B"/>
    <w:rsid w:val="006E1A58"/>
    <w:rsid w:val="006E1E18"/>
    <w:rsid w:val="006E1EEE"/>
    <w:rsid w:val="006E28C6"/>
    <w:rsid w:val="006E2B0D"/>
    <w:rsid w:val="006E2F0D"/>
    <w:rsid w:val="006E33CB"/>
    <w:rsid w:val="006E33D8"/>
    <w:rsid w:val="006E372B"/>
    <w:rsid w:val="006E3734"/>
    <w:rsid w:val="006E3AFA"/>
    <w:rsid w:val="006E3C3E"/>
    <w:rsid w:val="006E3C8E"/>
    <w:rsid w:val="006E3D77"/>
    <w:rsid w:val="006E3FD1"/>
    <w:rsid w:val="006E4089"/>
    <w:rsid w:val="006E4228"/>
    <w:rsid w:val="006E4377"/>
    <w:rsid w:val="006E4409"/>
    <w:rsid w:val="006E4504"/>
    <w:rsid w:val="006E4740"/>
    <w:rsid w:val="006E476C"/>
    <w:rsid w:val="006E4783"/>
    <w:rsid w:val="006E47C7"/>
    <w:rsid w:val="006E48AD"/>
    <w:rsid w:val="006E4AF2"/>
    <w:rsid w:val="006E556C"/>
    <w:rsid w:val="006E55CD"/>
    <w:rsid w:val="006E5620"/>
    <w:rsid w:val="006E57F5"/>
    <w:rsid w:val="006E5990"/>
    <w:rsid w:val="006E5BEA"/>
    <w:rsid w:val="006E6032"/>
    <w:rsid w:val="006E6106"/>
    <w:rsid w:val="006E617E"/>
    <w:rsid w:val="006E6255"/>
    <w:rsid w:val="006E635F"/>
    <w:rsid w:val="006E644D"/>
    <w:rsid w:val="006E69F1"/>
    <w:rsid w:val="006E69F3"/>
    <w:rsid w:val="006E6B29"/>
    <w:rsid w:val="006E6E98"/>
    <w:rsid w:val="006E6ECB"/>
    <w:rsid w:val="006E7142"/>
    <w:rsid w:val="006E745A"/>
    <w:rsid w:val="006E7538"/>
    <w:rsid w:val="006E774F"/>
    <w:rsid w:val="006E778D"/>
    <w:rsid w:val="006E77E0"/>
    <w:rsid w:val="006E7A20"/>
    <w:rsid w:val="006E7F16"/>
    <w:rsid w:val="006E7F19"/>
    <w:rsid w:val="006F0328"/>
    <w:rsid w:val="006F05B6"/>
    <w:rsid w:val="006F0BEA"/>
    <w:rsid w:val="006F0D32"/>
    <w:rsid w:val="006F0DFB"/>
    <w:rsid w:val="006F0E36"/>
    <w:rsid w:val="006F0FE6"/>
    <w:rsid w:val="006F1160"/>
    <w:rsid w:val="006F1304"/>
    <w:rsid w:val="006F13B9"/>
    <w:rsid w:val="006F1852"/>
    <w:rsid w:val="006F185D"/>
    <w:rsid w:val="006F1CAE"/>
    <w:rsid w:val="006F1D6B"/>
    <w:rsid w:val="006F1E2C"/>
    <w:rsid w:val="006F204E"/>
    <w:rsid w:val="006F20A2"/>
    <w:rsid w:val="006F2301"/>
    <w:rsid w:val="006F24C4"/>
    <w:rsid w:val="006F24E8"/>
    <w:rsid w:val="006F264A"/>
    <w:rsid w:val="006F26A2"/>
    <w:rsid w:val="006F26B6"/>
    <w:rsid w:val="006F2702"/>
    <w:rsid w:val="006F2755"/>
    <w:rsid w:val="006F284A"/>
    <w:rsid w:val="006F296C"/>
    <w:rsid w:val="006F2973"/>
    <w:rsid w:val="006F2F2D"/>
    <w:rsid w:val="006F30C7"/>
    <w:rsid w:val="006F3592"/>
    <w:rsid w:val="006F38A1"/>
    <w:rsid w:val="006F3920"/>
    <w:rsid w:val="006F3D2B"/>
    <w:rsid w:val="006F3F6A"/>
    <w:rsid w:val="006F4276"/>
    <w:rsid w:val="006F432C"/>
    <w:rsid w:val="006F4428"/>
    <w:rsid w:val="006F45D3"/>
    <w:rsid w:val="006F4847"/>
    <w:rsid w:val="006F4A9C"/>
    <w:rsid w:val="006F4AA1"/>
    <w:rsid w:val="006F4AF2"/>
    <w:rsid w:val="006F4B36"/>
    <w:rsid w:val="006F4F23"/>
    <w:rsid w:val="006F52D4"/>
    <w:rsid w:val="006F57A6"/>
    <w:rsid w:val="006F59B7"/>
    <w:rsid w:val="006F5A2E"/>
    <w:rsid w:val="006F60B9"/>
    <w:rsid w:val="006F6351"/>
    <w:rsid w:val="006F6502"/>
    <w:rsid w:val="006F66C2"/>
    <w:rsid w:val="006F6A95"/>
    <w:rsid w:val="006F6A98"/>
    <w:rsid w:val="006F6E05"/>
    <w:rsid w:val="006F6F5C"/>
    <w:rsid w:val="006F7051"/>
    <w:rsid w:val="006F713C"/>
    <w:rsid w:val="006F7378"/>
    <w:rsid w:val="006F738D"/>
    <w:rsid w:val="006F7491"/>
    <w:rsid w:val="006F7696"/>
    <w:rsid w:val="006F7BB2"/>
    <w:rsid w:val="006F7C12"/>
    <w:rsid w:val="00700346"/>
    <w:rsid w:val="00700525"/>
    <w:rsid w:val="007007C6"/>
    <w:rsid w:val="00700896"/>
    <w:rsid w:val="007009F7"/>
    <w:rsid w:val="00700A68"/>
    <w:rsid w:val="00700BB6"/>
    <w:rsid w:val="00700C77"/>
    <w:rsid w:val="00700DB9"/>
    <w:rsid w:val="007016DC"/>
    <w:rsid w:val="007017D7"/>
    <w:rsid w:val="0070196B"/>
    <w:rsid w:val="00701ADD"/>
    <w:rsid w:val="00701B45"/>
    <w:rsid w:val="00701CDE"/>
    <w:rsid w:val="00701DBA"/>
    <w:rsid w:val="00701F39"/>
    <w:rsid w:val="0070210F"/>
    <w:rsid w:val="0070233E"/>
    <w:rsid w:val="00702583"/>
    <w:rsid w:val="0070275B"/>
    <w:rsid w:val="007027D6"/>
    <w:rsid w:val="00702869"/>
    <w:rsid w:val="00702907"/>
    <w:rsid w:val="00702C39"/>
    <w:rsid w:val="007033C1"/>
    <w:rsid w:val="007033CC"/>
    <w:rsid w:val="0070341C"/>
    <w:rsid w:val="00703657"/>
    <w:rsid w:val="007036DC"/>
    <w:rsid w:val="007038C4"/>
    <w:rsid w:val="00703AAF"/>
    <w:rsid w:val="00703B4F"/>
    <w:rsid w:val="00703E5C"/>
    <w:rsid w:val="00704077"/>
    <w:rsid w:val="00704108"/>
    <w:rsid w:val="007041A8"/>
    <w:rsid w:val="007042AE"/>
    <w:rsid w:val="007048AF"/>
    <w:rsid w:val="00704A9F"/>
    <w:rsid w:val="00704AE8"/>
    <w:rsid w:val="00704B6E"/>
    <w:rsid w:val="00704E8B"/>
    <w:rsid w:val="00704F23"/>
    <w:rsid w:val="00705286"/>
    <w:rsid w:val="0070530A"/>
    <w:rsid w:val="007054A7"/>
    <w:rsid w:val="00705682"/>
    <w:rsid w:val="007056B2"/>
    <w:rsid w:val="007057E4"/>
    <w:rsid w:val="00705A8D"/>
    <w:rsid w:val="00705ACD"/>
    <w:rsid w:val="00705C89"/>
    <w:rsid w:val="00705D56"/>
    <w:rsid w:val="00705E61"/>
    <w:rsid w:val="0070634A"/>
    <w:rsid w:val="007063BB"/>
    <w:rsid w:val="00706434"/>
    <w:rsid w:val="007064B5"/>
    <w:rsid w:val="00706523"/>
    <w:rsid w:val="00706A3D"/>
    <w:rsid w:val="00706ECB"/>
    <w:rsid w:val="00706F70"/>
    <w:rsid w:val="00706FFB"/>
    <w:rsid w:val="007071B8"/>
    <w:rsid w:val="007074D7"/>
    <w:rsid w:val="0070773A"/>
    <w:rsid w:val="0070791C"/>
    <w:rsid w:val="007079D2"/>
    <w:rsid w:val="00707BCD"/>
    <w:rsid w:val="00707C18"/>
    <w:rsid w:val="00707D4B"/>
    <w:rsid w:val="00707EF6"/>
    <w:rsid w:val="00707FDD"/>
    <w:rsid w:val="007100C6"/>
    <w:rsid w:val="007101E4"/>
    <w:rsid w:val="0071036E"/>
    <w:rsid w:val="0071045A"/>
    <w:rsid w:val="0071086D"/>
    <w:rsid w:val="0071093B"/>
    <w:rsid w:val="00710A01"/>
    <w:rsid w:val="00710B3D"/>
    <w:rsid w:val="00710BC4"/>
    <w:rsid w:val="00710D3E"/>
    <w:rsid w:val="00710FAD"/>
    <w:rsid w:val="00710FCB"/>
    <w:rsid w:val="00711343"/>
    <w:rsid w:val="007115AF"/>
    <w:rsid w:val="007117FC"/>
    <w:rsid w:val="00711DEF"/>
    <w:rsid w:val="00711E15"/>
    <w:rsid w:val="00711F0D"/>
    <w:rsid w:val="007121E8"/>
    <w:rsid w:val="0071232B"/>
    <w:rsid w:val="00712366"/>
    <w:rsid w:val="00712590"/>
    <w:rsid w:val="007127CF"/>
    <w:rsid w:val="00712C4A"/>
    <w:rsid w:val="00712E43"/>
    <w:rsid w:val="00712ECF"/>
    <w:rsid w:val="00712FD3"/>
    <w:rsid w:val="0071304D"/>
    <w:rsid w:val="00713103"/>
    <w:rsid w:val="00713380"/>
    <w:rsid w:val="00713667"/>
    <w:rsid w:val="007139E9"/>
    <w:rsid w:val="00713A6A"/>
    <w:rsid w:val="00713B94"/>
    <w:rsid w:val="00713E50"/>
    <w:rsid w:val="00713F53"/>
    <w:rsid w:val="0071417A"/>
    <w:rsid w:val="00714292"/>
    <w:rsid w:val="007143C5"/>
    <w:rsid w:val="007143DB"/>
    <w:rsid w:val="00714A96"/>
    <w:rsid w:val="00714AD4"/>
    <w:rsid w:val="00714C45"/>
    <w:rsid w:val="00714D90"/>
    <w:rsid w:val="00714FD0"/>
    <w:rsid w:val="00715019"/>
    <w:rsid w:val="007151CE"/>
    <w:rsid w:val="00715491"/>
    <w:rsid w:val="007154BA"/>
    <w:rsid w:val="007156CD"/>
    <w:rsid w:val="0071591F"/>
    <w:rsid w:val="00715ADD"/>
    <w:rsid w:val="00715B24"/>
    <w:rsid w:val="00715BCD"/>
    <w:rsid w:val="00715CE9"/>
    <w:rsid w:val="0071615D"/>
    <w:rsid w:val="007163F4"/>
    <w:rsid w:val="00716460"/>
    <w:rsid w:val="0071649D"/>
    <w:rsid w:val="007164BC"/>
    <w:rsid w:val="00716534"/>
    <w:rsid w:val="00716626"/>
    <w:rsid w:val="00716741"/>
    <w:rsid w:val="007167CD"/>
    <w:rsid w:val="007169AB"/>
    <w:rsid w:val="007169E5"/>
    <w:rsid w:val="007170B1"/>
    <w:rsid w:val="00717179"/>
    <w:rsid w:val="00717520"/>
    <w:rsid w:val="00717562"/>
    <w:rsid w:val="007177E0"/>
    <w:rsid w:val="00717866"/>
    <w:rsid w:val="00717D60"/>
    <w:rsid w:val="00720409"/>
    <w:rsid w:val="00720AB0"/>
    <w:rsid w:val="00720C84"/>
    <w:rsid w:val="00720CEA"/>
    <w:rsid w:val="00721587"/>
    <w:rsid w:val="007216B7"/>
    <w:rsid w:val="0072185F"/>
    <w:rsid w:val="007218BF"/>
    <w:rsid w:val="00721981"/>
    <w:rsid w:val="0072199E"/>
    <w:rsid w:val="00721BCA"/>
    <w:rsid w:val="00721BCE"/>
    <w:rsid w:val="00721EFA"/>
    <w:rsid w:val="00721F84"/>
    <w:rsid w:val="007220A6"/>
    <w:rsid w:val="007221CD"/>
    <w:rsid w:val="00722554"/>
    <w:rsid w:val="00722593"/>
    <w:rsid w:val="007226C1"/>
    <w:rsid w:val="007228E5"/>
    <w:rsid w:val="00722B4B"/>
    <w:rsid w:val="00722BC0"/>
    <w:rsid w:val="00722CFD"/>
    <w:rsid w:val="00722E33"/>
    <w:rsid w:val="00723118"/>
    <w:rsid w:val="00723515"/>
    <w:rsid w:val="0072392A"/>
    <w:rsid w:val="00723B88"/>
    <w:rsid w:val="00723FD6"/>
    <w:rsid w:val="00724067"/>
    <w:rsid w:val="007240B2"/>
    <w:rsid w:val="007240B3"/>
    <w:rsid w:val="0072443E"/>
    <w:rsid w:val="007247F6"/>
    <w:rsid w:val="0072491C"/>
    <w:rsid w:val="00724BA6"/>
    <w:rsid w:val="00724D23"/>
    <w:rsid w:val="00724F52"/>
    <w:rsid w:val="00725233"/>
    <w:rsid w:val="00725481"/>
    <w:rsid w:val="00725573"/>
    <w:rsid w:val="00725667"/>
    <w:rsid w:val="00725A8E"/>
    <w:rsid w:val="00725C89"/>
    <w:rsid w:val="00725D68"/>
    <w:rsid w:val="00725DC5"/>
    <w:rsid w:val="00725FF8"/>
    <w:rsid w:val="007264FB"/>
    <w:rsid w:val="00726635"/>
    <w:rsid w:val="00726BCE"/>
    <w:rsid w:val="007271E4"/>
    <w:rsid w:val="00727382"/>
    <w:rsid w:val="00727394"/>
    <w:rsid w:val="0072765F"/>
    <w:rsid w:val="00727771"/>
    <w:rsid w:val="007278C9"/>
    <w:rsid w:val="00727AFC"/>
    <w:rsid w:val="00727B26"/>
    <w:rsid w:val="00727C64"/>
    <w:rsid w:val="00727E72"/>
    <w:rsid w:val="00727F02"/>
    <w:rsid w:val="00730274"/>
    <w:rsid w:val="007304B2"/>
    <w:rsid w:val="007306C0"/>
    <w:rsid w:val="007306D0"/>
    <w:rsid w:val="007308B0"/>
    <w:rsid w:val="00730A16"/>
    <w:rsid w:val="00730A54"/>
    <w:rsid w:val="00731163"/>
    <w:rsid w:val="0073138D"/>
    <w:rsid w:val="00731427"/>
    <w:rsid w:val="0073146C"/>
    <w:rsid w:val="007317BF"/>
    <w:rsid w:val="007317FF"/>
    <w:rsid w:val="00731ACA"/>
    <w:rsid w:val="00731C6B"/>
    <w:rsid w:val="00731CFA"/>
    <w:rsid w:val="00731F19"/>
    <w:rsid w:val="00731FD4"/>
    <w:rsid w:val="0073234E"/>
    <w:rsid w:val="00732569"/>
    <w:rsid w:val="007325E0"/>
    <w:rsid w:val="007325FA"/>
    <w:rsid w:val="007326A9"/>
    <w:rsid w:val="007328BC"/>
    <w:rsid w:val="007328ED"/>
    <w:rsid w:val="00732C29"/>
    <w:rsid w:val="00732C98"/>
    <w:rsid w:val="00732DE9"/>
    <w:rsid w:val="00732F9C"/>
    <w:rsid w:val="00732FA1"/>
    <w:rsid w:val="00732FC5"/>
    <w:rsid w:val="00732FCC"/>
    <w:rsid w:val="00732FF4"/>
    <w:rsid w:val="00733071"/>
    <w:rsid w:val="007330DD"/>
    <w:rsid w:val="00733399"/>
    <w:rsid w:val="007334F8"/>
    <w:rsid w:val="007335EA"/>
    <w:rsid w:val="0073371D"/>
    <w:rsid w:val="007337BA"/>
    <w:rsid w:val="0073392C"/>
    <w:rsid w:val="00734513"/>
    <w:rsid w:val="007345D1"/>
    <w:rsid w:val="0073465A"/>
    <w:rsid w:val="0073470A"/>
    <w:rsid w:val="00734948"/>
    <w:rsid w:val="00734B64"/>
    <w:rsid w:val="00734DE9"/>
    <w:rsid w:val="00735399"/>
    <w:rsid w:val="007356F1"/>
    <w:rsid w:val="00735857"/>
    <w:rsid w:val="0073586D"/>
    <w:rsid w:val="00735956"/>
    <w:rsid w:val="00735BA6"/>
    <w:rsid w:val="00735CFC"/>
    <w:rsid w:val="007360C1"/>
    <w:rsid w:val="0073630F"/>
    <w:rsid w:val="00736DA0"/>
    <w:rsid w:val="00736EDE"/>
    <w:rsid w:val="00736FAF"/>
    <w:rsid w:val="00737076"/>
    <w:rsid w:val="007373B9"/>
    <w:rsid w:val="007373C2"/>
    <w:rsid w:val="00737455"/>
    <w:rsid w:val="007375B0"/>
    <w:rsid w:val="00737B53"/>
    <w:rsid w:val="00737C09"/>
    <w:rsid w:val="00737E3B"/>
    <w:rsid w:val="00740085"/>
    <w:rsid w:val="00740133"/>
    <w:rsid w:val="007404F4"/>
    <w:rsid w:val="0074058B"/>
    <w:rsid w:val="00740806"/>
    <w:rsid w:val="00740D7B"/>
    <w:rsid w:val="00740DF9"/>
    <w:rsid w:val="007410A9"/>
    <w:rsid w:val="007413D7"/>
    <w:rsid w:val="00741766"/>
    <w:rsid w:val="007417B4"/>
    <w:rsid w:val="00741A8A"/>
    <w:rsid w:val="00741ABF"/>
    <w:rsid w:val="00741AC4"/>
    <w:rsid w:val="00741F03"/>
    <w:rsid w:val="00741FBD"/>
    <w:rsid w:val="007420A4"/>
    <w:rsid w:val="00742230"/>
    <w:rsid w:val="007422C3"/>
    <w:rsid w:val="00742312"/>
    <w:rsid w:val="00742398"/>
    <w:rsid w:val="007423FF"/>
    <w:rsid w:val="0074245B"/>
    <w:rsid w:val="007428F3"/>
    <w:rsid w:val="00742A73"/>
    <w:rsid w:val="00742D5A"/>
    <w:rsid w:val="0074313F"/>
    <w:rsid w:val="00743602"/>
    <w:rsid w:val="007439C2"/>
    <w:rsid w:val="00743B65"/>
    <w:rsid w:val="00743DE1"/>
    <w:rsid w:val="00743E63"/>
    <w:rsid w:val="00743EC6"/>
    <w:rsid w:val="007441BE"/>
    <w:rsid w:val="00744623"/>
    <w:rsid w:val="00744AD2"/>
    <w:rsid w:val="00744B55"/>
    <w:rsid w:val="00744C2E"/>
    <w:rsid w:val="00744C71"/>
    <w:rsid w:val="00744E4B"/>
    <w:rsid w:val="00744EB4"/>
    <w:rsid w:val="00745463"/>
    <w:rsid w:val="00745549"/>
    <w:rsid w:val="00745645"/>
    <w:rsid w:val="007457A5"/>
    <w:rsid w:val="007458E2"/>
    <w:rsid w:val="00745AAC"/>
    <w:rsid w:val="00745AC1"/>
    <w:rsid w:val="00745BB4"/>
    <w:rsid w:val="007462BE"/>
    <w:rsid w:val="00746303"/>
    <w:rsid w:val="00746325"/>
    <w:rsid w:val="007463AF"/>
    <w:rsid w:val="007463E8"/>
    <w:rsid w:val="0074644B"/>
    <w:rsid w:val="00746458"/>
    <w:rsid w:val="00746563"/>
    <w:rsid w:val="00746D72"/>
    <w:rsid w:val="00746E66"/>
    <w:rsid w:val="007471ED"/>
    <w:rsid w:val="0074725C"/>
    <w:rsid w:val="007472D6"/>
    <w:rsid w:val="0074755B"/>
    <w:rsid w:val="007476CB"/>
    <w:rsid w:val="0074772A"/>
    <w:rsid w:val="007477F4"/>
    <w:rsid w:val="00747D70"/>
    <w:rsid w:val="00747DD9"/>
    <w:rsid w:val="00747E5E"/>
    <w:rsid w:val="00747EDF"/>
    <w:rsid w:val="0075025D"/>
    <w:rsid w:val="007502E1"/>
    <w:rsid w:val="00750372"/>
    <w:rsid w:val="0075080D"/>
    <w:rsid w:val="00750847"/>
    <w:rsid w:val="007509B3"/>
    <w:rsid w:val="007509B9"/>
    <w:rsid w:val="00751025"/>
    <w:rsid w:val="007510B6"/>
    <w:rsid w:val="0075116C"/>
    <w:rsid w:val="00751264"/>
    <w:rsid w:val="00751277"/>
    <w:rsid w:val="0075138C"/>
    <w:rsid w:val="007513EF"/>
    <w:rsid w:val="00751400"/>
    <w:rsid w:val="0075149B"/>
    <w:rsid w:val="0075161A"/>
    <w:rsid w:val="007517A4"/>
    <w:rsid w:val="00751924"/>
    <w:rsid w:val="007519DC"/>
    <w:rsid w:val="00751B23"/>
    <w:rsid w:val="00751B8A"/>
    <w:rsid w:val="00751F92"/>
    <w:rsid w:val="0075215E"/>
    <w:rsid w:val="00752334"/>
    <w:rsid w:val="007523B9"/>
    <w:rsid w:val="007523DC"/>
    <w:rsid w:val="00752AB2"/>
    <w:rsid w:val="00753370"/>
    <w:rsid w:val="00753586"/>
    <w:rsid w:val="007537F3"/>
    <w:rsid w:val="00753FBA"/>
    <w:rsid w:val="007540BA"/>
    <w:rsid w:val="00754586"/>
    <w:rsid w:val="007546B7"/>
    <w:rsid w:val="007547AF"/>
    <w:rsid w:val="007547F5"/>
    <w:rsid w:val="007549C4"/>
    <w:rsid w:val="00754BE0"/>
    <w:rsid w:val="00754C14"/>
    <w:rsid w:val="00754C19"/>
    <w:rsid w:val="00754CAC"/>
    <w:rsid w:val="007550F1"/>
    <w:rsid w:val="0075529B"/>
    <w:rsid w:val="007554EF"/>
    <w:rsid w:val="00755A4B"/>
    <w:rsid w:val="00755AA9"/>
    <w:rsid w:val="00755B15"/>
    <w:rsid w:val="00755B16"/>
    <w:rsid w:val="00755CB9"/>
    <w:rsid w:val="00756029"/>
    <w:rsid w:val="007562FC"/>
    <w:rsid w:val="00756382"/>
    <w:rsid w:val="00756580"/>
    <w:rsid w:val="007566AD"/>
    <w:rsid w:val="00756A32"/>
    <w:rsid w:val="00756BC1"/>
    <w:rsid w:val="00756C56"/>
    <w:rsid w:val="00756CE5"/>
    <w:rsid w:val="00756E4A"/>
    <w:rsid w:val="007570D0"/>
    <w:rsid w:val="00757407"/>
    <w:rsid w:val="00757536"/>
    <w:rsid w:val="00757C14"/>
    <w:rsid w:val="00757D38"/>
    <w:rsid w:val="00757FA3"/>
    <w:rsid w:val="007608A4"/>
    <w:rsid w:val="00760B13"/>
    <w:rsid w:val="00760C61"/>
    <w:rsid w:val="00760CEF"/>
    <w:rsid w:val="00761170"/>
    <w:rsid w:val="0076148C"/>
    <w:rsid w:val="007616E7"/>
    <w:rsid w:val="007618F5"/>
    <w:rsid w:val="00761BE1"/>
    <w:rsid w:val="007624DC"/>
    <w:rsid w:val="007627F8"/>
    <w:rsid w:val="00762958"/>
    <w:rsid w:val="00762988"/>
    <w:rsid w:val="00762C2B"/>
    <w:rsid w:val="00762E7D"/>
    <w:rsid w:val="00762F8A"/>
    <w:rsid w:val="00762FDC"/>
    <w:rsid w:val="00763209"/>
    <w:rsid w:val="007632BD"/>
    <w:rsid w:val="0076358E"/>
    <w:rsid w:val="007635BC"/>
    <w:rsid w:val="007639F3"/>
    <w:rsid w:val="00763A00"/>
    <w:rsid w:val="00763AED"/>
    <w:rsid w:val="00763B89"/>
    <w:rsid w:val="007644DB"/>
    <w:rsid w:val="007645B0"/>
    <w:rsid w:val="00764717"/>
    <w:rsid w:val="00764DE7"/>
    <w:rsid w:val="00765328"/>
    <w:rsid w:val="0076566E"/>
    <w:rsid w:val="00765CE9"/>
    <w:rsid w:val="00765F0B"/>
    <w:rsid w:val="0076609E"/>
    <w:rsid w:val="00766E04"/>
    <w:rsid w:val="0076776C"/>
    <w:rsid w:val="007677C4"/>
    <w:rsid w:val="007678DA"/>
    <w:rsid w:val="007700FE"/>
    <w:rsid w:val="0077016F"/>
    <w:rsid w:val="007705D1"/>
    <w:rsid w:val="00770683"/>
    <w:rsid w:val="00770856"/>
    <w:rsid w:val="00770A02"/>
    <w:rsid w:val="00770A59"/>
    <w:rsid w:val="00770C0B"/>
    <w:rsid w:val="00770D0C"/>
    <w:rsid w:val="00770E85"/>
    <w:rsid w:val="00770FAE"/>
    <w:rsid w:val="007711DD"/>
    <w:rsid w:val="007714FE"/>
    <w:rsid w:val="00771674"/>
    <w:rsid w:val="00771A12"/>
    <w:rsid w:val="00771B9B"/>
    <w:rsid w:val="00771C26"/>
    <w:rsid w:val="00771E26"/>
    <w:rsid w:val="0077262B"/>
    <w:rsid w:val="00772D26"/>
    <w:rsid w:val="00773701"/>
    <w:rsid w:val="0077372B"/>
    <w:rsid w:val="00773A6C"/>
    <w:rsid w:val="00773A84"/>
    <w:rsid w:val="00773EFE"/>
    <w:rsid w:val="0077426B"/>
    <w:rsid w:val="007742FC"/>
    <w:rsid w:val="0077444B"/>
    <w:rsid w:val="00774514"/>
    <w:rsid w:val="00774632"/>
    <w:rsid w:val="00774667"/>
    <w:rsid w:val="00774861"/>
    <w:rsid w:val="007748FB"/>
    <w:rsid w:val="00774A20"/>
    <w:rsid w:val="00774A70"/>
    <w:rsid w:val="00774D26"/>
    <w:rsid w:val="00774D83"/>
    <w:rsid w:val="00774EBA"/>
    <w:rsid w:val="00775088"/>
    <w:rsid w:val="007752B1"/>
    <w:rsid w:val="007753A5"/>
    <w:rsid w:val="0077546C"/>
    <w:rsid w:val="00775488"/>
    <w:rsid w:val="00775548"/>
    <w:rsid w:val="007755A4"/>
    <w:rsid w:val="007755E2"/>
    <w:rsid w:val="0077567E"/>
    <w:rsid w:val="007758E1"/>
    <w:rsid w:val="00775A20"/>
    <w:rsid w:val="00775B8C"/>
    <w:rsid w:val="00775C1A"/>
    <w:rsid w:val="00775C84"/>
    <w:rsid w:val="00775FCA"/>
    <w:rsid w:val="0077606C"/>
    <w:rsid w:val="007760DF"/>
    <w:rsid w:val="00776460"/>
    <w:rsid w:val="00776527"/>
    <w:rsid w:val="00776530"/>
    <w:rsid w:val="00776905"/>
    <w:rsid w:val="00776A60"/>
    <w:rsid w:val="00776C6A"/>
    <w:rsid w:val="00776F17"/>
    <w:rsid w:val="00776F7C"/>
    <w:rsid w:val="007770A7"/>
    <w:rsid w:val="007770AC"/>
    <w:rsid w:val="007773F9"/>
    <w:rsid w:val="00777447"/>
    <w:rsid w:val="00777451"/>
    <w:rsid w:val="00777887"/>
    <w:rsid w:val="007778BE"/>
    <w:rsid w:val="007779D5"/>
    <w:rsid w:val="00777B7D"/>
    <w:rsid w:val="00777C86"/>
    <w:rsid w:val="00777D71"/>
    <w:rsid w:val="00777E96"/>
    <w:rsid w:val="00777EDA"/>
    <w:rsid w:val="00777F9A"/>
    <w:rsid w:val="00780155"/>
    <w:rsid w:val="0078065C"/>
    <w:rsid w:val="00780F0B"/>
    <w:rsid w:val="00780F45"/>
    <w:rsid w:val="007810C5"/>
    <w:rsid w:val="00781132"/>
    <w:rsid w:val="00781593"/>
    <w:rsid w:val="007815CB"/>
    <w:rsid w:val="00781A9F"/>
    <w:rsid w:val="00781AB4"/>
    <w:rsid w:val="00781CDA"/>
    <w:rsid w:val="00781F17"/>
    <w:rsid w:val="00781F69"/>
    <w:rsid w:val="00781FAB"/>
    <w:rsid w:val="00782058"/>
    <w:rsid w:val="0078234A"/>
    <w:rsid w:val="007823A9"/>
    <w:rsid w:val="007827F7"/>
    <w:rsid w:val="00783140"/>
    <w:rsid w:val="007835FB"/>
    <w:rsid w:val="00783921"/>
    <w:rsid w:val="0078397A"/>
    <w:rsid w:val="00783A91"/>
    <w:rsid w:val="00783C53"/>
    <w:rsid w:val="00783C83"/>
    <w:rsid w:val="00783F98"/>
    <w:rsid w:val="00783FA2"/>
    <w:rsid w:val="007843F7"/>
    <w:rsid w:val="00784490"/>
    <w:rsid w:val="007844C3"/>
    <w:rsid w:val="0078459C"/>
    <w:rsid w:val="007845DF"/>
    <w:rsid w:val="00784698"/>
    <w:rsid w:val="0078479C"/>
    <w:rsid w:val="00784A19"/>
    <w:rsid w:val="00784BAC"/>
    <w:rsid w:val="00784BB3"/>
    <w:rsid w:val="00784E55"/>
    <w:rsid w:val="007851C8"/>
    <w:rsid w:val="0078527B"/>
    <w:rsid w:val="007859BA"/>
    <w:rsid w:val="00785A19"/>
    <w:rsid w:val="00785C38"/>
    <w:rsid w:val="00785D00"/>
    <w:rsid w:val="00785D4C"/>
    <w:rsid w:val="00785EA9"/>
    <w:rsid w:val="00786035"/>
    <w:rsid w:val="007861B2"/>
    <w:rsid w:val="00786231"/>
    <w:rsid w:val="00786319"/>
    <w:rsid w:val="0078635D"/>
    <w:rsid w:val="0078672A"/>
    <w:rsid w:val="00786760"/>
    <w:rsid w:val="00786A94"/>
    <w:rsid w:val="00786EF6"/>
    <w:rsid w:val="00786F00"/>
    <w:rsid w:val="00786FE9"/>
    <w:rsid w:val="00787101"/>
    <w:rsid w:val="007872C4"/>
    <w:rsid w:val="00787353"/>
    <w:rsid w:val="00787593"/>
    <w:rsid w:val="007879AE"/>
    <w:rsid w:val="007879C2"/>
    <w:rsid w:val="00787AE7"/>
    <w:rsid w:val="0079038E"/>
    <w:rsid w:val="00790585"/>
    <w:rsid w:val="007905C4"/>
    <w:rsid w:val="00790605"/>
    <w:rsid w:val="00790A19"/>
    <w:rsid w:val="00790D01"/>
    <w:rsid w:val="00790DA9"/>
    <w:rsid w:val="00790DE4"/>
    <w:rsid w:val="00790EBB"/>
    <w:rsid w:val="0079143A"/>
    <w:rsid w:val="00791792"/>
    <w:rsid w:val="00791991"/>
    <w:rsid w:val="00791A70"/>
    <w:rsid w:val="00791F4A"/>
    <w:rsid w:val="0079209F"/>
    <w:rsid w:val="007923C9"/>
    <w:rsid w:val="00792753"/>
    <w:rsid w:val="00792890"/>
    <w:rsid w:val="00792954"/>
    <w:rsid w:val="00792A05"/>
    <w:rsid w:val="00792A59"/>
    <w:rsid w:val="00792C0D"/>
    <w:rsid w:val="007933DA"/>
    <w:rsid w:val="00793596"/>
    <w:rsid w:val="007938FE"/>
    <w:rsid w:val="00793D5C"/>
    <w:rsid w:val="00793F6A"/>
    <w:rsid w:val="00793F95"/>
    <w:rsid w:val="0079425A"/>
    <w:rsid w:val="0079452F"/>
    <w:rsid w:val="00794822"/>
    <w:rsid w:val="007948CB"/>
    <w:rsid w:val="00794C10"/>
    <w:rsid w:val="0079513F"/>
    <w:rsid w:val="00795236"/>
    <w:rsid w:val="00795536"/>
    <w:rsid w:val="00795683"/>
    <w:rsid w:val="0079571A"/>
    <w:rsid w:val="007957E5"/>
    <w:rsid w:val="00795BC0"/>
    <w:rsid w:val="00795EA0"/>
    <w:rsid w:val="00795EFA"/>
    <w:rsid w:val="007960F8"/>
    <w:rsid w:val="00796301"/>
    <w:rsid w:val="00796928"/>
    <w:rsid w:val="0079696C"/>
    <w:rsid w:val="00796E8F"/>
    <w:rsid w:val="0079701A"/>
    <w:rsid w:val="007973F2"/>
    <w:rsid w:val="007975FB"/>
    <w:rsid w:val="007977A2"/>
    <w:rsid w:val="007A0153"/>
    <w:rsid w:val="007A066D"/>
    <w:rsid w:val="007A08D4"/>
    <w:rsid w:val="007A0EF2"/>
    <w:rsid w:val="007A0F54"/>
    <w:rsid w:val="007A0F72"/>
    <w:rsid w:val="007A0FE2"/>
    <w:rsid w:val="007A10DB"/>
    <w:rsid w:val="007A15AA"/>
    <w:rsid w:val="007A164B"/>
    <w:rsid w:val="007A1842"/>
    <w:rsid w:val="007A18BD"/>
    <w:rsid w:val="007A19B5"/>
    <w:rsid w:val="007A19D0"/>
    <w:rsid w:val="007A1BB0"/>
    <w:rsid w:val="007A1E34"/>
    <w:rsid w:val="007A1EC0"/>
    <w:rsid w:val="007A1F47"/>
    <w:rsid w:val="007A1F9A"/>
    <w:rsid w:val="007A226D"/>
    <w:rsid w:val="007A230A"/>
    <w:rsid w:val="007A24FD"/>
    <w:rsid w:val="007A2A57"/>
    <w:rsid w:val="007A2C34"/>
    <w:rsid w:val="007A2CCE"/>
    <w:rsid w:val="007A320C"/>
    <w:rsid w:val="007A3227"/>
    <w:rsid w:val="007A3281"/>
    <w:rsid w:val="007A339C"/>
    <w:rsid w:val="007A345B"/>
    <w:rsid w:val="007A34BD"/>
    <w:rsid w:val="007A3C3C"/>
    <w:rsid w:val="007A3D1E"/>
    <w:rsid w:val="007A3F6B"/>
    <w:rsid w:val="007A41B9"/>
    <w:rsid w:val="007A42AE"/>
    <w:rsid w:val="007A4558"/>
    <w:rsid w:val="007A4C85"/>
    <w:rsid w:val="007A4E36"/>
    <w:rsid w:val="007A4E8B"/>
    <w:rsid w:val="007A4FAC"/>
    <w:rsid w:val="007A4FEA"/>
    <w:rsid w:val="007A576D"/>
    <w:rsid w:val="007A57D6"/>
    <w:rsid w:val="007A5847"/>
    <w:rsid w:val="007A5883"/>
    <w:rsid w:val="007A590F"/>
    <w:rsid w:val="007A5B53"/>
    <w:rsid w:val="007A5C59"/>
    <w:rsid w:val="007A63F4"/>
    <w:rsid w:val="007A6432"/>
    <w:rsid w:val="007A6555"/>
    <w:rsid w:val="007A6657"/>
    <w:rsid w:val="007A6A52"/>
    <w:rsid w:val="007A6A83"/>
    <w:rsid w:val="007A6CE1"/>
    <w:rsid w:val="007A6E28"/>
    <w:rsid w:val="007A6E40"/>
    <w:rsid w:val="007A720D"/>
    <w:rsid w:val="007A73EC"/>
    <w:rsid w:val="007A7551"/>
    <w:rsid w:val="007A7619"/>
    <w:rsid w:val="007A7814"/>
    <w:rsid w:val="007A7929"/>
    <w:rsid w:val="007A7ABB"/>
    <w:rsid w:val="007A7B12"/>
    <w:rsid w:val="007A7B1E"/>
    <w:rsid w:val="007A7DA0"/>
    <w:rsid w:val="007B0175"/>
    <w:rsid w:val="007B07AA"/>
    <w:rsid w:val="007B0861"/>
    <w:rsid w:val="007B091D"/>
    <w:rsid w:val="007B0AD6"/>
    <w:rsid w:val="007B0D89"/>
    <w:rsid w:val="007B1183"/>
    <w:rsid w:val="007B11B3"/>
    <w:rsid w:val="007B12B3"/>
    <w:rsid w:val="007B1BDD"/>
    <w:rsid w:val="007B1C34"/>
    <w:rsid w:val="007B1CE6"/>
    <w:rsid w:val="007B1E85"/>
    <w:rsid w:val="007B1E9E"/>
    <w:rsid w:val="007B213D"/>
    <w:rsid w:val="007B291F"/>
    <w:rsid w:val="007B2B6F"/>
    <w:rsid w:val="007B2CFD"/>
    <w:rsid w:val="007B3258"/>
    <w:rsid w:val="007B330E"/>
    <w:rsid w:val="007B3600"/>
    <w:rsid w:val="007B36B8"/>
    <w:rsid w:val="007B3ACD"/>
    <w:rsid w:val="007B3B58"/>
    <w:rsid w:val="007B3B60"/>
    <w:rsid w:val="007B3C2D"/>
    <w:rsid w:val="007B3E3C"/>
    <w:rsid w:val="007B49D1"/>
    <w:rsid w:val="007B49E0"/>
    <w:rsid w:val="007B4C01"/>
    <w:rsid w:val="007B4CE4"/>
    <w:rsid w:val="007B4EB8"/>
    <w:rsid w:val="007B52F5"/>
    <w:rsid w:val="007B534D"/>
    <w:rsid w:val="007B54F0"/>
    <w:rsid w:val="007B5C71"/>
    <w:rsid w:val="007B5CA0"/>
    <w:rsid w:val="007B5E0E"/>
    <w:rsid w:val="007B612B"/>
    <w:rsid w:val="007B6563"/>
    <w:rsid w:val="007B69A6"/>
    <w:rsid w:val="007B6A16"/>
    <w:rsid w:val="007B6B47"/>
    <w:rsid w:val="007B6CE2"/>
    <w:rsid w:val="007B6CE3"/>
    <w:rsid w:val="007B6CF8"/>
    <w:rsid w:val="007B6FA3"/>
    <w:rsid w:val="007B6FAB"/>
    <w:rsid w:val="007B7144"/>
    <w:rsid w:val="007B7599"/>
    <w:rsid w:val="007B7613"/>
    <w:rsid w:val="007B79C0"/>
    <w:rsid w:val="007B7A1F"/>
    <w:rsid w:val="007B7BC0"/>
    <w:rsid w:val="007C0058"/>
    <w:rsid w:val="007C00BE"/>
    <w:rsid w:val="007C0359"/>
    <w:rsid w:val="007C09F4"/>
    <w:rsid w:val="007C1024"/>
    <w:rsid w:val="007C13B5"/>
    <w:rsid w:val="007C14FE"/>
    <w:rsid w:val="007C154D"/>
    <w:rsid w:val="007C179A"/>
    <w:rsid w:val="007C1899"/>
    <w:rsid w:val="007C19B3"/>
    <w:rsid w:val="007C1B44"/>
    <w:rsid w:val="007C1D7C"/>
    <w:rsid w:val="007C1EB2"/>
    <w:rsid w:val="007C1FDE"/>
    <w:rsid w:val="007C2772"/>
    <w:rsid w:val="007C28E3"/>
    <w:rsid w:val="007C28F7"/>
    <w:rsid w:val="007C2A27"/>
    <w:rsid w:val="007C31CA"/>
    <w:rsid w:val="007C33D4"/>
    <w:rsid w:val="007C36E6"/>
    <w:rsid w:val="007C382E"/>
    <w:rsid w:val="007C3DC7"/>
    <w:rsid w:val="007C3EA8"/>
    <w:rsid w:val="007C3F7C"/>
    <w:rsid w:val="007C4037"/>
    <w:rsid w:val="007C4039"/>
    <w:rsid w:val="007C404E"/>
    <w:rsid w:val="007C4210"/>
    <w:rsid w:val="007C43C2"/>
    <w:rsid w:val="007C43CB"/>
    <w:rsid w:val="007C46CE"/>
    <w:rsid w:val="007C4756"/>
    <w:rsid w:val="007C47F3"/>
    <w:rsid w:val="007C4817"/>
    <w:rsid w:val="007C4AE9"/>
    <w:rsid w:val="007C4C46"/>
    <w:rsid w:val="007C4E58"/>
    <w:rsid w:val="007C4EB0"/>
    <w:rsid w:val="007C521C"/>
    <w:rsid w:val="007C5878"/>
    <w:rsid w:val="007C5CAE"/>
    <w:rsid w:val="007C5E9D"/>
    <w:rsid w:val="007C626A"/>
    <w:rsid w:val="007C6525"/>
    <w:rsid w:val="007C6627"/>
    <w:rsid w:val="007C68BE"/>
    <w:rsid w:val="007C6902"/>
    <w:rsid w:val="007C697E"/>
    <w:rsid w:val="007C74F5"/>
    <w:rsid w:val="007C7BCE"/>
    <w:rsid w:val="007D005D"/>
    <w:rsid w:val="007D014D"/>
    <w:rsid w:val="007D0683"/>
    <w:rsid w:val="007D06B0"/>
    <w:rsid w:val="007D072A"/>
    <w:rsid w:val="007D07BE"/>
    <w:rsid w:val="007D088F"/>
    <w:rsid w:val="007D093A"/>
    <w:rsid w:val="007D0A4A"/>
    <w:rsid w:val="007D0A93"/>
    <w:rsid w:val="007D0B50"/>
    <w:rsid w:val="007D0EF3"/>
    <w:rsid w:val="007D127E"/>
    <w:rsid w:val="007D18A3"/>
    <w:rsid w:val="007D1B56"/>
    <w:rsid w:val="007D1C19"/>
    <w:rsid w:val="007D1F37"/>
    <w:rsid w:val="007D20BD"/>
    <w:rsid w:val="007D224A"/>
    <w:rsid w:val="007D2286"/>
    <w:rsid w:val="007D25C5"/>
    <w:rsid w:val="007D264E"/>
    <w:rsid w:val="007D266D"/>
    <w:rsid w:val="007D28E4"/>
    <w:rsid w:val="007D2A5C"/>
    <w:rsid w:val="007D2F85"/>
    <w:rsid w:val="007D2FB0"/>
    <w:rsid w:val="007D315B"/>
    <w:rsid w:val="007D3221"/>
    <w:rsid w:val="007D363E"/>
    <w:rsid w:val="007D37A0"/>
    <w:rsid w:val="007D393A"/>
    <w:rsid w:val="007D3987"/>
    <w:rsid w:val="007D3A6A"/>
    <w:rsid w:val="007D3A84"/>
    <w:rsid w:val="007D3E02"/>
    <w:rsid w:val="007D3F77"/>
    <w:rsid w:val="007D3FCB"/>
    <w:rsid w:val="007D42C7"/>
    <w:rsid w:val="007D44E3"/>
    <w:rsid w:val="007D45F1"/>
    <w:rsid w:val="007D484F"/>
    <w:rsid w:val="007D4BDF"/>
    <w:rsid w:val="007D4E6A"/>
    <w:rsid w:val="007D5180"/>
    <w:rsid w:val="007D524E"/>
    <w:rsid w:val="007D533A"/>
    <w:rsid w:val="007D545F"/>
    <w:rsid w:val="007D570E"/>
    <w:rsid w:val="007D57BC"/>
    <w:rsid w:val="007D595D"/>
    <w:rsid w:val="007D5B48"/>
    <w:rsid w:val="007D5B4D"/>
    <w:rsid w:val="007D5BBF"/>
    <w:rsid w:val="007D60A4"/>
    <w:rsid w:val="007D60E4"/>
    <w:rsid w:val="007D61C4"/>
    <w:rsid w:val="007D6392"/>
    <w:rsid w:val="007D64EC"/>
    <w:rsid w:val="007D65E4"/>
    <w:rsid w:val="007D6633"/>
    <w:rsid w:val="007D68B1"/>
    <w:rsid w:val="007D6AAD"/>
    <w:rsid w:val="007D6B0D"/>
    <w:rsid w:val="007D6D4C"/>
    <w:rsid w:val="007D6DDB"/>
    <w:rsid w:val="007D72E8"/>
    <w:rsid w:val="007D7305"/>
    <w:rsid w:val="007D751C"/>
    <w:rsid w:val="007D7621"/>
    <w:rsid w:val="007D76EA"/>
    <w:rsid w:val="007D7BAB"/>
    <w:rsid w:val="007D7D9D"/>
    <w:rsid w:val="007D7DFD"/>
    <w:rsid w:val="007D7E8F"/>
    <w:rsid w:val="007E02D3"/>
    <w:rsid w:val="007E0B25"/>
    <w:rsid w:val="007E0BF3"/>
    <w:rsid w:val="007E0C6C"/>
    <w:rsid w:val="007E0F69"/>
    <w:rsid w:val="007E1209"/>
    <w:rsid w:val="007E123F"/>
    <w:rsid w:val="007E1526"/>
    <w:rsid w:val="007E15A3"/>
    <w:rsid w:val="007E15FD"/>
    <w:rsid w:val="007E165B"/>
    <w:rsid w:val="007E18D0"/>
    <w:rsid w:val="007E1A2E"/>
    <w:rsid w:val="007E1AA3"/>
    <w:rsid w:val="007E1C4F"/>
    <w:rsid w:val="007E1DC2"/>
    <w:rsid w:val="007E1DDA"/>
    <w:rsid w:val="007E1F47"/>
    <w:rsid w:val="007E20DB"/>
    <w:rsid w:val="007E2104"/>
    <w:rsid w:val="007E21D1"/>
    <w:rsid w:val="007E236F"/>
    <w:rsid w:val="007E2468"/>
    <w:rsid w:val="007E249D"/>
    <w:rsid w:val="007E26B5"/>
    <w:rsid w:val="007E29A8"/>
    <w:rsid w:val="007E29CF"/>
    <w:rsid w:val="007E2AF7"/>
    <w:rsid w:val="007E2CD4"/>
    <w:rsid w:val="007E2D26"/>
    <w:rsid w:val="007E372C"/>
    <w:rsid w:val="007E373C"/>
    <w:rsid w:val="007E3934"/>
    <w:rsid w:val="007E39F3"/>
    <w:rsid w:val="007E3A0D"/>
    <w:rsid w:val="007E3B38"/>
    <w:rsid w:val="007E3B48"/>
    <w:rsid w:val="007E3B5B"/>
    <w:rsid w:val="007E3E73"/>
    <w:rsid w:val="007E3F95"/>
    <w:rsid w:val="007E400E"/>
    <w:rsid w:val="007E4046"/>
    <w:rsid w:val="007E433D"/>
    <w:rsid w:val="007E480D"/>
    <w:rsid w:val="007E48D3"/>
    <w:rsid w:val="007E4B2C"/>
    <w:rsid w:val="007E4D57"/>
    <w:rsid w:val="007E4F65"/>
    <w:rsid w:val="007E4F71"/>
    <w:rsid w:val="007E51B3"/>
    <w:rsid w:val="007E563D"/>
    <w:rsid w:val="007E5843"/>
    <w:rsid w:val="007E5AC2"/>
    <w:rsid w:val="007E5AE2"/>
    <w:rsid w:val="007E5BE2"/>
    <w:rsid w:val="007E5C62"/>
    <w:rsid w:val="007E5DD2"/>
    <w:rsid w:val="007E5EB1"/>
    <w:rsid w:val="007E5F9E"/>
    <w:rsid w:val="007E6178"/>
    <w:rsid w:val="007E634C"/>
    <w:rsid w:val="007E6A3E"/>
    <w:rsid w:val="007E6DB4"/>
    <w:rsid w:val="007E6EFE"/>
    <w:rsid w:val="007E7335"/>
    <w:rsid w:val="007E759D"/>
    <w:rsid w:val="007E762C"/>
    <w:rsid w:val="007E76EC"/>
    <w:rsid w:val="007E78E0"/>
    <w:rsid w:val="007E78EF"/>
    <w:rsid w:val="007E7900"/>
    <w:rsid w:val="007E7A9A"/>
    <w:rsid w:val="007E7D02"/>
    <w:rsid w:val="007E7F01"/>
    <w:rsid w:val="007E7F7B"/>
    <w:rsid w:val="007E7FCE"/>
    <w:rsid w:val="007F04B8"/>
    <w:rsid w:val="007F077C"/>
    <w:rsid w:val="007F0B3D"/>
    <w:rsid w:val="007F0BF2"/>
    <w:rsid w:val="007F0DA3"/>
    <w:rsid w:val="007F11ED"/>
    <w:rsid w:val="007F1670"/>
    <w:rsid w:val="007F1766"/>
    <w:rsid w:val="007F181D"/>
    <w:rsid w:val="007F18B4"/>
    <w:rsid w:val="007F1EAA"/>
    <w:rsid w:val="007F1EBC"/>
    <w:rsid w:val="007F1EC3"/>
    <w:rsid w:val="007F26D8"/>
    <w:rsid w:val="007F2848"/>
    <w:rsid w:val="007F2E16"/>
    <w:rsid w:val="007F34B5"/>
    <w:rsid w:val="007F39E9"/>
    <w:rsid w:val="007F3B2F"/>
    <w:rsid w:val="007F3D06"/>
    <w:rsid w:val="007F3DCA"/>
    <w:rsid w:val="007F3E53"/>
    <w:rsid w:val="007F3F6B"/>
    <w:rsid w:val="007F414F"/>
    <w:rsid w:val="007F45F8"/>
    <w:rsid w:val="007F483C"/>
    <w:rsid w:val="007F48E4"/>
    <w:rsid w:val="007F4D0D"/>
    <w:rsid w:val="007F4E78"/>
    <w:rsid w:val="007F5270"/>
    <w:rsid w:val="007F5979"/>
    <w:rsid w:val="007F59B5"/>
    <w:rsid w:val="007F5C13"/>
    <w:rsid w:val="007F605B"/>
    <w:rsid w:val="007F6072"/>
    <w:rsid w:val="007F611F"/>
    <w:rsid w:val="007F64C0"/>
    <w:rsid w:val="007F694D"/>
    <w:rsid w:val="007F6E55"/>
    <w:rsid w:val="007F727A"/>
    <w:rsid w:val="007F7544"/>
    <w:rsid w:val="007F77B2"/>
    <w:rsid w:val="007F78EC"/>
    <w:rsid w:val="007F79A2"/>
    <w:rsid w:val="007F7A96"/>
    <w:rsid w:val="007F7BB3"/>
    <w:rsid w:val="007F7C17"/>
    <w:rsid w:val="007F7E76"/>
    <w:rsid w:val="008000BD"/>
    <w:rsid w:val="0080038A"/>
    <w:rsid w:val="008007C3"/>
    <w:rsid w:val="008009C6"/>
    <w:rsid w:val="00800C17"/>
    <w:rsid w:val="00800C22"/>
    <w:rsid w:val="00800EA1"/>
    <w:rsid w:val="00800F42"/>
    <w:rsid w:val="00800F75"/>
    <w:rsid w:val="00800FE2"/>
    <w:rsid w:val="00801111"/>
    <w:rsid w:val="0080119D"/>
    <w:rsid w:val="0080173A"/>
    <w:rsid w:val="00801937"/>
    <w:rsid w:val="00801C31"/>
    <w:rsid w:val="00801EC6"/>
    <w:rsid w:val="00801F44"/>
    <w:rsid w:val="0080202A"/>
    <w:rsid w:val="0080237E"/>
    <w:rsid w:val="00802447"/>
    <w:rsid w:val="008024A9"/>
    <w:rsid w:val="008026C9"/>
    <w:rsid w:val="00802758"/>
    <w:rsid w:val="008027E7"/>
    <w:rsid w:val="00802836"/>
    <w:rsid w:val="00802AF5"/>
    <w:rsid w:val="00802CF7"/>
    <w:rsid w:val="0080317D"/>
    <w:rsid w:val="008032D1"/>
    <w:rsid w:val="008032DD"/>
    <w:rsid w:val="0080346E"/>
    <w:rsid w:val="008034B5"/>
    <w:rsid w:val="008035B8"/>
    <w:rsid w:val="008037DC"/>
    <w:rsid w:val="0080384E"/>
    <w:rsid w:val="008039D4"/>
    <w:rsid w:val="00803C2E"/>
    <w:rsid w:val="00803F17"/>
    <w:rsid w:val="00804291"/>
    <w:rsid w:val="0080472C"/>
    <w:rsid w:val="00804898"/>
    <w:rsid w:val="008049E6"/>
    <w:rsid w:val="00804ABF"/>
    <w:rsid w:val="00804B24"/>
    <w:rsid w:val="00804B55"/>
    <w:rsid w:val="00804B6B"/>
    <w:rsid w:val="00804C5E"/>
    <w:rsid w:val="0080542E"/>
    <w:rsid w:val="0080547B"/>
    <w:rsid w:val="0080562F"/>
    <w:rsid w:val="00805871"/>
    <w:rsid w:val="00805A39"/>
    <w:rsid w:val="00805A69"/>
    <w:rsid w:val="00805BC8"/>
    <w:rsid w:val="00805D6F"/>
    <w:rsid w:val="008062F1"/>
    <w:rsid w:val="0080632E"/>
    <w:rsid w:val="008063FB"/>
    <w:rsid w:val="00806514"/>
    <w:rsid w:val="0080651A"/>
    <w:rsid w:val="00806A00"/>
    <w:rsid w:val="00806C11"/>
    <w:rsid w:val="00806CC2"/>
    <w:rsid w:val="00806D4D"/>
    <w:rsid w:val="008072AB"/>
    <w:rsid w:val="00807347"/>
    <w:rsid w:val="00807428"/>
    <w:rsid w:val="0080755E"/>
    <w:rsid w:val="00807593"/>
    <w:rsid w:val="00807683"/>
    <w:rsid w:val="00807962"/>
    <w:rsid w:val="008079AA"/>
    <w:rsid w:val="008079FF"/>
    <w:rsid w:val="00807A6C"/>
    <w:rsid w:val="00807BB0"/>
    <w:rsid w:val="00807CC8"/>
    <w:rsid w:val="00807D04"/>
    <w:rsid w:val="00807E7F"/>
    <w:rsid w:val="00807EEF"/>
    <w:rsid w:val="00810009"/>
    <w:rsid w:val="008102DF"/>
    <w:rsid w:val="0081065E"/>
    <w:rsid w:val="00810709"/>
    <w:rsid w:val="0081076D"/>
    <w:rsid w:val="00810884"/>
    <w:rsid w:val="0081092C"/>
    <w:rsid w:val="00810B04"/>
    <w:rsid w:val="00810F1A"/>
    <w:rsid w:val="00811329"/>
    <w:rsid w:val="008114DB"/>
    <w:rsid w:val="00811612"/>
    <w:rsid w:val="008118EF"/>
    <w:rsid w:val="00811A91"/>
    <w:rsid w:val="00811D77"/>
    <w:rsid w:val="00812206"/>
    <w:rsid w:val="00812209"/>
    <w:rsid w:val="00812754"/>
    <w:rsid w:val="00812802"/>
    <w:rsid w:val="008128ED"/>
    <w:rsid w:val="00813152"/>
    <w:rsid w:val="008131A8"/>
    <w:rsid w:val="008131FD"/>
    <w:rsid w:val="0081322D"/>
    <w:rsid w:val="008132AC"/>
    <w:rsid w:val="008133FA"/>
    <w:rsid w:val="00813454"/>
    <w:rsid w:val="0081360E"/>
    <w:rsid w:val="008139D0"/>
    <w:rsid w:val="00813B0B"/>
    <w:rsid w:val="00813C4C"/>
    <w:rsid w:val="00813C86"/>
    <w:rsid w:val="00813CE5"/>
    <w:rsid w:val="00813E1E"/>
    <w:rsid w:val="00813E62"/>
    <w:rsid w:val="008141CC"/>
    <w:rsid w:val="0081464D"/>
    <w:rsid w:val="008147B8"/>
    <w:rsid w:val="008148DA"/>
    <w:rsid w:val="00814979"/>
    <w:rsid w:val="00814BE7"/>
    <w:rsid w:val="00814C32"/>
    <w:rsid w:val="00814CB4"/>
    <w:rsid w:val="00814D6F"/>
    <w:rsid w:val="00814ED4"/>
    <w:rsid w:val="00814EF2"/>
    <w:rsid w:val="00814FA1"/>
    <w:rsid w:val="00815225"/>
    <w:rsid w:val="0081525D"/>
    <w:rsid w:val="00815432"/>
    <w:rsid w:val="00815466"/>
    <w:rsid w:val="0081553D"/>
    <w:rsid w:val="0081573D"/>
    <w:rsid w:val="00815751"/>
    <w:rsid w:val="00815BFA"/>
    <w:rsid w:val="00815EDE"/>
    <w:rsid w:val="008161C0"/>
    <w:rsid w:val="00816584"/>
    <w:rsid w:val="008166E8"/>
    <w:rsid w:val="00816853"/>
    <w:rsid w:val="00816B56"/>
    <w:rsid w:val="008171CC"/>
    <w:rsid w:val="0081724D"/>
    <w:rsid w:val="00817311"/>
    <w:rsid w:val="008173B4"/>
    <w:rsid w:val="008174A0"/>
    <w:rsid w:val="0081760E"/>
    <w:rsid w:val="0081787D"/>
    <w:rsid w:val="00817A3C"/>
    <w:rsid w:val="00817D74"/>
    <w:rsid w:val="008201E4"/>
    <w:rsid w:val="008205A0"/>
    <w:rsid w:val="008207C7"/>
    <w:rsid w:val="0082121D"/>
    <w:rsid w:val="00821232"/>
    <w:rsid w:val="008219A4"/>
    <w:rsid w:val="008219BD"/>
    <w:rsid w:val="008219FF"/>
    <w:rsid w:val="00821A5F"/>
    <w:rsid w:val="00821D8E"/>
    <w:rsid w:val="00821F9E"/>
    <w:rsid w:val="0082209F"/>
    <w:rsid w:val="008222B2"/>
    <w:rsid w:val="00822829"/>
    <w:rsid w:val="00822B88"/>
    <w:rsid w:val="00822D77"/>
    <w:rsid w:val="00822DA6"/>
    <w:rsid w:val="00822E0C"/>
    <w:rsid w:val="00822EFA"/>
    <w:rsid w:val="00823349"/>
    <w:rsid w:val="0082334A"/>
    <w:rsid w:val="00823489"/>
    <w:rsid w:val="00823BA2"/>
    <w:rsid w:val="00823EAA"/>
    <w:rsid w:val="00823FDB"/>
    <w:rsid w:val="00824006"/>
    <w:rsid w:val="00824728"/>
    <w:rsid w:val="00824880"/>
    <w:rsid w:val="00824B8C"/>
    <w:rsid w:val="00824F88"/>
    <w:rsid w:val="008256B5"/>
    <w:rsid w:val="00825AA3"/>
    <w:rsid w:val="00825D06"/>
    <w:rsid w:val="00825D40"/>
    <w:rsid w:val="00825EA3"/>
    <w:rsid w:val="0082608D"/>
    <w:rsid w:val="0082611D"/>
    <w:rsid w:val="0082655D"/>
    <w:rsid w:val="008266CF"/>
    <w:rsid w:val="0082682F"/>
    <w:rsid w:val="0082716C"/>
    <w:rsid w:val="008271AF"/>
    <w:rsid w:val="008272A1"/>
    <w:rsid w:val="008272FE"/>
    <w:rsid w:val="008279F9"/>
    <w:rsid w:val="00827D87"/>
    <w:rsid w:val="0083048D"/>
    <w:rsid w:val="00830540"/>
    <w:rsid w:val="008306B2"/>
    <w:rsid w:val="0083094E"/>
    <w:rsid w:val="00830A8A"/>
    <w:rsid w:val="00830E42"/>
    <w:rsid w:val="00831191"/>
    <w:rsid w:val="008311F7"/>
    <w:rsid w:val="008313B2"/>
    <w:rsid w:val="008316BC"/>
    <w:rsid w:val="00831767"/>
    <w:rsid w:val="00831A39"/>
    <w:rsid w:val="00831C7B"/>
    <w:rsid w:val="00831C9C"/>
    <w:rsid w:val="00831EC2"/>
    <w:rsid w:val="0083213B"/>
    <w:rsid w:val="0083216E"/>
    <w:rsid w:val="008322F9"/>
    <w:rsid w:val="008325DA"/>
    <w:rsid w:val="00832646"/>
    <w:rsid w:val="00832780"/>
    <w:rsid w:val="00832C38"/>
    <w:rsid w:val="00832CF1"/>
    <w:rsid w:val="00832D7E"/>
    <w:rsid w:val="008330BD"/>
    <w:rsid w:val="00833299"/>
    <w:rsid w:val="008332D5"/>
    <w:rsid w:val="0083369B"/>
    <w:rsid w:val="008337C3"/>
    <w:rsid w:val="00833920"/>
    <w:rsid w:val="0083395C"/>
    <w:rsid w:val="00833B55"/>
    <w:rsid w:val="00833BC4"/>
    <w:rsid w:val="00833D07"/>
    <w:rsid w:val="00833FC8"/>
    <w:rsid w:val="00833FDD"/>
    <w:rsid w:val="008340F0"/>
    <w:rsid w:val="00834490"/>
    <w:rsid w:val="0083468B"/>
    <w:rsid w:val="00834728"/>
    <w:rsid w:val="00834F4C"/>
    <w:rsid w:val="00834FC6"/>
    <w:rsid w:val="0083527B"/>
    <w:rsid w:val="008355A3"/>
    <w:rsid w:val="00835834"/>
    <w:rsid w:val="00835C1A"/>
    <w:rsid w:val="00835D5E"/>
    <w:rsid w:val="00835E03"/>
    <w:rsid w:val="00836106"/>
    <w:rsid w:val="0083611C"/>
    <w:rsid w:val="0083658C"/>
    <w:rsid w:val="008365FF"/>
    <w:rsid w:val="00836BFB"/>
    <w:rsid w:val="00836E74"/>
    <w:rsid w:val="00837049"/>
    <w:rsid w:val="008370DD"/>
    <w:rsid w:val="008371F3"/>
    <w:rsid w:val="00837204"/>
    <w:rsid w:val="00837279"/>
    <w:rsid w:val="00837882"/>
    <w:rsid w:val="0083792D"/>
    <w:rsid w:val="00837BE2"/>
    <w:rsid w:val="0084045B"/>
    <w:rsid w:val="008407CD"/>
    <w:rsid w:val="008409D6"/>
    <w:rsid w:val="00840B05"/>
    <w:rsid w:val="00840B5C"/>
    <w:rsid w:val="00840D2D"/>
    <w:rsid w:val="00840FFD"/>
    <w:rsid w:val="0084105F"/>
    <w:rsid w:val="008410D1"/>
    <w:rsid w:val="00841191"/>
    <w:rsid w:val="00841262"/>
    <w:rsid w:val="00841553"/>
    <w:rsid w:val="0084165B"/>
    <w:rsid w:val="0084171E"/>
    <w:rsid w:val="00841917"/>
    <w:rsid w:val="00841B24"/>
    <w:rsid w:val="00841B33"/>
    <w:rsid w:val="00841B4E"/>
    <w:rsid w:val="00841C75"/>
    <w:rsid w:val="00841DC0"/>
    <w:rsid w:val="00841DE1"/>
    <w:rsid w:val="0084226B"/>
    <w:rsid w:val="00842288"/>
    <w:rsid w:val="00842485"/>
    <w:rsid w:val="00842AD8"/>
    <w:rsid w:val="00842C27"/>
    <w:rsid w:val="00842C49"/>
    <w:rsid w:val="00842D5D"/>
    <w:rsid w:val="00843091"/>
    <w:rsid w:val="00843156"/>
    <w:rsid w:val="00843337"/>
    <w:rsid w:val="00843568"/>
    <w:rsid w:val="0084362B"/>
    <w:rsid w:val="008436D8"/>
    <w:rsid w:val="00843758"/>
    <w:rsid w:val="00843966"/>
    <w:rsid w:val="00843E24"/>
    <w:rsid w:val="00843ED8"/>
    <w:rsid w:val="00843F8D"/>
    <w:rsid w:val="0084436D"/>
    <w:rsid w:val="0084439B"/>
    <w:rsid w:val="00844832"/>
    <w:rsid w:val="00844B7D"/>
    <w:rsid w:val="00844C38"/>
    <w:rsid w:val="00844CE1"/>
    <w:rsid w:val="00844D09"/>
    <w:rsid w:val="00844D3D"/>
    <w:rsid w:val="00844F52"/>
    <w:rsid w:val="008451FF"/>
    <w:rsid w:val="00845228"/>
    <w:rsid w:val="00845261"/>
    <w:rsid w:val="008454DC"/>
    <w:rsid w:val="00845831"/>
    <w:rsid w:val="0084596A"/>
    <w:rsid w:val="00845A70"/>
    <w:rsid w:val="00845B6E"/>
    <w:rsid w:val="00845BE5"/>
    <w:rsid w:val="00845DC2"/>
    <w:rsid w:val="00845DE6"/>
    <w:rsid w:val="008463A1"/>
    <w:rsid w:val="0084674A"/>
    <w:rsid w:val="0084676B"/>
    <w:rsid w:val="00846ACD"/>
    <w:rsid w:val="00846B35"/>
    <w:rsid w:val="00846D11"/>
    <w:rsid w:val="00846D7B"/>
    <w:rsid w:val="00846E98"/>
    <w:rsid w:val="00846FD6"/>
    <w:rsid w:val="008471EF"/>
    <w:rsid w:val="0084724B"/>
    <w:rsid w:val="00847311"/>
    <w:rsid w:val="0084789B"/>
    <w:rsid w:val="00847D73"/>
    <w:rsid w:val="0085004B"/>
    <w:rsid w:val="008501A8"/>
    <w:rsid w:val="00850585"/>
    <w:rsid w:val="008508A5"/>
    <w:rsid w:val="00850A12"/>
    <w:rsid w:val="00850DE4"/>
    <w:rsid w:val="008512D9"/>
    <w:rsid w:val="0085137C"/>
    <w:rsid w:val="00851672"/>
    <w:rsid w:val="0085177E"/>
    <w:rsid w:val="00851A31"/>
    <w:rsid w:val="00851CBB"/>
    <w:rsid w:val="0085233D"/>
    <w:rsid w:val="0085247A"/>
    <w:rsid w:val="0085271E"/>
    <w:rsid w:val="00852817"/>
    <w:rsid w:val="00852891"/>
    <w:rsid w:val="00852F46"/>
    <w:rsid w:val="00853063"/>
    <w:rsid w:val="008532A7"/>
    <w:rsid w:val="008533A8"/>
    <w:rsid w:val="00853430"/>
    <w:rsid w:val="008535E2"/>
    <w:rsid w:val="0085392C"/>
    <w:rsid w:val="00853C96"/>
    <w:rsid w:val="00854059"/>
    <w:rsid w:val="00854350"/>
    <w:rsid w:val="00854503"/>
    <w:rsid w:val="00854742"/>
    <w:rsid w:val="0085497E"/>
    <w:rsid w:val="0085498F"/>
    <w:rsid w:val="008549F8"/>
    <w:rsid w:val="00854AF1"/>
    <w:rsid w:val="00854F5B"/>
    <w:rsid w:val="00854F8D"/>
    <w:rsid w:val="0085512A"/>
    <w:rsid w:val="0085554E"/>
    <w:rsid w:val="00855719"/>
    <w:rsid w:val="0085595E"/>
    <w:rsid w:val="00855AAB"/>
    <w:rsid w:val="00855B1F"/>
    <w:rsid w:val="00855C52"/>
    <w:rsid w:val="00855E25"/>
    <w:rsid w:val="00855EF1"/>
    <w:rsid w:val="008560AA"/>
    <w:rsid w:val="008567B4"/>
    <w:rsid w:val="008567E4"/>
    <w:rsid w:val="00856893"/>
    <w:rsid w:val="00856B4D"/>
    <w:rsid w:val="00856FED"/>
    <w:rsid w:val="008571A6"/>
    <w:rsid w:val="0085746E"/>
    <w:rsid w:val="008574E4"/>
    <w:rsid w:val="00857BA1"/>
    <w:rsid w:val="00860293"/>
    <w:rsid w:val="008604E5"/>
    <w:rsid w:val="00860656"/>
    <w:rsid w:val="0086077A"/>
    <w:rsid w:val="0086084A"/>
    <w:rsid w:val="00860963"/>
    <w:rsid w:val="00860B2D"/>
    <w:rsid w:val="0086144B"/>
    <w:rsid w:val="00861D32"/>
    <w:rsid w:val="0086214A"/>
    <w:rsid w:val="008621BD"/>
    <w:rsid w:val="00862299"/>
    <w:rsid w:val="0086235C"/>
    <w:rsid w:val="008623DF"/>
    <w:rsid w:val="008626CA"/>
    <w:rsid w:val="00862B0A"/>
    <w:rsid w:val="00862B3A"/>
    <w:rsid w:val="00862D74"/>
    <w:rsid w:val="00862DEC"/>
    <w:rsid w:val="00862E22"/>
    <w:rsid w:val="00862FBA"/>
    <w:rsid w:val="00863169"/>
    <w:rsid w:val="00863350"/>
    <w:rsid w:val="00863391"/>
    <w:rsid w:val="008633AC"/>
    <w:rsid w:val="008633B2"/>
    <w:rsid w:val="008633E7"/>
    <w:rsid w:val="00863520"/>
    <w:rsid w:val="008637E5"/>
    <w:rsid w:val="0086385E"/>
    <w:rsid w:val="008639F6"/>
    <w:rsid w:val="00863A0C"/>
    <w:rsid w:val="00863B26"/>
    <w:rsid w:val="00863D82"/>
    <w:rsid w:val="00863F61"/>
    <w:rsid w:val="008640A2"/>
    <w:rsid w:val="008640BA"/>
    <w:rsid w:val="00864798"/>
    <w:rsid w:val="00864799"/>
    <w:rsid w:val="008649CD"/>
    <w:rsid w:val="00865184"/>
    <w:rsid w:val="00865323"/>
    <w:rsid w:val="008658F7"/>
    <w:rsid w:val="00865ADA"/>
    <w:rsid w:val="00865D4E"/>
    <w:rsid w:val="00865E9F"/>
    <w:rsid w:val="00866046"/>
    <w:rsid w:val="00866442"/>
    <w:rsid w:val="00866584"/>
    <w:rsid w:val="00866815"/>
    <w:rsid w:val="00866C99"/>
    <w:rsid w:val="00866DB5"/>
    <w:rsid w:val="0086725E"/>
    <w:rsid w:val="008674B3"/>
    <w:rsid w:val="0086760B"/>
    <w:rsid w:val="00867A89"/>
    <w:rsid w:val="00867D29"/>
    <w:rsid w:val="00867DB5"/>
    <w:rsid w:val="00867ED2"/>
    <w:rsid w:val="00870781"/>
    <w:rsid w:val="00870806"/>
    <w:rsid w:val="00870860"/>
    <w:rsid w:val="00870865"/>
    <w:rsid w:val="008708D6"/>
    <w:rsid w:val="00870927"/>
    <w:rsid w:val="00870C18"/>
    <w:rsid w:val="00870CE6"/>
    <w:rsid w:val="00870F03"/>
    <w:rsid w:val="008711E0"/>
    <w:rsid w:val="00871DD8"/>
    <w:rsid w:val="00871E4F"/>
    <w:rsid w:val="00871FE4"/>
    <w:rsid w:val="0087213D"/>
    <w:rsid w:val="008726BC"/>
    <w:rsid w:val="008727C2"/>
    <w:rsid w:val="00872973"/>
    <w:rsid w:val="00872978"/>
    <w:rsid w:val="00872B56"/>
    <w:rsid w:val="00872DB4"/>
    <w:rsid w:val="00872E0E"/>
    <w:rsid w:val="00872F7A"/>
    <w:rsid w:val="008730A9"/>
    <w:rsid w:val="008731F3"/>
    <w:rsid w:val="0087352E"/>
    <w:rsid w:val="0087367E"/>
    <w:rsid w:val="008739FF"/>
    <w:rsid w:val="00873AB2"/>
    <w:rsid w:val="00873B60"/>
    <w:rsid w:val="00873C11"/>
    <w:rsid w:val="00873D61"/>
    <w:rsid w:val="00873F79"/>
    <w:rsid w:val="008740B0"/>
    <w:rsid w:val="00874394"/>
    <w:rsid w:val="00874573"/>
    <w:rsid w:val="00874B44"/>
    <w:rsid w:val="00874D83"/>
    <w:rsid w:val="00874F00"/>
    <w:rsid w:val="00874FCF"/>
    <w:rsid w:val="00875072"/>
    <w:rsid w:val="008750A8"/>
    <w:rsid w:val="0087542F"/>
    <w:rsid w:val="00875430"/>
    <w:rsid w:val="008755A9"/>
    <w:rsid w:val="008757CA"/>
    <w:rsid w:val="00875B95"/>
    <w:rsid w:val="00875BE4"/>
    <w:rsid w:val="00875C42"/>
    <w:rsid w:val="00876015"/>
    <w:rsid w:val="008760F1"/>
    <w:rsid w:val="0087617A"/>
    <w:rsid w:val="00876455"/>
    <w:rsid w:val="008764C1"/>
    <w:rsid w:val="00876512"/>
    <w:rsid w:val="00876CF9"/>
    <w:rsid w:val="00877013"/>
    <w:rsid w:val="0087750B"/>
    <w:rsid w:val="008777F5"/>
    <w:rsid w:val="008778A8"/>
    <w:rsid w:val="008779F9"/>
    <w:rsid w:val="00877E04"/>
    <w:rsid w:val="00880157"/>
    <w:rsid w:val="0088020F"/>
    <w:rsid w:val="008804A3"/>
    <w:rsid w:val="00880513"/>
    <w:rsid w:val="008808B7"/>
    <w:rsid w:val="00880A2D"/>
    <w:rsid w:val="00880A4E"/>
    <w:rsid w:val="00880C67"/>
    <w:rsid w:val="00880CF2"/>
    <w:rsid w:val="00880E48"/>
    <w:rsid w:val="0088123F"/>
    <w:rsid w:val="0088144B"/>
    <w:rsid w:val="008815F5"/>
    <w:rsid w:val="008815FE"/>
    <w:rsid w:val="00881A3F"/>
    <w:rsid w:val="00881B97"/>
    <w:rsid w:val="008820BF"/>
    <w:rsid w:val="0088253B"/>
    <w:rsid w:val="0088277F"/>
    <w:rsid w:val="00882E23"/>
    <w:rsid w:val="0088341E"/>
    <w:rsid w:val="00883687"/>
    <w:rsid w:val="0088376F"/>
    <w:rsid w:val="00883AB5"/>
    <w:rsid w:val="00883E45"/>
    <w:rsid w:val="00883F8E"/>
    <w:rsid w:val="00883FE5"/>
    <w:rsid w:val="008840F6"/>
    <w:rsid w:val="008847B5"/>
    <w:rsid w:val="00884823"/>
    <w:rsid w:val="00884A43"/>
    <w:rsid w:val="00884CFE"/>
    <w:rsid w:val="00884DC7"/>
    <w:rsid w:val="0088512C"/>
    <w:rsid w:val="0088514A"/>
    <w:rsid w:val="008854E9"/>
    <w:rsid w:val="00885A81"/>
    <w:rsid w:val="00885BAF"/>
    <w:rsid w:val="00885EE7"/>
    <w:rsid w:val="00886360"/>
    <w:rsid w:val="008863F1"/>
    <w:rsid w:val="00886451"/>
    <w:rsid w:val="0088645A"/>
    <w:rsid w:val="00886923"/>
    <w:rsid w:val="00886ABA"/>
    <w:rsid w:val="00886C56"/>
    <w:rsid w:val="00886D1D"/>
    <w:rsid w:val="00886D8A"/>
    <w:rsid w:val="00886DBF"/>
    <w:rsid w:val="00886F29"/>
    <w:rsid w:val="00887041"/>
    <w:rsid w:val="00887353"/>
    <w:rsid w:val="00887360"/>
    <w:rsid w:val="0088737F"/>
    <w:rsid w:val="00887433"/>
    <w:rsid w:val="00887483"/>
    <w:rsid w:val="00887557"/>
    <w:rsid w:val="00887603"/>
    <w:rsid w:val="008877C3"/>
    <w:rsid w:val="00887B77"/>
    <w:rsid w:val="00887C26"/>
    <w:rsid w:val="008901D6"/>
    <w:rsid w:val="00890D79"/>
    <w:rsid w:val="0089124D"/>
    <w:rsid w:val="00891351"/>
    <w:rsid w:val="00891465"/>
    <w:rsid w:val="0089181F"/>
    <w:rsid w:val="0089185F"/>
    <w:rsid w:val="00891CC2"/>
    <w:rsid w:val="00892046"/>
    <w:rsid w:val="0089290D"/>
    <w:rsid w:val="00892920"/>
    <w:rsid w:val="00892C9D"/>
    <w:rsid w:val="00892DD4"/>
    <w:rsid w:val="00893233"/>
    <w:rsid w:val="008932A4"/>
    <w:rsid w:val="00893895"/>
    <w:rsid w:val="008938AF"/>
    <w:rsid w:val="00893B4B"/>
    <w:rsid w:val="00893E54"/>
    <w:rsid w:val="00893EDA"/>
    <w:rsid w:val="0089419D"/>
    <w:rsid w:val="00894253"/>
    <w:rsid w:val="00894355"/>
    <w:rsid w:val="0089456E"/>
    <w:rsid w:val="008945C3"/>
    <w:rsid w:val="008945DC"/>
    <w:rsid w:val="00894A65"/>
    <w:rsid w:val="00894AA0"/>
    <w:rsid w:val="00894B0A"/>
    <w:rsid w:val="00894B12"/>
    <w:rsid w:val="00894B89"/>
    <w:rsid w:val="00894B94"/>
    <w:rsid w:val="00894C1E"/>
    <w:rsid w:val="00894C98"/>
    <w:rsid w:val="0089545C"/>
    <w:rsid w:val="0089555F"/>
    <w:rsid w:val="008958EF"/>
    <w:rsid w:val="00895A79"/>
    <w:rsid w:val="00895DA1"/>
    <w:rsid w:val="00895DF0"/>
    <w:rsid w:val="00895E56"/>
    <w:rsid w:val="00895E7E"/>
    <w:rsid w:val="00895F5F"/>
    <w:rsid w:val="00895F6B"/>
    <w:rsid w:val="008966BE"/>
    <w:rsid w:val="0089693D"/>
    <w:rsid w:val="00896B62"/>
    <w:rsid w:val="00896BF2"/>
    <w:rsid w:val="00896D11"/>
    <w:rsid w:val="00896D31"/>
    <w:rsid w:val="00896D49"/>
    <w:rsid w:val="00897133"/>
    <w:rsid w:val="0089717F"/>
    <w:rsid w:val="008972C7"/>
    <w:rsid w:val="00897481"/>
    <w:rsid w:val="0089754A"/>
    <w:rsid w:val="008975F7"/>
    <w:rsid w:val="00897844"/>
    <w:rsid w:val="008979EB"/>
    <w:rsid w:val="00897A0D"/>
    <w:rsid w:val="00897F53"/>
    <w:rsid w:val="008A0001"/>
    <w:rsid w:val="008A0199"/>
    <w:rsid w:val="008A0415"/>
    <w:rsid w:val="008A050F"/>
    <w:rsid w:val="008A05CC"/>
    <w:rsid w:val="008A0618"/>
    <w:rsid w:val="008A0D95"/>
    <w:rsid w:val="008A0F05"/>
    <w:rsid w:val="008A0F96"/>
    <w:rsid w:val="008A1127"/>
    <w:rsid w:val="008A1D0B"/>
    <w:rsid w:val="008A1F60"/>
    <w:rsid w:val="008A219A"/>
    <w:rsid w:val="008A22C6"/>
    <w:rsid w:val="008A24B4"/>
    <w:rsid w:val="008A25CD"/>
    <w:rsid w:val="008A2A08"/>
    <w:rsid w:val="008A2A9B"/>
    <w:rsid w:val="008A2CF1"/>
    <w:rsid w:val="008A2D5A"/>
    <w:rsid w:val="008A2D83"/>
    <w:rsid w:val="008A2F40"/>
    <w:rsid w:val="008A3220"/>
    <w:rsid w:val="008A32F5"/>
    <w:rsid w:val="008A3494"/>
    <w:rsid w:val="008A35B6"/>
    <w:rsid w:val="008A391A"/>
    <w:rsid w:val="008A39E2"/>
    <w:rsid w:val="008A3A89"/>
    <w:rsid w:val="008A3A9E"/>
    <w:rsid w:val="008A3C21"/>
    <w:rsid w:val="008A3E23"/>
    <w:rsid w:val="008A3E25"/>
    <w:rsid w:val="008A3F4F"/>
    <w:rsid w:val="008A3F61"/>
    <w:rsid w:val="008A3FB7"/>
    <w:rsid w:val="008A4016"/>
    <w:rsid w:val="008A410A"/>
    <w:rsid w:val="008A441A"/>
    <w:rsid w:val="008A45FE"/>
    <w:rsid w:val="008A4931"/>
    <w:rsid w:val="008A4B73"/>
    <w:rsid w:val="008A4D42"/>
    <w:rsid w:val="008A501A"/>
    <w:rsid w:val="008A5084"/>
    <w:rsid w:val="008A5251"/>
    <w:rsid w:val="008A5271"/>
    <w:rsid w:val="008A5495"/>
    <w:rsid w:val="008A55B1"/>
    <w:rsid w:val="008A5775"/>
    <w:rsid w:val="008A58AE"/>
    <w:rsid w:val="008A5A33"/>
    <w:rsid w:val="008A5AA9"/>
    <w:rsid w:val="008A5D00"/>
    <w:rsid w:val="008A5ECE"/>
    <w:rsid w:val="008A6594"/>
    <w:rsid w:val="008A662A"/>
    <w:rsid w:val="008A67E5"/>
    <w:rsid w:val="008A6A9B"/>
    <w:rsid w:val="008A6E02"/>
    <w:rsid w:val="008A6F5F"/>
    <w:rsid w:val="008A7377"/>
    <w:rsid w:val="008A75A4"/>
    <w:rsid w:val="008A763E"/>
    <w:rsid w:val="008A7783"/>
    <w:rsid w:val="008A795E"/>
    <w:rsid w:val="008A7B58"/>
    <w:rsid w:val="008A7DD7"/>
    <w:rsid w:val="008B02E9"/>
    <w:rsid w:val="008B0B0A"/>
    <w:rsid w:val="008B0E5F"/>
    <w:rsid w:val="008B0FDA"/>
    <w:rsid w:val="008B1006"/>
    <w:rsid w:val="008B12AA"/>
    <w:rsid w:val="008B132A"/>
    <w:rsid w:val="008B13C1"/>
    <w:rsid w:val="008B15E3"/>
    <w:rsid w:val="008B196C"/>
    <w:rsid w:val="008B1A38"/>
    <w:rsid w:val="008B1F85"/>
    <w:rsid w:val="008B215B"/>
    <w:rsid w:val="008B2220"/>
    <w:rsid w:val="008B22BB"/>
    <w:rsid w:val="008B2710"/>
    <w:rsid w:val="008B2892"/>
    <w:rsid w:val="008B28B2"/>
    <w:rsid w:val="008B2AFC"/>
    <w:rsid w:val="008B2CE5"/>
    <w:rsid w:val="008B2D9B"/>
    <w:rsid w:val="008B2E2B"/>
    <w:rsid w:val="008B2FBE"/>
    <w:rsid w:val="008B2FF0"/>
    <w:rsid w:val="008B313F"/>
    <w:rsid w:val="008B3360"/>
    <w:rsid w:val="008B364C"/>
    <w:rsid w:val="008B3820"/>
    <w:rsid w:val="008B385A"/>
    <w:rsid w:val="008B393C"/>
    <w:rsid w:val="008B3DE6"/>
    <w:rsid w:val="008B3FB9"/>
    <w:rsid w:val="008B4905"/>
    <w:rsid w:val="008B4AD4"/>
    <w:rsid w:val="008B4DD8"/>
    <w:rsid w:val="008B5487"/>
    <w:rsid w:val="008B5566"/>
    <w:rsid w:val="008B587C"/>
    <w:rsid w:val="008B5B5C"/>
    <w:rsid w:val="008B5BFF"/>
    <w:rsid w:val="008B5D44"/>
    <w:rsid w:val="008B5DEB"/>
    <w:rsid w:val="008B5E29"/>
    <w:rsid w:val="008B5F7F"/>
    <w:rsid w:val="008B6037"/>
    <w:rsid w:val="008B6087"/>
    <w:rsid w:val="008B6099"/>
    <w:rsid w:val="008B65BB"/>
    <w:rsid w:val="008B66F8"/>
    <w:rsid w:val="008B6D21"/>
    <w:rsid w:val="008B6DB0"/>
    <w:rsid w:val="008B6FD2"/>
    <w:rsid w:val="008B70C7"/>
    <w:rsid w:val="008B70F6"/>
    <w:rsid w:val="008B7102"/>
    <w:rsid w:val="008B741B"/>
    <w:rsid w:val="008B75BC"/>
    <w:rsid w:val="008B7707"/>
    <w:rsid w:val="008B7736"/>
    <w:rsid w:val="008B77B5"/>
    <w:rsid w:val="008B7AAA"/>
    <w:rsid w:val="008B7B87"/>
    <w:rsid w:val="008B7CE3"/>
    <w:rsid w:val="008B7D21"/>
    <w:rsid w:val="008B7F99"/>
    <w:rsid w:val="008C014A"/>
    <w:rsid w:val="008C01EC"/>
    <w:rsid w:val="008C0247"/>
    <w:rsid w:val="008C0361"/>
    <w:rsid w:val="008C03D4"/>
    <w:rsid w:val="008C0559"/>
    <w:rsid w:val="008C0617"/>
    <w:rsid w:val="008C0A8F"/>
    <w:rsid w:val="008C0B7F"/>
    <w:rsid w:val="008C0D79"/>
    <w:rsid w:val="008C0DF8"/>
    <w:rsid w:val="008C0F5A"/>
    <w:rsid w:val="008C1051"/>
    <w:rsid w:val="008C15E6"/>
    <w:rsid w:val="008C20AB"/>
    <w:rsid w:val="008C2479"/>
    <w:rsid w:val="008C26F3"/>
    <w:rsid w:val="008C27B7"/>
    <w:rsid w:val="008C2D7E"/>
    <w:rsid w:val="008C371E"/>
    <w:rsid w:val="008C373A"/>
    <w:rsid w:val="008C38DC"/>
    <w:rsid w:val="008C3ABF"/>
    <w:rsid w:val="008C3C58"/>
    <w:rsid w:val="008C3C9B"/>
    <w:rsid w:val="008C3F87"/>
    <w:rsid w:val="008C428D"/>
    <w:rsid w:val="008C467B"/>
    <w:rsid w:val="008C479C"/>
    <w:rsid w:val="008C47D5"/>
    <w:rsid w:val="008C4810"/>
    <w:rsid w:val="008C4D23"/>
    <w:rsid w:val="008C4E03"/>
    <w:rsid w:val="008C4F5A"/>
    <w:rsid w:val="008C524B"/>
    <w:rsid w:val="008C5289"/>
    <w:rsid w:val="008C5416"/>
    <w:rsid w:val="008C54F2"/>
    <w:rsid w:val="008C561A"/>
    <w:rsid w:val="008C5A03"/>
    <w:rsid w:val="008C5A61"/>
    <w:rsid w:val="008C5BC1"/>
    <w:rsid w:val="008C5D87"/>
    <w:rsid w:val="008C62D0"/>
    <w:rsid w:val="008C65AC"/>
    <w:rsid w:val="008C65DB"/>
    <w:rsid w:val="008C6FDB"/>
    <w:rsid w:val="008C707F"/>
    <w:rsid w:val="008C7173"/>
    <w:rsid w:val="008C7223"/>
    <w:rsid w:val="008C744B"/>
    <w:rsid w:val="008C797E"/>
    <w:rsid w:val="008C7B62"/>
    <w:rsid w:val="008C7F57"/>
    <w:rsid w:val="008C7F82"/>
    <w:rsid w:val="008D01AA"/>
    <w:rsid w:val="008D02B9"/>
    <w:rsid w:val="008D03CE"/>
    <w:rsid w:val="008D05BC"/>
    <w:rsid w:val="008D0875"/>
    <w:rsid w:val="008D08BE"/>
    <w:rsid w:val="008D09EE"/>
    <w:rsid w:val="008D0AD4"/>
    <w:rsid w:val="008D0B15"/>
    <w:rsid w:val="008D104D"/>
    <w:rsid w:val="008D1255"/>
    <w:rsid w:val="008D12D9"/>
    <w:rsid w:val="008D1627"/>
    <w:rsid w:val="008D17B0"/>
    <w:rsid w:val="008D1844"/>
    <w:rsid w:val="008D1A8F"/>
    <w:rsid w:val="008D1BB4"/>
    <w:rsid w:val="008D1C2D"/>
    <w:rsid w:val="008D1F47"/>
    <w:rsid w:val="008D219B"/>
    <w:rsid w:val="008D2319"/>
    <w:rsid w:val="008D2352"/>
    <w:rsid w:val="008D259E"/>
    <w:rsid w:val="008D267E"/>
    <w:rsid w:val="008D2BF7"/>
    <w:rsid w:val="008D2BFE"/>
    <w:rsid w:val="008D2CD1"/>
    <w:rsid w:val="008D2DE8"/>
    <w:rsid w:val="008D2EAA"/>
    <w:rsid w:val="008D3210"/>
    <w:rsid w:val="008D33CD"/>
    <w:rsid w:val="008D34F9"/>
    <w:rsid w:val="008D362D"/>
    <w:rsid w:val="008D3807"/>
    <w:rsid w:val="008D3934"/>
    <w:rsid w:val="008D39C3"/>
    <w:rsid w:val="008D3E04"/>
    <w:rsid w:val="008D439C"/>
    <w:rsid w:val="008D4615"/>
    <w:rsid w:val="008D488B"/>
    <w:rsid w:val="008D4921"/>
    <w:rsid w:val="008D4BFE"/>
    <w:rsid w:val="008D5456"/>
    <w:rsid w:val="008D5686"/>
    <w:rsid w:val="008D5874"/>
    <w:rsid w:val="008D5BA5"/>
    <w:rsid w:val="008D5C9C"/>
    <w:rsid w:val="008D62D8"/>
    <w:rsid w:val="008D66F0"/>
    <w:rsid w:val="008D675D"/>
    <w:rsid w:val="008D69C7"/>
    <w:rsid w:val="008D7150"/>
    <w:rsid w:val="008D762A"/>
    <w:rsid w:val="008D7BD9"/>
    <w:rsid w:val="008D7BED"/>
    <w:rsid w:val="008D7F67"/>
    <w:rsid w:val="008E04AE"/>
    <w:rsid w:val="008E059C"/>
    <w:rsid w:val="008E073A"/>
    <w:rsid w:val="008E07DA"/>
    <w:rsid w:val="008E08F4"/>
    <w:rsid w:val="008E0A1D"/>
    <w:rsid w:val="008E0A7E"/>
    <w:rsid w:val="008E0C5D"/>
    <w:rsid w:val="008E0E1E"/>
    <w:rsid w:val="008E0EF2"/>
    <w:rsid w:val="008E11C1"/>
    <w:rsid w:val="008E1309"/>
    <w:rsid w:val="008E148A"/>
    <w:rsid w:val="008E1651"/>
    <w:rsid w:val="008E165F"/>
    <w:rsid w:val="008E184C"/>
    <w:rsid w:val="008E1B2A"/>
    <w:rsid w:val="008E1C05"/>
    <w:rsid w:val="008E1C3D"/>
    <w:rsid w:val="008E1D2D"/>
    <w:rsid w:val="008E20F9"/>
    <w:rsid w:val="008E2191"/>
    <w:rsid w:val="008E23A2"/>
    <w:rsid w:val="008E2865"/>
    <w:rsid w:val="008E2CB0"/>
    <w:rsid w:val="008E2D7A"/>
    <w:rsid w:val="008E2DA1"/>
    <w:rsid w:val="008E3087"/>
    <w:rsid w:val="008E353F"/>
    <w:rsid w:val="008E363E"/>
    <w:rsid w:val="008E3698"/>
    <w:rsid w:val="008E37A3"/>
    <w:rsid w:val="008E380F"/>
    <w:rsid w:val="008E3978"/>
    <w:rsid w:val="008E39EB"/>
    <w:rsid w:val="008E3C1F"/>
    <w:rsid w:val="008E3CD0"/>
    <w:rsid w:val="008E3EDF"/>
    <w:rsid w:val="008E3F58"/>
    <w:rsid w:val="008E3FE2"/>
    <w:rsid w:val="008E4220"/>
    <w:rsid w:val="008E43C0"/>
    <w:rsid w:val="008E44E9"/>
    <w:rsid w:val="008E44FA"/>
    <w:rsid w:val="008E46AE"/>
    <w:rsid w:val="008E47F7"/>
    <w:rsid w:val="008E480F"/>
    <w:rsid w:val="008E4C70"/>
    <w:rsid w:val="008E4D7F"/>
    <w:rsid w:val="008E52E1"/>
    <w:rsid w:val="008E53CB"/>
    <w:rsid w:val="008E559B"/>
    <w:rsid w:val="008E56B0"/>
    <w:rsid w:val="008E5A39"/>
    <w:rsid w:val="008E637B"/>
    <w:rsid w:val="008E649C"/>
    <w:rsid w:val="008E66CD"/>
    <w:rsid w:val="008E673B"/>
    <w:rsid w:val="008E6D29"/>
    <w:rsid w:val="008E6DC7"/>
    <w:rsid w:val="008E6DF9"/>
    <w:rsid w:val="008E6E6B"/>
    <w:rsid w:val="008E74B7"/>
    <w:rsid w:val="008E7757"/>
    <w:rsid w:val="008E7776"/>
    <w:rsid w:val="008E7ADF"/>
    <w:rsid w:val="008E7B47"/>
    <w:rsid w:val="008E7B9F"/>
    <w:rsid w:val="008E7F5E"/>
    <w:rsid w:val="008F00DD"/>
    <w:rsid w:val="008F00E1"/>
    <w:rsid w:val="008F03D6"/>
    <w:rsid w:val="008F09BE"/>
    <w:rsid w:val="008F0A70"/>
    <w:rsid w:val="008F0AE1"/>
    <w:rsid w:val="008F0F10"/>
    <w:rsid w:val="008F0FE0"/>
    <w:rsid w:val="008F1193"/>
    <w:rsid w:val="008F11B8"/>
    <w:rsid w:val="008F1566"/>
    <w:rsid w:val="008F1664"/>
    <w:rsid w:val="008F16B0"/>
    <w:rsid w:val="008F177E"/>
    <w:rsid w:val="008F1AC5"/>
    <w:rsid w:val="008F1BF6"/>
    <w:rsid w:val="008F1FE8"/>
    <w:rsid w:val="008F21BB"/>
    <w:rsid w:val="008F21D0"/>
    <w:rsid w:val="008F232A"/>
    <w:rsid w:val="008F272C"/>
    <w:rsid w:val="008F2A62"/>
    <w:rsid w:val="008F2B5B"/>
    <w:rsid w:val="008F2C02"/>
    <w:rsid w:val="008F2E23"/>
    <w:rsid w:val="008F2FD8"/>
    <w:rsid w:val="008F31D9"/>
    <w:rsid w:val="008F33B2"/>
    <w:rsid w:val="008F354C"/>
    <w:rsid w:val="008F35D2"/>
    <w:rsid w:val="008F373B"/>
    <w:rsid w:val="008F3844"/>
    <w:rsid w:val="008F3DAF"/>
    <w:rsid w:val="008F3EB2"/>
    <w:rsid w:val="008F4033"/>
    <w:rsid w:val="008F40E9"/>
    <w:rsid w:val="008F44E5"/>
    <w:rsid w:val="008F4544"/>
    <w:rsid w:val="008F4563"/>
    <w:rsid w:val="008F46FE"/>
    <w:rsid w:val="008F4788"/>
    <w:rsid w:val="008F4B24"/>
    <w:rsid w:val="008F4B83"/>
    <w:rsid w:val="008F4D3F"/>
    <w:rsid w:val="008F4E3E"/>
    <w:rsid w:val="008F5072"/>
    <w:rsid w:val="008F5699"/>
    <w:rsid w:val="008F56F4"/>
    <w:rsid w:val="008F57FF"/>
    <w:rsid w:val="008F593A"/>
    <w:rsid w:val="008F5A84"/>
    <w:rsid w:val="008F5C92"/>
    <w:rsid w:val="008F5CB5"/>
    <w:rsid w:val="008F5DCF"/>
    <w:rsid w:val="008F6005"/>
    <w:rsid w:val="008F620E"/>
    <w:rsid w:val="008F624C"/>
    <w:rsid w:val="008F64E4"/>
    <w:rsid w:val="008F64EE"/>
    <w:rsid w:val="008F64F6"/>
    <w:rsid w:val="008F65E3"/>
    <w:rsid w:val="008F65F5"/>
    <w:rsid w:val="008F6A03"/>
    <w:rsid w:val="008F6DC0"/>
    <w:rsid w:val="008F6F66"/>
    <w:rsid w:val="008F6F81"/>
    <w:rsid w:val="008F7563"/>
    <w:rsid w:val="008F7670"/>
    <w:rsid w:val="008F76DB"/>
    <w:rsid w:val="008F7775"/>
    <w:rsid w:val="008F7791"/>
    <w:rsid w:val="008F781B"/>
    <w:rsid w:val="008F7947"/>
    <w:rsid w:val="008F7BE9"/>
    <w:rsid w:val="008F7C65"/>
    <w:rsid w:val="008F7E23"/>
    <w:rsid w:val="00900128"/>
    <w:rsid w:val="00900311"/>
    <w:rsid w:val="00900711"/>
    <w:rsid w:val="00900A0B"/>
    <w:rsid w:val="00900E52"/>
    <w:rsid w:val="00900F7F"/>
    <w:rsid w:val="00901051"/>
    <w:rsid w:val="009011E6"/>
    <w:rsid w:val="009013B5"/>
    <w:rsid w:val="009014C8"/>
    <w:rsid w:val="009015D4"/>
    <w:rsid w:val="009015DF"/>
    <w:rsid w:val="00901775"/>
    <w:rsid w:val="00901EFA"/>
    <w:rsid w:val="00902000"/>
    <w:rsid w:val="009021F3"/>
    <w:rsid w:val="009022EE"/>
    <w:rsid w:val="0090262F"/>
    <w:rsid w:val="00902665"/>
    <w:rsid w:val="009026AC"/>
    <w:rsid w:val="00902731"/>
    <w:rsid w:val="009027B2"/>
    <w:rsid w:val="009028B7"/>
    <w:rsid w:val="00902BD4"/>
    <w:rsid w:val="00902FF8"/>
    <w:rsid w:val="00903124"/>
    <w:rsid w:val="0090320A"/>
    <w:rsid w:val="009035B5"/>
    <w:rsid w:val="009036B5"/>
    <w:rsid w:val="009039DD"/>
    <w:rsid w:val="00903AE1"/>
    <w:rsid w:val="00903DA1"/>
    <w:rsid w:val="00904064"/>
    <w:rsid w:val="009044DD"/>
    <w:rsid w:val="0090468B"/>
    <w:rsid w:val="00904948"/>
    <w:rsid w:val="00904BFA"/>
    <w:rsid w:val="00904C8B"/>
    <w:rsid w:val="00904C97"/>
    <w:rsid w:val="009052C2"/>
    <w:rsid w:val="00905437"/>
    <w:rsid w:val="00905474"/>
    <w:rsid w:val="009054F3"/>
    <w:rsid w:val="009056B4"/>
    <w:rsid w:val="00905B8D"/>
    <w:rsid w:val="00905C02"/>
    <w:rsid w:val="00905EF4"/>
    <w:rsid w:val="00906115"/>
    <w:rsid w:val="0090611E"/>
    <w:rsid w:val="00906200"/>
    <w:rsid w:val="00906988"/>
    <w:rsid w:val="00907281"/>
    <w:rsid w:val="00907306"/>
    <w:rsid w:val="009079A6"/>
    <w:rsid w:val="00907A71"/>
    <w:rsid w:val="00907BA3"/>
    <w:rsid w:val="00907BB4"/>
    <w:rsid w:val="00907CF7"/>
    <w:rsid w:val="00907E2C"/>
    <w:rsid w:val="0091029E"/>
    <w:rsid w:val="009104BA"/>
    <w:rsid w:val="009104EA"/>
    <w:rsid w:val="00910507"/>
    <w:rsid w:val="0091056C"/>
    <w:rsid w:val="00910656"/>
    <w:rsid w:val="009107DD"/>
    <w:rsid w:val="00910AA9"/>
    <w:rsid w:val="00910EC2"/>
    <w:rsid w:val="009110AC"/>
    <w:rsid w:val="009110C3"/>
    <w:rsid w:val="0091121A"/>
    <w:rsid w:val="00911375"/>
    <w:rsid w:val="009113CB"/>
    <w:rsid w:val="009115E9"/>
    <w:rsid w:val="009116ED"/>
    <w:rsid w:val="00911723"/>
    <w:rsid w:val="0091183C"/>
    <w:rsid w:val="00911858"/>
    <w:rsid w:val="009118BC"/>
    <w:rsid w:val="009119B1"/>
    <w:rsid w:val="00911B92"/>
    <w:rsid w:val="00911D11"/>
    <w:rsid w:val="00911E98"/>
    <w:rsid w:val="00912231"/>
    <w:rsid w:val="00912502"/>
    <w:rsid w:val="0091267B"/>
    <w:rsid w:val="00912839"/>
    <w:rsid w:val="00912C5F"/>
    <w:rsid w:val="00912E89"/>
    <w:rsid w:val="009130C9"/>
    <w:rsid w:val="00913598"/>
    <w:rsid w:val="0091389E"/>
    <w:rsid w:val="009138BF"/>
    <w:rsid w:val="00914679"/>
    <w:rsid w:val="00914833"/>
    <w:rsid w:val="00914883"/>
    <w:rsid w:val="00914A4D"/>
    <w:rsid w:val="00914DD3"/>
    <w:rsid w:val="00915052"/>
    <w:rsid w:val="00915180"/>
    <w:rsid w:val="009153A5"/>
    <w:rsid w:val="00915470"/>
    <w:rsid w:val="0091583C"/>
    <w:rsid w:val="009158C9"/>
    <w:rsid w:val="009159BE"/>
    <w:rsid w:val="00915CB6"/>
    <w:rsid w:val="00915D73"/>
    <w:rsid w:val="00915DBE"/>
    <w:rsid w:val="00915FBD"/>
    <w:rsid w:val="009160B0"/>
    <w:rsid w:val="0091651F"/>
    <w:rsid w:val="009166E9"/>
    <w:rsid w:val="0091688D"/>
    <w:rsid w:val="00916AF9"/>
    <w:rsid w:val="00916B52"/>
    <w:rsid w:val="00916DB1"/>
    <w:rsid w:val="00916ED6"/>
    <w:rsid w:val="0091701E"/>
    <w:rsid w:val="00917120"/>
    <w:rsid w:val="009171E8"/>
    <w:rsid w:val="00917378"/>
    <w:rsid w:val="009173A5"/>
    <w:rsid w:val="00917437"/>
    <w:rsid w:val="00917841"/>
    <w:rsid w:val="00917BB6"/>
    <w:rsid w:val="00917E1C"/>
    <w:rsid w:val="0092002F"/>
    <w:rsid w:val="0092048F"/>
    <w:rsid w:val="00920678"/>
    <w:rsid w:val="009206EB"/>
    <w:rsid w:val="00920EE3"/>
    <w:rsid w:val="00920EF2"/>
    <w:rsid w:val="009211E2"/>
    <w:rsid w:val="0092126C"/>
    <w:rsid w:val="0092129A"/>
    <w:rsid w:val="009212FC"/>
    <w:rsid w:val="00921521"/>
    <w:rsid w:val="0092154F"/>
    <w:rsid w:val="00921947"/>
    <w:rsid w:val="0092197E"/>
    <w:rsid w:val="00921A53"/>
    <w:rsid w:val="00921C33"/>
    <w:rsid w:val="009229ED"/>
    <w:rsid w:val="00922C4E"/>
    <w:rsid w:val="0092324F"/>
    <w:rsid w:val="009235B6"/>
    <w:rsid w:val="0092374C"/>
    <w:rsid w:val="00923AB5"/>
    <w:rsid w:val="00923D03"/>
    <w:rsid w:val="00924194"/>
    <w:rsid w:val="00924405"/>
    <w:rsid w:val="009245C4"/>
    <w:rsid w:val="00924685"/>
    <w:rsid w:val="00924893"/>
    <w:rsid w:val="0092498C"/>
    <w:rsid w:val="00924DA4"/>
    <w:rsid w:val="00925018"/>
    <w:rsid w:val="00925145"/>
    <w:rsid w:val="00925410"/>
    <w:rsid w:val="00925448"/>
    <w:rsid w:val="00925493"/>
    <w:rsid w:val="00925495"/>
    <w:rsid w:val="009255D7"/>
    <w:rsid w:val="0092588C"/>
    <w:rsid w:val="00925899"/>
    <w:rsid w:val="009258F1"/>
    <w:rsid w:val="00925B9C"/>
    <w:rsid w:val="00925CAA"/>
    <w:rsid w:val="00925E2E"/>
    <w:rsid w:val="009264C6"/>
    <w:rsid w:val="009265C2"/>
    <w:rsid w:val="009268A3"/>
    <w:rsid w:val="009268EA"/>
    <w:rsid w:val="00926D15"/>
    <w:rsid w:val="0092707E"/>
    <w:rsid w:val="009272A2"/>
    <w:rsid w:val="009275D4"/>
    <w:rsid w:val="00927817"/>
    <w:rsid w:val="00927861"/>
    <w:rsid w:val="00927891"/>
    <w:rsid w:val="00927A9E"/>
    <w:rsid w:val="00927B22"/>
    <w:rsid w:val="00927C54"/>
    <w:rsid w:val="00927CBB"/>
    <w:rsid w:val="009301BA"/>
    <w:rsid w:val="009301FE"/>
    <w:rsid w:val="0093033A"/>
    <w:rsid w:val="0093034E"/>
    <w:rsid w:val="009305A2"/>
    <w:rsid w:val="0093061D"/>
    <w:rsid w:val="00930AA8"/>
    <w:rsid w:val="00930B36"/>
    <w:rsid w:val="00930C01"/>
    <w:rsid w:val="00930C10"/>
    <w:rsid w:val="00930CC0"/>
    <w:rsid w:val="00930D37"/>
    <w:rsid w:val="00930D4C"/>
    <w:rsid w:val="009310D0"/>
    <w:rsid w:val="00931631"/>
    <w:rsid w:val="0093172C"/>
    <w:rsid w:val="00931890"/>
    <w:rsid w:val="00931CC6"/>
    <w:rsid w:val="00932282"/>
    <w:rsid w:val="0093279C"/>
    <w:rsid w:val="00932BC4"/>
    <w:rsid w:val="00932C59"/>
    <w:rsid w:val="00932DFC"/>
    <w:rsid w:val="009330B8"/>
    <w:rsid w:val="00933473"/>
    <w:rsid w:val="009334C1"/>
    <w:rsid w:val="00933685"/>
    <w:rsid w:val="00933B50"/>
    <w:rsid w:val="00933B9A"/>
    <w:rsid w:val="00933BD2"/>
    <w:rsid w:val="00933C42"/>
    <w:rsid w:val="00933C66"/>
    <w:rsid w:val="00933D82"/>
    <w:rsid w:val="00933FE2"/>
    <w:rsid w:val="009342F7"/>
    <w:rsid w:val="009349B7"/>
    <w:rsid w:val="009349C9"/>
    <w:rsid w:val="00934E3C"/>
    <w:rsid w:val="00934F8F"/>
    <w:rsid w:val="00935336"/>
    <w:rsid w:val="00935565"/>
    <w:rsid w:val="00935896"/>
    <w:rsid w:val="00935E25"/>
    <w:rsid w:val="00935F4D"/>
    <w:rsid w:val="00936168"/>
    <w:rsid w:val="0093691B"/>
    <w:rsid w:val="0093695D"/>
    <w:rsid w:val="00936CDC"/>
    <w:rsid w:val="00936D86"/>
    <w:rsid w:val="00936DDA"/>
    <w:rsid w:val="00936EBF"/>
    <w:rsid w:val="00936EF3"/>
    <w:rsid w:val="00936FA8"/>
    <w:rsid w:val="00936FDF"/>
    <w:rsid w:val="00936FEF"/>
    <w:rsid w:val="00937083"/>
    <w:rsid w:val="0093755F"/>
    <w:rsid w:val="00937589"/>
    <w:rsid w:val="00937655"/>
    <w:rsid w:val="0093787A"/>
    <w:rsid w:val="00937CEF"/>
    <w:rsid w:val="00937ED0"/>
    <w:rsid w:val="00940079"/>
    <w:rsid w:val="00940220"/>
    <w:rsid w:val="00940299"/>
    <w:rsid w:val="00940385"/>
    <w:rsid w:val="00940512"/>
    <w:rsid w:val="0094066A"/>
    <w:rsid w:val="00940831"/>
    <w:rsid w:val="00941033"/>
    <w:rsid w:val="00941478"/>
    <w:rsid w:val="009414BA"/>
    <w:rsid w:val="00941D12"/>
    <w:rsid w:val="009420B0"/>
    <w:rsid w:val="0094217A"/>
    <w:rsid w:val="0094220A"/>
    <w:rsid w:val="009422ED"/>
    <w:rsid w:val="009424A7"/>
    <w:rsid w:val="009425E2"/>
    <w:rsid w:val="009426D3"/>
    <w:rsid w:val="00942713"/>
    <w:rsid w:val="009429E9"/>
    <w:rsid w:val="009429ED"/>
    <w:rsid w:val="00942BA5"/>
    <w:rsid w:val="00942BFC"/>
    <w:rsid w:val="00942F99"/>
    <w:rsid w:val="00942FE8"/>
    <w:rsid w:val="009430CA"/>
    <w:rsid w:val="009434F3"/>
    <w:rsid w:val="009438CA"/>
    <w:rsid w:val="00943AC9"/>
    <w:rsid w:val="00943BD9"/>
    <w:rsid w:val="00943BEA"/>
    <w:rsid w:val="00943C81"/>
    <w:rsid w:val="00943FBD"/>
    <w:rsid w:val="009440AE"/>
    <w:rsid w:val="009440C5"/>
    <w:rsid w:val="00944212"/>
    <w:rsid w:val="0094463E"/>
    <w:rsid w:val="0094488C"/>
    <w:rsid w:val="00944942"/>
    <w:rsid w:val="00944AD0"/>
    <w:rsid w:val="00944BB6"/>
    <w:rsid w:val="00944E7E"/>
    <w:rsid w:val="009450B8"/>
    <w:rsid w:val="00945116"/>
    <w:rsid w:val="009451A5"/>
    <w:rsid w:val="00945434"/>
    <w:rsid w:val="009456AA"/>
    <w:rsid w:val="00945878"/>
    <w:rsid w:val="0094592F"/>
    <w:rsid w:val="00945D55"/>
    <w:rsid w:val="009461F5"/>
    <w:rsid w:val="00946363"/>
    <w:rsid w:val="009467E2"/>
    <w:rsid w:val="00946AC9"/>
    <w:rsid w:val="00946C87"/>
    <w:rsid w:val="00946D99"/>
    <w:rsid w:val="00946E26"/>
    <w:rsid w:val="0094756F"/>
    <w:rsid w:val="00947A04"/>
    <w:rsid w:val="00947B74"/>
    <w:rsid w:val="00947CBC"/>
    <w:rsid w:val="00947DF5"/>
    <w:rsid w:val="00947E89"/>
    <w:rsid w:val="009500DE"/>
    <w:rsid w:val="00950215"/>
    <w:rsid w:val="00950222"/>
    <w:rsid w:val="00950631"/>
    <w:rsid w:val="009506D1"/>
    <w:rsid w:val="0095071D"/>
    <w:rsid w:val="0095084B"/>
    <w:rsid w:val="00950A0A"/>
    <w:rsid w:val="00950AE5"/>
    <w:rsid w:val="00950C2C"/>
    <w:rsid w:val="00950FC1"/>
    <w:rsid w:val="00950FE1"/>
    <w:rsid w:val="00951228"/>
    <w:rsid w:val="009515D1"/>
    <w:rsid w:val="0095163A"/>
    <w:rsid w:val="009516D3"/>
    <w:rsid w:val="00951772"/>
    <w:rsid w:val="0095193E"/>
    <w:rsid w:val="00951B77"/>
    <w:rsid w:val="00951DA8"/>
    <w:rsid w:val="00951FD6"/>
    <w:rsid w:val="009522EE"/>
    <w:rsid w:val="00952488"/>
    <w:rsid w:val="00952BED"/>
    <w:rsid w:val="00952CEF"/>
    <w:rsid w:val="00952D52"/>
    <w:rsid w:val="00952E0C"/>
    <w:rsid w:val="00953656"/>
    <w:rsid w:val="00953809"/>
    <w:rsid w:val="00953A68"/>
    <w:rsid w:val="00953EC1"/>
    <w:rsid w:val="00954835"/>
    <w:rsid w:val="0095483C"/>
    <w:rsid w:val="00954B3B"/>
    <w:rsid w:val="00954C61"/>
    <w:rsid w:val="00954CA0"/>
    <w:rsid w:val="00955523"/>
    <w:rsid w:val="00955A91"/>
    <w:rsid w:val="00955CE9"/>
    <w:rsid w:val="00955D87"/>
    <w:rsid w:val="00955F37"/>
    <w:rsid w:val="00956098"/>
    <w:rsid w:val="009561A9"/>
    <w:rsid w:val="0095644C"/>
    <w:rsid w:val="0095657B"/>
    <w:rsid w:val="00956580"/>
    <w:rsid w:val="00956589"/>
    <w:rsid w:val="009566AF"/>
    <w:rsid w:val="00957062"/>
    <w:rsid w:val="00957186"/>
    <w:rsid w:val="00957425"/>
    <w:rsid w:val="0095743F"/>
    <w:rsid w:val="0095766C"/>
    <w:rsid w:val="00957992"/>
    <w:rsid w:val="00960336"/>
    <w:rsid w:val="009604E4"/>
    <w:rsid w:val="00960584"/>
    <w:rsid w:val="0096081E"/>
    <w:rsid w:val="009608B8"/>
    <w:rsid w:val="00960BD3"/>
    <w:rsid w:val="009611DF"/>
    <w:rsid w:val="00961315"/>
    <w:rsid w:val="009614B2"/>
    <w:rsid w:val="00961540"/>
    <w:rsid w:val="00961693"/>
    <w:rsid w:val="009617E7"/>
    <w:rsid w:val="009619B8"/>
    <w:rsid w:val="00961C53"/>
    <w:rsid w:val="00961DA3"/>
    <w:rsid w:val="00961E57"/>
    <w:rsid w:val="00961F5A"/>
    <w:rsid w:val="0096265D"/>
    <w:rsid w:val="009628A5"/>
    <w:rsid w:val="00962B0C"/>
    <w:rsid w:val="00962CC9"/>
    <w:rsid w:val="00962D1E"/>
    <w:rsid w:val="00963150"/>
    <w:rsid w:val="009635D9"/>
    <w:rsid w:val="0096378B"/>
    <w:rsid w:val="00963798"/>
    <w:rsid w:val="00963E1B"/>
    <w:rsid w:val="009641C2"/>
    <w:rsid w:val="00964424"/>
    <w:rsid w:val="00964448"/>
    <w:rsid w:val="00964BD9"/>
    <w:rsid w:val="00964F18"/>
    <w:rsid w:val="00964FFA"/>
    <w:rsid w:val="00965120"/>
    <w:rsid w:val="0096525A"/>
    <w:rsid w:val="00965852"/>
    <w:rsid w:val="009658B2"/>
    <w:rsid w:val="009661B8"/>
    <w:rsid w:val="0096635D"/>
    <w:rsid w:val="009664E1"/>
    <w:rsid w:val="0096668F"/>
    <w:rsid w:val="009666F1"/>
    <w:rsid w:val="00966AF9"/>
    <w:rsid w:val="00966C2A"/>
    <w:rsid w:val="00966C9E"/>
    <w:rsid w:val="00966DFC"/>
    <w:rsid w:val="00966E46"/>
    <w:rsid w:val="00966EAA"/>
    <w:rsid w:val="009670C6"/>
    <w:rsid w:val="009673C9"/>
    <w:rsid w:val="00967674"/>
    <w:rsid w:val="0096768C"/>
    <w:rsid w:val="009677EC"/>
    <w:rsid w:val="0096782C"/>
    <w:rsid w:val="00967895"/>
    <w:rsid w:val="009678EA"/>
    <w:rsid w:val="00967BDF"/>
    <w:rsid w:val="00967D01"/>
    <w:rsid w:val="00967E11"/>
    <w:rsid w:val="00967E58"/>
    <w:rsid w:val="009701F8"/>
    <w:rsid w:val="0097020A"/>
    <w:rsid w:val="0097042A"/>
    <w:rsid w:val="00970709"/>
    <w:rsid w:val="009708A9"/>
    <w:rsid w:val="00970BC6"/>
    <w:rsid w:val="00970EC7"/>
    <w:rsid w:val="0097147A"/>
    <w:rsid w:val="009715BD"/>
    <w:rsid w:val="0097161A"/>
    <w:rsid w:val="009717D4"/>
    <w:rsid w:val="009718AE"/>
    <w:rsid w:val="009718DE"/>
    <w:rsid w:val="00971A6C"/>
    <w:rsid w:val="00971A6F"/>
    <w:rsid w:val="00971BBD"/>
    <w:rsid w:val="00972192"/>
    <w:rsid w:val="00972257"/>
    <w:rsid w:val="00972496"/>
    <w:rsid w:val="009728BC"/>
    <w:rsid w:val="00972917"/>
    <w:rsid w:val="009729C8"/>
    <w:rsid w:val="00972A30"/>
    <w:rsid w:val="00972AF6"/>
    <w:rsid w:val="00972F54"/>
    <w:rsid w:val="00972FFD"/>
    <w:rsid w:val="009730C3"/>
    <w:rsid w:val="009732AD"/>
    <w:rsid w:val="0097383D"/>
    <w:rsid w:val="00973910"/>
    <w:rsid w:val="00973928"/>
    <w:rsid w:val="00973ADC"/>
    <w:rsid w:val="00973D00"/>
    <w:rsid w:val="00974183"/>
    <w:rsid w:val="0097424B"/>
    <w:rsid w:val="00974932"/>
    <w:rsid w:val="009752A8"/>
    <w:rsid w:val="009753F5"/>
    <w:rsid w:val="00975614"/>
    <w:rsid w:val="00975830"/>
    <w:rsid w:val="00975A96"/>
    <w:rsid w:val="00975B0D"/>
    <w:rsid w:val="00975BB2"/>
    <w:rsid w:val="00975C87"/>
    <w:rsid w:val="00975DAF"/>
    <w:rsid w:val="00975F03"/>
    <w:rsid w:val="00975FA7"/>
    <w:rsid w:val="0097640C"/>
    <w:rsid w:val="009767CC"/>
    <w:rsid w:val="00976C34"/>
    <w:rsid w:val="00976D3E"/>
    <w:rsid w:val="00977119"/>
    <w:rsid w:val="00977203"/>
    <w:rsid w:val="009778D5"/>
    <w:rsid w:val="00977A0F"/>
    <w:rsid w:val="00977D55"/>
    <w:rsid w:val="0098004D"/>
    <w:rsid w:val="00980082"/>
    <w:rsid w:val="009800CE"/>
    <w:rsid w:val="0098011F"/>
    <w:rsid w:val="00980210"/>
    <w:rsid w:val="009802A8"/>
    <w:rsid w:val="0098064C"/>
    <w:rsid w:val="00980757"/>
    <w:rsid w:val="00980759"/>
    <w:rsid w:val="00980786"/>
    <w:rsid w:val="00980A9E"/>
    <w:rsid w:val="00980B07"/>
    <w:rsid w:val="00980C23"/>
    <w:rsid w:val="00980E7D"/>
    <w:rsid w:val="00981038"/>
    <w:rsid w:val="00981378"/>
    <w:rsid w:val="00981380"/>
    <w:rsid w:val="0098150D"/>
    <w:rsid w:val="00981680"/>
    <w:rsid w:val="00981708"/>
    <w:rsid w:val="00981912"/>
    <w:rsid w:val="00981985"/>
    <w:rsid w:val="00981B1E"/>
    <w:rsid w:val="00981D88"/>
    <w:rsid w:val="00982013"/>
    <w:rsid w:val="00982630"/>
    <w:rsid w:val="0098263C"/>
    <w:rsid w:val="00982929"/>
    <w:rsid w:val="009829D8"/>
    <w:rsid w:val="00982C11"/>
    <w:rsid w:val="00982CC3"/>
    <w:rsid w:val="00982FD9"/>
    <w:rsid w:val="009830DC"/>
    <w:rsid w:val="0098310C"/>
    <w:rsid w:val="00983454"/>
    <w:rsid w:val="00983879"/>
    <w:rsid w:val="00983B42"/>
    <w:rsid w:val="00983B82"/>
    <w:rsid w:val="00984184"/>
    <w:rsid w:val="00984203"/>
    <w:rsid w:val="009844B0"/>
    <w:rsid w:val="009844B4"/>
    <w:rsid w:val="00984589"/>
    <w:rsid w:val="0098459C"/>
    <w:rsid w:val="009847BA"/>
    <w:rsid w:val="00984937"/>
    <w:rsid w:val="00984AB8"/>
    <w:rsid w:val="00984B30"/>
    <w:rsid w:val="00984D00"/>
    <w:rsid w:val="00984F00"/>
    <w:rsid w:val="00984F15"/>
    <w:rsid w:val="00984F5A"/>
    <w:rsid w:val="00984FAC"/>
    <w:rsid w:val="00985219"/>
    <w:rsid w:val="00985244"/>
    <w:rsid w:val="009852FC"/>
    <w:rsid w:val="00985395"/>
    <w:rsid w:val="009854C5"/>
    <w:rsid w:val="00985FEF"/>
    <w:rsid w:val="00986041"/>
    <w:rsid w:val="00986068"/>
    <w:rsid w:val="00986157"/>
    <w:rsid w:val="009861C6"/>
    <w:rsid w:val="009861F0"/>
    <w:rsid w:val="009861F5"/>
    <w:rsid w:val="009861FA"/>
    <w:rsid w:val="0098631D"/>
    <w:rsid w:val="009866F0"/>
    <w:rsid w:val="0098691A"/>
    <w:rsid w:val="00986AB5"/>
    <w:rsid w:val="00986ADF"/>
    <w:rsid w:val="00986C08"/>
    <w:rsid w:val="00986D98"/>
    <w:rsid w:val="00986E64"/>
    <w:rsid w:val="00986F41"/>
    <w:rsid w:val="00986F8E"/>
    <w:rsid w:val="00986FD2"/>
    <w:rsid w:val="009871E9"/>
    <w:rsid w:val="009871ED"/>
    <w:rsid w:val="00987237"/>
    <w:rsid w:val="009876A2"/>
    <w:rsid w:val="00987809"/>
    <w:rsid w:val="00987B52"/>
    <w:rsid w:val="00987DCB"/>
    <w:rsid w:val="00987FCF"/>
    <w:rsid w:val="009902D0"/>
    <w:rsid w:val="00990683"/>
    <w:rsid w:val="009906CC"/>
    <w:rsid w:val="0099092D"/>
    <w:rsid w:val="00990947"/>
    <w:rsid w:val="00990B17"/>
    <w:rsid w:val="00990CDC"/>
    <w:rsid w:val="00990CFE"/>
    <w:rsid w:val="00990EA0"/>
    <w:rsid w:val="009910B0"/>
    <w:rsid w:val="009911A6"/>
    <w:rsid w:val="009913F5"/>
    <w:rsid w:val="009915F5"/>
    <w:rsid w:val="00991932"/>
    <w:rsid w:val="009919D1"/>
    <w:rsid w:val="00991B9F"/>
    <w:rsid w:val="00991C6A"/>
    <w:rsid w:val="00991DA4"/>
    <w:rsid w:val="00992156"/>
    <w:rsid w:val="009921CC"/>
    <w:rsid w:val="00992370"/>
    <w:rsid w:val="00992651"/>
    <w:rsid w:val="009929AD"/>
    <w:rsid w:val="00992C20"/>
    <w:rsid w:val="00992CE9"/>
    <w:rsid w:val="00992D51"/>
    <w:rsid w:val="00992E1D"/>
    <w:rsid w:val="00992EEF"/>
    <w:rsid w:val="00993205"/>
    <w:rsid w:val="009934D4"/>
    <w:rsid w:val="00993735"/>
    <w:rsid w:val="00993BC4"/>
    <w:rsid w:val="00993C29"/>
    <w:rsid w:val="00993E34"/>
    <w:rsid w:val="0099410D"/>
    <w:rsid w:val="009944AA"/>
    <w:rsid w:val="009949D8"/>
    <w:rsid w:val="00994C52"/>
    <w:rsid w:val="00994CCC"/>
    <w:rsid w:val="00994D39"/>
    <w:rsid w:val="0099503A"/>
    <w:rsid w:val="009957D5"/>
    <w:rsid w:val="0099584E"/>
    <w:rsid w:val="0099594E"/>
    <w:rsid w:val="00995A42"/>
    <w:rsid w:val="00995A9A"/>
    <w:rsid w:val="00995DCF"/>
    <w:rsid w:val="0099607C"/>
    <w:rsid w:val="0099630B"/>
    <w:rsid w:val="00996375"/>
    <w:rsid w:val="00996604"/>
    <w:rsid w:val="009966DC"/>
    <w:rsid w:val="009966E2"/>
    <w:rsid w:val="00996755"/>
    <w:rsid w:val="009969A6"/>
    <w:rsid w:val="00996C51"/>
    <w:rsid w:val="009972F4"/>
    <w:rsid w:val="0099732E"/>
    <w:rsid w:val="00997583"/>
    <w:rsid w:val="00997901"/>
    <w:rsid w:val="00997C19"/>
    <w:rsid w:val="009A008A"/>
    <w:rsid w:val="009A00DC"/>
    <w:rsid w:val="009A03A6"/>
    <w:rsid w:val="009A066F"/>
    <w:rsid w:val="009A0672"/>
    <w:rsid w:val="009A07A8"/>
    <w:rsid w:val="009A08E8"/>
    <w:rsid w:val="009A08F1"/>
    <w:rsid w:val="009A09C0"/>
    <w:rsid w:val="009A0B17"/>
    <w:rsid w:val="009A0F41"/>
    <w:rsid w:val="009A10B6"/>
    <w:rsid w:val="009A12F0"/>
    <w:rsid w:val="009A13BF"/>
    <w:rsid w:val="009A1616"/>
    <w:rsid w:val="009A1718"/>
    <w:rsid w:val="009A1B15"/>
    <w:rsid w:val="009A1E51"/>
    <w:rsid w:val="009A204F"/>
    <w:rsid w:val="009A2078"/>
    <w:rsid w:val="009A21E6"/>
    <w:rsid w:val="009A2262"/>
    <w:rsid w:val="009A22AE"/>
    <w:rsid w:val="009A23C2"/>
    <w:rsid w:val="009A25D5"/>
    <w:rsid w:val="009A2648"/>
    <w:rsid w:val="009A2836"/>
    <w:rsid w:val="009A29BB"/>
    <w:rsid w:val="009A2A73"/>
    <w:rsid w:val="009A2E77"/>
    <w:rsid w:val="009A2FAA"/>
    <w:rsid w:val="009A2FDB"/>
    <w:rsid w:val="009A3082"/>
    <w:rsid w:val="009A31CC"/>
    <w:rsid w:val="009A31F0"/>
    <w:rsid w:val="009A33A6"/>
    <w:rsid w:val="009A386B"/>
    <w:rsid w:val="009A3E8D"/>
    <w:rsid w:val="009A4017"/>
    <w:rsid w:val="009A405B"/>
    <w:rsid w:val="009A4103"/>
    <w:rsid w:val="009A4161"/>
    <w:rsid w:val="009A41DC"/>
    <w:rsid w:val="009A45A6"/>
    <w:rsid w:val="009A4614"/>
    <w:rsid w:val="009A47E5"/>
    <w:rsid w:val="009A490A"/>
    <w:rsid w:val="009A496A"/>
    <w:rsid w:val="009A4A59"/>
    <w:rsid w:val="009A4D85"/>
    <w:rsid w:val="009A50CE"/>
    <w:rsid w:val="009A5223"/>
    <w:rsid w:val="009A5379"/>
    <w:rsid w:val="009A57CD"/>
    <w:rsid w:val="009A59BA"/>
    <w:rsid w:val="009A5C70"/>
    <w:rsid w:val="009A5D17"/>
    <w:rsid w:val="009A5D87"/>
    <w:rsid w:val="009A5F0C"/>
    <w:rsid w:val="009A5F1A"/>
    <w:rsid w:val="009A6147"/>
    <w:rsid w:val="009A6303"/>
    <w:rsid w:val="009A634D"/>
    <w:rsid w:val="009A6892"/>
    <w:rsid w:val="009A69D8"/>
    <w:rsid w:val="009A6AFD"/>
    <w:rsid w:val="009A6BD8"/>
    <w:rsid w:val="009A6FD4"/>
    <w:rsid w:val="009A703C"/>
    <w:rsid w:val="009A7272"/>
    <w:rsid w:val="009A7794"/>
    <w:rsid w:val="009A78EA"/>
    <w:rsid w:val="009A7901"/>
    <w:rsid w:val="009A7984"/>
    <w:rsid w:val="009A7F9A"/>
    <w:rsid w:val="009A7FE8"/>
    <w:rsid w:val="009B0005"/>
    <w:rsid w:val="009B001B"/>
    <w:rsid w:val="009B007D"/>
    <w:rsid w:val="009B0361"/>
    <w:rsid w:val="009B0560"/>
    <w:rsid w:val="009B0904"/>
    <w:rsid w:val="009B0B25"/>
    <w:rsid w:val="009B0EC3"/>
    <w:rsid w:val="009B0F74"/>
    <w:rsid w:val="009B1038"/>
    <w:rsid w:val="009B1476"/>
    <w:rsid w:val="009B14D6"/>
    <w:rsid w:val="009B18F4"/>
    <w:rsid w:val="009B1A23"/>
    <w:rsid w:val="009B1D86"/>
    <w:rsid w:val="009B2052"/>
    <w:rsid w:val="009B207A"/>
    <w:rsid w:val="009B218E"/>
    <w:rsid w:val="009B29AC"/>
    <w:rsid w:val="009B2A73"/>
    <w:rsid w:val="009B2C81"/>
    <w:rsid w:val="009B2CAE"/>
    <w:rsid w:val="009B2E2A"/>
    <w:rsid w:val="009B30C5"/>
    <w:rsid w:val="009B321A"/>
    <w:rsid w:val="009B358B"/>
    <w:rsid w:val="009B3779"/>
    <w:rsid w:val="009B3896"/>
    <w:rsid w:val="009B3A89"/>
    <w:rsid w:val="009B3B4E"/>
    <w:rsid w:val="009B3D8E"/>
    <w:rsid w:val="009B40EA"/>
    <w:rsid w:val="009B4160"/>
    <w:rsid w:val="009B46B6"/>
    <w:rsid w:val="009B490D"/>
    <w:rsid w:val="009B4A00"/>
    <w:rsid w:val="009B4A0B"/>
    <w:rsid w:val="009B4AC5"/>
    <w:rsid w:val="009B4B22"/>
    <w:rsid w:val="009B4F3E"/>
    <w:rsid w:val="009B4FB5"/>
    <w:rsid w:val="009B4FB6"/>
    <w:rsid w:val="009B512F"/>
    <w:rsid w:val="009B52B2"/>
    <w:rsid w:val="009B5449"/>
    <w:rsid w:val="009B5C80"/>
    <w:rsid w:val="009B608F"/>
    <w:rsid w:val="009B63D4"/>
    <w:rsid w:val="009B65BC"/>
    <w:rsid w:val="009B6AE3"/>
    <w:rsid w:val="009B6AE9"/>
    <w:rsid w:val="009B6AFF"/>
    <w:rsid w:val="009B7272"/>
    <w:rsid w:val="009B7339"/>
    <w:rsid w:val="009B7510"/>
    <w:rsid w:val="009B7823"/>
    <w:rsid w:val="009B787A"/>
    <w:rsid w:val="009B7A73"/>
    <w:rsid w:val="009B7E17"/>
    <w:rsid w:val="009B7F67"/>
    <w:rsid w:val="009C011F"/>
    <w:rsid w:val="009C0412"/>
    <w:rsid w:val="009C05CE"/>
    <w:rsid w:val="009C0613"/>
    <w:rsid w:val="009C0626"/>
    <w:rsid w:val="009C0863"/>
    <w:rsid w:val="009C086B"/>
    <w:rsid w:val="009C08E6"/>
    <w:rsid w:val="009C0CE4"/>
    <w:rsid w:val="009C0EDC"/>
    <w:rsid w:val="009C1135"/>
    <w:rsid w:val="009C12D7"/>
    <w:rsid w:val="009C15B4"/>
    <w:rsid w:val="009C169E"/>
    <w:rsid w:val="009C16B5"/>
    <w:rsid w:val="009C1B71"/>
    <w:rsid w:val="009C1B73"/>
    <w:rsid w:val="009C1E2F"/>
    <w:rsid w:val="009C1FEF"/>
    <w:rsid w:val="009C204C"/>
    <w:rsid w:val="009C233E"/>
    <w:rsid w:val="009C2853"/>
    <w:rsid w:val="009C2A38"/>
    <w:rsid w:val="009C2D7F"/>
    <w:rsid w:val="009C2DD9"/>
    <w:rsid w:val="009C2F51"/>
    <w:rsid w:val="009C30CD"/>
    <w:rsid w:val="009C3375"/>
    <w:rsid w:val="009C3387"/>
    <w:rsid w:val="009C359E"/>
    <w:rsid w:val="009C36BD"/>
    <w:rsid w:val="009C3801"/>
    <w:rsid w:val="009C393E"/>
    <w:rsid w:val="009C3B56"/>
    <w:rsid w:val="009C3C5E"/>
    <w:rsid w:val="009C3D3F"/>
    <w:rsid w:val="009C3DC4"/>
    <w:rsid w:val="009C410D"/>
    <w:rsid w:val="009C4478"/>
    <w:rsid w:val="009C49F1"/>
    <w:rsid w:val="009C4C93"/>
    <w:rsid w:val="009C57E2"/>
    <w:rsid w:val="009C5A12"/>
    <w:rsid w:val="009C5A50"/>
    <w:rsid w:val="009C6469"/>
    <w:rsid w:val="009C64B1"/>
    <w:rsid w:val="009C6587"/>
    <w:rsid w:val="009C69B0"/>
    <w:rsid w:val="009C6A5F"/>
    <w:rsid w:val="009C70B5"/>
    <w:rsid w:val="009C7332"/>
    <w:rsid w:val="009C73EC"/>
    <w:rsid w:val="009C75BF"/>
    <w:rsid w:val="009C75D6"/>
    <w:rsid w:val="009C767C"/>
    <w:rsid w:val="009C77A0"/>
    <w:rsid w:val="009C789F"/>
    <w:rsid w:val="009C7CE6"/>
    <w:rsid w:val="009C7D36"/>
    <w:rsid w:val="009C7D8B"/>
    <w:rsid w:val="009D06D2"/>
    <w:rsid w:val="009D0746"/>
    <w:rsid w:val="009D097E"/>
    <w:rsid w:val="009D0993"/>
    <w:rsid w:val="009D0BCA"/>
    <w:rsid w:val="009D0E7A"/>
    <w:rsid w:val="009D11DF"/>
    <w:rsid w:val="009D1E8D"/>
    <w:rsid w:val="009D1F9E"/>
    <w:rsid w:val="009D220E"/>
    <w:rsid w:val="009D29EB"/>
    <w:rsid w:val="009D2A78"/>
    <w:rsid w:val="009D2C61"/>
    <w:rsid w:val="009D2C86"/>
    <w:rsid w:val="009D2DD2"/>
    <w:rsid w:val="009D3059"/>
    <w:rsid w:val="009D3061"/>
    <w:rsid w:val="009D30D0"/>
    <w:rsid w:val="009D30D7"/>
    <w:rsid w:val="009D3332"/>
    <w:rsid w:val="009D34F1"/>
    <w:rsid w:val="009D35A6"/>
    <w:rsid w:val="009D38A8"/>
    <w:rsid w:val="009D3AF7"/>
    <w:rsid w:val="009D3B32"/>
    <w:rsid w:val="009D3EF7"/>
    <w:rsid w:val="009D3F87"/>
    <w:rsid w:val="009D40A0"/>
    <w:rsid w:val="009D44B9"/>
    <w:rsid w:val="009D474E"/>
    <w:rsid w:val="009D4758"/>
    <w:rsid w:val="009D4D06"/>
    <w:rsid w:val="009D5011"/>
    <w:rsid w:val="009D58DB"/>
    <w:rsid w:val="009D5D18"/>
    <w:rsid w:val="009D5DA4"/>
    <w:rsid w:val="009D5DAE"/>
    <w:rsid w:val="009D5DB7"/>
    <w:rsid w:val="009D6019"/>
    <w:rsid w:val="009D62E0"/>
    <w:rsid w:val="009D6315"/>
    <w:rsid w:val="009D64E4"/>
    <w:rsid w:val="009D6AB0"/>
    <w:rsid w:val="009D6B85"/>
    <w:rsid w:val="009D6C2F"/>
    <w:rsid w:val="009D6C3B"/>
    <w:rsid w:val="009D6F67"/>
    <w:rsid w:val="009D6F8A"/>
    <w:rsid w:val="009D7026"/>
    <w:rsid w:val="009D7374"/>
    <w:rsid w:val="009D766E"/>
    <w:rsid w:val="009D76F7"/>
    <w:rsid w:val="009D7C00"/>
    <w:rsid w:val="009E01B4"/>
    <w:rsid w:val="009E0AE6"/>
    <w:rsid w:val="009E0B75"/>
    <w:rsid w:val="009E0E8E"/>
    <w:rsid w:val="009E0F14"/>
    <w:rsid w:val="009E0F9F"/>
    <w:rsid w:val="009E12B6"/>
    <w:rsid w:val="009E1B0C"/>
    <w:rsid w:val="009E1DE5"/>
    <w:rsid w:val="009E1E02"/>
    <w:rsid w:val="009E1FDC"/>
    <w:rsid w:val="009E2007"/>
    <w:rsid w:val="009E207C"/>
    <w:rsid w:val="009E2367"/>
    <w:rsid w:val="009E24E5"/>
    <w:rsid w:val="009E2671"/>
    <w:rsid w:val="009E2A4C"/>
    <w:rsid w:val="009E3124"/>
    <w:rsid w:val="009E31B2"/>
    <w:rsid w:val="009E3208"/>
    <w:rsid w:val="009E34A5"/>
    <w:rsid w:val="009E396D"/>
    <w:rsid w:val="009E3A75"/>
    <w:rsid w:val="009E3B10"/>
    <w:rsid w:val="009E3B1C"/>
    <w:rsid w:val="009E3D13"/>
    <w:rsid w:val="009E4020"/>
    <w:rsid w:val="009E4085"/>
    <w:rsid w:val="009E41BB"/>
    <w:rsid w:val="009E445A"/>
    <w:rsid w:val="009E462D"/>
    <w:rsid w:val="009E46FD"/>
    <w:rsid w:val="009E4771"/>
    <w:rsid w:val="009E4E85"/>
    <w:rsid w:val="009E4EAE"/>
    <w:rsid w:val="009E508B"/>
    <w:rsid w:val="009E5150"/>
    <w:rsid w:val="009E5A6F"/>
    <w:rsid w:val="009E5D5E"/>
    <w:rsid w:val="009E5E3E"/>
    <w:rsid w:val="009E5EDE"/>
    <w:rsid w:val="009E6087"/>
    <w:rsid w:val="009E60AC"/>
    <w:rsid w:val="009E628C"/>
    <w:rsid w:val="009E62DE"/>
    <w:rsid w:val="009E63C4"/>
    <w:rsid w:val="009E64DF"/>
    <w:rsid w:val="009E65A5"/>
    <w:rsid w:val="009E6A6D"/>
    <w:rsid w:val="009E6A84"/>
    <w:rsid w:val="009E6B41"/>
    <w:rsid w:val="009E6C5D"/>
    <w:rsid w:val="009E6CEF"/>
    <w:rsid w:val="009E6E02"/>
    <w:rsid w:val="009E6E3A"/>
    <w:rsid w:val="009E6F19"/>
    <w:rsid w:val="009E7023"/>
    <w:rsid w:val="009E7151"/>
    <w:rsid w:val="009E7564"/>
    <w:rsid w:val="009E774D"/>
    <w:rsid w:val="009E7ACB"/>
    <w:rsid w:val="009E7D79"/>
    <w:rsid w:val="009E7EF6"/>
    <w:rsid w:val="009F00DB"/>
    <w:rsid w:val="009F0117"/>
    <w:rsid w:val="009F0196"/>
    <w:rsid w:val="009F02EF"/>
    <w:rsid w:val="009F055C"/>
    <w:rsid w:val="009F05DB"/>
    <w:rsid w:val="009F0721"/>
    <w:rsid w:val="009F08B5"/>
    <w:rsid w:val="009F0A8C"/>
    <w:rsid w:val="009F0D68"/>
    <w:rsid w:val="009F0E18"/>
    <w:rsid w:val="009F0F2A"/>
    <w:rsid w:val="009F1120"/>
    <w:rsid w:val="009F1317"/>
    <w:rsid w:val="009F1666"/>
    <w:rsid w:val="009F17D1"/>
    <w:rsid w:val="009F17DE"/>
    <w:rsid w:val="009F1916"/>
    <w:rsid w:val="009F1E82"/>
    <w:rsid w:val="009F20E5"/>
    <w:rsid w:val="009F2449"/>
    <w:rsid w:val="009F24F3"/>
    <w:rsid w:val="009F26A0"/>
    <w:rsid w:val="009F29E0"/>
    <w:rsid w:val="009F2A37"/>
    <w:rsid w:val="009F2C13"/>
    <w:rsid w:val="009F2DBB"/>
    <w:rsid w:val="009F3024"/>
    <w:rsid w:val="009F3039"/>
    <w:rsid w:val="009F30CD"/>
    <w:rsid w:val="009F31D5"/>
    <w:rsid w:val="009F32B4"/>
    <w:rsid w:val="009F347D"/>
    <w:rsid w:val="009F3559"/>
    <w:rsid w:val="009F377B"/>
    <w:rsid w:val="009F3A84"/>
    <w:rsid w:val="009F3B2E"/>
    <w:rsid w:val="009F3DC0"/>
    <w:rsid w:val="009F4321"/>
    <w:rsid w:val="009F4A8F"/>
    <w:rsid w:val="009F4C72"/>
    <w:rsid w:val="009F4C84"/>
    <w:rsid w:val="009F4EA7"/>
    <w:rsid w:val="009F4F02"/>
    <w:rsid w:val="009F5392"/>
    <w:rsid w:val="009F53FF"/>
    <w:rsid w:val="009F5D53"/>
    <w:rsid w:val="009F5E14"/>
    <w:rsid w:val="009F64C5"/>
    <w:rsid w:val="009F6582"/>
    <w:rsid w:val="009F6605"/>
    <w:rsid w:val="009F6612"/>
    <w:rsid w:val="009F6653"/>
    <w:rsid w:val="009F66DA"/>
    <w:rsid w:val="009F6C6A"/>
    <w:rsid w:val="009F6CF6"/>
    <w:rsid w:val="009F6D52"/>
    <w:rsid w:val="009F71C8"/>
    <w:rsid w:val="009F754F"/>
    <w:rsid w:val="009F7879"/>
    <w:rsid w:val="009F7C80"/>
    <w:rsid w:val="009F7EA4"/>
    <w:rsid w:val="00A00008"/>
    <w:rsid w:val="00A00184"/>
    <w:rsid w:val="00A00431"/>
    <w:rsid w:val="00A00664"/>
    <w:rsid w:val="00A00747"/>
    <w:rsid w:val="00A00B92"/>
    <w:rsid w:val="00A00BC8"/>
    <w:rsid w:val="00A00EF4"/>
    <w:rsid w:val="00A00F02"/>
    <w:rsid w:val="00A00F54"/>
    <w:rsid w:val="00A0134E"/>
    <w:rsid w:val="00A01483"/>
    <w:rsid w:val="00A0160D"/>
    <w:rsid w:val="00A01635"/>
    <w:rsid w:val="00A01B66"/>
    <w:rsid w:val="00A02106"/>
    <w:rsid w:val="00A02656"/>
    <w:rsid w:val="00A02C49"/>
    <w:rsid w:val="00A02D78"/>
    <w:rsid w:val="00A02E33"/>
    <w:rsid w:val="00A02FAC"/>
    <w:rsid w:val="00A0336F"/>
    <w:rsid w:val="00A03641"/>
    <w:rsid w:val="00A03E38"/>
    <w:rsid w:val="00A041DF"/>
    <w:rsid w:val="00A042B6"/>
    <w:rsid w:val="00A0436F"/>
    <w:rsid w:val="00A0483D"/>
    <w:rsid w:val="00A04A68"/>
    <w:rsid w:val="00A04AC7"/>
    <w:rsid w:val="00A04B82"/>
    <w:rsid w:val="00A04BDE"/>
    <w:rsid w:val="00A05132"/>
    <w:rsid w:val="00A05570"/>
    <w:rsid w:val="00A05743"/>
    <w:rsid w:val="00A057FA"/>
    <w:rsid w:val="00A05A22"/>
    <w:rsid w:val="00A05AAC"/>
    <w:rsid w:val="00A05EBB"/>
    <w:rsid w:val="00A05FD0"/>
    <w:rsid w:val="00A060A8"/>
    <w:rsid w:val="00A06386"/>
    <w:rsid w:val="00A067CE"/>
    <w:rsid w:val="00A067EF"/>
    <w:rsid w:val="00A06802"/>
    <w:rsid w:val="00A06A68"/>
    <w:rsid w:val="00A06AA4"/>
    <w:rsid w:val="00A07079"/>
    <w:rsid w:val="00A07172"/>
    <w:rsid w:val="00A07193"/>
    <w:rsid w:val="00A07269"/>
    <w:rsid w:val="00A0798C"/>
    <w:rsid w:val="00A07BCA"/>
    <w:rsid w:val="00A10034"/>
    <w:rsid w:val="00A10276"/>
    <w:rsid w:val="00A10534"/>
    <w:rsid w:val="00A10681"/>
    <w:rsid w:val="00A10701"/>
    <w:rsid w:val="00A10745"/>
    <w:rsid w:val="00A10759"/>
    <w:rsid w:val="00A10865"/>
    <w:rsid w:val="00A109C7"/>
    <w:rsid w:val="00A10ACF"/>
    <w:rsid w:val="00A10C02"/>
    <w:rsid w:val="00A10F97"/>
    <w:rsid w:val="00A11001"/>
    <w:rsid w:val="00A11048"/>
    <w:rsid w:val="00A1129D"/>
    <w:rsid w:val="00A11A2F"/>
    <w:rsid w:val="00A11ABE"/>
    <w:rsid w:val="00A11B89"/>
    <w:rsid w:val="00A11E40"/>
    <w:rsid w:val="00A11EEE"/>
    <w:rsid w:val="00A12049"/>
    <w:rsid w:val="00A1212C"/>
    <w:rsid w:val="00A12606"/>
    <w:rsid w:val="00A12623"/>
    <w:rsid w:val="00A127B1"/>
    <w:rsid w:val="00A12B65"/>
    <w:rsid w:val="00A12B7D"/>
    <w:rsid w:val="00A12DF7"/>
    <w:rsid w:val="00A13015"/>
    <w:rsid w:val="00A135F4"/>
    <w:rsid w:val="00A13701"/>
    <w:rsid w:val="00A138F2"/>
    <w:rsid w:val="00A139EC"/>
    <w:rsid w:val="00A13AC1"/>
    <w:rsid w:val="00A13C3C"/>
    <w:rsid w:val="00A13FA8"/>
    <w:rsid w:val="00A13FB0"/>
    <w:rsid w:val="00A14015"/>
    <w:rsid w:val="00A14545"/>
    <w:rsid w:val="00A14584"/>
    <w:rsid w:val="00A14640"/>
    <w:rsid w:val="00A14BBA"/>
    <w:rsid w:val="00A14C86"/>
    <w:rsid w:val="00A14D97"/>
    <w:rsid w:val="00A14DA4"/>
    <w:rsid w:val="00A14DC0"/>
    <w:rsid w:val="00A15103"/>
    <w:rsid w:val="00A1532D"/>
    <w:rsid w:val="00A15457"/>
    <w:rsid w:val="00A1547D"/>
    <w:rsid w:val="00A155F1"/>
    <w:rsid w:val="00A15A33"/>
    <w:rsid w:val="00A15DF5"/>
    <w:rsid w:val="00A15EE9"/>
    <w:rsid w:val="00A15FA1"/>
    <w:rsid w:val="00A1637C"/>
    <w:rsid w:val="00A16A46"/>
    <w:rsid w:val="00A16AB8"/>
    <w:rsid w:val="00A16F5C"/>
    <w:rsid w:val="00A16F91"/>
    <w:rsid w:val="00A16FD5"/>
    <w:rsid w:val="00A16FE1"/>
    <w:rsid w:val="00A17270"/>
    <w:rsid w:val="00A173E1"/>
    <w:rsid w:val="00A177CC"/>
    <w:rsid w:val="00A17BEF"/>
    <w:rsid w:val="00A17E97"/>
    <w:rsid w:val="00A17FA2"/>
    <w:rsid w:val="00A201AF"/>
    <w:rsid w:val="00A2028E"/>
    <w:rsid w:val="00A20944"/>
    <w:rsid w:val="00A20C91"/>
    <w:rsid w:val="00A20D61"/>
    <w:rsid w:val="00A20E46"/>
    <w:rsid w:val="00A20E61"/>
    <w:rsid w:val="00A20F44"/>
    <w:rsid w:val="00A21510"/>
    <w:rsid w:val="00A2153D"/>
    <w:rsid w:val="00A21597"/>
    <w:rsid w:val="00A2170B"/>
    <w:rsid w:val="00A217B6"/>
    <w:rsid w:val="00A21872"/>
    <w:rsid w:val="00A21AC1"/>
    <w:rsid w:val="00A21CF2"/>
    <w:rsid w:val="00A21FD0"/>
    <w:rsid w:val="00A220B6"/>
    <w:rsid w:val="00A22C40"/>
    <w:rsid w:val="00A22FD1"/>
    <w:rsid w:val="00A230F6"/>
    <w:rsid w:val="00A231C3"/>
    <w:rsid w:val="00A23203"/>
    <w:rsid w:val="00A2342B"/>
    <w:rsid w:val="00A23552"/>
    <w:rsid w:val="00A2387A"/>
    <w:rsid w:val="00A23DB2"/>
    <w:rsid w:val="00A2411F"/>
    <w:rsid w:val="00A2441D"/>
    <w:rsid w:val="00A2461A"/>
    <w:rsid w:val="00A2469D"/>
    <w:rsid w:val="00A247F6"/>
    <w:rsid w:val="00A248BA"/>
    <w:rsid w:val="00A24A3A"/>
    <w:rsid w:val="00A24B0D"/>
    <w:rsid w:val="00A24F7A"/>
    <w:rsid w:val="00A250EE"/>
    <w:rsid w:val="00A251C1"/>
    <w:rsid w:val="00A2533E"/>
    <w:rsid w:val="00A2562F"/>
    <w:rsid w:val="00A261CC"/>
    <w:rsid w:val="00A2670F"/>
    <w:rsid w:val="00A2674E"/>
    <w:rsid w:val="00A267EF"/>
    <w:rsid w:val="00A26D5F"/>
    <w:rsid w:val="00A2713E"/>
    <w:rsid w:val="00A27358"/>
    <w:rsid w:val="00A2760A"/>
    <w:rsid w:val="00A27AA9"/>
    <w:rsid w:val="00A27EC8"/>
    <w:rsid w:val="00A305DE"/>
    <w:rsid w:val="00A307AD"/>
    <w:rsid w:val="00A30B4D"/>
    <w:rsid w:val="00A30B77"/>
    <w:rsid w:val="00A30D00"/>
    <w:rsid w:val="00A30DF7"/>
    <w:rsid w:val="00A30EE5"/>
    <w:rsid w:val="00A314A2"/>
    <w:rsid w:val="00A314AE"/>
    <w:rsid w:val="00A316BF"/>
    <w:rsid w:val="00A31D1F"/>
    <w:rsid w:val="00A31F5D"/>
    <w:rsid w:val="00A321EB"/>
    <w:rsid w:val="00A3227C"/>
    <w:rsid w:val="00A32285"/>
    <w:rsid w:val="00A329EE"/>
    <w:rsid w:val="00A32CA0"/>
    <w:rsid w:val="00A32CD7"/>
    <w:rsid w:val="00A331BE"/>
    <w:rsid w:val="00A3333A"/>
    <w:rsid w:val="00A334C2"/>
    <w:rsid w:val="00A336EE"/>
    <w:rsid w:val="00A33B16"/>
    <w:rsid w:val="00A33FA7"/>
    <w:rsid w:val="00A341BD"/>
    <w:rsid w:val="00A34629"/>
    <w:rsid w:val="00A34685"/>
    <w:rsid w:val="00A34777"/>
    <w:rsid w:val="00A349B5"/>
    <w:rsid w:val="00A34AFF"/>
    <w:rsid w:val="00A34DC2"/>
    <w:rsid w:val="00A34E9E"/>
    <w:rsid w:val="00A34EBE"/>
    <w:rsid w:val="00A34FF2"/>
    <w:rsid w:val="00A3523E"/>
    <w:rsid w:val="00A3560F"/>
    <w:rsid w:val="00A356CA"/>
    <w:rsid w:val="00A357D2"/>
    <w:rsid w:val="00A35900"/>
    <w:rsid w:val="00A3598D"/>
    <w:rsid w:val="00A359A5"/>
    <w:rsid w:val="00A35A88"/>
    <w:rsid w:val="00A35D15"/>
    <w:rsid w:val="00A35DC9"/>
    <w:rsid w:val="00A35E50"/>
    <w:rsid w:val="00A35E9A"/>
    <w:rsid w:val="00A35F4F"/>
    <w:rsid w:val="00A36490"/>
    <w:rsid w:val="00A364C0"/>
    <w:rsid w:val="00A367F3"/>
    <w:rsid w:val="00A368CD"/>
    <w:rsid w:val="00A36951"/>
    <w:rsid w:val="00A36ACA"/>
    <w:rsid w:val="00A36B3C"/>
    <w:rsid w:val="00A36BFB"/>
    <w:rsid w:val="00A36C00"/>
    <w:rsid w:val="00A37136"/>
    <w:rsid w:val="00A37169"/>
    <w:rsid w:val="00A37438"/>
    <w:rsid w:val="00A375FF"/>
    <w:rsid w:val="00A37832"/>
    <w:rsid w:val="00A378FF"/>
    <w:rsid w:val="00A37B7B"/>
    <w:rsid w:val="00A37D4B"/>
    <w:rsid w:val="00A400C3"/>
    <w:rsid w:val="00A402DD"/>
    <w:rsid w:val="00A40595"/>
    <w:rsid w:val="00A40918"/>
    <w:rsid w:val="00A40A78"/>
    <w:rsid w:val="00A40C08"/>
    <w:rsid w:val="00A40C43"/>
    <w:rsid w:val="00A4107C"/>
    <w:rsid w:val="00A410C9"/>
    <w:rsid w:val="00A41340"/>
    <w:rsid w:val="00A41497"/>
    <w:rsid w:val="00A41666"/>
    <w:rsid w:val="00A419C4"/>
    <w:rsid w:val="00A419FA"/>
    <w:rsid w:val="00A41E89"/>
    <w:rsid w:val="00A42178"/>
    <w:rsid w:val="00A422DF"/>
    <w:rsid w:val="00A4236D"/>
    <w:rsid w:val="00A4276C"/>
    <w:rsid w:val="00A427C1"/>
    <w:rsid w:val="00A42B50"/>
    <w:rsid w:val="00A42EFD"/>
    <w:rsid w:val="00A43449"/>
    <w:rsid w:val="00A437BC"/>
    <w:rsid w:val="00A43B54"/>
    <w:rsid w:val="00A43C82"/>
    <w:rsid w:val="00A44473"/>
    <w:rsid w:val="00A4451C"/>
    <w:rsid w:val="00A4489A"/>
    <w:rsid w:val="00A448EA"/>
    <w:rsid w:val="00A4499C"/>
    <w:rsid w:val="00A449FE"/>
    <w:rsid w:val="00A44B6C"/>
    <w:rsid w:val="00A44C2D"/>
    <w:rsid w:val="00A44C3B"/>
    <w:rsid w:val="00A44CAD"/>
    <w:rsid w:val="00A45556"/>
    <w:rsid w:val="00A455B8"/>
    <w:rsid w:val="00A458ED"/>
    <w:rsid w:val="00A4596C"/>
    <w:rsid w:val="00A459F8"/>
    <w:rsid w:val="00A45AFC"/>
    <w:rsid w:val="00A45B91"/>
    <w:rsid w:val="00A45DE1"/>
    <w:rsid w:val="00A460EC"/>
    <w:rsid w:val="00A462CC"/>
    <w:rsid w:val="00A46316"/>
    <w:rsid w:val="00A464F8"/>
    <w:rsid w:val="00A465A3"/>
    <w:rsid w:val="00A46730"/>
    <w:rsid w:val="00A468DF"/>
    <w:rsid w:val="00A46A2C"/>
    <w:rsid w:val="00A46B29"/>
    <w:rsid w:val="00A46C58"/>
    <w:rsid w:val="00A46F2A"/>
    <w:rsid w:val="00A47831"/>
    <w:rsid w:val="00A478B3"/>
    <w:rsid w:val="00A47C02"/>
    <w:rsid w:val="00A50070"/>
    <w:rsid w:val="00A502BD"/>
    <w:rsid w:val="00A503F2"/>
    <w:rsid w:val="00A5064B"/>
    <w:rsid w:val="00A507B7"/>
    <w:rsid w:val="00A507CC"/>
    <w:rsid w:val="00A50C15"/>
    <w:rsid w:val="00A50CFC"/>
    <w:rsid w:val="00A50D3A"/>
    <w:rsid w:val="00A50DA2"/>
    <w:rsid w:val="00A50DDA"/>
    <w:rsid w:val="00A5102C"/>
    <w:rsid w:val="00A51054"/>
    <w:rsid w:val="00A512F9"/>
    <w:rsid w:val="00A5165D"/>
    <w:rsid w:val="00A516BE"/>
    <w:rsid w:val="00A51900"/>
    <w:rsid w:val="00A51CFF"/>
    <w:rsid w:val="00A51D1C"/>
    <w:rsid w:val="00A521E8"/>
    <w:rsid w:val="00A5234F"/>
    <w:rsid w:val="00A525B8"/>
    <w:rsid w:val="00A52656"/>
    <w:rsid w:val="00A526C1"/>
    <w:rsid w:val="00A526CB"/>
    <w:rsid w:val="00A526F8"/>
    <w:rsid w:val="00A52962"/>
    <w:rsid w:val="00A52A7D"/>
    <w:rsid w:val="00A52C42"/>
    <w:rsid w:val="00A52E54"/>
    <w:rsid w:val="00A53220"/>
    <w:rsid w:val="00A533FB"/>
    <w:rsid w:val="00A53631"/>
    <w:rsid w:val="00A5364A"/>
    <w:rsid w:val="00A53784"/>
    <w:rsid w:val="00A537F0"/>
    <w:rsid w:val="00A538A3"/>
    <w:rsid w:val="00A538AD"/>
    <w:rsid w:val="00A53974"/>
    <w:rsid w:val="00A53987"/>
    <w:rsid w:val="00A53A4E"/>
    <w:rsid w:val="00A53C62"/>
    <w:rsid w:val="00A53D82"/>
    <w:rsid w:val="00A53DA9"/>
    <w:rsid w:val="00A542F2"/>
    <w:rsid w:val="00A54551"/>
    <w:rsid w:val="00A5457C"/>
    <w:rsid w:val="00A54D82"/>
    <w:rsid w:val="00A550BE"/>
    <w:rsid w:val="00A550E6"/>
    <w:rsid w:val="00A55260"/>
    <w:rsid w:val="00A5567F"/>
    <w:rsid w:val="00A55965"/>
    <w:rsid w:val="00A559E4"/>
    <w:rsid w:val="00A55B10"/>
    <w:rsid w:val="00A56141"/>
    <w:rsid w:val="00A561B8"/>
    <w:rsid w:val="00A565D9"/>
    <w:rsid w:val="00A5665B"/>
    <w:rsid w:val="00A56DB9"/>
    <w:rsid w:val="00A57236"/>
    <w:rsid w:val="00A57418"/>
    <w:rsid w:val="00A5751C"/>
    <w:rsid w:val="00A577F9"/>
    <w:rsid w:val="00A57953"/>
    <w:rsid w:val="00A57A0D"/>
    <w:rsid w:val="00A57BF5"/>
    <w:rsid w:val="00A604F1"/>
    <w:rsid w:val="00A605A7"/>
    <w:rsid w:val="00A60662"/>
    <w:rsid w:val="00A608BD"/>
    <w:rsid w:val="00A609D9"/>
    <w:rsid w:val="00A60A15"/>
    <w:rsid w:val="00A6137E"/>
    <w:rsid w:val="00A6158F"/>
    <w:rsid w:val="00A61800"/>
    <w:rsid w:val="00A61857"/>
    <w:rsid w:val="00A618E9"/>
    <w:rsid w:val="00A61BB4"/>
    <w:rsid w:val="00A61C21"/>
    <w:rsid w:val="00A61C26"/>
    <w:rsid w:val="00A61D9A"/>
    <w:rsid w:val="00A61F9E"/>
    <w:rsid w:val="00A620A9"/>
    <w:rsid w:val="00A62193"/>
    <w:rsid w:val="00A622DC"/>
    <w:rsid w:val="00A625BD"/>
    <w:rsid w:val="00A628CA"/>
    <w:rsid w:val="00A6293D"/>
    <w:rsid w:val="00A62D34"/>
    <w:rsid w:val="00A63341"/>
    <w:rsid w:val="00A633AB"/>
    <w:rsid w:val="00A633D0"/>
    <w:rsid w:val="00A634A6"/>
    <w:rsid w:val="00A63520"/>
    <w:rsid w:val="00A6356D"/>
    <w:rsid w:val="00A637F2"/>
    <w:rsid w:val="00A63BA8"/>
    <w:rsid w:val="00A63C44"/>
    <w:rsid w:val="00A644C3"/>
    <w:rsid w:val="00A644CA"/>
    <w:rsid w:val="00A64751"/>
    <w:rsid w:val="00A647B1"/>
    <w:rsid w:val="00A648BF"/>
    <w:rsid w:val="00A64AB3"/>
    <w:rsid w:val="00A64F0C"/>
    <w:rsid w:val="00A6504E"/>
    <w:rsid w:val="00A65565"/>
    <w:rsid w:val="00A6558C"/>
    <w:rsid w:val="00A6570B"/>
    <w:rsid w:val="00A65997"/>
    <w:rsid w:val="00A659CF"/>
    <w:rsid w:val="00A65BDA"/>
    <w:rsid w:val="00A6603D"/>
    <w:rsid w:val="00A665DE"/>
    <w:rsid w:val="00A66648"/>
    <w:rsid w:val="00A66971"/>
    <w:rsid w:val="00A66C18"/>
    <w:rsid w:val="00A66C92"/>
    <w:rsid w:val="00A66D04"/>
    <w:rsid w:val="00A66FDD"/>
    <w:rsid w:val="00A67141"/>
    <w:rsid w:val="00A672CE"/>
    <w:rsid w:val="00A6769C"/>
    <w:rsid w:val="00A678E3"/>
    <w:rsid w:val="00A67A7D"/>
    <w:rsid w:val="00A67AEA"/>
    <w:rsid w:val="00A700C0"/>
    <w:rsid w:val="00A700EC"/>
    <w:rsid w:val="00A7080F"/>
    <w:rsid w:val="00A70C55"/>
    <w:rsid w:val="00A70D31"/>
    <w:rsid w:val="00A70EBC"/>
    <w:rsid w:val="00A70ECC"/>
    <w:rsid w:val="00A71047"/>
    <w:rsid w:val="00A71247"/>
    <w:rsid w:val="00A71396"/>
    <w:rsid w:val="00A71677"/>
    <w:rsid w:val="00A71A99"/>
    <w:rsid w:val="00A71B10"/>
    <w:rsid w:val="00A71BD9"/>
    <w:rsid w:val="00A71C7B"/>
    <w:rsid w:val="00A71CDD"/>
    <w:rsid w:val="00A720C5"/>
    <w:rsid w:val="00A72120"/>
    <w:rsid w:val="00A72730"/>
    <w:rsid w:val="00A72A5F"/>
    <w:rsid w:val="00A72B53"/>
    <w:rsid w:val="00A72C11"/>
    <w:rsid w:val="00A72C28"/>
    <w:rsid w:val="00A72EE8"/>
    <w:rsid w:val="00A72F8C"/>
    <w:rsid w:val="00A730EE"/>
    <w:rsid w:val="00A731C3"/>
    <w:rsid w:val="00A73364"/>
    <w:rsid w:val="00A733F2"/>
    <w:rsid w:val="00A73894"/>
    <w:rsid w:val="00A73AA5"/>
    <w:rsid w:val="00A73AA7"/>
    <w:rsid w:val="00A73AC8"/>
    <w:rsid w:val="00A73D2C"/>
    <w:rsid w:val="00A73FA1"/>
    <w:rsid w:val="00A74270"/>
    <w:rsid w:val="00A74627"/>
    <w:rsid w:val="00A749C4"/>
    <w:rsid w:val="00A74B11"/>
    <w:rsid w:val="00A750BD"/>
    <w:rsid w:val="00A75184"/>
    <w:rsid w:val="00A75490"/>
    <w:rsid w:val="00A75493"/>
    <w:rsid w:val="00A755A0"/>
    <w:rsid w:val="00A75813"/>
    <w:rsid w:val="00A75AA3"/>
    <w:rsid w:val="00A75D52"/>
    <w:rsid w:val="00A75E96"/>
    <w:rsid w:val="00A75F37"/>
    <w:rsid w:val="00A76071"/>
    <w:rsid w:val="00A7613E"/>
    <w:rsid w:val="00A761EB"/>
    <w:rsid w:val="00A763BA"/>
    <w:rsid w:val="00A7648E"/>
    <w:rsid w:val="00A764F0"/>
    <w:rsid w:val="00A76775"/>
    <w:rsid w:val="00A769A0"/>
    <w:rsid w:val="00A76B19"/>
    <w:rsid w:val="00A77492"/>
    <w:rsid w:val="00A777B2"/>
    <w:rsid w:val="00A77A3C"/>
    <w:rsid w:val="00A77E09"/>
    <w:rsid w:val="00A8003D"/>
    <w:rsid w:val="00A8064F"/>
    <w:rsid w:val="00A806C1"/>
    <w:rsid w:val="00A807A8"/>
    <w:rsid w:val="00A80B01"/>
    <w:rsid w:val="00A80D05"/>
    <w:rsid w:val="00A8156C"/>
    <w:rsid w:val="00A81612"/>
    <w:rsid w:val="00A8163C"/>
    <w:rsid w:val="00A81957"/>
    <w:rsid w:val="00A81A6D"/>
    <w:rsid w:val="00A81C2E"/>
    <w:rsid w:val="00A81C4C"/>
    <w:rsid w:val="00A81E2A"/>
    <w:rsid w:val="00A81E71"/>
    <w:rsid w:val="00A8200B"/>
    <w:rsid w:val="00A82049"/>
    <w:rsid w:val="00A820FC"/>
    <w:rsid w:val="00A820FF"/>
    <w:rsid w:val="00A822F8"/>
    <w:rsid w:val="00A8232B"/>
    <w:rsid w:val="00A82510"/>
    <w:rsid w:val="00A8282B"/>
    <w:rsid w:val="00A82B33"/>
    <w:rsid w:val="00A82EA2"/>
    <w:rsid w:val="00A82F8E"/>
    <w:rsid w:val="00A83036"/>
    <w:rsid w:val="00A83046"/>
    <w:rsid w:val="00A833C2"/>
    <w:rsid w:val="00A835A8"/>
    <w:rsid w:val="00A836D0"/>
    <w:rsid w:val="00A838EA"/>
    <w:rsid w:val="00A83C61"/>
    <w:rsid w:val="00A83D90"/>
    <w:rsid w:val="00A83E04"/>
    <w:rsid w:val="00A83F0F"/>
    <w:rsid w:val="00A83FA0"/>
    <w:rsid w:val="00A842FA"/>
    <w:rsid w:val="00A843B3"/>
    <w:rsid w:val="00A845C9"/>
    <w:rsid w:val="00A845E4"/>
    <w:rsid w:val="00A84AA6"/>
    <w:rsid w:val="00A855F1"/>
    <w:rsid w:val="00A855F6"/>
    <w:rsid w:val="00A8570E"/>
    <w:rsid w:val="00A85BC2"/>
    <w:rsid w:val="00A85D0C"/>
    <w:rsid w:val="00A85F21"/>
    <w:rsid w:val="00A8600D"/>
    <w:rsid w:val="00A86214"/>
    <w:rsid w:val="00A86331"/>
    <w:rsid w:val="00A8639F"/>
    <w:rsid w:val="00A8647F"/>
    <w:rsid w:val="00A864B0"/>
    <w:rsid w:val="00A8662E"/>
    <w:rsid w:val="00A8691A"/>
    <w:rsid w:val="00A86965"/>
    <w:rsid w:val="00A86B4A"/>
    <w:rsid w:val="00A86C2D"/>
    <w:rsid w:val="00A86CDD"/>
    <w:rsid w:val="00A87155"/>
    <w:rsid w:val="00A87BCC"/>
    <w:rsid w:val="00A87F03"/>
    <w:rsid w:val="00A90138"/>
    <w:rsid w:val="00A90328"/>
    <w:rsid w:val="00A907D2"/>
    <w:rsid w:val="00A908C9"/>
    <w:rsid w:val="00A90A73"/>
    <w:rsid w:val="00A90BBF"/>
    <w:rsid w:val="00A90DAC"/>
    <w:rsid w:val="00A90EF9"/>
    <w:rsid w:val="00A90F26"/>
    <w:rsid w:val="00A91023"/>
    <w:rsid w:val="00A91627"/>
    <w:rsid w:val="00A91937"/>
    <w:rsid w:val="00A919C3"/>
    <w:rsid w:val="00A91A0F"/>
    <w:rsid w:val="00A91AB2"/>
    <w:rsid w:val="00A91BF5"/>
    <w:rsid w:val="00A91EEC"/>
    <w:rsid w:val="00A9228D"/>
    <w:rsid w:val="00A92864"/>
    <w:rsid w:val="00A93117"/>
    <w:rsid w:val="00A9379D"/>
    <w:rsid w:val="00A9388E"/>
    <w:rsid w:val="00A939A1"/>
    <w:rsid w:val="00A93A7F"/>
    <w:rsid w:val="00A93B5C"/>
    <w:rsid w:val="00A93C42"/>
    <w:rsid w:val="00A93C73"/>
    <w:rsid w:val="00A93E1C"/>
    <w:rsid w:val="00A94016"/>
    <w:rsid w:val="00A9436A"/>
    <w:rsid w:val="00A945C9"/>
    <w:rsid w:val="00A945F7"/>
    <w:rsid w:val="00A9492A"/>
    <w:rsid w:val="00A94E41"/>
    <w:rsid w:val="00A94E46"/>
    <w:rsid w:val="00A94F66"/>
    <w:rsid w:val="00A953C1"/>
    <w:rsid w:val="00A9555B"/>
    <w:rsid w:val="00A9585D"/>
    <w:rsid w:val="00A95901"/>
    <w:rsid w:val="00A95950"/>
    <w:rsid w:val="00A95DCE"/>
    <w:rsid w:val="00A96224"/>
    <w:rsid w:val="00A962D1"/>
    <w:rsid w:val="00A9636E"/>
    <w:rsid w:val="00A96553"/>
    <w:rsid w:val="00A965A3"/>
    <w:rsid w:val="00A965F7"/>
    <w:rsid w:val="00A967B0"/>
    <w:rsid w:val="00A96982"/>
    <w:rsid w:val="00A969E6"/>
    <w:rsid w:val="00A969F0"/>
    <w:rsid w:val="00A96A2A"/>
    <w:rsid w:val="00A96B8A"/>
    <w:rsid w:val="00A96BB3"/>
    <w:rsid w:val="00A96CDE"/>
    <w:rsid w:val="00A96E81"/>
    <w:rsid w:val="00A970BC"/>
    <w:rsid w:val="00A97273"/>
    <w:rsid w:val="00A973AD"/>
    <w:rsid w:val="00A973EF"/>
    <w:rsid w:val="00A9750A"/>
    <w:rsid w:val="00A975A8"/>
    <w:rsid w:val="00A97745"/>
    <w:rsid w:val="00A977D3"/>
    <w:rsid w:val="00A97981"/>
    <w:rsid w:val="00A979F5"/>
    <w:rsid w:val="00A97A6E"/>
    <w:rsid w:val="00A97B14"/>
    <w:rsid w:val="00A97BAC"/>
    <w:rsid w:val="00A97EB8"/>
    <w:rsid w:val="00AA02AA"/>
    <w:rsid w:val="00AA0629"/>
    <w:rsid w:val="00AA0727"/>
    <w:rsid w:val="00AA0799"/>
    <w:rsid w:val="00AA0A90"/>
    <w:rsid w:val="00AA0C7B"/>
    <w:rsid w:val="00AA0EEA"/>
    <w:rsid w:val="00AA1499"/>
    <w:rsid w:val="00AA17AD"/>
    <w:rsid w:val="00AA1940"/>
    <w:rsid w:val="00AA1947"/>
    <w:rsid w:val="00AA199E"/>
    <w:rsid w:val="00AA1E6D"/>
    <w:rsid w:val="00AA1FF3"/>
    <w:rsid w:val="00AA20F5"/>
    <w:rsid w:val="00AA21EE"/>
    <w:rsid w:val="00AA2342"/>
    <w:rsid w:val="00AA25B1"/>
    <w:rsid w:val="00AA263B"/>
    <w:rsid w:val="00AA2676"/>
    <w:rsid w:val="00AA2950"/>
    <w:rsid w:val="00AA2AC3"/>
    <w:rsid w:val="00AA2D6B"/>
    <w:rsid w:val="00AA343C"/>
    <w:rsid w:val="00AA3457"/>
    <w:rsid w:val="00AA3483"/>
    <w:rsid w:val="00AA34C3"/>
    <w:rsid w:val="00AA3A64"/>
    <w:rsid w:val="00AA3B0C"/>
    <w:rsid w:val="00AA3DB1"/>
    <w:rsid w:val="00AA3F72"/>
    <w:rsid w:val="00AA4139"/>
    <w:rsid w:val="00AA447F"/>
    <w:rsid w:val="00AA44C5"/>
    <w:rsid w:val="00AA4595"/>
    <w:rsid w:val="00AA4EC3"/>
    <w:rsid w:val="00AA50E2"/>
    <w:rsid w:val="00AA5203"/>
    <w:rsid w:val="00AA55B4"/>
    <w:rsid w:val="00AA56A2"/>
    <w:rsid w:val="00AA5B01"/>
    <w:rsid w:val="00AA5C3D"/>
    <w:rsid w:val="00AA5ECF"/>
    <w:rsid w:val="00AA5EF7"/>
    <w:rsid w:val="00AA603F"/>
    <w:rsid w:val="00AA6105"/>
    <w:rsid w:val="00AA63A5"/>
    <w:rsid w:val="00AA6415"/>
    <w:rsid w:val="00AA64AC"/>
    <w:rsid w:val="00AA66AD"/>
    <w:rsid w:val="00AA671D"/>
    <w:rsid w:val="00AA67AF"/>
    <w:rsid w:val="00AA688F"/>
    <w:rsid w:val="00AA6CA3"/>
    <w:rsid w:val="00AA6DCF"/>
    <w:rsid w:val="00AA6DD0"/>
    <w:rsid w:val="00AA7305"/>
    <w:rsid w:val="00AA7746"/>
    <w:rsid w:val="00AB001A"/>
    <w:rsid w:val="00AB0057"/>
    <w:rsid w:val="00AB00C6"/>
    <w:rsid w:val="00AB0298"/>
    <w:rsid w:val="00AB0844"/>
    <w:rsid w:val="00AB094F"/>
    <w:rsid w:val="00AB0B29"/>
    <w:rsid w:val="00AB0DF5"/>
    <w:rsid w:val="00AB0FC0"/>
    <w:rsid w:val="00AB0FD1"/>
    <w:rsid w:val="00AB1183"/>
    <w:rsid w:val="00AB118D"/>
    <w:rsid w:val="00AB11BA"/>
    <w:rsid w:val="00AB1657"/>
    <w:rsid w:val="00AB1803"/>
    <w:rsid w:val="00AB18D9"/>
    <w:rsid w:val="00AB1EB3"/>
    <w:rsid w:val="00AB1EFE"/>
    <w:rsid w:val="00AB1FAC"/>
    <w:rsid w:val="00AB20C3"/>
    <w:rsid w:val="00AB22A5"/>
    <w:rsid w:val="00AB25DC"/>
    <w:rsid w:val="00AB2B27"/>
    <w:rsid w:val="00AB2C81"/>
    <w:rsid w:val="00AB2D05"/>
    <w:rsid w:val="00AB3537"/>
    <w:rsid w:val="00AB3AF2"/>
    <w:rsid w:val="00AB3C43"/>
    <w:rsid w:val="00AB482B"/>
    <w:rsid w:val="00AB4B6A"/>
    <w:rsid w:val="00AB525F"/>
    <w:rsid w:val="00AB5996"/>
    <w:rsid w:val="00AB5B21"/>
    <w:rsid w:val="00AB5BB1"/>
    <w:rsid w:val="00AB5E8F"/>
    <w:rsid w:val="00AB6102"/>
    <w:rsid w:val="00AB6122"/>
    <w:rsid w:val="00AB63EE"/>
    <w:rsid w:val="00AB655B"/>
    <w:rsid w:val="00AB6BEE"/>
    <w:rsid w:val="00AB6D1B"/>
    <w:rsid w:val="00AB6F06"/>
    <w:rsid w:val="00AB70AA"/>
    <w:rsid w:val="00AB70D4"/>
    <w:rsid w:val="00AB7589"/>
    <w:rsid w:val="00AB77C6"/>
    <w:rsid w:val="00AB797E"/>
    <w:rsid w:val="00AB7B76"/>
    <w:rsid w:val="00AC0836"/>
    <w:rsid w:val="00AC08E0"/>
    <w:rsid w:val="00AC0A14"/>
    <w:rsid w:val="00AC0ABF"/>
    <w:rsid w:val="00AC0C95"/>
    <w:rsid w:val="00AC14C2"/>
    <w:rsid w:val="00AC155B"/>
    <w:rsid w:val="00AC16C9"/>
    <w:rsid w:val="00AC1704"/>
    <w:rsid w:val="00AC24FB"/>
    <w:rsid w:val="00AC2516"/>
    <w:rsid w:val="00AC2839"/>
    <w:rsid w:val="00AC28EB"/>
    <w:rsid w:val="00AC2A96"/>
    <w:rsid w:val="00AC2C8C"/>
    <w:rsid w:val="00AC2EDE"/>
    <w:rsid w:val="00AC3428"/>
    <w:rsid w:val="00AC34DD"/>
    <w:rsid w:val="00AC353A"/>
    <w:rsid w:val="00AC3570"/>
    <w:rsid w:val="00AC3667"/>
    <w:rsid w:val="00AC3972"/>
    <w:rsid w:val="00AC3B02"/>
    <w:rsid w:val="00AC3DC9"/>
    <w:rsid w:val="00AC4044"/>
    <w:rsid w:val="00AC4054"/>
    <w:rsid w:val="00AC42F5"/>
    <w:rsid w:val="00AC4368"/>
    <w:rsid w:val="00AC4480"/>
    <w:rsid w:val="00AC49DB"/>
    <w:rsid w:val="00AC4DDB"/>
    <w:rsid w:val="00AC4F60"/>
    <w:rsid w:val="00AC523B"/>
    <w:rsid w:val="00AC565E"/>
    <w:rsid w:val="00AC567C"/>
    <w:rsid w:val="00AC5738"/>
    <w:rsid w:val="00AC57DB"/>
    <w:rsid w:val="00AC5812"/>
    <w:rsid w:val="00AC5995"/>
    <w:rsid w:val="00AC5B16"/>
    <w:rsid w:val="00AC5B91"/>
    <w:rsid w:val="00AC5DD6"/>
    <w:rsid w:val="00AC5DF8"/>
    <w:rsid w:val="00AC5E34"/>
    <w:rsid w:val="00AC5F0D"/>
    <w:rsid w:val="00AC621A"/>
    <w:rsid w:val="00AC632F"/>
    <w:rsid w:val="00AC637C"/>
    <w:rsid w:val="00AC652F"/>
    <w:rsid w:val="00AC6785"/>
    <w:rsid w:val="00AC6A94"/>
    <w:rsid w:val="00AC6C03"/>
    <w:rsid w:val="00AC6EA4"/>
    <w:rsid w:val="00AC6EDA"/>
    <w:rsid w:val="00AC6F07"/>
    <w:rsid w:val="00AC6F77"/>
    <w:rsid w:val="00AC706A"/>
    <w:rsid w:val="00AC7445"/>
    <w:rsid w:val="00AC7545"/>
    <w:rsid w:val="00AC7951"/>
    <w:rsid w:val="00AC7A9F"/>
    <w:rsid w:val="00AD0041"/>
    <w:rsid w:val="00AD0196"/>
    <w:rsid w:val="00AD03C5"/>
    <w:rsid w:val="00AD03C8"/>
    <w:rsid w:val="00AD04D9"/>
    <w:rsid w:val="00AD07D2"/>
    <w:rsid w:val="00AD08A9"/>
    <w:rsid w:val="00AD08D1"/>
    <w:rsid w:val="00AD0AFD"/>
    <w:rsid w:val="00AD0BEB"/>
    <w:rsid w:val="00AD0E7F"/>
    <w:rsid w:val="00AD1475"/>
    <w:rsid w:val="00AD15D3"/>
    <w:rsid w:val="00AD1639"/>
    <w:rsid w:val="00AD18C9"/>
    <w:rsid w:val="00AD1C01"/>
    <w:rsid w:val="00AD1C08"/>
    <w:rsid w:val="00AD1DCB"/>
    <w:rsid w:val="00AD1EB4"/>
    <w:rsid w:val="00AD1F51"/>
    <w:rsid w:val="00AD208A"/>
    <w:rsid w:val="00AD216B"/>
    <w:rsid w:val="00AD2835"/>
    <w:rsid w:val="00AD2B39"/>
    <w:rsid w:val="00AD2C0C"/>
    <w:rsid w:val="00AD2C11"/>
    <w:rsid w:val="00AD2CC8"/>
    <w:rsid w:val="00AD2D02"/>
    <w:rsid w:val="00AD3171"/>
    <w:rsid w:val="00AD31D7"/>
    <w:rsid w:val="00AD33CA"/>
    <w:rsid w:val="00AD36C7"/>
    <w:rsid w:val="00AD387C"/>
    <w:rsid w:val="00AD38CE"/>
    <w:rsid w:val="00AD3D80"/>
    <w:rsid w:val="00AD3DF9"/>
    <w:rsid w:val="00AD3F31"/>
    <w:rsid w:val="00AD435D"/>
    <w:rsid w:val="00AD44EE"/>
    <w:rsid w:val="00AD4886"/>
    <w:rsid w:val="00AD48B0"/>
    <w:rsid w:val="00AD48E7"/>
    <w:rsid w:val="00AD490E"/>
    <w:rsid w:val="00AD49DE"/>
    <w:rsid w:val="00AD49F5"/>
    <w:rsid w:val="00AD4A98"/>
    <w:rsid w:val="00AD4AC9"/>
    <w:rsid w:val="00AD4F18"/>
    <w:rsid w:val="00AD5114"/>
    <w:rsid w:val="00AD535F"/>
    <w:rsid w:val="00AD543E"/>
    <w:rsid w:val="00AD5571"/>
    <w:rsid w:val="00AD5CE1"/>
    <w:rsid w:val="00AD5F5C"/>
    <w:rsid w:val="00AD601F"/>
    <w:rsid w:val="00AD61B5"/>
    <w:rsid w:val="00AD6345"/>
    <w:rsid w:val="00AD643A"/>
    <w:rsid w:val="00AD64D7"/>
    <w:rsid w:val="00AD6536"/>
    <w:rsid w:val="00AD657E"/>
    <w:rsid w:val="00AD683B"/>
    <w:rsid w:val="00AD6CD7"/>
    <w:rsid w:val="00AD6EA9"/>
    <w:rsid w:val="00AD7936"/>
    <w:rsid w:val="00AD79EF"/>
    <w:rsid w:val="00AD7B78"/>
    <w:rsid w:val="00AD7BC5"/>
    <w:rsid w:val="00AD7EF9"/>
    <w:rsid w:val="00AE01E4"/>
    <w:rsid w:val="00AE0300"/>
    <w:rsid w:val="00AE05F8"/>
    <w:rsid w:val="00AE08D0"/>
    <w:rsid w:val="00AE0963"/>
    <w:rsid w:val="00AE0B07"/>
    <w:rsid w:val="00AE0B60"/>
    <w:rsid w:val="00AE0D97"/>
    <w:rsid w:val="00AE12EE"/>
    <w:rsid w:val="00AE13D4"/>
    <w:rsid w:val="00AE13ED"/>
    <w:rsid w:val="00AE15C8"/>
    <w:rsid w:val="00AE15ED"/>
    <w:rsid w:val="00AE1725"/>
    <w:rsid w:val="00AE1844"/>
    <w:rsid w:val="00AE18C7"/>
    <w:rsid w:val="00AE1FF1"/>
    <w:rsid w:val="00AE2101"/>
    <w:rsid w:val="00AE21EF"/>
    <w:rsid w:val="00AE2400"/>
    <w:rsid w:val="00AE2827"/>
    <w:rsid w:val="00AE284E"/>
    <w:rsid w:val="00AE2869"/>
    <w:rsid w:val="00AE2B36"/>
    <w:rsid w:val="00AE2E25"/>
    <w:rsid w:val="00AE2EAE"/>
    <w:rsid w:val="00AE30F9"/>
    <w:rsid w:val="00AE3501"/>
    <w:rsid w:val="00AE3590"/>
    <w:rsid w:val="00AE36C9"/>
    <w:rsid w:val="00AE3809"/>
    <w:rsid w:val="00AE3960"/>
    <w:rsid w:val="00AE3983"/>
    <w:rsid w:val="00AE3AC2"/>
    <w:rsid w:val="00AE3C00"/>
    <w:rsid w:val="00AE3D5F"/>
    <w:rsid w:val="00AE3E37"/>
    <w:rsid w:val="00AE3EEB"/>
    <w:rsid w:val="00AE3EFA"/>
    <w:rsid w:val="00AE3F05"/>
    <w:rsid w:val="00AE407A"/>
    <w:rsid w:val="00AE4756"/>
    <w:rsid w:val="00AE483A"/>
    <w:rsid w:val="00AE4ABF"/>
    <w:rsid w:val="00AE4ADE"/>
    <w:rsid w:val="00AE4D91"/>
    <w:rsid w:val="00AE4EE1"/>
    <w:rsid w:val="00AE513F"/>
    <w:rsid w:val="00AE54C2"/>
    <w:rsid w:val="00AE5B49"/>
    <w:rsid w:val="00AE5B9B"/>
    <w:rsid w:val="00AE5E14"/>
    <w:rsid w:val="00AE5F02"/>
    <w:rsid w:val="00AE5F23"/>
    <w:rsid w:val="00AE6253"/>
    <w:rsid w:val="00AE6376"/>
    <w:rsid w:val="00AE637B"/>
    <w:rsid w:val="00AE63C1"/>
    <w:rsid w:val="00AE6447"/>
    <w:rsid w:val="00AE6656"/>
    <w:rsid w:val="00AE67F6"/>
    <w:rsid w:val="00AE6E96"/>
    <w:rsid w:val="00AE7034"/>
    <w:rsid w:val="00AE70CB"/>
    <w:rsid w:val="00AE71D5"/>
    <w:rsid w:val="00AE732D"/>
    <w:rsid w:val="00AE74D2"/>
    <w:rsid w:val="00AE776F"/>
    <w:rsid w:val="00AE7A17"/>
    <w:rsid w:val="00AE7AE2"/>
    <w:rsid w:val="00AE7F5F"/>
    <w:rsid w:val="00AF0101"/>
    <w:rsid w:val="00AF01E9"/>
    <w:rsid w:val="00AF0316"/>
    <w:rsid w:val="00AF0782"/>
    <w:rsid w:val="00AF08FF"/>
    <w:rsid w:val="00AF09F7"/>
    <w:rsid w:val="00AF0B5C"/>
    <w:rsid w:val="00AF0B99"/>
    <w:rsid w:val="00AF0CF6"/>
    <w:rsid w:val="00AF0DAD"/>
    <w:rsid w:val="00AF0DDC"/>
    <w:rsid w:val="00AF0FFB"/>
    <w:rsid w:val="00AF1093"/>
    <w:rsid w:val="00AF134D"/>
    <w:rsid w:val="00AF13C7"/>
    <w:rsid w:val="00AF13F1"/>
    <w:rsid w:val="00AF15D9"/>
    <w:rsid w:val="00AF1707"/>
    <w:rsid w:val="00AF176C"/>
    <w:rsid w:val="00AF1812"/>
    <w:rsid w:val="00AF18EB"/>
    <w:rsid w:val="00AF1932"/>
    <w:rsid w:val="00AF1A62"/>
    <w:rsid w:val="00AF1CDB"/>
    <w:rsid w:val="00AF21EF"/>
    <w:rsid w:val="00AF23D5"/>
    <w:rsid w:val="00AF2483"/>
    <w:rsid w:val="00AF258B"/>
    <w:rsid w:val="00AF2824"/>
    <w:rsid w:val="00AF29D1"/>
    <w:rsid w:val="00AF2A81"/>
    <w:rsid w:val="00AF2CF2"/>
    <w:rsid w:val="00AF2E2B"/>
    <w:rsid w:val="00AF3518"/>
    <w:rsid w:val="00AF3897"/>
    <w:rsid w:val="00AF3C4E"/>
    <w:rsid w:val="00AF3CCE"/>
    <w:rsid w:val="00AF3E1C"/>
    <w:rsid w:val="00AF3E1E"/>
    <w:rsid w:val="00AF3E95"/>
    <w:rsid w:val="00AF3F66"/>
    <w:rsid w:val="00AF408D"/>
    <w:rsid w:val="00AF430C"/>
    <w:rsid w:val="00AF4652"/>
    <w:rsid w:val="00AF4D7F"/>
    <w:rsid w:val="00AF5296"/>
    <w:rsid w:val="00AF55FE"/>
    <w:rsid w:val="00AF5AD9"/>
    <w:rsid w:val="00AF6358"/>
    <w:rsid w:val="00AF6394"/>
    <w:rsid w:val="00AF641A"/>
    <w:rsid w:val="00AF650D"/>
    <w:rsid w:val="00AF655A"/>
    <w:rsid w:val="00AF6720"/>
    <w:rsid w:val="00AF6853"/>
    <w:rsid w:val="00AF6C51"/>
    <w:rsid w:val="00AF6F05"/>
    <w:rsid w:val="00AF6F35"/>
    <w:rsid w:val="00AF6F38"/>
    <w:rsid w:val="00AF705D"/>
    <w:rsid w:val="00AF709A"/>
    <w:rsid w:val="00AF70CC"/>
    <w:rsid w:val="00AF72B1"/>
    <w:rsid w:val="00AF742F"/>
    <w:rsid w:val="00AF7688"/>
    <w:rsid w:val="00AF7A96"/>
    <w:rsid w:val="00AF7DA2"/>
    <w:rsid w:val="00AF7E1A"/>
    <w:rsid w:val="00AF7E48"/>
    <w:rsid w:val="00B002DC"/>
    <w:rsid w:val="00B0036D"/>
    <w:rsid w:val="00B005E3"/>
    <w:rsid w:val="00B0091E"/>
    <w:rsid w:val="00B00A6D"/>
    <w:rsid w:val="00B00BA0"/>
    <w:rsid w:val="00B00C2F"/>
    <w:rsid w:val="00B00D0F"/>
    <w:rsid w:val="00B01021"/>
    <w:rsid w:val="00B01139"/>
    <w:rsid w:val="00B01540"/>
    <w:rsid w:val="00B01891"/>
    <w:rsid w:val="00B01B96"/>
    <w:rsid w:val="00B01BAF"/>
    <w:rsid w:val="00B01E1E"/>
    <w:rsid w:val="00B023C1"/>
    <w:rsid w:val="00B023C4"/>
    <w:rsid w:val="00B027DF"/>
    <w:rsid w:val="00B02854"/>
    <w:rsid w:val="00B0285C"/>
    <w:rsid w:val="00B02B80"/>
    <w:rsid w:val="00B02BAC"/>
    <w:rsid w:val="00B032E0"/>
    <w:rsid w:val="00B033D1"/>
    <w:rsid w:val="00B03585"/>
    <w:rsid w:val="00B035AE"/>
    <w:rsid w:val="00B0365F"/>
    <w:rsid w:val="00B03866"/>
    <w:rsid w:val="00B03922"/>
    <w:rsid w:val="00B039A0"/>
    <w:rsid w:val="00B03A79"/>
    <w:rsid w:val="00B03B8C"/>
    <w:rsid w:val="00B03FA0"/>
    <w:rsid w:val="00B04022"/>
    <w:rsid w:val="00B0428F"/>
    <w:rsid w:val="00B043F8"/>
    <w:rsid w:val="00B04472"/>
    <w:rsid w:val="00B045F5"/>
    <w:rsid w:val="00B04952"/>
    <w:rsid w:val="00B04B6B"/>
    <w:rsid w:val="00B04BA2"/>
    <w:rsid w:val="00B04EBE"/>
    <w:rsid w:val="00B04F30"/>
    <w:rsid w:val="00B04F9A"/>
    <w:rsid w:val="00B04FA8"/>
    <w:rsid w:val="00B05063"/>
    <w:rsid w:val="00B05136"/>
    <w:rsid w:val="00B05236"/>
    <w:rsid w:val="00B05489"/>
    <w:rsid w:val="00B059B9"/>
    <w:rsid w:val="00B05C23"/>
    <w:rsid w:val="00B05FF1"/>
    <w:rsid w:val="00B06065"/>
    <w:rsid w:val="00B060B4"/>
    <w:rsid w:val="00B061BA"/>
    <w:rsid w:val="00B06412"/>
    <w:rsid w:val="00B0642C"/>
    <w:rsid w:val="00B06524"/>
    <w:rsid w:val="00B065B3"/>
    <w:rsid w:val="00B0660D"/>
    <w:rsid w:val="00B0676B"/>
    <w:rsid w:val="00B06B1D"/>
    <w:rsid w:val="00B06C0E"/>
    <w:rsid w:val="00B06C36"/>
    <w:rsid w:val="00B06E5A"/>
    <w:rsid w:val="00B070DE"/>
    <w:rsid w:val="00B071A2"/>
    <w:rsid w:val="00B072D5"/>
    <w:rsid w:val="00B077B9"/>
    <w:rsid w:val="00B10096"/>
    <w:rsid w:val="00B10843"/>
    <w:rsid w:val="00B10A10"/>
    <w:rsid w:val="00B10BB0"/>
    <w:rsid w:val="00B10C51"/>
    <w:rsid w:val="00B10CB4"/>
    <w:rsid w:val="00B10E56"/>
    <w:rsid w:val="00B10E99"/>
    <w:rsid w:val="00B11221"/>
    <w:rsid w:val="00B11232"/>
    <w:rsid w:val="00B1125E"/>
    <w:rsid w:val="00B11406"/>
    <w:rsid w:val="00B11744"/>
    <w:rsid w:val="00B118A5"/>
    <w:rsid w:val="00B11C07"/>
    <w:rsid w:val="00B11D03"/>
    <w:rsid w:val="00B12018"/>
    <w:rsid w:val="00B120A5"/>
    <w:rsid w:val="00B12230"/>
    <w:rsid w:val="00B12311"/>
    <w:rsid w:val="00B12378"/>
    <w:rsid w:val="00B1280C"/>
    <w:rsid w:val="00B129C0"/>
    <w:rsid w:val="00B12B0A"/>
    <w:rsid w:val="00B12CEC"/>
    <w:rsid w:val="00B13349"/>
    <w:rsid w:val="00B13391"/>
    <w:rsid w:val="00B13433"/>
    <w:rsid w:val="00B1386C"/>
    <w:rsid w:val="00B1386D"/>
    <w:rsid w:val="00B13EF8"/>
    <w:rsid w:val="00B14037"/>
    <w:rsid w:val="00B1405B"/>
    <w:rsid w:val="00B140F8"/>
    <w:rsid w:val="00B14229"/>
    <w:rsid w:val="00B1422B"/>
    <w:rsid w:val="00B142C3"/>
    <w:rsid w:val="00B144B4"/>
    <w:rsid w:val="00B1491F"/>
    <w:rsid w:val="00B14A7F"/>
    <w:rsid w:val="00B14CA8"/>
    <w:rsid w:val="00B1532E"/>
    <w:rsid w:val="00B15366"/>
    <w:rsid w:val="00B1543D"/>
    <w:rsid w:val="00B1554F"/>
    <w:rsid w:val="00B155F6"/>
    <w:rsid w:val="00B15666"/>
    <w:rsid w:val="00B157B9"/>
    <w:rsid w:val="00B1595D"/>
    <w:rsid w:val="00B15BD7"/>
    <w:rsid w:val="00B15F6F"/>
    <w:rsid w:val="00B16132"/>
    <w:rsid w:val="00B162AD"/>
    <w:rsid w:val="00B1636B"/>
    <w:rsid w:val="00B16A5C"/>
    <w:rsid w:val="00B16B45"/>
    <w:rsid w:val="00B16B51"/>
    <w:rsid w:val="00B1711E"/>
    <w:rsid w:val="00B174AE"/>
    <w:rsid w:val="00B174C9"/>
    <w:rsid w:val="00B176A0"/>
    <w:rsid w:val="00B17A97"/>
    <w:rsid w:val="00B17BA3"/>
    <w:rsid w:val="00B17DEA"/>
    <w:rsid w:val="00B2005F"/>
    <w:rsid w:val="00B202E4"/>
    <w:rsid w:val="00B202F2"/>
    <w:rsid w:val="00B202FD"/>
    <w:rsid w:val="00B206A8"/>
    <w:rsid w:val="00B209B4"/>
    <w:rsid w:val="00B20ADE"/>
    <w:rsid w:val="00B20BBE"/>
    <w:rsid w:val="00B20E0B"/>
    <w:rsid w:val="00B20F59"/>
    <w:rsid w:val="00B21084"/>
    <w:rsid w:val="00B2154B"/>
    <w:rsid w:val="00B2164C"/>
    <w:rsid w:val="00B2169F"/>
    <w:rsid w:val="00B216C4"/>
    <w:rsid w:val="00B216F5"/>
    <w:rsid w:val="00B21B39"/>
    <w:rsid w:val="00B21CEB"/>
    <w:rsid w:val="00B21F75"/>
    <w:rsid w:val="00B22033"/>
    <w:rsid w:val="00B221A4"/>
    <w:rsid w:val="00B2223A"/>
    <w:rsid w:val="00B227CE"/>
    <w:rsid w:val="00B22803"/>
    <w:rsid w:val="00B22861"/>
    <w:rsid w:val="00B22871"/>
    <w:rsid w:val="00B2298B"/>
    <w:rsid w:val="00B229F5"/>
    <w:rsid w:val="00B22E42"/>
    <w:rsid w:val="00B22FAE"/>
    <w:rsid w:val="00B23486"/>
    <w:rsid w:val="00B234BA"/>
    <w:rsid w:val="00B23BF3"/>
    <w:rsid w:val="00B23D5A"/>
    <w:rsid w:val="00B23DFC"/>
    <w:rsid w:val="00B240DF"/>
    <w:rsid w:val="00B24189"/>
    <w:rsid w:val="00B243C7"/>
    <w:rsid w:val="00B24496"/>
    <w:rsid w:val="00B246E7"/>
    <w:rsid w:val="00B24994"/>
    <w:rsid w:val="00B24AAA"/>
    <w:rsid w:val="00B2550D"/>
    <w:rsid w:val="00B2553B"/>
    <w:rsid w:val="00B255C6"/>
    <w:rsid w:val="00B25663"/>
    <w:rsid w:val="00B25842"/>
    <w:rsid w:val="00B2594F"/>
    <w:rsid w:val="00B25978"/>
    <w:rsid w:val="00B25A83"/>
    <w:rsid w:val="00B25BB2"/>
    <w:rsid w:val="00B25EE7"/>
    <w:rsid w:val="00B260A2"/>
    <w:rsid w:val="00B26296"/>
    <w:rsid w:val="00B263D7"/>
    <w:rsid w:val="00B26930"/>
    <w:rsid w:val="00B269A4"/>
    <w:rsid w:val="00B27066"/>
    <w:rsid w:val="00B27110"/>
    <w:rsid w:val="00B271C3"/>
    <w:rsid w:val="00B271F3"/>
    <w:rsid w:val="00B273BA"/>
    <w:rsid w:val="00B2765E"/>
    <w:rsid w:val="00B276BD"/>
    <w:rsid w:val="00B27726"/>
    <w:rsid w:val="00B27817"/>
    <w:rsid w:val="00B2787D"/>
    <w:rsid w:val="00B27FB3"/>
    <w:rsid w:val="00B27FFD"/>
    <w:rsid w:val="00B30192"/>
    <w:rsid w:val="00B30651"/>
    <w:rsid w:val="00B3067E"/>
    <w:rsid w:val="00B30754"/>
    <w:rsid w:val="00B30961"/>
    <w:rsid w:val="00B30D21"/>
    <w:rsid w:val="00B315E5"/>
    <w:rsid w:val="00B316BB"/>
    <w:rsid w:val="00B31732"/>
    <w:rsid w:val="00B318CE"/>
    <w:rsid w:val="00B31923"/>
    <w:rsid w:val="00B31CEA"/>
    <w:rsid w:val="00B3242A"/>
    <w:rsid w:val="00B3244B"/>
    <w:rsid w:val="00B325D4"/>
    <w:rsid w:val="00B32723"/>
    <w:rsid w:val="00B32A60"/>
    <w:rsid w:val="00B32D03"/>
    <w:rsid w:val="00B32D22"/>
    <w:rsid w:val="00B32D38"/>
    <w:rsid w:val="00B32DF8"/>
    <w:rsid w:val="00B32F0C"/>
    <w:rsid w:val="00B335DD"/>
    <w:rsid w:val="00B3365B"/>
    <w:rsid w:val="00B33A16"/>
    <w:rsid w:val="00B33A8B"/>
    <w:rsid w:val="00B33AC1"/>
    <w:rsid w:val="00B33C3A"/>
    <w:rsid w:val="00B3401D"/>
    <w:rsid w:val="00B3406F"/>
    <w:rsid w:val="00B3461E"/>
    <w:rsid w:val="00B3489F"/>
    <w:rsid w:val="00B34A3D"/>
    <w:rsid w:val="00B34C4B"/>
    <w:rsid w:val="00B34D7C"/>
    <w:rsid w:val="00B34ED2"/>
    <w:rsid w:val="00B34FF8"/>
    <w:rsid w:val="00B35287"/>
    <w:rsid w:val="00B3543B"/>
    <w:rsid w:val="00B35653"/>
    <w:rsid w:val="00B35965"/>
    <w:rsid w:val="00B35B67"/>
    <w:rsid w:val="00B35BA0"/>
    <w:rsid w:val="00B35C86"/>
    <w:rsid w:val="00B36372"/>
    <w:rsid w:val="00B364B0"/>
    <w:rsid w:val="00B369A9"/>
    <w:rsid w:val="00B36A56"/>
    <w:rsid w:val="00B36B50"/>
    <w:rsid w:val="00B36BDF"/>
    <w:rsid w:val="00B36CF1"/>
    <w:rsid w:val="00B36DEB"/>
    <w:rsid w:val="00B37596"/>
    <w:rsid w:val="00B375DA"/>
    <w:rsid w:val="00B37B35"/>
    <w:rsid w:val="00B37C83"/>
    <w:rsid w:val="00B37CEC"/>
    <w:rsid w:val="00B37E96"/>
    <w:rsid w:val="00B37EF0"/>
    <w:rsid w:val="00B40235"/>
    <w:rsid w:val="00B4058F"/>
    <w:rsid w:val="00B405F4"/>
    <w:rsid w:val="00B40994"/>
    <w:rsid w:val="00B40D19"/>
    <w:rsid w:val="00B40DE8"/>
    <w:rsid w:val="00B411AC"/>
    <w:rsid w:val="00B415A6"/>
    <w:rsid w:val="00B41873"/>
    <w:rsid w:val="00B418D2"/>
    <w:rsid w:val="00B41AE6"/>
    <w:rsid w:val="00B41BA7"/>
    <w:rsid w:val="00B41DE8"/>
    <w:rsid w:val="00B41F0D"/>
    <w:rsid w:val="00B42528"/>
    <w:rsid w:val="00B4267E"/>
    <w:rsid w:val="00B427AC"/>
    <w:rsid w:val="00B4293A"/>
    <w:rsid w:val="00B42A87"/>
    <w:rsid w:val="00B42FAA"/>
    <w:rsid w:val="00B43550"/>
    <w:rsid w:val="00B436E9"/>
    <w:rsid w:val="00B437AE"/>
    <w:rsid w:val="00B43901"/>
    <w:rsid w:val="00B43C96"/>
    <w:rsid w:val="00B43DBE"/>
    <w:rsid w:val="00B4418A"/>
    <w:rsid w:val="00B441A8"/>
    <w:rsid w:val="00B441F6"/>
    <w:rsid w:val="00B44262"/>
    <w:rsid w:val="00B442E1"/>
    <w:rsid w:val="00B4430E"/>
    <w:rsid w:val="00B443CA"/>
    <w:rsid w:val="00B4442E"/>
    <w:rsid w:val="00B444B4"/>
    <w:rsid w:val="00B44670"/>
    <w:rsid w:val="00B44716"/>
    <w:rsid w:val="00B4471D"/>
    <w:rsid w:val="00B44792"/>
    <w:rsid w:val="00B44B7E"/>
    <w:rsid w:val="00B44BDB"/>
    <w:rsid w:val="00B4516E"/>
    <w:rsid w:val="00B45236"/>
    <w:rsid w:val="00B45331"/>
    <w:rsid w:val="00B4553B"/>
    <w:rsid w:val="00B456AB"/>
    <w:rsid w:val="00B45ADD"/>
    <w:rsid w:val="00B45B1D"/>
    <w:rsid w:val="00B45B2D"/>
    <w:rsid w:val="00B45B36"/>
    <w:rsid w:val="00B45B57"/>
    <w:rsid w:val="00B45C5A"/>
    <w:rsid w:val="00B45FBE"/>
    <w:rsid w:val="00B4602B"/>
    <w:rsid w:val="00B4614B"/>
    <w:rsid w:val="00B461C6"/>
    <w:rsid w:val="00B46386"/>
    <w:rsid w:val="00B46471"/>
    <w:rsid w:val="00B4657C"/>
    <w:rsid w:val="00B465ED"/>
    <w:rsid w:val="00B4666D"/>
    <w:rsid w:val="00B46B70"/>
    <w:rsid w:val="00B46E06"/>
    <w:rsid w:val="00B46ECF"/>
    <w:rsid w:val="00B470B7"/>
    <w:rsid w:val="00B4724D"/>
    <w:rsid w:val="00B4738F"/>
    <w:rsid w:val="00B473C2"/>
    <w:rsid w:val="00B476C2"/>
    <w:rsid w:val="00B477C2"/>
    <w:rsid w:val="00B477DD"/>
    <w:rsid w:val="00B479C1"/>
    <w:rsid w:val="00B47AD0"/>
    <w:rsid w:val="00B47BEA"/>
    <w:rsid w:val="00B50402"/>
    <w:rsid w:val="00B505A4"/>
    <w:rsid w:val="00B50656"/>
    <w:rsid w:val="00B506F4"/>
    <w:rsid w:val="00B50703"/>
    <w:rsid w:val="00B50823"/>
    <w:rsid w:val="00B50A44"/>
    <w:rsid w:val="00B50B86"/>
    <w:rsid w:val="00B50E6D"/>
    <w:rsid w:val="00B50EC4"/>
    <w:rsid w:val="00B50FEC"/>
    <w:rsid w:val="00B51038"/>
    <w:rsid w:val="00B51208"/>
    <w:rsid w:val="00B5127D"/>
    <w:rsid w:val="00B51719"/>
    <w:rsid w:val="00B51946"/>
    <w:rsid w:val="00B51A58"/>
    <w:rsid w:val="00B52369"/>
    <w:rsid w:val="00B52499"/>
    <w:rsid w:val="00B526C8"/>
    <w:rsid w:val="00B5296D"/>
    <w:rsid w:val="00B52DC0"/>
    <w:rsid w:val="00B52E86"/>
    <w:rsid w:val="00B530CB"/>
    <w:rsid w:val="00B530E0"/>
    <w:rsid w:val="00B53328"/>
    <w:rsid w:val="00B53737"/>
    <w:rsid w:val="00B537A9"/>
    <w:rsid w:val="00B5392F"/>
    <w:rsid w:val="00B53AC0"/>
    <w:rsid w:val="00B53CFB"/>
    <w:rsid w:val="00B53D5E"/>
    <w:rsid w:val="00B53DA6"/>
    <w:rsid w:val="00B5408C"/>
    <w:rsid w:val="00B54350"/>
    <w:rsid w:val="00B54363"/>
    <w:rsid w:val="00B5439D"/>
    <w:rsid w:val="00B54637"/>
    <w:rsid w:val="00B5466F"/>
    <w:rsid w:val="00B546B9"/>
    <w:rsid w:val="00B548CF"/>
    <w:rsid w:val="00B54AF6"/>
    <w:rsid w:val="00B54CDD"/>
    <w:rsid w:val="00B54ED0"/>
    <w:rsid w:val="00B55099"/>
    <w:rsid w:val="00B55314"/>
    <w:rsid w:val="00B556F0"/>
    <w:rsid w:val="00B55A43"/>
    <w:rsid w:val="00B55B71"/>
    <w:rsid w:val="00B55BA6"/>
    <w:rsid w:val="00B55EDD"/>
    <w:rsid w:val="00B56088"/>
    <w:rsid w:val="00B560B8"/>
    <w:rsid w:val="00B56293"/>
    <w:rsid w:val="00B562B8"/>
    <w:rsid w:val="00B56346"/>
    <w:rsid w:val="00B5639F"/>
    <w:rsid w:val="00B564D7"/>
    <w:rsid w:val="00B56913"/>
    <w:rsid w:val="00B57099"/>
    <w:rsid w:val="00B570B2"/>
    <w:rsid w:val="00B570FB"/>
    <w:rsid w:val="00B57590"/>
    <w:rsid w:val="00B576F4"/>
    <w:rsid w:val="00B5776D"/>
    <w:rsid w:val="00B5789D"/>
    <w:rsid w:val="00B57AA5"/>
    <w:rsid w:val="00B57AB8"/>
    <w:rsid w:val="00B57D2D"/>
    <w:rsid w:val="00B57DA1"/>
    <w:rsid w:val="00B57ED7"/>
    <w:rsid w:val="00B6023E"/>
    <w:rsid w:val="00B603E2"/>
    <w:rsid w:val="00B60408"/>
    <w:rsid w:val="00B60644"/>
    <w:rsid w:val="00B61235"/>
    <w:rsid w:val="00B612CE"/>
    <w:rsid w:val="00B613F3"/>
    <w:rsid w:val="00B614E9"/>
    <w:rsid w:val="00B6151B"/>
    <w:rsid w:val="00B61672"/>
    <w:rsid w:val="00B61AAD"/>
    <w:rsid w:val="00B61B2D"/>
    <w:rsid w:val="00B61C2F"/>
    <w:rsid w:val="00B61C6C"/>
    <w:rsid w:val="00B61F16"/>
    <w:rsid w:val="00B61FF5"/>
    <w:rsid w:val="00B6227D"/>
    <w:rsid w:val="00B62F1C"/>
    <w:rsid w:val="00B6306E"/>
    <w:rsid w:val="00B632C6"/>
    <w:rsid w:val="00B632CE"/>
    <w:rsid w:val="00B634E9"/>
    <w:rsid w:val="00B6354D"/>
    <w:rsid w:val="00B635DC"/>
    <w:rsid w:val="00B63B65"/>
    <w:rsid w:val="00B63CF3"/>
    <w:rsid w:val="00B63FE9"/>
    <w:rsid w:val="00B64041"/>
    <w:rsid w:val="00B64243"/>
    <w:rsid w:val="00B64313"/>
    <w:rsid w:val="00B64373"/>
    <w:rsid w:val="00B64377"/>
    <w:rsid w:val="00B6448C"/>
    <w:rsid w:val="00B645BD"/>
    <w:rsid w:val="00B6488B"/>
    <w:rsid w:val="00B648F2"/>
    <w:rsid w:val="00B649FF"/>
    <w:rsid w:val="00B64ED8"/>
    <w:rsid w:val="00B65135"/>
    <w:rsid w:val="00B651D2"/>
    <w:rsid w:val="00B65231"/>
    <w:rsid w:val="00B65265"/>
    <w:rsid w:val="00B657C9"/>
    <w:rsid w:val="00B65A66"/>
    <w:rsid w:val="00B65AF5"/>
    <w:rsid w:val="00B65B14"/>
    <w:rsid w:val="00B65C9B"/>
    <w:rsid w:val="00B65EAE"/>
    <w:rsid w:val="00B661F1"/>
    <w:rsid w:val="00B66305"/>
    <w:rsid w:val="00B66481"/>
    <w:rsid w:val="00B664A4"/>
    <w:rsid w:val="00B664B9"/>
    <w:rsid w:val="00B66509"/>
    <w:rsid w:val="00B66551"/>
    <w:rsid w:val="00B666F4"/>
    <w:rsid w:val="00B6676A"/>
    <w:rsid w:val="00B66BAB"/>
    <w:rsid w:val="00B66D08"/>
    <w:rsid w:val="00B66D8D"/>
    <w:rsid w:val="00B66E95"/>
    <w:rsid w:val="00B66EE2"/>
    <w:rsid w:val="00B6704F"/>
    <w:rsid w:val="00B67115"/>
    <w:rsid w:val="00B674D9"/>
    <w:rsid w:val="00B67586"/>
    <w:rsid w:val="00B67594"/>
    <w:rsid w:val="00B6776C"/>
    <w:rsid w:val="00B67A89"/>
    <w:rsid w:val="00B67A95"/>
    <w:rsid w:val="00B67C03"/>
    <w:rsid w:val="00B67E78"/>
    <w:rsid w:val="00B67E84"/>
    <w:rsid w:val="00B67FA9"/>
    <w:rsid w:val="00B7000A"/>
    <w:rsid w:val="00B70319"/>
    <w:rsid w:val="00B704D0"/>
    <w:rsid w:val="00B708E5"/>
    <w:rsid w:val="00B70C40"/>
    <w:rsid w:val="00B70C5D"/>
    <w:rsid w:val="00B71071"/>
    <w:rsid w:val="00B7162F"/>
    <w:rsid w:val="00B716B7"/>
    <w:rsid w:val="00B71775"/>
    <w:rsid w:val="00B718F4"/>
    <w:rsid w:val="00B71AD3"/>
    <w:rsid w:val="00B71CE4"/>
    <w:rsid w:val="00B71F22"/>
    <w:rsid w:val="00B72012"/>
    <w:rsid w:val="00B72253"/>
    <w:rsid w:val="00B72390"/>
    <w:rsid w:val="00B72552"/>
    <w:rsid w:val="00B72557"/>
    <w:rsid w:val="00B726ED"/>
    <w:rsid w:val="00B729D1"/>
    <w:rsid w:val="00B72E88"/>
    <w:rsid w:val="00B733B6"/>
    <w:rsid w:val="00B73447"/>
    <w:rsid w:val="00B73502"/>
    <w:rsid w:val="00B73582"/>
    <w:rsid w:val="00B735CB"/>
    <w:rsid w:val="00B7386F"/>
    <w:rsid w:val="00B73A4B"/>
    <w:rsid w:val="00B73C59"/>
    <w:rsid w:val="00B73DF4"/>
    <w:rsid w:val="00B73E66"/>
    <w:rsid w:val="00B73FF3"/>
    <w:rsid w:val="00B740A6"/>
    <w:rsid w:val="00B7416B"/>
    <w:rsid w:val="00B745A6"/>
    <w:rsid w:val="00B74A42"/>
    <w:rsid w:val="00B74EAE"/>
    <w:rsid w:val="00B75095"/>
    <w:rsid w:val="00B75148"/>
    <w:rsid w:val="00B751F3"/>
    <w:rsid w:val="00B7528B"/>
    <w:rsid w:val="00B755F2"/>
    <w:rsid w:val="00B7573A"/>
    <w:rsid w:val="00B75B7B"/>
    <w:rsid w:val="00B75CE4"/>
    <w:rsid w:val="00B75DB2"/>
    <w:rsid w:val="00B75F19"/>
    <w:rsid w:val="00B76389"/>
    <w:rsid w:val="00B765DC"/>
    <w:rsid w:val="00B76620"/>
    <w:rsid w:val="00B766A3"/>
    <w:rsid w:val="00B76959"/>
    <w:rsid w:val="00B76B04"/>
    <w:rsid w:val="00B76DED"/>
    <w:rsid w:val="00B77036"/>
    <w:rsid w:val="00B77201"/>
    <w:rsid w:val="00B773F4"/>
    <w:rsid w:val="00B774C8"/>
    <w:rsid w:val="00B7793E"/>
    <w:rsid w:val="00B77A2E"/>
    <w:rsid w:val="00B77A97"/>
    <w:rsid w:val="00B77C20"/>
    <w:rsid w:val="00B77C8D"/>
    <w:rsid w:val="00B77E27"/>
    <w:rsid w:val="00B8011D"/>
    <w:rsid w:val="00B80309"/>
    <w:rsid w:val="00B803EE"/>
    <w:rsid w:val="00B804E1"/>
    <w:rsid w:val="00B80570"/>
    <w:rsid w:val="00B8062F"/>
    <w:rsid w:val="00B806C9"/>
    <w:rsid w:val="00B80701"/>
    <w:rsid w:val="00B80A91"/>
    <w:rsid w:val="00B80DD0"/>
    <w:rsid w:val="00B80EE6"/>
    <w:rsid w:val="00B81406"/>
    <w:rsid w:val="00B814FC"/>
    <w:rsid w:val="00B815F3"/>
    <w:rsid w:val="00B81642"/>
    <w:rsid w:val="00B816B0"/>
    <w:rsid w:val="00B81C71"/>
    <w:rsid w:val="00B81F2B"/>
    <w:rsid w:val="00B8207C"/>
    <w:rsid w:val="00B8233E"/>
    <w:rsid w:val="00B82AB9"/>
    <w:rsid w:val="00B82BAE"/>
    <w:rsid w:val="00B82C9C"/>
    <w:rsid w:val="00B82CA9"/>
    <w:rsid w:val="00B82D3D"/>
    <w:rsid w:val="00B82E2F"/>
    <w:rsid w:val="00B83154"/>
    <w:rsid w:val="00B83604"/>
    <w:rsid w:val="00B8364B"/>
    <w:rsid w:val="00B8367D"/>
    <w:rsid w:val="00B839F5"/>
    <w:rsid w:val="00B840B8"/>
    <w:rsid w:val="00B8425C"/>
    <w:rsid w:val="00B842FE"/>
    <w:rsid w:val="00B8482B"/>
    <w:rsid w:val="00B84AF1"/>
    <w:rsid w:val="00B84C0D"/>
    <w:rsid w:val="00B84D51"/>
    <w:rsid w:val="00B85982"/>
    <w:rsid w:val="00B85C69"/>
    <w:rsid w:val="00B85CE4"/>
    <w:rsid w:val="00B85E3B"/>
    <w:rsid w:val="00B85E85"/>
    <w:rsid w:val="00B861E1"/>
    <w:rsid w:val="00B86242"/>
    <w:rsid w:val="00B8665A"/>
    <w:rsid w:val="00B86763"/>
    <w:rsid w:val="00B869B1"/>
    <w:rsid w:val="00B87272"/>
    <w:rsid w:val="00B87E97"/>
    <w:rsid w:val="00B87F4D"/>
    <w:rsid w:val="00B90687"/>
    <w:rsid w:val="00B906DC"/>
    <w:rsid w:val="00B90843"/>
    <w:rsid w:val="00B908E6"/>
    <w:rsid w:val="00B90B20"/>
    <w:rsid w:val="00B90DCB"/>
    <w:rsid w:val="00B910EE"/>
    <w:rsid w:val="00B913A5"/>
    <w:rsid w:val="00B916D9"/>
    <w:rsid w:val="00B91986"/>
    <w:rsid w:val="00B91B68"/>
    <w:rsid w:val="00B91C50"/>
    <w:rsid w:val="00B9219A"/>
    <w:rsid w:val="00B925DC"/>
    <w:rsid w:val="00B9282E"/>
    <w:rsid w:val="00B92919"/>
    <w:rsid w:val="00B92BD8"/>
    <w:rsid w:val="00B92C69"/>
    <w:rsid w:val="00B92F8A"/>
    <w:rsid w:val="00B9303F"/>
    <w:rsid w:val="00B934D4"/>
    <w:rsid w:val="00B9351E"/>
    <w:rsid w:val="00B9353A"/>
    <w:rsid w:val="00B93BAC"/>
    <w:rsid w:val="00B93CE2"/>
    <w:rsid w:val="00B93CF8"/>
    <w:rsid w:val="00B93D22"/>
    <w:rsid w:val="00B93E17"/>
    <w:rsid w:val="00B94034"/>
    <w:rsid w:val="00B94196"/>
    <w:rsid w:val="00B94203"/>
    <w:rsid w:val="00B94432"/>
    <w:rsid w:val="00B94511"/>
    <w:rsid w:val="00B945F3"/>
    <w:rsid w:val="00B94682"/>
    <w:rsid w:val="00B94AA2"/>
    <w:rsid w:val="00B94EAF"/>
    <w:rsid w:val="00B94EFA"/>
    <w:rsid w:val="00B95692"/>
    <w:rsid w:val="00B957B3"/>
    <w:rsid w:val="00B95BCC"/>
    <w:rsid w:val="00B96023"/>
    <w:rsid w:val="00B961F4"/>
    <w:rsid w:val="00B962A2"/>
    <w:rsid w:val="00B97404"/>
    <w:rsid w:val="00B97409"/>
    <w:rsid w:val="00B97444"/>
    <w:rsid w:val="00B97467"/>
    <w:rsid w:val="00B977B5"/>
    <w:rsid w:val="00B979CD"/>
    <w:rsid w:val="00B97A27"/>
    <w:rsid w:val="00B97C5B"/>
    <w:rsid w:val="00B97D63"/>
    <w:rsid w:val="00B97F29"/>
    <w:rsid w:val="00BA0061"/>
    <w:rsid w:val="00BA01D6"/>
    <w:rsid w:val="00BA02C7"/>
    <w:rsid w:val="00BA0650"/>
    <w:rsid w:val="00BA0751"/>
    <w:rsid w:val="00BA0869"/>
    <w:rsid w:val="00BA08B2"/>
    <w:rsid w:val="00BA0C60"/>
    <w:rsid w:val="00BA109F"/>
    <w:rsid w:val="00BA111E"/>
    <w:rsid w:val="00BA12F9"/>
    <w:rsid w:val="00BA137C"/>
    <w:rsid w:val="00BA1433"/>
    <w:rsid w:val="00BA1870"/>
    <w:rsid w:val="00BA19E8"/>
    <w:rsid w:val="00BA1AA3"/>
    <w:rsid w:val="00BA1E00"/>
    <w:rsid w:val="00BA1E41"/>
    <w:rsid w:val="00BA22E6"/>
    <w:rsid w:val="00BA23EF"/>
    <w:rsid w:val="00BA261B"/>
    <w:rsid w:val="00BA27DE"/>
    <w:rsid w:val="00BA28F5"/>
    <w:rsid w:val="00BA2AA3"/>
    <w:rsid w:val="00BA2F7B"/>
    <w:rsid w:val="00BA2FF5"/>
    <w:rsid w:val="00BA30F7"/>
    <w:rsid w:val="00BA3288"/>
    <w:rsid w:val="00BA335C"/>
    <w:rsid w:val="00BA33DE"/>
    <w:rsid w:val="00BA3958"/>
    <w:rsid w:val="00BA399E"/>
    <w:rsid w:val="00BA39A4"/>
    <w:rsid w:val="00BA3CCA"/>
    <w:rsid w:val="00BA3E38"/>
    <w:rsid w:val="00BA4501"/>
    <w:rsid w:val="00BA472B"/>
    <w:rsid w:val="00BA4ED7"/>
    <w:rsid w:val="00BA4F57"/>
    <w:rsid w:val="00BA50F5"/>
    <w:rsid w:val="00BA50FF"/>
    <w:rsid w:val="00BA5E04"/>
    <w:rsid w:val="00BA61EF"/>
    <w:rsid w:val="00BA6336"/>
    <w:rsid w:val="00BA685B"/>
    <w:rsid w:val="00BA6B42"/>
    <w:rsid w:val="00BA6B74"/>
    <w:rsid w:val="00BA6CED"/>
    <w:rsid w:val="00BA729C"/>
    <w:rsid w:val="00BA7401"/>
    <w:rsid w:val="00BA771C"/>
    <w:rsid w:val="00BA78BD"/>
    <w:rsid w:val="00BA78D0"/>
    <w:rsid w:val="00BA79D4"/>
    <w:rsid w:val="00BB002A"/>
    <w:rsid w:val="00BB0163"/>
    <w:rsid w:val="00BB0386"/>
    <w:rsid w:val="00BB04BE"/>
    <w:rsid w:val="00BB0857"/>
    <w:rsid w:val="00BB0A86"/>
    <w:rsid w:val="00BB109F"/>
    <w:rsid w:val="00BB110E"/>
    <w:rsid w:val="00BB1521"/>
    <w:rsid w:val="00BB15F2"/>
    <w:rsid w:val="00BB1893"/>
    <w:rsid w:val="00BB19DB"/>
    <w:rsid w:val="00BB1CC5"/>
    <w:rsid w:val="00BB1DD5"/>
    <w:rsid w:val="00BB1E99"/>
    <w:rsid w:val="00BB1F41"/>
    <w:rsid w:val="00BB2033"/>
    <w:rsid w:val="00BB21B6"/>
    <w:rsid w:val="00BB21C8"/>
    <w:rsid w:val="00BB22A8"/>
    <w:rsid w:val="00BB24E1"/>
    <w:rsid w:val="00BB25D0"/>
    <w:rsid w:val="00BB2604"/>
    <w:rsid w:val="00BB2769"/>
    <w:rsid w:val="00BB2A45"/>
    <w:rsid w:val="00BB2B04"/>
    <w:rsid w:val="00BB2C1B"/>
    <w:rsid w:val="00BB2C3A"/>
    <w:rsid w:val="00BB2E98"/>
    <w:rsid w:val="00BB2EB1"/>
    <w:rsid w:val="00BB312C"/>
    <w:rsid w:val="00BB320E"/>
    <w:rsid w:val="00BB35DD"/>
    <w:rsid w:val="00BB36F2"/>
    <w:rsid w:val="00BB3749"/>
    <w:rsid w:val="00BB382A"/>
    <w:rsid w:val="00BB3D5F"/>
    <w:rsid w:val="00BB3D9E"/>
    <w:rsid w:val="00BB3E5C"/>
    <w:rsid w:val="00BB406C"/>
    <w:rsid w:val="00BB4AE7"/>
    <w:rsid w:val="00BB4B21"/>
    <w:rsid w:val="00BB4B4E"/>
    <w:rsid w:val="00BB508D"/>
    <w:rsid w:val="00BB527B"/>
    <w:rsid w:val="00BB52D8"/>
    <w:rsid w:val="00BB53F6"/>
    <w:rsid w:val="00BB575D"/>
    <w:rsid w:val="00BB582D"/>
    <w:rsid w:val="00BB5991"/>
    <w:rsid w:val="00BB5BF8"/>
    <w:rsid w:val="00BB6007"/>
    <w:rsid w:val="00BB6297"/>
    <w:rsid w:val="00BB64F0"/>
    <w:rsid w:val="00BB6523"/>
    <w:rsid w:val="00BB669F"/>
    <w:rsid w:val="00BB6755"/>
    <w:rsid w:val="00BB67E4"/>
    <w:rsid w:val="00BB6847"/>
    <w:rsid w:val="00BB6AFB"/>
    <w:rsid w:val="00BB6BB1"/>
    <w:rsid w:val="00BB6DEF"/>
    <w:rsid w:val="00BB6FDA"/>
    <w:rsid w:val="00BB701E"/>
    <w:rsid w:val="00BB70D9"/>
    <w:rsid w:val="00BB70FA"/>
    <w:rsid w:val="00BB7619"/>
    <w:rsid w:val="00BB797E"/>
    <w:rsid w:val="00BB7B68"/>
    <w:rsid w:val="00BC00FD"/>
    <w:rsid w:val="00BC02E6"/>
    <w:rsid w:val="00BC043D"/>
    <w:rsid w:val="00BC0500"/>
    <w:rsid w:val="00BC05DD"/>
    <w:rsid w:val="00BC05FA"/>
    <w:rsid w:val="00BC068A"/>
    <w:rsid w:val="00BC0909"/>
    <w:rsid w:val="00BC0A08"/>
    <w:rsid w:val="00BC0A0F"/>
    <w:rsid w:val="00BC0AC5"/>
    <w:rsid w:val="00BC0B71"/>
    <w:rsid w:val="00BC0BFC"/>
    <w:rsid w:val="00BC0C94"/>
    <w:rsid w:val="00BC0E45"/>
    <w:rsid w:val="00BC0EBE"/>
    <w:rsid w:val="00BC1344"/>
    <w:rsid w:val="00BC1B2A"/>
    <w:rsid w:val="00BC1E9F"/>
    <w:rsid w:val="00BC1FB5"/>
    <w:rsid w:val="00BC22AB"/>
    <w:rsid w:val="00BC22EF"/>
    <w:rsid w:val="00BC2633"/>
    <w:rsid w:val="00BC2894"/>
    <w:rsid w:val="00BC2A39"/>
    <w:rsid w:val="00BC2B38"/>
    <w:rsid w:val="00BC2C80"/>
    <w:rsid w:val="00BC3433"/>
    <w:rsid w:val="00BC35F1"/>
    <w:rsid w:val="00BC39C9"/>
    <w:rsid w:val="00BC3B2A"/>
    <w:rsid w:val="00BC41C2"/>
    <w:rsid w:val="00BC4406"/>
    <w:rsid w:val="00BC459F"/>
    <w:rsid w:val="00BC45A2"/>
    <w:rsid w:val="00BC4D23"/>
    <w:rsid w:val="00BC4F44"/>
    <w:rsid w:val="00BC4FBC"/>
    <w:rsid w:val="00BC5826"/>
    <w:rsid w:val="00BC5963"/>
    <w:rsid w:val="00BC59AE"/>
    <w:rsid w:val="00BC5A55"/>
    <w:rsid w:val="00BC5BE7"/>
    <w:rsid w:val="00BC5F5B"/>
    <w:rsid w:val="00BC64CE"/>
    <w:rsid w:val="00BC655F"/>
    <w:rsid w:val="00BC67AF"/>
    <w:rsid w:val="00BC6838"/>
    <w:rsid w:val="00BC6857"/>
    <w:rsid w:val="00BC696F"/>
    <w:rsid w:val="00BC6A12"/>
    <w:rsid w:val="00BC6C56"/>
    <w:rsid w:val="00BC6DED"/>
    <w:rsid w:val="00BC724F"/>
    <w:rsid w:val="00BC7372"/>
    <w:rsid w:val="00BC738D"/>
    <w:rsid w:val="00BC7693"/>
    <w:rsid w:val="00BC7E31"/>
    <w:rsid w:val="00BD0279"/>
    <w:rsid w:val="00BD0507"/>
    <w:rsid w:val="00BD0C0B"/>
    <w:rsid w:val="00BD0D56"/>
    <w:rsid w:val="00BD0FC1"/>
    <w:rsid w:val="00BD14FE"/>
    <w:rsid w:val="00BD1708"/>
    <w:rsid w:val="00BD1765"/>
    <w:rsid w:val="00BD252E"/>
    <w:rsid w:val="00BD26E9"/>
    <w:rsid w:val="00BD26EF"/>
    <w:rsid w:val="00BD2961"/>
    <w:rsid w:val="00BD2B26"/>
    <w:rsid w:val="00BD2B84"/>
    <w:rsid w:val="00BD314A"/>
    <w:rsid w:val="00BD3494"/>
    <w:rsid w:val="00BD34AC"/>
    <w:rsid w:val="00BD352D"/>
    <w:rsid w:val="00BD3C74"/>
    <w:rsid w:val="00BD3E61"/>
    <w:rsid w:val="00BD41D0"/>
    <w:rsid w:val="00BD4C56"/>
    <w:rsid w:val="00BD4C68"/>
    <w:rsid w:val="00BD4D08"/>
    <w:rsid w:val="00BD5101"/>
    <w:rsid w:val="00BD5128"/>
    <w:rsid w:val="00BD56D8"/>
    <w:rsid w:val="00BD5782"/>
    <w:rsid w:val="00BD58C5"/>
    <w:rsid w:val="00BD5A3F"/>
    <w:rsid w:val="00BD5A68"/>
    <w:rsid w:val="00BD5B95"/>
    <w:rsid w:val="00BD5F6D"/>
    <w:rsid w:val="00BD60AA"/>
    <w:rsid w:val="00BD6530"/>
    <w:rsid w:val="00BD65B4"/>
    <w:rsid w:val="00BD65CD"/>
    <w:rsid w:val="00BD669E"/>
    <w:rsid w:val="00BD6929"/>
    <w:rsid w:val="00BD6988"/>
    <w:rsid w:val="00BD6BC5"/>
    <w:rsid w:val="00BD6BE1"/>
    <w:rsid w:val="00BD6D46"/>
    <w:rsid w:val="00BD6D49"/>
    <w:rsid w:val="00BD6D62"/>
    <w:rsid w:val="00BD6E0F"/>
    <w:rsid w:val="00BD73C5"/>
    <w:rsid w:val="00BD73FA"/>
    <w:rsid w:val="00BD7478"/>
    <w:rsid w:val="00BD76BF"/>
    <w:rsid w:val="00BD7707"/>
    <w:rsid w:val="00BD77DE"/>
    <w:rsid w:val="00BD7862"/>
    <w:rsid w:val="00BD7873"/>
    <w:rsid w:val="00BD7D52"/>
    <w:rsid w:val="00BD7E45"/>
    <w:rsid w:val="00BE023A"/>
    <w:rsid w:val="00BE0360"/>
    <w:rsid w:val="00BE0392"/>
    <w:rsid w:val="00BE0465"/>
    <w:rsid w:val="00BE0DF2"/>
    <w:rsid w:val="00BE10E9"/>
    <w:rsid w:val="00BE13CF"/>
    <w:rsid w:val="00BE1645"/>
    <w:rsid w:val="00BE1850"/>
    <w:rsid w:val="00BE1AA5"/>
    <w:rsid w:val="00BE1BFA"/>
    <w:rsid w:val="00BE1DD1"/>
    <w:rsid w:val="00BE1F9A"/>
    <w:rsid w:val="00BE1FC9"/>
    <w:rsid w:val="00BE2243"/>
    <w:rsid w:val="00BE2264"/>
    <w:rsid w:val="00BE24BE"/>
    <w:rsid w:val="00BE25CE"/>
    <w:rsid w:val="00BE25D0"/>
    <w:rsid w:val="00BE280D"/>
    <w:rsid w:val="00BE2872"/>
    <w:rsid w:val="00BE28FC"/>
    <w:rsid w:val="00BE2B7D"/>
    <w:rsid w:val="00BE2CB8"/>
    <w:rsid w:val="00BE2D6C"/>
    <w:rsid w:val="00BE2E3C"/>
    <w:rsid w:val="00BE2E9F"/>
    <w:rsid w:val="00BE2F0E"/>
    <w:rsid w:val="00BE2FA5"/>
    <w:rsid w:val="00BE3076"/>
    <w:rsid w:val="00BE30C8"/>
    <w:rsid w:val="00BE3108"/>
    <w:rsid w:val="00BE312D"/>
    <w:rsid w:val="00BE3328"/>
    <w:rsid w:val="00BE33C5"/>
    <w:rsid w:val="00BE370B"/>
    <w:rsid w:val="00BE39DA"/>
    <w:rsid w:val="00BE3B6C"/>
    <w:rsid w:val="00BE3B84"/>
    <w:rsid w:val="00BE3E02"/>
    <w:rsid w:val="00BE3EA9"/>
    <w:rsid w:val="00BE40F3"/>
    <w:rsid w:val="00BE44A2"/>
    <w:rsid w:val="00BE4696"/>
    <w:rsid w:val="00BE4758"/>
    <w:rsid w:val="00BE48D9"/>
    <w:rsid w:val="00BE4A06"/>
    <w:rsid w:val="00BE4A64"/>
    <w:rsid w:val="00BE5126"/>
    <w:rsid w:val="00BE51E7"/>
    <w:rsid w:val="00BE525F"/>
    <w:rsid w:val="00BE52E9"/>
    <w:rsid w:val="00BE550F"/>
    <w:rsid w:val="00BE5972"/>
    <w:rsid w:val="00BE5B39"/>
    <w:rsid w:val="00BE5C90"/>
    <w:rsid w:val="00BE6315"/>
    <w:rsid w:val="00BE653D"/>
    <w:rsid w:val="00BE67F8"/>
    <w:rsid w:val="00BE6834"/>
    <w:rsid w:val="00BE68A1"/>
    <w:rsid w:val="00BE68D0"/>
    <w:rsid w:val="00BE69F7"/>
    <w:rsid w:val="00BE6A62"/>
    <w:rsid w:val="00BE6AEF"/>
    <w:rsid w:val="00BE6F45"/>
    <w:rsid w:val="00BE71E9"/>
    <w:rsid w:val="00BE7231"/>
    <w:rsid w:val="00BE7471"/>
    <w:rsid w:val="00BE74DC"/>
    <w:rsid w:val="00BE751B"/>
    <w:rsid w:val="00BE77C0"/>
    <w:rsid w:val="00BE7A4E"/>
    <w:rsid w:val="00BE7BF4"/>
    <w:rsid w:val="00BE7C0A"/>
    <w:rsid w:val="00BF0003"/>
    <w:rsid w:val="00BF02E3"/>
    <w:rsid w:val="00BF04B3"/>
    <w:rsid w:val="00BF0502"/>
    <w:rsid w:val="00BF0EEB"/>
    <w:rsid w:val="00BF12C8"/>
    <w:rsid w:val="00BF1968"/>
    <w:rsid w:val="00BF1BA1"/>
    <w:rsid w:val="00BF1C1A"/>
    <w:rsid w:val="00BF1F4F"/>
    <w:rsid w:val="00BF2225"/>
    <w:rsid w:val="00BF22E3"/>
    <w:rsid w:val="00BF2352"/>
    <w:rsid w:val="00BF2631"/>
    <w:rsid w:val="00BF26E0"/>
    <w:rsid w:val="00BF28A3"/>
    <w:rsid w:val="00BF2C37"/>
    <w:rsid w:val="00BF2D2C"/>
    <w:rsid w:val="00BF321C"/>
    <w:rsid w:val="00BF34EE"/>
    <w:rsid w:val="00BF3521"/>
    <w:rsid w:val="00BF3540"/>
    <w:rsid w:val="00BF395C"/>
    <w:rsid w:val="00BF3AEE"/>
    <w:rsid w:val="00BF3B6E"/>
    <w:rsid w:val="00BF3CD7"/>
    <w:rsid w:val="00BF4775"/>
    <w:rsid w:val="00BF47C7"/>
    <w:rsid w:val="00BF4825"/>
    <w:rsid w:val="00BF48B5"/>
    <w:rsid w:val="00BF4A21"/>
    <w:rsid w:val="00BF4A91"/>
    <w:rsid w:val="00BF507D"/>
    <w:rsid w:val="00BF5240"/>
    <w:rsid w:val="00BF5896"/>
    <w:rsid w:val="00BF5A0F"/>
    <w:rsid w:val="00BF5A1F"/>
    <w:rsid w:val="00BF5A6D"/>
    <w:rsid w:val="00BF5B00"/>
    <w:rsid w:val="00BF5BE5"/>
    <w:rsid w:val="00BF5BFA"/>
    <w:rsid w:val="00BF5E5A"/>
    <w:rsid w:val="00BF5F55"/>
    <w:rsid w:val="00BF611D"/>
    <w:rsid w:val="00BF6421"/>
    <w:rsid w:val="00BF6534"/>
    <w:rsid w:val="00BF6615"/>
    <w:rsid w:val="00BF68C1"/>
    <w:rsid w:val="00BF6906"/>
    <w:rsid w:val="00BF6910"/>
    <w:rsid w:val="00BF6A94"/>
    <w:rsid w:val="00BF6CD7"/>
    <w:rsid w:val="00BF72A5"/>
    <w:rsid w:val="00BF7479"/>
    <w:rsid w:val="00BF764B"/>
    <w:rsid w:val="00BF765F"/>
    <w:rsid w:val="00BF76DC"/>
    <w:rsid w:val="00BF7DA5"/>
    <w:rsid w:val="00BF7DD3"/>
    <w:rsid w:val="00BF7EC8"/>
    <w:rsid w:val="00C001D6"/>
    <w:rsid w:val="00C0032A"/>
    <w:rsid w:val="00C003EB"/>
    <w:rsid w:val="00C007FF"/>
    <w:rsid w:val="00C00EB4"/>
    <w:rsid w:val="00C00F41"/>
    <w:rsid w:val="00C0104B"/>
    <w:rsid w:val="00C011A3"/>
    <w:rsid w:val="00C0126D"/>
    <w:rsid w:val="00C012DA"/>
    <w:rsid w:val="00C0134B"/>
    <w:rsid w:val="00C014DC"/>
    <w:rsid w:val="00C017BC"/>
    <w:rsid w:val="00C01F02"/>
    <w:rsid w:val="00C0200A"/>
    <w:rsid w:val="00C021BB"/>
    <w:rsid w:val="00C022CC"/>
    <w:rsid w:val="00C02889"/>
    <w:rsid w:val="00C029CF"/>
    <w:rsid w:val="00C02D2F"/>
    <w:rsid w:val="00C02F22"/>
    <w:rsid w:val="00C02FA3"/>
    <w:rsid w:val="00C0301D"/>
    <w:rsid w:val="00C0323B"/>
    <w:rsid w:val="00C038BF"/>
    <w:rsid w:val="00C0393C"/>
    <w:rsid w:val="00C03A2A"/>
    <w:rsid w:val="00C03D0E"/>
    <w:rsid w:val="00C03D6B"/>
    <w:rsid w:val="00C03D7C"/>
    <w:rsid w:val="00C03DF8"/>
    <w:rsid w:val="00C04270"/>
    <w:rsid w:val="00C0436C"/>
    <w:rsid w:val="00C04C3D"/>
    <w:rsid w:val="00C05084"/>
    <w:rsid w:val="00C05247"/>
    <w:rsid w:val="00C05479"/>
    <w:rsid w:val="00C0578B"/>
    <w:rsid w:val="00C05956"/>
    <w:rsid w:val="00C05CCE"/>
    <w:rsid w:val="00C0651B"/>
    <w:rsid w:val="00C06574"/>
    <w:rsid w:val="00C06BF2"/>
    <w:rsid w:val="00C06D31"/>
    <w:rsid w:val="00C06D45"/>
    <w:rsid w:val="00C06EBB"/>
    <w:rsid w:val="00C07253"/>
    <w:rsid w:val="00C07257"/>
    <w:rsid w:val="00C07313"/>
    <w:rsid w:val="00C074AF"/>
    <w:rsid w:val="00C07550"/>
    <w:rsid w:val="00C07AD7"/>
    <w:rsid w:val="00C07BC1"/>
    <w:rsid w:val="00C07F7C"/>
    <w:rsid w:val="00C100B5"/>
    <w:rsid w:val="00C10330"/>
    <w:rsid w:val="00C10435"/>
    <w:rsid w:val="00C104A6"/>
    <w:rsid w:val="00C10B00"/>
    <w:rsid w:val="00C10C43"/>
    <w:rsid w:val="00C11221"/>
    <w:rsid w:val="00C1131E"/>
    <w:rsid w:val="00C11816"/>
    <w:rsid w:val="00C11953"/>
    <w:rsid w:val="00C11AD8"/>
    <w:rsid w:val="00C11B30"/>
    <w:rsid w:val="00C11B94"/>
    <w:rsid w:val="00C11C1E"/>
    <w:rsid w:val="00C11C25"/>
    <w:rsid w:val="00C11F5B"/>
    <w:rsid w:val="00C1218E"/>
    <w:rsid w:val="00C121A2"/>
    <w:rsid w:val="00C12353"/>
    <w:rsid w:val="00C1265D"/>
    <w:rsid w:val="00C12743"/>
    <w:rsid w:val="00C1275D"/>
    <w:rsid w:val="00C127B0"/>
    <w:rsid w:val="00C12C8B"/>
    <w:rsid w:val="00C133A9"/>
    <w:rsid w:val="00C1351C"/>
    <w:rsid w:val="00C13627"/>
    <w:rsid w:val="00C13657"/>
    <w:rsid w:val="00C1391D"/>
    <w:rsid w:val="00C13A29"/>
    <w:rsid w:val="00C13BC3"/>
    <w:rsid w:val="00C13BE5"/>
    <w:rsid w:val="00C13D41"/>
    <w:rsid w:val="00C13D4C"/>
    <w:rsid w:val="00C141F4"/>
    <w:rsid w:val="00C14827"/>
    <w:rsid w:val="00C14896"/>
    <w:rsid w:val="00C14B18"/>
    <w:rsid w:val="00C14C39"/>
    <w:rsid w:val="00C14F2E"/>
    <w:rsid w:val="00C151EF"/>
    <w:rsid w:val="00C15390"/>
    <w:rsid w:val="00C153D6"/>
    <w:rsid w:val="00C15606"/>
    <w:rsid w:val="00C15734"/>
    <w:rsid w:val="00C158A6"/>
    <w:rsid w:val="00C159B4"/>
    <w:rsid w:val="00C15A03"/>
    <w:rsid w:val="00C15BDD"/>
    <w:rsid w:val="00C15F3E"/>
    <w:rsid w:val="00C1620A"/>
    <w:rsid w:val="00C16492"/>
    <w:rsid w:val="00C1656C"/>
    <w:rsid w:val="00C165DD"/>
    <w:rsid w:val="00C16778"/>
    <w:rsid w:val="00C1691E"/>
    <w:rsid w:val="00C16B60"/>
    <w:rsid w:val="00C16F23"/>
    <w:rsid w:val="00C16F26"/>
    <w:rsid w:val="00C16FC3"/>
    <w:rsid w:val="00C17A70"/>
    <w:rsid w:val="00C17E5F"/>
    <w:rsid w:val="00C20000"/>
    <w:rsid w:val="00C204D4"/>
    <w:rsid w:val="00C2079E"/>
    <w:rsid w:val="00C207C1"/>
    <w:rsid w:val="00C2097A"/>
    <w:rsid w:val="00C20C6C"/>
    <w:rsid w:val="00C20D46"/>
    <w:rsid w:val="00C20EE7"/>
    <w:rsid w:val="00C20F75"/>
    <w:rsid w:val="00C21659"/>
    <w:rsid w:val="00C21699"/>
    <w:rsid w:val="00C21713"/>
    <w:rsid w:val="00C21747"/>
    <w:rsid w:val="00C21927"/>
    <w:rsid w:val="00C21C2A"/>
    <w:rsid w:val="00C21E25"/>
    <w:rsid w:val="00C21F00"/>
    <w:rsid w:val="00C2216A"/>
    <w:rsid w:val="00C228A2"/>
    <w:rsid w:val="00C228AF"/>
    <w:rsid w:val="00C22C83"/>
    <w:rsid w:val="00C22E03"/>
    <w:rsid w:val="00C23123"/>
    <w:rsid w:val="00C231AC"/>
    <w:rsid w:val="00C2357E"/>
    <w:rsid w:val="00C237D6"/>
    <w:rsid w:val="00C238A6"/>
    <w:rsid w:val="00C2391B"/>
    <w:rsid w:val="00C2393B"/>
    <w:rsid w:val="00C23AB1"/>
    <w:rsid w:val="00C23D29"/>
    <w:rsid w:val="00C2441F"/>
    <w:rsid w:val="00C244C1"/>
    <w:rsid w:val="00C2465B"/>
    <w:rsid w:val="00C24717"/>
    <w:rsid w:val="00C24745"/>
    <w:rsid w:val="00C24961"/>
    <w:rsid w:val="00C24B32"/>
    <w:rsid w:val="00C25205"/>
    <w:rsid w:val="00C258B2"/>
    <w:rsid w:val="00C25D87"/>
    <w:rsid w:val="00C25F4C"/>
    <w:rsid w:val="00C25FA9"/>
    <w:rsid w:val="00C2613E"/>
    <w:rsid w:val="00C264E9"/>
    <w:rsid w:val="00C26511"/>
    <w:rsid w:val="00C26687"/>
    <w:rsid w:val="00C26BCD"/>
    <w:rsid w:val="00C26CCB"/>
    <w:rsid w:val="00C26D4A"/>
    <w:rsid w:val="00C272BF"/>
    <w:rsid w:val="00C274B1"/>
    <w:rsid w:val="00C2759A"/>
    <w:rsid w:val="00C27700"/>
    <w:rsid w:val="00C27AC6"/>
    <w:rsid w:val="00C27B1A"/>
    <w:rsid w:val="00C27BA0"/>
    <w:rsid w:val="00C27FCE"/>
    <w:rsid w:val="00C30176"/>
    <w:rsid w:val="00C303B0"/>
    <w:rsid w:val="00C303C5"/>
    <w:rsid w:val="00C30513"/>
    <w:rsid w:val="00C30595"/>
    <w:rsid w:val="00C30628"/>
    <w:rsid w:val="00C30976"/>
    <w:rsid w:val="00C30B2C"/>
    <w:rsid w:val="00C30DFE"/>
    <w:rsid w:val="00C30FCB"/>
    <w:rsid w:val="00C310BA"/>
    <w:rsid w:val="00C31220"/>
    <w:rsid w:val="00C312C1"/>
    <w:rsid w:val="00C312F0"/>
    <w:rsid w:val="00C3143F"/>
    <w:rsid w:val="00C31644"/>
    <w:rsid w:val="00C31647"/>
    <w:rsid w:val="00C31851"/>
    <w:rsid w:val="00C318B9"/>
    <w:rsid w:val="00C31D6F"/>
    <w:rsid w:val="00C3226B"/>
    <w:rsid w:val="00C32647"/>
    <w:rsid w:val="00C32B44"/>
    <w:rsid w:val="00C32ECC"/>
    <w:rsid w:val="00C32F9B"/>
    <w:rsid w:val="00C3312A"/>
    <w:rsid w:val="00C335C0"/>
    <w:rsid w:val="00C3392F"/>
    <w:rsid w:val="00C33B30"/>
    <w:rsid w:val="00C33E4D"/>
    <w:rsid w:val="00C33E80"/>
    <w:rsid w:val="00C33F28"/>
    <w:rsid w:val="00C34039"/>
    <w:rsid w:val="00C3415C"/>
    <w:rsid w:val="00C3416F"/>
    <w:rsid w:val="00C342F3"/>
    <w:rsid w:val="00C34453"/>
    <w:rsid w:val="00C34917"/>
    <w:rsid w:val="00C34AAC"/>
    <w:rsid w:val="00C34BC3"/>
    <w:rsid w:val="00C34E0C"/>
    <w:rsid w:val="00C352A6"/>
    <w:rsid w:val="00C35352"/>
    <w:rsid w:val="00C3548F"/>
    <w:rsid w:val="00C354AF"/>
    <w:rsid w:val="00C356B0"/>
    <w:rsid w:val="00C35912"/>
    <w:rsid w:val="00C35A52"/>
    <w:rsid w:val="00C35B82"/>
    <w:rsid w:val="00C35BA9"/>
    <w:rsid w:val="00C35CA9"/>
    <w:rsid w:val="00C35D00"/>
    <w:rsid w:val="00C35D7D"/>
    <w:rsid w:val="00C35DC5"/>
    <w:rsid w:val="00C3608A"/>
    <w:rsid w:val="00C360FE"/>
    <w:rsid w:val="00C36190"/>
    <w:rsid w:val="00C36598"/>
    <w:rsid w:val="00C36632"/>
    <w:rsid w:val="00C36A7E"/>
    <w:rsid w:val="00C36AD9"/>
    <w:rsid w:val="00C36E3C"/>
    <w:rsid w:val="00C36E52"/>
    <w:rsid w:val="00C36E89"/>
    <w:rsid w:val="00C3705D"/>
    <w:rsid w:val="00C37383"/>
    <w:rsid w:val="00C377AB"/>
    <w:rsid w:val="00C3787E"/>
    <w:rsid w:val="00C37883"/>
    <w:rsid w:val="00C37AE7"/>
    <w:rsid w:val="00C37C2D"/>
    <w:rsid w:val="00C37C90"/>
    <w:rsid w:val="00C37DB2"/>
    <w:rsid w:val="00C37DFD"/>
    <w:rsid w:val="00C40432"/>
    <w:rsid w:val="00C4047D"/>
    <w:rsid w:val="00C4099C"/>
    <w:rsid w:val="00C40A6F"/>
    <w:rsid w:val="00C40BFD"/>
    <w:rsid w:val="00C40D84"/>
    <w:rsid w:val="00C4153D"/>
    <w:rsid w:val="00C415B5"/>
    <w:rsid w:val="00C4165B"/>
    <w:rsid w:val="00C4187B"/>
    <w:rsid w:val="00C418AD"/>
    <w:rsid w:val="00C41ECD"/>
    <w:rsid w:val="00C4215F"/>
    <w:rsid w:val="00C42269"/>
    <w:rsid w:val="00C423E9"/>
    <w:rsid w:val="00C42448"/>
    <w:rsid w:val="00C429FF"/>
    <w:rsid w:val="00C42A71"/>
    <w:rsid w:val="00C42CC6"/>
    <w:rsid w:val="00C42F10"/>
    <w:rsid w:val="00C42F1E"/>
    <w:rsid w:val="00C4302D"/>
    <w:rsid w:val="00C43415"/>
    <w:rsid w:val="00C43572"/>
    <w:rsid w:val="00C435ED"/>
    <w:rsid w:val="00C43A9D"/>
    <w:rsid w:val="00C43B20"/>
    <w:rsid w:val="00C43B59"/>
    <w:rsid w:val="00C43C5A"/>
    <w:rsid w:val="00C43E7A"/>
    <w:rsid w:val="00C43F12"/>
    <w:rsid w:val="00C43F82"/>
    <w:rsid w:val="00C440D5"/>
    <w:rsid w:val="00C441B0"/>
    <w:rsid w:val="00C442C4"/>
    <w:rsid w:val="00C44325"/>
    <w:rsid w:val="00C4433D"/>
    <w:rsid w:val="00C44964"/>
    <w:rsid w:val="00C44B4E"/>
    <w:rsid w:val="00C44BE2"/>
    <w:rsid w:val="00C44D15"/>
    <w:rsid w:val="00C4509E"/>
    <w:rsid w:val="00C452D9"/>
    <w:rsid w:val="00C45763"/>
    <w:rsid w:val="00C45865"/>
    <w:rsid w:val="00C4595D"/>
    <w:rsid w:val="00C45A9A"/>
    <w:rsid w:val="00C45A9D"/>
    <w:rsid w:val="00C45BD0"/>
    <w:rsid w:val="00C45CAE"/>
    <w:rsid w:val="00C45D54"/>
    <w:rsid w:val="00C4622B"/>
    <w:rsid w:val="00C46341"/>
    <w:rsid w:val="00C46557"/>
    <w:rsid w:val="00C465C0"/>
    <w:rsid w:val="00C4662A"/>
    <w:rsid w:val="00C4662B"/>
    <w:rsid w:val="00C46647"/>
    <w:rsid w:val="00C4685A"/>
    <w:rsid w:val="00C468C4"/>
    <w:rsid w:val="00C46ADC"/>
    <w:rsid w:val="00C46B5E"/>
    <w:rsid w:val="00C46F21"/>
    <w:rsid w:val="00C46F44"/>
    <w:rsid w:val="00C47417"/>
    <w:rsid w:val="00C474DD"/>
    <w:rsid w:val="00C47574"/>
    <w:rsid w:val="00C47A8C"/>
    <w:rsid w:val="00C47BE9"/>
    <w:rsid w:val="00C47C9A"/>
    <w:rsid w:val="00C47F1E"/>
    <w:rsid w:val="00C47F4A"/>
    <w:rsid w:val="00C50155"/>
    <w:rsid w:val="00C5034E"/>
    <w:rsid w:val="00C50377"/>
    <w:rsid w:val="00C50471"/>
    <w:rsid w:val="00C50505"/>
    <w:rsid w:val="00C50549"/>
    <w:rsid w:val="00C50673"/>
    <w:rsid w:val="00C506A5"/>
    <w:rsid w:val="00C50B8E"/>
    <w:rsid w:val="00C50DE8"/>
    <w:rsid w:val="00C50E2E"/>
    <w:rsid w:val="00C50EDF"/>
    <w:rsid w:val="00C50F0F"/>
    <w:rsid w:val="00C51343"/>
    <w:rsid w:val="00C515B6"/>
    <w:rsid w:val="00C51661"/>
    <w:rsid w:val="00C5177B"/>
    <w:rsid w:val="00C51838"/>
    <w:rsid w:val="00C51DAE"/>
    <w:rsid w:val="00C5242A"/>
    <w:rsid w:val="00C524E5"/>
    <w:rsid w:val="00C52709"/>
    <w:rsid w:val="00C5294F"/>
    <w:rsid w:val="00C52E8D"/>
    <w:rsid w:val="00C53000"/>
    <w:rsid w:val="00C530E9"/>
    <w:rsid w:val="00C5313D"/>
    <w:rsid w:val="00C53195"/>
    <w:rsid w:val="00C53251"/>
    <w:rsid w:val="00C53317"/>
    <w:rsid w:val="00C535F0"/>
    <w:rsid w:val="00C53996"/>
    <w:rsid w:val="00C539F7"/>
    <w:rsid w:val="00C53F73"/>
    <w:rsid w:val="00C5413F"/>
    <w:rsid w:val="00C541AE"/>
    <w:rsid w:val="00C54346"/>
    <w:rsid w:val="00C54541"/>
    <w:rsid w:val="00C5459D"/>
    <w:rsid w:val="00C54882"/>
    <w:rsid w:val="00C54B93"/>
    <w:rsid w:val="00C54BE0"/>
    <w:rsid w:val="00C54F42"/>
    <w:rsid w:val="00C55039"/>
    <w:rsid w:val="00C55101"/>
    <w:rsid w:val="00C55225"/>
    <w:rsid w:val="00C552F7"/>
    <w:rsid w:val="00C5539E"/>
    <w:rsid w:val="00C553E6"/>
    <w:rsid w:val="00C55481"/>
    <w:rsid w:val="00C55A76"/>
    <w:rsid w:val="00C55BDD"/>
    <w:rsid w:val="00C55CAB"/>
    <w:rsid w:val="00C55DBC"/>
    <w:rsid w:val="00C565B4"/>
    <w:rsid w:val="00C56686"/>
    <w:rsid w:val="00C56B43"/>
    <w:rsid w:val="00C56CB0"/>
    <w:rsid w:val="00C56EED"/>
    <w:rsid w:val="00C57109"/>
    <w:rsid w:val="00C57221"/>
    <w:rsid w:val="00C574F8"/>
    <w:rsid w:val="00C575BB"/>
    <w:rsid w:val="00C577C6"/>
    <w:rsid w:val="00C57893"/>
    <w:rsid w:val="00C57A95"/>
    <w:rsid w:val="00C57C58"/>
    <w:rsid w:val="00C57FF7"/>
    <w:rsid w:val="00C6020D"/>
    <w:rsid w:val="00C60F55"/>
    <w:rsid w:val="00C615C4"/>
    <w:rsid w:val="00C6183F"/>
    <w:rsid w:val="00C61897"/>
    <w:rsid w:val="00C61E00"/>
    <w:rsid w:val="00C61E6E"/>
    <w:rsid w:val="00C6253E"/>
    <w:rsid w:val="00C6259E"/>
    <w:rsid w:val="00C6265D"/>
    <w:rsid w:val="00C62665"/>
    <w:rsid w:val="00C626E0"/>
    <w:rsid w:val="00C628E1"/>
    <w:rsid w:val="00C62C22"/>
    <w:rsid w:val="00C62D45"/>
    <w:rsid w:val="00C62E8A"/>
    <w:rsid w:val="00C635E9"/>
    <w:rsid w:val="00C6364B"/>
    <w:rsid w:val="00C637FC"/>
    <w:rsid w:val="00C638AD"/>
    <w:rsid w:val="00C6390B"/>
    <w:rsid w:val="00C639A0"/>
    <w:rsid w:val="00C63A08"/>
    <w:rsid w:val="00C63A41"/>
    <w:rsid w:val="00C63F92"/>
    <w:rsid w:val="00C64869"/>
    <w:rsid w:val="00C64A1A"/>
    <w:rsid w:val="00C64A34"/>
    <w:rsid w:val="00C64A81"/>
    <w:rsid w:val="00C65001"/>
    <w:rsid w:val="00C651FD"/>
    <w:rsid w:val="00C654B3"/>
    <w:rsid w:val="00C655E6"/>
    <w:rsid w:val="00C65870"/>
    <w:rsid w:val="00C65EA3"/>
    <w:rsid w:val="00C66358"/>
    <w:rsid w:val="00C665C4"/>
    <w:rsid w:val="00C6678F"/>
    <w:rsid w:val="00C66A0A"/>
    <w:rsid w:val="00C66B80"/>
    <w:rsid w:val="00C66D27"/>
    <w:rsid w:val="00C66FC1"/>
    <w:rsid w:val="00C67581"/>
    <w:rsid w:val="00C675CA"/>
    <w:rsid w:val="00C67681"/>
    <w:rsid w:val="00C676D6"/>
    <w:rsid w:val="00C67A45"/>
    <w:rsid w:val="00C67B27"/>
    <w:rsid w:val="00C67C84"/>
    <w:rsid w:val="00C67E0D"/>
    <w:rsid w:val="00C7036B"/>
    <w:rsid w:val="00C70466"/>
    <w:rsid w:val="00C7062A"/>
    <w:rsid w:val="00C708BF"/>
    <w:rsid w:val="00C711A0"/>
    <w:rsid w:val="00C713D6"/>
    <w:rsid w:val="00C715F8"/>
    <w:rsid w:val="00C71667"/>
    <w:rsid w:val="00C719E1"/>
    <w:rsid w:val="00C71A01"/>
    <w:rsid w:val="00C71BF9"/>
    <w:rsid w:val="00C71F09"/>
    <w:rsid w:val="00C72450"/>
    <w:rsid w:val="00C724D9"/>
    <w:rsid w:val="00C7253A"/>
    <w:rsid w:val="00C72710"/>
    <w:rsid w:val="00C729B5"/>
    <w:rsid w:val="00C72B58"/>
    <w:rsid w:val="00C733A6"/>
    <w:rsid w:val="00C733A9"/>
    <w:rsid w:val="00C73473"/>
    <w:rsid w:val="00C7389B"/>
    <w:rsid w:val="00C73BA5"/>
    <w:rsid w:val="00C73D70"/>
    <w:rsid w:val="00C7426B"/>
    <w:rsid w:val="00C74292"/>
    <w:rsid w:val="00C742C8"/>
    <w:rsid w:val="00C74548"/>
    <w:rsid w:val="00C746B4"/>
    <w:rsid w:val="00C74923"/>
    <w:rsid w:val="00C74D3F"/>
    <w:rsid w:val="00C74D46"/>
    <w:rsid w:val="00C74EE2"/>
    <w:rsid w:val="00C75189"/>
    <w:rsid w:val="00C75401"/>
    <w:rsid w:val="00C75517"/>
    <w:rsid w:val="00C755B1"/>
    <w:rsid w:val="00C7579F"/>
    <w:rsid w:val="00C75A87"/>
    <w:rsid w:val="00C75C64"/>
    <w:rsid w:val="00C75CB0"/>
    <w:rsid w:val="00C76038"/>
    <w:rsid w:val="00C761BC"/>
    <w:rsid w:val="00C76207"/>
    <w:rsid w:val="00C765BB"/>
    <w:rsid w:val="00C7687D"/>
    <w:rsid w:val="00C76930"/>
    <w:rsid w:val="00C76D80"/>
    <w:rsid w:val="00C76E5C"/>
    <w:rsid w:val="00C76E63"/>
    <w:rsid w:val="00C77021"/>
    <w:rsid w:val="00C771D3"/>
    <w:rsid w:val="00C773CF"/>
    <w:rsid w:val="00C77429"/>
    <w:rsid w:val="00C775B3"/>
    <w:rsid w:val="00C77728"/>
    <w:rsid w:val="00C77C7B"/>
    <w:rsid w:val="00C77EAF"/>
    <w:rsid w:val="00C8025D"/>
    <w:rsid w:val="00C80335"/>
    <w:rsid w:val="00C803F5"/>
    <w:rsid w:val="00C80642"/>
    <w:rsid w:val="00C80791"/>
    <w:rsid w:val="00C80BC6"/>
    <w:rsid w:val="00C80C40"/>
    <w:rsid w:val="00C80EA1"/>
    <w:rsid w:val="00C80EF5"/>
    <w:rsid w:val="00C815CD"/>
    <w:rsid w:val="00C8166C"/>
    <w:rsid w:val="00C8169E"/>
    <w:rsid w:val="00C816B9"/>
    <w:rsid w:val="00C81AA9"/>
    <w:rsid w:val="00C81BC1"/>
    <w:rsid w:val="00C81CD4"/>
    <w:rsid w:val="00C8207E"/>
    <w:rsid w:val="00C82363"/>
    <w:rsid w:val="00C82E28"/>
    <w:rsid w:val="00C831D5"/>
    <w:rsid w:val="00C831E1"/>
    <w:rsid w:val="00C83214"/>
    <w:rsid w:val="00C8322D"/>
    <w:rsid w:val="00C837E2"/>
    <w:rsid w:val="00C83839"/>
    <w:rsid w:val="00C83909"/>
    <w:rsid w:val="00C83BA2"/>
    <w:rsid w:val="00C83D55"/>
    <w:rsid w:val="00C83F8C"/>
    <w:rsid w:val="00C841ED"/>
    <w:rsid w:val="00C84645"/>
    <w:rsid w:val="00C8475A"/>
    <w:rsid w:val="00C849E5"/>
    <w:rsid w:val="00C84A7C"/>
    <w:rsid w:val="00C84D7F"/>
    <w:rsid w:val="00C85020"/>
    <w:rsid w:val="00C85073"/>
    <w:rsid w:val="00C8508E"/>
    <w:rsid w:val="00C852B9"/>
    <w:rsid w:val="00C853D2"/>
    <w:rsid w:val="00C853F4"/>
    <w:rsid w:val="00C85403"/>
    <w:rsid w:val="00C85623"/>
    <w:rsid w:val="00C85D38"/>
    <w:rsid w:val="00C85ED4"/>
    <w:rsid w:val="00C85F52"/>
    <w:rsid w:val="00C85F6C"/>
    <w:rsid w:val="00C860FB"/>
    <w:rsid w:val="00C8617F"/>
    <w:rsid w:val="00C86441"/>
    <w:rsid w:val="00C865BD"/>
    <w:rsid w:val="00C86A17"/>
    <w:rsid w:val="00C86B40"/>
    <w:rsid w:val="00C86E4A"/>
    <w:rsid w:val="00C86EF1"/>
    <w:rsid w:val="00C872AC"/>
    <w:rsid w:val="00C873CF"/>
    <w:rsid w:val="00C87407"/>
    <w:rsid w:val="00C87475"/>
    <w:rsid w:val="00C87587"/>
    <w:rsid w:val="00C8758A"/>
    <w:rsid w:val="00C876E5"/>
    <w:rsid w:val="00C877DC"/>
    <w:rsid w:val="00C87961"/>
    <w:rsid w:val="00C879BD"/>
    <w:rsid w:val="00C87B43"/>
    <w:rsid w:val="00C87BCC"/>
    <w:rsid w:val="00C87C58"/>
    <w:rsid w:val="00C87D19"/>
    <w:rsid w:val="00C87E18"/>
    <w:rsid w:val="00C87E85"/>
    <w:rsid w:val="00C90005"/>
    <w:rsid w:val="00C90250"/>
    <w:rsid w:val="00C90320"/>
    <w:rsid w:val="00C90652"/>
    <w:rsid w:val="00C90863"/>
    <w:rsid w:val="00C9087C"/>
    <w:rsid w:val="00C90F75"/>
    <w:rsid w:val="00C91127"/>
    <w:rsid w:val="00C911CF"/>
    <w:rsid w:val="00C912B6"/>
    <w:rsid w:val="00C91307"/>
    <w:rsid w:val="00C915F9"/>
    <w:rsid w:val="00C91622"/>
    <w:rsid w:val="00C91827"/>
    <w:rsid w:val="00C91B12"/>
    <w:rsid w:val="00C91D27"/>
    <w:rsid w:val="00C91D2B"/>
    <w:rsid w:val="00C91EA6"/>
    <w:rsid w:val="00C91EB9"/>
    <w:rsid w:val="00C91EDA"/>
    <w:rsid w:val="00C91FA8"/>
    <w:rsid w:val="00C92251"/>
    <w:rsid w:val="00C922B3"/>
    <w:rsid w:val="00C92379"/>
    <w:rsid w:val="00C925F8"/>
    <w:rsid w:val="00C92924"/>
    <w:rsid w:val="00C92A15"/>
    <w:rsid w:val="00C92CAE"/>
    <w:rsid w:val="00C92DA1"/>
    <w:rsid w:val="00C93AE3"/>
    <w:rsid w:val="00C93B19"/>
    <w:rsid w:val="00C93D70"/>
    <w:rsid w:val="00C93FFB"/>
    <w:rsid w:val="00C942D4"/>
    <w:rsid w:val="00C9440C"/>
    <w:rsid w:val="00C94464"/>
    <w:rsid w:val="00C945AE"/>
    <w:rsid w:val="00C945FA"/>
    <w:rsid w:val="00C94773"/>
    <w:rsid w:val="00C94AA0"/>
    <w:rsid w:val="00C94B04"/>
    <w:rsid w:val="00C94D9A"/>
    <w:rsid w:val="00C94E64"/>
    <w:rsid w:val="00C9527C"/>
    <w:rsid w:val="00C9575C"/>
    <w:rsid w:val="00C9593C"/>
    <w:rsid w:val="00C95C89"/>
    <w:rsid w:val="00C95DE6"/>
    <w:rsid w:val="00C95EA2"/>
    <w:rsid w:val="00C95F2D"/>
    <w:rsid w:val="00C9621A"/>
    <w:rsid w:val="00C9627A"/>
    <w:rsid w:val="00C962C4"/>
    <w:rsid w:val="00C9633C"/>
    <w:rsid w:val="00C96446"/>
    <w:rsid w:val="00C966E6"/>
    <w:rsid w:val="00C966F8"/>
    <w:rsid w:val="00C96793"/>
    <w:rsid w:val="00C9691F"/>
    <w:rsid w:val="00C96F10"/>
    <w:rsid w:val="00C96F7E"/>
    <w:rsid w:val="00C9700F"/>
    <w:rsid w:val="00C9704E"/>
    <w:rsid w:val="00C97287"/>
    <w:rsid w:val="00C974D6"/>
    <w:rsid w:val="00C97514"/>
    <w:rsid w:val="00C975EA"/>
    <w:rsid w:val="00C9781C"/>
    <w:rsid w:val="00C979AE"/>
    <w:rsid w:val="00C97C61"/>
    <w:rsid w:val="00C97C63"/>
    <w:rsid w:val="00CA0145"/>
    <w:rsid w:val="00CA01F0"/>
    <w:rsid w:val="00CA039F"/>
    <w:rsid w:val="00CA056C"/>
    <w:rsid w:val="00CA081F"/>
    <w:rsid w:val="00CA0955"/>
    <w:rsid w:val="00CA0AFE"/>
    <w:rsid w:val="00CA0E9F"/>
    <w:rsid w:val="00CA11EB"/>
    <w:rsid w:val="00CA1398"/>
    <w:rsid w:val="00CA155D"/>
    <w:rsid w:val="00CA160B"/>
    <w:rsid w:val="00CA1692"/>
    <w:rsid w:val="00CA1A66"/>
    <w:rsid w:val="00CA1AC9"/>
    <w:rsid w:val="00CA1B96"/>
    <w:rsid w:val="00CA1F6F"/>
    <w:rsid w:val="00CA234C"/>
    <w:rsid w:val="00CA2374"/>
    <w:rsid w:val="00CA247E"/>
    <w:rsid w:val="00CA273A"/>
    <w:rsid w:val="00CA29DC"/>
    <w:rsid w:val="00CA3016"/>
    <w:rsid w:val="00CA31C6"/>
    <w:rsid w:val="00CA3523"/>
    <w:rsid w:val="00CA353C"/>
    <w:rsid w:val="00CA367E"/>
    <w:rsid w:val="00CA398C"/>
    <w:rsid w:val="00CA3A4A"/>
    <w:rsid w:val="00CA3A72"/>
    <w:rsid w:val="00CA3AE0"/>
    <w:rsid w:val="00CA3B84"/>
    <w:rsid w:val="00CA3CA3"/>
    <w:rsid w:val="00CA3EC4"/>
    <w:rsid w:val="00CA3F80"/>
    <w:rsid w:val="00CA3FFA"/>
    <w:rsid w:val="00CA42D5"/>
    <w:rsid w:val="00CA434B"/>
    <w:rsid w:val="00CA441D"/>
    <w:rsid w:val="00CA4842"/>
    <w:rsid w:val="00CA4847"/>
    <w:rsid w:val="00CA4A2F"/>
    <w:rsid w:val="00CA4AAA"/>
    <w:rsid w:val="00CA4C54"/>
    <w:rsid w:val="00CA4FE1"/>
    <w:rsid w:val="00CA5077"/>
    <w:rsid w:val="00CA5296"/>
    <w:rsid w:val="00CA53B4"/>
    <w:rsid w:val="00CA5768"/>
    <w:rsid w:val="00CA5945"/>
    <w:rsid w:val="00CA5BA1"/>
    <w:rsid w:val="00CA5D02"/>
    <w:rsid w:val="00CA5E2D"/>
    <w:rsid w:val="00CA5F2A"/>
    <w:rsid w:val="00CA5FE4"/>
    <w:rsid w:val="00CA60D2"/>
    <w:rsid w:val="00CA62D9"/>
    <w:rsid w:val="00CA63FD"/>
    <w:rsid w:val="00CA65A7"/>
    <w:rsid w:val="00CA65F1"/>
    <w:rsid w:val="00CA6638"/>
    <w:rsid w:val="00CA66B9"/>
    <w:rsid w:val="00CA6782"/>
    <w:rsid w:val="00CA6A22"/>
    <w:rsid w:val="00CA6DEA"/>
    <w:rsid w:val="00CA765F"/>
    <w:rsid w:val="00CA776E"/>
    <w:rsid w:val="00CA7785"/>
    <w:rsid w:val="00CA7924"/>
    <w:rsid w:val="00CA79E2"/>
    <w:rsid w:val="00CA7B33"/>
    <w:rsid w:val="00CA7EA8"/>
    <w:rsid w:val="00CB020F"/>
    <w:rsid w:val="00CB03AF"/>
    <w:rsid w:val="00CB09C6"/>
    <w:rsid w:val="00CB0C5E"/>
    <w:rsid w:val="00CB1A9F"/>
    <w:rsid w:val="00CB2116"/>
    <w:rsid w:val="00CB2383"/>
    <w:rsid w:val="00CB24E6"/>
    <w:rsid w:val="00CB2609"/>
    <w:rsid w:val="00CB2B26"/>
    <w:rsid w:val="00CB2B45"/>
    <w:rsid w:val="00CB315E"/>
    <w:rsid w:val="00CB3420"/>
    <w:rsid w:val="00CB347A"/>
    <w:rsid w:val="00CB35D4"/>
    <w:rsid w:val="00CB3966"/>
    <w:rsid w:val="00CB3AB5"/>
    <w:rsid w:val="00CB3C1C"/>
    <w:rsid w:val="00CB429E"/>
    <w:rsid w:val="00CB43CC"/>
    <w:rsid w:val="00CB4404"/>
    <w:rsid w:val="00CB4880"/>
    <w:rsid w:val="00CB4C10"/>
    <w:rsid w:val="00CB4C6E"/>
    <w:rsid w:val="00CB4E6C"/>
    <w:rsid w:val="00CB5173"/>
    <w:rsid w:val="00CB5763"/>
    <w:rsid w:val="00CB5BF2"/>
    <w:rsid w:val="00CB5D87"/>
    <w:rsid w:val="00CB5D8F"/>
    <w:rsid w:val="00CB5FE1"/>
    <w:rsid w:val="00CB6051"/>
    <w:rsid w:val="00CB606E"/>
    <w:rsid w:val="00CB6245"/>
    <w:rsid w:val="00CB627D"/>
    <w:rsid w:val="00CB6399"/>
    <w:rsid w:val="00CB63CB"/>
    <w:rsid w:val="00CB67F1"/>
    <w:rsid w:val="00CB6815"/>
    <w:rsid w:val="00CB6A50"/>
    <w:rsid w:val="00CB6B6B"/>
    <w:rsid w:val="00CB6BB2"/>
    <w:rsid w:val="00CB6ED9"/>
    <w:rsid w:val="00CB6FF1"/>
    <w:rsid w:val="00CB73CD"/>
    <w:rsid w:val="00CB7461"/>
    <w:rsid w:val="00CB75CF"/>
    <w:rsid w:val="00CB780D"/>
    <w:rsid w:val="00CB783F"/>
    <w:rsid w:val="00CB7A79"/>
    <w:rsid w:val="00CB7B87"/>
    <w:rsid w:val="00CB7DE3"/>
    <w:rsid w:val="00CC012B"/>
    <w:rsid w:val="00CC045B"/>
    <w:rsid w:val="00CC0836"/>
    <w:rsid w:val="00CC0BB9"/>
    <w:rsid w:val="00CC0D0F"/>
    <w:rsid w:val="00CC0DD0"/>
    <w:rsid w:val="00CC0F0B"/>
    <w:rsid w:val="00CC0F60"/>
    <w:rsid w:val="00CC0FF7"/>
    <w:rsid w:val="00CC10C2"/>
    <w:rsid w:val="00CC116B"/>
    <w:rsid w:val="00CC12A1"/>
    <w:rsid w:val="00CC1404"/>
    <w:rsid w:val="00CC1745"/>
    <w:rsid w:val="00CC1922"/>
    <w:rsid w:val="00CC1ADA"/>
    <w:rsid w:val="00CC1F98"/>
    <w:rsid w:val="00CC2051"/>
    <w:rsid w:val="00CC211A"/>
    <w:rsid w:val="00CC234D"/>
    <w:rsid w:val="00CC2370"/>
    <w:rsid w:val="00CC2375"/>
    <w:rsid w:val="00CC2943"/>
    <w:rsid w:val="00CC3197"/>
    <w:rsid w:val="00CC3251"/>
    <w:rsid w:val="00CC328D"/>
    <w:rsid w:val="00CC372E"/>
    <w:rsid w:val="00CC378E"/>
    <w:rsid w:val="00CC38BB"/>
    <w:rsid w:val="00CC392E"/>
    <w:rsid w:val="00CC3B71"/>
    <w:rsid w:val="00CC3D68"/>
    <w:rsid w:val="00CC3EF8"/>
    <w:rsid w:val="00CC424F"/>
    <w:rsid w:val="00CC47AC"/>
    <w:rsid w:val="00CC4C51"/>
    <w:rsid w:val="00CC4CBF"/>
    <w:rsid w:val="00CC4E46"/>
    <w:rsid w:val="00CC4ED3"/>
    <w:rsid w:val="00CC4EF7"/>
    <w:rsid w:val="00CC52CB"/>
    <w:rsid w:val="00CC540F"/>
    <w:rsid w:val="00CC580F"/>
    <w:rsid w:val="00CC5A11"/>
    <w:rsid w:val="00CC5A75"/>
    <w:rsid w:val="00CC5AF8"/>
    <w:rsid w:val="00CC5B72"/>
    <w:rsid w:val="00CC5C58"/>
    <w:rsid w:val="00CC5DA5"/>
    <w:rsid w:val="00CC5ED8"/>
    <w:rsid w:val="00CC5EF1"/>
    <w:rsid w:val="00CC5EFB"/>
    <w:rsid w:val="00CC60B2"/>
    <w:rsid w:val="00CC61D0"/>
    <w:rsid w:val="00CC63FD"/>
    <w:rsid w:val="00CC64E4"/>
    <w:rsid w:val="00CC654A"/>
    <w:rsid w:val="00CC659E"/>
    <w:rsid w:val="00CC6BB6"/>
    <w:rsid w:val="00CC6DA8"/>
    <w:rsid w:val="00CC6E89"/>
    <w:rsid w:val="00CC78EA"/>
    <w:rsid w:val="00CC797B"/>
    <w:rsid w:val="00CC7AF4"/>
    <w:rsid w:val="00CC7D98"/>
    <w:rsid w:val="00CD018C"/>
    <w:rsid w:val="00CD01B2"/>
    <w:rsid w:val="00CD0337"/>
    <w:rsid w:val="00CD04DA"/>
    <w:rsid w:val="00CD0955"/>
    <w:rsid w:val="00CD0B28"/>
    <w:rsid w:val="00CD0D9A"/>
    <w:rsid w:val="00CD0E05"/>
    <w:rsid w:val="00CD1789"/>
    <w:rsid w:val="00CD182C"/>
    <w:rsid w:val="00CD1842"/>
    <w:rsid w:val="00CD19DA"/>
    <w:rsid w:val="00CD19F1"/>
    <w:rsid w:val="00CD1B6A"/>
    <w:rsid w:val="00CD1BCE"/>
    <w:rsid w:val="00CD1D6B"/>
    <w:rsid w:val="00CD1DE3"/>
    <w:rsid w:val="00CD2035"/>
    <w:rsid w:val="00CD220E"/>
    <w:rsid w:val="00CD225A"/>
    <w:rsid w:val="00CD2421"/>
    <w:rsid w:val="00CD245E"/>
    <w:rsid w:val="00CD27D3"/>
    <w:rsid w:val="00CD282F"/>
    <w:rsid w:val="00CD29FE"/>
    <w:rsid w:val="00CD2BD9"/>
    <w:rsid w:val="00CD337D"/>
    <w:rsid w:val="00CD33CF"/>
    <w:rsid w:val="00CD35B7"/>
    <w:rsid w:val="00CD38D2"/>
    <w:rsid w:val="00CD38DC"/>
    <w:rsid w:val="00CD3D59"/>
    <w:rsid w:val="00CD40CD"/>
    <w:rsid w:val="00CD4515"/>
    <w:rsid w:val="00CD455A"/>
    <w:rsid w:val="00CD4834"/>
    <w:rsid w:val="00CD4975"/>
    <w:rsid w:val="00CD4A7D"/>
    <w:rsid w:val="00CD4AB1"/>
    <w:rsid w:val="00CD4AF0"/>
    <w:rsid w:val="00CD53EC"/>
    <w:rsid w:val="00CD55D2"/>
    <w:rsid w:val="00CD561D"/>
    <w:rsid w:val="00CD5719"/>
    <w:rsid w:val="00CD57AA"/>
    <w:rsid w:val="00CD58C6"/>
    <w:rsid w:val="00CD59D0"/>
    <w:rsid w:val="00CD5DCD"/>
    <w:rsid w:val="00CD5F7C"/>
    <w:rsid w:val="00CD60F0"/>
    <w:rsid w:val="00CD6134"/>
    <w:rsid w:val="00CD6199"/>
    <w:rsid w:val="00CD633F"/>
    <w:rsid w:val="00CD6472"/>
    <w:rsid w:val="00CD6490"/>
    <w:rsid w:val="00CD658B"/>
    <w:rsid w:val="00CD6742"/>
    <w:rsid w:val="00CD6893"/>
    <w:rsid w:val="00CD70CC"/>
    <w:rsid w:val="00CD70DA"/>
    <w:rsid w:val="00CD72F3"/>
    <w:rsid w:val="00CD76D3"/>
    <w:rsid w:val="00CD7761"/>
    <w:rsid w:val="00CD790E"/>
    <w:rsid w:val="00CD79FB"/>
    <w:rsid w:val="00CD7B2A"/>
    <w:rsid w:val="00CD7B65"/>
    <w:rsid w:val="00CD7DA0"/>
    <w:rsid w:val="00CD7DF0"/>
    <w:rsid w:val="00CD7FC3"/>
    <w:rsid w:val="00CD7FD0"/>
    <w:rsid w:val="00CE00AE"/>
    <w:rsid w:val="00CE02D4"/>
    <w:rsid w:val="00CE05C8"/>
    <w:rsid w:val="00CE0613"/>
    <w:rsid w:val="00CE0906"/>
    <w:rsid w:val="00CE0909"/>
    <w:rsid w:val="00CE0A53"/>
    <w:rsid w:val="00CE0B61"/>
    <w:rsid w:val="00CE1173"/>
    <w:rsid w:val="00CE14B2"/>
    <w:rsid w:val="00CE1618"/>
    <w:rsid w:val="00CE17EE"/>
    <w:rsid w:val="00CE1812"/>
    <w:rsid w:val="00CE1CDB"/>
    <w:rsid w:val="00CE236B"/>
    <w:rsid w:val="00CE23B9"/>
    <w:rsid w:val="00CE2611"/>
    <w:rsid w:val="00CE278D"/>
    <w:rsid w:val="00CE29B9"/>
    <w:rsid w:val="00CE2C90"/>
    <w:rsid w:val="00CE3009"/>
    <w:rsid w:val="00CE30F0"/>
    <w:rsid w:val="00CE3231"/>
    <w:rsid w:val="00CE339C"/>
    <w:rsid w:val="00CE3417"/>
    <w:rsid w:val="00CE342D"/>
    <w:rsid w:val="00CE36F9"/>
    <w:rsid w:val="00CE3C06"/>
    <w:rsid w:val="00CE3EA4"/>
    <w:rsid w:val="00CE4731"/>
    <w:rsid w:val="00CE4880"/>
    <w:rsid w:val="00CE4AF5"/>
    <w:rsid w:val="00CE4BF1"/>
    <w:rsid w:val="00CE502E"/>
    <w:rsid w:val="00CE5078"/>
    <w:rsid w:val="00CE5520"/>
    <w:rsid w:val="00CE563D"/>
    <w:rsid w:val="00CE571F"/>
    <w:rsid w:val="00CE579B"/>
    <w:rsid w:val="00CE5A05"/>
    <w:rsid w:val="00CE5AC4"/>
    <w:rsid w:val="00CE5B85"/>
    <w:rsid w:val="00CE5DD7"/>
    <w:rsid w:val="00CE5E16"/>
    <w:rsid w:val="00CE609A"/>
    <w:rsid w:val="00CE63C9"/>
    <w:rsid w:val="00CE6423"/>
    <w:rsid w:val="00CE64D4"/>
    <w:rsid w:val="00CE651E"/>
    <w:rsid w:val="00CE6715"/>
    <w:rsid w:val="00CE6B88"/>
    <w:rsid w:val="00CE6D3D"/>
    <w:rsid w:val="00CE6D79"/>
    <w:rsid w:val="00CE72C3"/>
    <w:rsid w:val="00CE7312"/>
    <w:rsid w:val="00CE740A"/>
    <w:rsid w:val="00CE7700"/>
    <w:rsid w:val="00CE77A0"/>
    <w:rsid w:val="00CE7CCA"/>
    <w:rsid w:val="00CE7FA6"/>
    <w:rsid w:val="00CF008E"/>
    <w:rsid w:val="00CF0179"/>
    <w:rsid w:val="00CF029A"/>
    <w:rsid w:val="00CF02D0"/>
    <w:rsid w:val="00CF03B5"/>
    <w:rsid w:val="00CF05A0"/>
    <w:rsid w:val="00CF08CD"/>
    <w:rsid w:val="00CF098A"/>
    <w:rsid w:val="00CF0AC8"/>
    <w:rsid w:val="00CF0C03"/>
    <w:rsid w:val="00CF0E0D"/>
    <w:rsid w:val="00CF0E89"/>
    <w:rsid w:val="00CF0EFC"/>
    <w:rsid w:val="00CF126B"/>
    <w:rsid w:val="00CF1334"/>
    <w:rsid w:val="00CF154E"/>
    <w:rsid w:val="00CF167C"/>
    <w:rsid w:val="00CF1981"/>
    <w:rsid w:val="00CF19F5"/>
    <w:rsid w:val="00CF1C33"/>
    <w:rsid w:val="00CF2178"/>
    <w:rsid w:val="00CF22B0"/>
    <w:rsid w:val="00CF27EE"/>
    <w:rsid w:val="00CF284D"/>
    <w:rsid w:val="00CF28E9"/>
    <w:rsid w:val="00CF2D9F"/>
    <w:rsid w:val="00CF2E4B"/>
    <w:rsid w:val="00CF2F34"/>
    <w:rsid w:val="00CF312D"/>
    <w:rsid w:val="00CF342E"/>
    <w:rsid w:val="00CF354C"/>
    <w:rsid w:val="00CF36E0"/>
    <w:rsid w:val="00CF3870"/>
    <w:rsid w:val="00CF3A26"/>
    <w:rsid w:val="00CF3A7A"/>
    <w:rsid w:val="00CF3A9F"/>
    <w:rsid w:val="00CF3ED0"/>
    <w:rsid w:val="00CF41E3"/>
    <w:rsid w:val="00CF42D2"/>
    <w:rsid w:val="00CF42D3"/>
    <w:rsid w:val="00CF4317"/>
    <w:rsid w:val="00CF4445"/>
    <w:rsid w:val="00CF44A1"/>
    <w:rsid w:val="00CF4806"/>
    <w:rsid w:val="00CF484A"/>
    <w:rsid w:val="00CF4C8B"/>
    <w:rsid w:val="00CF4D0E"/>
    <w:rsid w:val="00CF4E4C"/>
    <w:rsid w:val="00CF4E6B"/>
    <w:rsid w:val="00CF5911"/>
    <w:rsid w:val="00CF5A2F"/>
    <w:rsid w:val="00CF5A30"/>
    <w:rsid w:val="00CF5AE8"/>
    <w:rsid w:val="00CF5C8B"/>
    <w:rsid w:val="00CF5E38"/>
    <w:rsid w:val="00CF5ECC"/>
    <w:rsid w:val="00CF5F35"/>
    <w:rsid w:val="00CF628D"/>
    <w:rsid w:val="00CF6713"/>
    <w:rsid w:val="00CF6B92"/>
    <w:rsid w:val="00CF6BCC"/>
    <w:rsid w:val="00CF6C5C"/>
    <w:rsid w:val="00CF6C94"/>
    <w:rsid w:val="00CF6ED9"/>
    <w:rsid w:val="00CF7108"/>
    <w:rsid w:val="00CF7470"/>
    <w:rsid w:val="00CF7594"/>
    <w:rsid w:val="00CF760A"/>
    <w:rsid w:val="00CF76DA"/>
    <w:rsid w:val="00CF775B"/>
    <w:rsid w:val="00CF78BE"/>
    <w:rsid w:val="00CF79C0"/>
    <w:rsid w:val="00CF7EDE"/>
    <w:rsid w:val="00D002FC"/>
    <w:rsid w:val="00D00317"/>
    <w:rsid w:val="00D00569"/>
    <w:rsid w:val="00D009C8"/>
    <w:rsid w:val="00D00BF2"/>
    <w:rsid w:val="00D0111C"/>
    <w:rsid w:val="00D0179B"/>
    <w:rsid w:val="00D017D6"/>
    <w:rsid w:val="00D01A0C"/>
    <w:rsid w:val="00D01C1C"/>
    <w:rsid w:val="00D01C40"/>
    <w:rsid w:val="00D01CD5"/>
    <w:rsid w:val="00D01E47"/>
    <w:rsid w:val="00D01E89"/>
    <w:rsid w:val="00D01FD6"/>
    <w:rsid w:val="00D0215F"/>
    <w:rsid w:val="00D024E8"/>
    <w:rsid w:val="00D025DF"/>
    <w:rsid w:val="00D026B1"/>
    <w:rsid w:val="00D02AFA"/>
    <w:rsid w:val="00D02B30"/>
    <w:rsid w:val="00D02D38"/>
    <w:rsid w:val="00D03041"/>
    <w:rsid w:val="00D03116"/>
    <w:rsid w:val="00D03120"/>
    <w:rsid w:val="00D0339A"/>
    <w:rsid w:val="00D033B7"/>
    <w:rsid w:val="00D03641"/>
    <w:rsid w:val="00D036A5"/>
    <w:rsid w:val="00D037CB"/>
    <w:rsid w:val="00D0380B"/>
    <w:rsid w:val="00D038A2"/>
    <w:rsid w:val="00D0392C"/>
    <w:rsid w:val="00D042AD"/>
    <w:rsid w:val="00D04468"/>
    <w:rsid w:val="00D04486"/>
    <w:rsid w:val="00D044C0"/>
    <w:rsid w:val="00D04648"/>
    <w:rsid w:val="00D049D0"/>
    <w:rsid w:val="00D04A52"/>
    <w:rsid w:val="00D04C91"/>
    <w:rsid w:val="00D04D39"/>
    <w:rsid w:val="00D04FF5"/>
    <w:rsid w:val="00D050FE"/>
    <w:rsid w:val="00D05183"/>
    <w:rsid w:val="00D05353"/>
    <w:rsid w:val="00D053AD"/>
    <w:rsid w:val="00D0548B"/>
    <w:rsid w:val="00D05B5D"/>
    <w:rsid w:val="00D05DD5"/>
    <w:rsid w:val="00D062A2"/>
    <w:rsid w:val="00D06501"/>
    <w:rsid w:val="00D065D7"/>
    <w:rsid w:val="00D067CA"/>
    <w:rsid w:val="00D068C4"/>
    <w:rsid w:val="00D068E6"/>
    <w:rsid w:val="00D068F8"/>
    <w:rsid w:val="00D06902"/>
    <w:rsid w:val="00D06977"/>
    <w:rsid w:val="00D072A5"/>
    <w:rsid w:val="00D0748F"/>
    <w:rsid w:val="00D074DC"/>
    <w:rsid w:val="00D07507"/>
    <w:rsid w:val="00D075D1"/>
    <w:rsid w:val="00D076A0"/>
    <w:rsid w:val="00D0773C"/>
    <w:rsid w:val="00D0780E"/>
    <w:rsid w:val="00D102EF"/>
    <w:rsid w:val="00D103D4"/>
    <w:rsid w:val="00D1064F"/>
    <w:rsid w:val="00D1095D"/>
    <w:rsid w:val="00D109B6"/>
    <w:rsid w:val="00D10AD0"/>
    <w:rsid w:val="00D10AD3"/>
    <w:rsid w:val="00D10B7C"/>
    <w:rsid w:val="00D10B89"/>
    <w:rsid w:val="00D10BDE"/>
    <w:rsid w:val="00D10D0E"/>
    <w:rsid w:val="00D10DA6"/>
    <w:rsid w:val="00D10E23"/>
    <w:rsid w:val="00D10EE2"/>
    <w:rsid w:val="00D1140A"/>
    <w:rsid w:val="00D11B13"/>
    <w:rsid w:val="00D11D8A"/>
    <w:rsid w:val="00D11EA2"/>
    <w:rsid w:val="00D1235A"/>
    <w:rsid w:val="00D12390"/>
    <w:rsid w:val="00D125C6"/>
    <w:rsid w:val="00D1268A"/>
    <w:rsid w:val="00D127C1"/>
    <w:rsid w:val="00D128DA"/>
    <w:rsid w:val="00D12ABF"/>
    <w:rsid w:val="00D12B24"/>
    <w:rsid w:val="00D1347C"/>
    <w:rsid w:val="00D134CF"/>
    <w:rsid w:val="00D1369A"/>
    <w:rsid w:val="00D13AC3"/>
    <w:rsid w:val="00D13C6B"/>
    <w:rsid w:val="00D13CB0"/>
    <w:rsid w:val="00D13E3B"/>
    <w:rsid w:val="00D146A9"/>
    <w:rsid w:val="00D14D2B"/>
    <w:rsid w:val="00D14D55"/>
    <w:rsid w:val="00D150C1"/>
    <w:rsid w:val="00D152F6"/>
    <w:rsid w:val="00D153BE"/>
    <w:rsid w:val="00D1554D"/>
    <w:rsid w:val="00D156CD"/>
    <w:rsid w:val="00D15B4E"/>
    <w:rsid w:val="00D15B78"/>
    <w:rsid w:val="00D15D13"/>
    <w:rsid w:val="00D15F41"/>
    <w:rsid w:val="00D16056"/>
    <w:rsid w:val="00D16334"/>
    <w:rsid w:val="00D163EC"/>
    <w:rsid w:val="00D1697A"/>
    <w:rsid w:val="00D16B66"/>
    <w:rsid w:val="00D16CE0"/>
    <w:rsid w:val="00D16E71"/>
    <w:rsid w:val="00D16F53"/>
    <w:rsid w:val="00D16F96"/>
    <w:rsid w:val="00D17074"/>
    <w:rsid w:val="00D170AF"/>
    <w:rsid w:val="00D17176"/>
    <w:rsid w:val="00D1727E"/>
    <w:rsid w:val="00D17415"/>
    <w:rsid w:val="00D17885"/>
    <w:rsid w:val="00D179DC"/>
    <w:rsid w:val="00D17A02"/>
    <w:rsid w:val="00D17EB4"/>
    <w:rsid w:val="00D2003A"/>
    <w:rsid w:val="00D200AF"/>
    <w:rsid w:val="00D206DA"/>
    <w:rsid w:val="00D207AF"/>
    <w:rsid w:val="00D20C18"/>
    <w:rsid w:val="00D21341"/>
    <w:rsid w:val="00D215BC"/>
    <w:rsid w:val="00D2170D"/>
    <w:rsid w:val="00D217F5"/>
    <w:rsid w:val="00D21E37"/>
    <w:rsid w:val="00D22272"/>
    <w:rsid w:val="00D229AA"/>
    <w:rsid w:val="00D22B8B"/>
    <w:rsid w:val="00D22D64"/>
    <w:rsid w:val="00D22DD6"/>
    <w:rsid w:val="00D22E00"/>
    <w:rsid w:val="00D23260"/>
    <w:rsid w:val="00D232FE"/>
    <w:rsid w:val="00D23636"/>
    <w:rsid w:val="00D238D2"/>
    <w:rsid w:val="00D23D5F"/>
    <w:rsid w:val="00D23DFC"/>
    <w:rsid w:val="00D23E94"/>
    <w:rsid w:val="00D2413D"/>
    <w:rsid w:val="00D24230"/>
    <w:rsid w:val="00D24314"/>
    <w:rsid w:val="00D246D7"/>
    <w:rsid w:val="00D2492D"/>
    <w:rsid w:val="00D249FF"/>
    <w:rsid w:val="00D24A48"/>
    <w:rsid w:val="00D2503C"/>
    <w:rsid w:val="00D2508A"/>
    <w:rsid w:val="00D250A6"/>
    <w:rsid w:val="00D2512E"/>
    <w:rsid w:val="00D251EB"/>
    <w:rsid w:val="00D25200"/>
    <w:rsid w:val="00D254BD"/>
    <w:rsid w:val="00D254DB"/>
    <w:rsid w:val="00D25509"/>
    <w:rsid w:val="00D25587"/>
    <w:rsid w:val="00D25A79"/>
    <w:rsid w:val="00D25D2B"/>
    <w:rsid w:val="00D264C1"/>
    <w:rsid w:val="00D26BCE"/>
    <w:rsid w:val="00D26BF0"/>
    <w:rsid w:val="00D26CEC"/>
    <w:rsid w:val="00D2734F"/>
    <w:rsid w:val="00D27532"/>
    <w:rsid w:val="00D2757A"/>
    <w:rsid w:val="00D275F0"/>
    <w:rsid w:val="00D276B3"/>
    <w:rsid w:val="00D2794A"/>
    <w:rsid w:val="00D2796D"/>
    <w:rsid w:val="00D279B0"/>
    <w:rsid w:val="00D27D2F"/>
    <w:rsid w:val="00D30038"/>
    <w:rsid w:val="00D3033C"/>
    <w:rsid w:val="00D304FD"/>
    <w:rsid w:val="00D3066B"/>
    <w:rsid w:val="00D30D2E"/>
    <w:rsid w:val="00D30E9A"/>
    <w:rsid w:val="00D30F25"/>
    <w:rsid w:val="00D31005"/>
    <w:rsid w:val="00D311C4"/>
    <w:rsid w:val="00D31232"/>
    <w:rsid w:val="00D3139D"/>
    <w:rsid w:val="00D314F5"/>
    <w:rsid w:val="00D31543"/>
    <w:rsid w:val="00D31C5F"/>
    <w:rsid w:val="00D31C9D"/>
    <w:rsid w:val="00D31D3E"/>
    <w:rsid w:val="00D31D93"/>
    <w:rsid w:val="00D31D9B"/>
    <w:rsid w:val="00D31ECD"/>
    <w:rsid w:val="00D32013"/>
    <w:rsid w:val="00D3213C"/>
    <w:rsid w:val="00D32213"/>
    <w:rsid w:val="00D3238C"/>
    <w:rsid w:val="00D32467"/>
    <w:rsid w:val="00D32A53"/>
    <w:rsid w:val="00D32BC0"/>
    <w:rsid w:val="00D32C6C"/>
    <w:rsid w:val="00D32D62"/>
    <w:rsid w:val="00D33009"/>
    <w:rsid w:val="00D332E1"/>
    <w:rsid w:val="00D333A0"/>
    <w:rsid w:val="00D333F2"/>
    <w:rsid w:val="00D33740"/>
    <w:rsid w:val="00D33D99"/>
    <w:rsid w:val="00D33EB9"/>
    <w:rsid w:val="00D33F32"/>
    <w:rsid w:val="00D33F8D"/>
    <w:rsid w:val="00D33FFE"/>
    <w:rsid w:val="00D347BC"/>
    <w:rsid w:val="00D348E3"/>
    <w:rsid w:val="00D34A70"/>
    <w:rsid w:val="00D34BA3"/>
    <w:rsid w:val="00D34E78"/>
    <w:rsid w:val="00D3509C"/>
    <w:rsid w:val="00D353D5"/>
    <w:rsid w:val="00D356C4"/>
    <w:rsid w:val="00D358DC"/>
    <w:rsid w:val="00D35BDF"/>
    <w:rsid w:val="00D35C52"/>
    <w:rsid w:val="00D35F13"/>
    <w:rsid w:val="00D36100"/>
    <w:rsid w:val="00D3626C"/>
    <w:rsid w:val="00D36475"/>
    <w:rsid w:val="00D365A0"/>
    <w:rsid w:val="00D36608"/>
    <w:rsid w:val="00D3667C"/>
    <w:rsid w:val="00D366AB"/>
    <w:rsid w:val="00D368EB"/>
    <w:rsid w:val="00D36A70"/>
    <w:rsid w:val="00D36AF0"/>
    <w:rsid w:val="00D36CA9"/>
    <w:rsid w:val="00D36D5C"/>
    <w:rsid w:val="00D370E8"/>
    <w:rsid w:val="00D3718A"/>
    <w:rsid w:val="00D374F2"/>
    <w:rsid w:val="00D37685"/>
    <w:rsid w:val="00D3793F"/>
    <w:rsid w:val="00D37CCB"/>
    <w:rsid w:val="00D40097"/>
    <w:rsid w:val="00D400C3"/>
    <w:rsid w:val="00D401BC"/>
    <w:rsid w:val="00D406B9"/>
    <w:rsid w:val="00D4090C"/>
    <w:rsid w:val="00D40BBD"/>
    <w:rsid w:val="00D40D8F"/>
    <w:rsid w:val="00D40E5D"/>
    <w:rsid w:val="00D41087"/>
    <w:rsid w:val="00D4124B"/>
    <w:rsid w:val="00D41314"/>
    <w:rsid w:val="00D414FB"/>
    <w:rsid w:val="00D41646"/>
    <w:rsid w:val="00D419AA"/>
    <w:rsid w:val="00D41D07"/>
    <w:rsid w:val="00D41E33"/>
    <w:rsid w:val="00D41E7E"/>
    <w:rsid w:val="00D41EB5"/>
    <w:rsid w:val="00D42184"/>
    <w:rsid w:val="00D42660"/>
    <w:rsid w:val="00D4270A"/>
    <w:rsid w:val="00D4291F"/>
    <w:rsid w:val="00D4293B"/>
    <w:rsid w:val="00D430EB"/>
    <w:rsid w:val="00D431DD"/>
    <w:rsid w:val="00D4345D"/>
    <w:rsid w:val="00D4362F"/>
    <w:rsid w:val="00D43704"/>
    <w:rsid w:val="00D43D49"/>
    <w:rsid w:val="00D43DBE"/>
    <w:rsid w:val="00D4400E"/>
    <w:rsid w:val="00D441B5"/>
    <w:rsid w:val="00D442DE"/>
    <w:rsid w:val="00D445FE"/>
    <w:rsid w:val="00D44700"/>
    <w:rsid w:val="00D44771"/>
    <w:rsid w:val="00D44ABC"/>
    <w:rsid w:val="00D44B63"/>
    <w:rsid w:val="00D44D4A"/>
    <w:rsid w:val="00D44DC5"/>
    <w:rsid w:val="00D44E89"/>
    <w:rsid w:val="00D44FCC"/>
    <w:rsid w:val="00D44FDE"/>
    <w:rsid w:val="00D450E3"/>
    <w:rsid w:val="00D450FA"/>
    <w:rsid w:val="00D45120"/>
    <w:rsid w:val="00D45265"/>
    <w:rsid w:val="00D459C9"/>
    <w:rsid w:val="00D45B26"/>
    <w:rsid w:val="00D45E51"/>
    <w:rsid w:val="00D464F3"/>
    <w:rsid w:val="00D46641"/>
    <w:rsid w:val="00D46C5B"/>
    <w:rsid w:val="00D46CE5"/>
    <w:rsid w:val="00D46E43"/>
    <w:rsid w:val="00D4721C"/>
    <w:rsid w:val="00D474D9"/>
    <w:rsid w:val="00D47698"/>
    <w:rsid w:val="00D4772F"/>
    <w:rsid w:val="00D47784"/>
    <w:rsid w:val="00D4790E"/>
    <w:rsid w:val="00D47A6D"/>
    <w:rsid w:val="00D47BA6"/>
    <w:rsid w:val="00D50357"/>
    <w:rsid w:val="00D50918"/>
    <w:rsid w:val="00D50C5D"/>
    <w:rsid w:val="00D50DC8"/>
    <w:rsid w:val="00D50FB0"/>
    <w:rsid w:val="00D51123"/>
    <w:rsid w:val="00D512B1"/>
    <w:rsid w:val="00D514F7"/>
    <w:rsid w:val="00D515EF"/>
    <w:rsid w:val="00D516B0"/>
    <w:rsid w:val="00D51A82"/>
    <w:rsid w:val="00D51BC9"/>
    <w:rsid w:val="00D51C51"/>
    <w:rsid w:val="00D5205B"/>
    <w:rsid w:val="00D520B8"/>
    <w:rsid w:val="00D52214"/>
    <w:rsid w:val="00D5228B"/>
    <w:rsid w:val="00D522C9"/>
    <w:rsid w:val="00D52550"/>
    <w:rsid w:val="00D5271D"/>
    <w:rsid w:val="00D52874"/>
    <w:rsid w:val="00D528B6"/>
    <w:rsid w:val="00D529C1"/>
    <w:rsid w:val="00D52BDF"/>
    <w:rsid w:val="00D52D91"/>
    <w:rsid w:val="00D52E50"/>
    <w:rsid w:val="00D52EAD"/>
    <w:rsid w:val="00D52FE1"/>
    <w:rsid w:val="00D531DC"/>
    <w:rsid w:val="00D536F4"/>
    <w:rsid w:val="00D53878"/>
    <w:rsid w:val="00D53C5E"/>
    <w:rsid w:val="00D53D48"/>
    <w:rsid w:val="00D53F09"/>
    <w:rsid w:val="00D53F92"/>
    <w:rsid w:val="00D5401C"/>
    <w:rsid w:val="00D5409C"/>
    <w:rsid w:val="00D541EA"/>
    <w:rsid w:val="00D5450F"/>
    <w:rsid w:val="00D548FD"/>
    <w:rsid w:val="00D549A8"/>
    <w:rsid w:val="00D54AC1"/>
    <w:rsid w:val="00D54BD0"/>
    <w:rsid w:val="00D54C95"/>
    <w:rsid w:val="00D54E6E"/>
    <w:rsid w:val="00D55340"/>
    <w:rsid w:val="00D5536B"/>
    <w:rsid w:val="00D553B7"/>
    <w:rsid w:val="00D554D2"/>
    <w:rsid w:val="00D55629"/>
    <w:rsid w:val="00D55922"/>
    <w:rsid w:val="00D559C2"/>
    <w:rsid w:val="00D55A42"/>
    <w:rsid w:val="00D55BEC"/>
    <w:rsid w:val="00D55C01"/>
    <w:rsid w:val="00D55CDA"/>
    <w:rsid w:val="00D55CFC"/>
    <w:rsid w:val="00D55D65"/>
    <w:rsid w:val="00D55DB2"/>
    <w:rsid w:val="00D55DD4"/>
    <w:rsid w:val="00D55EBC"/>
    <w:rsid w:val="00D55F02"/>
    <w:rsid w:val="00D560A6"/>
    <w:rsid w:val="00D560FB"/>
    <w:rsid w:val="00D5641F"/>
    <w:rsid w:val="00D565AF"/>
    <w:rsid w:val="00D565DA"/>
    <w:rsid w:val="00D56625"/>
    <w:rsid w:val="00D56901"/>
    <w:rsid w:val="00D56F19"/>
    <w:rsid w:val="00D571ED"/>
    <w:rsid w:val="00D572C9"/>
    <w:rsid w:val="00D57306"/>
    <w:rsid w:val="00D5732F"/>
    <w:rsid w:val="00D57655"/>
    <w:rsid w:val="00D5768B"/>
    <w:rsid w:val="00D57940"/>
    <w:rsid w:val="00D57B43"/>
    <w:rsid w:val="00D57F70"/>
    <w:rsid w:val="00D57FA6"/>
    <w:rsid w:val="00D57FC2"/>
    <w:rsid w:val="00D600C3"/>
    <w:rsid w:val="00D60286"/>
    <w:rsid w:val="00D60525"/>
    <w:rsid w:val="00D60710"/>
    <w:rsid w:val="00D608EA"/>
    <w:rsid w:val="00D60FC1"/>
    <w:rsid w:val="00D6144C"/>
    <w:rsid w:val="00D6163C"/>
    <w:rsid w:val="00D619B4"/>
    <w:rsid w:val="00D61E0C"/>
    <w:rsid w:val="00D61F63"/>
    <w:rsid w:val="00D62015"/>
    <w:rsid w:val="00D6216F"/>
    <w:rsid w:val="00D6221E"/>
    <w:rsid w:val="00D62233"/>
    <w:rsid w:val="00D622DA"/>
    <w:rsid w:val="00D625AC"/>
    <w:rsid w:val="00D628BD"/>
    <w:rsid w:val="00D62D89"/>
    <w:rsid w:val="00D6328E"/>
    <w:rsid w:val="00D63450"/>
    <w:rsid w:val="00D634B7"/>
    <w:rsid w:val="00D637BA"/>
    <w:rsid w:val="00D63E79"/>
    <w:rsid w:val="00D64272"/>
    <w:rsid w:val="00D642CD"/>
    <w:rsid w:val="00D64585"/>
    <w:rsid w:val="00D646DF"/>
    <w:rsid w:val="00D648CE"/>
    <w:rsid w:val="00D648E6"/>
    <w:rsid w:val="00D64D05"/>
    <w:rsid w:val="00D65166"/>
    <w:rsid w:val="00D6563B"/>
    <w:rsid w:val="00D65751"/>
    <w:rsid w:val="00D65BC0"/>
    <w:rsid w:val="00D65C61"/>
    <w:rsid w:val="00D65C64"/>
    <w:rsid w:val="00D660FF"/>
    <w:rsid w:val="00D6637C"/>
    <w:rsid w:val="00D66651"/>
    <w:rsid w:val="00D66879"/>
    <w:rsid w:val="00D66955"/>
    <w:rsid w:val="00D66FBD"/>
    <w:rsid w:val="00D670B0"/>
    <w:rsid w:val="00D670ED"/>
    <w:rsid w:val="00D6751B"/>
    <w:rsid w:val="00D676E2"/>
    <w:rsid w:val="00D677D1"/>
    <w:rsid w:val="00D6783C"/>
    <w:rsid w:val="00D67BA5"/>
    <w:rsid w:val="00D67BDC"/>
    <w:rsid w:val="00D67DC3"/>
    <w:rsid w:val="00D70071"/>
    <w:rsid w:val="00D7044C"/>
    <w:rsid w:val="00D705F6"/>
    <w:rsid w:val="00D7079E"/>
    <w:rsid w:val="00D70984"/>
    <w:rsid w:val="00D70B0C"/>
    <w:rsid w:val="00D70CDA"/>
    <w:rsid w:val="00D70D9D"/>
    <w:rsid w:val="00D70EC6"/>
    <w:rsid w:val="00D70FF0"/>
    <w:rsid w:val="00D71153"/>
    <w:rsid w:val="00D71630"/>
    <w:rsid w:val="00D716BC"/>
    <w:rsid w:val="00D71902"/>
    <w:rsid w:val="00D71997"/>
    <w:rsid w:val="00D71A28"/>
    <w:rsid w:val="00D71B4A"/>
    <w:rsid w:val="00D71DEC"/>
    <w:rsid w:val="00D71F1B"/>
    <w:rsid w:val="00D71F31"/>
    <w:rsid w:val="00D71FC9"/>
    <w:rsid w:val="00D72099"/>
    <w:rsid w:val="00D723B2"/>
    <w:rsid w:val="00D726AB"/>
    <w:rsid w:val="00D729B3"/>
    <w:rsid w:val="00D72A45"/>
    <w:rsid w:val="00D72BC7"/>
    <w:rsid w:val="00D72E09"/>
    <w:rsid w:val="00D72F45"/>
    <w:rsid w:val="00D73257"/>
    <w:rsid w:val="00D7327C"/>
    <w:rsid w:val="00D73303"/>
    <w:rsid w:val="00D7359C"/>
    <w:rsid w:val="00D735FE"/>
    <w:rsid w:val="00D7363C"/>
    <w:rsid w:val="00D73B57"/>
    <w:rsid w:val="00D73C53"/>
    <w:rsid w:val="00D73DF3"/>
    <w:rsid w:val="00D74560"/>
    <w:rsid w:val="00D745F5"/>
    <w:rsid w:val="00D74687"/>
    <w:rsid w:val="00D746AC"/>
    <w:rsid w:val="00D74B76"/>
    <w:rsid w:val="00D74BFF"/>
    <w:rsid w:val="00D74CF4"/>
    <w:rsid w:val="00D74D2A"/>
    <w:rsid w:val="00D74D74"/>
    <w:rsid w:val="00D74E0C"/>
    <w:rsid w:val="00D74FAA"/>
    <w:rsid w:val="00D7508C"/>
    <w:rsid w:val="00D75102"/>
    <w:rsid w:val="00D75204"/>
    <w:rsid w:val="00D75441"/>
    <w:rsid w:val="00D755F1"/>
    <w:rsid w:val="00D75701"/>
    <w:rsid w:val="00D75822"/>
    <w:rsid w:val="00D75899"/>
    <w:rsid w:val="00D75AD0"/>
    <w:rsid w:val="00D75DE8"/>
    <w:rsid w:val="00D7601A"/>
    <w:rsid w:val="00D761C7"/>
    <w:rsid w:val="00D762D9"/>
    <w:rsid w:val="00D7639D"/>
    <w:rsid w:val="00D76511"/>
    <w:rsid w:val="00D7655D"/>
    <w:rsid w:val="00D76693"/>
    <w:rsid w:val="00D766FC"/>
    <w:rsid w:val="00D76711"/>
    <w:rsid w:val="00D7681A"/>
    <w:rsid w:val="00D768F4"/>
    <w:rsid w:val="00D7690E"/>
    <w:rsid w:val="00D76F26"/>
    <w:rsid w:val="00D76F4A"/>
    <w:rsid w:val="00D76F4D"/>
    <w:rsid w:val="00D77042"/>
    <w:rsid w:val="00D77130"/>
    <w:rsid w:val="00D774F3"/>
    <w:rsid w:val="00D774F6"/>
    <w:rsid w:val="00D77AD2"/>
    <w:rsid w:val="00D77D01"/>
    <w:rsid w:val="00D802DC"/>
    <w:rsid w:val="00D80668"/>
    <w:rsid w:val="00D80BFA"/>
    <w:rsid w:val="00D80ECD"/>
    <w:rsid w:val="00D80F35"/>
    <w:rsid w:val="00D80FBD"/>
    <w:rsid w:val="00D811AB"/>
    <w:rsid w:val="00D817AB"/>
    <w:rsid w:val="00D81A5F"/>
    <w:rsid w:val="00D81AD3"/>
    <w:rsid w:val="00D81B2E"/>
    <w:rsid w:val="00D81D32"/>
    <w:rsid w:val="00D81D6D"/>
    <w:rsid w:val="00D81EC9"/>
    <w:rsid w:val="00D82069"/>
    <w:rsid w:val="00D82195"/>
    <w:rsid w:val="00D8227B"/>
    <w:rsid w:val="00D822F8"/>
    <w:rsid w:val="00D826D0"/>
    <w:rsid w:val="00D82A37"/>
    <w:rsid w:val="00D82B18"/>
    <w:rsid w:val="00D82BCE"/>
    <w:rsid w:val="00D82D7A"/>
    <w:rsid w:val="00D82EEA"/>
    <w:rsid w:val="00D8310E"/>
    <w:rsid w:val="00D83119"/>
    <w:rsid w:val="00D8333D"/>
    <w:rsid w:val="00D834C4"/>
    <w:rsid w:val="00D83559"/>
    <w:rsid w:val="00D83673"/>
    <w:rsid w:val="00D837D0"/>
    <w:rsid w:val="00D83A27"/>
    <w:rsid w:val="00D83A7C"/>
    <w:rsid w:val="00D83DA6"/>
    <w:rsid w:val="00D83E3C"/>
    <w:rsid w:val="00D849DF"/>
    <w:rsid w:val="00D84A49"/>
    <w:rsid w:val="00D84AA4"/>
    <w:rsid w:val="00D84B4C"/>
    <w:rsid w:val="00D84EE6"/>
    <w:rsid w:val="00D84FC0"/>
    <w:rsid w:val="00D85443"/>
    <w:rsid w:val="00D8565C"/>
    <w:rsid w:val="00D8567D"/>
    <w:rsid w:val="00D856D8"/>
    <w:rsid w:val="00D85A56"/>
    <w:rsid w:val="00D85CBF"/>
    <w:rsid w:val="00D85E9D"/>
    <w:rsid w:val="00D86236"/>
    <w:rsid w:val="00D8662E"/>
    <w:rsid w:val="00D867C5"/>
    <w:rsid w:val="00D86D7E"/>
    <w:rsid w:val="00D87067"/>
    <w:rsid w:val="00D87482"/>
    <w:rsid w:val="00D874D5"/>
    <w:rsid w:val="00D875FA"/>
    <w:rsid w:val="00D87CE8"/>
    <w:rsid w:val="00D87D4D"/>
    <w:rsid w:val="00D87D66"/>
    <w:rsid w:val="00D87E4B"/>
    <w:rsid w:val="00D87EDF"/>
    <w:rsid w:val="00D87EEC"/>
    <w:rsid w:val="00D87F98"/>
    <w:rsid w:val="00D9050F"/>
    <w:rsid w:val="00D90769"/>
    <w:rsid w:val="00D90949"/>
    <w:rsid w:val="00D90C4D"/>
    <w:rsid w:val="00D90CA7"/>
    <w:rsid w:val="00D90CE5"/>
    <w:rsid w:val="00D90E43"/>
    <w:rsid w:val="00D9117B"/>
    <w:rsid w:val="00D913DF"/>
    <w:rsid w:val="00D9152F"/>
    <w:rsid w:val="00D91575"/>
    <w:rsid w:val="00D915B2"/>
    <w:rsid w:val="00D915B7"/>
    <w:rsid w:val="00D915D3"/>
    <w:rsid w:val="00D91691"/>
    <w:rsid w:val="00D91A58"/>
    <w:rsid w:val="00D9211D"/>
    <w:rsid w:val="00D921A4"/>
    <w:rsid w:val="00D92476"/>
    <w:rsid w:val="00D92665"/>
    <w:rsid w:val="00D929FD"/>
    <w:rsid w:val="00D92C08"/>
    <w:rsid w:val="00D92D5B"/>
    <w:rsid w:val="00D92DBB"/>
    <w:rsid w:val="00D92E45"/>
    <w:rsid w:val="00D92E4A"/>
    <w:rsid w:val="00D937FC"/>
    <w:rsid w:val="00D939CB"/>
    <w:rsid w:val="00D93A69"/>
    <w:rsid w:val="00D93BD6"/>
    <w:rsid w:val="00D93E87"/>
    <w:rsid w:val="00D93F59"/>
    <w:rsid w:val="00D94062"/>
    <w:rsid w:val="00D941D6"/>
    <w:rsid w:val="00D944A5"/>
    <w:rsid w:val="00D944FD"/>
    <w:rsid w:val="00D946DF"/>
    <w:rsid w:val="00D94ADD"/>
    <w:rsid w:val="00D950DF"/>
    <w:rsid w:val="00D95347"/>
    <w:rsid w:val="00D9538D"/>
    <w:rsid w:val="00D95747"/>
    <w:rsid w:val="00D95779"/>
    <w:rsid w:val="00D95890"/>
    <w:rsid w:val="00D958FC"/>
    <w:rsid w:val="00D95C47"/>
    <w:rsid w:val="00D95F93"/>
    <w:rsid w:val="00D95FC3"/>
    <w:rsid w:val="00D96061"/>
    <w:rsid w:val="00D96165"/>
    <w:rsid w:val="00D96444"/>
    <w:rsid w:val="00D96A4F"/>
    <w:rsid w:val="00D96FDF"/>
    <w:rsid w:val="00D97003"/>
    <w:rsid w:val="00D97272"/>
    <w:rsid w:val="00D97956"/>
    <w:rsid w:val="00D979D7"/>
    <w:rsid w:val="00D97A68"/>
    <w:rsid w:val="00D97FB3"/>
    <w:rsid w:val="00DA02EE"/>
    <w:rsid w:val="00DA039F"/>
    <w:rsid w:val="00DA03B4"/>
    <w:rsid w:val="00DA066F"/>
    <w:rsid w:val="00DA074A"/>
    <w:rsid w:val="00DA07CA"/>
    <w:rsid w:val="00DA082A"/>
    <w:rsid w:val="00DA0850"/>
    <w:rsid w:val="00DA093E"/>
    <w:rsid w:val="00DA099B"/>
    <w:rsid w:val="00DA0B3A"/>
    <w:rsid w:val="00DA0B51"/>
    <w:rsid w:val="00DA0DC3"/>
    <w:rsid w:val="00DA0E5A"/>
    <w:rsid w:val="00DA0F65"/>
    <w:rsid w:val="00DA1068"/>
    <w:rsid w:val="00DA1169"/>
    <w:rsid w:val="00DA13CF"/>
    <w:rsid w:val="00DA1525"/>
    <w:rsid w:val="00DA16FF"/>
    <w:rsid w:val="00DA18B1"/>
    <w:rsid w:val="00DA1AC9"/>
    <w:rsid w:val="00DA1BF4"/>
    <w:rsid w:val="00DA1C7A"/>
    <w:rsid w:val="00DA1CE7"/>
    <w:rsid w:val="00DA2110"/>
    <w:rsid w:val="00DA2321"/>
    <w:rsid w:val="00DA2493"/>
    <w:rsid w:val="00DA2804"/>
    <w:rsid w:val="00DA2944"/>
    <w:rsid w:val="00DA2D96"/>
    <w:rsid w:val="00DA3364"/>
    <w:rsid w:val="00DA3367"/>
    <w:rsid w:val="00DA39CC"/>
    <w:rsid w:val="00DA39D0"/>
    <w:rsid w:val="00DA3E76"/>
    <w:rsid w:val="00DA3F26"/>
    <w:rsid w:val="00DA40FF"/>
    <w:rsid w:val="00DA418D"/>
    <w:rsid w:val="00DA4255"/>
    <w:rsid w:val="00DA4257"/>
    <w:rsid w:val="00DA4304"/>
    <w:rsid w:val="00DA43B8"/>
    <w:rsid w:val="00DA483D"/>
    <w:rsid w:val="00DA4843"/>
    <w:rsid w:val="00DA4851"/>
    <w:rsid w:val="00DA4A72"/>
    <w:rsid w:val="00DA4CAA"/>
    <w:rsid w:val="00DA4D16"/>
    <w:rsid w:val="00DA4E7E"/>
    <w:rsid w:val="00DA50C2"/>
    <w:rsid w:val="00DA50D4"/>
    <w:rsid w:val="00DA515E"/>
    <w:rsid w:val="00DA53CB"/>
    <w:rsid w:val="00DA5736"/>
    <w:rsid w:val="00DA5997"/>
    <w:rsid w:val="00DA5ABE"/>
    <w:rsid w:val="00DA5AF8"/>
    <w:rsid w:val="00DA5E26"/>
    <w:rsid w:val="00DA5F2D"/>
    <w:rsid w:val="00DA6163"/>
    <w:rsid w:val="00DA65CF"/>
    <w:rsid w:val="00DA685E"/>
    <w:rsid w:val="00DA6B46"/>
    <w:rsid w:val="00DA6C27"/>
    <w:rsid w:val="00DA6CA5"/>
    <w:rsid w:val="00DA6D6C"/>
    <w:rsid w:val="00DA70FF"/>
    <w:rsid w:val="00DA7221"/>
    <w:rsid w:val="00DA72F5"/>
    <w:rsid w:val="00DA7339"/>
    <w:rsid w:val="00DA7399"/>
    <w:rsid w:val="00DA759F"/>
    <w:rsid w:val="00DA7692"/>
    <w:rsid w:val="00DA7894"/>
    <w:rsid w:val="00DA78E3"/>
    <w:rsid w:val="00DA7A01"/>
    <w:rsid w:val="00DA7ACB"/>
    <w:rsid w:val="00DA7AE4"/>
    <w:rsid w:val="00DB0690"/>
    <w:rsid w:val="00DB094C"/>
    <w:rsid w:val="00DB0D4E"/>
    <w:rsid w:val="00DB10E8"/>
    <w:rsid w:val="00DB1143"/>
    <w:rsid w:val="00DB1343"/>
    <w:rsid w:val="00DB13B3"/>
    <w:rsid w:val="00DB13C2"/>
    <w:rsid w:val="00DB1476"/>
    <w:rsid w:val="00DB159D"/>
    <w:rsid w:val="00DB1761"/>
    <w:rsid w:val="00DB1773"/>
    <w:rsid w:val="00DB196C"/>
    <w:rsid w:val="00DB20CC"/>
    <w:rsid w:val="00DB2179"/>
    <w:rsid w:val="00DB21A8"/>
    <w:rsid w:val="00DB2429"/>
    <w:rsid w:val="00DB244F"/>
    <w:rsid w:val="00DB2658"/>
    <w:rsid w:val="00DB2735"/>
    <w:rsid w:val="00DB2828"/>
    <w:rsid w:val="00DB2990"/>
    <w:rsid w:val="00DB2AD2"/>
    <w:rsid w:val="00DB2E4D"/>
    <w:rsid w:val="00DB317B"/>
    <w:rsid w:val="00DB3309"/>
    <w:rsid w:val="00DB36CF"/>
    <w:rsid w:val="00DB39F8"/>
    <w:rsid w:val="00DB3A48"/>
    <w:rsid w:val="00DB3C9F"/>
    <w:rsid w:val="00DB3EAF"/>
    <w:rsid w:val="00DB4142"/>
    <w:rsid w:val="00DB417B"/>
    <w:rsid w:val="00DB42DC"/>
    <w:rsid w:val="00DB4381"/>
    <w:rsid w:val="00DB4402"/>
    <w:rsid w:val="00DB456A"/>
    <w:rsid w:val="00DB45AE"/>
    <w:rsid w:val="00DB4733"/>
    <w:rsid w:val="00DB476A"/>
    <w:rsid w:val="00DB479B"/>
    <w:rsid w:val="00DB4965"/>
    <w:rsid w:val="00DB49E2"/>
    <w:rsid w:val="00DB4BB0"/>
    <w:rsid w:val="00DB4C41"/>
    <w:rsid w:val="00DB4E3B"/>
    <w:rsid w:val="00DB4F6B"/>
    <w:rsid w:val="00DB5281"/>
    <w:rsid w:val="00DB5380"/>
    <w:rsid w:val="00DB53C5"/>
    <w:rsid w:val="00DB5549"/>
    <w:rsid w:val="00DB56D1"/>
    <w:rsid w:val="00DB578F"/>
    <w:rsid w:val="00DB580D"/>
    <w:rsid w:val="00DB5E69"/>
    <w:rsid w:val="00DB607C"/>
    <w:rsid w:val="00DB618A"/>
    <w:rsid w:val="00DB687A"/>
    <w:rsid w:val="00DB6933"/>
    <w:rsid w:val="00DB69B6"/>
    <w:rsid w:val="00DB6ACA"/>
    <w:rsid w:val="00DB6FC3"/>
    <w:rsid w:val="00DB7195"/>
    <w:rsid w:val="00DB719E"/>
    <w:rsid w:val="00DB765F"/>
    <w:rsid w:val="00DB76FC"/>
    <w:rsid w:val="00DB79E1"/>
    <w:rsid w:val="00DB7A2A"/>
    <w:rsid w:val="00DB7D78"/>
    <w:rsid w:val="00DC04EF"/>
    <w:rsid w:val="00DC07D0"/>
    <w:rsid w:val="00DC07FC"/>
    <w:rsid w:val="00DC0A24"/>
    <w:rsid w:val="00DC0BC8"/>
    <w:rsid w:val="00DC0CAB"/>
    <w:rsid w:val="00DC0CEA"/>
    <w:rsid w:val="00DC0DF9"/>
    <w:rsid w:val="00DC105F"/>
    <w:rsid w:val="00DC13FD"/>
    <w:rsid w:val="00DC1454"/>
    <w:rsid w:val="00DC1527"/>
    <w:rsid w:val="00DC15D2"/>
    <w:rsid w:val="00DC19CD"/>
    <w:rsid w:val="00DC1AAA"/>
    <w:rsid w:val="00DC1CE4"/>
    <w:rsid w:val="00DC1DE3"/>
    <w:rsid w:val="00DC1DEF"/>
    <w:rsid w:val="00DC1FD8"/>
    <w:rsid w:val="00DC2078"/>
    <w:rsid w:val="00DC2171"/>
    <w:rsid w:val="00DC261D"/>
    <w:rsid w:val="00DC27A9"/>
    <w:rsid w:val="00DC2A12"/>
    <w:rsid w:val="00DC2AA6"/>
    <w:rsid w:val="00DC2B08"/>
    <w:rsid w:val="00DC2B14"/>
    <w:rsid w:val="00DC2CA8"/>
    <w:rsid w:val="00DC2D30"/>
    <w:rsid w:val="00DC3049"/>
    <w:rsid w:val="00DC315F"/>
    <w:rsid w:val="00DC325E"/>
    <w:rsid w:val="00DC32F7"/>
    <w:rsid w:val="00DC3314"/>
    <w:rsid w:val="00DC3363"/>
    <w:rsid w:val="00DC3445"/>
    <w:rsid w:val="00DC3499"/>
    <w:rsid w:val="00DC3590"/>
    <w:rsid w:val="00DC3827"/>
    <w:rsid w:val="00DC38EE"/>
    <w:rsid w:val="00DC3A03"/>
    <w:rsid w:val="00DC3BCD"/>
    <w:rsid w:val="00DC3D31"/>
    <w:rsid w:val="00DC3E58"/>
    <w:rsid w:val="00DC3EC2"/>
    <w:rsid w:val="00DC40A2"/>
    <w:rsid w:val="00DC40E7"/>
    <w:rsid w:val="00DC4108"/>
    <w:rsid w:val="00DC422B"/>
    <w:rsid w:val="00DC42A6"/>
    <w:rsid w:val="00DC43FC"/>
    <w:rsid w:val="00DC4449"/>
    <w:rsid w:val="00DC44E9"/>
    <w:rsid w:val="00DC44F8"/>
    <w:rsid w:val="00DC47F3"/>
    <w:rsid w:val="00DC4B77"/>
    <w:rsid w:val="00DC504E"/>
    <w:rsid w:val="00DC50A5"/>
    <w:rsid w:val="00DC5682"/>
    <w:rsid w:val="00DC577B"/>
    <w:rsid w:val="00DC578D"/>
    <w:rsid w:val="00DC59E0"/>
    <w:rsid w:val="00DC5A0F"/>
    <w:rsid w:val="00DC5CAC"/>
    <w:rsid w:val="00DC5F9A"/>
    <w:rsid w:val="00DC64D8"/>
    <w:rsid w:val="00DC661D"/>
    <w:rsid w:val="00DC6633"/>
    <w:rsid w:val="00DC6753"/>
    <w:rsid w:val="00DC67AD"/>
    <w:rsid w:val="00DC6A39"/>
    <w:rsid w:val="00DC6B42"/>
    <w:rsid w:val="00DC6CD3"/>
    <w:rsid w:val="00DC7200"/>
    <w:rsid w:val="00DC73CE"/>
    <w:rsid w:val="00DC742A"/>
    <w:rsid w:val="00DC7569"/>
    <w:rsid w:val="00DC77FE"/>
    <w:rsid w:val="00DC79DB"/>
    <w:rsid w:val="00DC7C52"/>
    <w:rsid w:val="00DC7EAE"/>
    <w:rsid w:val="00DD00AB"/>
    <w:rsid w:val="00DD0639"/>
    <w:rsid w:val="00DD0F2B"/>
    <w:rsid w:val="00DD10E4"/>
    <w:rsid w:val="00DD14A7"/>
    <w:rsid w:val="00DD17CC"/>
    <w:rsid w:val="00DD19A5"/>
    <w:rsid w:val="00DD1A12"/>
    <w:rsid w:val="00DD1AEB"/>
    <w:rsid w:val="00DD1B86"/>
    <w:rsid w:val="00DD1B8C"/>
    <w:rsid w:val="00DD1C88"/>
    <w:rsid w:val="00DD1F2B"/>
    <w:rsid w:val="00DD1FA8"/>
    <w:rsid w:val="00DD2277"/>
    <w:rsid w:val="00DD2432"/>
    <w:rsid w:val="00DD2744"/>
    <w:rsid w:val="00DD27B5"/>
    <w:rsid w:val="00DD2852"/>
    <w:rsid w:val="00DD2CBD"/>
    <w:rsid w:val="00DD2E55"/>
    <w:rsid w:val="00DD2F42"/>
    <w:rsid w:val="00DD2F68"/>
    <w:rsid w:val="00DD301B"/>
    <w:rsid w:val="00DD3310"/>
    <w:rsid w:val="00DD33B5"/>
    <w:rsid w:val="00DD33E9"/>
    <w:rsid w:val="00DD3515"/>
    <w:rsid w:val="00DD35D9"/>
    <w:rsid w:val="00DD3601"/>
    <w:rsid w:val="00DD362E"/>
    <w:rsid w:val="00DD39B8"/>
    <w:rsid w:val="00DD3D65"/>
    <w:rsid w:val="00DD4165"/>
    <w:rsid w:val="00DD440B"/>
    <w:rsid w:val="00DD45AD"/>
    <w:rsid w:val="00DD4645"/>
    <w:rsid w:val="00DD4A96"/>
    <w:rsid w:val="00DD4D7C"/>
    <w:rsid w:val="00DD51EC"/>
    <w:rsid w:val="00DD5336"/>
    <w:rsid w:val="00DD5551"/>
    <w:rsid w:val="00DD59C0"/>
    <w:rsid w:val="00DD5C01"/>
    <w:rsid w:val="00DD5EF1"/>
    <w:rsid w:val="00DD61CE"/>
    <w:rsid w:val="00DD6222"/>
    <w:rsid w:val="00DD6517"/>
    <w:rsid w:val="00DD6986"/>
    <w:rsid w:val="00DD6BF4"/>
    <w:rsid w:val="00DD6C4B"/>
    <w:rsid w:val="00DD72D3"/>
    <w:rsid w:val="00DD7360"/>
    <w:rsid w:val="00DD738F"/>
    <w:rsid w:val="00DD74EF"/>
    <w:rsid w:val="00DD74F4"/>
    <w:rsid w:val="00DD78A0"/>
    <w:rsid w:val="00DD7A60"/>
    <w:rsid w:val="00DD7D6E"/>
    <w:rsid w:val="00DD7D81"/>
    <w:rsid w:val="00DD7E91"/>
    <w:rsid w:val="00DE0006"/>
    <w:rsid w:val="00DE01D3"/>
    <w:rsid w:val="00DE04EF"/>
    <w:rsid w:val="00DE0573"/>
    <w:rsid w:val="00DE059C"/>
    <w:rsid w:val="00DE07FF"/>
    <w:rsid w:val="00DE0925"/>
    <w:rsid w:val="00DE09C3"/>
    <w:rsid w:val="00DE0C66"/>
    <w:rsid w:val="00DE0FE8"/>
    <w:rsid w:val="00DE11A9"/>
    <w:rsid w:val="00DE144D"/>
    <w:rsid w:val="00DE1835"/>
    <w:rsid w:val="00DE1983"/>
    <w:rsid w:val="00DE1C3B"/>
    <w:rsid w:val="00DE1C3F"/>
    <w:rsid w:val="00DE1D07"/>
    <w:rsid w:val="00DE1D28"/>
    <w:rsid w:val="00DE1F32"/>
    <w:rsid w:val="00DE20C5"/>
    <w:rsid w:val="00DE2373"/>
    <w:rsid w:val="00DE24D4"/>
    <w:rsid w:val="00DE278B"/>
    <w:rsid w:val="00DE279C"/>
    <w:rsid w:val="00DE27A1"/>
    <w:rsid w:val="00DE27C3"/>
    <w:rsid w:val="00DE27E2"/>
    <w:rsid w:val="00DE28C3"/>
    <w:rsid w:val="00DE298C"/>
    <w:rsid w:val="00DE2A20"/>
    <w:rsid w:val="00DE2A28"/>
    <w:rsid w:val="00DE2E29"/>
    <w:rsid w:val="00DE2EC8"/>
    <w:rsid w:val="00DE2F68"/>
    <w:rsid w:val="00DE3049"/>
    <w:rsid w:val="00DE35B7"/>
    <w:rsid w:val="00DE3B3F"/>
    <w:rsid w:val="00DE3ED3"/>
    <w:rsid w:val="00DE4263"/>
    <w:rsid w:val="00DE455E"/>
    <w:rsid w:val="00DE47EE"/>
    <w:rsid w:val="00DE47F0"/>
    <w:rsid w:val="00DE4833"/>
    <w:rsid w:val="00DE48CE"/>
    <w:rsid w:val="00DE48E0"/>
    <w:rsid w:val="00DE4C0B"/>
    <w:rsid w:val="00DE4D49"/>
    <w:rsid w:val="00DE4F76"/>
    <w:rsid w:val="00DE5032"/>
    <w:rsid w:val="00DE5076"/>
    <w:rsid w:val="00DE50D3"/>
    <w:rsid w:val="00DE513D"/>
    <w:rsid w:val="00DE5671"/>
    <w:rsid w:val="00DE5C2F"/>
    <w:rsid w:val="00DE5DD0"/>
    <w:rsid w:val="00DE5E93"/>
    <w:rsid w:val="00DE6F86"/>
    <w:rsid w:val="00DE7307"/>
    <w:rsid w:val="00DE768E"/>
    <w:rsid w:val="00DE7778"/>
    <w:rsid w:val="00DE796D"/>
    <w:rsid w:val="00DE7AE3"/>
    <w:rsid w:val="00DE7B7A"/>
    <w:rsid w:val="00DE7BF8"/>
    <w:rsid w:val="00DE7C6F"/>
    <w:rsid w:val="00DE7F40"/>
    <w:rsid w:val="00DE7FF2"/>
    <w:rsid w:val="00DF0066"/>
    <w:rsid w:val="00DF01FB"/>
    <w:rsid w:val="00DF03AE"/>
    <w:rsid w:val="00DF06B7"/>
    <w:rsid w:val="00DF075C"/>
    <w:rsid w:val="00DF0908"/>
    <w:rsid w:val="00DF090D"/>
    <w:rsid w:val="00DF0A4D"/>
    <w:rsid w:val="00DF0B12"/>
    <w:rsid w:val="00DF0BF5"/>
    <w:rsid w:val="00DF0FFC"/>
    <w:rsid w:val="00DF10EC"/>
    <w:rsid w:val="00DF143B"/>
    <w:rsid w:val="00DF1552"/>
    <w:rsid w:val="00DF1597"/>
    <w:rsid w:val="00DF15F8"/>
    <w:rsid w:val="00DF184E"/>
    <w:rsid w:val="00DF1A22"/>
    <w:rsid w:val="00DF1BEF"/>
    <w:rsid w:val="00DF1C70"/>
    <w:rsid w:val="00DF1DC1"/>
    <w:rsid w:val="00DF20D8"/>
    <w:rsid w:val="00DF259B"/>
    <w:rsid w:val="00DF298F"/>
    <w:rsid w:val="00DF2C93"/>
    <w:rsid w:val="00DF2CFC"/>
    <w:rsid w:val="00DF3013"/>
    <w:rsid w:val="00DF3069"/>
    <w:rsid w:val="00DF306D"/>
    <w:rsid w:val="00DF3084"/>
    <w:rsid w:val="00DF32A2"/>
    <w:rsid w:val="00DF3365"/>
    <w:rsid w:val="00DF3413"/>
    <w:rsid w:val="00DF363E"/>
    <w:rsid w:val="00DF36B5"/>
    <w:rsid w:val="00DF389D"/>
    <w:rsid w:val="00DF38BC"/>
    <w:rsid w:val="00DF3906"/>
    <w:rsid w:val="00DF3BCA"/>
    <w:rsid w:val="00DF4027"/>
    <w:rsid w:val="00DF41DF"/>
    <w:rsid w:val="00DF4362"/>
    <w:rsid w:val="00DF437F"/>
    <w:rsid w:val="00DF4434"/>
    <w:rsid w:val="00DF444E"/>
    <w:rsid w:val="00DF447A"/>
    <w:rsid w:val="00DF4488"/>
    <w:rsid w:val="00DF44D1"/>
    <w:rsid w:val="00DF44F7"/>
    <w:rsid w:val="00DF460A"/>
    <w:rsid w:val="00DF460B"/>
    <w:rsid w:val="00DF461F"/>
    <w:rsid w:val="00DF481F"/>
    <w:rsid w:val="00DF4836"/>
    <w:rsid w:val="00DF4925"/>
    <w:rsid w:val="00DF4F02"/>
    <w:rsid w:val="00DF4F71"/>
    <w:rsid w:val="00DF5146"/>
    <w:rsid w:val="00DF55D7"/>
    <w:rsid w:val="00DF5675"/>
    <w:rsid w:val="00DF57CE"/>
    <w:rsid w:val="00DF57E9"/>
    <w:rsid w:val="00DF5DC0"/>
    <w:rsid w:val="00DF5E59"/>
    <w:rsid w:val="00DF6428"/>
    <w:rsid w:val="00DF6EC5"/>
    <w:rsid w:val="00DF6FA6"/>
    <w:rsid w:val="00DF7360"/>
    <w:rsid w:val="00DF7595"/>
    <w:rsid w:val="00DF759D"/>
    <w:rsid w:val="00DF78AD"/>
    <w:rsid w:val="00DF79DA"/>
    <w:rsid w:val="00DF7FB1"/>
    <w:rsid w:val="00E0031A"/>
    <w:rsid w:val="00E0060D"/>
    <w:rsid w:val="00E0085F"/>
    <w:rsid w:val="00E00A32"/>
    <w:rsid w:val="00E00ADB"/>
    <w:rsid w:val="00E00E00"/>
    <w:rsid w:val="00E00F66"/>
    <w:rsid w:val="00E01011"/>
    <w:rsid w:val="00E01132"/>
    <w:rsid w:val="00E013D7"/>
    <w:rsid w:val="00E016C2"/>
    <w:rsid w:val="00E0173E"/>
    <w:rsid w:val="00E0177B"/>
    <w:rsid w:val="00E01808"/>
    <w:rsid w:val="00E019F6"/>
    <w:rsid w:val="00E01A14"/>
    <w:rsid w:val="00E01CC3"/>
    <w:rsid w:val="00E01FB7"/>
    <w:rsid w:val="00E0202E"/>
    <w:rsid w:val="00E02547"/>
    <w:rsid w:val="00E0259B"/>
    <w:rsid w:val="00E02AA4"/>
    <w:rsid w:val="00E02B1B"/>
    <w:rsid w:val="00E02D38"/>
    <w:rsid w:val="00E0303B"/>
    <w:rsid w:val="00E03244"/>
    <w:rsid w:val="00E032DB"/>
    <w:rsid w:val="00E035F9"/>
    <w:rsid w:val="00E03646"/>
    <w:rsid w:val="00E03659"/>
    <w:rsid w:val="00E03895"/>
    <w:rsid w:val="00E03A00"/>
    <w:rsid w:val="00E03AC7"/>
    <w:rsid w:val="00E03E19"/>
    <w:rsid w:val="00E03EDE"/>
    <w:rsid w:val="00E0418C"/>
    <w:rsid w:val="00E043FC"/>
    <w:rsid w:val="00E04400"/>
    <w:rsid w:val="00E0472C"/>
    <w:rsid w:val="00E04ACE"/>
    <w:rsid w:val="00E04C52"/>
    <w:rsid w:val="00E04EF7"/>
    <w:rsid w:val="00E04F1C"/>
    <w:rsid w:val="00E0510B"/>
    <w:rsid w:val="00E051FE"/>
    <w:rsid w:val="00E052E3"/>
    <w:rsid w:val="00E05CDE"/>
    <w:rsid w:val="00E05D06"/>
    <w:rsid w:val="00E05F7B"/>
    <w:rsid w:val="00E06105"/>
    <w:rsid w:val="00E06318"/>
    <w:rsid w:val="00E065F0"/>
    <w:rsid w:val="00E06707"/>
    <w:rsid w:val="00E06786"/>
    <w:rsid w:val="00E06A5A"/>
    <w:rsid w:val="00E06E36"/>
    <w:rsid w:val="00E06FDC"/>
    <w:rsid w:val="00E0728C"/>
    <w:rsid w:val="00E07798"/>
    <w:rsid w:val="00E07868"/>
    <w:rsid w:val="00E079EC"/>
    <w:rsid w:val="00E07A39"/>
    <w:rsid w:val="00E07A84"/>
    <w:rsid w:val="00E07BF0"/>
    <w:rsid w:val="00E10081"/>
    <w:rsid w:val="00E1041A"/>
    <w:rsid w:val="00E1067F"/>
    <w:rsid w:val="00E10743"/>
    <w:rsid w:val="00E10D13"/>
    <w:rsid w:val="00E10D4F"/>
    <w:rsid w:val="00E10D9D"/>
    <w:rsid w:val="00E10E88"/>
    <w:rsid w:val="00E10ECF"/>
    <w:rsid w:val="00E10F96"/>
    <w:rsid w:val="00E10FDE"/>
    <w:rsid w:val="00E11110"/>
    <w:rsid w:val="00E1157E"/>
    <w:rsid w:val="00E11AAD"/>
    <w:rsid w:val="00E11BFD"/>
    <w:rsid w:val="00E11F2A"/>
    <w:rsid w:val="00E125E2"/>
    <w:rsid w:val="00E12892"/>
    <w:rsid w:val="00E12A27"/>
    <w:rsid w:val="00E12A32"/>
    <w:rsid w:val="00E12D74"/>
    <w:rsid w:val="00E13041"/>
    <w:rsid w:val="00E130DC"/>
    <w:rsid w:val="00E13297"/>
    <w:rsid w:val="00E13505"/>
    <w:rsid w:val="00E135AD"/>
    <w:rsid w:val="00E135F3"/>
    <w:rsid w:val="00E13853"/>
    <w:rsid w:val="00E13A43"/>
    <w:rsid w:val="00E13AC8"/>
    <w:rsid w:val="00E13CEA"/>
    <w:rsid w:val="00E13ECA"/>
    <w:rsid w:val="00E13FE6"/>
    <w:rsid w:val="00E14049"/>
    <w:rsid w:val="00E1425A"/>
    <w:rsid w:val="00E1430B"/>
    <w:rsid w:val="00E143B5"/>
    <w:rsid w:val="00E14415"/>
    <w:rsid w:val="00E144B6"/>
    <w:rsid w:val="00E1458C"/>
    <w:rsid w:val="00E14682"/>
    <w:rsid w:val="00E14AE5"/>
    <w:rsid w:val="00E14C8A"/>
    <w:rsid w:val="00E150BE"/>
    <w:rsid w:val="00E15207"/>
    <w:rsid w:val="00E15348"/>
    <w:rsid w:val="00E153F3"/>
    <w:rsid w:val="00E154B7"/>
    <w:rsid w:val="00E155C2"/>
    <w:rsid w:val="00E15649"/>
    <w:rsid w:val="00E15751"/>
    <w:rsid w:val="00E15852"/>
    <w:rsid w:val="00E15A6E"/>
    <w:rsid w:val="00E15EE2"/>
    <w:rsid w:val="00E1629B"/>
    <w:rsid w:val="00E16337"/>
    <w:rsid w:val="00E1635A"/>
    <w:rsid w:val="00E163C8"/>
    <w:rsid w:val="00E16E2D"/>
    <w:rsid w:val="00E16E85"/>
    <w:rsid w:val="00E16FAF"/>
    <w:rsid w:val="00E1701C"/>
    <w:rsid w:val="00E170C6"/>
    <w:rsid w:val="00E17261"/>
    <w:rsid w:val="00E172D4"/>
    <w:rsid w:val="00E173B9"/>
    <w:rsid w:val="00E173ED"/>
    <w:rsid w:val="00E1794A"/>
    <w:rsid w:val="00E1799B"/>
    <w:rsid w:val="00E17A20"/>
    <w:rsid w:val="00E17CAF"/>
    <w:rsid w:val="00E17CCD"/>
    <w:rsid w:val="00E17DB1"/>
    <w:rsid w:val="00E20011"/>
    <w:rsid w:val="00E200AB"/>
    <w:rsid w:val="00E202CA"/>
    <w:rsid w:val="00E20740"/>
    <w:rsid w:val="00E20835"/>
    <w:rsid w:val="00E20A17"/>
    <w:rsid w:val="00E20A86"/>
    <w:rsid w:val="00E2125F"/>
    <w:rsid w:val="00E215B7"/>
    <w:rsid w:val="00E215BD"/>
    <w:rsid w:val="00E2181F"/>
    <w:rsid w:val="00E21AF0"/>
    <w:rsid w:val="00E21E65"/>
    <w:rsid w:val="00E21EFC"/>
    <w:rsid w:val="00E21FC4"/>
    <w:rsid w:val="00E2208E"/>
    <w:rsid w:val="00E220B3"/>
    <w:rsid w:val="00E22284"/>
    <w:rsid w:val="00E2234C"/>
    <w:rsid w:val="00E22473"/>
    <w:rsid w:val="00E22948"/>
    <w:rsid w:val="00E22C30"/>
    <w:rsid w:val="00E22D41"/>
    <w:rsid w:val="00E22FB3"/>
    <w:rsid w:val="00E2317F"/>
    <w:rsid w:val="00E234DC"/>
    <w:rsid w:val="00E2351D"/>
    <w:rsid w:val="00E23546"/>
    <w:rsid w:val="00E235CD"/>
    <w:rsid w:val="00E235FA"/>
    <w:rsid w:val="00E23746"/>
    <w:rsid w:val="00E239A4"/>
    <w:rsid w:val="00E23B29"/>
    <w:rsid w:val="00E23D07"/>
    <w:rsid w:val="00E2406D"/>
    <w:rsid w:val="00E24128"/>
    <w:rsid w:val="00E242CD"/>
    <w:rsid w:val="00E2437D"/>
    <w:rsid w:val="00E2450F"/>
    <w:rsid w:val="00E2454C"/>
    <w:rsid w:val="00E24565"/>
    <w:rsid w:val="00E245E3"/>
    <w:rsid w:val="00E246FC"/>
    <w:rsid w:val="00E24CB7"/>
    <w:rsid w:val="00E24D96"/>
    <w:rsid w:val="00E25195"/>
    <w:rsid w:val="00E25463"/>
    <w:rsid w:val="00E254B5"/>
    <w:rsid w:val="00E25761"/>
    <w:rsid w:val="00E25D2A"/>
    <w:rsid w:val="00E26101"/>
    <w:rsid w:val="00E26134"/>
    <w:rsid w:val="00E26332"/>
    <w:rsid w:val="00E267D8"/>
    <w:rsid w:val="00E26822"/>
    <w:rsid w:val="00E269BA"/>
    <w:rsid w:val="00E26ED1"/>
    <w:rsid w:val="00E2716B"/>
    <w:rsid w:val="00E2725C"/>
    <w:rsid w:val="00E27287"/>
    <w:rsid w:val="00E272D2"/>
    <w:rsid w:val="00E27390"/>
    <w:rsid w:val="00E27455"/>
    <w:rsid w:val="00E275E0"/>
    <w:rsid w:val="00E278C6"/>
    <w:rsid w:val="00E27916"/>
    <w:rsid w:val="00E27C54"/>
    <w:rsid w:val="00E27F33"/>
    <w:rsid w:val="00E30043"/>
    <w:rsid w:val="00E3013D"/>
    <w:rsid w:val="00E30374"/>
    <w:rsid w:val="00E3056E"/>
    <w:rsid w:val="00E30835"/>
    <w:rsid w:val="00E308A7"/>
    <w:rsid w:val="00E308EE"/>
    <w:rsid w:val="00E30DA1"/>
    <w:rsid w:val="00E31110"/>
    <w:rsid w:val="00E311FE"/>
    <w:rsid w:val="00E313D0"/>
    <w:rsid w:val="00E314E4"/>
    <w:rsid w:val="00E318F3"/>
    <w:rsid w:val="00E31980"/>
    <w:rsid w:val="00E31A24"/>
    <w:rsid w:val="00E31A47"/>
    <w:rsid w:val="00E31FA2"/>
    <w:rsid w:val="00E320B4"/>
    <w:rsid w:val="00E320CD"/>
    <w:rsid w:val="00E3233F"/>
    <w:rsid w:val="00E32472"/>
    <w:rsid w:val="00E32479"/>
    <w:rsid w:val="00E32A3E"/>
    <w:rsid w:val="00E32CA3"/>
    <w:rsid w:val="00E32E8F"/>
    <w:rsid w:val="00E32EE0"/>
    <w:rsid w:val="00E3305D"/>
    <w:rsid w:val="00E3325A"/>
    <w:rsid w:val="00E332DE"/>
    <w:rsid w:val="00E33775"/>
    <w:rsid w:val="00E33923"/>
    <w:rsid w:val="00E339BA"/>
    <w:rsid w:val="00E33B0F"/>
    <w:rsid w:val="00E33C3F"/>
    <w:rsid w:val="00E33E9B"/>
    <w:rsid w:val="00E34628"/>
    <w:rsid w:val="00E3487B"/>
    <w:rsid w:val="00E34CF6"/>
    <w:rsid w:val="00E34DA9"/>
    <w:rsid w:val="00E355E3"/>
    <w:rsid w:val="00E3569D"/>
    <w:rsid w:val="00E35793"/>
    <w:rsid w:val="00E357D6"/>
    <w:rsid w:val="00E35B14"/>
    <w:rsid w:val="00E35B62"/>
    <w:rsid w:val="00E35F0A"/>
    <w:rsid w:val="00E3601E"/>
    <w:rsid w:val="00E360CF"/>
    <w:rsid w:val="00E36475"/>
    <w:rsid w:val="00E36676"/>
    <w:rsid w:val="00E36726"/>
    <w:rsid w:val="00E36A40"/>
    <w:rsid w:val="00E36BCE"/>
    <w:rsid w:val="00E36C2E"/>
    <w:rsid w:val="00E371B0"/>
    <w:rsid w:val="00E371D6"/>
    <w:rsid w:val="00E3720F"/>
    <w:rsid w:val="00E37575"/>
    <w:rsid w:val="00E3760F"/>
    <w:rsid w:val="00E378AE"/>
    <w:rsid w:val="00E37916"/>
    <w:rsid w:val="00E37BCD"/>
    <w:rsid w:val="00E37C1F"/>
    <w:rsid w:val="00E37D7A"/>
    <w:rsid w:val="00E37F13"/>
    <w:rsid w:val="00E37F48"/>
    <w:rsid w:val="00E37FCE"/>
    <w:rsid w:val="00E40007"/>
    <w:rsid w:val="00E40039"/>
    <w:rsid w:val="00E4056F"/>
    <w:rsid w:val="00E40CBC"/>
    <w:rsid w:val="00E40EB6"/>
    <w:rsid w:val="00E40F9A"/>
    <w:rsid w:val="00E410EA"/>
    <w:rsid w:val="00E411A7"/>
    <w:rsid w:val="00E417B2"/>
    <w:rsid w:val="00E41B6F"/>
    <w:rsid w:val="00E41BC4"/>
    <w:rsid w:val="00E41C7C"/>
    <w:rsid w:val="00E41C9B"/>
    <w:rsid w:val="00E41CD2"/>
    <w:rsid w:val="00E41E8A"/>
    <w:rsid w:val="00E41F57"/>
    <w:rsid w:val="00E42080"/>
    <w:rsid w:val="00E420A7"/>
    <w:rsid w:val="00E42631"/>
    <w:rsid w:val="00E42708"/>
    <w:rsid w:val="00E42871"/>
    <w:rsid w:val="00E42DEB"/>
    <w:rsid w:val="00E42DEE"/>
    <w:rsid w:val="00E42FD8"/>
    <w:rsid w:val="00E432C1"/>
    <w:rsid w:val="00E432EF"/>
    <w:rsid w:val="00E435F1"/>
    <w:rsid w:val="00E43B7E"/>
    <w:rsid w:val="00E43DD9"/>
    <w:rsid w:val="00E43E90"/>
    <w:rsid w:val="00E44139"/>
    <w:rsid w:val="00E442FE"/>
    <w:rsid w:val="00E445C8"/>
    <w:rsid w:val="00E4493A"/>
    <w:rsid w:val="00E44A0B"/>
    <w:rsid w:val="00E44A43"/>
    <w:rsid w:val="00E44CFC"/>
    <w:rsid w:val="00E4534E"/>
    <w:rsid w:val="00E4584A"/>
    <w:rsid w:val="00E45ECE"/>
    <w:rsid w:val="00E4625C"/>
    <w:rsid w:val="00E462AE"/>
    <w:rsid w:val="00E46969"/>
    <w:rsid w:val="00E46D05"/>
    <w:rsid w:val="00E46FAB"/>
    <w:rsid w:val="00E47040"/>
    <w:rsid w:val="00E474DE"/>
    <w:rsid w:val="00E47554"/>
    <w:rsid w:val="00E47750"/>
    <w:rsid w:val="00E47801"/>
    <w:rsid w:val="00E479F8"/>
    <w:rsid w:val="00E47A49"/>
    <w:rsid w:val="00E47B3E"/>
    <w:rsid w:val="00E47D43"/>
    <w:rsid w:val="00E47DF9"/>
    <w:rsid w:val="00E50034"/>
    <w:rsid w:val="00E50454"/>
    <w:rsid w:val="00E50555"/>
    <w:rsid w:val="00E50626"/>
    <w:rsid w:val="00E507BC"/>
    <w:rsid w:val="00E50B72"/>
    <w:rsid w:val="00E50DF2"/>
    <w:rsid w:val="00E50E05"/>
    <w:rsid w:val="00E50EDA"/>
    <w:rsid w:val="00E50FC0"/>
    <w:rsid w:val="00E51079"/>
    <w:rsid w:val="00E51867"/>
    <w:rsid w:val="00E51901"/>
    <w:rsid w:val="00E51C0A"/>
    <w:rsid w:val="00E51D3C"/>
    <w:rsid w:val="00E51DB0"/>
    <w:rsid w:val="00E51DCF"/>
    <w:rsid w:val="00E51DF6"/>
    <w:rsid w:val="00E51ECB"/>
    <w:rsid w:val="00E51F15"/>
    <w:rsid w:val="00E5252F"/>
    <w:rsid w:val="00E52640"/>
    <w:rsid w:val="00E52703"/>
    <w:rsid w:val="00E52AEA"/>
    <w:rsid w:val="00E52CA7"/>
    <w:rsid w:val="00E52D42"/>
    <w:rsid w:val="00E53111"/>
    <w:rsid w:val="00E53134"/>
    <w:rsid w:val="00E531C7"/>
    <w:rsid w:val="00E53278"/>
    <w:rsid w:val="00E5336F"/>
    <w:rsid w:val="00E5354B"/>
    <w:rsid w:val="00E53BA2"/>
    <w:rsid w:val="00E53F0E"/>
    <w:rsid w:val="00E5492F"/>
    <w:rsid w:val="00E549AD"/>
    <w:rsid w:val="00E54D5C"/>
    <w:rsid w:val="00E54F29"/>
    <w:rsid w:val="00E5504C"/>
    <w:rsid w:val="00E55080"/>
    <w:rsid w:val="00E550D4"/>
    <w:rsid w:val="00E551C7"/>
    <w:rsid w:val="00E55223"/>
    <w:rsid w:val="00E55488"/>
    <w:rsid w:val="00E555F1"/>
    <w:rsid w:val="00E557DA"/>
    <w:rsid w:val="00E557FF"/>
    <w:rsid w:val="00E55C45"/>
    <w:rsid w:val="00E55CD5"/>
    <w:rsid w:val="00E5627F"/>
    <w:rsid w:val="00E562EB"/>
    <w:rsid w:val="00E56385"/>
    <w:rsid w:val="00E56520"/>
    <w:rsid w:val="00E5652F"/>
    <w:rsid w:val="00E56665"/>
    <w:rsid w:val="00E5697A"/>
    <w:rsid w:val="00E56994"/>
    <w:rsid w:val="00E56CA6"/>
    <w:rsid w:val="00E56EE4"/>
    <w:rsid w:val="00E56FBF"/>
    <w:rsid w:val="00E57011"/>
    <w:rsid w:val="00E57234"/>
    <w:rsid w:val="00E5725C"/>
    <w:rsid w:val="00E5748F"/>
    <w:rsid w:val="00E575E6"/>
    <w:rsid w:val="00E57A75"/>
    <w:rsid w:val="00E57D5E"/>
    <w:rsid w:val="00E60053"/>
    <w:rsid w:val="00E60178"/>
    <w:rsid w:val="00E6029B"/>
    <w:rsid w:val="00E602D3"/>
    <w:rsid w:val="00E6048D"/>
    <w:rsid w:val="00E607C9"/>
    <w:rsid w:val="00E60A01"/>
    <w:rsid w:val="00E60ADA"/>
    <w:rsid w:val="00E60B81"/>
    <w:rsid w:val="00E60EED"/>
    <w:rsid w:val="00E60F16"/>
    <w:rsid w:val="00E61086"/>
    <w:rsid w:val="00E61449"/>
    <w:rsid w:val="00E6157A"/>
    <w:rsid w:val="00E619F3"/>
    <w:rsid w:val="00E61BC7"/>
    <w:rsid w:val="00E61C8F"/>
    <w:rsid w:val="00E61CDB"/>
    <w:rsid w:val="00E61F00"/>
    <w:rsid w:val="00E61F48"/>
    <w:rsid w:val="00E62178"/>
    <w:rsid w:val="00E6260A"/>
    <w:rsid w:val="00E6298A"/>
    <w:rsid w:val="00E62C82"/>
    <w:rsid w:val="00E630C9"/>
    <w:rsid w:val="00E63209"/>
    <w:rsid w:val="00E63386"/>
    <w:rsid w:val="00E633C1"/>
    <w:rsid w:val="00E633E1"/>
    <w:rsid w:val="00E63567"/>
    <w:rsid w:val="00E63797"/>
    <w:rsid w:val="00E63D39"/>
    <w:rsid w:val="00E63D45"/>
    <w:rsid w:val="00E63E86"/>
    <w:rsid w:val="00E63FC5"/>
    <w:rsid w:val="00E64098"/>
    <w:rsid w:val="00E6426E"/>
    <w:rsid w:val="00E64462"/>
    <w:rsid w:val="00E64558"/>
    <w:rsid w:val="00E647E5"/>
    <w:rsid w:val="00E6483B"/>
    <w:rsid w:val="00E64903"/>
    <w:rsid w:val="00E6499D"/>
    <w:rsid w:val="00E64D91"/>
    <w:rsid w:val="00E64DF9"/>
    <w:rsid w:val="00E65141"/>
    <w:rsid w:val="00E654EE"/>
    <w:rsid w:val="00E6575D"/>
    <w:rsid w:val="00E6576C"/>
    <w:rsid w:val="00E65775"/>
    <w:rsid w:val="00E65888"/>
    <w:rsid w:val="00E65CB6"/>
    <w:rsid w:val="00E65E21"/>
    <w:rsid w:val="00E65E6E"/>
    <w:rsid w:val="00E665FB"/>
    <w:rsid w:val="00E6688E"/>
    <w:rsid w:val="00E66C2E"/>
    <w:rsid w:val="00E66EA1"/>
    <w:rsid w:val="00E66F4E"/>
    <w:rsid w:val="00E67130"/>
    <w:rsid w:val="00E671F2"/>
    <w:rsid w:val="00E6744F"/>
    <w:rsid w:val="00E67674"/>
    <w:rsid w:val="00E67B09"/>
    <w:rsid w:val="00E67B5A"/>
    <w:rsid w:val="00E67C31"/>
    <w:rsid w:val="00E67E0E"/>
    <w:rsid w:val="00E702B2"/>
    <w:rsid w:val="00E70319"/>
    <w:rsid w:val="00E70388"/>
    <w:rsid w:val="00E70679"/>
    <w:rsid w:val="00E70AB7"/>
    <w:rsid w:val="00E70C45"/>
    <w:rsid w:val="00E71075"/>
    <w:rsid w:val="00E710BA"/>
    <w:rsid w:val="00E710BC"/>
    <w:rsid w:val="00E711B5"/>
    <w:rsid w:val="00E71927"/>
    <w:rsid w:val="00E71E90"/>
    <w:rsid w:val="00E72129"/>
    <w:rsid w:val="00E72339"/>
    <w:rsid w:val="00E72341"/>
    <w:rsid w:val="00E72513"/>
    <w:rsid w:val="00E725C4"/>
    <w:rsid w:val="00E726B5"/>
    <w:rsid w:val="00E7278C"/>
    <w:rsid w:val="00E72A77"/>
    <w:rsid w:val="00E72A85"/>
    <w:rsid w:val="00E72AEB"/>
    <w:rsid w:val="00E72F99"/>
    <w:rsid w:val="00E7300C"/>
    <w:rsid w:val="00E73129"/>
    <w:rsid w:val="00E7312B"/>
    <w:rsid w:val="00E73363"/>
    <w:rsid w:val="00E7339E"/>
    <w:rsid w:val="00E736E0"/>
    <w:rsid w:val="00E7399C"/>
    <w:rsid w:val="00E739ED"/>
    <w:rsid w:val="00E73A87"/>
    <w:rsid w:val="00E73A8B"/>
    <w:rsid w:val="00E73AF7"/>
    <w:rsid w:val="00E740B7"/>
    <w:rsid w:val="00E74884"/>
    <w:rsid w:val="00E74978"/>
    <w:rsid w:val="00E749B9"/>
    <w:rsid w:val="00E74A7C"/>
    <w:rsid w:val="00E74B59"/>
    <w:rsid w:val="00E74E61"/>
    <w:rsid w:val="00E74E84"/>
    <w:rsid w:val="00E74EB1"/>
    <w:rsid w:val="00E74F22"/>
    <w:rsid w:val="00E750EF"/>
    <w:rsid w:val="00E752CD"/>
    <w:rsid w:val="00E75409"/>
    <w:rsid w:val="00E755EF"/>
    <w:rsid w:val="00E75634"/>
    <w:rsid w:val="00E7579D"/>
    <w:rsid w:val="00E75892"/>
    <w:rsid w:val="00E7597F"/>
    <w:rsid w:val="00E760DF"/>
    <w:rsid w:val="00E76303"/>
    <w:rsid w:val="00E76417"/>
    <w:rsid w:val="00E76509"/>
    <w:rsid w:val="00E766B8"/>
    <w:rsid w:val="00E76DF1"/>
    <w:rsid w:val="00E76E41"/>
    <w:rsid w:val="00E76F99"/>
    <w:rsid w:val="00E77257"/>
    <w:rsid w:val="00E77498"/>
    <w:rsid w:val="00E7758F"/>
    <w:rsid w:val="00E77A90"/>
    <w:rsid w:val="00E77BF8"/>
    <w:rsid w:val="00E77DDA"/>
    <w:rsid w:val="00E77FBA"/>
    <w:rsid w:val="00E806F0"/>
    <w:rsid w:val="00E80BE0"/>
    <w:rsid w:val="00E80DB1"/>
    <w:rsid w:val="00E8106B"/>
    <w:rsid w:val="00E81399"/>
    <w:rsid w:val="00E81806"/>
    <w:rsid w:val="00E818EA"/>
    <w:rsid w:val="00E819AE"/>
    <w:rsid w:val="00E81CB0"/>
    <w:rsid w:val="00E81D2A"/>
    <w:rsid w:val="00E81DD7"/>
    <w:rsid w:val="00E820AF"/>
    <w:rsid w:val="00E821DF"/>
    <w:rsid w:val="00E82391"/>
    <w:rsid w:val="00E827D3"/>
    <w:rsid w:val="00E82B24"/>
    <w:rsid w:val="00E82BDE"/>
    <w:rsid w:val="00E82C5C"/>
    <w:rsid w:val="00E82E9B"/>
    <w:rsid w:val="00E830B0"/>
    <w:rsid w:val="00E831A3"/>
    <w:rsid w:val="00E835CB"/>
    <w:rsid w:val="00E83CCD"/>
    <w:rsid w:val="00E83D4F"/>
    <w:rsid w:val="00E83E02"/>
    <w:rsid w:val="00E83E07"/>
    <w:rsid w:val="00E83E52"/>
    <w:rsid w:val="00E83F0C"/>
    <w:rsid w:val="00E83FCB"/>
    <w:rsid w:val="00E841B5"/>
    <w:rsid w:val="00E842F9"/>
    <w:rsid w:val="00E844D2"/>
    <w:rsid w:val="00E8456B"/>
    <w:rsid w:val="00E8470F"/>
    <w:rsid w:val="00E84AAB"/>
    <w:rsid w:val="00E84BB4"/>
    <w:rsid w:val="00E85231"/>
    <w:rsid w:val="00E8529E"/>
    <w:rsid w:val="00E85579"/>
    <w:rsid w:val="00E85632"/>
    <w:rsid w:val="00E856BC"/>
    <w:rsid w:val="00E85AC7"/>
    <w:rsid w:val="00E85C35"/>
    <w:rsid w:val="00E85CC1"/>
    <w:rsid w:val="00E85F13"/>
    <w:rsid w:val="00E862DB"/>
    <w:rsid w:val="00E8665D"/>
    <w:rsid w:val="00E86C64"/>
    <w:rsid w:val="00E86E7B"/>
    <w:rsid w:val="00E86FB8"/>
    <w:rsid w:val="00E86FE3"/>
    <w:rsid w:val="00E871A8"/>
    <w:rsid w:val="00E87255"/>
    <w:rsid w:val="00E873CC"/>
    <w:rsid w:val="00E875C0"/>
    <w:rsid w:val="00E87A76"/>
    <w:rsid w:val="00E87E75"/>
    <w:rsid w:val="00E900C6"/>
    <w:rsid w:val="00E90247"/>
    <w:rsid w:val="00E906B8"/>
    <w:rsid w:val="00E909AE"/>
    <w:rsid w:val="00E909D5"/>
    <w:rsid w:val="00E90CBC"/>
    <w:rsid w:val="00E90D8E"/>
    <w:rsid w:val="00E90FE0"/>
    <w:rsid w:val="00E91023"/>
    <w:rsid w:val="00E911A4"/>
    <w:rsid w:val="00E9135F"/>
    <w:rsid w:val="00E914BA"/>
    <w:rsid w:val="00E91601"/>
    <w:rsid w:val="00E916CB"/>
    <w:rsid w:val="00E91B97"/>
    <w:rsid w:val="00E91D22"/>
    <w:rsid w:val="00E91E0B"/>
    <w:rsid w:val="00E91E5A"/>
    <w:rsid w:val="00E91EA9"/>
    <w:rsid w:val="00E91EDD"/>
    <w:rsid w:val="00E921C2"/>
    <w:rsid w:val="00E923A5"/>
    <w:rsid w:val="00E9278E"/>
    <w:rsid w:val="00E92A48"/>
    <w:rsid w:val="00E92E3A"/>
    <w:rsid w:val="00E92F45"/>
    <w:rsid w:val="00E9322C"/>
    <w:rsid w:val="00E93231"/>
    <w:rsid w:val="00E934ED"/>
    <w:rsid w:val="00E93814"/>
    <w:rsid w:val="00E93A4D"/>
    <w:rsid w:val="00E93F07"/>
    <w:rsid w:val="00E93FA9"/>
    <w:rsid w:val="00E9409E"/>
    <w:rsid w:val="00E94158"/>
    <w:rsid w:val="00E942D1"/>
    <w:rsid w:val="00E945C3"/>
    <w:rsid w:val="00E949A3"/>
    <w:rsid w:val="00E94A00"/>
    <w:rsid w:val="00E94A76"/>
    <w:rsid w:val="00E94EA5"/>
    <w:rsid w:val="00E95368"/>
    <w:rsid w:val="00E9571B"/>
    <w:rsid w:val="00E95AD6"/>
    <w:rsid w:val="00E95B5B"/>
    <w:rsid w:val="00E95F32"/>
    <w:rsid w:val="00E96047"/>
    <w:rsid w:val="00E9626A"/>
    <w:rsid w:val="00E96693"/>
    <w:rsid w:val="00E9672D"/>
    <w:rsid w:val="00E968D8"/>
    <w:rsid w:val="00E968E9"/>
    <w:rsid w:val="00E96968"/>
    <w:rsid w:val="00E96DE4"/>
    <w:rsid w:val="00E96DE9"/>
    <w:rsid w:val="00E971C7"/>
    <w:rsid w:val="00E972BE"/>
    <w:rsid w:val="00E97385"/>
    <w:rsid w:val="00E9756F"/>
    <w:rsid w:val="00E97663"/>
    <w:rsid w:val="00E977E2"/>
    <w:rsid w:val="00E97C1A"/>
    <w:rsid w:val="00E97F37"/>
    <w:rsid w:val="00E97FF5"/>
    <w:rsid w:val="00EA04B7"/>
    <w:rsid w:val="00EA063E"/>
    <w:rsid w:val="00EA068C"/>
    <w:rsid w:val="00EA083C"/>
    <w:rsid w:val="00EA098A"/>
    <w:rsid w:val="00EA099E"/>
    <w:rsid w:val="00EA1099"/>
    <w:rsid w:val="00EA13AD"/>
    <w:rsid w:val="00EA154B"/>
    <w:rsid w:val="00EA16FD"/>
    <w:rsid w:val="00EA1792"/>
    <w:rsid w:val="00EA1A52"/>
    <w:rsid w:val="00EA1A58"/>
    <w:rsid w:val="00EA1B25"/>
    <w:rsid w:val="00EA1BC2"/>
    <w:rsid w:val="00EA1D73"/>
    <w:rsid w:val="00EA1E2C"/>
    <w:rsid w:val="00EA2172"/>
    <w:rsid w:val="00EA2454"/>
    <w:rsid w:val="00EA2602"/>
    <w:rsid w:val="00EA2A25"/>
    <w:rsid w:val="00EA2CC4"/>
    <w:rsid w:val="00EA2F6A"/>
    <w:rsid w:val="00EA319E"/>
    <w:rsid w:val="00EA31EB"/>
    <w:rsid w:val="00EA327A"/>
    <w:rsid w:val="00EA3383"/>
    <w:rsid w:val="00EA3467"/>
    <w:rsid w:val="00EA36D5"/>
    <w:rsid w:val="00EA3712"/>
    <w:rsid w:val="00EA3D67"/>
    <w:rsid w:val="00EA419C"/>
    <w:rsid w:val="00EA4258"/>
    <w:rsid w:val="00EA4558"/>
    <w:rsid w:val="00EA45AD"/>
    <w:rsid w:val="00EA464F"/>
    <w:rsid w:val="00EA4CA0"/>
    <w:rsid w:val="00EA53EC"/>
    <w:rsid w:val="00EA5807"/>
    <w:rsid w:val="00EA59A9"/>
    <w:rsid w:val="00EA5BC8"/>
    <w:rsid w:val="00EA5D86"/>
    <w:rsid w:val="00EA5E41"/>
    <w:rsid w:val="00EA5FA6"/>
    <w:rsid w:val="00EA631C"/>
    <w:rsid w:val="00EA646C"/>
    <w:rsid w:val="00EA659E"/>
    <w:rsid w:val="00EA6615"/>
    <w:rsid w:val="00EA663D"/>
    <w:rsid w:val="00EA670D"/>
    <w:rsid w:val="00EA6933"/>
    <w:rsid w:val="00EA695D"/>
    <w:rsid w:val="00EA6A76"/>
    <w:rsid w:val="00EA6C65"/>
    <w:rsid w:val="00EA6C9B"/>
    <w:rsid w:val="00EA6D15"/>
    <w:rsid w:val="00EA6DBB"/>
    <w:rsid w:val="00EA6DE6"/>
    <w:rsid w:val="00EA7262"/>
    <w:rsid w:val="00EA72CF"/>
    <w:rsid w:val="00EA73B3"/>
    <w:rsid w:val="00EA74FB"/>
    <w:rsid w:val="00EA7A32"/>
    <w:rsid w:val="00EA7C05"/>
    <w:rsid w:val="00EA7C84"/>
    <w:rsid w:val="00EB03F2"/>
    <w:rsid w:val="00EB045D"/>
    <w:rsid w:val="00EB074A"/>
    <w:rsid w:val="00EB092C"/>
    <w:rsid w:val="00EB0A20"/>
    <w:rsid w:val="00EB0AA9"/>
    <w:rsid w:val="00EB0C68"/>
    <w:rsid w:val="00EB0D8D"/>
    <w:rsid w:val="00EB0ED0"/>
    <w:rsid w:val="00EB1435"/>
    <w:rsid w:val="00EB158F"/>
    <w:rsid w:val="00EB1642"/>
    <w:rsid w:val="00EB1706"/>
    <w:rsid w:val="00EB17CB"/>
    <w:rsid w:val="00EB1992"/>
    <w:rsid w:val="00EB2292"/>
    <w:rsid w:val="00EB235E"/>
    <w:rsid w:val="00EB24B6"/>
    <w:rsid w:val="00EB2525"/>
    <w:rsid w:val="00EB2850"/>
    <w:rsid w:val="00EB28C5"/>
    <w:rsid w:val="00EB29DA"/>
    <w:rsid w:val="00EB2ABD"/>
    <w:rsid w:val="00EB2CAC"/>
    <w:rsid w:val="00EB3DBF"/>
    <w:rsid w:val="00EB44CF"/>
    <w:rsid w:val="00EB45C7"/>
    <w:rsid w:val="00EB4678"/>
    <w:rsid w:val="00EB46CE"/>
    <w:rsid w:val="00EB4718"/>
    <w:rsid w:val="00EB4C20"/>
    <w:rsid w:val="00EB4C80"/>
    <w:rsid w:val="00EB4CE7"/>
    <w:rsid w:val="00EB4E81"/>
    <w:rsid w:val="00EB5165"/>
    <w:rsid w:val="00EB5473"/>
    <w:rsid w:val="00EB5708"/>
    <w:rsid w:val="00EB591E"/>
    <w:rsid w:val="00EB5A50"/>
    <w:rsid w:val="00EB5BA8"/>
    <w:rsid w:val="00EB5C1D"/>
    <w:rsid w:val="00EB5E1E"/>
    <w:rsid w:val="00EB5EE9"/>
    <w:rsid w:val="00EB5EF3"/>
    <w:rsid w:val="00EB60BE"/>
    <w:rsid w:val="00EB61C8"/>
    <w:rsid w:val="00EB67F1"/>
    <w:rsid w:val="00EB68AA"/>
    <w:rsid w:val="00EB6AE9"/>
    <w:rsid w:val="00EB6D25"/>
    <w:rsid w:val="00EB746B"/>
    <w:rsid w:val="00EB75EF"/>
    <w:rsid w:val="00EB7796"/>
    <w:rsid w:val="00EB7A31"/>
    <w:rsid w:val="00EB7C41"/>
    <w:rsid w:val="00EB7C8E"/>
    <w:rsid w:val="00EB7CB3"/>
    <w:rsid w:val="00EC00C4"/>
    <w:rsid w:val="00EC040B"/>
    <w:rsid w:val="00EC07A5"/>
    <w:rsid w:val="00EC0938"/>
    <w:rsid w:val="00EC0E48"/>
    <w:rsid w:val="00EC10A1"/>
    <w:rsid w:val="00EC11E2"/>
    <w:rsid w:val="00EC139D"/>
    <w:rsid w:val="00EC177D"/>
    <w:rsid w:val="00EC17B4"/>
    <w:rsid w:val="00EC19A3"/>
    <w:rsid w:val="00EC1AB1"/>
    <w:rsid w:val="00EC1D6C"/>
    <w:rsid w:val="00EC1FB6"/>
    <w:rsid w:val="00EC201F"/>
    <w:rsid w:val="00EC204D"/>
    <w:rsid w:val="00EC21E3"/>
    <w:rsid w:val="00EC255C"/>
    <w:rsid w:val="00EC25A2"/>
    <w:rsid w:val="00EC2D60"/>
    <w:rsid w:val="00EC2E6A"/>
    <w:rsid w:val="00EC2F5E"/>
    <w:rsid w:val="00EC3007"/>
    <w:rsid w:val="00EC3126"/>
    <w:rsid w:val="00EC376D"/>
    <w:rsid w:val="00EC3980"/>
    <w:rsid w:val="00EC39FF"/>
    <w:rsid w:val="00EC3DE6"/>
    <w:rsid w:val="00EC3EBA"/>
    <w:rsid w:val="00EC4114"/>
    <w:rsid w:val="00EC4166"/>
    <w:rsid w:val="00EC41E4"/>
    <w:rsid w:val="00EC430E"/>
    <w:rsid w:val="00EC46E9"/>
    <w:rsid w:val="00EC4977"/>
    <w:rsid w:val="00EC4AA9"/>
    <w:rsid w:val="00EC4B93"/>
    <w:rsid w:val="00EC4E19"/>
    <w:rsid w:val="00EC4E79"/>
    <w:rsid w:val="00EC4F41"/>
    <w:rsid w:val="00EC53D5"/>
    <w:rsid w:val="00EC5416"/>
    <w:rsid w:val="00EC5981"/>
    <w:rsid w:val="00EC5B7C"/>
    <w:rsid w:val="00EC5CA6"/>
    <w:rsid w:val="00EC5EC7"/>
    <w:rsid w:val="00EC61D7"/>
    <w:rsid w:val="00EC625C"/>
    <w:rsid w:val="00EC6394"/>
    <w:rsid w:val="00EC6A83"/>
    <w:rsid w:val="00EC6E3B"/>
    <w:rsid w:val="00EC712F"/>
    <w:rsid w:val="00EC7726"/>
    <w:rsid w:val="00EC7937"/>
    <w:rsid w:val="00EC7C41"/>
    <w:rsid w:val="00EC7CD3"/>
    <w:rsid w:val="00ED00CD"/>
    <w:rsid w:val="00ED0619"/>
    <w:rsid w:val="00ED0663"/>
    <w:rsid w:val="00ED0747"/>
    <w:rsid w:val="00ED0759"/>
    <w:rsid w:val="00ED1262"/>
    <w:rsid w:val="00ED1745"/>
    <w:rsid w:val="00ED18E4"/>
    <w:rsid w:val="00ED1926"/>
    <w:rsid w:val="00ED1B90"/>
    <w:rsid w:val="00ED1D7D"/>
    <w:rsid w:val="00ED1D97"/>
    <w:rsid w:val="00ED1EDC"/>
    <w:rsid w:val="00ED26EB"/>
    <w:rsid w:val="00ED29AF"/>
    <w:rsid w:val="00ED29D8"/>
    <w:rsid w:val="00ED2B5D"/>
    <w:rsid w:val="00ED2FFE"/>
    <w:rsid w:val="00ED33B7"/>
    <w:rsid w:val="00ED376B"/>
    <w:rsid w:val="00ED3872"/>
    <w:rsid w:val="00ED3905"/>
    <w:rsid w:val="00ED3974"/>
    <w:rsid w:val="00ED3C14"/>
    <w:rsid w:val="00ED3DB5"/>
    <w:rsid w:val="00ED449F"/>
    <w:rsid w:val="00ED44AA"/>
    <w:rsid w:val="00ED4704"/>
    <w:rsid w:val="00ED4863"/>
    <w:rsid w:val="00ED4B53"/>
    <w:rsid w:val="00ED4D04"/>
    <w:rsid w:val="00ED4ED7"/>
    <w:rsid w:val="00ED4FDE"/>
    <w:rsid w:val="00ED51CA"/>
    <w:rsid w:val="00ED51FC"/>
    <w:rsid w:val="00ED5736"/>
    <w:rsid w:val="00ED579B"/>
    <w:rsid w:val="00ED580F"/>
    <w:rsid w:val="00ED5DF1"/>
    <w:rsid w:val="00ED6064"/>
    <w:rsid w:val="00ED6155"/>
    <w:rsid w:val="00ED62DB"/>
    <w:rsid w:val="00ED6471"/>
    <w:rsid w:val="00ED6583"/>
    <w:rsid w:val="00ED666E"/>
    <w:rsid w:val="00ED6E68"/>
    <w:rsid w:val="00ED6F4A"/>
    <w:rsid w:val="00ED70EA"/>
    <w:rsid w:val="00ED7136"/>
    <w:rsid w:val="00ED718A"/>
    <w:rsid w:val="00ED7374"/>
    <w:rsid w:val="00ED73CF"/>
    <w:rsid w:val="00ED77AC"/>
    <w:rsid w:val="00ED7821"/>
    <w:rsid w:val="00ED7915"/>
    <w:rsid w:val="00ED7939"/>
    <w:rsid w:val="00ED7BBB"/>
    <w:rsid w:val="00ED7C7F"/>
    <w:rsid w:val="00ED7DA6"/>
    <w:rsid w:val="00ED7E52"/>
    <w:rsid w:val="00EE00BE"/>
    <w:rsid w:val="00EE0223"/>
    <w:rsid w:val="00EE0566"/>
    <w:rsid w:val="00EE0652"/>
    <w:rsid w:val="00EE0A69"/>
    <w:rsid w:val="00EE0E26"/>
    <w:rsid w:val="00EE0F47"/>
    <w:rsid w:val="00EE1184"/>
    <w:rsid w:val="00EE128A"/>
    <w:rsid w:val="00EE171A"/>
    <w:rsid w:val="00EE1AE6"/>
    <w:rsid w:val="00EE1B7C"/>
    <w:rsid w:val="00EE25A1"/>
    <w:rsid w:val="00EE2690"/>
    <w:rsid w:val="00EE2944"/>
    <w:rsid w:val="00EE2C55"/>
    <w:rsid w:val="00EE2D82"/>
    <w:rsid w:val="00EE2DD5"/>
    <w:rsid w:val="00EE3150"/>
    <w:rsid w:val="00EE323C"/>
    <w:rsid w:val="00EE32BD"/>
    <w:rsid w:val="00EE3422"/>
    <w:rsid w:val="00EE35F9"/>
    <w:rsid w:val="00EE364C"/>
    <w:rsid w:val="00EE38A8"/>
    <w:rsid w:val="00EE394F"/>
    <w:rsid w:val="00EE3CB1"/>
    <w:rsid w:val="00EE3DF9"/>
    <w:rsid w:val="00EE3E85"/>
    <w:rsid w:val="00EE4237"/>
    <w:rsid w:val="00EE43DD"/>
    <w:rsid w:val="00EE47C2"/>
    <w:rsid w:val="00EE4853"/>
    <w:rsid w:val="00EE4A8D"/>
    <w:rsid w:val="00EE4D99"/>
    <w:rsid w:val="00EE4E61"/>
    <w:rsid w:val="00EE51DD"/>
    <w:rsid w:val="00EE5386"/>
    <w:rsid w:val="00EE5768"/>
    <w:rsid w:val="00EE59A2"/>
    <w:rsid w:val="00EE5BBB"/>
    <w:rsid w:val="00EE5D15"/>
    <w:rsid w:val="00EE5DAB"/>
    <w:rsid w:val="00EE5E5D"/>
    <w:rsid w:val="00EE5F76"/>
    <w:rsid w:val="00EE61E0"/>
    <w:rsid w:val="00EE6710"/>
    <w:rsid w:val="00EE6735"/>
    <w:rsid w:val="00EE6802"/>
    <w:rsid w:val="00EE68E4"/>
    <w:rsid w:val="00EE6A68"/>
    <w:rsid w:val="00EE6B71"/>
    <w:rsid w:val="00EE6B79"/>
    <w:rsid w:val="00EE6DAA"/>
    <w:rsid w:val="00EE7198"/>
    <w:rsid w:val="00EE7234"/>
    <w:rsid w:val="00EE7532"/>
    <w:rsid w:val="00EE7B54"/>
    <w:rsid w:val="00EE7CC3"/>
    <w:rsid w:val="00EE7E6B"/>
    <w:rsid w:val="00EF00CB"/>
    <w:rsid w:val="00EF00CE"/>
    <w:rsid w:val="00EF0397"/>
    <w:rsid w:val="00EF03AC"/>
    <w:rsid w:val="00EF0477"/>
    <w:rsid w:val="00EF0538"/>
    <w:rsid w:val="00EF08BC"/>
    <w:rsid w:val="00EF094D"/>
    <w:rsid w:val="00EF0999"/>
    <w:rsid w:val="00EF0A72"/>
    <w:rsid w:val="00EF0CD7"/>
    <w:rsid w:val="00EF0E0B"/>
    <w:rsid w:val="00EF1053"/>
    <w:rsid w:val="00EF1219"/>
    <w:rsid w:val="00EF1372"/>
    <w:rsid w:val="00EF163A"/>
    <w:rsid w:val="00EF16D9"/>
    <w:rsid w:val="00EF1818"/>
    <w:rsid w:val="00EF1AC6"/>
    <w:rsid w:val="00EF1BA5"/>
    <w:rsid w:val="00EF1F1F"/>
    <w:rsid w:val="00EF21E2"/>
    <w:rsid w:val="00EF269F"/>
    <w:rsid w:val="00EF2AD0"/>
    <w:rsid w:val="00EF2C65"/>
    <w:rsid w:val="00EF2D6B"/>
    <w:rsid w:val="00EF2EAF"/>
    <w:rsid w:val="00EF2F1A"/>
    <w:rsid w:val="00EF3697"/>
    <w:rsid w:val="00EF38BB"/>
    <w:rsid w:val="00EF3E4B"/>
    <w:rsid w:val="00EF45F3"/>
    <w:rsid w:val="00EF4945"/>
    <w:rsid w:val="00EF49AC"/>
    <w:rsid w:val="00EF4A21"/>
    <w:rsid w:val="00EF4A58"/>
    <w:rsid w:val="00EF4C3F"/>
    <w:rsid w:val="00EF4C87"/>
    <w:rsid w:val="00EF4D32"/>
    <w:rsid w:val="00EF4FC0"/>
    <w:rsid w:val="00EF501F"/>
    <w:rsid w:val="00EF59A7"/>
    <w:rsid w:val="00EF5A49"/>
    <w:rsid w:val="00EF5A9C"/>
    <w:rsid w:val="00EF5AC6"/>
    <w:rsid w:val="00EF5B6F"/>
    <w:rsid w:val="00EF5CC8"/>
    <w:rsid w:val="00EF610B"/>
    <w:rsid w:val="00EF6186"/>
    <w:rsid w:val="00EF6211"/>
    <w:rsid w:val="00EF6378"/>
    <w:rsid w:val="00EF6589"/>
    <w:rsid w:val="00EF65FC"/>
    <w:rsid w:val="00EF6840"/>
    <w:rsid w:val="00EF6865"/>
    <w:rsid w:val="00EF69B7"/>
    <w:rsid w:val="00EF6A26"/>
    <w:rsid w:val="00EF6A3E"/>
    <w:rsid w:val="00EF6BFF"/>
    <w:rsid w:val="00EF6DB9"/>
    <w:rsid w:val="00EF6E7A"/>
    <w:rsid w:val="00EF6EB2"/>
    <w:rsid w:val="00EF7067"/>
    <w:rsid w:val="00EF744E"/>
    <w:rsid w:val="00EF75A7"/>
    <w:rsid w:val="00EF7C1A"/>
    <w:rsid w:val="00EF7C33"/>
    <w:rsid w:val="00EF7D6D"/>
    <w:rsid w:val="00F002BA"/>
    <w:rsid w:val="00F005CC"/>
    <w:rsid w:val="00F00B24"/>
    <w:rsid w:val="00F00F35"/>
    <w:rsid w:val="00F0113C"/>
    <w:rsid w:val="00F01247"/>
    <w:rsid w:val="00F01278"/>
    <w:rsid w:val="00F012AD"/>
    <w:rsid w:val="00F013A3"/>
    <w:rsid w:val="00F015C1"/>
    <w:rsid w:val="00F01FBF"/>
    <w:rsid w:val="00F0207A"/>
    <w:rsid w:val="00F02540"/>
    <w:rsid w:val="00F0265B"/>
    <w:rsid w:val="00F030EF"/>
    <w:rsid w:val="00F03188"/>
    <w:rsid w:val="00F033CF"/>
    <w:rsid w:val="00F036ED"/>
    <w:rsid w:val="00F03762"/>
    <w:rsid w:val="00F03796"/>
    <w:rsid w:val="00F03B64"/>
    <w:rsid w:val="00F03C0B"/>
    <w:rsid w:val="00F03DEE"/>
    <w:rsid w:val="00F03E97"/>
    <w:rsid w:val="00F03ED1"/>
    <w:rsid w:val="00F04005"/>
    <w:rsid w:val="00F04041"/>
    <w:rsid w:val="00F04671"/>
    <w:rsid w:val="00F047DE"/>
    <w:rsid w:val="00F047E5"/>
    <w:rsid w:val="00F04876"/>
    <w:rsid w:val="00F04A99"/>
    <w:rsid w:val="00F04C9C"/>
    <w:rsid w:val="00F04FEF"/>
    <w:rsid w:val="00F05001"/>
    <w:rsid w:val="00F050A8"/>
    <w:rsid w:val="00F05375"/>
    <w:rsid w:val="00F054E7"/>
    <w:rsid w:val="00F059D6"/>
    <w:rsid w:val="00F05B60"/>
    <w:rsid w:val="00F05E88"/>
    <w:rsid w:val="00F060B2"/>
    <w:rsid w:val="00F062F7"/>
    <w:rsid w:val="00F0641F"/>
    <w:rsid w:val="00F06662"/>
    <w:rsid w:val="00F067DD"/>
    <w:rsid w:val="00F06B4E"/>
    <w:rsid w:val="00F06CB3"/>
    <w:rsid w:val="00F0701E"/>
    <w:rsid w:val="00F07815"/>
    <w:rsid w:val="00F0794E"/>
    <w:rsid w:val="00F07BAD"/>
    <w:rsid w:val="00F07C2F"/>
    <w:rsid w:val="00F07C73"/>
    <w:rsid w:val="00F07D45"/>
    <w:rsid w:val="00F10333"/>
    <w:rsid w:val="00F104E9"/>
    <w:rsid w:val="00F108E7"/>
    <w:rsid w:val="00F10A86"/>
    <w:rsid w:val="00F10F39"/>
    <w:rsid w:val="00F110B2"/>
    <w:rsid w:val="00F110BF"/>
    <w:rsid w:val="00F111A8"/>
    <w:rsid w:val="00F117AD"/>
    <w:rsid w:val="00F11A86"/>
    <w:rsid w:val="00F11B30"/>
    <w:rsid w:val="00F11BEE"/>
    <w:rsid w:val="00F11EF7"/>
    <w:rsid w:val="00F11FA0"/>
    <w:rsid w:val="00F125D9"/>
    <w:rsid w:val="00F12755"/>
    <w:rsid w:val="00F12A8D"/>
    <w:rsid w:val="00F12BB5"/>
    <w:rsid w:val="00F12E93"/>
    <w:rsid w:val="00F1300F"/>
    <w:rsid w:val="00F13038"/>
    <w:rsid w:val="00F13051"/>
    <w:rsid w:val="00F13565"/>
    <w:rsid w:val="00F1357A"/>
    <w:rsid w:val="00F13712"/>
    <w:rsid w:val="00F13745"/>
    <w:rsid w:val="00F137BF"/>
    <w:rsid w:val="00F13813"/>
    <w:rsid w:val="00F13A4B"/>
    <w:rsid w:val="00F14185"/>
    <w:rsid w:val="00F141FA"/>
    <w:rsid w:val="00F142F9"/>
    <w:rsid w:val="00F144D6"/>
    <w:rsid w:val="00F1455C"/>
    <w:rsid w:val="00F1467E"/>
    <w:rsid w:val="00F14698"/>
    <w:rsid w:val="00F1476A"/>
    <w:rsid w:val="00F148D5"/>
    <w:rsid w:val="00F14969"/>
    <w:rsid w:val="00F14B13"/>
    <w:rsid w:val="00F14B37"/>
    <w:rsid w:val="00F14DD7"/>
    <w:rsid w:val="00F14DDA"/>
    <w:rsid w:val="00F14ED6"/>
    <w:rsid w:val="00F1520D"/>
    <w:rsid w:val="00F1524E"/>
    <w:rsid w:val="00F157A3"/>
    <w:rsid w:val="00F157D2"/>
    <w:rsid w:val="00F15954"/>
    <w:rsid w:val="00F15DB5"/>
    <w:rsid w:val="00F16455"/>
    <w:rsid w:val="00F166AF"/>
    <w:rsid w:val="00F16951"/>
    <w:rsid w:val="00F16A88"/>
    <w:rsid w:val="00F16B44"/>
    <w:rsid w:val="00F16B71"/>
    <w:rsid w:val="00F16C92"/>
    <w:rsid w:val="00F16D47"/>
    <w:rsid w:val="00F16F11"/>
    <w:rsid w:val="00F173A8"/>
    <w:rsid w:val="00F17620"/>
    <w:rsid w:val="00F17812"/>
    <w:rsid w:val="00F17848"/>
    <w:rsid w:val="00F178DC"/>
    <w:rsid w:val="00F17B99"/>
    <w:rsid w:val="00F17E60"/>
    <w:rsid w:val="00F20541"/>
    <w:rsid w:val="00F20611"/>
    <w:rsid w:val="00F20662"/>
    <w:rsid w:val="00F20C86"/>
    <w:rsid w:val="00F20F41"/>
    <w:rsid w:val="00F21305"/>
    <w:rsid w:val="00F2141A"/>
    <w:rsid w:val="00F21A4F"/>
    <w:rsid w:val="00F21AE0"/>
    <w:rsid w:val="00F21B00"/>
    <w:rsid w:val="00F21B4D"/>
    <w:rsid w:val="00F21FB6"/>
    <w:rsid w:val="00F21FE7"/>
    <w:rsid w:val="00F220F1"/>
    <w:rsid w:val="00F22887"/>
    <w:rsid w:val="00F22A96"/>
    <w:rsid w:val="00F22AC5"/>
    <w:rsid w:val="00F22B1C"/>
    <w:rsid w:val="00F22B8F"/>
    <w:rsid w:val="00F22E93"/>
    <w:rsid w:val="00F22F1F"/>
    <w:rsid w:val="00F2303F"/>
    <w:rsid w:val="00F23110"/>
    <w:rsid w:val="00F23290"/>
    <w:rsid w:val="00F232C1"/>
    <w:rsid w:val="00F234FA"/>
    <w:rsid w:val="00F23535"/>
    <w:rsid w:val="00F236DC"/>
    <w:rsid w:val="00F23754"/>
    <w:rsid w:val="00F23844"/>
    <w:rsid w:val="00F2391C"/>
    <w:rsid w:val="00F23AB0"/>
    <w:rsid w:val="00F23B5B"/>
    <w:rsid w:val="00F23E27"/>
    <w:rsid w:val="00F24066"/>
    <w:rsid w:val="00F240B8"/>
    <w:rsid w:val="00F244B3"/>
    <w:rsid w:val="00F244B8"/>
    <w:rsid w:val="00F245F9"/>
    <w:rsid w:val="00F247BC"/>
    <w:rsid w:val="00F248E8"/>
    <w:rsid w:val="00F24B17"/>
    <w:rsid w:val="00F24C55"/>
    <w:rsid w:val="00F24D1A"/>
    <w:rsid w:val="00F24E2F"/>
    <w:rsid w:val="00F24EEA"/>
    <w:rsid w:val="00F2519A"/>
    <w:rsid w:val="00F252E4"/>
    <w:rsid w:val="00F25392"/>
    <w:rsid w:val="00F25718"/>
    <w:rsid w:val="00F25997"/>
    <w:rsid w:val="00F25B97"/>
    <w:rsid w:val="00F25CA5"/>
    <w:rsid w:val="00F26130"/>
    <w:rsid w:val="00F26359"/>
    <w:rsid w:val="00F26469"/>
    <w:rsid w:val="00F264FF"/>
    <w:rsid w:val="00F269F2"/>
    <w:rsid w:val="00F26B56"/>
    <w:rsid w:val="00F26C55"/>
    <w:rsid w:val="00F26F6E"/>
    <w:rsid w:val="00F27137"/>
    <w:rsid w:val="00F273BE"/>
    <w:rsid w:val="00F27403"/>
    <w:rsid w:val="00F27435"/>
    <w:rsid w:val="00F277C8"/>
    <w:rsid w:val="00F27912"/>
    <w:rsid w:val="00F27A26"/>
    <w:rsid w:val="00F27B9E"/>
    <w:rsid w:val="00F27E55"/>
    <w:rsid w:val="00F3046D"/>
    <w:rsid w:val="00F304B3"/>
    <w:rsid w:val="00F30688"/>
    <w:rsid w:val="00F306BE"/>
    <w:rsid w:val="00F3077D"/>
    <w:rsid w:val="00F3081C"/>
    <w:rsid w:val="00F30902"/>
    <w:rsid w:val="00F30929"/>
    <w:rsid w:val="00F30A1B"/>
    <w:rsid w:val="00F30BB4"/>
    <w:rsid w:val="00F30BB9"/>
    <w:rsid w:val="00F3111A"/>
    <w:rsid w:val="00F312FE"/>
    <w:rsid w:val="00F31CB1"/>
    <w:rsid w:val="00F31F8E"/>
    <w:rsid w:val="00F32017"/>
    <w:rsid w:val="00F32076"/>
    <w:rsid w:val="00F320E7"/>
    <w:rsid w:val="00F322D6"/>
    <w:rsid w:val="00F322FB"/>
    <w:rsid w:val="00F32346"/>
    <w:rsid w:val="00F323CB"/>
    <w:rsid w:val="00F32AAF"/>
    <w:rsid w:val="00F32D54"/>
    <w:rsid w:val="00F32FD7"/>
    <w:rsid w:val="00F3317C"/>
    <w:rsid w:val="00F33264"/>
    <w:rsid w:val="00F332CC"/>
    <w:rsid w:val="00F3367C"/>
    <w:rsid w:val="00F33ABF"/>
    <w:rsid w:val="00F33E82"/>
    <w:rsid w:val="00F3402E"/>
    <w:rsid w:val="00F34B3D"/>
    <w:rsid w:val="00F34CF0"/>
    <w:rsid w:val="00F34EE8"/>
    <w:rsid w:val="00F34FC9"/>
    <w:rsid w:val="00F35081"/>
    <w:rsid w:val="00F3526D"/>
    <w:rsid w:val="00F353C3"/>
    <w:rsid w:val="00F35A81"/>
    <w:rsid w:val="00F35F7B"/>
    <w:rsid w:val="00F36528"/>
    <w:rsid w:val="00F36569"/>
    <w:rsid w:val="00F36585"/>
    <w:rsid w:val="00F36933"/>
    <w:rsid w:val="00F36B2B"/>
    <w:rsid w:val="00F370D0"/>
    <w:rsid w:val="00F370FB"/>
    <w:rsid w:val="00F375CC"/>
    <w:rsid w:val="00F37925"/>
    <w:rsid w:val="00F37F66"/>
    <w:rsid w:val="00F40078"/>
    <w:rsid w:val="00F40881"/>
    <w:rsid w:val="00F40963"/>
    <w:rsid w:val="00F4099B"/>
    <w:rsid w:val="00F40C03"/>
    <w:rsid w:val="00F40C07"/>
    <w:rsid w:val="00F40C20"/>
    <w:rsid w:val="00F40C21"/>
    <w:rsid w:val="00F40D79"/>
    <w:rsid w:val="00F40DE2"/>
    <w:rsid w:val="00F41BF7"/>
    <w:rsid w:val="00F41D48"/>
    <w:rsid w:val="00F41D90"/>
    <w:rsid w:val="00F41E1E"/>
    <w:rsid w:val="00F41E31"/>
    <w:rsid w:val="00F41FF1"/>
    <w:rsid w:val="00F42333"/>
    <w:rsid w:val="00F42753"/>
    <w:rsid w:val="00F428FF"/>
    <w:rsid w:val="00F42B58"/>
    <w:rsid w:val="00F42FC0"/>
    <w:rsid w:val="00F42FD2"/>
    <w:rsid w:val="00F431BE"/>
    <w:rsid w:val="00F43371"/>
    <w:rsid w:val="00F43383"/>
    <w:rsid w:val="00F4354F"/>
    <w:rsid w:val="00F43A62"/>
    <w:rsid w:val="00F44054"/>
    <w:rsid w:val="00F442A2"/>
    <w:rsid w:val="00F446A3"/>
    <w:rsid w:val="00F446D8"/>
    <w:rsid w:val="00F44812"/>
    <w:rsid w:val="00F44848"/>
    <w:rsid w:val="00F44B6C"/>
    <w:rsid w:val="00F45238"/>
    <w:rsid w:val="00F45498"/>
    <w:rsid w:val="00F454FF"/>
    <w:rsid w:val="00F45ADA"/>
    <w:rsid w:val="00F45B9C"/>
    <w:rsid w:val="00F45C43"/>
    <w:rsid w:val="00F45D3E"/>
    <w:rsid w:val="00F45E21"/>
    <w:rsid w:val="00F45ED4"/>
    <w:rsid w:val="00F461E9"/>
    <w:rsid w:val="00F46319"/>
    <w:rsid w:val="00F465FF"/>
    <w:rsid w:val="00F46B60"/>
    <w:rsid w:val="00F46BD1"/>
    <w:rsid w:val="00F46BD4"/>
    <w:rsid w:val="00F47126"/>
    <w:rsid w:val="00F4716A"/>
    <w:rsid w:val="00F476BB"/>
    <w:rsid w:val="00F4773D"/>
    <w:rsid w:val="00F479C1"/>
    <w:rsid w:val="00F47DE3"/>
    <w:rsid w:val="00F47F14"/>
    <w:rsid w:val="00F47F19"/>
    <w:rsid w:val="00F50111"/>
    <w:rsid w:val="00F501D6"/>
    <w:rsid w:val="00F501EF"/>
    <w:rsid w:val="00F50267"/>
    <w:rsid w:val="00F506C6"/>
    <w:rsid w:val="00F509F2"/>
    <w:rsid w:val="00F50A71"/>
    <w:rsid w:val="00F51317"/>
    <w:rsid w:val="00F51733"/>
    <w:rsid w:val="00F5184A"/>
    <w:rsid w:val="00F51B67"/>
    <w:rsid w:val="00F51FC0"/>
    <w:rsid w:val="00F52333"/>
    <w:rsid w:val="00F5236D"/>
    <w:rsid w:val="00F52792"/>
    <w:rsid w:val="00F52802"/>
    <w:rsid w:val="00F52821"/>
    <w:rsid w:val="00F529CD"/>
    <w:rsid w:val="00F52AD6"/>
    <w:rsid w:val="00F52CAB"/>
    <w:rsid w:val="00F52FB2"/>
    <w:rsid w:val="00F532BE"/>
    <w:rsid w:val="00F534D1"/>
    <w:rsid w:val="00F5370A"/>
    <w:rsid w:val="00F537AD"/>
    <w:rsid w:val="00F537F3"/>
    <w:rsid w:val="00F5424D"/>
    <w:rsid w:val="00F5436C"/>
    <w:rsid w:val="00F545ED"/>
    <w:rsid w:val="00F54746"/>
    <w:rsid w:val="00F5488B"/>
    <w:rsid w:val="00F55079"/>
    <w:rsid w:val="00F55085"/>
    <w:rsid w:val="00F55126"/>
    <w:rsid w:val="00F55280"/>
    <w:rsid w:val="00F554C6"/>
    <w:rsid w:val="00F5575E"/>
    <w:rsid w:val="00F55B87"/>
    <w:rsid w:val="00F55DE5"/>
    <w:rsid w:val="00F55DEB"/>
    <w:rsid w:val="00F55EF3"/>
    <w:rsid w:val="00F55FC7"/>
    <w:rsid w:val="00F560C1"/>
    <w:rsid w:val="00F563B7"/>
    <w:rsid w:val="00F56401"/>
    <w:rsid w:val="00F565B3"/>
    <w:rsid w:val="00F56F80"/>
    <w:rsid w:val="00F5727F"/>
    <w:rsid w:val="00F575EB"/>
    <w:rsid w:val="00F57845"/>
    <w:rsid w:val="00F579AD"/>
    <w:rsid w:val="00F579FF"/>
    <w:rsid w:val="00F57A5E"/>
    <w:rsid w:val="00F57BBE"/>
    <w:rsid w:val="00F57CDA"/>
    <w:rsid w:val="00F6006C"/>
    <w:rsid w:val="00F6030C"/>
    <w:rsid w:val="00F6099D"/>
    <w:rsid w:val="00F60D75"/>
    <w:rsid w:val="00F60F84"/>
    <w:rsid w:val="00F60FCD"/>
    <w:rsid w:val="00F61001"/>
    <w:rsid w:val="00F6113B"/>
    <w:rsid w:val="00F612E6"/>
    <w:rsid w:val="00F61318"/>
    <w:rsid w:val="00F61871"/>
    <w:rsid w:val="00F61914"/>
    <w:rsid w:val="00F61EEF"/>
    <w:rsid w:val="00F6243B"/>
    <w:rsid w:val="00F62517"/>
    <w:rsid w:val="00F62659"/>
    <w:rsid w:val="00F626AA"/>
    <w:rsid w:val="00F62D5E"/>
    <w:rsid w:val="00F6317F"/>
    <w:rsid w:val="00F63448"/>
    <w:rsid w:val="00F634F5"/>
    <w:rsid w:val="00F63698"/>
    <w:rsid w:val="00F63758"/>
    <w:rsid w:val="00F639DA"/>
    <w:rsid w:val="00F63C75"/>
    <w:rsid w:val="00F63D1B"/>
    <w:rsid w:val="00F6404E"/>
    <w:rsid w:val="00F642C2"/>
    <w:rsid w:val="00F646BC"/>
    <w:rsid w:val="00F64750"/>
    <w:rsid w:val="00F64836"/>
    <w:rsid w:val="00F64D4C"/>
    <w:rsid w:val="00F651BA"/>
    <w:rsid w:val="00F657A3"/>
    <w:rsid w:val="00F6584C"/>
    <w:rsid w:val="00F659F4"/>
    <w:rsid w:val="00F664BB"/>
    <w:rsid w:val="00F666E9"/>
    <w:rsid w:val="00F66AFB"/>
    <w:rsid w:val="00F66E5E"/>
    <w:rsid w:val="00F66E9A"/>
    <w:rsid w:val="00F66EC3"/>
    <w:rsid w:val="00F67608"/>
    <w:rsid w:val="00F67620"/>
    <w:rsid w:val="00F6770D"/>
    <w:rsid w:val="00F67760"/>
    <w:rsid w:val="00F67DE9"/>
    <w:rsid w:val="00F7024A"/>
    <w:rsid w:val="00F702D1"/>
    <w:rsid w:val="00F707E6"/>
    <w:rsid w:val="00F70833"/>
    <w:rsid w:val="00F7088A"/>
    <w:rsid w:val="00F708BA"/>
    <w:rsid w:val="00F709F9"/>
    <w:rsid w:val="00F70A6E"/>
    <w:rsid w:val="00F70A95"/>
    <w:rsid w:val="00F70C1E"/>
    <w:rsid w:val="00F70D43"/>
    <w:rsid w:val="00F70E39"/>
    <w:rsid w:val="00F70E88"/>
    <w:rsid w:val="00F70EB0"/>
    <w:rsid w:val="00F7143B"/>
    <w:rsid w:val="00F71450"/>
    <w:rsid w:val="00F71B3D"/>
    <w:rsid w:val="00F71EC5"/>
    <w:rsid w:val="00F71F92"/>
    <w:rsid w:val="00F720A2"/>
    <w:rsid w:val="00F72311"/>
    <w:rsid w:val="00F72517"/>
    <w:rsid w:val="00F72654"/>
    <w:rsid w:val="00F72681"/>
    <w:rsid w:val="00F72784"/>
    <w:rsid w:val="00F72C28"/>
    <w:rsid w:val="00F731B5"/>
    <w:rsid w:val="00F73470"/>
    <w:rsid w:val="00F735BC"/>
    <w:rsid w:val="00F736DE"/>
    <w:rsid w:val="00F736EA"/>
    <w:rsid w:val="00F73773"/>
    <w:rsid w:val="00F73DBE"/>
    <w:rsid w:val="00F742B4"/>
    <w:rsid w:val="00F74351"/>
    <w:rsid w:val="00F74376"/>
    <w:rsid w:val="00F747C0"/>
    <w:rsid w:val="00F74B5F"/>
    <w:rsid w:val="00F74DC9"/>
    <w:rsid w:val="00F7500A"/>
    <w:rsid w:val="00F757F4"/>
    <w:rsid w:val="00F75802"/>
    <w:rsid w:val="00F75C73"/>
    <w:rsid w:val="00F75C88"/>
    <w:rsid w:val="00F75CE5"/>
    <w:rsid w:val="00F76098"/>
    <w:rsid w:val="00F76221"/>
    <w:rsid w:val="00F76262"/>
    <w:rsid w:val="00F76731"/>
    <w:rsid w:val="00F76757"/>
    <w:rsid w:val="00F76CBE"/>
    <w:rsid w:val="00F76F19"/>
    <w:rsid w:val="00F77661"/>
    <w:rsid w:val="00F777C2"/>
    <w:rsid w:val="00F778C1"/>
    <w:rsid w:val="00F77A42"/>
    <w:rsid w:val="00F77A85"/>
    <w:rsid w:val="00F77AD3"/>
    <w:rsid w:val="00F804D5"/>
    <w:rsid w:val="00F80666"/>
    <w:rsid w:val="00F8085A"/>
    <w:rsid w:val="00F808CE"/>
    <w:rsid w:val="00F80AE5"/>
    <w:rsid w:val="00F80B76"/>
    <w:rsid w:val="00F81081"/>
    <w:rsid w:val="00F8153A"/>
    <w:rsid w:val="00F81569"/>
    <w:rsid w:val="00F81694"/>
    <w:rsid w:val="00F81C68"/>
    <w:rsid w:val="00F81CD2"/>
    <w:rsid w:val="00F81DA4"/>
    <w:rsid w:val="00F81FF8"/>
    <w:rsid w:val="00F820BC"/>
    <w:rsid w:val="00F824C3"/>
    <w:rsid w:val="00F8258B"/>
    <w:rsid w:val="00F825B8"/>
    <w:rsid w:val="00F82751"/>
    <w:rsid w:val="00F82BFB"/>
    <w:rsid w:val="00F82CFB"/>
    <w:rsid w:val="00F82D4B"/>
    <w:rsid w:val="00F82E03"/>
    <w:rsid w:val="00F82ECA"/>
    <w:rsid w:val="00F82FBB"/>
    <w:rsid w:val="00F83422"/>
    <w:rsid w:val="00F83499"/>
    <w:rsid w:val="00F8360E"/>
    <w:rsid w:val="00F8376E"/>
    <w:rsid w:val="00F837CE"/>
    <w:rsid w:val="00F838AC"/>
    <w:rsid w:val="00F83B35"/>
    <w:rsid w:val="00F84551"/>
    <w:rsid w:val="00F8489B"/>
    <w:rsid w:val="00F84944"/>
    <w:rsid w:val="00F84B9F"/>
    <w:rsid w:val="00F84CD5"/>
    <w:rsid w:val="00F84DCB"/>
    <w:rsid w:val="00F84E01"/>
    <w:rsid w:val="00F84E10"/>
    <w:rsid w:val="00F84F01"/>
    <w:rsid w:val="00F84FE0"/>
    <w:rsid w:val="00F851CB"/>
    <w:rsid w:val="00F8538D"/>
    <w:rsid w:val="00F85479"/>
    <w:rsid w:val="00F85686"/>
    <w:rsid w:val="00F85A2C"/>
    <w:rsid w:val="00F85A3C"/>
    <w:rsid w:val="00F85A75"/>
    <w:rsid w:val="00F85D30"/>
    <w:rsid w:val="00F85F17"/>
    <w:rsid w:val="00F85FFF"/>
    <w:rsid w:val="00F860C2"/>
    <w:rsid w:val="00F861EC"/>
    <w:rsid w:val="00F8627B"/>
    <w:rsid w:val="00F86324"/>
    <w:rsid w:val="00F86724"/>
    <w:rsid w:val="00F86C74"/>
    <w:rsid w:val="00F86E90"/>
    <w:rsid w:val="00F87184"/>
    <w:rsid w:val="00F8730A"/>
    <w:rsid w:val="00F87375"/>
    <w:rsid w:val="00F8755D"/>
    <w:rsid w:val="00F8766A"/>
    <w:rsid w:val="00F87765"/>
    <w:rsid w:val="00F87BB0"/>
    <w:rsid w:val="00F87FAD"/>
    <w:rsid w:val="00F87FEE"/>
    <w:rsid w:val="00F90221"/>
    <w:rsid w:val="00F90358"/>
    <w:rsid w:val="00F9058F"/>
    <w:rsid w:val="00F908F7"/>
    <w:rsid w:val="00F908FA"/>
    <w:rsid w:val="00F909FE"/>
    <w:rsid w:val="00F90C75"/>
    <w:rsid w:val="00F90D0F"/>
    <w:rsid w:val="00F911E5"/>
    <w:rsid w:val="00F913D9"/>
    <w:rsid w:val="00F914FE"/>
    <w:rsid w:val="00F917C9"/>
    <w:rsid w:val="00F91991"/>
    <w:rsid w:val="00F91C15"/>
    <w:rsid w:val="00F91DBD"/>
    <w:rsid w:val="00F91E8C"/>
    <w:rsid w:val="00F9224C"/>
    <w:rsid w:val="00F9227D"/>
    <w:rsid w:val="00F922FC"/>
    <w:rsid w:val="00F9234C"/>
    <w:rsid w:val="00F925BC"/>
    <w:rsid w:val="00F92CB5"/>
    <w:rsid w:val="00F92DD6"/>
    <w:rsid w:val="00F92EB3"/>
    <w:rsid w:val="00F934B3"/>
    <w:rsid w:val="00F934C1"/>
    <w:rsid w:val="00F93526"/>
    <w:rsid w:val="00F935FC"/>
    <w:rsid w:val="00F9370B"/>
    <w:rsid w:val="00F93DDB"/>
    <w:rsid w:val="00F93FB8"/>
    <w:rsid w:val="00F94313"/>
    <w:rsid w:val="00F9441F"/>
    <w:rsid w:val="00F9483E"/>
    <w:rsid w:val="00F94930"/>
    <w:rsid w:val="00F94A6A"/>
    <w:rsid w:val="00F94B19"/>
    <w:rsid w:val="00F94B30"/>
    <w:rsid w:val="00F94C1B"/>
    <w:rsid w:val="00F9513A"/>
    <w:rsid w:val="00F9532F"/>
    <w:rsid w:val="00F9543A"/>
    <w:rsid w:val="00F954DC"/>
    <w:rsid w:val="00F957B3"/>
    <w:rsid w:val="00F958F8"/>
    <w:rsid w:val="00F9592C"/>
    <w:rsid w:val="00F959AA"/>
    <w:rsid w:val="00F95AC9"/>
    <w:rsid w:val="00F95AD1"/>
    <w:rsid w:val="00F95B57"/>
    <w:rsid w:val="00F960CC"/>
    <w:rsid w:val="00F964CB"/>
    <w:rsid w:val="00F96681"/>
    <w:rsid w:val="00F96900"/>
    <w:rsid w:val="00F96EFF"/>
    <w:rsid w:val="00F9728D"/>
    <w:rsid w:val="00F9765C"/>
    <w:rsid w:val="00F9768D"/>
    <w:rsid w:val="00F9780C"/>
    <w:rsid w:val="00F97B3E"/>
    <w:rsid w:val="00F97EAB"/>
    <w:rsid w:val="00F97F05"/>
    <w:rsid w:val="00FA02E6"/>
    <w:rsid w:val="00FA04CD"/>
    <w:rsid w:val="00FA0617"/>
    <w:rsid w:val="00FA098B"/>
    <w:rsid w:val="00FA0AF5"/>
    <w:rsid w:val="00FA0BCC"/>
    <w:rsid w:val="00FA0C39"/>
    <w:rsid w:val="00FA0CCB"/>
    <w:rsid w:val="00FA0D92"/>
    <w:rsid w:val="00FA0FC3"/>
    <w:rsid w:val="00FA10B6"/>
    <w:rsid w:val="00FA1282"/>
    <w:rsid w:val="00FA1393"/>
    <w:rsid w:val="00FA17F8"/>
    <w:rsid w:val="00FA1A8E"/>
    <w:rsid w:val="00FA1C57"/>
    <w:rsid w:val="00FA1CA5"/>
    <w:rsid w:val="00FA1E2D"/>
    <w:rsid w:val="00FA273F"/>
    <w:rsid w:val="00FA2999"/>
    <w:rsid w:val="00FA2C7D"/>
    <w:rsid w:val="00FA2DFE"/>
    <w:rsid w:val="00FA32ED"/>
    <w:rsid w:val="00FA3366"/>
    <w:rsid w:val="00FA3515"/>
    <w:rsid w:val="00FA3B9E"/>
    <w:rsid w:val="00FA3C91"/>
    <w:rsid w:val="00FA41C9"/>
    <w:rsid w:val="00FA44D6"/>
    <w:rsid w:val="00FA48E5"/>
    <w:rsid w:val="00FA48EF"/>
    <w:rsid w:val="00FA4A1C"/>
    <w:rsid w:val="00FA4A2E"/>
    <w:rsid w:val="00FA4CB8"/>
    <w:rsid w:val="00FA4EC0"/>
    <w:rsid w:val="00FA5185"/>
    <w:rsid w:val="00FA520A"/>
    <w:rsid w:val="00FA52AB"/>
    <w:rsid w:val="00FA5353"/>
    <w:rsid w:val="00FA5429"/>
    <w:rsid w:val="00FA54B3"/>
    <w:rsid w:val="00FA5777"/>
    <w:rsid w:val="00FA5B5B"/>
    <w:rsid w:val="00FA5C03"/>
    <w:rsid w:val="00FA5DAE"/>
    <w:rsid w:val="00FA5EF7"/>
    <w:rsid w:val="00FA5F17"/>
    <w:rsid w:val="00FA5F94"/>
    <w:rsid w:val="00FA6612"/>
    <w:rsid w:val="00FA6994"/>
    <w:rsid w:val="00FA7117"/>
    <w:rsid w:val="00FA758D"/>
    <w:rsid w:val="00FA75B0"/>
    <w:rsid w:val="00FA7666"/>
    <w:rsid w:val="00FA77D7"/>
    <w:rsid w:val="00FA7BD6"/>
    <w:rsid w:val="00FA7E01"/>
    <w:rsid w:val="00FA7FAC"/>
    <w:rsid w:val="00FB009B"/>
    <w:rsid w:val="00FB048D"/>
    <w:rsid w:val="00FB09B0"/>
    <w:rsid w:val="00FB0D3B"/>
    <w:rsid w:val="00FB0D6C"/>
    <w:rsid w:val="00FB0E8C"/>
    <w:rsid w:val="00FB0F17"/>
    <w:rsid w:val="00FB0FA2"/>
    <w:rsid w:val="00FB1426"/>
    <w:rsid w:val="00FB1448"/>
    <w:rsid w:val="00FB148A"/>
    <w:rsid w:val="00FB1768"/>
    <w:rsid w:val="00FB190F"/>
    <w:rsid w:val="00FB19A7"/>
    <w:rsid w:val="00FB1B2F"/>
    <w:rsid w:val="00FB1E4A"/>
    <w:rsid w:val="00FB264C"/>
    <w:rsid w:val="00FB2671"/>
    <w:rsid w:val="00FB28FA"/>
    <w:rsid w:val="00FB2920"/>
    <w:rsid w:val="00FB2972"/>
    <w:rsid w:val="00FB2BB7"/>
    <w:rsid w:val="00FB2E09"/>
    <w:rsid w:val="00FB2F7E"/>
    <w:rsid w:val="00FB2FF8"/>
    <w:rsid w:val="00FB323D"/>
    <w:rsid w:val="00FB353C"/>
    <w:rsid w:val="00FB357A"/>
    <w:rsid w:val="00FB35E4"/>
    <w:rsid w:val="00FB3660"/>
    <w:rsid w:val="00FB3D4B"/>
    <w:rsid w:val="00FB3F6E"/>
    <w:rsid w:val="00FB3FF3"/>
    <w:rsid w:val="00FB40C9"/>
    <w:rsid w:val="00FB42A8"/>
    <w:rsid w:val="00FB4BF9"/>
    <w:rsid w:val="00FB4E26"/>
    <w:rsid w:val="00FB518F"/>
    <w:rsid w:val="00FB525C"/>
    <w:rsid w:val="00FB52A3"/>
    <w:rsid w:val="00FB53C0"/>
    <w:rsid w:val="00FB53F2"/>
    <w:rsid w:val="00FB58C4"/>
    <w:rsid w:val="00FB5AE9"/>
    <w:rsid w:val="00FB621D"/>
    <w:rsid w:val="00FB632B"/>
    <w:rsid w:val="00FB63C4"/>
    <w:rsid w:val="00FB6471"/>
    <w:rsid w:val="00FB674B"/>
    <w:rsid w:val="00FB68EE"/>
    <w:rsid w:val="00FB69B3"/>
    <w:rsid w:val="00FB6D2E"/>
    <w:rsid w:val="00FB6EB9"/>
    <w:rsid w:val="00FB6F6B"/>
    <w:rsid w:val="00FB71BE"/>
    <w:rsid w:val="00FB7390"/>
    <w:rsid w:val="00FB7477"/>
    <w:rsid w:val="00FB749C"/>
    <w:rsid w:val="00FB751B"/>
    <w:rsid w:val="00FB766B"/>
    <w:rsid w:val="00FB7BDA"/>
    <w:rsid w:val="00FB7D68"/>
    <w:rsid w:val="00FC0080"/>
    <w:rsid w:val="00FC01BC"/>
    <w:rsid w:val="00FC01F2"/>
    <w:rsid w:val="00FC06B2"/>
    <w:rsid w:val="00FC06EA"/>
    <w:rsid w:val="00FC09D1"/>
    <w:rsid w:val="00FC0D7C"/>
    <w:rsid w:val="00FC106A"/>
    <w:rsid w:val="00FC16A4"/>
    <w:rsid w:val="00FC183B"/>
    <w:rsid w:val="00FC187C"/>
    <w:rsid w:val="00FC1A0D"/>
    <w:rsid w:val="00FC1B53"/>
    <w:rsid w:val="00FC1E68"/>
    <w:rsid w:val="00FC1EB5"/>
    <w:rsid w:val="00FC1FA5"/>
    <w:rsid w:val="00FC237D"/>
    <w:rsid w:val="00FC23FD"/>
    <w:rsid w:val="00FC2507"/>
    <w:rsid w:val="00FC252C"/>
    <w:rsid w:val="00FC28F8"/>
    <w:rsid w:val="00FC2A47"/>
    <w:rsid w:val="00FC2A95"/>
    <w:rsid w:val="00FC2B7A"/>
    <w:rsid w:val="00FC2C2C"/>
    <w:rsid w:val="00FC2D58"/>
    <w:rsid w:val="00FC2F5F"/>
    <w:rsid w:val="00FC3007"/>
    <w:rsid w:val="00FC3470"/>
    <w:rsid w:val="00FC37D9"/>
    <w:rsid w:val="00FC37FA"/>
    <w:rsid w:val="00FC3E1F"/>
    <w:rsid w:val="00FC4477"/>
    <w:rsid w:val="00FC4880"/>
    <w:rsid w:val="00FC48E0"/>
    <w:rsid w:val="00FC49DB"/>
    <w:rsid w:val="00FC4D27"/>
    <w:rsid w:val="00FC4D3F"/>
    <w:rsid w:val="00FC4FDA"/>
    <w:rsid w:val="00FC5400"/>
    <w:rsid w:val="00FC55AF"/>
    <w:rsid w:val="00FC58B2"/>
    <w:rsid w:val="00FC59D7"/>
    <w:rsid w:val="00FC5ABF"/>
    <w:rsid w:val="00FC5FC7"/>
    <w:rsid w:val="00FC60A7"/>
    <w:rsid w:val="00FC60DD"/>
    <w:rsid w:val="00FC62C6"/>
    <w:rsid w:val="00FC62EF"/>
    <w:rsid w:val="00FC6966"/>
    <w:rsid w:val="00FC6C17"/>
    <w:rsid w:val="00FC707C"/>
    <w:rsid w:val="00FC75EB"/>
    <w:rsid w:val="00FC767F"/>
    <w:rsid w:val="00FC77BB"/>
    <w:rsid w:val="00FC77F8"/>
    <w:rsid w:val="00FC79EA"/>
    <w:rsid w:val="00FC7E1E"/>
    <w:rsid w:val="00FD017D"/>
    <w:rsid w:val="00FD036B"/>
    <w:rsid w:val="00FD0489"/>
    <w:rsid w:val="00FD0491"/>
    <w:rsid w:val="00FD0533"/>
    <w:rsid w:val="00FD05CA"/>
    <w:rsid w:val="00FD05F9"/>
    <w:rsid w:val="00FD0622"/>
    <w:rsid w:val="00FD0744"/>
    <w:rsid w:val="00FD0843"/>
    <w:rsid w:val="00FD0998"/>
    <w:rsid w:val="00FD0AEC"/>
    <w:rsid w:val="00FD0C3E"/>
    <w:rsid w:val="00FD0FCA"/>
    <w:rsid w:val="00FD106D"/>
    <w:rsid w:val="00FD1290"/>
    <w:rsid w:val="00FD1340"/>
    <w:rsid w:val="00FD1476"/>
    <w:rsid w:val="00FD16A0"/>
    <w:rsid w:val="00FD17F1"/>
    <w:rsid w:val="00FD19E3"/>
    <w:rsid w:val="00FD1B6C"/>
    <w:rsid w:val="00FD1FA5"/>
    <w:rsid w:val="00FD2135"/>
    <w:rsid w:val="00FD253D"/>
    <w:rsid w:val="00FD2B8D"/>
    <w:rsid w:val="00FD2E88"/>
    <w:rsid w:val="00FD33E6"/>
    <w:rsid w:val="00FD394E"/>
    <w:rsid w:val="00FD3990"/>
    <w:rsid w:val="00FD3AD3"/>
    <w:rsid w:val="00FD3B82"/>
    <w:rsid w:val="00FD3F7A"/>
    <w:rsid w:val="00FD3F95"/>
    <w:rsid w:val="00FD4141"/>
    <w:rsid w:val="00FD43E3"/>
    <w:rsid w:val="00FD45FD"/>
    <w:rsid w:val="00FD46CE"/>
    <w:rsid w:val="00FD499A"/>
    <w:rsid w:val="00FD4E06"/>
    <w:rsid w:val="00FD53B1"/>
    <w:rsid w:val="00FD5685"/>
    <w:rsid w:val="00FD58EE"/>
    <w:rsid w:val="00FD59B6"/>
    <w:rsid w:val="00FD5B41"/>
    <w:rsid w:val="00FD5D92"/>
    <w:rsid w:val="00FD5DC9"/>
    <w:rsid w:val="00FD5F3B"/>
    <w:rsid w:val="00FD5F91"/>
    <w:rsid w:val="00FD623A"/>
    <w:rsid w:val="00FD6411"/>
    <w:rsid w:val="00FD6455"/>
    <w:rsid w:val="00FD6548"/>
    <w:rsid w:val="00FD65D2"/>
    <w:rsid w:val="00FD6779"/>
    <w:rsid w:val="00FD6BEF"/>
    <w:rsid w:val="00FD6C09"/>
    <w:rsid w:val="00FD6CCD"/>
    <w:rsid w:val="00FD6DC4"/>
    <w:rsid w:val="00FD74A9"/>
    <w:rsid w:val="00FD7570"/>
    <w:rsid w:val="00FD7670"/>
    <w:rsid w:val="00FD7917"/>
    <w:rsid w:val="00FD79C8"/>
    <w:rsid w:val="00FD7B6F"/>
    <w:rsid w:val="00FD7B92"/>
    <w:rsid w:val="00FD7BB0"/>
    <w:rsid w:val="00FD7C6E"/>
    <w:rsid w:val="00FD7D34"/>
    <w:rsid w:val="00FE00F1"/>
    <w:rsid w:val="00FE0238"/>
    <w:rsid w:val="00FE0274"/>
    <w:rsid w:val="00FE0400"/>
    <w:rsid w:val="00FE04A1"/>
    <w:rsid w:val="00FE09C5"/>
    <w:rsid w:val="00FE0C59"/>
    <w:rsid w:val="00FE0C87"/>
    <w:rsid w:val="00FE0E8B"/>
    <w:rsid w:val="00FE1048"/>
    <w:rsid w:val="00FE1447"/>
    <w:rsid w:val="00FE14CA"/>
    <w:rsid w:val="00FE156A"/>
    <w:rsid w:val="00FE16A7"/>
    <w:rsid w:val="00FE1713"/>
    <w:rsid w:val="00FE1741"/>
    <w:rsid w:val="00FE1947"/>
    <w:rsid w:val="00FE1FED"/>
    <w:rsid w:val="00FE207D"/>
    <w:rsid w:val="00FE25D6"/>
    <w:rsid w:val="00FE2793"/>
    <w:rsid w:val="00FE27DF"/>
    <w:rsid w:val="00FE2C54"/>
    <w:rsid w:val="00FE2CD1"/>
    <w:rsid w:val="00FE2DC5"/>
    <w:rsid w:val="00FE2E18"/>
    <w:rsid w:val="00FE3332"/>
    <w:rsid w:val="00FE3628"/>
    <w:rsid w:val="00FE3BD0"/>
    <w:rsid w:val="00FE3C76"/>
    <w:rsid w:val="00FE3C9E"/>
    <w:rsid w:val="00FE3D25"/>
    <w:rsid w:val="00FE40A7"/>
    <w:rsid w:val="00FE416F"/>
    <w:rsid w:val="00FE420E"/>
    <w:rsid w:val="00FE421E"/>
    <w:rsid w:val="00FE46F9"/>
    <w:rsid w:val="00FE4C99"/>
    <w:rsid w:val="00FE4D89"/>
    <w:rsid w:val="00FE4E1F"/>
    <w:rsid w:val="00FE4F12"/>
    <w:rsid w:val="00FE510D"/>
    <w:rsid w:val="00FE51AF"/>
    <w:rsid w:val="00FE594C"/>
    <w:rsid w:val="00FE594F"/>
    <w:rsid w:val="00FE597F"/>
    <w:rsid w:val="00FE5DFC"/>
    <w:rsid w:val="00FE6465"/>
    <w:rsid w:val="00FE6487"/>
    <w:rsid w:val="00FE6926"/>
    <w:rsid w:val="00FE6DC8"/>
    <w:rsid w:val="00FE7168"/>
    <w:rsid w:val="00FE7242"/>
    <w:rsid w:val="00FE72FF"/>
    <w:rsid w:val="00FE799A"/>
    <w:rsid w:val="00FE79B9"/>
    <w:rsid w:val="00FE7B10"/>
    <w:rsid w:val="00FE7FA8"/>
    <w:rsid w:val="00FF007E"/>
    <w:rsid w:val="00FF020B"/>
    <w:rsid w:val="00FF0318"/>
    <w:rsid w:val="00FF0362"/>
    <w:rsid w:val="00FF03C5"/>
    <w:rsid w:val="00FF050D"/>
    <w:rsid w:val="00FF072E"/>
    <w:rsid w:val="00FF0993"/>
    <w:rsid w:val="00FF09CA"/>
    <w:rsid w:val="00FF09E2"/>
    <w:rsid w:val="00FF09E4"/>
    <w:rsid w:val="00FF0AF1"/>
    <w:rsid w:val="00FF0BC3"/>
    <w:rsid w:val="00FF0CAE"/>
    <w:rsid w:val="00FF0D25"/>
    <w:rsid w:val="00FF0E59"/>
    <w:rsid w:val="00FF0F2D"/>
    <w:rsid w:val="00FF0F7D"/>
    <w:rsid w:val="00FF12FC"/>
    <w:rsid w:val="00FF12FD"/>
    <w:rsid w:val="00FF1570"/>
    <w:rsid w:val="00FF17B2"/>
    <w:rsid w:val="00FF189A"/>
    <w:rsid w:val="00FF1A70"/>
    <w:rsid w:val="00FF1BCC"/>
    <w:rsid w:val="00FF1CAB"/>
    <w:rsid w:val="00FF1D4A"/>
    <w:rsid w:val="00FF1D9C"/>
    <w:rsid w:val="00FF233B"/>
    <w:rsid w:val="00FF2487"/>
    <w:rsid w:val="00FF256B"/>
    <w:rsid w:val="00FF265A"/>
    <w:rsid w:val="00FF2AA9"/>
    <w:rsid w:val="00FF2AF6"/>
    <w:rsid w:val="00FF3075"/>
    <w:rsid w:val="00FF31C2"/>
    <w:rsid w:val="00FF3428"/>
    <w:rsid w:val="00FF3CEE"/>
    <w:rsid w:val="00FF3F46"/>
    <w:rsid w:val="00FF4002"/>
    <w:rsid w:val="00FF400C"/>
    <w:rsid w:val="00FF47DF"/>
    <w:rsid w:val="00FF4A30"/>
    <w:rsid w:val="00FF4C0F"/>
    <w:rsid w:val="00FF4CBE"/>
    <w:rsid w:val="00FF4EE3"/>
    <w:rsid w:val="00FF4FCB"/>
    <w:rsid w:val="00FF5049"/>
    <w:rsid w:val="00FF5117"/>
    <w:rsid w:val="00FF5123"/>
    <w:rsid w:val="00FF52DD"/>
    <w:rsid w:val="00FF5380"/>
    <w:rsid w:val="00FF546E"/>
    <w:rsid w:val="00FF5B51"/>
    <w:rsid w:val="00FF632F"/>
    <w:rsid w:val="00FF66B8"/>
    <w:rsid w:val="00FF6BD6"/>
    <w:rsid w:val="00FF6BF1"/>
    <w:rsid w:val="00FF6C0A"/>
    <w:rsid w:val="00FF6C26"/>
    <w:rsid w:val="00FF71B1"/>
    <w:rsid w:val="00FF71CC"/>
    <w:rsid w:val="00FF7353"/>
    <w:rsid w:val="00FF743B"/>
    <w:rsid w:val="00FF7872"/>
    <w:rsid w:val="00FF7A3E"/>
    <w:rsid w:val="00FF7B77"/>
    <w:rsid w:val="00FF7C39"/>
    <w:rsid w:val="00FF7DF5"/>
    <w:rsid w:val="01F05402"/>
    <w:rsid w:val="020D2CB8"/>
    <w:rsid w:val="022ED99B"/>
    <w:rsid w:val="02403ECA"/>
    <w:rsid w:val="03BD8A37"/>
    <w:rsid w:val="05B54EDD"/>
    <w:rsid w:val="05BDC247"/>
    <w:rsid w:val="0603250D"/>
    <w:rsid w:val="0610FBBF"/>
    <w:rsid w:val="07361A15"/>
    <w:rsid w:val="07ABD691"/>
    <w:rsid w:val="07B99519"/>
    <w:rsid w:val="07C24A5C"/>
    <w:rsid w:val="08695590"/>
    <w:rsid w:val="08998FFD"/>
    <w:rsid w:val="08B2C071"/>
    <w:rsid w:val="08D0CE6D"/>
    <w:rsid w:val="097EAB85"/>
    <w:rsid w:val="0989A353"/>
    <w:rsid w:val="0A6EA282"/>
    <w:rsid w:val="0A757E25"/>
    <w:rsid w:val="0B67CF10"/>
    <w:rsid w:val="0B9B2A38"/>
    <w:rsid w:val="0CFDB562"/>
    <w:rsid w:val="0D570819"/>
    <w:rsid w:val="0DD0585F"/>
    <w:rsid w:val="0E35C133"/>
    <w:rsid w:val="0F07FEC4"/>
    <w:rsid w:val="0F27AA92"/>
    <w:rsid w:val="125CFEBE"/>
    <w:rsid w:val="12E23F50"/>
    <w:rsid w:val="13107E28"/>
    <w:rsid w:val="13BA839E"/>
    <w:rsid w:val="14487090"/>
    <w:rsid w:val="144DE417"/>
    <w:rsid w:val="15062679"/>
    <w:rsid w:val="15411FE2"/>
    <w:rsid w:val="1643BD24"/>
    <w:rsid w:val="169ACE49"/>
    <w:rsid w:val="16E21D6A"/>
    <w:rsid w:val="171A9409"/>
    <w:rsid w:val="172E0F93"/>
    <w:rsid w:val="17588426"/>
    <w:rsid w:val="1817DBA0"/>
    <w:rsid w:val="1819D063"/>
    <w:rsid w:val="197E8629"/>
    <w:rsid w:val="1A5E9CEE"/>
    <w:rsid w:val="1BB8710B"/>
    <w:rsid w:val="1D972E8F"/>
    <w:rsid w:val="1E051C23"/>
    <w:rsid w:val="1E47EAB3"/>
    <w:rsid w:val="20BF1838"/>
    <w:rsid w:val="2397E5DA"/>
    <w:rsid w:val="24040515"/>
    <w:rsid w:val="246706D1"/>
    <w:rsid w:val="249426DE"/>
    <w:rsid w:val="268A49CC"/>
    <w:rsid w:val="27C28D11"/>
    <w:rsid w:val="28B2AADD"/>
    <w:rsid w:val="293D3629"/>
    <w:rsid w:val="2A877C1F"/>
    <w:rsid w:val="2AF0C010"/>
    <w:rsid w:val="2B83B880"/>
    <w:rsid w:val="2C0A26BD"/>
    <w:rsid w:val="2D71AD1B"/>
    <w:rsid w:val="2DDB3588"/>
    <w:rsid w:val="2E7D6409"/>
    <w:rsid w:val="2F7D4A80"/>
    <w:rsid w:val="2FECBD28"/>
    <w:rsid w:val="2FFECDAF"/>
    <w:rsid w:val="30ED9E15"/>
    <w:rsid w:val="312B1EB0"/>
    <w:rsid w:val="31385016"/>
    <w:rsid w:val="314AB853"/>
    <w:rsid w:val="31A696C5"/>
    <w:rsid w:val="326E3E07"/>
    <w:rsid w:val="338987BF"/>
    <w:rsid w:val="342C5312"/>
    <w:rsid w:val="34876A39"/>
    <w:rsid w:val="354FF172"/>
    <w:rsid w:val="373E970F"/>
    <w:rsid w:val="3785EC16"/>
    <w:rsid w:val="37B619AF"/>
    <w:rsid w:val="38901344"/>
    <w:rsid w:val="39FCA997"/>
    <w:rsid w:val="3AFB5211"/>
    <w:rsid w:val="3B38A0A0"/>
    <w:rsid w:val="3B52AEFC"/>
    <w:rsid w:val="3B9C0D62"/>
    <w:rsid w:val="3D78F042"/>
    <w:rsid w:val="3DED68A1"/>
    <w:rsid w:val="3E9F18A7"/>
    <w:rsid w:val="3F02E6E0"/>
    <w:rsid w:val="3F151B46"/>
    <w:rsid w:val="3F7BDFCB"/>
    <w:rsid w:val="3FD189F2"/>
    <w:rsid w:val="40922DA1"/>
    <w:rsid w:val="409B31FD"/>
    <w:rsid w:val="41617D5E"/>
    <w:rsid w:val="41B1D56E"/>
    <w:rsid w:val="430A0EDA"/>
    <w:rsid w:val="44417949"/>
    <w:rsid w:val="44578147"/>
    <w:rsid w:val="44AFCD2C"/>
    <w:rsid w:val="44CAB5EC"/>
    <w:rsid w:val="450567A6"/>
    <w:rsid w:val="4516CAB8"/>
    <w:rsid w:val="45C554C0"/>
    <w:rsid w:val="46E98287"/>
    <w:rsid w:val="47EF7FFE"/>
    <w:rsid w:val="47F23429"/>
    <w:rsid w:val="48E262DF"/>
    <w:rsid w:val="4960ADA2"/>
    <w:rsid w:val="4AE12B21"/>
    <w:rsid w:val="4B74EB53"/>
    <w:rsid w:val="4C198484"/>
    <w:rsid w:val="4CDB8721"/>
    <w:rsid w:val="4D665378"/>
    <w:rsid w:val="4DB57A6C"/>
    <w:rsid w:val="4EE11E11"/>
    <w:rsid w:val="4FFF042A"/>
    <w:rsid w:val="5035A025"/>
    <w:rsid w:val="5065A97E"/>
    <w:rsid w:val="515C1B74"/>
    <w:rsid w:val="52786C23"/>
    <w:rsid w:val="53EBB6F3"/>
    <w:rsid w:val="5570D610"/>
    <w:rsid w:val="558C58ED"/>
    <w:rsid w:val="571B030A"/>
    <w:rsid w:val="57736F92"/>
    <w:rsid w:val="58A92E16"/>
    <w:rsid w:val="5907DF50"/>
    <w:rsid w:val="59EAFD80"/>
    <w:rsid w:val="5A165CEA"/>
    <w:rsid w:val="5A8DF0B8"/>
    <w:rsid w:val="5AD5A2C2"/>
    <w:rsid w:val="5B399169"/>
    <w:rsid w:val="5BE0641C"/>
    <w:rsid w:val="5EC2D2AC"/>
    <w:rsid w:val="60E96316"/>
    <w:rsid w:val="60FE373C"/>
    <w:rsid w:val="621550FC"/>
    <w:rsid w:val="624ED71B"/>
    <w:rsid w:val="62896BD1"/>
    <w:rsid w:val="62ECC4DD"/>
    <w:rsid w:val="6337B03D"/>
    <w:rsid w:val="65C5BF25"/>
    <w:rsid w:val="66F713DA"/>
    <w:rsid w:val="672DD03E"/>
    <w:rsid w:val="69A84100"/>
    <w:rsid w:val="69FFBA71"/>
    <w:rsid w:val="6ADF3BB8"/>
    <w:rsid w:val="6BAEC3E2"/>
    <w:rsid w:val="6C7FF6D5"/>
    <w:rsid w:val="6C833E3F"/>
    <w:rsid w:val="6E9EABFE"/>
    <w:rsid w:val="6FA7FF4F"/>
    <w:rsid w:val="71B0FCA8"/>
    <w:rsid w:val="7202BA4B"/>
    <w:rsid w:val="7255BBC5"/>
    <w:rsid w:val="73D08D9F"/>
    <w:rsid w:val="75266C35"/>
    <w:rsid w:val="7588DF3A"/>
    <w:rsid w:val="76020921"/>
    <w:rsid w:val="76EA37A7"/>
    <w:rsid w:val="77C6E8C2"/>
    <w:rsid w:val="7832FA6E"/>
    <w:rsid w:val="78644DD5"/>
    <w:rsid w:val="786A3643"/>
    <w:rsid w:val="7906C9E3"/>
    <w:rsid w:val="799FEFFC"/>
    <w:rsid w:val="7AA34B43"/>
    <w:rsid w:val="7B411DC9"/>
    <w:rsid w:val="7B84AA55"/>
    <w:rsid w:val="7B88F23F"/>
    <w:rsid w:val="7C1B2AAC"/>
    <w:rsid w:val="7CF23546"/>
    <w:rsid w:val="7DD066B8"/>
    <w:rsid w:val="7E69CB1C"/>
    <w:rsid w:val="7F2F45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6B3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3348"/>
    <w:pPr>
      <w:spacing w:after="120" w:line="276" w:lineRule="auto"/>
    </w:pPr>
    <w:rPr>
      <w:sz w:val="24"/>
      <w:lang w:val="pl-PL"/>
    </w:rPr>
  </w:style>
  <w:style w:type="paragraph" w:styleId="Nagwek1">
    <w:name w:val="heading 1"/>
    <w:basedOn w:val="Normalny"/>
    <w:next w:val="Normalny"/>
    <w:link w:val="Nagwek1Znak"/>
    <w:uiPriority w:val="9"/>
    <w:qFormat/>
    <w:rsid w:val="000911C8"/>
    <w:pPr>
      <w:keepNext/>
      <w:keepLines/>
      <w:pageBreakBefore/>
      <w:numPr>
        <w:numId w:val="1"/>
      </w:numPr>
      <w:spacing w:before="240" w:after="0" w:line="312" w:lineRule="auto"/>
      <w:ind w:left="357" w:hanging="357"/>
      <w:outlineLvl w:val="0"/>
    </w:pPr>
    <w:rPr>
      <w:rFonts w:ascii="Calibri" w:eastAsiaTheme="majorEastAsia" w:hAnsi="Calibri" w:cstheme="majorBidi"/>
      <w:b/>
      <w:color w:val="B61928"/>
      <w:sz w:val="44"/>
      <w:szCs w:val="32"/>
    </w:rPr>
  </w:style>
  <w:style w:type="paragraph" w:styleId="Nagwek2">
    <w:name w:val="heading 2"/>
    <w:basedOn w:val="Normalny"/>
    <w:next w:val="Normalny"/>
    <w:link w:val="Nagwek2Znak"/>
    <w:uiPriority w:val="9"/>
    <w:unhideWhenUsed/>
    <w:qFormat/>
    <w:rsid w:val="00CB5173"/>
    <w:pPr>
      <w:keepNext/>
      <w:keepLines/>
      <w:numPr>
        <w:numId w:val="6"/>
      </w:numPr>
      <w:spacing w:before="240"/>
      <w:ind w:left="360"/>
      <w:outlineLvl w:val="1"/>
    </w:pPr>
    <w:rPr>
      <w:rFonts w:eastAsiaTheme="majorEastAsia" w:cstheme="minorHAnsi"/>
      <w:b/>
      <w:bCs/>
      <w:color w:val="C00000"/>
      <w:sz w:val="36"/>
      <w:szCs w:val="28"/>
    </w:rPr>
  </w:style>
  <w:style w:type="paragraph" w:styleId="Nagwek3">
    <w:name w:val="heading 3"/>
    <w:basedOn w:val="Normalny"/>
    <w:next w:val="Normalny"/>
    <w:link w:val="Nagwek3Znak"/>
    <w:uiPriority w:val="9"/>
    <w:unhideWhenUsed/>
    <w:qFormat/>
    <w:rsid w:val="006064C3"/>
    <w:pPr>
      <w:keepNext/>
      <w:keepLines/>
      <w:numPr>
        <w:numId w:val="7"/>
      </w:numPr>
      <w:spacing w:before="240" w:after="240"/>
      <w:outlineLvl w:val="2"/>
    </w:pPr>
    <w:rPr>
      <w:rFonts w:eastAsiaTheme="majorEastAsia" w:cstheme="minorHAnsi"/>
      <w:b/>
      <w:bCs/>
      <w:color w:val="000000" w:themeColor="text1"/>
      <w:sz w:val="28"/>
      <w:szCs w:val="24"/>
    </w:rPr>
  </w:style>
  <w:style w:type="paragraph" w:styleId="Nagwek4">
    <w:name w:val="heading 4"/>
    <w:basedOn w:val="Normalny"/>
    <w:next w:val="Normalny"/>
    <w:link w:val="Nagwek4Znak"/>
    <w:uiPriority w:val="9"/>
    <w:unhideWhenUsed/>
    <w:qFormat/>
    <w:rsid w:val="00352609"/>
    <w:pPr>
      <w:keepNext/>
      <w:keepLines/>
      <w:spacing w:before="120"/>
      <w:outlineLvl w:val="3"/>
    </w:pPr>
    <w:rPr>
      <w:rFonts w:eastAsiaTheme="majorEastAsia" w:cstheme="majorBidi"/>
      <w:b/>
      <w:iCs/>
    </w:rPr>
  </w:style>
  <w:style w:type="paragraph" w:styleId="Nagwek5">
    <w:name w:val="heading 5"/>
    <w:basedOn w:val="Normalny"/>
    <w:next w:val="Normalny"/>
    <w:link w:val="Nagwek5Znak"/>
    <w:uiPriority w:val="9"/>
    <w:unhideWhenUsed/>
    <w:qFormat/>
    <w:rsid w:val="00637358"/>
    <w:pPr>
      <w:keepNext/>
      <w:keepLines/>
      <w:spacing w:before="40" w:after="0"/>
      <w:outlineLvl w:val="4"/>
    </w:pPr>
    <w:rPr>
      <w:rFonts w:eastAsiaTheme="majorEastAsia" w:cstheme="majorBidi"/>
      <w:color w:val="000000" w:themeColor="text1"/>
      <w:u w:val="single"/>
    </w:rPr>
  </w:style>
  <w:style w:type="paragraph" w:styleId="Nagwek6">
    <w:name w:val="heading 6"/>
    <w:basedOn w:val="Normalny"/>
    <w:next w:val="Normalny"/>
    <w:link w:val="Nagwek6Znak"/>
    <w:uiPriority w:val="9"/>
    <w:unhideWhenUsed/>
    <w:qFormat/>
    <w:rsid w:val="009D30D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2492D"/>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D2492D"/>
  </w:style>
  <w:style w:type="paragraph" w:styleId="Stopka">
    <w:name w:val="footer"/>
    <w:basedOn w:val="Normalny"/>
    <w:link w:val="StopkaZnak"/>
    <w:uiPriority w:val="99"/>
    <w:unhideWhenUsed/>
    <w:rsid w:val="00D2492D"/>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D2492D"/>
  </w:style>
  <w:style w:type="character" w:styleId="Hipercze">
    <w:name w:val="Hyperlink"/>
    <w:basedOn w:val="Domylnaczcionkaakapitu"/>
    <w:uiPriority w:val="99"/>
    <w:unhideWhenUsed/>
    <w:rsid w:val="00F03796"/>
    <w:rPr>
      <w:color w:val="0563C1" w:themeColor="hyperlink"/>
      <w:u w:val="single"/>
    </w:rPr>
  </w:style>
  <w:style w:type="character" w:customStyle="1" w:styleId="Nierozpoznanawzmianka1">
    <w:name w:val="Nierozpoznana wzmianka1"/>
    <w:basedOn w:val="Domylnaczcionkaakapitu"/>
    <w:uiPriority w:val="99"/>
    <w:semiHidden/>
    <w:unhideWhenUsed/>
    <w:rsid w:val="00F03796"/>
    <w:rPr>
      <w:color w:val="605E5C"/>
      <w:shd w:val="clear" w:color="auto" w:fill="E1DFDD"/>
    </w:rPr>
  </w:style>
  <w:style w:type="character" w:customStyle="1" w:styleId="Nagwek1Znak">
    <w:name w:val="Nagłówek 1 Znak"/>
    <w:basedOn w:val="Domylnaczcionkaakapitu"/>
    <w:link w:val="Nagwek1"/>
    <w:uiPriority w:val="9"/>
    <w:rsid w:val="000911C8"/>
    <w:rPr>
      <w:rFonts w:ascii="Calibri" w:eastAsiaTheme="majorEastAsia" w:hAnsi="Calibri" w:cstheme="majorBidi"/>
      <w:b/>
      <w:color w:val="B61928"/>
      <w:sz w:val="44"/>
      <w:szCs w:val="32"/>
      <w:lang w:val="pl-PL"/>
    </w:rPr>
  </w:style>
  <w:style w:type="character" w:customStyle="1" w:styleId="Nagwek2Znak">
    <w:name w:val="Nagłówek 2 Znak"/>
    <w:basedOn w:val="Domylnaczcionkaakapitu"/>
    <w:link w:val="Nagwek2"/>
    <w:uiPriority w:val="9"/>
    <w:rsid w:val="00297D94"/>
    <w:rPr>
      <w:rFonts w:eastAsiaTheme="majorEastAsia" w:cstheme="minorHAnsi"/>
      <w:b/>
      <w:bCs/>
      <w:color w:val="C00000"/>
      <w:sz w:val="36"/>
      <w:szCs w:val="28"/>
      <w:lang w:val="pl-PL"/>
    </w:rPr>
  </w:style>
  <w:style w:type="paragraph" w:styleId="Nagwekspisutreci">
    <w:name w:val="TOC Heading"/>
    <w:basedOn w:val="Nagwek1"/>
    <w:next w:val="Normalny"/>
    <w:uiPriority w:val="39"/>
    <w:unhideWhenUsed/>
    <w:qFormat/>
    <w:rsid w:val="009C0626"/>
    <w:pPr>
      <w:pageBreakBefore w:val="0"/>
      <w:numPr>
        <w:numId w:val="0"/>
      </w:numPr>
      <w:spacing w:line="259" w:lineRule="auto"/>
      <w:outlineLvl w:val="9"/>
    </w:pPr>
    <w:rPr>
      <w:rFonts w:asciiTheme="majorHAnsi" w:hAnsiTheme="majorHAnsi"/>
      <w:b w:val="0"/>
      <w:color w:val="2F5496" w:themeColor="accent1" w:themeShade="BF"/>
      <w:sz w:val="32"/>
      <w:lang w:val="en-US"/>
    </w:rPr>
  </w:style>
  <w:style w:type="paragraph" w:styleId="Spistreci1">
    <w:name w:val="toc 1"/>
    <w:basedOn w:val="Normalny"/>
    <w:next w:val="Normalny"/>
    <w:autoRedefine/>
    <w:uiPriority w:val="39"/>
    <w:unhideWhenUsed/>
    <w:rsid w:val="00AE1FF1"/>
    <w:pPr>
      <w:tabs>
        <w:tab w:val="left" w:pos="440"/>
        <w:tab w:val="right" w:leader="dot" w:pos="9350"/>
      </w:tabs>
      <w:spacing w:before="120"/>
      <w:contextualSpacing/>
    </w:pPr>
    <w:rPr>
      <w:b/>
      <w:bCs/>
      <w:noProof/>
      <w:color w:val="B61928"/>
    </w:rPr>
  </w:style>
  <w:style w:type="paragraph" w:styleId="Spistreci2">
    <w:name w:val="toc 2"/>
    <w:basedOn w:val="Normalny"/>
    <w:next w:val="Normalny"/>
    <w:autoRedefine/>
    <w:uiPriority w:val="39"/>
    <w:unhideWhenUsed/>
    <w:rsid w:val="00D74687"/>
    <w:pPr>
      <w:tabs>
        <w:tab w:val="left" w:pos="880"/>
        <w:tab w:val="right" w:leader="dot" w:pos="9350"/>
      </w:tabs>
      <w:spacing w:after="0"/>
      <w:ind w:left="238"/>
    </w:pPr>
    <w:rPr>
      <w:b/>
      <w:bCs/>
      <w:noProof/>
      <w:color w:val="000000" w:themeColor="text1"/>
    </w:rPr>
  </w:style>
  <w:style w:type="paragraph" w:styleId="Tekstprzypisudolnego">
    <w:name w:val="footnote text"/>
    <w:aliases w:val="Podrozdział,Footnote,Podrozdzia3,Fußnote,Tekst przypisu,Uczelnia,przypisB,Schriftart: 9 pt,Schriftart: 10 pt,Schriftart: 8 pt,WB-Fußnotentext,-E Fuﬂnotentext,Fuﬂnotentext Ursprung,footnote text,Fußnotentext Ursprung,Znak Znak,fn"/>
    <w:basedOn w:val="Normalny"/>
    <w:link w:val="TekstprzypisudolnegoZnak"/>
    <w:uiPriority w:val="99"/>
    <w:unhideWhenUsed/>
    <w:qFormat/>
    <w:rsid w:val="00575114"/>
    <w:pPr>
      <w:spacing w:after="0" w:line="240" w:lineRule="auto"/>
    </w:pPr>
    <w:rPr>
      <w:sz w:val="20"/>
      <w:szCs w:val="20"/>
    </w:rPr>
  </w:style>
  <w:style w:type="character" w:customStyle="1" w:styleId="TekstprzypisudolnegoZnak">
    <w:name w:val="Tekst przypisu dolnego Znak"/>
    <w:aliases w:val="Podrozdział Znak,Footnote Znak,Podrozdzia3 Znak,Fußnote Znak,Tekst przypisu Znak,Uczelnia Znak,przypisB Znak,Schriftart: 9 pt Znak,Schriftart: 10 pt Znak,Schriftart: 8 pt Znak,WB-Fußnotentext Znak,-E Fuﬂnotentext Znak,fn Znak"/>
    <w:basedOn w:val="Domylnaczcionkaakapitu"/>
    <w:link w:val="Tekstprzypisudolnego"/>
    <w:uiPriority w:val="99"/>
    <w:qFormat/>
    <w:rsid w:val="00575114"/>
    <w:rPr>
      <w:sz w:val="20"/>
      <w:szCs w:val="20"/>
    </w:rPr>
  </w:style>
  <w:style w:type="character" w:styleId="Odwoanieprzypisudolnego">
    <w:name w:val="footnote reference"/>
    <w:aliases w:val="Odwołanie przypisu,Footnote Reference Number,Odwołanie przypisu Znak Znak,Odwo3anie przypisu,Footnote reference number,Footnote symbol,note TESI,SUPERS,EN Footnote Reference,Footnote number,Znak Znak1,Ref,de nota al pie,Nota"/>
    <w:basedOn w:val="Domylnaczcionkaakapitu"/>
    <w:uiPriority w:val="99"/>
    <w:unhideWhenUsed/>
    <w:qFormat/>
    <w:rsid w:val="00575114"/>
    <w:rPr>
      <w:vertAlign w:val="superscript"/>
    </w:rPr>
  </w:style>
  <w:style w:type="paragraph" w:styleId="Legenda">
    <w:name w:val="caption"/>
    <w:basedOn w:val="Normalny"/>
    <w:next w:val="Normalny"/>
    <w:uiPriority w:val="35"/>
    <w:unhideWhenUsed/>
    <w:qFormat/>
    <w:rsid w:val="007677C4"/>
    <w:pPr>
      <w:spacing w:after="0" w:line="240" w:lineRule="auto"/>
    </w:pPr>
    <w:rPr>
      <w:iCs/>
      <w:color w:val="C00000"/>
      <w:szCs w:val="18"/>
    </w:rPr>
  </w:style>
  <w:style w:type="table" w:styleId="Tabela-Siatka">
    <w:name w:val="Table Grid"/>
    <w:basedOn w:val="Standardowy"/>
    <w:uiPriority w:val="39"/>
    <w:rsid w:val="00B66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RP">
    <w:name w:val="PARP"/>
    <w:basedOn w:val="Standardowy"/>
    <w:uiPriority w:val="99"/>
    <w:rsid w:val="00FB7390"/>
    <w:pPr>
      <w:spacing w:before="60" w:after="6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blStylePr w:type="firstRow">
      <w:pPr>
        <w:jc w:val="left"/>
      </w:pPr>
      <w:rPr>
        <w:rFonts w:ascii="Calibri" w:hAnsi="Calibri"/>
        <w:color w:val="FFFFFF" w:themeColor="background1"/>
        <w:sz w:val="20"/>
      </w:rPr>
      <w:tblPr/>
      <w:trPr>
        <w:tblHeader/>
      </w:trPr>
      <w:tcPr>
        <w:shd w:val="clear" w:color="auto" w:fill="B61928"/>
      </w:tcPr>
    </w:tblStylePr>
    <w:tblStylePr w:type="lastRow">
      <w:tblPr/>
      <w:tcPr>
        <w:shd w:val="clear" w:color="auto" w:fill="B61928"/>
      </w:tcPr>
    </w:tblStylePr>
    <w:tblStylePr w:type="band1Horz">
      <w:tblPr/>
      <w:tcPr>
        <w:shd w:val="clear" w:color="auto" w:fill="FFFFFF" w:themeFill="background1"/>
      </w:tcPr>
    </w:tblStylePr>
    <w:tblStylePr w:type="band2Horz">
      <w:tblPr/>
      <w:tcPr>
        <w:shd w:val="clear" w:color="auto" w:fill="E1E3E4"/>
      </w:tcPr>
    </w:tblStylePr>
  </w:style>
  <w:style w:type="paragraph" w:styleId="Spisilustracji">
    <w:name w:val="table of figures"/>
    <w:basedOn w:val="Normalny"/>
    <w:next w:val="Normalny"/>
    <w:uiPriority w:val="99"/>
    <w:unhideWhenUsed/>
    <w:rsid w:val="00496FD4"/>
    <w:pPr>
      <w:spacing w:after="0"/>
    </w:pPr>
  </w:style>
  <w:style w:type="character" w:customStyle="1" w:styleId="Nagwek3Znak">
    <w:name w:val="Nagłówek 3 Znak"/>
    <w:basedOn w:val="Domylnaczcionkaakapitu"/>
    <w:link w:val="Nagwek3"/>
    <w:uiPriority w:val="9"/>
    <w:rsid w:val="005C04BA"/>
    <w:rPr>
      <w:rFonts w:eastAsiaTheme="majorEastAsia" w:cstheme="minorHAnsi"/>
      <w:b/>
      <w:bCs/>
      <w:color w:val="000000" w:themeColor="text1"/>
      <w:sz w:val="28"/>
      <w:szCs w:val="24"/>
      <w:lang w:val="pl-PL"/>
    </w:rPr>
  </w:style>
  <w:style w:type="paragraph" w:styleId="Akapitzlist">
    <w:name w:val="List Paragraph"/>
    <w:aliases w:val="maz_wyliczenie,opis dzialania,K-P_odwolanie,A_wyliczenie,Akapit z listą 1,Tekst raportu,Akapit z listą5,EPL lista punktowana z wyrózneniem,1st level - Bullet List Paragraph,Lettre d'introduction,Normal bullet 2,Bullet list,Listenabsatz,L1"/>
    <w:basedOn w:val="Normalny"/>
    <w:link w:val="AkapitzlistZnak"/>
    <w:uiPriority w:val="34"/>
    <w:qFormat/>
    <w:rsid w:val="008D219B"/>
    <w:pPr>
      <w:ind w:left="720"/>
      <w:contextualSpacing/>
    </w:pPr>
  </w:style>
  <w:style w:type="paragraph" w:styleId="Spistreci3">
    <w:name w:val="toc 3"/>
    <w:basedOn w:val="Normalny"/>
    <w:next w:val="Normalny"/>
    <w:autoRedefine/>
    <w:uiPriority w:val="39"/>
    <w:unhideWhenUsed/>
    <w:rsid w:val="00A55965"/>
    <w:pPr>
      <w:tabs>
        <w:tab w:val="left" w:pos="1320"/>
        <w:tab w:val="right" w:leader="dot" w:pos="9350"/>
      </w:tabs>
      <w:spacing w:after="100"/>
      <w:ind w:left="480"/>
    </w:pPr>
  </w:style>
  <w:style w:type="paragraph" w:styleId="Tekstdymka">
    <w:name w:val="Balloon Text"/>
    <w:basedOn w:val="Normalny"/>
    <w:link w:val="TekstdymkaZnak"/>
    <w:uiPriority w:val="99"/>
    <w:semiHidden/>
    <w:unhideWhenUsed/>
    <w:rsid w:val="00150F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0FB6"/>
    <w:rPr>
      <w:rFonts w:ascii="Segoe UI" w:hAnsi="Segoe UI" w:cs="Segoe UI"/>
      <w:sz w:val="18"/>
      <w:szCs w:val="18"/>
    </w:rPr>
  </w:style>
  <w:style w:type="paragraph" w:styleId="Tekstpodstawowy">
    <w:name w:val="Body Text"/>
    <w:basedOn w:val="Normalny"/>
    <w:link w:val="TekstpodstawowyZnak"/>
    <w:semiHidden/>
    <w:rsid w:val="006032F0"/>
    <w:pPr>
      <w:spacing w:after="0" w:line="240" w:lineRule="auto"/>
    </w:pPr>
    <w:rPr>
      <w:rFonts w:ascii="Times New Roman" w:eastAsia="Times New Roman" w:hAnsi="Times New Roman" w:cs="Times New Roman"/>
      <w:b/>
      <w:bCs/>
      <w:szCs w:val="24"/>
      <w:lang w:eastAsia="pl-PL"/>
    </w:rPr>
  </w:style>
  <w:style w:type="character" w:customStyle="1" w:styleId="TekstpodstawowyZnak">
    <w:name w:val="Tekst podstawowy Znak"/>
    <w:basedOn w:val="Domylnaczcionkaakapitu"/>
    <w:link w:val="Tekstpodstawowy"/>
    <w:semiHidden/>
    <w:rsid w:val="006032F0"/>
    <w:rPr>
      <w:rFonts w:ascii="Times New Roman" w:eastAsia="Times New Roman" w:hAnsi="Times New Roman" w:cs="Times New Roman"/>
      <w:b/>
      <w:bCs/>
      <w:sz w:val="24"/>
      <w:szCs w:val="24"/>
      <w:lang w:val="pl-PL" w:eastAsia="pl-PL"/>
    </w:rPr>
  </w:style>
  <w:style w:type="character" w:customStyle="1" w:styleId="AkapitzlistZnak">
    <w:name w:val="Akapit z listą Znak"/>
    <w:aliases w:val="maz_wyliczenie Znak,opis dzialania Znak,K-P_odwolanie Znak,A_wyliczenie Znak,Akapit z listą 1 Znak,Tekst raportu Znak,Akapit z listą5 Znak,EPL lista punktowana z wyrózneniem Znak,1st level - Bullet List Paragraph Znak,L1 Znak"/>
    <w:link w:val="Akapitzlist"/>
    <w:uiPriority w:val="34"/>
    <w:qFormat/>
    <w:rsid w:val="006032F0"/>
    <w:rPr>
      <w:sz w:val="24"/>
    </w:rPr>
  </w:style>
  <w:style w:type="character" w:styleId="Odwoaniedokomentarza">
    <w:name w:val="annotation reference"/>
    <w:basedOn w:val="Domylnaczcionkaakapitu"/>
    <w:uiPriority w:val="99"/>
    <w:semiHidden/>
    <w:unhideWhenUsed/>
    <w:rsid w:val="006032F0"/>
    <w:rPr>
      <w:sz w:val="16"/>
      <w:szCs w:val="16"/>
    </w:rPr>
  </w:style>
  <w:style w:type="paragraph" w:styleId="Tekstkomentarza">
    <w:name w:val="annotation text"/>
    <w:basedOn w:val="Normalny"/>
    <w:link w:val="TekstkomentarzaZnak"/>
    <w:uiPriority w:val="99"/>
    <w:unhideWhenUsed/>
    <w:rsid w:val="006032F0"/>
    <w:pPr>
      <w:spacing w:line="240" w:lineRule="auto"/>
    </w:pPr>
    <w:rPr>
      <w:sz w:val="20"/>
      <w:szCs w:val="20"/>
    </w:rPr>
  </w:style>
  <w:style w:type="character" w:customStyle="1" w:styleId="TekstkomentarzaZnak">
    <w:name w:val="Tekst komentarza Znak"/>
    <w:basedOn w:val="Domylnaczcionkaakapitu"/>
    <w:link w:val="Tekstkomentarza"/>
    <w:uiPriority w:val="99"/>
    <w:rsid w:val="006032F0"/>
    <w:rPr>
      <w:sz w:val="20"/>
      <w:szCs w:val="20"/>
      <w:lang w:val="pl-PL"/>
    </w:rPr>
  </w:style>
  <w:style w:type="paragraph" w:styleId="Tematkomentarza">
    <w:name w:val="annotation subject"/>
    <w:basedOn w:val="Tekstkomentarza"/>
    <w:next w:val="Tekstkomentarza"/>
    <w:link w:val="TematkomentarzaZnak"/>
    <w:uiPriority w:val="99"/>
    <w:semiHidden/>
    <w:unhideWhenUsed/>
    <w:rsid w:val="006032F0"/>
    <w:rPr>
      <w:b/>
      <w:bCs/>
    </w:rPr>
  </w:style>
  <w:style w:type="character" w:customStyle="1" w:styleId="TematkomentarzaZnak">
    <w:name w:val="Temat komentarza Znak"/>
    <w:basedOn w:val="TekstkomentarzaZnak"/>
    <w:link w:val="Tematkomentarza"/>
    <w:uiPriority w:val="99"/>
    <w:semiHidden/>
    <w:rsid w:val="006032F0"/>
    <w:rPr>
      <w:b/>
      <w:bCs/>
      <w:sz w:val="20"/>
      <w:szCs w:val="20"/>
      <w:lang w:val="pl-PL"/>
    </w:rPr>
  </w:style>
  <w:style w:type="paragraph" w:styleId="Tekstprzypisukocowego">
    <w:name w:val="endnote text"/>
    <w:basedOn w:val="Normalny"/>
    <w:link w:val="TekstprzypisukocowegoZnak"/>
    <w:uiPriority w:val="99"/>
    <w:semiHidden/>
    <w:unhideWhenUsed/>
    <w:rsid w:val="006032F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032F0"/>
    <w:rPr>
      <w:sz w:val="20"/>
      <w:szCs w:val="20"/>
      <w:lang w:val="pl-PL"/>
    </w:rPr>
  </w:style>
  <w:style w:type="character" w:styleId="Odwoanieprzypisukocowego">
    <w:name w:val="endnote reference"/>
    <w:basedOn w:val="Domylnaczcionkaakapitu"/>
    <w:uiPriority w:val="99"/>
    <w:semiHidden/>
    <w:unhideWhenUsed/>
    <w:rsid w:val="006032F0"/>
    <w:rPr>
      <w:vertAlign w:val="superscript"/>
    </w:rPr>
  </w:style>
  <w:style w:type="character" w:styleId="Pogrubienie">
    <w:name w:val="Strong"/>
    <w:basedOn w:val="Domylnaczcionkaakapitu"/>
    <w:uiPriority w:val="22"/>
    <w:qFormat/>
    <w:rsid w:val="006032F0"/>
    <w:rPr>
      <w:b/>
      <w:bCs/>
    </w:rPr>
  </w:style>
  <w:style w:type="character" w:styleId="Uwydatnienie">
    <w:name w:val="Emphasis"/>
    <w:basedOn w:val="Domylnaczcionkaakapitu"/>
    <w:uiPriority w:val="20"/>
    <w:qFormat/>
    <w:rsid w:val="006E4AF2"/>
    <w:rPr>
      <w:rFonts w:cstheme="minorHAnsi"/>
      <w:color w:val="C00000"/>
    </w:rPr>
  </w:style>
  <w:style w:type="character" w:customStyle="1" w:styleId="Nagwek5Znak">
    <w:name w:val="Nagłówek 5 Znak"/>
    <w:basedOn w:val="Domylnaczcionkaakapitu"/>
    <w:link w:val="Nagwek5"/>
    <w:uiPriority w:val="9"/>
    <w:rsid w:val="00637358"/>
    <w:rPr>
      <w:rFonts w:eastAsiaTheme="majorEastAsia" w:cstheme="majorBidi"/>
      <w:color w:val="000000" w:themeColor="text1"/>
      <w:sz w:val="24"/>
      <w:u w:val="single"/>
      <w:lang w:val="pl-PL"/>
    </w:rPr>
  </w:style>
  <w:style w:type="character" w:customStyle="1" w:styleId="Nagwek6Znak">
    <w:name w:val="Nagłówek 6 Znak"/>
    <w:basedOn w:val="Domylnaczcionkaakapitu"/>
    <w:link w:val="Nagwek6"/>
    <w:uiPriority w:val="9"/>
    <w:rsid w:val="009D30D7"/>
    <w:rPr>
      <w:rFonts w:asciiTheme="majorHAnsi" w:eastAsiaTheme="majorEastAsia" w:hAnsiTheme="majorHAnsi" w:cstheme="majorBidi"/>
      <w:color w:val="1F3763" w:themeColor="accent1" w:themeShade="7F"/>
      <w:sz w:val="24"/>
    </w:rPr>
  </w:style>
  <w:style w:type="paragraph" w:styleId="Lista">
    <w:name w:val="List"/>
    <w:basedOn w:val="Normalny"/>
    <w:uiPriority w:val="99"/>
    <w:unhideWhenUsed/>
    <w:rsid w:val="009D30D7"/>
    <w:pPr>
      <w:ind w:left="283" w:hanging="283"/>
      <w:contextualSpacing/>
    </w:pPr>
  </w:style>
  <w:style w:type="paragraph" w:styleId="Tekstpodstawowywcity">
    <w:name w:val="Body Text Indent"/>
    <w:basedOn w:val="Normalny"/>
    <w:link w:val="TekstpodstawowywcityZnak"/>
    <w:uiPriority w:val="99"/>
    <w:unhideWhenUsed/>
    <w:rsid w:val="009D30D7"/>
    <w:pPr>
      <w:ind w:left="283"/>
    </w:pPr>
  </w:style>
  <w:style w:type="character" w:customStyle="1" w:styleId="TekstpodstawowywcityZnak">
    <w:name w:val="Tekst podstawowy wcięty Znak"/>
    <w:basedOn w:val="Domylnaczcionkaakapitu"/>
    <w:link w:val="Tekstpodstawowywcity"/>
    <w:uiPriority w:val="99"/>
    <w:rsid w:val="009D30D7"/>
    <w:rPr>
      <w:sz w:val="24"/>
    </w:rPr>
  </w:style>
  <w:style w:type="paragraph" w:styleId="Tekstpodstawowyzwciciem2">
    <w:name w:val="Body Text First Indent 2"/>
    <w:basedOn w:val="Tekstpodstawowywcity"/>
    <w:link w:val="Tekstpodstawowyzwciciem2Znak"/>
    <w:uiPriority w:val="99"/>
    <w:unhideWhenUsed/>
    <w:rsid w:val="009D30D7"/>
    <w:pPr>
      <w:ind w:left="360" w:firstLine="360"/>
    </w:pPr>
  </w:style>
  <w:style w:type="character" w:customStyle="1" w:styleId="Tekstpodstawowyzwciciem2Znak">
    <w:name w:val="Tekst podstawowy z wcięciem 2 Znak"/>
    <w:basedOn w:val="TekstpodstawowywcityZnak"/>
    <w:link w:val="Tekstpodstawowyzwciciem2"/>
    <w:uiPriority w:val="99"/>
    <w:rsid w:val="009D30D7"/>
    <w:rPr>
      <w:sz w:val="24"/>
    </w:rPr>
  </w:style>
  <w:style w:type="character" w:customStyle="1" w:styleId="Nierozpoznanawzmianka2">
    <w:name w:val="Nierozpoznana wzmianka2"/>
    <w:basedOn w:val="Domylnaczcionkaakapitu"/>
    <w:uiPriority w:val="99"/>
    <w:semiHidden/>
    <w:unhideWhenUsed/>
    <w:rsid w:val="00C57893"/>
    <w:rPr>
      <w:color w:val="605E5C"/>
      <w:shd w:val="clear" w:color="auto" w:fill="E1DFDD"/>
    </w:rPr>
  </w:style>
  <w:style w:type="paragraph" w:styleId="Poprawka">
    <w:name w:val="Revision"/>
    <w:hidden/>
    <w:uiPriority w:val="99"/>
    <w:semiHidden/>
    <w:rsid w:val="00DD4A96"/>
    <w:pPr>
      <w:spacing w:after="0" w:line="240" w:lineRule="auto"/>
    </w:pPr>
    <w:rPr>
      <w:sz w:val="24"/>
    </w:rPr>
  </w:style>
  <w:style w:type="character" w:customStyle="1" w:styleId="Nierozpoznanawzmianka3">
    <w:name w:val="Nierozpoznana wzmianka3"/>
    <w:basedOn w:val="Domylnaczcionkaakapitu"/>
    <w:uiPriority w:val="99"/>
    <w:semiHidden/>
    <w:unhideWhenUsed/>
    <w:rsid w:val="00D0392C"/>
    <w:rPr>
      <w:color w:val="605E5C"/>
      <w:shd w:val="clear" w:color="auto" w:fill="E1DFDD"/>
    </w:rPr>
  </w:style>
  <w:style w:type="character" w:customStyle="1" w:styleId="highlight">
    <w:name w:val="highlight"/>
    <w:rsid w:val="00A6558C"/>
  </w:style>
  <w:style w:type="paragraph" w:styleId="NormalnyWeb">
    <w:name w:val="Normal (Web)"/>
    <w:basedOn w:val="Normalny"/>
    <w:uiPriority w:val="99"/>
    <w:unhideWhenUsed/>
    <w:rsid w:val="00831C9C"/>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ierozpoznanawzmianka4">
    <w:name w:val="Nierozpoznana wzmianka4"/>
    <w:basedOn w:val="Domylnaczcionkaakapitu"/>
    <w:uiPriority w:val="99"/>
    <w:semiHidden/>
    <w:unhideWhenUsed/>
    <w:rsid w:val="00A04A68"/>
    <w:rPr>
      <w:color w:val="605E5C"/>
      <w:shd w:val="clear" w:color="auto" w:fill="E1DFDD"/>
    </w:rPr>
  </w:style>
  <w:style w:type="character" w:styleId="UyteHipercze">
    <w:name w:val="FollowedHyperlink"/>
    <w:basedOn w:val="Domylnaczcionkaakapitu"/>
    <w:uiPriority w:val="99"/>
    <w:semiHidden/>
    <w:unhideWhenUsed/>
    <w:rsid w:val="00E818EA"/>
    <w:rPr>
      <w:color w:val="954F72" w:themeColor="followedHyperlink"/>
      <w:u w:val="single"/>
    </w:rPr>
  </w:style>
  <w:style w:type="character" w:customStyle="1" w:styleId="Nierozpoznanawzmianka5">
    <w:name w:val="Nierozpoznana wzmianka5"/>
    <w:basedOn w:val="Domylnaczcionkaakapitu"/>
    <w:uiPriority w:val="99"/>
    <w:semiHidden/>
    <w:unhideWhenUsed/>
    <w:rsid w:val="002C208F"/>
    <w:rPr>
      <w:color w:val="605E5C"/>
      <w:shd w:val="clear" w:color="auto" w:fill="E1DFDD"/>
    </w:rPr>
  </w:style>
  <w:style w:type="character" w:customStyle="1" w:styleId="Nierozpoznanawzmianka6">
    <w:name w:val="Nierozpoznana wzmianka6"/>
    <w:basedOn w:val="Domylnaczcionkaakapitu"/>
    <w:uiPriority w:val="99"/>
    <w:semiHidden/>
    <w:unhideWhenUsed/>
    <w:rsid w:val="0003596C"/>
    <w:rPr>
      <w:color w:val="605E5C"/>
      <w:shd w:val="clear" w:color="auto" w:fill="E1DFDD"/>
    </w:rPr>
  </w:style>
  <w:style w:type="paragraph" w:styleId="Zwykytekst">
    <w:name w:val="Plain Text"/>
    <w:basedOn w:val="Normalny"/>
    <w:link w:val="ZwykytekstZnak"/>
    <w:uiPriority w:val="99"/>
    <w:semiHidden/>
    <w:unhideWhenUsed/>
    <w:rsid w:val="00FD1476"/>
    <w:pPr>
      <w:spacing w:after="0" w:line="240" w:lineRule="auto"/>
    </w:pPr>
    <w:rPr>
      <w:rFonts w:ascii="Calibri" w:hAnsi="Calibri"/>
      <w:sz w:val="22"/>
      <w:szCs w:val="21"/>
    </w:rPr>
  </w:style>
  <w:style w:type="character" w:customStyle="1" w:styleId="ZwykytekstZnak">
    <w:name w:val="Zwykły tekst Znak"/>
    <w:basedOn w:val="Domylnaczcionkaakapitu"/>
    <w:link w:val="Zwykytekst"/>
    <w:uiPriority w:val="99"/>
    <w:semiHidden/>
    <w:rsid w:val="00FD1476"/>
    <w:rPr>
      <w:rFonts w:ascii="Calibri" w:hAnsi="Calibri"/>
      <w:szCs w:val="21"/>
    </w:rPr>
  </w:style>
  <w:style w:type="paragraph" w:customStyle="1" w:styleId="main-p">
    <w:name w:val="main-p"/>
    <w:basedOn w:val="Normalny"/>
    <w:rsid w:val="00AD6536"/>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u-list-puce">
    <w:name w:val="u-list-puce"/>
    <w:basedOn w:val="Domylnaczcionkaakapitu"/>
    <w:rsid w:val="00793F95"/>
  </w:style>
  <w:style w:type="paragraph" w:customStyle="1" w:styleId="rtejustify">
    <w:name w:val="rtejustify"/>
    <w:basedOn w:val="Normalny"/>
    <w:rsid w:val="00916B52"/>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lauftext">
    <w:name w:val="lauftext"/>
    <w:basedOn w:val="Domylnaczcionkaakapitu"/>
    <w:rsid w:val="00FD017D"/>
  </w:style>
  <w:style w:type="paragraph" w:customStyle="1" w:styleId="page-paragraph-body">
    <w:name w:val="page-paragraph-body"/>
    <w:basedOn w:val="Normalny"/>
    <w:rsid w:val="00130A83"/>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Zakotwiczenieprzypisudolnego">
    <w:name w:val="Zakotwiczenie przypisu dolnego"/>
    <w:rsid w:val="005E56DB"/>
    <w:rPr>
      <w:vertAlign w:val="superscript"/>
    </w:rPr>
  </w:style>
  <w:style w:type="character" w:customStyle="1" w:styleId="Znakiprzypiswdolnych">
    <w:name w:val="Znaki przypisów dolnych"/>
    <w:qFormat/>
    <w:rsid w:val="005E56DB"/>
  </w:style>
  <w:style w:type="paragraph" w:customStyle="1" w:styleId="Tekstprzypisudolnego1">
    <w:name w:val="Tekst przypisu dolnego1"/>
    <w:basedOn w:val="Normalny"/>
    <w:unhideWhenUsed/>
    <w:qFormat/>
    <w:rsid w:val="005E56DB"/>
    <w:pPr>
      <w:spacing w:after="0" w:line="240" w:lineRule="auto"/>
      <w:jc w:val="both"/>
    </w:pPr>
    <w:rPr>
      <w:rFonts w:ascii="Calibri" w:eastAsia="Calibri" w:hAnsi="Calibri" w:cs="Arial"/>
      <w:color w:val="000000" w:themeColor="text1"/>
      <w:sz w:val="18"/>
      <w:szCs w:val="20"/>
    </w:rPr>
  </w:style>
  <w:style w:type="character" w:customStyle="1" w:styleId="czeinternetowe">
    <w:name w:val="Łącze internetowe"/>
    <w:basedOn w:val="Domylnaczcionkaakapitu"/>
    <w:uiPriority w:val="99"/>
    <w:unhideWhenUsed/>
    <w:rsid w:val="007E1C4F"/>
    <w:rPr>
      <w:color w:val="0563C1" w:themeColor="hyperlink"/>
      <w:u w:val="single"/>
    </w:rPr>
  </w:style>
  <w:style w:type="character" w:customStyle="1" w:styleId="normalny0">
    <w:name w:val="normalny"/>
    <w:basedOn w:val="Domylnaczcionkaakapitu"/>
    <w:rsid w:val="00DC2B08"/>
    <w:rPr>
      <w:rFonts w:asciiTheme="minorHAnsi" w:hAnsiTheme="minorHAnsi"/>
      <w:sz w:val="24"/>
    </w:rPr>
  </w:style>
  <w:style w:type="paragraph" w:customStyle="1" w:styleId="Default">
    <w:name w:val="Default"/>
    <w:qFormat/>
    <w:rsid w:val="007E1C4F"/>
    <w:pPr>
      <w:spacing w:after="0" w:line="240" w:lineRule="auto"/>
    </w:pPr>
    <w:rPr>
      <w:rFonts w:ascii="Arial" w:eastAsia="Calibri" w:hAnsi="Arial" w:cs="Arial"/>
      <w:color w:val="000000"/>
      <w:sz w:val="24"/>
      <w:szCs w:val="24"/>
      <w:lang w:val="pl-PL"/>
    </w:rPr>
  </w:style>
  <w:style w:type="character" w:customStyle="1" w:styleId="TekstprzypisudolnegoZnak1">
    <w:name w:val="Tekst przypisu dolnego Znak1"/>
    <w:basedOn w:val="Domylnaczcionkaakapitu"/>
    <w:semiHidden/>
    <w:rsid w:val="007E1C4F"/>
    <w:rPr>
      <w:rFonts w:ascii="Calibri" w:eastAsia="Calibri" w:hAnsi="Calibri" w:cs="Arial"/>
      <w:color w:val="000000" w:themeColor="text1"/>
      <w:szCs w:val="20"/>
    </w:rPr>
  </w:style>
  <w:style w:type="character" w:customStyle="1" w:styleId="Nierozpoznanawzmianka7">
    <w:name w:val="Nierozpoznana wzmianka7"/>
    <w:basedOn w:val="Domylnaczcionkaakapitu"/>
    <w:uiPriority w:val="99"/>
    <w:semiHidden/>
    <w:unhideWhenUsed/>
    <w:rsid w:val="001D6560"/>
    <w:rPr>
      <w:color w:val="605E5C"/>
      <w:shd w:val="clear" w:color="auto" w:fill="E1DFDD"/>
    </w:rPr>
  </w:style>
  <w:style w:type="table" w:customStyle="1" w:styleId="5">
    <w:name w:val="5"/>
    <w:basedOn w:val="Standardowy"/>
    <w:rsid w:val="000661C8"/>
    <w:pPr>
      <w:spacing w:after="0" w:line="240" w:lineRule="auto"/>
      <w:jc w:val="center"/>
    </w:pPr>
    <w:rPr>
      <w:rFonts w:ascii="Times New Roman" w:eastAsia="Times New Roman" w:hAnsi="Times New Roman" w:cs="Times New Roman"/>
      <w:lang w:val="pl-PL" w:eastAsia="pl-PL"/>
    </w:rPr>
    <w:tblPr>
      <w:tblStyleRowBandSize w:val="1"/>
      <w:tblStyleColBandSize w:val="1"/>
      <w:tblInd w:w="0" w:type="nil"/>
    </w:tblPr>
    <w:tcPr>
      <w:shd w:val="clear" w:color="auto" w:fill="FBE5D5"/>
      <w:vAlign w:val="center"/>
    </w:tcPr>
  </w:style>
  <w:style w:type="paragraph" w:customStyle="1" w:styleId="pf0">
    <w:name w:val="pf0"/>
    <w:basedOn w:val="Normalny"/>
    <w:rsid w:val="001C3456"/>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cf01">
    <w:name w:val="cf01"/>
    <w:basedOn w:val="Domylnaczcionkaakapitu"/>
    <w:rsid w:val="001C3456"/>
    <w:rPr>
      <w:rFonts w:ascii="Segoe UI" w:hAnsi="Segoe UI" w:cs="Segoe UI" w:hint="default"/>
      <w:sz w:val="18"/>
      <w:szCs w:val="18"/>
    </w:rPr>
  </w:style>
  <w:style w:type="paragraph" w:styleId="Bezodstpw">
    <w:name w:val="No Spacing"/>
    <w:link w:val="BezodstpwZnak"/>
    <w:uiPriority w:val="1"/>
    <w:qFormat/>
    <w:rsid w:val="00DA4D16"/>
    <w:pPr>
      <w:spacing w:after="0" w:line="240" w:lineRule="auto"/>
    </w:pPr>
    <w:rPr>
      <w:lang w:val="pl-PL"/>
    </w:rPr>
  </w:style>
  <w:style w:type="character" w:customStyle="1" w:styleId="Nagwek4Znak">
    <w:name w:val="Nagłówek 4 Znak"/>
    <w:basedOn w:val="Domylnaczcionkaakapitu"/>
    <w:link w:val="Nagwek4"/>
    <w:uiPriority w:val="9"/>
    <w:rsid w:val="00352609"/>
    <w:rPr>
      <w:rFonts w:eastAsiaTheme="majorEastAsia" w:cstheme="majorBidi"/>
      <w:b/>
      <w:iCs/>
      <w:sz w:val="24"/>
      <w:lang w:val="pl-PL"/>
    </w:rPr>
  </w:style>
  <w:style w:type="character" w:customStyle="1" w:styleId="BezodstpwZnak">
    <w:name w:val="Bez odstępów Znak"/>
    <w:link w:val="Bezodstpw"/>
    <w:uiPriority w:val="1"/>
    <w:rsid w:val="00F11B30"/>
    <w:rPr>
      <w:lang w:val="pl-PL"/>
    </w:rPr>
  </w:style>
  <w:style w:type="table" w:styleId="Zwykatabela1">
    <w:name w:val="Plain Table 1"/>
    <w:basedOn w:val="Standardowy"/>
    <w:uiPriority w:val="41"/>
    <w:rsid w:val="00412A8D"/>
    <w:pPr>
      <w:spacing w:after="0" w:line="240" w:lineRule="auto"/>
    </w:pPr>
    <w:rPr>
      <w:kern w:val="2"/>
      <w:lang w:val="pl-PL"/>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ierozpoznanawzmianka8">
    <w:name w:val="Nierozpoznana wzmianka8"/>
    <w:basedOn w:val="Domylnaczcionkaakapitu"/>
    <w:uiPriority w:val="99"/>
    <w:semiHidden/>
    <w:unhideWhenUsed/>
    <w:rsid w:val="00553A85"/>
    <w:rPr>
      <w:color w:val="605E5C"/>
      <w:shd w:val="clear" w:color="auto" w:fill="E1DFDD"/>
    </w:rPr>
  </w:style>
  <w:style w:type="paragraph" w:styleId="Listapunktowana">
    <w:name w:val="List Bullet"/>
    <w:basedOn w:val="Normalny"/>
    <w:uiPriority w:val="99"/>
    <w:unhideWhenUsed/>
    <w:rsid w:val="00637358"/>
    <w:pPr>
      <w:numPr>
        <w:numId w:val="2"/>
      </w:numPr>
      <w:spacing w:after="200"/>
      <w:contextualSpacing/>
    </w:pPr>
    <w:rPr>
      <w:rFonts w:eastAsiaTheme="minorEastAsia"/>
      <w:sz w:val="22"/>
    </w:rPr>
  </w:style>
  <w:style w:type="table" w:styleId="Siatkatabelijasna">
    <w:name w:val="Grid Table Light"/>
    <w:basedOn w:val="Standardowy"/>
    <w:uiPriority w:val="40"/>
    <w:rsid w:val="00E755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Wzmianka1">
    <w:name w:val="Wzmianka1"/>
    <w:basedOn w:val="Domylnaczcionkaakapitu"/>
    <w:uiPriority w:val="99"/>
    <w:unhideWhenUsed/>
    <w:rsid w:val="00FF5123"/>
    <w:rPr>
      <w:color w:val="2B579A"/>
      <w:shd w:val="clear" w:color="auto" w:fill="E1DFDD"/>
    </w:rPr>
  </w:style>
  <w:style w:type="paragraph" w:styleId="Podtytu">
    <w:name w:val="Subtitle"/>
    <w:basedOn w:val="Normalny"/>
    <w:next w:val="Normalny"/>
    <w:link w:val="PodtytuZnak"/>
    <w:uiPriority w:val="11"/>
    <w:qFormat/>
    <w:rsid w:val="008A3F4F"/>
    <w:pPr>
      <w:numPr>
        <w:numId w:val="5"/>
      </w:numPr>
      <w:spacing w:after="160"/>
    </w:pPr>
    <w:rPr>
      <w:rFonts w:eastAsiaTheme="minorEastAsia"/>
      <w:b/>
      <w:color w:val="C00000"/>
      <w:spacing w:val="15"/>
      <w:sz w:val="36"/>
    </w:rPr>
  </w:style>
  <w:style w:type="character" w:customStyle="1" w:styleId="PodtytuZnak">
    <w:name w:val="Podtytuł Znak"/>
    <w:basedOn w:val="Domylnaczcionkaakapitu"/>
    <w:link w:val="Podtytu"/>
    <w:uiPriority w:val="11"/>
    <w:rsid w:val="002B677C"/>
    <w:rPr>
      <w:rFonts w:eastAsiaTheme="minorEastAsia"/>
      <w:b/>
      <w:color w:val="C00000"/>
      <w:spacing w:val="15"/>
      <w:sz w:val="36"/>
      <w:lang w:val="pl-PL"/>
    </w:rPr>
  </w:style>
  <w:style w:type="paragraph" w:styleId="Spistreci4">
    <w:name w:val="toc 4"/>
    <w:basedOn w:val="Normalny"/>
    <w:next w:val="Normalny"/>
    <w:autoRedefine/>
    <w:uiPriority w:val="39"/>
    <w:unhideWhenUsed/>
    <w:rsid w:val="00CE3EA4"/>
    <w:pPr>
      <w:tabs>
        <w:tab w:val="right" w:leader="dot" w:pos="9062"/>
      </w:tabs>
      <w:spacing w:after="100"/>
      <w:ind w:left="720"/>
    </w:pPr>
    <w:rPr>
      <w:noProof/>
      <w:color w:val="EE0000"/>
    </w:rPr>
  </w:style>
  <w:style w:type="paragraph" w:styleId="Spistreci5">
    <w:name w:val="toc 5"/>
    <w:basedOn w:val="Normalny"/>
    <w:next w:val="Normalny"/>
    <w:autoRedefine/>
    <w:uiPriority w:val="39"/>
    <w:unhideWhenUsed/>
    <w:rsid w:val="00FE6487"/>
    <w:pPr>
      <w:tabs>
        <w:tab w:val="right" w:leader="dot" w:pos="9062"/>
      </w:tabs>
      <w:spacing w:after="100"/>
      <w:ind w:left="960"/>
    </w:pPr>
    <w:rPr>
      <w:noProof/>
      <w:color w:val="EE0000"/>
    </w:rPr>
  </w:style>
  <w:style w:type="character" w:customStyle="1" w:styleId="a">
    <w:name w:val="a"/>
    <w:basedOn w:val="Domylnaczcionkaakapitu"/>
    <w:qFormat/>
    <w:rsid w:val="00C231AC"/>
  </w:style>
  <w:style w:type="character" w:customStyle="1" w:styleId="Nierozpoznanawzmianka9">
    <w:name w:val="Nierozpoznana wzmianka9"/>
    <w:basedOn w:val="Domylnaczcionkaakapitu"/>
    <w:uiPriority w:val="99"/>
    <w:semiHidden/>
    <w:unhideWhenUsed/>
    <w:rsid w:val="00C231AC"/>
    <w:rPr>
      <w:color w:val="605E5C"/>
      <w:shd w:val="clear" w:color="auto" w:fill="E1DFDD"/>
    </w:rPr>
  </w:style>
  <w:style w:type="paragraph" w:styleId="Spistreci6">
    <w:name w:val="toc 6"/>
    <w:basedOn w:val="Normalny"/>
    <w:next w:val="Normalny"/>
    <w:autoRedefine/>
    <w:uiPriority w:val="39"/>
    <w:unhideWhenUsed/>
    <w:rsid w:val="00C231AC"/>
    <w:pPr>
      <w:spacing w:after="100" w:line="278" w:lineRule="auto"/>
      <w:ind w:left="1200"/>
    </w:pPr>
    <w:rPr>
      <w:rFonts w:eastAsiaTheme="minorEastAsia"/>
      <w:kern w:val="2"/>
      <w:szCs w:val="24"/>
      <w:lang w:eastAsia="pl-PL"/>
      <w14:ligatures w14:val="standardContextual"/>
    </w:rPr>
  </w:style>
  <w:style w:type="paragraph" w:styleId="Spistreci7">
    <w:name w:val="toc 7"/>
    <w:basedOn w:val="Normalny"/>
    <w:next w:val="Normalny"/>
    <w:autoRedefine/>
    <w:uiPriority w:val="39"/>
    <w:unhideWhenUsed/>
    <w:rsid w:val="00C231AC"/>
    <w:pPr>
      <w:spacing w:after="100" w:line="278" w:lineRule="auto"/>
      <w:ind w:left="1440"/>
    </w:pPr>
    <w:rPr>
      <w:rFonts w:eastAsiaTheme="minorEastAsia"/>
      <w:kern w:val="2"/>
      <w:szCs w:val="24"/>
      <w:lang w:eastAsia="pl-PL"/>
      <w14:ligatures w14:val="standardContextual"/>
    </w:rPr>
  </w:style>
  <w:style w:type="paragraph" w:styleId="Spistreci8">
    <w:name w:val="toc 8"/>
    <w:basedOn w:val="Normalny"/>
    <w:next w:val="Normalny"/>
    <w:autoRedefine/>
    <w:uiPriority w:val="39"/>
    <w:unhideWhenUsed/>
    <w:rsid w:val="00C231AC"/>
    <w:pPr>
      <w:spacing w:after="100" w:line="278" w:lineRule="auto"/>
      <w:ind w:left="1680"/>
    </w:pPr>
    <w:rPr>
      <w:rFonts w:eastAsiaTheme="minorEastAsia"/>
      <w:kern w:val="2"/>
      <w:szCs w:val="24"/>
      <w:lang w:eastAsia="pl-PL"/>
      <w14:ligatures w14:val="standardContextual"/>
    </w:rPr>
  </w:style>
  <w:style w:type="paragraph" w:styleId="Spistreci9">
    <w:name w:val="toc 9"/>
    <w:basedOn w:val="Normalny"/>
    <w:next w:val="Normalny"/>
    <w:autoRedefine/>
    <w:uiPriority w:val="39"/>
    <w:unhideWhenUsed/>
    <w:rsid w:val="00C231AC"/>
    <w:pPr>
      <w:spacing w:after="100" w:line="278" w:lineRule="auto"/>
      <w:ind w:left="1920"/>
    </w:pPr>
    <w:rPr>
      <w:rFonts w:eastAsiaTheme="minorEastAsia"/>
      <w:kern w:val="2"/>
      <w:szCs w:val="24"/>
      <w:lang w:eastAsia="pl-PL"/>
      <w14:ligatures w14:val="standardContextual"/>
    </w:rPr>
  </w:style>
  <w:style w:type="character" w:styleId="Nierozpoznanawzmianka">
    <w:name w:val="Unresolved Mention"/>
    <w:basedOn w:val="Domylnaczcionkaakapitu"/>
    <w:uiPriority w:val="99"/>
    <w:semiHidden/>
    <w:unhideWhenUsed/>
    <w:rsid w:val="005F6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24">
      <w:bodyDiv w:val="1"/>
      <w:marLeft w:val="0"/>
      <w:marRight w:val="0"/>
      <w:marTop w:val="0"/>
      <w:marBottom w:val="0"/>
      <w:divBdr>
        <w:top w:val="none" w:sz="0" w:space="0" w:color="auto"/>
        <w:left w:val="none" w:sz="0" w:space="0" w:color="auto"/>
        <w:bottom w:val="none" w:sz="0" w:space="0" w:color="auto"/>
        <w:right w:val="none" w:sz="0" w:space="0" w:color="auto"/>
      </w:divBdr>
    </w:div>
    <w:div w:id="3409446">
      <w:bodyDiv w:val="1"/>
      <w:marLeft w:val="0"/>
      <w:marRight w:val="0"/>
      <w:marTop w:val="0"/>
      <w:marBottom w:val="0"/>
      <w:divBdr>
        <w:top w:val="none" w:sz="0" w:space="0" w:color="auto"/>
        <w:left w:val="none" w:sz="0" w:space="0" w:color="auto"/>
        <w:bottom w:val="none" w:sz="0" w:space="0" w:color="auto"/>
        <w:right w:val="none" w:sz="0" w:space="0" w:color="auto"/>
      </w:divBdr>
    </w:div>
    <w:div w:id="11613811">
      <w:bodyDiv w:val="1"/>
      <w:marLeft w:val="0"/>
      <w:marRight w:val="0"/>
      <w:marTop w:val="0"/>
      <w:marBottom w:val="0"/>
      <w:divBdr>
        <w:top w:val="none" w:sz="0" w:space="0" w:color="auto"/>
        <w:left w:val="none" w:sz="0" w:space="0" w:color="auto"/>
        <w:bottom w:val="none" w:sz="0" w:space="0" w:color="auto"/>
        <w:right w:val="none" w:sz="0" w:space="0" w:color="auto"/>
      </w:divBdr>
    </w:div>
    <w:div w:id="12655090">
      <w:bodyDiv w:val="1"/>
      <w:marLeft w:val="0"/>
      <w:marRight w:val="0"/>
      <w:marTop w:val="0"/>
      <w:marBottom w:val="0"/>
      <w:divBdr>
        <w:top w:val="none" w:sz="0" w:space="0" w:color="auto"/>
        <w:left w:val="none" w:sz="0" w:space="0" w:color="auto"/>
        <w:bottom w:val="none" w:sz="0" w:space="0" w:color="auto"/>
        <w:right w:val="none" w:sz="0" w:space="0" w:color="auto"/>
      </w:divBdr>
    </w:div>
    <w:div w:id="17320939">
      <w:bodyDiv w:val="1"/>
      <w:marLeft w:val="0"/>
      <w:marRight w:val="0"/>
      <w:marTop w:val="0"/>
      <w:marBottom w:val="0"/>
      <w:divBdr>
        <w:top w:val="none" w:sz="0" w:space="0" w:color="auto"/>
        <w:left w:val="none" w:sz="0" w:space="0" w:color="auto"/>
        <w:bottom w:val="none" w:sz="0" w:space="0" w:color="auto"/>
        <w:right w:val="none" w:sz="0" w:space="0" w:color="auto"/>
      </w:divBdr>
    </w:div>
    <w:div w:id="24252556">
      <w:bodyDiv w:val="1"/>
      <w:marLeft w:val="0"/>
      <w:marRight w:val="0"/>
      <w:marTop w:val="0"/>
      <w:marBottom w:val="0"/>
      <w:divBdr>
        <w:top w:val="none" w:sz="0" w:space="0" w:color="auto"/>
        <w:left w:val="none" w:sz="0" w:space="0" w:color="auto"/>
        <w:bottom w:val="none" w:sz="0" w:space="0" w:color="auto"/>
        <w:right w:val="none" w:sz="0" w:space="0" w:color="auto"/>
      </w:divBdr>
    </w:div>
    <w:div w:id="28190630">
      <w:bodyDiv w:val="1"/>
      <w:marLeft w:val="0"/>
      <w:marRight w:val="0"/>
      <w:marTop w:val="0"/>
      <w:marBottom w:val="0"/>
      <w:divBdr>
        <w:top w:val="none" w:sz="0" w:space="0" w:color="auto"/>
        <w:left w:val="none" w:sz="0" w:space="0" w:color="auto"/>
        <w:bottom w:val="none" w:sz="0" w:space="0" w:color="auto"/>
        <w:right w:val="none" w:sz="0" w:space="0" w:color="auto"/>
      </w:divBdr>
    </w:div>
    <w:div w:id="35203237">
      <w:bodyDiv w:val="1"/>
      <w:marLeft w:val="0"/>
      <w:marRight w:val="0"/>
      <w:marTop w:val="0"/>
      <w:marBottom w:val="0"/>
      <w:divBdr>
        <w:top w:val="none" w:sz="0" w:space="0" w:color="auto"/>
        <w:left w:val="none" w:sz="0" w:space="0" w:color="auto"/>
        <w:bottom w:val="none" w:sz="0" w:space="0" w:color="auto"/>
        <w:right w:val="none" w:sz="0" w:space="0" w:color="auto"/>
      </w:divBdr>
    </w:div>
    <w:div w:id="41753465">
      <w:bodyDiv w:val="1"/>
      <w:marLeft w:val="0"/>
      <w:marRight w:val="0"/>
      <w:marTop w:val="0"/>
      <w:marBottom w:val="0"/>
      <w:divBdr>
        <w:top w:val="none" w:sz="0" w:space="0" w:color="auto"/>
        <w:left w:val="none" w:sz="0" w:space="0" w:color="auto"/>
        <w:bottom w:val="none" w:sz="0" w:space="0" w:color="auto"/>
        <w:right w:val="none" w:sz="0" w:space="0" w:color="auto"/>
      </w:divBdr>
    </w:div>
    <w:div w:id="43528574">
      <w:bodyDiv w:val="1"/>
      <w:marLeft w:val="0"/>
      <w:marRight w:val="0"/>
      <w:marTop w:val="0"/>
      <w:marBottom w:val="0"/>
      <w:divBdr>
        <w:top w:val="none" w:sz="0" w:space="0" w:color="auto"/>
        <w:left w:val="none" w:sz="0" w:space="0" w:color="auto"/>
        <w:bottom w:val="none" w:sz="0" w:space="0" w:color="auto"/>
        <w:right w:val="none" w:sz="0" w:space="0" w:color="auto"/>
      </w:divBdr>
    </w:div>
    <w:div w:id="45032834">
      <w:bodyDiv w:val="1"/>
      <w:marLeft w:val="0"/>
      <w:marRight w:val="0"/>
      <w:marTop w:val="0"/>
      <w:marBottom w:val="0"/>
      <w:divBdr>
        <w:top w:val="none" w:sz="0" w:space="0" w:color="auto"/>
        <w:left w:val="none" w:sz="0" w:space="0" w:color="auto"/>
        <w:bottom w:val="none" w:sz="0" w:space="0" w:color="auto"/>
        <w:right w:val="none" w:sz="0" w:space="0" w:color="auto"/>
      </w:divBdr>
    </w:div>
    <w:div w:id="47921991">
      <w:bodyDiv w:val="1"/>
      <w:marLeft w:val="0"/>
      <w:marRight w:val="0"/>
      <w:marTop w:val="0"/>
      <w:marBottom w:val="0"/>
      <w:divBdr>
        <w:top w:val="none" w:sz="0" w:space="0" w:color="auto"/>
        <w:left w:val="none" w:sz="0" w:space="0" w:color="auto"/>
        <w:bottom w:val="none" w:sz="0" w:space="0" w:color="auto"/>
        <w:right w:val="none" w:sz="0" w:space="0" w:color="auto"/>
      </w:divBdr>
    </w:div>
    <w:div w:id="47999042">
      <w:bodyDiv w:val="1"/>
      <w:marLeft w:val="0"/>
      <w:marRight w:val="0"/>
      <w:marTop w:val="0"/>
      <w:marBottom w:val="0"/>
      <w:divBdr>
        <w:top w:val="none" w:sz="0" w:space="0" w:color="auto"/>
        <w:left w:val="none" w:sz="0" w:space="0" w:color="auto"/>
        <w:bottom w:val="none" w:sz="0" w:space="0" w:color="auto"/>
        <w:right w:val="none" w:sz="0" w:space="0" w:color="auto"/>
      </w:divBdr>
    </w:div>
    <w:div w:id="48115466">
      <w:bodyDiv w:val="1"/>
      <w:marLeft w:val="0"/>
      <w:marRight w:val="0"/>
      <w:marTop w:val="0"/>
      <w:marBottom w:val="0"/>
      <w:divBdr>
        <w:top w:val="none" w:sz="0" w:space="0" w:color="auto"/>
        <w:left w:val="none" w:sz="0" w:space="0" w:color="auto"/>
        <w:bottom w:val="none" w:sz="0" w:space="0" w:color="auto"/>
        <w:right w:val="none" w:sz="0" w:space="0" w:color="auto"/>
      </w:divBdr>
    </w:div>
    <w:div w:id="57751837">
      <w:bodyDiv w:val="1"/>
      <w:marLeft w:val="0"/>
      <w:marRight w:val="0"/>
      <w:marTop w:val="0"/>
      <w:marBottom w:val="0"/>
      <w:divBdr>
        <w:top w:val="none" w:sz="0" w:space="0" w:color="auto"/>
        <w:left w:val="none" w:sz="0" w:space="0" w:color="auto"/>
        <w:bottom w:val="none" w:sz="0" w:space="0" w:color="auto"/>
        <w:right w:val="none" w:sz="0" w:space="0" w:color="auto"/>
      </w:divBdr>
    </w:div>
    <w:div w:id="57900283">
      <w:bodyDiv w:val="1"/>
      <w:marLeft w:val="0"/>
      <w:marRight w:val="0"/>
      <w:marTop w:val="0"/>
      <w:marBottom w:val="0"/>
      <w:divBdr>
        <w:top w:val="none" w:sz="0" w:space="0" w:color="auto"/>
        <w:left w:val="none" w:sz="0" w:space="0" w:color="auto"/>
        <w:bottom w:val="none" w:sz="0" w:space="0" w:color="auto"/>
        <w:right w:val="none" w:sz="0" w:space="0" w:color="auto"/>
      </w:divBdr>
    </w:div>
    <w:div w:id="64257322">
      <w:bodyDiv w:val="1"/>
      <w:marLeft w:val="0"/>
      <w:marRight w:val="0"/>
      <w:marTop w:val="0"/>
      <w:marBottom w:val="0"/>
      <w:divBdr>
        <w:top w:val="none" w:sz="0" w:space="0" w:color="auto"/>
        <w:left w:val="none" w:sz="0" w:space="0" w:color="auto"/>
        <w:bottom w:val="none" w:sz="0" w:space="0" w:color="auto"/>
        <w:right w:val="none" w:sz="0" w:space="0" w:color="auto"/>
      </w:divBdr>
    </w:div>
    <w:div w:id="74282240">
      <w:bodyDiv w:val="1"/>
      <w:marLeft w:val="0"/>
      <w:marRight w:val="0"/>
      <w:marTop w:val="0"/>
      <w:marBottom w:val="0"/>
      <w:divBdr>
        <w:top w:val="none" w:sz="0" w:space="0" w:color="auto"/>
        <w:left w:val="none" w:sz="0" w:space="0" w:color="auto"/>
        <w:bottom w:val="none" w:sz="0" w:space="0" w:color="auto"/>
        <w:right w:val="none" w:sz="0" w:space="0" w:color="auto"/>
      </w:divBdr>
    </w:div>
    <w:div w:id="80151797">
      <w:bodyDiv w:val="1"/>
      <w:marLeft w:val="0"/>
      <w:marRight w:val="0"/>
      <w:marTop w:val="0"/>
      <w:marBottom w:val="0"/>
      <w:divBdr>
        <w:top w:val="none" w:sz="0" w:space="0" w:color="auto"/>
        <w:left w:val="none" w:sz="0" w:space="0" w:color="auto"/>
        <w:bottom w:val="none" w:sz="0" w:space="0" w:color="auto"/>
        <w:right w:val="none" w:sz="0" w:space="0" w:color="auto"/>
      </w:divBdr>
    </w:div>
    <w:div w:id="83840900">
      <w:bodyDiv w:val="1"/>
      <w:marLeft w:val="0"/>
      <w:marRight w:val="0"/>
      <w:marTop w:val="0"/>
      <w:marBottom w:val="0"/>
      <w:divBdr>
        <w:top w:val="none" w:sz="0" w:space="0" w:color="auto"/>
        <w:left w:val="none" w:sz="0" w:space="0" w:color="auto"/>
        <w:bottom w:val="none" w:sz="0" w:space="0" w:color="auto"/>
        <w:right w:val="none" w:sz="0" w:space="0" w:color="auto"/>
      </w:divBdr>
    </w:div>
    <w:div w:id="91702729">
      <w:bodyDiv w:val="1"/>
      <w:marLeft w:val="0"/>
      <w:marRight w:val="0"/>
      <w:marTop w:val="0"/>
      <w:marBottom w:val="0"/>
      <w:divBdr>
        <w:top w:val="none" w:sz="0" w:space="0" w:color="auto"/>
        <w:left w:val="none" w:sz="0" w:space="0" w:color="auto"/>
        <w:bottom w:val="none" w:sz="0" w:space="0" w:color="auto"/>
        <w:right w:val="none" w:sz="0" w:space="0" w:color="auto"/>
      </w:divBdr>
    </w:div>
    <w:div w:id="95254894">
      <w:bodyDiv w:val="1"/>
      <w:marLeft w:val="0"/>
      <w:marRight w:val="0"/>
      <w:marTop w:val="0"/>
      <w:marBottom w:val="0"/>
      <w:divBdr>
        <w:top w:val="none" w:sz="0" w:space="0" w:color="auto"/>
        <w:left w:val="none" w:sz="0" w:space="0" w:color="auto"/>
        <w:bottom w:val="none" w:sz="0" w:space="0" w:color="auto"/>
        <w:right w:val="none" w:sz="0" w:space="0" w:color="auto"/>
      </w:divBdr>
    </w:div>
    <w:div w:id="109015977">
      <w:bodyDiv w:val="1"/>
      <w:marLeft w:val="0"/>
      <w:marRight w:val="0"/>
      <w:marTop w:val="0"/>
      <w:marBottom w:val="0"/>
      <w:divBdr>
        <w:top w:val="none" w:sz="0" w:space="0" w:color="auto"/>
        <w:left w:val="none" w:sz="0" w:space="0" w:color="auto"/>
        <w:bottom w:val="none" w:sz="0" w:space="0" w:color="auto"/>
        <w:right w:val="none" w:sz="0" w:space="0" w:color="auto"/>
      </w:divBdr>
    </w:div>
    <w:div w:id="110828653">
      <w:bodyDiv w:val="1"/>
      <w:marLeft w:val="0"/>
      <w:marRight w:val="0"/>
      <w:marTop w:val="0"/>
      <w:marBottom w:val="0"/>
      <w:divBdr>
        <w:top w:val="none" w:sz="0" w:space="0" w:color="auto"/>
        <w:left w:val="none" w:sz="0" w:space="0" w:color="auto"/>
        <w:bottom w:val="none" w:sz="0" w:space="0" w:color="auto"/>
        <w:right w:val="none" w:sz="0" w:space="0" w:color="auto"/>
      </w:divBdr>
    </w:div>
    <w:div w:id="114057115">
      <w:bodyDiv w:val="1"/>
      <w:marLeft w:val="0"/>
      <w:marRight w:val="0"/>
      <w:marTop w:val="0"/>
      <w:marBottom w:val="0"/>
      <w:divBdr>
        <w:top w:val="none" w:sz="0" w:space="0" w:color="auto"/>
        <w:left w:val="none" w:sz="0" w:space="0" w:color="auto"/>
        <w:bottom w:val="none" w:sz="0" w:space="0" w:color="auto"/>
        <w:right w:val="none" w:sz="0" w:space="0" w:color="auto"/>
      </w:divBdr>
    </w:div>
    <w:div w:id="124275185">
      <w:bodyDiv w:val="1"/>
      <w:marLeft w:val="0"/>
      <w:marRight w:val="0"/>
      <w:marTop w:val="0"/>
      <w:marBottom w:val="0"/>
      <w:divBdr>
        <w:top w:val="none" w:sz="0" w:space="0" w:color="auto"/>
        <w:left w:val="none" w:sz="0" w:space="0" w:color="auto"/>
        <w:bottom w:val="none" w:sz="0" w:space="0" w:color="auto"/>
        <w:right w:val="none" w:sz="0" w:space="0" w:color="auto"/>
      </w:divBdr>
    </w:div>
    <w:div w:id="130053630">
      <w:bodyDiv w:val="1"/>
      <w:marLeft w:val="0"/>
      <w:marRight w:val="0"/>
      <w:marTop w:val="0"/>
      <w:marBottom w:val="0"/>
      <w:divBdr>
        <w:top w:val="none" w:sz="0" w:space="0" w:color="auto"/>
        <w:left w:val="none" w:sz="0" w:space="0" w:color="auto"/>
        <w:bottom w:val="none" w:sz="0" w:space="0" w:color="auto"/>
        <w:right w:val="none" w:sz="0" w:space="0" w:color="auto"/>
      </w:divBdr>
    </w:div>
    <w:div w:id="133374380">
      <w:bodyDiv w:val="1"/>
      <w:marLeft w:val="0"/>
      <w:marRight w:val="0"/>
      <w:marTop w:val="0"/>
      <w:marBottom w:val="0"/>
      <w:divBdr>
        <w:top w:val="none" w:sz="0" w:space="0" w:color="auto"/>
        <w:left w:val="none" w:sz="0" w:space="0" w:color="auto"/>
        <w:bottom w:val="none" w:sz="0" w:space="0" w:color="auto"/>
        <w:right w:val="none" w:sz="0" w:space="0" w:color="auto"/>
      </w:divBdr>
    </w:div>
    <w:div w:id="139033243">
      <w:bodyDiv w:val="1"/>
      <w:marLeft w:val="0"/>
      <w:marRight w:val="0"/>
      <w:marTop w:val="0"/>
      <w:marBottom w:val="0"/>
      <w:divBdr>
        <w:top w:val="none" w:sz="0" w:space="0" w:color="auto"/>
        <w:left w:val="none" w:sz="0" w:space="0" w:color="auto"/>
        <w:bottom w:val="none" w:sz="0" w:space="0" w:color="auto"/>
        <w:right w:val="none" w:sz="0" w:space="0" w:color="auto"/>
      </w:divBdr>
      <w:divsChild>
        <w:div w:id="1117796389">
          <w:marLeft w:val="-225"/>
          <w:marRight w:val="-225"/>
          <w:marTop w:val="0"/>
          <w:marBottom w:val="450"/>
          <w:divBdr>
            <w:top w:val="none" w:sz="0" w:space="0" w:color="auto"/>
            <w:left w:val="none" w:sz="0" w:space="0" w:color="auto"/>
            <w:bottom w:val="none" w:sz="0" w:space="0" w:color="auto"/>
            <w:right w:val="none" w:sz="0" w:space="0" w:color="auto"/>
          </w:divBdr>
          <w:divsChild>
            <w:div w:id="1598445969">
              <w:marLeft w:val="0"/>
              <w:marRight w:val="0"/>
              <w:marTop w:val="0"/>
              <w:marBottom w:val="0"/>
              <w:divBdr>
                <w:top w:val="none" w:sz="0" w:space="0" w:color="auto"/>
                <w:left w:val="none" w:sz="0" w:space="0" w:color="auto"/>
                <w:bottom w:val="none" w:sz="0" w:space="0" w:color="auto"/>
                <w:right w:val="none" w:sz="0" w:space="0" w:color="auto"/>
              </w:divBdr>
              <w:divsChild>
                <w:div w:id="81800618">
                  <w:marLeft w:val="0"/>
                  <w:marRight w:val="0"/>
                  <w:marTop w:val="0"/>
                  <w:marBottom w:val="0"/>
                  <w:divBdr>
                    <w:top w:val="none" w:sz="0" w:space="0" w:color="auto"/>
                    <w:left w:val="none" w:sz="0" w:space="0" w:color="auto"/>
                    <w:bottom w:val="none" w:sz="0" w:space="0" w:color="auto"/>
                    <w:right w:val="none" w:sz="0" w:space="0" w:color="auto"/>
                  </w:divBdr>
                  <w:divsChild>
                    <w:div w:id="1108430059">
                      <w:marLeft w:val="0"/>
                      <w:marRight w:val="0"/>
                      <w:marTop w:val="0"/>
                      <w:marBottom w:val="0"/>
                      <w:divBdr>
                        <w:top w:val="none" w:sz="0" w:space="0" w:color="auto"/>
                        <w:left w:val="none" w:sz="0" w:space="0" w:color="auto"/>
                        <w:bottom w:val="none" w:sz="0" w:space="0" w:color="auto"/>
                        <w:right w:val="none" w:sz="0" w:space="0" w:color="auto"/>
                      </w:divBdr>
                      <w:divsChild>
                        <w:div w:id="1782872124">
                          <w:marLeft w:val="0"/>
                          <w:marRight w:val="0"/>
                          <w:marTop w:val="0"/>
                          <w:marBottom w:val="0"/>
                          <w:divBdr>
                            <w:top w:val="none" w:sz="0" w:space="0" w:color="auto"/>
                            <w:left w:val="none" w:sz="0" w:space="0" w:color="auto"/>
                            <w:bottom w:val="none" w:sz="0" w:space="0" w:color="auto"/>
                            <w:right w:val="none" w:sz="0" w:space="0" w:color="auto"/>
                          </w:divBdr>
                          <w:divsChild>
                            <w:div w:id="1679575905">
                              <w:marLeft w:val="0"/>
                              <w:marRight w:val="0"/>
                              <w:marTop w:val="0"/>
                              <w:marBottom w:val="0"/>
                              <w:divBdr>
                                <w:top w:val="none" w:sz="0" w:space="0" w:color="auto"/>
                                <w:left w:val="none" w:sz="0" w:space="0" w:color="auto"/>
                                <w:bottom w:val="none" w:sz="0" w:space="0" w:color="auto"/>
                                <w:right w:val="none" w:sz="0" w:space="0" w:color="auto"/>
                              </w:divBdr>
                              <w:divsChild>
                                <w:div w:id="58863709">
                                  <w:marLeft w:val="0"/>
                                  <w:marRight w:val="0"/>
                                  <w:marTop w:val="0"/>
                                  <w:marBottom w:val="0"/>
                                  <w:divBdr>
                                    <w:top w:val="none" w:sz="0" w:space="0" w:color="auto"/>
                                    <w:left w:val="none" w:sz="0" w:space="0" w:color="auto"/>
                                    <w:bottom w:val="none" w:sz="0" w:space="0" w:color="auto"/>
                                    <w:right w:val="none" w:sz="0" w:space="0" w:color="auto"/>
                                  </w:divBdr>
                                  <w:divsChild>
                                    <w:div w:id="503401160">
                                      <w:marLeft w:val="0"/>
                                      <w:marRight w:val="0"/>
                                      <w:marTop w:val="0"/>
                                      <w:marBottom w:val="0"/>
                                      <w:divBdr>
                                        <w:top w:val="none" w:sz="0" w:space="0" w:color="auto"/>
                                        <w:left w:val="none" w:sz="0" w:space="0" w:color="auto"/>
                                        <w:bottom w:val="none" w:sz="0" w:space="0" w:color="auto"/>
                                        <w:right w:val="none" w:sz="0" w:space="0" w:color="auto"/>
                                      </w:divBdr>
                                    </w:div>
                                  </w:divsChild>
                                </w:div>
                                <w:div w:id="1368142731">
                                  <w:marLeft w:val="0"/>
                                  <w:marRight w:val="0"/>
                                  <w:marTop w:val="0"/>
                                  <w:marBottom w:val="0"/>
                                  <w:divBdr>
                                    <w:top w:val="none" w:sz="0" w:space="0" w:color="auto"/>
                                    <w:left w:val="none" w:sz="0" w:space="0" w:color="auto"/>
                                    <w:bottom w:val="none" w:sz="0" w:space="0" w:color="auto"/>
                                    <w:right w:val="none" w:sz="0" w:space="0" w:color="auto"/>
                                  </w:divBdr>
                                  <w:divsChild>
                                    <w:div w:id="159115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141036">
          <w:marLeft w:val="-225"/>
          <w:marRight w:val="-225"/>
          <w:marTop w:val="0"/>
          <w:marBottom w:val="450"/>
          <w:divBdr>
            <w:top w:val="none" w:sz="0" w:space="0" w:color="auto"/>
            <w:left w:val="none" w:sz="0" w:space="0" w:color="auto"/>
            <w:bottom w:val="none" w:sz="0" w:space="0" w:color="auto"/>
            <w:right w:val="none" w:sz="0" w:space="0" w:color="auto"/>
          </w:divBdr>
          <w:divsChild>
            <w:div w:id="1916356089">
              <w:marLeft w:val="0"/>
              <w:marRight w:val="0"/>
              <w:marTop w:val="0"/>
              <w:marBottom w:val="0"/>
              <w:divBdr>
                <w:top w:val="none" w:sz="0" w:space="0" w:color="auto"/>
                <w:left w:val="none" w:sz="0" w:space="0" w:color="auto"/>
                <w:bottom w:val="none" w:sz="0" w:space="0" w:color="auto"/>
                <w:right w:val="none" w:sz="0" w:space="0" w:color="auto"/>
              </w:divBdr>
              <w:divsChild>
                <w:div w:id="92781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0731">
      <w:bodyDiv w:val="1"/>
      <w:marLeft w:val="0"/>
      <w:marRight w:val="0"/>
      <w:marTop w:val="0"/>
      <w:marBottom w:val="0"/>
      <w:divBdr>
        <w:top w:val="none" w:sz="0" w:space="0" w:color="auto"/>
        <w:left w:val="none" w:sz="0" w:space="0" w:color="auto"/>
        <w:bottom w:val="none" w:sz="0" w:space="0" w:color="auto"/>
        <w:right w:val="none" w:sz="0" w:space="0" w:color="auto"/>
      </w:divBdr>
    </w:div>
    <w:div w:id="148176972">
      <w:bodyDiv w:val="1"/>
      <w:marLeft w:val="0"/>
      <w:marRight w:val="0"/>
      <w:marTop w:val="0"/>
      <w:marBottom w:val="0"/>
      <w:divBdr>
        <w:top w:val="none" w:sz="0" w:space="0" w:color="auto"/>
        <w:left w:val="none" w:sz="0" w:space="0" w:color="auto"/>
        <w:bottom w:val="none" w:sz="0" w:space="0" w:color="auto"/>
        <w:right w:val="none" w:sz="0" w:space="0" w:color="auto"/>
      </w:divBdr>
    </w:div>
    <w:div w:id="151333323">
      <w:bodyDiv w:val="1"/>
      <w:marLeft w:val="0"/>
      <w:marRight w:val="0"/>
      <w:marTop w:val="0"/>
      <w:marBottom w:val="0"/>
      <w:divBdr>
        <w:top w:val="none" w:sz="0" w:space="0" w:color="auto"/>
        <w:left w:val="none" w:sz="0" w:space="0" w:color="auto"/>
        <w:bottom w:val="none" w:sz="0" w:space="0" w:color="auto"/>
        <w:right w:val="none" w:sz="0" w:space="0" w:color="auto"/>
      </w:divBdr>
    </w:div>
    <w:div w:id="166217353">
      <w:bodyDiv w:val="1"/>
      <w:marLeft w:val="0"/>
      <w:marRight w:val="0"/>
      <w:marTop w:val="0"/>
      <w:marBottom w:val="0"/>
      <w:divBdr>
        <w:top w:val="none" w:sz="0" w:space="0" w:color="auto"/>
        <w:left w:val="none" w:sz="0" w:space="0" w:color="auto"/>
        <w:bottom w:val="none" w:sz="0" w:space="0" w:color="auto"/>
        <w:right w:val="none" w:sz="0" w:space="0" w:color="auto"/>
      </w:divBdr>
    </w:div>
    <w:div w:id="167060390">
      <w:bodyDiv w:val="1"/>
      <w:marLeft w:val="0"/>
      <w:marRight w:val="0"/>
      <w:marTop w:val="0"/>
      <w:marBottom w:val="0"/>
      <w:divBdr>
        <w:top w:val="none" w:sz="0" w:space="0" w:color="auto"/>
        <w:left w:val="none" w:sz="0" w:space="0" w:color="auto"/>
        <w:bottom w:val="none" w:sz="0" w:space="0" w:color="auto"/>
        <w:right w:val="none" w:sz="0" w:space="0" w:color="auto"/>
      </w:divBdr>
    </w:div>
    <w:div w:id="172307583">
      <w:bodyDiv w:val="1"/>
      <w:marLeft w:val="0"/>
      <w:marRight w:val="0"/>
      <w:marTop w:val="0"/>
      <w:marBottom w:val="0"/>
      <w:divBdr>
        <w:top w:val="none" w:sz="0" w:space="0" w:color="auto"/>
        <w:left w:val="none" w:sz="0" w:space="0" w:color="auto"/>
        <w:bottom w:val="none" w:sz="0" w:space="0" w:color="auto"/>
        <w:right w:val="none" w:sz="0" w:space="0" w:color="auto"/>
      </w:divBdr>
    </w:div>
    <w:div w:id="185601379">
      <w:bodyDiv w:val="1"/>
      <w:marLeft w:val="0"/>
      <w:marRight w:val="0"/>
      <w:marTop w:val="0"/>
      <w:marBottom w:val="0"/>
      <w:divBdr>
        <w:top w:val="none" w:sz="0" w:space="0" w:color="auto"/>
        <w:left w:val="none" w:sz="0" w:space="0" w:color="auto"/>
        <w:bottom w:val="none" w:sz="0" w:space="0" w:color="auto"/>
        <w:right w:val="none" w:sz="0" w:space="0" w:color="auto"/>
      </w:divBdr>
      <w:divsChild>
        <w:div w:id="399179950">
          <w:marLeft w:val="0"/>
          <w:marRight w:val="0"/>
          <w:marTop w:val="0"/>
          <w:marBottom w:val="0"/>
          <w:divBdr>
            <w:top w:val="none" w:sz="0" w:space="0" w:color="auto"/>
            <w:left w:val="none" w:sz="0" w:space="0" w:color="auto"/>
            <w:bottom w:val="none" w:sz="0" w:space="0" w:color="auto"/>
            <w:right w:val="none" w:sz="0" w:space="0" w:color="auto"/>
          </w:divBdr>
        </w:div>
        <w:div w:id="644046692">
          <w:marLeft w:val="0"/>
          <w:marRight w:val="0"/>
          <w:marTop w:val="0"/>
          <w:marBottom w:val="0"/>
          <w:divBdr>
            <w:top w:val="none" w:sz="0" w:space="0" w:color="auto"/>
            <w:left w:val="none" w:sz="0" w:space="0" w:color="auto"/>
            <w:bottom w:val="none" w:sz="0" w:space="0" w:color="auto"/>
            <w:right w:val="none" w:sz="0" w:space="0" w:color="auto"/>
          </w:divBdr>
        </w:div>
        <w:div w:id="664163717">
          <w:marLeft w:val="0"/>
          <w:marRight w:val="0"/>
          <w:marTop w:val="0"/>
          <w:marBottom w:val="0"/>
          <w:divBdr>
            <w:top w:val="none" w:sz="0" w:space="0" w:color="auto"/>
            <w:left w:val="none" w:sz="0" w:space="0" w:color="auto"/>
            <w:bottom w:val="none" w:sz="0" w:space="0" w:color="auto"/>
            <w:right w:val="none" w:sz="0" w:space="0" w:color="auto"/>
          </w:divBdr>
        </w:div>
        <w:div w:id="912085891">
          <w:marLeft w:val="0"/>
          <w:marRight w:val="0"/>
          <w:marTop w:val="0"/>
          <w:marBottom w:val="0"/>
          <w:divBdr>
            <w:top w:val="none" w:sz="0" w:space="0" w:color="auto"/>
            <w:left w:val="none" w:sz="0" w:space="0" w:color="auto"/>
            <w:bottom w:val="none" w:sz="0" w:space="0" w:color="auto"/>
            <w:right w:val="none" w:sz="0" w:space="0" w:color="auto"/>
          </w:divBdr>
        </w:div>
        <w:div w:id="926621796">
          <w:marLeft w:val="0"/>
          <w:marRight w:val="0"/>
          <w:marTop w:val="0"/>
          <w:marBottom w:val="0"/>
          <w:divBdr>
            <w:top w:val="none" w:sz="0" w:space="0" w:color="auto"/>
            <w:left w:val="none" w:sz="0" w:space="0" w:color="auto"/>
            <w:bottom w:val="none" w:sz="0" w:space="0" w:color="auto"/>
            <w:right w:val="none" w:sz="0" w:space="0" w:color="auto"/>
          </w:divBdr>
        </w:div>
        <w:div w:id="1801413206">
          <w:marLeft w:val="0"/>
          <w:marRight w:val="0"/>
          <w:marTop w:val="0"/>
          <w:marBottom w:val="0"/>
          <w:divBdr>
            <w:top w:val="none" w:sz="0" w:space="0" w:color="auto"/>
            <w:left w:val="none" w:sz="0" w:space="0" w:color="auto"/>
            <w:bottom w:val="none" w:sz="0" w:space="0" w:color="auto"/>
            <w:right w:val="none" w:sz="0" w:space="0" w:color="auto"/>
          </w:divBdr>
        </w:div>
        <w:div w:id="2040272241">
          <w:marLeft w:val="0"/>
          <w:marRight w:val="0"/>
          <w:marTop w:val="0"/>
          <w:marBottom w:val="0"/>
          <w:divBdr>
            <w:top w:val="none" w:sz="0" w:space="0" w:color="auto"/>
            <w:left w:val="none" w:sz="0" w:space="0" w:color="auto"/>
            <w:bottom w:val="none" w:sz="0" w:space="0" w:color="auto"/>
            <w:right w:val="none" w:sz="0" w:space="0" w:color="auto"/>
          </w:divBdr>
        </w:div>
      </w:divsChild>
    </w:div>
    <w:div w:id="196816045">
      <w:bodyDiv w:val="1"/>
      <w:marLeft w:val="0"/>
      <w:marRight w:val="0"/>
      <w:marTop w:val="0"/>
      <w:marBottom w:val="0"/>
      <w:divBdr>
        <w:top w:val="none" w:sz="0" w:space="0" w:color="auto"/>
        <w:left w:val="none" w:sz="0" w:space="0" w:color="auto"/>
        <w:bottom w:val="none" w:sz="0" w:space="0" w:color="auto"/>
        <w:right w:val="none" w:sz="0" w:space="0" w:color="auto"/>
      </w:divBdr>
    </w:div>
    <w:div w:id="199557131">
      <w:bodyDiv w:val="1"/>
      <w:marLeft w:val="0"/>
      <w:marRight w:val="0"/>
      <w:marTop w:val="0"/>
      <w:marBottom w:val="0"/>
      <w:divBdr>
        <w:top w:val="none" w:sz="0" w:space="0" w:color="auto"/>
        <w:left w:val="none" w:sz="0" w:space="0" w:color="auto"/>
        <w:bottom w:val="none" w:sz="0" w:space="0" w:color="auto"/>
        <w:right w:val="none" w:sz="0" w:space="0" w:color="auto"/>
      </w:divBdr>
    </w:div>
    <w:div w:id="212158317">
      <w:bodyDiv w:val="1"/>
      <w:marLeft w:val="0"/>
      <w:marRight w:val="0"/>
      <w:marTop w:val="0"/>
      <w:marBottom w:val="0"/>
      <w:divBdr>
        <w:top w:val="none" w:sz="0" w:space="0" w:color="auto"/>
        <w:left w:val="none" w:sz="0" w:space="0" w:color="auto"/>
        <w:bottom w:val="none" w:sz="0" w:space="0" w:color="auto"/>
        <w:right w:val="none" w:sz="0" w:space="0" w:color="auto"/>
      </w:divBdr>
    </w:div>
    <w:div w:id="213467013">
      <w:bodyDiv w:val="1"/>
      <w:marLeft w:val="0"/>
      <w:marRight w:val="0"/>
      <w:marTop w:val="0"/>
      <w:marBottom w:val="0"/>
      <w:divBdr>
        <w:top w:val="none" w:sz="0" w:space="0" w:color="auto"/>
        <w:left w:val="none" w:sz="0" w:space="0" w:color="auto"/>
        <w:bottom w:val="none" w:sz="0" w:space="0" w:color="auto"/>
        <w:right w:val="none" w:sz="0" w:space="0" w:color="auto"/>
      </w:divBdr>
    </w:div>
    <w:div w:id="217477048">
      <w:bodyDiv w:val="1"/>
      <w:marLeft w:val="0"/>
      <w:marRight w:val="0"/>
      <w:marTop w:val="0"/>
      <w:marBottom w:val="0"/>
      <w:divBdr>
        <w:top w:val="none" w:sz="0" w:space="0" w:color="auto"/>
        <w:left w:val="none" w:sz="0" w:space="0" w:color="auto"/>
        <w:bottom w:val="none" w:sz="0" w:space="0" w:color="auto"/>
        <w:right w:val="none" w:sz="0" w:space="0" w:color="auto"/>
      </w:divBdr>
    </w:div>
    <w:div w:id="226494805">
      <w:bodyDiv w:val="1"/>
      <w:marLeft w:val="0"/>
      <w:marRight w:val="0"/>
      <w:marTop w:val="0"/>
      <w:marBottom w:val="0"/>
      <w:divBdr>
        <w:top w:val="none" w:sz="0" w:space="0" w:color="auto"/>
        <w:left w:val="none" w:sz="0" w:space="0" w:color="auto"/>
        <w:bottom w:val="none" w:sz="0" w:space="0" w:color="auto"/>
        <w:right w:val="none" w:sz="0" w:space="0" w:color="auto"/>
      </w:divBdr>
    </w:div>
    <w:div w:id="227347501">
      <w:bodyDiv w:val="1"/>
      <w:marLeft w:val="0"/>
      <w:marRight w:val="0"/>
      <w:marTop w:val="0"/>
      <w:marBottom w:val="0"/>
      <w:divBdr>
        <w:top w:val="none" w:sz="0" w:space="0" w:color="auto"/>
        <w:left w:val="none" w:sz="0" w:space="0" w:color="auto"/>
        <w:bottom w:val="none" w:sz="0" w:space="0" w:color="auto"/>
        <w:right w:val="none" w:sz="0" w:space="0" w:color="auto"/>
      </w:divBdr>
    </w:div>
    <w:div w:id="228419298">
      <w:bodyDiv w:val="1"/>
      <w:marLeft w:val="0"/>
      <w:marRight w:val="0"/>
      <w:marTop w:val="0"/>
      <w:marBottom w:val="0"/>
      <w:divBdr>
        <w:top w:val="none" w:sz="0" w:space="0" w:color="auto"/>
        <w:left w:val="none" w:sz="0" w:space="0" w:color="auto"/>
        <w:bottom w:val="none" w:sz="0" w:space="0" w:color="auto"/>
        <w:right w:val="none" w:sz="0" w:space="0" w:color="auto"/>
      </w:divBdr>
    </w:div>
    <w:div w:id="235550298">
      <w:bodyDiv w:val="1"/>
      <w:marLeft w:val="0"/>
      <w:marRight w:val="0"/>
      <w:marTop w:val="0"/>
      <w:marBottom w:val="0"/>
      <w:divBdr>
        <w:top w:val="none" w:sz="0" w:space="0" w:color="auto"/>
        <w:left w:val="none" w:sz="0" w:space="0" w:color="auto"/>
        <w:bottom w:val="none" w:sz="0" w:space="0" w:color="auto"/>
        <w:right w:val="none" w:sz="0" w:space="0" w:color="auto"/>
      </w:divBdr>
      <w:divsChild>
        <w:div w:id="319236913">
          <w:marLeft w:val="0"/>
          <w:marRight w:val="0"/>
          <w:marTop w:val="0"/>
          <w:marBottom w:val="0"/>
          <w:divBdr>
            <w:top w:val="none" w:sz="0" w:space="0" w:color="auto"/>
            <w:left w:val="none" w:sz="0" w:space="0" w:color="auto"/>
            <w:bottom w:val="none" w:sz="0" w:space="0" w:color="auto"/>
            <w:right w:val="none" w:sz="0" w:space="0" w:color="auto"/>
          </w:divBdr>
          <w:divsChild>
            <w:div w:id="7943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38459">
      <w:bodyDiv w:val="1"/>
      <w:marLeft w:val="0"/>
      <w:marRight w:val="0"/>
      <w:marTop w:val="0"/>
      <w:marBottom w:val="0"/>
      <w:divBdr>
        <w:top w:val="none" w:sz="0" w:space="0" w:color="auto"/>
        <w:left w:val="none" w:sz="0" w:space="0" w:color="auto"/>
        <w:bottom w:val="none" w:sz="0" w:space="0" w:color="auto"/>
        <w:right w:val="none" w:sz="0" w:space="0" w:color="auto"/>
      </w:divBdr>
    </w:div>
    <w:div w:id="241724680">
      <w:bodyDiv w:val="1"/>
      <w:marLeft w:val="0"/>
      <w:marRight w:val="0"/>
      <w:marTop w:val="0"/>
      <w:marBottom w:val="0"/>
      <w:divBdr>
        <w:top w:val="none" w:sz="0" w:space="0" w:color="auto"/>
        <w:left w:val="none" w:sz="0" w:space="0" w:color="auto"/>
        <w:bottom w:val="none" w:sz="0" w:space="0" w:color="auto"/>
        <w:right w:val="none" w:sz="0" w:space="0" w:color="auto"/>
      </w:divBdr>
      <w:divsChild>
        <w:div w:id="26109107">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8860">
          <w:blockQuote w:val="1"/>
          <w:marLeft w:val="720"/>
          <w:marRight w:val="720"/>
          <w:marTop w:val="100"/>
          <w:marBottom w:val="100"/>
          <w:divBdr>
            <w:top w:val="none" w:sz="0" w:space="0" w:color="auto"/>
            <w:left w:val="none" w:sz="0" w:space="0" w:color="auto"/>
            <w:bottom w:val="none" w:sz="0" w:space="0" w:color="auto"/>
            <w:right w:val="none" w:sz="0" w:space="0" w:color="auto"/>
          </w:divBdr>
        </w:div>
        <w:div w:id="46939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549264545">
          <w:blockQuote w:val="1"/>
          <w:marLeft w:val="720"/>
          <w:marRight w:val="720"/>
          <w:marTop w:val="100"/>
          <w:marBottom w:val="100"/>
          <w:divBdr>
            <w:top w:val="none" w:sz="0" w:space="0" w:color="auto"/>
            <w:left w:val="none" w:sz="0" w:space="0" w:color="auto"/>
            <w:bottom w:val="none" w:sz="0" w:space="0" w:color="auto"/>
            <w:right w:val="none" w:sz="0" w:space="0" w:color="auto"/>
          </w:divBdr>
        </w:div>
        <w:div w:id="96550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50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6186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1664506">
      <w:bodyDiv w:val="1"/>
      <w:marLeft w:val="0"/>
      <w:marRight w:val="0"/>
      <w:marTop w:val="0"/>
      <w:marBottom w:val="0"/>
      <w:divBdr>
        <w:top w:val="none" w:sz="0" w:space="0" w:color="auto"/>
        <w:left w:val="none" w:sz="0" w:space="0" w:color="auto"/>
        <w:bottom w:val="none" w:sz="0" w:space="0" w:color="auto"/>
        <w:right w:val="none" w:sz="0" w:space="0" w:color="auto"/>
      </w:divBdr>
    </w:div>
    <w:div w:id="255748585">
      <w:bodyDiv w:val="1"/>
      <w:marLeft w:val="0"/>
      <w:marRight w:val="0"/>
      <w:marTop w:val="0"/>
      <w:marBottom w:val="0"/>
      <w:divBdr>
        <w:top w:val="none" w:sz="0" w:space="0" w:color="auto"/>
        <w:left w:val="none" w:sz="0" w:space="0" w:color="auto"/>
        <w:bottom w:val="none" w:sz="0" w:space="0" w:color="auto"/>
        <w:right w:val="none" w:sz="0" w:space="0" w:color="auto"/>
      </w:divBdr>
    </w:div>
    <w:div w:id="257104035">
      <w:bodyDiv w:val="1"/>
      <w:marLeft w:val="0"/>
      <w:marRight w:val="0"/>
      <w:marTop w:val="0"/>
      <w:marBottom w:val="0"/>
      <w:divBdr>
        <w:top w:val="none" w:sz="0" w:space="0" w:color="auto"/>
        <w:left w:val="none" w:sz="0" w:space="0" w:color="auto"/>
        <w:bottom w:val="none" w:sz="0" w:space="0" w:color="auto"/>
        <w:right w:val="none" w:sz="0" w:space="0" w:color="auto"/>
      </w:divBdr>
    </w:div>
    <w:div w:id="258221398">
      <w:bodyDiv w:val="1"/>
      <w:marLeft w:val="0"/>
      <w:marRight w:val="0"/>
      <w:marTop w:val="0"/>
      <w:marBottom w:val="0"/>
      <w:divBdr>
        <w:top w:val="none" w:sz="0" w:space="0" w:color="auto"/>
        <w:left w:val="none" w:sz="0" w:space="0" w:color="auto"/>
        <w:bottom w:val="none" w:sz="0" w:space="0" w:color="auto"/>
        <w:right w:val="none" w:sz="0" w:space="0" w:color="auto"/>
      </w:divBdr>
    </w:div>
    <w:div w:id="261573440">
      <w:bodyDiv w:val="1"/>
      <w:marLeft w:val="0"/>
      <w:marRight w:val="0"/>
      <w:marTop w:val="0"/>
      <w:marBottom w:val="0"/>
      <w:divBdr>
        <w:top w:val="none" w:sz="0" w:space="0" w:color="auto"/>
        <w:left w:val="none" w:sz="0" w:space="0" w:color="auto"/>
        <w:bottom w:val="none" w:sz="0" w:space="0" w:color="auto"/>
        <w:right w:val="none" w:sz="0" w:space="0" w:color="auto"/>
      </w:divBdr>
    </w:div>
    <w:div w:id="262688711">
      <w:bodyDiv w:val="1"/>
      <w:marLeft w:val="0"/>
      <w:marRight w:val="0"/>
      <w:marTop w:val="0"/>
      <w:marBottom w:val="0"/>
      <w:divBdr>
        <w:top w:val="none" w:sz="0" w:space="0" w:color="auto"/>
        <w:left w:val="none" w:sz="0" w:space="0" w:color="auto"/>
        <w:bottom w:val="none" w:sz="0" w:space="0" w:color="auto"/>
        <w:right w:val="none" w:sz="0" w:space="0" w:color="auto"/>
      </w:divBdr>
      <w:divsChild>
        <w:div w:id="1569195414">
          <w:marLeft w:val="0"/>
          <w:marRight w:val="0"/>
          <w:marTop w:val="0"/>
          <w:marBottom w:val="0"/>
          <w:divBdr>
            <w:top w:val="none" w:sz="0" w:space="0" w:color="auto"/>
            <w:left w:val="none" w:sz="0" w:space="0" w:color="auto"/>
            <w:bottom w:val="none" w:sz="0" w:space="0" w:color="auto"/>
            <w:right w:val="none" w:sz="0" w:space="0" w:color="auto"/>
          </w:divBdr>
          <w:divsChild>
            <w:div w:id="2035376411">
              <w:marLeft w:val="0"/>
              <w:marRight w:val="0"/>
              <w:marTop w:val="0"/>
              <w:marBottom w:val="0"/>
              <w:divBdr>
                <w:top w:val="none" w:sz="0" w:space="0" w:color="auto"/>
                <w:left w:val="none" w:sz="0" w:space="0" w:color="auto"/>
                <w:bottom w:val="none" w:sz="0" w:space="0" w:color="auto"/>
                <w:right w:val="none" w:sz="0" w:space="0" w:color="auto"/>
              </w:divBdr>
            </w:div>
          </w:divsChild>
        </w:div>
        <w:div w:id="1680619560">
          <w:marLeft w:val="0"/>
          <w:marRight w:val="0"/>
          <w:marTop w:val="0"/>
          <w:marBottom w:val="0"/>
          <w:divBdr>
            <w:top w:val="none" w:sz="0" w:space="0" w:color="auto"/>
            <w:left w:val="none" w:sz="0" w:space="0" w:color="auto"/>
            <w:bottom w:val="none" w:sz="0" w:space="0" w:color="auto"/>
            <w:right w:val="none" w:sz="0" w:space="0" w:color="auto"/>
          </w:divBdr>
          <w:divsChild>
            <w:div w:id="1965035640">
              <w:marLeft w:val="0"/>
              <w:marRight w:val="0"/>
              <w:marTop w:val="0"/>
              <w:marBottom w:val="0"/>
              <w:divBdr>
                <w:top w:val="none" w:sz="0" w:space="0" w:color="auto"/>
                <w:left w:val="none" w:sz="0" w:space="0" w:color="auto"/>
                <w:bottom w:val="none" w:sz="0" w:space="0" w:color="auto"/>
                <w:right w:val="none" w:sz="0" w:space="0" w:color="auto"/>
              </w:divBdr>
            </w:div>
          </w:divsChild>
        </w:div>
        <w:div w:id="1757896334">
          <w:marLeft w:val="0"/>
          <w:marRight w:val="0"/>
          <w:marTop w:val="0"/>
          <w:marBottom w:val="0"/>
          <w:divBdr>
            <w:top w:val="none" w:sz="0" w:space="0" w:color="auto"/>
            <w:left w:val="none" w:sz="0" w:space="0" w:color="auto"/>
            <w:bottom w:val="none" w:sz="0" w:space="0" w:color="auto"/>
            <w:right w:val="none" w:sz="0" w:space="0" w:color="auto"/>
          </w:divBdr>
          <w:divsChild>
            <w:div w:id="1002246691">
              <w:marLeft w:val="0"/>
              <w:marRight w:val="0"/>
              <w:marTop w:val="0"/>
              <w:marBottom w:val="0"/>
              <w:divBdr>
                <w:top w:val="none" w:sz="0" w:space="0" w:color="auto"/>
                <w:left w:val="none" w:sz="0" w:space="0" w:color="auto"/>
                <w:bottom w:val="none" w:sz="0" w:space="0" w:color="auto"/>
                <w:right w:val="none" w:sz="0" w:space="0" w:color="auto"/>
              </w:divBdr>
            </w:div>
          </w:divsChild>
        </w:div>
        <w:div w:id="1873222147">
          <w:marLeft w:val="0"/>
          <w:marRight w:val="0"/>
          <w:marTop w:val="0"/>
          <w:marBottom w:val="0"/>
          <w:divBdr>
            <w:top w:val="none" w:sz="0" w:space="0" w:color="auto"/>
            <w:left w:val="none" w:sz="0" w:space="0" w:color="auto"/>
            <w:bottom w:val="none" w:sz="0" w:space="0" w:color="auto"/>
            <w:right w:val="none" w:sz="0" w:space="0" w:color="auto"/>
          </w:divBdr>
          <w:divsChild>
            <w:div w:id="2032298511">
              <w:marLeft w:val="0"/>
              <w:marRight w:val="0"/>
              <w:marTop w:val="0"/>
              <w:marBottom w:val="0"/>
              <w:divBdr>
                <w:top w:val="none" w:sz="0" w:space="0" w:color="auto"/>
                <w:left w:val="none" w:sz="0" w:space="0" w:color="auto"/>
                <w:bottom w:val="none" w:sz="0" w:space="0" w:color="auto"/>
                <w:right w:val="none" w:sz="0" w:space="0" w:color="auto"/>
              </w:divBdr>
            </w:div>
          </w:divsChild>
        </w:div>
        <w:div w:id="2044287373">
          <w:marLeft w:val="0"/>
          <w:marRight w:val="0"/>
          <w:marTop w:val="0"/>
          <w:marBottom w:val="0"/>
          <w:divBdr>
            <w:top w:val="none" w:sz="0" w:space="0" w:color="auto"/>
            <w:left w:val="none" w:sz="0" w:space="0" w:color="auto"/>
            <w:bottom w:val="none" w:sz="0" w:space="0" w:color="auto"/>
            <w:right w:val="none" w:sz="0" w:space="0" w:color="auto"/>
          </w:divBdr>
          <w:divsChild>
            <w:div w:id="134362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464903">
      <w:bodyDiv w:val="1"/>
      <w:marLeft w:val="0"/>
      <w:marRight w:val="0"/>
      <w:marTop w:val="0"/>
      <w:marBottom w:val="0"/>
      <w:divBdr>
        <w:top w:val="none" w:sz="0" w:space="0" w:color="auto"/>
        <w:left w:val="none" w:sz="0" w:space="0" w:color="auto"/>
        <w:bottom w:val="none" w:sz="0" w:space="0" w:color="auto"/>
        <w:right w:val="none" w:sz="0" w:space="0" w:color="auto"/>
      </w:divBdr>
    </w:div>
    <w:div w:id="265161004">
      <w:bodyDiv w:val="1"/>
      <w:marLeft w:val="0"/>
      <w:marRight w:val="0"/>
      <w:marTop w:val="0"/>
      <w:marBottom w:val="0"/>
      <w:divBdr>
        <w:top w:val="none" w:sz="0" w:space="0" w:color="auto"/>
        <w:left w:val="none" w:sz="0" w:space="0" w:color="auto"/>
        <w:bottom w:val="none" w:sz="0" w:space="0" w:color="auto"/>
        <w:right w:val="none" w:sz="0" w:space="0" w:color="auto"/>
      </w:divBdr>
    </w:div>
    <w:div w:id="270430789">
      <w:bodyDiv w:val="1"/>
      <w:marLeft w:val="0"/>
      <w:marRight w:val="0"/>
      <w:marTop w:val="0"/>
      <w:marBottom w:val="0"/>
      <w:divBdr>
        <w:top w:val="none" w:sz="0" w:space="0" w:color="auto"/>
        <w:left w:val="none" w:sz="0" w:space="0" w:color="auto"/>
        <w:bottom w:val="none" w:sz="0" w:space="0" w:color="auto"/>
        <w:right w:val="none" w:sz="0" w:space="0" w:color="auto"/>
      </w:divBdr>
    </w:div>
    <w:div w:id="276254337">
      <w:bodyDiv w:val="1"/>
      <w:marLeft w:val="0"/>
      <w:marRight w:val="0"/>
      <w:marTop w:val="0"/>
      <w:marBottom w:val="0"/>
      <w:divBdr>
        <w:top w:val="none" w:sz="0" w:space="0" w:color="auto"/>
        <w:left w:val="none" w:sz="0" w:space="0" w:color="auto"/>
        <w:bottom w:val="none" w:sz="0" w:space="0" w:color="auto"/>
        <w:right w:val="none" w:sz="0" w:space="0" w:color="auto"/>
      </w:divBdr>
    </w:div>
    <w:div w:id="277956225">
      <w:bodyDiv w:val="1"/>
      <w:marLeft w:val="0"/>
      <w:marRight w:val="0"/>
      <w:marTop w:val="0"/>
      <w:marBottom w:val="0"/>
      <w:divBdr>
        <w:top w:val="none" w:sz="0" w:space="0" w:color="auto"/>
        <w:left w:val="none" w:sz="0" w:space="0" w:color="auto"/>
        <w:bottom w:val="none" w:sz="0" w:space="0" w:color="auto"/>
        <w:right w:val="none" w:sz="0" w:space="0" w:color="auto"/>
      </w:divBdr>
    </w:div>
    <w:div w:id="291375385">
      <w:bodyDiv w:val="1"/>
      <w:marLeft w:val="0"/>
      <w:marRight w:val="0"/>
      <w:marTop w:val="0"/>
      <w:marBottom w:val="0"/>
      <w:divBdr>
        <w:top w:val="none" w:sz="0" w:space="0" w:color="auto"/>
        <w:left w:val="none" w:sz="0" w:space="0" w:color="auto"/>
        <w:bottom w:val="none" w:sz="0" w:space="0" w:color="auto"/>
        <w:right w:val="none" w:sz="0" w:space="0" w:color="auto"/>
      </w:divBdr>
    </w:div>
    <w:div w:id="298800668">
      <w:bodyDiv w:val="1"/>
      <w:marLeft w:val="0"/>
      <w:marRight w:val="0"/>
      <w:marTop w:val="0"/>
      <w:marBottom w:val="0"/>
      <w:divBdr>
        <w:top w:val="none" w:sz="0" w:space="0" w:color="auto"/>
        <w:left w:val="none" w:sz="0" w:space="0" w:color="auto"/>
        <w:bottom w:val="none" w:sz="0" w:space="0" w:color="auto"/>
        <w:right w:val="none" w:sz="0" w:space="0" w:color="auto"/>
      </w:divBdr>
    </w:div>
    <w:div w:id="301497676">
      <w:bodyDiv w:val="1"/>
      <w:marLeft w:val="0"/>
      <w:marRight w:val="0"/>
      <w:marTop w:val="0"/>
      <w:marBottom w:val="0"/>
      <w:divBdr>
        <w:top w:val="none" w:sz="0" w:space="0" w:color="auto"/>
        <w:left w:val="none" w:sz="0" w:space="0" w:color="auto"/>
        <w:bottom w:val="none" w:sz="0" w:space="0" w:color="auto"/>
        <w:right w:val="none" w:sz="0" w:space="0" w:color="auto"/>
      </w:divBdr>
    </w:div>
    <w:div w:id="301807503">
      <w:bodyDiv w:val="1"/>
      <w:marLeft w:val="0"/>
      <w:marRight w:val="0"/>
      <w:marTop w:val="0"/>
      <w:marBottom w:val="0"/>
      <w:divBdr>
        <w:top w:val="none" w:sz="0" w:space="0" w:color="auto"/>
        <w:left w:val="none" w:sz="0" w:space="0" w:color="auto"/>
        <w:bottom w:val="none" w:sz="0" w:space="0" w:color="auto"/>
        <w:right w:val="none" w:sz="0" w:space="0" w:color="auto"/>
      </w:divBdr>
    </w:div>
    <w:div w:id="313685945">
      <w:bodyDiv w:val="1"/>
      <w:marLeft w:val="0"/>
      <w:marRight w:val="0"/>
      <w:marTop w:val="0"/>
      <w:marBottom w:val="0"/>
      <w:divBdr>
        <w:top w:val="none" w:sz="0" w:space="0" w:color="auto"/>
        <w:left w:val="none" w:sz="0" w:space="0" w:color="auto"/>
        <w:bottom w:val="none" w:sz="0" w:space="0" w:color="auto"/>
        <w:right w:val="none" w:sz="0" w:space="0" w:color="auto"/>
      </w:divBdr>
    </w:div>
    <w:div w:id="319233602">
      <w:bodyDiv w:val="1"/>
      <w:marLeft w:val="0"/>
      <w:marRight w:val="0"/>
      <w:marTop w:val="0"/>
      <w:marBottom w:val="0"/>
      <w:divBdr>
        <w:top w:val="none" w:sz="0" w:space="0" w:color="auto"/>
        <w:left w:val="none" w:sz="0" w:space="0" w:color="auto"/>
        <w:bottom w:val="none" w:sz="0" w:space="0" w:color="auto"/>
        <w:right w:val="none" w:sz="0" w:space="0" w:color="auto"/>
      </w:divBdr>
    </w:div>
    <w:div w:id="320818630">
      <w:bodyDiv w:val="1"/>
      <w:marLeft w:val="0"/>
      <w:marRight w:val="0"/>
      <w:marTop w:val="0"/>
      <w:marBottom w:val="0"/>
      <w:divBdr>
        <w:top w:val="none" w:sz="0" w:space="0" w:color="auto"/>
        <w:left w:val="none" w:sz="0" w:space="0" w:color="auto"/>
        <w:bottom w:val="none" w:sz="0" w:space="0" w:color="auto"/>
        <w:right w:val="none" w:sz="0" w:space="0" w:color="auto"/>
      </w:divBdr>
    </w:div>
    <w:div w:id="320818882">
      <w:bodyDiv w:val="1"/>
      <w:marLeft w:val="0"/>
      <w:marRight w:val="0"/>
      <w:marTop w:val="0"/>
      <w:marBottom w:val="0"/>
      <w:divBdr>
        <w:top w:val="none" w:sz="0" w:space="0" w:color="auto"/>
        <w:left w:val="none" w:sz="0" w:space="0" w:color="auto"/>
        <w:bottom w:val="none" w:sz="0" w:space="0" w:color="auto"/>
        <w:right w:val="none" w:sz="0" w:space="0" w:color="auto"/>
      </w:divBdr>
    </w:div>
    <w:div w:id="328094738">
      <w:bodyDiv w:val="1"/>
      <w:marLeft w:val="0"/>
      <w:marRight w:val="0"/>
      <w:marTop w:val="0"/>
      <w:marBottom w:val="0"/>
      <w:divBdr>
        <w:top w:val="none" w:sz="0" w:space="0" w:color="auto"/>
        <w:left w:val="none" w:sz="0" w:space="0" w:color="auto"/>
        <w:bottom w:val="none" w:sz="0" w:space="0" w:color="auto"/>
        <w:right w:val="none" w:sz="0" w:space="0" w:color="auto"/>
      </w:divBdr>
    </w:div>
    <w:div w:id="345252929">
      <w:bodyDiv w:val="1"/>
      <w:marLeft w:val="0"/>
      <w:marRight w:val="0"/>
      <w:marTop w:val="0"/>
      <w:marBottom w:val="0"/>
      <w:divBdr>
        <w:top w:val="none" w:sz="0" w:space="0" w:color="auto"/>
        <w:left w:val="none" w:sz="0" w:space="0" w:color="auto"/>
        <w:bottom w:val="none" w:sz="0" w:space="0" w:color="auto"/>
        <w:right w:val="none" w:sz="0" w:space="0" w:color="auto"/>
      </w:divBdr>
    </w:div>
    <w:div w:id="360085652">
      <w:bodyDiv w:val="1"/>
      <w:marLeft w:val="0"/>
      <w:marRight w:val="0"/>
      <w:marTop w:val="0"/>
      <w:marBottom w:val="0"/>
      <w:divBdr>
        <w:top w:val="none" w:sz="0" w:space="0" w:color="auto"/>
        <w:left w:val="none" w:sz="0" w:space="0" w:color="auto"/>
        <w:bottom w:val="none" w:sz="0" w:space="0" w:color="auto"/>
        <w:right w:val="none" w:sz="0" w:space="0" w:color="auto"/>
      </w:divBdr>
    </w:div>
    <w:div w:id="364251374">
      <w:bodyDiv w:val="1"/>
      <w:marLeft w:val="0"/>
      <w:marRight w:val="0"/>
      <w:marTop w:val="0"/>
      <w:marBottom w:val="0"/>
      <w:divBdr>
        <w:top w:val="none" w:sz="0" w:space="0" w:color="auto"/>
        <w:left w:val="none" w:sz="0" w:space="0" w:color="auto"/>
        <w:bottom w:val="none" w:sz="0" w:space="0" w:color="auto"/>
        <w:right w:val="none" w:sz="0" w:space="0" w:color="auto"/>
      </w:divBdr>
    </w:div>
    <w:div w:id="376930091">
      <w:bodyDiv w:val="1"/>
      <w:marLeft w:val="0"/>
      <w:marRight w:val="0"/>
      <w:marTop w:val="0"/>
      <w:marBottom w:val="0"/>
      <w:divBdr>
        <w:top w:val="none" w:sz="0" w:space="0" w:color="auto"/>
        <w:left w:val="none" w:sz="0" w:space="0" w:color="auto"/>
        <w:bottom w:val="none" w:sz="0" w:space="0" w:color="auto"/>
        <w:right w:val="none" w:sz="0" w:space="0" w:color="auto"/>
      </w:divBdr>
    </w:div>
    <w:div w:id="391588028">
      <w:bodyDiv w:val="1"/>
      <w:marLeft w:val="0"/>
      <w:marRight w:val="0"/>
      <w:marTop w:val="0"/>
      <w:marBottom w:val="0"/>
      <w:divBdr>
        <w:top w:val="none" w:sz="0" w:space="0" w:color="auto"/>
        <w:left w:val="none" w:sz="0" w:space="0" w:color="auto"/>
        <w:bottom w:val="none" w:sz="0" w:space="0" w:color="auto"/>
        <w:right w:val="none" w:sz="0" w:space="0" w:color="auto"/>
      </w:divBdr>
    </w:div>
    <w:div w:id="397020130">
      <w:bodyDiv w:val="1"/>
      <w:marLeft w:val="0"/>
      <w:marRight w:val="0"/>
      <w:marTop w:val="0"/>
      <w:marBottom w:val="0"/>
      <w:divBdr>
        <w:top w:val="none" w:sz="0" w:space="0" w:color="auto"/>
        <w:left w:val="none" w:sz="0" w:space="0" w:color="auto"/>
        <w:bottom w:val="none" w:sz="0" w:space="0" w:color="auto"/>
        <w:right w:val="none" w:sz="0" w:space="0" w:color="auto"/>
      </w:divBdr>
    </w:div>
    <w:div w:id="398476559">
      <w:bodyDiv w:val="1"/>
      <w:marLeft w:val="0"/>
      <w:marRight w:val="0"/>
      <w:marTop w:val="0"/>
      <w:marBottom w:val="0"/>
      <w:divBdr>
        <w:top w:val="none" w:sz="0" w:space="0" w:color="auto"/>
        <w:left w:val="none" w:sz="0" w:space="0" w:color="auto"/>
        <w:bottom w:val="none" w:sz="0" w:space="0" w:color="auto"/>
        <w:right w:val="none" w:sz="0" w:space="0" w:color="auto"/>
      </w:divBdr>
    </w:div>
    <w:div w:id="401223115">
      <w:bodyDiv w:val="1"/>
      <w:marLeft w:val="0"/>
      <w:marRight w:val="0"/>
      <w:marTop w:val="0"/>
      <w:marBottom w:val="0"/>
      <w:divBdr>
        <w:top w:val="none" w:sz="0" w:space="0" w:color="auto"/>
        <w:left w:val="none" w:sz="0" w:space="0" w:color="auto"/>
        <w:bottom w:val="none" w:sz="0" w:space="0" w:color="auto"/>
        <w:right w:val="none" w:sz="0" w:space="0" w:color="auto"/>
      </w:divBdr>
    </w:div>
    <w:div w:id="418142608">
      <w:bodyDiv w:val="1"/>
      <w:marLeft w:val="0"/>
      <w:marRight w:val="0"/>
      <w:marTop w:val="0"/>
      <w:marBottom w:val="0"/>
      <w:divBdr>
        <w:top w:val="none" w:sz="0" w:space="0" w:color="auto"/>
        <w:left w:val="none" w:sz="0" w:space="0" w:color="auto"/>
        <w:bottom w:val="none" w:sz="0" w:space="0" w:color="auto"/>
        <w:right w:val="none" w:sz="0" w:space="0" w:color="auto"/>
      </w:divBdr>
    </w:div>
    <w:div w:id="431704511">
      <w:bodyDiv w:val="1"/>
      <w:marLeft w:val="0"/>
      <w:marRight w:val="0"/>
      <w:marTop w:val="0"/>
      <w:marBottom w:val="0"/>
      <w:divBdr>
        <w:top w:val="none" w:sz="0" w:space="0" w:color="auto"/>
        <w:left w:val="none" w:sz="0" w:space="0" w:color="auto"/>
        <w:bottom w:val="none" w:sz="0" w:space="0" w:color="auto"/>
        <w:right w:val="none" w:sz="0" w:space="0" w:color="auto"/>
      </w:divBdr>
    </w:div>
    <w:div w:id="440075031">
      <w:bodyDiv w:val="1"/>
      <w:marLeft w:val="0"/>
      <w:marRight w:val="0"/>
      <w:marTop w:val="0"/>
      <w:marBottom w:val="0"/>
      <w:divBdr>
        <w:top w:val="none" w:sz="0" w:space="0" w:color="auto"/>
        <w:left w:val="none" w:sz="0" w:space="0" w:color="auto"/>
        <w:bottom w:val="none" w:sz="0" w:space="0" w:color="auto"/>
        <w:right w:val="none" w:sz="0" w:space="0" w:color="auto"/>
      </w:divBdr>
    </w:div>
    <w:div w:id="445003252">
      <w:bodyDiv w:val="1"/>
      <w:marLeft w:val="0"/>
      <w:marRight w:val="0"/>
      <w:marTop w:val="0"/>
      <w:marBottom w:val="0"/>
      <w:divBdr>
        <w:top w:val="none" w:sz="0" w:space="0" w:color="auto"/>
        <w:left w:val="none" w:sz="0" w:space="0" w:color="auto"/>
        <w:bottom w:val="none" w:sz="0" w:space="0" w:color="auto"/>
        <w:right w:val="none" w:sz="0" w:space="0" w:color="auto"/>
      </w:divBdr>
    </w:div>
    <w:div w:id="445538986">
      <w:bodyDiv w:val="1"/>
      <w:marLeft w:val="0"/>
      <w:marRight w:val="0"/>
      <w:marTop w:val="0"/>
      <w:marBottom w:val="0"/>
      <w:divBdr>
        <w:top w:val="none" w:sz="0" w:space="0" w:color="auto"/>
        <w:left w:val="none" w:sz="0" w:space="0" w:color="auto"/>
        <w:bottom w:val="none" w:sz="0" w:space="0" w:color="auto"/>
        <w:right w:val="none" w:sz="0" w:space="0" w:color="auto"/>
      </w:divBdr>
    </w:div>
    <w:div w:id="452405535">
      <w:bodyDiv w:val="1"/>
      <w:marLeft w:val="0"/>
      <w:marRight w:val="0"/>
      <w:marTop w:val="0"/>
      <w:marBottom w:val="0"/>
      <w:divBdr>
        <w:top w:val="none" w:sz="0" w:space="0" w:color="auto"/>
        <w:left w:val="none" w:sz="0" w:space="0" w:color="auto"/>
        <w:bottom w:val="none" w:sz="0" w:space="0" w:color="auto"/>
        <w:right w:val="none" w:sz="0" w:space="0" w:color="auto"/>
      </w:divBdr>
    </w:div>
    <w:div w:id="456415324">
      <w:bodyDiv w:val="1"/>
      <w:marLeft w:val="0"/>
      <w:marRight w:val="0"/>
      <w:marTop w:val="0"/>
      <w:marBottom w:val="0"/>
      <w:divBdr>
        <w:top w:val="none" w:sz="0" w:space="0" w:color="auto"/>
        <w:left w:val="none" w:sz="0" w:space="0" w:color="auto"/>
        <w:bottom w:val="none" w:sz="0" w:space="0" w:color="auto"/>
        <w:right w:val="none" w:sz="0" w:space="0" w:color="auto"/>
      </w:divBdr>
    </w:div>
    <w:div w:id="456486856">
      <w:bodyDiv w:val="1"/>
      <w:marLeft w:val="0"/>
      <w:marRight w:val="0"/>
      <w:marTop w:val="0"/>
      <w:marBottom w:val="0"/>
      <w:divBdr>
        <w:top w:val="none" w:sz="0" w:space="0" w:color="auto"/>
        <w:left w:val="none" w:sz="0" w:space="0" w:color="auto"/>
        <w:bottom w:val="none" w:sz="0" w:space="0" w:color="auto"/>
        <w:right w:val="none" w:sz="0" w:space="0" w:color="auto"/>
      </w:divBdr>
    </w:div>
    <w:div w:id="460002567">
      <w:bodyDiv w:val="1"/>
      <w:marLeft w:val="0"/>
      <w:marRight w:val="0"/>
      <w:marTop w:val="0"/>
      <w:marBottom w:val="0"/>
      <w:divBdr>
        <w:top w:val="none" w:sz="0" w:space="0" w:color="auto"/>
        <w:left w:val="none" w:sz="0" w:space="0" w:color="auto"/>
        <w:bottom w:val="none" w:sz="0" w:space="0" w:color="auto"/>
        <w:right w:val="none" w:sz="0" w:space="0" w:color="auto"/>
      </w:divBdr>
    </w:div>
    <w:div w:id="468089099">
      <w:bodyDiv w:val="1"/>
      <w:marLeft w:val="0"/>
      <w:marRight w:val="0"/>
      <w:marTop w:val="0"/>
      <w:marBottom w:val="0"/>
      <w:divBdr>
        <w:top w:val="none" w:sz="0" w:space="0" w:color="auto"/>
        <w:left w:val="none" w:sz="0" w:space="0" w:color="auto"/>
        <w:bottom w:val="none" w:sz="0" w:space="0" w:color="auto"/>
        <w:right w:val="none" w:sz="0" w:space="0" w:color="auto"/>
      </w:divBdr>
    </w:div>
    <w:div w:id="476922968">
      <w:bodyDiv w:val="1"/>
      <w:marLeft w:val="0"/>
      <w:marRight w:val="0"/>
      <w:marTop w:val="0"/>
      <w:marBottom w:val="0"/>
      <w:divBdr>
        <w:top w:val="none" w:sz="0" w:space="0" w:color="auto"/>
        <w:left w:val="none" w:sz="0" w:space="0" w:color="auto"/>
        <w:bottom w:val="none" w:sz="0" w:space="0" w:color="auto"/>
        <w:right w:val="none" w:sz="0" w:space="0" w:color="auto"/>
      </w:divBdr>
    </w:div>
    <w:div w:id="479151875">
      <w:bodyDiv w:val="1"/>
      <w:marLeft w:val="0"/>
      <w:marRight w:val="0"/>
      <w:marTop w:val="0"/>
      <w:marBottom w:val="0"/>
      <w:divBdr>
        <w:top w:val="none" w:sz="0" w:space="0" w:color="auto"/>
        <w:left w:val="none" w:sz="0" w:space="0" w:color="auto"/>
        <w:bottom w:val="none" w:sz="0" w:space="0" w:color="auto"/>
        <w:right w:val="none" w:sz="0" w:space="0" w:color="auto"/>
      </w:divBdr>
    </w:div>
    <w:div w:id="482088380">
      <w:bodyDiv w:val="1"/>
      <w:marLeft w:val="0"/>
      <w:marRight w:val="0"/>
      <w:marTop w:val="0"/>
      <w:marBottom w:val="0"/>
      <w:divBdr>
        <w:top w:val="none" w:sz="0" w:space="0" w:color="auto"/>
        <w:left w:val="none" w:sz="0" w:space="0" w:color="auto"/>
        <w:bottom w:val="none" w:sz="0" w:space="0" w:color="auto"/>
        <w:right w:val="none" w:sz="0" w:space="0" w:color="auto"/>
      </w:divBdr>
    </w:div>
    <w:div w:id="482701964">
      <w:bodyDiv w:val="1"/>
      <w:marLeft w:val="0"/>
      <w:marRight w:val="0"/>
      <w:marTop w:val="0"/>
      <w:marBottom w:val="0"/>
      <w:divBdr>
        <w:top w:val="none" w:sz="0" w:space="0" w:color="auto"/>
        <w:left w:val="none" w:sz="0" w:space="0" w:color="auto"/>
        <w:bottom w:val="none" w:sz="0" w:space="0" w:color="auto"/>
        <w:right w:val="none" w:sz="0" w:space="0" w:color="auto"/>
      </w:divBdr>
    </w:div>
    <w:div w:id="511649101">
      <w:bodyDiv w:val="1"/>
      <w:marLeft w:val="0"/>
      <w:marRight w:val="0"/>
      <w:marTop w:val="0"/>
      <w:marBottom w:val="0"/>
      <w:divBdr>
        <w:top w:val="none" w:sz="0" w:space="0" w:color="auto"/>
        <w:left w:val="none" w:sz="0" w:space="0" w:color="auto"/>
        <w:bottom w:val="none" w:sz="0" w:space="0" w:color="auto"/>
        <w:right w:val="none" w:sz="0" w:space="0" w:color="auto"/>
      </w:divBdr>
    </w:div>
    <w:div w:id="515923207">
      <w:bodyDiv w:val="1"/>
      <w:marLeft w:val="0"/>
      <w:marRight w:val="0"/>
      <w:marTop w:val="0"/>
      <w:marBottom w:val="0"/>
      <w:divBdr>
        <w:top w:val="none" w:sz="0" w:space="0" w:color="auto"/>
        <w:left w:val="none" w:sz="0" w:space="0" w:color="auto"/>
        <w:bottom w:val="none" w:sz="0" w:space="0" w:color="auto"/>
        <w:right w:val="none" w:sz="0" w:space="0" w:color="auto"/>
      </w:divBdr>
    </w:div>
    <w:div w:id="525362433">
      <w:bodyDiv w:val="1"/>
      <w:marLeft w:val="0"/>
      <w:marRight w:val="0"/>
      <w:marTop w:val="0"/>
      <w:marBottom w:val="0"/>
      <w:divBdr>
        <w:top w:val="none" w:sz="0" w:space="0" w:color="auto"/>
        <w:left w:val="none" w:sz="0" w:space="0" w:color="auto"/>
        <w:bottom w:val="none" w:sz="0" w:space="0" w:color="auto"/>
        <w:right w:val="none" w:sz="0" w:space="0" w:color="auto"/>
      </w:divBdr>
    </w:div>
    <w:div w:id="530847919">
      <w:bodyDiv w:val="1"/>
      <w:marLeft w:val="0"/>
      <w:marRight w:val="0"/>
      <w:marTop w:val="0"/>
      <w:marBottom w:val="0"/>
      <w:divBdr>
        <w:top w:val="none" w:sz="0" w:space="0" w:color="auto"/>
        <w:left w:val="none" w:sz="0" w:space="0" w:color="auto"/>
        <w:bottom w:val="none" w:sz="0" w:space="0" w:color="auto"/>
        <w:right w:val="none" w:sz="0" w:space="0" w:color="auto"/>
      </w:divBdr>
    </w:div>
    <w:div w:id="537278754">
      <w:bodyDiv w:val="1"/>
      <w:marLeft w:val="0"/>
      <w:marRight w:val="0"/>
      <w:marTop w:val="0"/>
      <w:marBottom w:val="0"/>
      <w:divBdr>
        <w:top w:val="none" w:sz="0" w:space="0" w:color="auto"/>
        <w:left w:val="none" w:sz="0" w:space="0" w:color="auto"/>
        <w:bottom w:val="none" w:sz="0" w:space="0" w:color="auto"/>
        <w:right w:val="none" w:sz="0" w:space="0" w:color="auto"/>
      </w:divBdr>
    </w:div>
    <w:div w:id="537937512">
      <w:bodyDiv w:val="1"/>
      <w:marLeft w:val="0"/>
      <w:marRight w:val="0"/>
      <w:marTop w:val="0"/>
      <w:marBottom w:val="0"/>
      <w:divBdr>
        <w:top w:val="none" w:sz="0" w:space="0" w:color="auto"/>
        <w:left w:val="none" w:sz="0" w:space="0" w:color="auto"/>
        <w:bottom w:val="none" w:sz="0" w:space="0" w:color="auto"/>
        <w:right w:val="none" w:sz="0" w:space="0" w:color="auto"/>
      </w:divBdr>
    </w:div>
    <w:div w:id="547106494">
      <w:bodyDiv w:val="1"/>
      <w:marLeft w:val="0"/>
      <w:marRight w:val="0"/>
      <w:marTop w:val="0"/>
      <w:marBottom w:val="0"/>
      <w:divBdr>
        <w:top w:val="none" w:sz="0" w:space="0" w:color="auto"/>
        <w:left w:val="none" w:sz="0" w:space="0" w:color="auto"/>
        <w:bottom w:val="none" w:sz="0" w:space="0" w:color="auto"/>
        <w:right w:val="none" w:sz="0" w:space="0" w:color="auto"/>
      </w:divBdr>
    </w:div>
    <w:div w:id="551967280">
      <w:bodyDiv w:val="1"/>
      <w:marLeft w:val="0"/>
      <w:marRight w:val="0"/>
      <w:marTop w:val="0"/>
      <w:marBottom w:val="0"/>
      <w:divBdr>
        <w:top w:val="none" w:sz="0" w:space="0" w:color="auto"/>
        <w:left w:val="none" w:sz="0" w:space="0" w:color="auto"/>
        <w:bottom w:val="none" w:sz="0" w:space="0" w:color="auto"/>
        <w:right w:val="none" w:sz="0" w:space="0" w:color="auto"/>
      </w:divBdr>
    </w:div>
    <w:div w:id="552304022">
      <w:bodyDiv w:val="1"/>
      <w:marLeft w:val="0"/>
      <w:marRight w:val="0"/>
      <w:marTop w:val="0"/>
      <w:marBottom w:val="0"/>
      <w:divBdr>
        <w:top w:val="none" w:sz="0" w:space="0" w:color="auto"/>
        <w:left w:val="none" w:sz="0" w:space="0" w:color="auto"/>
        <w:bottom w:val="none" w:sz="0" w:space="0" w:color="auto"/>
        <w:right w:val="none" w:sz="0" w:space="0" w:color="auto"/>
      </w:divBdr>
    </w:div>
    <w:div w:id="558176713">
      <w:bodyDiv w:val="1"/>
      <w:marLeft w:val="0"/>
      <w:marRight w:val="0"/>
      <w:marTop w:val="0"/>
      <w:marBottom w:val="0"/>
      <w:divBdr>
        <w:top w:val="none" w:sz="0" w:space="0" w:color="auto"/>
        <w:left w:val="none" w:sz="0" w:space="0" w:color="auto"/>
        <w:bottom w:val="none" w:sz="0" w:space="0" w:color="auto"/>
        <w:right w:val="none" w:sz="0" w:space="0" w:color="auto"/>
      </w:divBdr>
    </w:div>
    <w:div w:id="561258086">
      <w:bodyDiv w:val="1"/>
      <w:marLeft w:val="0"/>
      <w:marRight w:val="0"/>
      <w:marTop w:val="0"/>
      <w:marBottom w:val="0"/>
      <w:divBdr>
        <w:top w:val="none" w:sz="0" w:space="0" w:color="auto"/>
        <w:left w:val="none" w:sz="0" w:space="0" w:color="auto"/>
        <w:bottom w:val="none" w:sz="0" w:space="0" w:color="auto"/>
        <w:right w:val="none" w:sz="0" w:space="0" w:color="auto"/>
      </w:divBdr>
    </w:div>
    <w:div w:id="571282221">
      <w:bodyDiv w:val="1"/>
      <w:marLeft w:val="0"/>
      <w:marRight w:val="0"/>
      <w:marTop w:val="0"/>
      <w:marBottom w:val="0"/>
      <w:divBdr>
        <w:top w:val="none" w:sz="0" w:space="0" w:color="auto"/>
        <w:left w:val="none" w:sz="0" w:space="0" w:color="auto"/>
        <w:bottom w:val="none" w:sz="0" w:space="0" w:color="auto"/>
        <w:right w:val="none" w:sz="0" w:space="0" w:color="auto"/>
      </w:divBdr>
    </w:div>
    <w:div w:id="571697763">
      <w:bodyDiv w:val="1"/>
      <w:marLeft w:val="0"/>
      <w:marRight w:val="0"/>
      <w:marTop w:val="0"/>
      <w:marBottom w:val="0"/>
      <w:divBdr>
        <w:top w:val="none" w:sz="0" w:space="0" w:color="auto"/>
        <w:left w:val="none" w:sz="0" w:space="0" w:color="auto"/>
        <w:bottom w:val="none" w:sz="0" w:space="0" w:color="auto"/>
        <w:right w:val="none" w:sz="0" w:space="0" w:color="auto"/>
      </w:divBdr>
    </w:div>
    <w:div w:id="576011813">
      <w:bodyDiv w:val="1"/>
      <w:marLeft w:val="0"/>
      <w:marRight w:val="0"/>
      <w:marTop w:val="0"/>
      <w:marBottom w:val="0"/>
      <w:divBdr>
        <w:top w:val="none" w:sz="0" w:space="0" w:color="auto"/>
        <w:left w:val="none" w:sz="0" w:space="0" w:color="auto"/>
        <w:bottom w:val="none" w:sz="0" w:space="0" w:color="auto"/>
        <w:right w:val="none" w:sz="0" w:space="0" w:color="auto"/>
      </w:divBdr>
    </w:div>
    <w:div w:id="592133308">
      <w:bodyDiv w:val="1"/>
      <w:marLeft w:val="0"/>
      <w:marRight w:val="0"/>
      <w:marTop w:val="0"/>
      <w:marBottom w:val="0"/>
      <w:divBdr>
        <w:top w:val="none" w:sz="0" w:space="0" w:color="auto"/>
        <w:left w:val="none" w:sz="0" w:space="0" w:color="auto"/>
        <w:bottom w:val="none" w:sz="0" w:space="0" w:color="auto"/>
        <w:right w:val="none" w:sz="0" w:space="0" w:color="auto"/>
      </w:divBdr>
    </w:div>
    <w:div w:id="598368790">
      <w:bodyDiv w:val="1"/>
      <w:marLeft w:val="0"/>
      <w:marRight w:val="0"/>
      <w:marTop w:val="0"/>
      <w:marBottom w:val="0"/>
      <w:divBdr>
        <w:top w:val="none" w:sz="0" w:space="0" w:color="auto"/>
        <w:left w:val="none" w:sz="0" w:space="0" w:color="auto"/>
        <w:bottom w:val="none" w:sz="0" w:space="0" w:color="auto"/>
        <w:right w:val="none" w:sz="0" w:space="0" w:color="auto"/>
      </w:divBdr>
      <w:divsChild>
        <w:div w:id="116460913">
          <w:blockQuote w:val="1"/>
          <w:marLeft w:val="0"/>
          <w:marRight w:val="0"/>
          <w:marTop w:val="0"/>
          <w:marBottom w:val="300"/>
          <w:divBdr>
            <w:top w:val="single" w:sz="2" w:space="8" w:color="F2F2F2"/>
            <w:left w:val="single" w:sz="36" w:space="15" w:color="757575"/>
            <w:bottom w:val="single" w:sz="2" w:space="8" w:color="F2F2F2"/>
            <w:right w:val="single" w:sz="2" w:space="15" w:color="F2F2F2"/>
          </w:divBdr>
        </w:div>
        <w:div w:id="1231816284">
          <w:blockQuote w:val="1"/>
          <w:marLeft w:val="0"/>
          <w:marRight w:val="0"/>
          <w:marTop w:val="0"/>
          <w:marBottom w:val="300"/>
          <w:divBdr>
            <w:top w:val="single" w:sz="2" w:space="8" w:color="F2F2F2"/>
            <w:left w:val="single" w:sz="36" w:space="15" w:color="757575"/>
            <w:bottom w:val="single" w:sz="2" w:space="8" w:color="F2F2F2"/>
            <w:right w:val="single" w:sz="2" w:space="15" w:color="F2F2F2"/>
          </w:divBdr>
        </w:div>
      </w:divsChild>
    </w:div>
    <w:div w:id="603005095">
      <w:bodyDiv w:val="1"/>
      <w:marLeft w:val="0"/>
      <w:marRight w:val="0"/>
      <w:marTop w:val="0"/>
      <w:marBottom w:val="0"/>
      <w:divBdr>
        <w:top w:val="none" w:sz="0" w:space="0" w:color="auto"/>
        <w:left w:val="none" w:sz="0" w:space="0" w:color="auto"/>
        <w:bottom w:val="none" w:sz="0" w:space="0" w:color="auto"/>
        <w:right w:val="none" w:sz="0" w:space="0" w:color="auto"/>
      </w:divBdr>
    </w:div>
    <w:div w:id="621150722">
      <w:bodyDiv w:val="1"/>
      <w:marLeft w:val="0"/>
      <w:marRight w:val="0"/>
      <w:marTop w:val="0"/>
      <w:marBottom w:val="0"/>
      <w:divBdr>
        <w:top w:val="none" w:sz="0" w:space="0" w:color="auto"/>
        <w:left w:val="none" w:sz="0" w:space="0" w:color="auto"/>
        <w:bottom w:val="none" w:sz="0" w:space="0" w:color="auto"/>
        <w:right w:val="none" w:sz="0" w:space="0" w:color="auto"/>
      </w:divBdr>
    </w:div>
    <w:div w:id="621499309">
      <w:bodyDiv w:val="1"/>
      <w:marLeft w:val="0"/>
      <w:marRight w:val="0"/>
      <w:marTop w:val="0"/>
      <w:marBottom w:val="0"/>
      <w:divBdr>
        <w:top w:val="none" w:sz="0" w:space="0" w:color="auto"/>
        <w:left w:val="none" w:sz="0" w:space="0" w:color="auto"/>
        <w:bottom w:val="none" w:sz="0" w:space="0" w:color="auto"/>
        <w:right w:val="none" w:sz="0" w:space="0" w:color="auto"/>
      </w:divBdr>
    </w:div>
    <w:div w:id="626199598">
      <w:bodyDiv w:val="1"/>
      <w:marLeft w:val="0"/>
      <w:marRight w:val="0"/>
      <w:marTop w:val="0"/>
      <w:marBottom w:val="0"/>
      <w:divBdr>
        <w:top w:val="none" w:sz="0" w:space="0" w:color="auto"/>
        <w:left w:val="none" w:sz="0" w:space="0" w:color="auto"/>
        <w:bottom w:val="none" w:sz="0" w:space="0" w:color="auto"/>
        <w:right w:val="none" w:sz="0" w:space="0" w:color="auto"/>
      </w:divBdr>
    </w:div>
    <w:div w:id="630791390">
      <w:bodyDiv w:val="1"/>
      <w:marLeft w:val="0"/>
      <w:marRight w:val="0"/>
      <w:marTop w:val="0"/>
      <w:marBottom w:val="0"/>
      <w:divBdr>
        <w:top w:val="none" w:sz="0" w:space="0" w:color="auto"/>
        <w:left w:val="none" w:sz="0" w:space="0" w:color="auto"/>
        <w:bottom w:val="none" w:sz="0" w:space="0" w:color="auto"/>
        <w:right w:val="none" w:sz="0" w:space="0" w:color="auto"/>
      </w:divBdr>
    </w:div>
    <w:div w:id="636953828">
      <w:bodyDiv w:val="1"/>
      <w:marLeft w:val="0"/>
      <w:marRight w:val="0"/>
      <w:marTop w:val="0"/>
      <w:marBottom w:val="0"/>
      <w:divBdr>
        <w:top w:val="none" w:sz="0" w:space="0" w:color="auto"/>
        <w:left w:val="none" w:sz="0" w:space="0" w:color="auto"/>
        <w:bottom w:val="none" w:sz="0" w:space="0" w:color="auto"/>
        <w:right w:val="none" w:sz="0" w:space="0" w:color="auto"/>
      </w:divBdr>
    </w:div>
    <w:div w:id="640429323">
      <w:bodyDiv w:val="1"/>
      <w:marLeft w:val="0"/>
      <w:marRight w:val="0"/>
      <w:marTop w:val="0"/>
      <w:marBottom w:val="0"/>
      <w:divBdr>
        <w:top w:val="none" w:sz="0" w:space="0" w:color="auto"/>
        <w:left w:val="none" w:sz="0" w:space="0" w:color="auto"/>
        <w:bottom w:val="none" w:sz="0" w:space="0" w:color="auto"/>
        <w:right w:val="none" w:sz="0" w:space="0" w:color="auto"/>
      </w:divBdr>
    </w:div>
    <w:div w:id="656374943">
      <w:bodyDiv w:val="1"/>
      <w:marLeft w:val="0"/>
      <w:marRight w:val="0"/>
      <w:marTop w:val="0"/>
      <w:marBottom w:val="0"/>
      <w:divBdr>
        <w:top w:val="none" w:sz="0" w:space="0" w:color="auto"/>
        <w:left w:val="none" w:sz="0" w:space="0" w:color="auto"/>
        <w:bottom w:val="none" w:sz="0" w:space="0" w:color="auto"/>
        <w:right w:val="none" w:sz="0" w:space="0" w:color="auto"/>
      </w:divBdr>
      <w:divsChild>
        <w:div w:id="76022905">
          <w:marLeft w:val="0"/>
          <w:marRight w:val="0"/>
          <w:marTop w:val="0"/>
          <w:marBottom w:val="0"/>
          <w:divBdr>
            <w:top w:val="none" w:sz="0" w:space="0" w:color="auto"/>
            <w:left w:val="none" w:sz="0" w:space="0" w:color="auto"/>
            <w:bottom w:val="none" w:sz="0" w:space="0" w:color="auto"/>
            <w:right w:val="none" w:sz="0" w:space="0" w:color="auto"/>
          </w:divBdr>
        </w:div>
      </w:divsChild>
    </w:div>
    <w:div w:id="658382495">
      <w:bodyDiv w:val="1"/>
      <w:marLeft w:val="0"/>
      <w:marRight w:val="0"/>
      <w:marTop w:val="0"/>
      <w:marBottom w:val="0"/>
      <w:divBdr>
        <w:top w:val="none" w:sz="0" w:space="0" w:color="auto"/>
        <w:left w:val="none" w:sz="0" w:space="0" w:color="auto"/>
        <w:bottom w:val="none" w:sz="0" w:space="0" w:color="auto"/>
        <w:right w:val="none" w:sz="0" w:space="0" w:color="auto"/>
      </w:divBdr>
    </w:div>
    <w:div w:id="659768982">
      <w:bodyDiv w:val="1"/>
      <w:marLeft w:val="0"/>
      <w:marRight w:val="0"/>
      <w:marTop w:val="0"/>
      <w:marBottom w:val="0"/>
      <w:divBdr>
        <w:top w:val="none" w:sz="0" w:space="0" w:color="auto"/>
        <w:left w:val="none" w:sz="0" w:space="0" w:color="auto"/>
        <w:bottom w:val="none" w:sz="0" w:space="0" w:color="auto"/>
        <w:right w:val="none" w:sz="0" w:space="0" w:color="auto"/>
      </w:divBdr>
    </w:div>
    <w:div w:id="663050804">
      <w:bodyDiv w:val="1"/>
      <w:marLeft w:val="0"/>
      <w:marRight w:val="0"/>
      <w:marTop w:val="0"/>
      <w:marBottom w:val="0"/>
      <w:divBdr>
        <w:top w:val="none" w:sz="0" w:space="0" w:color="auto"/>
        <w:left w:val="none" w:sz="0" w:space="0" w:color="auto"/>
        <w:bottom w:val="none" w:sz="0" w:space="0" w:color="auto"/>
        <w:right w:val="none" w:sz="0" w:space="0" w:color="auto"/>
      </w:divBdr>
    </w:div>
    <w:div w:id="663313168">
      <w:bodyDiv w:val="1"/>
      <w:marLeft w:val="0"/>
      <w:marRight w:val="0"/>
      <w:marTop w:val="0"/>
      <w:marBottom w:val="0"/>
      <w:divBdr>
        <w:top w:val="none" w:sz="0" w:space="0" w:color="auto"/>
        <w:left w:val="none" w:sz="0" w:space="0" w:color="auto"/>
        <w:bottom w:val="none" w:sz="0" w:space="0" w:color="auto"/>
        <w:right w:val="none" w:sz="0" w:space="0" w:color="auto"/>
      </w:divBdr>
    </w:div>
    <w:div w:id="679430255">
      <w:bodyDiv w:val="1"/>
      <w:marLeft w:val="0"/>
      <w:marRight w:val="0"/>
      <w:marTop w:val="0"/>
      <w:marBottom w:val="0"/>
      <w:divBdr>
        <w:top w:val="none" w:sz="0" w:space="0" w:color="auto"/>
        <w:left w:val="none" w:sz="0" w:space="0" w:color="auto"/>
        <w:bottom w:val="none" w:sz="0" w:space="0" w:color="auto"/>
        <w:right w:val="none" w:sz="0" w:space="0" w:color="auto"/>
      </w:divBdr>
    </w:div>
    <w:div w:id="680545451">
      <w:bodyDiv w:val="1"/>
      <w:marLeft w:val="0"/>
      <w:marRight w:val="0"/>
      <w:marTop w:val="0"/>
      <w:marBottom w:val="0"/>
      <w:divBdr>
        <w:top w:val="none" w:sz="0" w:space="0" w:color="auto"/>
        <w:left w:val="none" w:sz="0" w:space="0" w:color="auto"/>
        <w:bottom w:val="none" w:sz="0" w:space="0" w:color="auto"/>
        <w:right w:val="none" w:sz="0" w:space="0" w:color="auto"/>
      </w:divBdr>
    </w:div>
    <w:div w:id="682172151">
      <w:bodyDiv w:val="1"/>
      <w:marLeft w:val="0"/>
      <w:marRight w:val="0"/>
      <w:marTop w:val="0"/>
      <w:marBottom w:val="0"/>
      <w:divBdr>
        <w:top w:val="none" w:sz="0" w:space="0" w:color="auto"/>
        <w:left w:val="none" w:sz="0" w:space="0" w:color="auto"/>
        <w:bottom w:val="none" w:sz="0" w:space="0" w:color="auto"/>
        <w:right w:val="none" w:sz="0" w:space="0" w:color="auto"/>
      </w:divBdr>
    </w:div>
    <w:div w:id="683555964">
      <w:bodyDiv w:val="1"/>
      <w:marLeft w:val="0"/>
      <w:marRight w:val="0"/>
      <w:marTop w:val="0"/>
      <w:marBottom w:val="0"/>
      <w:divBdr>
        <w:top w:val="none" w:sz="0" w:space="0" w:color="auto"/>
        <w:left w:val="none" w:sz="0" w:space="0" w:color="auto"/>
        <w:bottom w:val="none" w:sz="0" w:space="0" w:color="auto"/>
        <w:right w:val="none" w:sz="0" w:space="0" w:color="auto"/>
      </w:divBdr>
    </w:div>
    <w:div w:id="685131363">
      <w:bodyDiv w:val="1"/>
      <w:marLeft w:val="0"/>
      <w:marRight w:val="0"/>
      <w:marTop w:val="0"/>
      <w:marBottom w:val="0"/>
      <w:divBdr>
        <w:top w:val="none" w:sz="0" w:space="0" w:color="auto"/>
        <w:left w:val="none" w:sz="0" w:space="0" w:color="auto"/>
        <w:bottom w:val="none" w:sz="0" w:space="0" w:color="auto"/>
        <w:right w:val="none" w:sz="0" w:space="0" w:color="auto"/>
      </w:divBdr>
    </w:div>
    <w:div w:id="685790131">
      <w:bodyDiv w:val="1"/>
      <w:marLeft w:val="0"/>
      <w:marRight w:val="0"/>
      <w:marTop w:val="0"/>
      <w:marBottom w:val="0"/>
      <w:divBdr>
        <w:top w:val="none" w:sz="0" w:space="0" w:color="auto"/>
        <w:left w:val="none" w:sz="0" w:space="0" w:color="auto"/>
        <w:bottom w:val="none" w:sz="0" w:space="0" w:color="auto"/>
        <w:right w:val="none" w:sz="0" w:space="0" w:color="auto"/>
      </w:divBdr>
    </w:div>
    <w:div w:id="691612825">
      <w:bodyDiv w:val="1"/>
      <w:marLeft w:val="0"/>
      <w:marRight w:val="0"/>
      <w:marTop w:val="0"/>
      <w:marBottom w:val="0"/>
      <w:divBdr>
        <w:top w:val="none" w:sz="0" w:space="0" w:color="auto"/>
        <w:left w:val="none" w:sz="0" w:space="0" w:color="auto"/>
        <w:bottom w:val="none" w:sz="0" w:space="0" w:color="auto"/>
        <w:right w:val="none" w:sz="0" w:space="0" w:color="auto"/>
      </w:divBdr>
      <w:divsChild>
        <w:div w:id="1829664891">
          <w:marLeft w:val="0"/>
          <w:marRight w:val="0"/>
          <w:marTop w:val="0"/>
          <w:marBottom w:val="0"/>
          <w:divBdr>
            <w:top w:val="none" w:sz="0" w:space="0" w:color="auto"/>
            <w:left w:val="none" w:sz="0" w:space="0" w:color="auto"/>
            <w:bottom w:val="none" w:sz="0" w:space="0" w:color="auto"/>
            <w:right w:val="none" w:sz="0" w:space="0" w:color="auto"/>
          </w:divBdr>
        </w:div>
      </w:divsChild>
    </w:div>
    <w:div w:id="692418556">
      <w:bodyDiv w:val="1"/>
      <w:marLeft w:val="0"/>
      <w:marRight w:val="0"/>
      <w:marTop w:val="0"/>
      <w:marBottom w:val="0"/>
      <w:divBdr>
        <w:top w:val="none" w:sz="0" w:space="0" w:color="auto"/>
        <w:left w:val="none" w:sz="0" w:space="0" w:color="auto"/>
        <w:bottom w:val="none" w:sz="0" w:space="0" w:color="auto"/>
        <w:right w:val="none" w:sz="0" w:space="0" w:color="auto"/>
      </w:divBdr>
    </w:div>
    <w:div w:id="700520168">
      <w:bodyDiv w:val="1"/>
      <w:marLeft w:val="0"/>
      <w:marRight w:val="0"/>
      <w:marTop w:val="0"/>
      <w:marBottom w:val="0"/>
      <w:divBdr>
        <w:top w:val="none" w:sz="0" w:space="0" w:color="auto"/>
        <w:left w:val="none" w:sz="0" w:space="0" w:color="auto"/>
        <w:bottom w:val="none" w:sz="0" w:space="0" w:color="auto"/>
        <w:right w:val="none" w:sz="0" w:space="0" w:color="auto"/>
      </w:divBdr>
    </w:div>
    <w:div w:id="701520088">
      <w:bodyDiv w:val="1"/>
      <w:marLeft w:val="0"/>
      <w:marRight w:val="0"/>
      <w:marTop w:val="0"/>
      <w:marBottom w:val="0"/>
      <w:divBdr>
        <w:top w:val="none" w:sz="0" w:space="0" w:color="auto"/>
        <w:left w:val="none" w:sz="0" w:space="0" w:color="auto"/>
        <w:bottom w:val="none" w:sz="0" w:space="0" w:color="auto"/>
        <w:right w:val="none" w:sz="0" w:space="0" w:color="auto"/>
      </w:divBdr>
    </w:div>
    <w:div w:id="705495619">
      <w:bodyDiv w:val="1"/>
      <w:marLeft w:val="0"/>
      <w:marRight w:val="0"/>
      <w:marTop w:val="0"/>
      <w:marBottom w:val="0"/>
      <w:divBdr>
        <w:top w:val="none" w:sz="0" w:space="0" w:color="auto"/>
        <w:left w:val="none" w:sz="0" w:space="0" w:color="auto"/>
        <w:bottom w:val="none" w:sz="0" w:space="0" w:color="auto"/>
        <w:right w:val="none" w:sz="0" w:space="0" w:color="auto"/>
      </w:divBdr>
    </w:div>
    <w:div w:id="711467029">
      <w:bodyDiv w:val="1"/>
      <w:marLeft w:val="0"/>
      <w:marRight w:val="0"/>
      <w:marTop w:val="0"/>
      <w:marBottom w:val="0"/>
      <w:divBdr>
        <w:top w:val="none" w:sz="0" w:space="0" w:color="auto"/>
        <w:left w:val="none" w:sz="0" w:space="0" w:color="auto"/>
        <w:bottom w:val="none" w:sz="0" w:space="0" w:color="auto"/>
        <w:right w:val="none" w:sz="0" w:space="0" w:color="auto"/>
      </w:divBdr>
    </w:div>
    <w:div w:id="713769691">
      <w:bodyDiv w:val="1"/>
      <w:marLeft w:val="0"/>
      <w:marRight w:val="0"/>
      <w:marTop w:val="0"/>
      <w:marBottom w:val="0"/>
      <w:divBdr>
        <w:top w:val="none" w:sz="0" w:space="0" w:color="auto"/>
        <w:left w:val="none" w:sz="0" w:space="0" w:color="auto"/>
        <w:bottom w:val="none" w:sz="0" w:space="0" w:color="auto"/>
        <w:right w:val="none" w:sz="0" w:space="0" w:color="auto"/>
      </w:divBdr>
    </w:div>
    <w:div w:id="719404733">
      <w:bodyDiv w:val="1"/>
      <w:marLeft w:val="0"/>
      <w:marRight w:val="0"/>
      <w:marTop w:val="0"/>
      <w:marBottom w:val="0"/>
      <w:divBdr>
        <w:top w:val="none" w:sz="0" w:space="0" w:color="auto"/>
        <w:left w:val="none" w:sz="0" w:space="0" w:color="auto"/>
        <w:bottom w:val="none" w:sz="0" w:space="0" w:color="auto"/>
        <w:right w:val="none" w:sz="0" w:space="0" w:color="auto"/>
      </w:divBdr>
    </w:div>
    <w:div w:id="735476335">
      <w:bodyDiv w:val="1"/>
      <w:marLeft w:val="0"/>
      <w:marRight w:val="0"/>
      <w:marTop w:val="0"/>
      <w:marBottom w:val="0"/>
      <w:divBdr>
        <w:top w:val="none" w:sz="0" w:space="0" w:color="auto"/>
        <w:left w:val="none" w:sz="0" w:space="0" w:color="auto"/>
        <w:bottom w:val="none" w:sz="0" w:space="0" w:color="auto"/>
        <w:right w:val="none" w:sz="0" w:space="0" w:color="auto"/>
      </w:divBdr>
    </w:div>
    <w:div w:id="739449785">
      <w:bodyDiv w:val="1"/>
      <w:marLeft w:val="0"/>
      <w:marRight w:val="0"/>
      <w:marTop w:val="0"/>
      <w:marBottom w:val="0"/>
      <w:divBdr>
        <w:top w:val="none" w:sz="0" w:space="0" w:color="auto"/>
        <w:left w:val="none" w:sz="0" w:space="0" w:color="auto"/>
        <w:bottom w:val="none" w:sz="0" w:space="0" w:color="auto"/>
        <w:right w:val="none" w:sz="0" w:space="0" w:color="auto"/>
      </w:divBdr>
    </w:div>
    <w:div w:id="746994996">
      <w:bodyDiv w:val="1"/>
      <w:marLeft w:val="0"/>
      <w:marRight w:val="0"/>
      <w:marTop w:val="0"/>
      <w:marBottom w:val="0"/>
      <w:divBdr>
        <w:top w:val="none" w:sz="0" w:space="0" w:color="auto"/>
        <w:left w:val="none" w:sz="0" w:space="0" w:color="auto"/>
        <w:bottom w:val="none" w:sz="0" w:space="0" w:color="auto"/>
        <w:right w:val="none" w:sz="0" w:space="0" w:color="auto"/>
      </w:divBdr>
    </w:div>
    <w:div w:id="771323633">
      <w:bodyDiv w:val="1"/>
      <w:marLeft w:val="0"/>
      <w:marRight w:val="0"/>
      <w:marTop w:val="0"/>
      <w:marBottom w:val="0"/>
      <w:divBdr>
        <w:top w:val="none" w:sz="0" w:space="0" w:color="auto"/>
        <w:left w:val="none" w:sz="0" w:space="0" w:color="auto"/>
        <w:bottom w:val="none" w:sz="0" w:space="0" w:color="auto"/>
        <w:right w:val="none" w:sz="0" w:space="0" w:color="auto"/>
      </w:divBdr>
    </w:div>
    <w:div w:id="773523282">
      <w:bodyDiv w:val="1"/>
      <w:marLeft w:val="0"/>
      <w:marRight w:val="0"/>
      <w:marTop w:val="0"/>
      <w:marBottom w:val="0"/>
      <w:divBdr>
        <w:top w:val="none" w:sz="0" w:space="0" w:color="auto"/>
        <w:left w:val="none" w:sz="0" w:space="0" w:color="auto"/>
        <w:bottom w:val="none" w:sz="0" w:space="0" w:color="auto"/>
        <w:right w:val="none" w:sz="0" w:space="0" w:color="auto"/>
      </w:divBdr>
    </w:div>
    <w:div w:id="785080129">
      <w:bodyDiv w:val="1"/>
      <w:marLeft w:val="0"/>
      <w:marRight w:val="0"/>
      <w:marTop w:val="0"/>
      <w:marBottom w:val="0"/>
      <w:divBdr>
        <w:top w:val="none" w:sz="0" w:space="0" w:color="auto"/>
        <w:left w:val="none" w:sz="0" w:space="0" w:color="auto"/>
        <w:bottom w:val="none" w:sz="0" w:space="0" w:color="auto"/>
        <w:right w:val="none" w:sz="0" w:space="0" w:color="auto"/>
      </w:divBdr>
    </w:div>
    <w:div w:id="789007240">
      <w:bodyDiv w:val="1"/>
      <w:marLeft w:val="0"/>
      <w:marRight w:val="0"/>
      <w:marTop w:val="0"/>
      <w:marBottom w:val="0"/>
      <w:divBdr>
        <w:top w:val="none" w:sz="0" w:space="0" w:color="auto"/>
        <w:left w:val="none" w:sz="0" w:space="0" w:color="auto"/>
        <w:bottom w:val="none" w:sz="0" w:space="0" w:color="auto"/>
        <w:right w:val="none" w:sz="0" w:space="0" w:color="auto"/>
      </w:divBdr>
    </w:div>
    <w:div w:id="793209987">
      <w:bodyDiv w:val="1"/>
      <w:marLeft w:val="0"/>
      <w:marRight w:val="0"/>
      <w:marTop w:val="0"/>
      <w:marBottom w:val="0"/>
      <w:divBdr>
        <w:top w:val="none" w:sz="0" w:space="0" w:color="auto"/>
        <w:left w:val="none" w:sz="0" w:space="0" w:color="auto"/>
        <w:bottom w:val="none" w:sz="0" w:space="0" w:color="auto"/>
        <w:right w:val="none" w:sz="0" w:space="0" w:color="auto"/>
      </w:divBdr>
    </w:div>
    <w:div w:id="813986510">
      <w:bodyDiv w:val="1"/>
      <w:marLeft w:val="0"/>
      <w:marRight w:val="0"/>
      <w:marTop w:val="0"/>
      <w:marBottom w:val="0"/>
      <w:divBdr>
        <w:top w:val="none" w:sz="0" w:space="0" w:color="auto"/>
        <w:left w:val="none" w:sz="0" w:space="0" w:color="auto"/>
        <w:bottom w:val="none" w:sz="0" w:space="0" w:color="auto"/>
        <w:right w:val="none" w:sz="0" w:space="0" w:color="auto"/>
      </w:divBdr>
    </w:div>
    <w:div w:id="824082254">
      <w:bodyDiv w:val="1"/>
      <w:marLeft w:val="0"/>
      <w:marRight w:val="0"/>
      <w:marTop w:val="0"/>
      <w:marBottom w:val="0"/>
      <w:divBdr>
        <w:top w:val="none" w:sz="0" w:space="0" w:color="auto"/>
        <w:left w:val="none" w:sz="0" w:space="0" w:color="auto"/>
        <w:bottom w:val="none" w:sz="0" w:space="0" w:color="auto"/>
        <w:right w:val="none" w:sz="0" w:space="0" w:color="auto"/>
      </w:divBdr>
    </w:div>
    <w:div w:id="829294639">
      <w:bodyDiv w:val="1"/>
      <w:marLeft w:val="0"/>
      <w:marRight w:val="0"/>
      <w:marTop w:val="0"/>
      <w:marBottom w:val="0"/>
      <w:divBdr>
        <w:top w:val="none" w:sz="0" w:space="0" w:color="auto"/>
        <w:left w:val="none" w:sz="0" w:space="0" w:color="auto"/>
        <w:bottom w:val="none" w:sz="0" w:space="0" w:color="auto"/>
        <w:right w:val="none" w:sz="0" w:space="0" w:color="auto"/>
      </w:divBdr>
      <w:divsChild>
        <w:div w:id="50462788">
          <w:marLeft w:val="0"/>
          <w:marRight w:val="0"/>
          <w:marTop w:val="360"/>
          <w:marBottom w:val="360"/>
          <w:divBdr>
            <w:top w:val="none" w:sz="0" w:space="0" w:color="auto"/>
            <w:left w:val="none" w:sz="0" w:space="0" w:color="auto"/>
            <w:bottom w:val="none" w:sz="0" w:space="0" w:color="auto"/>
            <w:right w:val="none" w:sz="0" w:space="0" w:color="auto"/>
          </w:divBdr>
        </w:div>
      </w:divsChild>
    </w:div>
    <w:div w:id="831410300">
      <w:bodyDiv w:val="1"/>
      <w:marLeft w:val="0"/>
      <w:marRight w:val="0"/>
      <w:marTop w:val="0"/>
      <w:marBottom w:val="0"/>
      <w:divBdr>
        <w:top w:val="none" w:sz="0" w:space="0" w:color="auto"/>
        <w:left w:val="none" w:sz="0" w:space="0" w:color="auto"/>
        <w:bottom w:val="none" w:sz="0" w:space="0" w:color="auto"/>
        <w:right w:val="none" w:sz="0" w:space="0" w:color="auto"/>
      </w:divBdr>
    </w:div>
    <w:div w:id="836457483">
      <w:bodyDiv w:val="1"/>
      <w:marLeft w:val="0"/>
      <w:marRight w:val="0"/>
      <w:marTop w:val="0"/>
      <w:marBottom w:val="0"/>
      <w:divBdr>
        <w:top w:val="none" w:sz="0" w:space="0" w:color="auto"/>
        <w:left w:val="none" w:sz="0" w:space="0" w:color="auto"/>
        <w:bottom w:val="none" w:sz="0" w:space="0" w:color="auto"/>
        <w:right w:val="none" w:sz="0" w:space="0" w:color="auto"/>
      </w:divBdr>
    </w:div>
    <w:div w:id="837765889">
      <w:bodyDiv w:val="1"/>
      <w:marLeft w:val="0"/>
      <w:marRight w:val="0"/>
      <w:marTop w:val="0"/>
      <w:marBottom w:val="0"/>
      <w:divBdr>
        <w:top w:val="none" w:sz="0" w:space="0" w:color="auto"/>
        <w:left w:val="none" w:sz="0" w:space="0" w:color="auto"/>
        <w:bottom w:val="none" w:sz="0" w:space="0" w:color="auto"/>
        <w:right w:val="none" w:sz="0" w:space="0" w:color="auto"/>
      </w:divBdr>
    </w:div>
    <w:div w:id="843975781">
      <w:bodyDiv w:val="1"/>
      <w:marLeft w:val="0"/>
      <w:marRight w:val="0"/>
      <w:marTop w:val="0"/>
      <w:marBottom w:val="0"/>
      <w:divBdr>
        <w:top w:val="none" w:sz="0" w:space="0" w:color="auto"/>
        <w:left w:val="none" w:sz="0" w:space="0" w:color="auto"/>
        <w:bottom w:val="none" w:sz="0" w:space="0" w:color="auto"/>
        <w:right w:val="none" w:sz="0" w:space="0" w:color="auto"/>
      </w:divBdr>
    </w:div>
    <w:div w:id="850798489">
      <w:bodyDiv w:val="1"/>
      <w:marLeft w:val="0"/>
      <w:marRight w:val="0"/>
      <w:marTop w:val="0"/>
      <w:marBottom w:val="0"/>
      <w:divBdr>
        <w:top w:val="none" w:sz="0" w:space="0" w:color="auto"/>
        <w:left w:val="none" w:sz="0" w:space="0" w:color="auto"/>
        <w:bottom w:val="none" w:sz="0" w:space="0" w:color="auto"/>
        <w:right w:val="none" w:sz="0" w:space="0" w:color="auto"/>
      </w:divBdr>
      <w:divsChild>
        <w:div w:id="9383692">
          <w:marLeft w:val="0"/>
          <w:marRight w:val="0"/>
          <w:marTop w:val="0"/>
          <w:marBottom w:val="0"/>
          <w:divBdr>
            <w:top w:val="none" w:sz="0" w:space="0" w:color="auto"/>
            <w:left w:val="none" w:sz="0" w:space="0" w:color="auto"/>
            <w:bottom w:val="none" w:sz="0" w:space="0" w:color="auto"/>
            <w:right w:val="none" w:sz="0" w:space="0" w:color="auto"/>
          </w:divBdr>
        </w:div>
        <w:div w:id="75253459">
          <w:marLeft w:val="0"/>
          <w:marRight w:val="0"/>
          <w:marTop w:val="0"/>
          <w:marBottom w:val="0"/>
          <w:divBdr>
            <w:top w:val="none" w:sz="0" w:space="0" w:color="auto"/>
            <w:left w:val="none" w:sz="0" w:space="0" w:color="auto"/>
            <w:bottom w:val="none" w:sz="0" w:space="0" w:color="auto"/>
            <w:right w:val="none" w:sz="0" w:space="0" w:color="auto"/>
          </w:divBdr>
        </w:div>
        <w:div w:id="613633943">
          <w:marLeft w:val="0"/>
          <w:marRight w:val="0"/>
          <w:marTop w:val="0"/>
          <w:marBottom w:val="0"/>
          <w:divBdr>
            <w:top w:val="none" w:sz="0" w:space="0" w:color="auto"/>
            <w:left w:val="none" w:sz="0" w:space="0" w:color="auto"/>
            <w:bottom w:val="none" w:sz="0" w:space="0" w:color="auto"/>
            <w:right w:val="none" w:sz="0" w:space="0" w:color="auto"/>
          </w:divBdr>
        </w:div>
        <w:div w:id="618075458">
          <w:marLeft w:val="0"/>
          <w:marRight w:val="0"/>
          <w:marTop w:val="0"/>
          <w:marBottom w:val="0"/>
          <w:divBdr>
            <w:top w:val="none" w:sz="0" w:space="0" w:color="auto"/>
            <w:left w:val="none" w:sz="0" w:space="0" w:color="auto"/>
            <w:bottom w:val="none" w:sz="0" w:space="0" w:color="auto"/>
            <w:right w:val="none" w:sz="0" w:space="0" w:color="auto"/>
          </w:divBdr>
        </w:div>
        <w:div w:id="730805973">
          <w:marLeft w:val="0"/>
          <w:marRight w:val="0"/>
          <w:marTop w:val="0"/>
          <w:marBottom w:val="0"/>
          <w:divBdr>
            <w:top w:val="none" w:sz="0" w:space="0" w:color="auto"/>
            <w:left w:val="none" w:sz="0" w:space="0" w:color="auto"/>
            <w:bottom w:val="none" w:sz="0" w:space="0" w:color="auto"/>
            <w:right w:val="none" w:sz="0" w:space="0" w:color="auto"/>
          </w:divBdr>
        </w:div>
        <w:div w:id="1360278789">
          <w:marLeft w:val="0"/>
          <w:marRight w:val="0"/>
          <w:marTop w:val="0"/>
          <w:marBottom w:val="0"/>
          <w:divBdr>
            <w:top w:val="none" w:sz="0" w:space="0" w:color="auto"/>
            <w:left w:val="none" w:sz="0" w:space="0" w:color="auto"/>
            <w:bottom w:val="none" w:sz="0" w:space="0" w:color="auto"/>
            <w:right w:val="none" w:sz="0" w:space="0" w:color="auto"/>
          </w:divBdr>
        </w:div>
        <w:div w:id="1493181103">
          <w:marLeft w:val="0"/>
          <w:marRight w:val="0"/>
          <w:marTop w:val="0"/>
          <w:marBottom w:val="0"/>
          <w:divBdr>
            <w:top w:val="none" w:sz="0" w:space="0" w:color="auto"/>
            <w:left w:val="none" w:sz="0" w:space="0" w:color="auto"/>
            <w:bottom w:val="none" w:sz="0" w:space="0" w:color="auto"/>
            <w:right w:val="none" w:sz="0" w:space="0" w:color="auto"/>
          </w:divBdr>
        </w:div>
        <w:div w:id="1622031661">
          <w:marLeft w:val="0"/>
          <w:marRight w:val="0"/>
          <w:marTop w:val="0"/>
          <w:marBottom w:val="0"/>
          <w:divBdr>
            <w:top w:val="none" w:sz="0" w:space="0" w:color="auto"/>
            <w:left w:val="none" w:sz="0" w:space="0" w:color="auto"/>
            <w:bottom w:val="none" w:sz="0" w:space="0" w:color="auto"/>
            <w:right w:val="none" w:sz="0" w:space="0" w:color="auto"/>
          </w:divBdr>
        </w:div>
        <w:div w:id="2034264397">
          <w:marLeft w:val="0"/>
          <w:marRight w:val="0"/>
          <w:marTop w:val="0"/>
          <w:marBottom w:val="0"/>
          <w:divBdr>
            <w:top w:val="none" w:sz="0" w:space="0" w:color="auto"/>
            <w:left w:val="none" w:sz="0" w:space="0" w:color="auto"/>
            <w:bottom w:val="none" w:sz="0" w:space="0" w:color="auto"/>
            <w:right w:val="none" w:sz="0" w:space="0" w:color="auto"/>
          </w:divBdr>
        </w:div>
      </w:divsChild>
    </w:div>
    <w:div w:id="887258011">
      <w:bodyDiv w:val="1"/>
      <w:marLeft w:val="0"/>
      <w:marRight w:val="0"/>
      <w:marTop w:val="0"/>
      <w:marBottom w:val="0"/>
      <w:divBdr>
        <w:top w:val="none" w:sz="0" w:space="0" w:color="auto"/>
        <w:left w:val="none" w:sz="0" w:space="0" w:color="auto"/>
        <w:bottom w:val="none" w:sz="0" w:space="0" w:color="auto"/>
        <w:right w:val="none" w:sz="0" w:space="0" w:color="auto"/>
      </w:divBdr>
    </w:div>
    <w:div w:id="890700811">
      <w:bodyDiv w:val="1"/>
      <w:marLeft w:val="0"/>
      <w:marRight w:val="0"/>
      <w:marTop w:val="0"/>
      <w:marBottom w:val="0"/>
      <w:divBdr>
        <w:top w:val="none" w:sz="0" w:space="0" w:color="auto"/>
        <w:left w:val="none" w:sz="0" w:space="0" w:color="auto"/>
        <w:bottom w:val="none" w:sz="0" w:space="0" w:color="auto"/>
        <w:right w:val="none" w:sz="0" w:space="0" w:color="auto"/>
      </w:divBdr>
    </w:div>
    <w:div w:id="893615162">
      <w:bodyDiv w:val="1"/>
      <w:marLeft w:val="0"/>
      <w:marRight w:val="0"/>
      <w:marTop w:val="0"/>
      <w:marBottom w:val="0"/>
      <w:divBdr>
        <w:top w:val="none" w:sz="0" w:space="0" w:color="auto"/>
        <w:left w:val="none" w:sz="0" w:space="0" w:color="auto"/>
        <w:bottom w:val="none" w:sz="0" w:space="0" w:color="auto"/>
        <w:right w:val="none" w:sz="0" w:space="0" w:color="auto"/>
      </w:divBdr>
    </w:div>
    <w:div w:id="894589904">
      <w:bodyDiv w:val="1"/>
      <w:marLeft w:val="0"/>
      <w:marRight w:val="0"/>
      <w:marTop w:val="0"/>
      <w:marBottom w:val="0"/>
      <w:divBdr>
        <w:top w:val="none" w:sz="0" w:space="0" w:color="auto"/>
        <w:left w:val="none" w:sz="0" w:space="0" w:color="auto"/>
        <w:bottom w:val="none" w:sz="0" w:space="0" w:color="auto"/>
        <w:right w:val="none" w:sz="0" w:space="0" w:color="auto"/>
      </w:divBdr>
    </w:div>
    <w:div w:id="898442601">
      <w:bodyDiv w:val="1"/>
      <w:marLeft w:val="0"/>
      <w:marRight w:val="0"/>
      <w:marTop w:val="0"/>
      <w:marBottom w:val="0"/>
      <w:divBdr>
        <w:top w:val="none" w:sz="0" w:space="0" w:color="auto"/>
        <w:left w:val="none" w:sz="0" w:space="0" w:color="auto"/>
        <w:bottom w:val="none" w:sz="0" w:space="0" w:color="auto"/>
        <w:right w:val="none" w:sz="0" w:space="0" w:color="auto"/>
      </w:divBdr>
    </w:div>
    <w:div w:id="901673562">
      <w:bodyDiv w:val="1"/>
      <w:marLeft w:val="0"/>
      <w:marRight w:val="0"/>
      <w:marTop w:val="0"/>
      <w:marBottom w:val="0"/>
      <w:divBdr>
        <w:top w:val="none" w:sz="0" w:space="0" w:color="auto"/>
        <w:left w:val="none" w:sz="0" w:space="0" w:color="auto"/>
        <w:bottom w:val="none" w:sz="0" w:space="0" w:color="auto"/>
        <w:right w:val="none" w:sz="0" w:space="0" w:color="auto"/>
      </w:divBdr>
    </w:div>
    <w:div w:id="916355864">
      <w:bodyDiv w:val="1"/>
      <w:marLeft w:val="0"/>
      <w:marRight w:val="0"/>
      <w:marTop w:val="0"/>
      <w:marBottom w:val="0"/>
      <w:divBdr>
        <w:top w:val="none" w:sz="0" w:space="0" w:color="auto"/>
        <w:left w:val="none" w:sz="0" w:space="0" w:color="auto"/>
        <w:bottom w:val="none" w:sz="0" w:space="0" w:color="auto"/>
        <w:right w:val="none" w:sz="0" w:space="0" w:color="auto"/>
      </w:divBdr>
    </w:div>
    <w:div w:id="921335873">
      <w:bodyDiv w:val="1"/>
      <w:marLeft w:val="0"/>
      <w:marRight w:val="0"/>
      <w:marTop w:val="0"/>
      <w:marBottom w:val="0"/>
      <w:divBdr>
        <w:top w:val="none" w:sz="0" w:space="0" w:color="auto"/>
        <w:left w:val="none" w:sz="0" w:space="0" w:color="auto"/>
        <w:bottom w:val="none" w:sz="0" w:space="0" w:color="auto"/>
        <w:right w:val="none" w:sz="0" w:space="0" w:color="auto"/>
      </w:divBdr>
    </w:div>
    <w:div w:id="922761776">
      <w:bodyDiv w:val="1"/>
      <w:marLeft w:val="0"/>
      <w:marRight w:val="0"/>
      <w:marTop w:val="0"/>
      <w:marBottom w:val="0"/>
      <w:divBdr>
        <w:top w:val="none" w:sz="0" w:space="0" w:color="auto"/>
        <w:left w:val="none" w:sz="0" w:space="0" w:color="auto"/>
        <w:bottom w:val="none" w:sz="0" w:space="0" w:color="auto"/>
        <w:right w:val="none" w:sz="0" w:space="0" w:color="auto"/>
      </w:divBdr>
    </w:div>
    <w:div w:id="949093162">
      <w:bodyDiv w:val="1"/>
      <w:marLeft w:val="0"/>
      <w:marRight w:val="0"/>
      <w:marTop w:val="0"/>
      <w:marBottom w:val="0"/>
      <w:divBdr>
        <w:top w:val="none" w:sz="0" w:space="0" w:color="auto"/>
        <w:left w:val="none" w:sz="0" w:space="0" w:color="auto"/>
        <w:bottom w:val="none" w:sz="0" w:space="0" w:color="auto"/>
        <w:right w:val="none" w:sz="0" w:space="0" w:color="auto"/>
      </w:divBdr>
    </w:div>
    <w:div w:id="949120619">
      <w:bodyDiv w:val="1"/>
      <w:marLeft w:val="0"/>
      <w:marRight w:val="0"/>
      <w:marTop w:val="0"/>
      <w:marBottom w:val="0"/>
      <w:divBdr>
        <w:top w:val="none" w:sz="0" w:space="0" w:color="auto"/>
        <w:left w:val="none" w:sz="0" w:space="0" w:color="auto"/>
        <w:bottom w:val="none" w:sz="0" w:space="0" w:color="auto"/>
        <w:right w:val="none" w:sz="0" w:space="0" w:color="auto"/>
      </w:divBdr>
    </w:div>
    <w:div w:id="958335301">
      <w:bodyDiv w:val="1"/>
      <w:marLeft w:val="0"/>
      <w:marRight w:val="0"/>
      <w:marTop w:val="0"/>
      <w:marBottom w:val="0"/>
      <w:divBdr>
        <w:top w:val="none" w:sz="0" w:space="0" w:color="auto"/>
        <w:left w:val="none" w:sz="0" w:space="0" w:color="auto"/>
        <w:bottom w:val="none" w:sz="0" w:space="0" w:color="auto"/>
        <w:right w:val="none" w:sz="0" w:space="0" w:color="auto"/>
      </w:divBdr>
    </w:div>
    <w:div w:id="961375138">
      <w:bodyDiv w:val="1"/>
      <w:marLeft w:val="0"/>
      <w:marRight w:val="0"/>
      <w:marTop w:val="0"/>
      <w:marBottom w:val="0"/>
      <w:divBdr>
        <w:top w:val="none" w:sz="0" w:space="0" w:color="auto"/>
        <w:left w:val="none" w:sz="0" w:space="0" w:color="auto"/>
        <w:bottom w:val="none" w:sz="0" w:space="0" w:color="auto"/>
        <w:right w:val="none" w:sz="0" w:space="0" w:color="auto"/>
      </w:divBdr>
    </w:div>
    <w:div w:id="961572740">
      <w:bodyDiv w:val="1"/>
      <w:marLeft w:val="0"/>
      <w:marRight w:val="0"/>
      <w:marTop w:val="0"/>
      <w:marBottom w:val="0"/>
      <w:divBdr>
        <w:top w:val="none" w:sz="0" w:space="0" w:color="auto"/>
        <w:left w:val="none" w:sz="0" w:space="0" w:color="auto"/>
        <w:bottom w:val="none" w:sz="0" w:space="0" w:color="auto"/>
        <w:right w:val="none" w:sz="0" w:space="0" w:color="auto"/>
      </w:divBdr>
    </w:div>
    <w:div w:id="971786289">
      <w:bodyDiv w:val="1"/>
      <w:marLeft w:val="0"/>
      <w:marRight w:val="0"/>
      <w:marTop w:val="0"/>
      <w:marBottom w:val="0"/>
      <w:divBdr>
        <w:top w:val="none" w:sz="0" w:space="0" w:color="auto"/>
        <w:left w:val="none" w:sz="0" w:space="0" w:color="auto"/>
        <w:bottom w:val="none" w:sz="0" w:space="0" w:color="auto"/>
        <w:right w:val="none" w:sz="0" w:space="0" w:color="auto"/>
      </w:divBdr>
    </w:div>
    <w:div w:id="971910270">
      <w:bodyDiv w:val="1"/>
      <w:marLeft w:val="0"/>
      <w:marRight w:val="0"/>
      <w:marTop w:val="0"/>
      <w:marBottom w:val="0"/>
      <w:divBdr>
        <w:top w:val="none" w:sz="0" w:space="0" w:color="auto"/>
        <w:left w:val="none" w:sz="0" w:space="0" w:color="auto"/>
        <w:bottom w:val="none" w:sz="0" w:space="0" w:color="auto"/>
        <w:right w:val="none" w:sz="0" w:space="0" w:color="auto"/>
      </w:divBdr>
    </w:div>
    <w:div w:id="978608465">
      <w:bodyDiv w:val="1"/>
      <w:marLeft w:val="0"/>
      <w:marRight w:val="0"/>
      <w:marTop w:val="0"/>
      <w:marBottom w:val="0"/>
      <w:divBdr>
        <w:top w:val="none" w:sz="0" w:space="0" w:color="auto"/>
        <w:left w:val="none" w:sz="0" w:space="0" w:color="auto"/>
        <w:bottom w:val="none" w:sz="0" w:space="0" w:color="auto"/>
        <w:right w:val="none" w:sz="0" w:space="0" w:color="auto"/>
      </w:divBdr>
    </w:div>
    <w:div w:id="991711448">
      <w:bodyDiv w:val="1"/>
      <w:marLeft w:val="0"/>
      <w:marRight w:val="0"/>
      <w:marTop w:val="0"/>
      <w:marBottom w:val="0"/>
      <w:divBdr>
        <w:top w:val="none" w:sz="0" w:space="0" w:color="auto"/>
        <w:left w:val="none" w:sz="0" w:space="0" w:color="auto"/>
        <w:bottom w:val="none" w:sz="0" w:space="0" w:color="auto"/>
        <w:right w:val="none" w:sz="0" w:space="0" w:color="auto"/>
      </w:divBdr>
    </w:div>
    <w:div w:id="1006593449">
      <w:bodyDiv w:val="1"/>
      <w:marLeft w:val="0"/>
      <w:marRight w:val="0"/>
      <w:marTop w:val="0"/>
      <w:marBottom w:val="0"/>
      <w:divBdr>
        <w:top w:val="none" w:sz="0" w:space="0" w:color="auto"/>
        <w:left w:val="none" w:sz="0" w:space="0" w:color="auto"/>
        <w:bottom w:val="none" w:sz="0" w:space="0" w:color="auto"/>
        <w:right w:val="none" w:sz="0" w:space="0" w:color="auto"/>
      </w:divBdr>
    </w:div>
    <w:div w:id="1007948886">
      <w:bodyDiv w:val="1"/>
      <w:marLeft w:val="0"/>
      <w:marRight w:val="0"/>
      <w:marTop w:val="0"/>
      <w:marBottom w:val="0"/>
      <w:divBdr>
        <w:top w:val="none" w:sz="0" w:space="0" w:color="auto"/>
        <w:left w:val="none" w:sz="0" w:space="0" w:color="auto"/>
        <w:bottom w:val="none" w:sz="0" w:space="0" w:color="auto"/>
        <w:right w:val="none" w:sz="0" w:space="0" w:color="auto"/>
      </w:divBdr>
    </w:div>
    <w:div w:id="1012301287">
      <w:bodyDiv w:val="1"/>
      <w:marLeft w:val="0"/>
      <w:marRight w:val="0"/>
      <w:marTop w:val="0"/>
      <w:marBottom w:val="0"/>
      <w:divBdr>
        <w:top w:val="none" w:sz="0" w:space="0" w:color="auto"/>
        <w:left w:val="none" w:sz="0" w:space="0" w:color="auto"/>
        <w:bottom w:val="none" w:sz="0" w:space="0" w:color="auto"/>
        <w:right w:val="none" w:sz="0" w:space="0" w:color="auto"/>
      </w:divBdr>
    </w:div>
    <w:div w:id="1014113824">
      <w:bodyDiv w:val="1"/>
      <w:marLeft w:val="0"/>
      <w:marRight w:val="0"/>
      <w:marTop w:val="0"/>
      <w:marBottom w:val="0"/>
      <w:divBdr>
        <w:top w:val="none" w:sz="0" w:space="0" w:color="auto"/>
        <w:left w:val="none" w:sz="0" w:space="0" w:color="auto"/>
        <w:bottom w:val="none" w:sz="0" w:space="0" w:color="auto"/>
        <w:right w:val="none" w:sz="0" w:space="0" w:color="auto"/>
      </w:divBdr>
    </w:div>
    <w:div w:id="1044253846">
      <w:bodyDiv w:val="1"/>
      <w:marLeft w:val="0"/>
      <w:marRight w:val="0"/>
      <w:marTop w:val="0"/>
      <w:marBottom w:val="0"/>
      <w:divBdr>
        <w:top w:val="none" w:sz="0" w:space="0" w:color="auto"/>
        <w:left w:val="none" w:sz="0" w:space="0" w:color="auto"/>
        <w:bottom w:val="none" w:sz="0" w:space="0" w:color="auto"/>
        <w:right w:val="none" w:sz="0" w:space="0" w:color="auto"/>
      </w:divBdr>
    </w:div>
    <w:div w:id="1044259655">
      <w:bodyDiv w:val="1"/>
      <w:marLeft w:val="0"/>
      <w:marRight w:val="0"/>
      <w:marTop w:val="0"/>
      <w:marBottom w:val="0"/>
      <w:divBdr>
        <w:top w:val="none" w:sz="0" w:space="0" w:color="auto"/>
        <w:left w:val="none" w:sz="0" w:space="0" w:color="auto"/>
        <w:bottom w:val="none" w:sz="0" w:space="0" w:color="auto"/>
        <w:right w:val="none" w:sz="0" w:space="0" w:color="auto"/>
      </w:divBdr>
    </w:div>
    <w:div w:id="1048073243">
      <w:bodyDiv w:val="1"/>
      <w:marLeft w:val="0"/>
      <w:marRight w:val="0"/>
      <w:marTop w:val="0"/>
      <w:marBottom w:val="0"/>
      <w:divBdr>
        <w:top w:val="none" w:sz="0" w:space="0" w:color="auto"/>
        <w:left w:val="none" w:sz="0" w:space="0" w:color="auto"/>
        <w:bottom w:val="none" w:sz="0" w:space="0" w:color="auto"/>
        <w:right w:val="none" w:sz="0" w:space="0" w:color="auto"/>
      </w:divBdr>
      <w:divsChild>
        <w:div w:id="167065122">
          <w:marLeft w:val="0"/>
          <w:marRight w:val="0"/>
          <w:marTop w:val="225"/>
          <w:marBottom w:val="0"/>
          <w:divBdr>
            <w:top w:val="none" w:sz="0" w:space="0" w:color="auto"/>
            <w:left w:val="none" w:sz="0" w:space="0" w:color="auto"/>
            <w:bottom w:val="none" w:sz="0" w:space="0" w:color="auto"/>
            <w:right w:val="none" w:sz="0" w:space="0" w:color="auto"/>
          </w:divBdr>
          <w:divsChild>
            <w:div w:id="799107456">
              <w:marLeft w:val="0"/>
              <w:marRight w:val="0"/>
              <w:marTop w:val="0"/>
              <w:marBottom w:val="0"/>
              <w:divBdr>
                <w:top w:val="none" w:sz="0" w:space="0" w:color="auto"/>
                <w:left w:val="none" w:sz="0" w:space="0" w:color="auto"/>
                <w:bottom w:val="none" w:sz="0" w:space="0" w:color="auto"/>
                <w:right w:val="none" w:sz="0" w:space="0" w:color="auto"/>
              </w:divBdr>
            </w:div>
          </w:divsChild>
        </w:div>
        <w:div w:id="570310695">
          <w:marLeft w:val="0"/>
          <w:marRight w:val="0"/>
          <w:marTop w:val="225"/>
          <w:marBottom w:val="0"/>
          <w:divBdr>
            <w:top w:val="none" w:sz="0" w:space="0" w:color="auto"/>
            <w:left w:val="none" w:sz="0" w:space="0" w:color="auto"/>
            <w:bottom w:val="none" w:sz="0" w:space="0" w:color="auto"/>
            <w:right w:val="none" w:sz="0" w:space="0" w:color="auto"/>
          </w:divBdr>
          <w:divsChild>
            <w:div w:id="1673676918">
              <w:marLeft w:val="0"/>
              <w:marRight w:val="0"/>
              <w:marTop w:val="0"/>
              <w:marBottom w:val="0"/>
              <w:divBdr>
                <w:top w:val="none" w:sz="0" w:space="0" w:color="auto"/>
                <w:left w:val="none" w:sz="0" w:space="0" w:color="auto"/>
                <w:bottom w:val="none" w:sz="0" w:space="0" w:color="auto"/>
                <w:right w:val="none" w:sz="0" w:space="0" w:color="auto"/>
              </w:divBdr>
            </w:div>
            <w:div w:id="1787580919">
              <w:marLeft w:val="0"/>
              <w:marRight w:val="0"/>
              <w:marTop w:val="0"/>
              <w:marBottom w:val="0"/>
              <w:divBdr>
                <w:top w:val="none" w:sz="0" w:space="0" w:color="auto"/>
                <w:left w:val="none" w:sz="0" w:space="0" w:color="auto"/>
                <w:bottom w:val="none" w:sz="0" w:space="0" w:color="auto"/>
                <w:right w:val="none" w:sz="0" w:space="0" w:color="auto"/>
              </w:divBdr>
            </w:div>
          </w:divsChild>
        </w:div>
        <w:div w:id="792793344">
          <w:marLeft w:val="0"/>
          <w:marRight w:val="0"/>
          <w:marTop w:val="0"/>
          <w:marBottom w:val="0"/>
          <w:divBdr>
            <w:top w:val="none" w:sz="0" w:space="0" w:color="auto"/>
            <w:left w:val="none" w:sz="0" w:space="0" w:color="auto"/>
            <w:bottom w:val="none" w:sz="0" w:space="0" w:color="auto"/>
            <w:right w:val="none" w:sz="0" w:space="0" w:color="auto"/>
          </w:divBdr>
        </w:div>
        <w:div w:id="937786960">
          <w:marLeft w:val="0"/>
          <w:marRight w:val="0"/>
          <w:marTop w:val="225"/>
          <w:marBottom w:val="0"/>
          <w:divBdr>
            <w:top w:val="none" w:sz="0" w:space="0" w:color="auto"/>
            <w:left w:val="none" w:sz="0" w:space="0" w:color="auto"/>
            <w:bottom w:val="none" w:sz="0" w:space="0" w:color="auto"/>
            <w:right w:val="none" w:sz="0" w:space="0" w:color="auto"/>
          </w:divBdr>
          <w:divsChild>
            <w:div w:id="1287585840">
              <w:marLeft w:val="0"/>
              <w:marRight w:val="0"/>
              <w:marTop w:val="0"/>
              <w:marBottom w:val="0"/>
              <w:divBdr>
                <w:top w:val="none" w:sz="0" w:space="0" w:color="auto"/>
                <w:left w:val="none" w:sz="0" w:space="0" w:color="auto"/>
                <w:bottom w:val="none" w:sz="0" w:space="0" w:color="auto"/>
                <w:right w:val="none" w:sz="0" w:space="0" w:color="auto"/>
              </w:divBdr>
            </w:div>
          </w:divsChild>
        </w:div>
        <w:div w:id="1633361493">
          <w:marLeft w:val="0"/>
          <w:marRight w:val="0"/>
          <w:marTop w:val="0"/>
          <w:marBottom w:val="0"/>
          <w:divBdr>
            <w:top w:val="none" w:sz="0" w:space="0" w:color="auto"/>
            <w:left w:val="none" w:sz="0" w:space="0" w:color="auto"/>
            <w:bottom w:val="none" w:sz="0" w:space="0" w:color="auto"/>
            <w:right w:val="none" w:sz="0" w:space="0" w:color="auto"/>
          </w:divBdr>
        </w:div>
      </w:divsChild>
    </w:div>
    <w:div w:id="1049496889">
      <w:bodyDiv w:val="1"/>
      <w:marLeft w:val="0"/>
      <w:marRight w:val="0"/>
      <w:marTop w:val="0"/>
      <w:marBottom w:val="0"/>
      <w:divBdr>
        <w:top w:val="none" w:sz="0" w:space="0" w:color="auto"/>
        <w:left w:val="none" w:sz="0" w:space="0" w:color="auto"/>
        <w:bottom w:val="none" w:sz="0" w:space="0" w:color="auto"/>
        <w:right w:val="none" w:sz="0" w:space="0" w:color="auto"/>
      </w:divBdr>
    </w:div>
    <w:div w:id="1053963010">
      <w:bodyDiv w:val="1"/>
      <w:marLeft w:val="0"/>
      <w:marRight w:val="0"/>
      <w:marTop w:val="0"/>
      <w:marBottom w:val="0"/>
      <w:divBdr>
        <w:top w:val="none" w:sz="0" w:space="0" w:color="auto"/>
        <w:left w:val="none" w:sz="0" w:space="0" w:color="auto"/>
        <w:bottom w:val="none" w:sz="0" w:space="0" w:color="auto"/>
        <w:right w:val="none" w:sz="0" w:space="0" w:color="auto"/>
      </w:divBdr>
    </w:div>
    <w:div w:id="1054890392">
      <w:bodyDiv w:val="1"/>
      <w:marLeft w:val="0"/>
      <w:marRight w:val="0"/>
      <w:marTop w:val="0"/>
      <w:marBottom w:val="0"/>
      <w:divBdr>
        <w:top w:val="none" w:sz="0" w:space="0" w:color="auto"/>
        <w:left w:val="none" w:sz="0" w:space="0" w:color="auto"/>
        <w:bottom w:val="none" w:sz="0" w:space="0" w:color="auto"/>
        <w:right w:val="none" w:sz="0" w:space="0" w:color="auto"/>
      </w:divBdr>
    </w:div>
    <w:div w:id="1057629582">
      <w:bodyDiv w:val="1"/>
      <w:marLeft w:val="0"/>
      <w:marRight w:val="0"/>
      <w:marTop w:val="0"/>
      <w:marBottom w:val="0"/>
      <w:divBdr>
        <w:top w:val="none" w:sz="0" w:space="0" w:color="auto"/>
        <w:left w:val="none" w:sz="0" w:space="0" w:color="auto"/>
        <w:bottom w:val="none" w:sz="0" w:space="0" w:color="auto"/>
        <w:right w:val="none" w:sz="0" w:space="0" w:color="auto"/>
      </w:divBdr>
    </w:div>
    <w:div w:id="1063022545">
      <w:bodyDiv w:val="1"/>
      <w:marLeft w:val="0"/>
      <w:marRight w:val="0"/>
      <w:marTop w:val="0"/>
      <w:marBottom w:val="0"/>
      <w:divBdr>
        <w:top w:val="none" w:sz="0" w:space="0" w:color="auto"/>
        <w:left w:val="none" w:sz="0" w:space="0" w:color="auto"/>
        <w:bottom w:val="none" w:sz="0" w:space="0" w:color="auto"/>
        <w:right w:val="none" w:sz="0" w:space="0" w:color="auto"/>
      </w:divBdr>
    </w:div>
    <w:div w:id="1066806653">
      <w:bodyDiv w:val="1"/>
      <w:marLeft w:val="0"/>
      <w:marRight w:val="0"/>
      <w:marTop w:val="0"/>
      <w:marBottom w:val="0"/>
      <w:divBdr>
        <w:top w:val="none" w:sz="0" w:space="0" w:color="auto"/>
        <w:left w:val="none" w:sz="0" w:space="0" w:color="auto"/>
        <w:bottom w:val="none" w:sz="0" w:space="0" w:color="auto"/>
        <w:right w:val="none" w:sz="0" w:space="0" w:color="auto"/>
      </w:divBdr>
    </w:div>
    <w:div w:id="1069110655">
      <w:bodyDiv w:val="1"/>
      <w:marLeft w:val="0"/>
      <w:marRight w:val="0"/>
      <w:marTop w:val="0"/>
      <w:marBottom w:val="0"/>
      <w:divBdr>
        <w:top w:val="none" w:sz="0" w:space="0" w:color="auto"/>
        <w:left w:val="none" w:sz="0" w:space="0" w:color="auto"/>
        <w:bottom w:val="none" w:sz="0" w:space="0" w:color="auto"/>
        <w:right w:val="none" w:sz="0" w:space="0" w:color="auto"/>
      </w:divBdr>
      <w:divsChild>
        <w:div w:id="348259446">
          <w:blockQuote w:val="1"/>
          <w:marLeft w:val="720"/>
          <w:marRight w:val="720"/>
          <w:marTop w:val="100"/>
          <w:marBottom w:val="100"/>
          <w:divBdr>
            <w:top w:val="none" w:sz="0" w:space="0" w:color="auto"/>
            <w:left w:val="none" w:sz="0" w:space="0" w:color="auto"/>
            <w:bottom w:val="none" w:sz="0" w:space="0" w:color="auto"/>
            <w:right w:val="none" w:sz="0" w:space="0" w:color="auto"/>
          </w:divBdr>
        </w:div>
        <w:div w:id="509297602">
          <w:blockQuote w:val="1"/>
          <w:marLeft w:val="720"/>
          <w:marRight w:val="720"/>
          <w:marTop w:val="100"/>
          <w:marBottom w:val="100"/>
          <w:divBdr>
            <w:top w:val="none" w:sz="0" w:space="0" w:color="auto"/>
            <w:left w:val="none" w:sz="0" w:space="0" w:color="auto"/>
            <w:bottom w:val="none" w:sz="0" w:space="0" w:color="auto"/>
            <w:right w:val="none" w:sz="0" w:space="0" w:color="auto"/>
          </w:divBdr>
        </w:div>
        <w:div w:id="979458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245676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299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4935987">
      <w:bodyDiv w:val="1"/>
      <w:marLeft w:val="0"/>
      <w:marRight w:val="0"/>
      <w:marTop w:val="0"/>
      <w:marBottom w:val="0"/>
      <w:divBdr>
        <w:top w:val="none" w:sz="0" w:space="0" w:color="auto"/>
        <w:left w:val="none" w:sz="0" w:space="0" w:color="auto"/>
        <w:bottom w:val="none" w:sz="0" w:space="0" w:color="auto"/>
        <w:right w:val="none" w:sz="0" w:space="0" w:color="auto"/>
      </w:divBdr>
    </w:div>
    <w:div w:id="1076828369">
      <w:bodyDiv w:val="1"/>
      <w:marLeft w:val="0"/>
      <w:marRight w:val="0"/>
      <w:marTop w:val="0"/>
      <w:marBottom w:val="0"/>
      <w:divBdr>
        <w:top w:val="none" w:sz="0" w:space="0" w:color="auto"/>
        <w:left w:val="none" w:sz="0" w:space="0" w:color="auto"/>
        <w:bottom w:val="none" w:sz="0" w:space="0" w:color="auto"/>
        <w:right w:val="none" w:sz="0" w:space="0" w:color="auto"/>
      </w:divBdr>
    </w:div>
    <w:div w:id="1101144913">
      <w:bodyDiv w:val="1"/>
      <w:marLeft w:val="0"/>
      <w:marRight w:val="0"/>
      <w:marTop w:val="0"/>
      <w:marBottom w:val="0"/>
      <w:divBdr>
        <w:top w:val="none" w:sz="0" w:space="0" w:color="auto"/>
        <w:left w:val="none" w:sz="0" w:space="0" w:color="auto"/>
        <w:bottom w:val="none" w:sz="0" w:space="0" w:color="auto"/>
        <w:right w:val="none" w:sz="0" w:space="0" w:color="auto"/>
      </w:divBdr>
    </w:div>
    <w:div w:id="1106465775">
      <w:bodyDiv w:val="1"/>
      <w:marLeft w:val="0"/>
      <w:marRight w:val="0"/>
      <w:marTop w:val="0"/>
      <w:marBottom w:val="0"/>
      <w:divBdr>
        <w:top w:val="none" w:sz="0" w:space="0" w:color="auto"/>
        <w:left w:val="none" w:sz="0" w:space="0" w:color="auto"/>
        <w:bottom w:val="none" w:sz="0" w:space="0" w:color="auto"/>
        <w:right w:val="none" w:sz="0" w:space="0" w:color="auto"/>
      </w:divBdr>
    </w:div>
    <w:div w:id="1107844202">
      <w:bodyDiv w:val="1"/>
      <w:marLeft w:val="0"/>
      <w:marRight w:val="0"/>
      <w:marTop w:val="0"/>
      <w:marBottom w:val="0"/>
      <w:divBdr>
        <w:top w:val="none" w:sz="0" w:space="0" w:color="auto"/>
        <w:left w:val="none" w:sz="0" w:space="0" w:color="auto"/>
        <w:bottom w:val="none" w:sz="0" w:space="0" w:color="auto"/>
        <w:right w:val="none" w:sz="0" w:space="0" w:color="auto"/>
      </w:divBdr>
    </w:div>
    <w:div w:id="1123769104">
      <w:bodyDiv w:val="1"/>
      <w:marLeft w:val="0"/>
      <w:marRight w:val="0"/>
      <w:marTop w:val="0"/>
      <w:marBottom w:val="0"/>
      <w:divBdr>
        <w:top w:val="none" w:sz="0" w:space="0" w:color="auto"/>
        <w:left w:val="none" w:sz="0" w:space="0" w:color="auto"/>
        <w:bottom w:val="none" w:sz="0" w:space="0" w:color="auto"/>
        <w:right w:val="none" w:sz="0" w:space="0" w:color="auto"/>
      </w:divBdr>
    </w:div>
    <w:div w:id="1152059269">
      <w:bodyDiv w:val="1"/>
      <w:marLeft w:val="0"/>
      <w:marRight w:val="0"/>
      <w:marTop w:val="0"/>
      <w:marBottom w:val="0"/>
      <w:divBdr>
        <w:top w:val="none" w:sz="0" w:space="0" w:color="auto"/>
        <w:left w:val="none" w:sz="0" w:space="0" w:color="auto"/>
        <w:bottom w:val="none" w:sz="0" w:space="0" w:color="auto"/>
        <w:right w:val="none" w:sz="0" w:space="0" w:color="auto"/>
      </w:divBdr>
    </w:div>
    <w:div w:id="1165054033">
      <w:bodyDiv w:val="1"/>
      <w:marLeft w:val="0"/>
      <w:marRight w:val="0"/>
      <w:marTop w:val="0"/>
      <w:marBottom w:val="0"/>
      <w:divBdr>
        <w:top w:val="none" w:sz="0" w:space="0" w:color="auto"/>
        <w:left w:val="none" w:sz="0" w:space="0" w:color="auto"/>
        <w:bottom w:val="none" w:sz="0" w:space="0" w:color="auto"/>
        <w:right w:val="none" w:sz="0" w:space="0" w:color="auto"/>
      </w:divBdr>
    </w:div>
    <w:div w:id="1187449190">
      <w:bodyDiv w:val="1"/>
      <w:marLeft w:val="0"/>
      <w:marRight w:val="0"/>
      <w:marTop w:val="0"/>
      <w:marBottom w:val="0"/>
      <w:divBdr>
        <w:top w:val="none" w:sz="0" w:space="0" w:color="auto"/>
        <w:left w:val="none" w:sz="0" w:space="0" w:color="auto"/>
        <w:bottom w:val="none" w:sz="0" w:space="0" w:color="auto"/>
        <w:right w:val="none" w:sz="0" w:space="0" w:color="auto"/>
      </w:divBdr>
    </w:div>
    <w:div w:id="1205630500">
      <w:bodyDiv w:val="1"/>
      <w:marLeft w:val="0"/>
      <w:marRight w:val="0"/>
      <w:marTop w:val="0"/>
      <w:marBottom w:val="0"/>
      <w:divBdr>
        <w:top w:val="none" w:sz="0" w:space="0" w:color="auto"/>
        <w:left w:val="none" w:sz="0" w:space="0" w:color="auto"/>
        <w:bottom w:val="none" w:sz="0" w:space="0" w:color="auto"/>
        <w:right w:val="none" w:sz="0" w:space="0" w:color="auto"/>
      </w:divBdr>
    </w:div>
    <w:div w:id="1211067406">
      <w:bodyDiv w:val="1"/>
      <w:marLeft w:val="0"/>
      <w:marRight w:val="0"/>
      <w:marTop w:val="0"/>
      <w:marBottom w:val="0"/>
      <w:divBdr>
        <w:top w:val="none" w:sz="0" w:space="0" w:color="auto"/>
        <w:left w:val="none" w:sz="0" w:space="0" w:color="auto"/>
        <w:bottom w:val="none" w:sz="0" w:space="0" w:color="auto"/>
        <w:right w:val="none" w:sz="0" w:space="0" w:color="auto"/>
      </w:divBdr>
    </w:div>
    <w:div w:id="1220702355">
      <w:bodyDiv w:val="1"/>
      <w:marLeft w:val="0"/>
      <w:marRight w:val="0"/>
      <w:marTop w:val="0"/>
      <w:marBottom w:val="0"/>
      <w:divBdr>
        <w:top w:val="none" w:sz="0" w:space="0" w:color="auto"/>
        <w:left w:val="none" w:sz="0" w:space="0" w:color="auto"/>
        <w:bottom w:val="none" w:sz="0" w:space="0" w:color="auto"/>
        <w:right w:val="none" w:sz="0" w:space="0" w:color="auto"/>
      </w:divBdr>
    </w:div>
    <w:div w:id="1222205263">
      <w:bodyDiv w:val="1"/>
      <w:marLeft w:val="0"/>
      <w:marRight w:val="0"/>
      <w:marTop w:val="0"/>
      <w:marBottom w:val="0"/>
      <w:divBdr>
        <w:top w:val="none" w:sz="0" w:space="0" w:color="auto"/>
        <w:left w:val="none" w:sz="0" w:space="0" w:color="auto"/>
        <w:bottom w:val="none" w:sz="0" w:space="0" w:color="auto"/>
        <w:right w:val="none" w:sz="0" w:space="0" w:color="auto"/>
      </w:divBdr>
    </w:div>
    <w:div w:id="1226066831">
      <w:bodyDiv w:val="1"/>
      <w:marLeft w:val="0"/>
      <w:marRight w:val="0"/>
      <w:marTop w:val="0"/>
      <w:marBottom w:val="0"/>
      <w:divBdr>
        <w:top w:val="none" w:sz="0" w:space="0" w:color="auto"/>
        <w:left w:val="none" w:sz="0" w:space="0" w:color="auto"/>
        <w:bottom w:val="none" w:sz="0" w:space="0" w:color="auto"/>
        <w:right w:val="none" w:sz="0" w:space="0" w:color="auto"/>
      </w:divBdr>
    </w:div>
    <w:div w:id="1228955143">
      <w:bodyDiv w:val="1"/>
      <w:marLeft w:val="0"/>
      <w:marRight w:val="0"/>
      <w:marTop w:val="0"/>
      <w:marBottom w:val="0"/>
      <w:divBdr>
        <w:top w:val="none" w:sz="0" w:space="0" w:color="auto"/>
        <w:left w:val="none" w:sz="0" w:space="0" w:color="auto"/>
        <w:bottom w:val="none" w:sz="0" w:space="0" w:color="auto"/>
        <w:right w:val="none" w:sz="0" w:space="0" w:color="auto"/>
      </w:divBdr>
    </w:div>
    <w:div w:id="1230070777">
      <w:bodyDiv w:val="1"/>
      <w:marLeft w:val="0"/>
      <w:marRight w:val="0"/>
      <w:marTop w:val="0"/>
      <w:marBottom w:val="0"/>
      <w:divBdr>
        <w:top w:val="none" w:sz="0" w:space="0" w:color="auto"/>
        <w:left w:val="none" w:sz="0" w:space="0" w:color="auto"/>
        <w:bottom w:val="none" w:sz="0" w:space="0" w:color="auto"/>
        <w:right w:val="none" w:sz="0" w:space="0" w:color="auto"/>
      </w:divBdr>
    </w:div>
    <w:div w:id="1237547845">
      <w:bodyDiv w:val="1"/>
      <w:marLeft w:val="0"/>
      <w:marRight w:val="0"/>
      <w:marTop w:val="0"/>
      <w:marBottom w:val="0"/>
      <w:divBdr>
        <w:top w:val="none" w:sz="0" w:space="0" w:color="auto"/>
        <w:left w:val="none" w:sz="0" w:space="0" w:color="auto"/>
        <w:bottom w:val="none" w:sz="0" w:space="0" w:color="auto"/>
        <w:right w:val="none" w:sz="0" w:space="0" w:color="auto"/>
      </w:divBdr>
    </w:div>
    <w:div w:id="1241519609">
      <w:bodyDiv w:val="1"/>
      <w:marLeft w:val="0"/>
      <w:marRight w:val="0"/>
      <w:marTop w:val="0"/>
      <w:marBottom w:val="0"/>
      <w:divBdr>
        <w:top w:val="none" w:sz="0" w:space="0" w:color="auto"/>
        <w:left w:val="none" w:sz="0" w:space="0" w:color="auto"/>
        <w:bottom w:val="none" w:sz="0" w:space="0" w:color="auto"/>
        <w:right w:val="none" w:sz="0" w:space="0" w:color="auto"/>
      </w:divBdr>
    </w:div>
    <w:div w:id="1254170281">
      <w:bodyDiv w:val="1"/>
      <w:marLeft w:val="0"/>
      <w:marRight w:val="0"/>
      <w:marTop w:val="0"/>
      <w:marBottom w:val="0"/>
      <w:divBdr>
        <w:top w:val="none" w:sz="0" w:space="0" w:color="auto"/>
        <w:left w:val="none" w:sz="0" w:space="0" w:color="auto"/>
        <w:bottom w:val="none" w:sz="0" w:space="0" w:color="auto"/>
        <w:right w:val="none" w:sz="0" w:space="0" w:color="auto"/>
      </w:divBdr>
    </w:div>
    <w:div w:id="1257205869">
      <w:bodyDiv w:val="1"/>
      <w:marLeft w:val="0"/>
      <w:marRight w:val="0"/>
      <w:marTop w:val="0"/>
      <w:marBottom w:val="0"/>
      <w:divBdr>
        <w:top w:val="none" w:sz="0" w:space="0" w:color="auto"/>
        <w:left w:val="none" w:sz="0" w:space="0" w:color="auto"/>
        <w:bottom w:val="none" w:sz="0" w:space="0" w:color="auto"/>
        <w:right w:val="none" w:sz="0" w:space="0" w:color="auto"/>
      </w:divBdr>
    </w:div>
    <w:div w:id="1261332290">
      <w:bodyDiv w:val="1"/>
      <w:marLeft w:val="0"/>
      <w:marRight w:val="0"/>
      <w:marTop w:val="0"/>
      <w:marBottom w:val="0"/>
      <w:divBdr>
        <w:top w:val="none" w:sz="0" w:space="0" w:color="auto"/>
        <w:left w:val="none" w:sz="0" w:space="0" w:color="auto"/>
        <w:bottom w:val="none" w:sz="0" w:space="0" w:color="auto"/>
        <w:right w:val="none" w:sz="0" w:space="0" w:color="auto"/>
      </w:divBdr>
    </w:div>
    <w:div w:id="1263994383">
      <w:bodyDiv w:val="1"/>
      <w:marLeft w:val="0"/>
      <w:marRight w:val="0"/>
      <w:marTop w:val="0"/>
      <w:marBottom w:val="0"/>
      <w:divBdr>
        <w:top w:val="none" w:sz="0" w:space="0" w:color="auto"/>
        <w:left w:val="none" w:sz="0" w:space="0" w:color="auto"/>
        <w:bottom w:val="none" w:sz="0" w:space="0" w:color="auto"/>
        <w:right w:val="none" w:sz="0" w:space="0" w:color="auto"/>
      </w:divBdr>
    </w:div>
    <w:div w:id="1273517247">
      <w:bodyDiv w:val="1"/>
      <w:marLeft w:val="0"/>
      <w:marRight w:val="0"/>
      <w:marTop w:val="0"/>
      <w:marBottom w:val="0"/>
      <w:divBdr>
        <w:top w:val="none" w:sz="0" w:space="0" w:color="auto"/>
        <w:left w:val="none" w:sz="0" w:space="0" w:color="auto"/>
        <w:bottom w:val="none" w:sz="0" w:space="0" w:color="auto"/>
        <w:right w:val="none" w:sz="0" w:space="0" w:color="auto"/>
      </w:divBdr>
    </w:div>
    <w:div w:id="1276408074">
      <w:bodyDiv w:val="1"/>
      <w:marLeft w:val="0"/>
      <w:marRight w:val="0"/>
      <w:marTop w:val="0"/>
      <w:marBottom w:val="0"/>
      <w:divBdr>
        <w:top w:val="none" w:sz="0" w:space="0" w:color="auto"/>
        <w:left w:val="none" w:sz="0" w:space="0" w:color="auto"/>
        <w:bottom w:val="none" w:sz="0" w:space="0" w:color="auto"/>
        <w:right w:val="none" w:sz="0" w:space="0" w:color="auto"/>
      </w:divBdr>
    </w:div>
    <w:div w:id="1278638761">
      <w:bodyDiv w:val="1"/>
      <w:marLeft w:val="0"/>
      <w:marRight w:val="0"/>
      <w:marTop w:val="0"/>
      <w:marBottom w:val="0"/>
      <w:divBdr>
        <w:top w:val="none" w:sz="0" w:space="0" w:color="auto"/>
        <w:left w:val="none" w:sz="0" w:space="0" w:color="auto"/>
        <w:bottom w:val="none" w:sz="0" w:space="0" w:color="auto"/>
        <w:right w:val="none" w:sz="0" w:space="0" w:color="auto"/>
      </w:divBdr>
    </w:div>
    <w:div w:id="1288857181">
      <w:bodyDiv w:val="1"/>
      <w:marLeft w:val="0"/>
      <w:marRight w:val="0"/>
      <w:marTop w:val="0"/>
      <w:marBottom w:val="0"/>
      <w:divBdr>
        <w:top w:val="none" w:sz="0" w:space="0" w:color="auto"/>
        <w:left w:val="none" w:sz="0" w:space="0" w:color="auto"/>
        <w:bottom w:val="none" w:sz="0" w:space="0" w:color="auto"/>
        <w:right w:val="none" w:sz="0" w:space="0" w:color="auto"/>
      </w:divBdr>
    </w:div>
    <w:div w:id="1294866783">
      <w:bodyDiv w:val="1"/>
      <w:marLeft w:val="0"/>
      <w:marRight w:val="0"/>
      <w:marTop w:val="0"/>
      <w:marBottom w:val="0"/>
      <w:divBdr>
        <w:top w:val="none" w:sz="0" w:space="0" w:color="auto"/>
        <w:left w:val="none" w:sz="0" w:space="0" w:color="auto"/>
        <w:bottom w:val="none" w:sz="0" w:space="0" w:color="auto"/>
        <w:right w:val="none" w:sz="0" w:space="0" w:color="auto"/>
      </w:divBdr>
    </w:div>
    <w:div w:id="1301424670">
      <w:bodyDiv w:val="1"/>
      <w:marLeft w:val="0"/>
      <w:marRight w:val="0"/>
      <w:marTop w:val="0"/>
      <w:marBottom w:val="0"/>
      <w:divBdr>
        <w:top w:val="none" w:sz="0" w:space="0" w:color="auto"/>
        <w:left w:val="none" w:sz="0" w:space="0" w:color="auto"/>
        <w:bottom w:val="none" w:sz="0" w:space="0" w:color="auto"/>
        <w:right w:val="none" w:sz="0" w:space="0" w:color="auto"/>
      </w:divBdr>
    </w:div>
    <w:div w:id="1306474421">
      <w:bodyDiv w:val="1"/>
      <w:marLeft w:val="0"/>
      <w:marRight w:val="0"/>
      <w:marTop w:val="0"/>
      <w:marBottom w:val="0"/>
      <w:divBdr>
        <w:top w:val="none" w:sz="0" w:space="0" w:color="auto"/>
        <w:left w:val="none" w:sz="0" w:space="0" w:color="auto"/>
        <w:bottom w:val="none" w:sz="0" w:space="0" w:color="auto"/>
        <w:right w:val="none" w:sz="0" w:space="0" w:color="auto"/>
      </w:divBdr>
    </w:div>
    <w:div w:id="1310207984">
      <w:bodyDiv w:val="1"/>
      <w:marLeft w:val="0"/>
      <w:marRight w:val="0"/>
      <w:marTop w:val="0"/>
      <w:marBottom w:val="0"/>
      <w:divBdr>
        <w:top w:val="none" w:sz="0" w:space="0" w:color="auto"/>
        <w:left w:val="none" w:sz="0" w:space="0" w:color="auto"/>
        <w:bottom w:val="none" w:sz="0" w:space="0" w:color="auto"/>
        <w:right w:val="none" w:sz="0" w:space="0" w:color="auto"/>
      </w:divBdr>
    </w:div>
    <w:div w:id="1311445604">
      <w:bodyDiv w:val="1"/>
      <w:marLeft w:val="0"/>
      <w:marRight w:val="0"/>
      <w:marTop w:val="0"/>
      <w:marBottom w:val="0"/>
      <w:divBdr>
        <w:top w:val="none" w:sz="0" w:space="0" w:color="auto"/>
        <w:left w:val="none" w:sz="0" w:space="0" w:color="auto"/>
        <w:bottom w:val="none" w:sz="0" w:space="0" w:color="auto"/>
        <w:right w:val="none" w:sz="0" w:space="0" w:color="auto"/>
      </w:divBdr>
    </w:div>
    <w:div w:id="1315834003">
      <w:bodyDiv w:val="1"/>
      <w:marLeft w:val="0"/>
      <w:marRight w:val="0"/>
      <w:marTop w:val="0"/>
      <w:marBottom w:val="0"/>
      <w:divBdr>
        <w:top w:val="none" w:sz="0" w:space="0" w:color="auto"/>
        <w:left w:val="none" w:sz="0" w:space="0" w:color="auto"/>
        <w:bottom w:val="none" w:sz="0" w:space="0" w:color="auto"/>
        <w:right w:val="none" w:sz="0" w:space="0" w:color="auto"/>
      </w:divBdr>
    </w:div>
    <w:div w:id="1320382777">
      <w:bodyDiv w:val="1"/>
      <w:marLeft w:val="0"/>
      <w:marRight w:val="0"/>
      <w:marTop w:val="0"/>
      <w:marBottom w:val="0"/>
      <w:divBdr>
        <w:top w:val="none" w:sz="0" w:space="0" w:color="auto"/>
        <w:left w:val="none" w:sz="0" w:space="0" w:color="auto"/>
        <w:bottom w:val="none" w:sz="0" w:space="0" w:color="auto"/>
        <w:right w:val="none" w:sz="0" w:space="0" w:color="auto"/>
      </w:divBdr>
    </w:div>
    <w:div w:id="1327511330">
      <w:bodyDiv w:val="1"/>
      <w:marLeft w:val="0"/>
      <w:marRight w:val="0"/>
      <w:marTop w:val="0"/>
      <w:marBottom w:val="0"/>
      <w:divBdr>
        <w:top w:val="none" w:sz="0" w:space="0" w:color="auto"/>
        <w:left w:val="none" w:sz="0" w:space="0" w:color="auto"/>
        <w:bottom w:val="none" w:sz="0" w:space="0" w:color="auto"/>
        <w:right w:val="none" w:sz="0" w:space="0" w:color="auto"/>
      </w:divBdr>
    </w:div>
    <w:div w:id="1329674018">
      <w:bodyDiv w:val="1"/>
      <w:marLeft w:val="0"/>
      <w:marRight w:val="0"/>
      <w:marTop w:val="0"/>
      <w:marBottom w:val="0"/>
      <w:divBdr>
        <w:top w:val="none" w:sz="0" w:space="0" w:color="auto"/>
        <w:left w:val="none" w:sz="0" w:space="0" w:color="auto"/>
        <w:bottom w:val="none" w:sz="0" w:space="0" w:color="auto"/>
        <w:right w:val="none" w:sz="0" w:space="0" w:color="auto"/>
      </w:divBdr>
    </w:div>
    <w:div w:id="1338315190">
      <w:bodyDiv w:val="1"/>
      <w:marLeft w:val="0"/>
      <w:marRight w:val="0"/>
      <w:marTop w:val="0"/>
      <w:marBottom w:val="0"/>
      <w:divBdr>
        <w:top w:val="none" w:sz="0" w:space="0" w:color="auto"/>
        <w:left w:val="none" w:sz="0" w:space="0" w:color="auto"/>
        <w:bottom w:val="none" w:sz="0" w:space="0" w:color="auto"/>
        <w:right w:val="none" w:sz="0" w:space="0" w:color="auto"/>
      </w:divBdr>
    </w:div>
    <w:div w:id="1342509502">
      <w:bodyDiv w:val="1"/>
      <w:marLeft w:val="0"/>
      <w:marRight w:val="0"/>
      <w:marTop w:val="0"/>
      <w:marBottom w:val="0"/>
      <w:divBdr>
        <w:top w:val="none" w:sz="0" w:space="0" w:color="auto"/>
        <w:left w:val="none" w:sz="0" w:space="0" w:color="auto"/>
        <w:bottom w:val="none" w:sz="0" w:space="0" w:color="auto"/>
        <w:right w:val="none" w:sz="0" w:space="0" w:color="auto"/>
      </w:divBdr>
    </w:div>
    <w:div w:id="1351493344">
      <w:bodyDiv w:val="1"/>
      <w:marLeft w:val="0"/>
      <w:marRight w:val="0"/>
      <w:marTop w:val="0"/>
      <w:marBottom w:val="0"/>
      <w:divBdr>
        <w:top w:val="none" w:sz="0" w:space="0" w:color="auto"/>
        <w:left w:val="none" w:sz="0" w:space="0" w:color="auto"/>
        <w:bottom w:val="none" w:sz="0" w:space="0" w:color="auto"/>
        <w:right w:val="none" w:sz="0" w:space="0" w:color="auto"/>
      </w:divBdr>
    </w:div>
    <w:div w:id="1354766610">
      <w:bodyDiv w:val="1"/>
      <w:marLeft w:val="0"/>
      <w:marRight w:val="0"/>
      <w:marTop w:val="0"/>
      <w:marBottom w:val="0"/>
      <w:divBdr>
        <w:top w:val="none" w:sz="0" w:space="0" w:color="auto"/>
        <w:left w:val="none" w:sz="0" w:space="0" w:color="auto"/>
        <w:bottom w:val="none" w:sz="0" w:space="0" w:color="auto"/>
        <w:right w:val="none" w:sz="0" w:space="0" w:color="auto"/>
      </w:divBdr>
    </w:div>
    <w:div w:id="1360082131">
      <w:bodyDiv w:val="1"/>
      <w:marLeft w:val="0"/>
      <w:marRight w:val="0"/>
      <w:marTop w:val="0"/>
      <w:marBottom w:val="0"/>
      <w:divBdr>
        <w:top w:val="none" w:sz="0" w:space="0" w:color="auto"/>
        <w:left w:val="none" w:sz="0" w:space="0" w:color="auto"/>
        <w:bottom w:val="none" w:sz="0" w:space="0" w:color="auto"/>
        <w:right w:val="none" w:sz="0" w:space="0" w:color="auto"/>
      </w:divBdr>
    </w:div>
    <w:div w:id="1360083214">
      <w:bodyDiv w:val="1"/>
      <w:marLeft w:val="0"/>
      <w:marRight w:val="0"/>
      <w:marTop w:val="0"/>
      <w:marBottom w:val="0"/>
      <w:divBdr>
        <w:top w:val="none" w:sz="0" w:space="0" w:color="auto"/>
        <w:left w:val="none" w:sz="0" w:space="0" w:color="auto"/>
        <w:bottom w:val="none" w:sz="0" w:space="0" w:color="auto"/>
        <w:right w:val="none" w:sz="0" w:space="0" w:color="auto"/>
      </w:divBdr>
    </w:div>
    <w:div w:id="1364792205">
      <w:bodyDiv w:val="1"/>
      <w:marLeft w:val="0"/>
      <w:marRight w:val="0"/>
      <w:marTop w:val="0"/>
      <w:marBottom w:val="0"/>
      <w:divBdr>
        <w:top w:val="none" w:sz="0" w:space="0" w:color="auto"/>
        <w:left w:val="none" w:sz="0" w:space="0" w:color="auto"/>
        <w:bottom w:val="none" w:sz="0" w:space="0" w:color="auto"/>
        <w:right w:val="none" w:sz="0" w:space="0" w:color="auto"/>
      </w:divBdr>
    </w:div>
    <w:div w:id="1366255832">
      <w:bodyDiv w:val="1"/>
      <w:marLeft w:val="0"/>
      <w:marRight w:val="0"/>
      <w:marTop w:val="0"/>
      <w:marBottom w:val="0"/>
      <w:divBdr>
        <w:top w:val="none" w:sz="0" w:space="0" w:color="auto"/>
        <w:left w:val="none" w:sz="0" w:space="0" w:color="auto"/>
        <w:bottom w:val="none" w:sz="0" w:space="0" w:color="auto"/>
        <w:right w:val="none" w:sz="0" w:space="0" w:color="auto"/>
      </w:divBdr>
    </w:div>
    <w:div w:id="1367607365">
      <w:bodyDiv w:val="1"/>
      <w:marLeft w:val="0"/>
      <w:marRight w:val="0"/>
      <w:marTop w:val="0"/>
      <w:marBottom w:val="0"/>
      <w:divBdr>
        <w:top w:val="none" w:sz="0" w:space="0" w:color="auto"/>
        <w:left w:val="none" w:sz="0" w:space="0" w:color="auto"/>
        <w:bottom w:val="none" w:sz="0" w:space="0" w:color="auto"/>
        <w:right w:val="none" w:sz="0" w:space="0" w:color="auto"/>
      </w:divBdr>
    </w:div>
    <w:div w:id="1368027956">
      <w:bodyDiv w:val="1"/>
      <w:marLeft w:val="0"/>
      <w:marRight w:val="0"/>
      <w:marTop w:val="0"/>
      <w:marBottom w:val="0"/>
      <w:divBdr>
        <w:top w:val="none" w:sz="0" w:space="0" w:color="auto"/>
        <w:left w:val="none" w:sz="0" w:space="0" w:color="auto"/>
        <w:bottom w:val="none" w:sz="0" w:space="0" w:color="auto"/>
        <w:right w:val="none" w:sz="0" w:space="0" w:color="auto"/>
      </w:divBdr>
    </w:div>
    <w:div w:id="1376930512">
      <w:bodyDiv w:val="1"/>
      <w:marLeft w:val="0"/>
      <w:marRight w:val="0"/>
      <w:marTop w:val="0"/>
      <w:marBottom w:val="0"/>
      <w:divBdr>
        <w:top w:val="none" w:sz="0" w:space="0" w:color="auto"/>
        <w:left w:val="none" w:sz="0" w:space="0" w:color="auto"/>
        <w:bottom w:val="none" w:sz="0" w:space="0" w:color="auto"/>
        <w:right w:val="none" w:sz="0" w:space="0" w:color="auto"/>
      </w:divBdr>
    </w:div>
    <w:div w:id="1378508584">
      <w:bodyDiv w:val="1"/>
      <w:marLeft w:val="0"/>
      <w:marRight w:val="0"/>
      <w:marTop w:val="0"/>
      <w:marBottom w:val="0"/>
      <w:divBdr>
        <w:top w:val="none" w:sz="0" w:space="0" w:color="auto"/>
        <w:left w:val="none" w:sz="0" w:space="0" w:color="auto"/>
        <w:bottom w:val="none" w:sz="0" w:space="0" w:color="auto"/>
        <w:right w:val="none" w:sz="0" w:space="0" w:color="auto"/>
      </w:divBdr>
    </w:div>
    <w:div w:id="1379207104">
      <w:bodyDiv w:val="1"/>
      <w:marLeft w:val="0"/>
      <w:marRight w:val="0"/>
      <w:marTop w:val="0"/>
      <w:marBottom w:val="0"/>
      <w:divBdr>
        <w:top w:val="none" w:sz="0" w:space="0" w:color="auto"/>
        <w:left w:val="none" w:sz="0" w:space="0" w:color="auto"/>
        <w:bottom w:val="none" w:sz="0" w:space="0" w:color="auto"/>
        <w:right w:val="none" w:sz="0" w:space="0" w:color="auto"/>
      </w:divBdr>
    </w:div>
    <w:div w:id="1386755053">
      <w:bodyDiv w:val="1"/>
      <w:marLeft w:val="0"/>
      <w:marRight w:val="0"/>
      <w:marTop w:val="0"/>
      <w:marBottom w:val="0"/>
      <w:divBdr>
        <w:top w:val="none" w:sz="0" w:space="0" w:color="auto"/>
        <w:left w:val="none" w:sz="0" w:space="0" w:color="auto"/>
        <w:bottom w:val="none" w:sz="0" w:space="0" w:color="auto"/>
        <w:right w:val="none" w:sz="0" w:space="0" w:color="auto"/>
      </w:divBdr>
      <w:divsChild>
        <w:div w:id="1822844747">
          <w:marLeft w:val="0"/>
          <w:marRight w:val="0"/>
          <w:marTop w:val="0"/>
          <w:marBottom w:val="0"/>
          <w:divBdr>
            <w:top w:val="none" w:sz="0" w:space="0" w:color="auto"/>
            <w:left w:val="none" w:sz="0" w:space="0" w:color="auto"/>
            <w:bottom w:val="none" w:sz="0" w:space="0" w:color="auto"/>
            <w:right w:val="none" w:sz="0" w:space="0" w:color="auto"/>
          </w:divBdr>
          <w:divsChild>
            <w:div w:id="15473609">
              <w:marLeft w:val="0"/>
              <w:marRight w:val="0"/>
              <w:marTop w:val="0"/>
              <w:marBottom w:val="0"/>
              <w:divBdr>
                <w:top w:val="none" w:sz="0" w:space="0" w:color="auto"/>
                <w:left w:val="none" w:sz="0" w:space="0" w:color="auto"/>
                <w:bottom w:val="none" w:sz="0" w:space="0" w:color="auto"/>
                <w:right w:val="none" w:sz="0" w:space="0" w:color="auto"/>
              </w:divBdr>
            </w:div>
            <w:div w:id="1604997252">
              <w:marLeft w:val="0"/>
              <w:marRight w:val="0"/>
              <w:marTop w:val="0"/>
              <w:marBottom w:val="0"/>
              <w:divBdr>
                <w:top w:val="none" w:sz="0" w:space="0" w:color="auto"/>
                <w:left w:val="none" w:sz="0" w:space="0" w:color="auto"/>
                <w:bottom w:val="none" w:sz="0" w:space="0" w:color="auto"/>
                <w:right w:val="none" w:sz="0" w:space="0" w:color="auto"/>
              </w:divBdr>
              <w:divsChild>
                <w:div w:id="155734755">
                  <w:marLeft w:val="0"/>
                  <w:marRight w:val="0"/>
                  <w:marTop w:val="0"/>
                  <w:marBottom w:val="0"/>
                  <w:divBdr>
                    <w:top w:val="none" w:sz="0" w:space="0" w:color="auto"/>
                    <w:left w:val="none" w:sz="0" w:space="0" w:color="auto"/>
                    <w:bottom w:val="none" w:sz="0" w:space="0" w:color="auto"/>
                    <w:right w:val="none" w:sz="0" w:space="0" w:color="auto"/>
                  </w:divBdr>
                  <w:divsChild>
                    <w:div w:id="1556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91522">
      <w:bodyDiv w:val="1"/>
      <w:marLeft w:val="0"/>
      <w:marRight w:val="0"/>
      <w:marTop w:val="0"/>
      <w:marBottom w:val="0"/>
      <w:divBdr>
        <w:top w:val="none" w:sz="0" w:space="0" w:color="auto"/>
        <w:left w:val="none" w:sz="0" w:space="0" w:color="auto"/>
        <w:bottom w:val="none" w:sz="0" w:space="0" w:color="auto"/>
        <w:right w:val="none" w:sz="0" w:space="0" w:color="auto"/>
      </w:divBdr>
    </w:div>
    <w:div w:id="1426073031">
      <w:bodyDiv w:val="1"/>
      <w:marLeft w:val="0"/>
      <w:marRight w:val="0"/>
      <w:marTop w:val="0"/>
      <w:marBottom w:val="0"/>
      <w:divBdr>
        <w:top w:val="none" w:sz="0" w:space="0" w:color="auto"/>
        <w:left w:val="none" w:sz="0" w:space="0" w:color="auto"/>
        <w:bottom w:val="none" w:sz="0" w:space="0" w:color="auto"/>
        <w:right w:val="none" w:sz="0" w:space="0" w:color="auto"/>
      </w:divBdr>
    </w:div>
    <w:div w:id="1433235028">
      <w:bodyDiv w:val="1"/>
      <w:marLeft w:val="0"/>
      <w:marRight w:val="0"/>
      <w:marTop w:val="0"/>
      <w:marBottom w:val="0"/>
      <w:divBdr>
        <w:top w:val="none" w:sz="0" w:space="0" w:color="auto"/>
        <w:left w:val="none" w:sz="0" w:space="0" w:color="auto"/>
        <w:bottom w:val="none" w:sz="0" w:space="0" w:color="auto"/>
        <w:right w:val="none" w:sz="0" w:space="0" w:color="auto"/>
      </w:divBdr>
    </w:div>
    <w:div w:id="1448430277">
      <w:bodyDiv w:val="1"/>
      <w:marLeft w:val="0"/>
      <w:marRight w:val="0"/>
      <w:marTop w:val="0"/>
      <w:marBottom w:val="0"/>
      <w:divBdr>
        <w:top w:val="none" w:sz="0" w:space="0" w:color="auto"/>
        <w:left w:val="none" w:sz="0" w:space="0" w:color="auto"/>
        <w:bottom w:val="none" w:sz="0" w:space="0" w:color="auto"/>
        <w:right w:val="none" w:sz="0" w:space="0" w:color="auto"/>
      </w:divBdr>
    </w:div>
    <w:div w:id="1453744938">
      <w:bodyDiv w:val="1"/>
      <w:marLeft w:val="0"/>
      <w:marRight w:val="0"/>
      <w:marTop w:val="0"/>
      <w:marBottom w:val="0"/>
      <w:divBdr>
        <w:top w:val="none" w:sz="0" w:space="0" w:color="auto"/>
        <w:left w:val="none" w:sz="0" w:space="0" w:color="auto"/>
        <w:bottom w:val="none" w:sz="0" w:space="0" w:color="auto"/>
        <w:right w:val="none" w:sz="0" w:space="0" w:color="auto"/>
      </w:divBdr>
    </w:div>
    <w:div w:id="1464537432">
      <w:bodyDiv w:val="1"/>
      <w:marLeft w:val="0"/>
      <w:marRight w:val="0"/>
      <w:marTop w:val="0"/>
      <w:marBottom w:val="0"/>
      <w:divBdr>
        <w:top w:val="none" w:sz="0" w:space="0" w:color="auto"/>
        <w:left w:val="none" w:sz="0" w:space="0" w:color="auto"/>
        <w:bottom w:val="none" w:sz="0" w:space="0" w:color="auto"/>
        <w:right w:val="none" w:sz="0" w:space="0" w:color="auto"/>
      </w:divBdr>
    </w:div>
    <w:div w:id="1467356916">
      <w:bodyDiv w:val="1"/>
      <w:marLeft w:val="0"/>
      <w:marRight w:val="0"/>
      <w:marTop w:val="0"/>
      <w:marBottom w:val="0"/>
      <w:divBdr>
        <w:top w:val="none" w:sz="0" w:space="0" w:color="auto"/>
        <w:left w:val="none" w:sz="0" w:space="0" w:color="auto"/>
        <w:bottom w:val="none" w:sz="0" w:space="0" w:color="auto"/>
        <w:right w:val="none" w:sz="0" w:space="0" w:color="auto"/>
      </w:divBdr>
      <w:divsChild>
        <w:div w:id="1852254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6871847">
      <w:bodyDiv w:val="1"/>
      <w:marLeft w:val="0"/>
      <w:marRight w:val="0"/>
      <w:marTop w:val="0"/>
      <w:marBottom w:val="0"/>
      <w:divBdr>
        <w:top w:val="none" w:sz="0" w:space="0" w:color="auto"/>
        <w:left w:val="none" w:sz="0" w:space="0" w:color="auto"/>
        <w:bottom w:val="none" w:sz="0" w:space="0" w:color="auto"/>
        <w:right w:val="none" w:sz="0" w:space="0" w:color="auto"/>
      </w:divBdr>
    </w:div>
    <w:div w:id="1478187324">
      <w:bodyDiv w:val="1"/>
      <w:marLeft w:val="0"/>
      <w:marRight w:val="0"/>
      <w:marTop w:val="0"/>
      <w:marBottom w:val="0"/>
      <w:divBdr>
        <w:top w:val="none" w:sz="0" w:space="0" w:color="auto"/>
        <w:left w:val="none" w:sz="0" w:space="0" w:color="auto"/>
        <w:bottom w:val="none" w:sz="0" w:space="0" w:color="auto"/>
        <w:right w:val="none" w:sz="0" w:space="0" w:color="auto"/>
      </w:divBdr>
    </w:div>
    <w:div w:id="1484540436">
      <w:bodyDiv w:val="1"/>
      <w:marLeft w:val="0"/>
      <w:marRight w:val="0"/>
      <w:marTop w:val="0"/>
      <w:marBottom w:val="0"/>
      <w:divBdr>
        <w:top w:val="none" w:sz="0" w:space="0" w:color="auto"/>
        <w:left w:val="none" w:sz="0" w:space="0" w:color="auto"/>
        <w:bottom w:val="none" w:sz="0" w:space="0" w:color="auto"/>
        <w:right w:val="none" w:sz="0" w:space="0" w:color="auto"/>
      </w:divBdr>
    </w:div>
    <w:div w:id="1491210140">
      <w:bodyDiv w:val="1"/>
      <w:marLeft w:val="0"/>
      <w:marRight w:val="0"/>
      <w:marTop w:val="0"/>
      <w:marBottom w:val="0"/>
      <w:divBdr>
        <w:top w:val="none" w:sz="0" w:space="0" w:color="auto"/>
        <w:left w:val="none" w:sz="0" w:space="0" w:color="auto"/>
        <w:bottom w:val="none" w:sz="0" w:space="0" w:color="auto"/>
        <w:right w:val="none" w:sz="0" w:space="0" w:color="auto"/>
      </w:divBdr>
    </w:div>
    <w:div w:id="1497988562">
      <w:bodyDiv w:val="1"/>
      <w:marLeft w:val="0"/>
      <w:marRight w:val="0"/>
      <w:marTop w:val="0"/>
      <w:marBottom w:val="0"/>
      <w:divBdr>
        <w:top w:val="none" w:sz="0" w:space="0" w:color="auto"/>
        <w:left w:val="none" w:sz="0" w:space="0" w:color="auto"/>
        <w:bottom w:val="none" w:sz="0" w:space="0" w:color="auto"/>
        <w:right w:val="none" w:sz="0" w:space="0" w:color="auto"/>
      </w:divBdr>
    </w:div>
    <w:div w:id="1508518186">
      <w:bodyDiv w:val="1"/>
      <w:marLeft w:val="0"/>
      <w:marRight w:val="0"/>
      <w:marTop w:val="0"/>
      <w:marBottom w:val="0"/>
      <w:divBdr>
        <w:top w:val="none" w:sz="0" w:space="0" w:color="auto"/>
        <w:left w:val="none" w:sz="0" w:space="0" w:color="auto"/>
        <w:bottom w:val="none" w:sz="0" w:space="0" w:color="auto"/>
        <w:right w:val="none" w:sz="0" w:space="0" w:color="auto"/>
      </w:divBdr>
    </w:div>
    <w:div w:id="1514761144">
      <w:bodyDiv w:val="1"/>
      <w:marLeft w:val="0"/>
      <w:marRight w:val="0"/>
      <w:marTop w:val="0"/>
      <w:marBottom w:val="0"/>
      <w:divBdr>
        <w:top w:val="none" w:sz="0" w:space="0" w:color="auto"/>
        <w:left w:val="none" w:sz="0" w:space="0" w:color="auto"/>
        <w:bottom w:val="none" w:sz="0" w:space="0" w:color="auto"/>
        <w:right w:val="none" w:sz="0" w:space="0" w:color="auto"/>
      </w:divBdr>
    </w:div>
    <w:div w:id="1532307315">
      <w:bodyDiv w:val="1"/>
      <w:marLeft w:val="0"/>
      <w:marRight w:val="0"/>
      <w:marTop w:val="0"/>
      <w:marBottom w:val="0"/>
      <w:divBdr>
        <w:top w:val="none" w:sz="0" w:space="0" w:color="auto"/>
        <w:left w:val="none" w:sz="0" w:space="0" w:color="auto"/>
        <w:bottom w:val="none" w:sz="0" w:space="0" w:color="auto"/>
        <w:right w:val="none" w:sz="0" w:space="0" w:color="auto"/>
      </w:divBdr>
    </w:div>
    <w:div w:id="1537236367">
      <w:bodyDiv w:val="1"/>
      <w:marLeft w:val="0"/>
      <w:marRight w:val="0"/>
      <w:marTop w:val="0"/>
      <w:marBottom w:val="0"/>
      <w:divBdr>
        <w:top w:val="none" w:sz="0" w:space="0" w:color="auto"/>
        <w:left w:val="none" w:sz="0" w:space="0" w:color="auto"/>
        <w:bottom w:val="none" w:sz="0" w:space="0" w:color="auto"/>
        <w:right w:val="none" w:sz="0" w:space="0" w:color="auto"/>
      </w:divBdr>
    </w:div>
    <w:div w:id="1546722456">
      <w:bodyDiv w:val="1"/>
      <w:marLeft w:val="0"/>
      <w:marRight w:val="0"/>
      <w:marTop w:val="0"/>
      <w:marBottom w:val="0"/>
      <w:divBdr>
        <w:top w:val="none" w:sz="0" w:space="0" w:color="auto"/>
        <w:left w:val="none" w:sz="0" w:space="0" w:color="auto"/>
        <w:bottom w:val="none" w:sz="0" w:space="0" w:color="auto"/>
        <w:right w:val="none" w:sz="0" w:space="0" w:color="auto"/>
      </w:divBdr>
    </w:div>
    <w:div w:id="1553611688">
      <w:bodyDiv w:val="1"/>
      <w:marLeft w:val="0"/>
      <w:marRight w:val="0"/>
      <w:marTop w:val="0"/>
      <w:marBottom w:val="0"/>
      <w:divBdr>
        <w:top w:val="none" w:sz="0" w:space="0" w:color="auto"/>
        <w:left w:val="none" w:sz="0" w:space="0" w:color="auto"/>
        <w:bottom w:val="none" w:sz="0" w:space="0" w:color="auto"/>
        <w:right w:val="none" w:sz="0" w:space="0" w:color="auto"/>
      </w:divBdr>
      <w:divsChild>
        <w:div w:id="203713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047361">
      <w:bodyDiv w:val="1"/>
      <w:marLeft w:val="0"/>
      <w:marRight w:val="0"/>
      <w:marTop w:val="0"/>
      <w:marBottom w:val="0"/>
      <w:divBdr>
        <w:top w:val="none" w:sz="0" w:space="0" w:color="auto"/>
        <w:left w:val="none" w:sz="0" w:space="0" w:color="auto"/>
        <w:bottom w:val="none" w:sz="0" w:space="0" w:color="auto"/>
        <w:right w:val="none" w:sz="0" w:space="0" w:color="auto"/>
      </w:divBdr>
    </w:div>
    <w:div w:id="1556314320">
      <w:bodyDiv w:val="1"/>
      <w:marLeft w:val="0"/>
      <w:marRight w:val="0"/>
      <w:marTop w:val="0"/>
      <w:marBottom w:val="0"/>
      <w:divBdr>
        <w:top w:val="none" w:sz="0" w:space="0" w:color="auto"/>
        <w:left w:val="none" w:sz="0" w:space="0" w:color="auto"/>
        <w:bottom w:val="none" w:sz="0" w:space="0" w:color="auto"/>
        <w:right w:val="none" w:sz="0" w:space="0" w:color="auto"/>
      </w:divBdr>
    </w:div>
    <w:div w:id="1557353510">
      <w:bodyDiv w:val="1"/>
      <w:marLeft w:val="0"/>
      <w:marRight w:val="0"/>
      <w:marTop w:val="0"/>
      <w:marBottom w:val="0"/>
      <w:divBdr>
        <w:top w:val="none" w:sz="0" w:space="0" w:color="auto"/>
        <w:left w:val="none" w:sz="0" w:space="0" w:color="auto"/>
        <w:bottom w:val="none" w:sz="0" w:space="0" w:color="auto"/>
        <w:right w:val="none" w:sz="0" w:space="0" w:color="auto"/>
      </w:divBdr>
    </w:div>
    <w:div w:id="1579632168">
      <w:bodyDiv w:val="1"/>
      <w:marLeft w:val="0"/>
      <w:marRight w:val="0"/>
      <w:marTop w:val="0"/>
      <w:marBottom w:val="0"/>
      <w:divBdr>
        <w:top w:val="none" w:sz="0" w:space="0" w:color="auto"/>
        <w:left w:val="none" w:sz="0" w:space="0" w:color="auto"/>
        <w:bottom w:val="none" w:sz="0" w:space="0" w:color="auto"/>
        <w:right w:val="none" w:sz="0" w:space="0" w:color="auto"/>
      </w:divBdr>
    </w:div>
    <w:div w:id="1580601129">
      <w:bodyDiv w:val="1"/>
      <w:marLeft w:val="0"/>
      <w:marRight w:val="0"/>
      <w:marTop w:val="0"/>
      <w:marBottom w:val="0"/>
      <w:divBdr>
        <w:top w:val="none" w:sz="0" w:space="0" w:color="auto"/>
        <w:left w:val="none" w:sz="0" w:space="0" w:color="auto"/>
        <w:bottom w:val="none" w:sz="0" w:space="0" w:color="auto"/>
        <w:right w:val="none" w:sz="0" w:space="0" w:color="auto"/>
      </w:divBdr>
    </w:div>
    <w:div w:id="1592541924">
      <w:bodyDiv w:val="1"/>
      <w:marLeft w:val="0"/>
      <w:marRight w:val="0"/>
      <w:marTop w:val="0"/>
      <w:marBottom w:val="0"/>
      <w:divBdr>
        <w:top w:val="none" w:sz="0" w:space="0" w:color="auto"/>
        <w:left w:val="none" w:sz="0" w:space="0" w:color="auto"/>
        <w:bottom w:val="none" w:sz="0" w:space="0" w:color="auto"/>
        <w:right w:val="none" w:sz="0" w:space="0" w:color="auto"/>
      </w:divBdr>
    </w:div>
    <w:div w:id="1596135927">
      <w:bodyDiv w:val="1"/>
      <w:marLeft w:val="0"/>
      <w:marRight w:val="0"/>
      <w:marTop w:val="0"/>
      <w:marBottom w:val="0"/>
      <w:divBdr>
        <w:top w:val="none" w:sz="0" w:space="0" w:color="auto"/>
        <w:left w:val="none" w:sz="0" w:space="0" w:color="auto"/>
        <w:bottom w:val="none" w:sz="0" w:space="0" w:color="auto"/>
        <w:right w:val="none" w:sz="0" w:space="0" w:color="auto"/>
      </w:divBdr>
    </w:div>
    <w:div w:id="1602487389">
      <w:bodyDiv w:val="1"/>
      <w:marLeft w:val="0"/>
      <w:marRight w:val="0"/>
      <w:marTop w:val="0"/>
      <w:marBottom w:val="0"/>
      <w:divBdr>
        <w:top w:val="none" w:sz="0" w:space="0" w:color="auto"/>
        <w:left w:val="none" w:sz="0" w:space="0" w:color="auto"/>
        <w:bottom w:val="none" w:sz="0" w:space="0" w:color="auto"/>
        <w:right w:val="none" w:sz="0" w:space="0" w:color="auto"/>
      </w:divBdr>
    </w:div>
    <w:div w:id="1604874773">
      <w:bodyDiv w:val="1"/>
      <w:marLeft w:val="0"/>
      <w:marRight w:val="0"/>
      <w:marTop w:val="0"/>
      <w:marBottom w:val="0"/>
      <w:divBdr>
        <w:top w:val="none" w:sz="0" w:space="0" w:color="auto"/>
        <w:left w:val="none" w:sz="0" w:space="0" w:color="auto"/>
        <w:bottom w:val="none" w:sz="0" w:space="0" w:color="auto"/>
        <w:right w:val="none" w:sz="0" w:space="0" w:color="auto"/>
      </w:divBdr>
    </w:div>
    <w:div w:id="1606159268">
      <w:bodyDiv w:val="1"/>
      <w:marLeft w:val="0"/>
      <w:marRight w:val="0"/>
      <w:marTop w:val="0"/>
      <w:marBottom w:val="0"/>
      <w:divBdr>
        <w:top w:val="none" w:sz="0" w:space="0" w:color="auto"/>
        <w:left w:val="none" w:sz="0" w:space="0" w:color="auto"/>
        <w:bottom w:val="none" w:sz="0" w:space="0" w:color="auto"/>
        <w:right w:val="none" w:sz="0" w:space="0" w:color="auto"/>
      </w:divBdr>
    </w:div>
    <w:div w:id="1607615146">
      <w:bodyDiv w:val="1"/>
      <w:marLeft w:val="0"/>
      <w:marRight w:val="0"/>
      <w:marTop w:val="0"/>
      <w:marBottom w:val="0"/>
      <w:divBdr>
        <w:top w:val="none" w:sz="0" w:space="0" w:color="auto"/>
        <w:left w:val="none" w:sz="0" w:space="0" w:color="auto"/>
        <w:bottom w:val="none" w:sz="0" w:space="0" w:color="auto"/>
        <w:right w:val="none" w:sz="0" w:space="0" w:color="auto"/>
      </w:divBdr>
      <w:divsChild>
        <w:div w:id="16471313">
          <w:marLeft w:val="0"/>
          <w:marRight w:val="0"/>
          <w:marTop w:val="0"/>
          <w:marBottom w:val="0"/>
          <w:divBdr>
            <w:top w:val="none" w:sz="0" w:space="0" w:color="auto"/>
            <w:left w:val="none" w:sz="0" w:space="0" w:color="auto"/>
            <w:bottom w:val="none" w:sz="0" w:space="0" w:color="auto"/>
            <w:right w:val="none" w:sz="0" w:space="0" w:color="auto"/>
          </w:divBdr>
        </w:div>
        <w:div w:id="228656751">
          <w:marLeft w:val="0"/>
          <w:marRight w:val="0"/>
          <w:marTop w:val="0"/>
          <w:marBottom w:val="0"/>
          <w:divBdr>
            <w:top w:val="none" w:sz="0" w:space="0" w:color="auto"/>
            <w:left w:val="none" w:sz="0" w:space="0" w:color="auto"/>
            <w:bottom w:val="none" w:sz="0" w:space="0" w:color="auto"/>
            <w:right w:val="none" w:sz="0" w:space="0" w:color="auto"/>
          </w:divBdr>
        </w:div>
        <w:div w:id="327758190">
          <w:marLeft w:val="0"/>
          <w:marRight w:val="0"/>
          <w:marTop w:val="0"/>
          <w:marBottom w:val="0"/>
          <w:divBdr>
            <w:top w:val="none" w:sz="0" w:space="0" w:color="auto"/>
            <w:left w:val="none" w:sz="0" w:space="0" w:color="auto"/>
            <w:bottom w:val="none" w:sz="0" w:space="0" w:color="auto"/>
            <w:right w:val="none" w:sz="0" w:space="0" w:color="auto"/>
          </w:divBdr>
        </w:div>
        <w:div w:id="415178308">
          <w:marLeft w:val="0"/>
          <w:marRight w:val="0"/>
          <w:marTop w:val="0"/>
          <w:marBottom w:val="0"/>
          <w:divBdr>
            <w:top w:val="none" w:sz="0" w:space="0" w:color="auto"/>
            <w:left w:val="none" w:sz="0" w:space="0" w:color="auto"/>
            <w:bottom w:val="none" w:sz="0" w:space="0" w:color="auto"/>
            <w:right w:val="none" w:sz="0" w:space="0" w:color="auto"/>
          </w:divBdr>
        </w:div>
        <w:div w:id="420026670">
          <w:marLeft w:val="0"/>
          <w:marRight w:val="0"/>
          <w:marTop w:val="0"/>
          <w:marBottom w:val="0"/>
          <w:divBdr>
            <w:top w:val="none" w:sz="0" w:space="0" w:color="auto"/>
            <w:left w:val="none" w:sz="0" w:space="0" w:color="auto"/>
            <w:bottom w:val="none" w:sz="0" w:space="0" w:color="auto"/>
            <w:right w:val="none" w:sz="0" w:space="0" w:color="auto"/>
          </w:divBdr>
        </w:div>
        <w:div w:id="662975253">
          <w:marLeft w:val="0"/>
          <w:marRight w:val="0"/>
          <w:marTop w:val="0"/>
          <w:marBottom w:val="0"/>
          <w:divBdr>
            <w:top w:val="none" w:sz="0" w:space="0" w:color="auto"/>
            <w:left w:val="none" w:sz="0" w:space="0" w:color="auto"/>
            <w:bottom w:val="none" w:sz="0" w:space="0" w:color="auto"/>
            <w:right w:val="none" w:sz="0" w:space="0" w:color="auto"/>
          </w:divBdr>
        </w:div>
        <w:div w:id="835192045">
          <w:marLeft w:val="0"/>
          <w:marRight w:val="0"/>
          <w:marTop w:val="0"/>
          <w:marBottom w:val="0"/>
          <w:divBdr>
            <w:top w:val="none" w:sz="0" w:space="0" w:color="auto"/>
            <w:left w:val="none" w:sz="0" w:space="0" w:color="auto"/>
            <w:bottom w:val="none" w:sz="0" w:space="0" w:color="auto"/>
            <w:right w:val="none" w:sz="0" w:space="0" w:color="auto"/>
          </w:divBdr>
        </w:div>
        <w:div w:id="1081029556">
          <w:marLeft w:val="0"/>
          <w:marRight w:val="0"/>
          <w:marTop w:val="0"/>
          <w:marBottom w:val="0"/>
          <w:divBdr>
            <w:top w:val="none" w:sz="0" w:space="0" w:color="auto"/>
            <w:left w:val="none" w:sz="0" w:space="0" w:color="auto"/>
            <w:bottom w:val="none" w:sz="0" w:space="0" w:color="auto"/>
            <w:right w:val="none" w:sz="0" w:space="0" w:color="auto"/>
          </w:divBdr>
        </w:div>
        <w:div w:id="1432817561">
          <w:marLeft w:val="0"/>
          <w:marRight w:val="0"/>
          <w:marTop w:val="0"/>
          <w:marBottom w:val="0"/>
          <w:divBdr>
            <w:top w:val="none" w:sz="0" w:space="0" w:color="auto"/>
            <w:left w:val="none" w:sz="0" w:space="0" w:color="auto"/>
            <w:bottom w:val="none" w:sz="0" w:space="0" w:color="auto"/>
            <w:right w:val="none" w:sz="0" w:space="0" w:color="auto"/>
          </w:divBdr>
        </w:div>
        <w:div w:id="1834955444">
          <w:marLeft w:val="0"/>
          <w:marRight w:val="0"/>
          <w:marTop w:val="0"/>
          <w:marBottom w:val="0"/>
          <w:divBdr>
            <w:top w:val="none" w:sz="0" w:space="0" w:color="auto"/>
            <w:left w:val="none" w:sz="0" w:space="0" w:color="auto"/>
            <w:bottom w:val="none" w:sz="0" w:space="0" w:color="auto"/>
            <w:right w:val="none" w:sz="0" w:space="0" w:color="auto"/>
          </w:divBdr>
        </w:div>
        <w:div w:id="2049067876">
          <w:marLeft w:val="0"/>
          <w:marRight w:val="0"/>
          <w:marTop w:val="0"/>
          <w:marBottom w:val="0"/>
          <w:divBdr>
            <w:top w:val="none" w:sz="0" w:space="0" w:color="auto"/>
            <w:left w:val="none" w:sz="0" w:space="0" w:color="auto"/>
            <w:bottom w:val="none" w:sz="0" w:space="0" w:color="auto"/>
            <w:right w:val="none" w:sz="0" w:space="0" w:color="auto"/>
          </w:divBdr>
        </w:div>
      </w:divsChild>
    </w:div>
    <w:div w:id="1613392152">
      <w:bodyDiv w:val="1"/>
      <w:marLeft w:val="0"/>
      <w:marRight w:val="0"/>
      <w:marTop w:val="0"/>
      <w:marBottom w:val="0"/>
      <w:divBdr>
        <w:top w:val="none" w:sz="0" w:space="0" w:color="auto"/>
        <w:left w:val="none" w:sz="0" w:space="0" w:color="auto"/>
        <w:bottom w:val="none" w:sz="0" w:space="0" w:color="auto"/>
        <w:right w:val="none" w:sz="0" w:space="0" w:color="auto"/>
      </w:divBdr>
      <w:divsChild>
        <w:div w:id="1449353409">
          <w:marLeft w:val="0"/>
          <w:marRight w:val="0"/>
          <w:marTop w:val="0"/>
          <w:marBottom w:val="0"/>
          <w:divBdr>
            <w:top w:val="none" w:sz="0" w:space="0" w:color="auto"/>
            <w:left w:val="none" w:sz="0" w:space="0" w:color="auto"/>
            <w:bottom w:val="none" w:sz="0" w:space="0" w:color="auto"/>
            <w:right w:val="none" w:sz="0" w:space="0" w:color="auto"/>
          </w:divBdr>
          <w:divsChild>
            <w:div w:id="364445906">
              <w:marLeft w:val="0"/>
              <w:marRight w:val="0"/>
              <w:marTop w:val="0"/>
              <w:marBottom w:val="0"/>
              <w:divBdr>
                <w:top w:val="none" w:sz="0" w:space="0" w:color="auto"/>
                <w:left w:val="none" w:sz="0" w:space="0" w:color="auto"/>
                <w:bottom w:val="none" w:sz="0" w:space="0" w:color="auto"/>
                <w:right w:val="none" w:sz="0" w:space="0" w:color="auto"/>
              </w:divBdr>
            </w:div>
            <w:div w:id="474180628">
              <w:marLeft w:val="0"/>
              <w:marRight w:val="0"/>
              <w:marTop w:val="0"/>
              <w:marBottom w:val="0"/>
              <w:divBdr>
                <w:top w:val="none" w:sz="0" w:space="0" w:color="auto"/>
                <w:left w:val="none" w:sz="0" w:space="0" w:color="auto"/>
                <w:bottom w:val="none" w:sz="0" w:space="0" w:color="auto"/>
                <w:right w:val="none" w:sz="0" w:space="0" w:color="auto"/>
              </w:divBdr>
            </w:div>
            <w:div w:id="763185583">
              <w:marLeft w:val="0"/>
              <w:marRight w:val="0"/>
              <w:marTop w:val="0"/>
              <w:marBottom w:val="0"/>
              <w:divBdr>
                <w:top w:val="none" w:sz="0" w:space="0" w:color="auto"/>
                <w:left w:val="none" w:sz="0" w:space="0" w:color="auto"/>
                <w:bottom w:val="none" w:sz="0" w:space="0" w:color="auto"/>
                <w:right w:val="none" w:sz="0" w:space="0" w:color="auto"/>
              </w:divBdr>
            </w:div>
            <w:div w:id="1009140934">
              <w:marLeft w:val="0"/>
              <w:marRight w:val="0"/>
              <w:marTop w:val="0"/>
              <w:marBottom w:val="0"/>
              <w:divBdr>
                <w:top w:val="none" w:sz="0" w:space="0" w:color="auto"/>
                <w:left w:val="none" w:sz="0" w:space="0" w:color="auto"/>
                <w:bottom w:val="none" w:sz="0" w:space="0" w:color="auto"/>
                <w:right w:val="none" w:sz="0" w:space="0" w:color="auto"/>
              </w:divBdr>
            </w:div>
            <w:div w:id="1063718504">
              <w:marLeft w:val="0"/>
              <w:marRight w:val="0"/>
              <w:marTop w:val="0"/>
              <w:marBottom w:val="0"/>
              <w:divBdr>
                <w:top w:val="none" w:sz="0" w:space="0" w:color="auto"/>
                <w:left w:val="none" w:sz="0" w:space="0" w:color="auto"/>
                <w:bottom w:val="none" w:sz="0" w:space="0" w:color="auto"/>
                <w:right w:val="none" w:sz="0" w:space="0" w:color="auto"/>
              </w:divBdr>
            </w:div>
            <w:div w:id="1082334892">
              <w:marLeft w:val="0"/>
              <w:marRight w:val="0"/>
              <w:marTop w:val="0"/>
              <w:marBottom w:val="0"/>
              <w:divBdr>
                <w:top w:val="none" w:sz="0" w:space="0" w:color="auto"/>
                <w:left w:val="none" w:sz="0" w:space="0" w:color="auto"/>
                <w:bottom w:val="none" w:sz="0" w:space="0" w:color="auto"/>
                <w:right w:val="none" w:sz="0" w:space="0" w:color="auto"/>
              </w:divBdr>
            </w:div>
            <w:div w:id="1149244809">
              <w:marLeft w:val="0"/>
              <w:marRight w:val="0"/>
              <w:marTop w:val="0"/>
              <w:marBottom w:val="0"/>
              <w:divBdr>
                <w:top w:val="none" w:sz="0" w:space="0" w:color="auto"/>
                <w:left w:val="none" w:sz="0" w:space="0" w:color="auto"/>
                <w:bottom w:val="none" w:sz="0" w:space="0" w:color="auto"/>
                <w:right w:val="none" w:sz="0" w:space="0" w:color="auto"/>
              </w:divBdr>
            </w:div>
            <w:div w:id="1167595485">
              <w:marLeft w:val="0"/>
              <w:marRight w:val="0"/>
              <w:marTop w:val="0"/>
              <w:marBottom w:val="0"/>
              <w:divBdr>
                <w:top w:val="none" w:sz="0" w:space="0" w:color="auto"/>
                <w:left w:val="none" w:sz="0" w:space="0" w:color="auto"/>
                <w:bottom w:val="none" w:sz="0" w:space="0" w:color="auto"/>
                <w:right w:val="none" w:sz="0" w:space="0" w:color="auto"/>
              </w:divBdr>
            </w:div>
            <w:div w:id="1187985690">
              <w:marLeft w:val="0"/>
              <w:marRight w:val="0"/>
              <w:marTop w:val="0"/>
              <w:marBottom w:val="0"/>
              <w:divBdr>
                <w:top w:val="none" w:sz="0" w:space="0" w:color="auto"/>
                <w:left w:val="none" w:sz="0" w:space="0" w:color="auto"/>
                <w:bottom w:val="none" w:sz="0" w:space="0" w:color="auto"/>
                <w:right w:val="none" w:sz="0" w:space="0" w:color="auto"/>
              </w:divBdr>
            </w:div>
            <w:div w:id="1413430215">
              <w:marLeft w:val="0"/>
              <w:marRight w:val="0"/>
              <w:marTop w:val="0"/>
              <w:marBottom w:val="0"/>
              <w:divBdr>
                <w:top w:val="none" w:sz="0" w:space="0" w:color="auto"/>
                <w:left w:val="none" w:sz="0" w:space="0" w:color="auto"/>
                <w:bottom w:val="none" w:sz="0" w:space="0" w:color="auto"/>
                <w:right w:val="none" w:sz="0" w:space="0" w:color="auto"/>
              </w:divBdr>
            </w:div>
            <w:div w:id="1459832286">
              <w:marLeft w:val="0"/>
              <w:marRight w:val="0"/>
              <w:marTop w:val="0"/>
              <w:marBottom w:val="0"/>
              <w:divBdr>
                <w:top w:val="none" w:sz="0" w:space="0" w:color="auto"/>
                <w:left w:val="none" w:sz="0" w:space="0" w:color="auto"/>
                <w:bottom w:val="none" w:sz="0" w:space="0" w:color="auto"/>
                <w:right w:val="none" w:sz="0" w:space="0" w:color="auto"/>
              </w:divBdr>
            </w:div>
            <w:div w:id="1737124621">
              <w:marLeft w:val="0"/>
              <w:marRight w:val="0"/>
              <w:marTop w:val="0"/>
              <w:marBottom w:val="0"/>
              <w:divBdr>
                <w:top w:val="none" w:sz="0" w:space="0" w:color="auto"/>
                <w:left w:val="none" w:sz="0" w:space="0" w:color="auto"/>
                <w:bottom w:val="none" w:sz="0" w:space="0" w:color="auto"/>
                <w:right w:val="none" w:sz="0" w:space="0" w:color="auto"/>
              </w:divBdr>
            </w:div>
            <w:div w:id="1751612086">
              <w:marLeft w:val="0"/>
              <w:marRight w:val="0"/>
              <w:marTop w:val="0"/>
              <w:marBottom w:val="0"/>
              <w:divBdr>
                <w:top w:val="none" w:sz="0" w:space="0" w:color="auto"/>
                <w:left w:val="none" w:sz="0" w:space="0" w:color="auto"/>
                <w:bottom w:val="none" w:sz="0" w:space="0" w:color="auto"/>
                <w:right w:val="none" w:sz="0" w:space="0" w:color="auto"/>
              </w:divBdr>
            </w:div>
            <w:div w:id="1790734211">
              <w:marLeft w:val="0"/>
              <w:marRight w:val="0"/>
              <w:marTop w:val="0"/>
              <w:marBottom w:val="0"/>
              <w:divBdr>
                <w:top w:val="none" w:sz="0" w:space="0" w:color="auto"/>
                <w:left w:val="none" w:sz="0" w:space="0" w:color="auto"/>
                <w:bottom w:val="none" w:sz="0" w:space="0" w:color="auto"/>
                <w:right w:val="none" w:sz="0" w:space="0" w:color="auto"/>
              </w:divBdr>
            </w:div>
            <w:div w:id="1891378818">
              <w:marLeft w:val="0"/>
              <w:marRight w:val="0"/>
              <w:marTop w:val="0"/>
              <w:marBottom w:val="0"/>
              <w:divBdr>
                <w:top w:val="none" w:sz="0" w:space="0" w:color="auto"/>
                <w:left w:val="none" w:sz="0" w:space="0" w:color="auto"/>
                <w:bottom w:val="none" w:sz="0" w:space="0" w:color="auto"/>
                <w:right w:val="none" w:sz="0" w:space="0" w:color="auto"/>
              </w:divBdr>
            </w:div>
            <w:div w:id="1902132660">
              <w:marLeft w:val="0"/>
              <w:marRight w:val="0"/>
              <w:marTop w:val="0"/>
              <w:marBottom w:val="0"/>
              <w:divBdr>
                <w:top w:val="none" w:sz="0" w:space="0" w:color="auto"/>
                <w:left w:val="none" w:sz="0" w:space="0" w:color="auto"/>
                <w:bottom w:val="none" w:sz="0" w:space="0" w:color="auto"/>
                <w:right w:val="none" w:sz="0" w:space="0" w:color="auto"/>
              </w:divBdr>
            </w:div>
            <w:div w:id="1993675226">
              <w:marLeft w:val="0"/>
              <w:marRight w:val="0"/>
              <w:marTop w:val="0"/>
              <w:marBottom w:val="0"/>
              <w:divBdr>
                <w:top w:val="none" w:sz="0" w:space="0" w:color="auto"/>
                <w:left w:val="none" w:sz="0" w:space="0" w:color="auto"/>
                <w:bottom w:val="none" w:sz="0" w:space="0" w:color="auto"/>
                <w:right w:val="none" w:sz="0" w:space="0" w:color="auto"/>
              </w:divBdr>
            </w:div>
            <w:div w:id="206282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015207">
      <w:bodyDiv w:val="1"/>
      <w:marLeft w:val="0"/>
      <w:marRight w:val="0"/>
      <w:marTop w:val="0"/>
      <w:marBottom w:val="0"/>
      <w:divBdr>
        <w:top w:val="none" w:sz="0" w:space="0" w:color="auto"/>
        <w:left w:val="none" w:sz="0" w:space="0" w:color="auto"/>
        <w:bottom w:val="none" w:sz="0" w:space="0" w:color="auto"/>
        <w:right w:val="none" w:sz="0" w:space="0" w:color="auto"/>
      </w:divBdr>
    </w:div>
    <w:div w:id="1619794752">
      <w:bodyDiv w:val="1"/>
      <w:marLeft w:val="0"/>
      <w:marRight w:val="0"/>
      <w:marTop w:val="0"/>
      <w:marBottom w:val="0"/>
      <w:divBdr>
        <w:top w:val="none" w:sz="0" w:space="0" w:color="auto"/>
        <w:left w:val="none" w:sz="0" w:space="0" w:color="auto"/>
        <w:bottom w:val="none" w:sz="0" w:space="0" w:color="auto"/>
        <w:right w:val="none" w:sz="0" w:space="0" w:color="auto"/>
      </w:divBdr>
    </w:div>
    <w:div w:id="1622615328">
      <w:bodyDiv w:val="1"/>
      <w:marLeft w:val="0"/>
      <w:marRight w:val="0"/>
      <w:marTop w:val="0"/>
      <w:marBottom w:val="0"/>
      <w:divBdr>
        <w:top w:val="none" w:sz="0" w:space="0" w:color="auto"/>
        <w:left w:val="none" w:sz="0" w:space="0" w:color="auto"/>
        <w:bottom w:val="none" w:sz="0" w:space="0" w:color="auto"/>
        <w:right w:val="none" w:sz="0" w:space="0" w:color="auto"/>
      </w:divBdr>
    </w:div>
    <w:div w:id="1628971410">
      <w:bodyDiv w:val="1"/>
      <w:marLeft w:val="0"/>
      <w:marRight w:val="0"/>
      <w:marTop w:val="0"/>
      <w:marBottom w:val="0"/>
      <w:divBdr>
        <w:top w:val="none" w:sz="0" w:space="0" w:color="auto"/>
        <w:left w:val="none" w:sz="0" w:space="0" w:color="auto"/>
        <w:bottom w:val="none" w:sz="0" w:space="0" w:color="auto"/>
        <w:right w:val="none" w:sz="0" w:space="0" w:color="auto"/>
      </w:divBdr>
    </w:div>
    <w:div w:id="1631741621">
      <w:bodyDiv w:val="1"/>
      <w:marLeft w:val="0"/>
      <w:marRight w:val="0"/>
      <w:marTop w:val="0"/>
      <w:marBottom w:val="0"/>
      <w:divBdr>
        <w:top w:val="none" w:sz="0" w:space="0" w:color="auto"/>
        <w:left w:val="none" w:sz="0" w:space="0" w:color="auto"/>
        <w:bottom w:val="none" w:sz="0" w:space="0" w:color="auto"/>
        <w:right w:val="none" w:sz="0" w:space="0" w:color="auto"/>
      </w:divBdr>
    </w:div>
    <w:div w:id="1634561716">
      <w:bodyDiv w:val="1"/>
      <w:marLeft w:val="0"/>
      <w:marRight w:val="0"/>
      <w:marTop w:val="0"/>
      <w:marBottom w:val="0"/>
      <w:divBdr>
        <w:top w:val="none" w:sz="0" w:space="0" w:color="auto"/>
        <w:left w:val="none" w:sz="0" w:space="0" w:color="auto"/>
        <w:bottom w:val="none" w:sz="0" w:space="0" w:color="auto"/>
        <w:right w:val="none" w:sz="0" w:space="0" w:color="auto"/>
      </w:divBdr>
    </w:div>
    <w:div w:id="1634630453">
      <w:bodyDiv w:val="1"/>
      <w:marLeft w:val="0"/>
      <w:marRight w:val="0"/>
      <w:marTop w:val="0"/>
      <w:marBottom w:val="0"/>
      <w:divBdr>
        <w:top w:val="none" w:sz="0" w:space="0" w:color="auto"/>
        <w:left w:val="none" w:sz="0" w:space="0" w:color="auto"/>
        <w:bottom w:val="none" w:sz="0" w:space="0" w:color="auto"/>
        <w:right w:val="none" w:sz="0" w:space="0" w:color="auto"/>
      </w:divBdr>
    </w:div>
    <w:div w:id="1643536995">
      <w:bodyDiv w:val="1"/>
      <w:marLeft w:val="0"/>
      <w:marRight w:val="0"/>
      <w:marTop w:val="0"/>
      <w:marBottom w:val="0"/>
      <w:divBdr>
        <w:top w:val="none" w:sz="0" w:space="0" w:color="auto"/>
        <w:left w:val="none" w:sz="0" w:space="0" w:color="auto"/>
        <w:bottom w:val="none" w:sz="0" w:space="0" w:color="auto"/>
        <w:right w:val="none" w:sz="0" w:space="0" w:color="auto"/>
      </w:divBdr>
    </w:div>
    <w:div w:id="1644189444">
      <w:bodyDiv w:val="1"/>
      <w:marLeft w:val="0"/>
      <w:marRight w:val="0"/>
      <w:marTop w:val="0"/>
      <w:marBottom w:val="0"/>
      <w:divBdr>
        <w:top w:val="none" w:sz="0" w:space="0" w:color="auto"/>
        <w:left w:val="none" w:sz="0" w:space="0" w:color="auto"/>
        <w:bottom w:val="none" w:sz="0" w:space="0" w:color="auto"/>
        <w:right w:val="none" w:sz="0" w:space="0" w:color="auto"/>
      </w:divBdr>
    </w:div>
    <w:div w:id="1648780620">
      <w:bodyDiv w:val="1"/>
      <w:marLeft w:val="0"/>
      <w:marRight w:val="0"/>
      <w:marTop w:val="0"/>
      <w:marBottom w:val="0"/>
      <w:divBdr>
        <w:top w:val="none" w:sz="0" w:space="0" w:color="auto"/>
        <w:left w:val="none" w:sz="0" w:space="0" w:color="auto"/>
        <w:bottom w:val="none" w:sz="0" w:space="0" w:color="auto"/>
        <w:right w:val="none" w:sz="0" w:space="0" w:color="auto"/>
      </w:divBdr>
    </w:div>
    <w:div w:id="1667056353">
      <w:bodyDiv w:val="1"/>
      <w:marLeft w:val="0"/>
      <w:marRight w:val="0"/>
      <w:marTop w:val="0"/>
      <w:marBottom w:val="0"/>
      <w:divBdr>
        <w:top w:val="none" w:sz="0" w:space="0" w:color="auto"/>
        <w:left w:val="none" w:sz="0" w:space="0" w:color="auto"/>
        <w:bottom w:val="none" w:sz="0" w:space="0" w:color="auto"/>
        <w:right w:val="none" w:sz="0" w:space="0" w:color="auto"/>
      </w:divBdr>
      <w:divsChild>
        <w:div w:id="212279723">
          <w:marLeft w:val="0"/>
          <w:marRight w:val="0"/>
          <w:marTop w:val="0"/>
          <w:marBottom w:val="0"/>
          <w:divBdr>
            <w:top w:val="none" w:sz="0" w:space="0" w:color="auto"/>
            <w:left w:val="none" w:sz="0" w:space="0" w:color="auto"/>
            <w:bottom w:val="none" w:sz="0" w:space="0" w:color="auto"/>
            <w:right w:val="none" w:sz="0" w:space="0" w:color="auto"/>
          </w:divBdr>
        </w:div>
        <w:div w:id="521474889">
          <w:marLeft w:val="0"/>
          <w:marRight w:val="0"/>
          <w:marTop w:val="0"/>
          <w:marBottom w:val="0"/>
          <w:divBdr>
            <w:top w:val="none" w:sz="0" w:space="0" w:color="auto"/>
            <w:left w:val="none" w:sz="0" w:space="0" w:color="auto"/>
            <w:bottom w:val="none" w:sz="0" w:space="0" w:color="auto"/>
            <w:right w:val="none" w:sz="0" w:space="0" w:color="auto"/>
          </w:divBdr>
        </w:div>
        <w:div w:id="558369635">
          <w:marLeft w:val="0"/>
          <w:marRight w:val="0"/>
          <w:marTop w:val="0"/>
          <w:marBottom w:val="0"/>
          <w:divBdr>
            <w:top w:val="none" w:sz="0" w:space="0" w:color="auto"/>
            <w:left w:val="none" w:sz="0" w:space="0" w:color="auto"/>
            <w:bottom w:val="none" w:sz="0" w:space="0" w:color="auto"/>
            <w:right w:val="none" w:sz="0" w:space="0" w:color="auto"/>
          </w:divBdr>
        </w:div>
        <w:div w:id="609629922">
          <w:marLeft w:val="0"/>
          <w:marRight w:val="0"/>
          <w:marTop w:val="0"/>
          <w:marBottom w:val="0"/>
          <w:divBdr>
            <w:top w:val="none" w:sz="0" w:space="0" w:color="auto"/>
            <w:left w:val="none" w:sz="0" w:space="0" w:color="auto"/>
            <w:bottom w:val="none" w:sz="0" w:space="0" w:color="auto"/>
            <w:right w:val="none" w:sz="0" w:space="0" w:color="auto"/>
          </w:divBdr>
        </w:div>
        <w:div w:id="943805850">
          <w:marLeft w:val="0"/>
          <w:marRight w:val="0"/>
          <w:marTop w:val="0"/>
          <w:marBottom w:val="0"/>
          <w:divBdr>
            <w:top w:val="none" w:sz="0" w:space="0" w:color="auto"/>
            <w:left w:val="none" w:sz="0" w:space="0" w:color="auto"/>
            <w:bottom w:val="none" w:sz="0" w:space="0" w:color="auto"/>
            <w:right w:val="none" w:sz="0" w:space="0" w:color="auto"/>
          </w:divBdr>
        </w:div>
        <w:div w:id="1303921217">
          <w:marLeft w:val="0"/>
          <w:marRight w:val="0"/>
          <w:marTop w:val="0"/>
          <w:marBottom w:val="0"/>
          <w:divBdr>
            <w:top w:val="none" w:sz="0" w:space="0" w:color="auto"/>
            <w:left w:val="none" w:sz="0" w:space="0" w:color="auto"/>
            <w:bottom w:val="none" w:sz="0" w:space="0" w:color="auto"/>
            <w:right w:val="none" w:sz="0" w:space="0" w:color="auto"/>
          </w:divBdr>
        </w:div>
        <w:div w:id="1430661241">
          <w:marLeft w:val="0"/>
          <w:marRight w:val="0"/>
          <w:marTop w:val="0"/>
          <w:marBottom w:val="0"/>
          <w:divBdr>
            <w:top w:val="none" w:sz="0" w:space="0" w:color="auto"/>
            <w:left w:val="none" w:sz="0" w:space="0" w:color="auto"/>
            <w:bottom w:val="none" w:sz="0" w:space="0" w:color="auto"/>
            <w:right w:val="none" w:sz="0" w:space="0" w:color="auto"/>
          </w:divBdr>
        </w:div>
        <w:div w:id="1545019996">
          <w:marLeft w:val="0"/>
          <w:marRight w:val="0"/>
          <w:marTop w:val="0"/>
          <w:marBottom w:val="0"/>
          <w:divBdr>
            <w:top w:val="none" w:sz="0" w:space="0" w:color="auto"/>
            <w:left w:val="none" w:sz="0" w:space="0" w:color="auto"/>
            <w:bottom w:val="none" w:sz="0" w:space="0" w:color="auto"/>
            <w:right w:val="none" w:sz="0" w:space="0" w:color="auto"/>
          </w:divBdr>
        </w:div>
      </w:divsChild>
    </w:div>
    <w:div w:id="1706371693">
      <w:bodyDiv w:val="1"/>
      <w:marLeft w:val="0"/>
      <w:marRight w:val="0"/>
      <w:marTop w:val="0"/>
      <w:marBottom w:val="0"/>
      <w:divBdr>
        <w:top w:val="none" w:sz="0" w:space="0" w:color="auto"/>
        <w:left w:val="none" w:sz="0" w:space="0" w:color="auto"/>
        <w:bottom w:val="none" w:sz="0" w:space="0" w:color="auto"/>
        <w:right w:val="none" w:sz="0" w:space="0" w:color="auto"/>
      </w:divBdr>
    </w:div>
    <w:div w:id="1732002482">
      <w:bodyDiv w:val="1"/>
      <w:marLeft w:val="0"/>
      <w:marRight w:val="0"/>
      <w:marTop w:val="0"/>
      <w:marBottom w:val="0"/>
      <w:divBdr>
        <w:top w:val="none" w:sz="0" w:space="0" w:color="auto"/>
        <w:left w:val="none" w:sz="0" w:space="0" w:color="auto"/>
        <w:bottom w:val="none" w:sz="0" w:space="0" w:color="auto"/>
        <w:right w:val="none" w:sz="0" w:space="0" w:color="auto"/>
      </w:divBdr>
    </w:div>
    <w:div w:id="1738243444">
      <w:bodyDiv w:val="1"/>
      <w:marLeft w:val="0"/>
      <w:marRight w:val="0"/>
      <w:marTop w:val="0"/>
      <w:marBottom w:val="0"/>
      <w:divBdr>
        <w:top w:val="none" w:sz="0" w:space="0" w:color="auto"/>
        <w:left w:val="none" w:sz="0" w:space="0" w:color="auto"/>
        <w:bottom w:val="none" w:sz="0" w:space="0" w:color="auto"/>
        <w:right w:val="none" w:sz="0" w:space="0" w:color="auto"/>
      </w:divBdr>
    </w:div>
    <w:div w:id="1743795795">
      <w:bodyDiv w:val="1"/>
      <w:marLeft w:val="0"/>
      <w:marRight w:val="0"/>
      <w:marTop w:val="0"/>
      <w:marBottom w:val="0"/>
      <w:divBdr>
        <w:top w:val="none" w:sz="0" w:space="0" w:color="auto"/>
        <w:left w:val="none" w:sz="0" w:space="0" w:color="auto"/>
        <w:bottom w:val="none" w:sz="0" w:space="0" w:color="auto"/>
        <w:right w:val="none" w:sz="0" w:space="0" w:color="auto"/>
      </w:divBdr>
    </w:div>
    <w:div w:id="1747024941">
      <w:bodyDiv w:val="1"/>
      <w:marLeft w:val="0"/>
      <w:marRight w:val="0"/>
      <w:marTop w:val="0"/>
      <w:marBottom w:val="0"/>
      <w:divBdr>
        <w:top w:val="none" w:sz="0" w:space="0" w:color="auto"/>
        <w:left w:val="none" w:sz="0" w:space="0" w:color="auto"/>
        <w:bottom w:val="none" w:sz="0" w:space="0" w:color="auto"/>
        <w:right w:val="none" w:sz="0" w:space="0" w:color="auto"/>
      </w:divBdr>
    </w:div>
    <w:div w:id="1749036877">
      <w:bodyDiv w:val="1"/>
      <w:marLeft w:val="0"/>
      <w:marRight w:val="0"/>
      <w:marTop w:val="0"/>
      <w:marBottom w:val="0"/>
      <w:divBdr>
        <w:top w:val="none" w:sz="0" w:space="0" w:color="auto"/>
        <w:left w:val="none" w:sz="0" w:space="0" w:color="auto"/>
        <w:bottom w:val="none" w:sz="0" w:space="0" w:color="auto"/>
        <w:right w:val="none" w:sz="0" w:space="0" w:color="auto"/>
      </w:divBdr>
    </w:div>
    <w:div w:id="1762335198">
      <w:bodyDiv w:val="1"/>
      <w:marLeft w:val="0"/>
      <w:marRight w:val="0"/>
      <w:marTop w:val="0"/>
      <w:marBottom w:val="0"/>
      <w:divBdr>
        <w:top w:val="none" w:sz="0" w:space="0" w:color="auto"/>
        <w:left w:val="none" w:sz="0" w:space="0" w:color="auto"/>
        <w:bottom w:val="none" w:sz="0" w:space="0" w:color="auto"/>
        <w:right w:val="none" w:sz="0" w:space="0" w:color="auto"/>
      </w:divBdr>
    </w:div>
    <w:div w:id="1765764595">
      <w:bodyDiv w:val="1"/>
      <w:marLeft w:val="0"/>
      <w:marRight w:val="0"/>
      <w:marTop w:val="0"/>
      <w:marBottom w:val="0"/>
      <w:divBdr>
        <w:top w:val="none" w:sz="0" w:space="0" w:color="auto"/>
        <w:left w:val="none" w:sz="0" w:space="0" w:color="auto"/>
        <w:bottom w:val="none" w:sz="0" w:space="0" w:color="auto"/>
        <w:right w:val="none" w:sz="0" w:space="0" w:color="auto"/>
      </w:divBdr>
    </w:div>
    <w:div w:id="1783956136">
      <w:bodyDiv w:val="1"/>
      <w:marLeft w:val="0"/>
      <w:marRight w:val="0"/>
      <w:marTop w:val="0"/>
      <w:marBottom w:val="0"/>
      <w:divBdr>
        <w:top w:val="none" w:sz="0" w:space="0" w:color="auto"/>
        <w:left w:val="none" w:sz="0" w:space="0" w:color="auto"/>
        <w:bottom w:val="none" w:sz="0" w:space="0" w:color="auto"/>
        <w:right w:val="none" w:sz="0" w:space="0" w:color="auto"/>
      </w:divBdr>
    </w:div>
    <w:div w:id="1788352479">
      <w:bodyDiv w:val="1"/>
      <w:marLeft w:val="0"/>
      <w:marRight w:val="0"/>
      <w:marTop w:val="0"/>
      <w:marBottom w:val="0"/>
      <w:divBdr>
        <w:top w:val="none" w:sz="0" w:space="0" w:color="auto"/>
        <w:left w:val="none" w:sz="0" w:space="0" w:color="auto"/>
        <w:bottom w:val="none" w:sz="0" w:space="0" w:color="auto"/>
        <w:right w:val="none" w:sz="0" w:space="0" w:color="auto"/>
      </w:divBdr>
    </w:div>
    <w:div w:id="1799451898">
      <w:bodyDiv w:val="1"/>
      <w:marLeft w:val="0"/>
      <w:marRight w:val="0"/>
      <w:marTop w:val="0"/>
      <w:marBottom w:val="0"/>
      <w:divBdr>
        <w:top w:val="none" w:sz="0" w:space="0" w:color="auto"/>
        <w:left w:val="none" w:sz="0" w:space="0" w:color="auto"/>
        <w:bottom w:val="none" w:sz="0" w:space="0" w:color="auto"/>
        <w:right w:val="none" w:sz="0" w:space="0" w:color="auto"/>
      </w:divBdr>
    </w:div>
    <w:div w:id="1800875626">
      <w:bodyDiv w:val="1"/>
      <w:marLeft w:val="0"/>
      <w:marRight w:val="0"/>
      <w:marTop w:val="0"/>
      <w:marBottom w:val="0"/>
      <w:divBdr>
        <w:top w:val="none" w:sz="0" w:space="0" w:color="auto"/>
        <w:left w:val="none" w:sz="0" w:space="0" w:color="auto"/>
        <w:bottom w:val="none" w:sz="0" w:space="0" w:color="auto"/>
        <w:right w:val="none" w:sz="0" w:space="0" w:color="auto"/>
      </w:divBdr>
    </w:div>
    <w:div w:id="1823422139">
      <w:bodyDiv w:val="1"/>
      <w:marLeft w:val="0"/>
      <w:marRight w:val="0"/>
      <w:marTop w:val="0"/>
      <w:marBottom w:val="0"/>
      <w:divBdr>
        <w:top w:val="none" w:sz="0" w:space="0" w:color="auto"/>
        <w:left w:val="none" w:sz="0" w:space="0" w:color="auto"/>
        <w:bottom w:val="none" w:sz="0" w:space="0" w:color="auto"/>
        <w:right w:val="none" w:sz="0" w:space="0" w:color="auto"/>
      </w:divBdr>
    </w:div>
    <w:div w:id="1824197805">
      <w:bodyDiv w:val="1"/>
      <w:marLeft w:val="0"/>
      <w:marRight w:val="0"/>
      <w:marTop w:val="0"/>
      <w:marBottom w:val="0"/>
      <w:divBdr>
        <w:top w:val="none" w:sz="0" w:space="0" w:color="auto"/>
        <w:left w:val="none" w:sz="0" w:space="0" w:color="auto"/>
        <w:bottom w:val="none" w:sz="0" w:space="0" w:color="auto"/>
        <w:right w:val="none" w:sz="0" w:space="0" w:color="auto"/>
      </w:divBdr>
    </w:div>
    <w:div w:id="1833526705">
      <w:bodyDiv w:val="1"/>
      <w:marLeft w:val="0"/>
      <w:marRight w:val="0"/>
      <w:marTop w:val="0"/>
      <w:marBottom w:val="0"/>
      <w:divBdr>
        <w:top w:val="none" w:sz="0" w:space="0" w:color="auto"/>
        <w:left w:val="none" w:sz="0" w:space="0" w:color="auto"/>
        <w:bottom w:val="none" w:sz="0" w:space="0" w:color="auto"/>
        <w:right w:val="none" w:sz="0" w:space="0" w:color="auto"/>
      </w:divBdr>
    </w:div>
    <w:div w:id="1838882845">
      <w:bodyDiv w:val="1"/>
      <w:marLeft w:val="0"/>
      <w:marRight w:val="0"/>
      <w:marTop w:val="0"/>
      <w:marBottom w:val="0"/>
      <w:divBdr>
        <w:top w:val="none" w:sz="0" w:space="0" w:color="auto"/>
        <w:left w:val="none" w:sz="0" w:space="0" w:color="auto"/>
        <w:bottom w:val="none" w:sz="0" w:space="0" w:color="auto"/>
        <w:right w:val="none" w:sz="0" w:space="0" w:color="auto"/>
      </w:divBdr>
    </w:div>
    <w:div w:id="1848329373">
      <w:bodyDiv w:val="1"/>
      <w:marLeft w:val="0"/>
      <w:marRight w:val="0"/>
      <w:marTop w:val="0"/>
      <w:marBottom w:val="0"/>
      <w:divBdr>
        <w:top w:val="none" w:sz="0" w:space="0" w:color="auto"/>
        <w:left w:val="none" w:sz="0" w:space="0" w:color="auto"/>
        <w:bottom w:val="none" w:sz="0" w:space="0" w:color="auto"/>
        <w:right w:val="none" w:sz="0" w:space="0" w:color="auto"/>
      </w:divBdr>
    </w:div>
    <w:div w:id="1858032099">
      <w:bodyDiv w:val="1"/>
      <w:marLeft w:val="0"/>
      <w:marRight w:val="0"/>
      <w:marTop w:val="0"/>
      <w:marBottom w:val="0"/>
      <w:divBdr>
        <w:top w:val="none" w:sz="0" w:space="0" w:color="auto"/>
        <w:left w:val="none" w:sz="0" w:space="0" w:color="auto"/>
        <w:bottom w:val="none" w:sz="0" w:space="0" w:color="auto"/>
        <w:right w:val="none" w:sz="0" w:space="0" w:color="auto"/>
      </w:divBdr>
    </w:div>
    <w:div w:id="1858233759">
      <w:bodyDiv w:val="1"/>
      <w:marLeft w:val="0"/>
      <w:marRight w:val="0"/>
      <w:marTop w:val="0"/>
      <w:marBottom w:val="0"/>
      <w:divBdr>
        <w:top w:val="none" w:sz="0" w:space="0" w:color="auto"/>
        <w:left w:val="none" w:sz="0" w:space="0" w:color="auto"/>
        <w:bottom w:val="none" w:sz="0" w:space="0" w:color="auto"/>
        <w:right w:val="none" w:sz="0" w:space="0" w:color="auto"/>
      </w:divBdr>
    </w:div>
    <w:div w:id="1867985795">
      <w:bodyDiv w:val="1"/>
      <w:marLeft w:val="0"/>
      <w:marRight w:val="0"/>
      <w:marTop w:val="0"/>
      <w:marBottom w:val="0"/>
      <w:divBdr>
        <w:top w:val="none" w:sz="0" w:space="0" w:color="auto"/>
        <w:left w:val="none" w:sz="0" w:space="0" w:color="auto"/>
        <w:bottom w:val="none" w:sz="0" w:space="0" w:color="auto"/>
        <w:right w:val="none" w:sz="0" w:space="0" w:color="auto"/>
      </w:divBdr>
    </w:div>
    <w:div w:id="1877156161">
      <w:bodyDiv w:val="1"/>
      <w:marLeft w:val="0"/>
      <w:marRight w:val="0"/>
      <w:marTop w:val="0"/>
      <w:marBottom w:val="0"/>
      <w:divBdr>
        <w:top w:val="none" w:sz="0" w:space="0" w:color="auto"/>
        <w:left w:val="none" w:sz="0" w:space="0" w:color="auto"/>
        <w:bottom w:val="none" w:sz="0" w:space="0" w:color="auto"/>
        <w:right w:val="none" w:sz="0" w:space="0" w:color="auto"/>
      </w:divBdr>
    </w:div>
    <w:div w:id="1887832282">
      <w:bodyDiv w:val="1"/>
      <w:marLeft w:val="0"/>
      <w:marRight w:val="0"/>
      <w:marTop w:val="0"/>
      <w:marBottom w:val="0"/>
      <w:divBdr>
        <w:top w:val="none" w:sz="0" w:space="0" w:color="auto"/>
        <w:left w:val="none" w:sz="0" w:space="0" w:color="auto"/>
        <w:bottom w:val="none" w:sz="0" w:space="0" w:color="auto"/>
        <w:right w:val="none" w:sz="0" w:space="0" w:color="auto"/>
      </w:divBdr>
    </w:div>
    <w:div w:id="1889535123">
      <w:bodyDiv w:val="1"/>
      <w:marLeft w:val="0"/>
      <w:marRight w:val="0"/>
      <w:marTop w:val="0"/>
      <w:marBottom w:val="0"/>
      <w:divBdr>
        <w:top w:val="none" w:sz="0" w:space="0" w:color="auto"/>
        <w:left w:val="none" w:sz="0" w:space="0" w:color="auto"/>
        <w:bottom w:val="none" w:sz="0" w:space="0" w:color="auto"/>
        <w:right w:val="none" w:sz="0" w:space="0" w:color="auto"/>
      </w:divBdr>
      <w:divsChild>
        <w:div w:id="40595547">
          <w:marLeft w:val="0"/>
          <w:marRight w:val="0"/>
          <w:marTop w:val="0"/>
          <w:marBottom w:val="0"/>
          <w:divBdr>
            <w:top w:val="none" w:sz="0" w:space="0" w:color="auto"/>
            <w:left w:val="none" w:sz="0" w:space="0" w:color="auto"/>
            <w:bottom w:val="none" w:sz="0" w:space="0" w:color="auto"/>
            <w:right w:val="none" w:sz="0" w:space="0" w:color="auto"/>
          </w:divBdr>
          <w:divsChild>
            <w:div w:id="1949390320">
              <w:marLeft w:val="0"/>
              <w:marRight w:val="0"/>
              <w:marTop w:val="225"/>
              <w:marBottom w:val="0"/>
              <w:divBdr>
                <w:top w:val="none" w:sz="0" w:space="0" w:color="auto"/>
                <w:left w:val="none" w:sz="0" w:space="0" w:color="auto"/>
                <w:bottom w:val="none" w:sz="0" w:space="0" w:color="auto"/>
                <w:right w:val="none" w:sz="0" w:space="0" w:color="auto"/>
              </w:divBdr>
            </w:div>
          </w:divsChild>
        </w:div>
        <w:div w:id="1160930220">
          <w:marLeft w:val="0"/>
          <w:marRight w:val="0"/>
          <w:marTop w:val="0"/>
          <w:marBottom w:val="0"/>
          <w:divBdr>
            <w:top w:val="none" w:sz="0" w:space="0" w:color="auto"/>
            <w:left w:val="none" w:sz="0" w:space="0" w:color="auto"/>
            <w:bottom w:val="none" w:sz="0" w:space="0" w:color="auto"/>
            <w:right w:val="none" w:sz="0" w:space="0" w:color="auto"/>
          </w:divBdr>
          <w:divsChild>
            <w:div w:id="95872773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893275205">
      <w:bodyDiv w:val="1"/>
      <w:marLeft w:val="0"/>
      <w:marRight w:val="0"/>
      <w:marTop w:val="0"/>
      <w:marBottom w:val="0"/>
      <w:divBdr>
        <w:top w:val="none" w:sz="0" w:space="0" w:color="auto"/>
        <w:left w:val="none" w:sz="0" w:space="0" w:color="auto"/>
        <w:bottom w:val="none" w:sz="0" w:space="0" w:color="auto"/>
        <w:right w:val="none" w:sz="0" w:space="0" w:color="auto"/>
      </w:divBdr>
    </w:div>
    <w:div w:id="1898278138">
      <w:bodyDiv w:val="1"/>
      <w:marLeft w:val="0"/>
      <w:marRight w:val="0"/>
      <w:marTop w:val="0"/>
      <w:marBottom w:val="0"/>
      <w:divBdr>
        <w:top w:val="none" w:sz="0" w:space="0" w:color="auto"/>
        <w:left w:val="none" w:sz="0" w:space="0" w:color="auto"/>
        <w:bottom w:val="none" w:sz="0" w:space="0" w:color="auto"/>
        <w:right w:val="none" w:sz="0" w:space="0" w:color="auto"/>
      </w:divBdr>
    </w:div>
    <w:div w:id="1902054507">
      <w:bodyDiv w:val="1"/>
      <w:marLeft w:val="0"/>
      <w:marRight w:val="0"/>
      <w:marTop w:val="0"/>
      <w:marBottom w:val="0"/>
      <w:divBdr>
        <w:top w:val="none" w:sz="0" w:space="0" w:color="auto"/>
        <w:left w:val="none" w:sz="0" w:space="0" w:color="auto"/>
        <w:bottom w:val="none" w:sz="0" w:space="0" w:color="auto"/>
        <w:right w:val="none" w:sz="0" w:space="0" w:color="auto"/>
      </w:divBdr>
    </w:div>
    <w:div w:id="1921940912">
      <w:bodyDiv w:val="1"/>
      <w:marLeft w:val="0"/>
      <w:marRight w:val="0"/>
      <w:marTop w:val="0"/>
      <w:marBottom w:val="0"/>
      <w:divBdr>
        <w:top w:val="none" w:sz="0" w:space="0" w:color="auto"/>
        <w:left w:val="none" w:sz="0" w:space="0" w:color="auto"/>
        <w:bottom w:val="none" w:sz="0" w:space="0" w:color="auto"/>
        <w:right w:val="none" w:sz="0" w:space="0" w:color="auto"/>
      </w:divBdr>
    </w:div>
    <w:div w:id="1924534733">
      <w:bodyDiv w:val="1"/>
      <w:marLeft w:val="0"/>
      <w:marRight w:val="0"/>
      <w:marTop w:val="0"/>
      <w:marBottom w:val="0"/>
      <w:divBdr>
        <w:top w:val="none" w:sz="0" w:space="0" w:color="auto"/>
        <w:left w:val="none" w:sz="0" w:space="0" w:color="auto"/>
        <w:bottom w:val="none" w:sz="0" w:space="0" w:color="auto"/>
        <w:right w:val="none" w:sz="0" w:space="0" w:color="auto"/>
      </w:divBdr>
    </w:div>
    <w:div w:id="1925142857">
      <w:bodyDiv w:val="1"/>
      <w:marLeft w:val="0"/>
      <w:marRight w:val="0"/>
      <w:marTop w:val="0"/>
      <w:marBottom w:val="0"/>
      <w:divBdr>
        <w:top w:val="none" w:sz="0" w:space="0" w:color="auto"/>
        <w:left w:val="none" w:sz="0" w:space="0" w:color="auto"/>
        <w:bottom w:val="none" w:sz="0" w:space="0" w:color="auto"/>
        <w:right w:val="none" w:sz="0" w:space="0" w:color="auto"/>
      </w:divBdr>
    </w:div>
    <w:div w:id="1945071890">
      <w:bodyDiv w:val="1"/>
      <w:marLeft w:val="0"/>
      <w:marRight w:val="0"/>
      <w:marTop w:val="0"/>
      <w:marBottom w:val="0"/>
      <w:divBdr>
        <w:top w:val="none" w:sz="0" w:space="0" w:color="auto"/>
        <w:left w:val="none" w:sz="0" w:space="0" w:color="auto"/>
        <w:bottom w:val="none" w:sz="0" w:space="0" w:color="auto"/>
        <w:right w:val="none" w:sz="0" w:space="0" w:color="auto"/>
      </w:divBdr>
    </w:div>
    <w:div w:id="1947347902">
      <w:bodyDiv w:val="1"/>
      <w:marLeft w:val="0"/>
      <w:marRight w:val="0"/>
      <w:marTop w:val="0"/>
      <w:marBottom w:val="0"/>
      <w:divBdr>
        <w:top w:val="none" w:sz="0" w:space="0" w:color="auto"/>
        <w:left w:val="none" w:sz="0" w:space="0" w:color="auto"/>
        <w:bottom w:val="none" w:sz="0" w:space="0" w:color="auto"/>
        <w:right w:val="none" w:sz="0" w:space="0" w:color="auto"/>
      </w:divBdr>
    </w:div>
    <w:div w:id="1949776491">
      <w:bodyDiv w:val="1"/>
      <w:marLeft w:val="0"/>
      <w:marRight w:val="0"/>
      <w:marTop w:val="0"/>
      <w:marBottom w:val="0"/>
      <w:divBdr>
        <w:top w:val="none" w:sz="0" w:space="0" w:color="auto"/>
        <w:left w:val="none" w:sz="0" w:space="0" w:color="auto"/>
        <w:bottom w:val="none" w:sz="0" w:space="0" w:color="auto"/>
        <w:right w:val="none" w:sz="0" w:space="0" w:color="auto"/>
      </w:divBdr>
    </w:div>
    <w:div w:id="1950500399">
      <w:bodyDiv w:val="1"/>
      <w:marLeft w:val="0"/>
      <w:marRight w:val="0"/>
      <w:marTop w:val="0"/>
      <w:marBottom w:val="0"/>
      <w:divBdr>
        <w:top w:val="none" w:sz="0" w:space="0" w:color="auto"/>
        <w:left w:val="none" w:sz="0" w:space="0" w:color="auto"/>
        <w:bottom w:val="none" w:sz="0" w:space="0" w:color="auto"/>
        <w:right w:val="none" w:sz="0" w:space="0" w:color="auto"/>
      </w:divBdr>
    </w:div>
    <w:div w:id="1953441487">
      <w:bodyDiv w:val="1"/>
      <w:marLeft w:val="0"/>
      <w:marRight w:val="0"/>
      <w:marTop w:val="0"/>
      <w:marBottom w:val="0"/>
      <w:divBdr>
        <w:top w:val="none" w:sz="0" w:space="0" w:color="auto"/>
        <w:left w:val="none" w:sz="0" w:space="0" w:color="auto"/>
        <w:bottom w:val="none" w:sz="0" w:space="0" w:color="auto"/>
        <w:right w:val="none" w:sz="0" w:space="0" w:color="auto"/>
      </w:divBdr>
    </w:div>
    <w:div w:id="1954631087">
      <w:bodyDiv w:val="1"/>
      <w:marLeft w:val="0"/>
      <w:marRight w:val="0"/>
      <w:marTop w:val="0"/>
      <w:marBottom w:val="0"/>
      <w:divBdr>
        <w:top w:val="none" w:sz="0" w:space="0" w:color="auto"/>
        <w:left w:val="none" w:sz="0" w:space="0" w:color="auto"/>
        <w:bottom w:val="none" w:sz="0" w:space="0" w:color="auto"/>
        <w:right w:val="none" w:sz="0" w:space="0" w:color="auto"/>
      </w:divBdr>
    </w:div>
    <w:div w:id="1957906689">
      <w:bodyDiv w:val="1"/>
      <w:marLeft w:val="0"/>
      <w:marRight w:val="0"/>
      <w:marTop w:val="0"/>
      <w:marBottom w:val="0"/>
      <w:divBdr>
        <w:top w:val="none" w:sz="0" w:space="0" w:color="auto"/>
        <w:left w:val="none" w:sz="0" w:space="0" w:color="auto"/>
        <w:bottom w:val="none" w:sz="0" w:space="0" w:color="auto"/>
        <w:right w:val="none" w:sz="0" w:space="0" w:color="auto"/>
      </w:divBdr>
    </w:div>
    <w:div w:id="1959482582">
      <w:bodyDiv w:val="1"/>
      <w:marLeft w:val="0"/>
      <w:marRight w:val="0"/>
      <w:marTop w:val="0"/>
      <w:marBottom w:val="0"/>
      <w:divBdr>
        <w:top w:val="none" w:sz="0" w:space="0" w:color="auto"/>
        <w:left w:val="none" w:sz="0" w:space="0" w:color="auto"/>
        <w:bottom w:val="none" w:sz="0" w:space="0" w:color="auto"/>
        <w:right w:val="none" w:sz="0" w:space="0" w:color="auto"/>
      </w:divBdr>
    </w:div>
    <w:div w:id="1962107029">
      <w:bodyDiv w:val="1"/>
      <w:marLeft w:val="0"/>
      <w:marRight w:val="0"/>
      <w:marTop w:val="0"/>
      <w:marBottom w:val="0"/>
      <w:divBdr>
        <w:top w:val="none" w:sz="0" w:space="0" w:color="auto"/>
        <w:left w:val="none" w:sz="0" w:space="0" w:color="auto"/>
        <w:bottom w:val="none" w:sz="0" w:space="0" w:color="auto"/>
        <w:right w:val="none" w:sz="0" w:space="0" w:color="auto"/>
      </w:divBdr>
    </w:div>
    <w:div w:id="1964845729">
      <w:bodyDiv w:val="1"/>
      <w:marLeft w:val="0"/>
      <w:marRight w:val="0"/>
      <w:marTop w:val="0"/>
      <w:marBottom w:val="0"/>
      <w:divBdr>
        <w:top w:val="none" w:sz="0" w:space="0" w:color="auto"/>
        <w:left w:val="none" w:sz="0" w:space="0" w:color="auto"/>
        <w:bottom w:val="none" w:sz="0" w:space="0" w:color="auto"/>
        <w:right w:val="none" w:sz="0" w:space="0" w:color="auto"/>
      </w:divBdr>
    </w:div>
    <w:div w:id="1966813010">
      <w:bodyDiv w:val="1"/>
      <w:marLeft w:val="0"/>
      <w:marRight w:val="0"/>
      <w:marTop w:val="0"/>
      <w:marBottom w:val="0"/>
      <w:divBdr>
        <w:top w:val="none" w:sz="0" w:space="0" w:color="auto"/>
        <w:left w:val="none" w:sz="0" w:space="0" w:color="auto"/>
        <w:bottom w:val="none" w:sz="0" w:space="0" w:color="auto"/>
        <w:right w:val="none" w:sz="0" w:space="0" w:color="auto"/>
      </w:divBdr>
    </w:div>
    <w:div w:id="1989437214">
      <w:bodyDiv w:val="1"/>
      <w:marLeft w:val="0"/>
      <w:marRight w:val="0"/>
      <w:marTop w:val="0"/>
      <w:marBottom w:val="0"/>
      <w:divBdr>
        <w:top w:val="none" w:sz="0" w:space="0" w:color="auto"/>
        <w:left w:val="none" w:sz="0" w:space="0" w:color="auto"/>
        <w:bottom w:val="none" w:sz="0" w:space="0" w:color="auto"/>
        <w:right w:val="none" w:sz="0" w:space="0" w:color="auto"/>
      </w:divBdr>
    </w:div>
    <w:div w:id="1991245976">
      <w:bodyDiv w:val="1"/>
      <w:marLeft w:val="0"/>
      <w:marRight w:val="0"/>
      <w:marTop w:val="0"/>
      <w:marBottom w:val="0"/>
      <w:divBdr>
        <w:top w:val="none" w:sz="0" w:space="0" w:color="auto"/>
        <w:left w:val="none" w:sz="0" w:space="0" w:color="auto"/>
        <w:bottom w:val="none" w:sz="0" w:space="0" w:color="auto"/>
        <w:right w:val="none" w:sz="0" w:space="0" w:color="auto"/>
      </w:divBdr>
    </w:div>
    <w:div w:id="2012563955">
      <w:bodyDiv w:val="1"/>
      <w:marLeft w:val="0"/>
      <w:marRight w:val="0"/>
      <w:marTop w:val="0"/>
      <w:marBottom w:val="0"/>
      <w:divBdr>
        <w:top w:val="none" w:sz="0" w:space="0" w:color="auto"/>
        <w:left w:val="none" w:sz="0" w:space="0" w:color="auto"/>
        <w:bottom w:val="none" w:sz="0" w:space="0" w:color="auto"/>
        <w:right w:val="none" w:sz="0" w:space="0" w:color="auto"/>
      </w:divBdr>
    </w:div>
    <w:div w:id="2023167350">
      <w:bodyDiv w:val="1"/>
      <w:marLeft w:val="0"/>
      <w:marRight w:val="0"/>
      <w:marTop w:val="0"/>
      <w:marBottom w:val="0"/>
      <w:divBdr>
        <w:top w:val="none" w:sz="0" w:space="0" w:color="auto"/>
        <w:left w:val="none" w:sz="0" w:space="0" w:color="auto"/>
        <w:bottom w:val="none" w:sz="0" w:space="0" w:color="auto"/>
        <w:right w:val="none" w:sz="0" w:space="0" w:color="auto"/>
      </w:divBdr>
    </w:div>
    <w:div w:id="2025666320">
      <w:bodyDiv w:val="1"/>
      <w:marLeft w:val="0"/>
      <w:marRight w:val="0"/>
      <w:marTop w:val="0"/>
      <w:marBottom w:val="0"/>
      <w:divBdr>
        <w:top w:val="none" w:sz="0" w:space="0" w:color="auto"/>
        <w:left w:val="none" w:sz="0" w:space="0" w:color="auto"/>
        <w:bottom w:val="none" w:sz="0" w:space="0" w:color="auto"/>
        <w:right w:val="none" w:sz="0" w:space="0" w:color="auto"/>
      </w:divBdr>
    </w:div>
    <w:div w:id="2027713460">
      <w:bodyDiv w:val="1"/>
      <w:marLeft w:val="0"/>
      <w:marRight w:val="0"/>
      <w:marTop w:val="0"/>
      <w:marBottom w:val="0"/>
      <w:divBdr>
        <w:top w:val="none" w:sz="0" w:space="0" w:color="auto"/>
        <w:left w:val="none" w:sz="0" w:space="0" w:color="auto"/>
        <w:bottom w:val="none" w:sz="0" w:space="0" w:color="auto"/>
        <w:right w:val="none" w:sz="0" w:space="0" w:color="auto"/>
      </w:divBdr>
    </w:div>
    <w:div w:id="2029140448">
      <w:bodyDiv w:val="1"/>
      <w:marLeft w:val="0"/>
      <w:marRight w:val="0"/>
      <w:marTop w:val="0"/>
      <w:marBottom w:val="0"/>
      <w:divBdr>
        <w:top w:val="none" w:sz="0" w:space="0" w:color="auto"/>
        <w:left w:val="none" w:sz="0" w:space="0" w:color="auto"/>
        <w:bottom w:val="none" w:sz="0" w:space="0" w:color="auto"/>
        <w:right w:val="none" w:sz="0" w:space="0" w:color="auto"/>
      </w:divBdr>
    </w:div>
    <w:div w:id="2045934478">
      <w:bodyDiv w:val="1"/>
      <w:marLeft w:val="0"/>
      <w:marRight w:val="0"/>
      <w:marTop w:val="0"/>
      <w:marBottom w:val="0"/>
      <w:divBdr>
        <w:top w:val="none" w:sz="0" w:space="0" w:color="auto"/>
        <w:left w:val="none" w:sz="0" w:space="0" w:color="auto"/>
        <w:bottom w:val="none" w:sz="0" w:space="0" w:color="auto"/>
        <w:right w:val="none" w:sz="0" w:space="0" w:color="auto"/>
      </w:divBdr>
    </w:div>
    <w:div w:id="2073263803">
      <w:bodyDiv w:val="1"/>
      <w:marLeft w:val="0"/>
      <w:marRight w:val="0"/>
      <w:marTop w:val="0"/>
      <w:marBottom w:val="0"/>
      <w:divBdr>
        <w:top w:val="none" w:sz="0" w:space="0" w:color="auto"/>
        <w:left w:val="none" w:sz="0" w:space="0" w:color="auto"/>
        <w:bottom w:val="none" w:sz="0" w:space="0" w:color="auto"/>
        <w:right w:val="none" w:sz="0" w:space="0" w:color="auto"/>
      </w:divBdr>
    </w:div>
    <w:div w:id="2078236269">
      <w:bodyDiv w:val="1"/>
      <w:marLeft w:val="0"/>
      <w:marRight w:val="0"/>
      <w:marTop w:val="0"/>
      <w:marBottom w:val="0"/>
      <w:divBdr>
        <w:top w:val="none" w:sz="0" w:space="0" w:color="auto"/>
        <w:left w:val="none" w:sz="0" w:space="0" w:color="auto"/>
        <w:bottom w:val="none" w:sz="0" w:space="0" w:color="auto"/>
        <w:right w:val="none" w:sz="0" w:space="0" w:color="auto"/>
      </w:divBdr>
    </w:div>
    <w:div w:id="2082024788">
      <w:bodyDiv w:val="1"/>
      <w:marLeft w:val="0"/>
      <w:marRight w:val="0"/>
      <w:marTop w:val="0"/>
      <w:marBottom w:val="0"/>
      <w:divBdr>
        <w:top w:val="none" w:sz="0" w:space="0" w:color="auto"/>
        <w:left w:val="none" w:sz="0" w:space="0" w:color="auto"/>
        <w:bottom w:val="none" w:sz="0" w:space="0" w:color="auto"/>
        <w:right w:val="none" w:sz="0" w:space="0" w:color="auto"/>
      </w:divBdr>
    </w:div>
    <w:div w:id="2082366045">
      <w:bodyDiv w:val="1"/>
      <w:marLeft w:val="0"/>
      <w:marRight w:val="0"/>
      <w:marTop w:val="0"/>
      <w:marBottom w:val="0"/>
      <w:divBdr>
        <w:top w:val="none" w:sz="0" w:space="0" w:color="auto"/>
        <w:left w:val="none" w:sz="0" w:space="0" w:color="auto"/>
        <w:bottom w:val="none" w:sz="0" w:space="0" w:color="auto"/>
        <w:right w:val="none" w:sz="0" w:space="0" w:color="auto"/>
      </w:divBdr>
    </w:div>
    <w:div w:id="2083522542">
      <w:bodyDiv w:val="1"/>
      <w:marLeft w:val="0"/>
      <w:marRight w:val="0"/>
      <w:marTop w:val="0"/>
      <w:marBottom w:val="0"/>
      <w:divBdr>
        <w:top w:val="none" w:sz="0" w:space="0" w:color="auto"/>
        <w:left w:val="none" w:sz="0" w:space="0" w:color="auto"/>
        <w:bottom w:val="none" w:sz="0" w:space="0" w:color="auto"/>
        <w:right w:val="none" w:sz="0" w:space="0" w:color="auto"/>
      </w:divBdr>
    </w:div>
    <w:div w:id="2083915929">
      <w:bodyDiv w:val="1"/>
      <w:marLeft w:val="0"/>
      <w:marRight w:val="0"/>
      <w:marTop w:val="0"/>
      <w:marBottom w:val="0"/>
      <w:divBdr>
        <w:top w:val="none" w:sz="0" w:space="0" w:color="auto"/>
        <w:left w:val="none" w:sz="0" w:space="0" w:color="auto"/>
        <w:bottom w:val="none" w:sz="0" w:space="0" w:color="auto"/>
        <w:right w:val="none" w:sz="0" w:space="0" w:color="auto"/>
      </w:divBdr>
    </w:div>
    <w:div w:id="2088990206">
      <w:bodyDiv w:val="1"/>
      <w:marLeft w:val="0"/>
      <w:marRight w:val="0"/>
      <w:marTop w:val="0"/>
      <w:marBottom w:val="0"/>
      <w:divBdr>
        <w:top w:val="none" w:sz="0" w:space="0" w:color="auto"/>
        <w:left w:val="none" w:sz="0" w:space="0" w:color="auto"/>
        <w:bottom w:val="none" w:sz="0" w:space="0" w:color="auto"/>
        <w:right w:val="none" w:sz="0" w:space="0" w:color="auto"/>
      </w:divBdr>
    </w:div>
    <w:div w:id="2100247982">
      <w:bodyDiv w:val="1"/>
      <w:marLeft w:val="0"/>
      <w:marRight w:val="0"/>
      <w:marTop w:val="0"/>
      <w:marBottom w:val="0"/>
      <w:divBdr>
        <w:top w:val="none" w:sz="0" w:space="0" w:color="auto"/>
        <w:left w:val="none" w:sz="0" w:space="0" w:color="auto"/>
        <w:bottom w:val="none" w:sz="0" w:space="0" w:color="auto"/>
        <w:right w:val="none" w:sz="0" w:space="0" w:color="auto"/>
      </w:divBdr>
    </w:div>
    <w:div w:id="2106339363">
      <w:bodyDiv w:val="1"/>
      <w:marLeft w:val="0"/>
      <w:marRight w:val="0"/>
      <w:marTop w:val="0"/>
      <w:marBottom w:val="0"/>
      <w:divBdr>
        <w:top w:val="none" w:sz="0" w:space="0" w:color="auto"/>
        <w:left w:val="none" w:sz="0" w:space="0" w:color="auto"/>
        <w:bottom w:val="none" w:sz="0" w:space="0" w:color="auto"/>
        <w:right w:val="none" w:sz="0" w:space="0" w:color="auto"/>
      </w:divBdr>
    </w:div>
    <w:div w:id="2116556478">
      <w:bodyDiv w:val="1"/>
      <w:marLeft w:val="0"/>
      <w:marRight w:val="0"/>
      <w:marTop w:val="0"/>
      <w:marBottom w:val="0"/>
      <w:divBdr>
        <w:top w:val="none" w:sz="0" w:space="0" w:color="auto"/>
        <w:left w:val="none" w:sz="0" w:space="0" w:color="auto"/>
        <w:bottom w:val="none" w:sz="0" w:space="0" w:color="auto"/>
        <w:right w:val="none" w:sz="0" w:space="0" w:color="auto"/>
      </w:divBdr>
    </w:div>
    <w:div w:id="2125729209">
      <w:bodyDiv w:val="1"/>
      <w:marLeft w:val="0"/>
      <w:marRight w:val="0"/>
      <w:marTop w:val="0"/>
      <w:marBottom w:val="0"/>
      <w:divBdr>
        <w:top w:val="none" w:sz="0" w:space="0" w:color="auto"/>
        <w:left w:val="none" w:sz="0" w:space="0" w:color="auto"/>
        <w:bottom w:val="none" w:sz="0" w:space="0" w:color="auto"/>
        <w:right w:val="none" w:sz="0" w:space="0" w:color="auto"/>
      </w:divBdr>
    </w:div>
    <w:div w:id="2132479665">
      <w:bodyDiv w:val="1"/>
      <w:marLeft w:val="0"/>
      <w:marRight w:val="0"/>
      <w:marTop w:val="0"/>
      <w:marBottom w:val="0"/>
      <w:divBdr>
        <w:top w:val="none" w:sz="0" w:space="0" w:color="auto"/>
        <w:left w:val="none" w:sz="0" w:space="0" w:color="auto"/>
        <w:bottom w:val="none" w:sz="0" w:space="0" w:color="auto"/>
        <w:right w:val="none" w:sz="0" w:space="0" w:color="auto"/>
      </w:divBdr>
    </w:div>
    <w:div w:id="2132703662">
      <w:bodyDiv w:val="1"/>
      <w:marLeft w:val="0"/>
      <w:marRight w:val="0"/>
      <w:marTop w:val="0"/>
      <w:marBottom w:val="0"/>
      <w:divBdr>
        <w:top w:val="none" w:sz="0" w:space="0" w:color="auto"/>
        <w:left w:val="none" w:sz="0" w:space="0" w:color="auto"/>
        <w:bottom w:val="none" w:sz="0" w:space="0" w:color="auto"/>
        <w:right w:val="none" w:sz="0" w:space="0" w:color="auto"/>
      </w:divBdr>
    </w:div>
    <w:div w:id="2134907888">
      <w:bodyDiv w:val="1"/>
      <w:marLeft w:val="0"/>
      <w:marRight w:val="0"/>
      <w:marTop w:val="0"/>
      <w:marBottom w:val="0"/>
      <w:divBdr>
        <w:top w:val="none" w:sz="0" w:space="0" w:color="auto"/>
        <w:left w:val="none" w:sz="0" w:space="0" w:color="auto"/>
        <w:bottom w:val="none" w:sz="0" w:space="0" w:color="auto"/>
        <w:right w:val="none" w:sz="0" w:space="0" w:color="auto"/>
      </w:divBdr>
    </w:div>
    <w:div w:id="213621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1.xml"/><Relationship Id="rId42" Type="http://schemas.openxmlformats.org/officeDocument/2006/relationships/chart" Target="charts/chart21.xml"/><Relationship Id="rId47" Type="http://schemas.openxmlformats.org/officeDocument/2006/relationships/header" Target="header3.xml"/><Relationship Id="rId63" Type="http://schemas.openxmlformats.org/officeDocument/2006/relationships/header" Target="header4.xml"/><Relationship Id="rId68" Type="http://schemas.openxmlformats.org/officeDocument/2006/relationships/chart" Target="charts/chart35.xml"/><Relationship Id="rId84" Type="http://schemas.openxmlformats.org/officeDocument/2006/relationships/footer" Target="footer11.xml"/><Relationship Id="rId89" Type="http://schemas.openxmlformats.org/officeDocument/2006/relationships/footer" Target="footer14.xml"/><Relationship Id="rId112" Type="http://schemas.openxmlformats.org/officeDocument/2006/relationships/fontTable" Target="fontTable.xml"/><Relationship Id="rId16" Type="http://schemas.openxmlformats.org/officeDocument/2006/relationships/diagramQuickStyle" Target="diagrams/quickStyle1.xml"/><Relationship Id="rId107" Type="http://schemas.openxmlformats.org/officeDocument/2006/relationships/chart" Target="charts/chart60.xml"/><Relationship Id="rId11" Type="http://schemas.openxmlformats.org/officeDocument/2006/relationships/image" Target="media/image2.png"/><Relationship Id="rId32" Type="http://schemas.openxmlformats.org/officeDocument/2006/relationships/chart" Target="charts/chart12.xml"/><Relationship Id="rId37" Type="http://schemas.openxmlformats.org/officeDocument/2006/relationships/chart" Target="charts/chart16.xml"/><Relationship Id="rId53" Type="http://schemas.openxmlformats.org/officeDocument/2006/relationships/chart" Target="charts/chart26.xml"/><Relationship Id="rId58" Type="http://schemas.openxmlformats.org/officeDocument/2006/relationships/chart" Target="charts/chart31.xml"/><Relationship Id="rId74" Type="http://schemas.openxmlformats.org/officeDocument/2006/relationships/chart" Target="charts/chart40.xml"/><Relationship Id="rId79" Type="http://schemas.openxmlformats.org/officeDocument/2006/relationships/chart" Target="charts/chart45.xml"/><Relationship Id="rId102" Type="http://schemas.openxmlformats.org/officeDocument/2006/relationships/header" Target="header10.xml"/><Relationship Id="rId5" Type="http://schemas.openxmlformats.org/officeDocument/2006/relationships/webSettings" Target="webSettings.xml"/><Relationship Id="rId90" Type="http://schemas.openxmlformats.org/officeDocument/2006/relationships/chart" Target="charts/chart49.xml"/><Relationship Id="rId95" Type="http://schemas.openxmlformats.org/officeDocument/2006/relationships/chart" Target="charts/chart54.xml"/><Relationship Id="rId22" Type="http://schemas.openxmlformats.org/officeDocument/2006/relationships/chart" Target="charts/chart2.xml"/><Relationship Id="rId27" Type="http://schemas.openxmlformats.org/officeDocument/2006/relationships/chart" Target="charts/chart7.xml"/><Relationship Id="rId43" Type="http://schemas.openxmlformats.org/officeDocument/2006/relationships/header" Target="header1.xml"/><Relationship Id="rId48" Type="http://schemas.openxmlformats.org/officeDocument/2006/relationships/chart" Target="charts/chart22.xml"/><Relationship Id="rId64" Type="http://schemas.openxmlformats.org/officeDocument/2006/relationships/header" Target="header5.xml"/><Relationship Id="rId69" Type="http://schemas.openxmlformats.org/officeDocument/2006/relationships/footer" Target="footer10.xml"/><Relationship Id="rId113" Type="http://schemas.openxmlformats.org/officeDocument/2006/relationships/theme" Target="theme/theme1.xml"/><Relationship Id="rId80" Type="http://schemas.openxmlformats.org/officeDocument/2006/relationships/chart" Target="charts/chart46.xml"/><Relationship Id="rId85" Type="http://schemas.openxmlformats.org/officeDocument/2006/relationships/footer" Target="footer12.xml"/><Relationship Id="rId12" Type="http://schemas.openxmlformats.org/officeDocument/2006/relationships/footer" Target="footer1.xml"/><Relationship Id="rId17" Type="http://schemas.openxmlformats.org/officeDocument/2006/relationships/diagramColors" Target="diagrams/colors1.xml"/><Relationship Id="rId33" Type="http://schemas.openxmlformats.org/officeDocument/2006/relationships/footer" Target="footer3.xml"/><Relationship Id="rId38" Type="http://schemas.openxmlformats.org/officeDocument/2006/relationships/chart" Target="charts/chart17.xml"/><Relationship Id="rId59" Type="http://schemas.openxmlformats.org/officeDocument/2006/relationships/chart" Target="charts/chart32.xml"/><Relationship Id="rId103" Type="http://schemas.openxmlformats.org/officeDocument/2006/relationships/header" Target="header11.xml"/><Relationship Id="rId108" Type="http://schemas.openxmlformats.org/officeDocument/2006/relationships/footer" Target="footer18.xml"/><Relationship Id="rId54" Type="http://schemas.openxmlformats.org/officeDocument/2006/relationships/chart" Target="charts/chart27.xml"/><Relationship Id="rId70" Type="http://schemas.openxmlformats.org/officeDocument/2006/relationships/chart" Target="charts/chart36.xml"/><Relationship Id="rId75" Type="http://schemas.openxmlformats.org/officeDocument/2006/relationships/chart" Target="charts/chart41.xml"/><Relationship Id="rId91" Type="http://schemas.openxmlformats.org/officeDocument/2006/relationships/chart" Target="charts/chart50.xml"/><Relationship Id="rId96" Type="http://schemas.openxmlformats.org/officeDocument/2006/relationships/chart" Target="charts/chart5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5.xml"/><Relationship Id="rId49" Type="http://schemas.openxmlformats.org/officeDocument/2006/relationships/footer" Target="footer6.xml"/><Relationship Id="rId57" Type="http://schemas.openxmlformats.org/officeDocument/2006/relationships/chart" Target="charts/chart30.xml"/><Relationship Id="rId106" Type="http://schemas.openxmlformats.org/officeDocument/2006/relationships/header" Target="header12.xml"/><Relationship Id="rId10" Type="http://schemas.openxmlformats.org/officeDocument/2006/relationships/hyperlink" Target="https://creativecommons.org/licenses/by/4.0/deed.pl" TargetMode="External"/><Relationship Id="rId31" Type="http://schemas.openxmlformats.org/officeDocument/2006/relationships/chart" Target="charts/chart11.xml"/><Relationship Id="rId44" Type="http://schemas.openxmlformats.org/officeDocument/2006/relationships/header" Target="header2.xml"/><Relationship Id="rId52" Type="http://schemas.openxmlformats.org/officeDocument/2006/relationships/chart" Target="charts/chart25.xml"/><Relationship Id="rId60" Type="http://schemas.openxmlformats.org/officeDocument/2006/relationships/chart" Target="charts/chart33.xml"/><Relationship Id="rId65" Type="http://schemas.openxmlformats.org/officeDocument/2006/relationships/footer" Target="footer8.xml"/><Relationship Id="rId73" Type="http://schemas.openxmlformats.org/officeDocument/2006/relationships/chart" Target="charts/chart39.xml"/><Relationship Id="rId78" Type="http://schemas.openxmlformats.org/officeDocument/2006/relationships/chart" Target="charts/chart44.xml"/><Relationship Id="rId81" Type="http://schemas.openxmlformats.org/officeDocument/2006/relationships/chart" Target="charts/chart47.xml"/><Relationship Id="rId86" Type="http://schemas.openxmlformats.org/officeDocument/2006/relationships/header" Target="header9.xml"/><Relationship Id="rId94" Type="http://schemas.openxmlformats.org/officeDocument/2006/relationships/chart" Target="charts/chart53.xml"/><Relationship Id="rId99" Type="http://schemas.openxmlformats.org/officeDocument/2006/relationships/chart" Target="charts/chart58.xml"/><Relationship Id="rId10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yperlink" Target="https://creativecommons.org/licenses/by/4.0/deed.pl" TargetMode="External"/><Relationship Id="rId13" Type="http://schemas.openxmlformats.org/officeDocument/2006/relationships/footer" Target="footer2.xml"/><Relationship Id="rId18" Type="http://schemas.microsoft.com/office/2007/relationships/diagramDrawing" Target="diagrams/drawing1.xml"/><Relationship Id="rId39" Type="http://schemas.openxmlformats.org/officeDocument/2006/relationships/chart" Target="charts/chart18.xml"/><Relationship Id="rId109" Type="http://schemas.openxmlformats.org/officeDocument/2006/relationships/chart" Target="charts/chart61.xml"/><Relationship Id="rId34" Type="http://schemas.openxmlformats.org/officeDocument/2006/relationships/chart" Target="charts/chart13.xml"/><Relationship Id="rId50" Type="http://schemas.openxmlformats.org/officeDocument/2006/relationships/chart" Target="charts/chart23.xml"/><Relationship Id="rId55" Type="http://schemas.openxmlformats.org/officeDocument/2006/relationships/chart" Target="charts/chart28.xml"/><Relationship Id="rId76" Type="http://schemas.openxmlformats.org/officeDocument/2006/relationships/chart" Target="charts/chart42.xml"/><Relationship Id="rId97" Type="http://schemas.openxmlformats.org/officeDocument/2006/relationships/chart" Target="charts/chart56.xml"/><Relationship Id="rId104" Type="http://schemas.openxmlformats.org/officeDocument/2006/relationships/footer" Target="footer16.xml"/><Relationship Id="rId7" Type="http://schemas.openxmlformats.org/officeDocument/2006/relationships/endnotes" Target="endnotes.xml"/><Relationship Id="rId71" Type="http://schemas.openxmlformats.org/officeDocument/2006/relationships/chart" Target="charts/chart37.xml"/><Relationship Id="rId92" Type="http://schemas.openxmlformats.org/officeDocument/2006/relationships/chart" Target="charts/chart51.xml"/><Relationship Id="rId2" Type="http://schemas.openxmlformats.org/officeDocument/2006/relationships/numbering" Target="numbering.xml"/><Relationship Id="rId29" Type="http://schemas.openxmlformats.org/officeDocument/2006/relationships/chart" Target="charts/chart9.xml"/><Relationship Id="rId24" Type="http://schemas.openxmlformats.org/officeDocument/2006/relationships/chart" Target="charts/chart4.xml"/><Relationship Id="rId40" Type="http://schemas.openxmlformats.org/officeDocument/2006/relationships/chart" Target="charts/chart19.xml"/><Relationship Id="rId45" Type="http://schemas.openxmlformats.org/officeDocument/2006/relationships/footer" Target="footer4.xml"/><Relationship Id="rId66" Type="http://schemas.openxmlformats.org/officeDocument/2006/relationships/footer" Target="footer9.xml"/><Relationship Id="rId87" Type="http://schemas.openxmlformats.org/officeDocument/2006/relationships/chart" Target="charts/chart48.xml"/><Relationship Id="rId110" Type="http://schemas.openxmlformats.org/officeDocument/2006/relationships/chart" Target="charts/chart62.xml"/><Relationship Id="rId61" Type="http://schemas.openxmlformats.org/officeDocument/2006/relationships/chart" Target="charts/chart34.xml"/><Relationship Id="rId82" Type="http://schemas.openxmlformats.org/officeDocument/2006/relationships/header" Target="header7.xml"/><Relationship Id="rId19" Type="http://schemas.openxmlformats.org/officeDocument/2006/relationships/hyperlink" Target="https://www.gov.pl/web/dostepnosc-cyfrowa/wykaz-stron-internetowych-podmiotow-publicznych" TargetMode="External"/><Relationship Id="rId14" Type="http://schemas.openxmlformats.org/officeDocument/2006/relationships/diagramData" Target="diagrams/data1.xml"/><Relationship Id="rId30" Type="http://schemas.openxmlformats.org/officeDocument/2006/relationships/chart" Target="charts/chart10.xml"/><Relationship Id="rId35" Type="http://schemas.openxmlformats.org/officeDocument/2006/relationships/chart" Target="charts/chart14.xml"/><Relationship Id="rId56" Type="http://schemas.openxmlformats.org/officeDocument/2006/relationships/chart" Target="charts/chart29.xml"/><Relationship Id="rId77" Type="http://schemas.openxmlformats.org/officeDocument/2006/relationships/chart" Target="charts/chart43.xml"/><Relationship Id="rId100" Type="http://schemas.openxmlformats.org/officeDocument/2006/relationships/chart" Target="charts/chart59.xml"/><Relationship Id="rId105" Type="http://schemas.openxmlformats.org/officeDocument/2006/relationships/footer" Target="footer17.xml"/><Relationship Id="rId8" Type="http://schemas.openxmlformats.org/officeDocument/2006/relationships/image" Target="media/image1.png"/><Relationship Id="rId51" Type="http://schemas.openxmlformats.org/officeDocument/2006/relationships/chart" Target="charts/chart24.xml"/><Relationship Id="rId72" Type="http://schemas.openxmlformats.org/officeDocument/2006/relationships/chart" Target="charts/chart38.xml"/><Relationship Id="rId93" Type="http://schemas.openxmlformats.org/officeDocument/2006/relationships/chart" Target="charts/chart52.xml"/><Relationship Id="rId98" Type="http://schemas.openxmlformats.org/officeDocument/2006/relationships/chart" Target="charts/chart57.xml"/><Relationship Id="rId3" Type="http://schemas.openxmlformats.org/officeDocument/2006/relationships/styles" Target="styles.xml"/><Relationship Id="rId25" Type="http://schemas.openxmlformats.org/officeDocument/2006/relationships/chart" Target="charts/chart5.xml"/><Relationship Id="rId46" Type="http://schemas.openxmlformats.org/officeDocument/2006/relationships/footer" Target="footer5.xml"/><Relationship Id="rId67" Type="http://schemas.openxmlformats.org/officeDocument/2006/relationships/header" Target="header6.xml"/><Relationship Id="rId20" Type="http://schemas.openxmlformats.org/officeDocument/2006/relationships/hyperlink" Target="https://www.gov.pl/web/dostepnosc-cyfrowa/wykaz-aplikacji-mobilnych-podmiotow-publicznych" TargetMode="External"/><Relationship Id="rId41" Type="http://schemas.openxmlformats.org/officeDocument/2006/relationships/chart" Target="charts/chart20.xml"/><Relationship Id="rId62" Type="http://schemas.openxmlformats.org/officeDocument/2006/relationships/footer" Target="footer7.xml"/><Relationship Id="rId83" Type="http://schemas.openxmlformats.org/officeDocument/2006/relationships/header" Target="header8.xml"/><Relationship Id="rId88" Type="http://schemas.openxmlformats.org/officeDocument/2006/relationships/footer" Target="footer13.xml"/><Relationship Id="rId111" Type="http://schemas.openxmlformats.org/officeDocument/2006/relationships/footer" Target="footer19.xml"/></Relationships>
</file>

<file path=word/_rels/footnotes.xml.rels><?xml version="1.0" encoding="UTF-8" standalone="yes"?>
<Relationships xmlns="http://schemas.openxmlformats.org/package/2006/relationships"><Relationship Id="rId8" Type="http://schemas.openxmlformats.org/officeDocument/2006/relationships/hyperlink" Target="https://stat.gov.pl/obszary-tematyczne/osoby-starsze/osoby-starsze/sytuacja-osob-starszych-w-polsce-w-2022-roku,2,5.html" TargetMode="External"/><Relationship Id="rId13" Type="http://schemas.openxmlformats.org/officeDocument/2006/relationships/hyperlink" Target="https://cbos.pl/SPISKOM.POL/2024/K_125_24.PDF" TargetMode="External"/><Relationship Id="rId3" Type="http://schemas.openxmlformats.org/officeDocument/2006/relationships/hyperlink" Target="https://isap.sejm.gov.pl/isap.nsf/DocDetails.xsp?id=WDU20190000848" TargetMode="External"/><Relationship Id="rId7" Type="http://schemas.openxmlformats.org/officeDocument/2006/relationships/hyperlink" Target="https://stat.gov.pl/obszary-tematyczne/rynek-pracy/pracujacy-bezrobotni-bierni-zawodowo-wg-bael/aktywnosc-ekonomiczna-ludnosci-polski-2-kwartal-2023-roku,4,51.html" TargetMode="External"/><Relationship Id="rId12" Type="http://schemas.openxmlformats.org/officeDocument/2006/relationships/hyperlink" Target="https://cbos.pl/SPISKOM.POL/2024/K_125_24.PDF" TargetMode="External"/><Relationship Id="rId2" Type="http://schemas.openxmlformats.org/officeDocument/2006/relationships/hyperlink" Target="https://isap.sejm.gov.pl/isap.nsf/DocDetails.xsp?id=wdu20120001169" TargetMode="External"/><Relationship Id="rId1" Type="http://schemas.openxmlformats.org/officeDocument/2006/relationships/hyperlink" Target="https://www.sejm.gov.pl/prawo/konst/polski/kon1.htm" TargetMode="External"/><Relationship Id="rId6" Type="http://schemas.openxmlformats.org/officeDocument/2006/relationships/hyperlink" Target="https://niepelnosprawni.gov.pl/index.php?c=page&amp;id=78" TargetMode="External"/><Relationship Id="rId11" Type="http://schemas.openxmlformats.org/officeDocument/2006/relationships/hyperlink" Target="https://www.gov.pl/web/dostepnosc-cyfrowa/kto-i-jak-korzysta-z-dostepnosci-cyfrowej" TargetMode="External"/><Relationship Id="rId5" Type="http://schemas.openxmlformats.org/officeDocument/2006/relationships/hyperlink" Target="https://stat.gov.pl/obszary-tematyczne/zdrowie/zdrowie/stan-zdrowia-ludnosci-polski-w-2019-r-,6,7.html" TargetMode="External"/><Relationship Id="rId10" Type="http://schemas.openxmlformats.org/officeDocument/2006/relationships/hyperlink" Target="https://www.gov.pl/web/dostepnosc-cyfrowa/monitoring-2024-r" TargetMode="External"/><Relationship Id="rId4" Type="http://schemas.openxmlformats.org/officeDocument/2006/relationships/hyperlink" Target="https://isap.sejm.gov.pl/isap.nsf/download.xsp/WDU20190001696/U/D20191696Lj.pdf" TargetMode="External"/><Relationship Id="rId9" Type="http://schemas.openxmlformats.org/officeDocument/2006/relationships/hyperlink" Target="https://cbos.pl/SPISKOM.POL/2024/K_125_24.PDF" TargetMode="External"/><Relationship Id="rId14" Type="http://schemas.openxmlformats.org/officeDocument/2006/relationships/hyperlink" Target="https://www.gov.pl/web/dostepnosc-cyfrowa/monitoring-2024-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D:\Nowy%20folder_14.11.2024\INNOREG\raport%20jako&#347;ci&#243;wka\wykres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piotr\AppData\Local\Microsoft\Windows\INetCache\Content.Outlook\G84WT91I\wykresy.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D:\Nowy%20folder_14.11.2024\INNOREG\raport%20jako&#347;ci&#243;wka\wykres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Nowy%20folder_14.11.2024\INNOREG\raport%20jako&#347;ci&#243;wka\wykresy.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D:\Nowy%20folder_14.11.2024\INNOREG\raport%20ilo&#347;ci&#243;wka\wykresy.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fronia-my.sharepoint.com/personal/agata_gawska_fronia_org_pl/Documents/MC/poprzednie%20wersje/wykresy.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https://fronia-my.sharepoint.com/personal/agata_gawska_fronia_org_pl/Documents/MC/wykresy%20poprawn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fronia-my.sharepoint.com/personal/agata_gawska_fronia_org_pl/Documents/MC/wykresy%20poprawne.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fronia-my.sharepoint.com/personal/agata_gawska_fronia_org_pl/Documents/MC/wykresy%20poprawne.xlsx"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https://fronia-my.sharepoint.com/personal/agata_gawska_fronia_org_pl/Documents/MC/wykresy%20poprawn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fronia-my.sharepoint.com/personal/agata_gawska_fronia_org_pl/Documents/MC/wykresy%20poprawne.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Nowy%20folder_14.11.2024\INNOREG\raport%20jako&#347;ci&#243;wka\wykresy.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fronia-my.sharepoint.com/personal/agata_gawska_fronia_org_pl/Documents/MC/wykresy%20poprawne.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fronia-my.sharepoint.com/personal/agata_gawska_fronia_org_pl/Documents/MC/poprzednie%20wersje/wykresy.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fronia-my.sharepoint.com/personal/agata_gawska_fronia_org_pl/Documents/MC/wykresy%20poprawne.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fronia-my.sharepoint.com/personal/agata_gawska_fronia_org_pl/Documents/MC/wykresy%20poprawne.xlsx" TargetMode="External"/></Relationships>
</file>

<file path=word/charts/_rels/chart24.xml.rels><?xml version="1.0" encoding="UTF-8" standalone="yes"?>
<Relationships xmlns="http://schemas.openxmlformats.org/package/2006/relationships"><Relationship Id="rId3" Type="http://schemas.openxmlformats.org/officeDocument/2006/relationships/oleObject" Target="https://fronia-my.sharepoint.com/personal/agata_gawska_fronia_org_pl/Documents/MC/wykresy%20poprawn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D:\Nowy%20folder_14.11.2024\INNOREG\raport%20ilo&#347;ci&#243;wka\wykresy.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D:\Nowy%20folder_14.11.2024\INNOREG\raport%20ilo&#347;ci&#243;wka\wykresy.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D:\Nowy%20folder_14.11.2024\INNOREG\raport%20ilo&#347;ci&#243;wka\wykresy.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D:\Nowy%20folder_14.11.2024\INNOREG\raport%20ilo&#347;ci&#243;wka\wykresy.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D:\Nowy%20folder_14.11.2024\INNOREG\raport%20ilo&#347;ci&#243;wka\wykresy.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Nowy%20folder_14.11.2024\INNOREG\raport%20jako&#347;ci&#243;wka\wykresy.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D:\Nowy%20folder_14.11.2024\INNOREG\raport%20ilo&#347;ci&#243;wka\wykresy.xlsx" TargetMode="External"/></Relationships>
</file>

<file path=word/charts/_rels/chart31.xml.rels><?xml version="1.0" encoding="UTF-8" standalone="yes"?>
<Relationships xmlns="http://schemas.openxmlformats.org/package/2006/relationships"><Relationship Id="rId3" Type="http://schemas.openxmlformats.org/officeDocument/2006/relationships/oleObject" Target="file:///D:\Nowy%20folder_14.11.2024\INNOREG\raport%20ilo&#347;ci&#243;wka\wykresy.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D:\Nowy%20folder_14.11.2024\INNOREG\raport%20ilo&#347;ci&#243;wka\wykresy.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D:\Nowy%20folder_14.11.2024\INNOREG\raport%20ilo&#347;ci&#243;wka\wykresy.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fronia-my.sharepoint.com/personal/agata_gawska_fronia_org_pl/Documents/MC/poprzednie%20wersje/wykresy.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D:\Nowy%20folder_14.11.2024\INNOREG\raport%20ilo&#347;ci&#243;wka\wykresy.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D:\Nowy%20folder_14.11.2024\INNOREG\raport%20ilo&#347;ci&#243;wka\wykresy.xlsx" TargetMode="External"/></Relationships>
</file>

<file path=word/charts/_rels/chart37.xml.rels><?xml version="1.0" encoding="UTF-8" standalone="yes"?>
<Relationships xmlns="http://schemas.openxmlformats.org/package/2006/relationships"><Relationship Id="rId3" Type="http://schemas.openxmlformats.org/officeDocument/2006/relationships/oleObject" Target="file:///D:\Nowy%20folder_14.11.2024\INNOREG\raport%20ilo&#347;ci&#243;wka\wykresy.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D:\Nowy%20folder_14.11.2024\INNOREG\raport%20ilo&#347;ci&#243;wka\wykresy.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file:///D:\Nowy%20folder_14.11.2024\INNOREG\raport%20ilo&#347;ci&#243;wka\wykres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Nowy%20folder_14.11.2024\INNOREG\raport%20jako&#347;ci&#243;wka\wykresy.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D:\Nowy%20folder_14.11.2024\INNOREG\raport%20ilo&#347;ci&#243;wka\wykresy.xlsx" TargetMode="External"/></Relationships>
</file>

<file path=word/charts/_rels/chart41.xml.rels><?xml version="1.0" encoding="UTF-8" standalone="yes"?>
<Relationships xmlns="http://schemas.openxmlformats.org/package/2006/relationships"><Relationship Id="rId3" Type="http://schemas.openxmlformats.org/officeDocument/2006/relationships/oleObject" Target="file:///D:\Nowy%20folder_14.11.2024\INNOREG\raport%20ilo&#347;ci&#243;wka\wykresy.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file:///D:\Nowy%20folder_14.11.2024\INNOREG\raport%20ilo&#347;ci&#243;wka\wykresy.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D:\Nowy%20folder_14.11.2024\INNOREG\raport%20ilo&#347;ci&#243;wka\wykresy.xlsx" TargetMode="External"/></Relationships>
</file>

<file path=word/charts/_rels/chart44.xml.rels><?xml version="1.0" encoding="UTF-8" standalone="yes"?>
<Relationships xmlns="http://schemas.openxmlformats.org/package/2006/relationships"><Relationship Id="rId3" Type="http://schemas.openxmlformats.org/officeDocument/2006/relationships/oleObject" Target="file:///D:\Nowy%20folder_14.11.2024\INNOREG\raport%20ilo&#347;ci&#243;wka\wykresy.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D:\Nowy%20folder_14.11.2024\INNOREG\raport%20ilo&#347;ci&#243;wka\wykresy.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D:\Nowy%20folder_14.11.2024\INNOREG\raport%20ilo&#347;ci&#243;wka\wykresy.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fronia-my.sharepoint.com/personal/agata_gawska_fronia_org_pl/Documents/MC/poprzednie%20wersje/wykresy.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D:\Nowy%20folder_14.11.2024\INNOREG\raport%20ilo&#347;ci&#243;wka\wykresy.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D:\Nowy%20folder_14.11.2024\INNOREG\raport%20ilo&#347;ci&#243;wka\wykresy.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Nowy%20folder_14.11.2024\INNOREG\raport%20jako&#347;ci&#243;wka\wykresy.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D:\Nowy%20folder_14.11.2024\INNOREG\raport%20ilo&#347;ci&#243;wka\wykresy.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fronia-my.sharepoint.com/personal/agata_gawska_fronia_org_pl/Documents/MC/wykresy%20poprawne.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fronia-my.sharepoint.com/personal/agata_gawska_fronia_org_pl/Documents/MC/wykresy%20poprawne.xlsx" TargetMode="External"/></Relationships>
</file>

<file path=word/charts/_rels/chart53.xml.rels><?xml version="1.0" encoding="UTF-8" standalone="yes"?>
<Relationships xmlns="http://schemas.openxmlformats.org/package/2006/relationships"><Relationship Id="rId3" Type="http://schemas.openxmlformats.org/officeDocument/2006/relationships/oleObject" Target="file:///D:\Nowy%20folder_14.11.2024\INNOREG\raport%20ilo&#347;ci&#243;wka\wykresy.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https://fronia-my.sharepoint.com/personal/agata_gawska_fronia_org_pl/Documents/MC/wykresy%20poprawne.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https://fronia-my.sharepoint.com/personal/agata_gawska_fronia_org_pl/Documents/MC/wykresy%20poprawne.xlsx" TargetMode="External"/></Relationships>
</file>

<file path=word/charts/_rels/chart56.xml.rels><?xml version="1.0" encoding="UTF-8" standalone="yes"?>
<Relationships xmlns="http://schemas.openxmlformats.org/package/2006/relationships"><Relationship Id="rId3" Type="http://schemas.openxmlformats.org/officeDocument/2006/relationships/oleObject" Target="https://fronia-my.sharepoint.com/personal/agata_gawska_fronia_org_pl/Documents/MC/wykresy%20poprawne.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fronia-my.sharepoint.com/personal/agata_gawska_fronia_org_pl/Documents/MC/wykresy%20poprawne.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fronia-my.sharepoint.com/personal/agata_gawska_fronia_org_pl/Documents/MC/wykresy%20poprawne.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fronia-my.sharepoint.com/personal/agata_gawska_fronia_org_pl/Documents/MC/poprzednie%20wersje/wykres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Nowy%20folder_14.11.2024\INNOREG\raport%20jako&#347;ci&#243;wka\wykresy.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https://fronia-my.sharepoint.com/personal/agata_gawska_fronia_org_pl/Documents/MC/wykresy%20poprawne.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fronia-my.sharepoint.com/personal/agata_gawska_fronia_org_pl/Documents/MC/wykresy%20poprawne.xlsx" TargetMode="External"/></Relationships>
</file>

<file path=word/charts/_rels/chart62.xml.rels><?xml version="1.0" encoding="UTF-8" standalone="yes"?>
<Relationships xmlns="http://schemas.openxmlformats.org/package/2006/relationships"><Relationship Id="rId3" Type="http://schemas.openxmlformats.org/officeDocument/2006/relationships/oleObject" Target="https://fronia-my.sharepoint.com/personal/agata_gawska_fronia_org_pl/Documents/MC/wykresy%20poprawne.xlsx" TargetMode="External"/><Relationship Id="rId2" Type="http://schemas.microsoft.com/office/2011/relationships/chartColorStyle" Target="colors62.xml"/><Relationship Id="rId1" Type="http://schemas.microsoft.com/office/2011/relationships/chartStyle" Target="style62.xml"/></Relationships>
</file>

<file path=word/charts/_rels/chart7.xml.rels><?xml version="1.0" encoding="UTF-8" standalone="yes"?>
<Relationships xmlns="http://schemas.openxmlformats.org/package/2006/relationships"><Relationship Id="rId3" Type="http://schemas.openxmlformats.org/officeDocument/2006/relationships/oleObject" Target="file:///D:\Nowy%20folder_14.11.2024\INNOREG\raport%20jako&#347;ci&#243;wka\wykresy.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Nowy%20folder_14.11.2024\INNOREG\raport%20jako&#347;ci&#243;wka\wykresy.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os.niewidome!$B$1</c:f>
              <c:strCache>
                <c:ptCount val="1"/>
                <c:pt idx="0">
                  <c:v>Średni poziom trudności</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os.niewidome!$A$2:$A$7</c:f>
              <c:strCache>
                <c:ptCount val="6"/>
                <c:pt idx="0">
                  <c:v>Serwis podatkowy</c:v>
                </c:pt>
                <c:pt idx="1">
                  <c:v>Serwisy służby zdrowia</c:v>
                </c:pt>
                <c:pt idx="2">
                  <c:v>Serwisy samorządowe</c:v>
                </c:pt>
                <c:pt idx="3">
                  <c:v>Serwisy kultury i sportu</c:v>
                </c:pt>
                <c:pt idx="4">
                  <c:v>Serwis transportowy</c:v>
                </c:pt>
                <c:pt idx="5">
                  <c:v>Serwis ostrzegawczo-ratunkowy</c:v>
                </c:pt>
              </c:strCache>
            </c:strRef>
          </c:cat>
          <c:val>
            <c:numRef>
              <c:f>os.niewidome!$B$2:$B$7</c:f>
              <c:numCache>
                <c:formatCode>General</c:formatCode>
                <c:ptCount val="6"/>
                <c:pt idx="0">
                  <c:v>4</c:v>
                </c:pt>
                <c:pt idx="1">
                  <c:v>3.5</c:v>
                </c:pt>
                <c:pt idx="2">
                  <c:v>3</c:v>
                </c:pt>
                <c:pt idx="3">
                  <c:v>3</c:v>
                </c:pt>
                <c:pt idx="4">
                  <c:v>3</c:v>
                </c:pt>
                <c:pt idx="5">
                  <c:v>2.7</c:v>
                </c:pt>
              </c:numCache>
            </c:numRef>
          </c:val>
          <c:extLst>
            <c:ext xmlns:c16="http://schemas.microsoft.com/office/drawing/2014/chart" uri="{C3380CC4-5D6E-409C-BE32-E72D297353CC}">
              <c16:uniqueId val="{00000000-93DC-4484-849B-5AF662E88F1F}"/>
            </c:ext>
          </c:extLst>
        </c:ser>
        <c:dLbls>
          <c:showLegendKey val="0"/>
          <c:showVal val="0"/>
          <c:showCatName val="0"/>
          <c:showSerName val="0"/>
          <c:showPercent val="0"/>
          <c:showBubbleSize val="0"/>
        </c:dLbls>
        <c:gapWidth val="150"/>
        <c:axId val="1658222704"/>
        <c:axId val="1658223664"/>
      </c:barChart>
      <c:catAx>
        <c:axId val="165822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b"/>
        <c:numFmt formatCode="General" sourceLinked="1"/>
        <c:majorTickMark val="none"/>
        <c:minorTickMark val="none"/>
        <c:tickLblPos val="nextTo"/>
        <c:crossAx val="16582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'wykresy OzN NI'!$B$14</c:f>
              <c:strCache>
                <c:ptCount val="1"/>
                <c:pt idx="0">
                  <c:v>Liczba zgłoszeń</c:v>
                </c:pt>
              </c:strCache>
            </c:strRef>
          </c:tx>
          <c:spPr>
            <a:solidFill>
              <a:sysClr val="window" lastClr="FFFFFF">
                <a:lumMod val="95000"/>
              </a:sysClr>
            </a:solidFill>
            <a:ln w="28575">
              <a:solidFill>
                <a:srgbClr val="C00000"/>
              </a:solidFill>
            </a:ln>
            <a:effectLst/>
          </c:spPr>
          <c:invertIfNegative val="0"/>
          <c:dPt>
            <c:idx val="0"/>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1-A5C6-4283-A29F-3FE9FA3FAA14}"/>
              </c:ext>
            </c:extLst>
          </c:dPt>
          <c:dPt>
            <c:idx val="1"/>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3-A5C6-4283-A29F-3FE9FA3FAA14}"/>
              </c:ext>
            </c:extLst>
          </c:dPt>
          <c:dPt>
            <c:idx val="2"/>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5-A5C6-4283-A29F-3FE9FA3FAA14}"/>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OzN NI'!$A$15:$A$19</c:f>
              <c:strCache>
                <c:ptCount val="5"/>
                <c:pt idx="0">
                  <c:v>Trudny język</c:v>
                </c:pt>
                <c:pt idx="1">
                  <c:v>Nadmiar treści</c:v>
                </c:pt>
                <c:pt idx="2">
                  <c:v>Nieintuicyjna nawigacja</c:v>
                </c:pt>
                <c:pt idx="3">
                  <c:v>Problemy z formularzami</c:v>
                </c:pt>
                <c:pt idx="4">
                  <c:v>Nieczytelne komunikaty o błędach</c:v>
                </c:pt>
              </c:strCache>
            </c:strRef>
          </c:cat>
          <c:val>
            <c:numRef>
              <c:f>'wykresy OzN NI'!$B$15:$B$19</c:f>
              <c:numCache>
                <c:formatCode>General</c:formatCode>
                <c:ptCount val="5"/>
                <c:pt idx="0">
                  <c:v>21</c:v>
                </c:pt>
                <c:pt idx="1">
                  <c:v>17</c:v>
                </c:pt>
                <c:pt idx="2">
                  <c:v>14</c:v>
                </c:pt>
                <c:pt idx="3">
                  <c:v>10</c:v>
                </c:pt>
                <c:pt idx="4">
                  <c:v>10</c:v>
                </c:pt>
              </c:numCache>
            </c:numRef>
          </c:val>
          <c:extLst>
            <c:ext xmlns:c16="http://schemas.microsoft.com/office/drawing/2014/chart" uri="{C3380CC4-5D6E-409C-BE32-E72D297353CC}">
              <c16:uniqueId val="{00000006-A5C6-4283-A29F-3FE9FA3FAA14}"/>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General"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'wykresy starsze'!$B$1</c:f>
              <c:strCache>
                <c:ptCount val="1"/>
                <c:pt idx="0">
                  <c:v>Średni poziom trudności</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starsze'!$A$2:$A$7</c:f>
              <c:strCache>
                <c:ptCount val="6"/>
                <c:pt idx="0">
                  <c:v>Serwisy służby zdrowia</c:v>
                </c:pt>
                <c:pt idx="1">
                  <c:v>Serwisy kultury i sportu</c:v>
                </c:pt>
                <c:pt idx="2">
                  <c:v>Serwis podatkowy</c:v>
                </c:pt>
                <c:pt idx="3">
                  <c:v>Serwisy samorządowe</c:v>
                </c:pt>
                <c:pt idx="4">
                  <c:v>Serwis transportowy</c:v>
                </c:pt>
                <c:pt idx="5">
                  <c:v>Serwisy ostrzegawcze i ratunkowe </c:v>
                </c:pt>
              </c:strCache>
            </c:strRef>
          </c:cat>
          <c:val>
            <c:numRef>
              <c:f>'wykresy starsze'!$B$2:$B$7</c:f>
              <c:numCache>
                <c:formatCode>_(* #,##0.00_);_(* \(#,##0.00\);_(* "-"??_);_(@_)</c:formatCode>
                <c:ptCount val="6"/>
                <c:pt idx="0">
                  <c:v>3.5</c:v>
                </c:pt>
                <c:pt idx="1">
                  <c:v>3.8699999999999997</c:v>
                </c:pt>
                <c:pt idx="2">
                  <c:v>4</c:v>
                </c:pt>
                <c:pt idx="3">
                  <c:v>4</c:v>
                </c:pt>
                <c:pt idx="4">
                  <c:v>4</c:v>
                </c:pt>
                <c:pt idx="5">
                  <c:v>4.04</c:v>
                </c:pt>
              </c:numCache>
            </c:numRef>
          </c:val>
          <c:extLst>
            <c:ext xmlns:c16="http://schemas.microsoft.com/office/drawing/2014/chart" uri="{C3380CC4-5D6E-409C-BE32-E72D297353CC}">
              <c16:uniqueId val="{00000000-7EFD-42D8-BE03-085C5ED472D6}"/>
            </c:ext>
          </c:extLst>
        </c:ser>
        <c:dLbls>
          <c:showLegendKey val="0"/>
          <c:showVal val="0"/>
          <c:showCatName val="0"/>
          <c:showSerName val="0"/>
          <c:showPercent val="0"/>
          <c:showBubbleSize val="0"/>
        </c:dLbls>
        <c:gapWidth val="150"/>
        <c:axId val="1658222704"/>
        <c:axId val="1658223664"/>
      </c:barChart>
      <c:catAx>
        <c:axId val="165822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b"/>
        <c:numFmt formatCode="_(* #,##0.00_);_(* \(#,##0.00\);_(* &quot;-&quot;??_);_(@_)" sourceLinked="1"/>
        <c:majorTickMark val="none"/>
        <c:minorTickMark val="none"/>
        <c:tickLblPos val="nextTo"/>
        <c:crossAx val="16582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'wykresy starsze'!$B$14</c:f>
              <c:strCache>
                <c:ptCount val="1"/>
                <c:pt idx="0">
                  <c:v>Liczba zgłoszeń</c:v>
                </c:pt>
              </c:strCache>
            </c:strRef>
          </c:tx>
          <c:spPr>
            <a:solidFill>
              <a:sysClr val="window" lastClr="FFFFFF">
                <a:lumMod val="95000"/>
              </a:sysClr>
            </a:solidFill>
            <a:ln w="28575">
              <a:solidFill>
                <a:srgbClr val="C00000"/>
              </a:solidFill>
            </a:ln>
            <a:effectLst/>
          </c:spPr>
          <c:invertIfNegative val="0"/>
          <c:dPt>
            <c:idx val="0"/>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1-0083-4C56-A737-F798C56426F4}"/>
              </c:ext>
            </c:extLst>
          </c:dPt>
          <c:dPt>
            <c:idx val="1"/>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3-0083-4C56-A737-F798C56426F4}"/>
              </c:ext>
            </c:extLst>
          </c:dPt>
          <c:dPt>
            <c:idx val="2"/>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5-0083-4C56-A737-F798C56426F4}"/>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starsze'!$A$15:$A$19</c:f>
              <c:strCache>
                <c:ptCount val="5"/>
                <c:pt idx="0">
                  <c:v>Trudny język</c:v>
                </c:pt>
                <c:pt idx="1">
                  <c:v>Nadmiar treści</c:v>
                </c:pt>
                <c:pt idx="2">
                  <c:v>Nieintuicyjna nawigacja</c:v>
                </c:pt>
                <c:pt idx="3">
                  <c:v>Nieczytelny układ strony i brak wskazówek</c:v>
                </c:pt>
                <c:pt idx="4">
                  <c:v>Brak wyszukiwarki</c:v>
                </c:pt>
              </c:strCache>
            </c:strRef>
          </c:cat>
          <c:val>
            <c:numRef>
              <c:f>'wykresy starsze'!$B$15:$B$19</c:f>
              <c:numCache>
                <c:formatCode>General</c:formatCode>
                <c:ptCount val="5"/>
                <c:pt idx="0">
                  <c:v>15</c:v>
                </c:pt>
                <c:pt idx="1">
                  <c:v>14</c:v>
                </c:pt>
                <c:pt idx="2">
                  <c:v>12</c:v>
                </c:pt>
                <c:pt idx="3">
                  <c:v>11</c:v>
                </c:pt>
                <c:pt idx="4">
                  <c:v>10</c:v>
                </c:pt>
              </c:numCache>
            </c:numRef>
          </c:val>
          <c:extLst>
            <c:ext xmlns:c16="http://schemas.microsoft.com/office/drawing/2014/chart" uri="{C3380CC4-5D6E-409C-BE32-E72D297353CC}">
              <c16:uniqueId val="{00000006-0083-4C56-A737-F798C56426F4}"/>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General"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wszyscy!$B$12</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wszyscy!$A$13:$A$16</c:f>
              <c:strCache>
                <c:ptCount val="4"/>
                <c:pt idx="0">
                  <c:v>miasto powyżej 100 tys. do 500 tys.</c:v>
                </c:pt>
                <c:pt idx="1">
                  <c:v>miasto powyżej 20 tys. do 100 tys.</c:v>
                </c:pt>
                <c:pt idx="2">
                  <c:v>miasto powyżej 500 tys.</c:v>
                </c:pt>
                <c:pt idx="3">
                  <c:v>wieś i małe miasto do 20 tys.</c:v>
                </c:pt>
              </c:strCache>
            </c:strRef>
          </c:cat>
          <c:val>
            <c:numRef>
              <c:f>wszyscy!$B$13:$B$16</c:f>
              <c:numCache>
                <c:formatCode>0%</c:formatCode>
                <c:ptCount val="4"/>
                <c:pt idx="0">
                  <c:v>0.22549019607843138</c:v>
                </c:pt>
                <c:pt idx="1">
                  <c:v>0.26797385620915032</c:v>
                </c:pt>
                <c:pt idx="2">
                  <c:v>0.24183006535947713</c:v>
                </c:pt>
                <c:pt idx="3">
                  <c:v>0.26470588235294118</c:v>
                </c:pt>
              </c:numCache>
            </c:numRef>
          </c:val>
          <c:extLst>
            <c:ext xmlns:c16="http://schemas.microsoft.com/office/drawing/2014/chart" uri="{C3380CC4-5D6E-409C-BE32-E72D297353CC}">
              <c16:uniqueId val="{00000000-F8E8-4D66-8DE5-117233C7C893}"/>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całość!$B$20</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całość!$A$21:$A$28</c:f>
              <c:strCache>
                <c:ptCount val="8"/>
                <c:pt idx="0">
                  <c:v>osoba na emeryturze</c:v>
                </c:pt>
                <c:pt idx="1">
                  <c:v>osoba na rencie</c:v>
                </c:pt>
                <c:pt idx="2">
                  <c:v>osoba niepracująca i nieposzukująca pracy</c:v>
                </c:pt>
                <c:pt idx="3">
                  <c:v>osoba niepracująca, poszukująca pracy</c:v>
                </c:pt>
                <c:pt idx="4">
                  <c:v>osoba pracująca</c:v>
                </c:pt>
                <c:pt idx="5">
                  <c:v>osoba pracująca i ucząca</c:v>
                </c:pt>
                <c:pt idx="6">
                  <c:v>osoba prowadząca własną działalność gospodarczą</c:v>
                </c:pt>
                <c:pt idx="7">
                  <c:v>osoba ucząca się</c:v>
                </c:pt>
              </c:strCache>
            </c:strRef>
          </c:cat>
          <c:val>
            <c:numRef>
              <c:f>całość!$B$21:$B$28</c:f>
              <c:numCache>
                <c:formatCode>0%</c:formatCode>
                <c:ptCount val="8"/>
                <c:pt idx="0">
                  <c:v>0.28999999999999998</c:v>
                </c:pt>
                <c:pt idx="1">
                  <c:v>0.08</c:v>
                </c:pt>
                <c:pt idx="2">
                  <c:v>0.02</c:v>
                </c:pt>
                <c:pt idx="3">
                  <c:v>7.0000000000000007E-2</c:v>
                </c:pt>
                <c:pt idx="4">
                  <c:v>0.45</c:v>
                </c:pt>
                <c:pt idx="5">
                  <c:v>0.02</c:v>
                </c:pt>
                <c:pt idx="6">
                  <c:v>0.04</c:v>
                </c:pt>
                <c:pt idx="7">
                  <c:v>0.03</c:v>
                </c:pt>
              </c:numCache>
            </c:numRef>
          </c:val>
          <c:extLst>
            <c:ext xmlns:c16="http://schemas.microsoft.com/office/drawing/2014/chart" uri="{C3380CC4-5D6E-409C-BE32-E72D297353CC}">
              <c16:uniqueId val="{00000000-42B6-154A-91AA-40F2E9D11601}"/>
            </c:ext>
          </c:extLst>
        </c:ser>
        <c:dLbls>
          <c:showLegendKey val="0"/>
          <c:showVal val="0"/>
          <c:showCatName val="0"/>
          <c:showSerName val="0"/>
          <c:showPercent val="0"/>
          <c:showBubbleSize val="0"/>
        </c:dLbls>
        <c:gapWidth val="150"/>
        <c:axId val="1658222704"/>
        <c:axId val="1658223664"/>
      </c:barChart>
      <c:catAx>
        <c:axId val="165822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b"/>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C00000"/>
            </a:solidFill>
            <a:ln>
              <a:solidFill>
                <a:srgbClr val="C00000"/>
              </a:solidFill>
            </a:ln>
          </c:spPr>
          <c:explosion val="8"/>
          <c:dPt>
            <c:idx val="0"/>
            <c:bubble3D val="0"/>
            <c:spPr>
              <a:solidFill>
                <a:srgbClr val="C00000"/>
              </a:solidFill>
              <a:ln w="19050">
                <a:solidFill>
                  <a:srgbClr val="C00000"/>
                </a:solidFill>
              </a:ln>
              <a:effectLst/>
            </c:spPr>
            <c:extLst>
              <c:ext xmlns:c16="http://schemas.microsoft.com/office/drawing/2014/chart" uri="{C3380CC4-5D6E-409C-BE32-E72D297353CC}">
                <c16:uniqueId val="{00000001-070B-B24C-A455-90C9245CC47B}"/>
              </c:ext>
            </c:extLst>
          </c:dPt>
          <c:dPt>
            <c:idx val="1"/>
            <c:bubble3D val="0"/>
            <c:spPr>
              <a:solidFill>
                <a:schemeClr val="bg1"/>
              </a:solidFill>
              <a:ln w="19050">
                <a:solidFill>
                  <a:srgbClr val="C00000"/>
                </a:solidFill>
              </a:ln>
              <a:effectLst/>
            </c:spPr>
            <c:extLst>
              <c:ext xmlns:c16="http://schemas.microsoft.com/office/drawing/2014/chart" uri="{C3380CC4-5D6E-409C-BE32-E72D297353CC}">
                <c16:uniqueId val="{00000003-070B-B24C-A455-90C9245CC47B}"/>
              </c:ext>
            </c:extLst>
          </c:dPt>
          <c:dLbls>
            <c:dLbl>
              <c:idx val="1"/>
              <c:layout>
                <c:manualLayout>
                  <c:x val="-1.0185067526415994E-16"/>
                  <c:y val="-7.870370370370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0B-B24C-A455-90C9245CC47B}"/>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extLst>
          </c:dLbls>
          <c:cat>
            <c:strRef>
              <c:f>całość!$A$42:$A$43</c:f>
              <c:strCache>
                <c:ptCount val="2"/>
                <c:pt idx="0">
                  <c:v>codziennie</c:v>
                </c:pt>
                <c:pt idx="1">
                  <c:v>kilka razy w tygodniu</c:v>
                </c:pt>
              </c:strCache>
            </c:strRef>
          </c:cat>
          <c:val>
            <c:numRef>
              <c:f>całość!$B$42:$B$43</c:f>
              <c:numCache>
                <c:formatCode>0%</c:formatCode>
                <c:ptCount val="2"/>
                <c:pt idx="0">
                  <c:v>0.96</c:v>
                </c:pt>
                <c:pt idx="1">
                  <c:v>0.04</c:v>
                </c:pt>
              </c:numCache>
            </c:numRef>
          </c:val>
          <c:extLst>
            <c:ext xmlns:c16="http://schemas.microsoft.com/office/drawing/2014/chart" uri="{C3380CC4-5D6E-409C-BE32-E72D297353CC}">
              <c16:uniqueId val="{00000004-070B-B24C-A455-90C9245CC47B}"/>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całość!$A$93:$A$100</c:f>
              <c:strCache>
                <c:ptCount val="8"/>
                <c:pt idx="0">
                  <c:v>Cele osobiste (np. kontakt z rodziną, znajomymi)</c:v>
                </c:pt>
                <c:pt idx="1">
                  <c:v>Rozrywka (np. film, muzyka)</c:v>
                </c:pt>
                <c:pt idx="2">
                  <c:v>Załatwianie spraw urzędowych (np. wniosek o dowód)</c:v>
                </c:pt>
                <c:pt idx="3">
                  <c:v>Poszukiwanie innych informacji</c:v>
                </c:pt>
                <c:pt idx="4">
                  <c:v>Załatwianie spraw zdrowotnych (np. umówienie wizyty u lekarza)</c:v>
                </c:pt>
                <c:pt idx="5">
                  <c:v>Cele edukacyjne (np. poszukiwanie materiałów edukacyjnych, filmów instruktażowych</c:v>
                </c:pt>
                <c:pt idx="6">
                  <c:v>Cele zawodowe (np. poszukiwanie pracy, sprawy rentowe)</c:v>
                </c:pt>
                <c:pt idx="7">
                  <c:v>Załatwianie spraw społecznych (np. turnus rehabilitacyjny, świadczenia z pomocy społecznej)</c:v>
                </c:pt>
              </c:strCache>
            </c:strRef>
          </c:cat>
          <c:val>
            <c:numRef>
              <c:f>całość!$B$93:$B$100</c:f>
              <c:numCache>
                <c:formatCode>0%</c:formatCode>
                <c:ptCount val="8"/>
                <c:pt idx="0">
                  <c:v>0.77</c:v>
                </c:pt>
                <c:pt idx="1">
                  <c:v>0.7</c:v>
                </c:pt>
                <c:pt idx="2">
                  <c:v>0.57999999999999996</c:v>
                </c:pt>
                <c:pt idx="3">
                  <c:v>0.62</c:v>
                </c:pt>
                <c:pt idx="4">
                  <c:v>0.54</c:v>
                </c:pt>
                <c:pt idx="5">
                  <c:v>0.43</c:v>
                </c:pt>
                <c:pt idx="6">
                  <c:v>0.36</c:v>
                </c:pt>
                <c:pt idx="7">
                  <c:v>0.27</c:v>
                </c:pt>
              </c:numCache>
            </c:numRef>
          </c:val>
          <c:extLst>
            <c:ext xmlns:c16="http://schemas.microsoft.com/office/drawing/2014/chart" uri="{C3380CC4-5D6E-409C-BE32-E72D297353CC}">
              <c16:uniqueId val="{00000000-94E4-6C49-8A22-536879403DFE}"/>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całość!$A$114:$A$121</c:f>
              <c:strCache>
                <c:ptCount val="8"/>
                <c:pt idx="0">
                  <c:v>Zakupy online</c:v>
                </c:pt>
                <c:pt idx="1">
                  <c:v>Komunikacja (np. e-mail, media społecznościowe)</c:v>
                </c:pt>
                <c:pt idx="2">
                  <c:v>Płatności rachunków</c:v>
                </c:pt>
                <c:pt idx="3">
                  <c:v>Inne rezerwacje (np. bilety do kina, bilety na przejazdy np. PKP)</c:v>
                </c:pt>
                <c:pt idx="4">
                  <c:v>Załatwianie spraw urzędowych (np. składanie PIT, wnioskowanie o zaświadczenia)</c:v>
                </c:pt>
                <c:pt idx="5">
                  <c:v>Nauka (np. kursy, szkolenia)</c:v>
                </c:pt>
                <c:pt idx="6">
                  <c:v>Rezerwacje wizyt lekarskich</c:v>
                </c:pt>
                <c:pt idx="7">
                  <c:v>Poszukiwanie pracy</c:v>
                </c:pt>
              </c:strCache>
            </c:strRef>
          </c:cat>
          <c:val>
            <c:numRef>
              <c:f>całość!$B$114:$B$121</c:f>
              <c:numCache>
                <c:formatCode>0%</c:formatCode>
                <c:ptCount val="8"/>
                <c:pt idx="0">
                  <c:v>0.76</c:v>
                </c:pt>
                <c:pt idx="1">
                  <c:v>0.74</c:v>
                </c:pt>
                <c:pt idx="2">
                  <c:v>0.8</c:v>
                </c:pt>
                <c:pt idx="3">
                  <c:v>0.45</c:v>
                </c:pt>
                <c:pt idx="4">
                  <c:v>0.51</c:v>
                </c:pt>
                <c:pt idx="5">
                  <c:v>0.25</c:v>
                </c:pt>
                <c:pt idx="6">
                  <c:v>0.42</c:v>
                </c:pt>
                <c:pt idx="7">
                  <c:v>0.22</c:v>
                </c:pt>
              </c:numCache>
            </c:numRef>
          </c:val>
          <c:extLst>
            <c:ext xmlns:c16="http://schemas.microsoft.com/office/drawing/2014/chart" uri="{C3380CC4-5D6E-409C-BE32-E72D297353CC}">
              <c16:uniqueId val="{00000000-AB5D-DB43-93EC-68F9FB0DDDD5}"/>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całość!$B$48</c:f>
              <c:strCache>
                <c:ptCount val="1"/>
                <c:pt idx="0">
                  <c:v>strony</c:v>
                </c:pt>
              </c:strCache>
            </c:strRef>
          </c:tx>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całość!$A$49:$A$51</c:f>
              <c:strCache>
                <c:ptCount val="3"/>
                <c:pt idx="0">
                  <c:v>Często</c:v>
                </c:pt>
                <c:pt idx="1">
                  <c:v>Sporadycznie</c:v>
                </c:pt>
                <c:pt idx="2">
                  <c:v>Nie korzystam</c:v>
                </c:pt>
              </c:strCache>
            </c:strRef>
          </c:cat>
          <c:val>
            <c:numRef>
              <c:f>całość!$B$49:$B$51</c:f>
              <c:numCache>
                <c:formatCode>0%</c:formatCode>
                <c:ptCount val="3"/>
                <c:pt idx="0">
                  <c:v>0.28000000000000003</c:v>
                </c:pt>
                <c:pt idx="1">
                  <c:v>0.66</c:v>
                </c:pt>
                <c:pt idx="2">
                  <c:v>0.06</c:v>
                </c:pt>
              </c:numCache>
            </c:numRef>
          </c:val>
          <c:extLst>
            <c:ext xmlns:c16="http://schemas.microsoft.com/office/drawing/2014/chart" uri="{C3380CC4-5D6E-409C-BE32-E72D297353CC}">
              <c16:uniqueId val="{00000000-2301-F44A-94D5-9991E78FE6FF}"/>
            </c:ext>
          </c:extLst>
        </c:ser>
        <c:ser>
          <c:idx val="1"/>
          <c:order val="1"/>
          <c:tx>
            <c:strRef>
              <c:f>całość!$C$48</c:f>
              <c:strCache>
                <c:ptCount val="1"/>
                <c:pt idx="0">
                  <c:v>aplikacje</c:v>
                </c:pt>
              </c:strCache>
            </c:strRef>
          </c:tx>
          <c:spPr>
            <a:solidFill>
              <a:sysClr val="window" lastClr="FFFFFF"/>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całość!$A$49:$A$51</c:f>
              <c:strCache>
                <c:ptCount val="3"/>
                <c:pt idx="0">
                  <c:v>Często</c:v>
                </c:pt>
                <c:pt idx="1">
                  <c:v>Sporadycznie</c:v>
                </c:pt>
                <c:pt idx="2">
                  <c:v>Nie korzystam</c:v>
                </c:pt>
              </c:strCache>
            </c:strRef>
          </c:cat>
          <c:val>
            <c:numRef>
              <c:f>całość!$C$49:$C$51</c:f>
              <c:numCache>
                <c:formatCode>0%</c:formatCode>
                <c:ptCount val="3"/>
                <c:pt idx="0">
                  <c:v>0.33</c:v>
                </c:pt>
                <c:pt idx="1">
                  <c:v>0.46</c:v>
                </c:pt>
                <c:pt idx="2">
                  <c:v>0.21</c:v>
                </c:pt>
              </c:numCache>
            </c:numRef>
          </c:val>
          <c:extLst>
            <c:ext xmlns:c16="http://schemas.microsoft.com/office/drawing/2014/chart" uri="{C3380CC4-5D6E-409C-BE32-E72D297353CC}">
              <c16:uniqueId val="{00000001-2301-F44A-94D5-9991E78FE6FF}"/>
            </c:ext>
          </c:extLst>
        </c:ser>
        <c:dLbls>
          <c:showLegendKey val="0"/>
          <c:showVal val="0"/>
          <c:showCatName val="0"/>
          <c:showSerName val="0"/>
          <c:showPercent val="0"/>
          <c:showBubbleSize val="0"/>
        </c:dLbls>
        <c:gapWidth val="150"/>
        <c:axId val="698585328"/>
        <c:axId val="698587248"/>
      </c:barChart>
      <c:catAx>
        <c:axId val="698585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698587248"/>
        <c:crosses val="autoZero"/>
        <c:auto val="1"/>
        <c:lblAlgn val="ctr"/>
        <c:lblOffset val="100"/>
        <c:noMultiLvlLbl val="0"/>
      </c:catAx>
      <c:valAx>
        <c:axId val="698587248"/>
        <c:scaling>
          <c:orientation val="minMax"/>
        </c:scaling>
        <c:delete val="1"/>
        <c:axPos val="b"/>
        <c:numFmt formatCode="0%" sourceLinked="1"/>
        <c:majorTickMark val="none"/>
        <c:minorTickMark val="none"/>
        <c:tickLblPos val="nextTo"/>
        <c:crossAx val="69858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całość!$A$133:$A$136</c:f>
              <c:strCache>
                <c:ptCount val="4"/>
                <c:pt idx="0">
                  <c:v>On-line</c:v>
                </c:pt>
                <c:pt idx="1">
                  <c:v>Osobiście</c:v>
                </c:pt>
                <c:pt idx="2">
                  <c:v>Łączę ze sobą różne sposoby (np. uzyskuję informacje telefonicznie, później załatwiam sprawę osobiście)</c:v>
                </c:pt>
                <c:pt idx="3">
                  <c:v>Telefonicznie</c:v>
                </c:pt>
              </c:strCache>
            </c:strRef>
          </c:cat>
          <c:val>
            <c:numRef>
              <c:f>całość!$B$133:$B$136</c:f>
              <c:numCache>
                <c:formatCode>0%</c:formatCode>
                <c:ptCount val="4"/>
                <c:pt idx="0">
                  <c:v>0.28999999999999998</c:v>
                </c:pt>
                <c:pt idx="1">
                  <c:v>0.26</c:v>
                </c:pt>
                <c:pt idx="2">
                  <c:v>0.38</c:v>
                </c:pt>
                <c:pt idx="3">
                  <c:v>7.0000000000000007E-2</c:v>
                </c:pt>
              </c:numCache>
            </c:numRef>
          </c:val>
          <c:extLst>
            <c:ext xmlns:c16="http://schemas.microsoft.com/office/drawing/2014/chart" uri="{C3380CC4-5D6E-409C-BE32-E72D297353CC}">
              <c16:uniqueId val="{00000000-3090-5147-BDFE-E6B1C4B72542}"/>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ysClr val="window" lastClr="FFFFFF">
                <a:lumMod val="95000"/>
              </a:sysClr>
            </a:solidFill>
            <a:ln w="28575">
              <a:solidFill>
                <a:srgbClr val="C00000"/>
              </a:solidFill>
            </a:ln>
            <a:effectLst/>
          </c:spPr>
          <c:invertIfNegative val="0"/>
          <c:dPt>
            <c:idx val="2"/>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1-C7DF-42D7-9C49-2F68C76A542A}"/>
              </c:ext>
            </c:extLst>
          </c:dPt>
          <c:dPt>
            <c:idx val="3"/>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3-C7DF-42D7-9C49-2F68C76A542A}"/>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os.niewidome!$A$16:$A$22</c:f>
              <c:strCache>
                <c:ptCount val="7"/>
                <c:pt idx="0">
                  <c:v>Brak alternatywnych opisów dla treści nietekstowych</c:v>
                </c:pt>
                <c:pt idx="1">
                  <c:v>Nieuporządkowana lub nieintuicyjna struktura strony</c:v>
                </c:pt>
                <c:pt idx="2">
                  <c:v>Trudności w obsłudze multimediów</c:v>
                </c:pt>
                <c:pt idx="3">
                  <c:v>Brak nagłówków i etykiet ułatwiających nawigację</c:v>
                </c:pt>
                <c:pt idx="4">
                  <c:v> Ograniczone możliwości szybkiego znalezienia informacji</c:v>
                </c:pt>
                <c:pt idx="5">
                  <c:v>Niejasne lub mylące linki i przyciski</c:v>
                </c:pt>
                <c:pt idx="6">
                  <c:v>Bariery w nawigacji klawiaturą</c:v>
                </c:pt>
              </c:strCache>
            </c:strRef>
          </c:cat>
          <c:val>
            <c:numRef>
              <c:f>os.niewidome!$B$16:$B$22</c:f>
              <c:numCache>
                <c:formatCode>General</c:formatCode>
                <c:ptCount val="7"/>
                <c:pt idx="0">
                  <c:v>10</c:v>
                </c:pt>
                <c:pt idx="1">
                  <c:v>10</c:v>
                </c:pt>
                <c:pt idx="2">
                  <c:v>10</c:v>
                </c:pt>
                <c:pt idx="3">
                  <c:v>9</c:v>
                </c:pt>
                <c:pt idx="4">
                  <c:v>8</c:v>
                </c:pt>
                <c:pt idx="5">
                  <c:v>5</c:v>
                </c:pt>
                <c:pt idx="6">
                  <c:v>5</c:v>
                </c:pt>
              </c:numCache>
            </c:numRef>
          </c:val>
          <c:extLst>
            <c:ext xmlns:c16="http://schemas.microsoft.com/office/drawing/2014/chart" uri="{C3380CC4-5D6E-409C-BE32-E72D297353CC}">
              <c16:uniqueId val="{00000004-C7DF-42D7-9C49-2F68C76A542A}"/>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General"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całość!$A$150:$A$153</c:f>
              <c:strCache>
                <c:ptCount val="4"/>
                <c:pt idx="0">
                  <c:v>Składanie różnego typu wniosków (np. wniosek o wydanie zaświadczenia)</c:v>
                </c:pt>
                <c:pt idx="1">
                  <c:v>Płatność podatków</c:v>
                </c:pt>
                <c:pt idx="2">
                  <c:v>Rejestracja do lekarza</c:v>
                </c:pt>
                <c:pt idx="3">
                  <c:v>Zgłaszanie problemów (np. awarie)</c:v>
                </c:pt>
              </c:strCache>
            </c:strRef>
          </c:cat>
          <c:val>
            <c:numRef>
              <c:f>całość!$B$150:$B$153</c:f>
              <c:numCache>
                <c:formatCode>0%</c:formatCode>
                <c:ptCount val="4"/>
                <c:pt idx="0">
                  <c:v>0.54</c:v>
                </c:pt>
                <c:pt idx="1">
                  <c:v>0.57999999999999996</c:v>
                </c:pt>
                <c:pt idx="2">
                  <c:v>0.49</c:v>
                </c:pt>
                <c:pt idx="3">
                  <c:v>0.33</c:v>
                </c:pt>
              </c:numCache>
            </c:numRef>
          </c:val>
          <c:extLst>
            <c:ext xmlns:c16="http://schemas.microsoft.com/office/drawing/2014/chart" uri="{C3380CC4-5D6E-409C-BE32-E72D297353CC}">
              <c16:uniqueId val="{00000000-1CFF-6649-9A2A-BB0DCC201708}"/>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całość!$A$162:$A$170</c:f>
              <c:strCache>
                <c:ptCount val="9"/>
                <c:pt idx="0">
                  <c:v>Strony urzędów miejskich/gminnych</c:v>
                </c:pt>
                <c:pt idx="1">
                  <c:v>Strony Powiatowych Centrów Pomocy Rodzinie/Miejskich lub Gminnych Ośrodków Pomocy Społecznej</c:v>
                </c:pt>
                <c:pt idx="2">
                  <c:v>Strony rządowe, ministerstw lub agencji</c:v>
                </c:pt>
                <c:pt idx="3">
                  <c:v>Strony Urzędów Skarbowych</c:v>
                </c:pt>
                <c:pt idx="4">
                  <c:v>Strony Urzędów Pracy</c:v>
                </c:pt>
                <c:pt idx="5">
                  <c:v>Strony instytucji zdrowotnych</c:v>
                </c:pt>
                <c:pt idx="6">
                  <c:v>Strony edukacyjne</c:v>
                </c:pt>
                <c:pt idx="7">
                  <c:v>Strony instytucji kultury</c:v>
                </c:pt>
                <c:pt idx="8">
                  <c:v>Inne</c:v>
                </c:pt>
              </c:strCache>
            </c:strRef>
          </c:cat>
          <c:val>
            <c:numRef>
              <c:f>całość!$B$162:$B$170</c:f>
              <c:numCache>
                <c:formatCode>0%</c:formatCode>
                <c:ptCount val="9"/>
                <c:pt idx="0">
                  <c:v>0.52</c:v>
                </c:pt>
                <c:pt idx="1">
                  <c:v>0.18</c:v>
                </c:pt>
                <c:pt idx="2">
                  <c:v>0.59</c:v>
                </c:pt>
                <c:pt idx="3">
                  <c:v>0.5</c:v>
                </c:pt>
                <c:pt idx="4">
                  <c:v>0.16</c:v>
                </c:pt>
                <c:pt idx="5">
                  <c:v>0.46</c:v>
                </c:pt>
                <c:pt idx="6">
                  <c:v>0.19</c:v>
                </c:pt>
                <c:pt idx="7">
                  <c:v>0.28000000000000003</c:v>
                </c:pt>
                <c:pt idx="8">
                  <c:v>0.01</c:v>
                </c:pt>
              </c:numCache>
            </c:numRef>
          </c:val>
          <c:extLst>
            <c:ext xmlns:c16="http://schemas.microsoft.com/office/drawing/2014/chart" uri="{C3380CC4-5D6E-409C-BE32-E72D297353CC}">
              <c16:uniqueId val="{00000000-50FB-4AF9-914A-CDFB6CDA4689}"/>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całość!$A$187:$A$192</c:f>
              <c:strCache>
                <c:ptCount val="6"/>
                <c:pt idx="0">
                  <c:v>Aplikacje rządowe (np. mObywatel, e-Urząd Skarbowy, mZus)</c:v>
                </c:pt>
                <c:pt idx="1">
                  <c:v>Aplikacje urzędu miasta lub urzędu gminy</c:v>
                </c:pt>
                <c:pt idx="2">
                  <c:v>Aplikacje dotyczące zdrowia (np. aplikacja publicznej przychodni zdrowia)</c:v>
                </c:pt>
                <c:pt idx="3">
                  <c:v>Aplikacje instytucji kultury (np. biblioteki, muzeum)</c:v>
                </c:pt>
                <c:pt idx="4">
                  <c:v>Aplikacje edukacyjne (np. szkoły, uczelni)</c:v>
                </c:pt>
                <c:pt idx="5">
                  <c:v>Aplikacje komunikacyjne (np. rozkłady jazdy, rezerwacja biletów PKP)</c:v>
                </c:pt>
              </c:strCache>
            </c:strRef>
          </c:cat>
          <c:val>
            <c:numRef>
              <c:f>całość!$B$187:$B$192</c:f>
              <c:numCache>
                <c:formatCode>0%</c:formatCode>
                <c:ptCount val="6"/>
                <c:pt idx="0">
                  <c:v>0.57999999999999996</c:v>
                </c:pt>
                <c:pt idx="1">
                  <c:v>0.2</c:v>
                </c:pt>
                <c:pt idx="2">
                  <c:v>0.28999999999999998</c:v>
                </c:pt>
                <c:pt idx="3">
                  <c:v>0.08</c:v>
                </c:pt>
                <c:pt idx="4">
                  <c:v>0.04</c:v>
                </c:pt>
                <c:pt idx="5">
                  <c:v>0.4</c:v>
                </c:pt>
              </c:numCache>
            </c:numRef>
          </c:val>
          <c:extLst>
            <c:ext xmlns:c16="http://schemas.microsoft.com/office/drawing/2014/chart" uri="{C3380CC4-5D6E-409C-BE32-E72D297353CC}">
              <c16:uniqueId val="{00000000-04A9-7240-8C2F-84D0E0BDB176}"/>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całość!$B$65</c:f>
              <c:strCache>
                <c:ptCount val="1"/>
                <c:pt idx="0">
                  <c:v>Liczba odpowiedzi</c:v>
                </c:pt>
              </c:strCache>
            </c:strRef>
          </c:tx>
          <c:spPr>
            <a:solidFill>
              <a:schemeClr val="bg1">
                <a:lumMod val="95000"/>
              </a:schemeClr>
            </a:solidFill>
            <a:ln w="28575">
              <a:solidFill>
                <a:srgbClr val="C00000"/>
              </a:solidFill>
            </a:ln>
            <a:effectLst/>
          </c:spPr>
          <c:invertIfNegative val="0"/>
          <c:dLbls>
            <c:dLbl>
              <c:idx val="4"/>
              <c:layout>
                <c:manualLayout>
                  <c:x val="2.517497812772894E-4"/>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05-6241-82DE-DA8B4A9B05D6}"/>
                </c:ext>
              </c:extLst>
            </c:dLbl>
            <c:dLbl>
              <c:idx val="5"/>
              <c:layout>
                <c:manualLayout>
                  <c:x val="1.009380523863088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05-6241-82DE-DA8B4A9B05D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całość!$A$66:$A$71</c:f>
              <c:strCache>
                <c:ptCount val="6"/>
                <c:pt idx="0">
                  <c:v>nie miałem/am takiego problemu</c:v>
                </c:pt>
                <c:pt idx="1">
                  <c:v>samodzielnie</c:v>
                </c:pt>
                <c:pt idx="2">
                  <c:v>z pomocą obsługi klienta</c:v>
                </c:pt>
                <c:pt idx="3">
                  <c:v>z pomocą znajomych/rodziny</c:v>
                </c:pt>
                <c:pt idx="4">
                  <c:v>nie próbowałem/am pokonać tych trudności</c:v>
                </c:pt>
                <c:pt idx="5">
                  <c:v>nie potrafię sobie z nimi poradzić</c:v>
                </c:pt>
              </c:strCache>
            </c:strRef>
          </c:cat>
          <c:val>
            <c:numRef>
              <c:f>całość!$B$66:$B$71</c:f>
              <c:numCache>
                <c:formatCode>0%</c:formatCode>
                <c:ptCount val="6"/>
                <c:pt idx="0">
                  <c:v>0.15</c:v>
                </c:pt>
                <c:pt idx="1">
                  <c:v>0.43</c:v>
                </c:pt>
                <c:pt idx="2">
                  <c:v>0.16</c:v>
                </c:pt>
                <c:pt idx="3">
                  <c:v>0.19</c:v>
                </c:pt>
                <c:pt idx="4">
                  <c:v>0.02</c:v>
                </c:pt>
                <c:pt idx="5">
                  <c:v>0.05</c:v>
                </c:pt>
              </c:numCache>
            </c:numRef>
          </c:val>
          <c:extLst>
            <c:ext xmlns:c16="http://schemas.microsoft.com/office/drawing/2014/chart" uri="{C3380CC4-5D6E-409C-BE32-E72D297353CC}">
              <c16:uniqueId val="{00000002-E905-6241-82DE-DA8B4A9B05D6}"/>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867591876789263"/>
          <c:y val="8.8182885750218501E-2"/>
          <c:w val="0.38264816246421474"/>
          <c:h val="0.75267391166609243"/>
        </c:manualLayout>
      </c:layout>
      <c:doughnutChart>
        <c:varyColors val="1"/>
        <c:ser>
          <c:idx val="0"/>
          <c:order val="0"/>
          <c:spPr>
            <a:ln>
              <a:solidFill>
                <a:srgbClr val="C00000"/>
              </a:solidFill>
            </a:ln>
          </c:spPr>
          <c:dPt>
            <c:idx val="0"/>
            <c:bubble3D val="0"/>
            <c:spPr>
              <a:solidFill>
                <a:srgbClr val="C00000"/>
              </a:solidFill>
              <a:ln w="19050">
                <a:solidFill>
                  <a:srgbClr val="C00000"/>
                </a:solidFill>
              </a:ln>
              <a:effectLst/>
            </c:spPr>
            <c:extLst>
              <c:ext xmlns:c16="http://schemas.microsoft.com/office/drawing/2014/chart" uri="{C3380CC4-5D6E-409C-BE32-E72D297353CC}">
                <c16:uniqueId val="{00000001-E263-BE47-B056-9D59F0DACC35}"/>
              </c:ext>
            </c:extLst>
          </c:dPt>
          <c:dPt>
            <c:idx val="1"/>
            <c:bubble3D val="0"/>
            <c:spPr>
              <a:solidFill>
                <a:sysClr val="window" lastClr="FFFFFF"/>
              </a:solidFill>
              <a:ln w="19050">
                <a:solidFill>
                  <a:srgbClr val="C00000"/>
                </a:solidFill>
              </a:ln>
              <a:effectLst/>
            </c:spPr>
            <c:extLst>
              <c:ext xmlns:c16="http://schemas.microsoft.com/office/drawing/2014/chart" uri="{C3380CC4-5D6E-409C-BE32-E72D297353CC}">
                <c16:uniqueId val="{00000003-E263-BE47-B056-9D59F0DACC35}"/>
              </c:ext>
            </c:extLst>
          </c:dPt>
          <c:dLbls>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całość!$A$82:$A$83</c:f>
              <c:strCache>
                <c:ptCount val="2"/>
                <c:pt idx="0">
                  <c:v>nie wiem</c:v>
                </c:pt>
                <c:pt idx="1">
                  <c:v>wiem</c:v>
                </c:pt>
              </c:strCache>
            </c:strRef>
          </c:cat>
          <c:val>
            <c:numRef>
              <c:f>całość!$B$82:$B$83</c:f>
              <c:numCache>
                <c:formatCode>0%</c:formatCode>
                <c:ptCount val="2"/>
                <c:pt idx="0">
                  <c:v>0.6</c:v>
                </c:pt>
                <c:pt idx="1">
                  <c:v>0.4</c:v>
                </c:pt>
              </c:numCache>
            </c:numRef>
          </c:val>
          <c:extLst>
            <c:ext xmlns:c16="http://schemas.microsoft.com/office/drawing/2014/chart" uri="{C3380CC4-5D6E-409C-BE32-E72D297353CC}">
              <c16:uniqueId val="{00000004-E263-BE47-B056-9D59F0DACC35}"/>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'osoby bez N'!$B$1</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N'!$A$2:$A$5</c:f>
              <c:strCache>
                <c:ptCount val="4"/>
                <c:pt idx="0">
                  <c:v>18-29</c:v>
                </c:pt>
                <c:pt idx="1">
                  <c:v>30-39</c:v>
                </c:pt>
                <c:pt idx="2">
                  <c:v>40-49</c:v>
                </c:pt>
                <c:pt idx="3">
                  <c:v>50-60</c:v>
                </c:pt>
              </c:strCache>
            </c:strRef>
          </c:cat>
          <c:val>
            <c:numRef>
              <c:f>'osoby bez N'!$B$2:$B$5</c:f>
              <c:numCache>
                <c:formatCode>0%</c:formatCode>
                <c:ptCount val="4"/>
                <c:pt idx="0">
                  <c:v>0.24</c:v>
                </c:pt>
                <c:pt idx="1">
                  <c:v>0.2</c:v>
                </c:pt>
                <c:pt idx="2">
                  <c:v>0.33</c:v>
                </c:pt>
                <c:pt idx="3">
                  <c:v>0.23</c:v>
                </c:pt>
              </c:numCache>
            </c:numRef>
          </c:val>
          <c:extLst>
            <c:ext xmlns:c16="http://schemas.microsoft.com/office/drawing/2014/chart" uri="{C3380CC4-5D6E-409C-BE32-E72D297353CC}">
              <c16:uniqueId val="{00000000-26F1-423C-BDF9-28E4F65F0D5F}"/>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'osoby bez N'!$B$12</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N'!$A$13:$A$16</c:f>
              <c:strCache>
                <c:ptCount val="4"/>
                <c:pt idx="0">
                  <c:v>miasto powyżej 100 tys. do 500 tys.</c:v>
                </c:pt>
                <c:pt idx="1">
                  <c:v>miasto powyżej 20 tys. do 100 tys.</c:v>
                </c:pt>
                <c:pt idx="2">
                  <c:v>miasto powyżej 500 tys.</c:v>
                </c:pt>
                <c:pt idx="3">
                  <c:v>wieś i małe miasto do 20 tys.</c:v>
                </c:pt>
              </c:strCache>
            </c:strRef>
          </c:cat>
          <c:val>
            <c:numRef>
              <c:f>'osoby bez N'!$B$13:$B$16</c:f>
              <c:numCache>
                <c:formatCode>0%</c:formatCode>
                <c:ptCount val="4"/>
                <c:pt idx="0">
                  <c:v>0.22</c:v>
                </c:pt>
                <c:pt idx="1">
                  <c:v>0.18</c:v>
                </c:pt>
                <c:pt idx="2">
                  <c:v>0.28000000000000003</c:v>
                </c:pt>
                <c:pt idx="3">
                  <c:v>0.32</c:v>
                </c:pt>
              </c:numCache>
            </c:numRef>
          </c:val>
          <c:extLst>
            <c:ext xmlns:c16="http://schemas.microsoft.com/office/drawing/2014/chart" uri="{C3380CC4-5D6E-409C-BE32-E72D297353CC}">
              <c16:uniqueId val="{00000000-480C-4227-B366-760B920EA3BB}"/>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'osoby bez N'!$B$20</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N'!$A$21:$A$28</c:f>
              <c:strCache>
                <c:ptCount val="8"/>
                <c:pt idx="0">
                  <c:v>osoba na wcześniejszej emeryturze</c:v>
                </c:pt>
                <c:pt idx="1">
                  <c:v>osoba na rencie</c:v>
                </c:pt>
                <c:pt idx="2">
                  <c:v>osoba niepracująca i nieposzukująca pracy</c:v>
                </c:pt>
                <c:pt idx="3">
                  <c:v>osoba niepracująca, poszukująca pracy</c:v>
                </c:pt>
                <c:pt idx="4">
                  <c:v>osoba pracująca</c:v>
                </c:pt>
                <c:pt idx="5">
                  <c:v>osoba pracująca i ucząca</c:v>
                </c:pt>
                <c:pt idx="6">
                  <c:v>osoba prowadząca własną działalność gospodarczą</c:v>
                </c:pt>
                <c:pt idx="7">
                  <c:v>osoba ucząca się</c:v>
                </c:pt>
              </c:strCache>
            </c:strRef>
          </c:cat>
          <c:val>
            <c:numRef>
              <c:f>'osoby bez N'!$B$21:$B$28</c:f>
              <c:numCache>
                <c:formatCode>0%</c:formatCode>
                <c:ptCount val="8"/>
                <c:pt idx="0">
                  <c:v>0.04</c:v>
                </c:pt>
                <c:pt idx="1">
                  <c:v>0.02</c:v>
                </c:pt>
                <c:pt idx="2">
                  <c:v>0.03</c:v>
                </c:pt>
                <c:pt idx="3">
                  <c:v>7.0000000000000007E-2</c:v>
                </c:pt>
                <c:pt idx="4">
                  <c:v>0.7</c:v>
                </c:pt>
                <c:pt idx="5">
                  <c:v>0.02</c:v>
                </c:pt>
                <c:pt idx="6">
                  <c:v>0.05</c:v>
                </c:pt>
                <c:pt idx="7">
                  <c:v>7.0000000000000007E-2</c:v>
                </c:pt>
              </c:numCache>
            </c:numRef>
          </c:val>
          <c:extLst>
            <c:ext xmlns:c16="http://schemas.microsoft.com/office/drawing/2014/chart" uri="{C3380CC4-5D6E-409C-BE32-E72D297353CC}">
              <c16:uniqueId val="{00000000-ED82-47BC-88B5-10F82DD4B0B6}"/>
            </c:ext>
          </c:extLst>
        </c:ser>
        <c:dLbls>
          <c:showLegendKey val="0"/>
          <c:showVal val="0"/>
          <c:showCatName val="0"/>
          <c:showSerName val="0"/>
          <c:showPercent val="0"/>
          <c:showBubbleSize val="0"/>
        </c:dLbls>
        <c:gapWidth val="150"/>
        <c:axId val="1658222704"/>
        <c:axId val="1658223664"/>
      </c:barChart>
      <c:catAx>
        <c:axId val="165822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b"/>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solidFill>
              <a:srgbClr val="C00000"/>
            </a:solidFill>
            <a:ln>
              <a:solidFill>
                <a:srgbClr val="C00000"/>
              </a:solidFill>
            </a:ln>
          </c:spPr>
          <c:explosion val="8"/>
          <c:dPt>
            <c:idx val="0"/>
            <c:bubble3D val="0"/>
            <c:spPr>
              <a:solidFill>
                <a:srgbClr val="C00000"/>
              </a:solidFill>
              <a:ln w="19050">
                <a:solidFill>
                  <a:srgbClr val="C00000"/>
                </a:solidFill>
              </a:ln>
              <a:effectLst/>
            </c:spPr>
            <c:extLst>
              <c:ext xmlns:c16="http://schemas.microsoft.com/office/drawing/2014/chart" uri="{C3380CC4-5D6E-409C-BE32-E72D297353CC}">
                <c16:uniqueId val="{00000001-A07F-4AD2-8746-D9B0567B9331}"/>
              </c:ext>
            </c:extLst>
          </c:dPt>
          <c:dPt>
            <c:idx val="1"/>
            <c:bubble3D val="0"/>
            <c:spPr>
              <a:solidFill>
                <a:schemeClr val="bg1"/>
              </a:solidFill>
              <a:ln w="19050">
                <a:solidFill>
                  <a:srgbClr val="C00000"/>
                </a:solidFill>
              </a:ln>
              <a:effectLst/>
            </c:spPr>
            <c:extLst>
              <c:ext xmlns:c16="http://schemas.microsoft.com/office/drawing/2014/chart" uri="{C3380CC4-5D6E-409C-BE32-E72D297353CC}">
                <c16:uniqueId val="{00000003-A07F-4AD2-8746-D9B0567B9331}"/>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A07F-4AD2-8746-D9B0567B9331}"/>
                </c:ext>
              </c:extLst>
            </c:dLbl>
            <c:dLbl>
              <c:idx val="1"/>
              <c:layout>
                <c:manualLayout>
                  <c:x val="-1.0185067526415994E-16"/>
                  <c:y val="-7.870370370370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7F-4AD2-8746-D9B0567B933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extLst>
          </c:dLbls>
          <c:cat>
            <c:strRef>
              <c:f>'osoby bez N'!$A$42:$A$43</c:f>
              <c:strCache>
                <c:ptCount val="2"/>
                <c:pt idx="0">
                  <c:v>codziennie</c:v>
                </c:pt>
                <c:pt idx="1">
                  <c:v>kilka razy w tygodniu</c:v>
                </c:pt>
              </c:strCache>
            </c:strRef>
          </c:cat>
          <c:val>
            <c:numRef>
              <c:f>'osoby bez N'!$B$42:$B$43</c:f>
              <c:numCache>
                <c:formatCode>0%</c:formatCode>
                <c:ptCount val="2"/>
                <c:pt idx="0">
                  <c:v>0.98</c:v>
                </c:pt>
                <c:pt idx="1">
                  <c:v>0.02</c:v>
                </c:pt>
              </c:numCache>
            </c:numRef>
          </c:val>
          <c:extLst>
            <c:ext xmlns:c16="http://schemas.microsoft.com/office/drawing/2014/chart" uri="{C3380CC4-5D6E-409C-BE32-E72D297353CC}">
              <c16:uniqueId val="{00000004-A07F-4AD2-8746-D9B0567B9331}"/>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N'!$A$93:$A$100</c:f>
              <c:strCache>
                <c:ptCount val="8"/>
                <c:pt idx="0">
                  <c:v>Cele osobiste (np. kontakt z rodziną, znajomymi)</c:v>
                </c:pt>
                <c:pt idx="1">
                  <c:v>Rozrywka (np. film, muzyka)</c:v>
                </c:pt>
                <c:pt idx="2">
                  <c:v>Załatwianie spraw urzędowych (np. wniosek o dowód)</c:v>
                </c:pt>
                <c:pt idx="3">
                  <c:v>Poszukiwanie innych informacji</c:v>
                </c:pt>
                <c:pt idx="4">
                  <c:v>Załatwianie spraw zdrowotnych (np. umówienie wizyty u lekarza)</c:v>
                </c:pt>
                <c:pt idx="5">
                  <c:v>Cele edukacyjne (np. poszukiwanie materiałów edukacyjnych, filmów instruktażowych</c:v>
                </c:pt>
                <c:pt idx="6">
                  <c:v>Cele zawodowe (np. poszukiwanie pracy, sprawy rentowe)</c:v>
                </c:pt>
                <c:pt idx="7">
                  <c:v>Załatwianie spraw społecznych (np. turnus rehabilitacyjny, świadczenia z pomocy społecznej)</c:v>
                </c:pt>
              </c:strCache>
            </c:strRef>
          </c:cat>
          <c:val>
            <c:numRef>
              <c:f>'osoby bez N'!$B$93:$B$100</c:f>
              <c:numCache>
                <c:formatCode>0%</c:formatCode>
                <c:ptCount val="8"/>
                <c:pt idx="0">
                  <c:v>0.81</c:v>
                </c:pt>
                <c:pt idx="1">
                  <c:v>0.74</c:v>
                </c:pt>
                <c:pt idx="2">
                  <c:v>0.56000000000000005</c:v>
                </c:pt>
                <c:pt idx="3">
                  <c:v>0.56000000000000005</c:v>
                </c:pt>
                <c:pt idx="4">
                  <c:v>0.49</c:v>
                </c:pt>
                <c:pt idx="5">
                  <c:v>0.46</c:v>
                </c:pt>
                <c:pt idx="6">
                  <c:v>0.42</c:v>
                </c:pt>
                <c:pt idx="7">
                  <c:v>0.22</c:v>
                </c:pt>
              </c:numCache>
            </c:numRef>
          </c:val>
          <c:extLst>
            <c:ext xmlns:c16="http://schemas.microsoft.com/office/drawing/2014/chart" uri="{C3380CC4-5D6E-409C-BE32-E72D297353CC}">
              <c16:uniqueId val="{00000000-B9A4-462F-AE6C-DC9BD79FE486}"/>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słabowidzące!$B$1</c:f>
              <c:strCache>
                <c:ptCount val="1"/>
                <c:pt idx="0">
                  <c:v>Średni poziom trudności</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słabowidzące!$A$2:$A$5</c:f>
              <c:strCache>
                <c:ptCount val="4"/>
                <c:pt idx="0">
                  <c:v>Serwis ostrzegawczy i ratunkowe</c:v>
                </c:pt>
                <c:pt idx="1">
                  <c:v>Serwisy służby zdrowia</c:v>
                </c:pt>
                <c:pt idx="2">
                  <c:v>Serwisy samorządowe</c:v>
                </c:pt>
                <c:pt idx="3">
                  <c:v>Serwisy kultury i sportu</c:v>
                </c:pt>
              </c:strCache>
            </c:strRef>
          </c:cat>
          <c:val>
            <c:numRef>
              <c:f>słabowidzące!$B$2:$B$5</c:f>
              <c:numCache>
                <c:formatCode>General</c:formatCode>
                <c:ptCount val="4"/>
                <c:pt idx="0">
                  <c:v>3</c:v>
                </c:pt>
                <c:pt idx="1">
                  <c:v>3.3</c:v>
                </c:pt>
                <c:pt idx="2">
                  <c:v>3.8</c:v>
                </c:pt>
                <c:pt idx="3">
                  <c:v>4.2</c:v>
                </c:pt>
              </c:numCache>
            </c:numRef>
          </c:val>
          <c:extLst>
            <c:ext xmlns:c16="http://schemas.microsoft.com/office/drawing/2014/chart" uri="{C3380CC4-5D6E-409C-BE32-E72D297353CC}">
              <c16:uniqueId val="{00000000-CDED-42F8-9247-6A15333228B8}"/>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General" sourceLinked="1"/>
        <c:majorTickMark val="none"/>
        <c:minorTickMark val="none"/>
        <c:tickLblPos val="nextTo"/>
        <c:crossAx val="16582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N'!$A$114:$A$121</c:f>
              <c:strCache>
                <c:ptCount val="8"/>
                <c:pt idx="0">
                  <c:v>Zakupy online</c:v>
                </c:pt>
                <c:pt idx="1">
                  <c:v>Komunikacja (np. e-mail, media społecznościowe)</c:v>
                </c:pt>
                <c:pt idx="2">
                  <c:v>Płatności rachunków</c:v>
                </c:pt>
                <c:pt idx="3">
                  <c:v>Inne rezerwacje (np. bilety do kina, bilety na przejazdy np. PKP)</c:v>
                </c:pt>
                <c:pt idx="4">
                  <c:v>Załatwianie spraw urzędowych (np. składanie PIT, wnioskowanie o zaświadczenia)</c:v>
                </c:pt>
                <c:pt idx="5">
                  <c:v>Nauka (np. kursy, szkolenia)</c:v>
                </c:pt>
                <c:pt idx="6">
                  <c:v>Rezerwacje wizyt lekarskich</c:v>
                </c:pt>
                <c:pt idx="7">
                  <c:v>Poszukiwanie pracy</c:v>
                </c:pt>
              </c:strCache>
            </c:strRef>
          </c:cat>
          <c:val>
            <c:numRef>
              <c:f>'osoby bez N'!$B$114:$B$121</c:f>
              <c:numCache>
                <c:formatCode>0%</c:formatCode>
                <c:ptCount val="8"/>
                <c:pt idx="0">
                  <c:v>0.85</c:v>
                </c:pt>
                <c:pt idx="1">
                  <c:v>0.79</c:v>
                </c:pt>
                <c:pt idx="2">
                  <c:v>0.78</c:v>
                </c:pt>
                <c:pt idx="3">
                  <c:v>0.54</c:v>
                </c:pt>
                <c:pt idx="4">
                  <c:v>0.48</c:v>
                </c:pt>
                <c:pt idx="5">
                  <c:v>0.38</c:v>
                </c:pt>
                <c:pt idx="6">
                  <c:v>0.37</c:v>
                </c:pt>
                <c:pt idx="7">
                  <c:v>0.28999999999999998</c:v>
                </c:pt>
              </c:numCache>
            </c:numRef>
          </c:val>
          <c:extLst>
            <c:ext xmlns:c16="http://schemas.microsoft.com/office/drawing/2014/chart" uri="{C3380CC4-5D6E-409C-BE32-E72D297353CC}">
              <c16:uniqueId val="{00000000-A1BC-48BF-BD63-DE0ABEC464D9}"/>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'osoby bez N'!$B$48</c:f>
              <c:strCache>
                <c:ptCount val="1"/>
                <c:pt idx="0">
                  <c:v>strony</c:v>
                </c:pt>
              </c:strCache>
            </c:strRef>
          </c:tx>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N'!$A$49:$A$51</c:f>
              <c:strCache>
                <c:ptCount val="3"/>
                <c:pt idx="0">
                  <c:v>Często</c:v>
                </c:pt>
                <c:pt idx="1">
                  <c:v>Sporadycznie</c:v>
                </c:pt>
                <c:pt idx="2">
                  <c:v>Nie korzystam</c:v>
                </c:pt>
              </c:strCache>
            </c:strRef>
          </c:cat>
          <c:val>
            <c:numRef>
              <c:f>'osoby bez N'!$B$49:$B$51</c:f>
              <c:numCache>
                <c:formatCode>0%</c:formatCode>
                <c:ptCount val="3"/>
                <c:pt idx="0">
                  <c:v>0.27</c:v>
                </c:pt>
                <c:pt idx="1">
                  <c:v>0.67</c:v>
                </c:pt>
                <c:pt idx="2">
                  <c:v>0.06</c:v>
                </c:pt>
              </c:numCache>
            </c:numRef>
          </c:val>
          <c:extLst>
            <c:ext xmlns:c16="http://schemas.microsoft.com/office/drawing/2014/chart" uri="{C3380CC4-5D6E-409C-BE32-E72D297353CC}">
              <c16:uniqueId val="{00000000-BE0E-4C0D-8D66-BB46C1892A8D}"/>
            </c:ext>
          </c:extLst>
        </c:ser>
        <c:ser>
          <c:idx val="1"/>
          <c:order val="1"/>
          <c:tx>
            <c:strRef>
              <c:f>'osoby bez N'!$C$48</c:f>
              <c:strCache>
                <c:ptCount val="1"/>
                <c:pt idx="0">
                  <c:v>aplikacje</c:v>
                </c:pt>
              </c:strCache>
            </c:strRef>
          </c:tx>
          <c:spPr>
            <a:solidFill>
              <a:schemeClr val="bg1">
                <a:lumMod val="95000"/>
              </a:schemeClr>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N'!$A$49:$A$51</c:f>
              <c:strCache>
                <c:ptCount val="3"/>
                <c:pt idx="0">
                  <c:v>Często</c:v>
                </c:pt>
                <c:pt idx="1">
                  <c:v>Sporadycznie</c:v>
                </c:pt>
                <c:pt idx="2">
                  <c:v>Nie korzystam</c:v>
                </c:pt>
              </c:strCache>
            </c:strRef>
          </c:cat>
          <c:val>
            <c:numRef>
              <c:f>'osoby bez N'!$C$49:$C$51</c:f>
              <c:numCache>
                <c:formatCode>0%</c:formatCode>
                <c:ptCount val="3"/>
                <c:pt idx="0">
                  <c:v>0.32</c:v>
                </c:pt>
                <c:pt idx="1">
                  <c:v>0.52</c:v>
                </c:pt>
                <c:pt idx="2">
                  <c:v>0.16</c:v>
                </c:pt>
              </c:numCache>
            </c:numRef>
          </c:val>
          <c:extLst>
            <c:ext xmlns:c16="http://schemas.microsoft.com/office/drawing/2014/chart" uri="{C3380CC4-5D6E-409C-BE32-E72D297353CC}">
              <c16:uniqueId val="{00000001-BE0E-4C0D-8D66-BB46C1892A8D}"/>
            </c:ext>
          </c:extLst>
        </c:ser>
        <c:dLbls>
          <c:showLegendKey val="0"/>
          <c:showVal val="0"/>
          <c:showCatName val="0"/>
          <c:showSerName val="0"/>
          <c:showPercent val="0"/>
          <c:showBubbleSize val="0"/>
        </c:dLbls>
        <c:gapWidth val="150"/>
        <c:axId val="698585328"/>
        <c:axId val="698587248"/>
      </c:barChart>
      <c:catAx>
        <c:axId val="698585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698587248"/>
        <c:crosses val="autoZero"/>
        <c:auto val="1"/>
        <c:lblAlgn val="ctr"/>
        <c:lblOffset val="100"/>
        <c:noMultiLvlLbl val="0"/>
      </c:catAx>
      <c:valAx>
        <c:axId val="698587248"/>
        <c:scaling>
          <c:orientation val="minMax"/>
        </c:scaling>
        <c:delete val="1"/>
        <c:axPos val="b"/>
        <c:numFmt formatCode="0%" sourceLinked="1"/>
        <c:majorTickMark val="none"/>
        <c:minorTickMark val="none"/>
        <c:tickLblPos val="nextTo"/>
        <c:crossAx val="69858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N'!$A$133:$A$136</c:f>
              <c:strCache>
                <c:ptCount val="4"/>
                <c:pt idx="0">
                  <c:v>On-line</c:v>
                </c:pt>
                <c:pt idx="1">
                  <c:v>Osobiście</c:v>
                </c:pt>
                <c:pt idx="2">
                  <c:v>Łączę ze sobą różne sposoby (np. uzyskuję informacje telefonicznie, później załatwiam sprawę osobiście)</c:v>
                </c:pt>
                <c:pt idx="3">
                  <c:v>Telefonicznie</c:v>
                </c:pt>
              </c:strCache>
            </c:strRef>
          </c:cat>
          <c:val>
            <c:numRef>
              <c:f>'osoby bez N'!$B$133:$B$136</c:f>
              <c:numCache>
                <c:formatCode>0%</c:formatCode>
                <c:ptCount val="4"/>
                <c:pt idx="0">
                  <c:v>0.36</c:v>
                </c:pt>
                <c:pt idx="1">
                  <c:v>0.32</c:v>
                </c:pt>
                <c:pt idx="2">
                  <c:v>0.28000000000000003</c:v>
                </c:pt>
                <c:pt idx="3">
                  <c:v>0.04</c:v>
                </c:pt>
              </c:numCache>
            </c:numRef>
          </c:val>
          <c:extLst>
            <c:ext xmlns:c16="http://schemas.microsoft.com/office/drawing/2014/chart" uri="{C3380CC4-5D6E-409C-BE32-E72D297353CC}">
              <c16:uniqueId val="{00000000-8FD1-428F-BF55-FEB76C98219A}"/>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N'!$A$150:$A$153</c:f>
              <c:strCache>
                <c:ptCount val="4"/>
                <c:pt idx="0">
                  <c:v>Składanie różnego typu wniosków (np. wniosek o wydanie zaświadczenia)</c:v>
                </c:pt>
                <c:pt idx="1">
                  <c:v>Płatność podatków</c:v>
                </c:pt>
                <c:pt idx="2">
                  <c:v>Rejestracja do lekarza</c:v>
                </c:pt>
                <c:pt idx="3">
                  <c:v>Zgłaszanie problemów (np. awarie)</c:v>
                </c:pt>
              </c:strCache>
            </c:strRef>
          </c:cat>
          <c:val>
            <c:numRef>
              <c:f>'osoby bez N'!$B$150:$B$153</c:f>
              <c:numCache>
                <c:formatCode>0%</c:formatCode>
                <c:ptCount val="4"/>
                <c:pt idx="0">
                  <c:v>0.62</c:v>
                </c:pt>
                <c:pt idx="1">
                  <c:v>0.57999999999999996</c:v>
                </c:pt>
                <c:pt idx="2">
                  <c:v>0.43</c:v>
                </c:pt>
                <c:pt idx="3">
                  <c:v>0.3</c:v>
                </c:pt>
              </c:numCache>
            </c:numRef>
          </c:val>
          <c:extLst>
            <c:ext xmlns:c16="http://schemas.microsoft.com/office/drawing/2014/chart" uri="{C3380CC4-5D6E-409C-BE32-E72D297353CC}">
              <c16:uniqueId val="{00000000-D0FF-4B35-B1DE-ECB21E965DCA}"/>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obywatele!$A$162:$A$170</c:f>
              <c:strCache>
                <c:ptCount val="9"/>
                <c:pt idx="0">
                  <c:v>Strony urzędów miejskich/gminnych</c:v>
                </c:pt>
                <c:pt idx="1">
                  <c:v>Strony Powiatowych Centrów Pomocy Rodzinie/Miejskich lub Gminnych Ośrodków Pomocy Społecznej</c:v>
                </c:pt>
                <c:pt idx="2">
                  <c:v>Strony rządowe, ministerstw lub agencji</c:v>
                </c:pt>
                <c:pt idx="3">
                  <c:v>Strony Urzędów Skarbowych</c:v>
                </c:pt>
                <c:pt idx="4">
                  <c:v>Strony Urzędów Pracy</c:v>
                </c:pt>
                <c:pt idx="5">
                  <c:v>Strony instytucji zdrowotnych</c:v>
                </c:pt>
                <c:pt idx="6">
                  <c:v>Strony edukacyjne</c:v>
                </c:pt>
                <c:pt idx="7">
                  <c:v>Strony instytucji kultury</c:v>
                </c:pt>
                <c:pt idx="8">
                  <c:v>Inne</c:v>
                </c:pt>
              </c:strCache>
            </c:strRef>
          </c:cat>
          <c:val>
            <c:numRef>
              <c:f>obywatele!$B$162:$B$170</c:f>
              <c:numCache>
                <c:formatCode>0%</c:formatCode>
                <c:ptCount val="9"/>
                <c:pt idx="0">
                  <c:v>0.49</c:v>
                </c:pt>
                <c:pt idx="1">
                  <c:v>0.16</c:v>
                </c:pt>
                <c:pt idx="2">
                  <c:v>0.59</c:v>
                </c:pt>
                <c:pt idx="3">
                  <c:v>0.46</c:v>
                </c:pt>
                <c:pt idx="4">
                  <c:v>0.24</c:v>
                </c:pt>
                <c:pt idx="5">
                  <c:v>0.39</c:v>
                </c:pt>
                <c:pt idx="6">
                  <c:v>0.31</c:v>
                </c:pt>
                <c:pt idx="7">
                  <c:v>0.25</c:v>
                </c:pt>
                <c:pt idx="8">
                  <c:v>0</c:v>
                </c:pt>
              </c:numCache>
            </c:numRef>
          </c:val>
          <c:extLst>
            <c:ext xmlns:c16="http://schemas.microsoft.com/office/drawing/2014/chart" uri="{C3380CC4-5D6E-409C-BE32-E72D297353CC}">
              <c16:uniqueId val="{00000000-C697-4D03-B280-3C3C24254B6A}"/>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N'!$A$189:$A$194</c:f>
              <c:strCache>
                <c:ptCount val="6"/>
                <c:pt idx="0">
                  <c:v>Aplikacje rządowe (np. mObywatel, e-Urząd Skarbowy, mZus)</c:v>
                </c:pt>
                <c:pt idx="1">
                  <c:v>Aplikacje urzędu miasta lub urzędu gminy</c:v>
                </c:pt>
                <c:pt idx="2">
                  <c:v>Aplikacje dotyczące zdrowia (np. aplikacja publicznej przychodni zdrowia)</c:v>
                </c:pt>
                <c:pt idx="3">
                  <c:v>Aplikacje instytucji kultury (np. biblioteki, muzeum)</c:v>
                </c:pt>
                <c:pt idx="4">
                  <c:v>Aplikacje edukacyjne (np. szkoły, uczelni)</c:v>
                </c:pt>
                <c:pt idx="5">
                  <c:v>Aplikacje komunikacyjne (np. rozkłady jazdy, rezerwacja biletów PKP)</c:v>
                </c:pt>
              </c:strCache>
            </c:strRef>
          </c:cat>
          <c:val>
            <c:numRef>
              <c:f>'osoby bez N'!$B$189:$B$194</c:f>
              <c:numCache>
                <c:formatCode>0%</c:formatCode>
                <c:ptCount val="6"/>
                <c:pt idx="0">
                  <c:v>0.55000000000000004</c:v>
                </c:pt>
                <c:pt idx="1">
                  <c:v>0.09</c:v>
                </c:pt>
                <c:pt idx="2">
                  <c:v>0.12</c:v>
                </c:pt>
                <c:pt idx="3">
                  <c:v>0.03</c:v>
                </c:pt>
                <c:pt idx="4">
                  <c:v>0.12</c:v>
                </c:pt>
                <c:pt idx="5">
                  <c:v>0.39</c:v>
                </c:pt>
              </c:numCache>
            </c:numRef>
          </c:val>
          <c:extLst>
            <c:ext xmlns:c16="http://schemas.microsoft.com/office/drawing/2014/chart" uri="{C3380CC4-5D6E-409C-BE32-E72D297353CC}">
              <c16:uniqueId val="{00000000-82C0-4A73-BAA4-AD2C47D873B1}"/>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'osoby bez N'!$B$65</c:f>
              <c:strCache>
                <c:ptCount val="1"/>
                <c:pt idx="0">
                  <c:v>Liczba odpowiedzi</c:v>
                </c:pt>
              </c:strCache>
            </c:strRef>
          </c:tx>
          <c:spPr>
            <a:solidFill>
              <a:schemeClr val="bg1">
                <a:lumMod val="95000"/>
              </a:schemeClr>
            </a:solidFill>
            <a:ln w="28575">
              <a:solidFill>
                <a:srgbClr val="C00000"/>
              </a:solidFill>
            </a:ln>
            <a:effectLst/>
          </c:spPr>
          <c:invertIfNegative val="0"/>
          <c:dLbls>
            <c:dLbl>
              <c:idx val="4"/>
              <c:layout>
                <c:manualLayout>
                  <c:x val="2.517497812772894E-4"/>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7B-41C1-B18F-D13C0003165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bez N'!$A$66:$A$70</c:f>
              <c:strCache>
                <c:ptCount val="5"/>
                <c:pt idx="0">
                  <c:v>nie miałem/am takiego problemu</c:v>
                </c:pt>
                <c:pt idx="1">
                  <c:v>samodzielnie</c:v>
                </c:pt>
                <c:pt idx="2">
                  <c:v>z pomocą obsługi klienta</c:v>
                </c:pt>
                <c:pt idx="3">
                  <c:v>z pomocą znajomych/rodziny</c:v>
                </c:pt>
                <c:pt idx="4">
                  <c:v>nie próbowałem/am pokonać tych trudności</c:v>
                </c:pt>
              </c:strCache>
            </c:strRef>
          </c:cat>
          <c:val>
            <c:numRef>
              <c:f>'osoby bez N'!$B$66:$B$70</c:f>
              <c:numCache>
                <c:formatCode>0%</c:formatCode>
                <c:ptCount val="5"/>
                <c:pt idx="0">
                  <c:v>0.21</c:v>
                </c:pt>
                <c:pt idx="1">
                  <c:v>0.49</c:v>
                </c:pt>
                <c:pt idx="2">
                  <c:v>0.14000000000000001</c:v>
                </c:pt>
                <c:pt idx="3">
                  <c:v>0.13</c:v>
                </c:pt>
                <c:pt idx="4">
                  <c:v>0.03</c:v>
                </c:pt>
              </c:numCache>
            </c:numRef>
          </c:val>
          <c:extLst>
            <c:ext xmlns:c16="http://schemas.microsoft.com/office/drawing/2014/chart" uri="{C3380CC4-5D6E-409C-BE32-E72D297353CC}">
              <c16:uniqueId val="{00000001-307B-41C1-B18F-D13C00031654}"/>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867591876789263"/>
          <c:y val="8.8182885750218501E-2"/>
          <c:w val="0.38264816246421474"/>
          <c:h val="0.75267391166609243"/>
        </c:manualLayout>
      </c:layout>
      <c:doughnutChart>
        <c:varyColors val="1"/>
        <c:ser>
          <c:idx val="0"/>
          <c:order val="0"/>
          <c:spPr>
            <a:ln>
              <a:solidFill>
                <a:srgbClr val="C00000"/>
              </a:solidFill>
            </a:ln>
          </c:spPr>
          <c:dPt>
            <c:idx val="0"/>
            <c:bubble3D val="0"/>
            <c:spPr>
              <a:solidFill>
                <a:srgbClr val="C00000"/>
              </a:solidFill>
              <a:ln w="19050">
                <a:solidFill>
                  <a:srgbClr val="C00000"/>
                </a:solidFill>
              </a:ln>
              <a:effectLst/>
            </c:spPr>
            <c:extLst>
              <c:ext xmlns:c16="http://schemas.microsoft.com/office/drawing/2014/chart" uri="{C3380CC4-5D6E-409C-BE32-E72D297353CC}">
                <c16:uniqueId val="{00000001-7647-4A1D-A6A1-CE05FFCFCB40}"/>
              </c:ext>
            </c:extLst>
          </c:dPt>
          <c:dPt>
            <c:idx val="1"/>
            <c:bubble3D val="0"/>
            <c:spPr>
              <a:solidFill>
                <a:sysClr val="window" lastClr="FFFFFF"/>
              </a:solidFill>
              <a:ln w="19050">
                <a:solidFill>
                  <a:srgbClr val="C00000"/>
                </a:solidFill>
              </a:ln>
              <a:effectLst/>
            </c:spPr>
            <c:extLst>
              <c:ext xmlns:c16="http://schemas.microsoft.com/office/drawing/2014/chart" uri="{C3380CC4-5D6E-409C-BE32-E72D297353CC}">
                <c16:uniqueId val="{00000003-7647-4A1D-A6A1-CE05FFCFCB40}"/>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7647-4A1D-A6A1-CE05FFCFCB40}"/>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'osoby bez N'!$A$82:$A$83</c:f>
              <c:strCache>
                <c:ptCount val="2"/>
                <c:pt idx="0">
                  <c:v>nie wiem</c:v>
                </c:pt>
                <c:pt idx="1">
                  <c:v>wiem</c:v>
                </c:pt>
              </c:strCache>
            </c:strRef>
          </c:cat>
          <c:val>
            <c:numRef>
              <c:f>'osoby bez N'!$B$82:$B$83</c:f>
              <c:numCache>
                <c:formatCode>0%</c:formatCode>
                <c:ptCount val="2"/>
                <c:pt idx="0">
                  <c:v>0.6</c:v>
                </c:pt>
                <c:pt idx="1">
                  <c:v>0.4</c:v>
                </c:pt>
              </c:numCache>
            </c:numRef>
          </c:val>
          <c:extLst>
            <c:ext xmlns:c16="http://schemas.microsoft.com/office/drawing/2014/chart" uri="{C3380CC4-5D6E-409C-BE32-E72D297353CC}">
              <c16:uniqueId val="{00000004-7647-4A1D-A6A1-CE05FFCFCB40}"/>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OzN!$B$1</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OzN!$A$2:$A$6</c:f>
              <c:strCache>
                <c:ptCount val="5"/>
                <c:pt idx="0">
                  <c:v>18-29</c:v>
                </c:pt>
                <c:pt idx="1">
                  <c:v>30-39</c:v>
                </c:pt>
                <c:pt idx="2">
                  <c:v>40-49</c:v>
                </c:pt>
                <c:pt idx="3">
                  <c:v>50-60</c:v>
                </c:pt>
                <c:pt idx="4">
                  <c:v>60+</c:v>
                </c:pt>
              </c:strCache>
            </c:strRef>
          </c:cat>
          <c:val>
            <c:numRef>
              <c:f>OzN!$B$2:$B$6</c:f>
              <c:numCache>
                <c:formatCode>0%</c:formatCode>
                <c:ptCount val="5"/>
                <c:pt idx="0">
                  <c:v>0.12264150943396226</c:v>
                </c:pt>
                <c:pt idx="1">
                  <c:v>0.19811320754716982</c:v>
                </c:pt>
                <c:pt idx="2">
                  <c:v>0.29245283018867924</c:v>
                </c:pt>
                <c:pt idx="3">
                  <c:v>0.19811320754716982</c:v>
                </c:pt>
                <c:pt idx="4">
                  <c:v>0.18867924528301888</c:v>
                </c:pt>
              </c:numCache>
            </c:numRef>
          </c:val>
          <c:extLst>
            <c:ext xmlns:c16="http://schemas.microsoft.com/office/drawing/2014/chart" uri="{C3380CC4-5D6E-409C-BE32-E72D297353CC}">
              <c16:uniqueId val="{00000000-69A5-4D47-AC58-EF62F9C8B1FC}"/>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OzN!$B$12</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OzN!$A$13:$A$16</c:f>
              <c:strCache>
                <c:ptCount val="4"/>
                <c:pt idx="0">
                  <c:v>miasto powyżej 100 tys. do 500 tys.</c:v>
                </c:pt>
                <c:pt idx="1">
                  <c:v>miasto powyżej 20 tys. do 100 tys.</c:v>
                </c:pt>
                <c:pt idx="2">
                  <c:v>miasto powyżej 500 tys.</c:v>
                </c:pt>
                <c:pt idx="3">
                  <c:v>wieś i małe miasto do 20 tys.</c:v>
                </c:pt>
              </c:strCache>
            </c:strRef>
          </c:cat>
          <c:val>
            <c:numRef>
              <c:f>OzN!$B$13:$B$16</c:f>
              <c:numCache>
                <c:formatCode>0%</c:formatCode>
                <c:ptCount val="4"/>
                <c:pt idx="0">
                  <c:v>0.23584905660377359</c:v>
                </c:pt>
                <c:pt idx="1">
                  <c:v>0.27358490566037735</c:v>
                </c:pt>
                <c:pt idx="2">
                  <c:v>0.22641509433962265</c:v>
                </c:pt>
                <c:pt idx="3">
                  <c:v>0.26415094339622641</c:v>
                </c:pt>
              </c:numCache>
            </c:numRef>
          </c:val>
          <c:extLst>
            <c:ext xmlns:c16="http://schemas.microsoft.com/office/drawing/2014/chart" uri="{C3380CC4-5D6E-409C-BE32-E72D297353CC}">
              <c16:uniqueId val="{00000000-A366-4E76-8B34-6E44F50B9DCD}"/>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ysClr val="window" lastClr="FFFFFF">
                <a:lumMod val="95000"/>
              </a:sysClr>
            </a:solidFill>
            <a:ln w="28575">
              <a:solidFill>
                <a:srgbClr val="C00000"/>
              </a:solidFill>
            </a:ln>
            <a:effectLst/>
          </c:spPr>
          <c:invertIfNegative val="0"/>
          <c:dPt>
            <c:idx val="2"/>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1-0656-4C50-B7A0-BC60FAE80E6E}"/>
              </c:ext>
            </c:extLst>
          </c:dPt>
          <c:dPt>
            <c:idx val="3"/>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3-0656-4C50-B7A0-BC60FAE80E6E}"/>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słabowidzące!$A$16:$A$20</c:f>
              <c:strCache>
                <c:ptCount val="5"/>
                <c:pt idx="0">
                  <c:v>Zbyt mała czcionka, trudności z powiększaniem treści</c:v>
                </c:pt>
                <c:pt idx="1">
                  <c:v>Niewystarczający kontrast</c:v>
                </c:pt>
                <c:pt idx="2">
                  <c:v>Nieintuicyjna nawigacja</c:v>
                </c:pt>
                <c:pt idx="3">
                  <c:v>Niejasne instrukcje w formularzach</c:v>
                </c:pt>
                <c:pt idx="4">
                  <c:v>Nieczytelne lub niewidoczne komunikaty o błędach</c:v>
                </c:pt>
              </c:strCache>
            </c:strRef>
          </c:cat>
          <c:val>
            <c:numRef>
              <c:f>słabowidzące!$B$16:$B$20</c:f>
              <c:numCache>
                <c:formatCode>General</c:formatCode>
                <c:ptCount val="5"/>
                <c:pt idx="0">
                  <c:v>15</c:v>
                </c:pt>
                <c:pt idx="1">
                  <c:v>11</c:v>
                </c:pt>
                <c:pt idx="2">
                  <c:v>10</c:v>
                </c:pt>
                <c:pt idx="3">
                  <c:v>9</c:v>
                </c:pt>
                <c:pt idx="4">
                  <c:v>6</c:v>
                </c:pt>
              </c:numCache>
            </c:numRef>
          </c:val>
          <c:extLst>
            <c:ext xmlns:c16="http://schemas.microsoft.com/office/drawing/2014/chart" uri="{C3380CC4-5D6E-409C-BE32-E72D297353CC}">
              <c16:uniqueId val="{00000004-0656-4C50-B7A0-BC60FAE80E6E}"/>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General"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OzN!$B$20</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OzN!$A$21:$A$28</c:f>
              <c:strCache>
                <c:ptCount val="8"/>
                <c:pt idx="0">
                  <c:v>osoba na emeryturze</c:v>
                </c:pt>
                <c:pt idx="1">
                  <c:v>osoba na rencie</c:v>
                </c:pt>
                <c:pt idx="2">
                  <c:v>osoba niepracująca i nieposzukująca pracy</c:v>
                </c:pt>
                <c:pt idx="3">
                  <c:v>osoba niepracująca, poszukująca pracy</c:v>
                </c:pt>
                <c:pt idx="4">
                  <c:v>osoba pracująca</c:v>
                </c:pt>
                <c:pt idx="5">
                  <c:v>osoba pracująca i ucząca</c:v>
                </c:pt>
                <c:pt idx="6">
                  <c:v>osoba prowadząca własną działalność gospodarczą</c:v>
                </c:pt>
                <c:pt idx="7">
                  <c:v>osoba ucząca się</c:v>
                </c:pt>
              </c:strCache>
            </c:strRef>
          </c:cat>
          <c:val>
            <c:numRef>
              <c:f>OzN!$B$21:$B$28</c:f>
              <c:numCache>
                <c:formatCode>0%</c:formatCode>
                <c:ptCount val="8"/>
                <c:pt idx="0">
                  <c:v>0.13207547169811321</c:v>
                </c:pt>
                <c:pt idx="1">
                  <c:v>0.20754716981132076</c:v>
                </c:pt>
                <c:pt idx="2">
                  <c:v>1.8867924528301886E-2</c:v>
                </c:pt>
                <c:pt idx="3">
                  <c:v>0.11320754716981132</c:v>
                </c:pt>
                <c:pt idx="4">
                  <c:v>0.44339622641509435</c:v>
                </c:pt>
                <c:pt idx="5">
                  <c:v>2.8301886792452831E-2</c:v>
                </c:pt>
                <c:pt idx="6">
                  <c:v>2.8301886792452831E-2</c:v>
                </c:pt>
                <c:pt idx="7">
                  <c:v>2.8301886792452831E-2</c:v>
                </c:pt>
              </c:numCache>
            </c:numRef>
          </c:val>
          <c:extLst>
            <c:ext xmlns:c16="http://schemas.microsoft.com/office/drawing/2014/chart" uri="{C3380CC4-5D6E-409C-BE32-E72D297353CC}">
              <c16:uniqueId val="{00000000-24E3-4466-AFC7-2F880D560C1D}"/>
            </c:ext>
          </c:extLst>
        </c:ser>
        <c:dLbls>
          <c:showLegendKey val="0"/>
          <c:showVal val="0"/>
          <c:showCatName val="0"/>
          <c:showSerName val="0"/>
          <c:showPercent val="0"/>
          <c:showBubbleSize val="0"/>
        </c:dLbls>
        <c:gapWidth val="150"/>
        <c:axId val="1658222704"/>
        <c:axId val="1658223664"/>
      </c:barChart>
      <c:catAx>
        <c:axId val="165822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b"/>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C00000"/>
            </a:solidFill>
            <a:ln>
              <a:solidFill>
                <a:srgbClr val="C00000"/>
              </a:solidFill>
            </a:ln>
          </c:spPr>
          <c:explosion val="8"/>
          <c:dPt>
            <c:idx val="0"/>
            <c:bubble3D val="0"/>
            <c:spPr>
              <a:solidFill>
                <a:srgbClr val="C00000"/>
              </a:solidFill>
              <a:ln w="19050">
                <a:solidFill>
                  <a:srgbClr val="C00000"/>
                </a:solidFill>
              </a:ln>
              <a:effectLst/>
            </c:spPr>
            <c:extLst>
              <c:ext xmlns:c16="http://schemas.microsoft.com/office/drawing/2014/chart" uri="{C3380CC4-5D6E-409C-BE32-E72D297353CC}">
                <c16:uniqueId val="{00000001-26E1-4FA1-81EA-F5F8A345F527}"/>
              </c:ext>
            </c:extLst>
          </c:dPt>
          <c:dPt>
            <c:idx val="1"/>
            <c:bubble3D val="0"/>
            <c:spPr>
              <a:solidFill>
                <a:schemeClr val="bg1"/>
              </a:solidFill>
              <a:ln w="19050">
                <a:solidFill>
                  <a:srgbClr val="C00000"/>
                </a:solidFill>
              </a:ln>
              <a:effectLst/>
            </c:spPr>
            <c:extLst>
              <c:ext xmlns:c16="http://schemas.microsoft.com/office/drawing/2014/chart" uri="{C3380CC4-5D6E-409C-BE32-E72D297353CC}">
                <c16:uniqueId val="{00000003-26E1-4FA1-81EA-F5F8A345F527}"/>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26E1-4FA1-81EA-F5F8A345F527}"/>
                </c:ext>
              </c:extLst>
            </c:dLbl>
            <c:dLbl>
              <c:idx val="1"/>
              <c:layout>
                <c:manualLayout>
                  <c:x val="0"/>
                  <c:y val="6.33034709946970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E1-4FA1-81EA-F5F8A345F52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extLst>
          </c:dLbls>
          <c:cat>
            <c:strRef>
              <c:f>wszyscy!$A$42:$A$43</c:f>
              <c:strCache>
                <c:ptCount val="2"/>
                <c:pt idx="0">
                  <c:v>codziennie</c:v>
                </c:pt>
                <c:pt idx="1">
                  <c:v>kilka razy w tygodniu</c:v>
                </c:pt>
              </c:strCache>
            </c:strRef>
          </c:cat>
          <c:val>
            <c:numRef>
              <c:f>wszyscy!$B$42:$B$43</c:f>
              <c:numCache>
                <c:formatCode>0%</c:formatCode>
                <c:ptCount val="2"/>
                <c:pt idx="0">
                  <c:v>0.92</c:v>
                </c:pt>
                <c:pt idx="1">
                  <c:v>0.08</c:v>
                </c:pt>
              </c:numCache>
            </c:numRef>
          </c:val>
          <c:extLst>
            <c:ext xmlns:c16="http://schemas.microsoft.com/office/drawing/2014/chart" uri="{C3380CC4-5D6E-409C-BE32-E72D297353CC}">
              <c16:uniqueId val="{00000004-26E1-4FA1-81EA-F5F8A345F527}"/>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wszyscy!$A$93:$A$100</c:f>
              <c:strCache>
                <c:ptCount val="8"/>
                <c:pt idx="0">
                  <c:v>Cele osobiste (np. kontakt z rodziną, znajomymi)</c:v>
                </c:pt>
                <c:pt idx="1">
                  <c:v>Rozrywka (np. film, muzyka)</c:v>
                </c:pt>
                <c:pt idx="2">
                  <c:v>Poszukiwanie innych informacji</c:v>
                </c:pt>
                <c:pt idx="3">
                  <c:v>Załatwianie spraw zdrowotnych (np. umówienie wizyty u lekarza)</c:v>
                </c:pt>
                <c:pt idx="4">
                  <c:v>Załatwianie spraw urzędowych (np. wniosek o dowód)</c:v>
                </c:pt>
                <c:pt idx="5">
                  <c:v>Cele zawodowe (np. poszukiwanie pracy, sprawy rentowe)</c:v>
                </c:pt>
                <c:pt idx="6">
                  <c:v>Cele edukacyjne (np. poszukiwanie materiałów edukacyjnych, filmów instruktażowych</c:v>
                </c:pt>
                <c:pt idx="7">
                  <c:v>Załatwianie spraw społecznych (np. turnus rehabilitacyjny, świadczenia z pomocy społecznej)</c:v>
                </c:pt>
              </c:strCache>
            </c:strRef>
          </c:cat>
          <c:val>
            <c:numRef>
              <c:f>wszyscy!$B$93:$B$100</c:f>
              <c:numCache>
                <c:formatCode>0%</c:formatCode>
                <c:ptCount val="8"/>
                <c:pt idx="0">
                  <c:v>0.72641509433962259</c:v>
                </c:pt>
                <c:pt idx="1">
                  <c:v>0.64150943396226412</c:v>
                </c:pt>
                <c:pt idx="2">
                  <c:v>0.51886792452830188</c:v>
                </c:pt>
                <c:pt idx="3">
                  <c:v>0.5</c:v>
                </c:pt>
                <c:pt idx="4">
                  <c:v>0.48113207547169812</c:v>
                </c:pt>
                <c:pt idx="5">
                  <c:v>0.46226415094339623</c:v>
                </c:pt>
                <c:pt idx="6">
                  <c:v>0.42452830188679247</c:v>
                </c:pt>
                <c:pt idx="7">
                  <c:v>0.35849056603773582</c:v>
                </c:pt>
              </c:numCache>
            </c:numRef>
          </c:val>
          <c:extLst>
            <c:ext xmlns:c16="http://schemas.microsoft.com/office/drawing/2014/chart" uri="{C3380CC4-5D6E-409C-BE32-E72D297353CC}">
              <c16:uniqueId val="{00000000-0A7C-40D5-8A63-18DCC1D2B3EE}"/>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wszyscy!$A$115:$A$122</c:f>
              <c:strCache>
                <c:ptCount val="8"/>
                <c:pt idx="0">
                  <c:v>Komunikacja (np. e-mail, media społecznościowe)</c:v>
                </c:pt>
                <c:pt idx="1">
                  <c:v>Płatności rachunków</c:v>
                </c:pt>
                <c:pt idx="2">
                  <c:v>Zakupy online</c:v>
                </c:pt>
                <c:pt idx="3">
                  <c:v>Rezerwacje wizyt lekarskich</c:v>
                </c:pt>
                <c:pt idx="4">
                  <c:v>Załatwianie spraw urzędowych (np. składanie PIT, wnioskowanie o zaświadczenia)</c:v>
                </c:pt>
                <c:pt idx="5">
                  <c:v>Inne rezerwacje (np. bilety do kina, bilety na przejazdy np. PKP)</c:v>
                </c:pt>
                <c:pt idx="6">
                  <c:v>Poszukiwanie pracy</c:v>
                </c:pt>
                <c:pt idx="7">
                  <c:v>Nauka (np. kursy, szkolenia)</c:v>
                </c:pt>
              </c:strCache>
            </c:strRef>
          </c:cat>
          <c:val>
            <c:numRef>
              <c:f>wszyscy!$B$115:$B$122</c:f>
              <c:numCache>
                <c:formatCode>0%</c:formatCode>
                <c:ptCount val="8"/>
                <c:pt idx="0">
                  <c:v>0.72641509433962259</c:v>
                </c:pt>
                <c:pt idx="1">
                  <c:v>0.72641509433962259</c:v>
                </c:pt>
                <c:pt idx="2">
                  <c:v>0.63207547169811318</c:v>
                </c:pt>
                <c:pt idx="3">
                  <c:v>0.5</c:v>
                </c:pt>
                <c:pt idx="4">
                  <c:v>0.48113207547169812</c:v>
                </c:pt>
                <c:pt idx="5">
                  <c:v>0.330188679245283</c:v>
                </c:pt>
                <c:pt idx="6">
                  <c:v>0.30188679245283018</c:v>
                </c:pt>
                <c:pt idx="7">
                  <c:v>0.24528301886792453</c:v>
                </c:pt>
              </c:numCache>
            </c:numRef>
          </c:val>
          <c:extLst>
            <c:ext xmlns:c16="http://schemas.microsoft.com/office/drawing/2014/chart" uri="{C3380CC4-5D6E-409C-BE32-E72D297353CC}">
              <c16:uniqueId val="{00000000-190C-46CA-AC27-A2C3AA239A99}"/>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wszyscy!$B$48</c:f>
              <c:strCache>
                <c:ptCount val="1"/>
                <c:pt idx="0">
                  <c:v>strony</c:v>
                </c:pt>
              </c:strCache>
            </c:strRef>
          </c:tx>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wszyscy!$A$49:$A$51</c:f>
              <c:strCache>
                <c:ptCount val="3"/>
                <c:pt idx="0">
                  <c:v>Często</c:v>
                </c:pt>
                <c:pt idx="1">
                  <c:v>Sporadycznie</c:v>
                </c:pt>
                <c:pt idx="2">
                  <c:v>Nie korzystam</c:v>
                </c:pt>
              </c:strCache>
            </c:strRef>
          </c:cat>
          <c:val>
            <c:numRef>
              <c:f>wszyscy!$B$49:$B$51</c:f>
              <c:numCache>
                <c:formatCode>0%</c:formatCode>
                <c:ptCount val="3"/>
                <c:pt idx="0">
                  <c:v>0.27358490566037735</c:v>
                </c:pt>
                <c:pt idx="1">
                  <c:v>0.66981132075471694</c:v>
                </c:pt>
                <c:pt idx="2">
                  <c:v>5.6603773584905662E-2</c:v>
                </c:pt>
              </c:numCache>
            </c:numRef>
          </c:val>
          <c:extLst>
            <c:ext xmlns:c16="http://schemas.microsoft.com/office/drawing/2014/chart" uri="{C3380CC4-5D6E-409C-BE32-E72D297353CC}">
              <c16:uniqueId val="{00000000-3ADA-4871-9AF6-EBFDF1393324}"/>
            </c:ext>
          </c:extLst>
        </c:ser>
        <c:ser>
          <c:idx val="1"/>
          <c:order val="1"/>
          <c:tx>
            <c:strRef>
              <c:f>wszyscy!$C$48</c:f>
              <c:strCache>
                <c:ptCount val="1"/>
                <c:pt idx="0">
                  <c:v>aplikacje</c:v>
                </c:pt>
              </c:strCache>
            </c:strRef>
          </c:tx>
          <c:spPr>
            <a:solidFill>
              <a:schemeClr val="bg1">
                <a:lumMod val="95000"/>
              </a:schemeClr>
            </a:solidFill>
            <a:ln w="19050">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wszyscy!$A$49:$A$51</c:f>
              <c:strCache>
                <c:ptCount val="3"/>
                <c:pt idx="0">
                  <c:v>Często</c:v>
                </c:pt>
                <c:pt idx="1">
                  <c:v>Sporadycznie</c:v>
                </c:pt>
                <c:pt idx="2">
                  <c:v>Nie korzystam</c:v>
                </c:pt>
              </c:strCache>
            </c:strRef>
          </c:cat>
          <c:val>
            <c:numRef>
              <c:f>wszyscy!$C$49:$C$51</c:f>
              <c:numCache>
                <c:formatCode>0%</c:formatCode>
                <c:ptCount val="3"/>
                <c:pt idx="0">
                  <c:v>0.330188679245283</c:v>
                </c:pt>
                <c:pt idx="1">
                  <c:v>0.39622641509433965</c:v>
                </c:pt>
                <c:pt idx="2">
                  <c:v>0.27358490566037735</c:v>
                </c:pt>
              </c:numCache>
            </c:numRef>
          </c:val>
          <c:extLst>
            <c:ext xmlns:c16="http://schemas.microsoft.com/office/drawing/2014/chart" uri="{C3380CC4-5D6E-409C-BE32-E72D297353CC}">
              <c16:uniqueId val="{00000001-3ADA-4871-9AF6-EBFDF1393324}"/>
            </c:ext>
          </c:extLst>
        </c:ser>
        <c:dLbls>
          <c:showLegendKey val="0"/>
          <c:showVal val="0"/>
          <c:showCatName val="0"/>
          <c:showSerName val="0"/>
          <c:showPercent val="0"/>
          <c:showBubbleSize val="0"/>
        </c:dLbls>
        <c:gapWidth val="150"/>
        <c:axId val="698585328"/>
        <c:axId val="698587248"/>
      </c:barChart>
      <c:catAx>
        <c:axId val="698585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698587248"/>
        <c:crosses val="autoZero"/>
        <c:auto val="1"/>
        <c:lblAlgn val="ctr"/>
        <c:lblOffset val="100"/>
        <c:noMultiLvlLbl val="0"/>
      </c:catAx>
      <c:valAx>
        <c:axId val="698587248"/>
        <c:scaling>
          <c:orientation val="minMax"/>
        </c:scaling>
        <c:delete val="1"/>
        <c:axPos val="b"/>
        <c:numFmt formatCode="0%" sourceLinked="1"/>
        <c:majorTickMark val="none"/>
        <c:minorTickMark val="none"/>
        <c:tickLblPos val="nextTo"/>
        <c:crossAx val="69858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wszyscy!$A$137:$A$140</c:f>
              <c:strCache>
                <c:ptCount val="4"/>
                <c:pt idx="0">
                  <c:v>On-line</c:v>
                </c:pt>
                <c:pt idx="1">
                  <c:v>Osobiście</c:v>
                </c:pt>
                <c:pt idx="2">
                  <c:v>Łączę ze sobą różne sposoby (np. uzyskuję informacje telefonicznie, później załatwiam sprawę osobiście)</c:v>
                </c:pt>
                <c:pt idx="3">
                  <c:v>Telefonicznie</c:v>
                </c:pt>
              </c:strCache>
            </c:strRef>
          </c:cat>
          <c:val>
            <c:numRef>
              <c:f>wszyscy!$B$137:$B$140</c:f>
              <c:numCache>
                <c:formatCode>0%</c:formatCode>
                <c:ptCount val="4"/>
                <c:pt idx="0">
                  <c:v>0.21698113207547171</c:v>
                </c:pt>
                <c:pt idx="1">
                  <c:v>0.19811320754716982</c:v>
                </c:pt>
                <c:pt idx="2">
                  <c:v>0.48113207547169812</c:v>
                </c:pt>
                <c:pt idx="3">
                  <c:v>0.10377358490566038</c:v>
                </c:pt>
              </c:numCache>
            </c:numRef>
          </c:val>
          <c:extLst>
            <c:ext xmlns:c16="http://schemas.microsoft.com/office/drawing/2014/chart" uri="{C3380CC4-5D6E-409C-BE32-E72D297353CC}">
              <c16:uniqueId val="{00000000-A809-439A-8AE4-57138021B182}"/>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OzN!$A$150:$A$153</c:f>
              <c:strCache>
                <c:ptCount val="4"/>
                <c:pt idx="0">
                  <c:v>Składanie różnego typu wniosków (np. wniosek o wydanie zaświadczenia)</c:v>
                </c:pt>
                <c:pt idx="1">
                  <c:v>Płatność podatków</c:v>
                </c:pt>
                <c:pt idx="2">
                  <c:v>Rejestracja do lekarza</c:v>
                </c:pt>
                <c:pt idx="3">
                  <c:v>Zgłaszanie problemów (np. awarie)</c:v>
                </c:pt>
              </c:strCache>
            </c:strRef>
          </c:cat>
          <c:val>
            <c:numRef>
              <c:f>OzN!$B$150:$B$153</c:f>
              <c:numCache>
                <c:formatCode>0%</c:formatCode>
                <c:ptCount val="4"/>
                <c:pt idx="0">
                  <c:v>0.27272727272727271</c:v>
                </c:pt>
                <c:pt idx="1">
                  <c:v>0.25252525252525254</c:v>
                </c:pt>
                <c:pt idx="2">
                  <c:v>0.30303030303030304</c:v>
                </c:pt>
                <c:pt idx="3">
                  <c:v>0.17171717171717171</c:v>
                </c:pt>
              </c:numCache>
            </c:numRef>
          </c:val>
          <c:extLst>
            <c:ext xmlns:c16="http://schemas.microsoft.com/office/drawing/2014/chart" uri="{C3380CC4-5D6E-409C-BE32-E72D297353CC}">
              <c16:uniqueId val="{00000000-5610-4694-9449-57F7F365EE50}"/>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ozn!$A$162:$A$170</c:f>
              <c:strCache>
                <c:ptCount val="9"/>
                <c:pt idx="0">
                  <c:v>Strony urzędów miejskich/gminnych</c:v>
                </c:pt>
                <c:pt idx="1">
                  <c:v>Strony Powiatowych Centrów Pomocy Rodzinie/Miejskich lub Gminnych Ośrodków Pomocy Społecznej</c:v>
                </c:pt>
                <c:pt idx="2">
                  <c:v>Strony rządowe, ministerstw lub agencji</c:v>
                </c:pt>
                <c:pt idx="3">
                  <c:v>Strony Urzędów Skarbowych</c:v>
                </c:pt>
                <c:pt idx="4">
                  <c:v>Strony Urzędów Pracy</c:v>
                </c:pt>
                <c:pt idx="5">
                  <c:v>Strony instytucji zdrowotnych</c:v>
                </c:pt>
                <c:pt idx="6">
                  <c:v>Strony edukacyjne</c:v>
                </c:pt>
                <c:pt idx="7">
                  <c:v>Strony instytucji kultury</c:v>
                </c:pt>
                <c:pt idx="8">
                  <c:v>Inne</c:v>
                </c:pt>
              </c:strCache>
            </c:strRef>
          </c:cat>
          <c:val>
            <c:numRef>
              <c:f>ozn!$B$162:$B$170</c:f>
              <c:numCache>
                <c:formatCode>0%</c:formatCode>
                <c:ptCount val="9"/>
                <c:pt idx="0">
                  <c:v>0.48</c:v>
                </c:pt>
                <c:pt idx="1">
                  <c:v>0.28999999999999998</c:v>
                </c:pt>
                <c:pt idx="2">
                  <c:v>0.63</c:v>
                </c:pt>
                <c:pt idx="3">
                  <c:v>0.42</c:v>
                </c:pt>
                <c:pt idx="4">
                  <c:v>0.2</c:v>
                </c:pt>
                <c:pt idx="5">
                  <c:v>0.43</c:v>
                </c:pt>
                <c:pt idx="6">
                  <c:v>0.19</c:v>
                </c:pt>
                <c:pt idx="7">
                  <c:v>0.23</c:v>
                </c:pt>
                <c:pt idx="8">
                  <c:v>0</c:v>
                </c:pt>
              </c:numCache>
            </c:numRef>
          </c:val>
          <c:extLst>
            <c:ext xmlns:c16="http://schemas.microsoft.com/office/drawing/2014/chart" uri="{C3380CC4-5D6E-409C-BE32-E72D297353CC}">
              <c16:uniqueId val="{00000000-B211-4DC3-A3E6-684BF464D045}"/>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OzN!$A$187:$A$192</c:f>
              <c:strCache>
                <c:ptCount val="6"/>
                <c:pt idx="0">
                  <c:v>Aplikacje rządowe (np. mObywatel, e-Urząd Skarbowy, mZus)</c:v>
                </c:pt>
                <c:pt idx="1">
                  <c:v>Aplikacje komunikacyjne (np. rozkłady jazdy, rezerwacja biletów PKP)</c:v>
                </c:pt>
                <c:pt idx="2">
                  <c:v>Aplikacje dotyczące zdrowia (np. aplikacja publicznej przychodni zdrowia)</c:v>
                </c:pt>
                <c:pt idx="3">
                  <c:v>Aplikacje urzędu miasta lub urzędu gminy</c:v>
                </c:pt>
                <c:pt idx="4">
                  <c:v>Aplikacje instytucji kultury (np. biblioteki, muzeum)</c:v>
                </c:pt>
                <c:pt idx="5">
                  <c:v>Aplikacje edukacyjne (np. szkoły, uczelni)</c:v>
                </c:pt>
              </c:strCache>
            </c:strRef>
          </c:cat>
          <c:val>
            <c:numRef>
              <c:f>OzN!$B$187:$B$192</c:f>
              <c:numCache>
                <c:formatCode>0%</c:formatCode>
                <c:ptCount val="6"/>
                <c:pt idx="0">
                  <c:v>0.35443037974683544</c:v>
                </c:pt>
                <c:pt idx="1">
                  <c:v>0.23417721518987342</c:v>
                </c:pt>
                <c:pt idx="2">
                  <c:v>0.16455696202531644</c:v>
                </c:pt>
                <c:pt idx="3">
                  <c:v>0.10759493670886076</c:v>
                </c:pt>
                <c:pt idx="4">
                  <c:v>8.2278481012658222E-2</c:v>
                </c:pt>
                <c:pt idx="5">
                  <c:v>5.6962025316455694E-2</c:v>
                </c:pt>
              </c:numCache>
            </c:numRef>
          </c:val>
          <c:extLst>
            <c:ext xmlns:c16="http://schemas.microsoft.com/office/drawing/2014/chart" uri="{C3380CC4-5D6E-409C-BE32-E72D297353CC}">
              <c16:uniqueId val="{00000000-32C6-4F2E-BC16-72D9F1ABADF5}"/>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OzN!$B$65</c:f>
              <c:strCache>
                <c:ptCount val="1"/>
                <c:pt idx="0">
                  <c:v>Liczba odpowiedzi</c:v>
                </c:pt>
              </c:strCache>
            </c:strRef>
          </c:tx>
          <c:spPr>
            <a:solidFill>
              <a:schemeClr val="bg1">
                <a:lumMod val="95000"/>
              </a:schemeClr>
            </a:solidFill>
            <a:ln w="28575">
              <a:solidFill>
                <a:srgbClr val="C00000"/>
              </a:solidFill>
            </a:ln>
            <a:effectLst/>
          </c:spPr>
          <c:invertIfNegative val="0"/>
          <c:dLbls>
            <c:dLbl>
              <c:idx val="4"/>
              <c:layout>
                <c:manualLayout>
                  <c:x val="2.517497812772894E-4"/>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69-45A9-B3F1-9E705A335E0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OzN!$A$66:$A$71</c:f>
              <c:strCache>
                <c:ptCount val="6"/>
                <c:pt idx="0">
                  <c:v>nie miałem/am takiego problemu</c:v>
                </c:pt>
                <c:pt idx="1">
                  <c:v>samodzielnie</c:v>
                </c:pt>
                <c:pt idx="2">
                  <c:v>z pomocą obsługi klienta</c:v>
                </c:pt>
                <c:pt idx="3">
                  <c:v>z pomocą znajomych/rodziny</c:v>
                </c:pt>
                <c:pt idx="4">
                  <c:v>nie próbowałem/am pokonać tych trudności</c:v>
                </c:pt>
                <c:pt idx="5">
                  <c:v>nie potrafię sobie znimi poradzić</c:v>
                </c:pt>
              </c:strCache>
            </c:strRef>
          </c:cat>
          <c:val>
            <c:numRef>
              <c:f>OzN!$B$66:$B$71</c:f>
              <c:numCache>
                <c:formatCode>0%</c:formatCode>
                <c:ptCount val="6"/>
                <c:pt idx="0">
                  <c:v>0.11320754716981132</c:v>
                </c:pt>
                <c:pt idx="1">
                  <c:v>0.35849056603773582</c:v>
                </c:pt>
                <c:pt idx="2">
                  <c:v>0.18867924528301888</c:v>
                </c:pt>
                <c:pt idx="3">
                  <c:v>0.19811320754716982</c:v>
                </c:pt>
                <c:pt idx="4">
                  <c:v>2.8301886792452831E-2</c:v>
                </c:pt>
                <c:pt idx="5">
                  <c:v>0.11320754716981132</c:v>
                </c:pt>
              </c:numCache>
            </c:numRef>
          </c:val>
          <c:extLst>
            <c:ext xmlns:c16="http://schemas.microsoft.com/office/drawing/2014/chart" uri="{C3380CC4-5D6E-409C-BE32-E72D297353CC}">
              <c16:uniqueId val="{00000001-F369-45A9-B3F1-9E705A335E04}"/>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głusi!$B$1</c:f>
              <c:strCache>
                <c:ptCount val="1"/>
                <c:pt idx="0">
                  <c:v>Średni poziom trudności</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głusi!$A$2:$A$6</c:f>
              <c:strCache>
                <c:ptCount val="5"/>
                <c:pt idx="0">
                  <c:v>Serwisy ostrzegawcze i ratunkowe </c:v>
                </c:pt>
                <c:pt idx="1">
                  <c:v>Serwis podatkowy</c:v>
                </c:pt>
                <c:pt idx="2">
                  <c:v>Serwisy kultury i sportu</c:v>
                </c:pt>
                <c:pt idx="3">
                  <c:v>Serwisy samorządowe</c:v>
                </c:pt>
                <c:pt idx="4">
                  <c:v>Serwisy służby zdrowia</c:v>
                </c:pt>
              </c:strCache>
            </c:strRef>
          </c:cat>
          <c:val>
            <c:numRef>
              <c:f>głusi!$B$2:$B$6</c:f>
              <c:numCache>
                <c:formatCode>_(* #,##0.00_);_(* \(#,##0.00\);_(* "-"??_);_(@_)</c:formatCode>
                <c:ptCount val="5"/>
                <c:pt idx="0">
                  <c:v>2.44</c:v>
                </c:pt>
                <c:pt idx="1">
                  <c:v>2.7666666666666671</c:v>
                </c:pt>
                <c:pt idx="2">
                  <c:v>3.3899999999999997</c:v>
                </c:pt>
                <c:pt idx="3">
                  <c:v>3.47</c:v>
                </c:pt>
                <c:pt idx="4">
                  <c:v>4.46</c:v>
                </c:pt>
              </c:numCache>
            </c:numRef>
          </c:val>
          <c:extLst>
            <c:ext xmlns:c16="http://schemas.microsoft.com/office/drawing/2014/chart" uri="{C3380CC4-5D6E-409C-BE32-E72D297353CC}">
              <c16:uniqueId val="{00000000-63BF-4C33-956E-CC513DF6E85C}"/>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_(* #,##0.00_);_(* \(#,##0.00\);_(* &quot;-&quot;??_);_(@_)" sourceLinked="1"/>
        <c:majorTickMark val="none"/>
        <c:minorTickMark val="none"/>
        <c:tickLblPos val="nextTo"/>
        <c:crossAx val="16582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867591876789263"/>
          <c:y val="8.8182885750218501E-2"/>
          <c:w val="0.38264816246421474"/>
          <c:h val="0.75267391166609243"/>
        </c:manualLayout>
      </c:layout>
      <c:doughnutChart>
        <c:varyColors val="1"/>
        <c:ser>
          <c:idx val="0"/>
          <c:order val="0"/>
          <c:spPr>
            <a:ln>
              <a:solidFill>
                <a:srgbClr val="C00000"/>
              </a:solidFill>
            </a:ln>
          </c:spPr>
          <c:dPt>
            <c:idx val="0"/>
            <c:bubble3D val="0"/>
            <c:spPr>
              <a:solidFill>
                <a:srgbClr val="C00000"/>
              </a:solidFill>
              <a:ln w="19050">
                <a:solidFill>
                  <a:srgbClr val="C00000"/>
                </a:solidFill>
              </a:ln>
              <a:effectLst/>
            </c:spPr>
            <c:extLst>
              <c:ext xmlns:c16="http://schemas.microsoft.com/office/drawing/2014/chart" uri="{C3380CC4-5D6E-409C-BE32-E72D297353CC}">
                <c16:uniqueId val="{00000001-3EAC-4DA0-A61D-2411C48978DF}"/>
              </c:ext>
            </c:extLst>
          </c:dPt>
          <c:dPt>
            <c:idx val="1"/>
            <c:bubble3D val="0"/>
            <c:spPr>
              <a:solidFill>
                <a:sysClr val="window" lastClr="FFFFFF"/>
              </a:solidFill>
              <a:ln w="19050">
                <a:solidFill>
                  <a:srgbClr val="C00000"/>
                </a:solidFill>
              </a:ln>
              <a:effectLst/>
            </c:spPr>
            <c:extLst>
              <c:ext xmlns:c16="http://schemas.microsoft.com/office/drawing/2014/chart" uri="{C3380CC4-5D6E-409C-BE32-E72D297353CC}">
                <c16:uniqueId val="{00000003-3EAC-4DA0-A61D-2411C48978DF}"/>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3EAC-4DA0-A61D-2411C48978D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OzN!$A$82:$A$83</c:f>
              <c:strCache>
                <c:ptCount val="2"/>
                <c:pt idx="0">
                  <c:v>nie wiem</c:v>
                </c:pt>
                <c:pt idx="1">
                  <c:v>wiem</c:v>
                </c:pt>
              </c:strCache>
            </c:strRef>
          </c:cat>
          <c:val>
            <c:numRef>
              <c:f>OzN!$B$82:$B$83</c:f>
              <c:numCache>
                <c:formatCode>0%</c:formatCode>
                <c:ptCount val="2"/>
                <c:pt idx="0">
                  <c:v>0.56999999999999995</c:v>
                </c:pt>
                <c:pt idx="1">
                  <c:v>0.43396226415094341</c:v>
                </c:pt>
              </c:numCache>
            </c:numRef>
          </c:val>
          <c:extLst>
            <c:ext xmlns:c16="http://schemas.microsoft.com/office/drawing/2014/chart" uri="{C3380CC4-5D6E-409C-BE32-E72D297353CC}">
              <c16:uniqueId val="{00000004-3EAC-4DA0-A61D-2411C48978DF}"/>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'osoby 60+'!$B$12</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60+'!$A$13:$A$16</c:f>
              <c:strCache>
                <c:ptCount val="4"/>
                <c:pt idx="0">
                  <c:v>miasto powyżej 100 tys. do 500 tys.</c:v>
                </c:pt>
                <c:pt idx="1">
                  <c:v>miasto powyżej 20 tys. do 100 tys.</c:v>
                </c:pt>
                <c:pt idx="2">
                  <c:v>miasto powyżej 500 tys.</c:v>
                </c:pt>
                <c:pt idx="3">
                  <c:v>wieś i małe miasto do 20 tys.</c:v>
                </c:pt>
              </c:strCache>
            </c:strRef>
          </c:cat>
          <c:val>
            <c:numRef>
              <c:f>'osoby 60+'!$B$13:$B$16</c:f>
              <c:numCache>
                <c:formatCode>0%</c:formatCode>
                <c:ptCount val="4"/>
                <c:pt idx="0">
                  <c:v>0.22</c:v>
                </c:pt>
                <c:pt idx="1">
                  <c:v>0.3</c:v>
                </c:pt>
                <c:pt idx="2">
                  <c:v>0.22</c:v>
                </c:pt>
                <c:pt idx="3">
                  <c:v>0.26</c:v>
                </c:pt>
              </c:numCache>
            </c:numRef>
          </c:val>
          <c:extLst>
            <c:ext xmlns:c16="http://schemas.microsoft.com/office/drawing/2014/chart" uri="{C3380CC4-5D6E-409C-BE32-E72D297353CC}">
              <c16:uniqueId val="{00000000-C496-4BBC-992A-80B330E83412}"/>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'osoby 60+'!$B$20</c:f>
              <c:strCache>
                <c:ptCount val="1"/>
                <c:pt idx="0">
                  <c:v>liczba</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60+'!$A$21:$A$28</c:f>
              <c:strCache>
                <c:ptCount val="8"/>
                <c:pt idx="0">
                  <c:v>osoba na emeryturze</c:v>
                </c:pt>
                <c:pt idx="1">
                  <c:v>osoba na rencie</c:v>
                </c:pt>
                <c:pt idx="2">
                  <c:v>osoba niepracująca i nieposzukująca pracy</c:v>
                </c:pt>
                <c:pt idx="3">
                  <c:v>osoba niepracująca, poszukująca pracy</c:v>
                </c:pt>
                <c:pt idx="4">
                  <c:v>osoba pracująca</c:v>
                </c:pt>
                <c:pt idx="5">
                  <c:v>osoba pracująca i ucząca</c:v>
                </c:pt>
                <c:pt idx="6">
                  <c:v>osoba prowadząca własną działalność gospodarczą</c:v>
                </c:pt>
                <c:pt idx="7">
                  <c:v>osoba ucząca się</c:v>
                </c:pt>
              </c:strCache>
            </c:strRef>
          </c:cat>
          <c:val>
            <c:numRef>
              <c:f>'osoby 60+'!$B$21:$B$28</c:f>
              <c:numCache>
                <c:formatCode>0%</c:formatCode>
                <c:ptCount val="8"/>
                <c:pt idx="0">
                  <c:v>0.72</c:v>
                </c:pt>
                <c:pt idx="1">
                  <c:v>0</c:v>
                </c:pt>
                <c:pt idx="2">
                  <c:v>0</c:v>
                </c:pt>
                <c:pt idx="3">
                  <c:v>0.01</c:v>
                </c:pt>
                <c:pt idx="4">
                  <c:v>0.23</c:v>
                </c:pt>
                <c:pt idx="5">
                  <c:v>0</c:v>
                </c:pt>
                <c:pt idx="6">
                  <c:v>0.04</c:v>
                </c:pt>
                <c:pt idx="7">
                  <c:v>0</c:v>
                </c:pt>
              </c:numCache>
            </c:numRef>
          </c:val>
          <c:extLst>
            <c:ext xmlns:c16="http://schemas.microsoft.com/office/drawing/2014/chart" uri="{C3380CC4-5D6E-409C-BE32-E72D297353CC}">
              <c16:uniqueId val="{00000000-332C-4BF1-AA1B-CDD71DA68DE0}"/>
            </c:ext>
          </c:extLst>
        </c:ser>
        <c:dLbls>
          <c:showLegendKey val="0"/>
          <c:showVal val="0"/>
          <c:showCatName val="0"/>
          <c:showSerName val="0"/>
          <c:showPercent val="0"/>
          <c:showBubbleSize val="0"/>
        </c:dLbls>
        <c:gapWidth val="150"/>
        <c:axId val="1658222704"/>
        <c:axId val="1658223664"/>
      </c:barChart>
      <c:catAx>
        <c:axId val="165822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b"/>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C00000"/>
            </a:solidFill>
            <a:ln>
              <a:solidFill>
                <a:srgbClr val="C00000"/>
              </a:solidFill>
            </a:ln>
          </c:spPr>
          <c:explosion val="8"/>
          <c:dPt>
            <c:idx val="0"/>
            <c:bubble3D val="0"/>
            <c:spPr>
              <a:solidFill>
                <a:srgbClr val="C00000"/>
              </a:solidFill>
              <a:ln w="19050">
                <a:solidFill>
                  <a:srgbClr val="C00000"/>
                </a:solidFill>
              </a:ln>
              <a:effectLst/>
            </c:spPr>
            <c:extLst>
              <c:ext xmlns:c16="http://schemas.microsoft.com/office/drawing/2014/chart" uri="{C3380CC4-5D6E-409C-BE32-E72D297353CC}">
                <c16:uniqueId val="{00000001-9233-4231-9D7B-EAD0B3E82BA7}"/>
              </c:ext>
            </c:extLst>
          </c:dPt>
          <c:dPt>
            <c:idx val="1"/>
            <c:bubble3D val="0"/>
            <c:spPr>
              <a:solidFill>
                <a:schemeClr val="bg1"/>
              </a:solidFill>
              <a:ln w="19050">
                <a:solidFill>
                  <a:srgbClr val="C00000"/>
                </a:solidFill>
              </a:ln>
              <a:effectLst/>
            </c:spPr>
            <c:extLst>
              <c:ext xmlns:c16="http://schemas.microsoft.com/office/drawing/2014/chart" uri="{C3380CC4-5D6E-409C-BE32-E72D297353CC}">
                <c16:uniqueId val="{00000003-9233-4231-9D7B-EAD0B3E82BA7}"/>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9233-4231-9D7B-EAD0B3E82BA7}"/>
                </c:ext>
              </c:extLst>
            </c:dLbl>
            <c:dLbl>
              <c:idx val="1"/>
              <c:layout>
                <c:manualLayout>
                  <c:x val="-1.0185067526415994E-16"/>
                  <c:y val="-7.870370370370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33-4231-9D7B-EAD0B3E82BA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extLst>
          </c:dLbls>
          <c:cat>
            <c:strRef>
              <c:f>'osoby bez N'!$A$42:$A$43</c:f>
              <c:strCache>
                <c:ptCount val="2"/>
                <c:pt idx="0">
                  <c:v>codziennie</c:v>
                </c:pt>
                <c:pt idx="1">
                  <c:v>kilka razy w tygodniu</c:v>
                </c:pt>
              </c:strCache>
            </c:strRef>
          </c:cat>
          <c:val>
            <c:numRef>
              <c:f>'osoby bez N'!$B$42:$B$43</c:f>
              <c:numCache>
                <c:formatCode>0%</c:formatCode>
                <c:ptCount val="2"/>
                <c:pt idx="0">
                  <c:v>0.98</c:v>
                </c:pt>
                <c:pt idx="1">
                  <c:v>0.02</c:v>
                </c:pt>
              </c:numCache>
            </c:numRef>
          </c:val>
          <c:extLst>
            <c:ext xmlns:c16="http://schemas.microsoft.com/office/drawing/2014/chart" uri="{C3380CC4-5D6E-409C-BE32-E72D297353CC}">
              <c16:uniqueId val="{00000004-9233-4231-9D7B-EAD0B3E82BA7}"/>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60+'!$A$93:$A$100</c:f>
              <c:strCache>
                <c:ptCount val="8"/>
                <c:pt idx="0">
                  <c:v>Cele osobiste (np. kontakt z rodziną, znajomymi)</c:v>
                </c:pt>
                <c:pt idx="1">
                  <c:v>Rozrywka (np. film, muzyka)</c:v>
                </c:pt>
                <c:pt idx="2">
                  <c:v>Załatwianie spraw urzędowych (np. wniosek o dowód)</c:v>
                </c:pt>
                <c:pt idx="3">
                  <c:v>Poszukiwanie innych informacji</c:v>
                </c:pt>
                <c:pt idx="4">
                  <c:v>Załatwianie spraw zdrowotnych (np. umówienie wizyty u lekarza)</c:v>
                </c:pt>
                <c:pt idx="5">
                  <c:v>Cele edukacyjne (np. poszukiwanie materiałów edukacyjnych, filmów instruktażowych</c:v>
                </c:pt>
                <c:pt idx="6">
                  <c:v>Cele zawodowe (np. poszukiwanie pracy, sprawy rentowe)</c:v>
                </c:pt>
                <c:pt idx="7">
                  <c:v>Załatwianie spraw społecznych (np. turnus rehabilitacyjny, świadczenia z pomocy społecznej)</c:v>
                </c:pt>
              </c:strCache>
            </c:strRef>
          </c:cat>
          <c:val>
            <c:numRef>
              <c:f>'osoby 60+'!$B$93:$B$100</c:f>
              <c:numCache>
                <c:formatCode>0%</c:formatCode>
                <c:ptCount val="8"/>
                <c:pt idx="0">
                  <c:v>0.79</c:v>
                </c:pt>
                <c:pt idx="1">
                  <c:v>0.71</c:v>
                </c:pt>
                <c:pt idx="2">
                  <c:v>0.7</c:v>
                </c:pt>
                <c:pt idx="3">
                  <c:v>0.79</c:v>
                </c:pt>
                <c:pt idx="4">
                  <c:v>0.54</c:v>
                </c:pt>
                <c:pt idx="5">
                  <c:v>0.41</c:v>
                </c:pt>
                <c:pt idx="6">
                  <c:v>0.2</c:v>
                </c:pt>
                <c:pt idx="7">
                  <c:v>0.24</c:v>
                </c:pt>
              </c:numCache>
            </c:numRef>
          </c:val>
          <c:extLst>
            <c:ext xmlns:c16="http://schemas.microsoft.com/office/drawing/2014/chart" uri="{C3380CC4-5D6E-409C-BE32-E72D297353CC}">
              <c16:uniqueId val="{00000000-0DB7-46DB-A902-3C2997C08C5A}"/>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dLbl>
              <c:idx val="7"/>
              <c:layout>
                <c:manualLayout>
                  <c:x val="-7.9377019614430745E-6"/>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14-4977-AB64-121479C47D8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60+'!$A$114:$A$121</c:f>
              <c:strCache>
                <c:ptCount val="8"/>
                <c:pt idx="0">
                  <c:v>Zakupy online</c:v>
                </c:pt>
                <c:pt idx="1">
                  <c:v>Komunikacja (np. e-mail, media społecznościowe)</c:v>
                </c:pt>
                <c:pt idx="2">
                  <c:v>Płatności rachunków</c:v>
                </c:pt>
                <c:pt idx="3">
                  <c:v>Inne rezerwacje (np. bilety do kina, bilety na przejazdy np. PKP)</c:v>
                </c:pt>
                <c:pt idx="4">
                  <c:v>Załatwianie spraw urzędowych (np. składanie PIT, wnioskowanie o zaświadczenia)</c:v>
                </c:pt>
                <c:pt idx="5">
                  <c:v>Nauka (np. kursy, szkolenia)</c:v>
                </c:pt>
                <c:pt idx="6">
                  <c:v>Rezerwacje wizyt lekarskich</c:v>
                </c:pt>
                <c:pt idx="7">
                  <c:v>Poszukiwanie pracy</c:v>
                </c:pt>
              </c:strCache>
            </c:strRef>
          </c:cat>
          <c:val>
            <c:numRef>
              <c:f>'osoby 60+'!$B$114:$B$121</c:f>
              <c:numCache>
                <c:formatCode>0%</c:formatCode>
                <c:ptCount val="8"/>
                <c:pt idx="0">
                  <c:v>0.81</c:v>
                </c:pt>
                <c:pt idx="1">
                  <c:v>0.71</c:v>
                </c:pt>
                <c:pt idx="2">
                  <c:v>0.92</c:v>
                </c:pt>
                <c:pt idx="3">
                  <c:v>0.5</c:v>
                </c:pt>
                <c:pt idx="4">
                  <c:v>0.59</c:v>
                </c:pt>
                <c:pt idx="5">
                  <c:v>0.15</c:v>
                </c:pt>
                <c:pt idx="6">
                  <c:v>0.41</c:v>
                </c:pt>
                <c:pt idx="7">
                  <c:v>0.06</c:v>
                </c:pt>
              </c:numCache>
            </c:numRef>
          </c:val>
          <c:extLst>
            <c:ext xmlns:c16="http://schemas.microsoft.com/office/drawing/2014/chart" uri="{C3380CC4-5D6E-409C-BE32-E72D297353CC}">
              <c16:uniqueId val="{00000000-5214-4977-AB64-121479C47D89}"/>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'osoby 60+'!$B$48</c:f>
              <c:strCache>
                <c:ptCount val="1"/>
                <c:pt idx="0">
                  <c:v>strony</c:v>
                </c:pt>
              </c:strCache>
            </c:strRef>
          </c:tx>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60+'!$A$49:$A$51</c:f>
              <c:strCache>
                <c:ptCount val="3"/>
                <c:pt idx="0">
                  <c:v>Często</c:v>
                </c:pt>
                <c:pt idx="1">
                  <c:v>Sporadycznie</c:v>
                </c:pt>
                <c:pt idx="2">
                  <c:v>Nie korzystam</c:v>
                </c:pt>
              </c:strCache>
            </c:strRef>
          </c:cat>
          <c:val>
            <c:numRef>
              <c:f>'osoby 60+'!$B$49:$B$51</c:f>
              <c:numCache>
                <c:formatCode>0%</c:formatCode>
                <c:ptCount val="3"/>
                <c:pt idx="0">
                  <c:v>0.3</c:v>
                </c:pt>
                <c:pt idx="1">
                  <c:v>0.64</c:v>
                </c:pt>
                <c:pt idx="2">
                  <c:v>0.06</c:v>
                </c:pt>
              </c:numCache>
            </c:numRef>
          </c:val>
          <c:extLst>
            <c:ext xmlns:c16="http://schemas.microsoft.com/office/drawing/2014/chart" uri="{C3380CC4-5D6E-409C-BE32-E72D297353CC}">
              <c16:uniqueId val="{00000000-E2AB-434A-BB5D-E927ACAA61DA}"/>
            </c:ext>
          </c:extLst>
        </c:ser>
        <c:ser>
          <c:idx val="1"/>
          <c:order val="1"/>
          <c:tx>
            <c:strRef>
              <c:f>'osoby 60+'!$C$48</c:f>
              <c:strCache>
                <c:ptCount val="1"/>
                <c:pt idx="0">
                  <c:v>aplikacje</c:v>
                </c:pt>
              </c:strCache>
            </c:strRef>
          </c:tx>
          <c:spPr>
            <a:solidFill>
              <a:schemeClr val="bg1">
                <a:lumMod val="95000"/>
              </a:schemeClr>
            </a:solidFill>
            <a:ln w="19050">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60+'!$A$49:$A$51</c:f>
              <c:strCache>
                <c:ptCount val="3"/>
                <c:pt idx="0">
                  <c:v>Często</c:v>
                </c:pt>
                <c:pt idx="1">
                  <c:v>Sporadycznie</c:v>
                </c:pt>
                <c:pt idx="2">
                  <c:v>Nie korzystam</c:v>
                </c:pt>
              </c:strCache>
            </c:strRef>
          </c:cat>
          <c:val>
            <c:numRef>
              <c:f>'osoby 60+'!$C$49:$C$51</c:f>
              <c:numCache>
                <c:formatCode>0%</c:formatCode>
                <c:ptCount val="3"/>
                <c:pt idx="0">
                  <c:v>0.34</c:v>
                </c:pt>
                <c:pt idx="1">
                  <c:v>0.48</c:v>
                </c:pt>
                <c:pt idx="2">
                  <c:v>0.18</c:v>
                </c:pt>
              </c:numCache>
            </c:numRef>
          </c:val>
          <c:extLst>
            <c:ext xmlns:c16="http://schemas.microsoft.com/office/drawing/2014/chart" uri="{C3380CC4-5D6E-409C-BE32-E72D297353CC}">
              <c16:uniqueId val="{00000001-E2AB-434A-BB5D-E927ACAA61DA}"/>
            </c:ext>
          </c:extLst>
        </c:ser>
        <c:dLbls>
          <c:showLegendKey val="0"/>
          <c:showVal val="0"/>
          <c:showCatName val="0"/>
          <c:showSerName val="0"/>
          <c:showPercent val="0"/>
          <c:showBubbleSize val="0"/>
        </c:dLbls>
        <c:gapWidth val="150"/>
        <c:axId val="698585328"/>
        <c:axId val="698587248"/>
      </c:barChart>
      <c:catAx>
        <c:axId val="698585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698587248"/>
        <c:crosses val="autoZero"/>
        <c:auto val="1"/>
        <c:lblAlgn val="ctr"/>
        <c:lblOffset val="100"/>
        <c:noMultiLvlLbl val="0"/>
      </c:catAx>
      <c:valAx>
        <c:axId val="698587248"/>
        <c:scaling>
          <c:orientation val="minMax"/>
        </c:scaling>
        <c:delete val="1"/>
        <c:axPos val="b"/>
        <c:numFmt formatCode="0%" sourceLinked="1"/>
        <c:majorTickMark val="none"/>
        <c:minorTickMark val="none"/>
        <c:tickLblPos val="nextTo"/>
        <c:crossAx val="69858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60+'!$A$133:$A$136</c:f>
              <c:strCache>
                <c:ptCount val="4"/>
                <c:pt idx="0">
                  <c:v>On-line</c:v>
                </c:pt>
                <c:pt idx="1">
                  <c:v>Osobiście</c:v>
                </c:pt>
                <c:pt idx="2">
                  <c:v>Łączę ze sobą różne sposoby (np. uzyskuję informacje telefonicznie, później załatwiam sprawę osobiście)</c:v>
                </c:pt>
                <c:pt idx="3">
                  <c:v>Telefonicznie</c:v>
                </c:pt>
              </c:strCache>
            </c:strRef>
          </c:cat>
          <c:val>
            <c:numRef>
              <c:f>'osoby 60+'!$B$133:$B$136</c:f>
              <c:numCache>
                <c:formatCode>0%</c:formatCode>
                <c:ptCount val="4"/>
                <c:pt idx="0">
                  <c:v>0.31</c:v>
                </c:pt>
                <c:pt idx="1">
                  <c:v>0.63</c:v>
                </c:pt>
                <c:pt idx="2">
                  <c:v>0.38</c:v>
                </c:pt>
                <c:pt idx="3">
                  <c:v>0.06</c:v>
                </c:pt>
              </c:numCache>
            </c:numRef>
          </c:val>
          <c:extLst>
            <c:ext xmlns:c16="http://schemas.microsoft.com/office/drawing/2014/chart" uri="{C3380CC4-5D6E-409C-BE32-E72D297353CC}">
              <c16:uniqueId val="{00000000-25F0-4762-BCD5-2BE4C1BC56CB}"/>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60+'!$A$150:$A$153</c:f>
              <c:strCache>
                <c:ptCount val="4"/>
                <c:pt idx="0">
                  <c:v>Składanie różnego typu wniosków (np. wniosek o wydanie zaświadczenia)</c:v>
                </c:pt>
                <c:pt idx="1">
                  <c:v>Płatność podatków</c:v>
                </c:pt>
                <c:pt idx="2">
                  <c:v>Rejestracja do lekarza</c:v>
                </c:pt>
                <c:pt idx="3">
                  <c:v>Zgłaszanie problemów (np. awarie)</c:v>
                </c:pt>
              </c:strCache>
            </c:strRef>
          </c:cat>
          <c:val>
            <c:numRef>
              <c:f>'osoby 60+'!$B$150:$B$153</c:f>
              <c:numCache>
                <c:formatCode>0%</c:formatCode>
                <c:ptCount val="4"/>
                <c:pt idx="0">
                  <c:v>0.49</c:v>
                </c:pt>
                <c:pt idx="1">
                  <c:v>0.68</c:v>
                </c:pt>
                <c:pt idx="2">
                  <c:v>0.47</c:v>
                </c:pt>
                <c:pt idx="3">
                  <c:v>0.37</c:v>
                </c:pt>
              </c:numCache>
            </c:numRef>
          </c:val>
          <c:extLst>
            <c:ext xmlns:c16="http://schemas.microsoft.com/office/drawing/2014/chart" uri="{C3380CC4-5D6E-409C-BE32-E72D297353CC}">
              <c16:uniqueId val="{00000000-EF8C-40A9-832A-5E2C85F08809}"/>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60+'!$A$162:$A$170</c:f>
              <c:strCache>
                <c:ptCount val="9"/>
                <c:pt idx="0">
                  <c:v>Strony urzędów miejskich/gminnych</c:v>
                </c:pt>
                <c:pt idx="1">
                  <c:v>Strony Powiatowych Centrów Pomocy Rodzinie/Miejskich lub Gminnych Ośrodków Pomocy Społecznej</c:v>
                </c:pt>
                <c:pt idx="2">
                  <c:v>Strony rządowe, ministerstw lub agencji</c:v>
                </c:pt>
                <c:pt idx="3">
                  <c:v>Strony Urzędów Skarbowych</c:v>
                </c:pt>
                <c:pt idx="4">
                  <c:v>Strony Urzędów Pracy</c:v>
                </c:pt>
                <c:pt idx="5">
                  <c:v>Strony instytucji zdrowotnych</c:v>
                </c:pt>
                <c:pt idx="6">
                  <c:v>Strony edukacyjne</c:v>
                </c:pt>
                <c:pt idx="7">
                  <c:v>Strony instytucji kultury</c:v>
                </c:pt>
                <c:pt idx="8">
                  <c:v>Inne</c:v>
                </c:pt>
              </c:strCache>
            </c:strRef>
          </c:cat>
          <c:val>
            <c:numRef>
              <c:f>'osoby 60+'!$B$162:$B$170</c:f>
              <c:numCache>
                <c:formatCode>0%</c:formatCode>
                <c:ptCount val="9"/>
                <c:pt idx="0">
                  <c:v>0.57999999999999996</c:v>
                </c:pt>
                <c:pt idx="1">
                  <c:v>0.08</c:v>
                </c:pt>
                <c:pt idx="2">
                  <c:v>0.56000000000000005</c:v>
                </c:pt>
                <c:pt idx="3">
                  <c:v>0.62</c:v>
                </c:pt>
                <c:pt idx="4">
                  <c:v>0.05</c:v>
                </c:pt>
                <c:pt idx="5">
                  <c:v>0.56000000000000005</c:v>
                </c:pt>
                <c:pt idx="6">
                  <c:v>0.1</c:v>
                </c:pt>
                <c:pt idx="7">
                  <c:v>0.36</c:v>
                </c:pt>
                <c:pt idx="8">
                  <c:v>0.01</c:v>
                </c:pt>
              </c:numCache>
            </c:numRef>
          </c:val>
          <c:extLst>
            <c:ext xmlns:c16="http://schemas.microsoft.com/office/drawing/2014/chart" uri="{C3380CC4-5D6E-409C-BE32-E72D297353CC}">
              <c16:uniqueId val="{00000000-D952-4303-BB38-0EB4ABECA1FC}"/>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głusi!$B$14</c:f>
              <c:strCache>
                <c:ptCount val="1"/>
                <c:pt idx="0">
                  <c:v>Liczba zgłoszeń</c:v>
                </c:pt>
              </c:strCache>
            </c:strRef>
          </c:tx>
          <c:spPr>
            <a:solidFill>
              <a:sysClr val="window" lastClr="FFFFFF">
                <a:lumMod val="95000"/>
              </a:sysClr>
            </a:solidFill>
            <a:ln w="28575">
              <a:solidFill>
                <a:srgbClr val="C00000"/>
              </a:solidFill>
            </a:ln>
            <a:effectLst/>
          </c:spPr>
          <c:invertIfNegative val="0"/>
          <c:dPt>
            <c:idx val="1"/>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1-4741-4ABA-A885-AE161E06058F}"/>
              </c:ext>
            </c:extLst>
          </c:dPt>
          <c:dPt>
            <c:idx val="2"/>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3-4741-4ABA-A885-AE161E06058F}"/>
              </c:ext>
            </c:extLst>
          </c:dPt>
          <c:dPt>
            <c:idx val="3"/>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5-4741-4ABA-A885-AE161E06058F}"/>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głusi!$A$15:$A$21</c:f>
              <c:strCache>
                <c:ptCount val="7"/>
                <c:pt idx="0">
                  <c:v>Brak napisów i tłumacza PJM</c:v>
                </c:pt>
                <c:pt idx="1">
                  <c:v>Trudny język</c:v>
                </c:pt>
                <c:pt idx="2">
                  <c:v>Nadmiar treści</c:v>
                </c:pt>
                <c:pt idx="3">
                  <c:v>Nieintuicyjna nawigacja</c:v>
                </c:pt>
                <c:pt idx="4">
                  <c:v>Problemy z interaktywnymi funkcjami</c:v>
                </c:pt>
                <c:pt idx="5">
                  <c:v>Brak powiekszalności treści</c:v>
                </c:pt>
                <c:pt idx="6">
                  <c:v>Nieczytelny układ strony i brak wskazówek</c:v>
                </c:pt>
              </c:strCache>
            </c:strRef>
          </c:cat>
          <c:val>
            <c:numRef>
              <c:f>głusi!$B$15:$B$21</c:f>
              <c:numCache>
                <c:formatCode>General</c:formatCode>
                <c:ptCount val="7"/>
                <c:pt idx="0">
                  <c:v>26</c:v>
                </c:pt>
                <c:pt idx="1">
                  <c:v>23</c:v>
                </c:pt>
                <c:pt idx="2">
                  <c:v>20</c:v>
                </c:pt>
                <c:pt idx="3">
                  <c:v>18</c:v>
                </c:pt>
                <c:pt idx="4">
                  <c:v>12</c:v>
                </c:pt>
                <c:pt idx="5">
                  <c:v>10</c:v>
                </c:pt>
                <c:pt idx="6">
                  <c:v>8</c:v>
                </c:pt>
              </c:numCache>
            </c:numRef>
          </c:val>
          <c:extLst>
            <c:ext xmlns:c16="http://schemas.microsoft.com/office/drawing/2014/chart" uri="{C3380CC4-5D6E-409C-BE32-E72D297353CC}">
              <c16:uniqueId val="{00000006-4741-4ABA-A885-AE161E06058F}"/>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General"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60+'!$A$187:$A$192</c:f>
              <c:strCache>
                <c:ptCount val="6"/>
                <c:pt idx="0">
                  <c:v>Aplikacje rządowe (np. mObywatel, e-Urząd Skarbowy, mZus)</c:v>
                </c:pt>
                <c:pt idx="1">
                  <c:v>Aplikacje urzędu miasta lub urzędu gminy</c:v>
                </c:pt>
                <c:pt idx="2">
                  <c:v>Aplikacje dotyczące zdrowia (np. aplikacja publicznej przychodni zdrowia)</c:v>
                </c:pt>
                <c:pt idx="3">
                  <c:v>Aplikacje instytucji kultury (np. biblioteki, muzeum)</c:v>
                </c:pt>
                <c:pt idx="4">
                  <c:v>Aplikacje edukacyjne (np. szkoły, uczelni)</c:v>
                </c:pt>
                <c:pt idx="5">
                  <c:v>Aplikacje komunikacyjne (np. rozkłady jazdy, rezerwacja biletów PKP)</c:v>
                </c:pt>
              </c:strCache>
            </c:strRef>
          </c:cat>
          <c:val>
            <c:numRef>
              <c:f>'osoby 60+'!$B$187:$B$192</c:f>
              <c:numCache>
                <c:formatCode>0%</c:formatCode>
                <c:ptCount val="6"/>
                <c:pt idx="0">
                  <c:v>0.68</c:v>
                </c:pt>
                <c:pt idx="1">
                  <c:v>0.24</c:v>
                </c:pt>
                <c:pt idx="2">
                  <c:v>0.39</c:v>
                </c:pt>
                <c:pt idx="3">
                  <c:v>0.16</c:v>
                </c:pt>
                <c:pt idx="4">
                  <c:v>0.04</c:v>
                </c:pt>
                <c:pt idx="5">
                  <c:v>0.45</c:v>
                </c:pt>
              </c:numCache>
            </c:numRef>
          </c:val>
          <c:extLst>
            <c:ext xmlns:c16="http://schemas.microsoft.com/office/drawing/2014/chart" uri="{C3380CC4-5D6E-409C-BE32-E72D297353CC}">
              <c16:uniqueId val="{00000000-82AB-48DA-9D99-D2B4858AFA2E}"/>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'osoby 60+'!$B$65</c:f>
              <c:strCache>
                <c:ptCount val="1"/>
                <c:pt idx="0">
                  <c:v>Liczba odpowiedzi</c:v>
                </c:pt>
              </c:strCache>
            </c:strRef>
          </c:tx>
          <c:spPr>
            <a:solidFill>
              <a:schemeClr val="bg1">
                <a:lumMod val="95000"/>
              </a:schemeClr>
            </a:solidFill>
            <a:ln w="28575">
              <a:solidFill>
                <a:srgbClr val="C00000"/>
              </a:solidFill>
            </a:ln>
            <a:effectLst/>
          </c:spPr>
          <c:invertIfNegative val="0"/>
          <c:dLbls>
            <c:dLbl>
              <c:idx val="4"/>
              <c:layout>
                <c:manualLayout>
                  <c:x val="2.517497812772894E-4"/>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30-439A-8223-15634DF1DDBE}"/>
                </c:ext>
              </c:extLst>
            </c:dLbl>
            <c:dLbl>
              <c:idx val="5"/>
              <c:layout>
                <c:manualLayout>
                  <c:x val="1.009380523863088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30-439A-8223-15634DF1DDBE}"/>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'osoby 60+'!$A$66:$A$71</c:f>
              <c:strCache>
                <c:ptCount val="5"/>
                <c:pt idx="0">
                  <c:v>nie miałem/am takiego problemu</c:v>
                </c:pt>
                <c:pt idx="1">
                  <c:v>samodzielnie</c:v>
                </c:pt>
                <c:pt idx="2">
                  <c:v>z pomocą obsługi klienta</c:v>
                </c:pt>
                <c:pt idx="3">
                  <c:v>z pomocą znajomych/rodziny</c:v>
                </c:pt>
                <c:pt idx="4">
                  <c:v>nie próbowałem/am pokonać tych trudności</c:v>
                </c:pt>
              </c:strCache>
            </c:strRef>
          </c:cat>
          <c:val>
            <c:numRef>
              <c:f>'osoby 60+'!$B$66:$B$71</c:f>
              <c:numCache>
                <c:formatCode>0%</c:formatCode>
                <c:ptCount val="6"/>
                <c:pt idx="0">
                  <c:v>0.31</c:v>
                </c:pt>
                <c:pt idx="1">
                  <c:v>0.45</c:v>
                </c:pt>
                <c:pt idx="2">
                  <c:v>0.15</c:v>
                </c:pt>
                <c:pt idx="3">
                  <c:v>0.22</c:v>
                </c:pt>
                <c:pt idx="4">
                  <c:v>0.01</c:v>
                </c:pt>
              </c:numCache>
            </c:numRef>
          </c:val>
          <c:extLst>
            <c:ext xmlns:c16="http://schemas.microsoft.com/office/drawing/2014/chart" uri="{C3380CC4-5D6E-409C-BE32-E72D297353CC}">
              <c16:uniqueId val="{00000002-8B30-439A-8223-15634DF1DDBE}"/>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0%"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736284940667"/>
          <c:y val="5.1504768348808391E-2"/>
          <c:w val="0.43911353966129729"/>
          <c:h val="0.81495423499099551"/>
        </c:manualLayout>
      </c:layout>
      <c:doughnutChart>
        <c:varyColors val="1"/>
        <c:ser>
          <c:idx val="0"/>
          <c:order val="0"/>
          <c:spPr>
            <a:ln>
              <a:solidFill>
                <a:srgbClr val="C00000"/>
              </a:solidFill>
            </a:ln>
          </c:spPr>
          <c:dPt>
            <c:idx val="0"/>
            <c:bubble3D val="0"/>
            <c:spPr>
              <a:solidFill>
                <a:srgbClr val="C00000"/>
              </a:solidFill>
              <a:ln w="19050">
                <a:solidFill>
                  <a:srgbClr val="C00000"/>
                </a:solidFill>
              </a:ln>
              <a:effectLst/>
            </c:spPr>
            <c:extLst>
              <c:ext xmlns:c16="http://schemas.microsoft.com/office/drawing/2014/chart" uri="{C3380CC4-5D6E-409C-BE32-E72D297353CC}">
                <c16:uniqueId val="{00000001-C72D-424B-8FFE-7661ECCD7066}"/>
              </c:ext>
            </c:extLst>
          </c:dPt>
          <c:dPt>
            <c:idx val="1"/>
            <c:bubble3D val="0"/>
            <c:spPr>
              <a:solidFill>
                <a:sysClr val="window" lastClr="FFFFFF"/>
              </a:solidFill>
              <a:ln w="19050">
                <a:solidFill>
                  <a:srgbClr val="C00000"/>
                </a:solidFill>
              </a:ln>
              <a:effectLst/>
            </c:spPr>
            <c:extLst>
              <c:ext xmlns:c16="http://schemas.microsoft.com/office/drawing/2014/chart" uri="{C3380CC4-5D6E-409C-BE32-E72D297353CC}">
                <c16:uniqueId val="{00000003-C72D-424B-8FFE-7661ECCD7066}"/>
              </c:ext>
            </c:extLst>
          </c:dPt>
          <c:dLbls>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C72D-424B-8FFE-7661ECCD706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'osoby 60+'!$A$82:$A$83</c:f>
              <c:strCache>
                <c:ptCount val="2"/>
                <c:pt idx="0">
                  <c:v>nie wiem</c:v>
                </c:pt>
                <c:pt idx="1">
                  <c:v>wiem</c:v>
                </c:pt>
              </c:strCache>
            </c:strRef>
          </c:cat>
          <c:val>
            <c:numRef>
              <c:f>'osoby 60+'!$B$82:$B$83</c:f>
              <c:numCache>
                <c:formatCode>0%</c:formatCode>
                <c:ptCount val="2"/>
                <c:pt idx="0">
                  <c:v>0.64</c:v>
                </c:pt>
                <c:pt idx="1">
                  <c:v>0.36</c:v>
                </c:pt>
              </c:numCache>
            </c:numRef>
          </c:val>
          <c:extLst>
            <c:ext xmlns:c16="http://schemas.microsoft.com/office/drawing/2014/chart" uri="{C3380CC4-5D6E-409C-BE32-E72D297353CC}">
              <c16:uniqueId val="{00000004-C72D-424B-8FFE-7661ECCD7066}"/>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ruch!$B$1</c:f>
              <c:strCache>
                <c:ptCount val="1"/>
                <c:pt idx="0">
                  <c:v>Średni poziom trudności</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ruch!$A$2:$A$5</c:f>
              <c:strCache>
                <c:ptCount val="4"/>
                <c:pt idx="0">
                  <c:v>Seris transportowy</c:v>
                </c:pt>
                <c:pt idx="1">
                  <c:v>Serwisy samorządowe</c:v>
                </c:pt>
                <c:pt idx="2">
                  <c:v>Serwisy służby zdrowia</c:v>
                </c:pt>
                <c:pt idx="3">
                  <c:v>Serwisy kultury i sportu</c:v>
                </c:pt>
              </c:strCache>
            </c:strRef>
          </c:cat>
          <c:val>
            <c:numRef>
              <c:f>ruch!$B$2:$B$5</c:f>
              <c:numCache>
                <c:formatCode>_(* #,##0.00_);_(* \(#,##0.00\);_(* "-"??_);_(@_)</c:formatCode>
                <c:ptCount val="4"/>
                <c:pt idx="0">
                  <c:v>5</c:v>
                </c:pt>
                <c:pt idx="1">
                  <c:v>4.1500000000000004</c:v>
                </c:pt>
                <c:pt idx="2">
                  <c:v>4</c:v>
                </c:pt>
                <c:pt idx="3">
                  <c:v>4</c:v>
                </c:pt>
              </c:numCache>
            </c:numRef>
          </c:val>
          <c:extLst>
            <c:ext xmlns:c16="http://schemas.microsoft.com/office/drawing/2014/chart" uri="{C3380CC4-5D6E-409C-BE32-E72D297353CC}">
              <c16:uniqueId val="{00000000-2260-4D48-9844-04AC26FEBC86}"/>
            </c:ext>
          </c:extLst>
        </c:ser>
        <c:dLbls>
          <c:showLegendKey val="0"/>
          <c:showVal val="0"/>
          <c:showCatName val="0"/>
          <c:showSerName val="0"/>
          <c:showPercent val="0"/>
          <c:showBubbleSize val="0"/>
        </c:dLbls>
        <c:gapWidth val="150"/>
        <c:overlap val="100"/>
        <c:axId val="1658222704"/>
        <c:axId val="1658223664"/>
      </c:barChart>
      <c:catAx>
        <c:axId val="1658222704"/>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r"/>
        <c:numFmt formatCode="_(* #,##0.00_);_(* \(#,##0.00\);_(* &quot;-&quot;??_);_(@_)" sourceLinked="1"/>
        <c:majorTickMark val="none"/>
        <c:minorTickMark val="none"/>
        <c:tickLblPos val="nextTo"/>
        <c:crossAx val="16582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ruch!$B$15</c:f>
              <c:strCache>
                <c:ptCount val="1"/>
                <c:pt idx="0">
                  <c:v>Liczba zgłoszeń</c:v>
                </c:pt>
              </c:strCache>
            </c:strRef>
          </c:tx>
          <c:spPr>
            <a:solidFill>
              <a:sysClr val="window" lastClr="FFFFFF">
                <a:lumMod val="95000"/>
              </a:sysClr>
            </a:solidFill>
            <a:ln w="28575">
              <a:solidFill>
                <a:srgbClr val="C00000"/>
              </a:solidFill>
            </a:ln>
            <a:effectLst/>
          </c:spPr>
          <c:invertIfNegative val="0"/>
          <c:dPt>
            <c:idx val="2"/>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1-6A87-4E97-8E9B-89D59AF5E194}"/>
              </c:ext>
            </c:extLst>
          </c:dPt>
          <c:dPt>
            <c:idx val="3"/>
            <c:invertIfNegative val="0"/>
            <c:bubble3D val="0"/>
            <c:spPr>
              <a:solidFill>
                <a:sysClr val="window" lastClr="FFFFFF">
                  <a:lumMod val="95000"/>
                </a:sysClr>
              </a:solidFill>
              <a:ln w="28575">
                <a:solidFill>
                  <a:srgbClr val="C00000"/>
                </a:solidFill>
              </a:ln>
              <a:effectLst/>
            </c:spPr>
            <c:extLst>
              <c:ext xmlns:c16="http://schemas.microsoft.com/office/drawing/2014/chart" uri="{C3380CC4-5D6E-409C-BE32-E72D297353CC}">
                <c16:uniqueId val="{00000003-6A87-4E97-8E9B-89D59AF5E194}"/>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ruch!$A$16:$A$21</c:f>
              <c:strCache>
                <c:ptCount val="6"/>
                <c:pt idx="0">
                  <c:v>Brak możliwości szybkiego wyszukiwania</c:v>
                </c:pt>
                <c:pt idx="1">
                  <c:v>Nieintuicyjna nawigacja</c:v>
                </c:pt>
                <c:pt idx="2">
                  <c:v>Nadmiar treści</c:v>
                </c:pt>
                <c:pt idx="3">
                  <c:v>Problemy z interaktywnymi funkcjami</c:v>
                </c:pt>
                <c:pt idx="4">
                  <c:v>Brak wyraźnych komunikatów o błędach</c:v>
                </c:pt>
                <c:pt idx="5">
                  <c:v>Zbyt małe przyciski, elementy trudne do kliknięcia</c:v>
                </c:pt>
              </c:strCache>
            </c:strRef>
          </c:cat>
          <c:val>
            <c:numRef>
              <c:f>ruch!$B$16:$B$21</c:f>
              <c:numCache>
                <c:formatCode>General</c:formatCode>
                <c:ptCount val="6"/>
                <c:pt idx="0">
                  <c:v>21</c:v>
                </c:pt>
                <c:pt idx="1">
                  <c:v>19</c:v>
                </c:pt>
                <c:pt idx="2">
                  <c:v>17</c:v>
                </c:pt>
                <c:pt idx="3">
                  <c:v>15</c:v>
                </c:pt>
                <c:pt idx="4">
                  <c:v>11</c:v>
                </c:pt>
                <c:pt idx="5">
                  <c:v>10</c:v>
                </c:pt>
              </c:numCache>
            </c:numRef>
          </c:val>
          <c:extLst>
            <c:ext xmlns:c16="http://schemas.microsoft.com/office/drawing/2014/chart" uri="{C3380CC4-5D6E-409C-BE32-E72D297353CC}">
              <c16:uniqueId val="{00000004-6A87-4E97-8E9B-89D59AF5E194}"/>
            </c:ext>
          </c:extLst>
        </c:ser>
        <c:dLbls>
          <c:showLegendKey val="0"/>
          <c:showVal val="0"/>
          <c:showCatName val="0"/>
          <c:showSerName val="0"/>
          <c:showPercent val="0"/>
          <c:showBubbleSize val="0"/>
        </c:dLbls>
        <c:gapWidth val="150"/>
        <c:axId val="1658222704"/>
        <c:axId val="1658223664"/>
      </c:barChart>
      <c:catAx>
        <c:axId val="165822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t"/>
        <c:numFmt formatCode="General" sourceLinked="1"/>
        <c:majorTickMark val="none"/>
        <c:minorTickMark val="none"/>
        <c:tickLblPos val="nextTo"/>
        <c:crossAx val="1658222704"/>
        <c:crosses val="autoZero"/>
        <c:crossBetween val="between"/>
      </c:valAx>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'wykresy OzN NI'!$B$1</c:f>
              <c:strCache>
                <c:ptCount val="1"/>
                <c:pt idx="0">
                  <c:v>Średni poziom trudności</c:v>
                </c:pt>
              </c:strCache>
            </c:strRef>
          </c:tx>
          <c:spPr>
            <a:solidFill>
              <a:schemeClr val="bg1">
                <a:lumMod val="95000"/>
              </a:schemeClr>
            </a:solidFill>
            <a:ln w="28575">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OzN NI'!$A$2:$A$5</c:f>
              <c:strCache>
                <c:ptCount val="4"/>
                <c:pt idx="0">
                  <c:v>Serwisy ostrzegawcze i ratunkowe </c:v>
                </c:pt>
                <c:pt idx="1">
                  <c:v>Serwisy samorządowe</c:v>
                </c:pt>
                <c:pt idx="2">
                  <c:v>Serwisy służby zdrowia</c:v>
                </c:pt>
                <c:pt idx="3">
                  <c:v>Serwisy kultury i sportu</c:v>
                </c:pt>
              </c:strCache>
            </c:strRef>
          </c:cat>
          <c:val>
            <c:numRef>
              <c:f>'wykresy OzN NI'!$B$2:$B$5</c:f>
              <c:numCache>
                <c:formatCode>_(* #,##0.00_);_(* \(#,##0.00\);_(* "-"??_);_(@_)</c:formatCode>
                <c:ptCount val="4"/>
                <c:pt idx="0">
                  <c:v>2.67</c:v>
                </c:pt>
                <c:pt idx="1">
                  <c:v>3</c:v>
                </c:pt>
                <c:pt idx="2">
                  <c:v>3.71</c:v>
                </c:pt>
                <c:pt idx="3">
                  <c:v>3.83</c:v>
                </c:pt>
              </c:numCache>
            </c:numRef>
          </c:val>
          <c:extLst>
            <c:ext xmlns:c16="http://schemas.microsoft.com/office/drawing/2014/chart" uri="{C3380CC4-5D6E-409C-BE32-E72D297353CC}">
              <c16:uniqueId val="{00000000-E3E3-4B35-8F8D-D9FB50070E7D}"/>
            </c:ext>
          </c:extLst>
        </c:ser>
        <c:dLbls>
          <c:showLegendKey val="0"/>
          <c:showVal val="0"/>
          <c:showCatName val="0"/>
          <c:showSerName val="0"/>
          <c:showPercent val="0"/>
          <c:showBubbleSize val="0"/>
        </c:dLbls>
        <c:gapWidth val="150"/>
        <c:overlap val="100"/>
        <c:axId val="1658222704"/>
        <c:axId val="1658223664"/>
      </c:barChart>
      <c:catAx>
        <c:axId val="165822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58223664"/>
        <c:crosses val="autoZero"/>
        <c:auto val="1"/>
        <c:lblAlgn val="ctr"/>
        <c:lblOffset val="100"/>
        <c:noMultiLvlLbl val="0"/>
      </c:catAx>
      <c:valAx>
        <c:axId val="1658223664"/>
        <c:scaling>
          <c:orientation val="minMax"/>
        </c:scaling>
        <c:delete val="1"/>
        <c:axPos val="l"/>
        <c:numFmt formatCode="_(* #,##0.00_);_(* \(#,##0.00\);_(* &quot;-&quot;??_);_(@_)" sourceLinked="1"/>
        <c:majorTickMark val="none"/>
        <c:minorTickMark val="none"/>
        <c:tickLblPos val="nextTo"/>
        <c:crossAx val="165822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B94794-9EE1-49D5-B850-61F7372A43F1}" type="doc">
      <dgm:prSet loTypeId="urn:microsoft.com/office/officeart/2005/8/layout/StepDownProcess" loCatId="process" qsTypeId="urn:microsoft.com/office/officeart/2005/8/quickstyle/simple1" qsCatId="simple" csTypeId="urn:microsoft.com/office/officeart/2005/8/colors/colorful3" csCatId="colorful" phldr="1"/>
      <dgm:spPr/>
      <dgm:t>
        <a:bodyPr/>
        <a:lstStyle/>
        <a:p>
          <a:endParaRPr lang="pl-PL"/>
        </a:p>
      </dgm:t>
    </dgm:pt>
    <dgm:pt modelId="{F17E5A1E-CAC0-47E1-B198-DA5E8A51BA9A}">
      <dgm:prSet phldrT="[Tekst]"/>
      <dgm:spPr>
        <a:solidFill>
          <a:srgbClr val="C00000"/>
        </a:solidFill>
      </dgm:spPr>
      <dgm:t>
        <a:bodyPr/>
        <a:lstStyle/>
        <a:p>
          <a:r>
            <a:rPr lang="pl-PL"/>
            <a:t>badanie jakościowe</a:t>
          </a:r>
        </a:p>
      </dgm:t>
    </dgm:pt>
    <dgm:pt modelId="{77295E6F-218C-4912-AD96-F162C29E1E81}" type="parTrans" cxnId="{CB73A073-3A9F-4A8C-A89C-0E47E855003D}">
      <dgm:prSet/>
      <dgm:spPr/>
      <dgm:t>
        <a:bodyPr/>
        <a:lstStyle/>
        <a:p>
          <a:endParaRPr lang="pl-PL"/>
        </a:p>
      </dgm:t>
    </dgm:pt>
    <dgm:pt modelId="{E1437037-6864-4EA0-8ACC-CF07F60AB44F}" type="sibTrans" cxnId="{CB73A073-3A9F-4A8C-A89C-0E47E855003D}">
      <dgm:prSet/>
      <dgm:spPr/>
      <dgm:t>
        <a:bodyPr/>
        <a:lstStyle/>
        <a:p>
          <a:endParaRPr lang="pl-PL"/>
        </a:p>
      </dgm:t>
    </dgm:pt>
    <dgm:pt modelId="{D85F1F04-3EB2-42B1-A9B8-1FF32D252834}">
      <dgm:prSet phldrT="[Tekst]"/>
      <dgm:spPr>
        <a:solidFill>
          <a:srgbClr val="C00000"/>
        </a:solidFill>
      </dgm:spPr>
      <dgm:t>
        <a:bodyPr/>
        <a:lstStyle/>
        <a:p>
          <a:r>
            <a:rPr lang="pl-PL">
              <a:solidFill>
                <a:schemeClr val="bg1"/>
              </a:solidFill>
            </a:rPr>
            <a:t>pilotaż narzędzi</a:t>
          </a:r>
        </a:p>
      </dgm:t>
    </dgm:pt>
    <dgm:pt modelId="{44C06AAF-523E-44B6-9C20-E239F804CBDE}" type="parTrans" cxnId="{1D10B350-9BB1-4558-9887-CEE09CAFC130}">
      <dgm:prSet/>
      <dgm:spPr/>
      <dgm:t>
        <a:bodyPr/>
        <a:lstStyle/>
        <a:p>
          <a:endParaRPr lang="pl-PL"/>
        </a:p>
      </dgm:t>
    </dgm:pt>
    <dgm:pt modelId="{941F63BE-3DE3-4E08-A406-21725B348FE2}" type="sibTrans" cxnId="{1D10B350-9BB1-4558-9887-CEE09CAFC130}">
      <dgm:prSet/>
      <dgm:spPr/>
      <dgm:t>
        <a:bodyPr/>
        <a:lstStyle/>
        <a:p>
          <a:endParaRPr lang="pl-PL"/>
        </a:p>
      </dgm:t>
    </dgm:pt>
    <dgm:pt modelId="{9901FFE1-F12C-41EC-869E-C8597DEE57E4}">
      <dgm:prSet phldrT="[Tekst]"/>
      <dgm:spPr>
        <a:solidFill>
          <a:schemeClr val="tx1">
            <a:lumMod val="65000"/>
            <a:lumOff val="35000"/>
          </a:schemeClr>
        </a:solidFill>
      </dgm:spPr>
      <dgm:t>
        <a:bodyPr/>
        <a:lstStyle/>
        <a:p>
          <a:r>
            <a:rPr lang="pl-PL"/>
            <a:t>badanie ilościowe</a:t>
          </a:r>
        </a:p>
      </dgm:t>
    </dgm:pt>
    <dgm:pt modelId="{6F4C7DDD-58C5-42FC-B5D1-E77A046175FA}" type="parTrans" cxnId="{5003BE4C-3C15-4B5F-971F-C76F7DDB4D45}">
      <dgm:prSet/>
      <dgm:spPr/>
      <dgm:t>
        <a:bodyPr/>
        <a:lstStyle/>
        <a:p>
          <a:endParaRPr lang="pl-PL"/>
        </a:p>
      </dgm:t>
    </dgm:pt>
    <dgm:pt modelId="{747BB21E-BC93-403B-9310-912CA3DD8424}" type="sibTrans" cxnId="{5003BE4C-3C15-4B5F-971F-C76F7DDB4D45}">
      <dgm:prSet/>
      <dgm:spPr/>
      <dgm:t>
        <a:bodyPr/>
        <a:lstStyle/>
        <a:p>
          <a:endParaRPr lang="pl-PL"/>
        </a:p>
      </dgm:t>
    </dgm:pt>
    <dgm:pt modelId="{6A90B9BE-81A7-4C51-A62C-38F3C4971BE3}">
      <dgm:prSet phldrT="[Tekst]"/>
      <dgm:spPr>
        <a:solidFill>
          <a:srgbClr val="C00000"/>
        </a:solidFill>
      </dgm:spPr>
      <dgm:t>
        <a:bodyPr/>
        <a:lstStyle/>
        <a:p>
          <a:r>
            <a:rPr lang="pl-PL">
              <a:solidFill>
                <a:schemeClr val="bg1"/>
              </a:solidFill>
            </a:rPr>
            <a:t>testy użytkowników</a:t>
          </a:r>
        </a:p>
      </dgm:t>
    </dgm:pt>
    <dgm:pt modelId="{9A51ED34-88E5-40BF-A0BD-F3CA6EF39BD2}" type="parTrans" cxnId="{F221B6AD-BF81-4402-9FDE-05F0483D34DA}">
      <dgm:prSet/>
      <dgm:spPr/>
      <dgm:t>
        <a:bodyPr/>
        <a:lstStyle/>
        <a:p>
          <a:endParaRPr lang="pl-PL"/>
        </a:p>
      </dgm:t>
    </dgm:pt>
    <dgm:pt modelId="{B1DD71EE-BB9D-468A-9CDF-1C77C7E176E9}" type="sibTrans" cxnId="{F221B6AD-BF81-4402-9FDE-05F0483D34DA}">
      <dgm:prSet/>
      <dgm:spPr/>
      <dgm:t>
        <a:bodyPr/>
        <a:lstStyle/>
        <a:p>
          <a:endParaRPr lang="pl-PL"/>
        </a:p>
      </dgm:t>
    </dgm:pt>
    <dgm:pt modelId="{23323BD2-18BC-4363-959B-B0C180BAD49C}">
      <dgm:prSet phldrT="[Tekst]"/>
      <dgm:spPr>
        <a:solidFill>
          <a:srgbClr val="C00000"/>
        </a:solidFill>
      </dgm:spPr>
      <dgm:t>
        <a:bodyPr/>
        <a:lstStyle/>
        <a:p>
          <a:r>
            <a:rPr lang="pl-PL">
              <a:solidFill>
                <a:schemeClr val="bg1"/>
              </a:solidFill>
            </a:rPr>
            <a:t>IDI</a:t>
          </a:r>
        </a:p>
      </dgm:t>
    </dgm:pt>
    <dgm:pt modelId="{318CB18B-FEC8-42DB-A8EF-92C9E85E9907}" type="parTrans" cxnId="{E4CF8A74-730A-4B1A-834B-9D0A031B5B65}">
      <dgm:prSet/>
      <dgm:spPr/>
      <dgm:t>
        <a:bodyPr/>
        <a:lstStyle/>
        <a:p>
          <a:endParaRPr lang="pl-PL"/>
        </a:p>
      </dgm:t>
    </dgm:pt>
    <dgm:pt modelId="{B9D6AEA7-5623-4FF2-B525-8D867CCCA48C}" type="sibTrans" cxnId="{E4CF8A74-730A-4B1A-834B-9D0A031B5B65}">
      <dgm:prSet/>
      <dgm:spPr/>
      <dgm:t>
        <a:bodyPr/>
        <a:lstStyle/>
        <a:p>
          <a:endParaRPr lang="pl-PL"/>
        </a:p>
      </dgm:t>
    </dgm:pt>
    <dgm:pt modelId="{F192856B-436D-48CA-AF7D-2FA51E0C6635}">
      <dgm:prSet phldrT="[Tekst]"/>
      <dgm:spPr>
        <a:solidFill>
          <a:srgbClr val="C00000"/>
        </a:solidFill>
      </dgm:spPr>
      <dgm:t>
        <a:bodyPr/>
        <a:lstStyle/>
        <a:p>
          <a:r>
            <a:rPr lang="pl-PL">
              <a:solidFill>
                <a:schemeClr val="bg1"/>
              </a:solidFill>
            </a:rPr>
            <a:t>raport z badania</a:t>
          </a:r>
        </a:p>
      </dgm:t>
    </dgm:pt>
    <dgm:pt modelId="{0D7DA1A1-694E-4D1E-A688-C7B20C96C9E9}" type="parTrans" cxnId="{EB37D88C-3BEE-4C9E-B7E8-06205F041876}">
      <dgm:prSet/>
      <dgm:spPr/>
      <dgm:t>
        <a:bodyPr/>
        <a:lstStyle/>
        <a:p>
          <a:endParaRPr lang="pl-PL"/>
        </a:p>
      </dgm:t>
    </dgm:pt>
    <dgm:pt modelId="{FE662DCB-F84B-42FF-AD7C-942530A4490A}" type="sibTrans" cxnId="{EB37D88C-3BEE-4C9E-B7E8-06205F041876}">
      <dgm:prSet/>
      <dgm:spPr/>
      <dgm:t>
        <a:bodyPr/>
        <a:lstStyle/>
        <a:p>
          <a:endParaRPr lang="pl-PL"/>
        </a:p>
      </dgm:t>
    </dgm:pt>
    <dgm:pt modelId="{516F9F41-34F8-468E-A3D5-D2F30E520622}">
      <dgm:prSet phldrT="[Tekst]"/>
      <dgm:spPr>
        <a:solidFill>
          <a:schemeClr val="tx1">
            <a:lumMod val="65000"/>
            <a:lumOff val="35000"/>
          </a:schemeClr>
        </a:solidFill>
      </dgm:spPr>
      <dgm:t>
        <a:bodyPr/>
        <a:lstStyle/>
        <a:p>
          <a:r>
            <a:rPr lang="pl-PL">
              <a:solidFill>
                <a:schemeClr val="bg1"/>
              </a:solidFill>
            </a:rPr>
            <a:t>pilotaż narzędzi</a:t>
          </a:r>
        </a:p>
      </dgm:t>
    </dgm:pt>
    <dgm:pt modelId="{519C92A6-22E0-4928-A11C-6F7A3982150A}" type="parTrans" cxnId="{4F69DA59-0042-4964-A9E2-BACAA2395186}">
      <dgm:prSet/>
      <dgm:spPr/>
      <dgm:t>
        <a:bodyPr/>
        <a:lstStyle/>
        <a:p>
          <a:endParaRPr lang="pl-PL"/>
        </a:p>
      </dgm:t>
    </dgm:pt>
    <dgm:pt modelId="{C65F70EE-619D-4C5A-B2BB-99844C8AC247}" type="sibTrans" cxnId="{4F69DA59-0042-4964-A9E2-BACAA2395186}">
      <dgm:prSet/>
      <dgm:spPr/>
      <dgm:t>
        <a:bodyPr/>
        <a:lstStyle/>
        <a:p>
          <a:endParaRPr lang="pl-PL"/>
        </a:p>
      </dgm:t>
    </dgm:pt>
    <dgm:pt modelId="{5F254111-C065-42A7-9E84-33BA704CD0D0}">
      <dgm:prSet phldrT="[Tekst]"/>
      <dgm:spPr>
        <a:solidFill>
          <a:schemeClr val="tx1">
            <a:lumMod val="65000"/>
            <a:lumOff val="35000"/>
          </a:schemeClr>
        </a:solidFill>
      </dgm:spPr>
      <dgm:t>
        <a:bodyPr/>
        <a:lstStyle/>
        <a:p>
          <a:r>
            <a:rPr lang="pl-PL">
              <a:solidFill>
                <a:schemeClr val="bg1"/>
              </a:solidFill>
            </a:rPr>
            <a:t>ankietowanie</a:t>
          </a:r>
        </a:p>
      </dgm:t>
    </dgm:pt>
    <dgm:pt modelId="{25FD2D9C-93B4-4BCD-B90C-F22A735CDE0A}" type="parTrans" cxnId="{95FE2428-9114-47C9-8CEC-F5AD2EA17F79}">
      <dgm:prSet/>
      <dgm:spPr/>
      <dgm:t>
        <a:bodyPr/>
        <a:lstStyle/>
        <a:p>
          <a:endParaRPr lang="pl-PL"/>
        </a:p>
      </dgm:t>
    </dgm:pt>
    <dgm:pt modelId="{3691378A-D50B-4369-BED3-495FF567E540}" type="sibTrans" cxnId="{95FE2428-9114-47C9-8CEC-F5AD2EA17F79}">
      <dgm:prSet/>
      <dgm:spPr/>
      <dgm:t>
        <a:bodyPr/>
        <a:lstStyle/>
        <a:p>
          <a:endParaRPr lang="pl-PL"/>
        </a:p>
      </dgm:t>
    </dgm:pt>
    <dgm:pt modelId="{06D46D59-73F6-4DE2-BB5D-AA7E40C005C9}">
      <dgm:prSet phldrT="[Tekst]"/>
      <dgm:spPr>
        <a:solidFill>
          <a:schemeClr val="tx1">
            <a:lumMod val="65000"/>
            <a:lumOff val="35000"/>
          </a:schemeClr>
        </a:solidFill>
      </dgm:spPr>
      <dgm:t>
        <a:bodyPr/>
        <a:lstStyle/>
        <a:p>
          <a:r>
            <a:rPr lang="pl-PL">
              <a:solidFill>
                <a:schemeClr val="bg1"/>
              </a:solidFill>
            </a:rPr>
            <a:t>zbiorczy raport z badania</a:t>
          </a:r>
        </a:p>
      </dgm:t>
    </dgm:pt>
    <dgm:pt modelId="{433B4D72-23F0-4B2B-B1CC-FDFDF3BE713A}" type="parTrans" cxnId="{86547649-90F8-4588-BD29-663D6B964A61}">
      <dgm:prSet/>
      <dgm:spPr/>
      <dgm:t>
        <a:bodyPr/>
        <a:lstStyle/>
        <a:p>
          <a:endParaRPr lang="pl-PL"/>
        </a:p>
      </dgm:t>
    </dgm:pt>
    <dgm:pt modelId="{1AE79763-1F8F-4E32-B199-943CF30875D9}" type="sibTrans" cxnId="{86547649-90F8-4588-BD29-663D6B964A61}">
      <dgm:prSet/>
      <dgm:spPr/>
      <dgm:t>
        <a:bodyPr/>
        <a:lstStyle/>
        <a:p>
          <a:endParaRPr lang="pl-PL"/>
        </a:p>
      </dgm:t>
    </dgm:pt>
    <dgm:pt modelId="{C60D6B21-C70B-4458-9291-96A8598C7EF3}" type="pres">
      <dgm:prSet presAssocID="{52B94794-9EE1-49D5-B850-61F7372A43F1}" presName="rootnode" presStyleCnt="0">
        <dgm:presLayoutVars>
          <dgm:chMax/>
          <dgm:chPref/>
          <dgm:dir/>
          <dgm:animLvl val="lvl"/>
        </dgm:presLayoutVars>
      </dgm:prSet>
      <dgm:spPr/>
    </dgm:pt>
    <dgm:pt modelId="{8B5F0983-CFC2-4F38-A703-CFB2EA08672E}" type="pres">
      <dgm:prSet presAssocID="{F17E5A1E-CAC0-47E1-B198-DA5E8A51BA9A}" presName="composite" presStyleCnt="0"/>
      <dgm:spPr/>
    </dgm:pt>
    <dgm:pt modelId="{3DCBF9BF-DF62-42B5-88BF-D8CA0604BD5F}" type="pres">
      <dgm:prSet presAssocID="{F17E5A1E-CAC0-47E1-B198-DA5E8A51BA9A}" presName="bentUpArrow1" presStyleLbl="alignImgPlace1" presStyleIdx="0" presStyleCnt="1"/>
      <dgm:spPr/>
    </dgm:pt>
    <dgm:pt modelId="{ECDE23A6-10C1-4268-9686-FEB84E49A8F4}" type="pres">
      <dgm:prSet presAssocID="{F17E5A1E-CAC0-47E1-B198-DA5E8A51BA9A}" presName="ParentText" presStyleLbl="node1" presStyleIdx="0" presStyleCnt="2">
        <dgm:presLayoutVars>
          <dgm:chMax val="1"/>
          <dgm:chPref val="1"/>
          <dgm:bulletEnabled val="1"/>
        </dgm:presLayoutVars>
      </dgm:prSet>
      <dgm:spPr/>
    </dgm:pt>
    <dgm:pt modelId="{454DEEB4-9ADA-45B6-A042-B3C892EB3870}" type="pres">
      <dgm:prSet presAssocID="{F17E5A1E-CAC0-47E1-B198-DA5E8A51BA9A}" presName="ChildText" presStyleLbl="revTx" presStyleIdx="0" presStyleCnt="2">
        <dgm:presLayoutVars>
          <dgm:chMax val="0"/>
          <dgm:chPref val="0"/>
          <dgm:bulletEnabled val="1"/>
        </dgm:presLayoutVars>
      </dgm:prSet>
      <dgm:spPr/>
    </dgm:pt>
    <dgm:pt modelId="{002540A2-D2E1-4DD9-BFAC-21E75AAACB0B}" type="pres">
      <dgm:prSet presAssocID="{E1437037-6864-4EA0-8ACC-CF07F60AB44F}" presName="sibTrans" presStyleCnt="0"/>
      <dgm:spPr/>
    </dgm:pt>
    <dgm:pt modelId="{3565D6F4-C635-472E-9460-25BC89B64BA8}" type="pres">
      <dgm:prSet presAssocID="{9901FFE1-F12C-41EC-869E-C8597DEE57E4}" presName="composite" presStyleCnt="0"/>
      <dgm:spPr/>
    </dgm:pt>
    <dgm:pt modelId="{C3C9730D-38AF-4B79-854A-00ED7BB76341}" type="pres">
      <dgm:prSet presAssocID="{9901FFE1-F12C-41EC-869E-C8597DEE57E4}" presName="ParentText" presStyleLbl="node1" presStyleIdx="1" presStyleCnt="2">
        <dgm:presLayoutVars>
          <dgm:chMax val="1"/>
          <dgm:chPref val="1"/>
          <dgm:bulletEnabled val="1"/>
        </dgm:presLayoutVars>
      </dgm:prSet>
      <dgm:spPr/>
    </dgm:pt>
    <dgm:pt modelId="{2CDF3428-652C-4F62-AE36-DBE3F2CC4CC0}" type="pres">
      <dgm:prSet presAssocID="{9901FFE1-F12C-41EC-869E-C8597DEE57E4}" presName="FinalChildText" presStyleLbl="revTx" presStyleIdx="1" presStyleCnt="2">
        <dgm:presLayoutVars>
          <dgm:chMax val="0"/>
          <dgm:chPref val="0"/>
          <dgm:bulletEnabled val="1"/>
        </dgm:presLayoutVars>
      </dgm:prSet>
      <dgm:spPr/>
    </dgm:pt>
  </dgm:ptLst>
  <dgm:cxnLst>
    <dgm:cxn modelId="{495A041A-5712-4F8F-9CB2-7E3DD92F4845}" type="presOf" srcId="{F192856B-436D-48CA-AF7D-2FA51E0C6635}" destId="{454DEEB4-9ADA-45B6-A042-B3C892EB3870}" srcOrd="0" destOrd="3" presId="urn:microsoft.com/office/officeart/2005/8/layout/StepDownProcess"/>
    <dgm:cxn modelId="{95FE2428-9114-47C9-8CEC-F5AD2EA17F79}" srcId="{9901FFE1-F12C-41EC-869E-C8597DEE57E4}" destId="{5F254111-C065-42A7-9E84-33BA704CD0D0}" srcOrd="1" destOrd="0" parTransId="{25FD2D9C-93B4-4BCD-B90C-F22A735CDE0A}" sibTransId="{3691378A-D50B-4369-BED3-495FF567E540}"/>
    <dgm:cxn modelId="{86547649-90F8-4588-BD29-663D6B964A61}" srcId="{9901FFE1-F12C-41EC-869E-C8597DEE57E4}" destId="{06D46D59-73F6-4DE2-BB5D-AA7E40C005C9}" srcOrd="2" destOrd="0" parTransId="{433B4D72-23F0-4B2B-B1CC-FDFDF3BE713A}" sibTransId="{1AE79763-1F8F-4E32-B199-943CF30875D9}"/>
    <dgm:cxn modelId="{5003BE4C-3C15-4B5F-971F-C76F7DDB4D45}" srcId="{52B94794-9EE1-49D5-B850-61F7372A43F1}" destId="{9901FFE1-F12C-41EC-869E-C8597DEE57E4}" srcOrd="1" destOrd="0" parTransId="{6F4C7DDD-58C5-42FC-B5D1-E77A046175FA}" sibTransId="{747BB21E-BC93-403B-9310-912CA3DD8424}"/>
    <dgm:cxn modelId="{1D10B350-9BB1-4558-9887-CEE09CAFC130}" srcId="{F17E5A1E-CAC0-47E1-B198-DA5E8A51BA9A}" destId="{D85F1F04-3EB2-42B1-A9B8-1FF32D252834}" srcOrd="0" destOrd="0" parTransId="{44C06AAF-523E-44B6-9C20-E239F804CBDE}" sibTransId="{941F63BE-3DE3-4E08-A406-21725B348FE2}"/>
    <dgm:cxn modelId="{CB73A073-3A9F-4A8C-A89C-0E47E855003D}" srcId="{52B94794-9EE1-49D5-B850-61F7372A43F1}" destId="{F17E5A1E-CAC0-47E1-B198-DA5E8A51BA9A}" srcOrd="0" destOrd="0" parTransId="{77295E6F-218C-4912-AD96-F162C29E1E81}" sibTransId="{E1437037-6864-4EA0-8ACC-CF07F60AB44F}"/>
    <dgm:cxn modelId="{E4CF8A74-730A-4B1A-834B-9D0A031B5B65}" srcId="{F17E5A1E-CAC0-47E1-B198-DA5E8A51BA9A}" destId="{23323BD2-18BC-4363-959B-B0C180BAD49C}" srcOrd="2" destOrd="0" parTransId="{318CB18B-FEC8-42DB-A8EF-92C9E85E9907}" sibTransId="{B9D6AEA7-5623-4FF2-B525-8D867CCCA48C}"/>
    <dgm:cxn modelId="{0F141E77-E3CF-4600-A58E-F2A2F16E9D45}" type="presOf" srcId="{6A90B9BE-81A7-4C51-A62C-38F3C4971BE3}" destId="{454DEEB4-9ADA-45B6-A042-B3C892EB3870}" srcOrd="0" destOrd="1" presId="urn:microsoft.com/office/officeart/2005/8/layout/StepDownProcess"/>
    <dgm:cxn modelId="{4F69DA59-0042-4964-A9E2-BACAA2395186}" srcId="{9901FFE1-F12C-41EC-869E-C8597DEE57E4}" destId="{516F9F41-34F8-468E-A3D5-D2F30E520622}" srcOrd="0" destOrd="0" parTransId="{519C92A6-22E0-4928-A11C-6F7A3982150A}" sibTransId="{C65F70EE-619D-4C5A-B2BB-99844C8AC247}"/>
    <dgm:cxn modelId="{EF261A88-54F9-48C6-AD00-776BEEBA0B0A}" type="presOf" srcId="{52B94794-9EE1-49D5-B850-61F7372A43F1}" destId="{C60D6B21-C70B-4458-9291-96A8598C7EF3}" srcOrd="0" destOrd="0" presId="urn:microsoft.com/office/officeart/2005/8/layout/StepDownProcess"/>
    <dgm:cxn modelId="{EB37D88C-3BEE-4C9E-B7E8-06205F041876}" srcId="{F17E5A1E-CAC0-47E1-B198-DA5E8A51BA9A}" destId="{F192856B-436D-48CA-AF7D-2FA51E0C6635}" srcOrd="3" destOrd="0" parTransId="{0D7DA1A1-694E-4D1E-A688-C7B20C96C9E9}" sibTransId="{FE662DCB-F84B-42FF-AD7C-942530A4490A}"/>
    <dgm:cxn modelId="{89B0DD9D-4F1D-4D21-A400-E84F5D9CE596}" type="presOf" srcId="{06D46D59-73F6-4DE2-BB5D-AA7E40C005C9}" destId="{2CDF3428-652C-4F62-AE36-DBE3F2CC4CC0}" srcOrd="0" destOrd="2" presId="urn:microsoft.com/office/officeart/2005/8/layout/StepDownProcess"/>
    <dgm:cxn modelId="{F221B6AD-BF81-4402-9FDE-05F0483D34DA}" srcId="{F17E5A1E-CAC0-47E1-B198-DA5E8A51BA9A}" destId="{6A90B9BE-81A7-4C51-A62C-38F3C4971BE3}" srcOrd="1" destOrd="0" parTransId="{9A51ED34-88E5-40BF-A0BD-F3CA6EF39BD2}" sibTransId="{B1DD71EE-BB9D-468A-9CDF-1C77C7E176E9}"/>
    <dgm:cxn modelId="{5797FBCD-E46F-4B4C-8C64-5317D7083951}" type="presOf" srcId="{D85F1F04-3EB2-42B1-A9B8-1FF32D252834}" destId="{454DEEB4-9ADA-45B6-A042-B3C892EB3870}" srcOrd="0" destOrd="0" presId="urn:microsoft.com/office/officeart/2005/8/layout/StepDownProcess"/>
    <dgm:cxn modelId="{9F09FED1-4353-4F92-9483-C708C9551072}" type="presOf" srcId="{F17E5A1E-CAC0-47E1-B198-DA5E8A51BA9A}" destId="{ECDE23A6-10C1-4268-9686-FEB84E49A8F4}" srcOrd="0" destOrd="0" presId="urn:microsoft.com/office/officeart/2005/8/layout/StepDownProcess"/>
    <dgm:cxn modelId="{244767DE-43C6-4A8D-88CC-3551590A5D09}" type="presOf" srcId="{9901FFE1-F12C-41EC-869E-C8597DEE57E4}" destId="{C3C9730D-38AF-4B79-854A-00ED7BB76341}" srcOrd="0" destOrd="0" presId="urn:microsoft.com/office/officeart/2005/8/layout/StepDownProcess"/>
    <dgm:cxn modelId="{F5CA38F5-40BA-4E1B-98BA-A7CE7A2F7215}" type="presOf" srcId="{5F254111-C065-42A7-9E84-33BA704CD0D0}" destId="{2CDF3428-652C-4F62-AE36-DBE3F2CC4CC0}" srcOrd="0" destOrd="1" presId="urn:microsoft.com/office/officeart/2005/8/layout/StepDownProcess"/>
    <dgm:cxn modelId="{35F600F6-9453-474B-9E5F-B761E45F0505}" type="presOf" srcId="{23323BD2-18BC-4363-959B-B0C180BAD49C}" destId="{454DEEB4-9ADA-45B6-A042-B3C892EB3870}" srcOrd="0" destOrd="2" presId="urn:microsoft.com/office/officeart/2005/8/layout/StepDownProcess"/>
    <dgm:cxn modelId="{169E54F8-B705-44E5-96CC-8572D88F2C69}" type="presOf" srcId="{516F9F41-34F8-468E-A3D5-D2F30E520622}" destId="{2CDF3428-652C-4F62-AE36-DBE3F2CC4CC0}" srcOrd="0" destOrd="0" presId="urn:microsoft.com/office/officeart/2005/8/layout/StepDownProcess"/>
    <dgm:cxn modelId="{C0AA45DC-A348-4341-9C32-73DABDEA628F}" type="presParOf" srcId="{C60D6B21-C70B-4458-9291-96A8598C7EF3}" destId="{8B5F0983-CFC2-4F38-A703-CFB2EA08672E}" srcOrd="0" destOrd="0" presId="urn:microsoft.com/office/officeart/2005/8/layout/StepDownProcess"/>
    <dgm:cxn modelId="{9B1EF03A-36B3-451F-9325-2BC3E9F12087}" type="presParOf" srcId="{8B5F0983-CFC2-4F38-A703-CFB2EA08672E}" destId="{3DCBF9BF-DF62-42B5-88BF-D8CA0604BD5F}" srcOrd="0" destOrd="0" presId="urn:microsoft.com/office/officeart/2005/8/layout/StepDownProcess"/>
    <dgm:cxn modelId="{02CC47E4-B387-4E82-8CAD-08686B630D7B}" type="presParOf" srcId="{8B5F0983-CFC2-4F38-A703-CFB2EA08672E}" destId="{ECDE23A6-10C1-4268-9686-FEB84E49A8F4}" srcOrd="1" destOrd="0" presId="urn:microsoft.com/office/officeart/2005/8/layout/StepDownProcess"/>
    <dgm:cxn modelId="{EE9046FC-4551-49D4-97E0-66C8A6A4AE2C}" type="presParOf" srcId="{8B5F0983-CFC2-4F38-A703-CFB2EA08672E}" destId="{454DEEB4-9ADA-45B6-A042-B3C892EB3870}" srcOrd="2" destOrd="0" presId="urn:microsoft.com/office/officeart/2005/8/layout/StepDownProcess"/>
    <dgm:cxn modelId="{5C230ED8-1F17-48A5-BD06-C9706FB9B3B5}" type="presParOf" srcId="{C60D6B21-C70B-4458-9291-96A8598C7EF3}" destId="{002540A2-D2E1-4DD9-BFAC-21E75AAACB0B}" srcOrd="1" destOrd="0" presId="urn:microsoft.com/office/officeart/2005/8/layout/StepDownProcess"/>
    <dgm:cxn modelId="{5C8BF442-F94F-4AFC-AB4B-3FF862E6BD30}" type="presParOf" srcId="{C60D6B21-C70B-4458-9291-96A8598C7EF3}" destId="{3565D6F4-C635-472E-9460-25BC89B64BA8}" srcOrd="2" destOrd="0" presId="urn:microsoft.com/office/officeart/2005/8/layout/StepDownProcess"/>
    <dgm:cxn modelId="{B30E10F4-4652-4303-A1E2-41A79523C8FF}" type="presParOf" srcId="{3565D6F4-C635-472E-9460-25BC89B64BA8}" destId="{C3C9730D-38AF-4B79-854A-00ED7BB76341}" srcOrd="0" destOrd="0" presId="urn:microsoft.com/office/officeart/2005/8/layout/StepDownProcess"/>
    <dgm:cxn modelId="{A02BBC2A-AF6A-409D-8E75-9B5063E76C5F}" type="presParOf" srcId="{3565D6F4-C635-472E-9460-25BC89B64BA8}" destId="{2CDF3428-652C-4F62-AE36-DBE3F2CC4CC0}" srcOrd="1" destOrd="0" presId="urn:microsoft.com/office/officeart/2005/8/layout/StepDown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CBF9BF-DF62-42B5-88BF-D8CA0604BD5F}">
      <dsp:nvSpPr>
        <dsp:cNvPr id="0" name=""/>
        <dsp:cNvSpPr/>
      </dsp:nvSpPr>
      <dsp:spPr>
        <a:xfrm rot="5400000">
          <a:off x="348189" y="1419349"/>
          <a:ext cx="1269346" cy="1445105"/>
        </a:xfrm>
        <a:prstGeom prst="bentUpArrow">
          <a:avLst>
            <a:gd name="adj1" fmla="val 32840"/>
            <a:gd name="adj2" fmla="val 25000"/>
            <a:gd name="adj3" fmla="val 35780"/>
          </a:avLst>
        </a:prstGeom>
        <a:solidFill>
          <a:schemeClr val="accent3">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DE23A6-10C1-4268-9686-FEB84E49A8F4}">
      <dsp:nvSpPr>
        <dsp:cNvPr id="0" name=""/>
        <dsp:cNvSpPr/>
      </dsp:nvSpPr>
      <dsp:spPr>
        <a:xfrm>
          <a:off x="11890" y="12254"/>
          <a:ext cx="2136831" cy="1495712"/>
        </a:xfrm>
        <a:prstGeom prst="roundRect">
          <a:avLst>
            <a:gd name="adj" fmla="val 16670"/>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110" tIns="118110" rIns="118110" bIns="118110" numCol="1" spcCol="1270" anchor="ctr" anchorCtr="0">
          <a:noAutofit/>
        </a:bodyPr>
        <a:lstStyle/>
        <a:p>
          <a:pPr marL="0" lvl="0" indent="0" algn="ctr" defTabSz="1377950">
            <a:lnSpc>
              <a:spcPct val="90000"/>
            </a:lnSpc>
            <a:spcBef>
              <a:spcPct val="0"/>
            </a:spcBef>
            <a:spcAft>
              <a:spcPct val="35000"/>
            </a:spcAft>
            <a:buNone/>
          </a:pPr>
          <a:r>
            <a:rPr lang="pl-PL" sz="3100" kern="1200"/>
            <a:t>badanie jakościowe</a:t>
          </a:r>
        </a:p>
      </dsp:txBody>
      <dsp:txXfrm>
        <a:off x="84918" y="85282"/>
        <a:ext cx="1990775" cy="1349656"/>
      </dsp:txXfrm>
    </dsp:sp>
    <dsp:sp modelId="{454DEEB4-9ADA-45B6-A042-B3C892EB3870}">
      <dsp:nvSpPr>
        <dsp:cNvPr id="0" name=""/>
        <dsp:cNvSpPr/>
      </dsp:nvSpPr>
      <dsp:spPr>
        <a:xfrm>
          <a:off x="2148721" y="154904"/>
          <a:ext cx="1554127" cy="1208901"/>
        </a:xfrm>
        <a:prstGeom prst="rect">
          <a:avLst/>
        </a:prstGeom>
        <a:solidFill>
          <a:srgbClr val="C00000"/>
        </a:solidFill>
        <a:ln>
          <a:noFill/>
        </a:ln>
        <a:effectLst/>
      </dsp:spPr>
      <dsp:style>
        <a:lnRef idx="0">
          <a:scrgbClr r="0" g="0" b="0"/>
        </a:lnRef>
        <a:fillRef idx="0">
          <a:scrgbClr r="0" g="0" b="0"/>
        </a:fillRef>
        <a:effectRef idx="0">
          <a:scrgbClr r="0" g="0" b="0"/>
        </a:effectRef>
        <a:fontRef idx="minor"/>
      </dsp:style>
      <dsp:txBody>
        <a:bodyPr spcFirstLastPara="0" vert="horz" wrap="square" lIns="64770" tIns="64770" rIns="64770" bIns="64770" numCol="1" spcCol="1270" anchor="ctr" anchorCtr="0">
          <a:noAutofit/>
        </a:bodyPr>
        <a:lstStyle/>
        <a:p>
          <a:pPr marL="114300" lvl="1" indent="-114300" algn="l" defTabSz="577850">
            <a:lnSpc>
              <a:spcPct val="90000"/>
            </a:lnSpc>
            <a:spcBef>
              <a:spcPct val="0"/>
            </a:spcBef>
            <a:spcAft>
              <a:spcPct val="15000"/>
            </a:spcAft>
            <a:buChar char="•"/>
          </a:pPr>
          <a:r>
            <a:rPr lang="pl-PL" sz="1300" kern="1200">
              <a:solidFill>
                <a:schemeClr val="bg1"/>
              </a:solidFill>
            </a:rPr>
            <a:t>pilotaż narzędzi</a:t>
          </a:r>
        </a:p>
        <a:p>
          <a:pPr marL="114300" lvl="1" indent="-114300" algn="l" defTabSz="577850">
            <a:lnSpc>
              <a:spcPct val="90000"/>
            </a:lnSpc>
            <a:spcBef>
              <a:spcPct val="0"/>
            </a:spcBef>
            <a:spcAft>
              <a:spcPct val="15000"/>
            </a:spcAft>
            <a:buChar char="•"/>
          </a:pPr>
          <a:r>
            <a:rPr lang="pl-PL" sz="1300" kern="1200">
              <a:solidFill>
                <a:schemeClr val="bg1"/>
              </a:solidFill>
            </a:rPr>
            <a:t>testy użytkowników</a:t>
          </a:r>
        </a:p>
        <a:p>
          <a:pPr marL="114300" lvl="1" indent="-114300" algn="l" defTabSz="577850">
            <a:lnSpc>
              <a:spcPct val="90000"/>
            </a:lnSpc>
            <a:spcBef>
              <a:spcPct val="0"/>
            </a:spcBef>
            <a:spcAft>
              <a:spcPct val="15000"/>
            </a:spcAft>
            <a:buChar char="•"/>
          </a:pPr>
          <a:r>
            <a:rPr lang="pl-PL" sz="1300" kern="1200">
              <a:solidFill>
                <a:schemeClr val="bg1"/>
              </a:solidFill>
            </a:rPr>
            <a:t>IDI</a:t>
          </a:r>
        </a:p>
        <a:p>
          <a:pPr marL="114300" lvl="1" indent="-114300" algn="l" defTabSz="577850">
            <a:lnSpc>
              <a:spcPct val="90000"/>
            </a:lnSpc>
            <a:spcBef>
              <a:spcPct val="0"/>
            </a:spcBef>
            <a:spcAft>
              <a:spcPct val="15000"/>
            </a:spcAft>
            <a:buChar char="•"/>
          </a:pPr>
          <a:r>
            <a:rPr lang="pl-PL" sz="1300" kern="1200">
              <a:solidFill>
                <a:schemeClr val="bg1"/>
              </a:solidFill>
            </a:rPr>
            <a:t>raport z badania</a:t>
          </a:r>
        </a:p>
      </dsp:txBody>
      <dsp:txXfrm>
        <a:off x="2148721" y="154904"/>
        <a:ext cx="1554127" cy="1208901"/>
      </dsp:txXfrm>
    </dsp:sp>
    <dsp:sp modelId="{C3C9730D-38AF-4B79-854A-00ED7BB76341}">
      <dsp:nvSpPr>
        <dsp:cNvPr id="0" name=""/>
        <dsp:cNvSpPr/>
      </dsp:nvSpPr>
      <dsp:spPr>
        <a:xfrm>
          <a:off x="1783550" y="1692433"/>
          <a:ext cx="2136831" cy="1495712"/>
        </a:xfrm>
        <a:prstGeom prst="roundRect">
          <a:avLst>
            <a:gd name="adj" fmla="val 16670"/>
          </a:avLst>
        </a:prstGeom>
        <a:solidFill>
          <a:schemeClr val="tx1">
            <a:lumMod val="65000"/>
            <a:lumOff val="3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8110" tIns="118110" rIns="118110" bIns="118110" numCol="1" spcCol="1270" anchor="ctr" anchorCtr="0">
          <a:noAutofit/>
        </a:bodyPr>
        <a:lstStyle/>
        <a:p>
          <a:pPr marL="0" lvl="0" indent="0" algn="ctr" defTabSz="1377950">
            <a:lnSpc>
              <a:spcPct val="90000"/>
            </a:lnSpc>
            <a:spcBef>
              <a:spcPct val="0"/>
            </a:spcBef>
            <a:spcAft>
              <a:spcPct val="35000"/>
            </a:spcAft>
            <a:buNone/>
          </a:pPr>
          <a:r>
            <a:rPr lang="pl-PL" sz="3100" kern="1200"/>
            <a:t>badanie ilościowe</a:t>
          </a:r>
        </a:p>
      </dsp:txBody>
      <dsp:txXfrm>
        <a:off x="1856578" y="1765461"/>
        <a:ext cx="1990775" cy="1349656"/>
      </dsp:txXfrm>
    </dsp:sp>
    <dsp:sp modelId="{2CDF3428-652C-4F62-AE36-DBE3F2CC4CC0}">
      <dsp:nvSpPr>
        <dsp:cNvPr id="0" name=""/>
        <dsp:cNvSpPr/>
      </dsp:nvSpPr>
      <dsp:spPr>
        <a:xfrm>
          <a:off x="3920382" y="1835083"/>
          <a:ext cx="1554127" cy="1208901"/>
        </a:xfrm>
        <a:prstGeom prst="rect">
          <a:avLst/>
        </a:prstGeom>
        <a:solidFill>
          <a:schemeClr val="tx1">
            <a:lumMod val="65000"/>
            <a:lumOff val="35000"/>
          </a:schemeClr>
        </a:solidFill>
        <a:ln>
          <a:noFill/>
        </a:ln>
        <a:effectLst/>
      </dsp:spPr>
      <dsp:style>
        <a:lnRef idx="0">
          <a:scrgbClr r="0" g="0" b="0"/>
        </a:lnRef>
        <a:fillRef idx="0">
          <a:scrgbClr r="0" g="0" b="0"/>
        </a:fillRef>
        <a:effectRef idx="0">
          <a:scrgbClr r="0" g="0" b="0"/>
        </a:effectRef>
        <a:fontRef idx="minor"/>
      </dsp:style>
      <dsp:txBody>
        <a:bodyPr spcFirstLastPara="0" vert="horz" wrap="square" lIns="72390" tIns="72390" rIns="72390" bIns="72390" numCol="1" spcCol="1270" anchor="ctr" anchorCtr="0">
          <a:noAutofit/>
        </a:bodyPr>
        <a:lstStyle/>
        <a:p>
          <a:pPr marL="114300" lvl="1" indent="-114300" algn="l" defTabSz="666750">
            <a:lnSpc>
              <a:spcPct val="90000"/>
            </a:lnSpc>
            <a:spcBef>
              <a:spcPct val="0"/>
            </a:spcBef>
            <a:spcAft>
              <a:spcPct val="15000"/>
            </a:spcAft>
            <a:buChar char="•"/>
          </a:pPr>
          <a:r>
            <a:rPr lang="pl-PL" sz="1500" kern="1200">
              <a:solidFill>
                <a:schemeClr val="bg1"/>
              </a:solidFill>
            </a:rPr>
            <a:t>pilotaż narzędzi</a:t>
          </a:r>
        </a:p>
        <a:p>
          <a:pPr marL="114300" lvl="1" indent="-114300" algn="l" defTabSz="666750">
            <a:lnSpc>
              <a:spcPct val="90000"/>
            </a:lnSpc>
            <a:spcBef>
              <a:spcPct val="0"/>
            </a:spcBef>
            <a:spcAft>
              <a:spcPct val="15000"/>
            </a:spcAft>
            <a:buChar char="•"/>
          </a:pPr>
          <a:r>
            <a:rPr lang="pl-PL" sz="1500" kern="1200">
              <a:solidFill>
                <a:schemeClr val="bg1"/>
              </a:solidFill>
            </a:rPr>
            <a:t>ankietowanie</a:t>
          </a:r>
        </a:p>
        <a:p>
          <a:pPr marL="114300" lvl="1" indent="-114300" algn="l" defTabSz="666750">
            <a:lnSpc>
              <a:spcPct val="90000"/>
            </a:lnSpc>
            <a:spcBef>
              <a:spcPct val="0"/>
            </a:spcBef>
            <a:spcAft>
              <a:spcPct val="15000"/>
            </a:spcAft>
            <a:buChar char="•"/>
          </a:pPr>
          <a:r>
            <a:rPr lang="pl-PL" sz="1500" kern="1200">
              <a:solidFill>
                <a:schemeClr val="bg1"/>
              </a:solidFill>
            </a:rPr>
            <a:t>zbiorczy raport z badania</a:t>
          </a:r>
        </a:p>
      </dsp:txBody>
      <dsp:txXfrm>
        <a:off x="3920382" y="1835083"/>
        <a:ext cx="1554127" cy="1208901"/>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73A3E-BCF6-4E29-A753-53D91AB6D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278</Pages>
  <Words>78006</Words>
  <Characters>468040</Characters>
  <Application>Microsoft Office Word</Application>
  <DocSecurity>0</DocSecurity>
  <Lines>3900</Lines>
  <Paragraphs>1089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końcowy z badania w zakresie potrzeb użytkowników stron internetowych i aplikacji mobilnych</dc:title>
  <dc:subject/>
  <cp:keywords/>
  <dc:description/>
  <cp:lastModifiedBy/>
  <cp:revision>1</cp:revision>
  <dcterms:created xsi:type="dcterms:W3CDTF">2025-09-19T12:58:00Z</dcterms:created>
  <dcterms:modified xsi:type="dcterms:W3CDTF">2025-09-19T12:58:00Z</dcterms:modified>
</cp:coreProperties>
</file>