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12785388"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3D8631C7"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EE2247">
        <w:rPr>
          <w:rFonts w:ascii="Calibri" w:eastAsia="Lucida Sans Unicode" w:hAnsi="Calibri" w:cs="Calibri"/>
          <w:bCs/>
          <w:kern w:val="28"/>
          <w:sz w:val="24"/>
          <w:szCs w:val="24"/>
        </w:rPr>
        <w:t>9</w:t>
      </w:r>
      <w:r w:rsidR="005662AA">
        <w:rPr>
          <w:rFonts w:ascii="Calibri" w:eastAsia="Lucida Sans Unicode" w:hAnsi="Calibri" w:cs="Calibri"/>
          <w:bCs/>
          <w:kern w:val="28"/>
          <w:sz w:val="24"/>
          <w:szCs w:val="24"/>
        </w:rPr>
        <w:t>.2025.</w:t>
      </w:r>
      <w:r w:rsidR="00EE2247">
        <w:rPr>
          <w:rFonts w:ascii="Calibri" w:eastAsia="Lucida Sans Unicode" w:hAnsi="Calibri" w:cs="Calibri"/>
          <w:bCs/>
          <w:kern w:val="28"/>
          <w:sz w:val="24"/>
          <w:szCs w:val="24"/>
        </w:rPr>
        <w:t>AZ.16</w:t>
      </w:r>
    </w:p>
    <w:p w14:paraId="74919869" w14:textId="6EFA8AC0"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5662AA">
        <w:rPr>
          <w:rFonts w:ascii="Calibri" w:eastAsia="Lucida Sans Unicode" w:hAnsi="Calibri" w:cs="Calibri"/>
          <w:bCs/>
          <w:kern w:val="28"/>
          <w:sz w:val="24"/>
          <w:szCs w:val="24"/>
        </w:rPr>
        <w:t xml:space="preserve"> </w:t>
      </w:r>
      <w:r w:rsidR="00EE2247">
        <w:rPr>
          <w:rFonts w:ascii="Calibri" w:eastAsia="Lucida Sans Unicode" w:hAnsi="Calibri" w:cs="Calibri"/>
          <w:bCs/>
          <w:kern w:val="28"/>
          <w:sz w:val="24"/>
          <w:szCs w:val="24"/>
        </w:rPr>
        <w:t>30</w:t>
      </w:r>
      <w:r w:rsidR="005662AA">
        <w:rPr>
          <w:rFonts w:ascii="Calibri" w:eastAsia="Lucida Sans Unicode" w:hAnsi="Calibri" w:cs="Calibri"/>
          <w:bCs/>
          <w:kern w:val="28"/>
          <w:sz w:val="24"/>
          <w:szCs w:val="24"/>
        </w:rPr>
        <w:t xml:space="preserve"> czerwca 2025 r.</w:t>
      </w:r>
    </w:p>
    <w:p w14:paraId="3E1DC5B6" w14:textId="4F177284" w:rsidR="005662AA" w:rsidRPr="005662AA" w:rsidRDefault="005662AA" w:rsidP="005662AA">
      <w:pPr>
        <w:spacing w:after="100" w:afterAutospacing="1" w:line="360" w:lineRule="auto"/>
        <w:rPr>
          <w:sz w:val="24"/>
          <w:szCs w:val="24"/>
        </w:rPr>
      </w:pPr>
      <w:r w:rsidRPr="005662AA">
        <w:rPr>
          <w:sz w:val="24"/>
          <w:szCs w:val="24"/>
        </w:rPr>
        <w:t xml:space="preserve">Załącznik </w:t>
      </w:r>
      <w:r w:rsidR="00EE2247" w:rsidRPr="00EE2247">
        <w:rPr>
          <w:sz w:val="24"/>
          <w:szCs w:val="24"/>
        </w:rPr>
        <w:t xml:space="preserve">do decyzji Regionalnego Dyrektora Ochrony Środowiska w Olsztynie z 30 czerwca 2025 r., znak: WOOŚ.420.9.2025.AZ.16, o środowiskowych uwarunkowaniach dla przedsięwzięcia pn. Budowa gazociągu wysokiego ciśnienia DN 300 MOP 5,5 </w:t>
      </w:r>
      <w:proofErr w:type="spellStart"/>
      <w:r w:rsidR="00EE2247" w:rsidRPr="00EE2247">
        <w:rPr>
          <w:sz w:val="24"/>
          <w:szCs w:val="24"/>
        </w:rPr>
        <w:t>MPa</w:t>
      </w:r>
      <w:proofErr w:type="spellEnd"/>
      <w:r w:rsidR="00EE2247" w:rsidRPr="00EE2247">
        <w:rPr>
          <w:sz w:val="24"/>
          <w:szCs w:val="24"/>
        </w:rPr>
        <w:t xml:space="preserve"> relacji Bartąg - Wadąg Etap IV</w:t>
      </w:r>
      <w:r w:rsidRPr="005662AA">
        <w:rPr>
          <w:sz w:val="24"/>
          <w:szCs w:val="24"/>
        </w:rPr>
        <w:t>.</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691A230A" w14:textId="77777777" w:rsidR="00EE2247" w:rsidRDefault="005662AA" w:rsidP="00EE2247">
      <w:pPr>
        <w:spacing w:after="0" w:line="360" w:lineRule="auto"/>
        <w:rPr>
          <w:rFonts w:ascii="Calibri" w:hAnsi="Calibri" w:cs="Calibri"/>
          <w:bCs/>
          <w:sz w:val="24"/>
          <w:szCs w:val="24"/>
        </w:rPr>
      </w:pPr>
      <w:r w:rsidRPr="00EE2247">
        <w:rPr>
          <w:rFonts w:ascii="Calibri" w:hAnsi="Calibri" w:cs="Calibri"/>
          <w:bCs/>
          <w:sz w:val="24"/>
          <w:szCs w:val="24"/>
        </w:rPr>
        <w:t xml:space="preserve">Planowane </w:t>
      </w:r>
      <w:r w:rsidR="00EE2247" w:rsidRPr="00EE2247">
        <w:rPr>
          <w:rFonts w:ascii="Calibri" w:hAnsi="Calibri" w:cs="Calibri"/>
          <w:bCs/>
          <w:sz w:val="24"/>
          <w:szCs w:val="24"/>
        </w:rPr>
        <w:t xml:space="preserve">przedsięwzięcie polegało będzie na budowie gazociągu wysokiego ciśnienia DN 300 MOP 5,5 </w:t>
      </w:r>
      <w:proofErr w:type="spellStart"/>
      <w:r w:rsidR="00EE2247" w:rsidRPr="00EE2247">
        <w:rPr>
          <w:rFonts w:ascii="Calibri" w:hAnsi="Calibri" w:cs="Calibri"/>
          <w:bCs/>
          <w:sz w:val="24"/>
          <w:szCs w:val="24"/>
        </w:rPr>
        <w:t>MPa</w:t>
      </w:r>
      <w:proofErr w:type="spellEnd"/>
      <w:r w:rsidR="00EE2247" w:rsidRPr="00EE2247">
        <w:rPr>
          <w:rFonts w:ascii="Calibri" w:hAnsi="Calibri" w:cs="Calibri"/>
          <w:bCs/>
          <w:sz w:val="24"/>
          <w:szCs w:val="24"/>
        </w:rPr>
        <w:t xml:space="preserve"> relacji Bartąg - Wadąg Etap IV, o długości ok. 1,2 km. Przedmiotowa inwestycja zlokalizowana będzie na działkach ewidencyjnych numer: 158/10, 155/9, 155/10, 155/8, 155/5, 119/1, 153, 119/4, 119/3, 69/6, 68/18, 68/20, 68/7, 68/13, 68/2, 68/14, 68/15, 68/8, 69/3, 71/4, 71/6, 70/4, 70/3 w obrębie Klebark Mały, gmina Purda, powiat olsztyński, województwo warmińsko-mazurskie. Celem projektowanego przedsięwzięcia jest zwiększenie przepustowości istniejącego systemu przesyłowego gazu w obrębie województwa warmińsko-mazurskiego, rozbudowa polskiego systemu przesyłowego, a także dalszy rozwój potencjału połączenia międzysystemowego. Przewiduje się, że z dostarczanego gazu ziemnego korzystać będzie ok. 300 tyś. mieszkańców. Przedmiotowa inwestycja, ze względu na swoje strategiczne znaczenie, została objęta ustawą z dnia 24 kwietnia 2009 r. o inwestycjach w zakresie terminalu </w:t>
      </w:r>
      <w:proofErr w:type="spellStart"/>
      <w:r w:rsidR="00EE2247" w:rsidRPr="00EE2247">
        <w:rPr>
          <w:rFonts w:ascii="Calibri" w:hAnsi="Calibri" w:cs="Calibri"/>
          <w:bCs/>
          <w:sz w:val="24"/>
          <w:szCs w:val="24"/>
        </w:rPr>
        <w:t>regazyfikacyjnego</w:t>
      </w:r>
      <w:proofErr w:type="spellEnd"/>
      <w:r w:rsidR="00EE2247" w:rsidRPr="00EE2247">
        <w:rPr>
          <w:rFonts w:ascii="Calibri" w:hAnsi="Calibri" w:cs="Calibri"/>
          <w:bCs/>
          <w:sz w:val="24"/>
          <w:szCs w:val="24"/>
        </w:rPr>
        <w:t xml:space="preserve"> skroplonego gazu ziemnego w Świnoujściu (Dz.U.2024 poz.1286, z </w:t>
      </w:r>
      <w:proofErr w:type="spellStart"/>
      <w:r w:rsidR="00EE2247" w:rsidRPr="00EE2247">
        <w:rPr>
          <w:rFonts w:ascii="Calibri" w:hAnsi="Calibri" w:cs="Calibri"/>
          <w:bCs/>
          <w:sz w:val="24"/>
          <w:szCs w:val="24"/>
        </w:rPr>
        <w:t>późn</w:t>
      </w:r>
      <w:proofErr w:type="spellEnd"/>
      <w:r w:rsidR="00EE2247" w:rsidRPr="00EE2247">
        <w:rPr>
          <w:rFonts w:ascii="Calibri" w:hAnsi="Calibri" w:cs="Calibri"/>
          <w:bCs/>
          <w:sz w:val="24"/>
          <w:szCs w:val="24"/>
        </w:rPr>
        <w:t>. zm.).</w:t>
      </w:r>
    </w:p>
    <w:p w14:paraId="564DEEA3"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Teren objęty wnioskiem to tereny częściowo zurbanizowane, ogródki działkowe, tereny łąk oraz niewielkie fragmenty zadrzewione.</w:t>
      </w:r>
    </w:p>
    <w:p w14:paraId="27225E5B" w14:textId="13484363" w:rsidR="00EE2247" w:rsidRP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Stałe ograniczenie terenu dla części liniowej wystąpi w obszarze strefy kontrolowanej </w:t>
      </w:r>
    </w:p>
    <w:p w14:paraId="6C8A8BE4" w14:textId="77777777" w:rsidR="00EE2247" w:rsidRP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w pasie o szerokości 6,0 m (po 3,0 m od osi gazociągu). W zakresie przedmiotowego gazociągu DN 300 stałe ograniczenie terenu występuje pod lokalizacje: słupków znacznikowych dla gazociągu, słupków pomiarowych ochrony katodowej, strefy kontrolowanej gazociągu. Dodatkowo słupki zamontowane zostaną w punktach charakterystycznych trasy, tj. w punktach zmiany kierunku przebiegu gazociągu, przy skrzyżowaniach z przeszkodami terenowymi oraz </w:t>
      </w:r>
    </w:p>
    <w:p w14:paraId="1A25AAEF" w14:textId="77777777" w:rsidR="00EE2247" w:rsidRP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lastRenderedPageBreak/>
        <w:t xml:space="preserve">w punktach pośrednich, tak by zapewnić ich widoczność. Słupki będą montowane w terenie, </w:t>
      </w:r>
    </w:p>
    <w:p w14:paraId="7AC2396E"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w miejscach łatwo dostępnych, w miarę możliwości przy granicach działek, tak by nie stanowiły przeszkody w ruchu pieszym i kołowym oraz w dotychczasowym rolniczym użytkowaniu gruntów.</w:t>
      </w:r>
    </w:p>
    <w:p w14:paraId="1AFB59C3"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Podczas budowy gazociągu na polach uprawnych oraz łąkach i pastwiskach zapewniona zostanie konieczność przejazdu/przejścia poprzecznego przez plac budowy w obrębie danej działki ewidencyjnej (w szczególności dotyczy to dużych działek ewidencyjnych). W tym celu pozostawione zostaną krótkie odcinki, które zostaną zrealizowane po zakończeniu pozostałych odcinków na danej działce. Miejsca przejazdów wyznaczone zostaną wcześniej, tak aby zostały uwzględnione przy ściąganiu humusu, rozwózki rur, spawaniu rur i składowaniu martwicy z wykopu.</w:t>
      </w:r>
    </w:p>
    <w:p w14:paraId="269D71A8"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Na kilkudziesięciometrowym odcinku projektowany gazociąg przebiega przez działkę leśną. Po zakończeniu budowy, pas terenu leśnego o szerokości  4,0 m (po 2,0 m od osi gazociągu) pozostanie niezalesiony, na trwałe wyłączony z produkcji leśnej. Pozostała powierzchnia terenu zadrzewionego zajęta na okres budowy zostanie ponownie zalesiona i oddana do produkcji leśnej. Z uwagi na konieczności usunięcia z tego terenu drzew i krzewów, a następnie karp, warstwa humusu zostanie zmieszana z pozostałą ziemią, dlatego nie ma możliwości zdjęcia jej w nienaruszonym stanie i późniejszego jej użycia.</w:t>
      </w:r>
    </w:p>
    <w:p w14:paraId="6A53532A" w14:textId="2A05410E" w:rsidR="00EE2247" w:rsidRP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Na odcinkach rurociągu przebiegającego w terenie o wysokim poziomie wód gruntowych (przewyższającym niweletę dna wykopu pod rurociągi) wykonane zostanie czasowe odwodnienie wykopów na okres budowy poprzez igłofiltry czy pompowanie wody bezpośrednio </w:t>
      </w:r>
    </w:p>
    <w:p w14:paraId="135B554D"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z wykopu.  Odwodnienie spowoduje lokalne obniżenie poziomu zwierciadła wody gruntowej. Nastąpi krótkotrwałe zaburzenie warunków hydrologicznych w miejscu wykonywania odwodnienia. W celu ograniczenia negatywnego wpływu na środowisko zostanie maksymalnie skrócony okres wykonywania odwodnienia, aby nie dopuścić do wystąpienia zjawiska osiadania gruntów występujących w obrębie leja depresji. Odwodnienie wykopów na odcinku 100 m gazociągu nie powinno trwać dłużej niż 7 − 10 dni. W takim przypadku zwierciadło wód podziemnych powinno ustabilizować się na poprzednim poziomie do 24 godzin od zakończenia pompowania. Odbiornikami wód z odwadniania wykopów będą cieki i rowy melioracyjne, występujące w sąsiedztwie planowanych wykopów. W przypadku ich braku woda będzie </w:t>
      </w:r>
      <w:proofErr w:type="spellStart"/>
      <w:r w:rsidRPr="00EE2247">
        <w:rPr>
          <w:rFonts w:ascii="Calibri" w:hAnsi="Calibri" w:cs="Calibri"/>
          <w:bCs/>
          <w:sz w:val="24"/>
          <w:szCs w:val="24"/>
        </w:rPr>
        <w:t>rozdeszczowywana</w:t>
      </w:r>
      <w:proofErr w:type="spellEnd"/>
      <w:r w:rsidRPr="00EE2247">
        <w:rPr>
          <w:rFonts w:ascii="Calibri" w:hAnsi="Calibri" w:cs="Calibri"/>
          <w:bCs/>
          <w:sz w:val="24"/>
          <w:szCs w:val="24"/>
        </w:rPr>
        <w:t xml:space="preserve"> na powierzchni terenu w taki sposób, aby nie dopuścić do rozmycia organicznej warstwy gruntu. W przypadku braku możliwości zastosowania powyższych rozwiązań, woda zostanie wywieziona beczkowozem do przedsiębiorstwa oczyszczania ścieków. </w:t>
      </w:r>
      <w:r w:rsidRPr="00EE2247">
        <w:rPr>
          <w:rFonts w:ascii="Calibri" w:hAnsi="Calibri" w:cs="Calibri"/>
          <w:bCs/>
          <w:sz w:val="24"/>
          <w:szCs w:val="24"/>
        </w:rPr>
        <w:lastRenderedPageBreak/>
        <w:t>Końcówki igłofiltrów zakończone są filtrem, co spowoduje, że odbiorniki wód z odwodnienia nie zostaną zanieczyszczone zawiesiną. Do odbiorników zostanie wprowadzona woda o składzie chemicznym identycznym w stosunku do składu wody odpompowanej.</w:t>
      </w:r>
    </w:p>
    <w:p w14:paraId="7316E2EC"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W związku z powyższym projektowane prace nie wpłyną na zmianę stosunków hydrogeochemicznych w obrębie wód odbiorników.</w:t>
      </w:r>
    </w:p>
    <w:p w14:paraId="19A02D49"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Gazociąg DN300 zostanie wykonany z rur stalowych, fabrycznie izolowanych. Odcinki rur będą spawane w terenie, dokładność spawów zostanie sprawdzona co najmniej dwoma metodami (np. wizualną i radiograficzną). Gazociąg będzie przystosowany do czyszczenia tłokiem. Ponadto posiadał będzie nowoczesną antykorozyjną izolację oraz będzie wyposażony w automatycznie działającą antykorozyjną czynną ochronę. Czynna ochrona katodowa (inaczej ochrona elektrochemiczna) zapewnia dla metalowych części gazociągu ochronę przed korozją. Ochrona katodowa jest elementem podwyższającym trwałość gazociągu, a w konsekwencji</w:t>
      </w:r>
      <w:r>
        <w:rPr>
          <w:rFonts w:ascii="Calibri" w:hAnsi="Calibri" w:cs="Calibri"/>
          <w:bCs/>
          <w:sz w:val="24"/>
          <w:szCs w:val="24"/>
        </w:rPr>
        <w:t xml:space="preserve"> </w:t>
      </w:r>
      <w:r w:rsidRPr="00EE2247">
        <w:rPr>
          <w:rFonts w:ascii="Calibri" w:hAnsi="Calibri" w:cs="Calibri"/>
          <w:bCs/>
          <w:sz w:val="24"/>
          <w:szCs w:val="24"/>
        </w:rPr>
        <w:t>zwiększającym jego bezpieczne użytkowanie na długie lata. Gazociąg wysokiego ciśnienia będzie objęty ochroną katodową.</w:t>
      </w:r>
    </w:p>
    <w:p w14:paraId="2B24F600"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Gazociąg na całej długości będzie ułożony w ziemi tak, aby miał co najmniej 1,2 m przykrycia licząc od górnej płaszczyzny rury do poziomu gruntu. Prace budowlane na terenach nie będących lasami, na których stwierdzi się występowanie drzew i krzewów poprzedzone będą wycinką tej roślinności. Po zakończeniu robót teren zostanie zrekultywowany, przywrócony do stanu pierwotnego i zwrócony do użytkowania zgodnie z dotychczasowym przeznaczeniem.</w:t>
      </w:r>
    </w:p>
    <w:p w14:paraId="4F7FC290"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Gazociąg poddany zostanie próbie szczelności i wytrzymałości. Przeprowadzona próba hydrauliczna ma za zadanie stwierdzić, czy oddany do pracy gazociąg będzie bezpieczny i bezawaryjny w czasie eksploatacji. Z uwagi na brak cieków na trasie projektowanego gazociągu planuje się wykorzystanie dla wykonania prób hydraulicznych wody z sieci wodociągowej. Odwodnienie gazociągu nastąpi grawitacyjnie lub za pomocą tłoków rozdzielających. Woda płucząca (ściek) i woda po próbach (ścieki) zostanie wywieziona wozami asenizacyjnymi do oczyszczalni ścieków, za zgodą gestorów.</w:t>
      </w:r>
    </w:p>
    <w:p w14:paraId="66970D5A"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Budowa gazociągu nie powinna powodować zagrożeń dla środowiska naturalnego. Hermetyczny </w:t>
      </w:r>
      <w:proofErr w:type="spellStart"/>
      <w:r w:rsidRPr="00EE2247">
        <w:rPr>
          <w:rFonts w:ascii="Calibri" w:hAnsi="Calibri" w:cs="Calibri"/>
          <w:bCs/>
          <w:sz w:val="24"/>
          <w:szCs w:val="24"/>
        </w:rPr>
        <w:t>przesył</w:t>
      </w:r>
      <w:proofErr w:type="spellEnd"/>
      <w:r w:rsidRPr="00EE2247">
        <w:rPr>
          <w:rFonts w:ascii="Calibri" w:hAnsi="Calibri" w:cs="Calibri"/>
          <w:bCs/>
          <w:sz w:val="24"/>
          <w:szCs w:val="24"/>
        </w:rPr>
        <w:t xml:space="preserve"> gazu i mało znaczące emisje zanieczyszczeń do powietrza, wody, gleby (w przypadku awarii) w żadnym stopniu nie będą stanowiły zagrożenia dla świata zwierzęcego czy roślinnego, a także ludzi. Gazociąg jest układem hermetycznym. Podczas normalnej pracy gazociągu, nie występuje emisja przesyłanego gazu do atmosfery. Emisja gazu może nastąpić tylko w czasie awarii odcinka gazociągu i awaryjnego zrzutu gazu z wyznaczonego odcinka gazociągu. </w:t>
      </w:r>
      <w:r w:rsidRPr="00EE2247">
        <w:rPr>
          <w:rFonts w:ascii="Calibri" w:hAnsi="Calibri" w:cs="Calibri"/>
          <w:bCs/>
          <w:sz w:val="24"/>
          <w:szCs w:val="24"/>
        </w:rPr>
        <w:lastRenderedPageBreak/>
        <w:t>Planowane przedsięwzięcie nie będzie się wiązało z ponadnormatywną emisją hałasu w fazie niezakłóconej eksploatacji.</w:t>
      </w:r>
    </w:p>
    <w:p w14:paraId="43D61C06" w14:textId="39C57144" w:rsidR="00EE2247" w:rsidRP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 xml:space="preserve">Inwestycja nie jest zlokalizowana na obszarze przyrodniczo cennym, objętym ochroną w rozumieniu ustawy z dnia 16 kwietnia 2004 r. o ochronie przyrody (Dz. U. z 2024 r. poz. 1478, z </w:t>
      </w:r>
      <w:proofErr w:type="spellStart"/>
      <w:r w:rsidRPr="00EE2247">
        <w:rPr>
          <w:rFonts w:ascii="Calibri" w:hAnsi="Calibri" w:cs="Calibri"/>
          <w:bCs/>
          <w:sz w:val="24"/>
          <w:szCs w:val="24"/>
        </w:rPr>
        <w:t>późn</w:t>
      </w:r>
      <w:proofErr w:type="spellEnd"/>
      <w:r w:rsidRPr="00EE2247">
        <w:rPr>
          <w:rFonts w:ascii="Calibri" w:hAnsi="Calibri" w:cs="Calibri"/>
          <w:bCs/>
          <w:sz w:val="24"/>
          <w:szCs w:val="24"/>
        </w:rPr>
        <w:t xml:space="preserve">. zm.). Najbliżej zlokalizowany obszar Natura 2000 to Puszcza Napiwodzko – </w:t>
      </w:r>
      <w:proofErr w:type="spellStart"/>
      <w:r w:rsidRPr="00EE2247">
        <w:rPr>
          <w:rFonts w:ascii="Calibri" w:hAnsi="Calibri" w:cs="Calibri"/>
          <w:bCs/>
          <w:sz w:val="24"/>
          <w:szCs w:val="24"/>
        </w:rPr>
        <w:t>Ramucka</w:t>
      </w:r>
      <w:proofErr w:type="spellEnd"/>
      <w:r w:rsidRPr="00EE2247">
        <w:rPr>
          <w:rFonts w:ascii="Calibri" w:hAnsi="Calibri" w:cs="Calibri"/>
          <w:bCs/>
          <w:sz w:val="24"/>
          <w:szCs w:val="24"/>
        </w:rPr>
        <w:t xml:space="preserve"> PLB280007 oddalony o ok. 5,5 km od planowanego przedsięwzięcia. Przedmiotowa inwestycja nie będzie negatywnie oddziaływać na cele i przedmiot ochrony ww. obszaru, jak również nie naruszy jego integralności. Oddziaływanie inwestycji na środowisko ograniczone będzie tylko do fazy realizacji inwestycji, zaś jej eksploatacja nie będzie się wiązać z emisją do środowiska, </w:t>
      </w:r>
    </w:p>
    <w:p w14:paraId="21AD496A" w14:textId="77777777" w:rsidR="00EE2247" w:rsidRDefault="00EE2247" w:rsidP="00EE2247">
      <w:pPr>
        <w:spacing w:after="0" w:line="360" w:lineRule="auto"/>
        <w:rPr>
          <w:rFonts w:ascii="Calibri" w:hAnsi="Calibri" w:cs="Calibri"/>
          <w:bCs/>
          <w:sz w:val="24"/>
          <w:szCs w:val="24"/>
        </w:rPr>
      </w:pPr>
      <w:r w:rsidRPr="00EE2247">
        <w:rPr>
          <w:rFonts w:ascii="Calibri" w:hAnsi="Calibri" w:cs="Calibri"/>
          <w:bCs/>
          <w:sz w:val="24"/>
          <w:szCs w:val="24"/>
        </w:rPr>
        <w:t>a także z innymi uciążliwościami. Przedmiotowa inwestycja zlokalizowana jest poza granicami korytarzy ekologicznych.</w:t>
      </w:r>
    </w:p>
    <w:p w14:paraId="141583ED" w14:textId="0FE62FD1" w:rsidR="00EE2247" w:rsidRPr="00EE2247" w:rsidRDefault="00EE2247" w:rsidP="00EE2247">
      <w:pPr>
        <w:spacing w:after="100" w:afterAutospacing="1" w:line="360" w:lineRule="auto"/>
        <w:rPr>
          <w:rFonts w:ascii="Calibri" w:hAnsi="Calibri" w:cs="Calibri"/>
          <w:bCs/>
          <w:sz w:val="24"/>
          <w:szCs w:val="24"/>
        </w:rPr>
      </w:pPr>
      <w:r w:rsidRPr="00EE2247">
        <w:rPr>
          <w:rFonts w:ascii="Calibri" w:hAnsi="Calibri" w:cs="Calibri"/>
          <w:bCs/>
          <w:sz w:val="24"/>
          <w:szCs w:val="24"/>
        </w:rPr>
        <w:t>Przedmiotowe przedsięwzięcie realizowane poza miejscem występowania obszarów wodno-błotnych chronionych na mocy Konwencji o obszarach wodno-błotnych mających znaczenie międzynarodowe, zwłaszcza jako środowisko życiowe ptactwa wodnego, jak również poza obszarami siedlisk łęgowych oraz ujść rzek. Zadanie zlokalizowane zostanie poza obszarami wybrzeży, górskimi, leśnymi, poza obszarami ochronnymi zbiorników wód śródlądowych oraz obszarami przylegającymi do jezior.</w:t>
      </w:r>
    </w:p>
    <w:p w14:paraId="714B1351" w14:textId="7102F2F8" w:rsidR="005C0DED" w:rsidRPr="00D52BB0" w:rsidRDefault="00EE2247" w:rsidP="005C0DED">
      <w:pPr>
        <w:spacing w:after="0" w:line="360" w:lineRule="auto"/>
        <w:rPr>
          <w:sz w:val="24"/>
        </w:rPr>
      </w:pPr>
      <w:r>
        <w:rPr>
          <w:sz w:val="24"/>
        </w:rPr>
        <w:t xml:space="preserve">Z up. </w:t>
      </w:r>
      <w:r w:rsidR="005C0DED" w:rsidRPr="00D52BB0">
        <w:rPr>
          <w:sz w:val="24"/>
        </w:rPr>
        <w:t>Regionaln</w:t>
      </w:r>
      <w:r>
        <w:rPr>
          <w:sz w:val="24"/>
        </w:rPr>
        <w:t>ego</w:t>
      </w:r>
      <w:r w:rsidR="005C0DED" w:rsidRPr="00D52BB0">
        <w:rPr>
          <w:sz w:val="24"/>
        </w:rPr>
        <w:t xml:space="preserve"> Dyrektor</w:t>
      </w:r>
      <w:r>
        <w:rPr>
          <w:sz w:val="24"/>
        </w:rPr>
        <w:t>a</w:t>
      </w:r>
    </w:p>
    <w:p w14:paraId="3CBF30D2" w14:textId="19300889" w:rsidR="005C0DED" w:rsidRPr="00D52BB0" w:rsidRDefault="005C0DED" w:rsidP="005C0DED">
      <w:pPr>
        <w:spacing w:after="0" w:line="360" w:lineRule="auto"/>
        <w:rPr>
          <w:sz w:val="24"/>
        </w:rPr>
      </w:pPr>
      <w:r w:rsidRPr="00D52BB0">
        <w:rPr>
          <w:sz w:val="24"/>
        </w:rPr>
        <w:t>Ochrony Środowiska w Olsztynie</w:t>
      </w:r>
    </w:p>
    <w:p w14:paraId="0DC0AD14" w14:textId="1196AD78" w:rsidR="005C0DED" w:rsidRDefault="00EE2247" w:rsidP="005C0DED">
      <w:pPr>
        <w:spacing w:after="0" w:line="360" w:lineRule="auto"/>
        <w:rPr>
          <w:sz w:val="24"/>
        </w:rPr>
      </w:pPr>
      <w:r>
        <w:rPr>
          <w:sz w:val="24"/>
        </w:rPr>
        <w:t xml:space="preserve">Marta </w:t>
      </w:r>
      <w:proofErr w:type="spellStart"/>
      <w:r>
        <w:rPr>
          <w:sz w:val="24"/>
        </w:rPr>
        <w:t>Harhaj</w:t>
      </w:r>
      <w:proofErr w:type="spellEnd"/>
    </w:p>
    <w:p w14:paraId="24527F69" w14:textId="76E143AA" w:rsidR="00EE2247" w:rsidRDefault="00EE2247" w:rsidP="005C0DED">
      <w:pPr>
        <w:spacing w:after="0" w:line="360" w:lineRule="auto"/>
        <w:rPr>
          <w:sz w:val="24"/>
        </w:rPr>
      </w:pPr>
      <w:r>
        <w:rPr>
          <w:sz w:val="24"/>
        </w:rPr>
        <w:t>Naczelnik Wydziału Ocen Oddziaływania na</w:t>
      </w:r>
    </w:p>
    <w:p w14:paraId="4C4BCF05" w14:textId="4FA5931B" w:rsidR="00EE2247" w:rsidRPr="00D52BB0" w:rsidRDefault="00EE2247" w:rsidP="005C0DED">
      <w:pPr>
        <w:spacing w:after="0" w:line="360" w:lineRule="auto"/>
        <w:rPr>
          <w:sz w:val="24"/>
        </w:rPr>
      </w:pPr>
      <w:r>
        <w:rPr>
          <w:sz w:val="24"/>
        </w:rPr>
        <w:t>Środowisko</w:t>
      </w:r>
    </w:p>
    <w:p w14:paraId="33BC8200" w14:textId="77777777" w:rsidR="005C0DED" w:rsidRDefault="005C0DED" w:rsidP="005C0DED">
      <w:pPr>
        <w:spacing w:after="100" w:afterAutospacing="1" w:line="360" w:lineRule="auto"/>
        <w:rPr>
          <w:sz w:val="24"/>
        </w:rPr>
      </w:pPr>
      <w:r w:rsidRPr="00D52BB0">
        <w:rPr>
          <w:sz w:val="24"/>
        </w:rPr>
        <w:t>/podpis elektroniczny/</w:t>
      </w:r>
    </w:p>
    <w:p w14:paraId="020542E3" w14:textId="0FEDC8D9" w:rsidR="00B11B26" w:rsidRPr="00B26B5B" w:rsidRDefault="00B11B26" w:rsidP="00B26B5B">
      <w:pPr>
        <w:spacing w:after="0" w:line="360" w:lineRule="auto"/>
        <w:rPr>
          <w:sz w:val="24"/>
          <w:szCs w:val="24"/>
        </w:rPr>
      </w:pPr>
    </w:p>
    <w:sectPr w:rsidR="00B11B26" w:rsidRPr="00B26B5B"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2"/>
  </w:num>
  <w:num w:numId="2" w16cid:durableId="96407533">
    <w:abstractNumId w:val="0"/>
  </w:num>
  <w:num w:numId="3" w16cid:durableId="2142772320">
    <w:abstractNumId w:val="6"/>
  </w:num>
  <w:num w:numId="4" w16cid:durableId="848956055">
    <w:abstractNumId w:val="3"/>
  </w:num>
  <w:num w:numId="5" w16cid:durableId="2048527953">
    <w:abstractNumId w:val="5"/>
  </w:num>
  <w:num w:numId="6" w16cid:durableId="729694602">
    <w:abstractNumId w:val="7"/>
  </w:num>
  <w:num w:numId="7" w16cid:durableId="99227012">
    <w:abstractNumId w:val="1"/>
  </w:num>
  <w:num w:numId="8" w16cid:durableId="554462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662AA"/>
    <w:rsid w:val="0057080A"/>
    <w:rsid w:val="005B7BD1"/>
    <w:rsid w:val="005C0DED"/>
    <w:rsid w:val="006021BE"/>
    <w:rsid w:val="00615D35"/>
    <w:rsid w:val="00655B42"/>
    <w:rsid w:val="00665B79"/>
    <w:rsid w:val="00682693"/>
    <w:rsid w:val="00712417"/>
    <w:rsid w:val="00753934"/>
    <w:rsid w:val="007D755D"/>
    <w:rsid w:val="0081118A"/>
    <w:rsid w:val="00882FAF"/>
    <w:rsid w:val="008C033D"/>
    <w:rsid w:val="008E3B98"/>
    <w:rsid w:val="00921D97"/>
    <w:rsid w:val="00926297"/>
    <w:rsid w:val="00974E6E"/>
    <w:rsid w:val="009F0EDF"/>
    <w:rsid w:val="00A151A3"/>
    <w:rsid w:val="00A55D8E"/>
    <w:rsid w:val="00A77D11"/>
    <w:rsid w:val="00A94971"/>
    <w:rsid w:val="00AD624D"/>
    <w:rsid w:val="00B11B26"/>
    <w:rsid w:val="00B26B5B"/>
    <w:rsid w:val="00B52E15"/>
    <w:rsid w:val="00C503ED"/>
    <w:rsid w:val="00C576CD"/>
    <w:rsid w:val="00C806FA"/>
    <w:rsid w:val="00CA32B2"/>
    <w:rsid w:val="00CA5A82"/>
    <w:rsid w:val="00CF4F1C"/>
    <w:rsid w:val="00D233B4"/>
    <w:rsid w:val="00D84FB0"/>
    <w:rsid w:val="00E03082"/>
    <w:rsid w:val="00E74C48"/>
    <w:rsid w:val="00EE2247"/>
    <w:rsid w:val="00F10C52"/>
    <w:rsid w:val="00F20082"/>
    <w:rsid w:val="00F40174"/>
    <w:rsid w:val="00F432E6"/>
    <w:rsid w:val="00F56E82"/>
    <w:rsid w:val="00F73627"/>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7689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Charakterystyka planowanego przedsięwzięcia</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Iwona Bobek</cp:lastModifiedBy>
  <cp:revision>2</cp:revision>
  <dcterms:created xsi:type="dcterms:W3CDTF">2025-06-30T08:43:00Z</dcterms:created>
  <dcterms:modified xsi:type="dcterms:W3CDTF">2025-06-30T08:43:00Z</dcterms:modified>
</cp:coreProperties>
</file>