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334645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620" w:right="1960" w:bottom="679" w:left="527" w:header="192" w:footer="251" w:gutter="0"/>
          <w:pgNumType w:start="1"/>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rStyle w:val="CharStyle6"/>
        </w:rPr>
        <w:t>DGL-WOP.053.2.2025.MJ</w:t>
      </w:r>
    </w:p>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sz w:val="18"/>
          <w:szCs w:val="18"/>
        </w:rPr>
        <w:t>3708992.15406882.12365961</w:t>
      </w:r>
    </w:p>
    <w:p>
      <w:pPr>
        <w:pStyle w:val="Style5"/>
        <w:keepNext w:val="0"/>
        <w:keepLines w:val="0"/>
        <w:widowControl w:val="0"/>
        <w:shd w:val="clear" w:color="auto" w:fill="auto"/>
        <w:bidi w:val="0"/>
        <w:spacing w:before="0" w:after="480" w:line="240" w:lineRule="auto"/>
        <w:ind w:left="0" w:right="0" w:firstLine="0"/>
        <w:jc w:val="left"/>
      </w:pPr>
      <w:r>
        <w:rPr>
          <w:rStyle w:val="CharStyle6"/>
        </w:rPr>
        <w:t>Warszawa, 20-06-2025</w:t>
      </w:r>
    </w:p>
    <w:p>
      <w:pPr>
        <w:pStyle w:val="Style8"/>
        <w:keepNext/>
        <w:keepLines/>
        <w:widowControl w:val="0"/>
        <w:shd w:val="clear" w:color="auto" w:fill="auto"/>
        <w:bidi w:val="0"/>
        <w:spacing w:before="0"/>
        <w:ind w:left="0" w:right="0" w:firstLine="0"/>
        <w:jc w:val="left"/>
      </w:pPr>
      <w:bookmarkStart w:id="0" w:name="bookmark0"/>
      <w:r>
        <w:rPr>
          <w:rStyle w:val="CharStyle9"/>
          <w:b/>
          <w:bCs/>
        </w:rPr>
        <w:t>Sprawa: Odpowiedź na petycję dotyczącą wydawania decyzji o warunkach zabudowy dla inwestycji zlokalizowanych na terenach złóż kopalin</w:t>
      </w:r>
      <w:bookmarkEnd w:id="0"/>
    </w:p>
    <w:p>
      <w:pPr>
        <w:pStyle w:val="Style5"/>
        <w:keepNext w:val="0"/>
        <w:keepLines w:val="0"/>
        <w:widowControl w:val="0"/>
        <w:shd w:val="clear" w:color="auto" w:fill="auto"/>
        <w:bidi w:val="0"/>
        <w:spacing w:before="0"/>
        <w:ind w:left="0" w:right="0" w:firstLine="0"/>
        <w:jc w:val="left"/>
      </w:pPr>
      <w:r>
        <w:rPr>
          <w:rStyle w:val="CharStyle6"/>
        </w:rPr>
        <w:t>Szanowny Panie Przewodniczący,</w:t>
      </w:r>
    </w:p>
    <w:p>
      <w:pPr>
        <w:pStyle w:val="Style5"/>
        <w:keepNext w:val="0"/>
        <w:keepLines w:val="0"/>
        <w:widowControl w:val="0"/>
        <w:shd w:val="clear" w:color="auto" w:fill="auto"/>
        <w:bidi w:val="0"/>
        <w:spacing w:before="0"/>
        <w:ind w:left="0" w:right="0" w:firstLine="0"/>
        <w:jc w:val="left"/>
      </w:pPr>
      <w:r>
        <w:rPr>
          <w:rStyle w:val="CharStyle6"/>
        </w:rPr>
        <w:t>w nawiązaniu do zgłoszonych postulatów odnoszących się do oczekiwanego doprecyzowania przepisów ustawy z dnia 9 czerwca 2011 r. - Prawo geologiczne i górnicze („P.g.g.”) m.in. w zakresie powiązanym z kwestiami ochrony złóż kopalin poprzez wskazanie, które złoża są złożami strategicznymi i podlegają szczególnej ochronie oraz w jaki sposób ta ochrona ma być realizowana - przekazuję następujące informacje.</w:t>
      </w:r>
    </w:p>
    <w:p>
      <w:pPr>
        <w:pStyle w:val="Style5"/>
        <w:keepNext w:val="0"/>
        <w:keepLines w:val="0"/>
        <w:widowControl w:val="0"/>
        <w:shd w:val="clear" w:color="auto" w:fill="auto"/>
        <w:bidi w:val="0"/>
        <w:spacing w:before="0" w:after="0"/>
        <w:ind w:left="0" w:right="0" w:firstLine="0"/>
        <w:jc w:val="left"/>
      </w:pPr>
      <w:r>
        <w:rPr>
          <w:rStyle w:val="CharStyle6"/>
        </w:rPr>
        <w:t>Na wstępie pragnę podkreślić, że wszystkie sygnały dotyczące funkcjonowania przepisów P.g.g. stanowią dla projektodawcy ważny głos analizowany przy ewaluacji obowiązujących rozwiązań prawnych. Niewątpliwie zagadnienia objęte przedmiotem nowelizacji P.g.g.</w:t>
      </w:r>
      <w:r>
        <w:rPr>
          <w:rStyle w:val="CharStyle6"/>
          <w:vertAlign w:val="superscript"/>
        </w:rPr>
        <w:t xml:space="preserve">12 </w:t>
      </w:r>
      <w:r>
        <w:rPr>
          <w:rStyle w:val="CharStyle6"/>
        </w:rPr>
        <w:t>z 2023 r., w szczególności w części dotyczącej ochrony złóż – są niezmiernie złożone.</w:t>
      </w:r>
    </w:p>
    <w:p>
      <w:pPr>
        <w:pStyle w:val="Style5"/>
        <w:keepNext w:val="0"/>
        <w:keepLines w:val="0"/>
        <w:widowControl w:val="0"/>
        <w:shd w:val="clear" w:color="auto" w:fill="auto"/>
        <w:bidi w:val="0"/>
        <w:spacing w:before="0" w:after="0"/>
        <w:ind w:left="0" w:right="0" w:firstLine="0"/>
        <w:jc w:val="left"/>
      </w:pPr>
      <w:r>
        <w:rPr>
          <w:rStyle w:val="CharStyle6"/>
        </w:rPr>
        <w:t>Aktualnie prowadzone są prace koncepcyjne nad kolejną nowelizacją tej ustawy.</w:t>
      </w:r>
    </w:p>
    <w:p>
      <w:pPr>
        <w:pStyle w:val="Style5"/>
        <w:keepNext w:val="0"/>
        <w:keepLines w:val="0"/>
        <w:widowControl w:val="0"/>
        <w:shd w:val="clear" w:color="auto" w:fill="auto"/>
        <w:bidi w:val="0"/>
        <w:spacing w:before="0"/>
        <w:ind w:left="0" w:right="0" w:firstLine="0"/>
        <w:jc w:val="left"/>
      </w:pPr>
      <w:r>
        <w:rPr>
          <w:rStyle w:val="CharStyle6"/>
        </w:rPr>
        <w:t>Orientacyjnie wskazać należy, że wstępnie planowany termin do rozpoczęcia procedowania projektu to II połowa 2025 r. Zwracam również uwagę, że strona samorządowa będzie miała możliwość przedstawienia swojej opinii do ww. projektu przez Komisję Wspólną Rządu i Samorządu Terytorialnego.</w:t>
      </w:r>
    </w:p>
    <w:p>
      <w:pPr>
        <w:pStyle w:val="Style5"/>
        <w:keepNext w:val="0"/>
        <w:keepLines w:val="0"/>
        <w:widowControl w:val="0"/>
        <w:shd w:val="clear" w:color="auto" w:fill="auto"/>
        <w:bidi w:val="0"/>
        <w:spacing w:before="0"/>
        <w:ind w:left="0" w:right="0" w:firstLine="0"/>
        <w:jc w:val="left"/>
      </w:pPr>
      <w:r>
        <w:rPr>
          <w:rStyle w:val="CharStyle6"/>
        </w:rPr>
        <w:t>Następnie należy podkreślić, że ustawowa ochrona złóż kopalin obowiązuje od ponad 45 lat</w:t>
      </w:r>
      <w:r>
        <w:rPr>
          <w:rStyle w:val="CharStyle6"/>
          <w:vertAlign w:val="superscript"/>
        </w:rPr>
        <w:footnoteReference w:id="2"/>
      </w:r>
      <w:r>
        <w:rPr>
          <w:rStyle w:val="CharStyle6"/>
        </w:rPr>
        <w:t>, stanowiąc ograniczenie praw właściciela nieruchomości. Analogiczne regulacje wprowadzono w art. 72 ust. 1 pkt 2 i art. 125 ustawy z dnia 27 kwietnia 2001 r. - Prawo ochrony środowiska</w:t>
      </w:r>
      <w:r>
        <w:rPr>
          <w:rStyle w:val="CharStyle6"/>
          <w:vertAlign w:val="superscript"/>
        </w:rPr>
        <w:footnoteReference w:id="3"/>
      </w:r>
      <w:r>
        <w:rPr>
          <w:rStyle w:val="CharStyle6"/>
        </w:rPr>
        <w:t>.</w:t>
      </w:r>
    </w:p>
    <w:p>
      <w:pPr>
        <w:pStyle w:val="Style5"/>
        <w:keepNext w:val="0"/>
        <w:keepLines w:val="0"/>
        <w:widowControl w:val="0"/>
        <w:shd w:val="clear" w:color="auto" w:fill="auto"/>
        <w:bidi w:val="0"/>
        <w:spacing w:before="0" w:after="1180"/>
        <w:ind w:left="0" w:right="0" w:firstLine="0"/>
        <w:jc w:val="left"/>
      </w:pPr>
      <w:r>
        <w:rPr>
          <w:rStyle w:val="CharStyle6"/>
        </w:rPr>
        <w:t>Złoża kopalin objętych prawem własnością górniczą, stanowią strategiczne zasoby naturalne kraju (podobnie jak wody podziemne, lasy państwowe i parki narodowe (art. 1</w:t>
      </w:r>
    </w:p>
    <w:p>
      <w:pPr>
        <w:pStyle w:val="Style10"/>
        <w:keepNext w:val="0"/>
        <w:keepLines w:val="0"/>
        <w:widowControl w:val="0"/>
        <w:numPr>
          <w:ilvl w:val="0"/>
          <w:numId w:val="1"/>
        </w:numPr>
        <w:shd w:val="clear" w:color="auto" w:fill="auto"/>
        <w:tabs>
          <w:tab w:pos="198" w:val="left"/>
        </w:tabs>
        <w:bidi w:val="0"/>
        <w:spacing w:before="0" w:after="0"/>
        <w:ind w:left="0" w:right="0" w:firstLine="0"/>
        <w:jc w:val="left"/>
      </w:pPr>
      <w:r>
        <w:rPr>
          <w:rStyle w:val="CharStyle11"/>
        </w:rPr>
        <w:t>Dz. U. z 2023 r. poz. 2029</w:t>
      </w:r>
    </w:p>
    <w:p>
      <w:pPr>
        <w:pStyle w:val="Style10"/>
        <w:keepNext w:val="0"/>
        <w:keepLines w:val="0"/>
        <w:widowControl w:val="0"/>
        <w:numPr>
          <w:ilvl w:val="0"/>
          <w:numId w:val="1"/>
        </w:numPr>
        <w:shd w:val="clear" w:color="auto" w:fill="auto"/>
        <w:tabs>
          <w:tab w:pos="203" w:val="left"/>
        </w:tabs>
        <w:bidi w:val="0"/>
        <w:spacing w:before="0" w:after="0"/>
        <w:ind w:left="0" w:right="0" w:firstLine="0"/>
        <w:jc w:val="left"/>
      </w:pPr>
      <w:r>
        <w:rPr>
          <w:rStyle w:val="CharStyle11"/>
        </w:rPr>
        <w:t>Zgodnie z art. 16 ust. 2 ustawy z dnia 31 stycznia 1980 r. o ochronie i kształtowaniu środowiska (Dz. U. Nr 3, poz. 6) organy administracji państwowej w planach zagospodarowania przestrzennego i w decyzjach w sprawie ustalenia lokalizacji oraz miejsca i warunków realizacji inwestycji na terenach, na których znajdują się złoża kopalin - uwzględniają aktualne i przyszłe potrzeby eksploatacji tych złóż.</w:t>
      </w:r>
    </w:p>
    <w:p>
      <w:pPr>
        <w:pStyle w:val="Style10"/>
        <w:keepNext w:val="0"/>
        <w:keepLines w:val="0"/>
        <w:widowControl w:val="0"/>
        <w:numPr>
          <w:ilvl w:val="0"/>
          <w:numId w:val="1"/>
        </w:numPr>
        <w:shd w:val="clear" w:color="auto" w:fill="auto"/>
        <w:tabs>
          <w:tab w:pos="203" w:val="left"/>
        </w:tabs>
        <w:bidi w:val="0"/>
        <w:spacing w:before="0" w:after="180"/>
        <w:ind w:left="0" w:right="0" w:firstLine="0"/>
        <w:jc w:val="left"/>
        <w:sectPr>
          <w:footnotePr>
            <w:pos w:val="pageBottom"/>
            <w:numFmt w:val="decimal"/>
            <w:numStart w:val="2"/>
            <w:numRestart w:val="continuous"/>
            <w15:footnoteColumns w:val="1"/>
          </w:footnotePr>
          <w:type w:val="continuous"/>
          <w:pgSz w:w="11900" w:h="16840"/>
          <w:pgMar w:top="620" w:right="1960" w:bottom="620" w:left="1953" w:header="0" w:footer="3" w:gutter="0"/>
          <w:cols w:space="720"/>
          <w:noEndnote/>
          <w:rtlGutter w:val="0"/>
          <w:docGrid w:linePitch="360"/>
        </w:sectPr>
      </w:pPr>
      <w:r>
        <w:rPr>
          <w:rStyle w:val="CharStyle11"/>
        </w:rPr>
        <w:t>Dz. U. z 2024 r. poz. 54, z późn. zm.</w:t>
      </w:r>
    </w:p>
    <w:p>
      <w:pPr>
        <w:pStyle w:val="Style5"/>
        <w:keepNext w:val="0"/>
        <w:keepLines w:val="0"/>
        <w:widowControl w:val="0"/>
        <w:shd w:val="clear" w:color="auto" w:fill="auto"/>
        <w:bidi w:val="0"/>
        <w:spacing w:before="0"/>
        <w:ind w:left="0" w:right="0" w:firstLine="0"/>
        <w:jc w:val="left"/>
      </w:pPr>
      <w:r>
        <w:rPr>
          <w:rStyle w:val="CharStyle6"/>
        </w:rPr>
        <w:t>ustawy z dnia 6 lipca 2001 r. - o zachowaniu narodowego charakteru strategicznych zasobów naturalnych kraju</w:t>
      </w:r>
      <w:r>
        <w:rPr>
          <w:rStyle w:val="CharStyle6"/>
          <w:vertAlign w:val="superscript"/>
        </w:rPr>
        <w:footnoteReference w:id="4"/>
      </w:r>
      <w:r>
        <w:rPr>
          <w:rStyle w:val="CharStyle6"/>
        </w:rPr>
        <w:t>).</w:t>
      </w:r>
    </w:p>
    <w:p>
      <w:pPr>
        <w:pStyle w:val="Style5"/>
        <w:keepNext w:val="0"/>
        <w:keepLines w:val="0"/>
        <w:widowControl w:val="0"/>
        <w:shd w:val="clear" w:color="auto" w:fill="auto"/>
        <w:bidi w:val="0"/>
        <w:spacing w:before="0"/>
        <w:ind w:left="0" w:right="0" w:firstLine="0"/>
        <w:jc w:val="left"/>
      </w:pPr>
      <w:r>
        <w:rPr>
          <w:rStyle w:val="CharStyle6"/>
        </w:rPr>
        <w:t>Dlatego gospodarowanie nimi powinno odbywać się zgodnie z zasadą zrównoważonego rozwoju, która wyraża sprawiedliwość międzypokoleniową, aby działalność obecnych pokoleń nie zaprzepaściła możliwości wykorzystania zasobów w przyszłości.</w:t>
      </w:r>
    </w:p>
    <w:p>
      <w:pPr>
        <w:pStyle w:val="Style5"/>
        <w:keepNext w:val="0"/>
        <w:keepLines w:val="0"/>
        <w:widowControl w:val="0"/>
        <w:shd w:val="clear" w:color="auto" w:fill="auto"/>
        <w:bidi w:val="0"/>
        <w:spacing w:before="0"/>
        <w:ind w:left="0" w:right="0" w:firstLine="0"/>
        <w:jc w:val="left"/>
      </w:pPr>
      <w:r>
        <w:rPr>
          <w:rStyle w:val="CharStyle6"/>
        </w:rPr>
        <w:t>Należy pamiętać o tym, że zgodnie z art. 6 ust. 2 pkt 1 ustawy z dnia 27 marca 2003 r. - o planowaniu i zagospodarowaniu przestrzennym („u.p.z.p.”), dopuszczalny sposób zagospodarowania terenu określają warunki ustalone w miejscowym planie zagospodarowania przestrzennego („m.p.z.p.”) albo w decyzji o warunkach zabudowy („decyzja WZ”) z zastrzeżeniem, że zagospodarowanie to nie może naruszać chronionego prawem interesu publicznego oraz osób trzecich. Jeżeli zatem nieruchomość nie znajduje się na terenie obowiązywania m.p.z.p. ani nie wydano dla niej decyzji WZ właściciel nieruchomości nigdy nie posiadał prawa do jej zabudowy, a tym samym nie doszło do obniżenia jej wartości. W przypadku gdyby w m.p.z.p. wprowadzona została możliwość zabudowy nieruchomości, spowodowałoby to wzrost wartości nieruchomości oraz możliwość pobrania przez gminę opłaty planistycznej w wysokości do 30% kwoty, o jaki wzrosłaby wartość nieruchomości.</w:t>
      </w:r>
    </w:p>
    <w:p>
      <w:pPr>
        <w:pStyle w:val="Style5"/>
        <w:keepNext w:val="0"/>
        <w:keepLines w:val="0"/>
        <w:widowControl w:val="0"/>
        <w:shd w:val="clear" w:color="auto" w:fill="auto"/>
        <w:bidi w:val="0"/>
        <w:spacing w:before="0"/>
        <w:ind w:left="0" w:right="0" w:firstLine="0"/>
        <w:jc w:val="left"/>
      </w:pPr>
      <w:r>
        <w:rPr>
          <w:rStyle w:val="CharStyle6"/>
        </w:rPr>
        <w:t>Inwestor, podejmując zamierzenie inwestycyjne na działce, która nie jest objęta m.p.z.p., musi liczyć się z ryzykiem, że postępowanie w zakresie wydania decyzji WZ nie doprowadzi do wydania decyzji dla niego korzystnej, w szczególności gdy planowane zagospodarowanie naruszałoby interes publiczny, który organ administracji geologicznej zobowiązany jest chronić w procesie uzgodnienia projektów decyzji WZ. Należy podkreślić jednocześnie, że analogiczne ograniczenia w zabudowie – ze względu na interes publiczny dotyczą m.in. terenów rolnych, leśnych czy terenów parków narodowych,</w:t>
      </w:r>
    </w:p>
    <w:p>
      <w:pPr>
        <w:pStyle w:val="Style5"/>
        <w:keepNext w:val="0"/>
        <w:keepLines w:val="0"/>
        <w:widowControl w:val="0"/>
        <w:shd w:val="clear" w:color="auto" w:fill="auto"/>
        <w:bidi w:val="0"/>
        <w:spacing w:before="0"/>
        <w:ind w:left="0" w:right="0" w:firstLine="0"/>
        <w:jc w:val="left"/>
      </w:pPr>
      <w:r>
        <w:rPr>
          <w:rStyle w:val="CharStyle6"/>
        </w:rPr>
        <w:t>Odnosząc się do kwestii, które złoża węgla brunatnego są złożami strategicznymi i podlegają szczególnej ochronie oraz w jaki sposób ta ochrona ma być realizowana, przedstawiam, co następuje. W myśl art. 50 przywołanej nowelizacji P.g.g. dla złóż węgla brunatnego udokumentowanych przed dniem wejścia jej w życie przewidziano przepis przejściowy. Zgodnie z jego brzmieniem minister właściwy do spraw środowiska ma termin 2 lat od dnia wejścia w życie ustawy na dokonanie przeglądu i wszczęcie z urzędu postępowania w przedmiocie uznania danego złoża kopaliny albo jego części za złoże strategiczne, jeżeli złoże będzie spełniało odpowiednie kryteria do uznania za strategiczne.</w:t>
      </w:r>
    </w:p>
    <w:p>
      <w:pPr>
        <w:pStyle w:val="Style5"/>
        <w:keepNext w:val="0"/>
        <w:keepLines w:val="0"/>
        <w:widowControl w:val="0"/>
        <w:shd w:val="clear" w:color="auto" w:fill="auto"/>
        <w:bidi w:val="0"/>
        <w:spacing w:before="0"/>
        <w:ind w:left="0" w:right="0" w:firstLine="0"/>
        <w:jc w:val="left"/>
      </w:pPr>
      <w:r>
        <w:rPr>
          <w:rStyle w:val="CharStyle6"/>
        </w:rPr>
        <w:t>Decyzje w powyższym zakresie powinny zostać podjęte po wszczęciu odpowiednich postępowań administracyjnych, w ramach których przepisy przewidują uzyskanie opinii państwowej służby geologicznej oraz wójta (burmistrza, prezydenta miasta) gmin, na terenie których położone są złoża kopalin będących przedmiotem danego postępowania.</w:t>
      </w:r>
    </w:p>
    <w:p>
      <w:pPr>
        <w:pStyle w:val="Style5"/>
        <w:keepNext w:val="0"/>
        <w:keepLines w:val="0"/>
        <w:widowControl w:val="0"/>
        <w:shd w:val="clear" w:color="auto" w:fill="auto"/>
        <w:bidi w:val="0"/>
        <w:spacing w:before="0"/>
        <w:ind w:left="0" w:right="0" w:firstLine="0"/>
        <w:jc w:val="left"/>
      </w:pPr>
      <w:r>
        <w:rPr>
          <w:rStyle w:val="CharStyle6"/>
        </w:rPr>
        <w:t>Należy zwrócić uwagę, że przepisy nowelizacji P.g.g. przewidują zasięgnięcie opinii organu wykonawczego gminy w zakresie projektowanych granic złoża strategicznego oraz sposobu zagospodarowania terenu, na którym jest położone to złoże, z uwzględnieniem uwarunkowań urbanistycznych, gospodarczych, środowiskowych i kulturowych tego terenu. Tym samym stanowisko jednostek samorządu terytorialnego będzie brane pod uwagę przez ministra przy podejmowaniu odpowiednich decyzji w zakresie uznania złoża za strategiczne. Warto także zaznaczyć, że warunkiem uznania złoża kopaliny za złoże strategiczne jest dostęp do złoża wynikający ze stanu zagospodarowania terenu (art. 94a ust. 5 P.g.g. Dlatego tereny zabudowane lub w trakcie zabudowy nie spełniają tego warunku.</w:t>
      </w:r>
    </w:p>
    <w:p>
      <w:pPr>
        <w:pStyle w:val="Style5"/>
        <w:keepNext w:val="0"/>
        <w:keepLines w:val="0"/>
        <w:widowControl w:val="0"/>
        <w:shd w:val="clear" w:color="auto" w:fill="auto"/>
        <w:bidi w:val="0"/>
        <w:spacing w:before="0" w:after="100"/>
        <w:ind w:left="0" w:right="0" w:firstLine="0"/>
        <w:jc w:val="left"/>
      </w:pPr>
      <w:r>
        <w:rPr>
          <w:rStyle w:val="CharStyle6"/>
        </w:rPr>
        <w:t>Jednocześnie należy podkreślić, że nie ma żadnych przeciwskazań do tego, aby na terenach znajdujących się ponad udokumentowanymi złożami kopalin kontynuować np. działalność rolniczą, w szczególności wykorzystywać użytki rolne o wysokiej klasie bonitacyjnej gleb - przykładowo do produkcji roślinnej/ogrodniczej/innej, bowiem nie sprzeciwia się to ochronie złóż kopalin. Zgodnie z orzecznictwem sądowym ochrona złóż nie oznacza konieczności dopuszczenia możliwości prowadzenia działalności górniczej w aktach planowania przestrzennego. Nowelizacja P.g.g. z 2023 r. tego nie zmieniła. Oznacza to, że istnieje możliwość pogodzenia interesu ogólnonarodowego i interesu społeczności lokalnej, zaś każdy przypadek uzgadnianego przez organ administracji geologicznej projektu decyzji WZ jest rozpatrywany indywidualnie.</w:t>
      </w:r>
    </w:p>
    <w:p>
      <w:pPr>
        <w:pStyle w:val="Style5"/>
        <w:keepNext w:val="0"/>
        <w:keepLines w:val="0"/>
        <w:widowControl w:val="0"/>
        <w:shd w:val="clear" w:color="auto" w:fill="auto"/>
        <w:bidi w:val="0"/>
        <w:spacing w:before="0" w:after="220"/>
        <w:ind w:left="0" w:right="0" w:firstLine="0"/>
        <w:jc w:val="left"/>
      </w:pPr>
      <w:r>
        <w:rPr>
          <w:rStyle w:val="CharStyle6"/>
        </w:rPr>
        <w:t>Zwrócić należy również uwagę na fakt, że reforma planowania przestrzennego dokonana nowelizacją u.p.z.p.</w:t>
      </w:r>
      <w:r>
        <w:rPr>
          <w:rStyle w:val="CharStyle6"/>
          <w:vertAlign w:val="superscript"/>
        </w:rPr>
        <w:footnoteReference w:id="5"/>
      </w:r>
      <w:r>
        <w:rPr>
          <w:rStyle w:val="CharStyle6"/>
        </w:rPr>
        <w:t xml:space="preserve"> z 2023 r. wprowadziła nowy rodzaj aktu planistycznego tj. plan ogólny. Na potrzeby opracowania ww. planu, powinny być zweryfikowane kwestie związane z kierunkami rozwoju danej gminy w procesie planowania przestrzennego.</w:t>
      </w:r>
    </w:p>
    <w:p>
      <w:pPr>
        <w:pStyle w:val="Style5"/>
        <w:keepNext w:val="0"/>
        <w:keepLines w:val="0"/>
        <w:widowControl w:val="0"/>
        <w:shd w:val="clear" w:color="auto" w:fill="auto"/>
        <w:bidi w:val="0"/>
        <w:spacing w:before="0" w:after="220"/>
        <w:ind w:left="0" w:right="0" w:firstLine="0"/>
        <w:jc w:val="left"/>
      </w:pPr>
      <w:r>
        <w:rPr>
          <w:rStyle w:val="CharStyle6"/>
        </w:rPr>
        <w:t>Nadto podkreślić należy, że organy administracji geologicznej, w ramach współdziałania w procesie planowania i zagospodarowania przestrzennego zobowiązane są dokonywać oceny, czy planowane przeznaczenie nieruchomości nie spowoduje utraty dostępu do udokumentowanego złoża kopaliny. Dlatego też w ramach prowadzonych postępowań uzgodnieniowych organy analizują m.in. dostępność do złoża w ramach istniejącej zabudowy/ infrastruktury, aspekt najbardziej prawdopodobnej metody eksploatacji, a także prawa nabyte. Każdorazowo też organ dokonuje ważenia interesu publicznego oraz prywatnego. Dlatego liczba odmów uzgodnienia projektów decyzji WZ oraz inwestycji celu publicznego jest stosunkowo niska. Od 2024 r. postanowienia odmawiające uzgodnienia stanowią ok. 4% wydanych uzgodnień. Żadne z wydanych postanowień nie dotyczy zabudowy zagrodowej, która miała być uzupełniona np. o budynek gospodarczy. Natomiast przy uzgadnianiu przez ministra planów ogólnych w zakresie udokumentowanych złóż kopalin, o których mowa w</w:t>
      </w:r>
      <w:r>
        <w:fldChar w:fldCharType="begin"/>
      </w:r>
      <w:r>
        <w:rPr/>
        <w:instrText> HYPERLINK "https://sip.legalis.pl/document-view.seam?documentId=mfrxilrrhaydinjwgyytiltqmfyc4mjxguydcnbqg4&amp;refSource=hyp" </w:instrText>
      </w:r>
      <w:r>
        <w:fldChar w:fldCharType="separate"/>
      </w:r>
      <w:r>
        <w:rPr>
          <w:rStyle w:val="CharStyle6"/>
        </w:rPr>
        <w:t xml:space="preserve"> art. 10 ust. 1 </w:t>
      </w:r>
      <w:r>
        <w:fldChar w:fldCharType="end"/>
      </w:r>
      <w:r>
        <w:rPr>
          <w:rStyle w:val="CharStyle6"/>
        </w:rPr>
        <w:t>P.g.g., analizowane są m.in. ww. potrzeby rozwojowe poszczególnych gmin.</w:t>
      </w:r>
    </w:p>
    <w:p>
      <w:pPr>
        <w:pStyle w:val="Style5"/>
        <w:keepNext w:val="0"/>
        <w:keepLines w:val="0"/>
        <w:widowControl w:val="0"/>
        <w:shd w:val="clear" w:color="auto" w:fill="auto"/>
        <w:bidi w:val="0"/>
        <w:spacing w:before="0" w:after="0"/>
        <w:ind w:left="0" w:right="0" w:firstLine="0"/>
        <w:jc w:val="left"/>
      </w:pPr>
      <w:r>
        <w:rPr>
          <w:rStyle w:val="CharStyle6"/>
        </w:rPr>
        <w:t>Odnosząc się do propozycji wprowadzenia instrumentów rekompensujących ograniczony rozwój gmin położonych na terenach udokumentowanych złóż węgla brunatnego - na wzór określonych w ustawie z dnia 1 października 2024 r. o dochodach jednostek samorządu terytorialnego</w:t>
      </w:r>
      <w:r>
        <w:rPr>
          <w:rStyle w:val="CharStyle6"/>
          <w:vertAlign w:val="superscript"/>
        </w:rPr>
        <w:footnoteReference w:id="6"/>
      </w:r>
      <w:r>
        <w:rPr>
          <w:rStyle w:val="CharStyle6"/>
        </w:rPr>
        <w:t xml:space="preserve"> - potrzeb ekologicznych (art. 29), wyjaśniam, co następuje:</w:t>
      </w:r>
    </w:p>
    <w:p>
      <w:pPr>
        <w:pStyle w:val="Style5"/>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6"/>
        </w:rPr>
        <w:t>złoża kopalin stanowią bogactwo regionu, których wydobywanie może przynieść im znaczące przychody wynikające np. z opłaty eksploatacyjnej, podatków od nieruchomości czy udziału w podatkach dochodowych, dlatego co do zasady nie można tej sytuacji porównać do regionów, gdzie ochrona przyrody ogranicza lub wyklucza prowadzenie działalności gospodarczej. Przede wszystkich należy podkreślić, że ochrona złóż kopalin nie oznacza konieczności zmiany przeznaczenia gruntu, w szczególności gruntów rolnych i leśnych, nadal mogą być wykorzystywane w dotychczasowy sposób,</w:t>
      </w:r>
    </w:p>
    <w:p>
      <w:pPr>
        <w:pStyle w:val="Style5"/>
        <w:keepNext w:val="0"/>
        <w:keepLines w:val="0"/>
        <w:widowControl w:val="0"/>
        <w:numPr>
          <w:ilvl w:val="0"/>
          <w:numId w:val="3"/>
        </w:numPr>
        <w:shd w:val="clear" w:color="auto" w:fill="auto"/>
        <w:tabs>
          <w:tab w:pos="726" w:val="left"/>
        </w:tabs>
        <w:bidi w:val="0"/>
        <w:spacing w:before="0" w:after="220"/>
        <w:ind w:left="740" w:right="0" w:hanging="360"/>
        <w:jc w:val="left"/>
      </w:pPr>
      <w:r>
        <w:rPr>
          <w:rStyle w:val="CharStyle6"/>
        </w:rPr>
        <w:t>przeprowadzona reforma planowania i zagospodarowania przestrzennego</w:t>
      </w:r>
      <w:r>
        <w:rPr>
          <w:rStyle w:val="CharStyle6"/>
          <w:vertAlign w:val="superscript"/>
        </w:rPr>
        <w:footnoteReference w:id="7"/>
      </w:r>
      <w:r>
        <w:rPr>
          <w:rStyle w:val="CharStyle6"/>
        </w:rPr>
        <w:t>, przewiduje, że każda gmina w Polsce powinna uchwalić plan ogólny, w którym może wyznaczyć strefy uzupełniającej zabudowy, uwzględniające do 130%</w:t>
      </w:r>
    </w:p>
    <w:p>
      <w:pPr>
        <w:pStyle w:val="Style5"/>
        <w:keepNext w:val="0"/>
        <w:keepLines w:val="0"/>
        <w:widowControl w:val="0"/>
        <w:shd w:val="clear" w:color="auto" w:fill="auto"/>
        <w:bidi w:val="0"/>
        <w:spacing w:before="0" w:after="0"/>
        <w:ind w:left="740" w:right="0" w:firstLine="0"/>
        <w:jc w:val="left"/>
      </w:pPr>
      <w:r>
        <w:rPr>
          <w:rStyle w:val="CharStyle6"/>
        </w:rPr>
        <w:t>zidentyfikowanych potrzeb demograficznych gminy. Daje to możliwość racjonalnego wyznaczenia przez władze lokalne takich obszarów wewnątrz istniejącej zabudowy lub do niej przylegających,</w:t>
      </w:r>
    </w:p>
    <w:p>
      <w:pPr>
        <w:pStyle w:val="Style5"/>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6"/>
        </w:rPr>
        <w:t>W tym miejscu warto przywołać dane Ministerstwa Rozwoju i Technologii, które stanowiły uzasadnienie do wprowadzenia regulacji przeciwdziałających rozlewaniu się miast i wsi. Według danych GUS w Polsce w 2023 r. żyło około 38 mln osób, prognozuje się, że w 2060 r. ta liczba zmniejszy się do ok. 30 mln osób.</w:t>
      </w:r>
    </w:p>
    <w:p>
      <w:pPr>
        <w:pStyle w:val="Style5"/>
        <w:keepNext w:val="0"/>
        <w:keepLines w:val="0"/>
        <w:widowControl w:val="0"/>
        <w:shd w:val="clear" w:color="auto" w:fill="auto"/>
        <w:bidi w:val="0"/>
        <w:spacing w:before="0" w:after="0"/>
        <w:ind w:left="740" w:right="0" w:firstLine="0"/>
        <w:jc w:val="left"/>
      </w:pPr>
      <w:r>
        <w:rPr>
          <w:rStyle w:val="CharStyle6"/>
        </w:rPr>
        <w:t>Jednocześnie z przeprowadzonych w 2013 r. badań studiów uwarunkowań i kierunków zagospodarowania wynika, że zabezpieczono w nich tereny pod budownictwo mieszkaniowe dla około 200 mln osób (liczba ta nie uwzględnia nieruchomości, dla których zostały wydane decyzje WZ). Oznacza to, że w procesie planowania przewidziano ponad 6 razy więcej nowych terenów pod zabudowę niż będzie wynosiła liczba mieszkańców Polski.</w:t>
      </w:r>
    </w:p>
    <w:p>
      <w:pPr>
        <w:pStyle w:val="Style5"/>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6"/>
        </w:rPr>
        <w:t>Z danych NIK</w:t>
      </w:r>
      <w:r>
        <w:rPr>
          <w:rStyle w:val="CharStyle6"/>
          <w:vertAlign w:val="superscript"/>
        </w:rPr>
        <w:footnoteReference w:id="8"/>
      </w:r>
      <w:r>
        <w:rPr>
          <w:rStyle w:val="CharStyle6"/>
        </w:rPr>
        <w:t xml:space="preserve"> wynika, że społeczeństwo traci rocznie ponad 84 mld stanowiących koszty niekontrolowanej zabudowy. Ma to swoje źródło głównie w wydawaniu wadliwych decyzji WZ</w:t>
      </w:r>
      <w:r>
        <w:rPr>
          <w:rStyle w:val="CharStyle6"/>
          <w:vertAlign w:val="superscript"/>
        </w:rPr>
        <w:footnoteReference w:id="9"/>
      </w:r>
      <w:r>
        <w:rPr>
          <w:rStyle w:val="CharStyle6"/>
        </w:rPr>
        <w:t>. Te koszty wynikają z chaosu przestrzennego, problemów z infrastrukturą (np. konieczność zapewnienia mediów: prąd, kanalizacja, wodociągi, odbiór śmieci, obowiązek zapewnienia dowozu dzieci do szkoły, budowa i naprawa: dróg, chodników, odśnieżanie) negatywnego wpływu na środowisko (np. większe zużycie paliwa na dojazdy do szkoły, pracy).</w:t>
      </w:r>
    </w:p>
    <w:p>
      <w:pPr>
        <w:pStyle w:val="Style5"/>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6"/>
        </w:rPr>
        <w:t>Oznacza to, że proces uchwalania planów ogólnych gmin będzie stanowił właściwy moment na wyważenie dwóch różnych interesów publicznych: ochrony złóż kopalin oraz potrzeby zrównoważonego rozwoju społeczności lokalnych, w szczególności poprzez uwzględnienie ich rzeczywistych potrzeb mieszkaniowych oraz wyznaczenie konkretnych obszarów uzupełniającej zabudowy.</w:t>
      </w:r>
    </w:p>
    <w:p>
      <w:pPr>
        <w:pStyle w:val="Style5"/>
        <w:keepNext w:val="0"/>
        <w:keepLines w:val="0"/>
        <w:widowControl w:val="0"/>
        <w:numPr>
          <w:ilvl w:val="0"/>
          <w:numId w:val="3"/>
        </w:numPr>
        <w:shd w:val="clear" w:color="auto" w:fill="auto"/>
        <w:tabs>
          <w:tab w:pos="726" w:val="left"/>
        </w:tabs>
        <w:bidi w:val="0"/>
        <w:spacing w:before="0" w:after="660"/>
        <w:ind w:left="740" w:right="0" w:hanging="360"/>
        <w:jc w:val="left"/>
      </w:pPr>
      <w:r>
        <w:rPr>
          <w:rStyle w:val="CharStyle6"/>
        </w:rPr>
        <w:t>Uzupełniająco należy dodać, że Minister Klimatu i Środowiska w ramach prowadzonych postępowań działa z poszanowaniem praw nabytych właścicieli wynikających m.in. z obowiązujących m.p.z.p. Jest to realizowane podczas uzgadniania projektów planów ogólnych gmin. Jeżeli określony teren w m.p.z.p. jest przeznaczony pod budownictwo, to organ nie sprzeciwia się wyznaczeniu analogicznych stref w planie ogólnym gminy. Takie działania służą m.in. zapobieganiu zgłaszania wobec gmin roszczeń odszkodowawczych wynikających ze zmiany przeznaczenia nieruchomości w m.p.z.p.</w:t>
      </w:r>
    </w:p>
    <w:p>
      <w:pPr>
        <w:pStyle w:val="Style5"/>
        <w:keepNext w:val="0"/>
        <w:keepLines w:val="0"/>
        <w:widowControl w:val="0"/>
        <w:shd w:val="clear" w:color="auto" w:fill="auto"/>
        <w:bidi w:val="0"/>
        <w:spacing w:before="0" w:after="200" w:line="240" w:lineRule="auto"/>
        <w:ind w:left="0" w:right="0" w:firstLine="0"/>
        <w:jc w:val="left"/>
      </w:pPr>
      <w:r>
        <w:rPr>
          <w:rStyle w:val="CharStyle6"/>
        </w:rPr>
        <w:t>Z wyrazami szacunku</w:t>
      </w:r>
    </w:p>
    <w:p>
      <w:pPr>
        <w:pStyle w:val="Style5"/>
        <w:keepNext w:val="0"/>
        <w:keepLines w:val="0"/>
        <w:widowControl w:val="0"/>
        <w:shd w:val="clear" w:color="auto" w:fill="auto"/>
        <w:bidi w:val="0"/>
        <w:spacing w:before="0" w:after="800" w:line="240" w:lineRule="auto"/>
        <w:ind w:left="0" w:right="0" w:firstLine="0"/>
        <w:jc w:val="left"/>
      </w:pPr>
      <w:r>
        <w:rPr>
          <w:rStyle w:val="CharStyle6"/>
        </w:rPr>
        <w:t>Z up. Ministra</w:t>
      </w:r>
    </w:p>
    <w:p>
      <w:pPr>
        <w:pStyle w:val="Style5"/>
        <w:keepNext w:val="0"/>
        <w:keepLines w:val="0"/>
        <w:widowControl w:val="0"/>
        <w:shd w:val="clear" w:color="auto" w:fill="auto"/>
        <w:bidi w:val="0"/>
        <w:spacing w:before="0" w:after="0"/>
        <w:ind w:left="0" w:right="0" w:firstLine="0"/>
        <w:jc w:val="left"/>
      </w:pPr>
      <w:r>
        <w:rPr>
          <w:rStyle w:val="CharStyle6"/>
        </w:rPr>
        <w:t>Zastępca Dyrektora</w:t>
      </w:r>
    </w:p>
    <w:p>
      <w:pPr>
        <w:pStyle w:val="Style5"/>
        <w:keepNext w:val="0"/>
        <w:keepLines w:val="0"/>
        <w:widowControl w:val="0"/>
        <w:shd w:val="clear" w:color="auto" w:fill="auto"/>
        <w:bidi w:val="0"/>
        <w:spacing w:before="0" w:after="0"/>
        <w:ind w:left="0" w:right="0" w:firstLine="0"/>
        <w:jc w:val="left"/>
      </w:pPr>
      <w:r>
        <w:rPr>
          <w:rStyle w:val="CharStyle6"/>
        </w:rPr>
        <w:t>Ministerstwo Klimatu i Środowiska / – podpisany cyfrowo/</w:t>
      </w:r>
    </w:p>
    <w:sectPr>
      <w:footerReference w:type="default" r:id="rId7"/>
      <w:footnotePr>
        <w:pos w:val="pageBottom"/>
        <w:numFmt w:val="decimal"/>
        <w:numStart w:val="2"/>
        <w:numRestart w:val="continuous"/>
        <w15:footnoteColumns w:val="1"/>
      </w:footnotePr>
      <w:pgSz w:w="11900" w:h="16840"/>
      <w:pgMar w:top="2127" w:right="1963" w:bottom="1749" w:left="1950" w:header="16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6244590</wp:posOffset>
              </wp:positionH>
              <wp:positionV relativeFrom="page">
                <wp:posOffset>10025380</wp:posOffset>
              </wp:positionV>
              <wp:extent cx="48895" cy="73025"/>
              <wp:wrapNone/>
              <wp:docPr id="3" name="Shape 3"/>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13"/>
                                <w:rFonts w:ascii="Arial" w:eastAsia="Arial" w:hAnsi="Arial" w:cs="Arial"/>
                                <w:sz w:val="15"/>
                                <w:szCs w:val="15"/>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1.69999999999999pt;margin-top:789.39999999999998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13"/>
                          <w:rFonts w:ascii="Arial" w:eastAsia="Arial" w:hAnsi="Arial" w:cs="Arial"/>
                          <w:sz w:val="15"/>
                          <w:szCs w:val="15"/>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both"/>
      </w:pPr>
      <w:r>
        <w:rPr>
          <w:rStyle w:val="CharStyle3"/>
        </w:rPr>
        <w:t xml:space="preserve">Telefon: (+48) 22 369 29 00 ul. Wawelska 52/54, 00-922 Warszawa </w:t>
      </w:r>
      <w:r>
        <w:fldChar w:fldCharType="begin"/>
      </w:r>
      <w:r>
        <w:rPr/>
        <w:instrText> HYPERLINK "mailto:info@klimat.gov.pl" </w:instrText>
      </w:r>
      <w:r>
        <w:fldChar w:fldCharType="separate"/>
      </w:r>
      <w:r>
        <w:rPr>
          <w:rStyle w:val="CharStyle3"/>
        </w:rPr>
        <w:t>info@klimat.gov.pl</w:t>
      </w:r>
      <w:r>
        <w:fldChar w:fldCharType="end"/>
      </w:r>
      <w:r>
        <w:rPr>
          <w:rStyle w:val="CharStyle3"/>
        </w:rPr>
        <w:t xml:space="preserve"> Ministerstwo Klimatu i Środowiska </w:t>
      </w:r>
      <w:r>
        <w:fldChar w:fldCharType="begin"/>
      </w:r>
      <w:r>
        <w:rPr/>
        <w:instrText> HYPERLINK "http://www.gov.pl/klimat" </w:instrText>
      </w:r>
      <w:r>
        <w:fldChar w:fldCharType="separate"/>
      </w:r>
      <w:r>
        <w:rPr>
          <w:rStyle w:val="CharStyle3"/>
        </w:rPr>
        <w:t>www.gov.pl/klimat</w:t>
      </w:r>
      <w:r>
        <w:fldChar w:fldCharType="end"/>
      </w:r>
    </w:p>
  </w:footnote>
  <w:footnote w:id="3">
    <w:p>
      <w:pPr>
        <w:pStyle w:val="Style2"/>
        <w:keepNext w:val="0"/>
        <w:keepLines w:val="0"/>
        <w:widowControl w:val="0"/>
        <w:shd w:val="clear" w:color="auto" w:fill="auto"/>
        <w:bidi w:val="0"/>
        <w:spacing w:before="0" w:after="0" w:line="240" w:lineRule="auto"/>
        <w:ind w:left="0" w:right="0" w:firstLine="0"/>
        <w:jc w:val="center"/>
        <w:rPr>
          <w:sz w:val="13"/>
          <w:szCs w:val="13"/>
        </w:rPr>
      </w:pPr>
      <w:r>
        <w:rPr>
          <w:rStyle w:val="CharStyle3"/>
          <w:sz w:val="13"/>
          <w:szCs w:val="13"/>
        </w:rPr>
        <w:t>Działamy zgodnie z EMAS - zarządzając instytucją, dbamy o środowisko</w:t>
      </w:r>
    </w:p>
  </w:footnote>
  <w:footnote w:id="4">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Dz. U. z 2018 r. poz. 1235</w:t>
      </w:r>
    </w:p>
  </w:footnote>
  <w:footnote w:id="5">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 U. z 2023 r. poz. 1688</w:t>
      </w:r>
    </w:p>
  </w:footnote>
  <w:footnote w:id="6">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Dz.U. z 2024 r. poz. 1572</w:t>
      </w:r>
    </w:p>
  </w:footnote>
  <w:footnote w:id="7">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Ustawa z dnia 7 lipca 2023 r. o zmianie ustawy o planowaniu i zagospodarowaniu przestrzennym (Dz.U. poz.1890, ze zm.)</w:t>
      </w:r>
    </w:p>
  </w:footnote>
  <w:footnote w:id="8">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NIK w raporcie powołuje się na Raport KPZK PAN „Studia nad chaosem przestrzennym” Część I, Społeczne, ekonomiczne i środowiskowe koszty chaosu przestrzennego. Fundacja Rozwoju Demokracji Lokalnej, Uniwersytet Łódzki Instytut Geografii i Planowania Przestrzennego PAN</w:t>
      </w:r>
    </w:p>
  </w:footnote>
  <w:footnote w:id="9">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Z raportu NIK wynika, że w 85% przypadkach decyzje WZ były wydawane wadliwie</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6">
    <w:name w:val="Tekst treści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9">
    <w:name w:val="Nagłówek #1_"/>
    <w:basedOn w:val="DefaultParagraphFont"/>
    <w:link w:val="Style8"/>
    <w:rPr>
      <w:rFonts w:ascii="Arial" w:eastAsia="Arial" w:hAnsi="Arial" w:cs="Arial"/>
      <w:b/>
      <w:bCs/>
      <w:i w:val="0"/>
      <w:iCs w:val="0"/>
      <w:smallCaps w:val="0"/>
      <w:strike w:val="0"/>
      <w:sz w:val="22"/>
      <w:szCs w:val="22"/>
      <w:u w:val="none"/>
    </w:rPr>
  </w:style>
  <w:style w:type="character" w:customStyle="1" w:styleId="CharStyle11">
    <w:name w:val="Tekst treści (2)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3">
    <w:name w:val="Nagłówek lub stopka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Stopka"/>
    <w:basedOn w:val="Normal"/>
    <w:link w:val="CharStyle3"/>
    <w:pPr>
      <w:widowControl w:val="0"/>
      <w:shd w:val="clear" w:color="auto" w:fill="auto"/>
      <w:spacing w:line="266" w:lineRule="auto"/>
    </w:pPr>
    <w:rPr>
      <w:rFonts w:ascii="Arial" w:eastAsia="Arial" w:hAnsi="Arial" w:cs="Arial"/>
      <w:b w:val="0"/>
      <w:bCs w:val="0"/>
      <w:i w:val="0"/>
      <w:iCs w:val="0"/>
      <w:smallCaps w:val="0"/>
      <w:strike w:val="0"/>
      <w:sz w:val="15"/>
      <w:szCs w:val="15"/>
      <w:u w:val="none"/>
    </w:rPr>
  </w:style>
  <w:style w:type="paragraph" w:customStyle="1" w:styleId="Style5">
    <w:name w:val="Tekst treści"/>
    <w:basedOn w:val="Normal"/>
    <w:link w:val="CharStyle6"/>
    <w:pPr>
      <w:widowControl w:val="0"/>
      <w:shd w:val="clear" w:color="auto" w:fill="auto"/>
      <w:spacing w:after="180" w:line="264" w:lineRule="auto"/>
    </w:pPr>
    <w:rPr>
      <w:rFonts w:ascii="Arial" w:eastAsia="Arial" w:hAnsi="Arial" w:cs="Arial"/>
      <w:b w:val="0"/>
      <w:bCs w:val="0"/>
      <w:i w:val="0"/>
      <w:iCs w:val="0"/>
      <w:smallCaps w:val="0"/>
      <w:strike w:val="0"/>
      <w:sz w:val="19"/>
      <w:szCs w:val="19"/>
      <w:u w:val="none"/>
    </w:rPr>
  </w:style>
  <w:style w:type="paragraph" w:customStyle="1" w:styleId="Style8">
    <w:name w:val="Nagłówek #1"/>
    <w:basedOn w:val="Normal"/>
    <w:link w:val="CharStyle9"/>
    <w:pPr>
      <w:widowControl w:val="0"/>
      <w:shd w:val="clear" w:color="auto" w:fill="auto"/>
      <w:spacing w:after="2280" w:line="276" w:lineRule="auto"/>
      <w:outlineLvl w:val="0"/>
    </w:pPr>
    <w:rPr>
      <w:rFonts w:ascii="Arial" w:eastAsia="Arial" w:hAnsi="Arial" w:cs="Arial"/>
      <w:b/>
      <w:bCs/>
      <w:i w:val="0"/>
      <w:iCs w:val="0"/>
      <w:smallCaps w:val="0"/>
      <w:strike w:val="0"/>
      <w:sz w:val="22"/>
      <w:szCs w:val="22"/>
      <w:u w:val="none"/>
    </w:rPr>
  </w:style>
  <w:style w:type="paragraph" w:customStyle="1" w:styleId="Style10">
    <w:name w:val="Tekst treści (2)"/>
    <w:basedOn w:val="Normal"/>
    <w:link w:val="CharStyle11"/>
    <w:pPr>
      <w:widowControl w:val="0"/>
      <w:shd w:val="clear" w:color="auto" w:fill="auto"/>
      <w:spacing w:line="266" w:lineRule="auto"/>
    </w:pPr>
    <w:rPr>
      <w:rFonts w:ascii="Arial" w:eastAsia="Arial" w:hAnsi="Arial" w:cs="Arial"/>
      <w:b w:val="0"/>
      <w:bCs w:val="0"/>
      <w:i w:val="0"/>
      <w:iCs w:val="0"/>
      <w:smallCaps w:val="0"/>
      <w:strike w:val="0"/>
      <w:sz w:val="15"/>
      <w:szCs w:val="15"/>
      <w:u w:val="none"/>
    </w:rPr>
  </w:style>
  <w:style w:type="paragraph" w:customStyle="1" w:styleId="Style12">
    <w:name w:val="Nagłówek lub stopka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Z upoważnienia Ministra Klimatu i Środowiska sekretarz podsekretarz kolor</dc:title>
  <dc:subject/>
  <dc:creator>Jakoniak Mariola</dc:creator>
  <cp:keywords>PL, kolor</cp:keywords>
</cp:coreProperties>
</file>