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F77499" w14:textId="77777777" w:rsidR="00324341" w:rsidRDefault="00324341" w:rsidP="00E87946">
      <w:pPr>
        <w:spacing w:line="0" w:lineRule="atLeast"/>
        <w:ind w:right="851"/>
        <w:jc w:val="right"/>
        <w:rPr>
          <w:rFonts w:ascii="Verdana" w:eastAsia="Verdana" w:hAnsi="Verdana"/>
          <w:sz w:val="18"/>
          <w:lang w:val="pl-PL"/>
        </w:rPr>
      </w:pPr>
    </w:p>
    <w:p w14:paraId="6240FB9B" w14:textId="77777777" w:rsidR="00324341" w:rsidRDefault="00324341" w:rsidP="00E87946">
      <w:pPr>
        <w:spacing w:line="0" w:lineRule="atLeast"/>
        <w:ind w:right="851"/>
        <w:jc w:val="right"/>
        <w:rPr>
          <w:rFonts w:ascii="Verdana" w:eastAsia="Verdana" w:hAnsi="Verdana"/>
          <w:sz w:val="18"/>
          <w:lang w:val="pl-PL"/>
        </w:rPr>
      </w:pPr>
    </w:p>
    <w:p w14:paraId="4533F50B" w14:textId="77777777" w:rsidR="003F4C30" w:rsidRDefault="003F4C30" w:rsidP="003F4C30">
      <w:pPr>
        <w:spacing w:line="0" w:lineRule="atLeast"/>
        <w:ind w:right="851"/>
        <w:jc w:val="right"/>
        <w:rPr>
          <w:rFonts w:ascii="Verdana" w:eastAsia="Verdana" w:hAnsi="Verdana"/>
          <w:sz w:val="18"/>
          <w:lang w:val="pl-PL"/>
        </w:rPr>
      </w:pPr>
    </w:p>
    <w:p w14:paraId="3599790E" w14:textId="44DE47EF" w:rsidR="00E87946" w:rsidRDefault="00E87946" w:rsidP="003F4C30">
      <w:pPr>
        <w:spacing w:line="0" w:lineRule="atLeast"/>
        <w:ind w:right="851"/>
        <w:jc w:val="right"/>
        <w:rPr>
          <w:rFonts w:ascii="Verdana" w:eastAsia="Verdana" w:hAnsi="Verdana"/>
          <w:sz w:val="18"/>
          <w:lang w:val="pl-PL"/>
        </w:rPr>
      </w:pPr>
      <w:r w:rsidRPr="00886221">
        <w:rPr>
          <w:rFonts w:ascii="Verdana" w:eastAsia="Verdana" w:hAnsi="Verdana"/>
          <w:sz w:val="18"/>
          <w:lang w:val="pl-PL"/>
        </w:rPr>
        <w:t>Zestawienie</w:t>
      </w:r>
      <w:r w:rsidR="003F4C30" w:rsidRPr="003F4C30">
        <w:rPr>
          <w:rFonts w:ascii="Verdana" w:eastAsia="Verdana" w:hAnsi="Verdana"/>
          <w:sz w:val="18"/>
          <w:lang w:val="pl-PL"/>
        </w:rPr>
        <w:t xml:space="preserve"> – </w:t>
      </w:r>
      <w:r w:rsidR="008E2134">
        <w:rPr>
          <w:rFonts w:ascii="Verdana" w:eastAsia="Verdana" w:hAnsi="Verdana"/>
          <w:sz w:val="18"/>
          <w:lang w:val="pl-PL"/>
        </w:rPr>
        <w:t>Partie polityczne i stowarzyszenia</w:t>
      </w:r>
    </w:p>
    <w:p w14:paraId="4449DA60" w14:textId="016F8844" w:rsidR="003F4C30" w:rsidRDefault="003F4C30" w:rsidP="003F4C30">
      <w:pPr>
        <w:spacing w:line="0" w:lineRule="atLeast"/>
        <w:ind w:right="851"/>
        <w:jc w:val="right"/>
        <w:rPr>
          <w:rFonts w:ascii="Verdana" w:eastAsia="Verdana" w:hAnsi="Verdana"/>
          <w:sz w:val="18"/>
          <w:lang w:val="pl-PL"/>
        </w:rPr>
      </w:pPr>
      <w:r>
        <w:rPr>
          <w:noProof/>
          <w:lang w:val="pl-PL" w:eastAsia="pl-PL"/>
        </w:rPr>
        <mc:AlternateContent>
          <mc:Choice Requires="wps">
            <w:drawing>
              <wp:anchor distT="0" distB="0" distL="114300" distR="114300" simplePos="0" relativeHeight="251663872" behindDoc="0" locked="0" layoutInCell="1" allowOverlap="1" wp14:anchorId="21EE4509" wp14:editId="66E633D6">
                <wp:simplePos x="0" y="0"/>
                <wp:positionH relativeFrom="column">
                  <wp:posOffset>-334010</wp:posOffset>
                </wp:positionH>
                <wp:positionV relativeFrom="paragraph">
                  <wp:posOffset>85725</wp:posOffset>
                </wp:positionV>
                <wp:extent cx="6448425" cy="0"/>
                <wp:effectExtent l="9525" t="7620" r="9525" b="114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AD045" id="_x0000_t32" coordsize="21600,21600" o:spt="32" o:oned="t" path="m,l21600,21600e" filled="f">
                <v:path arrowok="t" fillok="f" o:connecttype="none"/>
                <o:lock v:ext="edit" shapetype="t"/>
              </v:shapetype>
              <v:shape id="AutoShape 94" o:spid="_x0000_s1026" type="#_x0000_t32" style="position:absolute;margin-left:-26.3pt;margin-top:6.75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"/>
            </w:pict>
          </mc:Fallback>
        </mc:AlternateContent>
      </w:r>
    </w:p>
    <w:p w14:paraId="476D84F7" w14:textId="5BF3DE95" w:rsidR="003F4C30" w:rsidRPr="003F4C30" w:rsidRDefault="003F4C30" w:rsidP="003F4C30">
      <w:pPr>
        <w:spacing w:line="0" w:lineRule="atLeast"/>
        <w:ind w:right="851"/>
        <w:jc w:val="center"/>
        <w:rPr>
          <w:rFonts w:ascii="Verdana" w:eastAsia="Verdana" w:hAnsi="Verdana"/>
          <w:sz w:val="18"/>
          <w:lang w:val="pl-PL"/>
        </w:rPr>
      </w:pPr>
    </w:p>
    <w:p w14:paraId="5BC5E095" w14:textId="77777777" w:rsidR="00E87946" w:rsidRDefault="00E87946" w:rsidP="005715B6">
      <w:pPr>
        <w:spacing w:line="282" w:lineRule="exact"/>
        <w:ind w:right="839"/>
        <w:jc w:val="right"/>
        <w:rPr>
          <w:rFonts w:ascii="Verdana" w:eastAsia="Verdana" w:hAnsi="Verdana"/>
          <w:color w:val="EC7F12"/>
          <w:sz w:val="18"/>
          <w:lang w:val="pl-PL"/>
        </w:rPr>
      </w:pPr>
    </w:p>
    <w:p w14:paraId="1A46C4DC" w14:textId="77777777" w:rsidR="008D3C12" w:rsidRDefault="008D3C12" w:rsidP="005715B6">
      <w:pPr>
        <w:spacing w:line="0" w:lineRule="atLeast"/>
        <w:ind w:right="839"/>
        <w:jc w:val="right"/>
        <w:rPr>
          <w:rFonts w:ascii="Verdana" w:eastAsia="Verdana" w:hAnsi="Verdana"/>
          <w:color w:val="EC7F12"/>
          <w:sz w:val="18"/>
          <w:lang w:val="pl-PL"/>
        </w:rPr>
      </w:pPr>
      <w:r>
        <w:rPr>
          <w:rFonts w:ascii="Verdana" w:eastAsia="Verdana" w:hAnsi="Verdana"/>
          <w:color w:val="EC7F12"/>
          <w:sz w:val="18"/>
          <w:lang w:val="pl-PL"/>
        </w:rPr>
        <w:t xml:space="preserve">Maj 2022 r. </w:t>
      </w:r>
    </w:p>
    <w:p w14:paraId="745015AB" w14:textId="1112D374" w:rsidR="001901E3" w:rsidRPr="001901E3" w:rsidRDefault="001901E3" w:rsidP="005715B6">
      <w:pPr>
        <w:spacing w:line="0" w:lineRule="atLeast"/>
        <w:ind w:right="839"/>
        <w:jc w:val="right"/>
        <w:rPr>
          <w:rFonts w:ascii="Verdana" w:eastAsia="Verdana" w:hAnsi="Verdana"/>
          <w:color w:val="EC7F12"/>
          <w:sz w:val="18"/>
          <w:lang w:val="pl-PL"/>
        </w:rPr>
      </w:pPr>
      <w:r w:rsidRPr="001901E3">
        <w:rPr>
          <w:rFonts w:ascii="Verdana" w:eastAsia="Verdana" w:hAnsi="Verdana"/>
          <w:color w:val="EC7F12"/>
          <w:sz w:val="18"/>
          <w:lang w:val="pl-PL"/>
        </w:rPr>
        <w:t>Niniejsze zestawienie nie jest wiążące dla Trybunału i nie</w:t>
      </w:r>
      <w:r>
        <w:rPr>
          <w:rFonts w:ascii="Verdana" w:eastAsia="Verdana" w:hAnsi="Verdana"/>
          <w:color w:val="EC7F12"/>
          <w:sz w:val="18"/>
          <w:lang w:val="pl-PL"/>
        </w:rPr>
        <w:t xml:space="preserve"> ma charakteru wyczerpującego</w:t>
      </w:r>
    </w:p>
    <w:p w14:paraId="3F5C375C" w14:textId="77777777" w:rsidR="001473E3" w:rsidRPr="001901E3" w:rsidRDefault="001473E3" w:rsidP="00070BB7">
      <w:pPr>
        <w:spacing w:line="229" w:lineRule="exact"/>
        <w:rPr>
          <w:rFonts w:ascii="Times New Roman" w:eastAsia="Times New Roman" w:hAnsi="Times New Roman"/>
          <w:sz w:val="24"/>
          <w:lang w:val="pl-PL"/>
        </w:rPr>
      </w:pPr>
    </w:p>
    <w:p w14:paraId="4FC4902C" w14:textId="16ED69C1" w:rsidR="00886221" w:rsidRPr="009447D1" w:rsidRDefault="008E2134" w:rsidP="00070BB7">
      <w:pPr>
        <w:spacing w:line="267" w:lineRule="auto"/>
        <w:ind w:left="120"/>
        <w:rPr>
          <w:rFonts w:ascii="Verdana" w:eastAsia="Verdana" w:hAnsi="Verdana"/>
          <w:color w:val="0072BC"/>
          <w:sz w:val="44"/>
          <w:lang w:val="pl-PL"/>
        </w:rPr>
      </w:pPr>
      <w:r>
        <w:rPr>
          <w:rFonts w:ascii="Verdana" w:eastAsia="Verdana" w:hAnsi="Verdana"/>
          <w:color w:val="0072BC"/>
          <w:sz w:val="44"/>
          <w:lang w:val="pl-PL"/>
        </w:rPr>
        <w:t>Partie polityczne i stowarzyszenia</w:t>
      </w:r>
      <w:r w:rsidR="004E2988">
        <w:rPr>
          <w:rFonts w:ascii="Verdana" w:eastAsia="Verdana" w:hAnsi="Verdana"/>
          <w:color w:val="0072BC"/>
          <w:sz w:val="44"/>
          <w:lang w:val="pl-PL"/>
        </w:rPr>
        <w:t xml:space="preserve"> </w:t>
      </w:r>
    </w:p>
    <w:p w14:paraId="41A92101" w14:textId="101BF2FE" w:rsidR="00D03D1D" w:rsidRPr="000A6E04" w:rsidRDefault="00D03D1D" w:rsidP="000A6E04">
      <w:pPr>
        <w:spacing w:line="20" w:lineRule="exact"/>
        <w:rPr>
          <w:rFonts w:ascii="Times New Roman" w:eastAsia="Times New Roman" w:hAnsi="Times New Roman"/>
          <w:sz w:val="24"/>
          <w:lang w:val="pl-PL"/>
        </w:rPr>
      </w:pPr>
    </w:p>
    <w:p w14:paraId="7066E122" w14:textId="01856F83" w:rsidR="008D3C12" w:rsidRDefault="008D3C12" w:rsidP="00070BB7">
      <w:pPr>
        <w:spacing w:line="202" w:lineRule="exact"/>
        <w:rPr>
          <w:rFonts w:ascii="Verdana" w:eastAsia="Times New Roman" w:hAnsi="Verdana"/>
          <w:sz w:val="24"/>
          <w:lang w:val="pl-PL"/>
        </w:rPr>
      </w:pPr>
      <w:r>
        <w:rPr>
          <w:rFonts w:ascii="Verdana" w:eastAsia="Verdana" w:hAnsi="Verdana"/>
          <w:noProof/>
          <w:color w:val="0072BC"/>
          <w:sz w:val="44"/>
        </w:rPr>
        <mc:AlternateContent>
          <mc:Choice Requires="wps">
            <w:drawing>
              <wp:anchor distT="0" distB="0" distL="114300" distR="114300" simplePos="0" relativeHeight="251651584" behindDoc="1" locked="0" layoutInCell="1" allowOverlap="1" wp14:anchorId="4CDB4130" wp14:editId="433A7606">
                <wp:simplePos x="0" y="0"/>
                <wp:positionH relativeFrom="page">
                  <wp:posOffset>922655</wp:posOffset>
                </wp:positionH>
                <wp:positionV relativeFrom="paragraph">
                  <wp:posOffset>26670</wp:posOffset>
                </wp:positionV>
                <wp:extent cx="5768340" cy="0"/>
                <wp:effectExtent l="0" t="19050" r="22860" b="1905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6383" id="Line 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65pt,2.1pt" to="52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" strokecolor="#eaeaea" strokeweight="3pt">
                <w10:wrap anchorx="page"/>
              </v:line>
            </w:pict>
          </mc:Fallback>
        </mc:AlternateContent>
      </w:r>
    </w:p>
    <w:p w14:paraId="0753830A" w14:textId="29E2EC06" w:rsidR="001473E3" w:rsidRPr="008E2134" w:rsidRDefault="001473E3" w:rsidP="00070BB7">
      <w:pPr>
        <w:spacing w:line="202" w:lineRule="exact"/>
        <w:rPr>
          <w:rFonts w:ascii="Verdana" w:eastAsia="Times New Roman" w:hAnsi="Verdana"/>
          <w:sz w:val="24"/>
          <w:lang w:val="pl-PL"/>
        </w:rPr>
      </w:pPr>
    </w:p>
    <w:p w14:paraId="3B450116" w14:textId="7F697C3D" w:rsidR="0076097F" w:rsidRPr="0076097F" w:rsidRDefault="0076097F" w:rsidP="0076097F">
      <w:pPr>
        <w:spacing w:after="120"/>
        <w:ind w:left="119" w:right="839"/>
        <w:jc w:val="both"/>
        <w:rPr>
          <w:rFonts w:ascii="Verdana" w:hAnsi="Verdana"/>
        </w:rPr>
      </w:pPr>
      <w:r>
        <w:rPr>
          <w:rFonts w:ascii="Times New Roman" w:eastAsia="Times New Roman" w:hAnsi="Times New Roman"/>
          <w:noProof/>
          <w:sz w:val="24"/>
        </w:rPr>
        <w:drawing>
          <wp:anchor distT="0" distB="0" distL="114300" distR="114300" simplePos="0" relativeHeight="251655680" behindDoc="1" locked="0" layoutInCell="1" allowOverlap="1" wp14:anchorId="12609CE4" wp14:editId="02453A3F">
            <wp:simplePos x="0" y="0"/>
            <wp:positionH relativeFrom="margin">
              <wp:align>left</wp:align>
            </wp:positionH>
            <wp:positionV relativeFrom="paragraph">
              <wp:posOffset>7620</wp:posOffset>
            </wp:positionV>
            <wp:extent cx="5788660" cy="2200275"/>
            <wp:effectExtent l="19050" t="19050" r="21590" b="28575"/>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2002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6097F">
        <w:rPr>
          <w:rFonts w:ascii="Verdana" w:hAnsi="Verdana"/>
        </w:rPr>
        <w:t>Zgodnie z orzecznictwem Europejskiego Trybunału Praw Człowieka, art. 11 (</w:t>
      </w:r>
      <w:proofErr w:type="spellStart"/>
      <w:r w:rsidRPr="0076097F">
        <w:rPr>
          <w:rFonts w:ascii="Verdana" w:hAnsi="Verdana"/>
        </w:rPr>
        <w:t>wolność</w:t>
      </w:r>
      <w:proofErr w:type="spellEnd"/>
      <w:r w:rsidRPr="0076097F">
        <w:rPr>
          <w:rFonts w:ascii="Verdana" w:hAnsi="Verdana"/>
        </w:rPr>
        <w:t xml:space="preserve"> </w:t>
      </w:r>
      <w:proofErr w:type="spellStart"/>
      <w:r w:rsidRPr="0076097F">
        <w:rPr>
          <w:rFonts w:ascii="Verdana" w:hAnsi="Verdana"/>
        </w:rPr>
        <w:t>zgromadzeń</w:t>
      </w:r>
      <w:proofErr w:type="spellEnd"/>
      <w:r w:rsidRPr="0076097F">
        <w:rPr>
          <w:rFonts w:ascii="Verdana" w:hAnsi="Verdana"/>
        </w:rPr>
        <w:t xml:space="preserve"> </w:t>
      </w:r>
      <w:proofErr w:type="spellStart"/>
      <w:r w:rsidRPr="0076097F">
        <w:rPr>
          <w:rFonts w:ascii="Verdana" w:hAnsi="Verdana"/>
        </w:rPr>
        <w:t>i</w:t>
      </w:r>
      <w:proofErr w:type="spellEnd"/>
      <w:r w:rsidRPr="0076097F">
        <w:rPr>
          <w:rFonts w:ascii="Verdana" w:hAnsi="Verdana"/>
        </w:rPr>
        <w:t xml:space="preserve"> </w:t>
      </w:r>
      <w:proofErr w:type="spellStart"/>
      <w:r w:rsidRPr="0076097F">
        <w:rPr>
          <w:rFonts w:ascii="Verdana" w:hAnsi="Verdana"/>
        </w:rPr>
        <w:t>stowarzyszania</w:t>
      </w:r>
      <w:proofErr w:type="spellEnd"/>
      <w:r w:rsidRPr="0076097F">
        <w:rPr>
          <w:rFonts w:ascii="Verdana" w:hAnsi="Verdana"/>
        </w:rPr>
        <w:t xml:space="preserve"> </w:t>
      </w:r>
      <w:proofErr w:type="spellStart"/>
      <w:r w:rsidRPr="0076097F">
        <w:rPr>
          <w:rFonts w:ascii="Verdana" w:hAnsi="Verdana"/>
        </w:rPr>
        <w:t>się</w:t>
      </w:r>
      <w:proofErr w:type="spellEnd"/>
      <w:r w:rsidRPr="0076097F">
        <w:rPr>
          <w:rFonts w:ascii="Verdana" w:hAnsi="Verdana"/>
        </w:rPr>
        <w:t xml:space="preserve">) </w:t>
      </w:r>
      <w:hyperlink r:id="rId9" w:history="1">
        <w:proofErr w:type="spellStart"/>
        <w:r w:rsidRPr="00234FD5">
          <w:rPr>
            <w:rStyle w:val="Hipercze"/>
            <w:rFonts w:ascii="Verdana" w:hAnsi="Verdana"/>
            <w:b/>
            <w:bCs/>
          </w:rPr>
          <w:t>Europejskiej</w:t>
        </w:r>
        <w:proofErr w:type="spellEnd"/>
        <w:r w:rsidRPr="00234FD5">
          <w:rPr>
            <w:rStyle w:val="Hipercze"/>
            <w:rFonts w:ascii="Verdana" w:hAnsi="Verdana"/>
            <w:b/>
            <w:bCs/>
          </w:rPr>
          <w:t xml:space="preserve"> </w:t>
        </w:r>
        <w:proofErr w:type="spellStart"/>
        <w:r w:rsidRPr="00234FD5">
          <w:rPr>
            <w:rStyle w:val="Hipercze"/>
            <w:rFonts w:ascii="Verdana" w:hAnsi="Verdana"/>
            <w:b/>
            <w:bCs/>
          </w:rPr>
          <w:t>Konwencji</w:t>
        </w:r>
        <w:proofErr w:type="spellEnd"/>
        <w:r w:rsidRPr="00234FD5">
          <w:rPr>
            <w:rStyle w:val="Hipercze"/>
            <w:rFonts w:ascii="Verdana" w:hAnsi="Verdana"/>
            <w:b/>
            <w:bCs/>
          </w:rPr>
          <w:t xml:space="preserve"> Praw Człowieka</w:t>
        </w:r>
      </w:hyperlink>
      <w:r w:rsidRPr="0076097F">
        <w:rPr>
          <w:rFonts w:ascii="Verdana" w:hAnsi="Verdana"/>
        </w:rPr>
        <w:t xml:space="preserve"> ma </w:t>
      </w:r>
      <w:proofErr w:type="spellStart"/>
      <w:r w:rsidRPr="0076097F">
        <w:rPr>
          <w:rFonts w:ascii="Verdana" w:hAnsi="Verdana"/>
        </w:rPr>
        <w:t>zastosowanie</w:t>
      </w:r>
      <w:proofErr w:type="spellEnd"/>
      <w:r w:rsidRPr="0076097F">
        <w:rPr>
          <w:rFonts w:ascii="Verdana" w:hAnsi="Verdana"/>
        </w:rPr>
        <w:t xml:space="preserve"> do </w:t>
      </w:r>
      <w:proofErr w:type="spellStart"/>
      <w:r w:rsidRPr="0076097F">
        <w:rPr>
          <w:rFonts w:ascii="Verdana" w:hAnsi="Verdana"/>
        </w:rPr>
        <w:t>partii</w:t>
      </w:r>
      <w:proofErr w:type="spellEnd"/>
      <w:r w:rsidRPr="0076097F">
        <w:rPr>
          <w:rFonts w:ascii="Verdana" w:hAnsi="Verdana"/>
        </w:rPr>
        <w:t xml:space="preserve"> </w:t>
      </w:r>
      <w:proofErr w:type="spellStart"/>
      <w:r w:rsidRPr="0076097F">
        <w:rPr>
          <w:rFonts w:ascii="Verdana" w:hAnsi="Verdana"/>
        </w:rPr>
        <w:t>politycznych</w:t>
      </w:r>
      <w:proofErr w:type="spellEnd"/>
      <w:r w:rsidRPr="0076097F">
        <w:rPr>
          <w:rFonts w:ascii="Verdana" w:hAnsi="Verdana"/>
        </w:rPr>
        <w:t xml:space="preserve">. </w:t>
      </w:r>
      <w:proofErr w:type="spellStart"/>
      <w:r w:rsidRPr="0076097F">
        <w:rPr>
          <w:rFonts w:ascii="Verdana" w:hAnsi="Verdana"/>
        </w:rPr>
        <w:t>Brzmi</w:t>
      </w:r>
      <w:proofErr w:type="spellEnd"/>
      <w:r w:rsidRPr="0076097F">
        <w:rPr>
          <w:rFonts w:ascii="Verdana" w:hAnsi="Verdana"/>
        </w:rPr>
        <w:t xml:space="preserve"> on </w:t>
      </w:r>
      <w:proofErr w:type="spellStart"/>
      <w:r w:rsidRPr="0076097F">
        <w:rPr>
          <w:rFonts w:ascii="Verdana" w:hAnsi="Verdana"/>
        </w:rPr>
        <w:t>następująco</w:t>
      </w:r>
      <w:proofErr w:type="spellEnd"/>
      <w:r w:rsidRPr="0076097F">
        <w:rPr>
          <w:rFonts w:ascii="Verdana" w:hAnsi="Verdana"/>
        </w:rPr>
        <w:t>:</w:t>
      </w:r>
    </w:p>
    <w:p w14:paraId="614786E0" w14:textId="77777777" w:rsidR="0076097F" w:rsidRPr="0076097F" w:rsidRDefault="0076097F" w:rsidP="0076097F">
      <w:pPr>
        <w:spacing w:after="120"/>
        <w:ind w:left="119" w:right="839"/>
        <w:jc w:val="both"/>
        <w:rPr>
          <w:rFonts w:ascii="Verdana" w:hAnsi="Verdana"/>
        </w:rPr>
      </w:pPr>
      <w:r w:rsidRPr="0076097F">
        <w:rPr>
          <w:rFonts w:ascii="Verdana" w:hAnsi="Verdana"/>
        </w:rPr>
        <w:t xml:space="preserve">„1. </w:t>
      </w:r>
      <w:proofErr w:type="spellStart"/>
      <w:r w:rsidRPr="0076097F">
        <w:rPr>
          <w:rFonts w:ascii="Verdana" w:hAnsi="Verdana"/>
        </w:rPr>
        <w:t>Każdy</w:t>
      </w:r>
      <w:proofErr w:type="spellEnd"/>
      <w:r w:rsidRPr="0076097F">
        <w:rPr>
          <w:rFonts w:ascii="Verdana" w:hAnsi="Verdana"/>
        </w:rPr>
        <w:t xml:space="preserve"> ma </w:t>
      </w:r>
      <w:proofErr w:type="spellStart"/>
      <w:r w:rsidRPr="0076097F">
        <w:rPr>
          <w:rFonts w:ascii="Verdana" w:hAnsi="Verdana"/>
        </w:rPr>
        <w:t>prawo</w:t>
      </w:r>
      <w:proofErr w:type="spellEnd"/>
      <w:r w:rsidRPr="0076097F">
        <w:rPr>
          <w:rFonts w:ascii="Verdana" w:hAnsi="Verdana"/>
        </w:rPr>
        <w:t xml:space="preserve"> do </w:t>
      </w:r>
      <w:proofErr w:type="spellStart"/>
      <w:r w:rsidRPr="0076097F">
        <w:rPr>
          <w:rFonts w:ascii="Verdana" w:hAnsi="Verdana"/>
        </w:rPr>
        <w:t>swobodnego</w:t>
      </w:r>
      <w:proofErr w:type="spellEnd"/>
      <w:r w:rsidRPr="0076097F">
        <w:rPr>
          <w:rFonts w:ascii="Verdana" w:hAnsi="Verdana"/>
        </w:rPr>
        <w:t xml:space="preserve">, </w:t>
      </w:r>
      <w:proofErr w:type="spellStart"/>
      <w:r w:rsidRPr="0076097F">
        <w:rPr>
          <w:rFonts w:ascii="Verdana" w:hAnsi="Verdana"/>
        </w:rPr>
        <w:t>pokojowego</w:t>
      </w:r>
      <w:proofErr w:type="spellEnd"/>
      <w:r w:rsidRPr="0076097F">
        <w:rPr>
          <w:rFonts w:ascii="Verdana" w:hAnsi="Verdana"/>
        </w:rPr>
        <w:t xml:space="preserve"> </w:t>
      </w:r>
      <w:proofErr w:type="spellStart"/>
      <w:r w:rsidRPr="0076097F">
        <w:rPr>
          <w:rFonts w:ascii="Verdana" w:hAnsi="Verdana"/>
        </w:rPr>
        <w:t>zgromadzania</w:t>
      </w:r>
      <w:proofErr w:type="spellEnd"/>
      <w:r w:rsidRPr="0076097F">
        <w:rPr>
          <w:rFonts w:ascii="Verdana" w:hAnsi="Verdana"/>
        </w:rPr>
        <w:t xml:space="preserve"> </w:t>
      </w:r>
      <w:proofErr w:type="spellStart"/>
      <w:r w:rsidRPr="0076097F">
        <w:rPr>
          <w:rFonts w:ascii="Verdana" w:hAnsi="Verdana"/>
        </w:rPr>
        <w:t>się</w:t>
      </w:r>
      <w:proofErr w:type="spellEnd"/>
      <w:r w:rsidRPr="0076097F">
        <w:rPr>
          <w:rFonts w:ascii="Verdana" w:hAnsi="Verdana"/>
        </w:rPr>
        <w:t xml:space="preserve"> </w:t>
      </w:r>
      <w:proofErr w:type="spellStart"/>
      <w:r w:rsidRPr="0076097F">
        <w:rPr>
          <w:rFonts w:ascii="Verdana" w:hAnsi="Verdana"/>
        </w:rPr>
        <w:t>oraz</w:t>
      </w:r>
      <w:proofErr w:type="spellEnd"/>
      <w:r w:rsidRPr="0076097F">
        <w:rPr>
          <w:rFonts w:ascii="Verdana" w:hAnsi="Verdana"/>
        </w:rPr>
        <w:t xml:space="preserve"> do </w:t>
      </w:r>
      <w:proofErr w:type="spellStart"/>
      <w:r w:rsidRPr="0076097F">
        <w:rPr>
          <w:rFonts w:ascii="Verdana" w:hAnsi="Verdana"/>
        </w:rPr>
        <w:t>swobodnego</w:t>
      </w:r>
      <w:proofErr w:type="spellEnd"/>
      <w:r w:rsidRPr="0076097F">
        <w:rPr>
          <w:rFonts w:ascii="Verdana" w:hAnsi="Verdana"/>
        </w:rPr>
        <w:t xml:space="preserve"> </w:t>
      </w:r>
      <w:proofErr w:type="spellStart"/>
      <w:r w:rsidRPr="0076097F">
        <w:rPr>
          <w:rFonts w:ascii="Verdana" w:hAnsi="Verdana"/>
        </w:rPr>
        <w:t>stowarzyszania</w:t>
      </w:r>
      <w:proofErr w:type="spellEnd"/>
      <w:r w:rsidRPr="0076097F">
        <w:rPr>
          <w:rFonts w:ascii="Verdana" w:hAnsi="Verdana"/>
        </w:rPr>
        <w:t xml:space="preserve"> </w:t>
      </w:r>
      <w:proofErr w:type="spellStart"/>
      <w:r w:rsidRPr="0076097F">
        <w:rPr>
          <w:rFonts w:ascii="Verdana" w:hAnsi="Verdana"/>
        </w:rPr>
        <w:t>się</w:t>
      </w:r>
      <w:proofErr w:type="spellEnd"/>
      <w:r w:rsidRPr="0076097F">
        <w:rPr>
          <w:rFonts w:ascii="Verdana" w:hAnsi="Verdana"/>
        </w:rPr>
        <w:t xml:space="preserve"> z </w:t>
      </w:r>
      <w:proofErr w:type="spellStart"/>
      <w:r w:rsidRPr="0076097F">
        <w:rPr>
          <w:rFonts w:ascii="Verdana" w:hAnsi="Verdana"/>
        </w:rPr>
        <w:t>innymi</w:t>
      </w:r>
      <w:proofErr w:type="spellEnd"/>
      <w:r w:rsidRPr="0076097F">
        <w:rPr>
          <w:rFonts w:ascii="Verdana" w:hAnsi="Verdana"/>
        </w:rPr>
        <w:t xml:space="preserve">, </w:t>
      </w:r>
      <w:proofErr w:type="spellStart"/>
      <w:r w:rsidRPr="0076097F">
        <w:rPr>
          <w:rFonts w:ascii="Verdana" w:hAnsi="Verdana"/>
        </w:rPr>
        <w:t>włącznie</w:t>
      </w:r>
      <w:proofErr w:type="spellEnd"/>
      <w:r w:rsidRPr="0076097F">
        <w:rPr>
          <w:rFonts w:ascii="Verdana" w:hAnsi="Verdana"/>
        </w:rPr>
        <w:t xml:space="preserve"> z </w:t>
      </w:r>
      <w:proofErr w:type="spellStart"/>
      <w:r w:rsidRPr="0076097F">
        <w:rPr>
          <w:rFonts w:ascii="Verdana" w:hAnsi="Verdana"/>
        </w:rPr>
        <w:t>prawem</w:t>
      </w:r>
      <w:proofErr w:type="spellEnd"/>
      <w:r w:rsidRPr="0076097F">
        <w:rPr>
          <w:rFonts w:ascii="Verdana" w:hAnsi="Verdana"/>
        </w:rPr>
        <w:t xml:space="preserve"> </w:t>
      </w:r>
      <w:proofErr w:type="spellStart"/>
      <w:r w:rsidRPr="0076097F">
        <w:rPr>
          <w:rFonts w:ascii="Verdana" w:hAnsi="Verdana"/>
        </w:rPr>
        <w:t>tworzenia</w:t>
      </w:r>
      <w:proofErr w:type="spellEnd"/>
      <w:r w:rsidRPr="0076097F">
        <w:rPr>
          <w:rFonts w:ascii="Verdana" w:hAnsi="Verdana"/>
        </w:rPr>
        <w:t xml:space="preserve"> </w:t>
      </w:r>
      <w:r w:rsidRPr="0076097F">
        <w:rPr>
          <w:rFonts w:ascii="Verdana" w:hAnsi="Verdana"/>
          <w:lang w:val="pl-PL"/>
        </w:rPr>
        <w:t>związków</w:t>
      </w:r>
      <w:r w:rsidRPr="0076097F">
        <w:rPr>
          <w:rFonts w:ascii="Verdana" w:hAnsi="Verdana"/>
        </w:rPr>
        <w:t xml:space="preserve"> </w:t>
      </w:r>
      <w:proofErr w:type="spellStart"/>
      <w:r w:rsidRPr="0076097F">
        <w:rPr>
          <w:rFonts w:ascii="Verdana" w:hAnsi="Verdana"/>
        </w:rPr>
        <w:t>zawodowych</w:t>
      </w:r>
      <w:proofErr w:type="spellEnd"/>
      <w:r w:rsidRPr="0076097F">
        <w:rPr>
          <w:rFonts w:ascii="Verdana" w:hAnsi="Verdana"/>
        </w:rPr>
        <w:t xml:space="preserve"> </w:t>
      </w:r>
      <w:proofErr w:type="spellStart"/>
      <w:r w:rsidRPr="0076097F">
        <w:rPr>
          <w:rFonts w:ascii="Verdana" w:hAnsi="Verdana"/>
        </w:rPr>
        <w:t>i</w:t>
      </w:r>
      <w:proofErr w:type="spellEnd"/>
      <w:r w:rsidRPr="0076097F">
        <w:rPr>
          <w:rFonts w:ascii="Verdana" w:hAnsi="Verdana"/>
        </w:rPr>
        <w:t xml:space="preserve"> </w:t>
      </w:r>
      <w:proofErr w:type="spellStart"/>
      <w:r w:rsidRPr="0076097F">
        <w:rPr>
          <w:rFonts w:ascii="Verdana" w:hAnsi="Verdana"/>
        </w:rPr>
        <w:t>przystępowania</w:t>
      </w:r>
      <w:proofErr w:type="spellEnd"/>
      <w:r w:rsidRPr="0076097F">
        <w:rPr>
          <w:rFonts w:ascii="Verdana" w:hAnsi="Verdana"/>
        </w:rPr>
        <w:t xml:space="preserve"> do </w:t>
      </w:r>
      <w:proofErr w:type="spellStart"/>
      <w:r w:rsidRPr="0076097F">
        <w:rPr>
          <w:rFonts w:ascii="Verdana" w:hAnsi="Verdana"/>
        </w:rPr>
        <w:t>nich</w:t>
      </w:r>
      <w:proofErr w:type="spellEnd"/>
      <w:r w:rsidRPr="0076097F">
        <w:rPr>
          <w:rFonts w:ascii="Verdana" w:hAnsi="Verdana"/>
        </w:rPr>
        <w:t xml:space="preserve"> </w:t>
      </w:r>
      <w:proofErr w:type="spellStart"/>
      <w:r w:rsidRPr="0076097F">
        <w:rPr>
          <w:rFonts w:ascii="Verdana" w:hAnsi="Verdana"/>
        </w:rPr>
        <w:t>dla</w:t>
      </w:r>
      <w:proofErr w:type="spellEnd"/>
      <w:r w:rsidRPr="0076097F">
        <w:rPr>
          <w:rFonts w:ascii="Verdana" w:hAnsi="Verdana"/>
        </w:rPr>
        <w:t xml:space="preserve"> </w:t>
      </w:r>
      <w:proofErr w:type="spellStart"/>
      <w:r w:rsidRPr="0076097F">
        <w:rPr>
          <w:rFonts w:ascii="Verdana" w:hAnsi="Verdana"/>
        </w:rPr>
        <w:t>ochrony</w:t>
      </w:r>
      <w:proofErr w:type="spellEnd"/>
      <w:r w:rsidRPr="0076097F">
        <w:rPr>
          <w:rFonts w:ascii="Verdana" w:hAnsi="Verdana"/>
        </w:rPr>
        <w:t xml:space="preserve"> </w:t>
      </w:r>
      <w:proofErr w:type="spellStart"/>
      <w:r w:rsidRPr="0076097F">
        <w:rPr>
          <w:rFonts w:ascii="Verdana" w:hAnsi="Verdana"/>
        </w:rPr>
        <w:t>swoich</w:t>
      </w:r>
      <w:proofErr w:type="spellEnd"/>
      <w:r w:rsidRPr="0076097F">
        <w:rPr>
          <w:rFonts w:ascii="Verdana" w:hAnsi="Verdana"/>
        </w:rPr>
        <w:t xml:space="preserve"> </w:t>
      </w:r>
      <w:proofErr w:type="spellStart"/>
      <w:r w:rsidRPr="0076097F">
        <w:rPr>
          <w:rFonts w:ascii="Verdana" w:hAnsi="Verdana"/>
        </w:rPr>
        <w:t>interesów</w:t>
      </w:r>
      <w:proofErr w:type="spellEnd"/>
      <w:r w:rsidRPr="0076097F">
        <w:rPr>
          <w:rFonts w:ascii="Verdana" w:hAnsi="Verdana"/>
        </w:rPr>
        <w:t>.</w:t>
      </w:r>
    </w:p>
    <w:p w14:paraId="01F91460" w14:textId="100E3012" w:rsidR="004E2988" w:rsidRPr="008E2134" w:rsidRDefault="0076097F" w:rsidP="0076097F">
      <w:pPr>
        <w:spacing w:after="120"/>
        <w:ind w:left="119" w:right="839"/>
        <w:jc w:val="both"/>
        <w:rPr>
          <w:rFonts w:ascii="Verdana" w:eastAsia="Verdana" w:hAnsi="Verdana"/>
          <w:color w:val="404040"/>
          <w:lang w:val="pl-PL"/>
        </w:rPr>
      </w:pPr>
      <w:r w:rsidRPr="0076097F">
        <w:rPr>
          <w:rFonts w:ascii="Verdana" w:hAnsi="Verdana"/>
        </w:rPr>
        <w:t xml:space="preserve">2. </w:t>
      </w:r>
      <w:proofErr w:type="spellStart"/>
      <w:r w:rsidRPr="0076097F">
        <w:rPr>
          <w:rFonts w:ascii="Verdana" w:hAnsi="Verdana"/>
        </w:rPr>
        <w:t>Korzystanie</w:t>
      </w:r>
      <w:proofErr w:type="spellEnd"/>
      <w:r w:rsidRPr="0076097F">
        <w:rPr>
          <w:rFonts w:ascii="Verdana" w:hAnsi="Verdana"/>
        </w:rPr>
        <w:t xml:space="preserve"> z </w:t>
      </w:r>
      <w:proofErr w:type="spellStart"/>
      <w:r w:rsidRPr="0076097F">
        <w:rPr>
          <w:rFonts w:ascii="Verdana" w:hAnsi="Verdana"/>
        </w:rPr>
        <w:t>tych</w:t>
      </w:r>
      <w:proofErr w:type="spellEnd"/>
      <w:r w:rsidRPr="0076097F">
        <w:rPr>
          <w:rFonts w:ascii="Verdana" w:hAnsi="Verdana"/>
        </w:rPr>
        <w:t xml:space="preserve"> </w:t>
      </w:r>
      <w:proofErr w:type="spellStart"/>
      <w:r w:rsidRPr="0076097F">
        <w:rPr>
          <w:rFonts w:ascii="Verdana" w:hAnsi="Verdana"/>
        </w:rPr>
        <w:t>praw</w:t>
      </w:r>
      <w:proofErr w:type="spellEnd"/>
      <w:r w:rsidRPr="0076097F">
        <w:rPr>
          <w:rFonts w:ascii="Verdana" w:hAnsi="Verdana"/>
        </w:rPr>
        <w:t xml:space="preserve"> </w:t>
      </w:r>
      <w:proofErr w:type="spellStart"/>
      <w:r w:rsidRPr="0076097F">
        <w:rPr>
          <w:rFonts w:ascii="Verdana" w:hAnsi="Verdana"/>
        </w:rPr>
        <w:t>nie</w:t>
      </w:r>
      <w:proofErr w:type="spellEnd"/>
      <w:r w:rsidRPr="0076097F">
        <w:rPr>
          <w:rFonts w:ascii="Verdana" w:hAnsi="Verdana"/>
        </w:rPr>
        <w:t xml:space="preserve"> </w:t>
      </w:r>
      <w:proofErr w:type="spellStart"/>
      <w:r w:rsidRPr="0076097F">
        <w:rPr>
          <w:rFonts w:ascii="Verdana" w:hAnsi="Verdana"/>
        </w:rPr>
        <w:t>może</w:t>
      </w:r>
      <w:proofErr w:type="spellEnd"/>
      <w:r w:rsidRPr="0076097F">
        <w:rPr>
          <w:rFonts w:ascii="Verdana" w:hAnsi="Verdana"/>
        </w:rPr>
        <w:t xml:space="preserve"> </w:t>
      </w:r>
      <w:proofErr w:type="spellStart"/>
      <w:r w:rsidRPr="0076097F">
        <w:rPr>
          <w:rFonts w:ascii="Verdana" w:hAnsi="Verdana"/>
        </w:rPr>
        <w:t>podlegać</w:t>
      </w:r>
      <w:proofErr w:type="spellEnd"/>
      <w:r w:rsidRPr="0076097F">
        <w:rPr>
          <w:rFonts w:ascii="Verdana" w:hAnsi="Verdana"/>
        </w:rPr>
        <w:t xml:space="preserve"> </w:t>
      </w:r>
      <w:proofErr w:type="spellStart"/>
      <w:r w:rsidRPr="0076097F">
        <w:rPr>
          <w:rFonts w:ascii="Verdana" w:hAnsi="Verdana"/>
        </w:rPr>
        <w:t>żadnym</w:t>
      </w:r>
      <w:proofErr w:type="spellEnd"/>
      <w:r w:rsidRPr="0076097F">
        <w:rPr>
          <w:rFonts w:ascii="Verdana" w:hAnsi="Verdana"/>
        </w:rPr>
        <w:t xml:space="preserve"> </w:t>
      </w:r>
      <w:proofErr w:type="spellStart"/>
      <w:r w:rsidRPr="0076097F">
        <w:rPr>
          <w:rFonts w:ascii="Verdana" w:hAnsi="Verdana"/>
        </w:rPr>
        <w:t>ograniczeniom</w:t>
      </w:r>
      <w:proofErr w:type="spellEnd"/>
      <w:r w:rsidRPr="0076097F">
        <w:rPr>
          <w:rFonts w:ascii="Verdana" w:hAnsi="Verdana"/>
        </w:rPr>
        <w:t xml:space="preserve">, z </w:t>
      </w:r>
      <w:proofErr w:type="spellStart"/>
      <w:r w:rsidRPr="0076097F">
        <w:rPr>
          <w:rFonts w:ascii="Verdana" w:hAnsi="Verdana"/>
        </w:rPr>
        <w:t>wyjątkiem</w:t>
      </w:r>
      <w:proofErr w:type="spellEnd"/>
      <w:r w:rsidRPr="0076097F">
        <w:rPr>
          <w:rFonts w:ascii="Verdana" w:hAnsi="Verdana"/>
        </w:rPr>
        <w:t xml:space="preserve"> </w:t>
      </w:r>
      <w:proofErr w:type="spellStart"/>
      <w:r w:rsidRPr="0076097F">
        <w:rPr>
          <w:rFonts w:ascii="Verdana" w:hAnsi="Verdana"/>
        </w:rPr>
        <w:t>ograniczeń</w:t>
      </w:r>
      <w:proofErr w:type="spellEnd"/>
      <w:r w:rsidRPr="0076097F">
        <w:rPr>
          <w:rFonts w:ascii="Verdana" w:hAnsi="Verdana"/>
        </w:rPr>
        <w:t xml:space="preserve"> </w:t>
      </w:r>
      <w:proofErr w:type="spellStart"/>
      <w:r w:rsidRPr="0076097F">
        <w:rPr>
          <w:rFonts w:ascii="Verdana" w:hAnsi="Verdana"/>
        </w:rPr>
        <w:t>przewidzianych</w:t>
      </w:r>
      <w:proofErr w:type="spellEnd"/>
      <w:r w:rsidRPr="0076097F">
        <w:rPr>
          <w:rFonts w:ascii="Verdana" w:hAnsi="Verdana"/>
        </w:rPr>
        <w:t xml:space="preserve"> </w:t>
      </w:r>
      <w:proofErr w:type="spellStart"/>
      <w:r w:rsidRPr="0076097F">
        <w:rPr>
          <w:rFonts w:ascii="Verdana" w:hAnsi="Verdana"/>
        </w:rPr>
        <w:t>przez</w:t>
      </w:r>
      <w:proofErr w:type="spellEnd"/>
      <w:r w:rsidRPr="0076097F">
        <w:rPr>
          <w:rFonts w:ascii="Verdana" w:hAnsi="Verdana"/>
        </w:rPr>
        <w:t xml:space="preserve"> </w:t>
      </w:r>
      <w:proofErr w:type="spellStart"/>
      <w:r w:rsidRPr="0076097F">
        <w:rPr>
          <w:rFonts w:ascii="Verdana" w:hAnsi="Verdana"/>
        </w:rPr>
        <w:t>ustawę</w:t>
      </w:r>
      <w:proofErr w:type="spellEnd"/>
      <w:r w:rsidRPr="0076097F">
        <w:rPr>
          <w:rFonts w:ascii="Verdana" w:hAnsi="Verdana"/>
        </w:rPr>
        <w:t xml:space="preserve"> </w:t>
      </w:r>
      <w:proofErr w:type="spellStart"/>
      <w:r w:rsidRPr="0076097F">
        <w:rPr>
          <w:rFonts w:ascii="Verdana" w:hAnsi="Verdana"/>
        </w:rPr>
        <w:t>i</w:t>
      </w:r>
      <w:proofErr w:type="spellEnd"/>
      <w:r w:rsidRPr="0076097F">
        <w:rPr>
          <w:rFonts w:ascii="Verdana" w:hAnsi="Verdana"/>
        </w:rPr>
        <w:t xml:space="preserve"> </w:t>
      </w:r>
      <w:proofErr w:type="spellStart"/>
      <w:r w:rsidRPr="0076097F">
        <w:rPr>
          <w:rFonts w:ascii="Verdana" w:hAnsi="Verdana"/>
        </w:rPr>
        <w:t>koniecznych</w:t>
      </w:r>
      <w:proofErr w:type="spellEnd"/>
      <w:r w:rsidRPr="0076097F">
        <w:rPr>
          <w:rFonts w:ascii="Verdana" w:hAnsi="Verdana"/>
        </w:rPr>
        <w:t xml:space="preserve"> w </w:t>
      </w:r>
      <w:proofErr w:type="spellStart"/>
      <w:r w:rsidRPr="0076097F">
        <w:rPr>
          <w:rFonts w:ascii="Verdana" w:hAnsi="Verdana"/>
        </w:rPr>
        <w:t>demokratycznym</w:t>
      </w:r>
      <w:proofErr w:type="spellEnd"/>
      <w:r w:rsidRPr="0076097F">
        <w:rPr>
          <w:rFonts w:ascii="Verdana" w:hAnsi="Verdana"/>
        </w:rPr>
        <w:t xml:space="preserve"> </w:t>
      </w:r>
      <w:proofErr w:type="spellStart"/>
      <w:r w:rsidRPr="0076097F">
        <w:rPr>
          <w:rFonts w:ascii="Verdana" w:hAnsi="Verdana"/>
        </w:rPr>
        <w:t>społeczeństwie</w:t>
      </w:r>
      <w:proofErr w:type="spellEnd"/>
      <w:r w:rsidRPr="0076097F">
        <w:rPr>
          <w:rFonts w:ascii="Verdana" w:hAnsi="Verdana"/>
        </w:rPr>
        <w:t xml:space="preserve"> z </w:t>
      </w:r>
      <w:proofErr w:type="spellStart"/>
      <w:r w:rsidRPr="0076097F">
        <w:rPr>
          <w:rFonts w:ascii="Verdana" w:hAnsi="Verdana"/>
        </w:rPr>
        <w:t>uwagi</w:t>
      </w:r>
      <w:proofErr w:type="spellEnd"/>
      <w:r w:rsidRPr="0076097F">
        <w:rPr>
          <w:rFonts w:ascii="Verdana" w:hAnsi="Verdana"/>
        </w:rPr>
        <w:t xml:space="preserve"> </w:t>
      </w:r>
      <w:proofErr w:type="spellStart"/>
      <w:r w:rsidRPr="0076097F">
        <w:rPr>
          <w:rFonts w:ascii="Verdana" w:hAnsi="Verdana"/>
        </w:rPr>
        <w:t>na</w:t>
      </w:r>
      <w:proofErr w:type="spellEnd"/>
      <w:r w:rsidRPr="0076097F">
        <w:rPr>
          <w:rFonts w:ascii="Verdana" w:hAnsi="Verdana"/>
        </w:rPr>
        <w:t xml:space="preserve"> </w:t>
      </w:r>
      <w:proofErr w:type="spellStart"/>
      <w:r w:rsidRPr="0076097F">
        <w:rPr>
          <w:rFonts w:ascii="Verdana" w:hAnsi="Verdana"/>
        </w:rPr>
        <w:t>interesy</w:t>
      </w:r>
      <w:proofErr w:type="spellEnd"/>
      <w:r w:rsidRPr="0076097F">
        <w:rPr>
          <w:rFonts w:ascii="Verdana" w:hAnsi="Verdana"/>
        </w:rPr>
        <w:t xml:space="preserve"> </w:t>
      </w:r>
      <w:proofErr w:type="spellStart"/>
      <w:r w:rsidRPr="0076097F">
        <w:rPr>
          <w:rFonts w:ascii="Verdana" w:hAnsi="Verdana"/>
        </w:rPr>
        <w:t>bezpieczeństwa</w:t>
      </w:r>
      <w:proofErr w:type="spellEnd"/>
      <w:r w:rsidRPr="0076097F">
        <w:rPr>
          <w:rFonts w:ascii="Verdana" w:hAnsi="Verdana"/>
        </w:rPr>
        <w:t xml:space="preserve"> </w:t>
      </w:r>
      <w:proofErr w:type="spellStart"/>
      <w:r w:rsidRPr="0076097F">
        <w:rPr>
          <w:rFonts w:ascii="Verdana" w:hAnsi="Verdana"/>
        </w:rPr>
        <w:t>państwowego</w:t>
      </w:r>
      <w:proofErr w:type="spellEnd"/>
      <w:r w:rsidRPr="0076097F">
        <w:rPr>
          <w:rFonts w:ascii="Verdana" w:hAnsi="Verdana"/>
        </w:rPr>
        <w:t xml:space="preserve"> </w:t>
      </w:r>
      <w:proofErr w:type="spellStart"/>
      <w:r w:rsidRPr="0076097F">
        <w:rPr>
          <w:rFonts w:ascii="Verdana" w:hAnsi="Verdana"/>
        </w:rPr>
        <w:t>lub</w:t>
      </w:r>
      <w:proofErr w:type="spellEnd"/>
      <w:r w:rsidRPr="0076097F">
        <w:rPr>
          <w:rFonts w:ascii="Verdana" w:hAnsi="Verdana"/>
        </w:rPr>
        <w:t xml:space="preserve"> </w:t>
      </w:r>
      <w:proofErr w:type="spellStart"/>
      <w:r w:rsidRPr="0076097F">
        <w:rPr>
          <w:rFonts w:ascii="Verdana" w:hAnsi="Verdana"/>
        </w:rPr>
        <w:t>publicznego</w:t>
      </w:r>
      <w:proofErr w:type="spellEnd"/>
      <w:r w:rsidRPr="0076097F">
        <w:rPr>
          <w:rFonts w:ascii="Verdana" w:hAnsi="Verdana"/>
        </w:rPr>
        <w:t xml:space="preserve">, </w:t>
      </w:r>
      <w:proofErr w:type="spellStart"/>
      <w:r w:rsidRPr="0076097F">
        <w:rPr>
          <w:rFonts w:ascii="Verdana" w:hAnsi="Verdana"/>
        </w:rPr>
        <w:t>konieczność</w:t>
      </w:r>
      <w:proofErr w:type="spellEnd"/>
      <w:r w:rsidRPr="0076097F">
        <w:rPr>
          <w:rFonts w:ascii="Verdana" w:hAnsi="Verdana"/>
        </w:rPr>
        <w:t xml:space="preserve"> </w:t>
      </w:r>
      <w:proofErr w:type="spellStart"/>
      <w:r w:rsidRPr="0076097F">
        <w:rPr>
          <w:rFonts w:ascii="Verdana" w:hAnsi="Verdana"/>
        </w:rPr>
        <w:t>zapobieżenia</w:t>
      </w:r>
      <w:proofErr w:type="spellEnd"/>
      <w:r w:rsidRPr="0076097F">
        <w:rPr>
          <w:rFonts w:ascii="Verdana" w:hAnsi="Verdana"/>
        </w:rPr>
        <w:t xml:space="preserve"> </w:t>
      </w:r>
      <w:proofErr w:type="spellStart"/>
      <w:r w:rsidRPr="0076097F">
        <w:rPr>
          <w:rFonts w:ascii="Verdana" w:hAnsi="Verdana"/>
        </w:rPr>
        <w:t>zakłóceniu</w:t>
      </w:r>
      <w:proofErr w:type="spellEnd"/>
      <w:r w:rsidRPr="0076097F">
        <w:rPr>
          <w:rFonts w:ascii="Verdana" w:hAnsi="Verdana"/>
        </w:rPr>
        <w:t xml:space="preserve"> </w:t>
      </w:r>
      <w:proofErr w:type="spellStart"/>
      <w:r w:rsidRPr="0076097F">
        <w:rPr>
          <w:rFonts w:ascii="Verdana" w:hAnsi="Verdana"/>
        </w:rPr>
        <w:t>porządku</w:t>
      </w:r>
      <w:proofErr w:type="spellEnd"/>
      <w:r w:rsidRPr="0076097F">
        <w:rPr>
          <w:rFonts w:ascii="Verdana" w:hAnsi="Verdana"/>
        </w:rPr>
        <w:t xml:space="preserve"> </w:t>
      </w:r>
      <w:proofErr w:type="spellStart"/>
      <w:r w:rsidRPr="0076097F">
        <w:rPr>
          <w:rFonts w:ascii="Verdana" w:hAnsi="Verdana"/>
        </w:rPr>
        <w:t>lub</w:t>
      </w:r>
      <w:proofErr w:type="spellEnd"/>
      <w:r w:rsidRPr="0076097F">
        <w:rPr>
          <w:rFonts w:ascii="Verdana" w:hAnsi="Verdana"/>
        </w:rPr>
        <w:t xml:space="preserve"> </w:t>
      </w:r>
      <w:proofErr w:type="spellStart"/>
      <w:r w:rsidRPr="0076097F">
        <w:rPr>
          <w:rFonts w:ascii="Verdana" w:hAnsi="Verdana"/>
        </w:rPr>
        <w:t>przestępstwu</w:t>
      </w:r>
      <w:proofErr w:type="spellEnd"/>
      <w:r w:rsidRPr="0076097F">
        <w:rPr>
          <w:rFonts w:ascii="Verdana" w:hAnsi="Verdana"/>
        </w:rPr>
        <w:t xml:space="preserve">, </w:t>
      </w:r>
      <w:proofErr w:type="spellStart"/>
      <w:r w:rsidRPr="0076097F">
        <w:rPr>
          <w:rFonts w:ascii="Verdana" w:hAnsi="Verdana"/>
        </w:rPr>
        <w:t>ochronę</w:t>
      </w:r>
      <w:proofErr w:type="spellEnd"/>
      <w:r w:rsidRPr="0076097F">
        <w:rPr>
          <w:rFonts w:ascii="Verdana" w:hAnsi="Verdana"/>
        </w:rPr>
        <w:t xml:space="preserve"> zdrowia </w:t>
      </w:r>
      <w:proofErr w:type="spellStart"/>
      <w:r w:rsidRPr="0076097F">
        <w:rPr>
          <w:rFonts w:ascii="Verdana" w:hAnsi="Verdana"/>
        </w:rPr>
        <w:t>i</w:t>
      </w:r>
      <w:proofErr w:type="spellEnd"/>
      <w:r w:rsidRPr="0076097F">
        <w:rPr>
          <w:rFonts w:ascii="Verdana" w:hAnsi="Verdana"/>
        </w:rPr>
        <w:t xml:space="preserve"> </w:t>
      </w:r>
      <w:proofErr w:type="spellStart"/>
      <w:r w:rsidRPr="0076097F">
        <w:rPr>
          <w:rFonts w:ascii="Verdana" w:hAnsi="Verdana"/>
        </w:rPr>
        <w:t>moralności</w:t>
      </w:r>
      <w:proofErr w:type="spellEnd"/>
      <w:r w:rsidRPr="0076097F">
        <w:rPr>
          <w:rFonts w:ascii="Verdana" w:hAnsi="Verdana"/>
        </w:rPr>
        <w:t xml:space="preserve"> </w:t>
      </w:r>
      <w:proofErr w:type="spellStart"/>
      <w:r w:rsidRPr="0076097F">
        <w:rPr>
          <w:rFonts w:ascii="Verdana" w:hAnsi="Verdana"/>
        </w:rPr>
        <w:t>lub</w:t>
      </w:r>
      <w:proofErr w:type="spellEnd"/>
      <w:r w:rsidRPr="0076097F">
        <w:rPr>
          <w:rFonts w:ascii="Verdana" w:hAnsi="Verdana"/>
        </w:rPr>
        <w:t xml:space="preserve"> </w:t>
      </w:r>
      <w:proofErr w:type="spellStart"/>
      <w:r w:rsidRPr="0076097F">
        <w:rPr>
          <w:rFonts w:ascii="Verdana" w:hAnsi="Verdana"/>
        </w:rPr>
        <w:t>ochronę</w:t>
      </w:r>
      <w:proofErr w:type="spellEnd"/>
      <w:r w:rsidRPr="0076097F">
        <w:rPr>
          <w:rFonts w:ascii="Verdana" w:hAnsi="Verdana"/>
        </w:rPr>
        <w:t xml:space="preserve"> </w:t>
      </w:r>
      <w:proofErr w:type="spellStart"/>
      <w:r w:rsidRPr="0076097F">
        <w:rPr>
          <w:rFonts w:ascii="Verdana" w:hAnsi="Verdana"/>
        </w:rPr>
        <w:t>praw</w:t>
      </w:r>
      <w:proofErr w:type="spellEnd"/>
      <w:r w:rsidRPr="0076097F">
        <w:rPr>
          <w:rFonts w:ascii="Verdana" w:hAnsi="Verdana"/>
        </w:rPr>
        <w:t xml:space="preserve"> </w:t>
      </w:r>
      <w:proofErr w:type="spellStart"/>
      <w:r w:rsidRPr="0076097F">
        <w:rPr>
          <w:rFonts w:ascii="Verdana" w:hAnsi="Verdana"/>
        </w:rPr>
        <w:t>i</w:t>
      </w:r>
      <w:proofErr w:type="spellEnd"/>
      <w:r w:rsidRPr="0076097F">
        <w:rPr>
          <w:rFonts w:ascii="Verdana" w:hAnsi="Verdana"/>
        </w:rPr>
        <w:t xml:space="preserve"> </w:t>
      </w:r>
      <w:proofErr w:type="spellStart"/>
      <w:r w:rsidRPr="0076097F">
        <w:rPr>
          <w:rFonts w:ascii="Verdana" w:hAnsi="Verdana"/>
        </w:rPr>
        <w:t>wolności</w:t>
      </w:r>
      <w:proofErr w:type="spellEnd"/>
      <w:r w:rsidRPr="0076097F">
        <w:rPr>
          <w:rFonts w:ascii="Verdana" w:hAnsi="Verdana"/>
        </w:rPr>
        <w:t xml:space="preserve"> </w:t>
      </w:r>
      <w:proofErr w:type="spellStart"/>
      <w:r w:rsidRPr="0076097F">
        <w:rPr>
          <w:rFonts w:ascii="Verdana" w:hAnsi="Verdana"/>
        </w:rPr>
        <w:t>innych</w:t>
      </w:r>
      <w:proofErr w:type="spellEnd"/>
      <w:r w:rsidRPr="0076097F">
        <w:rPr>
          <w:rFonts w:ascii="Verdana" w:hAnsi="Verdana"/>
        </w:rPr>
        <w:t xml:space="preserve"> </w:t>
      </w:r>
      <w:proofErr w:type="spellStart"/>
      <w:r w:rsidRPr="0076097F">
        <w:rPr>
          <w:rFonts w:ascii="Verdana" w:hAnsi="Verdana"/>
        </w:rPr>
        <w:t>osób</w:t>
      </w:r>
      <w:proofErr w:type="spellEnd"/>
      <w:r w:rsidRPr="0076097F">
        <w:rPr>
          <w:rFonts w:ascii="Verdana" w:hAnsi="Verdana"/>
        </w:rPr>
        <w:t xml:space="preserve">. </w:t>
      </w:r>
      <w:proofErr w:type="spellStart"/>
      <w:r w:rsidRPr="0076097F">
        <w:rPr>
          <w:rFonts w:ascii="Verdana" w:hAnsi="Verdana"/>
        </w:rPr>
        <w:t>Niniejszy</w:t>
      </w:r>
      <w:proofErr w:type="spellEnd"/>
      <w:r w:rsidRPr="0076097F">
        <w:rPr>
          <w:rFonts w:ascii="Verdana" w:hAnsi="Verdana"/>
        </w:rPr>
        <w:t xml:space="preserve"> </w:t>
      </w:r>
      <w:proofErr w:type="spellStart"/>
      <w:r w:rsidRPr="0076097F">
        <w:rPr>
          <w:rFonts w:ascii="Verdana" w:hAnsi="Verdana"/>
        </w:rPr>
        <w:t>artykuł</w:t>
      </w:r>
      <w:proofErr w:type="spellEnd"/>
      <w:r w:rsidRPr="0076097F">
        <w:rPr>
          <w:rFonts w:ascii="Verdana" w:hAnsi="Verdana"/>
        </w:rPr>
        <w:t xml:space="preserve"> </w:t>
      </w:r>
      <w:proofErr w:type="spellStart"/>
      <w:r w:rsidRPr="0076097F">
        <w:rPr>
          <w:rFonts w:ascii="Verdana" w:hAnsi="Verdana"/>
        </w:rPr>
        <w:t>nie</w:t>
      </w:r>
      <w:proofErr w:type="spellEnd"/>
      <w:r w:rsidRPr="0076097F">
        <w:rPr>
          <w:rFonts w:ascii="Verdana" w:hAnsi="Verdana"/>
        </w:rPr>
        <w:t xml:space="preserve"> </w:t>
      </w:r>
      <w:proofErr w:type="spellStart"/>
      <w:r w:rsidRPr="0076097F">
        <w:rPr>
          <w:rFonts w:ascii="Verdana" w:hAnsi="Verdana"/>
        </w:rPr>
        <w:t>stanowi</w:t>
      </w:r>
      <w:proofErr w:type="spellEnd"/>
      <w:r w:rsidRPr="0076097F">
        <w:rPr>
          <w:rFonts w:ascii="Verdana" w:hAnsi="Verdana"/>
        </w:rPr>
        <w:t xml:space="preserve"> </w:t>
      </w:r>
      <w:proofErr w:type="spellStart"/>
      <w:r w:rsidRPr="0076097F">
        <w:rPr>
          <w:rFonts w:ascii="Verdana" w:hAnsi="Verdana"/>
        </w:rPr>
        <w:t>przeszkody</w:t>
      </w:r>
      <w:proofErr w:type="spellEnd"/>
      <w:r w:rsidRPr="0076097F">
        <w:rPr>
          <w:rFonts w:ascii="Verdana" w:hAnsi="Verdana"/>
        </w:rPr>
        <w:t xml:space="preserve"> w </w:t>
      </w:r>
      <w:proofErr w:type="spellStart"/>
      <w:r w:rsidRPr="0076097F">
        <w:rPr>
          <w:rFonts w:ascii="Verdana" w:hAnsi="Verdana"/>
        </w:rPr>
        <w:t>nakładaniu</w:t>
      </w:r>
      <w:proofErr w:type="spellEnd"/>
      <w:r w:rsidRPr="0076097F">
        <w:rPr>
          <w:rFonts w:ascii="Verdana" w:hAnsi="Verdana"/>
        </w:rPr>
        <w:t xml:space="preserve"> </w:t>
      </w:r>
      <w:proofErr w:type="spellStart"/>
      <w:r w:rsidRPr="0076097F">
        <w:rPr>
          <w:rFonts w:ascii="Verdana" w:hAnsi="Verdana"/>
        </w:rPr>
        <w:t>zgodnych</w:t>
      </w:r>
      <w:proofErr w:type="spellEnd"/>
      <w:r w:rsidRPr="0076097F">
        <w:rPr>
          <w:rFonts w:ascii="Verdana" w:hAnsi="Verdana"/>
        </w:rPr>
        <w:t xml:space="preserve"> z </w:t>
      </w:r>
      <w:proofErr w:type="spellStart"/>
      <w:r w:rsidRPr="0076097F">
        <w:rPr>
          <w:rFonts w:ascii="Verdana" w:hAnsi="Verdana"/>
        </w:rPr>
        <w:t>prawem</w:t>
      </w:r>
      <w:proofErr w:type="spellEnd"/>
      <w:r w:rsidRPr="0076097F">
        <w:rPr>
          <w:rFonts w:ascii="Verdana" w:hAnsi="Verdana"/>
        </w:rPr>
        <w:t xml:space="preserve"> </w:t>
      </w:r>
      <w:proofErr w:type="spellStart"/>
      <w:r w:rsidRPr="0076097F">
        <w:rPr>
          <w:rFonts w:ascii="Verdana" w:hAnsi="Verdana"/>
        </w:rPr>
        <w:t>ograniczeń</w:t>
      </w:r>
      <w:proofErr w:type="spellEnd"/>
      <w:r w:rsidRPr="0076097F">
        <w:rPr>
          <w:rFonts w:ascii="Verdana" w:hAnsi="Verdana"/>
        </w:rPr>
        <w:t xml:space="preserve"> w </w:t>
      </w:r>
      <w:proofErr w:type="spellStart"/>
      <w:r w:rsidRPr="0076097F">
        <w:rPr>
          <w:rFonts w:ascii="Verdana" w:hAnsi="Verdana"/>
        </w:rPr>
        <w:t>korzystaniu</w:t>
      </w:r>
      <w:proofErr w:type="spellEnd"/>
      <w:r w:rsidRPr="0076097F">
        <w:rPr>
          <w:rFonts w:ascii="Verdana" w:hAnsi="Verdana"/>
        </w:rPr>
        <w:t xml:space="preserve"> z </w:t>
      </w:r>
      <w:proofErr w:type="spellStart"/>
      <w:r w:rsidRPr="0076097F">
        <w:rPr>
          <w:rFonts w:ascii="Verdana" w:hAnsi="Verdana"/>
        </w:rPr>
        <w:t>tych</w:t>
      </w:r>
      <w:proofErr w:type="spellEnd"/>
      <w:r w:rsidRPr="0076097F">
        <w:rPr>
          <w:rFonts w:ascii="Verdana" w:hAnsi="Verdana"/>
        </w:rPr>
        <w:t xml:space="preserve"> </w:t>
      </w:r>
      <w:proofErr w:type="spellStart"/>
      <w:r w:rsidRPr="0076097F">
        <w:rPr>
          <w:rFonts w:ascii="Verdana" w:hAnsi="Verdana"/>
        </w:rPr>
        <w:t>praw</w:t>
      </w:r>
      <w:proofErr w:type="spellEnd"/>
      <w:r w:rsidRPr="0076097F">
        <w:rPr>
          <w:rFonts w:ascii="Verdana" w:hAnsi="Verdana"/>
        </w:rPr>
        <w:t xml:space="preserve"> </w:t>
      </w:r>
      <w:proofErr w:type="spellStart"/>
      <w:r w:rsidRPr="0076097F">
        <w:rPr>
          <w:rFonts w:ascii="Verdana" w:hAnsi="Verdana"/>
        </w:rPr>
        <w:t>przez</w:t>
      </w:r>
      <w:proofErr w:type="spellEnd"/>
      <w:r w:rsidRPr="0076097F">
        <w:rPr>
          <w:rFonts w:ascii="Verdana" w:hAnsi="Verdana"/>
        </w:rPr>
        <w:t xml:space="preserve"> </w:t>
      </w:r>
      <w:proofErr w:type="spellStart"/>
      <w:r w:rsidRPr="0076097F">
        <w:rPr>
          <w:rFonts w:ascii="Verdana" w:hAnsi="Verdana"/>
        </w:rPr>
        <w:t>członków</w:t>
      </w:r>
      <w:proofErr w:type="spellEnd"/>
      <w:r w:rsidRPr="0076097F">
        <w:rPr>
          <w:rFonts w:ascii="Verdana" w:hAnsi="Verdana"/>
        </w:rPr>
        <w:t xml:space="preserve"> </w:t>
      </w:r>
      <w:proofErr w:type="spellStart"/>
      <w:r w:rsidRPr="0076097F">
        <w:rPr>
          <w:rFonts w:ascii="Verdana" w:hAnsi="Verdana"/>
        </w:rPr>
        <w:t>sił</w:t>
      </w:r>
      <w:proofErr w:type="spellEnd"/>
      <w:r w:rsidRPr="0076097F">
        <w:rPr>
          <w:rFonts w:ascii="Verdana" w:hAnsi="Verdana"/>
        </w:rPr>
        <w:t xml:space="preserve"> </w:t>
      </w:r>
      <w:proofErr w:type="spellStart"/>
      <w:r w:rsidRPr="0076097F">
        <w:rPr>
          <w:rFonts w:ascii="Verdana" w:hAnsi="Verdana"/>
        </w:rPr>
        <w:t>zbrojnych</w:t>
      </w:r>
      <w:proofErr w:type="spellEnd"/>
      <w:r w:rsidRPr="0076097F">
        <w:rPr>
          <w:rFonts w:ascii="Verdana" w:hAnsi="Verdana"/>
        </w:rPr>
        <w:t xml:space="preserve">, </w:t>
      </w:r>
      <w:proofErr w:type="spellStart"/>
      <w:r w:rsidRPr="0076097F">
        <w:rPr>
          <w:rFonts w:ascii="Verdana" w:hAnsi="Verdana"/>
        </w:rPr>
        <w:t>policji</w:t>
      </w:r>
      <w:proofErr w:type="spellEnd"/>
      <w:r w:rsidRPr="0076097F">
        <w:rPr>
          <w:rFonts w:ascii="Verdana" w:hAnsi="Verdana"/>
        </w:rPr>
        <w:t xml:space="preserve"> </w:t>
      </w:r>
      <w:proofErr w:type="spellStart"/>
      <w:r w:rsidRPr="0076097F">
        <w:rPr>
          <w:rFonts w:ascii="Verdana" w:hAnsi="Verdana"/>
        </w:rPr>
        <w:t>lub</w:t>
      </w:r>
      <w:proofErr w:type="spellEnd"/>
      <w:r w:rsidRPr="0076097F">
        <w:rPr>
          <w:rFonts w:ascii="Verdana" w:hAnsi="Verdana"/>
        </w:rPr>
        <w:t xml:space="preserve"> </w:t>
      </w:r>
      <w:proofErr w:type="spellStart"/>
      <w:r w:rsidRPr="0076097F">
        <w:rPr>
          <w:rFonts w:ascii="Verdana" w:hAnsi="Verdana"/>
        </w:rPr>
        <w:t>administracji</w:t>
      </w:r>
      <w:proofErr w:type="spellEnd"/>
      <w:r w:rsidRPr="0076097F">
        <w:rPr>
          <w:rFonts w:ascii="Verdana" w:hAnsi="Verdana"/>
        </w:rPr>
        <w:t xml:space="preserve"> </w:t>
      </w:r>
      <w:proofErr w:type="spellStart"/>
      <w:r w:rsidRPr="0076097F">
        <w:rPr>
          <w:rFonts w:ascii="Verdana" w:hAnsi="Verdana"/>
        </w:rPr>
        <w:t>państwowej</w:t>
      </w:r>
      <w:proofErr w:type="spellEnd"/>
      <w:r w:rsidRPr="0076097F">
        <w:rPr>
          <w:rFonts w:ascii="Verdana" w:hAnsi="Verdana"/>
        </w:rPr>
        <w:t>.”</w:t>
      </w:r>
    </w:p>
    <w:p w14:paraId="77FB810B" w14:textId="77777777" w:rsidR="007228EE" w:rsidRDefault="007228EE" w:rsidP="007228EE">
      <w:pPr>
        <w:ind w:left="119" w:right="839"/>
        <w:jc w:val="both"/>
        <w:rPr>
          <w:rFonts w:ascii="Verdana" w:eastAsia="Verdana" w:hAnsi="Verdana"/>
          <w:color w:val="0072BC"/>
          <w:szCs w:val="14"/>
          <w:lang w:val="pl-PL"/>
        </w:rPr>
      </w:pPr>
    </w:p>
    <w:p w14:paraId="47C2A79A" w14:textId="77777777" w:rsidR="008D3C12" w:rsidRPr="007228EE" w:rsidRDefault="008D3C12" w:rsidP="007228EE">
      <w:pPr>
        <w:ind w:left="119" w:right="839"/>
        <w:jc w:val="both"/>
        <w:rPr>
          <w:rFonts w:ascii="Verdana" w:eastAsia="Verdana" w:hAnsi="Verdana"/>
          <w:color w:val="0072BC"/>
          <w:szCs w:val="14"/>
          <w:lang w:val="pl-PL"/>
        </w:rPr>
      </w:pPr>
    </w:p>
    <w:p w14:paraId="069273FE" w14:textId="463233A3" w:rsidR="007228EE" w:rsidRPr="007228EE" w:rsidRDefault="0076097F" w:rsidP="007228EE">
      <w:pPr>
        <w:ind w:left="119" w:right="839"/>
        <w:jc w:val="both"/>
        <w:rPr>
          <w:rFonts w:ascii="Verdana" w:eastAsia="Verdana" w:hAnsi="Verdana"/>
          <w:color w:val="0070C0"/>
          <w:sz w:val="28"/>
          <w:lang w:val="pl-PL"/>
        </w:rPr>
      </w:pPr>
      <w:r>
        <w:rPr>
          <w:rFonts w:ascii="Verdana" w:eastAsia="Verdana" w:hAnsi="Verdana"/>
          <w:color w:val="0070C0"/>
          <w:sz w:val="28"/>
          <w:lang w:val="pl-PL"/>
        </w:rPr>
        <w:t xml:space="preserve">Rola partii politycznych </w:t>
      </w:r>
    </w:p>
    <w:p w14:paraId="2C1BE65B" w14:textId="01803F45" w:rsidR="007228EE" w:rsidRPr="007228EE" w:rsidRDefault="007228EE" w:rsidP="007228EE">
      <w:pPr>
        <w:ind w:left="119" w:right="839"/>
        <w:jc w:val="both"/>
        <w:rPr>
          <w:rFonts w:ascii="Verdana" w:eastAsia="Verdana" w:hAnsi="Verdana"/>
          <w:color w:val="0072BC"/>
          <w:szCs w:val="14"/>
          <w:lang w:val="pl-PL"/>
        </w:rPr>
      </w:pPr>
      <w:r>
        <w:rPr>
          <w:rFonts w:ascii="Verdana" w:eastAsia="Verdana" w:hAnsi="Verdana"/>
          <w:noProof/>
          <w:color w:val="0072BC"/>
          <w:szCs w:val="14"/>
          <w:lang w:val="pl-PL"/>
        </w:rPr>
        <w:drawing>
          <wp:inline distT="0" distB="0" distL="0" distR="0" wp14:anchorId="6A2FDB3E" wp14:editId="4C94BF6B">
            <wp:extent cx="5779770" cy="18415"/>
            <wp:effectExtent l="0" t="0" r="0" b="0"/>
            <wp:docPr id="9137443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5F4ECD5D" w14:textId="77777777" w:rsidR="0076097F" w:rsidRDefault="0076097F" w:rsidP="0076097F">
      <w:pPr>
        <w:ind w:left="119" w:right="839"/>
        <w:jc w:val="both"/>
        <w:rPr>
          <w:rFonts w:ascii="Verdana" w:eastAsia="Verdana" w:hAnsi="Verdana"/>
          <w:szCs w:val="14"/>
          <w:lang w:val="pl-PL"/>
        </w:rPr>
      </w:pPr>
    </w:p>
    <w:p w14:paraId="24B8E428" w14:textId="73E6260E" w:rsidR="0076097F" w:rsidRPr="0076097F" w:rsidRDefault="0076097F" w:rsidP="0076097F">
      <w:pPr>
        <w:ind w:left="119" w:right="839"/>
        <w:jc w:val="both"/>
        <w:rPr>
          <w:rFonts w:ascii="Verdana" w:eastAsia="Verdana" w:hAnsi="Verdana"/>
          <w:szCs w:val="14"/>
          <w:lang w:val="pl-PL"/>
        </w:rPr>
      </w:pPr>
      <w:r w:rsidRPr="0076097F">
        <w:rPr>
          <w:rFonts w:ascii="Verdana" w:eastAsia="Verdana" w:hAnsi="Verdana"/>
          <w:szCs w:val="14"/>
          <w:lang w:val="pl-PL"/>
        </w:rPr>
        <w:t>W swoim orzecznictwie Europejski Trybunał Praw Człowieka podkreślił pierwszorzędną rolę, jaką w systemie demokratycznym odgrywają partie polityczne korzystające z wolności i praw zapisanych w art. 11 (wolność zgromadzeń i stowarzyszania się), a także w art. 10 (wolność wyrażania opinii) Europejskiej Konwencji Praw Człowieka. Trybunał orzekł jednak, że wolności zagwarantowane w art. 11 oraz w art. 9 (wolność wyznania) i 10 Konwencji nie mogą pozbawiać władz państwa, w którym stowarzyszenie zagraża instytucjom tego państwa, prawa do ochrony tych instytucji.</w:t>
      </w:r>
    </w:p>
    <w:p w14:paraId="6655E947" w14:textId="0FED919D" w:rsidR="00D47ADE" w:rsidRDefault="0076097F" w:rsidP="0076097F">
      <w:pPr>
        <w:ind w:left="119" w:right="839"/>
        <w:jc w:val="both"/>
        <w:rPr>
          <w:rFonts w:ascii="Verdana" w:eastAsia="Verdana" w:hAnsi="Verdana"/>
          <w:szCs w:val="14"/>
          <w:lang w:val="pl-PL"/>
        </w:rPr>
      </w:pPr>
      <w:r w:rsidRPr="0076097F">
        <w:rPr>
          <w:rFonts w:ascii="Verdana" w:eastAsia="Verdana" w:hAnsi="Verdana"/>
          <w:szCs w:val="14"/>
          <w:lang w:val="pl-PL"/>
        </w:rPr>
        <w:t xml:space="preserve">Zgodnie z orzecznictwem Trybunału „partia polityczna może promować zmianę prawa lub struktur prawnych i konstytucyjnych państwa pod dwoma warunkami: po pierwsze, środki użyte do tego celu muszą być zgodne z prawem i demokratyczne; po drugie, proponowana zmiana musi sama w sobie być zgodna z podstawowymi zasadami demokracji. Wynika z tego, że partia polityczna, której przywódcy podżegają do przemocy lub proponują politykę, która nie szanuje demokracji lub która ma na celu zniszczenie demokracji i lekceważenie praw i wolności uznanych w demokracji, nie może powoływać się na ochronę Konwencji przed sankcjami nałożonymi z tych powodów ...” (zob. w szczególności </w:t>
      </w:r>
      <w:hyperlink r:id="rId11" w:anchor="{%22itemid%22:[%22001-60416%22]}" w:history="1">
        <w:proofErr w:type="spellStart"/>
        <w:r w:rsidRPr="00330F09">
          <w:rPr>
            <w:rStyle w:val="Hipercze"/>
            <w:rFonts w:ascii="Verdana" w:eastAsia="Verdana" w:hAnsi="Verdana"/>
            <w:b/>
            <w:bCs/>
            <w:szCs w:val="14"/>
            <w:lang w:val="pl-PL"/>
          </w:rPr>
          <w:t>Yazar</w:t>
        </w:r>
        <w:proofErr w:type="spellEnd"/>
        <w:r w:rsidRPr="00330F09">
          <w:rPr>
            <w:rStyle w:val="Hipercze"/>
            <w:rFonts w:ascii="Verdana" w:eastAsia="Verdana" w:hAnsi="Verdana"/>
            <w:b/>
            <w:bCs/>
            <w:szCs w:val="14"/>
            <w:lang w:val="pl-PL"/>
          </w:rPr>
          <w:t xml:space="preserve">, </w:t>
        </w:r>
        <w:proofErr w:type="spellStart"/>
        <w:r w:rsidRPr="00330F09">
          <w:rPr>
            <w:rStyle w:val="Hipercze"/>
            <w:rFonts w:ascii="Verdana" w:eastAsia="Verdana" w:hAnsi="Verdana"/>
            <w:b/>
            <w:bCs/>
            <w:szCs w:val="14"/>
            <w:lang w:val="pl-PL"/>
          </w:rPr>
          <w:t>Karataş</w:t>
        </w:r>
        <w:proofErr w:type="spellEnd"/>
        <w:r w:rsidRPr="00330F09">
          <w:rPr>
            <w:rStyle w:val="Hipercze"/>
            <w:rFonts w:ascii="Verdana" w:eastAsia="Verdana" w:hAnsi="Verdana"/>
            <w:b/>
            <w:bCs/>
            <w:szCs w:val="14"/>
            <w:lang w:val="pl-PL"/>
          </w:rPr>
          <w:t xml:space="preserve">, </w:t>
        </w:r>
        <w:proofErr w:type="spellStart"/>
        <w:r w:rsidRPr="00330F09">
          <w:rPr>
            <w:rStyle w:val="Hipercze"/>
            <w:rFonts w:ascii="Verdana" w:eastAsia="Verdana" w:hAnsi="Verdana"/>
            <w:b/>
            <w:bCs/>
            <w:szCs w:val="14"/>
            <w:lang w:val="pl-PL"/>
          </w:rPr>
          <w:t>Aksoy</w:t>
        </w:r>
        <w:proofErr w:type="spellEnd"/>
        <w:r w:rsidRPr="00330F09">
          <w:rPr>
            <w:rStyle w:val="Hipercze"/>
            <w:rFonts w:ascii="Verdana" w:eastAsia="Verdana" w:hAnsi="Verdana"/>
            <w:b/>
            <w:bCs/>
            <w:szCs w:val="14"/>
            <w:lang w:val="pl-PL"/>
          </w:rPr>
          <w:t xml:space="preserve"> i Ludowa Partia Pracy (HEP) przeciwko Turcji</w:t>
        </w:r>
      </w:hyperlink>
      <w:r w:rsidRPr="0076097F">
        <w:rPr>
          <w:rFonts w:ascii="Verdana" w:eastAsia="Verdana" w:hAnsi="Verdana"/>
          <w:szCs w:val="14"/>
          <w:lang w:val="pl-PL"/>
        </w:rPr>
        <w:t>, wyrok z dnia 9 kwietnia 2002 r., § 49).</w:t>
      </w:r>
    </w:p>
    <w:p w14:paraId="6A8993C7" w14:textId="77777777" w:rsidR="0076097F" w:rsidRDefault="0076097F" w:rsidP="0076097F">
      <w:pPr>
        <w:ind w:left="119" w:right="839"/>
        <w:jc w:val="both"/>
        <w:rPr>
          <w:rFonts w:ascii="Verdana" w:eastAsia="Verdana" w:hAnsi="Verdana"/>
          <w:szCs w:val="14"/>
          <w:lang w:val="pl-PL"/>
        </w:rPr>
      </w:pPr>
    </w:p>
    <w:p w14:paraId="6DA450CF" w14:textId="0DAC8F61" w:rsidR="00330F09" w:rsidRDefault="00330F09" w:rsidP="0076097F">
      <w:pPr>
        <w:ind w:left="119" w:right="839"/>
        <w:jc w:val="both"/>
        <w:rPr>
          <w:rFonts w:ascii="Verdana" w:eastAsia="Verdana" w:hAnsi="Verdana"/>
          <w:szCs w:val="14"/>
          <w:lang w:val="pl-PL"/>
        </w:rPr>
      </w:pPr>
      <w:r w:rsidRPr="00330F09">
        <w:rPr>
          <w:rFonts w:ascii="Verdana" w:eastAsia="Verdana" w:hAnsi="Verdana"/>
          <w:szCs w:val="14"/>
          <w:lang w:val="pl-PL"/>
        </w:rPr>
        <w:t xml:space="preserve">„Wyjątki wskazane przez Artykuł 11, w odniesieniu do partii politycznych, są sformułowane ściśle; wyłącznie przekonujące i istotne powody mogą usprawiedliwić ograniczenia wolności stowarzyszania się partii politycznych. W ustalaniu czy nastąpiła </w:t>
      </w:r>
      <w:r w:rsidRPr="00330F09">
        <w:rPr>
          <w:rFonts w:ascii="Verdana" w:eastAsia="Verdana" w:hAnsi="Verdana"/>
          <w:szCs w:val="14"/>
          <w:lang w:val="pl-PL"/>
        </w:rPr>
        <w:lastRenderedPageBreak/>
        <w:t xml:space="preserve">konieczność, według Artykułu 11 § 2, Wysokie Układające się Strony dysponują jedynie wąskim marginesem swobody uznania." (zob. np. </w:t>
      </w:r>
      <w:hyperlink r:id="rId12" w:anchor="{%22itemid%22:[%22001-60936%22]}" w:history="1">
        <w:proofErr w:type="spellStart"/>
        <w:r w:rsidRPr="00330F09">
          <w:rPr>
            <w:rStyle w:val="Hipercze"/>
            <w:rFonts w:ascii="Verdana" w:eastAsia="Verdana" w:hAnsi="Verdana"/>
            <w:b/>
            <w:bCs/>
            <w:szCs w:val="14"/>
            <w:lang w:val="pl-PL"/>
          </w:rPr>
          <w:t>Refah</w:t>
        </w:r>
        <w:proofErr w:type="spellEnd"/>
        <w:r w:rsidRPr="00330F09">
          <w:rPr>
            <w:rStyle w:val="Hipercze"/>
            <w:rFonts w:ascii="Verdana" w:eastAsia="Verdana" w:hAnsi="Verdana"/>
            <w:b/>
            <w:bCs/>
            <w:szCs w:val="14"/>
            <w:lang w:val="pl-PL"/>
          </w:rPr>
          <w:t xml:space="preserve"> </w:t>
        </w:r>
        <w:proofErr w:type="spellStart"/>
        <w:r w:rsidRPr="00330F09">
          <w:rPr>
            <w:rStyle w:val="Hipercze"/>
            <w:rFonts w:ascii="Verdana" w:eastAsia="Verdana" w:hAnsi="Verdana"/>
            <w:b/>
            <w:bCs/>
            <w:szCs w:val="14"/>
            <w:lang w:val="pl-PL"/>
          </w:rPr>
          <w:t>Partisi</w:t>
        </w:r>
        <w:proofErr w:type="spellEnd"/>
        <w:r w:rsidRPr="00330F09">
          <w:rPr>
            <w:rStyle w:val="Hipercze"/>
            <w:rFonts w:ascii="Verdana" w:eastAsia="Verdana" w:hAnsi="Verdana"/>
            <w:b/>
            <w:bCs/>
            <w:szCs w:val="14"/>
            <w:lang w:val="pl-PL"/>
          </w:rPr>
          <w:t xml:space="preserve"> (Partia Dobrobytu) i inni przeciwko Turcji</w:t>
        </w:r>
      </w:hyperlink>
      <w:r w:rsidRPr="00330F09">
        <w:rPr>
          <w:rFonts w:ascii="Verdana" w:eastAsia="Verdana" w:hAnsi="Verdana"/>
          <w:szCs w:val="14"/>
          <w:lang w:val="pl-PL"/>
        </w:rPr>
        <w:t>, wyrok z dnia 13 lutego 2003 roku, §100)</w:t>
      </w:r>
    </w:p>
    <w:p w14:paraId="538B3F90" w14:textId="77777777" w:rsidR="00330F09" w:rsidRDefault="00330F09" w:rsidP="0076097F">
      <w:pPr>
        <w:ind w:left="119" w:right="839"/>
        <w:jc w:val="both"/>
        <w:rPr>
          <w:rFonts w:ascii="Verdana" w:eastAsia="Verdana" w:hAnsi="Verdana"/>
          <w:szCs w:val="14"/>
          <w:lang w:val="pl-PL"/>
        </w:rPr>
      </w:pPr>
    </w:p>
    <w:p w14:paraId="69D95035" w14:textId="77777777" w:rsidR="008D3C12" w:rsidRDefault="008D3C12" w:rsidP="0076097F">
      <w:pPr>
        <w:ind w:left="119" w:right="839"/>
        <w:jc w:val="both"/>
        <w:rPr>
          <w:rFonts w:ascii="Verdana" w:eastAsia="Verdana" w:hAnsi="Verdana"/>
          <w:szCs w:val="14"/>
          <w:lang w:val="pl-PL"/>
        </w:rPr>
      </w:pPr>
    </w:p>
    <w:p w14:paraId="3B24DCDA" w14:textId="77777777" w:rsidR="00330F09" w:rsidRDefault="00330F09" w:rsidP="00330F09">
      <w:pPr>
        <w:ind w:left="119" w:right="839"/>
        <w:jc w:val="both"/>
        <w:rPr>
          <w:rFonts w:ascii="Verdana" w:eastAsia="Verdana" w:hAnsi="Verdana"/>
          <w:color w:val="0070C0"/>
          <w:sz w:val="28"/>
          <w:lang w:val="pl-PL"/>
        </w:rPr>
      </w:pPr>
      <w:r w:rsidRPr="00330F09">
        <w:rPr>
          <w:rFonts w:ascii="Verdana" w:eastAsia="Verdana" w:hAnsi="Verdana"/>
          <w:color w:val="0070C0"/>
          <w:sz w:val="28"/>
          <w:lang w:val="pl-PL"/>
        </w:rPr>
        <w:t>Zakaz działalności partii politycznych</w:t>
      </w:r>
    </w:p>
    <w:p w14:paraId="45F9E806" w14:textId="17318081" w:rsidR="008D3C12" w:rsidRPr="00330F09" w:rsidRDefault="008D3C12" w:rsidP="00330F09">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70478CC6" wp14:editId="16DC2985">
            <wp:extent cx="5785485" cy="36830"/>
            <wp:effectExtent l="0" t="0" r="5715" b="1270"/>
            <wp:docPr id="17609774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3DFEF70E" w14:textId="77777777" w:rsidR="00330F09" w:rsidRPr="00330F09" w:rsidRDefault="00330F09" w:rsidP="00330F09">
      <w:pPr>
        <w:ind w:left="119" w:right="839"/>
        <w:jc w:val="both"/>
        <w:rPr>
          <w:rFonts w:ascii="Verdana" w:eastAsia="Verdana" w:hAnsi="Verdana"/>
          <w:szCs w:val="14"/>
          <w:lang w:val="pl-PL"/>
        </w:rPr>
      </w:pPr>
    </w:p>
    <w:p w14:paraId="10395EE8" w14:textId="7E4BBBA1" w:rsidR="00330F09" w:rsidRPr="00330F09" w:rsidRDefault="00330F09" w:rsidP="00330F09">
      <w:pPr>
        <w:ind w:left="119" w:right="839"/>
        <w:jc w:val="both"/>
        <w:rPr>
          <w:rFonts w:ascii="Verdana" w:eastAsia="Verdana" w:hAnsi="Verdana"/>
          <w:b/>
          <w:bCs/>
          <w:color w:val="0070C0"/>
          <w:szCs w:val="14"/>
          <w:lang w:val="pl-PL"/>
        </w:rPr>
      </w:pPr>
      <w:hyperlink r:id="rId14" w:anchor="{%22itemid%22:[%22001-58128%22]}" w:history="1">
        <w:r w:rsidRPr="00330F09">
          <w:rPr>
            <w:rStyle w:val="Hipercze"/>
            <w:rFonts w:ascii="Verdana" w:eastAsia="Verdana" w:hAnsi="Verdana"/>
            <w:b/>
            <w:bCs/>
            <w:szCs w:val="14"/>
            <w:lang w:val="pl-PL"/>
          </w:rPr>
          <w:t>Komunistyczna Partia Turcji i Inni przeciwko Turcji</w:t>
        </w:r>
      </w:hyperlink>
    </w:p>
    <w:p w14:paraId="03FA973E" w14:textId="77777777" w:rsidR="00330F09" w:rsidRPr="00330F09" w:rsidRDefault="00330F09" w:rsidP="00330F09">
      <w:pPr>
        <w:ind w:left="119" w:right="839"/>
        <w:jc w:val="both"/>
        <w:rPr>
          <w:rFonts w:ascii="Verdana" w:eastAsia="Verdana" w:hAnsi="Verdana"/>
          <w:color w:val="808080" w:themeColor="background1" w:themeShade="80"/>
          <w:sz w:val="18"/>
          <w:szCs w:val="12"/>
          <w:lang w:val="pl-PL"/>
        </w:rPr>
      </w:pPr>
      <w:r w:rsidRPr="00330F09">
        <w:rPr>
          <w:rFonts w:ascii="Verdana" w:eastAsia="Verdana" w:hAnsi="Verdana"/>
          <w:color w:val="808080" w:themeColor="background1" w:themeShade="80"/>
          <w:sz w:val="18"/>
          <w:szCs w:val="12"/>
          <w:lang w:val="pl-PL"/>
        </w:rPr>
        <w:t>30 stycznia 1998 roku</w:t>
      </w:r>
    </w:p>
    <w:p w14:paraId="3F88D866" w14:textId="77777777" w:rsidR="00330F09" w:rsidRPr="00330F09" w:rsidRDefault="00330F09" w:rsidP="00330F09">
      <w:pPr>
        <w:ind w:left="119" w:right="839"/>
        <w:jc w:val="both"/>
        <w:rPr>
          <w:rFonts w:ascii="Verdana" w:eastAsia="Verdana" w:hAnsi="Verdana"/>
          <w:szCs w:val="14"/>
          <w:lang w:val="pl-PL"/>
        </w:rPr>
      </w:pPr>
      <w:r w:rsidRPr="00330F09">
        <w:rPr>
          <w:rFonts w:ascii="Verdana" w:eastAsia="Verdana" w:hAnsi="Verdana"/>
          <w:szCs w:val="14"/>
          <w:lang w:val="pl-PL"/>
        </w:rPr>
        <w:t>Komunistyczna Partia Turcji („TBKP") została założona w czerwcu 1990 roku. Została rozwiązana wyrokiem Trybunału Konstytucyjnego w czerwcu 1991 roku na tej podstawie, że użyła słowa „komunistyczna" w swojej nazwie, co było niezgodne z tureckim prawem oraz że, w szczególności, wspierała separatyzm i podział tureckiego narodu.</w:t>
      </w:r>
    </w:p>
    <w:p w14:paraId="7BEDBDBF" w14:textId="7FE2A7B4" w:rsidR="00330F09" w:rsidRPr="00330F09" w:rsidRDefault="00330F09" w:rsidP="00330F09">
      <w:pPr>
        <w:ind w:left="119" w:right="839"/>
        <w:jc w:val="both"/>
        <w:rPr>
          <w:rFonts w:ascii="Verdana" w:eastAsia="Verdana" w:hAnsi="Verdana"/>
          <w:color w:val="0070C0"/>
          <w:szCs w:val="14"/>
          <w:lang w:val="pl-PL"/>
        </w:rPr>
      </w:pPr>
      <w:r w:rsidRPr="00330F09">
        <w:rPr>
          <w:rFonts w:ascii="Verdana" w:eastAsia="Verdana" w:hAnsi="Verdana"/>
          <w:color w:val="0070C0"/>
          <w:szCs w:val="14"/>
          <w:lang w:val="pl-PL"/>
        </w:rPr>
        <w:t xml:space="preserve">Trybunał stwierdził </w:t>
      </w:r>
      <w:r w:rsidRPr="00330F09">
        <w:rPr>
          <w:rFonts w:ascii="Verdana" w:eastAsia="Verdana" w:hAnsi="Verdana"/>
          <w:b/>
          <w:bCs/>
          <w:color w:val="0070C0"/>
          <w:szCs w:val="14"/>
          <w:lang w:val="pl-PL"/>
        </w:rPr>
        <w:t>naruszenie Artykułu 11</w:t>
      </w:r>
      <w:r w:rsidRPr="00330F09">
        <w:rPr>
          <w:rFonts w:ascii="Verdana" w:eastAsia="Verdana" w:hAnsi="Verdana"/>
          <w:color w:val="0070C0"/>
          <w:szCs w:val="14"/>
          <w:lang w:val="pl-PL"/>
        </w:rPr>
        <w:t xml:space="preserve"> Konwencji. Uznał, że wybór nazwy przez partię polityczną nie może, co do zasady, usprawiedliwić zastosowania środka tak drastycznego jakim było rozwiązanie partii, przy braku innych istotnych i wystarczających okoliczności. Wobec braku jakichkolwiek stosownych dowodów na to, że przez wybór nazwy „komunistyczna", TBKP wspierała program polityczny stanowiący realne zagrożenie dla tureckiego społeczeństwa lub tureckiego państwa, Trybunał nie zgodził się jakoby wniosek o rozwiązanie partii oparty wyłącznie na nazwie partii wymagał jego uwzględnienia. Trybunał stwierdził, że pomimo odnoszenia się przez TBKP, w swoim programie politycznym, do kurdyjskich „ludzi" i „narodu" oraz kurdyjskich „obywateli", nie określała ich mianem „mniejszości", ani nie podnosiła roszczeń - innych niż uznanie ich istnienia - mających na celu przyznanie im specjalnego traktowania lub praw i nie oznacza odcięcia się od reszty tureckiej populacji. Trybunał podkreślił, że jedną z najważniejszych cech demokracji jest możliwość rozwiązywania problemów kraju poprzez dialog. Stąd, nie może być usprawiedliwienia wstrzymywania grupy politycznej jedynie z tego powodu, że ta poszukuje debaty publicznej na temat sytuacji części populacji państwa i wzięcia udziału w krajowym życiu politycznym, w celu znalezienia, zgodnie z demokratycznymi zasadami, rozwiązań zdolnych zadowolić wszystkich zainteresowanych.</w:t>
      </w:r>
    </w:p>
    <w:p w14:paraId="35F8D641" w14:textId="77777777" w:rsidR="0076097F" w:rsidRDefault="0076097F" w:rsidP="0076097F">
      <w:pPr>
        <w:ind w:left="119" w:right="839"/>
        <w:jc w:val="both"/>
        <w:rPr>
          <w:rFonts w:ascii="Verdana" w:eastAsia="Verdana" w:hAnsi="Verdana"/>
          <w:szCs w:val="14"/>
          <w:lang w:val="pl-PL"/>
        </w:rPr>
      </w:pPr>
    </w:p>
    <w:p w14:paraId="1C74721D" w14:textId="1E7BBD31" w:rsidR="00330F09" w:rsidRPr="00330F09" w:rsidRDefault="00330F09" w:rsidP="00330F09">
      <w:pPr>
        <w:ind w:left="119" w:right="839"/>
        <w:jc w:val="both"/>
        <w:rPr>
          <w:rFonts w:ascii="Verdana" w:eastAsia="Verdana" w:hAnsi="Verdana"/>
          <w:b/>
          <w:bCs/>
          <w:color w:val="0070C0"/>
          <w:szCs w:val="14"/>
          <w:lang w:val="pl-PL"/>
        </w:rPr>
      </w:pPr>
      <w:hyperlink r:id="rId15" w:anchor="{%22itemid%22:[%22001-58172%22]}" w:history="1">
        <w:r w:rsidRPr="00330F09">
          <w:rPr>
            <w:rStyle w:val="Hipercze"/>
            <w:rFonts w:ascii="Verdana" w:eastAsia="Verdana" w:hAnsi="Verdana"/>
            <w:b/>
            <w:bCs/>
            <w:szCs w:val="14"/>
            <w:lang w:val="pl-PL"/>
          </w:rPr>
          <w:t>Partia Socjalistyczna i Inni przeciwko Turcji</w:t>
        </w:r>
      </w:hyperlink>
    </w:p>
    <w:p w14:paraId="3A4A8F43" w14:textId="77777777" w:rsidR="00330F09" w:rsidRPr="00330F09" w:rsidRDefault="00330F09" w:rsidP="00330F09">
      <w:pPr>
        <w:ind w:left="119" w:right="839"/>
        <w:jc w:val="both"/>
        <w:rPr>
          <w:rFonts w:ascii="Verdana" w:eastAsia="Verdana" w:hAnsi="Verdana"/>
          <w:color w:val="808080" w:themeColor="background1" w:themeShade="80"/>
          <w:sz w:val="18"/>
          <w:szCs w:val="12"/>
          <w:lang w:val="pl-PL"/>
        </w:rPr>
      </w:pPr>
      <w:r w:rsidRPr="00330F09">
        <w:rPr>
          <w:rFonts w:ascii="Verdana" w:eastAsia="Verdana" w:hAnsi="Verdana"/>
          <w:color w:val="808080" w:themeColor="background1" w:themeShade="80"/>
          <w:sz w:val="18"/>
          <w:szCs w:val="12"/>
          <w:lang w:val="pl-PL"/>
        </w:rPr>
        <w:t>25 maja 1998 roku</w:t>
      </w:r>
    </w:p>
    <w:p w14:paraId="5966D72D" w14:textId="77777777" w:rsidR="00330F09" w:rsidRPr="00330F09" w:rsidRDefault="00330F09" w:rsidP="00330F09">
      <w:pPr>
        <w:ind w:left="119" w:right="839"/>
        <w:jc w:val="both"/>
        <w:rPr>
          <w:rFonts w:ascii="Verdana" w:eastAsia="Verdana" w:hAnsi="Verdana"/>
          <w:szCs w:val="14"/>
          <w:lang w:val="pl-PL"/>
        </w:rPr>
      </w:pPr>
      <w:r w:rsidRPr="00330F09">
        <w:rPr>
          <w:rFonts w:ascii="Verdana" w:eastAsia="Verdana" w:hAnsi="Verdana"/>
          <w:szCs w:val="14"/>
          <w:lang w:val="pl-PL"/>
        </w:rPr>
        <w:t>Partia Socjalistyczna („SP") została założona w lutym 1988 roku. Została rozwiązana wyrokiem Trybunału Konstytucyjnego w lipcu 1992 roku. Turecki Trybunał zauważył, w szczególności, że w swoim przekazie politycznym, SP odnosi się do dwóch narodów: narodu kurdyjskiego i narodu tureckiego. Zakończył stwierdzeniem, że SP wspiera separatyzm i podburza zintegrowane społeczeństwo do walki o utworzenie niepodległego, federalnego państwa, co jest nieakceptowalne i co usprawiedliwia rozwiązanie partii.</w:t>
      </w:r>
    </w:p>
    <w:p w14:paraId="13A65714" w14:textId="5959D162" w:rsidR="00330F09" w:rsidRDefault="00330F09" w:rsidP="00330F09">
      <w:pPr>
        <w:ind w:left="119" w:right="839"/>
        <w:jc w:val="both"/>
        <w:rPr>
          <w:rFonts w:ascii="Verdana" w:eastAsia="Verdana" w:hAnsi="Verdana"/>
          <w:color w:val="0070C0"/>
          <w:szCs w:val="14"/>
          <w:lang w:val="pl-PL"/>
        </w:rPr>
      </w:pPr>
      <w:r w:rsidRPr="00330F09">
        <w:rPr>
          <w:rFonts w:ascii="Verdana" w:eastAsia="Verdana" w:hAnsi="Verdana"/>
          <w:color w:val="0070C0"/>
          <w:szCs w:val="14"/>
          <w:lang w:val="pl-PL"/>
        </w:rPr>
        <w:t xml:space="preserve">Trybunał stwierdził </w:t>
      </w:r>
      <w:r w:rsidRPr="00330F09">
        <w:rPr>
          <w:rFonts w:ascii="Verdana" w:eastAsia="Verdana" w:hAnsi="Verdana"/>
          <w:b/>
          <w:bCs/>
          <w:color w:val="0070C0"/>
          <w:szCs w:val="14"/>
          <w:lang w:val="pl-PL"/>
        </w:rPr>
        <w:t>naruszenie Artykułu 11</w:t>
      </w:r>
      <w:r w:rsidRPr="00330F09">
        <w:rPr>
          <w:rFonts w:ascii="Verdana" w:eastAsia="Verdana" w:hAnsi="Verdana"/>
          <w:color w:val="0070C0"/>
          <w:szCs w:val="14"/>
          <w:lang w:val="pl-PL"/>
        </w:rPr>
        <w:t xml:space="preserve"> Konwencji. Podniósł, że wypowiedzi poprzedniego prezesa partii odnosiły się do samostanowienia „narodu kurdyjskiego" i do jego prawa do „odłączenia się". Jednakże, odczytane w takim kontekście wypowiedzi nie zachęcały do odłączenia się od Turcji, ale dążyły do podkreślenia, że proponowany system federalny nie może zaistnieć bez kurdyjskiej zgody, która powinna być wyrażona w referendum. Według Trybunału, uznanie takiego programu politycznego za niezgodny z podstawowymi zasadami i strukturą państwa tureckiego w tym czasie nie jest jednoznaczne z byciem niezgodnym z zasadami demokracji. Esencją demokracji jest pozwolenie na różnorodność programów politycznych poddanych debacie, uwzględniając te, które kwestionują obecną organizację funkcjonowania państwa, jeżeli tylko nie czynią szkody samej demokracji.</w:t>
      </w:r>
    </w:p>
    <w:p w14:paraId="3AAB9732" w14:textId="77777777" w:rsidR="00330F09" w:rsidRDefault="00330F09" w:rsidP="00330F09">
      <w:pPr>
        <w:ind w:left="119" w:right="839"/>
        <w:jc w:val="both"/>
        <w:rPr>
          <w:rFonts w:ascii="Verdana" w:eastAsia="Verdana" w:hAnsi="Verdana"/>
          <w:color w:val="0070C0"/>
          <w:szCs w:val="14"/>
          <w:lang w:val="pl-PL"/>
        </w:rPr>
      </w:pPr>
    </w:p>
    <w:p w14:paraId="24338B21" w14:textId="63C09071" w:rsidR="001C129C" w:rsidRPr="001C129C" w:rsidRDefault="001C129C" w:rsidP="001C129C">
      <w:pPr>
        <w:ind w:left="119" w:right="839"/>
        <w:jc w:val="both"/>
        <w:rPr>
          <w:rFonts w:ascii="Verdana" w:eastAsia="Verdana" w:hAnsi="Verdana"/>
          <w:b/>
          <w:bCs/>
          <w:color w:val="0070C0"/>
          <w:szCs w:val="14"/>
          <w:lang w:val="pl-PL"/>
        </w:rPr>
      </w:pPr>
      <w:hyperlink r:id="rId16" w:anchor="{%22itemid%22:[%22003-68448-68916%22]}" w:history="1">
        <w:r w:rsidRPr="001C129C">
          <w:rPr>
            <w:rStyle w:val="Hipercze"/>
            <w:rFonts w:ascii="Verdana" w:eastAsia="Verdana" w:hAnsi="Verdana"/>
            <w:b/>
            <w:bCs/>
            <w:szCs w:val="14"/>
            <w:lang w:val="pl-PL"/>
          </w:rPr>
          <w:t>Partia Wolności i Demokracji (ÓZDEP) przeciwko Turcji</w:t>
        </w:r>
      </w:hyperlink>
    </w:p>
    <w:p w14:paraId="686D359F" w14:textId="77777777" w:rsidR="001C129C" w:rsidRPr="001C129C" w:rsidRDefault="001C129C" w:rsidP="001C129C">
      <w:pPr>
        <w:ind w:left="119" w:right="839"/>
        <w:jc w:val="both"/>
        <w:rPr>
          <w:rFonts w:ascii="Verdana" w:eastAsia="Verdana" w:hAnsi="Verdana"/>
          <w:color w:val="808080" w:themeColor="background1" w:themeShade="80"/>
          <w:sz w:val="18"/>
          <w:szCs w:val="12"/>
          <w:lang w:val="pl-PL"/>
        </w:rPr>
      </w:pPr>
      <w:r w:rsidRPr="001C129C">
        <w:rPr>
          <w:rFonts w:ascii="Verdana" w:eastAsia="Verdana" w:hAnsi="Verdana"/>
          <w:color w:val="808080" w:themeColor="background1" w:themeShade="80"/>
          <w:sz w:val="18"/>
          <w:szCs w:val="12"/>
          <w:lang w:val="pl-PL"/>
        </w:rPr>
        <w:t>8 grudnia 1999 roku</w:t>
      </w:r>
    </w:p>
    <w:p w14:paraId="40AEFD49" w14:textId="77777777" w:rsidR="001C129C" w:rsidRPr="001C129C" w:rsidRDefault="001C129C" w:rsidP="001C129C">
      <w:pPr>
        <w:ind w:left="119" w:right="839"/>
        <w:jc w:val="both"/>
        <w:rPr>
          <w:rFonts w:ascii="Verdana" w:eastAsia="Verdana" w:hAnsi="Verdana"/>
          <w:szCs w:val="14"/>
          <w:lang w:val="pl-PL"/>
        </w:rPr>
      </w:pPr>
      <w:r w:rsidRPr="001C129C">
        <w:rPr>
          <w:rFonts w:ascii="Verdana" w:eastAsia="Verdana" w:hAnsi="Verdana"/>
          <w:szCs w:val="14"/>
          <w:lang w:val="pl-PL"/>
        </w:rPr>
        <w:t xml:space="preserve">Partia Wolności i Demokracji została założona w październiku 1992 roku. W lipcu 1993 roku turecki Trybunał Konstytucyjny wydał wyrok rozwiązujący ÓZDEP. Podczas gdy </w:t>
      </w:r>
      <w:r w:rsidRPr="001C129C">
        <w:rPr>
          <w:rFonts w:ascii="Verdana" w:eastAsia="Verdana" w:hAnsi="Verdana"/>
          <w:szCs w:val="14"/>
          <w:lang w:val="pl-PL"/>
        </w:rPr>
        <w:lastRenderedPageBreak/>
        <w:t>postępowanie dotyczące rozwiązania partii - wszczętego na tej podstawie, że jej program polityczny zakładał podważanie integralności terytorialnej i świeckiego charakteru państwa oraz jedności narodu - było nadal w toku, założyciele postanowili rozwiązać ją, aby uchronić siebie i przywódców partii przed konsekwencjami wyroku rozwiązującego - czyli zakazie kontynuacji podobnej działalności w innych partiach politycznych.</w:t>
      </w:r>
    </w:p>
    <w:p w14:paraId="5BF53EB8" w14:textId="2B5B9C5A" w:rsidR="00330F09" w:rsidRPr="00330F09" w:rsidRDefault="001C129C" w:rsidP="001C129C">
      <w:pPr>
        <w:ind w:left="119" w:right="839"/>
        <w:jc w:val="both"/>
        <w:rPr>
          <w:rFonts w:ascii="Verdana" w:eastAsia="Verdana" w:hAnsi="Verdana"/>
          <w:color w:val="0070C0"/>
          <w:szCs w:val="14"/>
          <w:lang w:val="pl-PL"/>
        </w:rPr>
      </w:pPr>
      <w:r w:rsidRPr="001C129C">
        <w:rPr>
          <w:rFonts w:ascii="Verdana" w:eastAsia="Verdana" w:hAnsi="Verdana"/>
          <w:color w:val="0070C0"/>
          <w:szCs w:val="14"/>
          <w:lang w:val="pl-PL"/>
        </w:rPr>
        <w:t xml:space="preserve">Trybunał stwierdził, że </w:t>
      </w:r>
      <w:r w:rsidRPr="001C129C">
        <w:rPr>
          <w:rFonts w:ascii="Verdana" w:eastAsia="Verdana" w:hAnsi="Verdana"/>
          <w:b/>
          <w:bCs/>
          <w:color w:val="0070C0"/>
          <w:szCs w:val="14"/>
          <w:lang w:val="pl-PL"/>
        </w:rPr>
        <w:t>doszło do naruszenia Artykułu 11</w:t>
      </w:r>
      <w:r w:rsidRPr="001C129C">
        <w:rPr>
          <w:rFonts w:ascii="Verdana" w:eastAsia="Verdana" w:hAnsi="Verdana"/>
          <w:color w:val="0070C0"/>
          <w:szCs w:val="14"/>
          <w:lang w:val="pl-PL"/>
        </w:rPr>
        <w:t xml:space="preserve"> Konwencji. Nie znalazł niczego w programie politycznym ÓZDEP co mogłoby być uznane za nawoływanie do użycia przemocy, do powstania lub innego odrzucenia zasad demokracji. Wręcz przeciwnie, położono w nim nacisk na potrzebę związania się demokratycznymi zasadami w czasie implementacji proponowanych projektów. ÓZDEP odniosło się w swoim programie również do prawa do samostanowienia „narodowych i religijnych mniejszości". Jednakże, uwzględniając ich kontekst, te słowa nie zachęcały do separacji od Turcji, ale zmierzały do podkreślenia, że proponowany program polityczny musi być poparty swobodną, demokratycznie wyrażoną zgodą Kurdów. Według Trybunału, uznanie takiego programu politycznego za niezgodny z podstawowymi zasadami i strukturą państwa tureckiego nie oznacza naruszenia zasad demokracji. Esencją demokracji jest pozwolenie poddania debacie różnorodnych programów politycznych, uwzględniając te, które kwestionują obecną organizację funkcjonowania państwa, jeżeli tylko nie czynią szkody samej demokracji.</w:t>
      </w:r>
    </w:p>
    <w:p w14:paraId="6D263544" w14:textId="77777777" w:rsidR="00330F09" w:rsidRDefault="00330F09" w:rsidP="0076097F">
      <w:pPr>
        <w:ind w:left="119" w:right="839"/>
        <w:jc w:val="both"/>
        <w:rPr>
          <w:rFonts w:ascii="Verdana" w:eastAsia="Verdana" w:hAnsi="Verdana"/>
          <w:szCs w:val="14"/>
          <w:lang w:val="pl-PL"/>
        </w:rPr>
      </w:pPr>
    </w:p>
    <w:p w14:paraId="61B53103" w14:textId="0883107D" w:rsidR="001C129C" w:rsidRPr="001C129C" w:rsidRDefault="001C129C" w:rsidP="001C129C">
      <w:pPr>
        <w:ind w:left="119" w:right="839"/>
        <w:jc w:val="both"/>
        <w:rPr>
          <w:rFonts w:ascii="Verdana" w:eastAsia="Verdana" w:hAnsi="Verdana"/>
          <w:b/>
          <w:bCs/>
          <w:color w:val="0070C0"/>
          <w:szCs w:val="14"/>
          <w:lang w:val="pl-PL"/>
        </w:rPr>
      </w:pPr>
      <w:hyperlink r:id="rId17" w:anchor="{%22itemid%22:[%22003-532666-534222%22]}" w:history="1">
        <w:proofErr w:type="spellStart"/>
        <w:r w:rsidRPr="001C129C">
          <w:rPr>
            <w:rStyle w:val="Hipercze"/>
            <w:rFonts w:ascii="Verdana" w:eastAsia="Verdana" w:hAnsi="Verdana"/>
            <w:b/>
            <w:bCs/>
            <w:szCs w:val="14"/>
            <w:lang w:val="pl-PL"/>
          </w:rPr>
          <w:t>Yazar</w:t>
        </w:r>
        <w:proofErr w:type="spellEnd"/>
        <w:r w:rsidRPr="001C129C">
          <w:rPr>
            <w:rStyle w:val="Hipercze"/>
            <w:rFonts w:ascii="Verdana" w:eastAsia="Verdana" w:hAnsi="Verdana"/>
            <w:b/>
            <w:bCs/>
            <w:szCs w:val="14"/>
            <w:lang w:val="pl-PL"/>
          </w:rPr>
          <w:t xml:space="preserve">, </w:t>
        </w:r>
        <w:proofErr w:type="spellStart"/>
        <w:r w:rsidRPr="001C129C">
          <w:rPr>
            <w:rStyle w:val="Hipercze"/>
            <w:rFonts w:ascii="Verdana" w:eastAsia="Verdana" w:hAnsi="Verdana"/>
            <w:b/>
            <w:bCs/>
            <w:szCs w:val="14"/>
            <w:lang w:val="pl-PL"/>
          </w:rPr>
          <w:t>Karatas</w:t>
        </w:r>
        <w:proofErr w:type="spellEnd"/>
        <w:r w:rsidRPr="001C129C">
          <w:rPr>
            <w:rStyle w:val="Hipercze"/>
            <w:rFonts w:ascii="Verdana" w:eastAsia="Verdana" w:hAnsi="Verdana"/>
            <w:b/>
            <w:bCs/>
            <w:szCs w:val="14"/>
            <w:lang w:val="pl-PL"/>
          </w:rPr>
          <w:t xml:space="preserve">, </w:t>
        </w:r>
        <w:proofErr w:type="spellStart"/>
        <w:r w:rsidRPr="001C129C">
          <w:rPr>
            <w:rStyle w:val="Hipercze"/>
            <w:rFonts w:ascii="Verdana" w:eastAsia="Verdana" w:hAnsi="Verdana"/>
            <w:b/>
            <w:bCs/>
            <w:szCs w:val="14"/>
            <w:lang w:val="pl-PL"/>
          </w:rPr>
          <w:t>Aksoy</w:t>
        </w:r>
        <w:proofErr w:type="spellEnd"/>
        <w:r w:rsidRPr="001C129C">
          <w:rPr>
            <w:rStyle w:val="Hipercze"/>
            <w:rFonts w:ascii="Verdana" w:eastAsia="Verdana" w:hAnsi="Verdana"/>
            <w:b/>
            <w:bCs/>
            <w:szCs w:val="14"/>
            <w:lang w:val="pl-PL"/>
          </w:rPr>
          <w:t>, i Ludowa Partia Pracy (HEP) przeciwko Turcji</w:t>
        </w:r>
      </w:hyperlink>
    </w:p>
    <w:p w14:paraId="7F261967" w14:textId="77777777" w:rsidR="001C129C" w:rsidRPr="001C129C" w:rsidRDefault="001C129C" w:rsidP="001C129C">
      <w:pPr>
        <w:ind w:left="119" w:right="839"/>
        <w:jc w:val="both"/>
        <w:rPr>
          <w:rFonts w:ascii="Verdana" w:eastAsia="Verdana" w:hAnsi="Verdana"/>
          <w:szCs w:val="14"/>
          <w:lang w:val="pl-PL"/>
        </w:rPr>
      </w:pPr>
      <w:r w:rsidRPr="001C129C">
        <w:rPr>
          <w:rFonts w:ascii="Verdana" w:eastAsia="Verdana" w:hAnsi="Verdana"/>
          <w:color w:val="808080" w:themeColor="background1" w:themeShade="80"/>
          <w:sz w:val="18"/>
          <w:szCs w:val="12"/>
          <w:lang w:val="pl-PL"/>
        </w:rPr>
        <w:t>9 kwietnia 2002 roku</w:t>
      </w:r>
    </w:p>
    <w:p w14:paraId="73A97209" w14:textId="77777777" w:rsidR="001C129C" w:rsidRPr="001C129C" w:rsidRDefault="001C129C" w:rsidP="001C129C">
      <w:pPr>
        <w:ind w:left="119" w:right="839"/>
        <w:jc w:val="both"/>
        <w:rPr>
          <w:rFonts w:ascii="Verdana" w:eastAsia="Verdana" w:hAnsi="Verdana"/>
          <w:szCs w:val="14"/>
          <w:lang w:val="pl-PL"/>
        </w:rPr>
      </w:pPr>
      <w:r w:rsidRPr="001C129C">
        <w:rPr>
          <w:rFonts w:ascii="Verdana" w:eastAsia="Verdana" w:hAnsi="Verdana"/>
          <w:szCs w:val="14"/>
          <w:lang w:val="pl-PL"/>
        </w:rPr>
        <w:t>HEP (</w:t>
      </w:r>
      <w:proofErr w:type="spellStart"/>
      <w:r w:rsidRPr="001C129C">
        <w:rPr>
          <w:rFonts w:ascii="Verdana" w:eastAsia="Verdana" w:hAnsi="Verdana"/>
          <w:szCs w:val="14"/>
          <w:lang w:val="pl-PL"/>
        </w:rPr>
        <w:t>Halkin</w:t>
      </w:r>
      <w:proofErr w:type="spellEnd"/>
      <w:r w:rsidRPr="001C129C">
        <w:rPr>
          <w:rFonts w:ascii="Verdana" w:eastAsia="Verdana" w:hAnsi="Verdana"/>
          <w:szCs w:val="14"/>
          <w:lang w:val="pl-PL"/>
        </w:rPr>
        <w:t xml:space="preserve"> </w:t>
      </w:r>
      <w:proofErr w:type="spellStart"/>
      <w:r w:rsidRPr="001C129C">
        <w:rPr>
          <w:rFonts w:ascii="Verdana" w:eastAsia="Verdana" w:hAnsi="Verdana"/>
          <w:szCs w:val="14"/>
          <w:lang w:val="pl-PL"/>
        </w:rPr>
        <w:t>Emegi</w:t>
      </w:r>
      <w:proofErr w:type="spellEnd"/>
      <w:r w:rsidRPr="001C129C">
        <w:rPr>
          <w:rFonts w:ascii="Verdana" w:eastAsia="Verdana" w:hAnsi="Verdana"/>
          <w:szCs w:val="14"/>
          <w:lang w:val="pl-PL"/>
        </w:rPr>
        <w:t xml:space="preserve"> </w:t>
      </w:r>
      <w:proofErr w:type="spellStart"/>
      <w:r w:rsidRPr="001C129C">
        <w:rPr>
          <w:rFonts w:ascii="Verdana" w:eastAsia="Verdana" w:hAnsi="Verdana"/>
          <w:szCs w:val="14"/>
          <w:lang w:val="pl-PL"/>
        </w:rPr>
        <w:t>Partisi</w:t>
      </w:r>
      <w:proofErr w:type="spellEnd"/>
      <w:r w:rsidRPr="001C129C">
        <w:rPr>
          <w:rFonts w:ascii="Verdana" w:eastAsia="Verdana" w:hAnsi="Verdana"/>
          <w:szCs w:val="14"/>
          <w:lang w:val="pl-PL"/>
        </w:rPr>
        <w:t xml:space="preserve"> - Ludowa Partia Pracy) została założona w 1990 roku. Została rozwiązana w lipcu 1993 roku orzeczeniem tureckiego Trybunału Konstytucyjnego na tej podstawie, że istniało prawdopodobieństwo, że jej działalność podważa integralność terytorialną państwa i jedność narodu. Trybunał Konstytucyjny skrytykował HEP, w szczególności, za „dążenie do podziału tureckiego narodu na dwa - z jednej strony Turków i z drugiej Kurdów, w celu ustanowienia dwóch niezależnych państw" oraz za „dążenie do zniszczenia narodowej i terytorialnej integralności".</w:t>
      </w:r>
    </w:p>
    <w:p w14:paraId="0BAE053E" w14:textId="4688B995" w:rsidR="0076097F" w:rsidRPr="001C129C" w:rsidRDefault="001C129C" w:rsidP="001C129C">
      <w:pPr>
        <w:ind w:left="119" w:right="839"/>
        <w:jc w:val="both"/>
        <w:rPr>
          <w:rFonts w:ascii="Verdana" w:eastAsia="Verdana" w:hAnsi="Verdana"/>
          <w:color w:val="0070C0"/>
          <w:szCs w:val="14"/>
          <w:lang w:val="pl-PL"/>
        </w:rPr>
      </w:pPr>
      <w:r w:rsidRPr="001C129C">
        <w:rPr>
          <w:rFonts w:ascii="Verdana" w:eastAsia="Verdana" w:hAnsi="Verdana"/>
          <w:color w:val="0070C0"/>
          <w:szCs w:val="14"/>
          <w:lang w:val="pl-PL"/>
        </w:rPr>
        <w:t xml:space="preserve">Trybunał stwierdził, że </w:t>
      </w:r>
      <w:r w:rsidRPr="001C129C">
        <w:rPr>
          <w:rFonts w:ascii="Verdana" w:eastAsia="Verdana" w:hAnsi="Verdana"/>
          <w:b/>
          <w:bCs/>
          <w:color w:val="0070C0"/>
          <w:szCs w:val="14"/>
          <w:lang w:val="pl-PL"/>
        </w:rPr>
        <w:t>doszło do naruszenia Artykułu 11</w:t>
      </w:r>
      <w:r w:rsidRPr="001C129C">
        <w:rPr>
          <w:rFonts w:ascii="Verdana" w:eastAsia="Verdana" w:hAnsi="Verdana"/>
          <w:color w:val="0070C0"/>
          <w:szCs w:val="14"/>
          <w:lang w:val="pl-PL"/>
        </w:rPr>
        <w:t xml:space="preserve"> Konwencji. Uznał w szczególności, że wartości reprezentowane przez HEP, takie jak prawo do samostanowienia i uznania praw językowych nie są, same w sobie, przeciwne fundamentalnym zasadom demokracji. Jeżeli uznanie, że samo popieranie tych wartości przez ugrupowanie polityczne stanowi akt terroryzmu, to osłabiałoby to możliwość radzenia sobie ze wskazanymi kwestiami w ramach demokratycznej debaty i pozwalałoby uzbrojonym bojówkom na przywłaszczenie sobie reprezentowania wspomnianych wartości. Co więcej, nawet jeśli wspomniane wartości uprawdopodobniają konflikt z głównym wątkiem polityki rządowej lub przekonaniami większości opinii publicznej, właściwe funkcjonowanie demokracji wymaga, aby ugrupowania polityczne były dopuszczone do debaty publicznej, w celu pomocy w znalezieniu rozwiązań problemów ogólnego zainteresowania, co dotyczy polityków wszelkich przekonań. Turecki Trybunał nie ustalił, jakoby politycy HEP zmierzali do podważenia demokratycznego ustroju Turcji.</w:t>
      </w:r>
    </w:p>
    <w:p w14:paraId="13F1BD1E" w14:textId="77777777" w:rsidR="0076097F" w:rsidRDefault="0076097F" w:rsidP="0076097F">
      <w:pPr>
        <w:ind w:left="119" w:right="839"/>
        <w:jc w:val="both"/>
        <w:rPr>
          <w:rFonts w:ascii="Verdana" w:eastAsia="Verdana" w:hAnsi="Verdana"/>
          <w:szCs w:val="14"/>
          <w:lang w:val="pl-PL"/>
        </w:rPr>
      </w:pPr>
    </w:p>
    <w:p w14:paraId="379590B8" w14:textId="6C46AF04" w:rsidR="001C129C" w:rsidRPr="00F54B75" w:rsidRDefault="00F54B75" w:rsidP="001C129C">
      <w:pPr>
        <w:ind w:left="119" w:right="839"/>
        <w:jc w:val="both"/>
        <w:rPr>
          <w:rFonts w:ascii="Verdana" w:eastAsia="Verdana" w:hAnsi="Verdana"/>
          <w:b/>
          <w:bCs/>
          <w:color w:val="0070C0"/>
          <w:szCs w:val="14"/>
          <w:lang w:val="pl-PL"/>
        </w:rPr>
      </w:pPr>
      <w:hyperlink r:id="rId18" w:anchor="{%22itemid%22:[%22003-532666-534222%22]}" w:history="1">
        <w:proofErr w:type="spellStart"/>
        <w:r w:rsidR="001C129C" w:rsidRPr="00F54B75">
          <w:rPr>
            <w:rStyle w:val="Hipercze"/>
            <w:rFonts w:ascii="Verdana" w:eastAsia="Verdana" w:hAnsi="Verdana"/>
            <w:b/>
            <w:bCs/>
            <w:szCs w:val="14"/>
            <w:lang w:val="pl-PL"/>
          </w:rPr>
          <w:t>Refah</w:t>
        </w:r>
        <w:proofErr w:type="spellEnd"/>
        <w:r w:rsidR="001C129C" w:rsidRPr="00F54B75">
          <w:rPr>
            <w:rStyle w:val="Hipercze"/>
            <w:rFonts w:ascii="Verdana" w:eastAsia="Verdana" w:hAnsi="Verdana"/>
            <w:b/>
            <w:bCs/>
            <w:szCs w:val="14"/>
            <w:lang w:val="pl-PL"/>
          </w:rPr>
          <w:t xml:space="preserve"> </w:t>
        </w:r>
        <w:proofErr w:type="spellStart"/>
        <w:r w:rsidR="001C129C" w:rsidRPr="00F54B75">
          <w:rPr>
            <w:rStyle w:val="Hipercze"/>
            <w:rFonts w:ascii="Verdana" w:eastAsia="Verdana" w:hAnsi="Verdana"/>
            <w:b/>
            <w:bCs/>
            <w:szCs w:val="14"/>
            <w:lang w:val="pl-PL"/>
          </w:rPr>
          <w:t>Partisi</w:t>
        </w:r>
        <w:proofErr w:type="spellEnd"/>
        <w:r w:rsidR="001C129C" w:rsidRPr="00F54B75">
          <w:rPr>
            <w:rStyle w:val="Hipercze"/>
            <w:rFonts w:ascii="Verdana" w:eastAsia="Verdana" w:hAnsi="Verdana"/>
            <w:b/>
            <w:bCs/>
            <w:szCs w:val="14"/>
            <w:lang w:val="pl-PL"/>
          </w:rPr>
          <w:t xml:space="preserve"> (Partia Dobrobytu) i inni przeciwko Turcji</w:t>
        </w:r>
      </w:hyperlink>
    </w:p>
    <w:p w14:paraId="7FDDB7F5" w14:textId="77777777" w:rsidR="001C129C" w:rsidRPr="00F54B75" w:rsidRDefault="001C129C" w:rsidP="001C129C">
      <w:pPr>
        <w:ind w:left="119" w:right="839"/>
        <w:jc w:val="both"/>
        <w:rPr>
          <w:rFonts w:ascii="Verdana" w:eastAsia="Verdana" w:hAnsi="Verdana"/>
          <w:color w:val="808080" w:themeColor="background1" w:themeShade="80"/>
          <w:sz w:val="18"/>
          <w:szCs w:val="12"/>
          <w:lang w:val="pl-PL"/>
        </w:rPr>
      </w:pPr>
      <w:r w:rsidRPr="00F54B75">
        <w:rPr>
          <w:rFonts w:ascii="Verdana" w:eastAsia="Verdana" w:hAnsi="Verdana"/>
          <w:color w:val="808080" w:themeColor="background1" w:themeShade="80"/>
          <w:sz w:val="18"/>
          <w:szCs w:val="12"/>
          <w:lang w:val="pl-PL"/>
        </w:rPr>
        <w:t>13 lutego 2003 (Wielka Izba)</w:t>
      </w:r>
    </w:p>
    <w:p w14:paraId="4C3636B7" w14:textId="77777777" w:rsidR="00F54B75" w:rsidRDefault="001C129C" w:rsidP="001C129C">
      <w:pPr>
        <w:ind w:left="119" w:right="839"/>
        <w:jc w:val="both"/>
        <w:rPr>
          <w:rFonts w:ascii="Verdana" w:eastAsia="Verdana" w:hAnsi="Verdana"/>
          <w:szCs w:val="14"/>
          <w:lang w:val="pl-PL"/>
        </w:rPr>
      </w:pPr>
      <w:proofErr w:type="spellStart"/>
      <w:r w:rsidRPr="001C129C">
        <w:rPr>
          <w:rFonts w:ascii="Verdana" w:eastAsia="Verdana" w:hAnsi="Verdana"/>
          <w:szCs w:val="14"/>
          <w:lang w:val="pl-PL"/>
        </w:rPr>
        <w:t>Refah</w:t>
      </w:r>
      <w:proofErr w:type="spellEnd"/>
      <w:r w:rsidRPr="001C129C">
        <w:rPr>
          <w:rFonts w:ascii="Verdana" w:eastAsia="Verdana" w:hAnsi="Verdana"/>
          <w:szCs w:val="14"/>
          <w:lang w:val="pl-PL"/>
        </w:rPr>
        <w:t xml:space="preserve"> </w:t>
      </w:r>
      <w:proofErr w:type="spellStart"/>
      <w:r w:rsidRPr="001C129C">
        <w:rPr>
          <w:rFonts w:ascii="Verdana" w:eastAsia="Verdana" w:hAnsi="Verdana"/>
          <w:szCs w:val="14"/>
          <w:lang w:val="pl-PL"/>
        </w:rPr>
        <w:t>Partisi</w:t>
      </w:r>
      <w:proofErr w:type="spellEnd"/>
      <w:r w:rsidRPr="001C129C">
        <w:rPr>
          <w:rFonts w:ascii="Verdana" w:eastAsia="Verdana" w:hAnsi="Verdana"/>
          <w:szCs w:val="14"/>
          <w:lang w:val="pl-PL"/>
        </w:rPr>
        <w:t xml:space="preserve"> (Partia Dobrobytu - „</w:t>
      </w:r>
      <w:proofErr w:type="spellStart"/>
      <w:r w:rsidRPr="001C129C">
        <w:rPr>
          <w:rFonts w:ascii="Verdana" w:eastAsia="Verdana" w:hAnsi="Verdana"/>
          <w:szCs w:val="14"/>
          <w:lang w:val="pl-PL"/>
        </w:rPr>
        <w:t>Refah</w:t>
      </w:r>
      <w:proofErr w:type="spellEnd"/>
      <w:r w:rsidRPr="001C129C">
        <w:rPr>
          <w:rFonts w:ascii="Verdana" w:eastAsia="Verdana" w:hAnsi="Verdana"/>
          <w:szCs w:val="14"/>
          <w:lang w:val="pl-PL"/>
        </w:rPr>
        <w:t xml:space="preserve">") została założona w 1983 roku. Rozwiązana została w styczniu 1998 roku orzeczeniem tureckiego Trybunału Konstytucyjnego, na tej podstawie, że stała się „centrum aktywności przeciwko zasadzie świeckości". Turecki Trybunał Konstytucyjny postanowił również, że aktywa </w:t>
      </w:r>
      <w:proofErr w:type="spellStart"/>
      <w:r w:rsidRPr="001C129C">
        <w:rPr>
          <w:rFonts w:ascii="Verdana" w:eastAsia="Verdana" w:hAnsi="Verdana"/>
          <w:szCs w:val="14"/>
          <w:lang w:val="pl-PL"/>
        </w:rPr>
        <w:t>Refah</w:t>
      </w:r>
      <w:proofErr w:type="spellEnd"/>
      <w:r w:rsidRPr="001C129C">
        <w:rPr>
          <w:rFonts w:ascii="Verdana" w:eastAsia="Verdana" w:hAnsi="Verdana"/>
          <w:szCs w:val="14"/>
          <w:lang w:val="pl-PL"/>
        </w:rPr>
        <w:t xml:space="preserve"> zostaną przejęte przez Skarb Państwa. Trybunał Konstytucyjny stwierdził następnie, że publiczne deklaracje przywódców </w:t>
      </w:r>
      <w:proofErr w:type="spellStart"/>
      <w:r w:rsidRPr="001C129C">
        <w:rPr>
          <w:rFonts w:ascii="Verdana" w:eastAsia="Verdana" w:hAnsi="Verdana"/>
          <w:szCs w:val="14"/>
          <w:lang w:val="pl-PL"/>
        </w:rPr>
        <w:t>Refah</w:t>
      </w:r>
      <w:proofErr w:type="spellEnd"/>
      <w:r w:rsidRPr="001C129C">
        <w:rPr>
          <w:rFonts w:ascii="Verdana" w:eastAsia="Verdana" w:hAnsi="Verdana"/>
          <w:szCs w:val="14"/>
          <w:lang w:val="pl-PL"/>
        </w:rPr>
        <w:t xml:space="preserve"> były niekonstytucyjne. W konsekwencji zakazał jej zasiadania w parlamencie oraz piastowania niektórych stanowisk politycznych przez pięć lat.</w:t>
      </w:r>
    </w:p>
    <w:p w14:paraId="23C91048" w14:textId="56DDF04F" w:rsidR="0076097F" w:rsidRDefault="001C129C" w:rsidP="001C129C">
      <w:pPr>
        <w:ind w:left="119" w:right="839"/>
        <w:jc w:val="both"/>
        <w:rPr>
          <w:rFonts w:ascii="Verdana" w:eastAsia="Verdana" w:hAnsi="Verdana"/>
          <w:color w:val="0070C0"/>
          <w:szCs w:val="14"/>
          <w:lang w:val="pl-PL"/>
        </w:rPr>
      </w:pPr>
      <w:r w:rsidRPr="00F54B75">
        <w:rPr>
          <w:rFonts w:ascii="Verdana" w:eastAsia="Verdana" w:hAnsi="Verdana"/>
          <w:color w:val="0070C0"/>
          <w:szCs w:val="14"/>
          <w:lang w:val="pl-PL"/>
        </w:rPr>
        <w:t xml:space="preserve">Trybunał stwierdził, że </w:t>
      </w:r>
      <w:r w:rsidRPr="00F54B75">
        <w:rPr>
          <w:rFonts w:ascii="Verdana" w:eastAsia="Verdana" w:hAnsi="Verdana"/>
          <w:b/>
          <w:bCs/>
          <w:color w:val="0070C0"/>
          <w:szCs w:val="14"/>
          <w:lang w:val="pl-PL"/>
        </w:rPr>
        <w:t>nie doszło do naruszenia Artykułu 11</w:t>
      </w:r>
      <w:r w:rsidRPr="00F54B75">
        <w:rPr>
          <w:rFonts w:ascii="Verdana" w:eastAsia="Verdana" w:hAnsi="Verdana"/>
          <w:color w:val="0070C0"/>
          <w:szCs w:val="14"/>
          <w:lang w:val="pl-PL"/>
        </w:rPr>
        <w:t xml:space="preserve"> Konwencji. Uznał, że działalność i przemówienia członków i przywódców </w:t>
      </w:r>
      <w:proofErr w:type="spellStart"/>
      <w:r w:rsidRPr="00F54B75">
        <w:rPr>
          <w:rFonts w:ascii="Verdana" w:eastAsia="Verdana" w:hAnsi="Verdana"/>
          <w:color w:val="0070C0"/>
          <w:szCs w:val="14"/>
          <w:lang w:val="pl-PL"/>
        </w:rPr>
        <w:t>Refah</w:t>
      </w:r>
      <w:proofErr w:type="spellEnd"/>
      <w:r w:rsidRPr="00F54B75">
        <w:rPr>
          <w:rFonts w:ascii="Verdana" w:eastAsia="Verdana" w:hAnsi="Verdana"/>
          <w:color w:val="0070C0"/>
          <w:szCs w:val="14"/>
          <w:lang w:val="pl-PL"/>
        </w:rPr>
        <w:t xml:space="preserve">, cytowane przez turecki Trybunał Konstytucyjny mogą być przypisane całej partii, że ta działalność i przemówienia odnosiły się do długoterminowej polityki </w:t>
      </w:r>
      <w:proofErr w:type="spellStart"/>
      <w:r w:rsidRPr="00F54B75">
        <w:rPr>
          <w:rFonts w:ascii="Verdana" w:eastAsia="Verdana" w:hAnsi="Verdana"/>
          <w:color w:val="0070C0"/>
          <w:szCs w:val="14"/>
          <w:lang w:val="pl-PL"/>
        </w:rPr>
        <w:t>Refah</w:t>
      </w:r>
      <w:proofErr w:type="spellEnd"/>
      <w:r w:rsidRPr="00F54B75">
        <w:rPr>
          <w:rFonts w:ascii="Verdana" w:eastAsia="Verdana" w:hAnsi="Verdana"/>
          <w:color w:val="0070C0"/>
          <w:szCs w:val="14"/>
          <w:lang w:val="pl-PL"/>
        </w:rPr>
        <w:t xml:space="preserve">, która ustanawia ustrój oparty na prawie </w:t>
      </w:r>
      <w:proofErr w:type="spellStart"/>
      <w:r w:rsidRPr="00F54B75">
        <w:rPr>
          <w:rFonts w:ascii="Verdana" w:eastAsia="Verdana" w:hAnsi="Verdana"/>
          <w:color w:val="0070C0"/>
          <w:szCs w:val="14"/>
          <w:lang w:val="pl-PL"/>
        </w:rPr>
        <w:t>szariatu</w:t>
      </w:r>
      <w:proofErr w:type="spellEnd"/>
      <w:r w:rsidRPr="00F54B75">
        <w:rPr>
          <w:rFonts w:ascii="Verdana" w:eastAsia="Verdana" w:hAnsi="Verdana"/>
          <w:color w:val="0070C0"/>
          <w:szCs w:val="14"/>
          <w:lang w:val="pl-PL"/>
        </w:rPr>
        <w:t xml:space="preserve"> w ramach różnorodności systemów prawych oraz że </w:t>
      </w:r>
      <w:proofErr w:type="spellStart"/>
      <w:r w:rsidRPr="00F54B75">
        <w:rPr>
          <w:rFonts w:ascii="Verdana" w:eastAsia="Verdana" w:hAnsi="Verdana"/>
          <w:color w:val="0070C0"/>
          <w:szCs w:val="14"/>
          <w:lang w:val="pl-PL"/>
        </w:rPr>
        <w:t>Refah</w:t>
      </w:r>
      <w:proofErr w:type="spellEnd"/>
      <w:r w:rsidRPr="00F54B75">
        <w:rPr>
          <w:rFonts w:ascii="Verdana" w:eastAsia="Verdana" w:hAnsi="Verdana"/>
          <w:color w:val="0070C0"/>
          <w:szCs w:val="14"/>
          <w:lang w:val="pl-PL"/>
        </w:rPr>
        <w:t xml:space="preserve"> nie wyłączał uciekania </w:t>
      </w:r>
      <w:r w:rsidRPr="00F54B75">
        <w:rPr>
          <w:rFonts w:ascii="Verdana" w:eastAsia="Verdana" w:hAnsi="Verdana"/>
          <w:color w:val="0070C0"/>
          <w:szCs w:val="14"/>
          <w:lang w:val="pl-PL"/>
        </w:rPr>
        <w:lastRenderedPageBreak/>
        <w:t xml:space="preserve">się do użycia siły w celu implementacji tej polityki. Biorąc pod uwagę, że te plany są niezgodne z koncepcją „demokratycznego społeczeństwa" i że realne możliwości wcielenia ich w życie, które </w:t>
      </w:r>
      <w:proofErr w:type="spellStart"/>
      <w:r w:rsidRPr="00F54B75">
        <w:rPr>
          <w:rFonts w:ascii="Verdana" w:eastAsia="Verdana" w:hAnsi="Verdana"/>
          <w:color w:val="0070C0"/>
          <w:szCs w:val="14"/>
          <w:lang w:val="pl-PL"/>
        </w:rPr>
        <w:t>Refah</w:t>
      </w:r>
      <w:proofErr w:type="spellEnd"/>
      <w:r w:rsidRPr="00F54B75">
        <w:rPr>
          <w:rFonts w:ascii="Verdana" w:eastAsia="Verdana" w:hAnsi="Verdana"/>
          <w:color w:val="0070C0"/>
          <w:szCs w:val="14"/>
          <w:lang w:val="pl-PL"/>
        </w:rPr>
        <w:t xml:space="preserve"> miał, uczyniły zagrożenie dla demokracji namacalnym i bezpośrednim, to decyzja Trybunału Konstytucyjnego, nawet w świetle ograniczonego marginesu swobody pozostawionemu mu, mógł rozsądnie być uznany za napotykający „naglącą potrzebę społeczną".</w:t>
      </w:r>
    </w:p>
    <w:p w14:paraId="3465AA03" w14:textId="77777777" w:rsidR="00F54B75" w:rsidRDefault="00F54B75" w:rsidP="001C129C">
      <w:pPr>
        <w:ind w:left="119" w:right="839"/>
        <w:jc w:val="both"/>
        <w:rPr>
          <w:rFonts w:ascii="Verdana" w:eastAsia="Verdana" w:hAnsi="Verdana"/>
          <w:color w:val="0070C0"/>
          <w:szCs w:val="14"/>
          <w:lang w:val="pl-PL"/>
        </w:rPr>
      </w:pPr>
    </w:p>
    <w:p w14:paraId="71F3FE78" w14:textId="0671F36D" w:rsidR="00F54B75" w:rsidRPr="00F54B75" w:rsidRDefault="00B339AC" w:rsidP="00F54B75">
      <w:pPr>
        <w:ind w:left="119" w:right="839"/>
        <w:jc w:val="both"/>
        <w:rPr>
          <w:rFonts w:ascii="Verdana" w:eastAsia="Verdana" w:hAnsi="Verdana"/>
          <w:b/>
          <w:bCs/>
          <w:color w:val="0070C0"/>
          <w:szCs w:val="14"/>
          <w:lang w:val="pl-PL"/>
        </w:rPr>
      </w:pPr>
      <w:hyperlink r:id="rId19" w:anchor="{%22itemid%22:[%22003-1257413-1309773%22]}" w:history="1">
        <w:proofErr w:type="spellStart"/>
        <w:r w:rsidR="00F54B75" w:rsidRPr="00B339AC">
          <w:rPr>
            <w:rStyle w:val="Hipercze"/>
            <w:rFonts w:ascii="Verdana" w:eastAsia="Verdana" w:hAnsi="Verdana"/>
            <w:b/>
            <w:bCs/>
            <w:szCs w:val="14"/>
            <w:lang w:val="pl-PL"/>
          </w:rPr>
          <w:t>Partidul</w:t>
        </w:r>
        <w:proofErr w:type="spellEnd"/>
        <w:r w:rsidR="00F54B75" w:rsidRPr="00B339AC">
          <w:rPr>
            <w:rStyle w:val="Hipercze"/>
            <w:rFonts w:ascii="Verdana" w:eastAsia="Verdana" w:hAnsi="Verdana"/>
            <w:b/>
            <w:bCs/>
            <w:szCs w:val="14"/>
            <w:lang w:val="pl-PL"/>
          </w:rPr>
          <w:t xml:space="preserve"> </w:t>
        </w:r>
        <w:proofErr w:type="spellStart"/>
        <w:r w:rsidR="00F54B75" w:rsidRPr="00B339AC">
          <w:rPr>
            <w:rStyle w:val="Hipercze"/>
            <w:rFonts w:ascii="Verdana" w:eastAsia="Verdana" w:hAnsi="Verdana"/>
            <w:b/>
            <w:bCs/>
            <w:szCs w:val="14"/>
            <w:lang w:val="pl-PL"/>
          </w:rPr>
          <w:t>Comunistilor</w:t>
        </w:r>
        <w:proofErr w:type="spellEnd"/>
        <w:r w:rsidR="00F54B75" w:rsidRPr="00B339AC">
          <w:rPr>
            <w:rStyle w:val="Hipercze"/>
            <w:rFonts w:ascii="Verdana" w:eastAsia="Verdana" w:hAnsi="Verdana"/>
            <w:b/>
            <w:bCs/>
            <w:szCs w:val="14"/>
            <w:lang w:val="pl-PL"/>
          </w:rPr>
          <w:t xml:space="preserve"> (</w:t>
        </w:r>
        <w:proofErr w:type="spellStart"/>
        <w:r w:rsidR="00F54B75" w:rsidRPr="00B339AC">
          <w:rPr>
            <w:rStyle w:val="Hipercze"/>
            <w:rFonts w:ascii="Verdana" w:eastAsia="Verdana" w:hAnsi="Verdana"/>
            <w:b/>
            <w:bCs/>
            <w:szCs w:val="14"/>
            <w:lang w:val="pl-PL"/>
          </w:rPr>
          <w:t>Nepeceristi</w:t>
        </w:r>
        <w:proofErr w:type="spellEnd"/>
        <w:r w:rsidR="00F54B75" w:rsidRPr="00B339AC">
          <w:rPr>
            <w:rStyle w:val="Hipercze"/>
            <w:rFonts w:ascii="Verdana" w:eastAsia="Verdana" w:hAnsi="Verdana"/>
            <w:b/>
            <w:bCs/>
            <w:szCs w:val="14"/>
            <w:lang w:val="pl-PL"/>
          </w:rPr>
          <w:t xml:space="preserve">) and </w:t>
        </w:r>
        <w:proofErr w:type="spellStart"/>
        <w:r w:rsidR="00F54B75" w:rsidRPr="00B339AC">
          <w:rPr>
            <w:rStyle w:val="Hipercze"/>
            <w:rFonts w:ascii="Verdana" w:eastAsia="Verdana" w:hAnsi="Verdana"/>
            <w:b/>
            <w:bCs/>
            <w:szCs w:val="14"/>
            <w:lang w:val="pl-PL"/>
          </w:rPr>
          <w:t>Ungureanu</w:t>
        </w:r>
        <w:proofErr w:type="spellEnd"/>
        <w:r w:rsidR="00F54B75" w:rsidRPr="00B339AC">
          <w:rPr>
            <w:rStyle w:val="Hipercze"/>
            <w:rFonts w:ascii="Verdana" w:eastAsia="Verdana" w:hAnsi="Verdana"/>
            <w:b/>
            <w:bCs/>
            <w:szCs w:val="14"/>
            <w:lang w:val="pl-PL"/>
          </w:rPr>
          <w:t xml:space="preserve"> przeciwko Rumunii</w:t>
        </w:r>
      </w:hyperlink>
    </w:p>
    <w:p w14:paraId="387647F1" w14:textId="77777777" w:rsidR="00F54B75" w:rsidRPr="00F54B75" w:rsidRDefault="00F54B75" w:rsidP="00F54B75">
      <w:pPr>
        <w:ind w:left="119" w:right="839"/>
        <w:jc w:val="both"/>
        <w:rPr>
          <w:rFonts w:ascii="Verdana" w:eastAsia="Verdana" w:hAnsi="Verdana"/>
          <w:color w:val="808080" w:themeColor="background1" w:themeShade="80"/>
          <w:sz w:val="18"/>
          <w:szCs w:val="12"/>
          <w:lang w:val="pl-PL"/>
        </w:rPr>
      </w:pPr>
      <w:r w:rsidRPr="00F54B75">
        <w:rPr>
          <w:rFonts w:ascii="Verdana" w:eastAsia="Verdana" w:hAnsi="Verdana"/>
          <w:color w:val="808080" w:themeColor="background1" w:themeShade="80"/>
          <w:sz w:val="18"/>
          <w:szCs w:val="12"/>
          <w:lang w:val="pl-PL"/>
        </w:rPr>
        <w:t>3 lutego 2005 roku</w:t>
      </w:r>
    </w:p>
    <w:p w14:paraId="2CB2B641" w14:textId="77777777" w:rsidR="00F54B75" w:rsidRPr="00F54B75" w:rsidRDefault="00F54B75" w:rsidP="00F54B75">
      <w:pPr>
        <w:ind w:left="119" w:right="839"/>
        <w:jc w:val="both"/>
        <w:rPr>
          <w:rFonts w:ascii="Verdana" w:eastAsia="Verdana" w:hAnsi="Verdana"/>
          <w:szCs w:val="14"/>
          <w:lang w:val="pl-PL"/>
        </w:rPr>
      </w:pPr>
      <w:proofErr w:type="spellStart"/>
      <w:r w:rsidRPr="00F54B75">
        <w:rPr>
          <w:rFonts w:ascii="Verdana" w:eastAsia="Verdana" w:hAnsi="Verdana"/>
          <w:szCs w:val="14"/>
          <w:lang w:val="pl-PL"/>
        </w:rPr>
        <w:t>Partidul</w:t>
      </w:r>
      <w:proofErr w:type="spellEnd"/>
      <w:r w:rsidRPr="00F54B75">
        <w:rPr>
          <w:rFonts w:ascii="Verdana" w:eastAsia="Verdana" w:hAnsi="Verdana"/>
          <w:szCs w:val="14"/>
          <w:lang w:val="pl-PL"/>
        </w:rPr>
        <w:t xml:space="preserve"> </w:t>
      </w:r>
      <w:proofErr w:type="spellStart"/>
      <w:r w:rsidRPr="00F54B75">
        <w:rPr>
          <w:rFonts w:ascii="Verdana" w:eastAsia="Verdana" w:hAnsi="Verdana"/>
          <w:szCs w:val="14"/>
          <w:lang w:val="pl-PL"/>
        </w:rPr>
        <w:t>Comunistilor</w:t>
      </w:r>
      <w:proofErr w:type="spellEnd"/>
      <w:r w:rsidRPr="00F54B75">
        <w:rPr>
          <w:rFonts w:ascii="Verdana" w:eastAsia="Verdana" w:hAnsi="Verdana"/>
          <w:szCs w:val="14"/>
          <w:lang w:val="pl-PL"/>
        </w:rPr>
        <w:t xml:space="preserve"> (</w:t>
      </w:r>
      <w:proofErr w:type="spellStart"/>
      <w:r w:rsidRPr="00F54B75">
        <w:rPr>
          <w:rFonts w:ascii="Verdana" w:eastAsia="Verdana" w:hAnsi="Verdana"/>
          <w:szCs w:val="14"/>
          <w:lang w:val="pl-PL"/>
        </w:rPr>
        <w:t>Nepeceristi</w:t>
      </w:r>
      <w:proofErr w:type="spellEnd"/>
      <w:r w:rsidRPr="00F54B75">
        <w:rPr>
          <w:rFonts w:ascii="Verdana" w:eastAsia="Verdana" w:hAnsi="Verdana"/>
          <w:szCs w:val="14"/>
          <w:lang w:val="pl-PL"/>
        </w:rPr>
        <w:t>) „PCN" partia komunistów, którzy nie byli członkami Rumuńskiej Partii Komunistycznej, została założona w marcu 1996 roku. Rejestracji, jako partii politycznej, odmówiły jej sądy rumuńskie w orzeczeniach podtrzymanych w sierpniu 1996 roku, na tej podstawie że PCN dążyło do uzyskania władzy w celu ustanowienia „humanitarnego państwa" opartego na komunistycznej doktrynie, co oznaczało, że uznawała konstytucyjny i ustawowy porządek, który funkcjonuje od 1989 roku, jako niehumanitarny i nie oparty na prawdziwej demokracji.</w:t>
      </w:r>
    </w:p>
    <w:p w14:paraId="6F70DFD7" w14:textId="5F069CF3" w:rsidR="00F54B75" w:rsidRPr="00F54B75" w:rsidRDefault="00F54B75" w:rsidP="00F54B75">
      <w:pPr>
        <w:ind w:left="119" w:right="839"/>
        <w:jc w:val="both"/>
        <w:rPr>
          <w:rFonts w:ascii="Verdana" w:eastAsia="Verdana" w:hAnsi="Verdana"/>
          <w:color w:val="0070C0"/>
          <w:szCs w:val="14"/>
          <w:lang w:val="pl-PL"/>
        </w:rPr>
      </w:pPr>
      <w:r w:rsidRPr="00F54B75">
        <w:rPr>
          <w:rFonts w:ascii="Verdana" w:eastAsia="Verdana" w:hAnsi="Verdana"/>
          <w:color w:val="0070C0"/>
          <w:szCs w:val="14"/>
          <w:lang w:val="pl-PL"/>
        </w:rPr>
        <w:t xml:space="preserve">Trybunał stwierdził </w:t>
      </w:r>
      <w:r w:rsidRPr="00F54B75">
        <w:rPr>
          <w:rFonts w:ascii="Verdana" w:eastAsia="Verdana" w:hAnsi="Verdana"/>
          <w:b/>
          <w:bCs/>
          <w:color w:val="0070C0"/>
          <w:szCs w:val="14"/>
          <w:lang w:val="pl-PL"/>
        </w:rPr>
        <w:t>naruszenie Artykułu 11</w:t>
      </w:r>
      <w:r w:rsidRPr="00F54B75">
        <w:rPr>
          <w:rFonts w:ascii="Verdana" w:eastAsia="Verdana" w:hAnsi="Verdana"/>
          <w:color w:val="0070C0"/>
          <w:szCs w:val="14"/>
          <w:lang w:val="pl-PL"/>
        </w:rPr>
        <w:t xml:space="preserve"> Konwencji. Po przeanalizowaniu statutu i programu politycznego PCN - na podstawie których rumuńskie sądy oddaliły wniosek rejestracyjny - Trybunał odnotował, że podkreślały utrzymanie narodowej suwerenności, integralności terytorialnej, prawnego i konstytucyjnego porządku kraju i demokratycznych zasad włącznie z pluralizmem politycznym, powszechnymi prawami wyborczymi i wolnością uczestnictwa w życiu politycznym. Faktycznie, były w nich fragmenty krytykujące zarówno nadużycia poprzedniej Partii Komunistycznej przed 1989 rokiem, od której PCN się zdystansował, jak również systemu, który nastąpił później. Jednakże, Trybunał uznał, że usprawiedliwieniem dla ograniczania działalności ugrupowania politycznego, które zachowuje podstawowe zasady demokracji, nie może być wyłącznie krytyka konstytucyjnego i prawnego porządku państwa i dążenie do debaty publicznej na arenie politycznej. Rumuńskie doświadczenie totalitaryzmu komunistycznego sprzed 1989 roku nie może samo w sobie usprawiedliwiać naruszania wolności zrzeszania się.</w:t>
      </w:r>
    </w:p>
    <w:p w14:paraId="68CF32AF" w14:textId="77777777" w:rsidR="0076097F" w:rsidRDefault="0076097F" w:rsidP="0076097F">
      <w:pPr>
        <w:ind w:left="119" w:right="839"/>
        <w:jc w:val="both"/>
        <w:rPr>
          <w:rFonts w:ascii="Verdana" w:eastAsia="Verdana" w:hAnsi="Verdana"/>
          <w:szCs w:val="14"/>
          <w:lang w:val="pl-PL"/>
        </w:rPr>
      </w:pPr>
    </w:p>
    <w:p w14:paraId="6EA616E1" w14:textId="66F0963F" w:rsidR="00B339AC" w:rsidRPr="00B339AC" w:rsidRDefault="00B339AC" w:rsidP="00B339AC">
      <w:pPr>
        <w:ind w:left="119" w:right="839"/>
        <w:jc w:val="both"/>
        <w:rPr>
          <w:rFonts w:ascii="Verdana" w:eastAsia="Verdana" w:hAnsi="Verdana"/>
          <w:b/>
          <w:bCs/>
          <w:color w:val="0070C0"/>
          <w:szCs w:val="14"/>
          <w:lang w:val="pl-PL"/>
        </w:rPr>
      </w:pPr>
      <w:hyperlink r:id="rId20" w:anchor="{%22itemid%22:[%22003-2788701-3051349%22]}" w:history="1">
        <w:proofErr w:type="spellStart"/>
        <w:r w:rsidRPr="00B339AC">
          <w:rPr>
            <w:rStyle w:val="Hipercze"/>
            <w:rFonts w:ascii="Verdana" w:eastAsia="Verdana" w:hAnsi="Verdana"/>
            <w:b/>
            <w:bCs/>
            <w:szCs w:val="14"/>
            <w:lang w:val="pl-PL"/>
          </w:rPr>
          <w:t>Herri</w:t>
        </w:r>
        <w:proofErr w:type="spellEnd"/>
        <w:r w:rsidRPr="00B339AC">
          <w:rPr>
            <w:rStyle w:val="Hipercze"/>
            <w:rFonts w:ascii="Verdana" w:eastAsia="Verdana" w:hAnsi="Verdana"/>
            <w:b/>
            <w:bCs/>
            <w:szCs w:val="14"/>
            <w:lang w:val="pl-PL"/>
          </w:rPr>
          <w:t xml:space="preserve"> </w:t>
        </w:r>
        <w:proofErr w:type="spellStart"/>
        <w:r w:rsidRPr="00B339AC">
          <w:rPr>
            <w:rStyle w:val="Hipercze"/>
            <w:rFonts w:ascii="Verdana" w:eastAsia="Verdana" w:hAnsi="Verdana"/>
            <w:b/>
            <w:bCs/>
            <w:szCs w:val="14"/>
            <w:lang w:val="pl-PL"/>
          </w:rPr>
          <w:t>Batasuna</w:t>
        </w:r>
        <w:proofErr w:type="spellEnd"/>
        <w:r w:rsidRPr="00B339AC">
          <w:rPr>
            <w:rStyle w:val="Hipercze"/>
            <w:rFonts w:ascii="Verdana" w:eastAsia="Verdana" w:hAnsi="Verdana"/>
            <w:b/>
            <w:bCs/>
            <w:szCs w:val="14"/>
            <w:lang w:val="pl-PL"/>
          </w:rPr>
          <w:t xml:space="preserve"> and </w:t>
        </w:r>
        <w:proofErr w:type="spellStart"/>
        <w:r w:rsidRPr="00B339AC">
          <w:rPr>
            <w:rStyle w:val="Hipercze"/>
            <w:rFonts w:ascii="Verdana" w:eastAsia="Verdana" w:hAnsi="Verdana"/>
            <w:b/>
            <w:bCs/>
            <w:szCs w:val="14"/>
            <w:lang w:val="pl-PL"/>
          </w:rPr>
          <w:t>Batasuna</w:t>
        </w:r>
        <w:proofErr w:type="spellEnd"/>
        <w:r w:rsidRPr="00B339AC">
          <w:rPr>
            <w:rStyle w:val="Hipercze"/>
            <w:rFonts w:ascii="Verdana" w:eastAsia="Verdana" w:hAnsi="Verdana"/>
            <w:b/>
            <w:bCs/>
            <w:szCs w:val="14"/>
            <w:lang w:val="pl-PL"/>
          </w:rPr>
          <w:t xml:space="preserve"> przeciwko Hiszpanii</w:t>
        </w:r>
      </w:hyperlink>
    </w:p>
    <w:p w14:paraId="74C8B02B" w14:textId="77777777" w:rsidR="00B339AC" w:rsidRPr="00B339AC" w:rsidRDefault="00B339AC" w:rsidP="00B339AC">
      <w:pPr>
        <w:ind w:left="119" w:right="839"/>
        <w:jc w:val="both"/>
        <w:rPr>
          <w:rFonts w:ascii="Verdana" w:eastAsia="Verdana" w:hAnsi="Verdana"/>
          <w:color w:val="808080" w:themeColor="background1" w:themeShade="80"/>
          <w:sz w:val="18"/>
          <w:szCs w:val="12"/>
          <w:lang w:val="pl-PL"/>
        </w:rPr>
      </w:pPr>
      <w:r w:rsidRPr="00B339AC">
        <w:rPr>
          <w:rFonts w:ascii="Verdana" w:eastAsia="Verdana" w:hAnsi="Verdana"/>
          <w:color w:val="808080" w:themeColor="background1" w:themeShade="80"/>
          <w:sz w:val="18"/>
          <w:szCs w:val="12"/>
          <w:lang w:val="pl-PL"/>
        </w:rPr>
        <w:t>30 czerwca 2009 roku</w:t>
      </w:r>
    </w:p>
    <w:p w14:paraId="521B5A54" w14:textId="77777777" w:rsidR="00B339AC" w:rsidRPr="00B339AC" w:rsidRDefault="00B339AC" w:rsidP="00B339AC">
      <w:pPr>
        <w:ind w:left="119" w:right="839"/>
        <w:jc w:val="both"/>
        <w:rPr>
          <w:rFonts w:ascii="Verdana" w:eastAsia="Verdana" w:hAnsi="Verdana"/>
          <w:szCs w:val="14"/>
          <w:lang w:val="pl-PL"/>
        </w:rPr>
      </w:pPr>
      <w:r w:rsidRPr="00B339AC">
        <w:rPr>
          <w:rFonts w:ascii="Verdana" w:eastAsia="Verdana" w:hAnsi="Verdana"/>
          <w:szCs w:val="14"/>
          <w:lang w:val="pl-PL"/>
        </w:rPr>
        <w:t xml:space="preserve">Działająca wcześniej jako koalicja wyborcza </w:t>
      </w:r>
      <w:proofErr w:type="spellStart"/>
      <w:r w:rsidRPr="00B339AC">
        <w:rPr>
          <w:rFonts w:ascii="Verdana" w:eastAsia="Verdana" w:hAnsi="Verdana"/>
          <w:szCs w:val="14"/>
          <w:lang w:val="pl-PL"/>
        </w:rPr>
        <w:t>Herri</w:t>
      </w:r>
      <w:proofErr w:type="spellEnd"/>
      <w:r w:rsidRPr="00B339AC">
        <w:rPr>
          <w:rFonts w:ascii="Verdana" w:eastAsia="Verdana" w:hAnsi="Verdana"/>
          <w:szCs w:val="14"/>
          <w:lang w:val="pl-PL"/>
        </w:rPr>
        <w:t xml:space="preserve"> </w:t>
      </w:r>
      <w:proofErr w:type="spellStart"/>
      <w:r w:rsidRPr="00B339AC">
        <w:rPr>
          <w:rFonts w:ascii="Verdana" w:eastAsia="Verdana" w:hAnsi="Verdana"/>
          <w:szCs w:val="14"/>
          <w:lang w:val="pl-PL"/>
        </w:rPr>
        <w:t>Batasuna</w:t>
      </w:r>
      <w:proofErr w:type="spellEnd"/>
      <w:r w:rsidRPr="00B339AC">
        <w:rPr>
          <w:rFonts w:ascii="Verdana" w:eastAsia="Verdana" w:hAnsi="Verdana"/>
          <w:szCs w:val="14"/>
          <w:lang w:val="pl-PL"/>
        </w:rPr>
        <w:t xml:space="preserve"> została zarejestrowana jako partia polityczna w czerwcu 1986 roku, a </w:t>
      </w:r>
      <w:proofErr w:type="spellStart"/>
      <w:r w:rsidRPr="00B339AC">
        <w:rPr>
          <w:rFonts w:ascii="Verdana" w:eastAsia="Verdana" w:hAnsi="Verdana"/>
          <w:szCs w:val="14"/>
          <w:lang w:val="pl-PL"/>
        </w:rPr>
        <w:t>Batasuna</w:t>
      </w:r>
      <w:proofErr w:type="spellEnd"/>
      <w:r w:rsidRPr="00B339AC">
        <w:rPr>
          <w:rFonts w:ascii="Verdana" w:eastAsia="Verdana" w:hAnsi="Verdana"/>
          <w:szCs w:val="14"/>
          <w:lang w:val="pl-PL"/>
        </w:rPr>
        <w:t xml:space="preserve"> dążyła do rejestracji jako partia polityczna w maju 2001 roku. W marcu 2003 roku hiszpański Sąd Najwyższy uznał obie partie za nielegalne, postanowił o ich rozwiązaniu i likwidacji ich majątku. Odniósł się do ustawy z 2002 roku o partiach politycznych, uznając że partie te były częścią „terrorystycznej strategii 'taktycznej separacji' i że istnieją istotne podobieństwa pomiędzy nimi, a organizacją terrorystyczną ETA.</w:t>
      </w:r>
    </w:p>
    <w:p w14:paraId="6C029CA7" w14:textId="0E86C9D1" w:rsidR="00B339AC" w:rsidRPr="00B339AC" w:rsidRDefault="00B339AC" w:rsidP="00B339AC">
      <w:pPr>
        <w:ind w:left="119" w:right="839"/>
        <w:jc w:val="both"/>
        <w:rPr>
          <w:rFonts w:ascii="Verdana" w:eastAsia="Verdana" w:hAnsi="Verdana"/>
          <w:color w:val="0070C0"/>
          <w:szCs w:val="14"/>
          <w:lang w:val="pl-PL"/>
        </w:rPr>
      </w:pPr>
      <w:r w:rsidRPr="00B339AC">
        <w:rPr>
          <w:rFonts w:ascii="Verdana" w:eastAsia="Verdana" w:hAnsi="Verdana"/>
          <w:color w:val="0070C0"/>
          <w:szCs w:val="14"/>
          <w:lang w:val="pl-PL"/>
        </w:rPr>
        <w:t>Trybunał stwierdził, że nie doszło do naruszenia Artykułu 11 Konwencji. Postanowił, w szczególności, że hiszpańskie sądy, po szczegółowej analizie przedstawionego materiału dowodowego, doszły do rozsądnego wniosku, że istnieje powiązanie pomiędzy partiami - wnioskodawcami i ETA. W obliczu sytuacji, która istnieje w Hiszpanii od wielu lat, w odniesieniu do terrorystycznych ataków, te powiązani mogą być obiektywnie uznane jako zagrożenie dla demokracji.</w:t>
      </w:r>
    </w:p>
    <w:p w14:paraId="5B395DCF" w14:textId="77777777" w:rsidR="0076097F" w:rsidRDefault="0076097F" w:rsidP="0076097F">
      <w:pPr>
        <w:ind w:left="119" w:right="839"/>
        <w:jc w:val="both"/>
        <w:rPr>
          <w:rFonts w:ascii="Verdana" w:eastAsia="Verdana" w:hAnsi="Verdana"/>
          <w:szCs w:val="14"/>
          <w:lang w:val="pl-PL"/>
        </w:rPr>
      </w:pPr>
    </w:p>
    <w:p w14:paraId="29F7132F" w14:textId="77D8E570" w:rsidR="00B339AC" w:rsidRPr="00B339AC" w:rsidRDefault="00B339AC" w:rsidP="00B339AC">
      <w:pPr>
        <w:ind w:left="119" w:right="839"/>
        <w:jc w:val="both"/>
        <w:rPr>
          <w:rFonts w:ascii="Verdana" w:eastAsia="Verdana" w:hAnsi="Verdana"/>
          <w:b/>
          <w:bCs/>
          <w:color w:val="0070C0"/>
          <w:szCs w:val="14"/>
          <w:lang w:val="pl-PL"/>
        </w:rPr>
      </w:pPr>
      <w:hyperlink r:id="rId21" w:history="1">
        <w:r w:rsidRPr="00B339AC">
          <w:rPr>
            <w:rStyle w:val="Hipercze"/>
            <w:rFonts w:ascii="Verdana" w:eastAsia="Verdana" w:hAnsi="Verdana"/>
            <w:b/>
            <w:bCs/>
            <w:szCs w:val="14"/>
            <w:lang w:val="pl-PL"/>
          </w:rPr>
          <w:t xml:space="preserve">HADEP i </w:t>
        </w:r>
        <w:proofErr w:type="spellStart"/>
        <w:r w:rsidRPr="00B339AC">
          <w:rPr>
            <w:rStyle w:val="Hipercze"/>
            <w:rFonts w:ascii="Verdana" w:eastAsia="Verdana" w:hAnsi="Verdana"/>
            <w:b/>
            <w:bCs/>
            <w:szCs w:val="14"/>
            <w:lang w:val="pl-PL"/>
          </w:rPr>
          <w:t>Demir</w:t>
        </w:r>
        <w:proofErr w:type="spellEnd"/>
        <w:r w:rsidRPr="00B339AC">
          <w:rPr>
            <w:rStyle w:val="Hipercze"/>
            <w:rFonts w:ascii="Verdana" w:eastAsia="Verdana" w:hAnsi="Verdana"/>
            <w:b/>
            <w:bCs/>
            <w:szCs w:val="14"/>
            <w:lang w:val="pl-PL"/>
          </w:rPr>
          <w:t xml:space="preserve"> przeciwko Turcji</w:t>
        </w:r>
      </w:hyperlink>
    </w:p>
    <w:p w14:paraId="06A7A8DA" w14:textId="77777777" w:rsidR="00B339AC" w:rsidRPr="00B339AC" w:rsidRDefault="00B339AC" w:rsidP="00B339AC">
      <w:pPr>
        <w:ind w:left="119" w:right="839"/>
        <w:jc w:val="both"/>
        <w:rPr>
          <w:rFonts w:ascii="Verdana" w:eastAsia="Verdana" w:hAnsi="Verdana"/>
          <w:color w:val="808080" w:themeColor="background1" w:themeShade="80"/>
          <w:sz w:val="18"/>
          <w:szCs w:val="12"/>
          <w:lang w:val="pl-PL"/>
        </w:rPr>
      </w:pPr>
      <w:r w:rsidRPr="00B339AC">
        <w:rPr>
          <w:rFonts w:ascii="Verdana" w:eastAsia="Verdana" w:hAnsi="Verdana"/>
          <w:color w:val="808080" w:themeColor="background1" w:themeShade="80"/>
          <w:sz w:val="18"/>
          <w:szCs w:val="12"/>
          <w:lang w:val="pl-PL"/>
        </w:rPr>
        <w:t>14 grudnia 2010 roku</w:t>
      </w:r>
    </w:p>
    <w:p w14:paraId="69055E34" w14:textId="77777777" w:rsidR="00B339AC" w:rsidRPr="00B339AC" w:rsidRDefault="00B339AC" w:rsidP="00B339AC">
      <w:pPr>
        <w:ind w:left="119" w:right="839"/>
        <w:jc w:val="both"/>
        <w:rPr>
          <w:rFonts w:ascii="Verdana" w:eastAsia="Verdana" w:hAnsi="Verdana"/>
          <w:szCs w:val="14"/>
          <w:lang w:val="pl-PL"/>
        </w:rPr>
      </w:pPr>
      <w:r w:rsidRPr="00B339AC">
        <w:rPr>
          <w:rFonts w:ascii="Verdana" w:eastAsia="Verdana" w:hAnsi="Verdana"/>
          <w:szCs w:val="14"/>
          <w:lang w:val="pl-PL"/>
        </w:rPr>
        <w:t>Partia Ludowo Demokratyczna „HADEP", mniejsza z partii opozycyjnych, została założona w maju 1994 roku. Według jej programu politycznego, opowiada się za „demokratycznym rozwiązaniem kwestii Kurdów". HADEP zastała rozwiązana w 2003 roku decyzją tureckiego Trybunału Konstytucyjnego, uznającego że partia stała się ośrodkiem nielegalnej działalności, włączając w to wspieranie i podżeganie nielegalnej Partii Pracujących Kurdystanu (PKK). Trybunał Konstytucyjny następnie zakazał licznym członkom HADEP zakładania lub uczestniczenia w innych partiach politycznych przez pięć lat.</w:t>
      </w:r>
    </w:p>
    <w:p w14:paraId="5BD0C206" w14:textId="62255934" w:rsidR="0076097F" w:rsidRPr="00B339AC" w:rsidRDefault="00B339AC" w:rsidP="00B339AC">
      <w:pPr>
        <w:ind w:left="119" w:right="839"/>
        <w:jc w:val="both"/>
        <w:rPr>
          <w:rFonts w:ascii="Verdana" w:eastAsia="Verdana" w:hAnsi="Verdana"/>
          <w:color w:val="0070C0"/>
          <w:szCs w:val="14"/>
          <w:lang w:val="pl-PL"/>
        </w:rPr>
      </w:pPr>
      <w:r w:rsidRPr="00B339AC">
        <w:rPr>
          <w:rFonts w:ascii="Verdana" w:eastAsia="Verdana" w:hAnsi="Verdana"/>
          <w:color w:val="0070C0"/>
          <w:szCs w:val="14"/>
          <w:lang w:val="pl-PL"/>
        </w:rPr>
        <w:lastRenderedPageBreak/>
        <w:t xml:space="preserve">Trybunał stwierdził </w:t>
      </w:r>
      <w:r w:rsidRPr="00B339AC">
        <w:rPr>
          <w:rFonts w:ascii="Verdana" w:eastAsia="Verdana" w:hAnsi="Verdana"/>
          <w:b/>
          <w:bCs/>
          <w:color w:val="0070C0"/>
          <w:szCs w:val="14"/>
          <w:lang w:val="pl-PL"/>
        </w:rPr>
        <w:t>naruszenie Artykułu 11</w:t>
      </w:r>
      <w:r w:rsidRPr="00B339AC">
        <w:rPr>
          <w:rFonts w:ascii="Verdana" w:eastAsia="Verdana" w:hAnsi="Verdana"/>
          <w:color w:val="0070C0"/>
          <w:szCs w:val="14"/>
          <w:lang w:val="pl-PL"/>
        </w:rPr>
        <w:t xml:space="preserve"> Konwencji. Ustalił, że niektóre oświadczenia wydane przez członków partii - określających akcje tureckich oddziałów bezpieczeństwa w południowo-wschodniej Turcji w walce z terroryzmem, jako „brudną wojnę" - do których odniósł się turecki sąd uznając HADEP winnymi wspierania i podżegania PKK, były ostrą krytyką polityki rządu, jednak nie zachęcały do agresji, zbrojnego oporu lub powstania. Te wypowiedzi nie mogą więc, same w sobie, stanowić wystarczającego powodu dla utożsamienia partii z uzbrojonymi grupami podejmującymi akty agresji. Europejski Trybunał uznał następnie, w szczególności, że stwierdzenia członków HADEP, którzy uznali kurdyjski naród jako oddzielny od narodu tureckiego, powinny być odczytywane w świetle celów partii ustalonych w programie, czyli że te problemy powinny być rozwiązane w demokratyczny sposób. Nawet jeśli HADEP</w:t>
      </w:r>
      <w:r w:rsidRPr="00B339AC">
        <w:rPr>
          <w:rFonts w:ascii="Verdana" w:eastAsia="Verdana" w:hAnsi="Verdana"/>
          <w:color w:val="0070C0"/>
          <w:szCs w:val="14"/>
          <w:lang w:val="pl-PL"/>
        </w:rPr>
        <w:t xml:space="preserve"> </w:t>
      </w:r>
      <w:r w:rsidRPr="00B339AC">
        <w:rPr>
          <w:rFonts w:ascii="Verdana" w:eastAsia="Verdana" w:hAnsi="Verdana"/>
          <w:color w:val="0070C0"/>
          <w:szCs w:val="14"/>
          <w:lang w:val="pl-PL"/>
        </w:rPr>
        <w:t>opowiada się za prawem do samostanowienia Kurdów, to nie jest to sprzeczne z demokratycznymi zasadami i nie może być utożsamiane z wspieraniem aktów terroryzmu.</w:t>
      </w:r>
    </w:p>
    <w:p w14:paraId="716EB84A" w14:textId="77777777" w:rsidR="0076097F" w:rsidRDefault="0076097F" w:rsidP="0076097F">
      <w:pPr>
        <w:ind w:left="119" w:right="839"/>
        <w:jc w:val="both"/>
        <w:rPr>
          <w:rFonts w:ascii="Verdana" w:eastAsia="Verdana" w:hAnsi="Verdana"/>
          <w:szCs w:val="14"/>
          <w:lang w:val="pl-PL"/>
        </w:rPr>
      </w:pPr>
    </w:p>
    <w:p w14:paraId="45EC79BD" w14:textId="337A3D6C" w:rsidR="00B339AC" w:rsidRPr="00B339AC" w:rsidRDefault="00B339AC" w:rsidP="00B339AC">
      <w:pPr>
        <w:ind w:left="119" w:right="839"/>
        <w:jc w:val="both"/>
        <w:rPr>
          <w:rFonts w:ascii="Verdana" w:eastAsia="Verdana" w:hAnsi="Verdana"/>
          <w:b/>
          <w:bCs/>
          <w:color w:val="0070C0"/>
          <w:szCs w:val="14"/>
          <w:lang w:val="pl-PL"/>
        </w:rPr>
      </w:pPr>
      <w:hyperlink r:id="rId22" w:history="1">
        <w:r w:rsidRPr="00B339AC">
          <w:rPr>
            <w:rStyle w:val="Hipercze"/>
            <w:rFonts w:ascii="Verdana" w:eastAsia="Verdana" w:hAnsi="Verdana"/>
            <w:b/>
            <w:bCs/>
            <w:szCs w:val="14"/>
            <w:lang w:val="pl-PL"/>
          </w:rPr>
          <w:t>Partia Republikańska Rosji przeciwko Rosji</w:t>
        </w:r>
      </w:hyperlink>
    </w:p>
    <w:p w14:paraId="1C071344" w14:textId="77777777" w:rsidR="00B339AC" w:rsidRPr="00B339AC" w:rsidRDefault="00B339AC" w:rsidP="00B339AC">
      <w:pPr>
        <w:ind w:left="119" w:right="839"/>
        <w:jc w:val="both"/>
        <w:rPr>
          <w:rFonts w:ascii="Verdana" w:eastAsia="Verdana" w:hAnsi="Verdana"/>
          <w:color w:val="808080" w:themeColor="background1" w:themeShade="80"/>
          <w:sz w:val="18"/>
          <w:szCs w:val="12"/>
          <w:lang w:val="pl-PL"/>
        </w:rPr>
      </w:pPr>
      <w:r w:rsidRPr="00B339AC">
        <w:rPr>
          <w:rFonts w:ascii="Verdana" w:eastAsia="Verdana" w:hAnsi="Verdana"/>
          <w:color w:val="808080" w:themeColor="background1" w:themeShade="80"/>
          <w:sz w:val="18"/>
          <w:szCs w:val="12"/>
          <w:lang w:val="pl-PL"/>
        </w:rPr>
        <w:t>12 kwietnia 2011 roku</w:t>
      </w:r>
    </w:p>
    <w:p w14:paraId="567AD5BE" w14:textId="77777777" w:rsidR="00B339AC" w:rsidRPr="00B339AC" w:rsidRDefault="00B339AC" w:rsidP="00B339AC">
      <w:pPr>
        <w:ind w:left="119" w:right="839"/>
        <w:jc w:val="both"/>
        <w:rPr>
          <w:rFonts w:ascii="Verdana" w:eastAsia="Verdana" w:hAnsi="Verdana"/>
          <w:szCs w:val="14"/>
          <w:lang w:val="pl-PL"/>
        </w:rPr>
      </w:pPr>
      <w:r w:rsidRPr="00B339AC">
        <w:rPr>
          <w:rFonts w:ascii="Verdana" w:eastAsia="Verdana" w:hAnsi="Verdana"/>
          <w:szCs w:val="14"/>
          <w:lang w:val="pl-PL"/>
        </w:rPr>
        <w:t>Partia skarżąca została utworzona w 1990 r. W wyniku konsolidacji Demokratycznego Skrzydła Komunistycznej Partii ZSRR i późniejszego odłączenia od tej partii. W sierpniu 2002 r. została zarejestrowana jako partia przez Ministerstwo Sprawiedliwości Federacji Rosyjskiej. Przed Trybunałem partia skarżąca podniosła zarzut, że w 2006 r. Ministerstwo Sprawiedliwości odmówiło zmiany informacji na jej temat zawartych w krajowym rejestrze osób prawnych, co rzekomo zakłóciło jej działalność, oraz że została ona rozwiązana w 2007 r. z powodu nieprzestrzegania wymogów dotyczących minimalnego członkostwa i reprezentacji regionalnej.</w:t>
      </w:r>
    </w:p>
    <w:p w14:paraId="1CA1E980" w14:textId="4166C326" w:rsidR="0076097F" w:rsidRDefault="00B339AC" w:rsidP="00B339AC">
      <w:pPr>
        <w:ind w:left="119" w:right="839"/>
        <w:jc w:val="both"/>
        <w:rPr>
          <w:rFonts w:ascii="Verdana" w:eastAsia="Verdana" w:hAnsi="Verdana"/>
          <w:color w:val="0070C0"/>
          <w:szCs w:val="14"/>
          <w:lang w:val="pl-PL"/>
        </w:rPr>
      </w:pPr>
      <w:r w:rsidRPr="00B339AC">
        <w:rPr>
          <w:rFonts w:ascii="Verdana" w:eastAsia="Verdana" w:hAnsi="Verdana"/>
          <w:color w:val="0070C0"/>
          <w:szCs w:val="14"/>
          <w:lang w:val="pl-PL"/>
        </w:rPr>
        <w:t xml:space="preserve">Trybunał orzekł, że </w:t>
      </w:r>
      <w:r w:rsidRPr="00B339AC">
        <w:rPr>
          <w:rFonts w:ascii="Verdana" w:eastAsia="Verdana" w:hAnsi="Verdana"/>
          <w:b/>
          <w:bCs/>
          <w:color w:val="0070C0"/>
          <w:szCs w:val="14"/>
          <w:lang w:val="pl-PL"/>
        </w:rPr>
        <w:t>doszło do naruszenia Artykułu 11</w:t>
      </w:r>
      <w:r w:rsidRPr="00B339AC">
        <w:rPr>
          <w:rFonts w:ascii="Verdana" w:eastAsia="Verdana" w:hAnsi="Verdana"/>
          <w:color w:val="0070C0"/>
          <w:szCs w:val="14"/>
          <w:lang w:val="pl-PL"/>
        </w:rPr>
        <w:t xml:space="preserve"> Konwencji z powodu zarówno odmowy przez władze zmiany informacji o stronie składającej wniosek w rejestrze państwa, jak i o rozwiązaniu partii. W odniesieniu do tego ostatniego Trybunał stwierdził, że sądy rosyjskie nie przedstawiły odpowiednich i wystarczających powodów uzasadniających ingerencję w prawo partii skarżącej do wolności zrzeszania się i rozwiązanie partii z powodu nieprzestrzegania wymogów minimalnego członkostwa i reprezentacji regionalnej było nieproporcjonalne do uzasadnionych celów przytoczonych przez rosyjski rząd. W szczególności, zdaniem Trybunału, istnieją środki ochrony rosyjskich praw, instytucji i bezpieczeństwa narodowego inne niż ogólny zakaz zakładania partii regionalnych. Ponadto strona wnioskująca, która istniała i uczestniczyła w wyborach od 1990 r., nigdy nie opowiadała się za interesami regionalnymi ani poglądami separatystycznymi, w rzeczywistości jednym z jej celów była promocja jedności kraju.</w:t>
      </w:r>
    </w:p>
    <w:p w14:paraId="6C8B2766" w14:textId="77777777" w:rsidR="00B339AC" w:rsidRDefault="00B339AC" w:rsidP="00B339AC">
      <w:pPr>
        <w:ind w:left="119" w:right="839"/>
        <w:jc w:val="both"/>
        <w:rPr>
          <w:rFonts w:ascii="Verdana" w:eastAsia="Verdana" w:hAnsi="Verdana"/>
          <w:color w:val="0070C0"/>
          <w:szCs w:val="14"/>
          <w:lang w:val="pl-PL"/>
        </w:rPr>
      </w:pPr>
    </w:p>
    <w:p w14:paraId="0F4D3D9A" w14:textId="50A31EAB" w:rsidR="0006075C" w:rsidRPr="0006075C" w:rsidRDefault="0006075C" w:rsidP="0006075C">
      <w:pPr>
        <w:ind w:left="119" w:right="839"/>
        <w:jc w:val="both"/>
        <w:rPr>
          <w:rFonts w:ascii="Verdana" w:eastAsia="Verdana" w:hAnsi="Verdana"/>
          <w:b/>
          <w:bCs/>
          <w:color w:val="0070C0"/>
          <w:szCs w:val="14"/>
          <w:lang w:val="pl-PL"/>
        </w:rPr>
      </w:pPr>
      <w:hyperlink r:id="rId23" w:history="1">
        <w:proofErr w:type="spellStart"/>
        <w:r w:rsidRPr="0006075C">
          <w:rPr>
            <w:rStyle w:val="Hipercze"/>
            <w:rFonts w:ascii="Verdana" w:eastAsia="Verdana" w:hAnsi="Verdana"/>
            <w:b/>
            <w:bCs/>
            <w:szCs w:val="14"/>
            <w:lang w:val="pl-PL"/>
          </w:rPr>
          <w:t>Vona</w:t>
        </w:r>
        <w:proofErr w:type="spellEnd"/>
        <w:r w:rsidRPr="0006075C">
          <w:rPr>
            <w:rStyle w:val="Hipercze"/>
            <w:rFonts w:ascii="Verdana" w:eastAsia="Verdana" w:hAnsi="Verdana"/>
            <w:b/>
            <w:bCs/>
            <w:szCs w:val="14"/>
            <w:lang w:val="pl-PL"/>
          </w:rPr>
          <w:t xml:space="preserve"> przeciwko Węgrom</w:t>
        </w:r>
      </w:hyperlink>
    </w:p>
    <w:p w14:paraId="2140E9AE" w14:textId="77777777" w:rsidR="0006075C" w:rsidRPr="0006075C" w:rsidRDefault="0006075C" w:rsidP="0006075C">
      <w:pPr>
        <w:ind w:left="119" w:right="839"/>
        <w:jc w:val="both"/>
        <w:rPr>
          <w:rFonts w:ascii="Verdana" w:eastAsia="Verdana" w:hAnsi="Verdana"/>
          <w:color w:val="0070C0"/>
          <w:szCs w:val="14"/>
          <w:lang w:val="pl-PL"/>
        </w:rPr>
      </w:pPr>
      <w:r w:rsidRPr="0006075C">
        <w:rPr>
          <w:rFonts w:ascii="Verdana" w:eastAsia="Verdana" w:hAnsi="Verdana"/>
          <w:color w:val="808080" w:themeColor="background1" w:themeShade="80"/>
          <w:sz w:val="18"/>
          <w:szCs w:val="12"/>
          <w:lang w:val="pl-PL"/>
        </w:rPr>
        <w:t>9 lipca 2013 r.</w:t>
      </w:r>
    </w:p>
    <w:p w14:paraId="52517C8B" w14:textId="77777777" w:rsidR="0006075C" w:rsidRPr="0006075C" w:rsidRDefault="0006075C" w:rsidP="0006075C">
      <w:pPr>
        <w:ind w:left="119" w:right="839"/>
        <w:jc w:val="both"/>
        <w:rPr>
          <w:rFonts w:ascii="Verdana" w:eastAsia="Verdana" w:hAnsi="Verdana"/>
          <w:szCs w:val="14"/>
          <w:lang w:val="pl-PL"/>
        </w:rPr>
      </w:pPr>
      <w:r w:rsidRPr="0006075C">
        <w:rPr>
          <w:rFonts w:ascii="Verdana" w:eastAsia="Verdana" w:hAnsi="Verdana"/>
          <w:szCs w:val="14"/>
          <w:lang w:val="pl-PL"/>
        </w:rPr>
        <w:t>Skarżący był przewodniczącym Stowarzyszenia Węgierskiej Gwardii, założonego w 2007 r. przez członków partii politycznej o nazwie Ruch na rzecz Lepszych Węgier, której celem było zachowanie węgierskich tradycji i kultury. Stowarzyszenie z kolei założyło Ruch Węgierskiej Gwardii, którego celem, jak określono w statucie, była „obrona Węgier, bezbronnych fizycznie, duchowo i intelektualnie”. W wyroku sądowym ostatecznie utrzymanym w mocy w grudniu 2009 r. stowarzyszenie zostało rozwiązane z powodu wieców i demonstracji organizowanych przez ruch na całych Węgrzech, w tym w wioskach o dużej populacji romskiej, wzywających do obrony etnicznych Węgrów przed tak zwaną przestępczością cygańską.</w:t>
      </w:r>
    </w:p>
    <w:p w14:paraId="30B0CE3B" w14:textId="0D6E7E63" w:rsidR="00B339AC" w:rsidRDefault="0006075C" w:rsidP="0006075C">
      <w:pPr>
        <w:ind w:left="119" w:right="839"/>
        <w:jc w:val="both"/>
        <w:rPr>
          <w:rFonts w:ascii="Verdana" w:eastAsia="Verdana" w:hAnsi="Verdana"/>
          <w:color w:val="0070C0"/>
          <w:szCs w:val="14"/>
          <w:lang w:val="pl-PL"/>
        </w:rPr>
      </w:pPr>
      <w:r w:rsidRPr="0006075C">
        <w:rPr>
          <w:rFonts w:ascii="Verdana" w:eastAsia="Verdana" w:hAnsi="Verdana"/>
          <w:color w:val="0070C0"/>
          <w:szCs w:val="14"/>
          <w:lang w:val="pl-PL"/>
        </w:rPr>
        <w:t>Trybunał nie stwierdził naruszenia art. 11 Konwencji. Trybunał przypomniał, że podobnie jak w przypadku partii politycznych, państwo było uprawnione do podjęcia środków zapobiegawczych w celu ochrony demokracji przed stowarzyszeniami, jeżeli wystarczająco bezpośrednie zagrożenie dla praw innych osób podważało podstawowe wartości, na których opiera się demokratyczne społeczeństwo. Ruch stworzony przez Stowarzyszenie Węgierskiej Gwardii doprowadził do demonstracji przekazujących przesłanie podziału rasowego, które, przypominając węgierski ruch nazistowski (</w:t>
      </w:r>
      <w:proofErr w:type="spellStart"/>
      <w:r w:rsidRPr="0006075C">
        <w:rPr>
          <w:rFonts w:ascii="Verdana" w:eastAsia="Verdana" w:hAnsi="Verdana"/>
          <w:color w:val="0070C0"/>
          <w:szCs w:val="14"/>
          <w:lang w:val="pl-PL"/>
        </w:rPr>
        <w:t>Strzałokrzyż</w:t>
      </w:r>
      <w:proofErr w:type="spellEnd"/>
      <w:r w:rsidRPr="0006075C">
        <w:rPr>
          <w:rFonts w:ascii="Verdana" w:eastAsia="Verdana" w:hAnsi="Verdana"/>
          <w:color w:val="0070C0"/>
          <w:szCs w:val="14"/>
          <w:lang w:val="pl-PL"/>
        </w:rPr>
        <w:t>), miało zastraszający wpływ na mniejszość romską.</w:t>
      </w:r>
      <w:r w:rsidRPr="0006075C">
        <w:t xml:space="preserve"> </w:t>
      </w:r>
      <w:r w:rsidRPr="0006075C">
        <w:rPr>
          <w:rFonts w:ascii="Verdana" w:eastAsia="Verdana" w:hAnsi="Verdana"/>
          <w:color w:val="0070C0"/>
          <w:szCs w:val="14"/>
          <w:lang w:val="pl-PL"/>
        </w:rPr>
        <w:t xml:space="preserve">Takie marsze </w:t>
      </w:r>
      <w:r w:rsidRPr="0006075C">
        <w:rPr>
          <w:rFonts w:ascii="Verdana" w:eastAsia="Verdana" w:hAnsi="Verdana"/>
          <w:color w:val="0070C0"/>
          <w:szCs w:val="14"/>
          <w:lang w:val="pl-PL"/>
        </w:rPr>
        <w:lastRenderedPageBreak/>
        <w:t>paramilitarne wykraczały poza zwykłe wyrażenie niepokojącej lub obraźliwej idei, która była chroniona na mocy Konwencji, biorąc pod uwagę fizyczną obecność groźnej grupy zorganizowanych aktywistów. Dlatego jedynym sposobem na skuteczne wyeliminowanie zagrożenia stwarzanego przez ruch było usunięcie wsparcia organizacyjnego zapewnianego przez stowarzyszenie.</w:t>
      </w:r>
    </w:p>
    <w:p w14:paraId="4FC4363C" w14:textId="77777777" w:rsidR="0006075C" w:rsidRDefault="0006075C" w:rsidP="0006075C">
      <w:pPr>
        <w:ind w:left="119" w:right="839"/>
        <w:jc w:val="both"/>
        <w:rPr>
          <w:rFonts w:ascii="Verdana" w:eastAsia="Verdana" w:hAnsi="Verdana"/>
          <w:color w:val="0070C0"/>
          <w:szCs w:val="14"/>
          <w:lang w:val="pl-PL"/>
        </w:rPr>
      </w:pPr>
    </w:p>
    <w:p w14:paraId="60CD3C2A" w14:textId="29633BB5" w:rsidR="0006075C" w:rsidRPr="0006075C" w:rsidRDefault="0006075C" w:rsidP="0006075C">
      <w:pPr>
        <w:ind w:left="119" w:right="839"/>
        <w:jc w:val="both"/>
        <w:rPr>
          <w:rFonts w:ascii="Verdana" w:eastAsia="Verdana" w:hAnsi="Verdana"/>
          <w:b/>
          <w:bCs/>
          <w:color w:val="0070C0"/>
          <w:szCs w:val="14"/>
          <w:lang w:val="pl-PL"/>
        </w:rPr>
      </w:pPr>
      <w:hyperlink r:id="rId24" w:anchor="{%22itemid%22:[%22003-5268468-6546236%22]}" w:history="1">
        <w:r w:rsidRPr="0006075C">
          <w:rPr>
            <w:rStyle w:val="Hipercze"/>
            <w:rFonts w:ascii="Verdana" w:eastAsia="Verdana" w:hAnsi="Verdana"/>
            <w:b/>
            <w:bCs/>
            <w:szCs w:val="14"/>
            <w:lang w:val="pl-PL"/>
          </w:rPr>
          <w:t>Partia dla Towarzystwa Demokratycznego (DTP) i Inni przeciwko Turcji</w:t>
        </w:r>
      </w:hyperlink>
    </w:p>
    <w:p w14:paraId="3C89F418" w14:textId="77777777" w:rsidR="0006075C" w:rsidRPr="0006075C" w:rsidRDefault="0006075C" w:rsidP="0006075C">
      <w:pPr>
        <w:ind w:left="119" w:right="839"/>
        <w:jc w:val="both"/>
        <w:rPr>
          <w:rFonts w:ascii="Verdana" w:eastAsia="Verdana" w:hAnsi="Verdana"/>
          <w:color w:val="808080" w:themeColor="background1" w:themeShade="80"/>
          <w:sz w:val="18"/>
          <w:szCs w:val="12"/>
          <w:lang w:val="pl-PL"/>
        </w:rPr>
      </w:pPr>
      <w:r w:rsidRPr="0006075C">
        <w:rPr>
          <w:rFonts w:ascii="Verdana" w:eastAsia="Verdana" w:hAnsi="Verdana"/>
          <w:color w:val="808080" w:themeColor="background1" w:themeShade="80"/>
          <w:sz w:val="18"/>
          <w:szCs w:val="12"/>
          <w:lang w:val="pl-PL"/>
        </w:rPr>
        <w:t>12 stycznia 2016 roku</w:t>
      </w:r>
    </w:p>
    <w:p w14:paraId="4EC9DA21" w14:textId="3E16F968" w:rsidR="0006075C" w:rsidRPr="0006075C" w:rsidRDefault="0006075C" w:rsidP="0006075C">
      <w:pPr>
        <w:ind w:left="119" w:right="839"/>
        <w:jc w:val="both"/>
        <w:rPr>
          <w:rFonts w:ascii="Verdana" w:eastAsia="Verdana" w:hAnsi="Verdana"/>
          <w:szCs w:val="14"/>
          <w:lang w:val="pl-PL"/>
        </w:rPr>
      </w:pPr>
      <w:r w:rsidRPr="0006075C">
        <w:rPr>
          <w:rFonts w:ascii="Verdana" w:eastAsia="Verdana" w:hAnsi="Verdana"/>
          <w:szCs w:val="14"/>
          <w:lang w:val="pl-PL"/>
        </w:rPr>
        <w:t xml:space="preserve">Sprawa ta dotyczyła rozwiązania Partii na rzecz Społeczeństwa Demokratycznego ("DTP", </w:t>
      </w:r>
      <w:proofErr w:type="spellStart"/>
      <w:r w:rsidRPr="0006075C">
        <w:rPr>
          <w:rFonts w:ascii="Verdana" w:eastAsia="Verdana" w:hAnsi="Verdana"/>
          <w:szCs w:val="14"/>
          <w:lang w:val="pl-PL"/>
        </w:rPr>
        <w:t>Demokratik</w:t>
      </w:r>
      <w:proofErr w:type="spellEnd"/>
      <w:r w:rsidRPr="0006075C">
        <w:rPr>
          <w:rFonts w:ascii="Verdana" w:eastAsia="Verdana" w:hAnsi="Verdana"/>
          <w:szCs w:val="14"/>
          <w:lang w:val="pl-PL"/>
        </w:rPr>
        <w:t xml:space="preserve"> </w:t>
      </w:r>
      <w:proofErr w:type="spellStart"/>
      <w:r w:rsidRPr="0006075C">
        <w:rPr>
          <w:rFonts w:ascii="Verdana" w:eastAsia="Verdana" w:hAnsi="Verdana"/>
          <w:szCs w:val="14"/>
          <w:lang w:val="pl-PL"/>
        </w:rPr>
        <w:t>Toplum</w:t>
      </w:r>
      <w:proofErr w:type="spellEnd"/>
      <w:r w:rsidRPr="0006075C">
        <w:rPr>
          <w:rFonts w:ascii="Verdana" w:eastAsia="Verdana" w:hAnsi="Verdana"/>
          <w:szCs w:val="14"/>
          <w:lang w:val="pl-PL"/>
        </w:rPr>
        <w:t xml:space="preserve"> </w:t>
      </w:r>
      <w:proofErr w:type="spellStart"/>
      <w:r w:rsidRPr="0006075C">
        <w:rPr>
          <w:rFonts w:ascii="Verdana" w:eastAsia="Verdana" w:hAnsi="Verdana"/>
          <w:szCs w:val="14"/>
          <w:lang w:val="pl-PL"/>
        </w:rPr>
        <w:t>Partisi</w:t>
      </w:r>
      <w:proofErr w:type="spellEnd"/>
      <w:r w:rsidRPr="0006075C">
        <w:rPr>
          <w:rFonts w:ascii="Verdana" w:eastAsia="Verdana" w:hAnsi="Verdana"/>
          <w:szCs w:val="14"/>
          <w:lang w:val="pl-PL"/>
        </w:rPr>
        <w:t>), części pro kurdyjskiego ruchu lewicowego oraz przepadku mandatów parlamentarnych niektórych członków parlamentu, w tym jego współprzewodniczących. Skarżący - z jednej strony DTP, a z drugiej strony współprzewodniczący partii i osoby pełniące różne funkcje w partii - zarzucali w szczególności, że rozwiązanie DTP naruszyło ich prawo do swobodnego zrzeszania się.</w:t>
      </w:r>
    </w:p>
    <w:p w14:paraId="764CA6FF" w14:textId="30C20133" w:rsidR="0006075C" w:rsidRDefault="0006075C" w:rsidP="0006075C">
      <w:pPr>
        <w:ind w:left="119" w:right="839"/>
        <w:jc w:val="both"/>
        <w:rPr>
          <w:rFonts w:ascii="Verdana" w:eastAsia="Verdana" w:hAnsi="Verdana"/>
          <w:color w:val="0070C0"/>
          <w:szCs w:val="14"/>
          <w:lang w:val="pl-PL"/>
        </w:rPr>
      </w:pPr>
      <w:r w:rsidRPr="0006075C">
        <w:rPr>
          <w:rFonts w:ascii="Verdana" w:eastAsia="Verdana" w:hAnsi="Verdana"/>
          <w:color w:val="0070C0"/>
          <w:szCs w:val="14"/>
          <w:lang w:val="pl-PL"/>
        </w:rPr>
        <w:t xml:space="preserve">Trybunał orzekł, że </w:t>
      </w:r>
      <w:r w:rsidRPr="0006075C">
        <w:rPr>
          <w:rFonts w:ascii="Verdana" w:eastAsia="Verdana" w:hAnsi="Verdana"/>
          <w:b/>
          <w:bCs/>
          <w:color w:val="0070C0"/>
          <w:szCs w:val="14"/>
          <w:lang w:val="pl-PL"/>
        </w:rPr>
        <w:t>doszło do</w:t>
      </w:r>
      <w:r w:rsidRPr="0006075C">
        <w:rPr>
          <w:rFonts w:ascii="Verdana" w:eastAsia="Verdana" w:hAnsi="Verdana"/>
          <w:color w:val="0070C0"/>
          <w:szCs w:val="14"/>
          <w:lang w:val="pl-PL"/>
        </w:rPr>
        <w:t xml:space="preserve"> </w:t>
      </w:r>
      <w:r w:rsidRPr="0006075C">
        <w:rPr>
          <w:rFonts w:ascii="Verdana" w:eastAsia="Verdana" w:hAnsi="Verdana"/>
          <w:b/>
          <w:bCs/>
          <w:color w:val="0070C0"/>
          <w:szCs w:val="14"/>
          <w:lang w:val="pl-PL"/>
        </w:rPr>
        <w:t>naruszenia artykułu 11</w:t>
      </w:r>
      <w:r w:rsidRPr="0006075C">
        <w:rPr>
          <w:rFonts w:ascii="Verdana" w:eastAsia="Verdana" w:hAnsi="Verdana"/>
          <w:color w:val="0070C0"/>
          <w:szCs w:val="14"/>
          <w:lang w:val="pl-PL"/>
        </w:rPr>
        <w:t xml:space="preserve"> Konwencji w odniesieniu do wszystkich skarżących. Trybunał stwierdził w szczególności, że powody przedstawione przez Trybunał Konstytucyjny w celu nakazania rozwiązania DTP, jednej z głównych stron politycznych, która opowiadała się za pokojowym rozwiązaniem problemu kurdyjskiego, nie mogą być uznane za wystarczające uzasadnienie ingerencji w jego prawo do wolności zrzeszania się. Trybunał nie zidentyfikował żadnego projektu politycznego DTP, który byłby niezgodny z koncepcją demokratycznego społeczeństwa; Sąd uznał również, że przemówienia dwóch jego współprzewodniczących nie uzasadniają takiego rozwiązania, o ile nie zachęcały do użycia przemocy, zbrojnego oporu lub powstania. Trybunał zauważył jednak, że podjęcie takiego środka na tej podstawie, że partia nie zdystansowała się otwarcie od aktów lub przemówień jej członków lub lokalnych przywódców, które mogłyby być interpretowane jako pośrednie wsparcie dla terroryzmu, można zasadnie uznać za spełnienie przesłanki "nadrzędnej potrzeby społecznej". Uznał jednak, że biorąc pod uwagę względnie ograniczony wpływ polityczny na porządek publiczny lub ochronę praw i wolności innych osób, takie zaniechanie działania nie może samo w sobie stanowić uzasadnienia sankcji tak dotkliwej jak rozwiązanie całej partii.</w:t>
      </w:r>
    </w:p>
    <w:p w14:paraId="2CA1B1B4" w14:textId="77777777" w:rsidR="0006075C" w:rsidRDefault="0006075C" w:rsidP="0006075C">
      <w:pPr>
        <w:ind w:left="119" w:right="839"/>
        <w:jc w:val="both"/>
        <w:rPr>
          <w:rFonts w:ascii="Verdana" w:eastAsia="Verdana" w:hAnsi="Verdana"/>
          <w:color w:val="0070C0"/>
          <w:szCs w:val="14"/>
          <w:lang w:val="pl-PL"/>
        </w:rPr>
      </w:pPr>
    </w:p>
    <w:p w14:paraId="5FD966B8" w14:textId="65CA2338" w:rsidR="0006075C" w:rsidRPr="0006075C" w:rsidRDefault="0006075C" w:rsidP="0006075C">
      <w:pPr>
        <w:ind w:left="119" w:right="839"/>
        <w:jc w:val="both"/>
        <w:rPr>
          <w:rFonts w:ascii="Verdana" w:eastAsia="Verdana" w:hAnsi="Verdana"/>
          <w:b/>
          <w:bCs/>
          <w:color w:val="0070C0"/>
          <w:szCs w:val="14"/>
          <w:lang w:val="pl-PL"/>
        </w:rPr>
      </w:pPr>
      <w:hyperlink r:id="rId25" w:anchor="{%22itemid%22:[%22003-5532554-6963891%22]}" w:history="1">
        <w:proofErr w:type="spellStart"/>
        <w:r w:rsidRPr="0006075C">
          <w:rPr>
            <w:rStyle w:val="Hipercze"/>
            <w:rFonts w:ascii="Verdana" w:eastAsia="Verdana" w:hAnsi="Verdana"/>
            <w:b/>
            <w:bCs/>
            <w:szCs w:val="14"/>
            <w:lang w:val="pl-PL"/>
          </w:rPr>
          <w:t>Nationaldemokratische</w:t>
        </w:r>
        <w:proofErr w:type="spellEnd"/>
        <w:r w:rsidRPr="0006075C">
          <w:rPr>
            <w:rStyle w:val="Hipercze"/>
            <w:rFonts w:ascii="Verdana" w:eastAsia="Verdana" w:hAnsi="Verdana"/>
            <w:b/>
            <w:bCs/>
            <w:szCs w:val="14"/>
            <w:lang w:val="pl-PL"/>
          </w:rPr>
          <w:t xml:space="preserve"> </w:t>
        </w:r>
        <w:proofErr w:type="spellStart"/>
        <w:r w:rsidRPr="0006075C">
          <w:rPr>
            <w:rStyle w:val="Hipercze"/>
            <w:rFonts w:ascii="Verdana" w:eastAsia="Verdana" w:hAnsi="Verdana"/>
            <w:b/>
            <w:bCs/>
            <w:szCs w:val="14"/>
            <w:lang w:val="pl-PL"/>
          </w:rPr>
          <w:t>Partei</w:t>
        </w:r>
        <w:proofErr w:type="spellEnd"/>
        <w:r w:rsidRPr="0006075C">
          <w:rPr>
            <w:rStyle w:val="Hipercze"/>
            <w:rFonts w:ascii="Verdana" w:eastAsia="Verdana" w:hAnsi="Verdana"/>
            <w:b/>
            <w:bCs/>
            <w:szCs w:val="14"/>
            <w:lang w:val="pl-PL"/>
          </w:rPr>
          <w:t xml:space="preserve"> </w:t>
        </w:r>
        <w:proofErr w:type="spellStart"/>
        <w:r w:rsidRPr="0006075C">
          <w:rPr>
            <w:rStyle w:val="Hipercze"/>
            <w:rFonts w:ascii="Verdana" w:eastAsia="Verdana" w:hAnsi="Verdana"/>
            <w:b/>
            <w:bCs/>
            <w:szCs w:val="14"/>
            <w:lang w:val="pl-PL"/>
          </w:rPr>
          <w:t>Deutschlands</w:t>
        </w:r>
        <w:proofErr w:type="spellEnd"/>
        <w:r w:rsidRPr="0006075C">
          <w:rPr>
            <w:rStyle w:val="Hipercze"/>
            <w:rFonts w:ascii="Verdana" w:eastAsia="Verdana" w:hAnsi="Verdana"/>
            <w:b/>
            <w:bCs/>
            <w:szCs w:val="14"/>
            <w:lang w:val="pl-PL"/>
          </w:rPr>
          <w:t xml:space="preserve"> (NPD) przeciwko Niemcom</w:t>
        </w:r>
      </w:hyperlink>
    </w:p>
    <w:p w14:paraId="324682C7" w14:textId="77777777" w:rsidR="0006075C" w:rsidRPr="0006075C" w:rsidRDefault="0006075C" w:rsidP="0006075C">
      <w:pPr>
        <w:ind w:left="119" w:right="839"/>
        <w:jc w:val="both"/>
        <w:rPr>
          <w:rFonts w:ascii="Verdana" w:eastAsia="Verdana" w:hAnsi="Verdana"/>
          <w:color w:val="0070C0"/>
          <w:szCs w:val="14"/>
          <w:lang w:val="pl-PL"/>
        </w:rPr>
      </w:pPr>
      <w:r w:rsidRPr="0006075C">
        <w:rPr>
          <w:rFonts w:ascii="Verdana" w:eastAsia="Verdana" w:hAnsi="Verdana"/>
          <w:color w:val="808080" w:themeColor="background1" w:themeShade="80"/>
          <w:sz w:val="18"/>
          <w:szCs w:val="12"/>
          <w:lang w:val="pl-PL"/>
        </w:rPr>
        <w:t>4 października 2016 roku (decyzja w przedmiocie dopuszczalności)</w:t>
      </w:r>
    </w:p>
    <w:p w14:paraId="5613DABE" w14:textId="77777777" w:rsidR="0006075C" w:rsidRPr="0006075C" w:rsidRDefault="0006075C" w:rsidP="0006075C">
      <w:pPr>
        <w:ind w:left="119" w:right="839"/>
        <w:jc w:val="both"/>
        <w:rPr>
          <w:rFonts w:ascii="Verdana" w:eastAsia="Verdana" w:hAnsi="Verdana"/>
          <w:szCs w:val="14"/>
          <w:lang w:val="pl-PL"/>
        </w:rPr>
      </w:pPr>
      <w:r w:rsidRPr="0006075C">
        <w:rPr>
          <w:rFonts w:ascii="Verdana" w:eastAsia="Verdana" w:hAnsi="Verdana"/>
          <w:szCs w:val="14"/>
          <w:lang w:val="pl-PL"/>
        </w:rPr>
        <w:t>Sprawa ta dotyczyła partii politycznej, NPD i jej skargi na to, że jest określana i piętnowana jako skrajnie prawicowa i niekonstytucyjna. Partia ta w szczególności zarzuciła, że w Niemczech popełniono szereg naruszeń jej praw (doprowadzając do faktycznego zakazu) oraz, że nie dysponowała środkami prawnymi na ich naprawienie. Przykłady domniemanych naruszeń obejmowały zwolnienie członków z pracy w służbie publicznej; niemożność otwarcia rachunków bankowych; oraz utrudnianie kandydatom kandydowania w wyborach.</w:t>
      </w:r>
    </w:p>
    <w:p w14:paraId="62BCF4D4" w14:textId="642A6AA4" w:rsidR="000A6E04" w:rsidRDefault="0006075C" w:rsidP="000A6E04">
      <w:pPr>
        <w:ind w:left="119" w:right="839"/>
        <w:jc w:val="both"/>
        <w:rPr>
          <w:rFonts w:ascii="Verdana" w:eastAsia="Verdana" w:hAnsi="Verdana"/>
          <w:color w:val="0070C0"/>
          <w:szCs w:val="14"/>
          <w:lang w:val="pl-PL"/>
        </w:rPr>
      </w:pPr>
      <w:r w:rsidRPr="0006075C">
        <w:rPr>
          <w:rFonts w:ascii="Verdana" w:eastAsia="Verdana" w:hAnsi="Verdana"/>
          <w:color w:val="0070C0"/>
          <w:szCs w:val="14"/>
          <w:lang w:val="pl-PL"/>
        </w:rPr>
        <w:t xml:space="preserve">Trybunał uznał skargę za oczywiście nieuzasadnioną i na tym gruncie </w:t>
      </w:r>
      <w:r w:rsidRPr="0006075C">
        <w:rPr>
          <w:rFonts w:ascii="Verdana" w:eastAsia="Verdana" w:hAnsi="Verdana"/>
          <w:b/>
          <w:bCs/>
          <w:color w:val="0070C0"/>
          <w:szCs w:val="14"/>
          <w:lang w:val="pl-PL"/>
        </w:rPr>
        <w:t>niedopuszczalną</w:t>
      </w:r>
      <w:r w:rsidRPr="0006075C">
        <w:rPr>
          <w:rFonts w:ascii="Verdana" w:eastAsia="Verdana" w:hAnsi="Verdana"/>
          <w:color w:val="0070C0"/>
          <w:szCs w:val="14"/>
          <w:lang w:val="pl-PL"/>
        </w:rPr>
        <w:t>, stwierdzając, że NPD dysponuje wystarczającymi środkami na poziomie krajowym, które umożliwiły jej skuteczne egzekwowanie swych praw wynikających z konwencji. NPD i jej członkowie byli w stanie podnosić indywidualne przypadki dyskryminacji lub ograniczenia w sądach niemieckich. Takie środki zaradcze nie zostały uznane za nieskuteczne z żadnego z powodów podniesionych przez NPD. W szczególności postępowania krajowe nie mogły zostać uznane za nieskuteczne, ponieważ nie zawsze kończyły się dla strony sukcesem; ponieważ mogły jedynie stanowić środek zaradczy na naruszenia już po ich wystąpieniu; lub dlatego, że wymagane było wiele postępowań w celu zajęcia się wieloma przypadkami domniemanych naruszeń. NPD i/lub jej członkowie byli w stanie zająć się domniemanymi naruszeniami przed sądami karnymi, cywilnymi i administracyjnymi, jeśli/kiedy naruszenia miały miejsce w indywidualnych przypadkach. Rzeczywiście, orzeczenie sądowe dotyczące konstytucyjności partii nie było wymagane do wszczęcia takiego postępowania.</w:t>
      </w:r>
    </w:p>
    <w:p w14:paraId="419115EB" w14:textId="77777777" w:rsidR="000A6E04" w:rsidRDefault="000A6E04" w:rsidP="000A6E04">
      <w:pPr>
        <w:ind w:left="119" w:right="839"/>
        <w:jc w:val="both"/>
        <w:rPr>
          <w:rFonts w:ascii="Verdana" w:eastAsia="Verdana" w:hAnsi="Verdana"/>
          <w:color w:val="0070C0"/>
          <w:szCs w:val="14"/>
          <w:lang w:val="pl-PL"/>
        </w:rPr>
      </w:pPr>
    </w:p>
    <w:p w14:paraId="605824C5" w14:textId="77777777" w:rsidR="008D3C12" w:rsidRDefault="008D3C12" w:rsidP="00234FD5">
      <w:pPr>
        <w:ind w:right="839"/>
        <w:jc w:val="both"/>
        <w:rPr>
          <w:rFonts w:ascii="Verdana" w:eastAsia="Verdana" w:hAnsi="Verdana"/>
          <w:color w:val="0070C0"/>
          <w:szCs w:val="14"/>
          <w:lang w:val="pl-PL"/>
        </w:rPr>
      </w:pPr>
    </w:p>
    <w:p w14:paraId="4B763641" w14:textId="77777777" w:rsidR="008D3C12" w:rsidRPr="000A6E04" w:rsidRDefault="008D3C12" w:rsidP="00234FD5">
      <w:pPr>
        <w:ind w:right="839"/>
        <w:jc w:val="both"/>
        <w:rPr>
          <w:rFonts w:ascii="Verdana" w:eastAsia="Verdana" w:hAnsi="Verdana"/>
          <w:color w:val="0070C0"/>
          <w:szCs w:val="14"/>
          <w:lang w:val="pl-PL"/>
        </w:rPr>
      </w:pPr>
    </w:p>
    <w:p w14:paraId="6EF5500E" w14:textId="77777777" w:rsidR="0006075C" w:rsidRDefault="0006075C" w:rsidP="0006075C">
      <w:pPr>
        <w:ind w:left="119" w:right="839"/>
        <w:jc w:val="both"/>
        <w:rPr>
          <w:rFonts w:ascii="Verdana" w:eastAsia="Verdana" w:hAnsi="Verdana"/>
          <w:color w:val="0070C0"/>
          <w:sz w:val="28"/>
          <w:lang w:val="pl-PL"/>
        </w:rPr>
      </w:pPr>
      <w:r w:rsidRPr="0006075C">
        <w:rPr>
          <w:rFonts w:ascii="Verdana" w:eastAsia="Verdana" w:hAnsi="Verdana"/>
          <w:color w:val="0070C0"/>
          <w:sz w:val="28"/>
          <w:lang w:val="pl-PL"/>
        </w:rPr>
        <w:lastRenderedPageBreak/>
        <w:t>Rejestracja partii politycznych</w:t>
      </w:r>
    </w:p>
    <w:p w14:paraId="016310E6" w14:textId="049717E6" w:rsidR="008D3C12" w:rsidRPr="0006075C" w:rsidRDefault="008D3C12" w:rsidP="0006075C">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2372675E" wp14:editId="6BBB1EBD">
            <wp:extent cx="5785485" cy="36830"/>
            <wp:effectExtent l="0" t="0" r="5715" b="1270"/>
            <wp:docPr id="117111559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125C765F" w14:textId="77777777" w:rsidR="0006075C" w:rsidRPr="0006075C" w:rsidRDefault="0006075C" w:rsidP="0006075C">
      <w:pPr>
        <w:ind w:left="119" w:right="839"/>
        <w:jc w:val="both"/>
        <w:rPr>
          <w:rFonts w:ascii="Verdana" w:eastAsia="Verdana" w:hAnsi="Verdana"/>
          <w:szCs w:val="14"/>
          <w:lang w:val="pl-PL"/>
        </w:rPr>
      </w:pPr>
    </w:p>
    <w:p w14:paraId="540D1D39" w14:textId="5A79D2C6" w:rsidR="0006075C" w:rsidRPr="0006075C" w:rsidRDefault="000A6E04" w:rsidP="0006075C">
      <w:pPr>
        <w:ind w:left="119" w:right="839"/>
        <w:jc w:val="both"/>
        <w:rPr>
          <w:rFonts w:ascii="Verdana" w:eastAsia="Verdana" w:hAnsi="Verdana"/>
          <w:b/>
          <w:bCs/>
          <w:color w:val="0070C0"/>
          <w:szCs w:val="14"/>
          <w:lang w:val="pl-PL"/>
        </w:rPr>
      </w:pPr>
      <w:hyperlink r:id="rId26" w:anchor="{%22itemid%22:[%22003-1855778-1948265%22]}" w:history="1">
        <w:proofErr w:type="spellStart"/>
        <w:r w:rsidR="0006075C" w:rsidRPr="000A6E04">
          <w:rPr>
            <w:rStyle w:val="Hipercze"/>
            <w:rFonts w:ascii="Verdana" w:eastAsia="Verdana" w:hAnsi="Verdana"/>
            <w:b/>
            <w:bCs/>
            <w:szCs w:val="14"/>
            <w:lang w:val="pl-PL"/>
          </w:rPr>
          <w:t>Linkov</w:t>
        </w:r>
        <w:proofErr w:type="spellEnd"/>
        <w:r w:rsidR="0006075C" w:rsidRPr="000A6E04">
          <w:rPr>
            <w:rStyle w:val="Hipercze"/>
            <w:rFonts w:ascii="Verdana" w:eastAsia="Verdana" w:hAnsi="Verdana"/>
            <w:b/>
            <w:bCs/>
            <w:szCs w:val="14"/>
            <w:lang w:val="pl-PL"/>
          </w:rPr>
          <w:t xml:space="preserve"> przeciwko Republice Czeskiej</w:t>
        </w:r>
      </w:hyperlink>
    </w:p>
    <w:p w14:paraId="16270287" w14:textId="77777777" w:rsidR="0006075C" w:rsidRPr="0006075C" w:rsidRDefault="0006075C" w:rsidP="0006075C">
      <w:pPr>
        <w:ind w:left="119" w:right="839"/>
        <w:jc w:val="both"/>
        <w:rPr>
          <w:rFonts w:ascii="Verdana" w:eastAsia="Verdana" w:hAnsi="Verdana"/>
          <w:color w:val="808080" w:themeColor="background1" w:themeShade="80"/>
          <w:sz w:val="18"/>
          <w:szCs w:val="12"/>
          <w:lang w:val="pl-PL"/>
        </w:rPr>
      </w:pPr>
      <w:r w:rsidRPr="0006075C">
        <w:rPr>
          <w:rFonts w:ascii="Verdana" w:eastAsia="Verdana" w:hAnsi="Verdana"/>
          <w:color w:val="808080" w:themeColor="background1" w:themeShade="80"/>
          <w:sz w:val="18"/>
          <w:szCs w:val="12"/>
          <w:lang w:val="pl-PL"/>
        </w:rPr>
        <w:t>7 grudnia 2006 r.</w:t>
      </w:r>
    </w:p>
    <w:p w14:paraId="7198C151" w14:textId="77777777" w:rsidR="0006075C" w:rsidRPr="0006075C" w:rsidRDefault="0006075C" w:rsidP="0006075C">
      <w:pPr>
        <w:ind w:left="119" w:right="839"/>
        <w:jc w:val="both"/>
        <w:rPr>
          <w:rFonts w:ascii="Verdana" w:eastAsia="Verdana" w:hAnsi="Verdana"/>
          <w:szCs w:val="14"/>
          <w:lang w:val="pl-PL"/>
        </w:rPr>
      </w:pPr>
      <w:r w:rsidRPr="0006075C">
        <w:rPr>
          <w:rFonts w:ascii="Verdana" w:eastAsia="Verdana" w:hAnsi="Verdana"/>
          <w:szCs w:val="14"/>
          <w:lang w:val="pl-PL"/>
        </w:rPr>
        <w:t xml:space="preserve">Sprawa ta dotyczyła odmowy rejestracji partii politycznej </w:t>
      </w:r>
      <w:proofErr w:type="spellStart"/>
      <w:r w:rsidRPr="0006075C">
        <w:rPr>
          <w:rFonts w:ascii="Verdana" w:eastAsia="Verdana" w:hAnsi="Verdana"/>
          <w:szCs w:val="14"/>
          <w:lang w:val="pl-PL"/>
        </w:rPr>
        <w:t>Liberální</w:t>
      </w:r>
      <w:proofErr w:type="spellEnd"/>
      <w:r w:rsidRPr="0006075C">
        <w:rPr>
          <w:rFonts w:ascii="Verdana" w:eastAsia="Verdana" w:hAnsi="Verdana"/>
          <w:szCs w:val="14"/>
          <w:lang w:val="pl-PL"/>
        </w:rPr>
        <w:t xml:space="preserve"> </w:t>
      </w:r>
      <w:proofErr w:type="spellStart"/>
      <w:r w:rsidRPr="0006075C">
        <w:rPr>
          <w:rFonts w:ascii="Verdana" w:eastAsia="Verdana" w:hAnsi="Verdana"/>
          <w:szCs w:val="14"/>
          <w:lang w:val="pl-PL"/>
        </w:rPr>
        <w:t>Strana</w:t>
      </w:r>
      <w:proofErr w:type="spellEnd"/>
      <w:r w:rsidRPr="0006075C">
        <w:rPr>
          <w:rFonts w:ascii="Verdana" w:eastAsia="Verdana" w:hAnsi="Verdana"/>
          <w:szCs w:val="14"/>
          <w:lang w:val="pl-PL"/>
        </w:rPr>
        <w:t xml:space="preserve"> (Partia Liberalna) na tej podstawie, że jeden z jej celów, „zerwanie ciągłości prawnej z reżimami totalitarnymi”, był sprzeczny z konstytucją. Skarżący, który był członkiem komitetu przygotowawczego przedmiotowej partii, stwierdził w szczególności, że odmowa rejestracji partii przez władze naruszyła jego prawo do wolności zrzeszania się.</w:t>
      </w:r>
    </w:p>
    <w:p w14:paraId="621AE93D" w14:textId="0C3D3D2F" w:rsidR="0006075C" w:rsidRPr="000A6E04" w:rsidRDefault="0006075C" w:rsidP="0006075C">
      <w:pPr>
        <w:ind w:left="119" w:right="839"/>
        <w:jc w:val="both"/>
        <w:rPr>
          <w:rFonts w:ascii="Verdana" w:eastAsia="Verdana" w:hAnsi="Verdana"/>
          <w:color w:val="0070C0"/>
          <w:szCs w:val="14"/>
          <w:lang w:val="pl-PL"/>
        </w:rPr>
      </w:pPr>
      <w:r w:rsidRPr="000A6E04">
        <w:rPr>
          <w:rFonts w:ascii="Verdana" w:eastAsia="Verdana" w:hAnsi="Verdana"/>
          <w:color w:val="0070C0"/>
          <w:szCs w:val="14"/>
          <w:lang w:val="pl-PL"/>
        </w:rPr>
        <w:t xml:space="preserve">Trybunał uznał, że </w:t>
      </w:r>
      <w:r w:rsidRPr="000A6E04">
        <w:rPr>
          <w:rFonts w:ascii="Verdana" w:eastAsia="Verdana" w:hAnsi="Verdana"/>
          <w:b/>
          <w:bCs/>
          <w:color w:val="0070C0"/>
          <w:szCs w:val="14"/>
          <w:lang w:val="pl-PL"/>
        </w:rPr>
        <w:t>doszło do naruszenia art. 11</w:t>
      </w:r>
      <w:r w:rsidRPr="000A6E04">
        <w:rPr>
          <w:rFonts w:ascii="Verdana" w:eastAsia="Verdana" w:hAnsi="Verdana"/>
          <w:color w:val="0070C0"/>
          <w:szCs w:val="14"/>
          <w:lang w:val="pl-PL"/>
        </w:rPr>
        <w:t xml:space="preserve"> Konwencji, stwierdzając, że ponieważ </w:t>
      </w:r>
      <w:proofErr w:type="spellStart"/>
      <w:r w:rsidRPr="000A6E04">
        <w:rPr>
          <w:rFonts w:ascii="Verdana" w:eastAsia="Verdana" w:hAnsi="Verdana"/>
          <w:color w:val="0070C0"/>
          <w:szCs w:val="14"/>
          <w:lang w:val="pl-PL"/>
        </w:rPr>
        <w:t>Liberální</w:t>
      </w:r>
      <w:proofErr w:type="spellEnd"/>
      <w:r w:rsidRPr="000A6E04">
        <w:rPr>
          <w:rFonts w:ascii="Verdana" w:eastAsia="Verdana" w:hAnsi="Verdana"/>
          <w:color w:val="0070C0"/>
          <w:szCs w:val="14"/>
          <w:lang w:val="pl-PL"/>
        </w:rPr>
        <w:t xml:space="preserve"> </w:t>
      </w:r>
      <w:proofErr w:type="spellStart"/>
      <w:r w:rsidRPr="000A6E04">
        <w:rPr>
          <w:rFonts w:ascii="Verdana" w:eastAsia="Verdana" w:hAnsi="Verdana"/>
          <w:color w:val="0070C0"/>
          <w:szCs w:val="14"/>
          <w:lang w:val="pl-PL"/>
        </w:rPr>
        <w:t>Strana</w:t>
      </w:r>
      <w:proofErr w:type="spellEnd"/>
      <w:r w:rsidRPr="000A6E04">
        <w:rPr>
          <w:rFonts w:ascii="Verdana" w:eastAsia="Verdana" w:hAnsi="Verdana"/>
          <w:color w:val="0070C0"/>
          <w:szCs w:val="14"/>
          <w:lang w:val="pl-PL"/>
        </w:rPr>
        <w:t xml:space="preserve"> nie popierała żadnej polityki, która mogłaby podważyć demokratyczny reżim w kraju i nie wzywała ani nie próbowała usprawiedliwić użycia siły w celach politycznych, odmowa jej rejestracji nie była konieczna w demokratycznym społeczeństwie. Trybunał zauważył w szczególności, że nie było dowodów na to, że </w:t>
      </w:r>
      <w:proofErr w:type="spellStart"/>
      <w:r w:rsidRPr="000A6E04">
        <w:rPr>
          <w:rFonts w:ascii="Verdana" w:eastAsia="Verdana" w:hAnsi="Verdana"/>
          <w:color w:val="0070C0"/>
          <w:szCs w:val="14"/>
          <w:lang w:val="pl-PL"/>
        </w:rPr>
        <w:t>Liberální</w:t>
      </w:r>
      <w:proofErr w:type="spellEnd"/>
      <w:r w:rsidRPr="000A6E04">
        <w:rPr>
          <w:rFonts w:ascii="Verdana" w:eastAsia="Verdana" w:hAnsi="Verdana"/>
          <w:color w:val="0070C0"/>
          <w:szCs w:val="14"/>
          <w:lang w:val="pl-PL"/>
        </w:rPr>
        <w:t xml:space="preserve"> </w:t>
      </w:r>
      <w:proofErr w:type="spellStart"/>
      <w:r w:rsidRPr="000A6E04">
        <w:rPr>
          <w:rFonts w:ascii="Verdana" w:eastAsia="Verdana" w:hAnsi="Verdana"/>
          <w:color w:val="0070C0"/>
          <w:szCs w:val="14"/>
          <w:lang w:val="pl-PL"/>
        </w:rPr>
        <w:t>Strana</w:t>
      </w:r>
      <w:proofErr w:type="spellEnd"/>
      <w:r w:rsidRPr="000A6E04">
        <w:rPr>
          <w:rFonts w:ascii="Verdana" w:eastAsia="Verdana" w:hAnsi="Verdana"/>
          <w:color w:val="0070C0"/>
          <w:szCs w:val="14"/>
          <w:lang w:val="pl-PL"/>
        </w:rPr>
        <w:t xml:space="preserve"> nie dążyła do realizacji swoich celów za pomocą zgodnych z prawem i demokratycznych środków lub że proponowana przez nią zmiana prawa była niezgodna z podstawowymi zasadami demokracji, zwłaszcza że partia odmówiła rejestracji, zanim jeszcze zdążyła przeprowadzić jakiekolwiek działania. Trybunał powtórzył w tym kontekście, że odmowa rejestracji partii jest drastycznym środkiem, który może być stosowany tylko w najpoważniejszych przypadkach.</w:t>
      </w:r>
    </w:p>
    <w:p w14:paraId="68E0EE80" w14:textId="77777777" w:rsidR="0076097F" w:rsidRDefault="0076097F" w:rsidP="0076097F">
      <w:pPr>
        <w:ind w:left="119" w:right="839"/>
        <w:jc w:val="both"/>
        <w:rPr>
          <w:rFonts w:ascii="Verdana" w:eastAsia="Verdana" w:hAnsi="Verdana"/>
          <w:color w:val="0070C0"/>
          <w:szCs w:val="14"/>
          <w:lang w:val="pl-PL"/>
        </w:rPr>
      </w:pPr>
    </w:p>
    <w:p w14:paraId="398F27FC" w14:textId="414CED0A" w:rsidR="000A6E04" w:rsidRPr="000A6E04" w:rsidRDefault="000A6E04" w:rsidP="000A6E04">
      <w:pPr>
        <w:ind w:left="119" w:right="839"/>
        <w:jc w:val="both"/>
        <w:rPr>
          <w:rFonts w:ascii="Verdana" w:eastAsia="Verdana" w:hAnsi="Verdana"/>
          <w:b/>
          <w:bCs/>
          <w:color w:val="0070C0"/>
          <w:szCs w:val="14"/>
          <w:lang w:val="pl-PL"/>
        </w:rPr>
      </w:pPr>
      <w:hyperlink r:id="rId27" w:anchor="{%22itemid%22:[%22002-3009%22]}" w:history="1">
        <w:proofErr w:type="spellStart"/>
        <w:r w:rsidRPr="000A6E04">
          <w:rPr>
            <w:rStyle w:val="Hipercze"/>
            <w:rFonts w:ascii="Verdana" w:eastAsia="Verdana" w:hAnsi="Verdana"/>
            <w:b/>
            <w:bCs/>
            <w:szCs w:val="14"/>
            <w:lang w:val="pl-PL"/>
          </w:rPr>
          <w:t>Artyomov</w:t>
        </w:r>
        <w:proofErr w:type="spellEnd"/>
        <w:r w:rsidRPr="000A6E04">
          <w:rPr>
            <w:rStyle w:val="Hipercze"/>
            <w:rFonts w:ascii="Verdana" w:eastAsia="Verdana" w:hAnsi="Verdana"/>
            <w:b/>
            <w:bCs/>
            <w:szCs w:val="14"/>
            <w:lang w:val="pl-PL"/>
          </w:rPr>
          <w:t xml:space="preserve"> przeciwko Rosji</w:t>
        </w:r>
      </w:hyperlink>
    </w:p>
    <w:p w14:paraId="43FDC8E9" w14:textId="77777777" w:rsidR="000A6E04" w:rsidRPr="000A6E04" w:rsidRDefault="000A6E04" w:rsidP="000A6E04">
      <w:pPr>
        <w:ind w:left="119" w:right="839"/>
        <w:jc w:val="both"/>
        <w:rPr>
          <w:rFonts w:ascii="Verdana" w:eastAsia="Verdana" w:hAnsi="Verdana"/>
          <w:color w:val="0070C0"/>
          <w:szCs w:val="14"/>
          <w:lang w:val="pl-PL"/>
        </w:rPr>
      </w:pPr>
      <w:r w:rsidRPr="000A6E04">
        <w:rPr>
          <w:rFonts w:ascii="Verdana" w:eastAsia="Verdana" w:hAnsi="Verdana"/>
          <w:color w:val="808080" w:themeColor="background1" w:themeShade="80"/>
          <w:sz w:val="18"/>
          <w:szCs w:val="12"/>
          <w:lang w:val="pl-PL"/>
        </w:rPr>
        <w:t>7 grudnia 2006 r. (decyzja o dopuszczalności)</w:t>
      </w:r>
    </w:p>
    <w:p w14:paraId="7A116EBA" w14:textId="77777777" w:rsidR="000A6E04" w:rsidRPr="000A6E04" w:rsidRDefault="000A6E04" w:rsidP="000A6E04">
      <w:pPr>
        <w:ind w:left="119" w:right="839"/>
        <w:jc w:val="both"/>
        <w:rPr>
          <w:rFonts w:ascii="Verdana" w:eastAsia="Verdana" w:hAnsi="Verdana"/>
          <w:szCs w:val="14"/>
          <w:lang w:val="pl-PL"/>
        </w:rPr>
      </w:pPr>
      <w:r w:rsidRPr="000A6E04">
        <w:rPr>
          <w:rFonts w:ascii="Verdana" w:eastAsia="Verdana" w:hAnsi="Verdana"/>
          <w:szCs w:val="14"/>
          <w:lang w:val="pl-PL"/>
        </w:rPr>
        <w:t xml:space="preserve">Skarżący był liderem ruchu społecznego „Rosyjski Związek </w:t>
      </w:r>
      <w:proofErr w:type="spellStart"/>
      <w:r w:rsidRPr="000A6E04">
        <w:rPr>
          <w:rFonts w:ascii="Verdana" w:eastAsia="Verdana" w:hAnsi="Verdana"/>
          <w:szCs w:val="14"/>
          <w:lang w:val="pl-PL"/>
        </w:rPr>
        <w:t>Wszechnarodowy</w:t>
      </w:r>
      <w:proofErr w:type="spellEnd"/>
      <w:r w:rsidRPr="000A6E04">
        <w:rPr>
          <w:rFonts w:ascii="Verdana" w:eastAsia="Verdana" w:hAnsi="Verdana"/>
          <w:szCs w:val="14"/>
          <w:lang w:val="pl-PL"/>
        </w:rPr>
        <w:t>”. Trzy lata po jego rejestracji jako stowarzyszenia publicznego, jego członkowie postanowili przekształcić ruch w partię polityczną noszącą tę samą nazwę. Wniosek o rejestrację partii został odrzucony, ponieważ ustawa o partiach politycznych zabrania tworzenia partii politycznych opartych w szczególności na przynależności religijnej lub etnicznej. Biorąc pod uwagę nazwę partii, sądy krajowe uznały, że została ona założona na podstawie przynależności etnicznej, z naruszeniem przedmiotowej ustawy, mimo że statut i program partii nie wskazywały na ochronę interesów Rosjan jako jej głównego celu. Skarżący bezskutecznie zakwestionował konstytucyjność ustawy o partiach politycznych przed rosyjskim Sądem Konstytucyjnym.</w:t>
      </w:r>
    </w:p>
    <w:p w14:paraId="5DCF7211" w14:textId="5E7B0077" w:rsidR="000A6E04" w:rsidRDefault="000A6E04" w:rsidP="000A6E04">
      <w:pPr>
        <w:ind w:left="119" w:right="839"/>
        <w:jc w:val="both"/>
        <w:rPr>
          <w:rFonts w:ascii="Verdana" w:eastAsia="Verdana" w:hAnsi="Verdana"/>
          <w:color w:val="0070C0"/>
          <w:szCs w:val="14"/>
          <w:lang w:val="pl-PL"/>
        </w:rPr>
      </w:pPr>
      <w:r w:rsidRPr="000A6E04">
        <w:rPr>
          <w:rFonts w:ascii="Verdana" w:eastAsia="Verdana" w:hAnsi="Verdana"/>
          <w:color w:val="0070C0"/>
          <w:szCs w:val="14"/>
          <w:lang w:val="pl-PL"/>
        </w:rPr>
        <w:t xml:space="preserve">Sąd uznał skargę za </w:t>
      </w:r>
      <w:r w:rsidRPr="000A6E04">
        <w:rPr>
          <w:rFonts w:ascii="Verdana" w:eastAsia="Verdana" w:hAnsi="Verdana"/>
          <w:b/>
          <w:bCs/>
          <w:color w:val="0070C0"/>
          <w:szCs w:val="14"/>
          <w:lang w:val="pl-PL"/>
        </w:rPr>
        <w:t>niedopuszczalną</w:t>
      </w:r>
      <w:r w:rsidRPr="000A6E04">
        <w:rPr>
          <w:rFonts w:ascii="Verdana" w:eastAsia="Verdana" w:hAnsi="Verdana"/>
          <w:color w:val="0070C0"/>
          <w:szCs w:val="14"/>
          <w:lang w:val="pl-PL"/>
        </w:rPr>
        <w:t xml:space="preserve"> jako oczywiście bezzasadną. Zauważył w szczególności, że odmowa rejestracji partii nie miała wpływu na status prawny ani działalność ruchu publicznego „Rosyjski Związek </w:t>
      </w:r>
      <w:proofErr w:type="spellStart"/>
      <w:r w:rsidRPr="000A6E04">
        <w:rPr>
          <w:rFonts w:ascii="Verdana" w:eastAsia="Verdana" w:hAnsi="Verdana"/>
          <w:color w:val="0070C0"/>
          <w:szCs w:val="14"/>
          <w:lang w:val="pl-PL"/>
        </w:rPr>
        <w:t>Wszechnarodowy</w:t>
      </w:r>
      <w:proofErr w:type="spellEnd"/>
      <w:r w:rsidRPr="000A6E04">
        <w:rPr>
          <w:rFonts w:ascii="Verdana" w:eastAsia="Verdana" w:hAnsi="Verdana"/>
          <w:color w:val="0070C0"/>
          <w:szCs w:val="14"/>
          <w:lang w:val="pl-PL"/>
        </w:rPr>
        <w:t>”. Ponadto zakaz wyraźnej przynależności etnicznej lub religijnej miał ograniczony zakres: miał zastosowanie wyłącznie do partii politycznych, ale nie do żadnego innego rodzaju stowarzyszenia publicznego. Zdolność skarżącego do kierowania stowarzyszeniem publicznym, nawet w oparciu o przynależność etniczną, pozostała niezakłócona.</w:t>
      </w:r>
      <w:r>
        <w:rPr>
          <w:rFonts w:ascii="Verdana" w:eastAsia="Verdana" w:hAnsi="Verdana"/>
          <w:color w:val="0070C0"/>
          <w:szCs w:val="14"/>
          <w:lang w:val="pl-PL"/>
        </w:rPr>
        <w:t xml:space="preserve"> </w:t>
      </w:r>
      <w:r w:rsidRPr="000A6E04">
        <w:rPr>
          <w:rFonts w:ascii="Verdana" w:eastAsia="Verdana" w:hAnsi="Verdana"/>
          <w:color w:val="0070C0"/>
          <w:szCs w:val="14"/>
          <w:lang w:val="pl-PL"/>
        </w:rPr>
        <w:t xml:space="preserve">W związku z tym wolność zrzeszania się skarżącego nie została per </w:t>
      </w:r>
      <w:proofErr w:type="spellStart"/>
      <w:r w:rsidRPr="000A6E04">
        <w:rPr>
          <w:rFonts w:ascii="Verdana" w:eastAsia="Verdana" w:hAnsi="Verdana"/>
          <w:color w:val="0070C0"/>
          <w:szCs w:val="14"/>
          <w:lang w:val="pl-PL"/>
        </w:rPr>
        <w:t>se</w:t>
      </w:r>
      <w:proofErr w:type="spellEnd"/>
      <w:r w:rsidRPr="000A6E04">
        <w:rPr>
          <w:rFonts w:ascii="Verdana" w:eastAsia="Verdana" w:hAnsi="Verdana"/>
          <w:color w:val="0070C0"/>
          <w:szCs w:val="14"/>
          <w:lang w:val="pl-PL"/>
        </w:rPr>
        <w:t xml:space="preserve"> ograniczona przez państwo, a jedynie jego zdolność do nominowania kandydatów w wyborach. Państwa mają jednak znaczną swobodę w ustalaniu kryteriów udziału w wyborach. W związku z tym Trybunał zauważył, że rosyjski Sąd Konstytucyjny wyjaśnił powody, które doprowadziły go do wniosku, że we współczesnej Rosji niebezpiecznie byłoby wspierać konkurencję wyborczą między partiami politycznymi opartą na przynależności etnicznej lub religijnej. Uwzględniając zasadę poszanowania specyfiki narodowej w sprawach wyborczych, nie uznał tych powodów za arbitralne lub nieracjonalne. Ingerencja była zatem proporcjonalna do uzasadnionych celów.</w:t>
      </w:r>
    </w:p>
    <w:p w14:paraId="2EB801D1" w14:textId="77777777" w:rsidR="000A6E04" w:rsidRPr="000A6E04" w:rsidRDefault="000A6E04" w:rsidP="0076097F">
      <w:pPr>
        <w:ind w:left="119" w:right="839"/>
        <w:jc w:val="both"/>
        <w:rPr>
          <w:rFonts w:ascii="Verdana" w:eastAsia="Verdana" w:hAnsi="Verdana"/>
          <w:color w:val="0070C0"/>
          <w:szCs w:val="14"/>
          <w:lang w:val="pl-PL"/>
        </w:rPr>
      </w:pPr>
    </w:p>
    <w:p w14:paraId="093B9CCC" w14:textId="5C9E88B8" w:rsidR="00920390" w:rsidRPr="00920390" w:rsidRDefault="00920390" w:rsidP="00920390">
      <w:pPr>
        <w:ind w:left="119" w:right="839"/>
        <w:jc w:val="both"/>
        <w:rPr>
          <w:rFonts w:ascii="Verdana" w:eastAsia="Verdana" w:hAnsi="Verdana"/>
          <w:b/>
          <w:bCs/>
          <w:color w:val="0070C0"/>
          <w:szCs w:val="14"/>
          <w:lang w:val="pl-PL"/>
        </w:rPr>
      </w:pPr>
      <w:hyperlink r:id="rId28" w:anchor="{%22itemid%22:[%22003-6778666-9058296%22]}" w:history="1">
        <w:proofErr w:type="spellStart"/>
        <w:r w:rsidRPr="00920390">
          <w:rPr>
            <w:rStyle w:val="Hipercze"/>
            <w:rFonts w:ascii="Verdana" w:eastAsia="Verdana" w:hAnsi="Verdana"/>
            <w:b/>
            <w:bCs/>
            <w:szCs w:val="14"/>
            <w:lang w:val="pl-PL"/>
          </w:rPr>
          <w:t>Yordanovi</w:t>
        </w:r>
        <w:proofErr w:type="spellEnd"/>
        <w:r w:rsidRPr="00920390">
          <w:rPr>
            <w:rStyle w:val="Hipercze"/>
            <w:rFonts w:ascii="Verdana" w:eastAsia="Verdana" w:hAnsi="Verdana"/>
            <w:b/>
            <w:bCs/>
            <w:szCs w:val="14"/>
            <w:lang w:val="pl-PL"/>
          </w:rPr>
          <w:t xml:space="preserve"> przeciwko Bułgarii</w:t>
        </w:r>
      </w:hyperlink>
    </w:p>
    <w:p w14:paraId="4EFAFBB3" w14:textId="77777777" w:rsidR="00920390" w:rsidRPr="00920390" w:rsidRDefault="00920390" w:rsidP="00920390">
      <w:pPr>
        <w:ind w:left="119" w:right="839"/>
        <w:jc w:val="both"/>
        <w:rPr>
          <w:rFonts w:ascii="Verdana" w:eastAsia="Verdana" w:hAnsi="Verdana"/>
          <w:color w:val="808080" w:themeColor="background1" w:themeShade="80"/>
          <w:sz w:val="18"/>
          <w:szCs w:val="12"/>
          <w:lang w:val="pl-PL"/>
        </w:rPr>
      </w:pPr>
      <w:r w:rsidRPr="00920390">
        <w:rPr>
          <w:rFonts w:ascii="Verdana" w:eastAsia="Verdana" w:hAnsi="Verdana"/>
          <w:color w:val="808080" w:themeColor="background1" w:themeShade="80"/>
          <w:sz w:val="18"/>
          <w:szCs w:val="12"/>
          <w:lang w:val="pl-PL"/>
        </w:rPr>
        <w:t>3 września 2020 r.</w:t>
      </w:r>
    </w:p>
    <w:p w14:paraId="0D96E7B5" w14:textId="77777777" w:rsidR="00920390" w:rsidRPr="00920390" w:rsidRDefault="00920390" w:rsidP="00920390">
      <w:pPr>
        <w:ind w:left="119" w:right="839"/>
        <w:jc w:val="both"/>
        <w:rPr>
          <w:rFonts w:ascii="Verdana" w:eastAsia="Verdana" w:hAnsi="Verdana"/>
          <w:szCs w:val="14"/>
          <w:lang w:val="pl-PL"/>
        </w:rPr>
      </w:pPr>
      <w:r w:rsidRPr="00920390">
        <w:rPr>
          <w:rFonts w:ascii="Verdana" w:eastAsia="Verdana" w:hAnsi="Verdana"/>
          <w:szCs w:val="14"/>
          <w:lang w:val="pl-PL"/>
        </w:rPr>
        <w:t xml:space="preserve">W 2008 r. skarżący, dwaj bracia, którzy byli przedsiębiorcami i należeli do mniejszości turecko-muzułmańskiej, założyli i zarejestrowali stowarzyszenie na rzecz integracji ludności tureckojęzycznej w Bułgarii. Skarżyli się na późniejsze postępowanie karne wszczęte przeciwko nim za próbę założenia partii politycznej „na tle religijnym”, twierdząc </w:t>
      </w:r>
      <w:r w:rsidRPr="00920390">
        <w:rPr>
          <w:rFonts w:ascii="Verdana" w:eastAsia="Verdana" w:hAnsi="Verdana"/>
          <w:szCs w:val="14"/>
          <w:lang w:val="pl-PL"/>
        </w:rPr>
        <w:lastRenderedPageBreak/>
        <w:t>w szczególności, że postępowanie to stanowiło nieuzasadnione ograniczenie ich prawa do wolności zrzeszania się.</w:t>
      </w:r>
    </w:p>
    <w:p w14:paraId="336E280F" w14:textId="36C69252" w:rsidR="0076097F" w:rsidRDefault="00920390" w:rsidP="00920390">
      <w:pPr>
        <w:ind w:left="119" w:right="839"/>
        <w:jc w:val="both"/>
        <w:rPr>
          <w:rFonts w:ascii="Verdana" w:eastAsia="Verdana" w:hAnsi="Verdana"/>
          <w:color w:val="0070C0"/>
          <w:szCs w:val="14"/>
          <w:lang w:val="pl-PL"/>
        </w:rPr>
      </w:pPr>
      <w:r w:rsidRPr="00920390">
        <w:rPr>
          <w:rFonts w:ascii="Verdana" w:eastAsia="Verdana" w:hAnsi="Verdana"/>
          <w:color w:val="0070C0"/>
          <w:szCs w:val="14"/>
          <w:lang w:val="pl-PL"/>
        </w:rPr>
        <w:t>Trybunał orzekł, że doszło do naruszenia art. 11 Konwencji, stwierdzając, że postępowanie karne przeciwko skarżącym za próbę założenia partii politycznej na bazie religijnej nie było konieczne w demokratycznym społeczeństwie. Trybunał podkreślił w szczególności, że wyrok skazujący stanowił jedną z najpoważniejszych form ingerencji w prawo do wolności zrzeszania się, którego jednym z celów była ochrona opinii i swoboda ich wyrażania, zwłaszcza w odniesieniu do partii politycznych. W niniejszej sprawie Trybunał zauważył, że skarżący nie dopełnili wymaganej procedury rejestracji partii politycznej. Zgodnie z prawem bułgarskim skutkiem tego uchybienia było to, że partia nie mogła istnieć ani angażować się w żadną działalność.</w:t>
      </w:r>
      <w:r w:rsidRPr="00920390">
        <w:rPr>
          <w:color w:val="0070C0"/>
        </w:rPr>
        <w:t xml:space="preserve"> </w:t>
      </w:r>
      <w:r w:rsidRPr="00920390">
        <w:rPr>
          <w:rFonts w:ascii="Verdana" w:eastAsia="Verdana" w:hAnsi="Verdana"/>
          <w:color w:val="0070C0"/>
          <w:szCs w:val="14"/>
          <w:lang w:val="pl-PL"/>
        </w:rPr>
        <w:t>W związku z tym rezultat, do którego dążyły władze - a mianowicie zapewnienie pokojowego współistnienia różnych grup etnicznych i religijnych w Bułgarii - mógł zostać osiągnięty za pomocą takiej procedury poprzez odmowę uwzględnienia wniosku o rejestrację partii politycznej. Istniała również możliwość rozwiązania przez władze partii, która została uznana przez Trybunał Konstytucyjny za niezgodną z konstytucją. Trybunał nie widział zatem powodu, dla którego w okolicznościach sprawy postępowanie karne w sprawie usiłowania założenia partii politycznej, które zakończyło się skazaniem skarżących i wymierzeniem im kary, stanowiąc tym samym szczególnie surową reakcję władz, było konieczne oprócz tych innych możliwości.</w:t>
      </w:r>
    </w:p>
    <w:p w14:paraId="378203EC" w14:textId="77777777" w:rsidR="00920390" w:rsidRDefault="00920390" w:rsidP="00920390">
      <w:pPr>
        <w:ind w:left="119" w:right="839"/>
        <w:jc w:val="both"/>
        <w:rPr>
          <w:rFonts w:ascii="Verdana" w:eastAsia="Verdana" w:hAnsi="Verdana"/>
          <w:color w:val="0070C0"/>
          <w:szCs w:val="14"/>
          <w:lang w:val="pl-PL"/>
        </w:rPr>
      </w:pPr>
    </w:p>
    <w:p w14:paraId="22FAF920" w14:textId="6BD43037" w:rsidR="00920390" w:rsidRPr="00920390" w:rsidRDefault="00920390" w:rsidP="00920390">
      <w:pPr>
        <w:ind w:left="119" w:right="839"/>
        <w:jc w:val="both"/>
        <w:rPr>
          <w:rFonts w:ascii="Verdana" w:eastAsia="Verdana" w:hAnsi="Verdana"/>
          <w:b/>
          <w:bCs/>
          <w:color w:val="0070C0"/>
          <w:szCs w:val="14"/>
          <w:lang w:val="pl-PL"/>
        </w:rPr>
      </w:pPr>
      <w:hyperlink r:id="rId29" w:anchor="{%22itemid%22:[%22003-7215227-9808618%22]}" w:history="1">
        <w:r w:rsidRPr="00920390">
          <w:rPr>
            <w:rStyle w:val="Hipercze"/>
            <w:rFonts w:ascii="Verdana" w:eastAsia="Verdana" w:hAnsi="Verdana"/>
            <w:b/>
            <w:bCs/>
            <w:szCs w:val="14"/>
            <w:lang w:val="pl-PL"/>
          </w:rPr>
          <w:t>Komitet ds. organizacji i rejestracji Rumuńskiej Partii Komunistycznej przeciwko Rumunii</w:t>
        </w:r>
      </w:hyperlink>
    </w:p>
    <w:p w14:paraId="11341260" w14:textId="77777777" w:rsidR="00920390" w:rsidRPr="00920390" w:rsidRDefault="00920390" w:rsidP="00920390">
      <w:pPr>
        <w:ind w:left="119" w:right="839"/>
        <w:jc w:val="both"/>
        <w:rPr>
          <w:rFonts w:ascii="Verdana" w:eastAsia="Verdana" w:hAnsi="Verdana"/>
          <w:color w:val="0070C0"/>
          <w:szCs w:val="14"/>
          <w:lang w:val="pl-PL"/>
        </w:rPr>
      </w:pPr>
      <w:r w:rsidRPr="00920390">
        <w:rPr>
          <w:rFonts w:ascii="Verdana" w:eastAsia="Verdana" w:hAnsi="Verdana"/>
          <w:color w:val="808080" w:themeColor="background1" w:themeShade="80"/>
          <w:sz w:val="18"/>
          <w:szCs w:val="12"/>
          <w:lang w:val="pl-PL"/>
        </w:rPr>
        <w:t>30 listopada 2021 r. (decyzja Komitetu)</w:t>
      </w:r>
    </w:p>
    <w:p w14:paraId="15B1A6DF" w14:textId="77777777" w:rsidR="00920390" w:rsidRPr="00920390" w:rsidRDefault="00920390" w:rsidP="00920390">
      <w:pPr>
        <w:ind w:left="119" w:right="839"/>
        <w:jc w:val="both"/>
        <w:rPr>
          <w:rFonts w:ascii="Verdana" w:eastAsia="Verdana" w:hAnsi="Verdana"/>
          <w:szCs w:val="14"/>
          <w:lang w:val="pl-PL"/>
        </w:rPr>
      </w:pPr>
      <w:r w:rsidRPr="00920390">
        <w:rPr>
          <w:rFonts w:ascii="Verdana" w:eastAsia="Verdana" w:hAnsi="Verdana"/>
          <w:szCs w:val="14"/>
          <w:lang w:val="pl-PL"/>
        </w:rPr>
        <w:t>Sprawa dotyczyła odrzucenia wniosku Rumuńskiej Partii Komunistycznej (RCP) o wpis na listę partii politycznych. Władze krajowe uznały, że program i konstytucja RCP zawierały niejasne i ogólne sformułowania, pomijające społeczną i polityczną ewolucję kraju od 1989 r., że zezwalały na totalitarne i ekstremistyczne działania mogące zaszkodzić bezpieczeństwu narodowemu, że stanowiły zagrożenie dla wartości demokratycznych oraz że partia nie odłączyła się od byłej Rumuńskiej Partii Komunistycznej (byłej RCP).</w:t>
      </w:r>
    </w:p>
    <w:p w14:paraId="721F0EF1" w14:textId="16CA1E52" w:rsidR="00920390" w:rsidRDefault="00920390" w:rsidP="00920390">
      <w:pPr>
        <w:ind w:left="119" w:right="839"/>
        <w:jc w:val="both"/>
        <w:rPr>
          <w:rFonts w:ascii="Verdana" w:eastAsia="Verdana" w:hAnsi="Verdana"/>
          <w:color w:val="0070C0"/>
          <w:szCs w:val="14"/>
          <w:lang w:val="pl-PL"/>
        </w:rPr>
      </w:pPr>
      <w:r w:rsidRPr="00920390">
        <w:rPr>
          <w:rFonts w:ascii="Verdana" w:eastAsia="Verdana" w:hAnsi="Verdana"/>
          <w:color w:val="0070C0"/>
          <w:szCs w:val="14"/>
          <w:lang w:val="pl-PL"/>
        </w:rPr>
        <w:t xml:space="preserve">Trybunał </w:t>
      </w:r>
      <w:r w:rsidRPr="00920390">
        <w:rPr>
          <w:rFonts w:ascii="Verdana" w:eastAsia="Verdana" w:hAnsi="Verdana"/>
          <w:b/>
          <w:bCs/>
          <w:color w:val="0070C0"/>
          <w:szCs w:val="14"/>
          <w:lang w:val="pl-PL"/>
        </w:rPr>
        <w:t>uznał skargę za niedopuszczalną</w:t>
      </w:r>
      <w:r w:rsidRPr="00920390">
        <w:rPr>
          <w:rFonts w:ascii="Verdana" w:eastAsia="Verdana" w:hAnsi="Verdana"/>
          <w:color w:val="0070C0"/>
          <w:szCs w:val="14"/>
          <w:lang w:val="pl-PL"/>
        </w:rPr>
        <w:t xml:space="preserve"> jako oczywiście bezzasadną, stwierdzając, że odmowa rejestracji skarżącego była „konieczna w demokratycznym społeczeństwie” w rozumieniu art. 11 Konwencji. Trybunał uznał w szczególności, że przeprowadzona przez sądy krajowe analiza konstytucji i programu politycznego przedstawionego przez skarżącego nie była bezpodstawna. Władze chciały uniemożliwić formacji politycznej, która przez długi czas poważnie nadużywała swojej pozycji, tworząc reżim totalitarny, nadużywanie swoich praw w przyszłości, a tym samym uniknąć jakiegokolwiek zagrożenia dla bezpieczeństwa narodowego lub podstaw społeczeństwa demokratycznego.</w:t>
      </w:r>
      <w:r w:rsidRPr="00920390">
        <w:t xml:space="preserve"> </w:t>
      </w:r>
      <w:r w:rsidRPr="00920390">
        <w:rPr>
          <w:rFonts w:ascii="Verdana" w:eastAsia="Verdana" w:hAnsi="Verdana"/>
          <w:color w:val="0070C0"/>
          <w:szCs w:val="14"/>
          <w:lang w:val="pl-PL"/>
        </w:rPr>
        <w:t>Odmowa ta była podyktowana chęcią przeciwdziałania szczególnie poważnym nadużyciom, choć tylko potencjalnym, które podważyłyby zasady państwa prawa i podstawy demokracji. Przedmiotowa ingerencja odpowiadała zatem „naglącej potrzebie społecznej” i nie była nieproporcjonalna do uzasadnionych celów, a mianowicie ochrony bezpieczeństwa narodowego oraz praw i wolności innych osób.</w:t>
      </w:r>
    </w:p>
    <w:p w14:paraId="3A3CD07E" w14:textId="77777777" w:rsidR="00920390" w:rsidRDefault="00920390" w:rsidP="00920390">
      <w:pPr>
        <w:ind w:left="119" w:right="839"/>
        <w:jc w:val="both"/>
        <w:rPr>
          <w:rFonts w:ascii="Verdana" w:eastAsia="Verdana" w:hAnsi="Verdana"/>
          <w:color w:val="0070C0"/>
          <w:szCs w:val="14"/>
          <w:lang w:val="pl-PL"/>
        </w:rPr>
      </w:pPr>
    </w:p>
    <w:p w14:paraId="6F0515B2" w14:textId="77777777" w:rsidR="00920390" w:rsidRDefault="00920390" w:rsidP="00920390">
      <w:pPr>
        <w:ind w:left="119" w:right="839"/>
        <w:jc w:val="both"/>
        <w:rPr>
          <w:rFonts w:ascii="Verdana" w:eastAsia="Verdana" w:hAnsi="Verdana"/>
          <w:color w:val="0070C0"/>
          <w:sz w:val="28"/>
          <w:lang w:val="pl-PL"/>
        </w:rPr>
      </w:pPr>
      <w:r w:rsidRPr="00920390">
        <w:rPr>
          <w:rFonts w:ascii="Verdana" w:eastAsia="Verdana" w:hAnsi="Verdana"/>
          <w:color w:val="0070C0"/>
          <w:sz w:val="28"/>
          <w:lang w:val="pl-PL"/>
        </w:rPr>
        <w:t>Finansowanie partii politycznych</w:t>
      </w:r>
    </w:p>
    <w:p w14:paraId="728AFE66" w14:textId="5F26D18C" w:rsidR="008D3C12" w:rsidRPr="00920390" w:rsidRDefault="008D3C12" w:rsidP="00920390">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3464F989" wp14:editId="25739BA5">
            <wp:extent cx="5785485" cy="36830"/>
            <wp:effectExtent l="0" t="0" r="5715" b="1270"/>
            <wp:docPr id="16793093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7C784E41" w14:textId="77777777" w:rsidR="00920390" w:rsidRDefault="00920390" w:rsidP="00920390">
      <w:pPr>
        <w:ind w:left="119" w:right="839"/>
        <w:jc w:val="both"/>
        <w:rPr>
          <w:rFonts w:ascii="Verdana" w:eastAsia="Verdana" w:hAnsi="Verdana"/>
          <w:color w:val="0070C0"/>
          <w:szCs w:val="14"/>
          <w:lang w:val="pl-PL"/>
        </w:rPr>
      </w:pPr>
    </w:p>
    <w:p w14:paraId="311E2DE0" w14:textId="14D26E4C" w:rsidR="00920390" w:rsidRPr="00920390" w:rsidRDefault="00300F68" w:rsidP="00920390">
      <w:pPr>
        <w:ind w:left="119" w:right="839"/>
        <w:jc w:val="both"/>
        <w:rPr>
          <w:rFonts w:ascii="Verdana" w:eastAsia="Verdana" w:hAnsi="Verdana"/>
          <w:b/>
          <w:bCs/>
          <w:color w:val="0070C0"/>
          <w:szCs w:val="14"/>
          <w:lang w:val="pl-PL"/>
        </w:rPr>
      </w:pPr>
      <w:hyperlink r:id="rId30" w:anchor="{%22itemid%22:[%22002-2677%22]}" w:history="1">
        <w:r w:rsidR="00920390" w:rsidRPr="00300F68">
          <w:rPr>
            <w:rStyle w:val="Hipercze"/>
            <w:rFonts w:ascii="Verdana" w:eastAsia="Verdana" w:hAnsi="Verdana"/>
            <w:b/>
            <w:bCs/>
            <w:szCs w:val="14"/>
            <w:lang w:val="pl-PL"/>
          </w:rPr>
          <w:t xml:space="preserve">Baskijska Partia Nacjonalistyczna - Organizacja Regionalna </w:t>
        </w:r>
        <w:proofErr w:type="spellStart"/>
        <w:r w:rsidR="00920390" w:rsidRPr="00300F68">
          <w:rPr>
            <w:rStyle w:val="Hipercze"/>
            <w:rFonts w:ascii="Verdana" w:eastAsia="Verdana" w:hAnsi="Verdana"/>
            <w:b/>
            <w:bCs/>
            <w:szCs w:val="14"/>
            <w:lang w:val="pl-PL"/>
          </w:rPr>
          <w:t>Iparralde</w:t>
        </w:r>
        <w:proofErr w:type="spellEnd"/>
        <w:r w:rsidR="00920390" w:rsidRPr="00300F68">
          <w:rPr>
            <w:rStyle w:val="Hipercze"/>
            <w:rFonts w:ascii="Verdana" w:eastAsia="Verdana" w:hAnsi="Verdana"/>
            <w:b/>
            <w:bCs/>
            <w:szCs w:val="14"/>
            <w:lang w:val="pl-PL"/>
          </w:rPr>
          <w:t xml:space="preserve"> przeciwko Francji</w:t>
        </w:r>
      </w:hyperlink>
    </w:p>
    <w:p w14:paraId="6DD2A68A" w14:textId="77777777" w:rsidR="00920390" w:rsidRPr="00920390" w:rsidRDefault="00920390" w:rsidP="00920390">
      <w:pPr>
        <w:ind w:left="119" w:right="839"/>
        <w:jc w:val="both"/>
        <w:rPr>
          <w:rFonts w:ascii="Verdana" w:eastAsia="Verdana" w:hAnsi="Verdana"/>
          <w:color w:val="808080" w:themeColor="background1" w:themeShade="80"/>
          <w:sz w:val="18"/>
          <w:szCs w:val="12"/>
          <w:lang w:val="pl-PL"/>
        </w:rPr>
      </w:pPr>
      <w:r w:rsidRPr="00920390">
        <w:rPr>
          <w:rFonts w:ascii="Verdana" w:eastAsia="Verdana" w:hAnsi="Verdana"/>
          <w:color w:val="808080" w:themeColor="background1" w:themeShade="80"/>
          <w:sz w:val="18"/>
          <w:szCs w:val="12"/>
          <w:lang w:val="pl-PL"/>
        </w:rPr>
        <w:t>7 czerwca 2007 r.</w:t>
      </w:r>
    </w:p>
    <w:p w14:paraId="454BF6DE" w14:textId="77777777" w:rsidR="00920390" w:rsidRPr="00920390" w:rsidRDefault="00920390" w:rsidP="00920390">
      <w:pPr>
        <w:ind w:left="119" w:right="839"/>
        <w:jc w:val="both"/>
        <w:rPr>
          <w:rFonts w:ascii="Verdana" w:eastAsia="Verdana" w:hAnsi="Verdana"/>
          <w:szCs w:val="14"/>
          <w:lang w:val="pl-PL"/>
        </w:rPr>
      </w:pPr>
      <w:r w:rsidRPr="00920390">
        <w:rPr>
          <w:rFonts w:ascii="Verdana" w:eastAsia="Verdana" w:hAnsi="Verdana"/>
          <w:szCs w:val="14"/>
          <w:lang w:val="pl-PL"/>
        </w:rPr>
        <w:t xml:space="preserve">Skarżąca partia jest francuskim „oddziałem” hiszpańskiej Baskijskiej Partii Nacjonalistycznej. Aby móc otrzymywać fundusze, w szczególności wkłady finansowe od partii hiszpańskiej, utworzyła ona stowarzyszenie finansujące zgodnie z ustawą z 1988 r. o życiu politycznym (przejrzystość finansowa). Zezwolenie na utworzenie stowarzyszenia, będące warunkiem wstępnym jego działalności, zostało jednak odrzucone ze względu na fakt, że większość środków skarżącej partii pochodziła ze wsparcia otrzymywanego od </w:t>
      </w:r>
      <w:r w:rsidRPr="00920390">
        <w:rPr>
          <w:rFonts w:ascii="Verdana" w:eastAsia="Verdana" w:hAnsi="Verdana"/>
          <w:szCs w:val="14"/>
          <w:lang w:val="pl-PL"/>
        </w:rPr>
        <w:lastRenderedPageBreak/>
        <w:t>partii hiszpańskiej. Skarżąca partia skarżyła się na niekorzystny wpływ na jej fundusze i zdolność do prowadzenia działalności politycznej, w szczególności w sferze wyborczej.</w:t>
      </w:r>
    </w:p>
    <w:p w14:paraId="7C18680E" w14:textId="30F61B9F" w:rsidR="00920390" w:rsidRDefault="00920390" w:rsidP="00300F68">
      <w:pPr>
        <w:ind w:left="119" w:right="839"/>
        <w:jc w:val="both"/>
        <w:rPr>
          <w:rFonts w:ascii="Verdana" w:eastAsia="Verdana" w:hAnsi="Verdana"/>
          <w:color w:val="0070C0"/>
          <w:szCs w:val="14"/>
          <w:lang w:val="pl-PL"/>
        </w:rPr>
      </w:pPr>
      <w:r w:rsidRPr="00920390">
        <w:rPr>
          <w:rFonts w:ascii="Verdana" w:eastAsia="Verdana" w:hAnsi="Verdana"/>
          <w:color w:val="0070C0"/>
          <w:szCs w:val="14"/>
          <w:lang w:val="pl-PL"/>
        </w:rPr>
        <w:t xml:space="preserve">Trybunał orzekł, że </w:t>
      </w:r>
      <w:r w:rsidRPr="00920390">
        <w:rPr>
          <w:rFonts w:ascii="Verdana" w:eastAsia="Verdana" w:hAnsi="Verdana"/>
          <w:b/>
          <w:bCs/>
          <w:color w:val="0070C0"/>
          <w:szCs w:val="14"/>
          <w:lang w:val="pl-PL"/>
        </w:rPr>
        <w:t>nie doszło do naruszenia Artykułu 11</w:t>
      </w:r>
      <w:r w:rsidRPr="00920390">
        <w:rPr>
          <w:rFonts w:ascii="Verdana" w:eastAsia="Verdana" w:hAnsi="Verdana"/>
          <w:color w:val="0070C0"/>
          <w:szCs w:val="14"/>
          <w:lang w:val="pl-PL"/>
        </w:rPr>
        <w:t xml:space="preserve"> rozpatrywanego samodzielnie lub w związku z Artykułem 10 (wolność wyrażania opinii) Konwencji. Trybunał uznał przede wszystkim, że odrzucenie wniosku o zatwierdzenie stowarzyszenia finansującego stanowiło ingerencję w korzystanie przez skarżącą stronę z praw zagwarantowanych w art. 11, które zostały określone przez prawo i służyły uzasadnionemu celowi zapobiegania zakłóceniom porządku. Jeśli chodzi o to, czy ingerencja była konieczna, Trybunał zauważył, że fakt, iż partie polityczne nie mogły otrzymywać funduszy od zagranicznych partii politycznych, nie był sam w sobie niezgodny z art. 11 Konwencji.</w:t>
      </w:r>
      <w:r w:rsidR="00300F68">
        <w:rPr>
          <w:rFonts w:ascii="Verdana" w:eastAsia="Verdana" w:hAnsi="Verdana"/>
          <w:color w:val="0070C0"/>
          <w:szCs w:val="14"/>
          <w:lang w:val="pl-PL"/>
        </w:rPr>
        <w:t xml:space="preserve"> </w:t>
      </w:r>
      <w:r w:rsidR="00300F68" w:rsidRPr="00300F68">
        <w:rPr>
          <w:rFonts w:ascii="Verdana" w:eastAsia="Verdana" w:hAnsi="Verdana"/>
          <w:color w:val="0070C0"/>
          <w:szCs w:val="14"/>
          <w:lang w:val="pl-PL"/>
        </w:rPr>
        <w:t>W związku z tym wskazał w szczególności, że chociaż skarżąca partia nie mogła otrzymać pomocy finansowej od hiszpańskiej Baskijskiej Partii Nacjonalistycznej, mogła jednak finansować swoją działalność polityczną ze składek członkowskich i darowizn od osób fizycznych - w tym spoza Francji - które mogła zbierać za pośrednictwem agenta finansowego lub stowarzyszenia finansującego zatwierdzonego na podstawie nowego wniosku. Co więcej, nic nie stało na przeszkodzie, by otrzymywała środki od innych francuskich partii politycznych lub korzystała z systemu finansowania publicznego wprowadzonego przez francuskiego ustawodawcę. Trybunał uznał zatem, że przedmiotowy środek nie miał nieproporcjonalnego wpływu na zdolność skarżącej partii do prowadzenia działalności politycznej. Chociaż zakaz otrzymywania wpłat od Hiszpańskiej Baskijskiej Partii Nacjonalistycznej miał wpływ na finanse partii, sytuacja, w której się znalazła, nie różniła się od sytuacji każdej małej partii politycznej borykającej się z brakiem funduszy.</w:t>
      </w:r>
    </w:p>
    <w:p w14:paraId="2E245617" w14:textId="77777777" w:rsidR="00300F68" w:rsidRDefault="00300F68" w:rsidP="00300F68">
      <w:pPr>
        <w:ind w:left="119" w:right="839"/>
        <w:jc w:val="both"/>
        <w:rPr>
          <w:rFonts w:ascii="Verdana" w:eastAsia="Verdana" w:hAnsi="Verdana"/>
          <w:color w:val="0070C0"/>
          <w:szCs w:val="14"/>
          <w:lang w:val="pl-PL"/>
        </w:rPr>
      </w:pPr>
    </w:p>
    <w:p w14:paraId="55BBDC71" w14:textId="27ACDFBC" w:rsidR="00300F68" w:rsidRPr="00300F68" w:rsidRDefault="00300F68" w:rsidP="00300F68">
      <w:pPr>
        <w:ind w:left="119" w:right="839"/>
        <w:jc w:val="both"/>
        <w:rPr>
          <w:rFonts w:ascii="Verdana" w:eastAsia="Verdana" w:hAnsi="Verdana"/>
          <w:b/>
          <w:bCs/>
          <w:color w:val="0070C0"/>
          <w:szCs w:val="14"/>
          <w:lang w:val="pl-PL"/>
        </w:rPr>
      </w:pPr>
      <w:hyperlink r:id="rId31" w:anchor="{%22itemid%22:[%22003-7137106-9672498%22]}" w:history="1">
        <w:proofErr w:type="spellStart"/>
        <w:r w:rsidRPr="00300F68">
          <w:rPr>
            <w:rStyle w:val="Hipercze"/>
            <w:rFonts w:ascii="Verdana" w:eastAsia="Verdana" w:hAnsi="Verdana"/>
            <w:b/>
            <w:bCs/>
            <w:szCs w:val="14"/>
            <w:lang w:val="pl-PL"/>
          </w:rPr>
          <w:t>Demokrat</w:t>
        </w:r>
        <w:proofErr w:type="spellEnd"/>
        <w:r w:rsidRPr="00300F68">
          <w:rPr>
            <w:rStyle w:val="Hipercze"/>
            <w:rFonts w:ascii="Verdana" w:eastAsia="Verdana" w:hAnsi="Verdana"/>
            <w:b/>
            <w:bCs/>
            <w:szCs w:val="14"/>
            <w:lang w:val="pl-PL"/>
          </w:rPr>
          <w:t xml:space="preserve"> </w:t>
        </w:r>
        <w:proofErr w:type="spellStart"/>
        <w:r w:rsidRPr="00300F68">
          <w:rPr>
            <w:rStyle w:val="Hipercze"/>
            <w:rFonts w:ascii="Verdana" w:eastAsia="Verdana" w:hAnsi="Verdana"/>
            <w:b/>
            <w:bCs/>
            <w:szCs w:val="14"/>
            <w:lang w:val="pl-PL"/>
          </w:rPr>
          <w:t>Parti</w:t>
        </w:r>
        <w:proofErr w:type="spellEnd"/>
        <w:r w:rsidRPr="00300F68">
          <w:rPr>
            <w:rStyle w:val="Hipercze"/>
            <w:rFonts w:ascii="Verdana" w:eastAsia="Verdana" w:hAnsi="Verdana"/>
            <w:b/>
            <w:bCs/>
            <w:szCs w:val="14"/>
            <w:lang w:val="pl-PL"/>
          </w:rPr>
          <w:t xml:space="preserve"> przeciwko Turcji</w:t>
        </w:r>
      </w:hyperlink>
    </w:p>
    <w:p w14:paraId="2304BDCF" w14:textId="77777777" w:rsidR="00300F68" w:rsidRPr="00300F68" w:rsidRDefault="00300F68" w:rsidP="00300F68">
      <w:pPr>
        <w:ind w:left="119" w:right="839"/>
        <w:jc w:val="both"/>
        <w:rPr>
          <w:rFonts w:ascii="Verdana" w:eastAsia="Verdana" w:hAnsi="Verdana"/>
          <w:color w:val="808080" w:themeColor="background1" w:themeShade="80"/>
          <w:sz w:val="18"/>
          <w:szCs w:val="12"/>
          <w:lang w:val="pl-PL"/>
        </w:rPr>
      </w:pPr>
      <w:r w:rsidRPr="00300F68">
        <w:rPr>
          <w:rFonts w:ascii="Verdana" w:eastAsia="Verdana" w:hAnsi="Verdana"/>
          <w:color w:val="808080" w:themeColor="background1" w:themeShade="80"/>
          <w:sz w:val="18"/>
          <w:szCs w:val="12"/>
          <w:lang w:val="pl-PL"/>
        </w:rPr>
        <w:t>7 września 2021 r. (decyzja o dopuszczalności)</w:t>
      </w:r>
    </w:p>
    <w:p w14:paraId="07F2711D" w14:textId="77777777" w:rsidR="00300F68" w:rsidRPr="00300F68" w:rsidRDefault="00300F68" w:rsidP="00300F68">
      <w:pPr>
        <w:ind w:left="119" w:right="839"/>
        <w:jc w:val="both"/>
        <w:rPr>
          <w:rFonts w:ascii="Verdana" w:eastAsia="Verdana" w:hAnsi="Verdana"/>
          <w:szCs w:val="14"/>
          <w:lang w:val="pl-PL"/>
        </w:rPr>
      </w:pPr>
      <w:r w:rsidRPr="00300F68">
        <w:rPr>
          <w:rFonts w:ascii="Verdana" w:eastAsia="Verdana" w:hAnsi="Verdana"/>
          <w:szCs w:val="14"/>
          <w:lang w:val="pl-PL"/>
        </w:rPr>
        <w:t>Sprawa ta dotyczyła odmowy przez Ministerstwo Finansów wypłacenia partii politycznej środków publicznych za rok 2006, po uchyleniu w maju 2005 r. sekcji 16 ustawy o partiach politycznych (ustawa nr 2820) - na podstawie której partia ta kwalifikowała się wcześniej do finansowania ze środków publicznych. Skarżąca partia argumentowała, że doszło do naruszenia jej prawa do wolności zrzeszania się i że była dyskryminowana, ponieważ przedmiotowe finansowanie zostało przyznane innym partiom politycznym. Stwierdziła również, że dyskryminacja ta doprowadziła do nierówności między różnymi partiami politycznymi biorącymi udział w kampanii wyborczej.</w:t>
      </w:r>
    </w:p>
    <w:p w14:paraId="0F2BA16E" w14:textId="563A3FF7" w:rsidR="00300F68" w:rsidRPr="00920390" w:rsidRDefault="00300F68" w:rsidP="00300F68">
      <w:pPr>
        <w:ind w:left="119" w:right="839"/>
        <w:jc w:val="both"/>
        <w:rPr>
          <w:rFonts w:ascii="Verdana" w:eastAsia="Verdana" w:hAnsi="Verdana"/>
          <w:color w:val="0070C0"/>
          <w:szCs w:val="14"/>
          <w:lang w:val="pl-PL"/>
        </w:rPr>
      </w:pPr>
      <w:r w:rsidRPr="00300F68">
        <w:rPr>
          <w:rFonts w:ascii="Verdana" w:eastAsia="Verdana" w:hAnsi="Verdana"/>
          <w:color w:val="0070C0"/>
          <w:szCs w:val="14"/>
          <w:lang w:val="pl-PL"/>
        </w:rPr>
        <w:t xml:space="preserve">Trybunał </w:t>
      </w:r>
      <w:r w:rsidRPr="00300F68">
        <w:rPr>
          <w:rFonts w:ascii="Verdana" w:eastAsia="Verdana" w:hAnsi="Verdana"/>
          <w:b/>
          <w:bCs/>
          <w:color w:val="0070C0"/>
          <w:szCs w:val="14"/>
          <w:lang w:val="pl-PL"/>
        </w:rPr>
        <w:t>uznał skargę za niedopuszczalną</w:t>
      </w:r>
      <w:r w:rsidRPr="00300F68">
        <w:rPr>
          <w:rFonts w:ascii="Verdana" w:eastAsia="Verdana" w:hAnsi="Verdana"/>
          <w:color w:val="0070C0"/>
          <w:szCs w:val="14"/>
          <w:lang w:val="pl-PL"/>
        </w:rPr>
        <w:t xml:space="preserve"> jako oczywiście bezzasadną. Powtórzył w szczególności, że różnica w traktowaniu może stanowić kwestię z punktu widzenia zakazu dyskryminacji przewidzianego w art. 14 (zakaz dyskryminacji) Konwencji tylko wtedy, gdy osoby poddane różnemu traktowaniu znajdują się w istotnie podobnej sytuacji, biorąc pod uwagę elementy charakteryzujące ich okoliczności w danym kontekście.</w:t>
      </w:r>
      <w:r>
        <w:rPr>
          <w:rFonts w:ascii="Verdana" w:eastAsia="Verdana" w:hAnsi="Verdana"/>
          <w:color w:val="0070C0"/>
          <w:szCs w:val="14"/>
          <w:lang w:val="pl-PL"/>
        </w:rPr>
        <w:t xml:space="preserve"> </w:t>
      </w:r>
      <w:r w:rsidRPr="00300F68">
        <w:rPr>
          <w:rFonts w:ascii="Verdana" w:eastAsia="Verdana" w:hAnsi="Verdana"/>
          <w:color w:val="0070C0"/>
          <w:szCs w:val="14"/>
          <w:lang w:val="pl-PL"/>
        </w:rPr>
        <w:t>W niniejszej sprawie Trybunał zauważył, że skarżąca partia nie była traktowana w sposób odmienny - w stosunku do innej partii politycznej znajdującej się w porównywalnej sytuacji - w zakresie korzystania ze swoich praw lub prowadzenia działalności politycznej, w rozumieniu art. 14 w związku z art. 11 Konwencji, z powodu odmowy wypłaty spornych środków publicznych za 2006 r.</w:t>
      </w:r>
    </w:p>
    <w:p w14:paraId="3A8BC2D7" w14:textId="77777777" w:rsidR="0076097F" w:rsidRDefault="0076097F" w:rsidP="0076097F">
      <w:pPr>
        <w:ind w:left="119" w:right="839"/>
        <w:jc w:val="both"/>
        <w:rPr>
          <w:rFonts w:ascii="Verdana" w:eastAsia="Verdana" w:hAnsi="Verdana"/>
          <w:szCs w:val="14"/>
          <w:lang w:val="pl-PL"/>
        </w:rPr>
      </w:pPr>
    </w:p>
    <w:p w14:paraId="0C9DBD7B" w14:textId="77777777" w:rsidR="00300F68" w:rsidRDefault="00300F68" w:rsidP="00300F68">
      <w:pPr>
        <w:ind w:left="119" w:right="839"/>
        <w:jc w:val="both"/>
        <w:rPr>
          <w:rFonts w:ascii="Verdana" w:eastAsia="Verdana" w:hAnsi="Verdana"/>
          <w:color w:val="0070C0"/>
          <w:sz w:val="28"/>
          <w:lang w:val="pl-PL"/>
        </w:rPr>
      </w:pPr>
      <w:r w:rsidRPr="00300F68">
        <w:rPr>
          <w:rFonts w:ascii="Verdana" w:eastAsia="Verdana" w:hAnsi="Verdana"/>
          <w:color w:val="0070C0"/>
          <w:sz w:val="28"/>
          <w:lang w:val="pl-PL"/>
        </w:rPr>
        <w:t>Kontrola wydatków partii politycznych</w:t>
      </w:r>
    </w:p>
    <w:p w14:paraId="48BF210D" w14:textId="0C2F2965" w:rsidR="008D3C12" w:rsidRPr="00300F68" w:rsidRDefault="008D3C12" w:rsidP="00300F68">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7CD34CFA" wp14:editId="20D450DE">
            <wp:extent cx="5785485" cy="36830"/>
            <wp:effectExtent l="0" t="0" r="5715" b="1270"/>
            <wp:docPr id="158391227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2BA90E4C" w14:textId="77777777" w:rsidR="00300F68" w:rsidRDefault="00300F68" w:rsidP="00300F68">
      <w:pPr>
        <w:ind w:left="119" w:right="839"/>
        <w:jc w:val="both"/>
        <w:rPr>
          <w:rFonts w:ascii="Verdana" w:eastAsia="Verdana" w:hAnsi="Verdana"/>
          <w:szCs w:val="14"/>
          <w:lang w:val="pl-PL"/>
        </w:rPr>
      </w:pPr>
    </w:p>
    <w:p w14:paraId="1A7ACA0A" w14:textId="160E089F" w:rsidR="00300F68" w:rsidRPr="00300F68" w:rsidRDefault="00300F68" w:rsidP="00300F68">
      <w:pPr>
        <w:ind w:left="119" w:right="839"/>
        <w:jc w:val="both"/>
        <w:rPr>
          <w:rFonts w:ascii="Verdana" w:eastAsia="Verdana" w:hAnsi="Verdana"/>
          <w:b/>
          <w:bCs/>
          <w:color w:val="0070C0"/>
          <w:szCs w:val="14"/>
          <w:lang w:val="pl-PL"/>
        </w:rPr>
      </w:pPr>
      <w:hyperlink r:id="rId32" w:anchor="{%22itemid%22:[%22003-5358353-6688225%22]}" w:history="1">
        <w:proofErr w:type="spellStart"/>
        <w:r w:rsidRPr="00300F68">
          <w:rPr>
            <w:rStyle w:val="Hipercze"/>
            <w:rFonts w:ascii="Verdana" w:eastAsia="Verdana" w:hAnsi="Verdana"/>
            <w:b/>
            <w:bCs/>
            <w:szCs w:val="14"/>
            <w:lang w:val="pl-PL"/>
          </w:rPr>
          <w:t>Cumhuriyet</w:t>
        </w:r>
        <w:proofErr w:type="spellEnd"/>
        <w:r w:rsidRPr="00300F68">
          <w:rPr>
            <w:rStyle w:val="Hipercze"/>
            <w:rFonts w:ascii="Verdana" w:eastAsia="Verdana" w:hAnsi="Verdana"/>
            <w:b/>
            <w:bCs/>
            <w:szCs w:val="14"/>
            <w:lang w:val="pl-PL"/>
          </w:rPr>
          <w:t xml:space="preserve"> Halk </w:t>
        </w:r>
        <w:proofErr w:type="spellStart"/>
        <w:r w:rsidRPr="00300F68">
          <w:rPr>
            <w:rStyle w:val="Hipercze"/>
            <w:rFonts w:ascii="Verdana" w:eastAsia="Verdana" w:hAnsi="Verdana"/>
            <w:b/>
            <w:bCs/>
            <w:szCs w:val="14"/>
            <w:lang w:val="pl-PL"/>
          </w:rPr>
          <w:t>Partisi</w:t>
        </w:r>
        <w:proofErr w:type="spellEnd"/>
        <w:r w:rsidRPr="00300F68">
          <w:rPr>
            <w:rStyle w:val="Hipercze"/>
            <w:rFonts w:ascii="Verdana" w:eastAsia="Verdana" w:hAnsi="Verdana"/>
            <w:b/>
            <w:bCs/>
            <w:szCs w:val="14"/>
            <w:lang w:val="pl-PL"/>
          </w:rPr>
          <w:t xml:space="preserve"> przeciwko Turcji</w:t>
        </w:r>
      </w:hyperlink>
    </w:p>
    <w:p w14:paraId="73A59781" w14:textId="77777777" w:rsidR="00300F68" w:rsidRPr="00300F68" w:rsidRDefault="00300F68" w:rsidP="00300F68">
      <w:pPr>
        <w:ind w:left="119" w:right="839"/>
        <w:jc w:val="both"/>
        <w:rPr>
          <w:rFonts w:ascii="Verdana" w:eastAsia="Verdana" w:hAnsi="Verdana"/>
          <w:color w:val="808080" w:themeColor="background1" w:themeShade="80"/>
          <w:sz w:val="18"/>
          <w:szCs w:val="12"/>
          <w:lang w:val="pl-PL"/>
        </w:rPr>
      </w:pPr>
      <w:r w:rsidRPr="00300F68">
        <w:rPr>
          <w:rFonts w:ascii="Verdana" w:eastAsia="Verdana" w:hAnsi="Verdana"/>
          <w:color w:val="808080" w:themeColor="background1" w:themeShade="80"/>
          <w:sz w:val="18"/>
          <w:szCs w:val="12"/>
          <w:lang w:val="pl-PL"/>
        </w:rPr>
        <w:t>26 kwietnia 2016 r.</w:t>
      </w:r>
    </w:p>
    <w:p w14:paraId="32B220B5" w14:textId="77777777" w:rsidR="00300F68" w:rsidRPr="00300F68" w:rsidRDefault="00300F68" w:rsidP="00300F68">
      <w:pPr>
        <w:ind w:left="119" w:right="839"/>
        <w:jc w:val="both"/>
        <w:rPr>
          <w:rFonts w:ascii="Verdana" w:eastAsia="Verdana" w:hAnsi="Verdana"/>
          <w:szCs w:val="14"/>
          <w:lang w:val="pl-PL"/>
        </w:rPr>
      </w:pPr>
      <w:r w:rsidRPr="00300F68">
        <w:rPr>
          <w:rFonts w:ascii="Verdana" w:eastAsia="Verdana" w:hAnsi="Verdana"/>
          <w:szCs w:val="14"/>
          <w:lang w:val="pl-PL"/>
        </w:rPr>
        <w:t xml:space="preserve">Sprawa dotyczyła konfiskaty znacznej części majątku głównej tureckiej partii opozycyjnej, </w:t>
      </w:r>
      <w:proofErr w:type="spellStart"/>
      <w:r w:rsidRPr="00300F68">
        <w:rPr>
          <w:rFonts w:ascii="Verdana" w:eastAsia="Verdana" w:hAnsi="Verdana"/>
          <w:szCs w:val="14"/>
          <w:lang w:val="pl-PL"/>
        </w:rPr>
        <w:t>Cumhuriyet</w:t>
      </w:r>
      <w:proofErr w:type="spellEnd"/>
      <w:r w:rsidRPr="00300F68">
        <w:rPr>
          <w:rFonts w:ascii="Verdana" w:eastAsia="Verdana" w:hAnsi="Verdana"/>
          <w:szCs w:val="14"/>
          <w:lang w:val="pl-PL"/>
        </w:rPr>
        <w:t xml:space="preserve"> Halk </w:t>
      </w:r>
      <w:proofErr w:type="spellStart"/>
      <w:r w:rsidRPr="00300F68">
        <w:rPr>
          <w:rFonts w:ascii="Verdana" w:eastAsia="Verdana" w:hAnsi="Verdana"/>
          <w:szCs w:val="14"/>
          <w:lang w:val="pl-PL"/>
        </w:rPr>
        <w:t>Partisi</w:t>
      </w:r>
      <w:proofErr w:type="spellEnd"/>
      <w:r w:rsidRPr="00300F68">
        <w:rPr>
          <w:rFonts w:ascii="Verdana" w:eastAsia="Verdana" w:hAnsi="Verdana"/>
          <w:szCs w:val="14"/>
          <w:lang w:val="pl-PL"/>
        </w:rPr>
        <w:t xml:space="preserve">, przez Trybunał Konstytucyjny w następstwie kontroli jej rachunków za lata 2007-2009. Skarżąca partia skarżyła się, że nakazy konfiskaty znacznie obciążyły finansowo jej działalność polityczną. W szczególności skarżyła się na brak zapewnienia przez władze w odpowiednim czasie jasnej, przewidywalnej i przewidywalnej podstawy prawnej umożliwiającej, po pierwsze, określenie z wyprzedzeniem rodzajów wydatków, które wchodzą w zakres „wydatków </w:t>
      </w:r>
      <w:r w:rsidRPr="00300F68">
        <w:rPr>
          <w:rFonts w:ascii="Verdana" w:eastAsia="Verdana" w:hAnsi="Verdana"/>
          <w:szCs w:val="14"/>
          <w:lang w:val="pl-PL"/>
        </w:rPr>
        <w:lastRenderedPageBreak/>
        <w:t>niezgodnych z prawem”, a po drugie, przewidzenie okoliczności, w których Trybunał Konstytucyjny wydałby ostrzeżenie, a nie nakaz konfiskaty, w odpowiedzi na nieprawidłowości finansowe.</w:t>
      </w:r>
    </w:p>
    <w:p w14:paraId="4B30479B" w14:textId="59FBA021" w:rsidR="00300F68" w:rsidRDefault="00300F68" w:rsidP="00300F68">
      <w:pPr>
        <w:ind w:left="119" w:right="839"/>
        <w:jc w:val="both"/>
        <w:rPr>
          <w:rFonts w:ascii="Verdana" w:eastAsia="Verdana" w:hAnsi="Verdana"/>
          <w:szCs w:val="14"/>
          <w:lang w:val="pl-PL"/>
        </w:rPr>
      </w:pPr>
      <w:r w:rsidRPr="00300F68">
        <w:rPr>
          <w:rFonts w:ascii="Verdana" w:eastAsia="Verdana" w:hAnsi="Verdana"/>
          <w:color w:val="0070C0"/>
          <w:szCs w:val="14"/>
          <w:lang w:val="pl-PL"/>
        </w:rPr>
        <w:t xml:space="preserve">Trybunał uznał, że </w:t>
      </w:r>
      <w:r w:rsidRPr="00300F68">
        <w:rPr>
          <w:rFonts w:ascii="Verdana" w:eastAsia="Verdana" w:hAnsi="Verdana"/>
          <w:b/>
          <w:bCs/>
          <w:color w:val="0070C0"/>
          <w:szCs w:val="14"/>
          <w:lang w:val="pl-PL"/>
        </w:rPr>
        <w:t>doszło do naruszenia art. 11</w:t>
      </w:r>
      <w:r w:rsidRPr="00300F68">
        <w:rPr>
          <w:rFonts w:ascii="Verdana" w:eastAsia="Verdana" w:hAnsi="Verdana"/>
          <w:color w:val="0070C0"/>
          <w:szCs w:val="14"/>
          <w:lang w:val="pl-PL"/>
        </w:rPr>
        <w:t xml:space="preserve"> Konwencji, stwierdzając, że wysoki standard przewidywalności wymagany w odniesieniu do przepisów regulujących kontrolę finansów partii politycznych nie został spełniony w sprawie skarżącej partii. Zauważył w szczególności, że wymaganie od partii politycznych poddania swoich finansów oficjalnej kontroli samo w sobie nie stanowiło naruszenia art. 11, ponieważ służyło celom przejrzystości i odpowiedzialności, zapewniając w ten sposób zaufanie publiczne do procesu politycznego.</w:t>
      </w:r>
      <w:r w:rsidRPr="00300F68">
        <w:rPr>
          <w:rFonts w:ascii="Verdana" w:eastAsia="Verdana" w:hAnsi="Verdana"/>
          <w:color w:val="0070C0"/>
          <w:szCs w:val="14"/>
          <w:lang w:val="pl-PL"/>
        </w:rPr>
        <w:t xml:space="preserve"> </w:t>
      </w:r>
      <w:r w:rsidRPr="00300F68">
        <w:rPr>
          <w:rFonts w:ascii="Verdana" w:eastAsia="Verdana" w:hAnsi="Verdana"/>
          <w:color w:val="0070C0"/>
          <w:szCs w:val="14"/>
          <w:lang w:val="pl-PL"/>
        </w:rPr>
        <w:t>Trybunał podkreślił jednak, że biorąc pod uwagę ważną rolę, jaką odgrywają partie polityczne w społeczeństwach demokratycznych, wszelkie regulacje prawne, które mogą skutkować ingerencją w ich wolność zrzeszania się, takie jak kontrola ich wydatków, muszą być sformułowane w sposób, który zapewnia rozsądne wskazanie, w jaki sposób przepisy te będą interpretowane i stosowane. W sprawie skarżącej partii zakres pojęcia niezgodnych z prawem wydatków na podstawie odpowiednich przepisów prawnych obowiązujących w tym czasie, jak również sankcje mające zastosowanie za niezgodne z prawem wydatki były jednak niejednoznaczne</w:t>
      </w:r>
      <w:r w:rsidRPr="00300F68">
        <w:rPr>
          <w:rFonts w:ascii="Verdana" w:eastAsia="Verdana" w:hAnsi="Verdana"/>
          <w:szCs w:val="14"/>
          <w:lang w:val="pl-PL"/>
        </w:rPr>
        <w:t>.</w:t>
      </w:r>
    </w:p>
    <w:p w14:paraId="35F31495" w14:textId="77777777" w:rsidR="008D3C12" w:rsidRDefault="008D3C12" w:rsidP="00300F68">
      <w:pPr>
        <w:ind w:left="119" w:right="839"/>
        <w:jc w:val="both"/>
        <w:rPr>
          <w:rFonts w:ascii="Verdana" w:eastAsia="Verdana" w:hAnsi="Verdana"/>
          <w:szCs w:val="14"/>
          <w:lang w:val="pl-PL"/>
        </w:rPr>
      </w:pPr>
    </w:p>
    <w:p w14:paraId="0D81C64F" w14:textId="77777777" w:rsidR="0076097F" w:rsidRDefault="0076097F" w:rsidP="0076097F">
      <w:pPr>
        <w:ind w:left="119" w:right="839"/>
        <w:jc w:val="both"/>
        <w:rPr>
          <w:rFonts w:ascii="Verdana" w:eastAsia="Verdana" w:hAnsi="Verdana"/>
          <w:szCs w:val="14"/>
          <w:lang w:val="pl-PL"/>
        </w:rPr>
      </w:pPr>
    </w:p>
    <w:p w14:paraId="17F10D30" w14:textId="5593BE38" w:rsidR="00CE6ACE" w:rsidRDefault="00CE6ACE" w:rsidP="00CE6ACE">
      <w:pPr>
        <w:ind w:left="119" w:right="839"/>
        <w:jc w:val="both"/>
        <w:rPr>
          <w:rFonts w:ascii="Verdana" w:eastAsia="Verdana" w:hAnsi="Verdana"/>
          <w:color w:val="0070C0"/>
          <w:sz w:val="28"/>
          <w:lang w:val="pl-PL"/>
        </w:rPr>
      </w:pPr>
      <w:r w:rsidRPr="00CE6ACE">
        <w:rPr>
          <w:rFonts w:ascii="Verdana" w:eastAsia="Verdana" w:hAnsi="Verdana"/>
          <w:color w:val="0070C0"/>
          <w:sz w:val="28"/>
          <w:lang w:val="pl-PL"/>
        </w:rPr>
        <w:t>Wolność przekazywania opinii i idei politycznych</w:t>
      </w:r>
    </w:p>
    <w:p w14:paraId="11C13575" w14:textId="2CCFDEA6" w:rsidR="008D3C12" w:rsidRPr="00CE6ACE" w:rsidRDefault="008D3C12" w:rsidP="00CE6ACE">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11F458A9" wp14:editId="2BEFE278">
            <wp:extent cx="5785485" cy="36830"/>
            <wp:effectExtent l="0" t="0" r="5715" b="1270"/>
            <wp:docPr id="25045777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5AF5AD7D" w14:textId="77777777" w:rsidR="00CE6ACE" w:rsidRDefault="00CE6ACE" w:rsidP="00CE6ACE">
      <w:pPr>
        <w:ind w:left="119" w:right="839"/>
        <w:jc w:val="both"/>
        <w:rPr>
          <w:rFonts w:ascii="Verdana" w:eastAsia="Verdana" w:hAnsi="Verdana"/>
          <w:szCs w:val="14"/>
          <w:lang w:val="pl-PL"/>
        </w:rPr>
      </w:pPr>
    </w:p>
    <w:p w14:paraId="2C5AB2F6" w14:textId="6B71FA67" w:rsidR="00CE6ACE" w:rsidRPr="00CE6ACE" w:rsidRDefault="00CE6ACE" w:rsidP="00CE6ACE">
      <w:pPr>
        <w:ind w:left="119" w:right="839"/>
        <w:jc w:val="both"/>
        <w:rPr>
          <w:rFonts w:ascii="Verdana" w:eastAsia="Verdana" w:hAnsi="Verdana"/>
          <w:b/>
          <w:bCs/>
          <w:color w:val="0070C0"/>
          <w:szCs w:val="14"/>
          <w:lang w:val="pl-PL"/>
        </w:rPr>
      </w:pPr>
      <w:hyperlink r:id="rId33" w:anchor="{%22itemid%22:[%22002-13382%22]}" w:history="1">
        <w:proofErr w:type="spellStart"/>
        <w:r w:rsidRPr="00CE6ACE">
          <w:rPr>
            <w:rStyle w:val="Hipercze"/>
            <w:rFonts w:ascii="Verdana" w:eastAsia="Verdana" w:hAnsi="Verdana"/>
            <w:b/>
            <w:bCs/>
            <w:szCs w:val="14"/>
            <w:lang w:val="pl-PL"/>
          </w:rPr>
          <w:t>Associazione</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Politica</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Nazionale</w:t>
        </w:r>
        <w:proofErr w:type="spellEnd"/>
        <w:r w:rsidRPr="00CE6ACE">
          <w:rPr>
            <w:rStyle w:val="Hipercze"/>
            <w:rFonts w:ascii="Verdana" w:eastAsia="Verdana" w:hAnsi="Verdana"/>
            <w:b/>
            <w:bCs/>
            <w:szCs w:val="14"/>
            <w:lang w:val="pl-PL"/>
          </w:rPr>
          <w:t xml:space="preserve"> Lista Marco </w:t>
        </w:r>
        <w:proofErr w:type="spellStart"/>
        <w:r w:rsidRPr="00CE6ACE">
          <w:rPr>
            <w:rStyle w:val="Hipercze"/>
            <w:rFonts w:ascii="Verdana" w:eastAsia="Verdana" w:hAnsi="Verdana"/>
            <w:b/>
            <w:bCs/>
            <w:szCs w:val="14"/>
            <w:lang w:val="pl-PL"/>
          </w:rPr>
          <w:t>Pannella</w:t>
        </w:r>
        <w:proofErr w:type="spellEnd"/>
        <w:r w:rsidRPr="00CE6ACE">
          <w:rPr>
            <w:rStyle w:val="Hipercze"/>
            <w:rFonts w:ascii="Verdana" w:eastAsia="Verdana" w:hAnsi="Verdana"/>
            <w:b/>
            <w:bCs/>
            <w:szCs w:val="14"/>
            <w:lang w:val="pl-PL"/>
          </w:rPr>
          <w:t xml:space="preserve"> et </w:t>
        </w:r>
        <w:proofErr w:type="spellStart"/>
        <w:r w:rsidRPr="00CE6ACE">
          <w:rPr>
            <w:rStyle w:val="Hipercze"/>
            <w:rFonts w:ascii="Verdana" w:eastAsia="Verdana" w:hAnsi="Verdana"/>
            <w:b/>
            <w:bCs/>
            <w:szCs w:val="14"/>
            <w:lang w:val="pl-PL"/>
          </w:rPr>
          <w:t>Radicali</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Italiani</w:t>
        </w:r>
        <w:proofErr w:type="spellEnd"/>
        <w:r w:rsidRPr="00CE6ACE">
          <w:rPr>
            <w:rStyle w:val="Hipercze"/>
            <w:rFonts w:ascii="Verdana" w:eastAsia="Verdana" w:hAnsi="Verdana"/>
            <w:b/>
            <w:bCs/>
            <w:szCs w:val="14"/>
            <w:lang w:val="pl-PL"/>
          </w:rPr>
          <w:t xml:space="preserve"> przeciwko Włochom</w:t>
        </w:r>
      </w:hyperlink>
      <w:r w:rsidRPr="00CE6ACE">
        <w:rPr>
          <w:rFonts w:ascii="Verdana" w:eastAsia="Verdana" w:hAnsi="Verdana"/>
          <w:b/>
          <w:bCs/>
          <w:color w:val="0070C0"/>
          <w:szCs w:val="14"/>
          <w:lang w:val="pl-PL"/>
        </w:rPr>
        <w:t xml:space="preserve"> i </w:t>
      </w:r>
      <w:hyperlink r:id="rId34" w:anchor="{%22itemid%22:[%22002-13382%22]}" w:history="1">
        <w:proofErr w:type="spellStart"/>
        <w:r w:rsidRPr="00CE6ACE">
          <w:rPr>
            <w:rStyle w:val="Hipercze"/>
            <w:rFonts w:ascii="Verdana" w:eastAsia="Verdana" w:hAnsi="Verdana"/>
            <w:b/>
            <w:bCs/>
            <w:szCs w:val="14"/>
            <w:lang w:val="pl-PL"/>
          </w:rPr>
          <w:t>Associazione</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Politica</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Nazionale</w:t>
        </w:r>
        <w:proofErr w:type="spellEnd"/>
        <w:r w:rsidRPr="00CE6ACE">
          <w:rPr>
            <w:rStyle w:val="Hipercze"/>
            <w:rFonts w:ascii="Verdana" w:eastAsia="Verdana" w:hAnsi="Verdana"/>
            <w:b/>
            <w:bCs/>
            <w:szCs w:val="14"/>
            <w:lang w:val="pl-PL"/>
          </w:rPr>
          <w:t xml:space="preserve"> Lista Marco </w:t>
        </w:r>
        <w:proofErr w:type="spellStart"/>
        <w:r w:rsidRPr="00CE6ACE">
          <w:rPr>
            <w:rStyle w:val="Hipercze"/>
            <w:rFonts w:ascii="Verdana" w:eastAsia="Verdana" w:hAnsi="Verdana"/>
            <w:b/>
            <w:bCs/>
            <w:szCs w:val="14"/>
            <w:lang w:val="pl-PL"/>
          </w:rPr>
          <w:t>Pannella</w:t>
        </w:r>
        <w:proofErr w:type="spellEnd"/>
        <w:r w:rsidRPr="00CE6ACE">
          <w:rPr>
            <w:rStyle w:val="Hipercze"/>
            <w:rFonts w:ascii="Verdana" w:eastAsia="Verdana" w:hAnsi="Verdana"/>
            <w:b/>
            <w:bCs/>
            <w:szCs w:val="14"/>
            <w:lang w:val="pl-PL"/>
          </w:rPr>
          <w:t xml:space="preserve"> przeciwko Włochom</w:t>
        </w:r>
      </w:hyperlink>
    </w:p>
    <w:p w14:paraId="2E904D5A" w14:textId="77777777" w:rsidR="00CE6ACE" w:rsidRPr="00CE6ACE" w:rsidRDefault="00CE6ACE" w:rsidP="00CE6ACE">
      <w:pPr>
        <w:ind w:left="119" w:right="839"/>
        <w:jc w:val="both"/>
        <w:rPr>
          <w:rFonts w:ascii="Verdana" w:eastAsia="Verdana" w:hAnsi="Verdana"/>
          <w:color w:val="808080" w:themeColor="background1" w:themeShade="80"/>
          <w:sz w:val="18"/>
          <w:szCs w:val="12"/>
          <w:lang w:val="pl-PL"/>
        </w:rPr>
      </w:pPr>
      <w:r w:rsidRPr="00CE6ACE">
        <w:rPr>
          <w:rFonts w:ascii="Verdana" w:eastAsia="Verdana" w:hAnsi="Verdana"/>
          <w:color w:val="808080" w:themeColor="background1" w:themeShade="80"/>
          <w:sz w:val="18"/>
          <w:szCs w:val="12"/>
          <w:lang w:val="pl-PL"/>
        </w:rPr>
        <w:t>31 sierpnia 2021 r.</w:t>
      </w:r>
    </w:p>
    <w:p w14:paraId="70F44232" w14:textId="77777777" w:rsidR="00CE6ACE" w:rsidRPr="00CE6ACE" w:rsidRDefault="00CE6ACE" w:rsidP="00CE6ACE">
      <w:pPr>
        <w:ind w:left="119" w:right="839"/>
        <w:jc w:val="both"/>
        <w:rPr>
          <w:rFonts w:ascii="Verdana" w:eastAsia="Verdana" w:hAnsi="Verdana"/>
          <w:szCs w:val="14"/>
          <w:lang w:val="pl-PL"/>
        </w:rPr>
      </w:pPr>
      <w:r w:rsidRPr="00CE6ACE">
        <w:rPr>
          <w:rFonts w:ascii="Verdana" w:eastAsia="Verdana" w:hAnsi="Verdana"/>
          <w:szCs w:val="14"/>
          <w:lang w:val="pl-PL"/>
        </w:rPr>
        <w:t>Pierwszy skarżący, stowarzyszenie polityczne, skarżył się, że trzy kanały telewizyjne państwowego nadawcy RAI zaprzestały nadawania programu poświęconego debacie politycznej, znanego jako „platformy polityczne”. W drugiej sprawie to samo stowarzyszenie skarżyło się, że jego przedstawiciele nie zostali zaproszeni do udziału w najważniejszych programach informacyjnych nadawanych przez RAI, podczas gdy wzięli w nich udział przedstawiciele innych formacji politycznych. Skarżące stowarzyszenia polityczne twierdziły, że padły ofiarą naruszenia ich prawa do wolności głoszenia swoich poglądów i idei politycznych w mediach poza okresami wyborczymi.</w:t>
      </w:r>
    </w:p>
    <w:p w14:paraId="2BE6A75B" w14:textId="3CBA12CE" w:rsidR="00CE6ACE" w:rsidRPr="00CE6ACE" w:rsidRDefault="00CE6ACE" w:rsidP="00CE6ACE">
      <w:pPr>
        <w:ind w:left="119" w:right="839"/>
        <w:jc w:val="both"/>
        <w:rPr>
          <w:rFonts w:ascii="Verdana" w:eastAsia="Verdana" w:hAnsi="Verdana"/>
          <w:color w:val="0070C0"/>
          <w:szCs w:val="14"/>
          <w:lang w:val="pl-PL"/>
        </w:rPr>
      </w:pPr>
      <w:r w:rsidRPr="00CE6ACE">
        <w:rPr>
          <w:rFonts w:ascii="Verdana" w:eastAsia="Verdana" w:hAnsi="Verdana"/>
          <w:color w:val="0070C0"/>
          <w:szCs w:val="14"/>
          <w:lang w:val="pl-PL"/>
        </w:rPr>
        <w:t>W sprawie pierwszego skarżącego Trybunał orzekł, że nie doszło do naruszenia Artykułu 10 (wolność wyrażania opinii) Konwencji, stwierdzając, że zaprzestanie działalności „platform politycznych” nie pozbawiło skarżącego stowarzyszenia możliwości przekazywania swoich opinii, a zatem nie mogło być uznane za nieproporcjonalną ingerencję w jego prawo do wolności wyrażania opinii.</w:t>
      </w:r>
      <w:r w:rsidRPr="00CE6ACE">
        <w:rPr>
          <w:rFonts w:ascii="Verdana" w:eastAsia="Verdana" w:hAnsi="Verdana"/>
          <w:color w:val="0070C0"/>
          <w:szCs w:val="14"/>
          <w:lang w:val="pl-PL"/>
        </w:rPr>
        <w:t xml:space="preserve"> </w:t>
      </w:r>
      <w:r w:rsidRPr="00CE6ACE">
        <w:rPr>
          <w:rFonts w:ascii="Verdana" w:eastAsia="Verdana" w:hAnsi="Verdana"/>
          <w:color w:val="0070C0"/>
          <w:szCs w:val="14"/>
          <w:lang w:val="pl-PL"/>
        </w:rPr>
        <w:t>Trybunał uznał jednak, że w sprawie pierwszego skarżącego doszło do naruszenia art. 13 (prawo do skutecznego środka odwoławczego) Konwencji w związku z art. 10, ponieważ skarżące stowarzyszenie nie miało środka odwoławczego, za pomocą którego mogłoby złożyć skargę do władz krajowych na zaprzestanie działalności „platform politycznych” i domniemane naruszenie jego prawa do wolności wypowiedzi. W odniesieniu do drugiego skarżącego Trybunał uznał, że w sprawie doszło do naruszenia art. 10 Konwencji, stwierdzając, że środki podjęte przez władze krajowe w celu naprawienia nierównowagi, która doprowadziła do wykluczenia skarżącego stowarzyszenia z debaty politycznej, były niewystarczające.</w:t>
      </w:r>
    </w:p>
    <w:p w14:paraId="719E2552" w14:textId="77777777" w:rsidR="00CE6ACE" w:rsidRPr="00CE6ACE" w:rsidRDefault="00CE6ACE" w:rsidP="00CE6ACE">
      <w:pPr>
        <w:ind w:left="119" w:right="839"/>
        <w:jc w:val="both"/>
        <w:rPr>
          <w:rFonts w:ascii="Verdana" w:eastAsia="Verdana" w:hAnsi="Verdana"/>
          <w:szCs w:val="14"/>
          <w:lang w:val="pl-PL"/>
        </w:rPr>
      </w:pPr>
    </w:p>
    <w:p w14:paraId="39DA1B8C" w14:textId="4AAF28B9" w:rsidR="0076097F" w:rsidRDefault="00CE6ACE" w:rsidP="00CE6ACE">
      <w:pPr>
        <w:ind w:left="119" w:right="839"/>
        <w:jc w:val="both"/>
        <w:rPr>
          <w:rFonts w:ascii="Verdana" w:eastAsia="Verdana" w:hAnsi="Verdana"/>
          <w:color w:val="0070C0"/>
          <w:sz w:val="28"/>
          <w:lang w:val="pl-PL"/>
        </w:rPr>
      </w:pPr>
      <w:r w:rsidRPr="00CE6ACE">
        <w:rPr>
          <w:rFonts w:ascii="Verdana" w:eastAsia="Verdana" w:hAnsi="Verdana"/>
          <w:color w:val="0070C0"/>
          <w:sz w:val="28"/>
          <w:lang w:val="pl-PL"/>
        </w:rPr>
        <w:t>Organizowanie kongresów</w:t>
      </w:r>
    </w:p>
    <w:p w14:paraId="5A10D684" w14:textId="44961D45" w:rsidR="008D3C12" w:rsidRPr="00CE6ACE" w:rsidRDefault="008D3C12" w:rsidP="00CE6ACE">
      <w:pPr>
        <w:ind w:left="119" w:right="839"/>
        <w:jc w:val="both"/>
        <w:rPr>
          <w:rFonts w:ascii="Verdana" w:eastAsia="Verdana" w:hAnsi="Verdana"/>
          <w:color w:val="0070C0"/>
          <w:sz w:val="28"/>
          <w:lang w:val="pl-PL"/>
        </w:rPr>
      </w:pPr>
      <w:r>
        <w:rPr>
          <w:rFonts w:ascii="Verdana" w:eastAsia="Verdana" w:hAnsi="Verdana"/>
          <w:noProof/>
          <w:color w:val="0070C0"/>
          <w:sz w:val="28"/>
          <w:lang w:val="pl-PL"/>
        </w:rPr>
        <w:drawing>
          <wp:inline distT="0" distB="0" distL="0" distR="0" wp14:anchorId="200FFEAB" wp14:editId="6974E585">
            <wp:extent cx="5785485" cy="36830"/>
            <wp:effectExtent l="0" t="0" r="5715" b="1270"/>
            <wp:docPr id="21218590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5485" cy="36830"/>
                    </a:xfrm>
                    <a:prstGeom prst="rect">
                      <a:avLst/>
                    </a:prstGeom>
                    <a:noFill/>
                  </pic:spPr>
                </pic:pic>
              </a:graphicData>
            </a:graphic>
          </wp:inline>
        </w:drawing>
      </w:r>
    </w:p>
    <w:p w14:paraId="144B6DDD" w14:textId="77777777" w:rsidR="0076097F" w:rsidRDefault="0076097F" w:rsidP="0076097F">
      <w:pPr>
        <w:ind w:left="119" w:right="839"/>
        <w:jc w:val="both"/>
        <w:rPr>
          <w:rFonts w:ascii="Verdana" w:eastAsia="Verdana" w:hAnsi="Verdana"/>
          <w:szCs w:val="14"/>
          <w:lang w:val="pl-PL"/>
        </w:rPr>
      </w:pPr>
    </w:p>
    <w:p w14:paraId="14BA6E0C" w14:textId="5A145D6A" w:rsidR="00CE6ACE" w:rsidRPr="00CE6ACE" w:rsidRDefault="00CE6ACE" w:rsidP="00CE6ACE">
      <w:pPr>
        <w:ind w:left="119" w:right="839"/>
        <w:jc w:val="both"/>
        <w:rPr>
          <w:rFonts w:ascii="Verdana" w:eastAsia="Verdana" w:hAnsi="Verdana"/>
          <w:b/>
          <w:bCs/>
          <w:szCs w:val="14"/>
          <w:lang w:val="pl-PL"/>
        </w:rPr>
      </w:pPr>
      <w:hyperlink r:id="rId35" w:anchor="{%22itemid%22:[%22002-13658%22]}" w:history="1">
        <w:proofErr w:type="spellStart"/>
        <w:r w:rsidRPr="00CE6ACE">
          <w:rPr>
            <w:rStyle w:val="Hipercze"/>
            <w:rFonts w:ascii="Verdana" w:eastAsia="Verdana" w:hAnsi="Verdana"/>
            <w:b/>
            <w:bCs/>
            <w:szCs w:val="14"/>
            <w:lang w:val="pl-PL"/>
          </w:rPr>
          <w:t>Yeşiller</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ve</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Sol</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Gelecek</w:t>
        </w:r>
        <w:proofErr w:type="spellEnd"/>
        <w:r w:rsidRPr="00CE6ACE">
          <w:rPr>
            <w:rStyle w:val="Hipercze"/>
            <w:rFonts w:ascii="Verdana" w:eastAsia="Verdana" w:hAnsi="Verdana"/>
            <w:b/>
            <w:bCs/>
            <w:szCs w:val="14"/>
            <w:lang w:val="pl-PL"/>
          </w:rPr>
          <w:t xml:space="preserve"> </w:t>
        </w:r>
        <w:proofErr w:type="spellStart"/>
        <w:r w:rsidRPr="00CE6ACE">
          <w:rPr>
            <w:rStyle w:val="Hipercze"/>
            <w:rFonts w:ascii="Verdana" w:eastAsia="Verdana" w:hAnsi="Verdana"/>
            <w:b/>
            <w:bCs/>
            <w:szCs w:val="14"/>
            <w:lang w:val="pl-PL"/>
          </w:rPr>
          <w:t>Partisi</w:t>
        </w:r>
        <w:proofErr w:type="spellEnd"/>
        <w:r w:rsidRPr="00CE6ACE">
          <w:rPr>
            <w:rStyle w:val="Hipercze"/>
            <w:rFonts w:ascii="Verdana" w:eastAsia="Verdana" w:hAnsi="Verdana"/>
            <w:b/>
            <w:bCs/>
            <w:szCs w:val="14"/>
            <w:lang w:val="pl-PL"/>
          </w:rPr>
          <w:t xml:space="preserve"> przeciwko Turcji</w:t>
        </w:r>
      </w:hyperlink>
    </w:p>
    <w:p w14:paraId="4F1C6C8B" w14:textId="475D84B8" w:rsidR="00CE6ACE" w:rsidRPr="00CE6ACE" w:rsidRDefault="00CE6ACE" w:rsidP="00CE6ACE">
      <w:pPr>
        <w:ind w:left="119" w:right="839"/>
        <w:jc w:val="both"/>
        <w:rPr>
          <w:rFonts w:ascii="Verdana" w:eastAsia="Verdana" w:hAnsi="Verdana"/>
          <w:color w:val="808080" w:themeColor="background1" w:themeShade="80"/>
          <w:sz w:val="18"/>
          <w:szCs w:val="12"/>
          <w:lang w:val="pl-PL"/>
        </w:rPr>
      </w:pPr>
      <w:r w:rsidRPr="00CE6ACE">
        <w:rPr>
          <w:rFonts w:ascii="Verdana" w:eastAsia="Verdana" w:hAnsi="Verdana"/>
          <w:color w:val="808080" w:themeColor="background1" w:themeShade="80"/>
          <w:sz w:val="18"/>
          <w:szCs w:val="12"/>
          <w:lang w:val="pl-PL"/>
        </w:rPr>
        <w:t>10 maja 2022 r.</w:t>
      </w:r>
      <w:r w:rsidRPr="00CE6ACE">
        <w:rPr>
          <w:rStyle w:val="Odwoanieprzypisudolnego"/>
          <w:rFonts w:ascii="Verdana" w:eastAsia="Verdana" w:hAnsi="Verdana"/>
          <w:color w:val="808080" w:themeColor="background1" w:themeShade="80"/>
          <w:sz w:val="18"/>
          <w:szCs w:val="12"/>
          <w:lang w:val="pl-PL"/>
        </w:rPr>
        <w:footnoteReference w:id="1"/>
      </w:r>
    </w:p>
    <w:p w14:paraId="107CF474" w14:textId="77777777" w:rsidR="00CE6ACE" w:rsidRPr="00CE6ACE" w:rsidRDefault="00CE6ACE" w:rsidP="00CE6ACE">
      <w:pPr>
        <w:ind w:left="119" w:right="839"/>
        <w:jc w:val="both"/>
        <w:rPr>
          <w:rFonts w:ascii="Verdana" w:eastAsia="Verdana" w:hAnsi="Verdana"/>
          <w:szCs w:val="14"/>
          <w:lang w:val="pl-PL"/>
        </w:rPr>
      </w:pPr>
      <w:r w:rsidRPr="00CE6ACE">
        <w:rPr>
          <w:rFonts w:ascii="Verdana" w:eastAsia="Verdana" w:hAnsi="Verdana"/>
          <w:szCs w:val="14"/>
          <w:lang w:val="pl-PL"/>
        </w:rPr>
        <w:lastRenderedPageBreak/>
        <w:t xml:space="preserve">Sprawa ta dotyczyła odmowy Krajowej Komisji Wyborczej zezwolenia skarżącej partii („Zieloni i Lewicowa Partia Przyszłości”) na zorganizowanie lokalnych konferencji partyjnych w miastach Ankara, Antalya i </w:t>
      </w:r>
      <w:proofErr w:type="spellStart"/>
      <w:r w:rsidRPr="00CE6ACE">
        <w:rPr>
          <w:rFonts w:ascii="Verdana" w:eastAsia="Verdana" w:hAnsi="Verdana"/>
          <w:szCs w:val="14"/>
          <w:lang w:val="pl-PL"/>
        </w:rPr>
        <w:t>Artvin</w:t>
      </w:r>
      <w:proofErr w:type="spellEnd"/>
      <w:r w:rsidRPr="00CE6ACE">
        <w:rPr>
          <w:rFonts w:ascii="Verdana" w:eastAsia="Verdana" w:hAnsi="Verdana"/>
          <w:szCs w:val="14"/>
          <w:lang w:val="pl-PL"/>
        </w:rPr>
        <w:t xml:space="preserve"> w 2013 r., na tej podstawie, że nie posiadała ona oddziałów w co najmniej jednej trzeciej gmin w tych miastach.</w:t>
      </w:r>
    </w:p>
    <w:p w14:paraId="0D16A738" w14:textId="41EE472D" w:rsidR="004E2988" w:rsidRPr="008D3C12" w:rsidRDefault="00CE6ACE" w:rsidP="008D3C12">
      <w:pPr>
        <w:ind w:left="119" w:right="839"/>
        <w:jc w:val="both"/>
        <w:rPr>
          <w:rFonts w:ascii="Verdana" w:eastAsia="Verdana" w:hAnsi="Verdana"/>
          <w:color w:val="0070C0"/>
          <w:szCs w:val="14"/>
          <w:lang w:val="pl-PL"/>
        </w:rPr>
      </w:pPr>
      <w:r w:rsidRPr="00CE6ACE">
        <w:rPr>
          <w:rFonts w:ascii="Verdana" w:eastAsia="Verdana" w:hAnsi="Verdana"/>
          <w:color w:val="0070C0"/>
          <w:szCs w:val="14"/>
          <w:lang w:val="pl-PL"/>
        </w:rPr>
        <w:t xml:space="preserve">Trybunał uznał, że </w:t>
      </w:r>
      <w:r w:rsidRPr="00CE6ACE">
        <w:rPr>
          <w:rFonts w:ascii="Verdana" w:eastAsia="Verdana" w:hAnsi="Verdana"/>
          <w:b/>
          <w:bCs/>
          <w:color w:val="0070C0"/>
          <w:szCs w:val="14"/>
          <w:lang w:val="pl-PL"/>
        </w:rPr>
        <w:t>nie doszło do naruszenia art. 11</w:t>
      </w:r>
      <w:r w:rsidRPr="00CE6ACE">
        <w:rPr>
          <w:rFonts w:ascii="Verdana" w:eastAsia="Verdana" w:hAnsi="Verdana"/>
          <w:color w:val="0070C0"/>
          <w:szCs w:val="14"/>
          <w:lang w:val="pl-PL"/>
        </w:rPr>
        <w:t xml:space="preserve"> Konwencji, stwierdzając, że powody podane przez Krajową Komisję Wyborczą były istotne i wystarczające, a ingerencja w prawo skarżącej partii do wolności zrzeszania się była proporcjonalna do uzasadnionego celu realizowanego w społeczeństwie demokratycznym. Trybunał zauważył w szczególności, że powody przedstawione w zaskarżonych decyzjach, a także powody przedstawione przez ustawodawcę, nie uniemożliwiły skarżącej partii korzystania z prawa do wolności prowadzenia działalności stowarzyszeniowej w charakterze partii politycznej. Trybunał uznał również, że nie doszło do naruszenia Artykułu 13 (prawo do skutecznego środka odwoławczego) Konwencji w związku z Artykułem 11, ponieważ skarżąca partia miała skuteczny środek odwoławczy przed sądem krajowym poprzez możliwość zwrócenia się do Państwowej Komisji Wyborczej, najwyższego sądu krajowego właściwego do orzekania w takich sporach na mocy obowiązującego prawa krajowego.</w:t>
      </w:r>
    </w:p>
    <w:p w14:paraId="149B262B" w14:textId="77777777" w:rsidR="00B155E5" w:rsidRDefault="00B155E5" w:rsidP="005C2070">
      <w:pPr>
        <w:ind w:right="839"/>
        <w:jc w:val="both"/>
        <w:rPr>
          <w:rFonts w:ascii="Verdana" w:eastAsia="Verdana" w:hAnsi="Verdana"/>
          <w:color w:val="0072BC"/>
          <w:lang w:val="pl-PL"/>
        </w:rPr>
      </w:pPr>
    </w:p>
    <w:p w14:paraId="1FB54E9D" w14:textId="613CBE5C" w:rsidR="00597FA4" w:rsidRPr="00597FA4" w:rsidRDefault="00667B8B" w:rsidP="00EC02BD">
      <w:pPr>
        <w:ind w:left="119" w:right="839"/>
        <w:jc w:val="both"/>
        <w:rPr>
          <w:rFonts w:ascii="Verdana" w:eastAsia="Verdana" w:hAnsi="Verdana"/>
          <w:color w:val="0072BC"/>
          <w:lang w:val="pl-PL"/>
        </w:rPr>
      </w:pPr>
      <w:r>
        <w:rPr>
          <w:rFonts w:ascii="Verdana" w:eastAsia="Verdana" w:hAnsi="Verdana"/>
          <w:noProof/>
          <w:color w:val="0072BC"/>
        </w:rPr>
        <mc:AlternateContent>
          <mc:Choice Requires="wps">
            <w:drawing>
              <wp:anchor distT="0" distB="0" distL="114300" distR="114300" simplePos="0" relativeHeight="251662848" behindDoc="1" locked="0" layoutInCell="1" allowOverlap="1" wp14:anchorId="0AAEDC07" wp14:editId="219B6349">
                <wp:simplePos x="0" y="0"/>
                <wp:positionH relativeFrom="column">
                  <wp:posOffset>-13335</wp:posOffset>
                </wp:positionH>
                <wp:positionV relativeFrom="paragraph">
                  <wp:posOffset>97790</wp:posOffset>
                </wp:positionV>
                <wp:extent cx="5768340" cy="0"/>
                <wp:effectExtent l="6350" t="13970" r="6985" b="14605"/>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71A7" id="Line 9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4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" strokecolor="#999" strokeweight=".33831mm"/>
            </w:pict>
          </mc:Fallback>
        </mc:AlternateContent>
      </w:r>
    </w:p>
    <w:p w14:paraId="0995ADA9" w14:textId="77777777" w:rsidR="008B2F08" w:rsidRDefault="008B2F08" w:rsidP="00791AFA">
      <w:pPr>
        <w:pStyle w:val="Nagwek2"/>
        <w:spacing w:before="63" w:line="243" w:lineRule="exact"/>
        <w:ind w:left="0" w:right="-47"/>
        <w:jc w:val="center"/>
        <w:rPr>
          <w:b w:val="0"/>
          <w:bCs w:val="0"/>
          <w:u w:val="none"/>
        </w:rPr>
      </w:pPr>
      <w:r>
        <w:rPr>
          <w:color w:val="808080"/>
          <w:u w:val="none"/>
        </w:rPr>
        <w:t>Kontakt dla Mediów:</w:t>
      </w:r>
    </w:p>
    <w:p w14:paraId="4E33F0F4" w14:textId="77777777" w:rsidR="008B2F08" w:rsidRDefault="008B2F08" w:rsidP="00791AFA">
      <w:pPr>
        <w:pStyle w:val="Tekstpodstawowy"/>
        <w:spacing w:line="243" w:lineRule="exact"/>
        <w:ind w:left="0" w:right="-47"/>
        <w:jc w:val="center"/>
      </w:pPr>
      <w:r>
        <w:rPr>
          <w:color w:val="808080"/>
        </w:rPr>
        <w:t>Tel.: +33 (0)3 90 21 42 08</w:t>
      </w:r>
    </w:p>
    <w:p w14:paraId="39AFA233" w14:textId="77777777" w:rsidR="00183DCC" w:rsidRDefault="00183DCC" w:rsidP="005715B6">
      <w:pPr>
        <w:ind w:left="119" w:right="839"/>
        <w:jc w:val="both"/>
        <w:rPr>
          <w:rFonts w:ascii="Verdana" w:eastAsia="Verdana" w:hAnsi="Verdana"/>
          <w:color w:val="0072BC"/>
        </w:rPr>
      </w:pPr>
    </w:p>
    <w:sectPr w:rsidR="00183DCC" w:rsidSect="00324341">
      <w:headerReference w:type="default" r:id="rId36"/>
      <w:footerReference w:type="default" r:id="rId37"/>
      <w:headerReference w:type="first" r:id="rId38"/>
      <w:footerReference w:type="first" r:id="rId39"/>
      <w:type w:val="continuous"/>
      <w:pgSz w:w="11900" w:h="16838"/>
      <w:pgMar w:top="1418" w:right="703" w:bottom="1418" w:left="1321" w:header="624" w:footer="567" w:gutter="0"/>
      <w:cols w:space="0" w:equalWidth="0">
        <w:col w:w="987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5D50" w14:textId="77777777" w:rsidR="002D7883" w:rsidRDefault="002D7883" w:rsidP="00F07FDE">
      <w:r>
        <w:separator/>
      </w:r>
    </w:p>
  </w:endnote>
  <w:endnote w:type="continuationSeparator" w:id="0">
    <w:p w14:paraId="76B588C3" w14:textId="77777777" w:rsidR="002D7883" w:rsidRDefault="002D7883" w:rsidP="00F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38F" w14:textId="77777777" w:rsidR="008B0406" w:rsidRDefault="008B0406">
    <w:pPr>
      <w:pStyle w:val="Stopka"/>
      <w:jc w:val="center"/>
    </w:pPr>
    <w:r>
      <w:fldChar w:fldCharType="begin"/>
    </w:r>
    <w:r>
      <w:instrText>PAGE   \* MERGEFORMAT</w:instrText>
    </w:r>
    <w:r>
      <w:fldChar w:fldCharType="separate"/>
    </w:r>
    <w:r w:rsidRPr="008B0406">
      <w:rPr>
        <w:noProof/>
        <w:lang w:val="pl-PL"/>
      </w:rPr>
      <w:t>25</w:t>
    </w:r>
    <w:r>
      <w:fldChar w:fldCharType="end"/>
    </w:r>
  </w:p>
  <w:p w14:paraId="42635D38" w14:textId="77777777" w:rsidR="008B0406" w:rsidRDefault="008B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1D06" w14:textId="77777777" w:rsidR="005C2070" w:rsidRDefault="005C2070">
    <w:pPr>
      <w:pStyle w:val="Stopka"/>
      <w:rPr>
        <w:noProof/>
      </w:rPr>
    </w:pPr>
    <w:r>
      <w:rPr>
        <w:noProof/>
      </w:rPr>
      <w:t xml:space="preserve">                       </w:t>
    </w:r>
  </w:p>
  <w:p w14:paraId="501AC0FF" w14:textId="33A076AA" w:rsidR="005C2070" w:rsidRDefault="005C2070">
    <w:pPr>
      <w:pStyle w:val="Stopka"/>
    </w:pPr>
    <w:r>
      <w:rPr>
        <w:noProof/>
      </w:rPr>
      <w:t xml:space="preserve">                                                                            </w:t>
    </w:r>
    <w:r w:rsidRPr="005C2070">
      <w:rPr>
        <w:noProof/>
      </w:rPr>
      <w:drawing>
        <wp:inline distT="0" distB="0" distL="0" distR="0" wp14:anchorId="311A90FC" wp14:editId="3AAF72A7">
          <wp:extent cx="1019175" cy="733425"/>
          <wp:effectExtent l="0" t="0" r="9525" b="9525"/>
          <wp:docPr id="16238113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A2BA" w14:textId="77777777" w:rsidR="002D7883" w:rsidRDefault="002D7883" w:rsidP="00F07FDE">
      <w:r>
        <w:separator/>
      </w:r>
    </w:p>
  </w:footnote>
  <w:footnote w:type="continuationSeparator" w:id="0">
    <w:p w14:paraId="7B6BF6C5" w14:textId="77777777" w:rsidR="002D7883" w:rsidRDefault="002D7883" w:rsidP="00F07FDE">
      <w:r>
        <w:continuationSeparator/>
      </w:r>
    </w:p>
  </w:footnote>
  <w:footnote w:id="1">
    <w:p w14:paraId="69B963FA" w14:textId="752344A9" w:rsidR="00CE6ACE" w:rsidRPr="00CE6ACE" w:rsidRDefault="00CE6ACE">
      <w:pPr>
        <w:pStyle w:val="Tekstprzypisudolnego"/>
        <w:rPr>
          <w:lang w:val="pl-PL"/>
        </w:rPr>
      </w:pPr>
      <w:r>
        <w:rPr>
          <w:rStyle w:val="Odwoanieprzypisudolnego"/>
        </w:rPr>
        <w:footnoteRef/>
      </w:r>
      <w:r w:rsidRPr="00CE6ACE">
        <w:rPr>
          <w:rFonts w:ascii="Verdana" w:hAnsi="Verdana"/>
          <w:sz w:val="16"/>
          <w:szCs w:val="16"/>
        </w:rPr>
        <w:t xml:space="preserve"> </w:t>
      </w:r>
      <w:proofErr w:type="spellStart"/>
      <w:r w:rsidRPr="00CE6ACE">
        <w:rPr>
          <w:rFonts w:ascii="Verdana" w:hAnsi="Verdana"/>
          <w:sz w:val="16"/>
          <w:szCs w:val="16"/>
        </w:rPr>
        <w:t>Niniejszy</w:t>
      </w:r>
      <w:proofErr w:type="spellEnd"/>
      <w:r w:rsidRPr="00CE6ACE">
        <w:rPr>
          <w:rFonts w:ascii="Verdana" w:hAnsi="Verdana"/>
          <w:sz w:val="16"/>
          <w:szCs w:val="16"/>
        </w:rPr>
        <w:t xml:space="preserve"> </w:t>
      </w:r>
      <w:proofErr w:type="spellStart"/>
      <w:r w:rsidRPr="00CE6ACE">
        <w:rPr>
          <w:rFonts w:ascii="Verdana" w:hAnsi="Verdana"/>
          <w:sz w:val="16"/>
          <w:szCs w:val="16"/>
        </w:rPr>
        <w:t>wyrok</w:t>
      </w:r>
      <w:proofErr w:type="spellEnd"/>
      <w:r w:rsidRPr="00CE6ACE">
        <w:rPr>
          <w:rFonts w:ascii="Verdana" w:hAnsi="Verdana"/>
          <w:sz w:val="16"/>
          <w:szCs w:val="16"/>
        </w:rPr>
        <w:t xml:space="preserve"> </w:t>
      </w:r>
      <w:proofErr w:type="spellStart"/>
      <w:r w:rsidRPr="00CE6ACE">
        <w:rPr>
          <w:rFonts w:ascii="Verdana" w:hAnsi="Verdana"/>
          <w:sz w:val="16"/>
          <w:szCs w:val="16"/>
        </w:rPr>
        <w:t>stanie</w:t>
      </w:r>
      <w:proofErr w:type="spellEnd"/>
      <w:r w:rsidRPr="00CE6ACE">
        <w:rPr>
          <w:rFonts w:ascii="Verdana" w:hAnsi="Verdana"/>
          <w:sz w:val="16"/>
          <w:szCs w:val="16"/>
        </w:rPr>
        <w:t xml:space="preserve"> </w:t>
      </w:r>
      <w:proofErr w:type="spellStart"/>
      <w:r w:rsidRPr="00CE6ACE">
        <w:rPr>
          <w:rFonts w:ascii="Verdana" w:hAnsi="Verdana"/>
          <w:sz w:val="16"/>
          <w:szCs w:val="16"/>
        </w:rPr>
        <w:t>się</w:t>
      </w:r>
      <w:proofErr w:type="spellEnd"/>
      <w:r w:rsidRPr="00CE6ACE">
        <w:rPr>
          <w:rFonts w:ascii="Verdana" w:hAnsi="Verdana"/>
          <w:sz w:val="16"/>
          <w:szCs w:val="16"/>
        </w:rPr>
        <w:t xml:space="preserve"> </w:t>
      </w:r>
      <w:proofErr w:type="spellStart"/>
      <w:r w:rsidRPr="00CE6ACE">
        <w:rPr>
          <w:rFonts w:ascii="Verdana" w:hAnsi="Verdana"/>
          <w:sz w:val="16"/>
          <w:szCs w:val="16"/>
        </w:rPr>
        <w:t>ostateczny</w:t>
      </w:r>
      <w:proofErr w:type="spellEnd"/>
      <w:r w:rsidRPr="00CE6ACE">
        <w:rPr>
          <w:rFonts w:ascii="Verdana" w:hAnsi="Verdana"/>
          <w:sz w:val="16"/>
          <w:szCs w:val="16"/>
        </w:rPr>
        <w:t xml:space="preserve"> w </w:t>
      </w:r>
      <w:proofErr w:type="spellStart"/>
      <w:r w:rsidRPr="00CE6ACE">
        <w:rPr>
          <w:rFonts w:ascii="Verdana" w:hAnsi="Verdana"/>
          <w:sz w:val="16"/>
          <w:szCs w:val="16"/>
        </w:rPr>
        <w:t>okolicznościach</w:t>
      </w:r>
      <w:proofErr w:type="spellEnd"/>
      <w:r w:rsidRPr="00CE6ACE">
        <w:rPr>
          <w:rFonts w:ascii="Verdana" w:hAnsi="Verdana"/>
          <w:sz w:val="16"/>
          <w:szCs w:val="16"/>
        </w:rPr>
        <w:t xml:space="preserve"> </w:t>
      </w:r>
      <w:proofErr w:type="spellStart"/>
      <w:r w:rsidRPr="00CE6ACE">
        <w:rPr>
          <w:rFonts w:ascii="Verdana" w:hAnsi="Verdana"/>
          <w:sz w:val="16"/>
          <w:szCs w:val="16"/>
        </w:rPr>
        <w:t>określonych</w:t>
      </w:r>
      <w:proofErr w:type="spellEnd"/>
      <w:r w:rsidRPr="00CE6ACE">
        <w:rPr>
          <w:rFonts w:ascii="Verdana" w:hAnsi="Verdana"/>
          <w:sz w:val="16"/>
          <w:szCs w:val="16"/>
        </w:rPr>
        <w:t xml:space="preserve"> w </w:t>
      </w:r>
      <w:proofErr w:type="spellStart"/>
      <w:r w:rsidRPr="00CE6ACE">
        <w:rPr>
          <w:rFonts w:ascii="Verdana" w:hAnsi="Verdana"/>
          <w:sz w:val="16"/>
          <w:szCs w:val="16"/>
        </w:rPr>
        <w:t>Artykule</w:t>
      </w:r>
      <w:proofErr w:type="spellEnd"/>
      <w:r w:rsidRPr="00CE6ACE">
        <w:rPr>
          <w:rFonts w:ascii="Verdana" w:hAnsi="Verdana"/>
          <w:sz w:val="16"/>
          <w:szCs w:val="16"/>
        </w:rPr>
        <w:t xml:space="preserve"> 44 § 2 (</w:t>
      </w:r>
      <w:proofErr w:type="spellStart"/>
      <w:r w:rsidRPr="00CE6ACE">
        <w:rPr>
          <w:rFonts w:ascii="Verdana" w:hAnsi="Verdana"/>
          <w:sz w:val="16"/>
          <w:szCs w:val="16"/>
        </w:rPr>
        <w:t>wyroki</w:t>
      </w:r>
      <w:proofErr w:type="spellEnd"/>
      <w:r w:rsidRPr="00CE6ACE">
        <w:rPr>
          <w:rFonts w:ascii="Verdana" w:hAnsi="Verdana"/>
          <w:sz w:val="16"/>
          <w:szCs w:val="16"/>
        </w:rPr>
        <w:t xml:space="preserve"> </w:t>
      </w:r>
      <w:proofErr w:type="spellStart"/>
      <w:r w:rsidRPr="00CE6ACE">
        <w:rPr>
          <w:rFonts w:ascii="Verdana" w:hAnsi="Verdana"/>
          <w:sz w:val="16"/>
          <w:szCs w:val="16"/>
        </w:rPr>
        <w:t>ostateczne</w:t>
      </w:r>
      <w:proofErr w:type="spellEnd"/>
      <w:r w:rsidRPr="00CE6ACE">
        <w:rPr>
          <w:rFonts w:ascii="Verdana" w:hAnsi="Verdana"/>
          <w:sz w:val="16"/>
          <w:szCs w:val="16"/>
        </w:rPr>
        <w:t xml:space="preserve">) </w:t>
      </w:r>
      <w:hyperlink r:id="rId1" w:history="1">
        <w:proofErr w:type="spellStart"/>
        <w:r w:rsidRPr="00234FD5">
          <w:rPr>
            <w:rStyle w:val="Hipercze"/>
            <w:rFonts w:ascii="Verdana" w:hAnsi="Verdana"/>
            <w:sz w:val="16"/>
            <w:szCs w:val="16"/>
          </w:rPr>
          <w:t>Europejskiej</w:t>
        </w:r>
        <w:proofErr w:type="spellEnd"/>
        <w:r w:rsidRPr="00234FD5">
          <w:rPr>
            <w:rStyle w:val="Hipercze"/>
            <w:rFonts w:ascii="Verdana" w:hAnsi="Verdana"/>
            <w:sz w:val="16"/>
            <w:szCs w:val="16"/>
          </w:rPr>
          <w:t xml:space="preserve"> </w:t>
        </w:r>
        <w:proofErr w:type="spellStart"/>
        <w:r w:rsidRPr="00234FD5">
          <w:rPr>
            <w:rStyle w:val="Hipercze"/>
            <w:rFonts w:ascii="Verdana" w:hAnsi="Verdana"/>
            <w:sz w:val="16"/>
            <w:szCs w:val="16"/>
          </w:rPr>
          <w:t>Konwencji</w:t>
        </w:r>
        <w:proofErr w:type="spellEnd"/>
        <w:r w:rsidRPr="00234FD5">
          <w:rPr>
            <w:rStyle w:val="Hipercze"/>
            <w:rFonts w:ascii="Verdana" w:hAnsi="Verdana"/>
            <w:sz w:val="16"/>
            <w:szCs w:val="16"/>
          </w:rPr>
          <w:t xml:space="preserve"> Praw Człowieka.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77AD" w14:textId="77777777" w:rsidR="00E87946" w:rsidRDefault="00E87946" w:rsidP="00762D8E">
    <w:pPr>
      <w:spacing w:line="0" w:lineRule="atLeast"/>
      <w:ind w:right="851"/>
      <w:rPr>
        <w:rFonts w:ascii="Verdana" w:eastAsia="Verdana" w:hAnsi="Verdana"/>
        <w:sz w:val="18"/>
        <w:lang w:val="pl-PL"/>
      </w:rPr>
    </w:pPr>
  </w:p>
  <w:p w14:paraId="156CD735" w14:textId="34E4AD71" w:rsidR="00762D8E" w:rsidRDefault="00762D8E" w:rsidP="00E87946">
    <w:pPr>
      <w:spacing w:line="0" w:lineRule="atLeast"/>
      <w:ind w:right="851"/>
    </w:pPr>
    <w:r w:rsidRPr="00886221">
      <w:rPr>
        <w:rFonts w:ascii="Verdana" w:eastAsia="Verdana" w:hAnsi="Verdana"/>
        <w:sz w:val="18"/>
        <w:lang w:val="pl-PL"/>
      </w:rPr>
      <w:t>Zestawienie</w:t>
    </w:r>
    <w:r w:rsidR="003F4C30">
      <w:rPr>
        <w:rFonts w:ascii="Verdana" w:eastAsia="Verdana" w:hAnsi="Verdana"/>
        <w:sz w:val="18"/>
        <w:lang w:val="pl-PL"/>
      </w:rPr>
      <w:t xml:space="preserve"> </w:t>
    </w:r>
    <w:r w:rsidR="003F4C30" w:rsidRPr="003F4C30">
      <w:rPr>
        <w:rFonts w:ascii="Verdana" w:eastAsia="Verdana" w:hAnsi="Verdana"/>
        <w:sz w:val="18"/>
        <w:lang w:val="pl-PL"/>
      </w:rPr>
      <w:t>–</w:t>
    </w:r>
    <w:r w:rsidR="00667B8B">
      <w:rPr>
        <w:noProof/>
        <w:lang w:val="pl-PL" w:eastAsia="pl-PL"/>
      </w:rPr>
      <mc:AlternateContent>
        <mc:Choice Requires="wps">
          <w:drawing>
            <wp:anchor distT="0" distB="0" distL="114300" distR="114300" simplePos="0" relativeHeight="251656704" behindDoc="0" locked="0" layoutInCell="1" allowOverlap="1" wp14:anchorId="394F2001" wp14:editId="4165AF35">
              <wp:simplePos x="0" y="0"/>
              <wp:positionH relativeFrom="column">
                <wp:posOffset>-334010</wp:posOffset>
              </wp:positionH>
              <wp:positionV relativeFrom="paragraph">
                <wp:posOffset>157480</wp:posOffset>
              </wp:positionV>
              <wp:extent cx="644842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C05EF" id="_x0000_t32" coordsize="21600,21600" o:spt="32" o:oned="t" path="m,l21600,21600e" filled="f">
              <v:path arrowok="t" fillok="f" o:connecttype="none"/>
              <o:lock v:ext="edit" shapetype="t"/>
            </v:shapetype>
            <v:shape id="AutoShape 1" o:spid="_x0000_s1026" type="#_x0000_t32" style="position:absolute;margin-left:-26.3pt;margin-top:12.4pt;width:50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kUEaIMoBAAB8AwAADgAAAAAA&#10;AAAAAAAAAAAuAgAAZHJzL2Uyb0RvYy54bWxQSwECLQAUAAYACAAAACEANVu5/t0AAAAJAQAADwAA&#10;AAAAAAAAAAAAAAAkBAAAZHJzL2Rvd25yZXYueG1sUEsFBgAAAAAEAAQA8wAAAC4FAAAAAA==&#10;"/>
          </w:pict>
        </mc:Fallback>
      </mc:AlternateContent>
    </w:r>
    <w:r w:rsidR="00217E5A">
      <w:rPr>
        <w:rFonts w:ascii="Verdana" w:eastAsia="Verdana" w:hAnsi="Verdana"/>
        <w:sz w:val="18"/>
        <w:lang w:val="pl-PL"/>
      </w:rPr>
      <w:t xml:space="preserve"> </w:t>
    </w:r>
    <w:r w:rsidR="008D3C12">
      <w:rPr>
        <w:rFonts w:ascii="Verdana" w:eastAsia="Verdana" w:hAnsi="Verdana"/>
        <w:sz w:val="18"/>
        <w:lang w:val="pl-PL"/>
      </w:rPr>
      <w:t>Partie polityczne i stowarzyszenia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AC13" w14:textId="7DBC3A60" w:rsidR="00E87946" w:rsidRDefault="00667B8B">
    <w:pPr>
      <w:pStyle w:val="Nagwek"/>
    </w:pPr>
    <w:r>
      <w:rPr>
        <w:noProof/>
      </w:rPr>
      <w:drawing>
        <wp:anchor distT="0" distB="0" distL="114300" distR="114300" simplePos="0" relativeHeight="251657728" behindDoc="0" locked="0" layoutInCell="1" allowOverlap="1" wp14:anchorId="2B8B945D" wp14:editId="2A6848C3">
          <wp:simplePos x="0" y="0"/>
          <wp:positionH relativeFrom="page">
            <wp:posOffset>549275</wp:posOffset>
          </wp:positionH>
          <wp:positionV relativeFrom="paragraph">
            <wp:posOffset>84455</wp:posOffset>
          </wp:positionV>
          <wp:extent cx="2391410" cy="885190"/>
          <wp:effectExtent l="0" t="0" r="0" b="0"/>
          <wp:wrapNone/>
          <wp:docPr id="2"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4C790FF" wp14:editId="47E6FFAF">
          <wp:simplePos x="0" y="0"/>
          <wp:positionH relativeFrom="page">
            <wp:posOffset>5836285</wp:posOffset>
          </wp:positionH>
          <wp:positionV relativeFrom="page">
            <wp:posOffset>616585</wp:posOffset>
          </wp:positionV>
          <wp:extent cx="1410970" cy="368300"/>
          <wp:effectExtent l="0" t="0" r="0" b="0"/>
          <wp:wrapNone/>
          <wp:docPr id="3"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58DC889A">
      <w:start w:val="2"/>
      <w:numFmt w:val="lowerLetter"/>
      <w:lvlText w:val="(%1)"/>
      <w:lvlJc w:val="left"/>
    </w:lvl>
    <w:lvl w:ilvl="1" w:tplc="03203020">
      <w:start w:val="1"/>
      <w:numFmt w:val="bullet"/>
      <w:lvlText w:val=""/>
      <w:lvlJc w:val="left"/>
    </w:lvl>
    <w:lvl w:ilvl="2" w:tplc="BB24FBBC">
      <w:start w:val="1"/>
      <w:numFmt w:val="bullet"/>
      <w:lvlText w:val=""/>
      <w:lvlJc w:val="left"/>
    </w:lvl>
    <w:lvl w:ilvl="3" w:tplc="251883C6">
      <w:start w:val="1"/>
      <w:numFmt w:val="bullet"/>
      <w:lvlText w:val=""/>
      <w:lvlJc w:val="left"/>
    </w:lvl>
    <w:lvl w:ilvl="4" w:tplc="A0BE4322">
      <w:start w:val="1"/>
      <w:numFmt w:val="bullet"/>
      <w:lvlText w:val=""/>
      <w:lvlJc w:val="left"/>
    </w:lvl>
    <w:lvl w:ilvl="5" w:tplc="EA08B8EC">
      <w:start w:val="1"/>
      <w:numFmt w:val="bullet"/>
      <w:lvlText w:val=""/>
      <w:lvlJc w:val="left"/>
    </w:lvl>
    <w:lvl w:ilvl="6" w:tplc="B492F7D8">
      <w:start w:val="1"/>
      <w:numFmt w:val="bullet"/>
      <w:lvlText w:val=""/>
      <w:lvlJc w:val="left"/>
    </w:lvl>
    <w:lvl w:ilvl="7" w:tplc="B29EE770">
      <w:start w:val="1"/>
      <w:numFmt w:val="bullet"/>
      <w:lvlText w:val=""/>
      <w:lvlJc w:val="left"/>
    </w:lvl>
    <w:lvl w:ilvl="8" w:tplc="6A00F70C">
      <w:start w:val="1"/>
      <w:numFmt w:val="bullet"/>
      <w:lvlText w:val=""/>
      <w:lvlJc w:val="left"/>
    </w:lvl>
  </w:abstractNum>
  <w:abstractNum w:abstractNumId="1" w15:restartNumberingAfterBreak="0">
    <w:nsid w:val="36F62E81"/>
    <w:multiLevelType w:val="hybridMultilevel"/>
    <w:tmpl w:val="95DC9F96"/>
    <w:lvl w:ilvl="0" w:tplc="04150001">
      <w:start w:val="1"/>
      <w:numFmt w:val="bullet"/>
      <w:lvlText w:val=""/>
      <w:lvlJc w:val="left"/>
      <w:pPr>
        <w:ind w:left="839" w:hanging="360"/>
      </w:pPr>
      <w:rPr>
        <w:rFonts w:ascii="Symbol" w:hAnsi="Symbol" w:hint="default"/>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num w:numId="1" w16cid:durableId="1339111603">
    <w:abstractNumId w:val="0"/>
  </w:num>
  <w:num w:numId="2" w16cid:durableId="101030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C"/>
    <w:rsid w:val="000009FE"/>
    <w:rsid w:val="000019A1"/>
    <w:rsid w:val="00001DCF"/>
    <w:rsid w:val="00002432"/>
    <w:rsid w:val="00002D2B"/>
    <w:rsid w:val="00003A53"/>
    <w:rsid w:val="000048DC"/>
    <w:rsid w:val="00006371"/>
    <w:rsid w:val="00007E10"/>
    <w:rsid w:val="00010F9A"/>
    <w:rsid w:val="00011191"/>
    <w:rsid w:val="000117DC"/>
    <w:rsid w:val="00013B86"/>
    <w:rsid w:val="00015012"/>
    <w:rsid w:val="000151B9"/>
    <w:rsid w:val="0001561D"/>
    <w:rsid w:val="00015671"/>
    <w:rsid w:val="00015F0E"/>
    <w:rsid w:val="000160DF"/>
    <w:rsid w:val="000168FC"/>
    <w:rsid w:val="00021E4F"/>
    <w:rsid w:val="00022439"/>
    <w:rsid w:val="00022FA7"/>
    <w:rsid w:val="0002336E"/>
    <w:rsid w:val="000246DE"/>
    <w:rsid w:val="000320F6"/>
    <w:rsid w:val="000327CE"/>
    <w:rsid w:val="0003291A"/>
    <w:rsid w:val="00032B15"/>
    <w:rsid w:val="00033F39"/>
    <w:rsid w:val="00034A02"/>
    <w:rsid w:val="00035005"/>
    <w:rsid w:val="00035AA3"/>
    <w:rsid w:val="00036132"/>
    <w:rsid w:val="00036A5F"/>
    <w:rsid w:val="00036C79"/>
    <w:rsid w:val="00037C7F"/>
    <w:rsid w:val="00040266"/>
    <w:rsid w:val="00040EBB"/>
    <w:rsid w:val="00041C36"/>
    <w:rsid w:val="00041DDF"/>
    <w:rsid w:val="00042B43"/>
    <w:rsid w:val="00043040"/>
    <w:rsid w:val="00043824"/>
    <w:rsid w:val="000462CA"/>
    <w:rsid w:val="00046A9E"/>
    <w:rsid w:val="00046B06"/>
    <w:rsid w:val="00047A75"/>
    <w:rsid w:val="00051D8E"/>
    <w:rsid w:val="00051FF8"/>
    <w:rsid w:val="00052044"/>
    <w:rsid w:val="000527D4"/>
    <w:rsid w:val="00054016"/>
    <w:rsid w:val="000542BA"/>
    <w:rsid w:val="00054AFA"/>
    <w:rsid w:val="000564A4"/>
    <w:rsid w:val="00057435"/>
    <w:rsid w:val="000575BA"/>
    <w:rsid w:val="000577AE"/>
    <w:rsid w:val="0006075C"/>
    <w:rsid w:val="00060C69"/>
    <w:rsid w:val="0006103B"/>
    <w:rsid w:val="000611D5"/>
    <w:rsid w:val="00061ED1"/>
    <w:rsid w:val="000631DB"/>
    <w:rsid w:val="00063374"/>
    <w:rsid w:val="0006734B"/>
    <w:rsid w:val="00067B37"/>
    <w:rsid w:val="00070BB7"/>
    <w:rsid w:val="00071BAA"/>
    <w:rsid w:val="000735A0"/>
    <w:rsid w:val="00074378"/>
    <w:rsid w:val="0007485F"/>
    <w:rsid w:val="00081409"/>
    <w:rsid w:val="00084B65"/>
    <w:rsid w:val="00084E8D"/>
    <w:rsid w:val="00086268"/>
    <w:rsid w:val="000878B7"/>
    <w:rsid w:val="00092467"/>
    <w:rsid w:val="0009252E"/>
    <w:rsid w:val="00092ECC"/>
    <w:rsid w:val="00094904"/>
    <w:rsid w:val="00095CCC"/>
    <w:rsid w:val="0009603B"/>
    <w:rsid w:val="00096633"/>
    <w:rsid w:val="000A0579"/>
    <w:rsid w:val="000A0B8B"/>
    <w:rsid w:val="000A3811"/>
    <w:rsid w:val="000A38D3"/>
    <w:rsid w:val="000A69BA"/>
    <w:rsid w:val="000A6E04"/>
    <w:rsid w:val="000A7522"/>
    <w:rsid w:val="000A7A2F"/>
    <w:rsid w:val="000A7FC2"/>
    <w:rsid w:val="000B065C"/>
    <w:rsid w:val="000B0A17"/>
    <w:rsid w:val="000B30DF"/>
    <w:rsid w:val="000B4666"/>
    <w:rsid w:val="000B478C"/>
    <w:rsid w:val="000B4C72"/>
    <w:rsid w:val="000B523F"/>
    <w:rsid w:val="000B54F1"/>
    <w:rsid w:val="000B6CD4"/>
    <w:rsid w:val="000B6FE1"/>
    <w:rsid w:val="000B790F"/>
    <w:rsid w:val="000B7AFF"/>
    <w:rsid w:val="000C1363"/>
    <w:rsid w:val="000C1545"/>
    <w:rsid w:val="000C15FA"/>
    <w:rsid w:val="000C1780"/>
    <w:rsid w:val="000C3003"/>
    <w:rsid w:val="000C4189"/>
    <w:rsid w:val="000C41CB"/>
    <w:rsid w:val="000C5482"/>
    <w:rsid w:val="000C551F"/>
    <w:rsid w:val="000C6036"/>
    <w:rsid w:val="000C6B96"/>
    <w:rsid w:val="000C701F"/>
    <w:rsid w:val="000C7296"/>
    <w:rsid w:val="000D035C"/>
    <w:rsid w:val="000D20FC"/>
    <w:rsid w:val="000D2F95"/>
    <w:rsid w:val="000D31A0"/>
    <w:rsid w:val="000D39A4"/>
    <w:rsid w:val="000D3F2B"/>
    <w:rsid w:val="000D5606"/>
    <w:rsid w:val="000D671C"/>
    <w:rsid w:val="000D6978"/>
    <w:rsid w:val="000E1A65"/>
    <w:rsid w:val="000E20DE"/>
    <w:rsid w:val="000E24FD"/>
    <w:rsid w:val="000E2593"/>
    <w:rsid w:val="000E2705"/>
    <w:rsid w:val="000E47E8"/>
    <w:rsid w:val="000E6693"/>
    <w:rsid w:val="000E67C1"/>
    <w:rsid w:val="000E720A"/>
    <w:rsid w:val="000F111B"/>
    <w:rsid w:val="000F378B"/>
    <w:rsid w:val="000F3E5D"/>
    <w:rsid w:val="000F4ED1"/>
    <w:rsid w:val="000F538D"/>
    <w:rsid w:val="000F57EA"/>
    <w:rsid w:val="000F6E8C"/>
    <w:rsid w:val="000F7362"/>
    <w:rsid w:val="000F7451"/>
    <w:rsid w:val="0010020F"/>
    <w:rsid w:val="0010085D"/>
    <w:rsid w:val="00100991"/>
    <w:rsid w:val="00100E32"/>
    <w:rsid w:val="001018B2"/>
    <w:rsid w:val="001021D3"/>
    <w:rsid w:val="00102C88"/>
    <w:rsid w:val="00103C46"/>
    <w:rsid w:val="001050ED"/>
    <w:rsid w:val="00110644"/>
    <w:rsid w:val="00110BF5"/>
    <w:rsid w:val="00110CFB"/>
    <w:rsid w:val="00112324"/>
    <w:rsid w:val="00113855"/>
    <w:rsid w:val="00114ECA"/>
    <w:rsid w:val="00117C2D"/>
    <w:rsid w:val="00117E85"/>
    <w:rsid w:val="00120E36"/>
    <w:rsid w:val="001227AF"/>
    <w:rsid w:val="00122EFB"/>
    <w:rsid w:val="00124C90"/>
    <w:rsid w:val="00125611"/>
    <w:rsid w:val="00125900"/>
    <w:rsid w:val="00125FA3"/>
    <w:rsid w:val="00126F35"/>
    <w:rsid w:val="00127E7E"/>
    <w:rsid w:val="00130F98"/>
    <w:rsid w:val="00131BE7"/>
    <w:rsid w:val="0013287E"/>
    <w:rsid w:val="00132C23"/>
    <w:rsid w:val="00133135"/>
    <w:rsid w:val="0013424C"/>
    <w:rsid w:val="001348F1"/>
    <w:rsid w:val="001357CA"/>
    <w:rsid w:val="00137A29"/>
    <w:rsid w:val="00137C75"/>
    <w:rsid w:val="00140FDC"/>
    <w:rsid w:val="001416D8"/>
    <w:rsid w:val="001429BA"/>
    <w:rsid w:val="00143259"/>
    <w:rsid w:val="00143902"/>
    <w:rsid w:val="00143A3E"/>
    <w:rsid w:val="00143FB2"/>
    <w:rsid w:val="00144A77"/>
    <w:rsid w:val="00144F07"/>
    <w:rsid w:val="0014526D"/>
    <w:rsid w:val="00146982"/>
    <w:rsid w:val="00146E74"/>
    <w:rsid w:val="001473E3"/>
    <w:rsid w:val="001501C2"/>
    <w:rsid w:val="001526C9"/>
    <w:rsid w:val="00153131"/>
    <w:rsid w:val="00153487"/>
    <w:rsid w:val="001538F0"/>
    <w:rsid w:val="00153EA9"/>
    <w:rsid w:val="00155354"/>
    <w:rsid w:val="00156899"/>
    <w:rsid w:val="00157370"/>
    <w:rsid w:val="00157A74"/>
    <w:rsid w:val="00157B0C"/>
    <w:rsid w:val="00157FDD"/>
    <w:rsid w:val="001609FB"/>
    <w:rsid w:val="00160A8D"/>
    <w:rsid w:val="00160C3B"/>
    <w:rsid w:val="00160E07"/>
    <w:rsid w:val="0016154E"/>
    <w:rsid w:val="00165F8D"/>
    <w:rsid w:val="00166674"/>
    <w:rsid w:val="00170C33"/>
    <w:rsid w:val="001721EE"/>
    <w:rsid w:val="00173918"/>
    <w:rsid w:val="00173BA1"/>
    <w:rsid w:val="00173E92"/>
    <w:rsid w:val="00176B00"/>
    <w:rsid w:val="00180BFA"/>
    <w:rsid w:val="00181F06"/>
    <w:rsid w:val="00183686"/>
    <w:rsid w:val="00183DCC"/>
    <w:rsid w:val="00184103"/>
    <w:rsid w:val="00184852"/>
    <w:rsid w:val="00186DF2"/>
    <w:rsid w:val="00187E79"/>
    <w:rsid w:val="001901E3"/>
    <w:rsid w:val="00191282"/>
    <w:rsid w:val="00192E35"/>
    <w:rsid w:val="00193149"/>
    <w:rsid w:val="0019337E"/>
    <w:rsid w:val="00195870"/>
    <w:rsid w:val="00195AD0"/>
    <w:rsid w:val="00196873"/>
    <w:rsid w:val="0019687E"/>
    <w:rsid w:val="00197D72"/>
    <w:rsid w:val="001A1AA6"/>
    <w:rsid w:val="001A22EC"/>
    <w:rsid w:val="001A237C"/>
    <w:rsid w:val="001A3000"/>
    <w:rsid w:val="001A443A"/>
    <w:rsid w:val="001A4FF7"/>
    <w:rsid w:val="001A6D2F"/>
    <w:rsid w:val="001A7652"/>
    <w:rsid w:val="001B028B"/>
    <w:rsid w:val="001B02D2"/>
    <w:rsid w:val="001B0691"/>
    <w:rsid w:val="001B1D82"/>
    <w:rsid w:val="001B1E41"/>
    <w:rsid w:val="001B215D"/>
    <w:rsid w:val="001B2533"/>
    <w:rsid w:val="001B25F1"/>
    <w:rsid w:val="001B293B"/>
    <w:rsid w:val="001B3857"/>
    <w:rsid w:val="001B63E4"/>
    <w:rsid w:val="001B6590"/>
    <w:rsid w:val="001C00BF"/>
    <w:rsid w:val="001C129C"/>
    <w:rsid w:val="001C41A7"/>
    <w:rsid w:val="001C4F80"/>
    <w:rsid w:val="001C5613"/>
    <w:rsid w:val="001C5CAF"/>
    <w:rsid w:val="001C5EB0"/>
    <w:rsid w:val="001C5FAC"/>
    <w:rsid w:val="001D01D1"/>
    <w:rsid w:val="001D297B"/>
    <w:rsid w:val="001D45EC"/>
    <w:rsid w:val="001D7151"/>
    <w:rsid w:val="001E140B"/>
    <w:rsid w:val="001E3752"/>
    <w:rsid w:val="001E5DEE"/>
    <w:rsid w:val="001E5EB2"/>
    <w:rsid w:val="001E6F49"/>
    <w:rsid w:val="001F2C8E"/>
    <w:rsid w:val="001F35D7"/>
    <w:rsid w:val="001F451F"/>
    <w:rsid w:val="001F471E"/>
    <w:rsid w:val="001F4BFF"/>
    <w:rsid w:val="001F4F8F"/>
    <w:rsid w:val="001F5EC7"/>
    <w:rsid w:val="001F7B86"/>
    <w:rsid w:val="001F7FC4"/>
    <w:rsid w:val="00200542"/>
    <w:rsid w:val="00200CC9"/>
    <w:rsid w:val="00201A02"/>
    <w:rsid w:val="00203AF2"/>
    <w:rsid w:val="002048D1"/>
    <w:rsid w:val="00204EAD"/>
    <w:rsid w:val="00205F3F"/>
    <w:rsid w:val="0020719D"/>
    <w:rsid w:val="002103B7"/>
    <w:rsid w:val="002123D4"/>
    <w:rsid w:val="00214CF3"/>
    <w:rsid w:val="00215500"/>
    <w:rsid w:val="002157BE"/>
    <w:rsid w:val="002161F7"/>
    <w:rsid w:val="00216699"/>
    <w:rsid w:val="002174B9"/>
    <w:rsid w:val="0021752B"/>
    <w:rsid w:val="00217998"/>
    <w:rsid w:val="00217E5A"/>
    <w:rsid w:val="0022200C"/>
    <w:rsid w:val="00222544"/>
    <w:rsid w:val="0022277E"/>
    <w:rsid w:val="00222789"/>
    <w:rsid w:val="0022472E"/>
    <w:rsid w:val="00224CB9"/>
    <w:rsid w:val="002250A8"/>
    <w:rsid w:val="002257CF"/>
    <w:rsid w:val="00225924"/>
    <w:rsid w:val="00227EBE"/>
    <w:rsid w:val="00230098"/>
    <w:rsid w:val="00230126"/>
    <w:rsid w:val="00230639"/>
    <w:rsid w:val="002306BE"/>
    <w:rsid w:val="00230BED"/>
    <w:rsid w:val="00231432"/>
    <w:rsid w:val="00232065"/>
    <w:rsid w:val="00232C10"/>
    <w:rsid w:val="00233648"/>
    <w:rsid w:val="002336CE"/>
    <w:rsid w:val="00234910"/>
    <w:rsid w:val="00234F98"/>
    <w:rsid w:val="00234FD5"/>
    <w:rsid w:val="002369FE"/>
    <w:rsid w:val="00236A2E"/>
    <w:rsid w:val="00236E4C"/>
    <w:rsid w:val="0023701C"/>
    <w:rsid w:val="002371BA"/>
    <w:rsid w:val="00237617"/>
    <w:rsid w:val="0024035C"/>
    <w:rsid w:val="00242D8D"/>
    <w:rsid w:val="00244120"/>
    <w:rsid w:val="00244828"/>
    <w:rsid w:val="00245886"/>
    <w:rsid w:val="00245E1E"/>
    <w:rsid w:val="0024628D"/>
    <w:rsid w:val="00246871"/>
    <w:rsid w:val="00247BA4"/>
    <w:rsid w:val="0025125C"/>
    <w:rsid w:val="0025142B"/>
    <w:rsid w:val="0025166B"/>
    <w:rsid w:val="00252C8C"/>
    <w:rsid w:val="002545BA"/>
    <w:rsid w:val="0025467C"/>
    <w:rsid w:val="002559D6"/>
    <w:rsid w:val="002572FA"/>
    <w:rsid w:val="002600ED"/>
    <w:rsid w:val="0026089E"/>
    <w:rsid w:val="00261F7A"/>
    <w:rsid w:val="00262E8E"/>
    <w:rsid w:val="00266DF8"/>
    <w:rsid w:val="002674EE"/>
    <w:rsid w:val="0026760B"/>
    <w:rsid w:val="00267DDA"/>
    <w:rsid w:val="0027116C"/>
    <w:rsid w:val="00271482"/>
    <w:rsid w:val="00271484"/>
    <w:rsid w:val="00274A6E"/>
    <w:rsid w:val="00274B9D"/>
    <w:rsid w:val="00274D96"/>
    <w:rsid w:val="00274E89"/>
    <w:rsid w:val="0027637F"/>
    <w:rsid w:val="00277101"/>
    <w:rsid w:val="0028076C"/>
    <w:rsid w:val="00282778"/>
    <w:rsid w:val="00282D75"/>
    <w:rsid w:val="0028465E"/>
    <w:rsid w:val="00284A50"/>
    <w:rsid w:val="002850CC"/>
    <w:rsid w:val="0028532C"/>
    <w:rsid w:val="002867FB"/>
    <w:rsid w:val="00287663"/>
    <w:rsid w:val="002879B5"/>
    <w:rsid w:val="00287C66"/>
    <w:rsid w:val="00291793"/>
    <w:rsid w:val="002919F8"/>
    <w:rsid w:val="002942F3"/>
    <w:rsid w:val="00295E84"/>
    <w:rsid w:val="00296CC6"/>
    <w:rsid w:val="002A01FF"/>
    <w:rsid w:val="002A0709"/>
    <w:rsid w:val="002A164B"/>
    <w:rsid w:val="002A2F2E"/>
    <w:rsid w:val="002A34AE"/>
    <w:rsid w:val="002A3568"/>
    <w:rsid w:val="002A3742"/>
    <w:rsid w:val="002A437D"/>
    <w:rsid w:val="002A4A9D"/>
    <w:rsid w:val="002A4DC0"/>
    <w:rsid w:val="002A57F0"/>
    <w:rsid w:val="002A5CE3"/>
    <w:rsid w:val="002A64C0"/>
    <w:rsid w:val="002A698B"/>
    <w:rsid w:val="002B19C9"/>
    <w:rsid w:val="002B31BD"/>
    <w:rsid w:val="002B31FF"/>
    <w:rsid w:val="002B4130"/>
    <w:rsid w:val="002B4686"/>
    <w:rsid w:val="002B5AAD"/>
    <w:rsid w:val="002B5BB1"/>
    <w:rsid w:val="002B605C"/>
    <w:rsid w:val="002B62FE"/>
    <w:rsid w:val="002B649C"/>
    <w:rsid w:val="002B6894"/>
    <w:rsid w:val="002C0CAB"/>
    <w:rsid w:val="002C22CE"/>
    <w:rsid w:val="002C3BE0"/>
    <w:rsid w:val="002C4E07"/>
    <w:rsid w:val="002C5BC0"/>
    <w:rsid w:val="002C7072"/>
    <w:rsid w:val="002C7523"/>
    <w:rsid w:val="002C75B3"/>
    <w:rsid w:val="002C7800"/>
    <w:rsid w:val="002D04BA"/>
    <w:rsid w:val="002D2C5C"/>
    <w:rsid w:val="002D3C50"/>
    <w:rsid w:val="002D3D4F"/>
    <w:rsid w:val="002D4573"/>
    <w:rsid w:val="002D7883"/>
    <w:rsid w:val="002E1281"/>
    <w:rsid w:val="002E380C"/>
    <w:rsid w:val="002E41E9"/>
    <w:rsid w:val="002E4664"/>
    <w:rsid w:val="002E6057"/>
    <w:rsid w:val="002F0C4B"/>
    <w:rsid w:val="002F1921"/>
    <w:rsid w:val="002F37DE"/>
    <w:rsid w:val="002F39F5"/>
    <w:rsid w:val="002F4D07"/>
    <w:rsid w:val="002F5142"/>
    <w:rsid w:val="002F52F5"/>
    <w:rsid w:val="002F550F"/>
    <w:rsid w:val="002F5E03"/>
    <w:rsid w:val="002F794C"/>
    <w:rsid w:val="00300633"/>
    <w:rsid w:val="00300A24"/>
    <w:rsid w:val="00300A3A"/>
    <w:rsid w:val="00300F68"/>
    <w:rsid w:val="00303E1B"/>
    <w:rsid w:val="003052FC"/>
    <w:rsid w:val="00306188"/>
    <w:rsid w:val="00306EF4"/>
    <w:rsid w:val="00310BB6"/>
    <w:rsid w:val="003127E7"/>
    <w:rsid w:val="0031439B"/>
    <w:rsid w:val="00316DF4"/>
    <w:rsid w:val="00317986"/>
    <w:rsid w:val="00320548"/>
    <w:rsid w:val="0032069C"/>
    <w:rsid w:val="00320882"/>
    <w:rsid w:val="0032160D"/>
    <w:rsid w:val="00321655"/>
    <w:rsid w:val="00324244"/>
    <w:rsid w:val="00324279"/>
    <w:rsid w:val="00324341"/>
    <w:rsid w:val="00325FFE"/>
    <w:rsid w:val="00326FE8"/>
    <w:rsid w:val="00327400"/>
    <w:rsid w:val="0033066F"/>
    <w:rsid w:val="0033087B"/>
    <w:rsid w:val="00330F09"/>
    <w:rsid w:val="0033129F"/>
    <w:rsid w:val="00331450"/>
    <w:rsid w:val="00331682"/>
    <w:rsid w:val="00332076"/>
    <w:rsid w:val="0033301D"/>
    <w:rsid w:val="003353E0"/>
    <w:rsid w:val="00335988"/>
    <w:rsid w:val="0033654B"/>
    <w:rsid w:val="003403A0"/>
    <w:rsid w:val="00340B28"/>
    <w:rsid w:val="00340C61"/>
    <w:rsid w:val="00342056"/>
    <w:rsid w:val="00342DD7"/>
    <w:rsid w:val="00343766"/>
    <w:rsid w:val="003439BF"/>
    <w:rsid w:val="00343E56"/>
    <w:rsid w:val="0034438B"/>
    <w:rsid w:val="00344532"/>
    <w:rsid w:val="00344AC3"/>
    <w:rsid w:val="00345969"/>
    <w:rsid w:val="003467AB"/>
    <w:rsid w:val="00346A23"/>
    <w:rsid w:val="003479EC"/>
    <w:rsid w:val="00351562"/>
    <w:rsid w:val="00351BF1"/>
    <w:rsid w:val="00351E2C"/>
    <w:rsid w:val="003527FB"/>
    <w:rsid w:val="003546CE"/>
    <w:rsid w:val="00355C19"/>
    <w:rsid w:val="00357997"/>
    <w:rsid w:val="00357D08"/>
    <w:rsid w:val="0036068D"/>
    <w:rsid w:val="0036110B"/>
    <w:rsid w:val="003621B8"/>
    <w:rsid w:val="0036225D"/>
    <w:rsid w:val="00362D18"/>
    <w:rsid w:val="003647F6"/>
    <w:rsid w:val="003653D0"/>
    <w:rsid w:val="00365D6E"/>
    <w:rsid w:val="0037088A"/>
    <w:rsid w:val="0037270F"/>
    <w:rsid w:val="00373214"/>
    <w:rsid w:val="00373EA6"/>
    <w:rsid w:val="00374106"/>
    <w:rsid w:val="00374B40"/>
    <w:rsid w:val="00375435"/>
    <w:rsid w:val="0037769E"/>
    <w:rsid w:val="00377F3B"/>
    <w:rsid w:val="00380E68"/>
    <w:rsid w:val="00381D89"/>
    <w:rsid w:val="00382049"/>
    <w:rsid w:val="00382458"/>
    <w:rsid w:val="00384076"/>
    <w:rsid w:val="00384610"/>
    <w:rsid w:val="00385701"/>
    <w:rsid w:val="00385C67"/>
    <w:rsid w:val="00390932"/>
    <w:rsid w:val="0039134E"/>
    <w:rsid w:val="003917BF"/>
    <w:rsid w:val="00391DEF"/>
    <w:rsid w:val="0039257E"/>
    <w:rsid w:val="003931C9"/>
    <w:rsid w:val="003940EB"/>
    <w:rsid w:val="00394E1E"/>
    <w:rsid w:val="003956EF"/>
    <w:rsid w:val="00396662"/>
    <w:rsid w:val="00396BBE"/>
    <w:rsid w:val="003A0CA2"/>
    <w:rsid w:val="003A1343"/>
    <w:rsid w:val="003A2145"/>
    <w:rsid w:val="003A217F"/>
    <w:rsid w:val="003A2599"/>
    <w:rsid w:val="003A297A"/>
    <w:rsid w:val="003A54E7"/>
    <w:rsid w:val="003A5863"/>
    <w:rsid w:val="003A6793"/>
    <w:rsid w:val="003A68DA"/>
    <w:rsid w:val="003A74FF"/>
    <w:rsid w:val="003A7F02"/>
    <w:rsid w:val="003B0CA7"/>
    <w:rsid w:val="003B1660"/>
    <w:rsid w:val="003B1E0D"/>
    <w:rsid w:val="003B55E2"/>
    <w:rsid w:val="003B5958"/>
    <w:rsid w:val="003C214D"/>
    <w:rsid w:val="003C2CD2"/>
    <w:rsid w:val="003C2F81"/>
    <w:rsid w:val="003C3353"/>
    <w:rsid w:val="003C39BE"/>
    <w:rsid w:val="003C4904"/>
    <w:rsid w:val="003C4A78"/>
    <w:rsid w:val="003C666F"/>
    <w:rsid w:val="003C72FD"/>
    <w:rsid w:val="003C7DC8"/>
    <w:rsid w:val="003D01A3"/>
    <w:rsid w:val="003D1237"/>
    <w:rsid w:val="003D1F6C"/>
    <w:rsid w:val="003D260B"/>
    <w:rsid w:val="003D29B6"/>
    <w:rsid w:val="003D2B12"/>
    <w:rsid w:val="003D4E65"/>
    <w:rsid w:val="003D6850"/>
    <w:rsid w:val="003D6C85"/>
    <w:rsid w:val="003D73CC"/>
    <w:rsid w:val="003E0647"/>
    <w:rsid w:val="003E128B"/>
    <w:rsid w:val="003E26CF"/>
    <w:rsid w:val="003E406C"/>
    <w:rsid w:val="003E43CE"/>
    <w:rsid w:val="003E4955"/>
    <w:rsid w:val="003E7291"/>
    <w:rsid w:val="003E7D4C"/>
    <w:rsid w:val="003F11B7"/>
    <w:rsid w:val="003F2276"/>
    <w:rsid w:val="003F43B0"/>
    <w:rsid w:val="003F47BA"/>
    <w:rsid w:val="003F4C30"/>
    <w:rsid w:val="003F69C1"/>
    <w:rsid w:val="003F6D08"/>
    <w:rsid w:val="003F7ED5"/>
    <w:rsid w:val="00401D6E"/>
    <w:rsid w:val="00401E3B"/>
    <w:rsid w:val="00404866"/>
    <w:rsid w:val="00404877"/>
    <w:rsid w:val="00404AF3"/>
    <w:rsid w:val="00406958"/>
    <w:rsid w:val="00407F67"/>
    <w:rsid w:val="00411230"/>
    <w:rsid w:val="00411421"/>
    <w:rsid w:val="004114F9"/>
    <w:rsid w:val="00412D6A"/>
    <w:rsid w:val="00413317"/>
    <w:rsid w:val="004167DE"/>
    <w:rsid w:val="0041684D"/>
    <w:rsid w:val="00416DC9"/>
    <w:rsid w:val="004174A1"/>
    <w:rsid w:val="004179DC"/>
    <w:rsid w:val="0042121E"/>
    <w:rsid w:val="00422A79"/>
    <w:rsid w:val="0042308E"/>
    <w:rsid w:val="00425B55"/>
    <w:rsid w:val="0042662D"/>
    <w:rsid w:val="004315D0"/>
    <w:rsid w:val="00432F10"/>
    <w:rsid w:val="00434C15"/>
    <w:rsid w:val="00436832"/>
    <w:rsid w:val="004379B3"/>
    <w:rsid w:val="00437CD3"/>
    <w:rsid w:val="004422B3"/>
    <w:rsid w:val="0044250A"/>
    <w:rsid w:val="004439E9"/>
    <w:rsid w:val="00445B6C"/>
    <w:rsid w:val="00446430"/>
    <w:rsid w:val="00447552"/>
    <w:rsid w:val="004478B3"/>
    <w:rsid w:val="00447E39"/>
    <w:rsid w:val="00452A80"/>
    <w:rsid w:val="00452BFD"/>
    <w:rsid w:val="00452F27"/>
    <w:rsid w:val="00454CC4"/>
    <w:rsid w:val="00455560"/>
    <w:rsid w:val="00455A4F"/>
    <w:rsid w:val="00455E9D"/>
    <w:rsid w:val="00461879"/>
    <w:rsid w:val="00462B2B"/>
    <w:rsid w:val="00463B6C"/>
    <w:rsid w:val="00464A02"/>
    <w:rsid w:val="00466B86"/>
    <w:rsid w:val="00467469"/>
    <w:rsid w:val="00467C02"/>
    <w:rsid w:val="0047057B"/>
    <w:rsid w:val="00472835"/>
    <w:rsid w:val="00473931"/>
    <w:rsid w:val="00473F07"/>
    <w:rsid w:val="004741BC"/>
    <w:rsid w:val="004748B6"/>
    <w:rsid w:val="00475670"/>
    <w:rsid w:val="0047578E"/>
    <w:rsid w:val="00475C83"/>
    <w:rsid w:val="004779F6"/>
    <w:rsid w:val="00477EF0"/>
    <w:rsid w:val="004806DA"/>
    <w:rsid w:val="00480735"/>
    <w:rsid w:val="0048339E"/>
    <w:rsid w:val="0048348C"/>
    <w:rsid w:val="00485281"/>
    <w:rsid w:val="00485E2F"/>
    <w:rsid w:val="004861C7"/>
    <w:rsid w:val="00486A13"/>
    <w:rsid w:val="00490545"/>
    <w:rsid w:val="00490B28"/>
    <w:rsid w:val="004914B4"/>
    <w:rsid w:val="00492128"/>
    <w:rsid w:val="004921DE"/>
    <w:rsid w:val="00492625"/>
    <w:rsid w:val="004939EC"/>
    <w:rsid w:val="004A0D0D"/>
    <w:rsid w:val="004A1C5D"/>
    <w:rsid w:val="004A20B6"/>
    <w:rsid w:val="004A274F"/>
    <w:rsid w:val="004A2FDA"/>
    <w:rsid w:val="004A49DA"/>
    <w:rsid w:val="004A642E"/>
    <w:rsid w:val="004A718A"/>
    <w:rsid w:val="004B0E62"/>
    <w:rsid w:val="004B16D0"/>
    <w:rsid w:val="004B2553"/>
    <w:rsid w:val="004B26D0"/>
    <w:rsid w:val="004B3E9E"/>
    <w:rsid w:val="004B57C3"/>
    <w:rsid w:val="004B6A83"/>
    <w:rsid w:val="004C184C"/>
    <w:rsid w:val="004C2897"/>
    <w:rsid w:val="004C2E5E"/>
    <w:rsid w:val="004C31EF"/>
    <w:rsid w:val="004C3DC5"/>
    <w:rsid w:val="004C4E9D"/>
    <w:rsid w:val="004C5E24"/>
    <w:rsid w:val="004C64A9"/>
    <w:rsid w:val="004C69AA"/>
    <w:rsid w:val="004C701F"/>
    <w:rsid w:val="004D087F"/>
    <w:rsid w:val="004D0A6F"/>
    <w:rsid w:val="004D128B"/>
    <w:rsid w:val="004D1C0C"/>
    <w:rsid w:val="004D47C3"/>
    <w:rsid w:val="004D5A29"/>
    <w:rsid w:val="004D5F72"/>
    <w:rsid w:val="004D6150"/>
    <w:rsid w:val="004D7D83"/>
    <w:rsid w:val="004E118A"/>
    <w:rsid w:val="004E1C2C"/>
    <w:rsid w:val="004E2988"/>
    <w:rsid w:val="004E3569"/>
    <w:rsid w:val="004E4506"/>
    <w:rsid w:val="004E57BB"/>
    <w:rsid w:val="004E5AAF"/>
    <w:rsid w:val="004F02F6"/>
    <w:rsid w:val="004F037E"/>
    <w:rsid w:val="004F0823"/>
    <w:rsid w:val="004F2950"/>
    <w:rsid w:val="004F3D9C"/>
    <w:rsid w:val="004F446B"/>
    <w:rsid w:val="004F469E"/>
    <w:rsid w:val="004F64B7"/>
    <w:rsid w:val="004F6F0C"/>
    <w:rsid w:val="004F7C03"/>
    <w:rsid w:val="005005D3"/>
    <w:rsid w:val="00502E95"/>
    <w:rsid w:val="00503483"/>
    <w:rsid w:val="005040AF"/>
    <w:rsid w:val="00504172"/>
    <w:rsid w:val="0050483B"/>
    <w:rsid w:val="005066CE"/>
    <w:rsid w:val="00507058"/>
    <w:rsid w:val="0051232F"/>
    <w:rsid w:val="00513253"/>
    <w:rsid w:val="00513AE8"/>
    <w:rsid w:val="005148A4"/>
    <w:rsid w:val="00514C67"/>
    <w:rsid w:val="00514E28"/>
    <w:rsid w:val="00515291"/>
    <w:rsid w:val="00520277"/>
    <w:rsid w:val="005206A7"/>
    <w:rsid w:val="0052138E"/>
    <w:rsid w:val="005215B3"/>
    <w:rsid w:val="00522754"/>
    <w:rsid w:val="00523C7F"/>
    <w:rsid w:val="00523FD3"/>
    <w:rsid w:val="005242E2"/>
    <w:rsid w:val="005250EF"/>
    <w:rsid w:val="00526ED9"/>
    <w:rsid w:val="005272AD"/>
    <w:rsid w:val="00527436"/>
    <w:rsid w:val="0053066E"/>
    <w:rsid w:val="00530D3F"/>
    <w:rsid w:val="00531FD7"/>
    <w:rsid w:val="005344AA"/>
    <w:rsid w:val="00536D6C"/>
    <w:rsid w:val="00537A9E"/>
    <w:rsid w:val="00540016"/>
    <w:rsid w:val="0054128C"/>
    <w:rsid w:val="00541BB0"/>
    <w:rsid w:val="005427C5"/>
    <w:rsid w:val="00542FDA"/>
    <w:rsid w:val="00543489"/>
    <w:rsid w:val="00544E56"/>
    <w:rsid w:val="0054509F"/>
    <w:rsid w:val="005465FA"/>
    <w:rsid w:val="005468E9"/>
    <w:rsid w:val="00546C31"/>
    <w:rsid w:val="005511D6"/>
    <w:rsid w:val="00553C0A"/>
    <w:rsid w:val="00554A05"/>
    <w:rsid w:val="00554E0C"/>
    <w:rsid w:val="0055631B"/>
    <w:rsid w:val="00556374"/>
    <w:rsid w:val="00556886"/>
    <w:rsid w:val="005579E7"/>
    <w:rsid w:val="00557E2B"/>
    <w:rsid w:val="005601ED"/>
    <w:rsid w:val="00560838"/>
    <w:rsid w:val="005610B6"/>
    <w:rsid w:val="0056187B"/>
    <w:rsid w:val="00562192"/>
    <w:rsid w:val="00563BB5"/>
    <w:rsid w:val="00563E5A"/>
    <w:rsid w:val="00564059"/>
    <w:rsid w:val="005661E9"/>
    <w:rsid w:val="005662DB"/>
    <w:rsid w:val="00566597"/>
    <w:rsid w:val="00566948"/>
    <w:rsid w:val="00566A92"/>
    <w:rsid w:val="00567249"/>
    <w:rsid w:val="005715B6"/>
    <w:rsid w:val="00572266"/>
    <w:rsid w:val="005724F8"/>
    <w:rsid w:val="005732E7"/>
    <w:rsid w:val="00574358"/>
    <w:rsid w:val="00575394"/>
    <w:rsid w:val="00580E76"/>
    <w:rsid w:val="00581ADF"/>
    <w:rsid w:val="00581F8E"/>
    <w:rsid w:val="00582672"/>
    <w:rsid w:val="00585656"/>
    <w:rsid w:val="00585B7E"/>
    <w:rsid w:val="0058676F"/>
    <w:rsid w:val="00587673"/>
    <w:rsid w:val="00587995"/>
    <w:rsid w:val="00590D89"/>
    <w:rsid w:val="005910BA"/>
    <w:rsid w:val="0059192E"/>
    <w:rsid w:val="00593BA8"/>
    <w:rsid w:val="005942B2"/>
    <w:rsid w:val="00595637"/>
    <w:rsid w:val="005966BA"/>
    <w:rsid w:val="0059717B"/>
    <w:rsid w:val="00597363"/>
    <w:rsid w:val="0059765F"/>
    <w:rsid w:val="00597712"/>
    <w:rsid w:val="00597FA4"/>
    <w:rsid w:val="005A071D"/>
    <w:rsid w:val="005A0CA0"/>
    <w:rsid w:val="005A16C0"/>
    <w:rsid w:val="005A1CAD"/>
    <w:rsid w:val="005A29B3"/>
    <w:rsid w:val="005A5BDE"/>
    <w:rsid w:val="005A6BCA"/>
    <w:rsid w:val="005A7055"/>
    <w:rsid w:val="005B16FC"/>
    <w:rsid w:val="005B1E0D"/>
    <w:rsid w:val="005B1EA6"/>
    <w:rsid w:val="005B1FC7"/>
    <w:rsid w:val="005B3FAF"/>
    <w:rsid w:val="005B5BBA"/>
    <w:rsid w:val="005B63EB"/>
    <w:rsid w:val="005B7F6E"/>
    <w:rsid w:val="005C2070"/>
    <w:rsid w:val="005C315D"/>
    <w:rsid w:val="005C45C3"/>
    <w:rsid w:val="005C5184"/>
    <w:rsid w:val="005C55C3"/>
    <w:rsid w:val="005C61C3"/>
    <w:rsid w:val="005C6DD8"/>
    <w:rsid w:val="005C79E2"/>
    <w:rsid w:val="005C7DCE"/>
    <w:rsid w:val="005D3A27"/>
    <w:rsid w:val="005D4AEA"/>
    <w:rsid w:val="005D4D1B"/>
    <w:rsid w:val="005D5968"/>
    <w:rsid w:val="005D648D"/>
    <w:rsid w:val="005D7186"/>
    <w:rsid w:val="005D7B6E"/>
    <w:rsid w:val="005E2A15"/>
    <w:rsid w:val="005E4872"/>
    <w:rsid w:val="005E4D5D"/>
    <w:rsid w:val="005E503C"/>
    <w:rsid w:val="005E6889"/>
    <w:rsid w:val="005E776D"/>
    <w:rsid w:val="005F0F04"/>
    <w:rsid w:val="005F15B6"/>
    <w:rsid w:val="005F19E5"/>
    <w:rsid w:val="005F1A1C"/>
    <w:rsid w:val="005F5545"/>
    <w:rsid w:val="005F59FB"/>
    <w:rsid w:val="005F6C21"/>
    <w:rsid w:val="005F7315"/>
    <w:rsid w:val="005F7D29"/>
    <w:rsid w:val="005F7DC4"/>
    <w:rsid w:val="0060088C"/>
    <w:rsid w:val="00600A49"/>
    <w:rsid w:val="00601CC0"/>
    <w:rsid w:val="00602B5A"/>
    <w:rsid w:val="00603556"/>
    <w:rsid w:val="006037AD"/>
    <w:rsid w:val="00605393"/>
    <w:rsid w:val="0060777A"/>
    <w:rsid w:val="0061034F"/>
    <w:rsid w:val="006104CA"/>
    <w:rsid w:val="00610F80"/>
    <w:rsid w:val="00611373"/>
    <w:rsid w:val="006113A3"/>
    <w:rsid w:val="006120C5"/>
    <w:rsid w:val="0061216E"/>
    <w:rsid w:val="0061234E"/>
    <w:rsid w:val="00612783"/>
    <w:rsid w:val="00613A09"/>
    <w:rsid w:val="006144A8"/>
    <w:rsid w:val="00615125"/>
    <w:rsid w:val="006155CB"/>
    <w:rsid w:val="006157C1"/>
    <w:rsid w:val="006161B4"/>
    <w:rsid w:val="006163EC"/>
    <w:rsid w:val="006206F6"/>
    <w:rsid w:val="00621D9D"/>
    <w:rsid w:val="00621F68"/>
    <w:rsid w:val="0062264A"/>
    <w:rsid w:val="00623777"/>
    <w:rsid w:val="00624544"/>
    <w:rsid w:val="0062517F"/>
    <w:rsid w:val="0063009F"/>
    <w:rsid w:val="00631856"/>
    <w:rsid w:val="00631B8C"/>
    <w:rsid w:val="00632A73"/>
    <w:rsid w:val="00634B41"/>
    <w:rsid w:val="00634DA7"/>
    <w:rsid w:val="0063595A"/>
    <w:rsid w:val="006362EE"/>
    <w:rsid w:val="00637F2A"/>
    <w:rsid w:val="0064028B"/>
    <w:rsid w:val="00640299"/>
    <w:rsid w:val="00640F8D"/>
    <w:rsid w:val="00642AE8"/>
    <w:rsid w:val="006438AA"/>
    <w:rsid w:val="0064391D"/>
    <w:rsid w:val="00644B2B"/>
    <w:rsid w:val="00645CFF"/>
    <w:rsid w:val="00645F97"/>
    <w:rsid w:val="006469F0"/>
    <w:rsid w:val="006500DF"/>
    <w:rsid w:val="00650158"/>
    <w:rsid w:val="00650890"/>
    <w:rsid w:val="00652C8E"/>
    <w:rsid w:val="00653931"/>
    <w:rsid w:val="00653D48"/>
    <w:rsid w:val="00655A7F"/>
    <w:rsid w:val="006573C4"/>
    <w:rsid w:val="0066080D"/>
    <w:rsid w:val="006613A5"/>
    <w:rsid w:val="00661578"/>
    <w:rsid w:val="0066189A"/>
    <w:rsid w:val="00661BCE"/>
    <w:rsid w:val="00664C25"/>
    <w:rsid w:val="006664DA"/>
    <w:rsid w:val="00667B8B"/>
    <w:rsid w:val="006708BF"/>
    <w:rsid w:val="00671F7C"/>
    <w:rsid w:val="006727EB"/>
    <w:rsid w:val="00672949"/>
    <w:rsid w:val="00673883"/>
    <w:rsid w:val="00674B54"/>
    <w:rsid w:val="00675B03"/>
    <w:rsid w:val="00676340"/>
    <w:rsid w:val="0067708B"/>
    <w:rsid w:val="006774C0"/>
    <w:rsid w:val="006776C1"/>
    <w:rsid w:val="00683C7D"/>
    <w:rsid w:val="00686069"/>
    <w:rsid w:val="00690E9C"/>
    <w:rsid w:val="00691052"/>
    <w:rsid w:val="00692F6B"/>
    <w:rsid w:val="006939F2"/>
    <w:rsid w:val="00693A29"/>
    <w:rsid w:val="00694974"/>
    <w:rsid w:val="00694A46"/>
    <w:rsid w:val="006A066D"/>
    <w:rsid w:val="006A1862"/>
    <w:rsid w:val="006A19B2"/>
    <w:rsid w:val="006A1FD5"/>
    <w:rsid w:val="006A32AA"/>
    <w:rsid w:val="006A5686"/>
    <w:rsid w:val="006A5CD8"/>
    <w:rsid w:val="006A5F3B"/>
    <w:rsid w:val="006A6CDC"/>
    <w:rsid w:val="006A729D"/>
    <w:rsid w:val="006B1FBA"/>
    <w:rsid w:val="006B535A"/>
    <w:rsid w:val="006B6DDC"/>
    <w:rsid w:val="006B7E64"/>
    <w:rsid w:val="006C19C8"/>
    <w:rsid w:val="006C2920"/>
    <w:rsid w:val="006C2CB7"/>
    <w:rsid w:val="006C3208"/>
    <w:rsid w:val="006C3496"/>
    <w:rsid w:val="006C398A"/>
    <w:rsid w:val="006C492F"/>
    <w:rsid w:val="006C525E"/>
    <w:rsid w:val="006C55AE"/>
    <w:rsid w:val="006C6552"/>
    <w:rsid w:val="006C688F"/>
    <w:rsid w:val="006C6A2A"/>
    <w:rsid w:val="006D1C1A"/>
    <w:rsid w:val="006D1CA9"/>
    <w:rsid w:val="006D3171"/>
    <w:rsid w:val="006D4379"/>
    <w:rsid w:val="006D5227"/>
    <w:rsid w:val="006E2530"/>
    <w:rsid w:val="006E5E7B"/>
    <w:rsid w:val="006E737F"/>
    <w:rsid w:val="006E7DA2"/>
    <w:rsid w:val="006F030B"/>
    <w:rsid w:val="006F04EB"/>
    <w:rsid w:val="006F0F6F"/>
    <w:rsid w:val="006F1C2D"/>
    <w:rsid w:val="006F2158"/>
    <w:rsid w:val="006F256D"/>
    <w:rsid w:val="006F30AC"/>
    <w:rsid w:val="006F55AC"/>
    <w:rsid w:val="006F6745"/>
    <w:rsid w:val="00701645"/>
    <w:rsid w:val="00702E37"/>
    <w:rsid w:val="00704366"/>
    <w:rsid w:val="00704E41"/>
    <w:rsid w:val="00705D03"/>
    <w:rsid w:val="00705E2B"/>
    <w:rsid w:val="00707D4B"/>
    <w:rsid w:val="00711042"/>
    <w:rsid w:val="00711514"/>
    <w:rsid w:val="0071156C"/>
    <w:rsid w:val="007138F6"/>
    <w:rsid w:val="0071476E"/>
    <w:rsid w:val="007151AD"/>
    <w:rsid w:val="007160CB"/>
    <w:rsid w:val="00716BC3"/>
    <w:rsid w:val="00717A2C"/>
    <w:rsid w:val="007202A4"/>
    <w:rsid w:val="00720919"/>
    <w:rsid w:val="007228EE"/>
    <w:rsid w:val="00722BB1"/>
    <w:rsid w:val="00723202"/>
    <w:rsid w:val="00723A5F"/>
    <w:rsid w:val="0072474E"/>
    <w:rsid w:val="00724D32"/>
    <w:rsid w:val="00725995"/>
    <w:rsid w:val="00730F2D"/>
    <w:rsid w:val="0073247F"/>
    <w:rsid w:val="00733941"/>
    <w:rsid w:val="00733D10"/>
    <w:rsid w:val="007341FE"/>
    <w:rsid w:val="00735113"/>
    <w:rsid w:val="00735C2C"/>
    <w:rsid w:val="0073612D"/>
    <w:rsid w:val="0073705A"/>
    <w:rsid w:val="0074053D"/>
    <w:rsid w:val="00741255"/>
    <w:rsid w:val="00742500"/>
    <w:rsid w:val="007428AB"/>
    <w:rsid w:val="007436EB"/>
    <w:rsid w:val="007436FF"/>
    <w:rsid w:val="00743C65"/>
    <w:rsid w:val="007479AD"/>
    <w:rsid w:val="00750D55"/>
    <w:rsid w:val="007512F1"/>
    <w:rsid w:val="00751751"/>
    <w:rsid w:val="00752753"/>
    <w:rsid w:val="00752759"/>
    <w:rsid w:val="00756BFD"/>
    <w:rsid w:val="0076003A"/>
    <w:rsid w:val="0076097F"/>
    <w:rsid w:val="007619BC"/>
    <w:rsid w:val="00761F9D"/>
    <w:rsid w:val="00762D8E"/>
    <w:rsid w:val="007634C7"/>
    <w:rsid w:val="00764C1B"/>
    <w:rsid w:val="007653C1"/>
    <w:rsid w:val="0076787C"/>
    <w:rsid w:val="00771C0B"/>
    <w:rsid w:val="0077374D"/>
    <w:rsid w:val="00773D11"/>
    <w:rsid w:val="00774105"/>
    <w:rsid w:val="0077508D"/>
    <w:rsid w:val="00775255"/>
    <w:rsid w:val="00775E31"/>
    <w:rsid w:val="007801F2"/>
    <w:rsid w:val="0078116D"/>
    <w:rsid w:val="00782A6A"/>
    <w:rsid w:val="00783489"/>
    <w:rsid w:val="0078424E"/>
    <w:rsid w:val="0078560F"/>
    <w:rsid w:val="00787286"/>
    <w:rsid w:val="00787CF6"/>
    <w:rsid w:val="00791AFA"/>
    <w:rsid w:val="00793894"/>
    <w:rsid w:val="00794571"/>
    <w:rsid w:val="00795239"/>
    <w:rsid w:val="0079587F"/>
    <w:rsid w:val="007A1290"/>
    <w:rsid w:val="007A1BE6"/>
    <w:rsid w:val="007A1F9E"/>
    <w:rsid w:val="007A2A06"/>
    <w:rsid w:val="007A2A36"/>
    <w:rsid w:val="007A2DC7"/>
    <w:rsid w:val="007A4742"/>
    <w:rsid w:val="007A5CE4"/>
    <w:rsid w:val="007A6897"/>
    <w:rsid w:val="007A6B17"/>
    <w:rsid w:val="007A6FFD"/>
    <w:rsid w:val="007A7B80"/>
    <w:rsid w:val="007B12CA"/>
    <w:rsid w:val="007B29FE"/>
    <w:rsid w:val="007B48CF"/>
    <w:rsid w:val="007B51D2"/>
    <w:rsid w:val="007B5698"/>
    <w:rsid w:val="007B5B5A"/>
    <w:rsid w:val="007C1619"/>
    <w:rsid w:val="007C28FB"/>
    <w:rsid w:val="007C292C"/>
    <w:rsid w:val="007C2F6F"/>
    <w:rsid w:val="007C4812"/>
    <w:rsid w:val="007C577F"/>
    <w:rsid w:val="007D02E4"/>
    <w:rsid w:val="007D0535"/>
    <w:rsid w:val="007D1126"/>
    <w:rsid w:val="007D129E"/>
    <w:rsid w:val="007D2845"/>
    <w:rsid w:val="007D4B47"/>
    <w:rsid w:val="007D5953"/>
    <w:rsid w:val="007D6182"/>
    <w:rsid w:val="007D7062"/>
    <w:rsid w:val="007E064D"/>
    <w:rsid w:val="007E0A84"/>
    <w:rsid w:val="007E184C"/>
    <w:rsid w:val="007E4B16"/>
    <w:rsid w:val="007E5750"/>
    <w:rsid w:val="007E6528"/>
    <w:rsid w:val="007E65B5"/>
    <w:rsid w:val="007E6947"/>
    <w:rsid w:val="007E7514"/>
    <w:rsid w:val="007F04C1"/>
    <w:rsid w:val="007F398A"/>
    <w:rsid w:val="007F619C"/>
    <w:rsid w:val="007F7F65"/>
    <w:rsid w:val="00801139"/>
    <w:rsid w:val="00801951"/>
    <w:rsid w:val="008024F1"/>
    <w:rsid w:val="00802544"/>
    <w:rsid w:val="00802865"/>
    <w:rsid w:val="0080328E"/>
    <w:rsid w:val="00803B66"/>
    <w:rsid w:val="00804168"/>
    <w:rsid w:val="00804E5F"/>
    <w:rsid w:val="0080646D"/>
    <w:rsid w:val="00807F60"/>
    <w:rsid w:val="00810CE1"/>
    <w:rsid w:val="0081216C"/>
    <w:rsid w:val="00812657"/>
    <w:rsid w:val="008128CF"/>
    <w:rsid w:val="008129A6"/>
    <w:rsid w:val="00813300"/>
    <w:rsid w:val="00813484"/>
    <w:rsid w:val="00813B99"/>
    <w:rsid w:val="008155D8"/>
    <w:rsid w:val="00816F72"/>
    <w:rsid w:val="0081725F"/>
    <w:rsid w:val="00817434"/>
    <w:rsid w:val="00820864"/>
    <w:rsid w:val="00820F75"/>
    <w:rsid w:val="008230F0"/>
    <w:rsid w:val="00823238"/>
    <w:rsid w:val="0082357D"/>
    <w:rsid w:val="008235A6"/>
    <w:rsid w:val="00824778"/>
    <w:rsid w:val="0082484F"/>
    <w:rsid w:val="00824890"/>
    <w:rsid w:val="0082521B"/>
    <w:rsid w:val="008262BF"/>
    <w:rsid w:val="00827117"/>
    <w:rsid w:val="00830352"/>
    <w:rsid w:val="00830EAB"/>
    <w:rsid w:val="00832AB4"/>
    <w:rsid w:val="0083442F"/>
    <w:rsid w:val="00835946"/>
    <w:rsid w:val="008365EF"/>
    <w:rsid w:val="008369C0"/>
    <w:rsid w:val="00837A9B"/>
    <w:rsid w:val="008402AC"/>
    <w:rsid w:val="00841195"/>
    <w:rsid w:val="0084243D"/>
    <w:rsid w:val="00842DDE"/>
    <w:rsid w:val="00843A00"/>
    <w:rsid w:val="00843B74"/>
    <w:rsid w:val="008451B0"/>
    <w:rsid w:val="008465C8"/>
    <w:rsid w:val="00847474"/>
    <w:rsid w:val="0084787C"/>
    <w:rsid w:val="008478DA"/>
    <w:rsid w:val="00847A34"/>
    <w:rsid w:val="008500F6"/>
    <w:rsid w:val="00850689"/>
    <w:rsid w:val="00850B7E"/>
    <w:rsid w:val="008512D4"/>
    <w:rsid w:val="0085160D"/>
    <w:rsid w:val="0085347B"/>
    <w:rsid w:val="00853743"/>
    <w:rsid w:val="00854005"/>
    <w:rsid w:val="00856CBB"/>
    <w:rsid w:val="00856F8A"/>
    <w:rsid w:val="00861443"/>
    <w:rsid w:val="00861766"/>
    <w:rsid w:val="00861C27"/>
    <w:rsid w:val="008621C7"/>
    <w:rsid w:val="00862432"/>
    <w:rsid w:val="00862CFC"/>
    <w:rsid w:val="008638D5"/>
    <w:rsid w:val="008674D9"/>
    <w:rsid w:val="00867B97"/>
    <w:rsid w:val="00870652"/>
    <w:rsid w:val="00872576"/>
    <w:rsid w:val="0087581C"/>
    <w:rsid w:val="0087616A"/>
    <w:rsid w:val="00881C90"/>
    <w:rsid w:val="00882EB2"/>
    <w:rsid w:val="008845D1"/>
    <w:rsid w:val="00886221"/>
    <w:rsid w:val="008862DC"/>
    <w:rsid w:val="0088678F"/>
    <w:rsid w:val="008869AD"/>
    <w:rsid w:val="00887313"/>
    <w:rsid w:val="00887968"/>
    <w:rsid w:val="00887B33"/>
    <w:rsid w:val="008914C1"/>
    <w:rsid w:val="008926DA"/>
    <w:rsid w:val="00893777"/>
    <w:rsid w:val="00894259"/>
    <w:rsid w:val="00895FB9"/>
    <w:rsid w:val="00896AF5"/>
    <w:rsid w:val="00897B30"/>
    <w:rsid w:val="008A0E05"/>
    <w:rsid w:val="008A260D"/>
    <w:rsid w:val="008A317A"/>
    <w:rsid w:val="008A3D9E"/>
    <w:rsid w:val="008A4C08"/>
    <w:rsid w:val="008A6C98"/>
    <w:rsid w:val="008A7099"/>
    <w:rsid w:val="008B0406"/>
    <w:rsid w:val="008B1AC0"/>
    <w:rsid w:val="008B2F08"/>
    <w:rsid w:val="008B2F9E"/>
    <w:rsid w:val="008B364B"/>
    <w:rsid w:val="008B3FEB"/>
    <w:rsid w:val="008C18FA"/>
    <w:rsid w:val="008C2D73"/>
    <w:rsid w:val="008C2F47"/>
    <w:rsid w:val="008C58CD"/>
    <w:rsid w:val="008C63F2"/>
    <w:rsid w:val="008C6A1B"/>
    <w:rsid w:val="008C6E26"/>
    <w:rsid w:val="008C6FA4"/>
    <w:rsid w:val="008C71A0"/>
    <w:rsid w:val="008C7963"/>
    <w:rsid w:val="008D0B37"/>
    <w:rsid w:val="008D181F"/>
    <w:rsid w:val="008D1BB6"/>
    <w:rsid w:val="008D23BB"/>
    <w:rsid w:val="008D2692"/>
    <w:rsid w:val="008D3C12"/>
    <w:rsid w:val="008D3FE2"/>
    <w:rsid w:val="008D5C9A"/>
    <w:rsid w:val="008E0135"/>
    <w:rsid w:val="008E0196"/>
    <w:rsid w:val="008E0A43"/>
    <w:rsid w:val="008E1B3F"/>
    <w:rsid w:val="008E2020"/>
    <w:rsid w:val="008E2134"/>
    <w:rsid w:val="008E2D97"/>
    <w:rsid w:val="008E305C"/>
    <w:rsid w:val="008E359A"/>
    <w:rsid w:val="008E4182"/>
    <w:rsid w:val="008E4931"/>
    <w:rsid w:val="008E4984"/>
    <w:rsid w:val="008E4E52"/>
    <w:rsid w:val="008E50B5"/>
    <w:rsid w:val="008E6AF9"/>
    <w:rsid w:val="008E6CB3"/>
    <w:rsid w:val="008E74B9"/>
    <w:rsid w:val="008E7776"/>
    <w:rsid w:val="008F13E1"/>
    <w:rsid w:val="008F3701"/>
    <w:rsid w:val="008F3E20"/>
    <w:rsid w:val="008F4B40"/>
    <w:rsid w:val="008F6142"/>
    <w:rsid w:val="008F7065"/>
    <w:rsid w:val="009003A8"/>
    <w:rsid w:val="00900C66"/>
    <w:rsid w:val="00901197"/>
    <w:rsid w:val="00901E56"/>
    <w:rsid w:val="0090443C"/>
    <w:rsid w:val="00907216"/>
    <w:rsid w:val="009076A9"/>
    <w:rsid w:val="00907AAB"/>
    <w:rsid w:val="00907EDE"/>
    <w:rsid w:val="00911C64"/>
    <w:rsid w:val="009125C6"/>
    <w:rsid w:val="00912904"/>
    <w:rsid w:val="00913982"/>
    <w:rsid w:val="00914903"/>
    <w:rsid w:val="00915A7F"/>
    <w:rsid w:val="00916D69"/>
    <w:rsid w:val="00917B42"/>
    <w:rsid w:val="00917DB6"/>
    <w:rsid w:val="00920390"/>
    <w:rsid w:val="009203B3"/>
    <w:rsid w:val="00920D23"/>
    <w:rsid w:val="00922AC1"/>
    <w:rsid w:val="00922D3D"/>
    <w:rsid w:val="00923615"/>
    <w:rsid w:val="009244E0"/>
    <w:rsid w:val="00925B89"/>
    <w:rsid w:val="00925BAA"/>
    <w:rsid w:val="00925C23"/>
    <w:rsid w:val="00926D91"/>
    <w:rsid w:val="00931146"/>
    <w:rsid w:val="00931D61"/>
    <w:rsid w:val="009331E3"/>
    <w:rsid w:val="00933DD6"/>
    <w:rsid w:val="00933F6D"/>
    <w:rsid w:val="00935D47"/>
    <w:rsid w:val="00935EDD"/>
    <w:rsid w:val="009368E3"/>
    <w:rsid w:val="00936EA2"/>
    <w:rsid w:val="0093798E"/>
    <w:rsid w:val="00940513"/>
    <w:rsid w:val="00941773"/>
    <w:rsid w:val="00941B98"/>
    <w:rsid w:val="00943F3C"/>
    <w:rsid w:val="0094434F"/>
    <w:rsid w:val="009447D1"/>
    <w:rsid w:val="00946020"/>
    <w:rsid w:val="00947247"/>
    <w:rsid w:val="00947DF0"/>
    <w:rsid w:val="00950521"/>
    <w:rsid w:val="00951B93"/>
    <w:rsid w:val="009532D5"/>
    <w:rsid w:val="00953CB5"/>
    <w:rsid w:val="00954F7B"/>
    <w:rsid w:val="00955FB4"/>
    <w:rsid w:val="00955FF6"/>
    <w:rsid w:val="00960EBB"/>
    <w:rsid w:val="00964907"/>
    <w:rsid w:val="00964CB4"/>
    <w:rsid w:val="0096519A"/>
    <w:rsid w:val="009679E0"/>
    <w:rsid w:val="00967A6F"/>
    <w:rsid w:val="009707E3"/>
    <w:rsid w:val="00970ACE"/>
    <w:rsid w:val="00971006"/>
    <w:rsid w:val="009711B5"/>
    <w:rsid w:val="00971B26"/>
    <w:rsid w:val="00971D28"/>
    <w:rsid w:val="009768BA"/>
    <w:rsid w:val="00977158"/>
    <w:rsid w:val="00977B70"/>
    <w:rsid w:val="0098064F"/>
    <w:rsid w:val="00980B3E"/>
    <w:rsid w:val="00980BB6"/>
    <w:rsid w:val="00981C5C"/>
    <w:rsid w:val="00982BF4"/>
    <w:rsid w:val="009835F9"/>
    <w:rsid w:val="00984B89"/>
    <w:rsid w:val="00984BA3"/>
    <w:rsid w:val="00985F0F"/>
    <w:rsid w:val="00985F32"/>
    <w:rsid w:val="009862D4"/>
    <w:rsid w:val="009869FE"/>
    <w:rsid w:val="0098720C"/>
    <w:rsid w:val="00987BF6"/>
    <w:rsid w:val="00987D63"/>
    <w:rsid w:val="0099033F"/>
    <w:rsid w:val="009912BC"/>
    <w:rsid w:val="00992299"/>
    <w:rsid w:val="00992E87"/>
    <w:rsid w:val="009937E7"/>
    <w:rsid w:val="00993ABF"/>
    <w:rsid w:val="00993CED"/>
    <w:rsid w:val="00994B9D"/>
    <w:rsid w:val="00994DCA"/>
    <w:rsid w:val="00995D42"/>
    <w:rsid w:val="00996B3E"/>
    <w:rsid w:val="00997928"/>
    <w:rsid w:val="00997D4D"/>
    <w:rsid w:val="009A0BBF"/>
    <w:rsid w:val="009A216E"/>
    <w:rsid w:val="009A3828"/>
    <w:rsid w:val="009A3FCC"/>
    <w:rsid w:val="009A5336"/>
    <w:rsid w:val="009A5663"/>
    <w:rsid w:val="009A5963"/>
    <w:rsid w:val="009A5CB9"/>
    <w:rsid w:val="009A5F41"/>
    <w:rsid w:val="009A744A"/>
    <w:rsid w:val="009A793F"/>
    <w:rsid w:val="009B130A"/>
    <w:rsid w:val="009B50C0"/>
    <w:rsid w:val="009B5A9E"/>
    <w:rsid w:val="009C0F02"/>
    <w:rsid w:val="009C20A2"/>
    <w:rsid w:val="009C26A4"/>
    <w:rsid w:val="009C2849"/>
    <w:rsid w:val="009C3AC1"/>
    <w:rsid w:val="009C6AB3"/>
    <w:rsid w:val="009C6EA9"/>
    <w:rsid w:val="009C6FDB"/>
    <w:rsid w:val="009C7079"/>
    <w:rsid w:val="009D04DE"/>
    <w:rsid w:val="009D06B3"/>
    <w:rsid w:val="009D2082"/>
    <w:rsid w:val="009D2B0E"/>
    <w:rsid w:val="009D3CF1"/>
    <w:rsid w:val="009D5B03"/>
    <w:rsid w:val="009D6134"/>
    <w:rsid w:val="009D672C"/>
    <w:rsid w:val="009D6AD8"/>
    <w:rsid w:val="009E00EB"/>
    <w:rsid w:val="009E0286"/>
    <w:rsid w:val="009E1703"/>
    <w:rsid w:val="009E1AD3"/>
    <w:rsid w:val="009E1B46"/>
    <w:rsid w:val="009E1E72"/>
    <w:rsid w:val="009E2237"/>
    <w:rsid w:val="009E3641"/>
    <w:rsid w:val="009E3F91"/>
    <w:rsid w:val="009E482A"/>
    <w:rsid w:val="009E5201"/>
    <w:rsid w:val="009E5A8F"/>
    <w:rsid w:val="009E5FC9"/>
    <w:rsid w:val="009E69DE"/>
    <w:rsid w:val="009E70DA"/>
    <w:rsid w:val="009F223C"/>
    <w:rsid w:val="009F2D60"/>
    <w:rsid w:val="009F31B4"/>
    <w:rsid w:val="009F379E"/>
    <w:rsid w:val="009F7C77"/>
    <w:rsid w:val="00A0121B"/>
    <w:rsid w:val="00A01BB9"/>
    <w:rsid w:val="00A0203A"/>
    <w:rsid w:val="00A026C5"/>
    <w:rsid w:val="00A028D0"/>
    <w:rsid w:val="00A02F5E"/>
    <w:rsid w:val="00A036FE"/>
    <w:rsid w:val="00A039E8"/>
    <w:rsid w:val="00A0577C"/>
    <w:rsid w:val="00A05BD3"/>
    <w:rsid w:val="00A07F44"/>
    <w:rsid w:val="00A1029B"/>
    <w:rsid w:val="00A141C6"/>
    <w:rsid w:val="00A15207"/>
    <w:rsid w:val="00A15A3C"/>
    <w:rsid w:val="00A1795F"/>
    <w:rsid w:val="00A17E7F"/>
    <w:rsid w:val="00A21A53"/>
    <w:rsid w:val="00A21ADF"/>
    <w:rsid w:val="00A22964"/>
    <w:rsid w:val="00A235E8"/>
    <w:rsid w:val="00A243D4"/>
    <w:rsid w:val="00A2585B"/>
    <w:rsid w:val="00A26B35"/>
    <w:rsid w:val="00A27487"/>
    <w:rsid w:val="00A30BA0"/>
    <w:rsid w:val="00A31C60"/>
    <w:rsid w:val="00A35244"/>
    <w:rsid w:val="00A3586F"/>
    <w:rsid w:val="00A36047"/>
    <w:rsid w:val="00A36BA0"/>
    <w:rsid w:val="00A4108F"/>
    <w:rsid w:val="00A42229"/>
    <w:rsid w:val="00A43DEC"/>
    <w:rsid w:val="00A44ED2"/>
    <w:rsid w:val="00A50AB5"/>
    <w:rsid w:val="00A50CEC"/>
    <w:rsid w:val="00A50D88"/>
    <w:rsid w:val="00A5155D"/>
    <w:rsid w:val="00A54DF7"/>
    <w:rsid w:val="00A552E2"/>
    <w:rsid w:val="00A555F0"/>
    <w:rsid w:val="00A561AE"/>
    <w:rsid w:val="00A562DD"/>
    <w:rsid w:val="00A57C2A"/>
    <w:rsid w:val="00A57DA1"/>
    <w:rsid w:val="00A61258"/>
    <w:rsid w:val="00A64719"/>
    <w:rsid w:val="00A64B06"/>
    <w:rsid w:val="00A651F7"/>
    <w:rsid w:val="00A6662B"/>
    <w:rsid w:val="00A667E5"/>
    <w:rsid w:val="00A6692D"/>
    <w:rsid w:val="00A67EEA"/>
    <w:rsid w:val="00A70EAD"/>
    <w:rsid w:val="00A714CB"/>
    <w:rsid w:val="00A72DC6"/>
    <w:rsid w:val="00A73589"/>
    <w:rsid w:val="00A75097"/>
    <w:rsid w:val="00A75F63"/>
    <w:rsid w:val="00A762C9"/>
    <w:rsid w:val="00A77969"/>
    <w:rsid w:val="00A77BAB"/>
    <w:rsid w:val="00A816CF"/>
    <w:rsid w:val="00A81B3D"/>
    <w:rsid w:val="00A81EAD"/>
    <w:rsid w:val="00A83F40"/>
    <w:rsid w:val="00A83FE5"/>
    <w:rsid w:val="00A840EB"/>
    <w:rsid w:val="00A8565C"/>
    <w:rsid w:val="00A874C8"/>
    <w:rsid w:val="00A877F7"/>
    <w:rsid w:val="00A87B61"/>
    <w:rsid w:val="00A90578"/>
    <w:rsid w:val="00A91020"/>
    <w:rsid w:val="00A9338B"/>
    <w:rsid w:val="00A93D1B"/>
    <w:rsid w:val="00A94F94"/>
    <w:rsid w:val="00A950A6"/>
    <w:rsid w:val="00A95E0B"/>
    <w:rsid w:val="00A97DB5"/>
    <w:rsid w:val="00AA02FF"/>
    <w:rsid w:val="00AA03A4"/>
    <w:rsid w:val="00AA1D31"/>
    <w:rsid w:val="00AA231C"/>
    <w:rsid w:val="00AA276D"/>
    <w:rsid w:val="00AA4EF5"/>
    <w:rsid w:val="00AA61E9"/>
    <w:rsid w:val="00AA6D05"/>
    <w:rsid w:val="00AB0148"/>
    <w:rsid w:val="00AB019D"/>
    <w:rsid w:val="00AB01A8"/>
    <w:rsid w:val="00AB0C19"/>
    <w:rsid w:val="00AB0FBA"/>
    <w:rsid w:val="00AB126E"/>
    <w:rsid w:val="00AB1B41"/>
    <w:rsid w:val="00AB1D7E"/>
    <w:rsid w:val="00AB21DB"/>
    <w:rsid w:val="00AB3105"/>
    <w:rsid w:val="00AB41AD"/>
    <w:rsid w:val="00AB44A8"/>
    <w:rsid w:val="00AB50D3"/>
    <w:rsid w:val="00AB551D"/>
    <w:rsid w:val="00AB60AE"/>
    <w:rsid w:val="00AB6A04"/>
    <w:rsid w:val="00AB7163"/>
    <w:rsid w:val="00AC0455"/>
    <w:rsid w:val="00AC07C8"/>
    <w:rsid w:val="00AC1229"/>
    <w:rsid w:val="00AC14FB"/>
    <w:rsid w:val="00AC156B"/>
    <w:rsid w:val="00AC186E"/>
    <w:rsid w:val="00AC1DEC"/>
    <w:rsid w:val="00AC2828"/>
    <w:rsid w:val="00AC2E20"/>
    <w:rsid w:val="00AC4A3E"/>
    <w:rsid w:val="00AC5920"/>
    <w:rsid w:val="00AC7D61"/>
    <w:rsid w:val="00AD18D2"/>
    <w:rsid w:val="00AD1922"/>
    <w:rsid w:val="00AD279F"/>
    <w:rsid w:val="00AD2CF1"/>
    <w:rsid w:val="00AD2E5D"/>
    <w:rsid w:val="00AD3F51"/>
    <w:rsid w:val="00AD4E3C"/>
    <w:rsid w:val="00AD58AF"/>
    <w:rsid w:val="00AD7681"/>
    <w:rsid w:val="00AD7B19"/>
    <w:rsid w:val="00AE0822"/>
    <w:rsid w:val="00AE0C5C"/>
    <w:rsid w:val="00AE1F7D"/>
    <w:rsid w:val="00AE3DF6"/>
    <w:rsid w:val="00AE5C98"/>
    <w:rsid w:val="00AE656A"/>
    <w:rsid w:val="00AF0BB4"/>
    <w:rsid w:val="00AF1835"/>
    <w:rsid w:val="00AF26DD"/>
    <w:rsid w:val="00AF2A45"/>
    <w:rsid w:val="00AF2B67"/>
    <w:rsid w:val="00AF31A1"/>
    <w:rsid w:val="00AF451B"/>
    <w:rsid w:val="00AF50C0"/>
    <w:rsid w:val="00AF514A"/>
    <w:rsid w:val="00AF63F5"/>
    <w:rsid w:val="00AF6CB1"/>
    <w:rsid w:val="00B0067D"/>
    <w:rsid w:val="00B02F64"/>
    <w:rsid w:val="00B0632B"/>
    <w:rsid w:val="00B10052"/>
    <w:rsid w:val="00B10D52"/>
    <w:rsid w:val="00B11402"/>
    <w:rsid w:val="00B1155D"/>
    <w:rsid w:val="00B11B57"/>
    <w:rsid w:val="00B1275A"/>
    <w:rsid w:val="00B1351D"/>
    <w:rsid w:val="00B13F4A"/>
    <w:rsid w:val="00B141EA"/>
    <w:rsid w:val="00B14339"/>
    <w:rsid w:val="00B145A4"/>
    <w:rsid w:val="00B1477D"/>
    <w:rsid w:val="00B14EF6"/>
    <w:rsid w:val="00B1556B"/>
    <w:rsid w:val="00B155E5"/>
    <w:rsid w:val="00B15EFE"/>
    <w:rsid w:val="00B167C8"/>
    <w:rsid w:val="00B20125"/>
    <w:rsid w:val="00B20A67"/>
    <w:rsid w:val="00B227E4"/>
    <w:rsid w:val="00B23ECE"/>
    <w:rsid w:val="00B258CF"/>
    <w:rsid w:val="00B25FA0"/>
    <w:rsid w:val="00B309E1"/>
    <w:rsid w:val="00B30A90"/>
    <w:rsid w:val="00B31A87"/>
    <w:rsid w:val="00B33652"/>
    <w:rsid w:val="00B339AC"/>
    <w:rsid w:val="00B34B8C"/>
    <w:rsid w:val="00B359D5"/>
    <w:rsid w:val="00B3725F"/>
    <w:rsid w:val="00B40C0F"/>
    <w:rsid w:val="00B40FD2"/>
    <w:rsid w:val="00B4199E"/>
    <w:rsid w:val="00B41ABD"/>
    <w:rsid w:val="00B41CE7"/>
    <w:rsid w:val="00B42F73"/>
    <w:rsid w:val="00B43EF2"/>
    <w:rsid w:val="00B44A5D"/>
    <w:rsid w:val="00B45035"/>
    <w:rsid w:val="00B47FAB"/>
    <w:rsid w:val="00B51816"/>
    <w:rsid w:val="00B52336"/>
    <w:rsid w:val="00B53093"/>
    <w:rsid w:val="00B54CEA"/>
    <w:rsid w:val="00B5563C"/>
    <w:rsid w:val="00B5665B"/>
    <w:rsid w:val="00B57B57"/>
    <w:rsid w:val="00B6059F"/>
    <w:rsid w:val="00B619F0"/>
    <w:rsid w:val="00B65015"/>
    <w:rsid w:val="00B65D4F"/>
    <w:rsid w:val="00B65F23"/>
    <w:rsid w:val="00B6653A"/>
    <w:rsid w:val="00B66E08"/>
    <w:rsid w:val="00B677AC"/>
    <w:rsid w:val="00B67AA8"/>
    <w:rsid w:val="00B70799"/>
    <w:rsid w:val="00B70998"/>
    <w:rsid w:val="00B70BE5"/>
    <w:rsid w:val="00B71D04"/>
    <w:rsid w:val="00B7234B"/>
    <w:rsid w:val="00B723D2"/>
    <w:rsid w:val="00B737F4"/>
    <w:rsid w:val="00B7406F"/>
    <w:rsid w:val="00B74F58"/>
    <w:rsid w:val="00B7528F"/>
    <w:rsid w:val="00B7724D"/>
    <w:rsid w:val="00B774A3"/>
    <w:rsid w:val="00B814EA"/>
    <w:rsid w:val="00B8348B"/>
    <w:rsid w:val="00B85966"/>
    <w:rsid w:val="00B9103D"/>
    <w:rsid w:val="00B916B5"/>
    <w:rsid w:val="00B91FCD"/>
    <w:rsid w:val="00B937A8"/>
    <w:rsid w:val="00B94887"/>
    <w:rsid w:val="00B949CE"/>
    <w:rsid w:val="00BA0492"/>
    <w:rsid w:val="00BA04C8"/>
    <w:rsid w:val="00BA0707"/>
    <w:rsid w:val="00BA2F11"/>
    <w:rsid w:val="00BA5500"/>
    <w:rsid w:val="00BA6C69"/>
    <w:rsid w:val="00BA6F3D"/>
    <w:rsid w:val="00BA76F3"/>
    <w:rsid w:val="00BB234D"/>
    <w:rsid w:val="00BB3031"/>
    <w:rsid w:val="00BB4B77"/>
    <w:rsid w:val="00BB5EDA"/>
    <w:rsid w:val="00BB68C9"/>
    <w:rsid w:val="00BB77B7"/>
    <w:rsid w:val="00BC10E3"/>
    <w:rsid w:val="00BC2013"/>
    <w:rsid w:val="00BC2368"/>
    <w:rsid w:val="00BC2B52"/>
    <w:rsid w:val="00BC3E2C"/>
    <w:rsid w:val="00BC5353"/>
    <w:rsid w:val="00BC5F60"/>
    <w:rsid w:val="00BC6F92"/>
    <w:rsid w:val="00BD136E"/>
    <w:rsid w:val="00BD1855"/>
    <w:rsid w:val="00BD5966"/>
    <w:rsid w:val="00BD5987"/>
    <w:rsid w:val="00BD6E47"/>
    <w:rsid w:val="00BD7627"/>
    <w:rsid w:val="00BD7BD3"/>
    <w:rsid w:val="00BE065B"/>
    <w:rsid w:val="00BE1B4E"/>
    <w:rsid w:val="00BE3371"/>
    <w:rsid w:val="00BE54B6"/>
    <w:rsid w:val="00BE5BE3"/>
    <w:rsid w:val="00BE660C"/>
    <w:rsid w:val="00BE6E7C"/>
    <w:rsid w:val="00BE70DD"/>
    <w:rsid w:val="00BF1035"/>
    <w:rsid w:val="00BF15EB"/>
    <w:rsid w:val="00BF1866"/>
    <w:rsid w:val="00BF2137"/>
    <w:rsid w:val="00BF4203"/>
    <w:rsid w:val="00BF48C5"/>
    <w:rsid w:val="00BF4B25"/>
    <w:rsid w:val="00BF4FD4"/>
    <w:rsid w:val="00BF60B8"/>
    <w:rsid w:val="00BF6158"/>
    <w:rsid w:val="00C00007"/>
    <w:rsid w:val="00C00D13"/>
    <w:rsid w:val="00C00E92"/>
    <w:rsid w:val="00C01E13"/>
    <w:rsid w:val="00C024C1"/>
    <w:rsid w:val="00C02BDB"/>
    <w:rsid w:val="00C02F8E"/>
    <w:rsid w:val="00C036E3"/>
    <w:rsid w:val="00C04BC2"/>
    <w:rsid w:val="00C06006"/>
    <w:rsid w:val="00C06661"/>
    <w:rsid w:val="00C06D26"/>
    <w:rsid w:val="00C07CC6"/>
    <w:rsid w:val="00C10A42"/>
    <w:rsid w:val="00C11860"/>
    <w:rsid w:val="00C128D5"/>
    <w:rsid w:val="00C12C85"/>
    <w:rsid w:val="00C15590"/>
    <w:rsid w:val="00C16226"/>
    <w:rsid w:val="00C163D1"/>
    <w:rsid w:val="00C1679F"/>
    <w:rsid w:val="00C16EF6"/>
    <w:rsid w:val="00C22A25"/>
    <w:rsid w:val="00C22A8C"/>
    <w:rsid w:val="00C22AD9"/>
    <w:rsid w:val="00C24F45"/>
    <w:rsid w:val="00C252B6"/>
    <w:rsid w:val="00C25C34"/>
    <w:rsid w:val="00C266E1"/>
    <w:rsid w:val="00C27652"/>
    <w:rsid w:val="00C302A5"/>
    <w:rsid w:val="00C30DB2"/>
    <w:rsid w:val="00C30F01"/>
    <w:rsid w:val="00C334BC"/>
    <w:rsid w:val="00C33928"/>
    <w:rsid w:val="00C355B8"/>
    <w:rsid w:val="00C356B2"/>
    <w:rsid w:val="00C36181"/>
    <w:rsid w:val="00C376E1"/>
    <w:rsid w:val="00C37C18"/>
    <w:rsid w:val="00C37E06"/>
    <w:rsid w:val="00C40709"/>
    <w:rsid w:val="00C42FDE"/>
    <w:rsid w:val="00C433BC"/>
    <w:rsid w:val="00C4350D"/>
    <w:rsid w:val="00C45C75"/>
    <w:rsid w:val="00C50803"/>
    <w:rsid w:val="00C54032"/>
    <w:rsid w:val="00C54CD9"/>
    <w:rsid w:val="00C5531E"/>
    <w:rsid w:val="00C55618"/>
    <w:rsid w:val="00C55ADD"/>
    <w:rsid w:val="00C55CCC"/>
    <w:rsid w:val="00C563EF"/>
    <w:rsid w:val="00C56C48"/>
    <w:rsid w:val="00C56F31"/>
    <w:rsid w:val="00C57482"/>
    <w:rsid w:val="00C57F92"/>
    <w:rsid w:val="00C62577"/>
    <w:rsid w:val="00C626CA"/>
    <w:rsid w:val="00C6283B"/>
    <w:rsid w:val="00C63395"/>
    <w:rsid w:val="00C6394C"/>
    <w:rsid w:val="00C63AF0"/>
    <w:rsid w:val="00C63BC8"/>
    <w:rsid w:val="00C63CEF"/>
    <w:rsid w:val="00C6664F"/>
    <w:rsid w:val="00C711BD"/>
    <w:rsid w:val="00C71361"/>
    <w:rsid w:val="00C72D9D"/>
    <w:rsid w:val="00C750F5"/>
    <w:rsid w:val="00C75193"/>
    <w:rsid w:val="00C76903"/>
    <w:rsid w:val="00C76988"/>
    <w:rsid w:val="00C83D4F"/>
    <w:rsid w:val="00C8638D"/>
    <w:rsid w:val="00C86A8A"/>
    <w:rsid w:val="00C872EC"/>
    <w:rsid w:val="00C879B2"/>
    <w:rsid w:val="00C90388"/>
    <w:rsid w:val="00C90FC0"/>
    <w:rsid w:val="00C91007"/>
    <w:rsid w:val="00C910C0"/>
    <w:rsid w:val="00C91979"/>
    <w:rsid w:val="00C9338F"/>
    <w:rsid w:val="00C964A0"/>
    <w:rsid w:val="00C9693E"/>
    <w:rsid w:val="00CA129D"/>
    <w:rsid w:val="00CA169B"/>
    <w:rsid w:val="00CA2352"/>
    <w:rsid w:val="00CA261C"/>
    <w:rsid w:val="00CA288D"/>
    <w:rsid w:val="00CA4C64"/>
    <w:rsid w:val="00CA4F17"/>
    <w:rsid w:val="00CA4FBD"/>
    <w:rsid w:val="00CA55AB"/>
    <w:rsid w:val="00CA5872"/>
    <w:rsid w:val="00CA5C9C"/>
    <w:rsid w:val="00CA630B"/>
    <w:rsid w:val="00CA690D"/>
    <w:rsid w:val="00CA697B"/>
    <w:rsid w:val="00CA760F"/>
    <w:rsid w:val="00CB0A13"/>
    <w:rsid w:val="00CB1D60"/>
    <w:rsid w:val="00CB6D4E"/>
    <w:rsid w:val="00CB79C3"/>
    <w:rsid w:val="00CC0541"/>
    <w:rsid w:val="00CC0E7B"/>
    <w:rsid w:val="00CC0F6D"/>
    <w:rsid w:val="00CC136D"/>
    <w:rsid w:val="00CC1D0E"/>
    <w:rsid w:val="00CC2AEB"/>
    <w:rsid w:val="00CC3568"/>
    <w:rsid w:val="00CC4F42"/>
    <w:rsid w:val="00CC5563"/>
    <w:rsid w:val="00CC55F1"/>
    <w:rsid w:val="00CC6438"/>
    <w:rsid w:val="00CC74F8"/>
    <w:rsid w:val="00CD00D0"/>
    <w:rsid w:val="00CD6066"/>
    <w:rsid w:val="00CD68CF"/>
    <w:rsid w:val="00CD7C7C"/>
    <w:rsid w:val="00CE1713"/>
    <w:rsid w:val="00CE1DF0"/>
    <w:rsid w:val="00CE1F6D"/>
    <w:rsid w:val="00CE21D1"/>
    <w:rsid w:val="00CE24C0"/>
    <w:rsid w:val="00CE25F6"/>
    <w:rsid w:val="00CE2BEE"/>
    <w:rsid w:val="00CE2C9F"/>
    <w:rsid w:val="00CE30F9"/>
    <w:rsid w:val="00CE3D73"/>
    <w:rsid w:val="00CE5C78"/>
    <w:rsid w:val="00CE66FC"/>
    <w:rsid w:val="00CE6923"/>
    <w:rsid w:val="00CE6ACE"/>
    <w:rsid w:val="00CE7D2D"/>
    <w:rsid w:val="00CF0873"/>
    <w:rsid w:val="00CF0F8D"/>
    <w:rsid w:val="00CF3FA3"/>
    <w:rsid w:val="00CF44C7"/>
    <w:rsid w:val="00CF5A4F"/>
    <w:rsid w:val="00CF5F67"/>
    <w:rsid w:val="00CF6C04"/>
    <w:rsid w:val="00D03D1D"/>
    <w:rsid w:val="00D056AA"/>
    <w:rsid w:val="00D07A48"/>
    <w:rsid w:val="00D12B17"/>
    <w:rsid w:val="00D13B07"/>
    <w:rsid w:val="00D13D53"/>
    <w:rsid w:val="00D1545F"/>
    <w:rsid w:val="00D17E4B"/>
    <w:rsid w:val="00D20C65"/>
    <w:rsid w:val="00D211F9"/>
    <w:rsid w:val="00D21913"/>
    <w:rsid w:val="00D22338"/>
    <w:rsid w:val="00D2234C"/>
    <w:rsid w:val="00D249D6"/>
    <w:rsid w:val="00D249E9"/>
    <w:rsid w:val="00D24A4A"/>
    <w:rsid w:val="00D257CD"/>
    <w:rsid w:val="00D259DB"/>
    <w:rsid w:val="00D27FAB"/>
    <w:rsid w:val="00D30B0B"/>
    <w:rsid w:val="00D30DE8"/>
    <w:rsid w:val="00D314C7"/>
    <w:rsid w:val="00D3186B"/>
    <w:rsid w:val="00D31B93"/>
    <w:rsid w:val="00D32401"/>
    <w:rsid w:val="00D33082"/>
    <w:rsid w:val="00D35875"/>
    <w:rsid w:val="00D3676F"/>
    <w:rsid w:val="00D369F5"/>
    <w:rsid w:val="00D41658"/>
    <w:rsid w:val="00D41DD0"/>
    <w:rsid w:val="00D4423B"/>
    <w:rsid w:val="00D447FA"/>
    <w:rsid w:val="00D44C9D"/>
    <w:rsid w:val="00D451EF"/>
    <w:rsid w:val="00D46EF6"/>
    <w:rsid w:val="00D47ADE"/>
    <w:rsid w:val="00D50903"/>
    <w:rsid w:val="00D51A0C"/>
    <w:rsid w:val="00D52248"/>
    <w:rsid w:val="00D52960"/>
    <w:rsid w:val="00D54DAD"/>
    <w:rsid w:val="00D56849"/>
    <w:rsid w:val="00D56E63"/>
    <w:rsid w:val="00D57681"/>
    <w:rsid w:val="00D62D33"/>
    <w:rsid w:val="00D63741"/>
    <w:rsid w:val="00D6393A"/>
    <w:rsid w:val="00D66392"/>
    <w:rsid w:val="00D668BE"/>
    <w:rsid w:val="00D670AD"/>
    <w:rsid w:val="00D71137"/>
    <w:rsid w:val="00D71249"/>
    <w:rsid w:val="00D71831"/>
    <w:rsid w:val="00D72760"/>
    <w:rsid w:val="00D7345B"/>
    <w:rsid w:val="00D738E5"/>
    <w:rsid w:val="00D73CB4"/>
    <w:rsid w:val="00D74740"/>
    <w:rsid w:val="00D7508C"/>
    <w:rsid w:val="00D75129"/>
    <w:rsid w:val="00D75BCA"/>
    <w:rsid w:val="00D7624C"/>
    <w:rsid w:val="00D766FF"/>
    <w:rsid w:val="00D769D6"/>
    <w:rsid w:val="00D7797C"/>
    <w:rsid w:val="00D80B05"/>
    <w:rsid w:val="00D829BE"/>
    <w:rsid w:val="00D83B64"/>
    <w:rsid w:val="00D84F89"/>
    <w:rsid w:val="00D86D4A"/>
    <w:rsid w:val="00D87678"/>
    <w:rsid w:val="00D904DC"/>
    <w:rsid w:val="00D90564"/>
    <w:rsid w:val="00D90629"/>
    <w:rsid w:val="00D908E2"/>
    <w:rsid w:val="00D917A2"/>
    <w:rsid w:val="00D91A72"/>
    <w:rsid w:val="00D92DE0"/>
    <w:rsid w:val="00D9352B"/>
    <w:rsid w:val="00D94B5E"/>
    <w:rsid w:val="00D9500E"/>
    <w:rsid w:val="00D97D89"/>
    <w:rsid w:val="00DA073B"/>
    <w:rsid w:val="00DA22A2"/>
    <w:rsid w:val="00DA2C98"/>
    <w:rsid w:val="00DA2FFD"/>
    <w:rsid w:val="00DA5AC0"/>
    <w:rsid w:val="00DB3909"/>
    <w:rsid w:val="00DB3BF8"/>
    <w:rsid w:val="00DB4940"/>
    <w:rsid w:val="00DB4BE9"/>
    <w:rsid w:val="00DB5324"/>
    <w:rsid w:val="00DB5DF8"/>
    <w:rsid w:val="00DB5FFF"/>
    <w:rsid w:val="00DB76E4"/>
    <w:rsid w:val="00DB7BD9"/>
    <w:rsid w:val="00DC023F"/>
    <w:rsid w:val="00DC1B9C"/>
    <w:rsid w:val="00DC250C"/>
    <w:rsid w:val="00DC4413"/>
    <w:rsid w:val="00DC5F26"/>
    <w:rsid w:val="00DC73DA"/>
    <w:rsid w:val="00DD09FA"/>
    <w:rsid w:val="00DD3838"/>
    <w:rsid w:val="00DD5671"/>
    <w:rsid w:val="00DD636F"/>
    <w:rsid w:val="00DE0051"/>
    <w:rsid w:val="00DE16EF"/>
    <w:rsid w:val="00DE2C7A"/>
    <w:rsid w:val="00DE37F5"/>
    <w:rsid w:val="00DE40A9"/>
    <w:rsid w:val="00DE7717"/>
    <w:rsid w:val="00DF121E"/>
    <w:rsid w:val="00DF1775"/>
    <w:rsid w:val="00DF1F60"/>
    <w:rsid w:val="00DF1F79"/>
    <w:rsid w:val="00DF25F4"/>
    <w:rsid w:val="00DF334D"/>
    <w:rsid w:val="00DF4CE0"/>
    <w:rsid w:val="00DF4DAE"/>
    <w:rsid w:val="00DF4DF6"/>
    <w:rsid w:val="00DF5795"/>
    <w:rsid w:val="00DF5E67"/>
    <w:rsid w:val="00DF77AA"/>
    <w:rsid w:val="00E021E2"/>
    <w:rsid w:val="00E041F9"/>
    <w:rsid w:val="00E04238"/>
    <w:rsid w:val="00E058E9"/>
    <w:rsid w:val="00E062C2"/>
    <w:rsid w:val="00E071D9"/>
    <w:rsid w:val="00E07761"/>
    <w:rsid w:val="00E106B2"/>
    <w:rsid w:val="00E11CAE"/>
    <w:rsid w:val="00E136F2"/>
    <w:rsid w:val="00E1426B"/>
    <w:rsid w:val="00E147E6"/>
    <w:rsid w:val="00E16D29"/>
    <w:rsid w:val="00E16F35"/>
    <w:rsid w:val="00E1700F"/>
    <w:rsid w:val="00E2010B"/>
    <w:rsid w:val="00E20A8E"/>
    <w:rsid w:val="00E2114E"/>
    <w:rsid w:val="00E21554"/>
    <w:rsid w:val="00E217AD"/>
    <w:rsid w:val="00E217B0"/>
    <w:rsid w:val="00E217D3"/>
    <w:rsid w:val="00E22305"/>
    <w:rsid w:val="00E22637"/>
    <w:rsid w:val="00E24FB0"/>
    <w:rsid w:val="00E2543D"/>
    <w:rsid w:val="00E31302"/>
    <w:rsid w:val="00E31D77"/>
    <w:rsid w:val="00E32025"/>
    <w:rsid w:val="00E3243B"/>
    <w:rsid w:val="00E324CB"/>
    <w:rsid w:val="00E32554"/>
    <w:rsid w:val="00E32DAC"/>
    <w:rsid w:val="00E32F0E"/>
    <w:rsid w:val="00E34073"/>
    <w:rsid w:val="00E36F2E"/>
    <w:rsid w:val="00E41851"/>
    <w:rsid w:val="00E42523"/>
    <w:rsid w:val="00E4271C"/>
    <w:rsid w:val="00E44E48"/>
    <w:rsid w:val="00E45D8B"/>
    <w:rsid w:val="00E46931"/>
    <w:rsid w:val="00E50989"/>
    <w:rsid w:val="00E516C9"/>
    <w:rsid w:val="00E53A0D"/>
    <w:rsid w:val="00E55508"/>
    <w:rsid w:val="00E555F4"/>
    <w:rsid w:val="00E55AAB"/>
    <w:rsid w:val="00E56D9C"/>
    <w:rsid w:val="00E56F04"/>
    <w:rsid w:val="00E56F43"/>
    <w:rsid w:val="00E5711B"/>
    <w:rsid w:val="00E603B9"/>
    <w:rsid w:val="00E60B8D"/>
    <w:rsid w:val="00E60F81"/>
    <w:rsid w:val="00E61D79"/>
    <w:rsid w:val="00E62179"/>
    <w:rsid w:val="00E62E87"/>
    <w:rsid w:val="00E62EC5"/>
    <w:rsid w:val="00E62F14"/>
    <w:rsid w:val="00E639CD"/>
    <w:rsid w:val="00E6639D"/>
    <w:rsid w:val="00E66CED"/>
    <w:rsid w:val="00E670AD"/>
    <w:rsid w:val="00E713F7"/>
    <w:rsid w:val="00E72052"/>
    <w:rsid w:val="00E741FB"/>
    <w:rsid w:val="00E7531A"/>
    <w:rsid w:val="00E75C6C"/>
    <w:rsid w:val="00E76981"/>
    <w:rsid w:val="00E81262"/>
    <w:rsid w:val="00E82C2E"/>
    <w:rsid w:val="00E8622B"/>
    <w:rsid w:val="00E87946"/>
    <w:rsid w:val="00E902C0"/>
    <w:rsid w:val="00E915AF"/>
    <w:rsid w:val="00E9171D"/>
    <w:rsid w:val="00E918B9"/>
    <w:rsid w:val="00E933DC"/>
    <w:rsid w:val="00E942B7"/>
    <w:rsid w:val="00E9518B"/>
    <w:rsid w:val="00E95933"/>
    <w:rsid w:val="00E95D60"/>
    <w:rsid w:val="00E96F37"/>
    <w:rsid w:val="00E97C8D"/>
    <w:rsid w:val="00EA1B0A"/>
    <w:rsid w:val="00EA28C9"/>
    <w:rsid w:val="00EA2906"/>
    <w:rsid w:val="00EA320B"/>
    <w:rsid w:val="00EA4135"/>
    <w:rsid w:val="00EA4B72"/>
    <w:rsid w:val="00EA4D7A"/>
    <w:rsid w:val="00EA58AC"/>
    <w:rsid w:val="00EA58D9"/>
    <w:rsid w:val="00EA692D"/>
    <w:rsid w:val="00EA6B21"/>
    <w:rsid w:val="00EA6C42"/>
    <w:rsid w:val="00EA6D57"/>
    <w:rsid w:val="00EB109B"/>
    <w:rsid w:val="00EB1F7E"/>
    <w:rsid w:val="00EB5207"/>
    <w:rsid w:val="00EB67C1"/>
    <w:rsid w:val="00EB7B5B"/>
    <w:rsid w:val="00EC02BD"/>
    <w:rsid w:val="00EC0DE4"/>
    <w:rsid w:val="00EC1B13"/>
    <w:rsid w:val="00EC3747"/>
    <w:rsid w:val="00EC48A3"/>
    <w:rsid w:val="00EC67F6"/>
    <w:rsid w:val="00EC746F"/>
    <w:rsid w:val="00ED00D1"/>
    <w:rsid w:val="00ED0911"/>
    <w:rsid w:val="00ED0B03"/>
    <w:rsid w:val="00ED2EC5"/>
    <w:rsid w:val="00ED58CB"/>
    <w:rsid w:val="00ED60FC"/>
    <w:rsid w:val="00ED653B"/>
    <w:rsid w:val="00ED6683"/>
    <w:rsid w:val="00ED7B55"/>
    <w:rsid w:val="00EE223E"/>
    <w:rsid w:val="00EE29FA"/>
    <w:rsid w:val="00EE2B05"/>
    <w:rsid w:val="00EE6D21"/>
    <w:rsid w:val="00EF0DFF"/>
    <w:rsid w:val="00EF1812"/>
    <w:rsid w:val="00EF1A33"/>
    <w:rsid w:val="00EF29EF"/>
    <w:rsid w:val="00EF2C48"/>
    <w:rsid w:val="00EF316C"/>
    <w:rsid w:val="00EF4337"/>
    <w:rsid w:val="00EF4463"/>
    <w:rsid w:val="00EF50FF"/>
    <w:rsid w:val="00F00D46"/>
    <w:rsid w:val="00F01465"/>
    <w:rsid w:val="00F021F2"/>
    <w:rsid w:val="00F0283C"/>
    <w:rsid w:val="00F034D8"/>
    <w:rsid w:val="00F04CD1"/>
    <w:rsid w:val="00F04F6A"/>
    <w:rsid w:val="00F0589F"/>
    <w:rsid w:val="00F0685D"/>
    <w:rsid w:val="00F06951"/>
    <w:rsid w:val="00F07A45"/>
    <w:rsid w:val="00F07F1A"/>
    <w:rsid w:val="00F07FDE"/>
    <w:rsid w:val="00F1196D"/>
    <w:rsid w:val="00F136B3"/>
    <w:rsid w:val="00F140AB"/>
    <w:rsid w:val="00F20464"/>
    <w:rsid w:val="00F21254"/>
    <w:rsid w:val="00F22353"/>
    <w:rsid w:val="00F2297F"/>
    <w:rsid w:val="00F23913"/>
    <w:rsid w:val="00F24D46"/>
    <w:rsid w:val="00F263AD"/>
    <w:rsid w:val="00F26A7B"/>
    <w:rsid w:val="00F27CE7"/>
    <w:rsid w:val="00F32FAF"/>
    <w:rsid w:val="00F332BC"/>
    <w:rsid w:val="00F33681"/>
    <w:rsid w:val="00F33CDA"/>
    <w:rsid w:val="00F34682"/>
    <w:rsid w:val="00F35750"/>
    <w:rsid w:val="00F37057"/>
    <w:rsid w:val="00F409F2"/>
    <w:rsid w:val="00F40DAA"/>
    <w:rsid w:val="00F43173"/>
    <w:rsid w:val="00F431DC"/>
    <w:rsid w:val="00F43305"/>
    <w:rsid w:val="00F468EE"/>
    <w:rsid w:val="00F46BFC"/>
    <w:rsid w:val="00F4766A"/>
    <w:rsid w:val="00F47E60"/>
    <w:rsid w:val="00F50B33"/>
    <w:rsid w:val="00F514F2"/>
    <w:rsid w:val="00F51D71"/>
    <w:rsid w:val="00F523DB"/>
    <w:rsid w:val="00F52BA2"/>
    <w:rsid w:val="00F53FD6"/>
    <w:rsid w:val="00F548D6"/>
    <w:rsid w:val="00F54B75"/>
    <w:rsid w:val="00F55D5C"/>
    <w:rsid w:val="00F56177"/>
    <w:rsid w:val="00F56643"/>
    <w:rsid w:val="00F56C75"/>
    <w:rsid w:val="00F56F51"/>
    <w:rsid w:val="00F57570"/>
    <w:rsid w:val="00F60394"/>
    <w:rsid w:val="00F6106A"/>
    <w:rsid w:val="00F61B29"/>
    <w:rsid w:val="00F6310E"/>
    <w:rsid w:val="00F6497A"/>
    <w:rsid w:val="00F64F97"/>
    <w:rsid w:val="00F65C07"/>
    <w:rsid w:val="00F65F30"/>
    <w:rsid w:val="00F70756"/>
    <w:rsid w:val="00F70976"/>
    <w:rsid w:val="00F71182"/>
    <w:rsid w:val="00F7371A"/>
    <w:rsid w:val="00F7452D"/>
    <w:rsid w:val="00F74598"/>
    <w:rsid w:val="00F75039"/>
    <w:rsid w:val="00F75134"/>
    <w:rsid w:val="00F7725A"/>
    <w:rsid w:val="00F77747"/>
    <w:rsid w:val="00F777DC"/>
    <w:rsid w:val="00F811ED"/>
    <w:rsid w:val="00F812F4"/>
    <w:rsid w:val="00F829AA"/>
    <w:rsid w:val="00F84031"/>
    <w:rsid w:val="00F846B8"/>
    <w:rsid w:val="00F85898"/>
    <w:rsid w:val="00F85AF1"/>
    <w:rsid w:val="00F916CA"/>
    <w:rsid w:val="00F93239"/>
    <w:rsid w:val="00F935B4"/>
    <w:rsid w:val="00F93C13"/>
    <w:rsid w:val="00F942D1"/>
    <w:rsid w:val="00F954B2"/>
    <w:rsid w:val="00F97817"/>
    <w:rsid w:val="00FA111D"/>
    <w:rsid w:val="00FA1F90"/>
    <w:rsid w:val="00FA26EE"/>
    <w:rsid w:val="00FA2921"/>
    <w:rsid w:val="00FA2C8B"/>
    <w:rsid w:val="00FA2FF5"/>
    <w:rsid w:val="00FA6024"/>
    <w:rsid w:val="00FA69D1"/>
    <w:rsid w:val="00FA6B84"/>
    <w:rsid w:val="00FA76BF"/>
    <w:rsid w:val="00FB0918"/>
    <w:rsid w:val="00FB0B3D"/>
    <w:rsid w:val="00FB0E53"/>
    <w:rsid w:val="00FB22E8"/>
    <w:rsid w:val="00FB2AEB"/>
    <w:rsid w:val="00FB2B24"/>
    <w:rsid w:val="00FB2C50"/>
    <w:rsid w:val="00FB311A"/>
    <w:rsid w:val="00FB3888"/>
    <w:rsid w:val="00FB4087"/>
    <w:rsid w:val="00FB44F4"/>
    <w:rsid w:val="00FB5377"/>
    <w:rsid w:val="00FB6D90"/>
    <w:rsid w:val="00FC1FB9"/>
    <w:rsid w:val="00FC5C96"/>
    <w:rsid w:val="00FC7EF8"/>
    <w:rsid w:val="00FD0BF3"/>
    <w:rsid w:val="00FD0D6F"/>
    <w:rsid w:val="00FD2388"/>
    <w:rsid w:val="00FD24EF"/>
    <w:rsid w:val="00FD2861"/>
    <w:rsid w:val="00FD3ACE"/>
    <w:rsid w:val="00FD4334"/>
    <w:rsid w:val="00FD62E1"/>
    <w:rsid w:val="00FD6553"/>
    <w:rsid w:val="00FD7317"/>
    <w:rsid w:val="00FD7FE1"/>
    <w:rsid w:val="00FE1530"/>
    <w:rsid w:val="00FE1BAA"/>
    <w:rsid w:val="00FE1F8C"/>
    <w:rsid w:val="00FE4B37"/>
    <w:rsid w:val="00FE5C88"/>
    <w:rsid w:val="00FE61E0"/>
    <w:rsid w:val="00FF0703"/>
    <w:rsid w:val="00FF16BE"/>
    <w:rsid w:val="00FF1B88"/>
    <w:rsid w:val="00FF2EDE"/>
    <w:rsid w:val="00FF46F9"/>
    <w:rsid w:val="00FF50CE"/>
    <w:rsid w:val="00FF5166"/>
    <w:rsid w:val="00FF5F6C"/>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eastAsia="en-GB"/>
    </w:rPr>
  </w:style>
  <w:style w:type="paragraph" w:styleId="Nagwek2">
    <w:name w:val="heading 2"/>
    <w:basedOn w:val="Normalny"/>
    <w:link w:val="Nagwek2Znak"/>
    <w:uiPriority w:val="1"/>
    <w:semiHidden/>
    <w:unhideWhenUsed/>
    <w:qFormat/>
    <w:rsid w:val="008B2F08"/>
    <w:pPr>
      <w:widowControl w:val="0"/>
      <w:spacing w:before="119"/>
      <w:ind w:left="840"/>
      <w:outlineLvl w:val="1"/>
    </w:pPr>
    <w:rPr>
      <w:rFonts w:ascii="Verdana" w:eastAsia="Verdana" w:hAnsi="Verdana" w:cs="Times New Roman"/>
      <w:b/>
      <w:bCs/>
      <w:u w:val="single"/>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07FDE"/>
  </w:style>
  <w:style w:type="character" w:customStyle="1" w:styleId="TekstprzypisukocowegoZnak">
    <w:name w:val="Tekst przypisu końcowego Znak"/>
    <w:basedOn w:val="Domylnaczcionkaakapitu"/>
    <w:link w:val="Tekstprzypisukocowego"/>
    <w:uiPriority w:val="99"/>
    <w:semiHidden/>
    <w:rsid w:val="00F07FDE"/>
  </w:style>
  <w:style w:type="character" w:styleId="Odwoanieprzypisukocowego">
    <w:name w:val="endnote reference"/>
    <w:uiPriority w:val="99"/>
    <w:semiHidden/>
    <w:unhideWhenUsed/>
    <w:rsid w:val="00F07FDE"/>
    <w:rPr>
      <w:vertAlign w:val="superscript"/>
    </w:rPr>
  </w:style>
  <w:style w:type="paragraph" w:styleId="Tekstprzypisudolnego">
    <w:name w:val="footnote text"/>
    <w:basedOn w:val="Normalny"/>
    <w:link w:val="TekstprzypisudolnegoZnak"/>
    <w:uiPriority w:val="99"/>
    <w:unhideWhenUsed/>
    <w:rsid w:val="00764C1B"/>
  </w:style>
  <w:style w:type="character" w:customStyle="1" w:styleId="TekstprzypisudolnegoZnak">
    <w:name w:val="Tekst przypisu dolnego Znak"/>
    <w:basedOn w:val="Domylnaczcionkaakapitu"/>
    <w:link w:val="Tekstprzypisudolnego"/>
    <w:uiPriority w:val="99"/>
    <w:rsid w:val="00764C1B"/>
  </w:style>
  <w:style w:type="character" w:styleId="Odwoanieprzypisudolnego">
    <w:name w:val="footnote reference"/>
    <w:uiPriority w:val="99"/>
    <w:semiHidden/>
    <w:unhideWhenUsed/>
    <w:rsid w:val="00764C1B"/>
    <w:rPr>
      <w:vertAlign w:val="superscript"/>
    </w:rPr>
  </w:style>
  <w:style w:type="paragraph" w:styleId="Bezodstpw">
    <w:name w:val="No Spacing"/>
    <w:link w:val="BezodstpwZnak"/>
    <w:uiPriority w:val="1"/>
    <w:qFormat/>
    <w:rsid w:val="008500F6"/>
    <w:rPr>
      <w:rFonts w:eastAsia="Times New Roman" w:cs="Times New Roman"/>
      <w:sz w:val="22"/>
      <w:szCs w:val="22"/>
      <w:lang w:eastAsia="en-US"/>
    </w:rPr>
  </w:style>
  <w:style w:type="character" w:customStyle="1" w:styleId="BezodstpwZnak">
    <w:name w:val="Bez odstępów Znak"/>
    <w:link w:val="Bezodstpw"/>
    <w:uiPriority w:val="1"/>
    <w:rsid w:val="008500F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8500F6"/>
    <w:rPr>
      <w:rFonts w:ascii="Tahoma" w:hAnsi="Tahoma" w:cs="Times New Roman"/>
      <w:sz w:val="16"/>
      <w:szCs w:val="16"/>
      <w:lang w:val="x-none" w:eastAsia="x-none"/>
    </w:rPr>
  </w:style>
  <w:style w:type="character" w:customStyle="1" w:styleId="TekstdymkaZnak">
    <w:name w:val="Tekst dymka Znak"/>
    <w:link w:val="Tekstdymka"/>
    <w:uiPriority w:val="99"/>
    <w:semiHidden/>
    <w:rsid w:val="008500F6"/>
    <w:rPr>
      <w:rFonts w:ascii="Tahoma" w:hAnsi="Tahoma" w:cs="Tahoma"/>
      <w:sz w:val="16"/>
      <w:szCs w:val="16"/>
    </w:rPr>
  </w:style>
  <w:style w:type="paragraph" w:styleId="Nagwek">
    <w:name w:val="header"/>
    <w:basedOn w:val="Normalny"/>
    <w:link w:val="NagwekZnak"/>
    <w:uiPriority w:val="99"/>
    <w:unhideWhenUsed/>
    <w:rsid w:val="004E118A"/>
    <w:pPr>
      <w:tabs>
        <w:tab w:val="center" w:pos="4536"/>
        <w:tab w:val="right" w:pos="9072"/>
      </w:tabs>
    </w:pPr>
  </w:style>
  <w:style w:type="character" w:customStyle="1" w:styleId="NagwekZnak">
    <w:name w:val="Nagłówek Znak"/>
    <w:basedOn w:val="Domylnaczcionkaakapitu"/>
    <w:link w:val="Nagwek"/>
    <w:uiPriority w:val="99"/>
    <w:rsid w:val="004E118A"/>
  </w:style>
  <w:style w:type="paragraph" w:styleId="Stopka">
    <w:name w:val="footer"/>
    <w:basedOn w:val="Normalny"/>
    <w:link w:val="StopkaZnak"/>
    <w:uiPriority w:val="99"/>
    <w:unhideWhenUsed/>
    <w:rsid w:val="004E118A"/>
    <w:pPr>
      <w:tabs>
        <w:tab w:val="center" w:pos="4536"/>
        <w:tab w:val="right" w:pos="9072"/>
      </w:tabs>
    </w:pPr>
  </w:style>
  <w:style w:type="character" w:customStyle="1" w:styleId="StopkaZnak">
    <w:name w:val="Stopka Znak"/>
    <w:basedOn w:val="Domylnaczcionkaakapitu"/>
    <w:link w:val="Stopka"/>
    <w:uiPriority w:val="99"/>
    <w:rsid w:val="004E118A"/>
  </w:style>
  <w:style w:type="paragraph" w:customStyle="1" w:styleId="Default">
    <w:name w:val="Default"/>
    <w:rsid w:val="00C302A5"/>
    <w:pPr>
      <w:autoSpaceDE w:val="0"/>
      <w:autoSpaceDN w:val="0"/>
      <w:adjustRightInd w:val="0"/>
    </w:pPr>
    <w:rPr>
      <w:rFonts w:ascii="Verdana" w:hAnsi="Verdana" w:cs="Verdana"/>
      <w:color w:val="000000"/>
      <w:sz w:val="24"/>
      <w:szCs w:val="24"/>
    </w:rPr>
  </w:style>
  <w:style w:type="character" w:customStyle="1" w:styleId="tlid-translation">
    <w:name w:val="tlid-translation"/>
    <w:rsid w:val="00AC1229"/>
  </w:style>
  <w:style w:type="character" w:customStyle="1" w:styleId="Nagwek2Znak">
    <w:name w:val="Nagłówek 2 Znak"/>
    <w:link w:val="Nagwek2"/>
    <w:uiPriority w:val="1"/>
    <w:semiHidden/>
    <w:rsid w:val="008B2F08"/>
    <w:rPr>
      <w:rFonts w:ascii="Verdana" w:eastAsia="Verdana" w:hAnsi="Verdana" w:cs="Times New Roman"/>
      <w:b/>
      <w:bCs/>
      <w:u w:val="single"/>
      <w:lang w:eastAsia="en-US"/>
    </w:rPr>
  </w:style>
  <w:style w:type="paragraph" w:styleId="Tekstpodstawowy">
    <w:name w:val="Body Text"/>
    <w:basedOn w:val="Normalny"/>
    <w:link w:val="TekstpodstawowyZnak"/>
    <w:uiPriority w:val="1"/>
    <w:semiHidden/>
    <w:unhideWhenUsed/>
    <w:qFormat/>
    <w:rsid w:val="008B2F08"/>
    <w:pPr>
      <w:widowControl w:val="0"/>
      <w:ind w:left="840"/>
    </w:pPr>
    <w:rPr>
      <w:rFonts w:ascii="Verdana" w:eastAsia="Verdana" w:hAnsi="Verdana" w:cs="Times New Roman"/>
      <w:lang w:val="pl-PL" w:eastAsia="en-US"/>
    </w:rPr>
  </w:style>
  <w:style w:type="character" w:customStyle="1" w:styleId="TekstpodstawowyZnak">
    <w:name w:val="Tekst podstawowy Znak"/>
    <w:link w:val="Tekstpodstawowy"/>
    <w:uiPriority w:val="1"/>
    <w:semiHidden/>
    <w:rsid w:val="008B2F08"/>
    <w:rPr>
      <w:rFonts w:ascii="Verdana" w:eastAsia="Verdana" w:hAnsi="Verdana" w:cs="Times New Roman"/>
      <w:lang w:eastAsia="en-US"/>
    </w:rPr>
  </w:style>
  <w:style w:type="character" w:styleId="Hipercze">
    <w:name w:val="Hyperlink"/>
    <w:basedOn w:val="Domylnaczcionkaakapitu"/>
    <w:uiPriority w:val="99"/>
    <w:unhideWhenUsed/>
    <w:rsid w:val="00750D55"/>
    <w:rPr>
      <w:color w:val="0563C1" w:themeColor="hyperlink"/>
      <w:u w:val="single"/>
    </w:rPr>
  </w:style>
  <w:style w:type="character" w:styleId="Nierozpoznanawzmianka">
    <w:name w:val="Unresolved Mention"/>
    <w:basedOn w:val="Domylnaczcionkaakapitu"/>
    <w:uiPriority w:val="99"/>
    <w:semiHidden/>
    <w:unhideWhenUsed/>
    <w:rsid w:val="00750D55"/>
    <w:rPr>
      <w:color w:val="605E5C"/>
      <w:shd w:val="clear" w:color="auto" w:fill="E1DFDD"/>
    </w:rPr>
  </w:style>
  <w:style w:type="character" w:styleId="UyteHipercze">
    <w:name w:val="FollowedHyperlink"/>
    <w:basedOn w:val="Domylnaczcionkaakapitu"/>
    <w:uiPriority w:val="99"/>
    <w:semiHidden/>
    <w:unhideWhenUsed/>
    <w:rsid w:val="001501C2"/>
    <w:rPr>
      <w:color w:val="954F72" w:themeColor="followedHyperlink"/>
      <w:u w:val="single"/>
    </w:rPr>
  </w:style>
  <w:style w:type="paragraph" w:styleId="Akapitzlist">
    <w:name w:val="List Paragraph"/>
    <w:basedOn w:val="Normalny"/>
    <w:uiPriority w:val="34"/>
    <w:qFormat/>
    <w:rsid w:val="006B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8547">
      <w:bodyDiv w:val="1"/>
      <w:marLeft w:val="0"/>
      <w:marRight w:val="0"/>
      <w:marTop w:val="0"/>
      <w:marBottom w:val="0"/>
      <w:divBdr>
        <w:top w:val="none" w:sz="0" w:space="0" w:color="auto"/>
        <w:left w:val="none" w:sz="0" w:space="0" w:color="auto"/>
        <w:bottom w:val="none" w:sz="0" w:space="0" w:color="auto"/>
        <w:right w:val="none" w:sz="0" w:space="0" w:color="auto"/>
      </w:divBdr>
    </w:div>
    <w:div w:id="2000305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hudoc.echr.coe.int/eng" TargetMode="External"/><Relationship Id="rId26" Type="http://schemas.openxmlformats.org/officeDocument/2006/relationships/hyperlink" Target="https://hudoc.echr.coe.int/eng-press" TargetMode="External"/><Relationship Id="rId39" Type="http://schemas.openxmlformats.org/officeDocument/2006/relationships/footer" Target="footer2.xml"/><Relationship Id="rId21" Type="http://schemas.openxmlformats.org/officeDocument/2006/relationships/hyperlink" Target="https://hudoc.echr.coe.int/eng-press?i=003-3372127-3778940" TargetMode="External"/><Relationship Id="rId34" Type="http://schemas.openxmlformats.org/officeDocument/2006/relationships/hyperlink" Target="https://hudoc.echr.coe.int/en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udoc.echr.coe.int/eng" TargetMode="External"/><Relationship Id="rId20" Type="http://schemas.openxmlformats.org/officeDocument/2006/relationships/hyperlink" Target="https://hudoc.echr.coe.int/eng-press" TargetMode="External"/><Relationship Id="rId29" Type="http://schemas.openxmlformats.org/officeDocument/2006/relationships/hyperlink" Target="https://hudoc.echr.coe.int/f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hyperlink" Target="https://hudoc.echr.coe.int/eng-press" TargetMode="External"/><Relationship Id="rId32" Type="http://schemas.openxmlformats.org/officeDocument/2006/relationships/hyperlink" Target="https://hudoc.echr.coe.int/eng-press"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hyperlink" Target="https://hudoc.echr.coe.int/eng?i=003-4430086-5326345" TargetMode="External"/><Relationship Id="rId28" Type="http://schemas.openxmlformats.org/officeDocument/2006/relationships/hyperlink" Target="https://hudoc.echr.coe.int/eng"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hudoc.echr.coe.int/eng-press" TargetMode="External"/><Relationship Id="rId31" Type="http://schemas.openxmlformats.org/officeDocument/2006/relationships/hyperlink" Target="https://hudoc.echr.coe.int/fre-press" TargetMode="External"/><Relationship Id="rId4" Type="http://schemas.openxmlformats.org/officeDocument/2006/relationships/settings" Target="settings.xml"/><Relationship Id="rId9" Type="http://schemas.openxmlformats.org/officeDocument/2006/relationships/hyperlink" Target="https://www.echr.coe.int/documents/d/echr/Convention_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press?i=003-3504831-3951446" TargetMode="External"/><Relationship Id="rId27" Type="http://schemas.openxmlformats.org/officeDocument/2006/relationships/hyperlink" Target="https://hudoc.echr.coe.int/eng"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fr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E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0B-4D88-4C57-9494-1463D21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5943</Words>
  <Characters>35664</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2025-01-23T09:38:00Z</dcterms:created>
  <dcterms:modified xsi:type="dcterms:W3CDTF">2025-01-23T09:51:00Z</dcterms:modified>
</cp:coreProperties>
</file>