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52E" w:rsidRDefault="00635D2F">
      <w:pPr>
        <w:pStyle w:val="Pagedecouverture"/>
        <w:rPr>
          <w:noProof/>
        </w:rPr>
      </w:pPr>
      <w:bookmarkStart w:id="0" w:name="_GoBack"/>
      <w:bookmarkEnd w:id="0"/>
      <w:r>
        <w:rPr>
          <w:noProof/>
          <w:lang w:eastAsia="pl-PL"/>
        </w:rPr>
        <w:drawing>
          <wp:inline distT="0" distB="0" distL="0" distR="0">
            <wp:extent cx="5720715" cy="4294505"/>
            <wp:effectExtent l="0" t="0" r="0" b="0"/>
            <wp:docPr id="1" name="Obraz 1" descr="27A8FC9F-C852-4523-B82E-5C3CFD29D4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7A8FC9F-C852-4523-B82E-5C3CFD29D4A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0715" cy="4294505"/>
                    </a:xfrm>
                    <a:prstGeom prst="rect">
                      <a:avLst/>
                    </a:prstGeom>
                    <a:noFill/>
                    <a:ln>
                      <a:noFill/>
                    </a:ln>
                  </pic:spPr>
                </pic:pic>
              </a:graphicData>
            </a:graphic>
          </wp:inline>
        </w:drawing>
      </w:r>
    </w:p>
    <w:p w:rsidR="00D3052E" w:rsidRDefault="00D3052E">
      <w:pPr>
        <w:rPr>
          <w:noProof/>
          <w:color w:val="000000" w:themeColor="text1"/>
        </w:rPr>
        <w:sectPr w:rsidR="00D3052E">
          <w:footerReference w:type="default" r:id="rId9"/>
          <w:pgSz w:w="11907" w:h="16839"/>
          <w:pgMar w:top="1134" w:right="1417" w:bottom="1134" w:left="1417" w:header="709" w:footer="709" w:gutter="0"/>
          <w:pgNumType w:start="0"/>
          <w:cols w:space="720"/>
          <w:docGrid w:linePitch="360"/>
        </w:sectPr>
      </w:pPr>
    </w:p>
    <w:p w:rsidR="00D3052E" w:rsidRDefault="00635D2F">
      <w:pPr>
        <w:pStyle w:val="Exposdesmotifstitre"/>
        <w:rPr>
          <w:noProof/>
          <w:color w:val="000000" w:themeColor="text1"/>
        </w:rPr>
      </w:pPr>
      <w:r>
        <w:rPr>
          <w:noProof/>
          <w:color w:val="000000" w:themeColor="text1"/>
        </w:rPr>
        <w:lastRenderedPageBreak/>
        <w:t>UZASADNIENIE</w:t>
      </w:r>
    </w:p>
    <w:p w:rsidR="00D3052E" w:rsidRDefault="00635D2F">
      <w:pPr>
        <w:spacing w:before="360" w:after="240"/>
        <w:rPr>
          <w:b/>
          <w:bCs/>
          <w:noProof/>
        </w:rPr>
      </w:pPr>
      <w:r>
        <w:rPr>
          <w:b/>
          <w:bCs/>
          <w:noProof/>
        </w:rPr>
        <w:t>1.</w:t>
      </w:r>
      <w:r>
        <w:rPr>
          <w:b/>
          <w:bCs/>
          <w:noProof/>
        </w:rPr>
        <w:tab/>
        <w:t>KONTEKST WNIOSKU</w:t>
      </w:r>
    </w:p>
    <w:p w:rsidR="00D3052E" w:rsidRDefault="00635D2F">
      <w:pPr>
        <w:rPr>
          <w:noProof/>
          <w:color w:val="000000" w:themeColor="text1"/>
        </w:rPr>
      </w:pPr>
      <w:r>
        <w:rPr>
          <w:noProof/>
          <w:color w:val="000000" w:themeColor="text1"/>
        </w:rPr>
        <w:t>W dniu 4 grudnia 2019 r. Europejska Agencja Środowiska (EEA) opublikowała swoje sprawozdanie pt. „Środowisko Europy 2020 – stan i prognozy” (SOER)</w:t>
      </w:r>
      <w:r>
        <w:rPr>
          <w:rStyle w:val="Odwoanieprzypisudolnego"/>
          <w:noProof/>
          <w:color w:val="000000" w:themeColor="text1"/>
        </w:rPr>
        <w:footnoteReference w:id="1"/>
      </w:r>
      <w:r>
        <w:rPr>
          <w:noProof/>
          <w:color w:val="000000" w:themeColor="text1"/>
        </w:rPr>
        <w:t xml:space="preserve">, którego wyniki pozbawiają złudzeń. Obecnie stoimy przed wyzwaniami środowiskowymi, klimatycznymi i wyzwaniami w zakresie zrównoważonego rozwoju o bezprecedensowej skali i stopniu pilności, wymagającymi niezwłocznego podjęcia skoncentrowanych działań i przyjęcia rozwiązań systemowych. Realizacja unijnych polityk w zakresie ochrony środowiska przyniosła znaczne korzyści na przestrzeni ostatnich dziesięcioleci bez wpływu na długoterminową konkurencyjność UE, a w ostatnich latach na kształt dorobku prawnego UE coraz większy wpływ mają ambitne długoterminowe cele, wizja i polityki ujęte w ramach strategicznych, które skutecznie przyczyniają się do ograniczenia obciążeń dla środowiska. Muszą jednak zostać podjęte dalsze zdecydowane działania na szczeblu unijnym i światowym w świetle utraty różnorodności biologicznej i degradacji usług ekosystemowych, zmiany klimatu i jej skutków oraz niezrównoważonego wykorzystania zasobów, zanieczyszczenia i powiązanych zagrożeń dla zdrowia i dobrostanu człowieka, przyrody, ekosystemów i gospodarki. </w:t>
      </w:r>
    </w:p>
    <w:p w:rsidR="00D3052E" w:rsidRDefault="00635D2F">
      <w:pPr>
        <w:rPr>
          <w:noProof/>
          <w:color w:val="000000" w:themeColor="text1"/>
        </w:rPr>
      </w:pPr>
      <w:r>
        <w:rPr>
          <w:noProof/>
          <w:color w:val="000000" w:themeColor="text1"/>
        </w:rPr>
        <w:t>W dniu 11 grudnia 2019 r. w odpowiedzi na te wyzwania Komisja Europejska przyjęła Europejski Zielony Ład</w:t>
      </w:r>
      <w:r>
        <w:rPr>
          <w:rStyle w:val="Odwoanieprzypisudolnego"/>
          <w:noProof/>
          <w:color w:val="000000" w:themeColor="text1"/>
        </w:rPr>
        <w:footnoteReference w:id="2"/>
      </w:r>
      <w:r>
        <w:rPr>
          <w:noProof/>
          <w:color w:val="000000" w:themeColor="text1"/>
        </w:rPr>
        <w:t xml:space="preserve"> – ambitny program, którego realizacja ma sprawić, że do 2050 r. Europa stanie się pierwszym neutralnym dla klimatu kontynentem, a także ma zapewnić ochronę, zachowanie i poprawę kapitału naturalnego UE oraz ochronę zdrowia i dobrostanu obywateli przed zagrożeniami i negatywnymi skutkami związanymi ze środowiskiem. W programie tym – który opiera się na modelu regeneracyjnego wzrostu, przynoszącym więcej korzyści niż strat – określono priorytety w zakresie ochrony środowiska na najbliższe lata oraz unijny cel polegający na transformacji gospodarki UE z myślą o zrównoważonej przyszłości, tak aby nikt nie został pozostawiony w tyle, a żeby osiągnąć te cele w praktyce w ramach programu opracowano zbiór strategii politycznych, które przyniosą głęboką transformację, oraz wezwano Unię do wzmocnienia swojej pozycji lidera na forum światowym w kwestiach klimatycznych i środowiskowych.</w:t>
      </w:r>
    </w:p>
    <w:p w:rsidR="00D3052E" w:rsidRDefault="00635D2F">
      <w:pPr>
        <w:rPr>
          <w:noProof/>
        </w:rPr>
      </w:pPr>
      <w:r>
        <w:rPr>
          <w:noProof/>
        </w:rPr>
        <w:t>W następstwie szerokiej debaty na temat komunikatu pt. „Czysta planeta dla wszystkich”</w:t>
      </w:r>
      <w:r>
        <w:rPr>
          <w:rStyle w:val="Odwoanieprzypisudolnego"/>
          <w:noProof/>
        </w:rPr>
        <w:footnoteReference w:id="3"/>
      </w:r>
      <w:r>
        <w:rPr>
          <w:noProof/>
        </w:rPr>
        <w:t xml:space="preserve"> w marcu 2020 r. UE przedstawiła swoją długoterminową strategię na podstawie porozumienia paryskiego w ramach Ramowej konwencji Narodów Zjednoczonych w sprawie zmian klimatu</w:t>
      </w:r>
      <w:r>
        <w:rPr>
          <w:rStyle w:val="Odwoanieprzypisudolnego"/>
          <w:noProof/>
        </w:rPr>
        <w:footnoteReference w:id="4"/>
      </w:r>
      <w:r>
        <w:rPr>
          <w:noProof/>
        </w:rPr>
        <w:t>, zobowiązując się do osiągnięcia gospodarki neutralnej dla klimatu do roku 2050. Komisja zaproponowała zapisanie tego celu w Europejskim prawie o klimacie</w:t>
      </w:r>
      <w:r>
        <w:rPr>
          <w:rStyle w:val="Odwoanieprzypisudolnego"/>
          <w:noProof/>
        </w:rPr>
        <w:footnoteReference w:id="5"/>
      </w:r>
      <w:r>
        <w:rPr>
          <w:noProof/>
        </w:rPr>
        <w:t xml:space="preserve">. Komisja Europejska przyjęła również szereg nowych inicjatyw strategicznych, w szczególności Nowy plan działania UE dotyczący gospodarki o obiegu zamkniętym na rzecz czystszej i bardziej </w:t>
      </w:r>
      <w:r>
        <w:rPr>
          <w:noProof/>
        </w:rPr>
        <w:lastRenderedPageBreak/>
        <w:t>konkurencyjnej Europy</w:t>
      </w:r>
      <w:r>
        <w:rPr>
          <w:rStyle w:val="Odwoanieprzypisudolnego"/>
          <w:noProof/>
        </w:rPr>
        <w:footnoteReference w:id="6"/>
      </w:r>
      <w:r>
        <w:rPr>
          <w:noProof/>
        </w:rPr>
        <w:t>, strategię na rzecz bioróżnorodności 2030</w:t>
      </w:r>
      <w:r>
        <w:rPr>
          <w:rStyle w:val="Odwoanieprzypisudolnego"/>
          <w:noProof/>
        </w:rPr>
        <w:footnoteReference w:id="7"/>
      </w:r>
      <w:r>
        <w:rPr>
          <w:noProof/>
        </w:rPr>
        <w:t xml:space="preserve"> i strategię „od pola do stołu”</w:t>
      </w:r>
      <w:r>
        <w:rPr>
          <w:rStyle w:val="Odwoanieprzypisudolnego"/>
          <w:noProof/>
        </w:rPr>
        <w:footnoteReference w:id="8"/>
      </w:r>
      <w:r>
        <w:rPr>
          <w:noProof/>
        </w:rPr>
        <w:t xml:space="preserve">. </w:t>
      </w:r>
    </w:p>
    <w:p w:rsidR="00D3052E" w:rsidRDefault="00635D2F">
      <w:pPr>
        <w:rPr>
          <w:noProof/>
          <w:color w:val="000000" w:themeColor="text1"/>
        </w:rPr>
      </w:pPr>
      <w:r>
        <w:rPr>
          <w:noProof/>
          <w:color w:val="000000" w:themeColor="text1"/>
        </w:rPr>
        <w:t>UE przyjęła również kompleksowe środki w odpowiedzi na kryzys związany z COVID-19, który ma negatywny wpływ na życie i środki utrzymania oraz jest źródłem bezprecedensowych wyzwań w zakresie kształtowania polityki, przy czym sytuacja jest tym trudniejsza, że nastąpiło poważne pogorszenie koniunktury gospodarczej. W planie odbudowy Next Generation EU, zaproponowanym przez Komisję Europejską w dniu 27 maja 2020 r. i zatwierdzonym na nadzwyczajnym posiedzeniu Rady Europejskiej, które odbyło się w lipcu 2020 r., podkreślono status Europejskiego Zielonego Ładu jako nowej strategii Europy na rzecz wzrostu i jego roli w zakresie osiągnięcia zrównoważonej i szybkiej odbudowy, a także w zakresie zapewnienia długoterminowej przewidywalności w kierunku osiągnięcia neutralności klimatycznej i ostatecznie sprawiedliwej i uczciwej transformacji, w ramach której nikt nie zostaje pozostawiony w tyle. 8. unijny program działań w zakresie środowiska, w którym określono tę samą długoterminową wizję i te same cele priorytetowe co w Zielonym Ładzie, przyczyni się do realizacji unijnego wspólnego zobowiązania w zakresie ekologicznej odbudowy gospodarki.</w:t>
      </w:r>
    </w:p>
    <w:p w:rsidR="00D3052E" w:rsidRDefault="00635D2F">
      <w:pPr>
        <w:rPr>
          <w:noProof/>
          <w:color w:val="000000" w:themeColor="text1"/>
        </w:rPr>
      </w:pPr>
      <w:r>
        <w:rPr>
          <w:noProof/>
          <w:color w:val="000000" w:themeColor="text1"/>
        </w:rPr>
        <w:t>Unijne programy działań w zakresie środowiska wyznaczają kierunek rozwoju unijnej polityki w zakresie środowiska od wczesnych lat 70. XX wieku. Siódmy program działań w zakresie środowiska (7. EAP) przestanie obowiązywać w dniu 31 grudnia 2020 r., a w jego art. 4 ust. 3 zobowiązano Komisję, by w razie potrzeby przedstawiła wniosek dotyczący ósmego programu działań w zakresie środowiska (8. EAP) w odpowiednim terminie umożliwiającym uniknięcie luki między 7. EAP a 8. EAP. W komunikacie „Europejski Zielony Ład” Komisja ogłosiła przyjęcie nowego unijnego programu działań w zakresie środowiska.</w:t>
      </w:r>
    </w:p>
    <w:p w:rsidR="00D3052E" w:rsidRDefault="00635D2F">
      <w:pPr>
        <w:rPr>
          <w:noProof/>
          <w:color w:val="000000" w:themeColor="text1"/>
        </w:rPr>
      </w:pPr>
      <w:r>
        <w:rPr>
          <w:noProof/>
          <w:color w:val="000000" w:themeColor="text1"/>
        </w:rPr>
        <w:t xml:space="preserve">Rada, Parlament Europejski i Komitet Regionów wezwały Komisję do przedstawienia wniosku dotyczącego 8. EAP najpóźniej na początku 2020 r. </w:t>
      </w:r>
    </w:p>
    <w:p w:rsidR="00D3052E" w:rsidRDefault="00635D2F">
      <w:pPr>
        <w:spacing w:before="360" w:after="240"/>
        <w:rPr>
          <w:b/>
          <w:bCs/>
          <w:noProof/>
        </w:rPr>
      </w:pPr>
      <w:r>
        <w:rPr>
          <w:b/>
          <w:bCs/>
          <w:noProof/>
        </w:rPr>
        <w:t>2.</w:t>
      </w:r>
      <w:r>
        <w:rPr>
          <w:b/>
          <w:bCs/>
          <w:noProof/>
        </w:rPr>
        <w:tab/>
        <w:t xml:space="preserve">PODSTAWA PRAWNA, POMOCNICZOŚĆ I PROPORCJONALNOŚĆ </w:t>
      </w:r>
    </w:p>
    <w:p w:rsidR="00D3052E" w:rsidRDefault="00635D2F">
      <w:pPr>
        <w:rPr>
          <w:noProof/>
          <w:color w:val="000000" w:themeColor="text1"/>
        </w:rPr>
      </w:pPr>
      <w:r>
        <w:rPr>
          <w:noProof/>
          <w:color w:val="000000" w:themeColor="text1"/>
        </w:rPr>
        <w:t xml:space="preserve">Niniejszy wniosek dotyczący decyzji Parlamentu Europejskiego i Rady w sprawie nowego ogólnego unijnego programu działań w zakresie środowiska do 2030 r. opiera się na art. 192 ust. 3 TFUE. Aby zapewnić odpowiedzialność UE i jej państw członkowskich za przedmiotowy program oraz osiągnięcie przez nie jego celów priorytetowych, w niniejszym wniosku dotyczącym decyzji określa się ramy ułatwiające wspomagające osiągnięcie celów priorytetowych oraz gwarantuje się regularny pomiar postępów w kierunku osiągnięcia tych celów. </w:t>
      </w:r>
    </w:p>
    <w:p w:rsidR="00D3052E" w:rsidRDefault="00635D2F">
      <w:pPr>
        <w:rPr>
          <w:noProof/>
          <w:color w:val="000000" w:themeColor="text1"/>
        </w:rPr>
      </w:pPr>
      <w:r>
        <w:rPr>
          <w:noProof/>
          <w:color w:val="000000" w:themeColor="text1"/>
        </w:rPr>
        <w:t>Cele niniejszego wniosku dotyczącego decyzji nie mogą być w wystarczającym stopniu osiągnięte samodzielnie przez poszczególne państwa członkowskie. Ponieważ polityka w zakresie środowiska i klimatu stanowi w Unii strefę kompetencji dzielonych i politykę zdecentralizowaną, jednym z celów niniejszego programu jest określenie wspólnej odpowiedzialności wszystkich trzech instytucji Unii i państw członkowskich za cele programu za sprawą wyznaczenia przewidywalnych ram i kierunku działania na potrzeby decydentów i innych zainteresowanych stron, w tym regionów i miast, przedsiębiorstw, partnerów społecznych, organizacji społeczeństwa obywatelskiego i poszczególnych obywateli.</w:t>
      </w:r>
    </w:p>
    <w:p w:rsidR="00D3052E" w:rsidRDefault="00635D2F">
      <w:pPr>
        <w:spacing w:before="360" w:after="240"/>
        <w:rPr>
          <w:b/>
          <w:bCs/>
          <w:noProof/>
        </w:rPr>
      </w:pPr>
      <w:r>
        <w:rPr>
          <w:b/>
          <w:bCs/>
          <w:noProof/>
        </w:rPr>
        <w:t>3.</w:t>
      </w:r>
      <w:r>
        <w:rPr>
          <w:b/>
          <w:bCs/>
          <w:noProof/>
        </w:rPr>
        <w:tab/>
        <w:t>WYNIKI OCEN I KONSULTACJI Z ZAINTERESOWANYMI STRONAMI</w:t>
      </w:r>
    </w:p>
    <w:p w:rsidR="00D3052E" w:rsidRDefault="00635D2F">
      <w:pPr>
        <w:rPr>
          <w:noProof/>
          <w:color w:val="000000" w:themeColor="text1"/>
        </w:rPr>
      </w:pPr>
      <w:r>
        <w:rPr>
          <w:noProof/>
          <w:color w:val="000000" w:themeColor="text1"/>
        </w:rPr>
        <w:lastRenderedPageBreak/>
        <w:t>W dniu 15 maja 2019 r. Komisja opublikowała sprawozdanie z oceny 7. EAP</w:t>
      </w:r>
      <w:r>
        <w:rPr>
          <w:rStyle w:val="Odwoanieprzypisudolnego"/>
          <w:noProof/>
          <w:color w:val="000000" w:themeColor="text1"/>
        </w:rPr>
        <w:footnoteReference w:id="9"/>
      </w:r>
      <w:r>
        <w:rPr>
          <w:noProof/>
          <w:color w:val="000000" w:themeColor="text1"/>
        </w:rPr>
        <w:t xml:space="preserve">. Publikację sprawozdania poprzedził szeroko zakrojony proces konsultacji prowadzonych w 2018 r., które obejmowały otwarte konsultacje publiczne, ukierunkowane konsultacje wśród państw członkowskich, ukierunkowane konsultacje z zainteresowanymi stronami, a także dwa warsztaty publiczne. </w:t>
      </w:r>
    </w:p>
    <w:p w:rsidR="00D3052E" w:rsidRDefault="00635D2F">
      <w:pPr>
        <w:rPr>
          <w:noProof/>
          <w:color w:val="000000" w:themeColor="text1"/>
        </w:rPr>
      </w:pPr>
      <w:r>
        <w:rPr>
          <w:noProof/>
          <w:color w:val="000000" w:themeColor="text1"/>
        </w:rPr>
        <w:t>Z oceny 7. EAP wynika, że zasadniczo jest to skuteczne narzędzie strategiczne na wysokim poziomie przyczyniające się do wytyczania polityki ochrony środowiska. EAP ma pozytywny wpływ na uwzględnienie i udoskonalenie polityki ochrony środowiska, a poza tym wiele podmiotów wykorzystuje EAP również jako narzędzie do planowania zapewniające ciągłość polityki ochrony środowiska, w tym dzięki jego długoterminowej wizji, odpowiedzialności i przewidywalności działań Komisji Europejskiej. Zasadniczo uznano, że cele priorytetowe 7. EAP, w szczególności wizja programu na 2050 r., są nadal aktualne.</w:t>
      </w:r>
    </w:p>
    <w:p w:rsidR="00D3052E" w:rsidRDefault="00635D2F">
      <w:pPr>
        <w:rPr>
          <w:noProof/>
          <w:color w:val="000000" w:themeColor="text1"/>
        </w:rPr>
      </w:pPr>
      <w:r>
        <w:rPr>
          <w:noProof/>
          <w:color w:val="000000" w:themeColor="text1"/>
        </w:rPr>
        <w:t>W dniu 22 listopada 2017 r. Parlament Europejski opublikował ocenę wdrożenia 7. EAP</w:t>
      </w:r>
      <w:r>
        <w:rPr>
          <w:rStyle w:val="Odwoanieprzypisudolnego"/>
          <w:noProof/>
          <w:color w:val="000000" w:themeColor="text1"/>
        </w:rPr>
        <w:footnoteReference w:id="10"/>
      </w:r>
      <w:r>
        <w:rPr>
          <w:noProof/>
          <w:color w:val="000000" w:themeColor="text1"/>
        </w:rPr>
        <w:t>, a następnie w dniu 6 marca 2018 r. – sprawozdanie z jego wdrożenia, a w dniu 17 kwietnia 2018 r. – rezolucję</w:t>
      </w:r>
      <w:r>
        <w:rPr>
          <w:rStyle w:val="Odwoanieprzypisudolnego"/>
          <w:noProof/>
          <w:color w:val="000000" w:themeColor="text1"/>
        </w:rPr>
        <w:footnoteReference w:id="11"/>
      </w:r>
      <w:r>
        <w:rPr>
          <w:noProof/>
          <w:color w:val="000000" w:themeColor="text1"/>
        </w:rPr>
        <w:t>.</w:t>
      </w:r>
    </w:p>
    <w:p w:rsidR="00D3052E" w:rsidRDefault="00635D2F">
      <w:pPr>
        <w:rPr>
          <w:noProof/>
          <w:color w:val="000000" w:themeColor="text1"/>
        </w:rPr>
      </w:pPr>
      <w:r>
        <w:rPr>
          <w:noProof/>
          <w:color w:val="000000" w:themeColor="text1"/>
        </w:rPr>
        <w:t>W dniu 31 lipca 2018 r. Europejski Komitet Regionów opublikował badanie dotyczące lokalnego i regionalnego wymiaru 8. EAP</w:t>
      </w:r>
      <w:r>
        <w:rPr>
          <w:rStyle w:val="Odwoanieprzypisudolnego"/>
          <w:noProof/>
          <w:color w:val="000000" w:themeColor="text1"/>
        </w:rPr>
        <w:footnoteReference w:id="12"/>
      </w:r>
      <w:r>
        <w:rPr>
          <w:noProof/>
          <w:color w:val="000000" w:themeColor="text1"/>
        </w:rPr>
        <w:t xml:space="preserve">, a następnie opinię </w:t>
      </w:r>
      <w:r>
        <w:rPr>
          <w:rStyle w:val="Odwoanieprzypisudolnego"/>
          <w:noProof/>
          <w:color w:val="000000" w:themeColor="text1"/>
        </w:rPr>
        <w:footnoteReference w:id="13"/>
      </w:r>
      <w:r>
        <w:rPr>
          <w:noProof/>
          <w:color w:val="000000" w:themeColor="text1"/>
        </w:rPr>
        <w:t xml:space="preserve"> przyjętą w dniu 7 lutego 2019 r.</w:t>
      </w:r>
    </w:p>
    <w:p w:rsidR="00D3052E" w:rsidRDefault="00635D2F">
      <w:pPr>
        <w:rPr>
          <w:noProof/>
          <w:color w:val="000000" w:themeColor="text1"/>
        </w:rPr>
      </w:pPr>
      <w:r>
        <w:rPr>
          <w:noProof/>
          <w:color w:val="000000" w:themeColor="text1"/>
        </w:rPr>
        <w:t>W ramach działań następczych w związku z dyskusjami prowadzonymi na nieformalnym posiedzeniu Rady ds. Środowiska, które odbyło się w dniach 29 i 30 października 2018 r. w Grazu (Austria), w dniach 11–12 czerwca 2019 r. w Hainburgu (Austria) zorganizowano warsztaty dotyczące przyszłego unijnego programu działań w zakresie środowiska. W dniu 4 października 2019 r. Rada przyjęła konkluzje pt. „8. program działań w zakresie środowiska – »Wspólnie odwracamy tendencje«”</w:t>
      </w:r>
      <w:r>
        <w:rPr>
          <w:rStyle w:val="Odwoanieprzypisudolnego"/>
          <w:noProof/>
          <w:color w:val="000000" w:themeColor="text1"/>
        </w:rPr>
        <w:footnoteReference w:id="14"/>
      </w:r>
      <w:r>
        <w:rPr>
          <w:noProof/>
          <w:color w:val="000000" w:themeColor="text1"/>
        </w:rPr>
        <w:t xml:space="preserve"> podczas prezydencji Finlandii w Radzie Unii Europejskiej.</w:t>
      </w:r>
    </w:p>
    <w:p w:rsidR="00D3052E" w:rsidRDefault="00635D2F">
      <w:pPr>
        <w:spacing w:before="360" w:after="240"/>
        <w:rPr>
          <w:b/>
          <w:bCs/>
          <w:noProof/>
        </w:rPr>
      </w:pPr>
      <w:r>
        <w:rPr>
          <w:b/>
          <w:bCs/>
          <w:noProof/>
        </w:rPr>
        <w:t>4.</w:t>
      </w:r>
      <w:r>
        <w:rPr>
          <w:b/>
          <w:bCs/>
          <w:noProof/>
        </w:rPr>
        <w:tab/>
        <w:t>WPŁYW NA BUDŻET</w:t>
      </w:r>
    </w:p>
    <w:p w:rsidR="00D3052E" w:rsidRDefault="00635D2F">
      <w:pPr>
        <w:rPr>
          <w:noProof/>
          <w:color w:val="000000" w:themeColor="text1"/>
          <w:u w:color="000000"/>
        </w:rPr>
      </w:pPr>
      <w:r>
        <w:rPr>
          <w:noProof/>
          <w:color w:val="000000" w:themeColor="text1"/>
          <w:u w:color="000000"/>
        </w:rPr>
        <w:t>Niniejszy wniosek dotyczący decyzji opracowano zgodnie z wnioskiem Komisji dotyczącym unijnych wieloletnich ram finansowych 2021–2027. Niniejszy wniosek obejmuje ocenę skutków finansowych, w której wskazano na potrzebę przekazania dodatkowych zasobów Europejskiej Agencji Środowiskowej (EEA) i Europejskiej Agencji Chemikaliów (ECHA) na wsparcie nowych ram monitorowania, pomiaru i sprawozdawczości dotyczących przedmiotowego programu.</w:t>
      </w:r>
    </w:p>
    <w:p w:rsidR="00D3052E" w:rsidRDefault="00635D2F">
      <w:pPr>
        <w:rPr>
          <w:noProof/>
          <w:color w:val="000000" w:themeColor="text1"/>
          <w:u w:color="000000"/>
        </w:rPr>
      </w:pPr>
      <w:r>
        <w:rPr>
          <w:noProof/>
          <w:color w:val="000000" w:themeColor="text1"/>
          <w:u w:color="000000"/>
        </w:rPr>
        <w:t xml:space="preserve">Zaangażowanie Europejskiej Agencji Środowiska (EEA) i Europejskiej Agencji Chemikaliów (ECHA) ma kluczowe znaczenie dla realizacji tych prac i osiągnięcia celów 8. EAP. Na nowe ramy monitorowania i sprawozdawczości, zaproponowane w odniesieniu do 8. EAP, będą składały się w jak największym stopniu istniejące narzędzia i wskaźniki monitorowania opierające się głównie na europejskich statystykach oraz danych EEA i ECHA, co ma zapobiec powielaniu i ograniczyć obciążenie administracyjne państw członkowskich. Oznacza to, że </w:t>
      </w:r>
      <w:r>
        <w:rPr>
          <w:noProof/>
          <w:color w:val="000000" w:themeColor="text1"/>
          <w:u w:color="000000"/>
        </w:rPr>
        <w:lastRenderedPageBreak/>
        <w:t xml:space="preserve">agencjom tym powierza się dodatkowe zadania tak, aby mogły w pełni przyczynić się do osiągnięcia priorytetów i stworzenia warunków podstawowych określonych w art. 3 i 4 programu. </w:t>
      </w:r>
    </w:p>
    <w:p w:rsidR="00D3052E" w:rsidRDefault="00635D2F">
      <w:pPr>
        <w:spacing w:before="360" w:after="240"/>
        <w:rPr>
          <w:b/>
          <w:bCs/>
          <w:noProof/>
        </w:rPr>
      </w:pPr>
      <w:r>
        <w:rPr>
          <w:b/>
          <w:bCs/>
          <w:noProof/>
        </w:rPr>
        <w:t>5.</w:t>
      </w:r>
      <w:r>
        <w:rPr>
          <w:b/>
          <w:bCs/>
          <w:noProof/>
        </w:rPr>
        <w:tab/>
        <w:t>ELEMENTY FAKULTATYWNE</w:t>
      </w:r>
    </w:p>
    <w:p w:rsidR="00D3052E" w:rsidRDefault="00635D2F">
      <w:pPr>
        <w:rPr>
          <w:b/>
          <w:noProof/>
          <w:color w:val="000000" w:themeColor="text1"/>
          <w:u w:color="000000"/>
        </w:rPr>
      </w:pPr>
      <w:r>
        <w:rPr>
          <w:b/>
          <w:noProof/>
          <w:color w:val="000000" w:themeColor="text1"/>
          <w:u w:color="000000"/>
        </w:rPr>
        <w:t>Objaśnienia poszczególnych przepisów wniosku</w:t>
      </w:r>
    </w:p>
    <w:p w:rsidR="00D3052E" w:rsidRDefault="00635D2F">
      <w:pPr>
        <w:rPr>
          <w:noProof/>
          <w:color w:val="000000" w:themeColor="text1"/>
        </w:rPr>
      </w:pPr>
      <w:r>
        <w:rPr>
          <w:noProof/>
          <w:color w:val="000000" w:themeColor="text1"/>
        </w:rPr>
        <w:t xml:space="preserve">Nadrzędnym celem 8. EAP jest przyspieszenie przejścia Unii na neutralną dla klimatu, zasobooszczędną, czystą gospodarkę o obiegu zamkniętym w sprawiedliwy sposób sprzyjający włączeniu społecznemu oraz osiągnięcie celów środowiskowych oenzetowskiej agendy 2030 i jej celów zrównoważonego rozwoju, całkowicie zgodnych z celami środowiskowymi i klimatycznymi Europejskiego Zielonego Ładu. </w:t>
      </w:r>
    </w:p>
    <w:p w:rsidR="00D3052E" w:rsidRDefault="00635D2F">
      <w:pPr>
        <w:rPr>
          <w:i/>
          <w:noProof/>
          <w:color w:val="000000" w:themeColor="text1"/>
          <w:u w:val="single"/>
        </w:rPr>
      </w:pPr>
      <w:r>
        <w:rPr>
          <w:i/>
          <w:noProof/>
          <w:color w:val="000000" w:themeColor="text1"/>
          <w:u w:val="single"/>
        </w:rPr>
        <w:t>Artykuł 1</w:t>
      </w:r>
    </w:p>
    <w:p w:rsidR="00D3052E" w:rsidRDefault="00635D2F">
      <w:pPr>
        <w:rPr>
          <w:noProof/>
          <w:color w:val="000000" w:themeColor="text1"/>
        </w:rPr>
      </w:pPr>
      <w:r>
        <w:rPr>
          <w:noProof/>
          <w:color w:val="000000" w:themeColor="text1"/>
        </w:rPr>
        <w:t xml:space="preserve">Niniejszy wniosek służy zwiększeniu spójności i synergii między działaniami na wszystkich poziomach zarządzania dzięki zintegrowanemu pomiarowi postępów w kierunku osiągnięcia celów środowiskowych i klimatycznych. Zgodnie z przyjętą w ramach Europejskiego Zielonego Ładu zasadą „nie szkodzić” we wniosku wspiera się ograniczenie obciążeń dla środowiska i klimatu oraz umacnia się zintegrowane podejście do rozwoju i wdrażania polityki, w szczególności poprzez uwzględnienie zrównoważonego rozwoju we wszystkich istotnych inicjatywach i projektach na szczeblu krajowym i unijnym. </w:t>
      </w:r>
    </w:p>
    <w:p w:rsidR="00D3052E" w:rsidRDefault="00635D2F">
      <w:pPr>
        <w:rPr>
          <w:i/>
          <w:noProof/>
          <w:color w:val="000000" w:themeColor="text1"/>
          <w:u w:val="single"/>
        </w:rPr>
      </w:pPr>
      <w:r>
        <w:rPr>
          <w:i/>
          <w:noProof/>
          <w:color w:val="000000" w:themeColor="text1"/>
          <w:u w:val="single"/>
        </w:rPr>
        <w:t>Artykuł 2</w:t>
      </w:r>
    </w:p>
    <w:p w:rsidR="00D3052E" w:rsidRDefault="00635D2F">
      <w:pPr>
        <w:rPr>
          <w:noProof/>
          <w:color w:val="000000" w:themeColor="text1"/>
        </w:rPr>
      </w:pPr>
      <w:r>
        <w:rPr>
          <w:noProof/>
          <w:color w:val="000000" w:themeColor="text1"/>
        </w:rPr>
        <w:t>Unia i jej państwa członkowskie ponoszą wspólną odpowiedzialność za osiągnięcie celów środowiskowych i klimatycznych, co wymaga podjęcia działania przez wszystkie podmioty, rządy na szczeblu unijnym, krajowym, regionalnym i lokalnym, partnerów społecznych, społeczeństwo obywatelskie, obywateli i przedsiębiorstwa.</w:t>
      </w:r>
    </w:p>
    <w:p w:rsidR="00D3052E" w:rsidRDefault="00635D2F">
      <w:pPr>
        <w:rPr>
          <w:noProof/>
          <w:color w:val="000000" w:themeColor="text1"/>
        </w:rPr>
      </w:pPr>
      <w:r>
        <w:rPr>
          <w:noProof/>
          <w:color w:val="000000" w:themeColor="text1"/>
        </w:rPr>
        <w:t xml:space="preserve">W art. 2 określono tematyczne cele priorytetowe w kontekście długoterminowego celu na rok 2050 – „Dobra jakość życia z uwzględnieniem ograniczeń naszej planety”, określonego już w 7. EAP. </w:t>
      </w:r>
    </w:p>
    <w:p w:rsidR="00D3052E" w:rsidRDefault="00635D2F">
      <w:pPr>
        <w:rPr>
          <w:i/>
          <w:noProof/>
          <w:color w:val="000000" w:themeColor="text1"/>
          <w:u w:val="single"/>
        </w:rPr>
      </w:pPr>
      <w:r>
        <w:rPr>
          <w:i/>
          <w:noProof/>
          <w:color w:val="000000" w:themeColor="text1"/>
          <w:u w:val="single"/>
        </w:rPr>
        <w:t>Artykuł 3</w:t>
      </w:r>
    </w:p>
    <w:p w:rsidR="00D3052E" w:rsidRDefault="00635D2F">
      <w:pPr>
        <w:rPr>
          <w:noProof/>
          <w:color w:val="000000" w:themeColor="text1"/>
        </w:rPr>
      </w:pPr>
      <w:r>
        <w:rPr>
          <w:noProof/>
          <w:color w:val="000000" w:themeColor="text1"/>
        </w:rPr>
        <w:t xml:space="preserve">W komunikacie „Europejski Zielony Ład” podkreśla się konieczność zadbania o to, by strategie polityczne i przepisy były egzekwowane i przyniosły wymierne rezultaty. </w:t>
      </w:r>
    </w:p>
    <w:p w:rsidR="00D3052E" w:rsidRDefault="00635D2F">
      <w:pPr>
        <w:rPr>
          <w:noProof/>
          <w:color w:val="000000" w:themeColor="text1"/>
        </w:rPr>
      </w:pPr>
      <w:r>
        <w:rPr>
          <w:noProof/>
          <w:color w:val="000000" w:themeColor="text1"/>
        </w:rPr>
        <w:t>Art. 3 stanowi podstawę dla wspólnego zrozumienia i zobowiązania w odniesieniu do warunków podstawowych koniecznych do osiągnięcia tych tematycznych celów priorytetowych, co zapewnia spójne wdrażanie na odpowiednim poziomie. Komisja zapowiedziała, że ulepszy swoje wytyczne i narzędzia wspierające lepsze stanowienie prawa pod kątem ich skuteczności w kwestiach zrównoważonego rozwoju i innowacji, tak by wszystkie unijne inicjatywy były zgodne z ekologiczną zasadą „nie szkodzić”.</w:t>
      </w:r>
    </w:p>
    <w:p w:rsidR="00D3052E" w:rsidRDefault="00635D2F">
      <w:pPr>
        <w:rPr>
          <w:i/>
          <w:noProof/>
          <w:color w:val="000000" w:themeColor="text1"/>
          <w:u w:val="single"/>
        </w:rPr>
      </w:pPr>
      <w:r>
        <w:rPr>
          <w:i/>
          <w:noProof/>
          <w:color w:val="000000" w:themeColor="text1"/>
          <w:u w:val="single"/>
        </w:rPr>
        <w:t>Artykuł 4</w:t>
      </w:r>
    </w:p>
    <w:p w:rsidR="00D3052E" w:rsidRDefault="00635D2F">
      <w:pPr>
        <w:rPr>
          <w:noProof/>
          <w:color w:val="000000" w:themeColor="text1"/>
        </w:rPr>
      </w:pPr>
      <w:r>
        <w:rPr>
          <w:noProof/>
          <w:color w:val="000000" w:themeColor="text1"/>
        </w:rPr>
        <w:t xml:space="preserve">Chociaż poszczególne instrumenty legislacyjne w zakresie ochrony środowiska wymagają przedstawiania regularnych sprawozdań przez państwa członkowskie na temat konkretnych obszarów polityki ochrony środowiska, w prawie Unii nie przewidziano kompleksowych ram mających na celu zapewnienie skoordynowanego podejścia do ogólnego osiągnięcia unijnych celów środowiskowych. W ramach Europejskiego Zielonego Ładu ogłoszono, że nowy unijny program działań w zakresie środowiska będzie obejmował nowy mechanizm monitorowania służący zapewnieniu, by Unia pozostała na dobrej drodze do osiągnięcia swoich celów środowiskowych. </w:t>
      </w:r>
    </w:p>
    <w:p w:rsidR="00D3052E" w:rsidRDefault="00635D2F">
      <w:pPr>
        <w:rPr>
          <w:noProof/>
          <w:color w:val="000000" w:themeColor="text1"/>
        </w:rPr>
      </w:pPr>
      <w:r>
        <w:rPr>
          <w:noProof/>
          <w:color w:val="000000" w:themeColor="text1"/>
        </w:rPr>
        <w:lastRenderedPageBreak/>
        <w:t>Ramy monitorowania 8. EAP powinny pozostawać bez uszczerbku dla istniejących narzędzi w zakresie sprawozdawczości i zarządzania w kwestiach środowiskowych i klimatycznych, w tym narzędzi w zakresie zarządzania unią energetyczną i działaniami w dziedzinie klimatu.</w:t>
      </w:r>
    </w:p>
    <w:p w:rsidR="00D3052E" w:rsidRDefault="00635D2F">
      <w:pPr>
        <w:pStyle w:val="Tiret1"/>
        <w:numPr>
          <w:ilvl w:val="0"/>
          <w:numId w:val="15"/>
        </w:numPr>
        <w:rPr>
          <w:i/>
          <w:noProof/>
          <w:color w:val="000000" w:themeColor="text1"/>
        </w:rPr>
      </w:pPr>
      <w:r>
        <w:rPr>
          <w:i/>
          <w:noProof/>
          <w:color w:val="000000" w:themeColor="text1"/>
        </w:rPr>
        <w:t>Pomiar postępów w kierunku osiągnięcia celów środowiskowych i klimatycznych w szerszym kontekście zrównoważonego rozwoju, dobrostanu i odporności</w:t>
      </w:r>
    </w:p>
    <w:p w:rsidR="00D3052E" w:rsidRDefault="00635D2F">
      <w:pPr>
        <w:rPr>
          <w:noProof/>
          <w:color w:val="000000" w:themeColor="text1"/>
        </w:rPr>
      </w:pPr>
      <w:r>
        <w:rPr>
          <w:noProof/>
          <w:color w:val="000000" w:themeColor="text1"/>
        </w:rPr>
        <w:t>Pomiar postępów poczynionych przez UE i jej państwa członkowskie w kierunku osiągnięcia oenzetowskich celów zrównoważonego rozwoju 2030 wymaga zintegrowanych ram w zakresie celów środowiskowych, społecznych i gospodarczych. Rada</w:t>
      </w:r>
      <w:r>
        <w:rPr>
          <w:rStyle w:val="Odwoanieprzypisudolnego"/>
          <w:noProof/>
          <w:color w:val="000000" w:themeColor="text1"/>
        </w:rPr>
        <w:footnoteReference w:id="15"/>
      </w:r>
      <w:r>
        <w:rPr>
          <w:noProof/>
          <w:color w:val="000000" w:themeColor="text1"/>
        </w:rPr>
        <w:t xml:space="preserve"> i Europejski Komitet Ekonomiczno-Społeczny</w:t>
      </w:r>
      <w:r>
        <w:rPr>
          <w:rStyle w:val="Odwoanieprzypisudolnego"/>
          <w:noProof/>
          <w:color w:val="000000" w:themeColor="text1"/>
        </w:rPr>
        <w:footnoteReference w:id="16"/>
      </w:r>
      <w:r>
        <w:rPr>
          <w:noProof/>
          <w:color w:val="000000" w:themeColor="text1"/>
        </w:rPr>
        <w:t xml:space="preserve"> wezwały do pomiaru wyników gospodarczych i postępów społecznych nie tylko „w oparciu o PKB” oraz do przejścia na stosowanie „dobrobytu” jako drogowskazu działań politycznych, co popiera również Organizacja Współpracy Gospodarczej i Rozwoju</w:t>
      </w:r>
      <w:r>
        <w:rPr>
          <w:rStyle w:val="Odwoanieprzypisudolnego"/>
          <w:noProof/>
          <w:color w:val="000000" w:themeColor="text1"/>
        </w:rPr>
        <w:footnoteReference w:id="17"/>
      </w:r>
      <w:r>
        <w:rPr>
          <w:noProof/>
          <w:color w:val="000000" w:themeColor="text1"/>
        </w:rPr>
        <w:t>. Posłowie do Parlamentu Europejskiego zorganizowali w 2018 r. konferencję pod hasłem „post-growth”</w:t>
      </w:r>
      <w:r>
        <w:rPr>
          <w:rStyle w:val="Odwoanieprzypisudolnego"/>
          <w:noProof/>
          <w:color w:val="000000" w:themeColor="text1"/>
        </w:rPr>
        <w:footnoteReference w:id="18"/>
      </w:r>
      <w:r>
        <w:rPr>
          <w:noProof/>
          <w:color w:val="000000" w:themeColor="text1"/>
        </w:rPr>
        <w:t xml:space="preserve"> z udziałem zainteresowanych stron. </w:t>
      </w:r>
    </w:p>
    <w:p w:rsidR="00D3052E" w:rsidRDefault="00635D2F">
      <w:pPr>
        <w:rPr>
          <w:noProof/>
          <w:color w:val="000000" w:themeColor="text1"/>
        </w:rPr>
      </w:pPr>
      <w:r>
        <w:rPr>
          <w:noProof/>
          <w:color w:val="000000" w:themeColor="text1"/>
        </w:rPr>
        <w:t xml:space="preserve">W tym kontekście ramy monitorowania 8. EAP zapewnią wkład w zakresie środowiska i klimatu w ogólne unijne działania na rzecz pomiaru postępów w kierunku zapewnienia zrównoważonego rozwoju, dobrostanu i odporności, w tym odporności na klęski żywiołowe; na ich podstawie osoby odpowiedzialne za wyznaczanie kierunków polityki i zainteresowane strony powinny orientować się, czy Unia i państwa członkowskie znajdują się na dobrej drodze do osiągnięcia transformacji systemowej. </w:t>
      </w:r>
    </w:p>
    <w:p w:rsidR="00D3052E" w:rsidRDefault="00635D2F">
      <w:pPr>
        <w:rPr>
          <w:noProof/>
          <w:color w:val="000000" w:themeColor="text1"/>
        </w:rPr>
      </w:pPr>
      <w:r>
        <w:rPr>
          <w:noProof/>
          <w:color w:val="000000" w:themeColor="text1"/>
        </w:rPr>
        <w:t xml:space="preserve">Określenie ram monitorowania 8. EAP należy również rozpatrywać w kontekście innych działań w zakresie zarządzania i monitorowania, w szczególności w kontekście europejskiego semestru, sprawozdania monitorującego Eurostatu dotyczącego celów zrównoważonego rozwoju oraz rocznego sprawozdania dotyczącego prognozy strategicznej, które również bazują na dostępnych danych i wskaźnikach najistotniejszych z punktu widzenia konkretnych celów polityki. Chociaż takie narzędzia w zakresie zarządzania i monitorowania służą różnym celom, to jednak powinny być w coraz większym stopniu wzajemnie powiązane, co prowadzi do dalszej poprawy ich spójności. </w:t>
      </w:r>
    </w:p>
    <w:p w:rsidR="00D3052E" w:rsidRDefault="00635D2F">
      <w:pPr>
        <w:pStyle w:val="Tiret1"/>
        <w:rPr>
          <w:i/>
          <w:noProof/>
          <w:color w:val="000000" w:themeColor="text1"/>
        </w:rPr>
      </w:pPr>
      <w:r>
        <w:rPr>
          <w:i/>
          <w:noProof/>
          <w:color w:val="000000" w:themeColor="text1"/>
        </w:rPr>
        <w:t>W kierunku zestawu głównych wskaźników 8. EAP</w:t>
      </w:r>
    </w:p>
    <w:p w:rsidR="00D3052E" w:rsidRDefault="00635D2F">
      <w:pPr>
        <w:rPr>
          <w:noProof/>
          <w:color w:val="000000" w:themeColor="text1"/>
        </w:rPr>
      </w:pPr>
      <w:r>
        <w:rPr>
          <w:noProof/>
          <w:color w:val="000000" w:themeColor="text1"/>
        </w:rPr>
        <w:t>Monitorowaniem siódmego unijnego programu działań w zakresie środowiska zajmowała się Europejska Agencja Środowiska, która publikowała roczne sprawozdania na temat indeksu środowiskowego</w:t>
      </w:r>
      <w:r>
        <w:rPr>
          <w:rStyle w:val="Odwoanieprzypisudolnego"/>
          <w:noProof/>
          <w:color w:val="000000" w:themeColor="text1"/>
        </w:rPr>
        <w:footnoteReference w:id="19"/>
      </w:r>
      <w:r>
        <w:rPr>
          <w:noProof/>
          <w:color w:val="000000" w:themeColor="text1"/>
        </w:rPr>
        <w:t xml:space="preserve">. Na potrzeby monitorowania celów priorytetowych 7. EAP opracowano tablicę wyników obejmującą niemal 30 wskaźników. </w:t>
      </w:r>
    </w:p>
    <w:p w:rsidR="00D3052E" w:rsidRDefault="00635D2F">
      <w:pPr>
        <w:rPr>
          <w:noProof/>
          <w:color w:val="000000" w:themeColor="text1"/>
        </w:rPr>
      </w:pPr>
      <w:r>
        <w:rPr>
          <w:noProof/>
          <w:color w:val="000000" w:themeColor="text1"/>
        </w:rPr>
        <w:t xml:space="preserve">Ramy monitorowania 8. EAP powinny odzwierciedlać nowe cele priorytetowe programu. Ramy te powinny obejmować ograniczoną liczbę kluczowych wskaźników umożliwiających komunikację na wysokim poziomie, dającą spójny obraz stanu środowiska, głównych obciążeń i skuteczności podejmowanych działań. Takie wskaźniki powinny być również istotne z punktu widzenia ogólnych celów polegających na zwiększeniu dobrostanu i odporności naszych gospodarek i społeczeństw. </w:t>
      </w:r>
    </w:p>
    <w:p w:rsidR="00D3052E" w:rsidRDefault="00635D2F">
      <w:pPr>
        <w:rPr>
          <w:noProof/>
          <w:color w:val="000000" w:themeColor="text1"/>
        </w:rPr>
      </w:pPr>
      <w:r>
        <w:rPr>
          <w:noProof/>
          <w:color w:val="000000" w:themeColor="text1"/>
        </w:rPr>
        <w:lastRenderedPageBreak/>
        <w:t xml:space="preserve">W ramach wybranych głównych wskaźników 8. EAP zostaną należycie uwzględnione kierunki bieżących prac w celu poprawy monitorowania różnorodności biologicznej, gospodarki o obiegu zamkniętym i dążenia do osiągnięcia zerowego poziomu emisji zanieczyszczeń – wszystkie te prace mają zostać zakończone najpóźniej na przełomie lat 2021 i 2022 – a także innych narzędzi monitorowania obejmujących politykę w zakresie środowiska i klimatu, w tym zarządzanie unią energetyczną i działaniami w dziedzinie klimatu. Taki zestaw wskaźników powinien bazować na danych dostępnych w państwach członkowskich i na szczeblu Unii, w szczególności na danych pochodzących od Europejskiej Agencji Środowiska, a także z Europejskiego Systemu Statystycznego. </w:t>
      </w:r>
    </w:p>
    <w:p w:rsidR="00D3052E" w:rsidRDefault="00635D2F">
      <w:pPr>
        <w:rPr>
          <w:noProof/>
          <w:color w:val="000000" w:themeColor="text1"/>
        </w:rPr>
      </w:pPr>
      <w:r>
        <w:rPr>
          <w:noProof/>
        </w:rPr>
        <w:t xml:space="preserve">Europejska Agencja Środowiska i Europejska Agencja Chemikaliów wspierają Komisję </w:t>
      </w:r>
      <w:r>
        <w:rPr>
          <w:noProof/>
          <w:color w:val="000000" w:themeColor="text1"/>
          <w:u w:color="000000"/>
        </w:rPr>
        <w:t>w</w:t>
      </w:r>
      <w:r>
        <w:rPr>
          <w:noProof/>
        </w:rPr>
        <w:t> </w:t>
      </w:r>
      <w:r>
        <w:rPr>
          <w:noProof/>
          <w:color w:val="000000" w:themeColor="text1"/>
          <w:u w:color="000000"/>
        </w:rPr>
        <w:t>zakresie poprawy dostępności i istotności danych.</w:t>
      </w:r>
      <w:r>
        <w:rPr>
          <w:noProof/>
        </w:rPr>
        <w:t xml:space="preserve"> </w:t>
      </w:r>
      <w:r>
        <w:rPr>
          <w:noProof/>
          <w:color w:val="000000" w:themeColor="text1"/>
        </w:rPr>
        <w:t xml:space="preserve">Dotyczy między innymi eliminacji luk wskaźnikowych, w szczególności monitorowania polityki dotyczącej dążenia do osiągnięcia zerowego poziomu emisji zanieczyszczeń oraz powiązań między polityką środowiskową, społeczną i zdrowotną. </w:t>
      </w:r>
    </w:p>
    <w:p w:rsidR="00D3052E" w:rsidRDefault="00635D2F">
      <w:pPr>
        <w:rPr>
          <w:noProof/>
          <w:color w:val="000000" w:themeColor="text1"/>
        </w:rPr>
      </w:pPr>
      <w:r>
        <w:rPr>
          <w:noProof/>
          <w:color w:val="000000" w:themeColor="text1"/>
        </w:rPr>
        <w:t xml:space="preserve">Ustanowieniu ram monitorowania 8. EAP będzie towarzyszyło utworzenie nowej bazy danych indeksów środowiskowych – internetowej, łatwo dostępnej biblioteki indeksów stanowiącej kompletny i uporządkowany przegląd kilkuset istniejących indeksów środowiskowych. </w:t>
      </w:r>
    </w:p>
    <w:p w:rsidR="00D3052E" w:rsidRDefault="00635D2F">
      <w:pPr>
        <w:pStyle w:val="Tiret1"/>
        <w:rPr>
          <w:i/>
          <w:noProof/>
          <w:color w:val="000000" w:themeColor="text1"/>
        </w:rPr>
      </w:pPr>
      <w:r>
        <w:rPr>
          <w:i/>
          <w:noProof/>
          <w:color w:val="000000" w:themeColor="text1"/>
        </w:rPr>
        <w:t>Ograniczenia planety</w:t>
      </w:r>
    </w:p>
    <w:p w:rsidR="00D3052E" w:rsidRDefault="00635D2F">
      <w:pPr>
        <w:rPr>
          <w:noProof/>
          <w:color w:val="000000" w:themeColor="text1"/>
        </w:rPr>
      </w:pPr>
      <w:r>
        <w:rPr>
          <w:noProof/>
          <w:color w:val="000000" w:themeColor="text1"/>
        </w:rPr>
        <w:t>Proces rozwoju ram monitorowania 8. EAP to szansa na przeanalizowanie potencjału bieżącego kierunku prac we Wspólnym Centrum Badawczym Komisji, w Europejskiej Agencji Środowiska i innych instytucjach nad ograniczeniami planety (np. zużyciem wody słodkiej, zmianą użytkowania gruntów, zakwaszaniem oceanów) i nad unijnym śladem konsumpcyjnym, w tym wylesianiem i degradacją lasów w państwach trzecich.</w:t>
      </w:r>
    </w:p>
    <w:p w:rsidR="00D3052E" w:rsidRDefault="00635D2F">
      <w:pPr>
        <w:rPr>
          <w:noProof/>
          <w:color w:val="000000" w:themeColor="text1"/>
        </w:rPr>
      </w:pPr>
      <w:r>
        <w:rPr>
          <w:noProof/>
          <w:color w:val="000000" w:themeColor="text1"/>
        </w:rPr>
        <w:t>O ile nauka o klimacie, a w szczególności prace Międzyrządowego Zespołu ds. Zmian Klimatu, stanowi źródło wiarygodnych danych i informacji na temat poziomu emisji gazów cieplarnianych zgodnego z celem porozumienia paryskiego zakładającym utrzymanie wzrostu temperatury w skali światowej na poziomie znacznie niższym niż 2 °C oraz do kontynuowania działań na rzecz utrzymania go poniżej 1,5 °C w porównaniu z poziomem sprzed epoki przemysłowej, to jednak prace dotyczące innych ograniczeń planety nadal trwają. Poczynienie postępów w zakresie takich prac ma istotne znaczenie pod względem gromadzenia wiedzy, na podstawie której decydenci i zainteresowane strony mogą stwierdzić, czy polityka ochrony środowiska jest wystarczająco ambitna, aby utrzymać Europę w bezpiecznej przestrzeni operacyjnej</w:t>
      </w:r>
      <w:r>
        <w:rPr>
          <w:rStyle w:val="Odwoanieprzypisudolnego"/>
          <w:noProof/>
          <w:color w:val="000000" w:themeColor="text1"/>
        </w:rPr>
        <w:footnoteReference w:id="20"/>
      </w:r>
      <w:r>
        <w:rPr>
          <w:noProof/>
          <w:color w:val="000000" w:themeColor="text1"/>
        </w:rPr>
        <w:t>.</w:t>
      </w:r>
    </w:p>
    <w:p w:rsidR="00D3052E" w:rsidRDefault="00635D2F">
      <w:pPr>
        <w:pStyle w:val="Tiret1"/>
        <w:rPr>
          <w:i/>
          <w:noProof/>
          <w:color w:val="000000" w:themeColor="text1"/>
        </w:rPr>
      </w:pPr>
      <w:r>
        <w:rPr>
          <w:i/>
          <w:noProof/>
          <w:color w:val="000000" w:themeColor="text1"/>
        </w:rPr>
        <w:t xml:space="preserve">Proces konsultacji na temat głównych wskaźników 8. EAP </w:t>
      </w:r>
    </w:p>
    <w:p w:rsidR="00D3052E" w:rsidRDefault="00635D2F">
      <w:pPr>
        <w:rPr>
          <w:noProof/>
          <w:color w:val="000000" w:themeColor="text1"/>
        </w:rPr>
      </w:pPr>
      <w:r>
        <w:rPr>
          <w:noProof/>
          <w:color w:val="000000" w:themeColor="text1"/>
        </w:rPr>
        <w:t xml:space="preserve">Komisja przeprowadzi proces szerokich konsultacji z innymi instytucjami Unii, państwami członkowskimi i zainteresowanymi stronami w celu opracowania kompleksowych ram monitorowania 8. EAP na podstawie dokumentu konsultacyjnego zawierającego opis proponowanej metodyki i przewidywanych działań. </w:t>
      </w:r>
    </w:p>
    <w:p w:rsidR="00D3052E" w:rsidRDefault="00635D2F">
      <w:pPr>
        <w:rPr>
          <w:noProof/>
          <w:color w:val="000000" w:themeColor="text1"/>
        </w:rPr>
      </w:pPr>
      <w:r>
        <w:rPr>
          <w:noProof/>
          <w:color w:val="000000" w:themeColor="text1"/>
        </w:rPr>
        <w:t xml:space="preserve">Na podstawie wyników tych konsultacji Komisja planuje przedstawić zestaw głównych wskaźników 8. EAP do końca 2021 r. </w:t>
      </w:r>
    </w:p>
    <w:p w:rsidR="00D3052E" w:rsidRDefault="00635D2F">
      <w:pPr>
        <w:rPr>
          <w:noProof/>
          <w:color w:val="000000" w:themeColor="text1"/>
        </w:rPr>
      </w:pPr>
      <w:r>
        <w:rPr>
          <w:noProof/>
          <w:color w:val="000000" w:themeColor="text1"/>
        </w:rPr>
        <w:t xml:space="preserve">Procedura ta będzie ściśle koordynowana z bieżącymi kierunkami prac określonych w komunikacie „Europejski Zielony Ład” w zakresie opracowania lub przeglądu ram monitorowania dotyczących gospodarki o obiegu zamkniętym, różnorodności biologicznej </w:t>
      </w:r>
      <w:r>
        <w:rPr>
          <w:noProof/>
          <w:color w:val="000000" w:themeColor="text1"/>
        </w:rPr>
        <w:lastRenderedPageBreak/>
        <w:t>i dążenia do osiągnięcia zerowego poziomu emisji zanieczyszczeń w celu zapewnienia ogólnej spójności i ograniczenia obciążenia administracyjnego.</w:t>
      </w:r>
    </w:p>
    <w:p w:rsidR="00D3052E" w:rsidRDefault="00635D2F">
      <w:pPr>
        <w:rPr>
          <w:i/>
          <w:noProof/>
          <w:color w:val="000000" w:themeColor="text1"/>
          <w:u w:val="single"/>
        </w:rPr>
      </w:pPr>
      <w:r>
        <w:rPr>
          <w:i/>
          <w:noProof/>
          <w:color w:val="000000" w:themeColor="text1"/>
          <w:u w:val="single"/>
        </w:rPr>
        <w:t>Artykuł 5 – Ocena</w:t>
      </w:r>
    </w:p>
    <w:p w:rsidR="00D3052E" w:rsidRDefault="00635D2F">
      <w:pPr>
        <w:rPr>
          <w:noProof/>
          <w:color w:val="000000" w:themeColor="text1"/>
        </w:rPr>
      </w:pPr>
      <w:r>
        <w:rPr>
          <w:noProof/>
          <w:color w:val="000000" w:themeColor="text1"/>
        </w:rPr>
        <w:t>W art. 5 przewiduje się przeprowadzenie oceny 8. EAP w 2029 r., zanim program przestanie obowiązywać z końcem 2030 r.</w:t>
      </w:r>
    </w:p>
    <w:p w:rsidR="00D3052E" w:rsidRDefault="00D3052E">
      <w:pPr>
        <w:rPr>
          <w:noProof/>
          <w:color w:val="000000" w:themeColor="text1"/>
        </w:rPr>
        <w:sectPr w:rsidR="00D3052E">
          <w:footerReference w:type="default" r:id="rId10"/>
          <w:footerReference w:type="first" r:id="rId11"/>
          <w:pgSz w:w="11907" w:h="16839"/>
          <w:pgMar w:top="1134" w:right="1417" w:bottom="1134" w:left="1417" w:header="709" w:footer="709" w:gutter="0"/>
          <w:cols w:space="708"/>
          <w:docGrid w:linePitch="360"/>
        </w:sectPr>
      </w:pPr>
    </w:p>
    <w:p w:rsidR="00D3052E" w:rsidRDefault="00635D2F">
      <w:pPr>
        <w:pStyle w:val="Rfrenceinterinstitutionnelle"/>
        <w:rPr>
          <w:noProof/>
        </w:rPr>
      </w:pPr>
      <w:r>
        <w:rPr>
          <w:noProof/>
        </w:rPr>
        <w:lastRenderedPageBreak/>
        <w:t>2020/0300 (COD)</w:t>
      </w:r>
    </w:p>
    <w:p w:rsidR="00D3052E" w:rsidRDefault="00635D2F">
      <w:pPr>
        <w:pStyle w:val="Statut"/>
        <w:rPr>
          <w:noProof/>
        </w:rPr>
      </w:pPr>
      <w:r>
        <w:rPr>
          <w:noProof/>
        </w:rPr>
        <w:t>Wniosek</w:t>
      </w:r>
    </w:p>
    <w:p w:rsidR="00D3052E" w:rsidRDefault="00635D2F">
      <w:pPr>
        <w:pStyle w:val="Typedudocument"/>
        <w:rPr>
          <w:noProof/>
        </w:rPr>
      </w:pPr>
      <w:r>
        <w:rPr>
          <w:noProof/>
        </w:rPr>
        <w:t>DECYZJA PARLAMENTU EUROPEJSKIEGO I RADY</w:t>
      </w:r>
    </w:p>
    <w:p w:rsidR="00D3052E" w:rsidRDefault="00635D2F">
      <w:pPr>
        <w:pStyle w:val="Titreobjet"/>
        <w:rPr>
          <w:noProof/>
        </w:rPr>
      </w:pPr>
      <w:r>
        <w:rPr>
          <w:noProof/>
        </w:rPr>
        <w:t>w sprawie ogólnego unijnego programu działań w zakresie środowiska do 2030 r.</w:t>
      </w:r>
    </w:p>
    <w:p w:rsidR="00D3052E" w:rsidRDefault="00635D2F">
      <w:pPr>
        <w:pStyle w:val="Institutionquiagit"/>
        <w:rPr>
          <w:noProof/>
          <w:color w:val="000000" w:themeColor="text1"/>
        </w:rPr>
      </w:pPr>
      <w:r>
        <w:rPr>
          <w:noProof/>
          <w:color w:val="000000" w:themeColor="text1"/>
        </w:rPr>
        <w:t>PARLAMENT EUROPEJSKI I RADA UNII EUROPEJSKIEJ,</w:t>
      </w:r>
    </w:p>
    <w:p w:rsidR="00D3052E" w:rsidRDefault="00635D2F">
      <w:pPr>
        <w:rPr>
          <w:noProof/>
          <w:color w:val="000000" w:themeColor="text1"/>
        </w:rPr>
      </w:pPr>
      <w:r>
        <w:rPr>
          <w:noProof/>
          <w:color w:val="000000" w:themeColor="text1"/>
        </w:rPr>
        <w:t>uwzględniając Traktat o funkcjonowaniu Unii Europejskiej, w szczególności jego art. 192 ust. 3,</w:t>
      </w:r>
    </w:p>
    <w:p w:rsidR="00D3052E" w:rsidRDefault="00635D2F">
      <w:pPr>
        <w:rPr>
          <w:noProof/>
          <w:color w:val="000000" w:themeColor="text1"/>
        </w:rPr>
      </w:pPr>
      <w:r>
        <w:rPr>
          <w:noProof/>
          <w:color w:val="000000" w:themeColor="text1"/>
        </w:rPr>
        <w:t>uwzględniając wniosek Komisji Europejskiej,</w:t>
      </w:r>
    </w:p>
    <w:p w:rsidR="00D3052E" w:rsidRDefault="00635D2F">
      <w:pPr>
        <w:rPr>
          <w:noProof/>
          <w:color w:val="000000" w:themeColor="text1"/>
        </w:rPr>
      </w:pPr>
      <w:r>
        <w:rPr>
          <w:noProof/>
          <w:color w:val="000000" w:themeColor="text1"/>
        </w:rPr>
        <w:t>po przekazaniu projektu aktu ustawodawczego parlamentom narodowym,</w:t>
      </w:r>
    </w:p>
    <w:p w:rsidR="00D3052E" w:rsidRDefault="00635D2F">
      <w:pPr>
        <w:rPr>
          <w:noProof/>
          <w:color w:val="000000" w:themeColor="text1"/>
        </w:rPr>
      </w:pPr>
      <w:r>
        <w:rPr>
          <w:noProof/>
          <w:color w:val="000000" w:themeColor="text1"/>
        </w:rPr>
        <w:t>uwzględniając opinię Komitetu Ekonomiczno-Społecznego</w:t>
      </w:r>
      <w:r>
        <w:rPr>
          <w:rStyle w:val="Odwoanieprzypisudolnego"/>
          <w:rFonts w:eastAsia="Arial Unicode MS"/>
          <w:noProof/>
          <w:color w:val="000000" w:themeColor="text1"/>
        </w:rPr>
        <w:footnoteReference w:id="21"/>
      </w:r>
      <w:r>
        <w:rPr>
          <w:noProof/>
          <w:color w:val="000000" w:themeColor="text1"/>
        </w:rPr>
        <w:t>,</w:t>
      </w:r>
    </w:p>
    <w:p w:rsidR="00D3052E" w:rsidRDefault="00635D2F">
      <w:pPr>
        <w:rPr>
          <w:noProof/>
          <w:color w:val="000000" w:themeColor="text1"/>
        </w:rPr>
      </w:pPr>
      <w:r>
        <w:rPr>
          <w:noProof/>
          <w:color w:val="000000" w:themeColor="text1"/>
        </w:rPr>
        <w:t>uwzględniając opinię Komitetu Regionów</w:t>
      </w:r>
      <w:r>
        <w:rPr>
          <w:rStyle w:val="Odwoanieprzypisudolnego"/>
          <w:rFonts w:eastAsia="Arial Unicode MS"/>
          <w:noProof/>
          <w:color w:val="000000" w:themeColor="text1"/>
        </w:rPr>
        <w:footnoteReference w:id="22"/>
      </w:r>
      <w:r>
        <w:rPr>
          <w:noProof/>
          <w:color w:val="000000" w:themeColor="text1"/>
        </w:rPr>
        <w:t xml:space="preserve">, </w:t>
      </w:r>
    </w:p>
    <w:p w:rsidR="00D3052E" w:rsidRDefault="00635D2F">
      <w:pPr>
        <w:rPr>
          <w:noProof/>
          <w:color w:val="000000" w:themeColor="text1"/>
        </w:rPr>
      </w:pPr>
      <w:r>
        <w:rPr>
          <w:noProof/>
          <w:color w:val="000000" w:themeColor="text1"/>
        </w:rPr>
        <w:t>stanowiąc zgodnie ze zwykłą procedurą ustawodawczą,</w:t>
      </w:r>
    </w:p>
    <w:p w:rsidR="00D3052E" w:rsidRDefault="00635D2F">
      <w:pPr>
        <w:rPr>
          <w:noProof/>
          <w:color w:val="000000" w:themeColor="text1"/>
        </w:rPr>
      </w:pPr>
      <w:r>
        <w:rPr>
          <w:noProof/>
          <w:color w:val="000000" w:themeColor="text1"/>
        </w:rPr>
        <w:t>a także mając na uwadze, co następuje:</w:t>
      </w:r>
    </w:p>
    <w:p w:rsidR="00D3052E" w:rsidRDefault="00635D2F">
      <w:pPr>
        <w:pStyle w:val="ManualConsidrant"/>
        <w:rPr>
          <w:noProof/>
        </w:rPr>
      </w:pPr>
      <w:r>
        <w:t>(1)</w:t>
      </w:r>
      <w:r>
        <w:tab/>
      </w:r>
      <w:r>
        <w:rPr>
          <w:noProof/>
        </w:rPr>
        <w:t>Zgodnie z art. 192 ust. 3 Traktatu o funkcjonowaniu Unii Europejskiej od 1973 r. ogólne unijne programy działań w zakresie środowiska stanowią ramy działania Unii w dziedzinie środowiska i klimatu.</w:t>
      </w:r>
    </w:p>
    <w:p w:rsidR="00D3052E" w:rsidRDefault="00635D2F">
      <w:pPr>
        <w:pStyle w:val="ManualConsidrant"/>
        <w:rPr>
          <w:noProof/>
        </w:rPr>
      </w:pPr>
      <w:r>
        <w:t>(2)</w:t>
      </w:r>
      <w:r>
        <w:tab/>
      </w:r>
      <w:r>
        <w:rPr>
          <w:noProof/>
        </w:rPr>
        <w:t xml:space="preserve">Decyzją </w:t>
      </w:r>
      <w:r>
        <w:rPr>
          <w:noProof/>
          <w:color w:val="000000" w:themeColor="text1"/>
        </w:rPr>
        <w:t>Parlamentu Europejskiego i Rady nr 1386/2013/UE</w:t>
      </w:r>
      <w:r>
        <w:rPr>
          <w:rStyle w:val="Odwoanieprzypisudolnego"/>
          <w:noProof/>
          <w:color w:val="000000" w:themeColor="text1"/>
        </w:rPr>
        <w:footnoteReference w:id="23"/>
      </w:r>
      <w:r>
        <w:rPr>
          <w:noProof/>
        </w:rPr>
        <w:t xml:space="preserve"> ustanowiono 7. unijny program działań w zakresie środowiska (7. EAP), w którym określono unijny program ochrony środowiska obowiązujący do dnia 31 grudnia 2020 r., a także długoterminową wizję na 2050 r. </w:t>
      </w:r>
    </w:p>
    <w:p w:rsidR="00D3052E" w:rsidRDefault="00635D2F">
      <w:pPr>
        <w:pStyle w:val="ManualConsidrant"/>
        <w:rPr>
          <w:noProof/>
          <w:color w:val="000000" w:themeColor="text1"/>
        </w:rPr>
      </w:pPr>
      <w:r>
        <w:t>(3)</w:t>
      </w:r>
      <w:r>
        <w:tab/>
      </w:r>
      <w:r>
        <w:rPr>
          <w:noProof/>
        </w:rPr>
        <w:t>W przeprowadzonej przez Komisję ocenie 7. EAP</w:t>
      </w:r>
      <w:r>
        <w:rPr>
          <w:rStyle w:val="Odwoanieprzypisudolnego"/>
          <w:noProof/>
        </w:rPr>
        <w:footnoteReference w:id="24"/>
      </w:r>
      <w:r>
        <w:rPr>
          <w:noProof/>
        </w:rPr>
        <w:t xml:space="preserve"> uznano, że wizja programu na 2050 r. i jego cele priorytetowe są nadal aktualne; program przyczynił się do zapewnienia bardziej przewidywalnych, szybszych i lepiej skoordynowanych działań związanych z polityką w zakresie środowiska, a struktura i sprzyjające ramy prawne programu przyczyniły się do powstania synergii, dzięki czemu polityka w zakresie środowiska stała się bardziej skuteczna i wydajna. Ponadto w ocenie stwierdzono, że 7. EAP wyprzedził oenzetowską agendę 2030, gdyż podkreśla się w nim, że wzrost gospodarczy i dobrostan społeczny zależą od zdrowej bazy zasobów naturalnych, a także ułatwił osiągnięcie celów zrównoważonego rozwoju. Program pomógł również Unii mówić jednym głosem na światowym forum w kwestiach klimatycznych i środowiskowych.</w:t>
      </w:r>
      <w:r>
        <w:rPr>
          <w:noProof/>
          <w:color w:val="000000" w:themeColor="text1"/>
        </w:rPr>
        <w:t xml:space="preserve"> W</w:t>
      </w:r>
      <w:r>
        <w:rPr>
          <w:noProof/>
        </w:rPr>
        <w:t> </w:t>
      </w:r>
      <w:r>
        <w:rPr>
          <w:noProof/>
          <w:color w:val="000000" w:themeColor="text1"/>
        </w:rPr>
        <w:t xml:space="preserve">swojej ocenie 7. EAP Komisja stwierdziła również, że postępy odnotowane w zakresie ochrony przyrody, zdrowia i integracji polityki były niewystarczające. </w:t>
      </w:r>
    </w:p>
    <w:p w:rsidR="00D3052E" w:rsidRDefault="00635D2F">
      <w:pPr>
        <w:pStyle w:val="ManualConsidrant"/>
        <w:rPr>
          <w:noProof/>
        </w:rPr>
      </w:pPr>
      <w:r>
        <w:t>(4)</w:t>
      </w:r>
      <w:r>
        <w:tab/>
      </w:r>
      <w:r>
        <w:rPr>
          <w:noProof/>
        </w:rPr>
        <w:t xml:space="preserve">Ze sprawozdania EEA „Środowisko Europy 2020 – stan i prognozy: </w:t>
      </w:r>
      <w:r>
        <w:rPr>
          <w:noProof/>
          <w:color w:val="000000" w:themeColor="text1"/>
        </w:rPr>
        <w:t>wiedza na rzecz transformacji w kierunku zrównoważonej Europy</w:t>
      </w:r>
      <w:r>
        <w:rPr>
          <w:noProof/>
        </w:rPr>
        <w:t xml:space="preserve">” (SOER 2020) wynika, że w roku </w:t>
      </w:r>
      <w:r>
        <w:rPr>
          <w:noProof/>
        </w:rPr>
        <w:lastRenderedPageBreak/>
        <w:t xml:space="preserve">2020 Unia będzie miała niepowtarzalną szansę zająć pozycję lidera pod względem zrównoważonego rozwoju oraz stawić czoła pilnym wyzwaniom w tym zakresie wymagającym przyjęcia rozwiązań systemowych. Jak wskazano w SOER 2020 zmiana klimatu na świecie i zmiany w światowych ekosystemach obserwowane od lat 50. XX wieku zachodzą na przestrzeni dziesięcioleci na niespotykaną dotychczas skalę w stosunku do tysiącleci. Od roku 1950 liczba ludności na świecie uległa potrojeniu, a liczba ludności zamieszkującej miasta wzrosła czterokrotnie. Oczekuje się, że przy obecnym modelu wzrostu nastąpi dalszy wzrost obciążeń dla środowiska, co będzie miało bezpośrednie i pośrednie szkodliwe skutki dla zdrowia i dobrostanu człowieka. Dotyczy to w szczególności sektorów o największym wpływie na środowisko, tj. przemysłu spożywczego, mobilności, sektora energetycznego, a także infrastruktury i budownictwa. </w:t>
      </w:r>
    </w:p>
    <w:p w:rsidR="00D3052E" w:rsidRDefault="00635D2F">
      <w:pPr>
        <w:pStyle w:val="ManualConsidrant"/>
        <w:rPr>
          <w:noProof/>
        </w:rPr>
      </w:pPr>
      <w:r>
        <w:t>(5)</w:t>
      </w:r>
      <w:r>
        <w:tab/>
      </w:r>
      <w:r>
        <w:rPr>
          <w:noProof/>
        </w:rPr>
        <w:t>The European Commission responded to the challenges identified in the SOER 2020 by adopting the European Green Deal</w:t>
      </w:r>
      <w:r>
        <w:rPr>
          <w:rStyle w:val="Odwoanieprzypisudolnego"/>
          <w:noProof/>
        </w:rPr>
        <w:footnoteReference w:id="25"/>
      </w:r>
      <w:r>
        <w:rPr>
          <w:noProof/>
        </w:rPr>
        <w:t>: nowa strategia na rzecz wzrostu w kierunku dwojakiej transformacji – ekologicznej i cyfrowej, której celem jest przekształcenie Unii w sprawiedliwe i prosperujące społeczeństwo żyjące w konkurencyjnej, neutralnej dla klimatu i zasobooszczędnej gospodarce. Rozporządzeniem Parlamentu Europejskiego i Rady (UE)</w:t>
      </w:r>
      <w:r>
        <w:rPr>
          <w:rStyle w:val="Odwoanieprzypisudolnego"/>
          <w:noProof/>
        </w:rPr>
        <w:footnoteReference w:id="26"/>
      </w:r>
      <w:r>
        <w:rPr>
          <w:noProof/>
        </w:rPr>
        <w:t xml:space="preserve"> zapisuje się w prawie UE cel polegający na osiągnięciu neutralności klimatycznej do 2050 r. </w:t>
      </w:r>
    </w:p>
    <w:p w:rsidR="00D3052E" w:rsidRDefault="00635D2F">
      <w:pPr>
        <w:pStyle w:val="ManualConsidrant"/>
        <w:rPr>
          <w:noProof/>
        </w:rPr>
      </w:pPr>
      <w:r>
        <w:t>(6)</w:t>
      </w:r>
      <w:r>
        <w:tab/>
      </w:r>
      <w:r>
        <w:rPr>
          <w:noProof/>
        </w:rPr>
        <w:t>Europejski Zielony Ład leży u podstaw planu odbudowy Next Generation EU, w ramach którego propaguje się inwestycje w kluczowe ekologiczne sektory potrzebne do budowania odporności i tworzenia wzrostu i miejsc pracy w sprawiedliwym i integracyjnym społeczeństwie. Instrument na rzecz Odbudowy i Zwiększania Odporności, który wprawi w ruch odbudowę gospodarczą Unii po kryzysie związanym z COVID-19 wraz z budżetem Unii na lata 2021–2027, również opiera się na celach priorytetowych określonych w Europejskim Zielonym Ładzie. Ponadto wszystkie inicjatywy w ramach planu odbudowy Next Generation EU powinny być zgodne z przyrzeczeniem „Nie szkodzić” złożonym w Europejskim Zielonym Ładzie.</w:t>
      </w:r>
    </w:p>
    <w:p w:rsidR="00D3052E" w:rsidRDefault="00635D2F">
      <w:pPr>
        <w:pStyle w:val="ManualConsidrant"/>
        <w:rPr>
          <w:noProof/>
        </w:rPr>
      </w:pPr>
      <w:r>
        <w:t>(7)</w:t>
      </w:r>
      <w:r>
        <w:tab/>
      </w:r>
      <w:r>
        <w:rPr>
          <w:noProof/>
        </w:rPr>
        <w:t>Unijne programy działań w zakresie środowiska wyznaczają kierunek rozwoju unijnej polityki w zakresie środowiska od wczesnych lat 70. XX wieku. 7. EAP przestanie obowiązywać w dniu 31 grudnia 2020 r., a w jego art. 4 ust. 3 zobowiązano Komisję, by w razie potrzeby przedstawiła wniosek dotyczący ósmego programu działań w zakresie środowiska (8. EAP) w odpowiednim terminie umożliwiającym uniknięcie luki między 7. EAP a 8. EAP. W komunikacie „Europejski Zielony Ład” Komisja ogłosiła przyjęcie nowego unijnego programu działań w zakresie środowiska.</w:t>
      </w:r>
    </w:p>
    <w:p w:rsidR="00D3052E" w:rsidRDefault="00635D2F">
      <w:pPr>
        <w:pStyle w:val="ManualConsidrant"/>
        <w:rPr>
          <w:noProof/>
        </w:rPr>
      </w:pPr>
      <w:r>
        <w:t>(8)</w:t>
      </w:r>
      <w:r>
        <w:tab/>
      </w:r>
      <w:r>
        <w:rPr>
          <w:noProof/>
        </w:rPr>
        <w:t xml:space="preserve">8. EAP powinien wspierać cele działań w dziedzinie ochrony środowiska i klimatu Europejskiego Zielonego Ładu zgodnie z długoterminowym celem, by w 2050 r. „cieszyć się dobrą jakością życia z uwzględnieniem ograniczeń planety”, który określono już w 7. EAP. Powinien przyczyniać się do osiągnięcia celów oenzetowskiej agendy 2030 oraz jej celów zrównoważonego rozwoju. </w:t>
      </w:r>
    </w:p>
    <w:p w:rsidR="00D3052E" w:rsidRDefault="00635D2F">
      <w:pPr>
        <w:pStyle w:val="ManualConsidrant"/>
        <w:rPr>
          <w:noProof/>
        </w:rPr>
      </w:pPr>
      <w:r>
        <w:t>(9)</w:t>
      </w:r>
      <w:r>
        <w:tab/>
      </w:r>
      <w:r>
        <w:rPr>
          <w:noProof/>
        </w:rPr>
        <w:t xml:space="preserve">8. EAP powinien przyspieszyć przejście na gospodarkę regeneracyjną, która daje planecie więcej niż sama bierze. W ramach modelu regeneracyjnego wzrostu uznaje się, że dobrostan i dobrobyt naszych społeczeństw zależy od stabilnego klimatu, zdrowego środowiska i sprawnych ekosystemów, które zapewniają bezpieczną przestrzeń operacyjną dla naszych gospodarek. Biorąc pod uwagę, że światowa populacja i zapotrzebowanie na zasoby naturalne nadal rosną, działalność gospodarcza powinna </w:t>
      </w:r>
      <w:r>
        <w:rPr>
          <w:noProof/>
        </w:rPr>
        <w:lastRenderedPageBreak/>
        <w:t>rozwijać się w sposób, który nie pogarsza, ale przeciwnie – cofa zmianę klimatu i degradację środowiska, minimalizuje zanieczyszczenia i skutkuje utrzymaniem i zwiększeniem kapitału naturalnego, zapewniając tym samym bogactwo zasobów odnawialnych i nieodnawialnych. Dzięki ciągłemu procesowi innowacji, dostosowaniu się do nowych wyzwań i współtworzeniu gospodarka regeneracyjna wzmacnia odporność i zabezpiecza dobrostan obecnych i przyszłych pokoleń.</w:t>
      </w:r>
    </w:p>
    <w:p w:rsidR="00D3052E" w:rsidRDefault="00635D2F">
      <w:pPr>
        <w:pStyle w:val="ManualConsidrant"/>
        <w:rPr>
          <w:noProof/>
        </w:rPr>
      </w:pPr>
      <w:r>
        <w:t>(10)</w:t>
      </w:r>
      <w:r>
        <w:tab/>
      </w:r>
      <w:r>
        <w:rPr>
          <w:noProof/>
        </w:rPr>
        <w:t>W 8. EAP należy wskazać cele priorytetowe w obszarach neutralności klimatycznej, dostosowania do zmiany klimatu, ochrony i przywrócenia różnorodności biologicznej, gospodarki o obiegu zamkniętym, dążenia do osiągnięcia zerowego poziomu emisji zanieczyszczeń oraz</w:t>
      </w:r>
      <w:r>
        <w:rPr>
          <w:noProof/>
          <w:color w:val="000000" w:themeColor="text1"/>
        </w:rPr>
        <w:t xml:space="preserve"> ograniczenia presji środowiskowych związanych z produkcją i konsumpcją. </w:t>
      </w:r>
      <w:r>
        <w:rPr>
          <w:noProof/>
        </w:rPr>
        <w:t xml:space="preserve">Należy ponadto określić w nim warunki podstawowe osiągnięcia długoterminowych i tematycznych celów priorytetowych dla wszystkich zaangażowanych podmiotów. </w:t>
      </w:r>
    </w:p>
    <w:p w:rsidR="00D3052E" w:rsidRDefault="00635D2F">
      <w:pPr>
        <w:pStyle w:val="ManualConsidrant"/>
        <w:rPr>
          <w:noProof/>
        </w:rPr>
      </w:pPr>
      <w:r>
        <w:t>(11)</w:t>
      </w:r>
      <w:r>
        <w:tab/>
      </w:r>
      <w:r>
        <w:rPr>
          <w:noProof/>
        </w:rPr>
        <w:t xml:space="preserve">Biorąc pod uwagę, że polityka w zakresie ochrony środowiska jest w znacznym stopniu zdecentralizowana, działania zmierzające do osiągnięcia celów priorytetowych 8. EAP należy podejmować na różnych szczeblach zarządzania, tj. na szczeblu europejskim, krajowym, regionalnym i lokalnym, przyjmując oparte na współpracy podejście do wielopoziomowego sprawowania rządów. Należy wzmocnić zintegrowane podejście do rozwoju i wdrażania polityki w celu maksymalnego wykorzystania synergii między celami gospodarczymi, środowiskowymi i społecznymi, zwracając szczególną uwagę na potencjalne kompromisy i potrzeby grup szczególnie wrażliwych. Ponadto przejrzyste współdziałanie z podmiotami pozarządowymi jest ważne dla zapewnienia powodzenia 8. EAP i osiągnięcia jego celów priorytetowych. </w:t>
      </w:r>
    </w:p>
    <w:p w:rsidR="00D3052E" w:rsidRDefault="00635D2F">
      <w:pPr>
        <w:pStyle w:val="ManualConsidrant"/>
        <w:rPr>
          <w:noProof/>
        </w:rPr>
      </w:pPr>
      <w:r>
        <w:t>(12)</w:t>
      </w:r>
      <w:r>
        <w:tab/>
      </w:r>
      <w:r>
        <w:rPr>
          <w:noProof/>
        </w:rPr>
        <w:t xml:space="preserve">Wzmocniona współpraca z krajami partnerskimi, dobre zarządzanie środowiskiem na szczeblu globalnym oraz synergie między wewnętrznymi i zewnętrznymi unijnymi strategiami politycznymi mają kluczowe znaczenie dla osiągnięcia unijnych celów środowiskowych i klimatycznych. </w:t>
      </w:r>
    </w:p>
    <w:p w:rsidR="00D3052E" w:rsidRDefault="00635D2F">
      <w:pPr>
        <w:pStyle w:val="ManualConsidrant"/>
        <w:rPr>
          <w:noProof/>
        </w:rPr>
      </w:pPr>
      <w:r>
        <w:t>(13)</w:t>
      </w:r>
      <w:r>
        <w:tab/>
      </w:r>
      <w:r>
        <w:rPr>
          <w:noProof/>
        </w:rPr>
        <w:t>Komisja Europejska powinna ocenić postępy w osiąganiu celów priorytetowych 8. EAP przez Unię i państwa członkowskie w kontekście przejścia w kierunku bardziej zrównoważonego rozwoju, lepszego dobrostanu i większej odporności. Jest to zgodne z postulatami Rady</w:t>
      </w:r>
      <w:r>
        <w:rPr>
          <w:rStyle w:val="Odwoanieprzypisudolnego"/>
          <w:noProof/>
          <w:color w:val="000000" w:themeColor="text1"/>
        </w:rPr>
        <w:footnoteReference w:id="27"/>
      </w:r>
      <w:r>
        <w:rPr>
          <w:noProof/>
        </w:rPr>
        <w:t xml:space="preserve"> i Europejskiego Komitetu Ekonomiczno-Społecznego</w:t>
      </w:r>
      <w:r>
        <w:rPr>
          <w:rStyle w:val="Odwoanieprzypisudolnego"/>
          <w:noProof/>
          <w:color w:val="000000" w:themeColor="text1"/>
        </w:rPr>
        <w:footnoteReference w:id="28"/>
      </w:r>
      <w:r>
        <w:rPr>
          <w:noProof/>
        </w:rPr>
        <w:t xml:space="preserve"> dotyczącymi pomiaru wyników gospodarczych i postępów społecznych nie tylko w oparciu o PKB oraz przejścia do stosowania dobrobytu jako drogowskazu działań politycznych, które popiera również OECD</w:t>
      </w:r>
      <w:r>
        <w:rPr>
          <w:rStyle w:val="Odwoanieprzypisudolnego"/>
          <w:noProof/>
          <w:color w:val="000000" w:themeColor="text1"/>
        </w:rPr>
        <w:footnoteReference w:id="29"/>
      </w:r>
      <w:r>
        <w:rPr>
          <w:noProof/>
        </w:rPr>
        <w:t xml:space="preserve">. </w:t>
      </w:r>
    </w:p>
    <w:p w:rsidR="00D3052E" w:rsidRDefault="00635D2F">
      <w:pPr>
        <w:pStyle w:val="ManualConsidrant"/>
        <w:rPr>
          <w:noProof/>
        </w:rPr>
      </w:pPr>
      <w:r>
        <w:t>(14)</w:t>
      </w:r>
      <w:r>
        <w:tab/>
      </w:r>
      <w:r>
        <w:rPr>
          <w:noProof/>
        </w:rPr>
        <w:t xml:space="preserve">Ocena postępów na drodze do osiągnięcia celów priorytetowych 8. EAP powinna </w:t>
      </w:r>
      <w:r>
        <w:rPr>
          <w:noProof/>
          <w:u w:color="000000"/>
        </w:rPr>
        <w:t>odzwierciedlać najnowsze zmiany dotyczące dostępności i istotności danych i wskaźników</w:t>
      </w:r>
      <w:r>
        <w:rPr>
          <w:noProof/>
        </w:rPr>
        <w:t>. Powinna być spójna i bez uszczerbku dla narzędzi monitorowania i zarządzania obejmujących bardziej szczegółowe aspekty polityki w zakresie środowiska i klimatu, takie jak w szczególności rozporządzenie Parlamentu Europejskiego i Rady 2018/1999</w:t>
      </w:r>
      <w:r>
        <w:rPr>
          <w:rStyle w:val="Odwoanieprzypisudolnego"/>
          <w:noProof/>
          <w:color w:val="000000" w:themeColor="text1"/>
        </w:rPr>
        <w:footnoteReference w:id="30"/>
      </w:r>
      <w:r>
        <w:rPr>
          <w:noProof/>
        </w:rPr>
        <w:t xml:space="preserve">, przegląd wdrażania polityki ochrony środowiska lub narzędzia monitorowania związane z gospodarką o obiegu zamkniętym, zerowym </w:t>
      </w:r>
      <w:r>
        <w:rPr>
          <w:noProof/>
        </w:rPr>
        <w:lastRenderedPageBreak/>
        <w:t>poziomem emisji, różnorodnością biologiczną, polityką dotyczącą powietrza, wody, gleby, odpadów lub każdą inną strategią polityczną dotyczącą środowiska. Wraz z innymi narzędziami stosowanymi w ramach europejskiego semestru, monitorowaniu celów zrównoważonego rozwoju przez Eurostat oraz w sprawozdaniu Komisji dotyczącym prognozy strategicznej</w:t>
      </w:r>
      <w:r>
        <w:rPr>
          <w:rStyle w:val="Odwoanieprzypisudolnego"/>
          <w:noProof/>
          <w:color w:val="000000" w:themeColor="text1"/>
        </w:rPr>
        <w:footnoteReference w:id="31"/>
      </w:r>
      <w:r>
        <w:rPr>
          <w:noProof/>
        </w:rPr>
        <w:t xml:space="preserve"> stanowiłaby część spójnego wzajemnie powiązanego zestawu narzędzi monitorowania i zarządzania. </w:t>
      </w:r>
    </w:p>
    <w:p w:rsidR="00D3052E" w:rsidRDefault="00635D2F">
      <w:pPr>
        <w:pStyle w:val="ManualConsidrant"/>
        <w:rPr>
          <w:noProof/>
        </w:rPr>
      </w:pPr>
      <w:r>
        <w:t>(15)</w:t>
      </w:r>
      <w:r>
        <w:tab/>
      </w:r>
      <w:r>
        <w:rPr>
          <w:noProof/>
        </w:rPr>
        <w:t xml:space="preserve">Komisja wraz z EEA i innymi właściwymi agencjami powinna mieć dostęp do danych i wskaźników przekazywanych przez państwa członkowskie i wykorzystywać je ponownie zgodnie z obowiązującymi unijnymi aktami prawnymi. Ponadto należy korzystać z innych źródeł danych, w tym danych satelitarnych i przetworzonych informacji z unijnego programu obserwacji i monitorowania Ziemi (Copernicus), </w:t>
      </w:r>
      <w:r>
        <w:rPr>
          <w:noProof/>
          <w:color w:val="000000" w:themeColor="text1"/>
        </w:rPr>
        <w:t xml:space="preserve">europejskiego systemu informacji o pożarach lasów i europejskiego systemu informowania o powodziach, </w:t>
      </w:r>
      <w:r>
        <w:rPr>
          <w:noProof/>
        </w:rPr>
        <w:t xml:space="preserve">lub platform danych takich jak europejska sieć informacji i obserwacji środowiska morskiego lub Platforma Informacyjna Monitorowania Stanu Chemicznego. Stosowanie nowoczesnych narzędzi cyfrowych oraz sztucznej inteligencji umożliwia zarządzanie danymi i ich analizowanie w skuteczny sposób, ograniczając tym samym obciążenie administracyjne przy jednoczesnej poprawie terminowości i jakości. </w:t>
      </w:r>
    </w:p>
    <w:p w:rsidR="00D3052E" w:rsidRDefault="00635D2F">
      <w:pPr>
        <w:pStyle w:val="ManualConsidrant"/>
        <w:rPr>
          <w:noProof/>
        </w:rPr>
      </w:pPr>
      <w:r>
        <w:t>(16)</w:t>
      </w:r>
      <w:r>
        <w:tab/>
      </w:r>
      <w:r>
        <w:rPr>
          <w:noProof/>
        </w:rPr>
        <w:t xml:space="preserve">Ponadto zgodnie z wymogami określonymi w dyrektywach Parlamentu Europejskiego i Rady 2003/4/WE, 2007/2/WE i (UE) 2019/1024 państwa członkowskie powinny zapewnić, by odpowiednie dane, informacje i wskaźniki na potrzeby monitorowania wdrażania 8. EAP były dostępne nieodpłatnie, niedyskryminacyjne, miały otwarty dostęp, były właściwe, wysokiej jakości, porównywalne, aktualne, przyjazne dla użytkowników i łatwo dostępne </w:t>
      </w:r>
      <w:r>
        <w:rPr>
          <w:i/>
          <w:noProof/>
        </w:rPr>
        <w:t>online</w:t>
      </w:r>
      <w:r>
        <w:rPr>
          <w:noProof/>
        </w:rPr>
        <w:t xml:space="preserve">. </w:t>
      </w:r>
    </w:p>
    <w:p w:rsidR="00D3052E" w:rsidRDefault="00635D2F">
      <w:pPr>
        <w:pStyle w:val="ManualConsidrant"/>
        <w:rPr>
          <w:noProof/>
        </w:rPr>
      </w:pPr>
      <w:r>
        <w:t>(17)</w:t>
      </w:r>
      <w:r>
        <w:tab/>
      </w:r>
      <w:r>
        <w:rPr>
          <w:noProof/>
        </w:rPr>
        <w:t>W celu osiągnięcia celów priorytetowych 8. EAP EEA i ECHA powinny posiadać odpowiednie zdolności i wystarczające zasoby, aby zapewnić bezpieczną, dostępną i przejrzystą wiedzę oraz bazę dowodów w celu wsparcia realizacji strategicznych priorytetów Europejskiego Zielonego Ładu oraz oceny postępów osiągniętych w ramach programu.</w:t>
      </w:r>
    </w:p>
    <w:p w:rsidR="00D3052E" w:rsidRDefault="00635D2F">
      <w:pPr>
        <w:pStyle w:val="ManualConsidrant"/>
        <w:rPr>
          <w:noProof/>
        </w:rPr>
      </w:pPr>
      <w:r>
        <w:t>(18)</w:t>
      </w:r>
      <w:r>
        <w:tab/>
      </w:r>
      <w:r>
        <w:rPr>
          <w:noProof/>
        </w:rPr>
        <w:t>Aby uwzględnić zmieniające się cele polityczne oraz osiągnięte postępy, Komisja powinna ocenić 8. EAP w 2029 r.</w:t>
      </w:r>
    </w:p>
    <w:p w:rsidR="00D3052E" w:rsidRDefault="00635D2F">
      <w:pPr>
        <w:pStyle w:val="ManualConsidrant"/>
        <w:rPr>
          <w:noProof/>
        </w:rPr>
      </w:pPr>
      <w:r>
        <w:t>(19)</w:t>
      </w:r>
      <w:r>
        <w:tab/>
      </w:r>
      <w:r>
        <w:rPr>
          <w:noProof/>
        </w:rPr>
        <w:t>Ponieważ cel niniejszej decyzji nie może zostać osiągnięty w sposób wystarczający przez państwa członkowskie, natomiast ze względu na skalę i skutki proponowanego programu działań możliwe jest jego lepsze osiągnięcie na poziomie Unii, Unia może podjąć działania zgodnie z zasadą pomocniczości określoną w art. 5 Traktatu o Unii Europejskiej. Zgodnie z zasadą proporcjonalności określoną w tym artykule niniejsza decyzja nie wykracza poza to, co jest konieczne do osiągnięcia tego celu,</w:t>
      </w:r>
    </w:p>
    <w:p w:rsidR="00D3052E" w:rsidRDefault="00635D2F">
      <w:pPr>
        <w:pStyle w:val="Formuledadoption"/>
        <w:rPr>
          <w:noProof/>
          <w:color w:val="000000" w:themeColor="text1"/>
        </w:rPr>
      </w:pPr>
      <w:r>
        <w:rPr>
          <w:noProof/>
          <w:color w:val="000000" w:themeColor="text1"/>
        </w:rPr>
        <w:t xml:space="preserve">PRZYJMUJĄ NINIEJSZĄ DECYZJĘ: </w:t>
      </w:r>
    </w:p>
    <w:p w:rsidR="00D3052E" w:rsidRDefault="00635D2F">
      <w:pPr>
        <w:pStyle w:val="Titrearticle"/>
        <w:rPr>
          <w:noProof/>
          <w:color w:val="000000" w:themeColor="text1"/>
        </w:rPr>
      </w:pPr>
      <w:r>
        <w:rPr>
          <w:noProof/>
          <w:color w:val="000000" w:themeColor="text1"/>
        </w:rPr>
        <w:t xml:space="preserve">Artykuł 1 – Przedmiot </w:t>
      </w:r>
    </w:p>
    <w:p w:rsidR="00D3052E" w:rsidRDefault="00635D2F">
      <w:pPr>
        <w:pStyle w:val="ManualNumPar1"/>
        <w:rPr>
          <w:noProof/>
        </w:rPr>
      </w:pPr>
      <w:r>
        <w:t>1.</w:t>
      </w:r>
      <w:r>
        <w:tab/>
      </w:r>
      <w:r>
        <w:rPr>
          <w:noProof/>
        </w:rPr>
        <w:t>W niniejszej decyzji określono ogólny unijny program działań w zakresie środowiska na okres do dnia 31 grudnia 2030 r. („8. EAP”). Ustanawia się w niej cele priorytetowe, określa warunki podstawowe ich osiągnięcia oraz wskazuje ramy umożliwiające zmierzenie, czy Unia i jej państwa członkowskie są na dobrej drodze do osiągnięcia tych celów priorytetowych.</w:t>
      </w:r>
    </w:p>
    <w:p w:rsidR="00D3052E" w:rsidRDefault="00635D2F">
      <w:pPr>
        <w:pStyle w:val="ManualNumPar1"/>
        <w:rPr>
          <w:noProof/>
        </w:rPr>
      </w:pPr>
      <w:r>
        <w:lastRenderedPageBreak/>
        <w:t>2.</w:t>
      </w:r>
      <w:r>
        <w:tab/>
      </w:r>
      <w:r>
        <w:rPr>
          <w:noProof/>
        </w:rPr>
        <w:t xml:space="preserve">8. EAP ma na celu przyspieszenie przejścia na neutralną dla klimatu, zasobooszczędną, czystą gospodarkę o obiegu zamkniętym w sposób sprawiedliwy i sprzyjający włączeniu społecznemu, oraz potwierdza cele środowiskowe i klimatyczne Europejskiego Zielonego Ładu i określonych w nim inicjatyw. </w:t>
      </w:r>
    </w:p>
    <w:p w:rsidR="00D3052E" w:rsidRDefault="00635D2F">
      <w:pPr>
        <w:pStyle w:val="ManualNumPar1"/>
        <w:rPr>
          <w:noProof/>
        </w:rPr>
      </w:pPr>
      <w:r>
        <w:t>3.</w:t>
      </w:r>
      <w:r>
        <w:tab/>
      </w:r>
      <w:r>
        <w:rPr>
          <w:noProof/>
        </w:rPr>
        <w:t>8. EAP stanowi podstawę osiągnięcia celów środowiskowych i klimatycznych określonych w oenzetowskiej agendzie 2030 i jej celach zrównoważonego rozwoju, a jego ramy monitorowania stanowią część związaną ze środowiskiem i klimatem unijnych starań na rzecz mierzenia postępów na drodze do bardziej zrównoważonego charakteru, w tym neutralności klimatycznej i zasobooszczędności, dobrobytu i odporności.</w:t>
      </w:r>
    </w:p>
    <w:p w:rsidR="00D3052E" w:rsidRDefault="00635D2F">
      <w:pPr>
        <w:pStyle w:val="Titrearticle"/>
        <w:rPr>
          <w:noProof/>
          <w:color w:val="000000" w:themeColor="text1"/>
        </w:rPr>
      </w:pPr>
      <w:r>
        <w:rPr>
          <w:noProof/>
          <w:color w:val="000000" w:themeColor="text1"/>
        </w:rPr>
        <w:t>Artykuł 2 – Cele priorytetowe</w:t>
      </w:r>
    </w:p>
    <w:p w:rsidR="00D3052E" w:rsidRDefault="00635D2F">
      <w:pPr>
        <w:pStyle w:val="ManualNumPar1"/>
        <w:rPr>
          <w:noProof/>
        </w:rPr>
      </w:pPr>
      <w:r>
        <w:t>1.</w:t>
      </w:r>
      <w:r>
        <w:tab/>
      </w:r>
      <w:r>
        <w:rPr>
          <w:noProof/>
        </w:rPr>
        <w:t>Długoterminowy cel priorytetowy 8. EAP na 2050 r. dotyczy zapewnienia, by obywatele cieszyli się dobrą jakością życia z uwzględnieniem ograniczeń planety w gospodarce regeneracyjnej, w której nic się nie marnuje, nie produkuje się emisji gazów cieplarnianych netto, a wzrost gospodarczy jest niezależny od wykorzystania zasobów naturalnych i degradacji środowiska. Zdrowe środowisko sprzyja dobrostanowi obywateli, rozwojowi różnorodności biologicznej i ochronie, odbudowie i docenieniu kapitału naturalnego w sposób, którzy wzmacnia odporność na zmianę klimatu i inne zagrożenia dla środowiska. Unia ustala tempo zapewnienia dobrostanu obecnych i przyszłych pokoleń na całym świecie.</w:t>
      </w:r>
    </w:p>
    <w:p w:rsidR="00D3052E" w:rsidRDefault="00635D2F">
      <w:pPr>
        <w:pStyle w:val="ManualNumPar1"/>
        <w:rPr>
          <w:noProof/>
        </w:rPr>
      </w:pPr>
      <w:r>
        <w:t>2.</w:t>
      </w:r>
      <w:r>
        <w:tab/>
      </w:r>
      <w:r>
        <w:rPr>
          <w:noProof/>
        </w:rPr>
        <w:t>8. EAP ma następuje sześć tematycznych celów priorytetowych:</w:t>
      </w:r>
    </w:p>
    <w:p w:rsidR="00D3052E" w:rsidRDefault="00635D2F">
      <w:pPr>
        <w:pStyle w:val="Point1"/>
        <w:rPr>
          <w:noProof/>
        </w:rPr>
      </w:pPr>
      <w:r>
        <w:rPr>
          <w:noProof/>
        </w:rPr>
        <w:t>a)</w:t>
      </w:r>
      <w:r>
        <w:rPr>
          <w:noProof/>
        </w:rPr>
        <w:tab/>
        <w:t>nieodwracalne i stopniowe ograniczenie emisji gazów cieplarnianych oraz wzmocnienie ich pochłaniania przez naturalne i inne pochłaniacze w Unii w celu osiągnięcia celu redukcji emisji gazów cieplarnianych do 2030 r. oraz osiągnięcia neutralności klimatycznej do 2050 r., jak określono w rozporządzeniu (UE) …/…</w:t>
      </w:r>
      <w:r>
        <w:rPr>
          <w:rStyle w:val="Odwoanieprzypisudolnego"/>
          <w:noProof/>
        </w:rPr>
        <w:footnoteReference w:id="32"/>
      </w:r>
      <w:r>
        <w:rPr>
          <w:noProof/>
        </w:rPr>
        <w:t xml:space="preserve">; </w:t>
      </w:r>
    </w:p>
    <w:p w:rsidR="00D3052E" w:rsidRDefault="00635D2F">
      <w:pPr>
        <w:pStyle w:val="Point1"/>
        <w:rPr>
          <w:noProof/>
        </w:rPr>
      </w:pPr>
      <w:r>
        <w:rPr>
          <w:noProof/>
        </w:rPr>
        <w:t>b)</w:t>
      </w:r>
      <w:r>
        <w:rPr>
          <w:noProof/>
        </w:rPr>
        <w:tab/>
        <w:t>stałe postępy w zakresie wzmacniania zdolności przystosowawczych, zwiększenia odporności i ograniczenia wrażliwości na zmianę klimatu;</w:t>
      </w:r>
    </w:p>
    <w:p w:rsidR="00D3052E" w:rsidRDefault="00635D2F">
      <w:pPr>
        <w:pStyle w:val="Point1"/>
        <w:rPr>
          <w:noProof/>
        </w:rPr>
      </w:pPr>
      <w:r>
        <w:rPr>
          <w:noProof/>
        </w:rPr>
        <w:t>c)</w:t>
      </w:r>
      <w:r>
        <w:rPr>
          <w:noProof/>
        </w:rPr>
        <w:tab/>
        <w:t>dążenie do modelu regeneracyjnego wzrostu, który daje planecie więcej niż sam bierze, oddzielenia wzrostu gospodarczego od wykorzystania zasobów i degradacji środowiska oraz przyspieszenie przejścia na gospodarkę o obiegu zamkniętym</w:t>
      </w:r>
      <w:r>
        <w:rPr>
          <w:noProof/>
          <w:sz w:val="23"/>
          <w:szCs w:val="23"/>
        </w:rPr>
        <w:t>;</w:t>
      </w:r>
      <w:r>
        <w:rPr>
          <w:noProof/>
        </w:rPr>
        <w:t xml:space="preserve"> </w:t>
      </w:r>
    </w:p>
    <w:p w:rsidR="00D3052E" w:rsidRDefault="00635D2F">
      <w:pPr>
        <w:pStyle w:val="Point1"/>
        <w:rPr>
          <w:noProof/>
        </w:rPr>
      </w:pPr>
      <w:r>
        <w:rPr>
          <w:noProof/>
        </w:rPr>
        <w:t>d)</w:t>
      </w:r>
      <w:r>
        <w:rPr>
          <w:noProof/>
        </w:rPr>
        <w:tab/>
        <w:t>dążenie do osiągnięcia zerowego poziomu emisji zanieczyszczeń na rzecz nietoksycznego środowiska, w tym powietrza, wody i gleby, oraz ochrony zdrowia i dobrostanu obywateli przed zagrożeniami i skutkami związanymi ze środowiskiem;</w:t>
      </w:r>
    </w:p>
    <w:p w:rsidR="00D3052E" w:rsidRDefault="00635D2F">
      <w:pPr>
        <w:pStyle w:val="Point1"/>
        <w:rPr>
          <w:noProof/>
        </w:rPr>
      </w:pPr>
      <w:r>
        <w:rPr>
          <w:noProof/>
        </w:rPr>
        <w:t>e)</w:t>
      </w:r>
      <w:r>
        <w:rPr>
          <w:noProof/>
        </w:rPr>
        <w:tab/>
        <w:t>ochrona, zachowanie i przywrócenie różnorodności biologicznej oraz wzmocnienie kapitału naturalnego, zwłaszcza powietrza, wody, gleby oraz ekosystemów leśnych, słodkowodnych, podmokłych i morskich.</w:t>
      </w:r>
    </w:p>
    <w:p w:rsidR="00D3052E" w:rsidRDefault="00635D2F">
      <w:pPr>
        <w:pStyle w:val="Point1"/>
        <w:rPr>
          <w:noProof/>
        </w:rPr>
      </w:pPr>
      <w:r>
        <w:rPr>
          <w:noProof/>
        </w:rPr>
        <w:t>f)</w:t>
      </w:r>
      <w:r>
        <w:rPr>
          <w:noProof/>
        </w:rPr>
        <w:tab/>
        <w:t>promowanie zrównoważenia środowiskowego i ograniczenie największych presji środowiskowych i klimatycznych związanych z produkcją i konsumpcją, w szczególności w obszarze energii, rozwoju przemysłu, budownictwa i infrastruktury, mobilności i systemu żywnościowego.</w:t>
      </w:r>
    </w:p>
    <w:p w:rsidR="00D3052E" w:rsidRDefault="00635D2F">
      <w:pPr>
        <w:pStyle w:val="Titrearticle"/>
        <w:rPr>
          <w:noProof/>
          <w:color w:val="000000" w:themeColor="text1"/>
        </w:rPr>
      </w:pPr>
      <w:r>
        <w:rPr>
          <w:noProof/>
          <w:color w:val="000000" w:themeColor="text1"/>
        </w:rPr>
        <w:lastRenderedPageBreak/>
        <w:t>Artykuł 3 – Warunki podstawowe osiągnięcia celów priorytetowych tego programu</w:t>
      </w:r>
    </w:p>
    <w:p w:rsidR="00D3052E" w:rsidRDefault="00635D2F">
      <w:pPr>
        <w:pStyle w:val="ManualNumPar1"/>
        <w:rPr>
          <w:noProof/>
        </w:rPr>
      </w:pPr>
      <w:r>
        <w:t>1.</w:t>
      </w:r>
      <w:r>
        <w:tab/>
      </w:r>
      <w:r>
        <w:rPr>
          <w:noProof/>
        </w:rPr>
        <w:t>Aby osiągnąć cele priorytetowe 8. EAP konieczne będzie:</w:t>
      </w:r>
    </w:p>
    <w:p w:rsidR="00D3052E" w:rsidRDefault="00635D2F">
      <w:pPr>
        <w:pStyle w:val="Point1"/>
        <w:ind w:left="840" w:hanging="840"/>
        <w:rPr>
          <w:noProof/>
        </w:rPr>
      </w:pPr>
      <w:r>
        <w:rPr>
          <w:noProof/>
        </w:rPr>
        <w:t>a)</w:t>
      </w:r>
      <w:r>
        <w:rPr>
          <w:noProof/>
        </w:rPr>
        <w:tab/>
        <w:t>zapewnienie skutecznego i efektywnego wdrażania unijnych przepisów w dziedzinie środowiska i klimatu oraz dążenie do doskonałości w zakresie efektywności środowiskowej na szczeblu unijnym, krajowym, regionalnym i lokalnym, w tym dzięki zapewnieniu odpowiednich zdolności administracyjnych i zdolności zagwarantowania spójności określonych w regularnym przeglądzie wdrażania polityki ochrony środowiska, a także zintensyfikowaniu działań ukierunkowanych na przestępstwa przeciwko środowisku,</w:t>
      </w:r>
    </w:p>
    <w:p w:rsidR="00D3052E" w:rsidRDefault="00635D2F">
      <w:pPr>
        <w:pStyle w:val="Point0"/>
        <w:ind w:left="840" w:hanging="840"/>
        <w:rPr>
          <w:noProof/>
        </w:rPr>
      </w:pPr>
      <w:r>
        <w:rPr>
          <w:noProof/>
        </w:rPr>
        <w:t>b)</w:t>
      </w:r>
      <w:r>
        <w:rPr>
          <w:noProof/>
        </w:rPr>
        <w:tab/>
        <w:t>wzmocnienie zintegrowanego podejścia do rozwoju i wdrażania polityki, w szczególności dzięki:</w:t>
      </w:r>
    </w:p>
    <w:p w:rsidR="00D3052E" w:rsidRDefault="00635D2F">
      <w:pPr>
        <w:pStyle w:val="Tiret2"/>
        <w:numPr>
          <w:ilvl w:val="0"/>
          <w:numId w:val="23"/>
        </w:numPr>
        <w:rPr>
          <w:noProof/>
        </w:rPr>
      </w:pPr>
      <w:r>
        <w:rPr>
          <w:noProof/>
        </w:rPr>
        <w:t>włączeniu celów priorytetowych określonych w art. 2 do wszystkich odpowiednich strategii, inicjatyw ustawodawczych i pozaustawodawczych, programów, inwestycji i projektów na szczeblu unijnym, krajowym, regionalnym i lokalnym w taki sposób, aby ani one, ani ich wdrażanie nie szkodziło żadnemu z celów priorytetowych określonych w art. 2;</w:t>
      </w:r>
    </w:p>
    <w:p w:rsidR="00D3052E" w:rsidRDefault="00635D2F">
      <w:pPr>
        <w:pStyle w:val="Tiret2"/>
        <w:rPr>
          <w:noProof/>
        </w:rPr>
      </w:pPr>
      <w:r>
        <w:rPr>
          <w:noProof/>
        </w:rPr>
        <w:t>maksymalizacji korzyści wynikających z wdrażania dyrektyw Parlamentu Europejskiego i Rady 2014/52/UE</w:t>
      </w:r>
      <w:r>
        <w:rPr>
          <w:rStyle w:val="Odwoanieprzypisudolnego"/>
          <w:noProof/>
        </w:rPr>
        <w:footnoteReference w:id="33"/>
      </w:r>
      <w:r>
        <w:rPr>
          <w:noProof/>
        </w:rPr>
        <w:t xml:space="preserve"> i 2001/42/WE</w:t>
      </w:r>
      <w:r>
        <w:rPr>
          <w:rStyle w:val="Odwoanieprzypisudolnego"/>
          <w:noProof/>
        </w:rPr>
        <w:footnoteReference w:id="34"/>
      </w:r>
      <w:r>
        <w:rPr>
          <w:noProof/>
        </w:rPr>
        <w:t>;</w:t>
      </w:r>
    </w:p>
    <w:p w:rsidR="00D3052E" w:rsidRDefault="00635D2F">
      <w:pPr>
        <w:pStyle w:val="Tiret2"/>
        <w:rPr>
          <w:noProof/>
        </w:rPr>
      </w:pPr>
      <w:r>
        <w:rPr>
          <w:noProof/>
        </w:rPr>
        <w:t>zwróceniu szczególnej uwagi na synergie i potencjalne kompromisy między celami gospodarczymi, środowiskowymi i społecznymi, aby zapewnić zaspokojenie żywieniowych i mieszkaniowych potrzeb obywateli oraz potrzeb związanych z mobilnością w zrównoważony sposób, który nie pozostawia nikogo w tyle;</w:t>
      </w:r>
    </w:p>
    <w:p w:rsidR="00D3052E" w:rsidRDefault="00635D2F">
      <w:pPr>
        <w:pStyle w:val="Tiret2"/>
        <w:rPr>
          <w:noProof/>
        </w:rPr>
      </w:pPr>
      <w:r>
        <w:rPr>
          <w:noProof/>
        </w:rPr>
        <w:t xml:space="preserve">regularnej ocenie istniejących strategii politycznych i przygotowywaniu ocen skutków nowych inicjatyw, które opierają się na szeroko zakrojonych konsultacjach zgodnie z procedurami, które są zrozumiałe, sprzyjające włączeniu społecznemu, uzasadnione i proste do wdrożenia i które należycie uwzględniają prognozowane skutki dla środowiska i klimatu; </w:t>
      </w:r>
    </w:p>
    <w:p w:rsidR="00D3052E" w:rsidRDefault="00635D2F">
      <w:pPr>
        <w:pStyle w:val="Point0"/>
        <w:rPr>
          <w:noProof/>
        </w:rPr>
      </w:pPr>
      <w:r>
        <w:rPr>
          <w:noProof/>
        </w:rPr>
        <w:t>c)</w:t>
      </w:r>
      <w:r>
        <w:rPr>
          <w:noProof/>
        </w:rPr>
        <w:tab/>
        <w:t xml:space="preserve">skuteczne włączenie zrównoważenia środowiskowego i klimatycznego do europejskiego semestru zarządzania gospodarczego, w tym do krajowych programów reform i krajowych planów odbudowy i zwiększania odporności; </w:t>
      </w:r>
    </w:p>
    <w:p w:rsidR="00D3052E" w:rsidRDefault="00635D2F">
      <w:pPr>
        <w:pStyle w:val="Point0"/>
        <w:rPr>
          <w:noProof/>
        </w:rPr>
      </w:pPr>
      <w:r>
        <w:rPr>
          <w:noProof/>
        </w:rPr>
        <w:t>d)</w:t>
      </w:r>
      <w:r>
        <w:rPr>
          <w:noProof/>
        </w:rPr>
        <w:tab/>
        <w:t>uruchomienie zrównoważonych inwestycji ze źródeł publicznych i prywatnych, w tym funduszy i instrumentów dostępnych w ramach budżetu Unii, za pośrednictwem Europejskiego Banku Inwestycyjnego oraz na szczeblu krajowym;</w:t>
      </w:r>
    </w:p>
    <w:p w:rsidR="00D3052E" w:rsidRDefault="00635D2F">
      <w:pPr>
        <w:pStyle w:val="Point0"/>
        <w:rPr>
          <w:noProof/>
        </w:rPr>
      </w:pPr>
      <w:r>
        <w:rPr>
          <w:noProof/>
        </w:rPr>
        <w:t>e)</w:t>
      </w:r>
      <w:r>
        <w:rPr>
          <w:noProof/>
        </w:rPr>
        <w:tab/>
        <w:t>wycofanie dotacji o skutkach szkodliwych dla środowiska na szczeblu unijnym i krajowym, jak najlepsze wykorzystanie instrumentów rynkowych i narzędzi ekologicznego planowania budżetu, w tym wymaganych w celu zapewnienia sprawiedliwej społecznie transformacji, oraz wspieranie przedsiębiorstw i innych zainteresowanych stron w pracach nad normalizacją praktyk w zakresie rozliczania kapitału naturalnego;</w:t>
      </w:r>
    </w:p>
    <w:p w:rsidR="00D3052E" w:rsidRDefault="00635D2F">
      <w:pPr>
        <w:pStyle w:val="Point0"/>
        <w:rPr>
          <w:noProof/>
        </w:rPr>
      </w:pPr>
      <w:r>
        <w:rPr>
          <w:noProof/>
        </w:rPr>
        <w:lastRenderedPageBreak/>
        <w:t>f)</w:t>
      </w:r>
      <w:r>
        <w:rPr>
          <w:noProof/>
        </w:rPr>
        <w:tab/>
        <w:t>zapewnienie, by polityki i działania w zakresie ochrony środowiska opierały się na najlepszej dostępnej wiedzy naukowej oraz wzmocnieniu bazy wiedzy na temat środowiska i jej rozpowszechnienia, w tym za pośrednictwem badań naukowych, innowacji, promowania umiejętności proekologicznych i dalszego rozwijania rachunkowości środowiskowej i ekosystemowej;</w:t>
      </w:r>
    </w:p>
    <w:p w:rsidR="00D3052E" w:rsidRDefault="00635D2F">
      <w:pPr>
        <w:pStyle w:val="Point0"/>
        <w:rPr>
          <w:noProof/>
        </w:rPr>
      </w:pPr>
      <w:r>
        <w:rPr>
          <w:noProof/>
        </w:rPr>
        <w:t>g)</w:t>
      </w:r>
      <w:r>
        <w:rPr>
          <w:noProof/>
        </w:rPr>
        <w:tab/>
        <w:t xml:space="preserve">wykorzystanie potencjału technologii cyfrowych i technologii danych w celu wsparcia polityki w zakresie ochrony środowiska przy jednoczesnym zminimalizowaniu ich śladu środowiskowego; </w:t>
      </w:r>
    </w:p>
    <w:p w:rsidR="00D3052E" w:rsidRDefault="00635D2F">
      <w:pPr>
        <w:pStyle w:val="Point0"/>
        <w:rPr>
          <w:noProof/>
        </w:rPr>
      </w:pPr>
      <w:r>
        <w:rPr>
          <w:noProof/>
        </w:rPr>
        <w:t>h)</w:t>
      </w:r>
      <w:r>
        <w:rPr>
          <w:noProof/>
        </w:rPr>
        <w:tab/>
        <w:t>pełne wykorzystanie rozwiązań opartych na zasobach przyrody i innowacji społecznych;</w:t>
      </w:r>
    </w:p>
    <w:p w:rsidR="00D3052E" w:rsidRDefault="00635D2F">
      <w:pPr>
        <w:pStyle w:val="Point0"/>
        <w:rPr>
          <w:noProof/>
        </w:rPr>
      </w:pPr>
      <w:r>
        <w:rPr>
          <w:noProof/>
        </w:rPr>
        <w:t>i)</w:t>
      </w:r>
      <w:r>
        <w:rPr>
          <w:noProof/>
        </w:rPr>
        <w:tab/>
        <w:t>skuteczne stosowanie wysokich standardów dotyczących przejrzystości, udziału społeczeństwa i dostępu do wymiaru sprawiedliwości zgodnie z Konwencją o dostępie do informacji, udziale społeczeństwa w podejmowaniu decyzji oraz dostępie do sprawiedliwości w sprawach dotyczących środowiska („konwencja z Aarhus”)</w:t>
      </w:r>
      <w:r>
        <w:rPr>
          <w:rStyle w:val="Odwoanieprzypisudolnego"/>
          <w:noProof/>
        </w:rPr>
        <w:footnoteReference w:id="35"/>
      </w:r>
      <w:r>
        <w:rPr>
          <w:noProof/>
        </w:rPr>
        <w:t>;</w:t>
      </w:r>
    </w:p>
    <w:p w:rsidR="00D3052E" w:rsidRDefault="00635D2F">
      <w:pPr>
        <w:pStyle w:val="Point0"/>
        <w:rPr>
          <w:noProof/>
        </w:rPr>
      </w:pPr>
      <w:r>
        <w:rPr>
          <w:noProof/>
        </w:rPr>
        <w:t>j)</w:t>
      </w:r>
      <w:r>
        <w:rPr>
          <w:noProof/>
        </w:rPr>
        <w:tab/>
        <w:t xml:space="preserve">udostępnienie danych i dowodów związanych z wdrażaniem 8. EAP oraz zapewnienie łatwego dostępu do nich, bez uszczerbku dla przepisów dotyczących poufności zawartych w prawodawstwie dotyczącym dziedziny; </w:t>
      </w:r>
    </w:p>
    <w:p w:rsidR="00D3052E" w:rsidRDefault="00635D2F">
      <w:pPr>
        <w:pStyle w:val="Point0"/>
        <w:rPr>
          <w:noProof/>
        </w:rPr>
      </w:pPr>
      <w:r>
        <w:rPr>
          <w:noProof/>
        </w:rPr>
        <w:t>k)</w:t>
      </w:r>
      <w:r>
        <w:rPr>
          <w:noProof/>
        </w:rPr>
        <w:tab/>
        <w:t xml:space="preserve">wspieranie globalnego przyjęcia celów priorytetowych określonych w art. 2 przy zapewnieniu spójności między podejściami wewnętrznymi i zewnętrznymi oraz skoordynowanymi działaniami, w szczególności w zakresie: </w:t>
      </w:r>
    </w:p>
    <w:p w:rsidR="00D3052E" w:rsidRDefault="00635D2F">
      <w:pPr>
        <w:pStyle w:val="Tiret2"/>
        <w:numPr>
          <w:ilvl w:val="0"/>
          <w:numId w:val="4"/>
        </w:numPr>
        <w:pBdr>
          <w:top w:val="nil"/>
          <w:left w:val="nil"/>
          <w:bottom w:val="nil"/>
          <w:right w:val="nil"/>
          <w:between w:val="nil"/>
          <w:bar w:val="nil"/>
        </w:pBdr>
        <w:tabs>
          <w:tab w:val="left" w:pos="1984"/>
        </w:tabs>
        <w:rPr>
          <w:noProof/>
          <w:color w:val="000000" w:themeColor="text1"/>
        </w:rPr>
      </w:pPr>
      <w:r>
        <w:rPr>
          <w:noProof/>
          <w:color w:val="000000" w:themeColor="text1"/>
        </w:rPr>
        <w:t xml:space="preserve">współpracy z krajami partnerskimi w obszarze działań na rzecz klimatu i środowiska, zachęcania ich do przyjęcia i wdrażania w tych obszarach przepisów równie ambitnych jak przepisy Unii i wspierania ich w tym działaniu oraz zapewnienia, by </w:t>
      </w:r>
      <w:r>
        <w:rPr>
          <w:noProof/>
          <w:color w:val="000000" w:themeColor="text1"/>
          <w:sz w:val="23"/>
          <w:szCs w:val="23"/>
        </w:rPr>
        <w:t>wszystkie produkty wprowadzane na rynek Unii spełniały w pełni odpowiednie unijne wymogi zgodnie z międzynarodowymi zobowiązaniami Unii</w:t>
      </w:r>
      <w:r>
        <w:rPr>
          <w:noProof/>
          <w:color w:val="000000" w:themeColor="text1"/>
        </w:rPr>
        <w:t>;</w:t>
      </w:r>
    </w:p>
    <w:p w:rsidR="00D3052E" w:rsidRDefault="00635D2F">
      <w:pPr>
        <w:pStyle w:val="Tiret2"/>
        <w:numPr>
          <w:ilvl w:val="0"/>
          <w:numId w:val="4"/>
        </w:numPr>
        <w:pBdr>
          <w:top w:val="nil"/>
          <w:left w:val="nil"/>
          <w:bottom w:val="nil"/>
          <w:right w:val="nil"/>
          <w:between w:val="nil"/>
          <w:bar w:val="nil"/>
        </w:pBdr>
        <w:tabs>
          <w:tab w:val="left" w:pos="1984"/>
        </w:tabs>
        <w:rPr>
          <w:noProof/>
          <w:color w:val="000000" w:themeColor="text1"/>
        </w:rPr>
      </w:pPr>
      <w:r>
        <w:rPr>
          <w:noProof/>
          <w:color w:val="000000" w:themeColor="text1"/>
        </w:rPr>
        <w:t>zacieśnienia współpracy z rządami, przedsiębiorstwami i społeczeństwem obywatelskim w państwach trzecich oraz organizacjami międzynarodowymi w celu zawierania partnerstw i sojuszy na rzecz ochrony środowiska oraz promowania współpracy w zakresie ochrony środowiska w ramach G-7 i G-20;</w:t>
      </w:r>
    </w:p>
    <w:p w:rsidR="00D3052E" w:rsidRDefault="00635D2F">
      <w:pPr>
        <w:pStyle w:val="Tiret2"/>
        <w:numPr>
          <w:ilvl w:val="0"/>
          <w:numId w:val="4"/>
        </w:numPr>
        <w:pBdr>
          <w:top w:val="nil"/>
          <w:left w:val="nil"/>
          <w:bottom w:val="nil"/>
          <w:right w:val="nil"/>
          <w:between w:val="nil"/>
          <w:bar w:val="nil"/>
        </w:pBdr>
        <w:tabs>
          <w:tab w:val="left" w:pos="1984"/>
        </w:tabs>
        <w:rPr>
          <w:noProof/>
          <w:color w:val="000000" w:themeColor="text1"/>
        </w:rPr>
      </w:pPr>
      <w:r>
        <w:rPr>
          <w:noProof/>
          <w:color w:val="000000" w:themeColor="text1"/>
        </w:rPr>
        <w:t>usprawnienia wdrażania porozumienia paryskiego, Konwencji o różnorodności biologicznej i innych wielostronnych umów środowiskowych przez Unię i jej partnerów, w tym poprzez zwiększenie przejrzystości i odpowiedzialności w odniesieniu do postępów w wywiązywaniu się z zobowiązań zawartych w tych umowach;</w:t>
      </w:r>
    </w:p>
    <w:p w:rsidR="00D3052E" w:rsidRDefault="00635D2F">
      <w:pPr>
        <w:pStyle w:val="Tiret2"/>
        <w:numPr>
          <w:ilvl w:val="0"/>
          <w:numId w:val="4"/>
        </w:numPr>
        <w:pBdr>
          <w:top w:val="nil"/>
          <w:left w:val="nil"/>
          <w:bottom w:val="nil"/>
          <w:right w:val="nil"/>
          <w:between w:val="nil"/>
          <w:bar w:val="nil"/>
        </w:pBdr>
        <w:tabs>
          <w:tab w:val="left" w:pos="1984"/>
        </w:tabs>
        <w:rPr>
          <w:noProof/>
          <w:color w:val="000000" w:themeColor="text1"/>
        </w:rPr>
      </w:pPr>
      <w:r>
        <w:rPr>
          <w:noProof/>
          <w:color w:val="000000" w:themeColor="text1"/>
        </w:rPr>
        <w:t>wzmocnienia międzynarodowego ładu środowiskowego dzięki likwidacji utrzymujących się luk i wzmocnieniu przestrzegania i stosowania uznanych międzynarodowych zasad środowiskowych;</w:t>
      </w:r>
    </w:p>
    <w:p w:rsidR="00D3052E" w:rsidRDefault="00635D2F">
      <w:pPr>
        <w:pStyle w:val="Tiret2"/>
        <w:numPr>
          <w:ilvl w:val="0"/>
          <w:numId w:val="4"/>
        </w:numPr>
        <w:pBdr>
          <w:top w:val="nil"/>
          <w:left w:val="nil"/>
          <w:bottom w:val="nil"/>
          <w:right w:val="nil"/>
          <w:between w:val="nil"/>
          <w:bar w:val="nil"/>
        </w:pBdr>
        <w:tabs>
          <w:tab w:val="left" w:pos="1984"/>
        </w:tabs>
        <w:rPr>
          <w:noProof/>
          <w:color w:val="000000" w:themeColor="text1"/>
        </w:rPr>
      </w:pPr>
      <w:r>
        <w:rPr>
          <w:noProof/>
          <w:color w:val="000000" w:themeColor="text1"/>
        </w:rPr>
        <w:t>zapewnienia, by pomoc finansowa Unii i państw członkowskich na rzecz państw trzecich promowała oenzetowską agendę 2030.</w:t>
      </w:r>
    </w:p>
    <w:p w:rsidR="00D3052E" w:rsidRDefault="00635D2F">
      <w:pPr>
        <w:pStyle w:val="ManualNumPar1"/>
        <w:rPr>
          <w:noProof/>
        </w:rPr>
      </w:pPr>
      <w:r>
        <w:t>2.</w:t>
      </w:r>
      <w:r>
        <w:tab/>
      </w:r>
      <w:r>
        <w:rPr>
          <w:noProof/>
        </w:rPr>
        <w:t xml:space="preserve">Osiągnięcie celów priorytetowych 8. EAP będzie wymagało uzyskania szerokiego poparcia poprzez zaangażowanie obywateli, partnerów społecznych i innych </w:t>
      </w:r>
      <w:r>
        <w:rPr>
          <w:noProof/>
        </w:rPr>
        <w:lastRenderedPageBreak/>
        <w:t>zainteresowanych stron oraz zachęcenie do współpracy organów krajowych, regionalnych i lokalnych na obszarach miejskich i wiejskich w zakresie opracowywania i wdrażania strategii, polityk lub przepisów związanych z 8. EAP.</w:t>
      </w:r>
    </w:p>
    <w:p w:rsidR="00D3052E" w:rsidRDefault="00635D2F">
      <w:pPr>
        <w:pStyle w:val="Titrearticle"/>
        <w:rPr>
          <w:noProof/>
          <w:color w:val="000000" w:themeColor="text1"/>
        </w:rPr>
      </w:pPr>
      <w:r>
        <w:rPr>
          <w:noProof/>
          <w:color w:val="000000" w:themeColor="text1"/>
        </w:rPr>
        <w:t>Artykuł 4 – Ramy monitorowania</w:t>
      </w:r>
    </w:p>
    <w:p w:rsidR="00D3052E" w:rsidRDefault="00635D2F">
      <w:pPr>
        <w:pStyle w:val="ManualNumPar1"/>
        <w:rPr>
          <w:noProof/>
          <w:u w:color="000000"/>
        </w:rPr>
      </w:pPr>
      <w:r>
        <w:t>1.</w:t>
      </w:r>
      <w:r>
        <w:tab/>
      </w:r>
      <w:r>
        <w:rPr>
          <w:noProof/>
          <w:u w:color="000000"/>
        </w:rPr>
        <w:t xml:space="preserve">Komisja, przy wsparciu Europejskiej Agencji Środowiska i Europejskiej Agencji Chemikaliów, regularnie ocenia postępy Unii i państw członkowskich w zakresie osiągania celów priorytetowych określonych w art. 2 oraz przedstawia sprawozdania w tej sprawie, uwzględniając warunki podstawowe określone w art. 3. </w:t>
      </w:r>
    </w:p>
    <w:p w:rsidR="00D3052E" w:rsidRDefault="00635D2F">
      <w:pPr>
        <w:pStyle w:val="ManualNumPar1"/>
        <w:rPr>
          <w:noProof/>
          <w:u w:color="000000"/>
        </w:rPr>
      </w:pPr>
      <w:r>
        <w:t>2.</w:t>
      </w:r>
      <w:r>
        <w:tab/>
      </w:r>
      <w:r>
        <w:rPr>
          <w:noProof/>
          <w:u w:color="000000"/>
        </w:rPr>
        <w:t xml:space="preserve">Ocena, o której mowa w ust. 1, odzwierciedla najnowsze zmiany pod względem dostępności i istotności danych i wskaźników na podstawie danych dostępnych w państwach członkowskich i na szczeblu Unii, w szczególności obsługiwanych przez Europejską Agencję Środowiska i Europejski System Statystyczny. Ocena ta pozostaje bez uszczerbku dla istniejących ram monitorowania, sprawozdawczości i zarządzania oraz działań obejmujących politykę w zakresie środowiska i klimatu. </w:t>
      </w:r>
    </w:p>
    <w:p w:rsidR="00D3052E" w:rsidRDefault="00635D2F">
      <w:pPr>
        <w:pStyle w:val="ManualNumPar1"/>
        <w:rPr>
          <w:noProof/>
          <w:u w:color="000000"/>
        </w:rPr>
      </w:pPr>
      <w:r>
        <w:t>3.</w:t>
      </w:r>
      <w:r>
        <w:tab/>
      </w:r>
      <w:r>
        <w:rPr>
          <w:noProof/>
        </w:rPr>
        <w:t xml:space="preserve">Europejska Agencja Środowiska i Europejska Agencja Chemikaliów wspierają Komisję </w:t>
      </w:r>
      <w:r>
        <w:rPr>
          <w:noProof/>
          <w:color w:val="000000" w:themeColor="text1"/>
          <w:u w:color="000000"/>
        </w:rPr>
        <w:t>w</w:t>
      </w:r>
      <w:r>
        <w:rPr>
          <w:noProof/>
        </w:rPr>
        <w:t> </w:t>
      </w:r>
      <w:r>
        <w:rPr>
          <w:noProof/>
          <w:color w:val="000000" w:themeColor="text1"/>
          <w:u w:color="000000"/>
        </w:rPr>
        <w:t xml:space="preserve">zakresie poprawy dostępności i istotności danych i wiedzy, w szczególności </w:t>
      </w:r>
      <w:r>
        <w:rPr>
          <w:noProof/>
        </w:rPr>
        <w:t>poprzez podejmowanie następujących działań:</w:t>
      </w:r>
    </w:p>
    <w:p w:rsidR="00D3052E" w:rsidRDefault="00635D2F">
      <w:pPr>
        <w:pStyle w:val="Point1"/>
        <w:rPr>
          <w:noProof/>
          <w:u w:color="000000"/>
        </w:rPr>
      </w:pPr>
      <w:r>
        <w:rPr>
          <w:noProof/>
        </w:rPr>
        <w:t>a)</w:t>
      </w:r>
      <w:r>
        <w:rPr>
          <w:noProof/>
        </w:rPr>
        <w:tab/>
        <w:t>gromadzenie, przetwarzanie i zgłaszanie dowodów i danych przy użyciu nowoczesnych narzędzi cyfrowych;</w:t>
      </w:r>
    </w:p>
    <w:p w:rsidR="00D3052E" w:rsidRDefault="00635D2F">
      <w:pPr>
        <w:pStyle w:val="Point1"/>
        <w:rPr>
          <w:noProof/>
          <w:u w:color="000000"/>
        </w:rPr>
      </w:pPr>
      <w:r>
        <w:rPr>
          <w:noProof/>
        </w:rPr>
        <w:t>b)</w:t>
      </w:r>
      <w:r>
        <w:rPr>
          <w:noProof/>
        </w:rPr>
        <w:tab/>
        <w:t>działania zmierzające do eliminacji luk pod względem istotnych danych dotyczących monitorowania;</w:t>
      </w:r>
    </w:p>
    <w:p w:rsidR="00D3052E" w:rsidRDefault="00635D2F">
      <w:pPr>
        <w:pStyle w:val="Point1"/>
        <w:rPr>
          <w:noProof/>
          <w:u w:color="000000"/>
        </w:rPr>
      </w:pPr>
      <w:r>
        <w:rPr>
          <w:noProof/>
        </w:rPr>
        <w:t>c)</w:t>
      </w:r>
      <w:r>
        <w:rPr>
          <w:noProof/>
        </w:rPr>
        <w:tab/>
        <w:t xml:space="preserve">dostarczanie analiz istotnych dla polityki i analiz systemowych oraz przyczynianie się do wdrożenia celów politycznych na szczeblu unijnym i krajowym; </w:t>
      </w:r>
    </w:p>
    <w:p w:rsidR="00D3052E" w:rsidRDefault="00635D2F">
      <w:pPr>
        <w:pStyle w:val="Point1"/>
        <w:rPr>
          <w:noProof/>
          <w:u w:color="000000"/>
        </w:rPr>
      </w:pPr>
      <w:r>
        <w:rPr>
          <w:noProof/>
        </w:rPr>
        <w:t>d)</w:t>
      </w:r>
      <w:r>
        <w:rPr>
          <w:noProof/>
        </w:rPr>
        <w:tab/>
        <w:t xml:space="preserve">integracja danych na temat skutków środowiskowych, społecznych i gospodarczych oraz wykorzystywanie w pełni innych dostępnych danych, takich jak uzyskiwane w ramach programu Copernicus; </w:t>
      </w:r>
    </w:p>
    <w:p w:rsidR="00D3052E" w:rsidRDefault="00635D2F">
      <w:pPr>
        <w:pStyle w:val="Point1"/>
        <w:rPr>
          <w:noProof/>
          <w:u w:color="000000"/>
        </w:rPr>
      </w:pPr>
      <w:r>
        <w:rPr>
          <w:noProof/>
        </w:rPr>
        <w:t>e)</w:t>
      </w:r>
      <w:r>
        <w:rPr>
          <w:noProof/>
        </w:rPr>
        <w:tab/>
        <w:t>dalsza poprawa dostępu do danych za pośrednictwem unijnych programów;</w:t>
      </w:r>
    </w:p>
    <w:p w:rsidR="00D3052E" w:rsidRDefault="00635D2F">
      <w:pPr>
        <w:pStyle w:val="Point1"/>
        <w:rPr>
          <w:noProof/>
          <w:u w:color="000000"/>
        </w:rPr>
      </w:pPr>
      <w:r>
        <w:rPr>
          <w:noProof/>
        </w:rPr>
        <w:t>f)</w:t>
      </w:r>
      <w:r>
        <w:rPr>
          <w:noProof/>
        </w:rPr>
        <w:tab/>
        <w:t>zapewnienie przejrzystości i rozliczalności;</w:t>
      </w:r>
    </w:p>
    <w:p w:rsidR="00D3052E" w:rsidRDefault="00635D2F">
      <w:pPr>
        <w:pStyle w:val="Point1"/>
        <w:rPr>
          <w:noProof/>
          <w:u w:color="000000"/>
        </w:rPr>
      </w:pPr>
      <w:r>
        <w:rPr>
          <w:noProof/>
        </w:rPr>
        <w:t>g)</w:t>
      </w:r>
      <w:r>
        <w:rPr>
          <w:noProof/>
        </w:rPr>
        <w:tab/>
        <w:t>pomaganie społeczeństwu obywatelskiemu, organom publicznym, obywatelom, partnerom społecznym i sektorowi prywatnemu w identyfikacji ryzyka zmiany klimatu i ryzyka środowiskowego oraz podejmowaniu działań mających na celu zapobieganie temu ryzyku, łagodzenie go i dostosowanie się do niego, a także wspieranie ich zaangażowania na rzecz likwidacji luk w wiedzy.</w:t>
      </w:r>
    </w:p>
    <w:p w:rsidR="00D3052E" w:rsidRDefault="00635D2F">
      <w:pPr>
        <w:pStyle w:val="ManualNumPar1"/>
        <w:rPr>
          <w:noProof/>
          <w:u w:color="000000"/>
        </w:rPr>
      </w:pPr>
      <w:r>
        <w:t>4.</w:t>
      </w:r>
      <w:r>
        <w:tab/>
      </w:r>
      <w:r>
        <w:rPr>
          <w:noProof/>
          <w:color w:val="000000" w:themeColor="text1"/>
          <w:u w:color="000000"/>
        </w:rPr>
        <w:t xml:space="preserve">Komisja regularnie analizuje potrzeby w zakresie danych i wiedzy na szczeblu unijnym i krajowym, w tym zdolność </w:t>
      </w:r>
      <w:r>
        <w:rPr>
          <w:noProof/>
        </w:rPr>
        <w:t>Europejskiej Agencji Środowiska i Europejskiej Agencji Chemikaliów do wykonywania zadań, o których mowa w ust. 3</w:t>
      </w:r>
      <w:r>
        <w:rPr>
          <w:noProof/>
          <w:color w:val="000000" w:themeColor="text1"/>
          <w:u w:color="000000"/>
        </w:rPr>
        <w:t>.</w:t>
      </w:r>
    </w:p>
    <w:p w:rsidR="00D3052E" w:rsidRDefault="00635D2F">
      <w:pPr>
        <w:pStyle w:val="Titrearticle"/>
        <w:rPr>
          <w:noProof/>
          <w:color w:val="000000" w:themeColor="text1"/>
        </w:rPr>
      </w:pPr>
      <w:r>
        <w:rPr>
          <w:noProof/>
          <w:color w:val="000000" w:themeColor="text1"/>
        </w:rPr>
        <w:t>Artykuł 5 – Ocena</w:t>
      </w:r>
    </w:p>
    <w:p w:rsidR="00D3052E" w:rsidRDefault="00635D2F">
      <w:pPr>
        <w:rPr>
          <w:noProof/>
        </w:rPr>
      </w:pPr>
      <w:r>
        <w:rPr>
          <w:noProof/>
        </w:rPr>
        <w:t>Komisja przeprowadza ocenę 8. EAP do dnia 31 marca 2029 r. Komisja przedkłada Parlamentowi Europejskiemu i Radzie sprawozdanie zawierające główne ustalenia tej oceny, któremu towarzyszy, jeśli Komisja uzna to za stosowne, wniosek ustawodawczy dotyczący następnego unijnego programu działań w zakresie środowiska.</w:t>
      </w:r>
    </w:p>
    <w:p w:rsidR="00D3052E" w:rsidRDefault="00635D2F">
      <w:pPr>
        <w:pStyle w:val="Titrearticle"/>
        <w:rPr>
          <w:noProof/>
          <w:color w:val="000000" w:themeColor="text1"/>
        </w:rPr>
      </w:pPr>
      <w:r>
        <w:rPr>
          <w:noProof/>
          <w:color w:val="000000" w:themeColor="text1"/>
        </w:rPr>
        <w:lastRenderedPageBreak/>
        <w:t>Artykuł 6 – Wejście w życie</w:t>
      </w:r>
    </w:p>
    <w:p w:rsidR="00D3052E" w:rsidRDefault="00635D2F">
      <w:pPr>
        <w:rPr>
          <w:noProof/>
          <w:color w:val="000000" w:themeColor="text1"/>
        </w:rPr>
      </w:pPr>
      <w:r>
        <w:rPr>
          <w:noProof/>
          <w:color w:val="000000" w:themeColor="text1"/>
        </w:rPr>
        <w:t>Niniejsza decyzja wchodzi w życie dwudziestego dnia po jej opublikowaniu w </w:t>
      </w:r>
      <w:r>
        <w:rPr>
          <w:i/>
          <w:iCs/>
          <w:noProof/>
          <w:color w:val="000000" w:themeColor="text1"/>
        </w:rPr>
        <w:t>Dzienniku Urzędowym Unii Europejskiej</w:t>
      </w:r>
      <w:r>
        <w:rPr>
          <w:noProof/>
          <w:color w:val="000000" w:themeColor="text1"/>
        </w:rPr>
        <w:t>.</w:t>
      </w:r>
    </w:p>
    <w:p w:rsidR="00D3052E" w:rsidRDefault="00635D2F">
      <w:pPr>
        <w:pStyle w:val="Fait"/>
        <w:rPr>
          <w:noProof/>
        </w:rPr>
      </w:pPr>
      <w:r>
        <w:t xml:space="preserve">Sporządzono w Brukseli dnia </w:t>
      </w:r>
      <w:r>
        <w:rPr>
          <w:rStyle w:val="Marker"/>
        </w:rPr>
        <w:t>[…]</w:t>
      </w:r>
      <w:r>
        <w:t xml:space="preserve"> r.</w:t>
      </w:r>
    </w:p>
    <w:p w:rsidR="00D3052E" w:rsidRDefault="00635D2F">
      <w:pPr>
        <w:pStyle w:val="Institutionquisigne"/>
        <w:rPr>
          <w:noProof/>
          <w:color w:val="000000" w:themeColor="text1"/>
        </w:rPr>
      </w:pPr>
      <w:r>
        <w:rPr>
          <w:noProof/>
          <w:color w:val="000000" w:themeColor="text1"/>
        </w:rPr>
        <w:t>W imieniu Parlamentu Europejskiego</w:t>
      </w:r>
      <w:r>
        <w:rPr>
          <w:noProof/>
        </w:rPr>
        <w:tab/>
      </w:r>
      <w:r>
        <w:rPr>
          <w:noProof/>
          <w:color w:val="000000" w:themeColor="text1"/>
        </w:rPr>
        <w:t>W imieniu Rady</w:t>
      </w:r>
    </w:p>
    <w:p w:rsidR="00D3052E" w:rsidRDefault="00635D2F">
      <w:pPr>
        <w:pStyle w:val="Personnequisigne"/>
        <w:rPr>
          <w:noProof/>
          <w:color w:val="000000" w:themeColor="text1"/>
          <w:u w:color="000000"/>
        </w:rPr>
        <w:sectPr w:rsidR="00D3052E">
          <w:pgSz w:w="11907" w:h="16839"/>
          <w:pgMar w:top="1134" w:right="1417" w:bottom="1134" w:left="1417" w:header="709" w:footer="709" w:gutter="0"/>
          <w:cols w:space="708"/>
          <w:docGrid w:linePitch="360"/>
        </w:sectPr>
      </w:pPr>
      <w:r>
        <w:rPr>
          <w:noProof/>
          <w:color w:val="000000" w:themeColor="text1"/>
          <w:u w:color="000000"/>
        </w:rPr>
        <w:t>Przewodniczący</w:t>
      </w:r>
      <w:r>
        <w:rPr>
          <w:noProof/>
        </w:rPr>
        <w:tab/>
      </w:r>
      <w:r>
        <w:rPr>
          <w:noProof/>
          <w:color w:val="000000" w:themeColor="text1"/>
          <w:u w:color="000000"/>
        </w:rPr>
        <w:t>Przewodniczący</w:t>
      </w:r>
    </w:p>
    <w:p w:rsidR="00D3052E" w:rsidRDefault="00635D2F">
      <w:pPr>
        <w:pStyle w:val="Fichefinanciretitre"/>
        <w:rPr>
          <w:noProof/>
        </w:rPr>
      </w:pPr>
      <w:r>
        <w:rPr>
          <w:noProof/>
        </w:rPr>
        <w:lastRenderedPageBreak/>
        <w:t>OCENA SKUTKÓW FINANSOWYCH REGULACJI – „AGENCJE”</w:t>
      </w:r>
    </w:p>
    <w:sdt>
      <w:sdtPr>
        <w:rPr>
          <w:b w:val="0"/>
          <w:noProof/>
          <w:sz w:val="24"/>
        </w:rPr>
        <w:id w:val="-676502653"/>
        <w:docPartObj>
          <w:docPartGallery w:val="Table of Contents"/>
          <w:docPartUnique/>
        </w:docPartObj>
      </w:sdtPr>
      <w:sdtEndPr>
        <w:rPr>
          <w:bCs/>
        </w:rPr>
      </w:sdtEndPr>
      <w:sdtContent>
        <w:p w:rsidR="00D3052E" w:rsidRDefault="00635D2F">
          <w:pPr>
            <w:pStyle w:val="Nagwekspisutreci"/>
            <w:jc w:val="left"/>
            <w:rPr>
              <w:b w:val="0"/>
              <w:bCs/>
              <w:noProof/>
            </w:rPr>
          </w:pPr>
          <w:r>
            <w:rPr>
              <w:b w:val="0"/>
              <w:bCs/>
              <w:noProof/>
            </w:rPr>
            <w:t>Spis treści</w:t>
          </w:r>
        </w:p>
        <w:p w:rsidR="00D3052E" w:rsidRDefault="00635D2F">
          <w:pPr>
            <w:pStyle w:val="Spistreci1"/>
            <w:rPr>
              <w:rFonts w:asciiTheme="minorHAnsi" w:eastAsiaTheme="minorEastAsia" w:hAnsiTheme="minorHAnsi" w:cstheme="minorBidi"/>
              <w:noProof/>
              <w:sz w:val="22"/>
              <w:lang w:val="en-US"/>
            </w:rPr>
          </w:pPr>
          <w:r>
            <w:rPr>
              <w:noProof/>
            </w:rPr>
            <w:fldChar w:fldCharType="begin"/>
          </w:r>
          <w:r>
            <w:rPr>
              <w:noProof/>
            </w:rPr>
            <w:instrText xml:space="preserve"> TOC \o "1-3" \h \z \u </w:instrText>
          </w:r>
          <w:r>
            <w:rPr>
              <w:noProof/>
            </w:rPr>
            <w:fldChar w:fldCharType="separate"/>
          </w:r>
          <w:hyperlink w:anchor="_Toc54546035" w:history="1">
            <w:r>
              <w:rPr>
                <w:rStyle w:val="Hipercze"/>
                <w:noProof/>
              </w:rPr>
              <w:t>1.</w:t>
            </w:r>
            <w:r>
              <w:rPr>
                <w:rFonts w:asciiTheme="minorHAnsi" w:eastAsiaTheme="minorEastAsia" w:hAnsiTheme="minorHAnsi" w:cstheme="minorBidi"/>
                <w:noProof/>
                <w:sz w:val="22"/>
                <w:lang w:val="en-US"/>
              </w:rPr>
              <w:tab/>
            </w:r>
            <w:r>
              <w:rPr>
                <w:rStyle w:val="Hipercze"/>
                <w:noProof/>
              </w:rPr>
              <w:t>STRUKTURA WNIOSKU/INICJATYWY</w:t>
            </w:r>
            <w:r>
              <w:rPr>
                <w:noProof/>
                <w:webHidden/>
              </w:rPr>
              <w:tab/>
            </w:r>
            <w:r>
              <w:rPr>
                <w:noProof/>
                <w:webHidden/>
              </w:rPr>
              <w:fldChar w:fldCharType="begin"/>
            </w:r>
            <w:r>
              <w:rPr>
                <w:noProof/>
                <w:webHidden/>
              </w:rPr>
              <w:instrText xml:space="preserve"> PAGEREF _Toc54546035 \h </w:instrText>
            </w:r>
            <w:r>
              <w:rPr>
                <w:noProof/>
                <w:webHidden/>
              </w:rPr>
            </w:r>
            <w:r>
              <w:rPr>
                <w:noProof/>
                <w:webHidden/>
              </w:rPr>
              <w:fldChar w:fldCharType="separate"/>
            </w:r>
            <w:r>
              <w:rPr>
                <w:noProof/>
                <w:webHidden/>
              </w:rPr>
              <w:t>19</w:t>
            </w:r>
            <w:r>
              <w:rPr>
                <w:noProof/>
                <w:webHidden/>
              </w:rPr>
              <w:fldChar w:fldCharType="end"/>
            </w:r>
          </w:hyperlink>
        </w:p>
        <w:p w:rsidR="00D3052E" w:rsidRDefault="001B6162">
          <w:pPr>
            <w:pStyle w:val="Spistreci2"/>
            <w:rPr>
              <w:rFonts w:asciiTheme="minorHAnsi" w:eastAsiaTheme="minorEastAsia" w:hAnsiTheme="minorHAnsi" w:cstheme="minorBidi"/>
              <w:noProof/>
              <w:sz w:val="22"/>
              <w:lang w:val="en-US"/>
            </w:rPr>
          </w:pPr>
          <w:hyperlink w:anchor="_Toc54546036" w:history="1">
            <w:r w:rsidR="00635D2F">
              <w:rPr>
                <w:rStyle w:val="Hipercze"/>
                <w:noProof/>
              </w:rPr>
              <w:t>1.1.</w:t>
            </w:r>
            <w:r w:rsidR="00635D2F">
              <w:rPr>
                <w:rFonts w:asciiTheme="minorHAnsi" w:eastAsiaTheme="minorEastAsia" w:hAnsiTheme="minorHAnsi" w:cstheme="minorBidi"/>
                <w:noProof/>
                <w:sz w:val="22"/>
                <w:lang w:val="en-US"/>
              </w:rPr>
              <w:tab/>
            </w:r>
            <w:r w:rsidR="00635D2F">
              <w:rPr>
                <w:rStyle w:val="Hipercze"/>
                <w:noProof/>
              </w:rPr>
              <w:t>Tytuł wniosku/inicjatywy</w:t>
            </w:r>
            <w:r w:rsidR="00635D2F">
              <w:rPr>
                <w:noProof/>
                <w:webHidden/>
              </w:rPr>
              <w:tab/>
            </w:r>
            <w:r w:rsidR="00635D2F">
              <w:rPr>
                <w:noProof/>
                <w:webHidden/>
              </w:rPr>
              <w:fldChar w:fldCharType="begin"/>
            </w:r>
            <w:r w:rsidR="00635D2F">
              <w:rPr>
                <w:noProof/>
                <w:webHidden/>
              </w:rPr>
              <w:instrText xml:space="preserve"> PAGEREF _Toc54546036 \h </w:instrText>
            </w:r>
            <w:r w:rsidR="00635D2F">
              <w:rPr>
                <w:noProof/>
                <w:webHidden/>
              </w:rPr>
            </w:r>
            <w:r w:rsidR="00635D2F">
              <w:rPr>
                <w:noProof/>
                <w:webHidden/>
              </w:rPr>
              <w:fldChar w:fldCharType="separate"/>
            </w:r>
            <w:r w:rsidR="00635D2F">
              <w:rPr>
                <w:noProof/>
                <w:webHidden/>
              </w:rPr>
              <w:t>19</w:t>
            </w:r>
            <w:r w:rsidR="00635D2F">
              <w:rPr>
                <w:noProof/>
                <w:webHidden/>
              </w:rPr>
              <w:fldChar w:fldCharType="end"/>
            </w:r>
          </w:hyperlink>
        </w:p>
        <w:p w:rsidR="00D3052E" w:rsidRDefault="001B6162">
          <w:pPr>
            <w:pStyle w:val="Spistreci2"/>
            <w:rPr>
              <w:rFonts w:asciiTheme="minorHAnsi" w:eastAsiaTheme="minorEastAsia" w:hAnsiTheme="minorHAnsi" w:cstheme="minorBidi"/>
              <w:noProof/>
              <w:sz w:val="22"/>
              <w:lang w:val="en-US"/>
            </w:rPr>
          </w:pPr>
          <w:hyperlink w:anchor="_Toc54546037" w:history="1">
            <w:r w:rsidR="00635D2F">
              <w:rPr>
                <w:rStyle w:val="Hipercze"/>
                <w:noProof/>
              </w:rPr>
              <w:t>1.2.</w:t>
            </w:r>
            <w:r w:rsidR="00635D2F">
              <w:rPr>
                <w:rFonts w:asciiTheme="minorHAnsi" w:eastAsiaTheme="minorEastAsia" w:hAnsiTheme="minorHAnsi" w:cstheme="minorBidi"/>
                <w:noProof/>
                <w:sz w:val="22"/>
                <w:lang w:val="en-US"/>
              </w:rPr>
              <w:tab/>
            </w:r>
            <w:r w:rsidR="00635D2F">
              <w:rPr>
                <w:rStyle w:val="Hipercze"/>
                <w:noProof/>
              </w:rPr>
              <w:t>Dziedziny polityki, których dotyczy wniosek/inicjatywa</w:t>
            </w:r>
            <w:r w:rsidR="00635D2F">
              <w:rPr>
                <w:noProof/>
                <w:webHidden/>
              </w:rPr>
              <w:tab/>
            </w:r>
            <w:r w:rsidR="00635D2F">
              <w:rPr>
                <w:noProof/>
                <w:webHidden/>
              </w:rPr>
              <w:fldChar w:fldCharType="begin"/>
            </w:r>
            <w:r w:rsidR="00635D2F">
              <w:rPr>
                <w:noProof/>
                <w:webHidden/>
              </w:rPr>
              <w:instrText xml:space="preserve"> PAGEREF _Toc54546037 \h </w:instrText>
            </w:r>
            <w:r w:rsidR="00635D2F">
              <w:rPr>
                <w:noProof/>
                <w:webHidden/>
              </w:rPr>
            </w:r>
            <w:r w:rsidR="00635D2F">
              <w:rPr>
                <w:noProof/>
                <w:webHidden/>
              </w:rPr>
              <w:fldChar w:fldCharType="separate"/>
            </w:r>
            <w:r w:rsidR="00635D2F">
              <w:rPr>
                <w:noProof/>
                <w:webHidden/>
              </w:rPr>
              <w:t>19</w:t>
            </w:r>
            <w:r w:rsidR="00635D2F">
              <w:rPr>
                <w:noProof/>
                <w:webHidden/>
              </w:rPr>
              <w:fldChar w:fldCharType="end"/>
            </w:r>
          </w:hyperlink>
        </w:p>
        <w:p w:rsidR="00D3052E" w:rsidRDefault="001B6162">
          <w:pPr>
            <w:pStyle w:val="Spistreci2"/>
            <w:rPr>
              <w:rFonts w:asciiTheme="minorHAnsi" w:eastAsiaTheme="minorEastAsia" w:hAnsiTheme="minorHAnsi" w:cstheme="minorBidi"/>
              <w:noProof/>
              <w:sz w:val="22"/>
              <w:lang w:val="en-US"/>
            </w:rPr>
          </w:pPr>
          <w:hyperlink w:anchor="_Toc54546038" w:history="1">
            <w:r w:rsidR="00635D2F">
              <w:rPr>
                <w:rStyle w:val="Hipercze"/>
                <w:noProof/>
              </w:rPr>
              <w:t>1.3.</w:t>
            </w:r>
            <w:r w:rsidR="00635D2F">
              <w:rPr>
                <w:rFonts w:asciiTheme="minorHAnsi" w:eastAsiaTheme="minorEastAsia" w:hAnsiTheme="minorHAnsi" w:cstheme="minorBidi"/>
                <w:noProof/>
                <w:sz w:val="22"/>
                <w:lang w:val="en-US"/>
              </w:rPr>
              <w:tab/>
            </w:r>
            <w:r w:rsidR="00635D2F">
              <w:rPr>
                <w:rStyle w:val="Hipercze"/>
                <w:noProof/>
              </w:rPr>
              <w:t>Wniosek dotyczy</w:t>
            </w:r>
            <w:r w:rsidR="00635D2F">
              <w:rPr>
                <w:noProof/>
                <w:webHidden/>
              </w:rPr>
              <w:tab/>
            </w:r>
            <w:r w:rsidR="00635D2F">
              <w:rPr>
                <w:noProof/>
                <w:webHidden/>
              </w:rPr>
              <w:fldChar w:fldCharType="begin"/>
            </w:r>
            <w:r w:rsidR="00635D2F">
              <w:rPr>
                <w:noProof/>
                <w:webHidden/>
              </w:rPr>
              <w:instrText xml:space="preserve"> PAGEREF _Toc54546038 \h </w:instrText>
            </w:r>
            <w:r w:rsidR="00635D2F">
              <w:rPr>
                <w:noProof/>
                <w:webHidden/>
              </w:rPr>
            </w:r>
            <w:r w:rsidR="00635D2F">
              <w:rPr>
                <w:noProof/>
                <w:webHidden/>
              </w:rPr>
              <w:fldChar w:fldCharType="separate"/>
            </w:r>
            <w:r w:rsidR="00635D2F">
              <w:rPr>
                <w:noProof/>
                <w:webHidden/>
              </w:rPr>
              <w:t>19</w:t>
            </w:r>
            <w:r w:rsidR="00635D2F">
              <w:rPr>
                <w:noProof/>
                <w:webHidden/>
              </w:rPr>
              <w:fldChar w:fldCharType="end"/>
            </w:r>
          </w:hyperlink>
        </w:p>
        <w:p w:rsidR="00D3052E" w:rsidRDefault="001B6162">
          <w:pPr>
            <w:pStyle w:val="Spistreci2"/>
            <w:rPr>
              <w:rFonts w:asciiTheme="minorHAnsi" w:eastAsiaTheme="minorEastAsia" w:hAnsiTheme="minorHAnsi" w:cstheme="minorBidi"/>
              <w:noProof/>
              <w:sz w:val="22"/>
              <w:lang w:val="en-US"/>
            </w:rPr>
          </w:pPr>
          <w:hyperlink w:anchor="_Toc54546039" w:history="1">
            <w:r w:rsidR="00635D2F">
              <w:rPr>
                <w:rStyle w:val="Hipercze"/>
                <w:noProof/>
              </w:rPr>
              <w:t>1.4.</w:t>
            </w:r>
            <w:r w:rsidR="00635D2F">
              <w:rPr>
                <w:rFonts w:asciiTheme="minorHAnsi" w:eastAsiaTheme="minorEastAsia" w:hAnsiTheme="minorHAnsi" w:cstheme="minorBidi"/>
                <w:noProof/>
                <w:sz w:val="22"/>
                <w:lang w:val="en-US"/>
              </w:rPr>
              <w:tab/>
            </w:r>
            <w:r w:rsidR="00635D2F">
              <w:rPr>
                <w:rStyle w:val="Hipercze"/>
                <w:noProof/>
              </w:rPr>
              <w:t>Cel(e)</w:t>
            </w:r>
            <w:r w:rsidR="00635D2F">
              <w:rPr>
                <w:noProof/>
                <w:webHidden/>
              </w:rPr>
              <w:tab/>
            </w:r>
            <w:r w:rsidR="00635D2F">
              <w:rPr>
                <w:noProof/>
                <w:webHidden/>
              </w:rPr>
              <w:fldChar w:fldCharType="begin"/>
            </w:r>
            <w:r w:rsidR="00635D2F">
              <w:rPr>
                <w:noProof/>
                <w:webHidden/>
              </w:rPr>
              <w:instrText xml:space="preserve"> PAGEREF _Toc54546039 \h </w:instrText>
            </w:r>
            <w:r w:rsidR="00635D2F">
              <w:rPr>
                <w:noProof/>
                <w:webHidden/>
              </w:rPr>
            </w:r>
            <w:r w:rsidR="00635D2F">
              <w:rPr>
                <w:noProof/>
                <w:webHidden/>
              </w:rPr>
              <w:fldChar w:fldCharType="separate"/>
            </w:r>
            <w:r w:rsidR="00635D2F">
              <w:rPr>
                <w:noProof/>
                <w:webHidden/>
              </w:rPr>
              <w:t>19</w:t>
            </w:r>
            <w:r w:rsidR="00635D2F">
              <w:rPr>
                <w:noProof/>
                <w:webHidden/>
              </w:rPr>
              <w:fldChar w:fldCharType="end"/>
            </w:r>
          </w:hyperlink>
        </w:p>
        <w:p w:rsidR="00D3052E" w:rsidRDefault="001B6162">
          <w:pPr>
            <w:pStyle w:val="Spistreci3"/>
            <w:rPr>
              <w:rFonts w:asciiTheme="minorHAnsi" w:eastAsiaTheme="minorEastAsia" w:hAnsiTheme="minorHAnsi" w:cstheme="minorBidi"/>
              <w:noProof/>
              <w:sz w:val="22"/>
              <w:lang w:val="en-US"/>
            </w:rPr>
          </w:pPr>
          <w:hyperlink w:anchor="_Toc54546040" w:history="1">
            <w:r w:rsidR="00635D2F">
              <w:rPr>
                <w:rStyle w:val="Hipercze"/>
                <w:noProof/>
              </w:rPr>
              <w:t>1.4.1.</w:t>
            </w:r>
            <w:r w:rsidR="00635D2F">
              <w:rPr>
                <w:rFonts w:asciiTheme="minorHAnsi" w:eastAsiaTheme="minorEastAsia" w:hAnsiTheme="minorHAnsi" w:cstheme="minorBidi"/>
                <w:noProof/>
                <w:sz w:val="22"/>
                <w:lang w:val="en-US"/>
              </w:rPr>
              <w:tab/>
            </w:r>
            <w:r w:rsidR="00635D2F">
              <w:rPr>
                <w:rStyle w:val="Hipercze"/>
                <w:noProof/>
              </w:rPr>
              <w:t>Cel(e) ogólny(e)</w:t>
            </w:r>
            <w:r w:rsidR="00635D2F">
              <w:rPr>
                <w:noProof/>
                <w:webHidden/>
              </w:rPr>
              <w:tab/>
            </w:r>
            <w:r w:rsidR="00635D2F">
              <w:rPr>
                <w:noProof/>
                <w:webHidden/>
              </w:rPr>
              <w:fldChar w:fldCharType="begin"/>
            </w:r>
            <w:r w:rsidR="00635D2F">
              <w:rPr>
                <w:noProof/>
                <w:webHidden/>
              </w:rPr>
              <w:instrText xml:space="preserve"> PAGEREF _Toc54546040 \h </w:instrText>
            </w:r>
            <w:r w:rsidR="00635D2F">
              <w:rPr>
                <w:noProof/>
                <w:webHidden/>
              </w:rPr>
            </w:r>
            <w:r w:rsidR="00635D2F">
              <w:rPr>
                <w:noProof/>
                <w:webHidden/>
              </w:rPr>
              <w:fldChar w:fldCharType="separate"/>
            </w:r>
            <w:r w:rsidR="00635D2F">
              <w:rPr>
                <w:noProof/>
                <w:webHidden/>
              </w:rPr>
              <w:t>19</w:t>
            </w:r>
            <w:r w:rsidR="00635D2F">
              <w:rPr>
                <w:noProof/>
                <w:webHidden/>
              </w:rPr>
              <w:fldChar w:fldCharType="end"/>
            </w:r>
          </w:hyperlink>
        </w:p>
        <w:p w:rsidR="00D3052E" w:rsidRDefault="001B6162">
          <w:pPr>
            <w:pStyle w:val="Spistreci3"/>
            <w:rPr>
              <w:rFonts w:asciiTheme="minorHAnsi" w:eastAsiaTheme="minorEastAsia" w:hAnsiTheme="minorHAnsi" w:cstheme="minorBidi"/>
              <w:noProof/>
              <w:sz w:val="22"/>
              <w:lang w:val="en-US"/>
            </w:rPr>
          </w:pPr>
          <w:hyperlink w:anchor="_Toc54546041" w:history="1">
            <w:r w:rsidR="00635D2F">
              <w:rPr>
                <w:rStyle w:val="Hipercze"/>
                <w:noProof/>
              </w:rPr>
              <w:t>1.4.2.</w:t>
            </w:r>
            <w:r w:rsidR="00635D2F">
              <w:rPr>
                <w:rFonts w:asciiTheme="minorHAnsi" w:eastAsiaTheme="minorEastAsia" w:hAnsiTheme="minorHAnsi" w:cstheme="minorBidi"/>
                <w:noProof/>
                <w:sz w:val="22"/>
                <w:lang w:val="en-US"/>
              </w:rPr>
              <w:tab/>
            </w:r>
            <w:r w:rsidR="00635D2F">
              <w:rPr>
                <w:rStyle w:val="Hipercze"/>
                <w:noProof/>
              </w:rPr>
              <w:t>Cel(e) szczegółowy(e)</w:t>
            </w:r>
            <w:r w:rsidR="00635D2F">
              <w:rPr>
                <w:noProof/>
                <w:webHidden/>
              </w:rPr>
              <w:tab/>
            </w:r>
            <w:r w:rsidR="00635D2F">
              <w:rPr>
                <w:noProof/>
                <w:webHidden/>
              </w:rPr>
              <w:fldChar w:fldCharType="begin"/>
            </w:r>
            <w:r w:rsidR="00635D2F">
              <w:rPr>
                <w:noProof/>
                <w:webHidden/>
              </w:rPr>
              <w:instrText xml:space="preserve"> PAGEREF _Toc54546041 \h </w:instrText>
            </w:r>
            <w:r w:rsidR="00635D2F">
              <w:rPr>
                <w:noProof/>
                <w:webHidden/>
              </w:rPr>
            </w:r>
            <w:r w:rsidR="00635D2F">
              <w:rPr>
                <w:noProof/>
                <w:webHidden/>
              </w:rPr>
              <w:fldChar w:fldCharType="separate"/>
            </w:r>
            <w:r w:rsidR="00635D2F">
              <w:rPr>
                <w:noProof/>
                <w:webHidden/>
              </w:rPr>
              <w:t>19</w:t>
            </w:r>
            <w:r w:rsidR="00635D2F">
              <w:rPr>
                <w:noProof/>
                <w:webHidden/>
              </w:rPr>
              <w:fldChar w:fldCharType="end"/>
            </w:r>
          </w:hyperlink>
        </w:p>
        <w:p w:rsidR="00D3052E" w:rsidRDefault="001B6162">
          <w:pPr>
            <w:pStyle w:val="Spistreci3"/>
            <w:rPr>
              <w:rFonts w:asciiTheme="minorHAnsi" w:eastAsiaTheme="minorEastAsia" w:hAnsiTheme="minorHAnsi" w:cstheme="minorBidi"/>
              <w:noProof/>
              <w:sz w:val="22"/>
              <w:lang w:val="en-US"/>
            </w:rPr>
          </w:pPr>
          <w:hyperlink w:anchor="_Toc54546042" w:history="1">
            <w:r w:rsidR="00635D2F">
              <w:rPr>
                <w:rStyle w:val="Hipercze"/>
                <w:noProof/>
              </w:rPr>
              <w:t>1.4.3.</w:t>
            </w:r>
            <w:r w:rsidR="00635D2F">
              <w:rPr>
                <w:rFonts w:asciiTheme="minorHAnsi" w:eastAsiaTheme="minorEastAsia" w:hAnsiTheme="minorHAnsi" w:cstheme="minorBidi"/>
                <w:noProof/>
                <w:sz w:val="22"/>
                <w:lang w:val="en-US"/>
              </w:rPr>
              <w:tab/>
            </w:r>
            <w:r w:rsidR="00635D2F">
              <w:rPr>
                <w:rStyle w:val="Hipercze"/>
                <w:noProof/>
              </w:rPr>
              <w:t>Oczekiwane wyniki i wpływ</w:t>
            </w:r>
            <w:r w:rsidR="00635D2F">
              <w:rPr>
                <w:noProof/>
                <w:webHidden/>
              </w:rPr>
              <w:tab/>
            </w:r>
            <w:r w:rsidR="00635D2F">
              <w:rPr>
                <w:noProof/>
                <w:webHidden/>
              </w:rPr>
              <w:fldChar w:fldCharType="begin"/>
            </w:r>
            <w:r w:rsidR="00635D2F">
              <w:rPr>
                <w:noProof/>
                <w:webHidden/>
              </w:rPr>
              <w:instrText xml:space="preserve"> PAGEREF _Toc54546042 \h </w:instrText>
            </w:r>
            <w:r w:rsidR="00635D2F">
              <w:rPr>
                <w:noProof/>
                <w:webHidden/>
              </w:rPr>
            </w:r>
            <w:r w:rsidR="00635D2F">
              <w:rPr>
                <w:noProof/>
                <w:webHidden/>
              </w:rPr>
              <w:fldChar w:fldCharType="separate"/>
            </w:r>
            <w:r w:rsidR="00635D2F">
              <w:rPr>
                <w:noProof/>
                <w:webHidden/>
              </w:rPr>
              <w:t>24</w:t>
            </w:r>
            <w:r w:rsidR="00635D2F">
              <w:rPr>
                <w:noProof/>
                <w:webHidden/>
              </w:rPr>
              <w:fldChar w:fldCharType="end"/>
            </w:r>
          </w:hyperlink>
        </w:p>
        <w:p w:rsidR="00D3052E" w:rsidRDefault="001B6162">
          <w:pPr>
            <w:pStyle w:val="Spistreci2"/>
            <w:rPr>
              <w:rFonts w:asciiTheme="minorHAnsi" w:eastAsiaTheme="minorEastAsia" w:hAnsiTheme="minorHAnsi" w:cstheme="minorBidi"/>
              <w:noProof/>
              <w:sz w:val="22"/>
              <w:lang w:val="en-US"/>
            </w:rPr>
          </w:pPr>
          <w:hyperlink w:anchor="_Toc54546043" w:history="1">
            <w:r w:rsidR="00635D2F">
              <w:rPr>
                <w:rStyle w:val="Hipercze"/>
                <w:noProof/>
              </w:rPr>
              <w:t>1.5.</w:t>
            </w:r>
            <w:r w:rsidR="00635D2F">
              <w:rPr>
                <w:rFonts w:asciiTheme="minorHAnsi" w:eastAsiaTheme="minorEastAsia" w:hAnsiTheme="minorHAnsi" w:cstheme="minorBidi"/>
                <w:noProof/>
                <w:sz w:val="22"/>
                <w:lang w:val="en-US"/>
              </w:rPr>
              <w:tab/>
            </w:r>
            <w:r w:rsidR="00635D2F">
              <w:rPr>
                <w:rStyle w:val="Hipercze"/>
                <w:noProof/>
              </w:rPr>
              <w:t>Uzasadnienie wniosku/inicjatywy</w:t>
            </w:r>
            <w:r w:rsidR="00635D2F">
              <w:rPr>
                <w:noProof/>
                <w:webHidden/>
              </w:rPr>
              <w:tab/>
            </w:r>
            <w:r w:rsidR="00635D2F">
              <w:rPr>
                <w:noProof/>
                <w:webHidden/>
              </w:rPr>
              <w:fldChar w:fldCharType="begin"/>
            </w:r>
            <w:r w:rsidR="00635D2F">
              <w:rPr>
                <w:noProof/>
                <w:webHidden/>
              </w:rPr>
              <w:instrText xml:space="preserve"> PAGEREF _Toc54546043 \h </w:instrText>
            </w:r>
            <w:r w:rsidR="00635D2F">
              <w:rPr>
                <w:noProof/>
                <w:webHidden/>
              </w:rPr>
            </w:r>
            <w:r w:rsidR="00635D2F">
              <w:rPr>
                <w:noProof/>
                <w:webHidden/>
              </w:rPr>
              <w:fldChar w:fldCharType="separate"/>
            </w:r>
            <w:r w:rsidR="00635D2F">
              <w:rPr>
                <w:noProof/>
                <w:webHidden/>
              </w:rPr>
              <w:t>24</w:t>
            </w:r>
            <w:r w:rsidR="00635D2F">
              <w:rPr>
                <w:noProof/>
                <w:webHidden/>
              </w:rPr>
              <w:fldChar w:fldCharType="end"/>
            </w:r>
          </w:hyperlink>
        </w:p>
        <w:p w:rsidR="00D3052E" w:rsidRDefault="001B6162">
          <w:pPr>
            <w:pStyle w:val="Spistreci3"/>
            <w:rPr>
              <w:rFonts w:asciiTheme="minorHAnsi" w:eastAsiaTheme="minorEastAsia" w:hAnsiTheme="minorHAnsi" w:cstheme="minorBidi"/>
              <w:noProof/>
              <w:sz w:val="22"/>
              <w:lang w:val="en-US"/>
            </w:rPr>
          </w:pPr>
          <w:hyperlink w:anchor="_Toc54546044" w:history="1">
            <w:r w:rsidR="00635D2F">
              <w:rPr>
                <w:rStyle w:val="Hipercze"/>
                <w:noProof/>
              </w:rPr>
              <w:t>1.5.1.</w:t>
            </w:r>
            <w:r w:rsidR="00635D2F">
              <w:rPr>
                <w:rFonts w:asciiTheme="minorHAnsi" w:eastAsiaTheme="minorEastAsia" w:hAnsiTheme="minorHAnsi" w:cstheme="minorBidi"/>
                <w:noProof/>
                <w:sz w:val="22"/>
                <w:lang w:val="en-US"/>
              </w:rPr>
              <w:tab/>
            </w:r>
            <w:r w:rsidR="00635D2F">
              <w:rPr>
                <w:rStyle w:val="Hipercze"/>
                <w:noProof/>
              </w:rPr>
              <w:t>Potrzeby, które należy zaspokoić w perspektywie krótko- lub długoterminowej, w tym szczegółowy terminarz przebiegu realizacji inicjatywy</w:t>
            </w:r>
            <w:r w:rsidR="00635D2F">
              <w:rPr>
                <w:noProof/>
                <w:webHidden/>
              </w:rPr>
              <w:tab/>
            </w:r>
            <w:r w:rsidR="00635D2F">
              <w:rPr>
                <w:noProof/>
                <w:webHidden/>
              </w:rPr>
              <w:fldChar w:fldCharType="begin"/>
            </w:r>
            <w:r w:rsidR="00635D2F">
              <w:rPr>
                <w:noProof/>
                <w:webHidden/>
              </w:rPr>
              <w:instrText xml:space="preserve"> PAGEREF _Toc54546044 \h </w:instrText>
            </w:r>
            <w:r w:rsidR="00635D2F">
              <w:rPr>
                <w:noProof/>
                <w:webHidden/>
              </w:rPr>
            </w:r>
            <w:r w:rsidR="00635D2F">
              <w:rPr>
                <w:noProof/>
                <w:webHidden/>
              </w:rPr>
              <w:fldChar w:fldCharType="separate"/>
            </w:r>
            <w:r w:rsidR="00635D2F">
              <w:rPr>
                <w:noProof/>
                <w:webHidden/>
              </w:rPr>
              <w:t>24</w:t>
            </w:r>
            <w:r w:rsidR="00635D2F">
              <w:rPr>
                <w:noProof/>
                <w:webHidden/>
              </w:rPr>
              <w:fldChar w:fldCharType="end"/>
            </w:r>
          </w:hyperlink>
        </w:p>
        <w:p w:rsidR="00D3052E" w:rsidRDefault="001B6162">
          <w:pPr>
            <w:pStyle w:val="Spistreci3"/>
            <w:rPr>
              <w:rFonts w:asciiTheme="minorHAnsi" w:eastAsiaTheme="minorEastAsia" w:hAnsiTheme="minorHAnsi" w:cstheme="minorBidi"/>
              <w:noProof/>
              <w:sz w:val="22"/>
              <w:lang w:val="en-US"/>
            </w:rPr>
          </w:pPr>
          <w:hyperlink w:anchor="_Toc54546045" w:history="1">
            <w:r w:rsidR="00635D2F">
              <w:rPr>
                <w:rStyle w:val="Hipercze"/>
                <w:noProof/>
              </w:rPr>
              <w:t>1.5.2.</w:t>
            </w:r>
            <w:r w:rsidR="00635D2F">
              <w:rPr>
                <w:rFonts w:asciiTheme="minorHAnsi" w:eastAsiaTheme="minorEastAsia" w:hAnsiTheme="minorHAnsi" w:cstheme="minorBidi"/>
                <w:noProof/>
                <w:sz w:val="22"/>
                <w:lang w:val="en-US"/>
              </w:rPr>
              <w:tab/>
            </w:r>
            <w:r w:rsidR="00635D2F">
              <w:rPr>
                <w:rStyle w:val="Hipercze"/>
                <w:noProof/>
              </w:rPr>
              <w:t>Wartość dodana z tytułu zaangażowania Unii Europejskiej (może wynikać z różnych czynników, na przykład korzyści koordynacyjnych, pewności prawa, większej efektywności lub komplementarności). Na potrzeby tego punktu „wartość dodaną z tytułu zaangażowania Unii” należy rozumieć jako wartość wynikającą z unijnej interwencji wykraczającą poza wartość, która zostałaby wytworzona przez same państwa członkowskie.</w:t>
            </w:r>
            <w:r w:rsidR="00635D2F">
              <w:rPr>
                <w:noProof/>
                <w:webHidden/>
              </w:rPr>
              <w:tab/>
            </w:r>
            <w:r w:rsidR="00635D2F">
              <w:rPr>
                <w:noProof/>
                <w:webHidden/>
              </w:rPr>
              <w:fldChar w:fldCharType="begin"/>
            </w:r>
            <w:r w:rsidR="00635D2F">
              <w:rPr>
                <w:noProof/>
                <w:webHidden/>
              </w:rPr>
              <w:instrText xml:space="preserve"> PAGEREF _Toc54546045 \h </w:instrText>
            </w:r>
            <w:r w:rsidR="00635D2F">
              <w:rPr>
                <w:noProof/>
                <w:webHidden/>
              </w:rPr>
            </w:r>
            <w:r w:rsidR="00635D2F">
              <w:rPr>
                <w:noProof/>
                <w:webHidden/>
              </w:rPr>
              <w:fldChar w:fldCharType="separate"/>
            </w:r>
            <w:r w:rsidR="00635D2F">
              <w:rPr>
                <w:noProof/>
                <w:webHidden/>
              </w:rPr>
              <w:t>25</w:t>
            </w:r>
            <w:r w:rsidR="00635D2F">
              <w:rPr>
                <w:noProof/>
                <w:webHidden/>
              </w:rPr>
              <w:fldChar w:fldCharType="end"/>
            </w:r>
          </w:hyperlink>
        </w:p>
        <w:p w:rsidR="00D3052E" w:rsidRDefault="001B6162">
          <w:pPr>
            <w:pStyle w:val="Spistreci3"/>
            <w:rPr>
              <w:rFonts w:asciiTheme="minorHAnsi" w:eastAsiaTheme="minorEastAsia" w:hAnsiTheme="minorHAnsi" w:cstheme="minorBidi"/>
              <w:noProof/>
              <w:sz w:val="22"/>
              <w:lang w:val="en-US"/>
            </w:rPr>
          </w:pPr>
          <w:hyperlink w:anchor="_Toc54546046" w:history="1">
            <w:r w:rsidR="00635D2F">
              <w:rPr>
                <w:rStyle w:val="Hipercze"/>
                <w:noProof/>
              </w:rPr>
              <w:t>1.5.3.</w:t>
            </w:r>
            <w:r w:rsidR="00635D2F">
              <w:rPr>
                <w:rFonts w:asciiTheme="minorHAnsi" w:eastAsiaTheme="minorEastAsia" w:hAnsiTheme="minorHAnsi" w:cstheme="minorBidi"/>
                <w:noProof/>
                <w:sz w:val="22"/>
                <w:lang w:val="en-US"/>
              </w:rPr>
              <w:tab/>
            </w:r>
            <w:r w:rsidR="00635D2F">
              <w:rPr>
                <w:rStyle w:val="Hipercze"/>
                <w:noProof/>
              </w:rPr>
              <w:t>Główne wnioski wyciągnięte z podobnych działań</w:t>
            </w:r>
            <w:r w:rsidR="00635D2F">
              <w:rPr>
                <w:noProof/>
                <w:webHidden/>
              </w:rPr>
              <w:tab/>
            </w:r>
            <w:r w:rsidR="00635D2F">
              <w:rPr>
                <w:noProof/>
                <w:webHidden/>
              </w:rPr>
              <w:fldChar w:fldCharType="begin"/>
            </w:r>
            <w:r w:rsidR="00635D2F">
              <w:rPr>
                <w:noProof/>
                <w:webHidden/>
              </w:rPr>
              <w:instrText xml:space="preserve"> PAGEREF _Toc54546046 \h </w:instrText>
            </w:r>
            <w:r w:rsidR="00635D2F">
              <w:rPr>
                <w:noProof/>
                <w:webHidden/>
              </w:rPr>
            </w:r>
            <w:r w:rsidR="00635D2F">
              <w:rPr>
                <w:noProof/>
                <w:webHidden/>
              </w:rPr>
              <w:fldChar w:fldCharType="separate"/>
            </w:r>
            <w:r w:rsidR="00635D2F">
              <w:rPr>
                <w:noProof/>
                <w:webHidden/>
              </w:rPr>
              <w:t>25</w:t>
            </w:r>
            <w:r w:rsidR="00635D2F">
              <w:rPr>
                <w:noProof/>
                <w:webHidden/>
              </w:rPr>
              <w:fldChar w:fldCharType="end"/>
            </w:r>
          </w:hyperlink>
        </w:p>
        <w:p w:rsidR="00D3052E" w:rsidRDefault="001B6162">
          <w:pPr>
            <w:pStyle w:val="Spistreci3"/>
            <w:rPr>
              <w:rFonts w:asciiTheme="minorHAnsi" w:eastAsiaTheme="minorEastAsia" w:hAnsiTheme="minorHAnsi" w:cstheme="minorBidi"/>
              <w:noProof/>
              <w:sz w:val="22"/>
              <w:lang w:val="en-US"/>
            </w:rPr>
          </w:pPr>
          <w:hyperlink w:anchor="_Toc54546047" w:history="1">
            <w:r w:rsidR="00635D2F">
              <w:rPr>
                <w:rStyle w:val="Hipercze"/>
                <w:noProof/>
              </w:rPr>
              <w:t>1.5.4.</w:t>
            </w:r>
            <w:r w:rsidR="00635D2F">
              <w:rPr>
                <w:rFonts w:asciiTheme="minorHAnsi" w:eastAsiaTheme="minorEastAsia" w:hAnsiTheme="minorHAnsi" w:cstheme="minorBidi"/>
                <w:noProof/>
                <w:sz w:val="22"/>
                <w:lang w:val="en-US"/>
              </w:rPr>
              <w:tab/>
            </w:r>
            <w:r w:rsidR="00635D2F">
              <w:rPr>
                <w:rStyle w:val="Hipercze"/>
                <w:noProof/>
              </w:rPr>
              <w:t>Spójność z wieloletnimi ramami finansowymi oraz możliwa synergia z innymi właściwymi instrumentami</w:t>
            </w:r>
            <w:r w:rsidR="00635D2F">
              <w:rPr>
                <w:noProof/>
                <w:webHidden/>
              </w:rPr>
              <w:tab/>
            </w:r>
            <w:r w:rsidR="00635D2F">
              <w:rPr>
                <w:noProof/>
                <w:webHidden/>
              </w:rPr>
              <w:fldChar w:fldCharType="begin"/>
            </w:r>
            <w:r w:rsidR="00635D2F">
              <w:rPr>
                <w:noProof/>
                <w:webHidden/>
              </w:rPr>
              <w:instrText xml:space="preserve"> PAGEREF _Toc54546047 \h </w:instrText>
            </w:r>
            <w:r w:rsidR="00635D2F">
              <w:rPr>
                <w:noProof/>
                <w:webHidden/>
              </w:rPr>
            </w:r>
            <w:r w:rsidR="00635D2F">
              <w:rPr>
                <w:noProof/>
                <w:webHidden/>
              </w:rPr>
              <w:fldChar w:fldCharType="separate"/>
            </w:r>
            <w:r w:rsidR="00635D2F">
              <w:rPr>
                <w:noProof/>
                <w:webHidden/>
              </w:rPr>
              <w:t>25</w:t>
            </w:r>
            <w:r w:rsidR="00635D2F">
              <w:rPr>
                <w:noProof/>
                <w:webHidden/>
              </w:rPr>
              <w:fldChar w:fldCharType="end"/>
            </w:r>
          </w:hyperlink>
        </w:p>
        <w:p w:rsidR="00D3052E" w:rsidRDefault="001B6162">
          <w:pPr>
            <w:pStyle w:val="Spistreci3"/>
            <w:rPr>
              <w:rFonts w:asciiTheme="minorHAnsi" w:eastAsiaTheme="minorEastAsia" w:hAnsiTheme="minorHAnsi" w:cstheme="minorBidi"/>
              <w:noProof/>
              <w:sz w:val="22"/>
              <w:lang w:val="en-US"/>
            </w:rPr>
          </w:pPr>
          <w:hyperlink w:anchor="_Toc54546048" w:history="1">
            <w:r w:rsidR="00635D2F">
              <w:rPr>
                <w:rStyle w:val="Hipercze"/>
                <w:noProof/>
              </w:rPr>
              <w:t>1.5.5.</w:t>
            </w:r>
            <w:r w:rsidR="00635D2F">
              <w:rPr>
                <w:rFonts w:asciiTheme="minorHAnsi" w:eastAsiaTheme="minorEastAsia" w:hAnsiTheme="minorHAnsi" w:cstheme="minorBidi"/>
                <w:noProof/>
                <w:sz w:val="22"/>
                <w:lang w:val="en-US"/>
              </w:rPr>
              <w:tab/>
            </w:r>
            <w:r w:rsidR="00635D2F">
              <w:rPr>
                <w:rStyle w:val="Hipercze"/>
                <w:noProof/>
              </w:rPr>
              <w:t>Ocena różnych dostępnych możliwości finansowania, w tym zakresu przegrupowania środków</w:t>
            </w:r>
            <w:r w:rsidR="00635D2F">
              <w:rPr>
                <w:noProof/>
                <w:webHidden/>
              </w:rPr>
              <w:tab/>
            </w:r>
            <w:r w:rsidR="00635D2F">
              <w:rPr>
                <w:noProof/>
                <w:webHidden/>
              </w:rPr>
              <w:fldChar w:fldCharType="begin"/>
            </w:r>
            <w:r w:rsidR="00635D2F">
              <w:rPr>
                <w:noProof/>
                <w:webHidden/>
              </w:rPr>
              <w:instrText xml:space="preserve"> PAGEREF _Toc54546048 \h </w:instrText>
            </w:r>
            <w:r w:rsidR="00635D2F">
              <w:rPr>
                <w:noProof/>
                <w:webHidden/>
              </w:rPr>
            </w:r>
            <w:r w:rsidR="00635D2F">
              <w:rPr>
                <w:noProof/>
                <w:webHidden/>
              </w:rPr>
              <w:fldChar w:fldCharType="separate"/>
            </w:r>
            <w:r w:rsidR="00635D2F">
              <w:rPr>
                <w:noProof/>
                <w:webHidden/>
              </w:rPr>
              <w:t>26</w:t>
            </w:r>
            <w:r w:rsidR="00635D2F">
              <w:rPr>
                <w:noProof/>
                <w:webHidden/>
              </w:rPr>
              <w:fldChar w:fldCharType="end"/>
            </w:r>
          </w:hyperlink>
        </w:p>
        <w:p w:rsidR="00D3052E" w:rsidRDefault="001B6162">
          <w:pPr>
            <w:pStyle w:val="Spistreci2"/>
            <w:rPr>
              <w:rFonts w:asciiTheme="minorHAnsi" w:eastAsiaTheme="minorEastAsia" w:hAnsiTheme="minorHAnsi" w:cstheme="minorBidi"/>
              <w:noProof/>
              <w:sz w:val="22"/>
              <w:lang w:val="en-US"/>
            </w:rPr>
          </w:pPr>
          <w:hyperlink w:anchor="_Toc54546049" w:history="1">
            <w:r w:rsidR="00635D2F">
              <w:rPr>
                <w:rStyle w:val="Hipercze"/>
                <w:noProof/>
              </w:rPr>
              <w:t>1.6.</w:t>
            </w:r>
            <w:r w:rsidR="00635D2F">
              <w:rPr>
                <w:rFonts w:asciiTheme="minorHAnsi" w:eastAsiaTheme="minorEastAsia" w:hAnsiTheme="minorHAnsi" w:cstheme="minorBidi"/>
                <w:noProof/>
                <w:sz w:val="22"/>
                <w:lang w:val="en-US"/>
              </w:rPr>
              <w:tab/>
            </w:r>
            <w:r w:rsidR="00635D2F">
              <w:rPr>
                <w:rStyle w:val="Hipercze"/>
                <w:noProof/>
              </w:rPr>
              <w:t>Okres trwania i wpływ finansowy wniosku/inicjatywy</w:t>
            </w:r>
            <w:r w:rsidR="00635D2F">
              <w:rPr>
                <w:noProof/>
                <w:webHidden/>
              </w:rPr>
              <w:tab/>
            </w:r>
            <w:r w:rsidR="00635D2F">
              <w:rPr>
                <w:noProof/>
                <w:webHidden/>
              </w:rPr>
              <w:fldChar w:fldCharType="begin"/>
            </w:r>
            <w:r w:rsidR="00635D2F">
              <w:rPr>
                <w:noProof/>
                <w:webHidden/>
              </w:rPr>
              <w:instrText xml:space="preserve"> PAGEREF _Toc54546049 \h </w:instrText>
            </w:r>
            <w:r w:rsidR="00635D2F">
              <w:rPr>
                <w:noProof/>
                <w:webHidden/>
              </w:rPr>
            </w:r>
            <w:r w:rsidR="00635D2F">
              <w:rPr>
                <w:noProof/>
                <w:webHidden/>
              </w:rPr>
              <w:fldChar w:fldCharType="separate"/>
            </w:r>
            <w:r w:rsidR="00635D2F">
              <w:rPr>
                <w:noProof/>
                <w:webHidden/>
              </w:rPr>
              <w:t>26</w:t>
            </w:r>
            <w:r w:rsidR="00635D2F">
              <w:rPr>
                <w:noProof/>
                <w:webHidden/>
              </w:rPr>
              <w:fldChar w:fldCharType="end"/>
            </w:r>
          </w:hyperlink>
        </w:p>
        <w:p w:rsidR="00D3052E" w:rsidRDefault="001B6162">
          <w:pPr>
            <w:pStyle w:val="Spistreci2"/>
            <w:rPr>
              <w:rFonts w:asciiTheme="minorHAnsi" w:eastAsiaTheme="minorEastAsia" w:hAnsiTheme="minorHAnsi" w:cstheme="minorBidi"/>
              <w:noProof/>
              <w:sz w:val="22"/>
              <w:lang w:val="en-US"/>
            </w:rPr>
          </w:pPr>
          <w:hyperlink w:anchor="_Toc54546050" w:history="1">
            <w:r w:rsidR="00635D2F">
              <w:rPr>
                <w:rStyle w:val="Hipercze"/>
                <w:noProof/>
              </w:rPr>
              <w:t>1.7.</w:t>
            </w:r>
            <w:r w:rsidR="00635D2F">
              <w:rPr>
                <w:rFonts w:asciiTheme="minorHAnsi" w:eastAsiaTheme="minorEastAsia" w:hAnsiTheme="minorHAnsi" w:cstheme="minorBidi"/>
                <w:noProof/>
                <w:sz w:val="22"/>
                <w:lang w:val="en-US"/>
              </w:rPr>
              <w:tab/>
            </w:r>
            <w:r w:rsidR="00635D2F">
              <w:rPr>
                <w:rStyle w:val="Hipercze"/>
                <w:noProof/>
              </w:rPr>
              <w:t>Planowane tryby zarządzania</w:t>
            </w:r>
            <w:r w:rsidR="00635D2F">
              <w:rPr>
                <w:noProof/>
                <w:webHidden/>
              </w:rPr>
              <w:tab/>
            </w:r>
            <w:r w:rsidR="00635D2F">
              <w:rPr>
                <w:noProof/>
                <w:webHidden/>
              </w:rPr>
              <w:fldChar w:fldCharType="begin"/>
            </w:r>
            <w:r w:rsidR="00635D2F">
              <w:rPr>
                <w:noProof/>
                <w:webHidden/>
              </w:rPr>
              <w:instrText xml:space="preserve"> PAGEREF _Toc54546050 \h </w:instrText>
            </w:r>
            <w:r w:rsidR="00635D2F">
              <w:rPr>
                <w:noProof/>
                <w:webHidden/>
              </w:rPr>
            </w:r>
            <w:r w:rsidR="00635D2F">
              <w:rPr>
                <w:noProof/>
                <w:webHidden/>
              </w:rPr>
              <w:fldChar w:fldCharType="separate"/>
            </w:r>
            <w:r w:rsidR="00635D2F">
              <w:rPr>
                <w:noProof/>
                <w:webHidden/>
              </w:rPr>
              <w:t>26</w:t>
            </w:r>
            <w:r w:rsidR="00635D2F">
              <w:rPr>
                <w:noProof/>
                <w:webHidden/>
              </w:rPr>
              <w:fldChar w:fldCharType="end"/>
            </w:r>
          </w:hyperlink>
        </w:p>
        <w:p w:rsidR="00D3052E" w:rsidRDefault="001B6162">
          <w:pPr>
            <w:pStyle w:val="Spistreci1"/>
            <w:rPr>
              <w:rFonts w:asciiTheme="minorHAnsi" w:eastAsiaTheme="minorEastAsia" w:hAnsiTheme="minorHAnsi" w:cstheme="minorBidi"/>
              <w:noProof/>
              <w:sz w:val="22"/>
              <w:lang w:val="en-US"/>
            </w:rPr>
          </w:pPr>
          <w:hyperlink w:anchor="_Toc54546051" w:history="1">
            <w:r w:rsidR="00635D2F">
              <w:rPr>
                <w:rStyle w:val="Hipercze"/>
                <w:noProof/>
              </w:rPr>
              <w:t>2.</w:t>
            </w:r>
            <w:r w:rsidR="00635D2F">
              <w:rPr>
                <w:rFonts w:asciiTheme="minorHAnsi" w:eastAsiaTheme="minorEastAsia" w:hAnsiTheme="minorHAnsi" w:cstheme="minorBidi"/>
                <w:noProof/>
                <w:sz w:val="22"/>
                <w:lang w:val="en-US"/>
              </w:rPr>
              <w:tab/>
            </w:r>
            <w:r w:rsidR="00635D2F">
              <w:rPr>
                <w:rStyle w:val="Hipercze"/>
                <w:noProof/>
              </w:rPr>
              <w:t>ŚRODKI ZARZĄDZANIA</w:t>
            </w:r>
            <w:r w:rsidR="00635D2F">
              <w:rPr>
                <w:noProof/>
                <w:webHidden/>
              </w:rPr>
              <w:tab/>
            </w:r>
            <w:r w:rsidR="00635D2F">
              <w:rPr>
                <w:noProof/>
                <w:webHidden/>
              </w:rPr>
              <w:fldChar w:fldCharType="begin"/>
            </w:r>
            <w:r w:rsidR="00635D2F">
              <w:rPr>
                <w:noProof/>
                <w:webHidden/>
              </w:rPr>
              <w:instrText xml:space="preserve"> PAGEREF _Toc54546051 \h </w:instrText>
            </w:r>
            <w:r w:rsidR="00635D2F">
              <w:rPr>
                <w:noProof/>
                <w:webHidden/>
              </w:rPr>
            </w:r>
            <w:r w:rsidR="00635D2F">
              <w:rPr>
                <w:noProof/>
                <w:webHidden/>
              </w:rPr>
              <w:fldChar w:fldCharType="separate"/>
            </w:r>
            <w:r w:rsidR="00635D2F">
              <w:rPr>
                <w:noProof/>
                <w:webHidden/>
              </w:rPr>
              <w:t>27</w:t>
            </w:r>
            <w:r w:rsidR="00635D2F">
              <w:rPr>
                <w:noProof/>
                <w:webHidden/>
              </w:rPr>
              <w:fldChar w:fldCharType="end"/>
            </w:r>
          </w:hyperlink>
        </w:p>
        <w:p w:rsidR="00D3052E" w:rsidRDefault="001B6162">
          <w:pPr>
            <w:pStyle w:val="Spistreci2"/>
            <w:rPr>
              <w:rFonts w:asciiTheme="minorHAnsi" w:eastAsiaTheme="minorEastAsia" w:hAnsiTheme="minorHAnsi" w:cstheme="minorBidi"/>
              <w:noProof/>
              <w:sz w:val="22"/>
              <w:lang w:val="en-US"/>
            </w:rPr>
          </w:pPr>
          <w:hyperlink w:anchor="_Toc54546052" w:history="1">
            <w:r w:rsidR="00635D2F">
              <w:rPr>
                <w:rStyle w:val="Hipercze"/>
                <w:noProof/>
              </w:rPr>
              <w:t>2.1.</w:t>
            </w:r>
            <w:r w:rsidR="00635D2F">
              <w:rPr>
                <w:rFonts w:asciiTheme="minorHAnsi" w:eastAsiaTheme="minorEastAsia" w:hAnsiTheme="minorHAnsi" w:cstheme="minorBidi"/>
                <w:noProof/>
                <w:sz w:val="22"/>
                <w:lang w:val="en-US"/>
              </w:rPr>
              <w:tab/>
            </w:r>
            <w:r w:rsidR="00635D2F">
              <w:rPr>
                <w:rStyle w:val="Hipercze"/>
                <w:noProof/>
              </w:rPr>
              <w:t>Zasady nadzoru i sprawozdawczości</w:t>
            </w:r>
            <w:r w:rsidR="00635D2F">
              <w:rPr>
                <w:noProof/>
                <w:webHidden/>
              </w:rPr>
              <w:tab/>
            </w:r>
            <w:r w:rsidR="00635D2F">
              <w:rPr>
                <w:noProof/>
                <w:webHidden/>
              </w:rPr>
              <w:fldChar w:fldCharType="begin"/>
            </w:r>
            <w:r w:rsidR="00635D2F">
              <w:rPr>
                <w:noProof/>
                <w:webHidden/>
              </w:rPr>
              <w:instrText xml:space="preserve"> PAGEREF _Toc54546052 \h </w:instrText>
            </w:r>
            <w:r w:rsidR="00635D2F">
              <w:rPr>
                <w:noProof/>
                <w:webHidden/>
              </w:rPr>
            </w:r>
            <w:r w:rsidR="00635D2F">
              <w:rPr>
                <w:noProof/>
                <w:webHidden/>
              </w:rPr>
              <w:fldChar w:fldCharType="separate"/>
            </w:r>
            <w:r w:rsidR="00635D2F">
              <w:rPr>
                <w:noProof/>
                <w:webHidden/>
              </w:rPr>
              <w:t>27</w:t>
            </w:r>
            <w:r w:rsidR="00635D2F">
              <w:rPr>
                <w:noProof/>
                <w:webHidden/>
              </w:rPr>
              <w:fldChar w:fldCharType="end"/>
            </w:r>
          </w:hyperlink>
        </w:p>
        <w:p w:rsidR="00D3052E" w:rsidRDefault="001B6162">
          <w:pPr>
            <w:pStyle w:val="Spistreci2"/>
            <w:rPr>
              <w:rFonts w:asciiTheme="minorHAnsi" w:eastAsiaTheme="minorEastAsia" w:hAnsiTheme="minorHAnsi" w:cstheme="minorBidi"/>
              <w:noProof/>
              <w:sz w:val="22"/>
              <w:lang w:val="en-US"/>
            </w:rPr>
          </w:pPr>
          <w:hyperlink w:anchor="_Toc54546053" w:history="1">
            <w:r w:rsidR="00635D2F">
              <w:rPr>
                <w:rStyle w:val="Hipercze"/>
                <w:noProof/>
              </w:rPr>
              <w:t>2.2.</w:t>
            </w:r>
            <w:r w:rsidR="00635D2F">
              <w:rPr>
                <w:rFonts w:asciiTheme="minorHAnsi" w:eastAsiaTheme="minorEastAsia" w:hAnsiTheme="minorHAnsi" w:cstheme="minorBidi"/>
                <w:noProof/>
                <w:sz w:val="22"/>
                <w:lang w:val="en-US"/>
              </w:rPr>
              <w:tab/>
            </w:r>
            <w:r w:rsidR="00635D2F">
              <w:rPr>
                <w:rStyle w:val="Hipercze"/>
                <w:noProof/>
              </w:rPr>
              <w:t>System zarządzania i kontroli</w:t>
            </w:r>
            <w:r w:rsidR="00635D2F">
              <w:rPr>
                <w:noProof/>
                <w:webHidden/>
              </w:rPr>
              <w:tab/>
            </w:r>
            <w:r w:rsidR="00635D2F">
              <w:rPr>
                <w:noProof/>
                <w:webHidden/>
              </w:rPr>
              <w:fldChar w:fldCharType="begin"/>
            </w:r>
            <w:r w:rsidR="00635D2F">
              <w:rPr>
                <w:noProof/>
                <w:webHidden/>
              </w:rPr>
              <w:instrText xml:space="preserve"> PAGEREF _Toc54546053 \h </w:instrText>
            </w:r>
            <w:r w:rsidR="00635D2F">
              <w:rPr>
                <w:noProof/>
                <w:webHidden/>
              </w:rPr>
            </w:r>
            <w:r w:rsidR="00635D2F">
              <w:rPr>
                <w:noProof/>
                <w:webHidden/>
              </w:rPr>
              <w:fldChar w:fldCharType="separate"/>
            </w:r>
            <w:r w:rsidR="00635D2F">
              <w:rPr>
                <w:noProof/>
                <w:webHidden/>
              </w:rPr>
              <w:t>27</w:t>
            </w:r>
            <w:r w:rsidR="00635D2F">
              <w:rPr>
                <w:noProof/>
                <w:webHidden/>
              </w:rPr>
              <w:fldChar w:fldCharType="end"/>
            </w:r>
          </w:hyperlink>
        </w:p>
        <w:p w:rsidR="00D3052E" w:rsidRDefault="001B6162">
          <w:pPr>
            <w:pStyle w:val="Spistreci3"/>
            <w:rPr>
              <w:rFonts w:asciiTheme="minorHAnsi" w:eastAsiaTheme="minorEastAsia" w:hAnsiTheme="minorHAnsi" w:cstheme="minorBidi"/>
              <w:noProof/>
              <w:sz w:val="22"/>
              <w:lang w:val="en-US"/>
            </w:rPr>
          </w:pPr>
          <w:hyperlink w:anchor="_Toc54546054" w:history="1">
            <w:r w:rsidR="00635D2F">
              <w:rPr>
                <w:rStyle w:val="Hipercze"/>
                <w:noProof/>
              </w:rPr>
              <w:t>2.2.1.</w:t>
            </w:r>
            <w:r w:rsidR="00635D2F">
              <w:rPr>
                <w:rFonts w:asciiTheme="minorHAnsi" w:eastAsiaTheme="minorEastAsia" w:hAnsiTheme="minorHAnsi" w:cstheme="minorBidi"/>
                <w:noProof/>
                <w:sz w:val="22"/>
                <w:lang w:val="en-US"/>
              </w:rPr>
              <w:tab/>
            </w:r>
            <w:r w:rsidR="00635D2F">
              <w:rPr>
                <w:rStyle w:val="Hipercze"/>
                <w:noProof/>
              </w:rPr>
              <w:t>Uzasadnienie dla systemu zarządzania, mechanizmów finansowania wykonania, warunków płatności i proponowanej strategii kontroli</w:t>
            </w:r>
            <w:r w:rsidR="00635D2F">
              <w:rPr>
                <w:noProof/>
                <w:webHidden/>
              </w:rPr>
              <w:tab/>
            </w:r>
            <w:r w:rsidR="00635D2F">
              <w:rPr>
                <w:noProof/>
                <w:webHidden/>
              </w:rPr>
              <w:fldChar w:fldCharType="begin"/>
            </w:r>
            <w:r w:rsidR="00635D2F">
              <w:rPr>
                <w:noProof/>
                <w:webHidden/>
              </w:rPr>
              <w:instrText xml:space="preserve"> PAGEREF _Toc54546054 \h </w:instrText>
            </w:r>
            <w:r w:rsidR="00635D2F">
              <w:rPr>
                <w:noProof/>
                <w:webHidden/>
              </w:rPr>
            </w:r>
            <w:r w:rsidR="00635D2F">
              <w:rPr>
                <w:noProof/>
                <w:webHidden/>
              </w:rPr>
              <w:fldChar w:fldCharType="separate"/>
            </w:r>
            <w:r w:rsidR="00635D2F">
              <w:rPr>
                <w:noProof/>
                <w:webHidden/>
              </w:rPr>
              <w:t>27</w:t>
            </w:r>
            <w:r w:rsidR="00635D2F">
              <w:rPr>
                <w:noProof/>
                <w:webHidden/>
              </w:rPr>
              <w:fldChar w:fldCharType="end"/>
            </w:r>
          </w:hyperlink>
        </w:p>
        <w:p w:rsidR="00D3052E" w:rsidRDefault="001B6162">
          <w:pPr>
            <w:pStyle w:val="Spistreci3"/>
            <w:rPr>
              <w:rFonts w:asciiTheme="minorHAnsi" w:eastAsiaTheme="minorEastAsia" w:hAnsiTheme="minorHAnsi" w:cstheme="minorBidi"/>
              <w:noProof/>
              <w:sz w:val="22"/>
              <w:lang w:val="en-US"/>
            </w:rPr>
          </w:pPr>
          <w:hyperlink w:anchor="_Toc54546055" w:history="1">
            <w:r w:rsidR="00635D2F">
              <w:rPr>
                <w:rStyle w:val="Hipercze"/>
                <w:noProof/>
              </w:rPr>
              <w:t>2.2.2.</w:t>
            </w:r>
            <w:r w:rsidR="00635D2F">
              <w:rPr>
                <w:rFonts w:asciiTheme="minorHAnsi" w:eastAsiaTheme="minorEastAsia" w:hAnsiTheme="minorHAnsi" w:cstheme="minorBidi"/>
                <w:noProof/>
                <w:sz w:val="22"/>
                <w:lang w:val="en-US"/>
              </w:rPr>
              <w:tab/>
            </w:r>
            <w:r w:rsidR="00635D2F">
              <w:rPr>
                <w:rStyle w:val="Hipercze"/>
                <w:noProof/>
              </w:rPr>
              <w:t>Informacje dotyczące zidentyfikowanego ryzyka i systemów kontroli wewnętrznej ustanowionych w celu jego ograniczenia</w:t>
            </w:r>
            <w:r w:rsidR="00635D2F">
              <w:rPr>
                <w:noProof/>
                <w:webHidden/>
              </w:rPr>
              <w:tab/>
            </w:r>
            <w:r w:rsidR="00635D2F">
              <w:rPr>
                <w:noProof/>
                <w:webHidden/>
              </w:rPr>
              <w:fldChar w:fldCharType="begin"/>
            </w:r>
            <w:r w:rsidR="00635D2F">
              <w:rPr>
                <w:noProof/>
                <w:webHidden/>
              </w:rPr>
              <w:instrText xml:space="preserve"> PAGEREF _Toc54546055 \h </w:instrText>
            </w:r>
            <w:r w:rsidR="00635D2F">
              <w:rPr>
                <w:noProof/>
                <w:webHidden/>
              </w:rPr>
            </w:r>
            <w:r w:rsidR="00635D2F">
              <w:rPr>
                <w:noProof/>
                <w:webHidden/>
              </w:rPr>
              <w:fldChar w:fldCharType="separate"/>
            </w:r>
            <w:r w:rsidR="00635D2F">
              <w:rPr>
                <w:noProof/>
                <w:webHidden/>
              </w:rPr>
              <w:t>28</w:t>
            </w:r>
            <w:r w:rsidR="00635D2F">
              <w:rPr>
                <w:noProof/>
                <w:webHidden/>
              </w:rPr>
              <w:fldChar w:fldCharType="end"/>
            </w:r>
          </w:hyperlink>
        </w:p>
        <w:p w:rsidR="00D3052E" w:rsidRDefault="001B6162">
          <w:pPr>
            <w:pStyle w:val="Spistreci3"/>
            <w:rPr>
              <w:rFonts w:asciiTheme="minorHAnsi" w:eastAsiaTheme="minorEastAsia" w:hAnsiTheme="minorHAnsi" w:cstheme="minorBidi"/>
              <w:noProof/>
              <w:sz w:val="22"/>
              <w:lang w:val="en-US"/>
            </w:rPr>
          </w:pPr>
          <w:hyperlink w:anchor="_Toc54546056" w:history="1">
            <w:r w:rsidR="00635D2F">
              <w:rPr>
                <w:rStyle w:val="Hipercze"/>
                <w:noProof/>
              </w:rPr>
              <w:t>2.2.3.</w:t>
            </w:r>
            <w:r w:rsidR="00635D2F">
              <w:rPr>
                <w:rFonts w:asciiTheme="minorHAnsi" w:eastAsiaTheme="minorEastAsia" w:hAnsiTheme="minorHAnsi" w:cstheme="minorBidi"/>
                <w:noProof/>
                <w:sz w:val="22"/>
                <w:lang w:val="en-US"/>
              </w:rPr>
              <w:tab/>
            </w:r>
            <w:r w:rsidR="00635D2F">
              <w:rPr>
                <w:rStyle w:val="Hipercze"/>
                <w:noProof/>
              </w:rPr>
              <w:t>Oszacowanie i uzasadnienie efektywności kosztowej kontroli (relacja kosztów kontroli do wartości zarządzanych funduszy powiązanych) oraz ocena prawdopodobnego ryzyka błędu (przy płatności i przy zamykaniu)</w:t>
            </w:r>
            <w:r w:rsidR="00635D2F">
              <w:rPr>
                <w:noProof/>
                <w:webHidden/>
              </w:rPr>
              <w:tab/>
            </w:r>
            <w:r w:rsidR="00635D2F">
              <w:rPr>
                <w:noProof/>
                <w:webHidden/>
              </w:rPr>
              <w:fldChar w:fldCharType="begin"/>
            </w:r>
            <w:r w:rsidR="00635D2F">
              <w:rPr>
                <w:noProof/>
                <w:webHidden/>
              </w:rPr>
              <w:instrText xml:space="preserve"> PAGEREF _Toc54546056 \h </w:instrText>
            </w:r>
            <w:r w:rsidR="00635D2F">
              <w:rPr>
                <w:noProof/>
                <w:webHidden/>
              </w:rPr>
            </w:r>
            <w:r w:rsidR="00635D2F">
              <w:rPr>
                <w:noProof/>
                <w:webHidden/>
              </w:rPr>
              <w:fldChar w:fldCharType="separate"/>
            </w:r>
            <w:r w:rsidR="00635D2F">
              <w:rPr>
                <w:noProof/>
                <w:webHidden/>
              </w:rPr>
              <w:t>28</w:t>
            </w:r>
            <w:r w:rsidR="00635D2F">
              <w:rPr>
                <w:noProof/>
                <w:webHidden/>
              </w:rPr>
              <w:fldChar w:fldCharType="end"/>
            </w:r>
          </w:hyperlink>
        </w:p>
        <w:p w:rsidR="00D3052E" w:rsidRDefault="001B6162">
          <w:pPr>
            <w:pStyle w:val="Spistreci2"/>
            <w:rPr>
              <w:rFonts w:asciiTheme="minorHAnsi" w:eastAsiaTheme="minorEastAsia" w:hAnsiTheme="minorHAnsi" w:cstheme="minorBidi"/>
              <w:noProof/>
              <w:sz w:val="22"/>
              <w:lang w:val="en-US"/>
            </w:rPr>
          </w:pPr>
          <w:hyperlink w:anchor="_Toc54546057" w:history="1">
            <w:r w:rsidR="00635D2F">
              <w:rPr>
                <w:rStyle w:val="Hipercze"/>
                <w:noProof/>
              </w:rPr>
              <w:t>2.3.</w:t>
            </w:r>
            <w:r w:rsidR="00635D2F">
              <w:rPr>
                <w:rFonts w:asciiTheme="minorHAnsi" w:eastAsiaTheme="minorEastAsia" w:hAnsiTheme="minorHAnsi" w:cstheme="minorBidi"/>
                <w:noProof/>
                <w:sz w:val="22"/>
                <w:lang w:val="en-US"/>
              </w:rPr>
              <w:tab/>
            </w:r>
            <w:r w:rsidR="00635D2F">
              <w:rPr>
                <w:rStyle w:val="Hipercze"/>
                <w:noProof/>
              </w:rPr>
              <w:t>Środki zapobiegania nadużyciom finansowym i nieprawidłowościom</w:t>
            </w:r>
            <w:r w:rsidR="00635D2F">
              <w:rPr>
                <w:noProof/>
                <w:webHidden/>
              </w:rPr>
              <w:tab/>
            </w:r>
            <w:r w:rsidR="00635D2F">
              <w:rPr>
                <w:noProof/>
                <w:webHidden/>
              </w:rPr>
              <w:fldChar w:fldCharType="begin"/>
            </w:r>
            <w:r w:rsidR="00635D2F">
              <w:rPr>
                <w:noProof/>
                <w:webHidden/>
              </w:rPr>
              <w:instrText xml:space="preserve"> PAGEREF _Toc54546057 \h </w:instrText>
            </w:r>
            <w:r w:rsidR="00635D2F">
              <w:rPr>
                <w:noProof/>
                <w:webHidden/>
              </w:rPr>
            </w:r>
            <w:r w:rsidR="00635D2F">
              <w:rPr>
                <w:noProof/>
                <w:webHidden/>
              </w:rPr>
              <w:fldChar w:fldCharType="separate"/>
            </w:r>
            <w:r w:rsidR="00635D2F">
              <w:rPr>
                <w:noProof/>
                <w:webHidden/>
              </w:rPr>
              <w:t>28</w:t>
            </w:r>
            <w:r w:rsidR="00635D2F">
              <w:rPr>
                <w:noProof/>
                <w:webHidden/>
              </w:rPr>
              <w:fldChar w:fldCharType="end"/>
            </w:r>
          </w:hyperlink>
        </w:p>
        <w:p w:rsidR="00D3052E" w:rsidRDefault="001B6162">
          <w:pPr>
            <w:pStyle w:val="Spistreci1"/>
            <w:rPr>
              <w:rFonts w:asciiTheme="minorHAnsi" w:eastAsiaTheme="minorEastAsia" w:hAnsiTheme="minorHAnsi" w:cstheme="minorBidi"/>
              <w:noProof/>
              <w:sz w:val="22"/>
              <w:lang w:val="en-US"/>
            </w:rPr>
          </w:pPr>
          <w:hyperlink w:anchor="_Toc54546058" w:history="1">
            <w:r w:rsidR="00635D2F">
              <w:rPr>
                <w:rStyle w:val="Hipercze"/>
                <w:noProof/>
              </w:rPr>
              <w:t>3.</w:t>
            </w:r>
            <w:r w:rsidR="00635D2F">
              <w:rPr>
                <w:rFonts w:asciiTheme="minorHAnsi" w:eastAsiaTheme="minorEastAsia" w:hAnsiTheme="minorHAnsi" w:cstheme="minorBidi"/>
                <w:noProof/>
                <w:sz w:val="22"/>
                <w:lang w:val="en-US"/>
              </w:rPr>
              <w:tab/>
            </w:r>
            <w:r w:rsidR="00635D2F">
              <w:rPr>
                <w:rStyle w:val="Hipercze"/>
                <w:noProof/>
              </w:rPr>
              <w:t>SZACUNKOWY WPŁYW FINANSOWY WNIOSKU/INICJATYWY</w:t>
            </w:r>
            <w:r w:rsidR="00635D2F">
              <w:rPr>
                <w:noProof/>
                <w:webHidden/>
              </w:rPr>
              <w:tab/>
            </w:r>
            <w:r w:rsidR="00635D2F">
              <w:rPr>
                <w:noProof/>
                <w:webHidden/>
              </w:rPr>
              <w:fldChar w:fldCharType="begin"/>
            </w:r>
            <w:r w:rsidR="00635D2F">
              <w:rPr>
                <w:noProof/>
                <w:webHidden/>
              </w:rPr>
              <w:instrText xml:space="preserve"> PAGEREF _Toc54546058 \h </w:instrText>
            </w:r>
            <w:r w:rsidR="00635D2F">
              <w:rPr>
                <w:noProof/>
                <w:webHidden/>
              </w:rPr>
            </w:r>
            <w:r w:rsidR="00635D2F">
              <w:rPr>
                <w:noProof/>
                <w:webHidden/>
              </w:rPr>
              <w:fldChar w:fldCharType="separate"/>
            </w:r>
            <w:r w:rsidR="00635D2F">
              <w:rPr>
                <w:noProof/>
                <w:webHidden/>
              </w:rPr>
              <w:t>28</w:t>
            </w:r>
            <w:r w:rsidR="00635D2F">
              <w:rPr>
                <w:noProof/>
                <w:webHidden/>
              </w:rPr>
              <w:fldChar w:fldCharType="end"/>
            </w:r>
          </w:hyperlink>
        </w:p>
        <w:p w:rsidR="00D3052E" w:rsidRDefault="001B6162">
          <w:pPr>
            <w:pStyle w:val="Spistreci2"/>
            <w:rPr>
              <w:rFonts w:asciiTheme="minorHAnsi" w:eastAsiaTheme="minorEastAsia" w:hAnsiTheme="minorHAnsi" w:cstheme="minorBidi"/>
              <w:noProof/>
              <w:sz w:val="22"/>
              <w:lang w:val="en-US"/>
            </w:rPr>
          </w:pPr>
          <w:hyperlink w:anchor="_Toc54546059" w:history="1">
            <w:r w:rsidR="00635D2F">
              <w:rPr>
                <w:rStyle w:val="Hipercze"/>
                <w:noProof/>
              </w:rPr>
              <w:t>3.1.</w:t>
            </w:r>
            <w:r w:rsidR="00635D2F">
              <w:rPr>
                <w:rFonts w:asciiTheme="minorHAnsi" w:eastAsiaTheme="minorEastAsia" w:hAnsiTheme="minorHAnsi" w:cstheme="minorBidi"/>
                <w:noProof/>
                <w:sz w:val="22"/>
                <w:lang w:val="en-US"/>
              </w:rPr>
              <w:tab/>
            </w:r>
            <w:r w:rsidR="00635D2F">
              <w:rPr>
                <w:rStyle w:val="Hipercze"/>
                <w:noProof/>
              </w:rPr>
              <w:t>Działy wieloletnich ram finansowych i linie budżetowe po stronie wydatków, na które wniosek/inicjatywa ma wpływ</w:t>
            </w:r>
            <w:r w:rsidR="00635D2F">
              <w:rPr>
                <w:noProof/>
                <w:webHidden/>
              </w:rPr>
              <w:tab/>
            </w:r>
            <w:r w:rsidR="00635D2F">
              <w:rPr>
                <w:noProof/>
                <w:webHidden/>
              </w:rPr>
              <w:fldChar w:fldCharType="begin"/>
            </w:r>
            <w:r w:rsidR="00635D2F">
              <w:rPr>
                <w:noProof/>
                <w:webHidden/>
              </w:rPr>
              <w:instrText xml:space="preserve"> PAGEREF _Toc54546059 \h </w:instrText>
            </w:r>
            <w:r w:rsidR="00635D2F">
              <w:rPr>
                <w:noProof/>
                <w:webHidden/>
              </w:rPr>
            </w:r>
            <w:r w:rsidR="00635D2F">
              <w:rPr>
                <w:noProof/>
                <w:webHidden/>
              </w:rPr>
              <w:fldChar w:fldCharType="separate"/>
            </w:r>
            <w:r w:rsidR="00635D2F">
              <w:rPr>
                <w:noProof/>
                <w:webHidden/>
              </w:rPr>
              <w:t>28</w:t>
            </w:r>
            <w:r w:rsidR="00635D2F">
              <w:rPr>
                <w:noProof/>
                <w:webHidden/>
              </w:rPr>
              <w:fldChar w:fldCharType="end"/>
            </w:r>
          </w:hyperlink>
        </w:p>
        <w:p w:rsidR="00D3052E" w:rsidRDefault="001B6162">
          <w:pPr>
            <w:pStyle w:val="Spistreci2"/>
            <w:rPr>
              <w:rFonts w:asciiTheme="minorHAnsi" w:eastAsiaTheme="minorEastAsia" w:hAnsiTheme="minorHAnsi" w:cstheme="minorBidi"/>
              <w:noProof/>
              <w:sz w:val="22"/>
              <w:lang w:val="en-US"/>
            </w:rPr>
          </w:pPr>
          <w:hyperlink w:anchor="_Toc54546060" w:history="1">
            <w:r w:rsidR="00635D2F">
              <w:rPr>
                <w:rStyle w:val="Hipercze"/>
                <w:noProof/>
              </w:rPr>
              <w:t>3.2.</w:t>
            </w:r>
            <w:r w:rsidR="00635D2F">
              <w:rPr>
                <w:rFonts w:asciiTheme="minorHAnsi" w:eastAsiaTheme="minorEastAsia" w:hAnsiTheme="minorHAnsi" w:cstheme="minorBidi"/>
                <w:noProof/>
                <w:sz w:val="22"/>
                <w:lang w:val="en-US"/>
              </w:rPr>
              <w:tab/>
            </w:r>
            <w:r w:rsidR="00635D2F">
              <w:rPr>
                <w:rStyle w:val="Hipercze"/>
                <w:noProof/>
              </w:rPr>
              <w:t>Szacunkowy wpływ na wydatki</w:t>
            </w:r>
            <w:r w:rsidR="00635D2F">
              <w:rPr>
                <w:noProof/>
                <w:webHidden/>
              </w:rPr>
              <w:tab/>
            </w:r>
            <w:r w:rsidR="00635D2F">
              <w:rPr>
                <w:noProof/>
                <w:webHidden/>
              </w:rPr>
              <w:fldChar w:fldCharType="begin"/>
            </w:r>
            <w:r w:rsidR="00635D2F">
              <w:rPr>
                <w:noProof/>
                <w:webHidden/>
              </w:rPr>
              <w:instrText xml:space="preserve"> PAGEREF _Toc54546060 \h </w:instrText>
            </w:r>
            <w:r w:rsidR="00635D2F">
              <w:rPr>
                <w:noProof/>
                <w:webHidden/>
              </w:rPr>
            </w:r>
            <w:r w:rsidR="00635D2F">
              <w:rPr>
                <w:noProof/>
                <w:webHidden/>
              </w:rPr>
              <w:fldChar w:fldCharType="separate"/>
            </w:r>
            <w:r w:rsidR="00635D2F">
              <w:rPr>
                <w:noProof/>
                <w:webHidden/>
              </w:rPr>
              <w:t>30</w:t>
            </w:r>
            <w:r w:rsidR="00635D2F">
              <w:rPr>
                <w:noProof/>
                <w:webHidden/>
              </w:rPr>
              <w:fldChar w:fldCharType="end"/>
            </w:r>
          </w:hyperlink>
        </w:p>
        <w:p w:rsidR="00D3052E" w:rsidRDefault="001B6162">
          <w:pPr>
            <w:pStyle w:val="Spistreci3"/>
            <w:rPr>
              <w:rFonts w:asciiTheme="minorHAnsi" w:eastAsiaTheme="minorEastAsia" w:hAnsiTheme="minorHAnsi" w:cstheme="minorBidi"/>
              <w:noProof/>
              <w:sz w:val="22"/>
              <w:lang w:val="en-US"/>
            </w:rPr>
          </w:pPr>
          <w:hyperlink w:anchor="_Toc54546061" w:history="1">
            <w:r w:rsidR="00635D2F">
              <w:rPr>
                <w:rStyle w:val="Hipercze"/>
                <w:noProof/>
              </w:rPr>
              <w:t>3.2.1.</w:t>
            </w:r>
            <w:r w:rsidR="00635D2F">
              <w:rPr>
                <w:rFonts w:asciiTheme="minorHAnsi" w:eastAsiaTheme="minorEastAsia" w:hAnsiTheme="minorHAnsi" w:cstheme="minorBidi"/>
                <w:noProof/>
                <w:sz w:val="22"/>
                <w:lang w:val="en-US"/>
              </w:rPr>
              <w:tab/>
            </w:r>
            <w:r w:rsidR="00635D2F">
              <w:rPr>
                <w:rStyle w:val="Hipercze"/>
                <w:noProof/>
              </w:rPr>
              <w:t>Synteza szacunkowego wpływu na wydatki</w:t>
            </w:r>
            <w:r w:rsidR="00635D2F">
              <w:rPr>
                <w:noProof/>
                <w:webHidden/>
              </w:rPr>
              <w:tab/>
            </w:r>
            <w:r w:rsidR="00635D2F">
              <w:rPr>
                <w:noProof/>
                <w:webHidden/>
              </w:rPr>
              <w:fldChar w:fldCharType="begin"/>
            </w:r>
            <w:r w:rsidR="00635D2F">
              <w:rPr>
                <w:noProof/>
                <w:webHidden/>
              </w:rPr>
              <w:instrText xml:space="preserve"> PAGEREF _Toc54546061 \h </w:instrText>
            </w:r>
            <w:r w:rsidR="00635D2F">
              <w:rPr>
                <w:noProof/>
                <w:webHidden/>
              </w:rPr>
            </w:r>
            <w:r w:rsidR="00635D2F">
              <w:rPr>
                <w:noProof/>
                <w:webHidden/>
              </w:rPr>
              <w:fldChar w:fldCharType="separate"/>
            </w:r>
            <w:r w:rsidR="00635D2F">
              <w:rPr>
                <w:noProof/>
                <w:webHidden/>
              </w:rPr>
              <w:t>30</w:t>
            </w:r>
            <w:r w:rsidR="00635D2F">
              <w:rPr>
                <w:noProof/>
                <w:webHidden/>
              </w:rPr>
              <w:fldChar w:fldCharType="end"/>
            </w:r>
          </w:hyperlink>
        </w:p>
        <w:p w:rsidR="00D3052E" w:rsidRDefault="001B6162">
          <w:pPr>
            <w:pStyle w:val="Spistreci3"/>
            <w:rPr>
              <w:rFonts w:asciiTheme="minorHAnsi" w:eastAsiaTheme="minorEastAsia" w:hAnsiTheme="minorHAnsi" w:cstheme="minorBidi"/>
              <w:noProof/>
              <w:sz w:val="22"/>
              <w:lang w:val="en-US"/>
            </w:rPr>
          </w:pPr>
          <w:hyperlink w:anchor="_Toc54546062" w:history="1">
            <w:r w:rsidR="00635D2F">
              <w:rPr>
                <w:rStyle w:val="Hipercze"/>
                <w:noProof/>
              </w:rPr>
              <w:t>3.2.2.</w:t>
            </w:r>
            <w:r w:rsidR="00635D2F">
              <w:rPr>
                <w:rFonts w:asciiTheme="minorHAnsi" w:eastAsiaTheme="minorEastAsia" w:hAnsiTheme="minorHAnsi" w:cstheme="minorBidi"/>
                <w:noProof/>
                <w:sz w:val="22"/>
                <w:lang w:val="en-US"/>
              </w:rPr>
              <w:tab/>
            </w:r>
            <w:r w:rsidR="00635D2F">
              <w:rPr>
                <w:rStyle w:val="Hipercze"/>
                <w:noProof/>
              </w:rPr>
              <w:t>Szacunkowy wpływ na środki EEA i ECHA</w:t>
            </w:r>
            <w:r w:rsidR="00635D2F">
              <w:rPr>
                <w:noProof/>
                <w:webHidden/>
              </w:rPr>
              <w:tab/>
            </w:r>
            <w:r w:rsidR="00635D2F">
              <w:rPr>
                <w:noProof/>
                <w:webHidden/>
              </w:rPr>
              <w:fldChar w:fldCharType="begin"/>
            </w:r>
            <w:r w:rsidR="00635D2F">
              <w:rPr>
                <w:noProof/>
                <w:webHidden/>
              </w:rPr>
              <w:instrText xml:space="preserve"> PAGEREF _Toc54546062 \h </w:instrText>
            </w:r>
            <w:r w:rsidR="00635D2F">
              <w:rPr>
                <w:noProof/>
                <w:webHidden/>
              </w:rPr>
            </w:r>
            <w:r w:rsidR="00635D2F">
              <w:rPr>
                <w:noProof/>
                <w:webHidden/>
              </w:rPr>
              <w:fldChar w:fldCharType="separate"/>
            </w:r>
            <w:r w:rsidR="00635D2F">
              <w:rPr>
                <w:noProof/>
                <w:webHidden/>
              </w:rPr>
              <w:t>32</w:t>
            </w:r>
            <w:r w:rsidR="00635D2F">
              <w:rPr>
                <w:noProof/>
                <w:webHidden/>
              </w:rPr>
              <w:fldChar w:fldCharType="end"/>
            </w:r>
          </w:hyperlink>
        </w:p>
        <w:p w:rsidR="00D3052E" w:rsidRDefault="001B6162">
          <w:pPr>
            <w:pStyle w:val="Spistreci3"/>
            <w:rPr>
              <w:rFonts w:asciiTheme="minorHAnsi" w:eastAsiaTheme="minorEastAsia" w:hAnsiTheme="minorHAnsi" w:cstheme="minorBidi"/>
              <w:noProof/>
              <w:sz w:val="22"/>
              <w:lang w:val="en-US"/>
            </w:rPr>
          </w:pPr>
          <w:hyperlink w:anchor="_Toc54546063" w:history="1">
            <w:r w:rsidR="00635D2F">
              <w:rPr>
                <w:rStyle w:val="Hipercze"/>
                <w:noProof/>
              </w:rPr>
              <w:t>3.2.3.</w:t>
            </w:r>
            <w:r w:rsidR="00635D2F">
              <w:rPr>
                <w:rFonts w:asciiTheme="minorHAnsi" w:eastAsiaTheme="minorEastAsia" w:hAnsiTheme="minorHAnsi" w:cstheme="minorBidi"/>
                <w:noProof/>
                <w:sz w:val="22"/>
                <w:lang w:val="en-US"/>
              </w:rPr>
              <w:tab/>
            </w:r>
            <w:r w:rsidR="00635D2F">
              <w:rPr>
                <w:rStyle w:val="Hipercze"/>
                <w:noProof/>
              </w:rPr>
              <w:t>Szacunkowy wpływ na zasoby ludzkie EEA i ECHA</w:t>
            </w:r>
            <w:r w:rsidR="00635D2F">
              <w:rPr>
                <w:noProof/>
                <w:webHidden/>
              </w:rPr>
              <w:tab/>
            </w:r>
            <w:r w:rsidR="00635D2F">
              <w:rPr>
                <w:noProof/>
                <w:webHidden/>
              </w:rPr>
              <w:fldChar w:fldCharType="begin"/>
            </w:r>
            <w:r w:rsidR="00635D2F">
              <w:rPr>
                <w:noProof/>
                <w:webHidden/>
              </w:rPr>
              <w:instrText xml:space="preserve"> PAGEREF _Toc54546063 \h </w:instrText>
            </w:r>
            <w:r w:rsidR="00635D2F">
              <w:rPr>
                <w:noProof/>
                <w:webHidden/>
              </w:rPr>
            </w:r>
            <w:r w:rsidR="00635D2F">
              <w:rPr>
                <w:noProof/>
                <w:webHidden/>
              </w:rPr>
              <w:fldChar w:fldCharType="separate"/>
            </w:r>
            <w:r w:rsidR="00635D2F">
              <w:rPr>
                <w:noProof/>
                <w:webHidden/>
              </w:rPr>
              <w:t>33</w:t>
            </w:r>
            <w:r w:rsidR="00635D2F">
              <w:rPr>
                <w:noProof/>
                <w:webHidden/>
              </w:rPr>
              <w:fldChar w:fldCharType="end"/>
            </w:r>
          </w:hyperlink>
        </w:p>
        <w:p w:rsidR="00D3052E" w:rsidRDefault="001B6162">
          <w:pPr>
            <w:pStyle w:val="Spistreci3"/>
            <w:rPr>
              <w:rFonts w:asciiTheme="minorHAnsi" w:eastAsiaTheme="minorEastAsia" w:hAnsiTheme="minorHAnsi" w:cstheme="minorBidi"/>
              <w:noProof/>
              <w:sz w:val="22"/>
              <w:lang w:val="en-US"/>
            </w:rPr>
          </w:pPr>
          <w:hyperlink w:anchor="_Toc54546064" w:history="1">
            <w:r w:rsidR="00635D2F">
              <w:rPr>
                <w:rStyle w:val="Hipercze"/>
                <w:noProof/>
              </w:rPr>
              <w:t>3.2.4.</w:t>
            </w:r>
            <w:r w:rsidR="00635D2F">
              <w:rPr>
                <w:rFonts w:asciiTheme="minorHAnsi" w:eastAsiaTheme="minorEastAsia" w:hAnsiTheme="minorHAnsi" w:cstheme="minorBidi"/>
                <w:noProof/>
                <w:sz w:val="22"/>
                <w:lang w:val="en-US"/>
              </w:rPr>
              <w:tab/>
            </w:r>
            <w:r w:rsidR="00635D2F">
              <w:rPr>
                <w:rStyle w:val="Hipercze"/>
                <w:noProof/>
              </w:rPr>
              <w:t>Zgodność z obowiązującymi wieloletnimi ramami finansowymi</w:t>
            </w:r>
            <w:r w:rsidR="00635D2F">
              <w:rPr>
                <w:noProof/>
                <w:webHidden/>
              </w:rPr>
              <w:tab/>
            </w:r>
            <w:r w:rsidR="00635D2F">
              <w:rPr>
                <w:noProof/>
                <w:webHidden/>
              </w:rPr>
              <w:fldChar w:fldCharType="begin"/>
            </w:r>
            <w:r w:rsidR="00635D2F">
              <w:rPr>
                <w:noProof/>
                <w:webHidden/>
              </w:rPr>
              <w:instrText xml:space="preserve"> PAGEREF _Toc54546064 \h </w:instrText>
            </w:r>
            <w:r w:rsidR="00635D2F">
              <w:rPr>
                <w:noProof/>
                <w:webHidden/>
              </w:rPr>
            </w:r>
            <w:r w:rsidR="00635D2F">
              <w:rPr>
                <w:noProof/>
                <w:webHidden/>
              </w:rPr>
              <w:fldChar w:fldCharType="separate"/>
            </w:r>
            <w:r w:rsidR="00635D2F">
              <w:rPr>
                <w:noProof/>
                <w:webHidden/>
              </w:rPr>
              <w:t>36</w:t>
            </w:r>
            <w:r w:rsidR="00635D2F">
              <w:rPr>
                <w:noProof/>
                <w:webHidden/>
              </w:rPr>
              <w:fldChar w:fldCharType="end"/>
            </w:r>
          </w:hyperlink>
        </w:p>
        <w:p w:rsidR="00D3052E" w:rsidRDefault="001B6162">
          <w:pPr>
            <w:pStyle w:val="Spistreci3"/>
            <w:rPr>
              <w:rFonts w:asciiTheme="minorHAnsi" w:eastAsiaTheme="minorEastAsia" w:hAnsiTheme="minorHAnsi" w:cstheme="minorBidi"/>
              <w:noProof/>
              <w:sz w:val="22"/>
              <w:lang w:val="en-US"/>
            </w:rPr>
          </w:pPr>
          <w:hyperlink w:anchor="_Toc54546065" w:history="1">
            <w:r w:rsidR="00635D2F">
              <w:rPr>
                <w:rStyle w:val="Hipercze"/>
                <w:noProof/>
              </w:rPr>
              <w:t>3.2.5.</w:t>
            </w:r>
            <w:r w:rsidR="00635D2F">
              <w:rPr>
                <w:rFonts w:asciiTheme="minorHAnsi" w:eastAsiaTheme="minorEastAsia" w:hAnsiTheme="minorHAnsi" w:cstheme="minorBidi"/>
                <w:noProof/>
                <w:sz w:val="22"/>
                <w:lang w:val="en-US"/>
              </w:rPr>
              <w:tab/>
            </w:r>
            <w:r w:rsidR="00635D2F">
              <w:rPr>
                <w:rStyle w:val="Hipercze"/>
                <w:noProof/>
              </w:rPr>
              <w:t>Udział osób trzecich w finansowaniu</w:t>
            </w:r>
            <w:r w:rsidR="00635D2F">
              <w:rPr>
                <w:noProof/>
                <w:webHidden/>
              </w:rPr>
              <w:tab/>
            </w:r>
            <w:r w:rsidR="00635D2F">
              <w:rPr>
                <w:noProof/>
                <w:webHidden/>
              </w:rPr>
              <w:fldChar w:fldCharType="begin"/>
            </w:r>
            <w:r w:rsidR="00635D2F">
              <w:rPr>
                <w:noProof/>
                <w:webHidden/>
              </w:rPr>
              <w:instrText xml:space="preserve"> PAGEREF _Toc54546065 \h </w:instrText>
            </w:r>
            <w:r w:rsidR="00635D2F">
              <w:rPr>
                <w:noProof/>
                <w:webHidden/>
              </w:rPr>
            </w:r>
            <w:r w:rsidR="00635D2F">
              <w:rPr>
                <w:noProof/>
                <w:webHidden/>
              </w:rPr>
              <w:fldChar w:fldCharType="separate"/>
            </w:r>
            <w:r w:rsidR="00635D2F">
              <w:rPr>
                <w:noProof/>
                <w:webHidden/>
              </w:rPr>
              <w:t>36</w:t>
            </w:r>
            <w:r w:rsidR="00635D2F">
              <w:rPr>
                <w:noProof/>
                <w:webHidden/>
              </w:rPr>
              <w:fldChar w:fldCharType="end"/>
            </w:r>
          </w:hyperlink>
        </w:p>
        <w:p w:rsidR="00D3052E" w:rsidRDefault="001B6162">
          <w:pPr>
            <w:pStyle w:val="Spistreci2"/>
            <w:rPr>
              <w:rFonts w:asciiTheme="minorHAnsi" w:eastAsiaTheme="minorEastAsia" w:hAnsiTheme="minorHAnsi" w:cstheme="minorBidi"/>
              <w:noProof/>
              <w:sz w:val="22"/>
              <w:lang w:val="en-US"/>
            </w:rPr>
          </w:pPr>
          <w:hyperlink w:anchor="_Toc54546066" w:history="1">
            <w:r w:rsidR="00635D2F">
              <w:rPr>
                <w:rStyle w:val="Hipercze"/>
                <w:noProof/>
              </w:rPr>
              <w:t>3.3.</w:t>
            </w:r>
            <w:r w:rsidR="00635D2F">
              <w:rPr>
                <w:rFonts w:asciiTheme="minorHAnsi" w:eastAsiaTheme="minorEastAsia" w:hAnsiTheme="minorHAnsi" w:cstheme="minorBidi"/>
                <w:noProof/>
                <w:sz w:val="22"/>
                <w:lang w:val="en-US"/>
              </w:rPr>
              <w:tab/>
            </w:r>
            <w:r w:rsidR="00635D2F">
              <w:rPr>
                <w:rStyle w:val="Hipercze"/>
                <w:noProof/>
              </w:rPr>
              <w:t>Szacunkowy wpływ na dochody</w:t>
            </w:r>
            <w:r w:rsidR="00635D2F">
              <w:rPr>
                <w:noProof/>
                <w:webHidden/>
              </w:rPr>
              <w:tab/>
            </w:r>
            <w:r w:rsidR="00635D2F">
              <w:rPr>
                <w:noProof/>
                <w:webHidden/>
              </w:rPr>
              <w:fldChar w:fldCharType="begin"/>
            </w:r>
            <w:r w:rsidR="00635D2F">
              <w:rPr>
                <w:noProof/>
                <w:webHidden/>
              </w:rPr>
              <w:instrText xml:space="preserve"> PAGEREF _Toc54546066 \h </w:instrText>
            </w:r>
            <w:r w:rsidR="00635D2F">
              <w:rPr>
                <w:noProof/>
                <w:webHidden/>
              </w:rPr>
            </w:r>
            <w:r w:rsidR="00635D2F">
              <w:rPr>
                <w:noProof/>
                <w:webHidden/>
              </w:rPr>
              <w:fldChar w:fldCharType="separate"/>
            </w:r>
            <w:r w:rsidR="00635D2F">
              <w:rPr>
                <w:noProof/>
                <w:webHidden/>
              </w:rPr>
              <w:t>36</w:t>
            </w:r>
            <w:r w:rsidR="00635D2F">
              <w:rPr>
                <w:noProof/>
                <w:webHidden/>
              </w:rPr>
              <w:fldChar w:fldCharType="end"/>
            </w:r>
          </w:hyperlink>
        </w:p>
        <w:p w:rsidR="00D3052E" w:rsidRDefault="00635D2F">
          <w:pPr>
            <w:rPr>
              <w:noProof/>
            </w:rPr>
          </w:pPr>
          <w:r>
            <w:rPr>
              <w:b/>
              <w:bCs/>
              <w:noProof/>
            </w:rPr>
            <w:fldChar w:fldCharType="end"/>
          </w:r>
        </w:p>
      </w:sdtContent>
    </w:sdt>
    <w:p w:rsidR="00D3052E" w:rsidRDefault="00D3052E">
      <w:pPr>
        <w:rPr>
          <w:noProof/>
        </w:rPr>
        <w:sectPr w:rsidR="00D3052E">
          <w:pgSz w:w="12240" w:h="15840"/>
          <w:pgMar w:top="794" w:right="907" w:bottom="851" w:left="1361" w:header="510" w:footer="454" w:gutter="0"/>
          <w:cols w:space="720"/>
          <w:docGrid w:linePitch="326"/>
        </w:sectPr>
      </w:pPr>
    </w:p>
    <w:p w:rsidR="00D3052E" w:rsidRDefault="00635D2F">
      <w:pPr>
        <w:pStyle w:val="Fichefinancirestandardtitre"/>
        <w:rPr>
          <w:noProof/>
        </w:rPr>
      </w:pPr>
      <w:r>
        <w:rPr>
          <w:noProof/>
        </w:rPr>
        <w:lastRenderedPageBreak/>
        <w:t>DODATKOWA OCENA SKUTKÓW FINANSOWYCH REGULACJI – „AGENCJE”</w:t>
      </w:r>
    </w:p>
    <w:p w:rsidR="00D3052E" w:rsidRDefault="00635D2F">
      <w:pPr>
        <w:pStyle w:val="ManualHeading1"/>
        <w:rPr>
          <w:bCs/>
          <w:noProof/>
          <w:szCs w:val="24"/>
        </w:rPr>
      </w:pPr>
      <w:bookmarkStart w:id="1" w:name="_Toc514938659"/>
      <w:bookmarkStart w:id="2" w:name="_Toc520485418"/>
      <w:bookmarkStart w:id="3" w:name="_Toc54546035"/>
      <w:r>
        <w:t>1.</w:t>
      </w:r>
      <w:r>
        <w:tab/>
      </w:r>
      <w:r>
        <w:rPr>
          <w:noProof/>
        </w:rPr>
        <w:t>STRUKTURA WNIOSKU/INICJATYWY</w:t>
      </w:r>
      <w:bookmarkEnd w:id="1"/>
      <w:bookmarkEnd w:id="2"/>
      <w:bookmarkEnd w:id="3"/>
      <w:r>
        <w:rPr>
          <w:noProof/>
        </w:rPr>
        <w:t xml:space="preserve"> </w:t>
      </w:r>
    </w:p>
    <w:p w:rsidR="00D3052E" w:rsidRDefault="00635D2F">
      <w:pPr>
        <w:pStyle w:val="ManualHeading2"/>
        <w:rPr>
          <w:bCs/>
          <w:noProof/>
          <w:szCs w:val="24"/>
        </w:rPr>
      </w:pPr>
      <w:bookmarkStart w:id="4" w:name="_Toc514938660"/>
      <w:bookmarkStart w:id="5" w:name="_Toc520485419"/>
      <w:bookmarkStart w:id="6" w:name="_Toc54546036"/>
      <w:r>
        <w:t>1.1.</w:t>
      </w:r>
      <w:r>
        <w:tab/>
      </w:r>
      <w:r>
        <w:rPr>
          <w:noProof/>
        </w:rPr>
        <w:t>Tytuł wniosku/inicjatywy</w:t>
      </w:r>
      <w:bookmarkEnd w:id="4"/>
      <w:bookmarkEnd w:id="5"/>
      <w:bookmarkEnd w:id="6"/>
    </w:p>
    <w:p w:rsidR="00D3052E" w:rsidRDefault="00635D2F">
      <w:pPr>
        <w:pStyle w:val="Text1"/>
        <w:pBdr>
          <w:top w:val="single" w:sz="4" w:space="1" w:color="auto"/>
          <w:left w:val="single" w:sz="4" w:space="4" w:color="auto"/>
          <w:bottom w:val="single" w:sz="4" w:space="1" w:color="auto"/>
          <w:right w:val="single" w:sz="4" w:space="4" w:color="auto"/>
        </w:pBdr>
        <w:rPr>
          <w:noProof/>
          <w:color w:val="0000FF"/>
        </w:rPr>
      </w:pPr>
      <w:bookmarkStart w:id="7" w:name="_Toc514938661"/>
      <w:bookmarkStart w:id="8" w:name="_Toc520485420"/>
      <w:r>
        <w:rPr>
          <w:noProof/>
          <w:color w:val="0000FF"/>
        </w:rPr>
        <w:t>Decyzja Parlamentu Europejskiego i Rady w sprawie ogólnego unijnego programu działań w zakresie środowiska do 2030 r. mającego przyspieszyć przejście na gospodarkę neutralną dla klimatu, zasobooszczędną i regeneracyjną</w:t>
      </w:r>
    </w:p>
    <w:p w:rsidR="00D3052E" w:rsidRDefault="00635D2F">
      <w:pPr>
        <w:pStyle w:val="ManualHeading2"/>
        <w:rPr>
          <w:bCs/>
          <w:noProof/>
          <w:szCs w:val="24"/>
        </w:rPr>
      </w:pPr>
      <w:bookmarkStart w:id="9" w:name="_Toc54546037"/>
      <w:r>
        <w:t>1.2.</w:t>
      </w:r>
      <w:r>
        <w:tab/>
      </w:r>
      <w:r>
        <w:rPr>
          <w:noProof/>
        </w:rPr>
        <w:t>Dziedziny polityki, których dotyczy wniosek/inicjatywa</w:t>
      </w:r>
      <w:bookmarkEnd w:id="7"/>
      <w:bookmarkEnd w:id="8"/>
      <w:bookmarkEnd w:id="9"/>
    </w:p>
    <w:p w:rsidR="00D3052E" w:rsidRDefault="00635D2F">
      <w:pPr>
        <w:pStyle w:val="Text1"/>
        <w:pBdr>
          <w:top w:val="single" w:sz="4" w:space="1" w:color="auto"/>
          <w:left w:val="single" w:sz="4" w:space="4" w:color="auto"/>
          <w:bottom w:val="single" w:sz="4" w:space="1" w:color="auto"/>
          <w:right w:val="single" w:sz="4" w:space="4" w:color="auto"/>
        </w:pBdr>
        <w:rPr>
          <w:noProof/>
          <w:color w:val="0000FF"/>
        </w:rPr>
      </w:pPr>
      <w:bookmarkStart w:id="10" w:name="_Toc514938662"/>
      <w:bookmarkStart w:id="11" w:name="_Toc520485421"/>
      <w:r>
        <w:rPr>
          <w:noProof/>
          <w:color w:val="0000FF"/>
        </w:rPr>
        <w:t xml:space="preserve">Dziedziny polityki: 09 Środowisko i działania w dziedzinie klimatu </w:t>
      </w:r>
    </w:p>
    <w:p w:rsidR="00D3052E" w:rsidRDefault="00635D2F">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 xml:space="preserve">Działania: </w:t>
      </w:r>
    </w:p>
    <w:p w:rsidR="00D3052E" w:rsidRDefault="00635D2F">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 xml:space="preserve">09 02 – Program działań na rzecz środowiska i klimatu (LIFE) </w:t>
      </w:r>
    </w:p>
    <w:p w:rsidR="00D3052E" w:rsidRDefault="00635D2F">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09 10 – Europejska Agencja Środowiska i Europejska Agencja Chemikaliów</w:t>
      </w:r>
      <w:r>
        <w:rPr>
          <w:noProof/>
          <w:color w:val="0000FF"/>
          <w:highlight w:val="yellow"/>
        </w:rPr>
        <w:t xml:space="preserve"> </w:t>
      </w:r>
    </w:p>
    <w:p w:rsidR="00D3052E" w:rsidRDefault="00635D2F">
      <w:pPr>
        <w:pStyle w:val="ManualHeading2"/>
        <w:rPr>
          <w:bCs/>
          <w:noProof/>
          <w:szCs w:val="24"/>
        </w:rPr>
      </w:pPr>
      <w:bookmarkStart w:id="12" w:name="_Toc54546038"/>
      <w:r>
        <w:t>1.3.</w:t>
      </w:r>
      <w:r>
        <w:tab/>
      </w:r>
      <w:r>
        <w:rPr>
          <w:noProof/>
        </w:rPr>
        <w:t>Wniosek dotyczy</w:t>
      </w:r>
      <w:bookmarkEnd w:id="10"/>
      <w:bookmarkEnd w:id="11"/>
      <w:bookmarkEnd w:id="12"/>
      <w:r>
        <w:rPr>
          <w:noProof/>
        </w:rPr>
        <w:t xml:space="preserve"> </w:t>
      </w:r>
    </w:p>
    <w:p w:rsidR="00D3052E" w:rsidRDefault="00635D2F">
      <w:pPr>
        <w:pStyle w:val="Text1"/>
        <w:rPr>
          <w:b/>
          <w:noProof/>
        </w:rPr>
      </w:pPr>
      <w:r>
        <w:rPr>
          <w:noProof/>
        </w:rPr>
        <w:sym w:font="Wingdings" w:char="F0FE"/>
      </w:r>
      <w:r>
        <w:rPr>
          <w:b/>
          <w:i/>
          <w:noProof/>
        </w:rPr>
        <w:t xml:space="preserve"> </w:t>
      </w:r>
      <w:r>
        <w:rPr>
          <w:b/>
          <w:noProof/>
        </w:rPr>
        <w:t xml:space="preserve">nowego działania </w:t>
      </w:r>
    </w:p>
    <w:p w:rsidR="00D3052E" w:rsidRDefault="00635D2F">
      <w:pPr>
        <w:pStyle w:val="Text1"/>
        <w:rPr>
          <w:noProof/>
          <w:sz w:val="22"/>
        </w:rPr>
      </w:pPr>
      <w:r>
        <w:rPr>
          <w:noProof/>
        </w:rPr>
        <w:sym w:font="Wingdings" w:char="F0A8"/>
      </w:r>
      <w:r>
        <w:rPr>
          <w:i/>
          <w:noProof/>
        </w:rPr>
        <w:t xml:space="preserve"> </w:t>
      </w:r>
      <w:r>
        <w:rPr>
          <w:b/>
          <w:noProof/>
        </w:rPr>
        <w:t>nowego działania, będącego następstwem projektu pilotażowego/działania przygotowawczego</w:t>
      </w:r>
      <w:r>
        <w:rPr>
          <w:rStyle w:val="Odwoanieprzypisudolnego"/>
          <w:b/>
          <w:noProof/>
        </w:rPr>
        <w:footnoteReference w:id="36"/>
      </w:r>
      <w:r>
        <w:rPr>
          <w:noProof/>
          <w:sz w:val="22"/>
        </w:rPr>
        <w:t xml:space="preserve"> </w:t>
      </w:r>
    </w:p>
    <w:p w:rsidR="00D3052E" w:rsidRDefault="00635D2F">
      <w:pPr>
        <w:pStyle w:val="Text1"/>
        <w:rPr>
          <w:noProof/>
        </w:rPr>
      </w:pPr>
      <w:r>
        <w:rPr>
          <w:noProof/>
        </w:rPr>
        <w:sym w:font="Wingdings" w:char="F0FE"/>
      </w:r>
      <w:r>
        <w:rPr>
          <w:i/>
          <w:noProof/>
        </w:rPr>
        <w:t xml:space="preserve"> </w:t>
      </w:r>
      <w:r>
        <w:rPr>
          <w:b/>
          <w:noProof/>
        </w:rPr>
        <w:t>przedłużenia bieżącego działania</w:t>
      </w:r>
      <w:r>
        <w:rPr>
          <w:noProof/>
        </w:rPr>
        <w:t xml:space="preserve"> </w:t>
      </w:r>
    </w:p>
    <w:p w:rsidR="00D3052E" w:rsidRDefault="00635D2F">
      <w:pPr>
        <w:pStyle w:val="Text1"/>
        <w:rPr>
          <w:noProof/>
        </w:rPr>
      </w:pPr>
      <w:r>
        <w:rPr>
          <w:noProof/>
        </w:rPr>
        <w:sym w:font="Wingdings" w:char="F0A8"/>
      </w:r>
      <w:r>
        <w:rPr>
          <w:i/>
          <w:noProof/>
        </w:rPr>
        <w:t xml:space="preserve"> </w:t>
      </w:r>
      <w:r>
        <w:rPr>
          <w:b/>
          <w:noProof/>
        </w:rPr>
        <w:t>połączenia co najmniej jednego</w:t>
      </w:r>
      <w:r>
        <w:rPr>
          <w:noProof/>
        </w:rPr>
        <w:t xml:space="preserve"> </w:t>
      </w:r>
      <w:r>
        <w:rPr>
          <w:b/>
          <w:noProof/>
        </w:rPr>
        <w:t>działania w inne lub nowe działanie</w:t>
      </w:r>
      <w:r>
        <w:rPr>
          <w:noProof/>
        </w:rPr>
        <w:t xml:space="preserve"> </w:t>
      </w:r>
    </w:p>
    <w:p w:rsidR="00D3052E" w:rsidRDefault="00635D2F">
      <w:pPr>
        <w:pStyle w:val="ManualHeading2"/>
        <w:rPr>
          <w:bCs/>
          <w:noProof/>
          <w:szCs w:val="24"/>
        </w:rPr>
      </w:pPr>
      <w:bookmarkStart w:id="13" w:name="_Toc514938663"/>
      <w:bookmarkStart w:id="14" w:name="_Toc520485422"/>
      <w:bookmarkStart w:id="15" w:name="_Toc54546039"/>
      <w:r>
        <w:t>1.4.</w:t>
      </w:r>
      <w:r>
        <w:tab/>
      </w:r>
      <w:r>
        <w:rPr>
          <w:noProof/>
        </w:rPr>
        <w:t>Cel(e)</w:t>
      </w:r>
      <w:bookmarkEnd w:id="13"/>
      <w:bookmarkEnd w:id="14"/>
      <w:bookmarkEnd w:id="15"/>
    </w:p>
    <w:p w:rsidR="00D3052E" w:rsidRDefault="00635D2F">
      <w:pPr>
        <w:pStyle w:val="ManualHeading3"/>
        <w:rPr>
          <w:noProof/>
        </w:rPr>
      </w:pPr>
      <w:bookmarkStart w:id="16" w:name="_Toc514938664"/>
      <w:bookmarkStart w:id="17" w:name="_Toc520485423"/>
      <w:bookmarkStart w:id="18" w:name="_Toc54546040"/>
      <w:r>
        <w:t>1.4.1.</w:t>
      </w:r>
      <w:r>
        <w:tab/>
      </w:r>
      <w:r>
        <w:rPr>
          <w:noProof/>
        </w:rPr>
        <w:t>Cel(e) ogólny(e)</w:t>
      </w:r>
      <w:bookmarkEnd w:id="16"/>
      <w:bookmarkEnd w:id="17"/>
      <w:bookmarkEnd w:id="18"/>
      <w:r>
        <w:rPr>
          <w:noProof/>
        </w:rPr>
        <w:t xml:space="preserve"> </w:t>
      </w:r>
    </w:p>
    <w:p w:rsidR="00D3052E" w:rsidRDefault="00635D2F">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Przyspieszenie przejścia Unii na gospodarkę neutralną dla klimatu, czystą, zasobooszczędną i restoratywną w sprawiedliwy i sprzyjający włączeniu społecznemu sposób oraz osiągnięcie celów środowiskowych oenzetowskiej agendy 2030 i jej celów zrównoważonego rozwoju, całkowicie zgodnych z celami środowiskowymi Europejskiego Zielonego Ładu.</w:t>
      </w:r>
    </w:p>
    <w:p w:rsidR="00D3052E" w:rsidRDefault="00635D2F">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rPr>
        <w:t xml:space="preserve">Przyczynienie się do stworzenia lepiej zintegrowanych, spójnych, wielodyscyplinarnych ram monitorowania i sprawozdawczości dotyczących polityki ochrony środowiska i klimatu, z pełnym uwzględnieniem celów porozumienia paryskiego, celów zrównoważonego rozwoju i Europejskiego Zielonego Ładu. </w:t>
      </w:r>
    </w:p>
    <w:p w:rsidR="00D3052E" w:rsidRDefault="00635D2F">
      <w:pPr>
        <w:pStyle w:val="ManualHeading3"/>
        <w:rPr>
          <w:bCs/>
          <w:noProof/>
          <w:szCs w:val="24"/>
        </w:rPr>
      </w:pPr>
      <w:bookmarkStart w:id="19" w:name="_Toc514938665"/>
      <w:bookmarkStart w:id="20" w:name="_Toc520485424"/>
      <w:bookmarkStart w:id="21" w:name="_Toc54546041"/>
      <w:r>
        <w:t>1.4.2.</w:t>
      </w:r>
      <w:r>
        <w:tab/>
      </w:r>
      <w:r>
        <w:rPr>
          <w:noProof/>
        </w:rPr>
        <w:t>Cel(e) szczegółowy(e)</w:t>
      </w:r>
      <w:bookmarkEnd w:id="19"/>
      <w:bookmarkEnd w:id="20"/>
      <w:bookmarkEnd w:id="21"/>
      <w:r>
        <w:rPr>
          <w:noProof/>
        </w:rPr>
        <w:t xml:space="preserve"> </w:t>
      </w:r>
    </w:p>
    <w:p w:rsidR="00D3052E" w:rsidRDefault="00635D2F">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 xml:space="preserve">W 2015 r. osiagnięto przełomowe porozumienia międzynarodowe wraz z przyjęciem </w:t>
      </w:r>
      <w:hyperlink r:id="rId12" w:history="1">
        <w:r>
          <w:rPr>
            <w:rStyle w:val="Hipercze"/>
            <w:noProof/>
          </w:rPr>
          <w:t>celów zrównoważonego rozwoju</w:t>
        </w:r>
      </w:hyperlink>
      <w:r>
        <w:rPr>
          <w:noProof/>
        </w:rPr>
        <w:t xml:space="preserve"> </w:t>
      </w:r>
      <w:r>
        <w:rPr>
          <w:noProof/>
          <w:color w:val="0000FF"/>
        </w:rPr>
        <w:t xml:space="preserve">Organizacji Narodów Zjednoczonych i </w:t>
      </w:r>
      <w:hyperlink r:id="rId13" w:history="1">
        <w:r>
          <w:rPr>
            <w:rStyle w:val="Hipercze"/>
            <w:noProof/>
          </w:rPr>
          <w:t>porozumienia klimatycznego z Paryża (COP 21)</w:t>
        </w:r>
      </w:hyperlink>
      <w:r>
        <w:rPr>
          <w:noProof/>
        </w:rPr>
        <w:t xml:space="preserve">. </w:t>
      </w:r>
      <w:r>
        <w:rPr>
          <w:noProof/>
          <w:color w:val="0000FF"/>
        </w:rPr>
        <w:t>Zobowiązania te wraz z rosnącą świadomością dotyczącą konieczności przeciwdziałania zagrożeniom związanym ze zmianą klimatu, degradacją środowiska i zrównoważonym rozwojem wymagają skutecznego 8. unijnego programu działań w zakresie środowiska.</w:t>
      </w:r>
    </w:p>
    <w:p w:rsidR="00D3052E" w:rsidRDefault="00635D2F">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 xml:space="preserve">W sprawozdaniu o stanie środowiska Europy i prognozach jego zmian z 2020 r. (SOER 2020) przedstawionym przez EEA w dniu 4 grudnia 2019 r. stwierdzono, że </w:t>
      </w:r>
      <w:r>
        <w:rPr>
          <w:noProof/>
          <w:color w:val="0000FF"/>
          <w:szCs w:val="24"/>
        </w:rPr>
        <w:t xml:space="preserve">Europa stoi obecnie w obliczu wyzwań środowiskowych, klimatycznych i wyzwań związanych ze zrównoważonym </w:t>
      </w:r>
      <w:r>
        <w:rPr>
          <w:noProof/>
          <w:color w:val="0000FF"/>
          <w:szCs w:val="24"/>
        </w:rPr>
        <w:lastRenderedPageBreak/>
        <w:t>rozwojem o bezprecedensowej skali i stopniu pilności; wyzwania te wymagają podjęcia niezwłocznych i wspólnych działań oraz przyjęcia pilnych rozwiązań systemowych. Chociaż ostatnie wysiłki polityczne UE przyniosły znaczne korzyści, nadal występują problemy dotyczące utraty różnorodności biologicznej, wykorzystania zasobów, konieczności zwalczania zmiany klimatu i jej skutków oraz zagrożeń dla zdrowia i dobrostanu ludzi. Aby zlikwidować luki między stanem środowiska a celami środowiskowymi do 2030 r., nadal ważne jest skupienie się na wdrażaniu, co wymaga finansowania, zaangażowania zainteresowanych stron, opartego na współpracy podejścia do wielopoziomowego sprawowania rządów oraz solidnej bazy wiedzy. Konieczne są opracowanie bardziej systemowych długoterminowych ram politycznych, innowacja na potrzeby zmian społecznych, przekierowanie inwestycji i finansowania oraz zarządzanie społecznie uczciwą i sprawiedliwą transformacją.</w:t>
      </w:r>
    </w:p>
    <w:p w:rsidR="00D3052E" w:rsidRDefault="00635D2F">
      <w:pPr>
        <w:pBdr>
          <w:top w:val="single" w:sz="4" w:space="1" w:color="auto"/>
          <w:left w:val="single" w:sz="4" w:space="4" w:color="auto"/>
          <w:bottom w:val="single" w:sz="4" w:space="0" w:color="auto"/>
          <w:right w:val="single" w:sz="4" w:space="4" w:color="auto"/>
        </w:pBdr>
        <w:ind w:left="850"/>
        <w:rPr>
          <w:rFonts w:eastAsia="Times New Roman"/>
          <w:noProof/>
          <w:color w:val="0000FF"/>
          <w:szCs w:val="24"/>
        </w:rPr>
      </w:pPr>
      <w:r>
        <w:rPr>
          <w:noProof/>
          <w:color w:val="0000FF"/>
          <w:szCs w:val="24"/>
        </w:rPr>
        <w:t xml:space="preserve">W ramach Europejskiego Zielonego Ładu, zaprezentowanego w dniu 11 grudnia 2019 r., ogłoszono 8. EAP o funkcji uzupełniającej, który przyczyni się do zapewnienia wdrożenia, egzekwowania i skutecznej realizacji polityk ochrony środowiska i polityk klimatycznych oraz prawodawstwa dotyczącego tych obszarów, a także do włączenia nowych ram monitorowania. </w:t>
      </w:r>
      <w:r>
        <w:rPr>
          <w:noProof/>
          <w:color w:val="0000FF"/>
        </w:rPr>
        <w:t>W</w:t>
      </w:r>
      <w:r>
        <w:rPr>
          <w:noProof/>
          <w:color w:val="0000FF"/>
          <w:szCs w:val="24"/>
        </w:rPr>
        <w:t> </w:t>
      </w:r>
      <w:r>
        <w:rPr>
          <w:noProof/>
          <w:color w:val="0000FF"/>
        </w:rPr>
        <w:t xml:space="preserve">niniejszym wniosku przedstawiono decyzję w sprawie 8. unijnego programu działań w zakresie środowiska do 2030 r., aby przyspieszyć przejście na neutralną dla klimatu, zasobooszczędną i regeneracyjną gospodarkę ukierunkowaną na wsparcie Europejskiego Zielonego Ładu. </w:t>
      </w:r>
    </w:p>
    <w:p w:rsidR="00D3052E" w:rsidRDefault="00635D2F">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Jednym z głównych działań przewidzianych w 8. EAP, ogłoszonym w ramach Europejskiego Zielonego Ładu, są nowe ramy monitowania służące mierzeniu postępów UE i jej państw członkowskich w osiąganiu celów priorytetowych programu oraz określonej w nim wizji na 2050 r., którą jest „Dobra jakość życia z uwzględnieniem ograniczeń naszej planety”. Chociaż UE ustanowiła kilka ram monitorowania, za pośrednictwem których mierzy się postępy w realizacji uzgodnionych celów środowiskowych, wciąż rzeczywiście brakuje kompleksowych ram określonych w prawie Unii mających na celu zapewnienie skoordynowanego podejścia do ogólnego osiągnięcia unijnych celów środowiskowych i klimatycznych oraz do ich przyczynienia się do zrównoważoności, dobrostanu i odporności. Jest to również szansa na powiązanie monitorowania polityki ochrony środowiska z bieżącymi kierunkami prac we Wspólnym Centrum Badawczym, w EEA i innych instytucjach nad ograniczeniami planety (np. zużyciem wody słodkiej, zmianą użytkowania gruntów, zakwaszaniem oceanów) i nad unijnym śladem konsumpcyjnym.</w:t>
      </w:r>
    </w:p>
    <w:p w:rsidR="00D3052E" w:rsidRDefault="00635D2F">
      <w:pPr>
        <w:pBdr>
          <w:top w:val="single" w:sz="4" w:space="1" w:color="auto"/>
          <w:left w:val="single" w:sz="4" w:space="4" w:color="auto"/>
          <w:bottom w:val="single" w:sz="4" w:space="0" w:color="auto"/>
          <w:right w:val="single" w:sz="4" w:space="4" w:color="auto"/>
        </w:pBdr>
        <w:ind w:left="850"/>
        <w:rPr>
          <w:noProof/>
          <w:color w:val="0000FF"/>
          <w:szCs w:val="24"/>
        </w:rPr>
      </w:pPr>
      <w:r>
        <w:rPr>
          <w:noProof/>
          <w:color w:val="0000FF"/>
        </w:rPr>
        <w:t xml:space="preserve">Nowe ramy monitorowania będą opierać się na istniejących środowiskowych i klimatycznych ramach monitorowania lub zarządzania, w tym ramach zarządzania unią energetyczną i działaniami w dziedzinie klimatu oraz przeglądzie wdrażania polityki ochrony środowiska, pozostaną bez uszczerbku dla tych ram i będą stanowić ich uzupełnienie. Będą one </w:t>
      </w:r>
      <w:r>
        <w:rPr>
          <w:noProof/>
          <w:color w:val="0000FF"/>
          <w:szCs w:val="24"/>
        </w:rPr>
        <w:t>w</w:t>
      </w:r>
      <w:r>
        <w:rPr>
          <w:noProof/>
          <w:color w:val="0000FF"/>
        </w:rPr>
        <w:t> </w:t>
      </w:r>
      <w:r>
        <w:rPr>
          <w:noProof/>
          <w:color w:val="0000FF"/>
          <w:szCs w:val="24"/>
        </w:rPr>
        <w:t xml:space="preserve">pełni zgodne z bieżącymi kierunkami prac w następstwie wyników osiągniętych w ramach Europejskiego Zielonego Ładu, takich jak nowe ramy monitorowania różnorodności biologicznej i zerowego poziomu emisji zanieczyszczeń, jak również zaktualizowane ramy monitorowania gospodarki o obiegu zamkniętym. W związku z tym podstawą monitorowania za pośrednictwem 8. EAP będą głównie istniejące dane, narzędzia monitorowania i sprawozdawczości, unikanie powielania i obciążenia administracyjnego państw członkowskich i ograniczenie tego obciążenia, przy jednoczesnym wykorzystaniu tej okazji do zniwelowania luk wskaźnikowych (zerowy poziom emisji zanieczyszczeń i związek między środowiskiem i polityką socjalną). Dokładniej rzecz ujmując, opiera się ono na osiągnięciach dokonanych za pomocą działań na rzecz usprawnienia sprawozdawczości w dziedzinie </w:t>
      </w:r>
      <w:r>
        <w:rPr>
          <w:noProof/>
          <w:color w:val="0000FF"/>
          <w:szCs w:val="24"/>
        </w:rPr>
        <w:lastRenderedPageBreak/>
        <w:t>środowiska prowadzonej już od 2017 r.</w:t>
      </w:r>
      <w:r>
        <w:rPr>
          <w:rStyle w:val="Odwoanieprzypisudolnego"/>
        </w:rPr>
        <w:footnoteReference w:id="37"/>
      </w:r>
      <w:r>
        <w:rPr>
          <w:noProof/>
          <w:color w:val="0000FF"/>
          <w:szCs w:val="24"/>
        </w:rPr>
        <w:t xml:space="preserve">, tym samym pomagając w opracowaniu spójnych przekazów w ramach różnych czynności z zakresu monitorowania. </w:t>
      </w:r>
    </w:p>
    <w:p w:rsidR="00D3052E" w:rsidRDefault="00635D2F">
      <w:pPr>
        <w:pBdr>
          <w:top w:val="single" w:sz="4" w:space="1" w:color="auto"/>
          <w:left w:val="single" w:sz="4" w:space="4" w:color="auto"/>
          <w:bottom w:val="single" w:sz="4" w:space="0" w:color="auto"/>
          <w:right w:val="single" w:sz="4" w:space="4" w:color="auto"/>
        </w:pBdr>
        <w:ind w:left="850"/>
        <w:rPr>
          <w:noProof/>
          <w:color w:val="0000FF"/>
        </w:rPr>
      </w:pPr>
      <w:r>
        <w:rPr>
          <w:b/>
          <w:i/>
          <w:noProof/>
          <w:color w:val="0000FF"/>
          <w:szCs w:val="24"/>
        </w:rPr>
        <w:t>Ramy monitorowania</w:t>
      </w:r>
      <w:r>
        <w:rPr>
          <w:noProof/>
          <w:color w:val="0000FF"/>
          <w:szCs w:val="24"/>
        </w:rPr>
        <w:t xml:space="preserve"> powinny zapewniać odpowiedzialność za zobowiązania i wywiązanie się z nich oraz wyraźne, oparte na wynikach wskaźniki mające na celu mierzenie postępów i służące jako podstawa </w:t>
      </w:r>
      <w:r>
        <w:rPr>
          <w:noProof/>
          <w:color w:val="0000FF"/>
        </w:rPr>
        <w:t>oraz być spójne z </w:t>
      </w:r>
      <w:r>
        <w:rPr>
          <w:noProof/>
          <w:color w:val="0000FF"/>
          <w:szCs w:val="24"/>
        </w:rPr>
        <w:t xml:space="preserve">istniejącymi ramami monitorowania i narzędziami sprawozdawczości, którymi posługuje się głównie, ale nie tylko, Europejska Agencja Środowiska i jej Europejska Sieć Informacji i Obserwacji Środowisk, przy jednoczesnym unikaniu powielonego i dodatkowego obciążenia administracyjnego państw członkowskich oraz innych organów sprawozdawczych. Europejską Agencję Chemikaliów również wzywa się do wniesienia wkładu w realizację tego zadania i przekazywania informacji na temat zrównoważonego stosowania chemikaliów. </w:t>
      </w:r>
    </w:p>
    <w:p w:rsidR="00D3052E" w:rsidRDefault="00635D2F">
      <w:pPr>
        <w:pBdr>
          <w:top w:val="single" w:sz="4" w:space="1" w:color="auto"/>
          <w:left w:val="single" w:sz="4" w:space="4" w:color="auto"/>
          <w:bottom w:val="single" w:sz="4" w:space="0" w:color="auto"/>
          <w:right w:val="single" w:sz="4" w:space="4" w:color="auto"/>
        </w:pBdr>
        <w:ind w:left="850"/>
        <w:rPr>
          <w:noProof/>
          <w:color w:val="0033CC"/>
        </w:rPr>
      </w:pPr>
      <w:r>
        <w:rPr>
          <w:noProof/>
          <w:color w:val="0000FF"/>
        </w:rPr>
        <w:t xml:space="preserve">Aby prowadzić i wspierać </w:t>
      </w:r>
      <w:r>
        <w:rPr>
          <w:b/>
          <w:i/>
          <w:noProof/>
          <w:color w:val="0000FF"/>
        </w:rPr>
        <w:t>ramy monitorowania</w:t>
      </w:r>
      <w:r>
        <w:rPr>
          <w:b/>
          <w:noProof/>
          <w:color w:val="0000FF"/>
        </w:rPr>
        <w:t xml:space="preserve"> przewidziane w 8. EAP</w:t>
      </w:r>
      <w:r>
        <w:rPr>
          <w:noProof/>
          <w:color w:val="0000FF"/>
        </w:rPr>
        <w:t>, konieczne jest przekazanie dodatkowych zasobów Europejskiej Agencji Środowiska (EEA) i Europejskiej Agencji Chemikaliów (ECHA). Zasoby te nie są nowymi zasobami, tylko zostaną przekazane agencjom z programu LIFE (z którego wspierana jest również ich główna działalność), aby zachować zgodność z wnioskiem w sprawie wieloletnich ram finansowych obecnie będącym przedmiotem negocjacji z władzą budżetową. Zasoby zostaną wykorzystane zarówno na potrzeby zwiększenia liczby pracowników agencji, którzy będą prowadzić prace nad Europejskim Zielonym Ładem, jak i – w szczególności – na wspieranie prac z zakresu monitorowania i sprawozdawczości realizowanych w ramach 8. EAP i włączanie się do tych prac. Ściślej rzecz biorąc:</w:t>
      </w:r>
    </w:p>
    <w:p w:rsidR="00D3052E" w:rsidRDefault="00635D2F">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 xml:space="preserve">• </w:t>
      </w:r>
      <w:r>
        <w:rPr>
          <w:b/>
          <w:noProof/>
          <w:color w:val="0000FF"/>
        </w:rPr>
        <w:t>Europejska Agencja Środowiska (EEA</w:t>
      </w:r>
      <w:r>
        <w:rPr>
          <w:noProof/>
          <w:color w:val="0000FF"/>
        </w:rPr>
        <w:t xml:space="preserve">): prace EEA z zakresu monitorowania i sprawozdawczości dotyczące różnych polityk ochrony środowiska i polityk klimatycznych oraz prace nad sprawozdaniem „Stan środowiska” (SOER) będą stanowiły podstawę ram monitorowania. Należy dostosować i wzmocnić nową strategię EEA i przewidziany w niej wieloletni program prac oraz zasoby EEA na potrzeby zapewnienia dynamicznego, spójnego, wielopoziomowego i przekrojowego monitorowania na podstawie łączenia różnych źródeł informacji i umożliwiającego sprawozdawczość na wielu szczeblach (krajowym, regionalnym, międzynarodowym). Ramy monitorowania należy dopasować do zidentyfikowanych wymogów i potrzeb 8. EAP w zakresie sprawozdawczości, co pozwoli na skuteczne informowanie obywateli o wyzwaniach i reakcjach na nie oraz na ułatwienie rozmów politycznych wysokiego szczebla w Parlamencie Europejskim i Radzie. </w:t>
      </w:r>
    </w:p>
    <w:p w:rsidR="00D3052E" w:rsidRDefault="00635D2F">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 xml:space="preserve">Monitorowanie i sprawozdawczość na temat „Stanu środowiska” wchodzą w zakres aktualnych uprawnień określonych w rozporządzeniu ustanawiającym EEA, natomiast powyższe zadania dotyczące monitorowania i sprawozdawczości </w:t>
      </w:r>
      <w:r>
        <w:rPr>
          <w:b/>
          <w:noProof/>
          <w:color w:val="0000FF"/>
        </w:rPr>
        <w:t>będą obejmować dodatkowe zadania dla EEA</w:t>
      </w:r>
      <w:r>
        <w:rPr>
          <w:noProof/>
          <w:color w:val="0000FF"/>
        </w:rPr>
        <w:t xml:space="preserve"> i w związku z tym wymagają większych zasobów. W następstwie szczegółowej analizy przeprowadzonej wspólnie z EEA w celu zbadania możliwych synergii, ale również na potrzeby strategicznego zaplanowania przyszłych prac w odpowiedzi na priorytety Europejskiego Zielonego Ładu, od 2021 r. w EEA niezbędne będą następujące dodatkowe nowe stanowiska obejmujące okres nowych wieloletnich ram finansowych (lata 2021–2027): </w:t>
      </w:r>
    </w:p>
    <w:p w:rsidR="00D3052E" w:rsidRDefault="00635D2F">
      <w:pPr>
        <w:pBdr>
          <w:top w:val="single" w:sz="4" w:space="1" w:color="auto"/>
          <w:left w:val="single" w:sz="4" w:space="4" w:color="auto"/>
          <w:bottom w:val="single" w:sz="4" w:space="0" w:color="auto"/>
          <w:right w:val="single" w:sz="4" w:space="4" w:color="auto"/>
        </w:pBdr>
        <w:ind w:left="850"/>
        <w:rPr>
          <w:noProof/>
          <w:color w:val="0000FF"/>
        </w:rPr>
      </w:pPr>
      <w:r>
        <w:rPr>
          <w:b/>
          <w:noProof/>
          <w:color w:val="0000FF"/>
        </w:rPr>
        <w:t>9 stanowisk dla personelu zatrudnionego na czas określony i 6 dla personelu kontraktowego</w:t>
      </w:r>
      <w:r>
        <w:rPr>
          <w:noProof/>
          <w:color w:val="0000FF"/>
        </w:rPr>
        <w:t xml:space="preserve"> na potrzeby poniższych nowych zadań i działań: </w:t>
      </w:r>
    </w:p>
    <w:p w:rsidR="00D3052E" w:rsidRDefault="00635D2F">
      <w:pPr>
        <w:pBdr>
          <w:top w:val="single" w:sz="4" w:space="1" w:color="auto"/>
          <w:left w:val="single" w:sz="4" w:space="4" w:color="auto"/>
          <w:bottom w:val="single" w:sz="4" w:space="0" w:color="auto"/>
          <w:right w:val="single" w:sz="4" w:space="4" w:color="auto"/>
        </w:pBdr>
        <w:ind w:left="850" w:firstLine="284"/>
        <w:rPr>
          <w:noProof/>
          <w:color w:val="0000FF"/>
        </w:rPr>
      </w:pPr>
      <w:r>
        <w:rPr>
          <w:noProof/>
          <w:color w:val="0000FF"/>
        </w:rPr>
        <w:t xml:space="preserve">aktualizacji ram monitorowania gospodarki o obiegu zamkniętym (wsparcie na rzecz tablicy wyników w zakresie gospodarki o obiegu zamkniętym) i udzielania wsparcia na rzecz </w:t>
      </w:r>
      <w:r>
        <w:rPr>
          <w:noProof/>
          <w:color w:val="0000FF"/>
        </w:rPr>
        <w:lastRenderedPageBreak/>
        <w:t>sektorowych inicjatyw w ramach gospodarki o obiegu zamkniętym (1 stanowisko dla personelu zatrudnionego na czas określony);</w:t>
      </w:r>
    </w:p>
    <w:p w:rsidR="00D3052E" w:rsidRDefault="00635D2F">
      <w:pPr>
        <w:pBdr>
          <w:top w:val="single" w:sz="4" w:space="1" w:color="auto"/>
          <w:left w:val="single" w:sz="4" w:space="4" w:color="auto"/>
          <w:bottom w:val="single" w:sz="4" w:space="0" w:color="auto"/>
          <w:right w:val="single" w:sz="4" w:space="4" w:color="auto"/>
        </w:pBdr>
        <w:ind w:left="850" w:firstLine="284"/>
        <w:rPr>
          <w:strike/>
          <w:noProof/>
          <w:color w:val="0000FF"/>
        </w:rPr>
      </w:pPr>
      <w:r>
        <w:rPr>
          <w:noProof/>
          <w:color w:val="0000FF"/>
        </w:rPr>
        <w:t>sprawozdawczości dotyczącej realizacji działań z zakresu gospodarki o obiegu zamkniętym, zrównoważonych inwestycji i monitorowania wpływu finansowania UE na inwestycje w gospodarkę o obiegu zamkniętym (1 stanowisko dla personelu kontraktowego);</w:t>
      </w:r>
    </w:p>
    <w:p w:rsidR="00D3052E" w:rsidRDefault="00635D2F">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color w:val="0000FF"/>
          <w:szCs w:val="24"/>
        </w:rPr>
        <w:t>wsparcia w opracowaniu unijnej strategii ochrony różnorodności biologicznej i w wypracowaniu ram monitorowania różnorodności biologicznej i ekosystemów, ze szczególnym uwzględnieniem obszarów, które mają zostać objęte nowymi inicjatywami (gleba, grunty i lasy) (1 stanowisko dla personelu zatrudnionego na czas określony i 2 stanowiska dla personelu kontraktowego);</w:t>
      </w:r>
    </w:p>
    <w:p w:rsidR="00D3052E" w:rsidRDefault="00635D2F">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color w:val="0000FF"/>
          <w:szCs w:val="24"/>
        </w:rPr>
        <w:t>monitorowania stanu różnorodności biologicznej i ekosystemów (ze szczególnym uwzględnieniem wód słodkich i środowiska morskiego) jako wkład w dążenie do osiągnięcia zerowego poziomu emisji zanieczyszczeń (ograniczenia ilości odpadów morskich) i tworzenie nietoksycznego środowiska (1 stanowisko dla personelu zatrudnionego na czas określony);</w:t>
      </w:r>
      <w:r>
        <w:rPr>
          <w:noProof/>
        </w:rPr>
        <w:tab/>
      </w:r>
    </w:p>
    <w:p w:rsidR="00D3052E" w:rsidRDefault="00635D2F">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color w:val="0000FF"/>
          <w:szCs w:val="24"/>
        </w:rPr>
        <w:t>zintegrowanej analizy wpływu zanieczyszczenia na środowisko i zdrowie oraz sprawozdawczości dotyczącej nowych obszarów (np. wody pitnej, odzyskiwania wody, SEVESO, rtęci) i przekrojowych obszarów dążenia do osiągnięcia zerowego poziomu emisji zanieczyszczeń w ramach Zielonego Ładu w ścisłej współpracy z ECHA i EFSA (1 stanowisko dla personelu zatrudnionego na czas określony);</w:t>
      </w:r>
    </w:p>
    <w:p w:rsidR="00D3052E" w:rsidRDefault="00635D2F">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color w:val="0000FF"/>
          <w:szCs w:val="24"/>
        </w:rPr>
        <w:t>zwiększenia zdolności w zakresie</w:t>
      </w:r>
      <w:r>
        <w:rPr>
          <w:bCs/>
          <w:noProof/>
          <w:color w:val="0000FF"/>
          <w:szCs w:val="24"/>
        </w:rPr>
        <w:t xml:space="preserve"> zintegrowanych analiz i ocen poszczególnych obszarów polityki Zielonego Ładu</w:t>
      </w:r>
      <w:r>
        <w:rPr>
          <w:b/>
          <w:bCs/>
          <w:noProof/>
          <w:color w:val="0000FF"/>
          <w:szCs w:val="24"/>
        </w:rPr>
        <w:t xml:space="preserve"> </w:t>
      </w:r>
      <w:r>
        <w:rPr>
          <w:noProof/>
          <w:color w:val="0000FF"/>
          <w:szCs w:val="24"/>
        </w:rPr>
        <w:t>(np. łączenie różnorodności biologicznej z inicjatywą na rzecz zerowego poziomu emisji zanieczyszczeń i inicjatywą „od pola do stołu”). Dotyczy to również zintegrowanych ocen dotyczących dyrektywy powodziowej, dyrektywy dotyczącej oczyszczania ścieków komunalnych, ale także dyrektywy azotanowej oraz integracji podejścia opartego na ekosystemie wód słodkich i ekosystemie morskim do transformacji gospodarczej (roczna strategia zrównoważonego wzrostu gospodarczego) i klimatu (1 stanowisko dla personelu kontraktowego);</w:t>
      </w:r>
    </w:p>
    <w:p w:rsidR="00D3052E" w:rsidRDefault="00635D2F">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rPr>
        <w:tab/>
      </w:r>
      <w:r>
        <w:rPr>
          <w:noProof/>
          <w:color w:val="0000FF"/>
          <w:szCs w:val="24"/>
        </w:rPr>
        <w:t>usprawnienia monitorowania 8. EAP i polityk klimatycznych w epoce cyfrowej – pełne wykorzystanie danych uzyskiwanych w ramach programu Copernicus, integracja nauki obywatelskiej i innych źródeł informacji do celów monitoringu środowiska i monitorowania wdrażania polityk ochrony środowiska – poprawy terminowości realizacji, wizualizacji i dostępu do informacji (2 stanowiska dla personelu kontraktowego);</w:t>
      </w:r>
    </w:p>
    <w:p w:rsidR="00D3052E" w:rsidRDefault="00635D2F">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rPr>
        <w:tab/>
      </w:r>
      <w:r>
        <w:rPr>
          <w:noProof/>
          <w:color w:val="0000FF"/>
          <w:szCs w:val="24"/>
        </w:rPr>
        <w:t>wzmocnienia międzynarodowego wymiaru monitoringu środowiska i monitorowania klimatu, wspierania dyplomacji i negocjacji w dziedzinie środowiska i zmian klimatu (1 stanowisko dla personelu zatrudnionego na czas określony);</w:t>
      </w:r>
    </w:p>
    <w:p w:rsidR="00D3052E" w:rsidRDefault="00635D2F">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color w:val="0000FF"/>
          <w:szCs w:val="24"/>
        </w:rPr>
        <w:t>monitorowania i oceniania krajowej polityki i krajowych środków przystosowania się do zmiany klimatu oraz jego powiązań z innymi celami środowiskowymi (1 pracownik zatrudniony na czas określony);</w:t>
      </w:r>
    </w:p>
    <w:p w:rsidR="00D3052E" w:rsidRDefault="00635D2F">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rPr>
        <w:tab/>
      </w:r>
      <w:r>
        <w:rPr>
          <w:noProof/>
          <w:color w:val="0000FF"/>
          <w:szCs w:val="24"/>
        </w:rPr>
        <w:t>wspierania państw członkowskich w monitorowaniu i ocenianiu polityk łagodzenia zmiany klimatu i ich powiązań z jakością powietrza i dążeniem do osiągnięcia zerowego poziomu emisji zanieczyszczeń (1 stanowisko dla personelu zatrudnionego na czas określony);</w:t>
      </w:r>
    </w:p>
    <w:p w:rsidR="00D3052E" w:rsidRDefault="00635D2F">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rPr>
        <w:tab/>
      </w:r>
      <w:r>
        <w:rPr>
          <w:noProof/>
          <w:color w:val="0000FF"/>
          <w:szCs w:val="24"/>
        </w:rPr>
        <w:t xml:space="preserve">monitorowania zdrowia ludzkiego oraz skutków zmiany klimatu i przystosowania się do niej za pośrednictwem wirtualnego obserwatorium klimatu i zdrowia w kontekście Zielonego </w:t>
      </w:r>
      <w:r>
        <w:rPr>
          <w:noProof/>
          <w:color w:val="0000FF"/>
          <w:szCs w:val="24"/>
        </w:rPr>
        <w:lastRenderedPageBreak/>
        <w:t xml:space="preserve">Ładu i dążenia do osiągnięcia zerowego poziomu emisji zanieczyszczeń na rzecz nietoksycznego środowiska (1 stanowisko dla personelu zatrudnionego na czas określony); </w:t>
      </w:r>
    </w:p>
    <w:p w:rsidR="00D3052E" w:rsidRDefault="00635D2F">
      <w:pPr>
        <w:pBdr>
          <w:top w:val="single" w:sz="4" w:space="1" w:color="auto"/>
          <w:left w:val="single" w:sz="4" w:space="4" w:color="auto"/>
          <w:bottom w:val="single" w:sz="4" w:space="0" w:color="auto"/>
          <w:right w:val="single" w:sz="4" w:space="4" w:color="auto"/>
        </w:pBdr>
        <w:ind w:left="850" w:firstLine="284"/>
        <w:rPr>
          <w:noProof/>
          <w:color w:val="0000FF"/>
          <w:szCs w:val="24"/>
        </w:rPr>
      </w:pPr>
      <w:r>
        <w:rPr>
          <w:noProof/>
          <w:color w:val="0000FF"/>
          <w:szCs w:val="24"/>
        </w:rPr>
        <w:t>wspierania nowych metod monitorowania rzeczywistego zużycia paliwa przez pojazdy lekkie i ciężkie oraz emisji z tych pojazdów (począwszy od 2022 r.) (1 stanowisko dla personelu zatrudnionego na czas określony).</w:t>
      </w:r>
    </w:p>
    <w:p w:rsidR="00D3052E" w:rsidRDefault="00635D2F">
      <w:pPr>
        <w:pBdr>
          <w:top w:val="single" w:sz="4" w:space="1" w:color="auto"/>
          <w:left w:val="single" w:sz="4" w:space="4" w:color="auto"/>
          <w:bottom w:val="single" w:sz="4" w:space="0" w:color="auto"/>
          <w:right w:val="single" w:sz="4" w:space="4" w:color="auto"/>
        </w:pBdr>
        <w:ind w:left="850"/>
        <w:rPr>
          <w:b/>
          <w:i/>
          <w:noProof/>
          <w:color w:val="0000FF"/>
          <w:szCs w:val="24"/>
          <w:u w:val="single"/>
        </w:rPr>
      </w:pPr>
      <w:r>
        <w:rPr>
          <w:b/>
          <w:i/>
          <w:noProof/>
          <w:color w:val="0000FF"/>
          <w:szCs w:val="24"/>
          <w:u w:val="single"/>
        </w:rPr>
        <w:t xml:space="preserve">Baza zasobów ludzkich w EEA na potrzeby wniosku w sprawie 8. EAP </w:t>
      </w:r>
    </w:p>
    <w:p w:rsidR="00D3052E" w:rsidRDefault="00635D2F">
      <w:pPr>
        <w:pBdr>
          <w:top w:val="single" w:sz="4" w:space="1" w:color="auto"/>
          <w:left w:val="single" w:sz="4" w:space="4" w:color="auto"/>
          <w:bottom w:val="single" w:sz="4" w:space="0" w:color="auto"/>
          <w:right w:val="single" w:sz="4" w:space="4" w:color="auto"/>
        </w:pBdr>
        <w:ind w:left="850"/>
        <w:rPr>
          <w:noProof/>
          <w:color w:val="0000FF"/>
          <w:szCs w:val="24"/>
        </w:rPr>
      </w:pPr>
      <w:r>
        <w:rPr>
          <w:noProof/>
          <w:color w:val="0000FF"/>
          <w:szCs w:val="24"/>
        </w:rPr>
        <w:t>Aby zrealizować wkład EEA w monitorowanie i sprawozdawczość w ramach 8. EAP, istotne jest również utrzymanie od 2021 r. i przez cały okres kolejnych wieloletnich ram finansowych (lata 2021–2027) przydziału zasobów, które zostały dodatkowo przydzielone na ten cel w latach 2018–2020. Podstawą obliczenia dodatkowych, niezbędnych zasobów EEA powinny być zasoby przyjęte w ostatecznym budżecie UE na 2020 r. (tj. 130 stanowisk w planie zatrudnienia, 74 stanowisk dla personelu kontraktowego i 20 stanowisk dla oddelegowanych ekspertów krajowych). Powinno to zapewniać ciągłość realizacji nowych zadań podstawowych dodanych w latach 2018–2020, w szczególności:</w:t>
      </w:r>
    </w:p>
    <w:p w:rsidR="00D3052E" w:rsidRDefault="00635D2F">
      <w:pPr>
        <w:pBdr>
          <w:top w:val="single" w:sz="4" w:space="1" w:color="auto"/>
          <w:left w:val="single" w:sz="4" w:space="4" w:color="auto"/>
          <w:bottom w:val="single" w:sz="4" w:space="0" w:color="auto"/>
          <w:right w:val="single" w:sz="4" w:space="4" w:color="auto"/>
        </w:pBdr>
        <w:ind w:left="850"/>
        <w:rPr>
          <w:noProof/>
          <w:color w:val="0000FF"/>
        </w:rPr>
      </w:pPr>
      <w:r>
        <w:rPr>
          <w:noProof/>
          <w:color w:val="0000FF"/>
          <w:szCs w:val="24"/>
        </w:rPr>
        <w:t>-</w:t>
      </w:r>
      <w:r>
        <w:rPr>
          <w:noProof/>
        </w:rPr>
        <w:tab/>
      </w:r>
      <w:r>
        <w:rPr>
          <w:noProof/>
          <w:color w:val="0000FF"/>
        </w:rPr>
        <w:t>pomocniczą rolę EEA w monitorowaniu, kontrolowaniu, sporządzaniu sprawozdań i rozpowszechnianiu informacji na temat głównych wymiarów, jakimi są obniżenie emisyjności (redukcji emisji gazów cieplarnianych i energii ze źródeł odnawialnych) i efektywność energetyczna, tj. celów związanych z klimatem w ramach 8. EAP, określono w art. 42 rozporządzenia (UE) 2018/1999 w sprawie zarządzania unią energetyczną i działaniami w dziedzinie klimatu. Trzy dodatkowe stanowiska dla personelu kontraktowego zostały przydzielone i zapisane w budżecie na okres do 2020 r. bieżących wieloletnich ram finansowych ze wskazaniem nieograniczonego czasu trwania. Te 3 stanowiska powinny zostać utrzymane przez cały okres nowych wieloletnich ram finansowych i przekształcone na stanowiska dla pracowników zatrudnionych na czas określony, aby w pełni i na stałe odpowiadali oni za odnośne dodatkowe zadania dodane EEA;</w:t>
      </w:r>
    </w:p>
    <w:p w:rsidR="00D3052E" w:rsidRDefault="00635D2F">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w:t>
      </w:r>
      <w:r>
        <w:rPr>
          <w:noProof/>
        </w:rPr>
        <w:tab/>
      </w:r>
      <w:r>
        <w:rPr>
          <w:noProof/>
          <w:color w:val="0000FF"/>
        </w:rPr>
        <w:t>Dodatkowe stanowiska przyznane agencji przy ustanawianiu budżetu na 2020 r. (pięć stanowisk dla personelu zatrudnionego na czas określony i dwa dla personelu kontraktowego) oraz na podstawie rozporządzenia (UE) 2018/956 (dwa stanowiska dla personelu kontraktowego), które mają zasadnicze znaczenie dla wdrażania bieżących polityk ochrony środowiska i polityk klimatycznych. Stanowiska te wiążą się z działaniami, które już są realizowane (zob. poniżej) i stanowią część bazy zasobów ludzkich agencji:</w:t>
      </w:r>
    </w:p>
    <w:p w:rsidR="00D3052E" w:rsidRDefault="00635D2F">
      <w:pPr>
        <w:pBdr>
          <w:top w:val="single" w:sz="4" w:space="1" w:color="auto"/>
          <w:left w:val="single" w:sz="4" w:space="4" w:color="auto"/>
          <w:bottom w:val="single" w:sz="4" w:space="0" w:color="auto"/>
          <w:right w:val="single" w:sz="4" w:space="4" w:color="auto"/>
        </w:pBdr>
        <w:ind w:left="850"/>
        <w:rPr>
          <w:noProof/>
          <w:color w:val="0000FF"/>
          <w:sz w:val="20"/>
          <w:szCs w:val="24"/>
        </w:rPr>
      </w:pPr>
      <w:r>
        <w:rPr>
          <w:noProof/>
          <w:color w:val="0000FF"/>
          <w:sz w:val="20"/>
          <w:szCs w:val="24"/>
        </w:rPr>
        <w:t xml:space="preserve">a) łagodzenie zmiany klimatu, integracja użytkowania gruntów, zmiany użytkowania gruntów i leśnictwa z platformą wykazów gazów cieplarnianych i systemowa analiza klimatu oraz sektora leśnego i rolnego; </w:t>
      </w:r>
    </w:p>
    <w:p w:rsidR="00D3052E" w:rsidRDefault="00635D2F">
      <w:pPr>
        <w:pBdr>
          <w:top w:val="single" w:sz="4" w:space="1" w:color="auto"/>
          <w:left w:val="single" w:sz="4" w:space="4" w:color="auto"/>
          <w:bottom w:val="single" w:sz="4" w:space="0" w:color="auto"/>
          <w:right w:val="single" w:sz="4" w:space="4" w:color="auto"/>
        </w:pBdr>
        <w:ind w:left="850"/>
        <w:rPr>
          <w:noProof/>
          <w:color w:val="0000FF"/>
          <w:sz w:val="20"/>
          <w:szCs w:val="24"/>
        </w:rPr>
      </w:pPr>
      <w:r>
        <w:rPr>
          <w:noProof/>
          <w:color w:val="0000FF"/>
          <w:sz w:val="20"/>
          <w:szCs w:val="24"/>
        </w:rPr>
        <w:t xml:space="preserve">b) systemowa analiza polityki wodnej w zmieniającym się klimacie; </w:t>
      </w:r>
    </w:p>
    <w:p w:rsidR="00D3052E" w:rsidRDefault="00635D2F">
      <w:pPr>
        <w:pBdr>
          <w:top w:val="single" w:sz="4" w:space="1" w:color="auto"/>
          <w:left w:val="single" w:sz="4" w:space="4" w:color="auto"/>
          <w:bottom w:val="single" w:sz="4" w:space="0" w:color="auto"/>
          <w:right w:val="single" w:sz="4" w:space="4" w:color="auto"/>
        </w:pBdr>
        <w:ind w:left="850"/>
        <w:rPr>
          <w:noProof/>
          <w:color w:val="0000FF"/>
          <w:sz w:val="20"/>
          <w:szCs w:val="24"/>
        </w:rPr>
      </w:pPr>
      <w:r>
        <w:rPr>
          <w:noProof/>
          <w:color w:val="0000FF"/>
          <w:sz w:val="20"/>
          <w:szCs w:val="24"/>
        </w:rPr>
        <w:t xml:space="preserve">c) zintegrowana analiza wpływu gospodarczego ekologicznej i zrównoważonej oraz sprawiedliwej transformacji; </w:t>
      </w:r>
    </w:p>
    <w:p w:rsidR="00D3052E" w:rsidRDefault="00635D2F">
      <w:pPr>
        <w:pBdr>
          <w:top w:val="single" w:sz="4" w:space="1" w:color="auto"/>
          <w:left w:val="single" w:sz="4" w:space="4" w:color="auto"/>
          <w:bottom w:val="single" w:sz="4" w:space="0" w:color="auto"/>
          <w:right w:val="single" w:sz="4" w:space="4" w:color="auto"/>
        </w:pBdr>
        <w:ind w:left="850"/>
        <w:rPr>
          <w:noProof/>
          <w:color w:val="0000FF"/>
          <w:sz w:val="20"/>
          <w:szCs w:val="24"/>
        </w:rPr>
      </w:pPr>
      <w:r>
        <w:rPr>
          <w:noProof/>
          <w:color w:val="0000FF"/>
          <w:sz w:val="20"/>
          <w:szCs w:val="24"/>
        </w:rPr>
        <w:t xml:space="preserve">d) modernizacja narzędzi monitorowania różnorodności biologicznej; </w:t>
      </w:r>
    </w:p>
    <w:p w:rsidR="00D3052E" w:rsidRDefault="00635D2F">
      <w:pPr>
        <w:pBdr>
          <w:top w:val="single" w:sz="4" w:space="1" w:color="auto"/>
          <w:left w:val="single" w:sz="4" w:space="4" w:color="auto"/>
          <w:bottom w:val="single" w:sz="4" w:space="0" w:color="auto"/>
          <w:right w:val="single" w:sz="4" w:space="4" w:color="auto"/>
        </w:pBdr>
        <w:ind w:left="850"/>
        <w:rPr>
          <w:noProof/>
          <w:color w:val="0000FF"/>
          <w:sz w:val="20"/>
          <w:szCs w:val="24"/>
        </w:rPr>
      </w:pPr>
      <w:r>
        <w:rPr>
          <w:noProof/>
          <w:color w:val="0000FF"/>
          <w:sz w:val="20"/>
          <w:szCs w:val="24"/>
        </w:rPr>
        <w:t xml:space="preserve">e) uwzględnienie danych uzyskiwanych w ramach programu Copernicus w monitoringu środowiska i sprawozdawczości w tym zakresie; </w:t>
      </w:r>
    </w:p>
    <w:p w:rsidR="00D3052E" w:rsidRDefault="00635D2F">
      <w:pPr>
        <w:pBdr>
          <w:top w:val="single" w:sz="4" w:space="1" w:color="auto"/>
          <w:left w:val="single" w:sz="4" w:space="4" w:color="auto"/>
          <w:bottom w:val="single" w:sz="4" w:space="0" w:color="auto"/>
          <w:right w:val="single" w:sz="4" w:space="4" w:color="auto"/>
        </w:pBdr>
        <w:ind w:left="850"/>
        <w:rPr>
          <w:noProof/>
          <w:color w:val="0000FF"/>
          <w:sz w:val="20"/>
          <w:szCs w:val="24"/>
        </w:rPr>
      </w:pPr>
      <w:r>
        <w:rPr>
          <w:noProof/>
          <w:color w:val="0000FF"/>
          <w:sz w:val="20"/>
          <w:szCs w:val="24"/>
        </w:rPr>
        <w:t>f) monitorowanie i sprawozdawczość w odniesieniu do emisji CO2 z nowych pojazdów ciężkich i zużycia paliwa przez takie pojazdy;</w:t>
      </w:r>
    </w:p>
    <w:p w:rsidR="00D3052E" w:rsidRDefault="00635D2F">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 xml:space="preserve">• </w:t>
      </w:r>
      <w:r>
        <w:rPr>
          <w:b/>
          <w:noProof/>
          <w:color w:val="0000FF"/>
        </w:rPr>
        <w:t>Europejska Agencja Chemikaliów (ECHA):</w:t>
      </w:r>
      <w:r>
        <w:rPr>
          <w:noProof/>
          <w:color w:val="0000FF"/>
        </w:rPr>
        <w:t xml:space="preserve"> ECHA będzie odgrywać istotną rolę w opracowaniu przyszłej strategii UE w zakresie zrównoważonych chemikaliów. </w:t>
      </w:r>
    </w:p>
    <w:p w:rsidR="00D3052E" w:rsidRDefault="00635D2F">
      <w:pPr>
        <w:pBdr>
          <w:top w:val="single" w:sz="4" w:space="1" w:color="auto"/>
          <w:left w:val="single" w:sz="4" w:space="4" w:color="auto"/>
          <w:bottom w:val="single" w:sz="4" w:space="0" w:color="auto"/>
          <w:right w:val="single" w:sz="4" w:space="4" w:color="auto"/>
        </w:pBdr>
        <w:ind w:left="850"/>
        <w:rPr>
          <w:noProof/>
          <w:color w:val="0000FF"/>
        </w:rPr>
      </w:pPr>
      <w:r>
        <w:rPr>
          <w:noProof/>
          <w:color w:val="0000FF"/>
        </w:rPr>
        <w:t xml:space="preserve">W celu realizacji wymienionych zadań ECHA będzie potrzebowała od 2020 r. następujących nowych stanowisk: </w:t>
      </w:r>
    </w:p>
    <w:p w:rsidR="00D3052E" w:rsidRDefault="00635D2F">
      <w:pPr>
        <w:pBdr>
          <w:top w:val="single" w:sz="4" w:space="1" w:color="auto"/>
          <w:left w:val="single" w:sz="4" w:space="4" w:color="auto"/>
          <w:bottom w:val="single" w:sz="4" w:space="0" w:color="auto"/>
          <w:right w:val="single" w:sz="4" w:space="4" w:color="auto"/>
        </w:pBdr>
        <w:ind w:left="850" w:firstLine="590"/>
        <w:rPr>
          <w:noProof/>
          <w:color w:val="0000FF"/>
        </w:rPr>
      </w:pPr>
      <w:r>
        <w:rPr>
          <w:noProof/>
          <w:color w:val="0000FF"/>
        </w:rPr>
        <w:lastRenderedPageBreak/>
        <w:t>jedno dla personelu zatrudnionego na czas określony i jedno dla personelu kontraktowego na potrzeby zarządzania bazami danych i ich konsolidacji oraz przekazywania danych chemicznych w celu uzupełnienia stosownych sprawozdań dotyczących pojawiającego się ryzyka oraz przyczynienia się do wskaźników polityki w dziedzinie chemikaliów oraz wnoszenia innego wkładu w prace EEA.</w:t>
      </w:r>
    </w:p>
    <w:p w:rsidR="00D3052E" w:rsidRDefault="00635D2F">
      <w:pPr>
        <w:pStyle w:val="ManualHeading3"/>
        <w:rPr>
          <w:bCs/>
          <w:noProof/>
          <w:szCs w:val="24"/>
        </w:rPr>
      </w:pPr>
      <w:bookmarkStart w:id="22" w:name="_Toc514938666"/>
      <w:bookmarkStart w:id="23" w:name="_Toc520485425"/>
      <w:bookmarkStart w:id="24" w:name="_Toc54546042"/>
      <w:r>
        <w:t>1.4.3.</w:t>
      </w:r>
      <w:r>
        <w:tab/>
      </w:r>
      <w:r>
        <w:rPr>
          <w:noProof/>
        </w:rPr>
        <w:t>Oczekiwane wyniki i wpływ</w:t>
      </w:r>
      <w:bookmarkEnd w:id="22"/>
      <w:bookmarkEnd w:id="23"/>
      <w:bookmarkEnd w:id="24"/>
    </w:p>
    <w:p w:rsidR="00D3052E" w:rsidRDefault="00635D2F">
      <w:pPr>
        <w:pStyle w:val="Text1"/>
        <w:rPr>
          <w:i/>
          <w:noProof/>
          <w:sz w:val="20"/>
        </w:rPr>
      </w:pPr>
      <w:r>
        <w:rPr>
          <w:i/>
          <w:noProof/>
          <w:sz w:val="20"/>
        </w:rPr>
        <w:t>Należy wskazać, jakie efekty przyniesie wniosek/inicjatywa beneficjentom/grupie docelowej.</w:t>
      </w:r>
    </w:p>
    <w:p w:rsidR="00D3052E" w:rsidRDefault="00635D2F">
      <w:pPr>
        <w:pStyle w:val="Text1"/>
        <w:pBdr>
          <w:top w:val="single" w:sz="4" w:space="1" w:color="auto"/>
          <w:left w:val="single" w:sz="4" w:space="4" w:color="auto"/>
          <w:bottom w:val="single" w:sz="4" w:space="1" w:color="auto"/>
          <w:right w:val="single" w:sz="4" w:space="4" w:color="auto"/>
        </w:pBdr>
      </w:pPr>
      <w:bookmarkStart w:id="25" w:name="_Toc514938667"/>
      <w:bookmarkStart w:id="26" w:name="_Toc520485426"/>
      <w:r>
        <w:t xml:space="preserve">Głównym celem przewidywanych działań jest zapewnienie kompleksowych ram monitorowania odpowiednich dla nowego 8. EAP, ale również promowanie wzajemnych powiązań i synergii między 8. EAP a stosownymi inicjatywami w ramach Europejskiego Zielonego Ładu. Oczywistymi kandydatami są niedawno przyjęty plan działania UE dotyczący gospodarki o obiegu zamkniętym, </w:t>
      </w:r>
      <w:r>
        <w:rPr>
          <w:noProof/>
          <w:color w:val="0000FF"/>
          <w:szCs w:val="24"/>
        </w:rPr>
        <w:t>Europejskie prawo o klimacie, w którym ustanowiono cel polegający na osiągnięciu neutralności klimatycznej do 2050 r.</w:t>
      </w:r>
      <w:r>
        <w:t xml:space="preserve">, unijna strategia na rzecz bioróżnorodności 2030, inicjatywa „od pola do stołu”, ale także przygotowywane inicjatywy, takie jak inicjatywy w ramach </w:t>
      </w:r>
      <w:r>
        <w:rPr>
          <w:noProof/>
          <w:color w:val="0000FF"/>
          <w:szCs w:val="24"/>
        </w:rPr>
        <w:t>dążenia do osiągnięcia zerowego poziomu emisji zanieczyszczeń (ZPAP i strategia w zakresie chemikaliów na rzecz zrównoważoności)</w:t>
      </w:r>
      <w:r>
        <w:t xml:space="preserve">. </w:t>
      </w:r>
    </w:p>
    <w:p w:rsidR="00D3052E" w:rsidRDefault="00635D2F">
      <w:pPr>
        <w:pStyle w:val="Text1"/>
        <w:pBdr>
          <w:top w:val="single" w:sz="4" w:space="1" w:color="auto"/>
          <w:left w:val="single" w:sz="4" w:space="4" w:color="auto"/>
          <w:bottom w:val="single" w:sz="4" w:space="1" w:color="auto"/>
          <w:right w:val="single" w:sz="4" w:space="4" w:color="auto"/>
        </w:pBdr>
      </w:pPr>
      <w:r>
        <w:t xml:space="preserve">To nowe podejście do monitorowania, w którym uwzględniono najnowocześniejsze narzędzie cyfrowe, umożliwi analizy oparte na dowodach, odpowiednio określoną sprawozdawczość na różnych poziomach i w różnych sektorach oraz będzie dodatkowo wspierać wypełnianie obowiązku sprawozdawczego UE na szczeblu unijnym i międzynarodowym. </w:t>
      </w:r>
    </w:p>
    <w:p w:rsidR="00D3052E" w:rsidRDefault="00635D2F">
      <w:pPr>
        <w:pStyle w:val="Text1"/>
        <w:pBdr>
          <w:top w:val="single" w:sz="4" w:space="1" w:color="auto"/>
          <w:left w:val="single" w:sz="4" w:space="4" w:color="auto"/>
          <w:bottom w:val="single" w:sz="4" w:space="1" w:color="auto"/>
          <w:right w:val="single" w:sz="4" w:space="4" w:color="auto"/>
        </w:pBdr>
        <w:rPr>
          <w:bCs/>
          <w:noProof/>
          <w:szCs w:val="24"/>
        </w:rPr>
      </w:pPr>
      <w:r>
        <w:t xml:space="preserve">Celem właściwie zorganizowanych i zaplanowanych ram i działań sprawozdawczych jest przyczynienie się do wnikliwej oceny 8. EAP, dostarczenie informacji decydentom i wywołanie debat na wysokim szczeblu w Radzie i Parlamencie Europejskim. </w:t>
      </w:r>
      <w:bookmarkEnd w:id="25"/>
      <w:bookmarkEnd w:id="26"/>
    </w:p>
    <w:p w:rsidR="00D3052E" w:rsidRDefault="00635D2F">
      <w:pPr>
        <w:pStyle w:val="Text1"/>
        <w:rPr>
          <w:i/>
          <w:noProof/>
          <w:sz w:val="20"/>
        </w:rPr>
      </w:pPr>
      <w:r>
        <w:rPr>
          <w:i/>
          <w:noProof/>
          <w:sz w:val="20"/>
        </w:rPr>
        <w:t>Należy wskazać wskaźniki stosowane do monitorowania postępów i osiągnięć.</w:t>
      </w:r>
    </w:p>
    <w:p w:rsidR="00D3052E" w:rsidRDefault="00635D2F">
      <w:pPr>
        <w:pStyle w:val="Text1"/>
        <w:pBdr>
          <w:top w:val="single" w:sz="4" w:space="1" w:color="auto"/>
          <w:left w:val="single" w:sz="4" w:space="4" w:color="auto"/>
          <w:bottom w:val="single" w:sz="4" w:space="1" w:color="auto"/>
          <w:right w:val="single" w:sz="4" w:space="4" w:color="auto"/>
        </w:pBdr>
      </w:pPr>
      <w:bookmarkStart w:id="27" w:name="_Toc514938668"/>
      <w:bookmarkStart w:id="28" w:name="_Toc520485427"/>
      <w:r>
        <w:t>Realizacja działań przewidzianych we wniosku będzie monitorowana przez Komisję. Wskaźniki mogłyby obejmować:</w:t>
      </w:r>
    </w:p>
    <w:p w:rsidR="00D3052E" w:rsidRDefault="00635D2F">
      <w:pPr>
        <w:pStyle w:val="Text1"/>
        <w:pBdr>
          <w:top w:val="single" w:sz="4" w:space="1" w:color="auto"/>
          <w:left w:val="single" w:sz="4" w:space="4" w:color="auto"/>
          <w:bottom w:val="single" w:sz="4" w:space="1" w:color="auto"/>
          <w:right w:val="single" w:sz="4" w:space="4" w:color="auto"/>
        </w:pBdr>
      </w:pPr>
      <w:r>
        <w:t xml:space="preserve">– liczbę sprawozdań dotyczących obszarów tematycznych (gospodarki o obiegu zamkniętym, różnorodności biologicznej, lasów, gruntów, wód i mórz, powietrza, hałasu, odpadów, emisji itp.; </w:t>
      </w:r>
    </w:p>
    <w:p w:rsidR="00D3052E" w:rsidRDefault="00635D2F">
      <w:pPr>
        <w:pStyle w:val="Text1"/>
        <w:pBdr>
          <w:top w:val="single" w:sz="4" w:space="1" w:color="auto"/>
          <w:left w:val="single" w:sz="4" w:space="4" w:color="auto"/>
          <w:bottom w:val="single" w:sz="4" w:space="1" w:color="auto"/>
          <w:right w:val="single" w:sz="4" w:space="4" w:color="auto"/>
        </w:pBdr>
      </w:pPr>
      <w:r>
        <w:t>– liczbę sprawozdań z horyzontalnego monitorowania postępów w realizacji 8. EAP, celów zrównoważonego rozwoju, przeglądu wdrażania polityki ochrony środowiska i Europejskiego Zielonego Ładu w odpowiedzi na odpowiednie cykle sprawozdawczości (3. cykl sprawozdawczości zostanie zamknięty w czerwcu 2027 r. przed zakończenie 8. EAP).</w:t>
      </w:r>
    </w:p>
    <w:p w:rsidR="00D3052E" w:rsidRDefault="00635D2F">
      <w:pPr>
        <w:pStyle w:val="ManualHeading2"/>
        <w:rPr>
          <w:bCs/>
          <w:noProof/>
          <w:szCs w:val="24"/>
        </w:rPr>
      </w:pPr>
      <w:bookmarkStart w:id="29" w:name="_Toc54546043"/>
      <w:r>
        <w:t>1.5.</w:t>
      </w:r>
      <w:r>
        <w:tab/>
      </w:r>
      <w:r>
        <w:rPr>
          <w:noProof/>
        </w:rPr>
        <w:t>Uzasadnienie wniosku/inicjatywy</w:t>
      </w:r>
      <w:bookmarkEnd w:id="27"/>
      <w:bookmarkEnd w:id="28"/>
      <w:bookmarkEnd w:id="29"/>
      <w:r>
        <w:rPr>
          <w:noProof/>
        </w:rPr>
        <w:t xml:space="preserve"> </w:t>
      </w:r>
    </w:p>
    <w:p w:rsidR="00D3052E" w:rsidRDefault="00635D2F">
      <w:pPr>
        <w:pStyle w:val="ManualHeading3"/>
        <w:rPr>
          <w:noProof/>
        </w:rPr>
      </w:pPr>
      <w:bookmarkStart w:id="30" w:name="_Toc514938669"/>
      <w:bookmarkStart w:id="31" w:name="_Toc520485428"/>
      <w:bookmarkStart w:id="32" w:name="_Toc54546044"/>
      <w:r>
        <w:t>1.5.1.</w:t>
      </w:r>
      <w:r>
        <w:tab/>
      </w:r>
      <w:r>
        <w:rPr>
          <w:noProof/>
        </w:rPr>
        <w:t>Potrzeby, które należy zaspokoić w perspektywie krótko- lub długoterminowej, w tym szczegółowy terminarz przebiegu realizacji inicjatywy</w:t>
      </w:r>
      <w:bookmarkEnd w:id="30"/>
      <w:bookmarkEnd w:id="31"/>
      <w:bookmarkEnd w:id="32"/>
    </w:p>
    <w:p w:rsidR="00D3052E" w:rsidRDefault="00635D2F">
      <w:pPr>
        <w:pStyle w:val="Text1"/>
        <w:pBdr>
          <w:top w:val="single" w:sz="4" w:space="1" w:color="auto"/>
          <w:left w:val="single" w:sz="4" w:space="4" w:color="auto"/>
          <w:bottom w:val="single" w:sz="4" w:space="1" w:color="auto"/>
          <w:right w:val="single" w:sz="4" w:space="4" w:color="auto"/>
        </w:pBdr>
      </w:pPr>
      <w:bookmarkStart w:id="33" w:name="_Toc514938670"/>
      <w:bookmarkStart w:id="34" w:name="_Toc520485429"/>
      <w:r>
        <w:t xml:space="preserve">Podstawą wniosku w sprawie 8. EAP jest art. 192 ust. 3 Traktatu i wniosek jest zgodny z wynikami najnowszej oceny 7. EAP. </w:t>
      </w:r>
    </w:p>
    <w:p w:rsidR="00D3052E" w:rsidRDefault="00635D2F">
      <w:pPr>
        <w:pStyle w:val="Text1"/>
        <w:pBdr>
          <w:top w:val="single" w:sz="4" w:space="1" w:color="auto"/>
          <w:left w:val="single" w:sz="4" w:space="4" w:color="auto"/>
          <w:bottom w:val="single" w:sz="4" w:space="1" w:color="auto"/>
          <w:right w:val="single" w:sz="4" w:space="4" w:color="auto"/>
        </w:pBdr>
        <w:rPr>
          <w:rFonts w:eastAsia="Times New Roman"/>
          <w:noProof/>
          <w:color w:val="0000FF"/>
          <w:szCs w:val="24"/>
        </w:rPr>
      </w:pPr>
      <w:r>
        <w:rPr>
          <w:noProof/>
          <w:color w:val="0000FF"/>
          <w:szCs w:val="24"/>
        </w:rPr>
        <w:t xml:space="preserve">Komisja podsumowuje postępy w kontekście trzech kolejnych cyklów sprawozdawczości w ramach przeglądu wdrażania polityki ochrony środowiska, które odbędą się w 2022 r., 2024 r. i 2027 r. </w:t>
      </w:r>
    </w:p>
    <w:p w:rsidR="00D3052E" w:rsidRDefault="00635D2F">
      <w:pPr>
        <w:pStyle w:val="Text1"/>
        <w:pBdr>
          <w:top w:val="single" w:sz="4" w:space="1" w:color="auto"/>
          <w:left w:val="single" w:sz="4" w:space="4" w:color="auto"/>
          <w:bottom w:val="single" w:sz="4" w:space="1" w:color="auto"/>
          <w:right w:val="single" w:sz="4" w:space="4" w:color="auto"/>
        </w:pBdr>
        <w:rPr>
          <w:rFonts w:eastAsia="Times New Roman"/>
          <w:noProof/>
          <w:color w:val="0000FF"/>
          <w:szCs w:val="24"/>
        </w:rPr>
      </w:pPr>
      <w:r>
        <w:rPr>
          <w:noProof/>
          <w:color w:val="0000FF"/>
          <w:szCs w:val="24"/>
        </w:rPr>
        <w:t xml:space="preserve">W kontekście drugiego cyklu sprawozdawczości w 2024 r. – który musi zakończyć się w terminie umożliwiającym poinformowanie o postępach we wdrażaniu Europejskiego </w:t>
      </w:r>
      <w:r>
        <w:rPr>
          <w:noProof/>
          <w:color w:val="0000FF"/>
          <w:szCs w:val="24"/>
        </w:rPr>
        <w:lastRenderedPageBreak/>
        <w:t xml:space="preserve">Zielonego Ładu, 8. EAP, w realizacji celów zrównoważonego rozwoju i wizji tego programu na 2050 r. zapisanej w art. 2 decyzji przed upływem mandatu obecnej Komisji – Komisja przeanalizuje i zbada konieczność dokonania przeglądu unijnych priorytetów w zakresie środowiska i klimatu określonych w Europejskim Zielonym Ładzie oraz celów priorytetowych ustanowionych w programie. </w:t>
      </w:r>
    </w:p>
    <w:p w:rsidR="00D3052E" w:rsidRDefault="00635D2F">
      <w:pPr>
        <w:pStyle w:val="Text1"/>
        <w:pBdr>
          <w:top w:val="single" w:sz="4" w:space="1" w:color="auto"/>
          <w:left w:val="single" w:sz="4" w:space="4" w:color="auto"/>
          <w:bottom w:val="single" w:sz="4" w:space="1" w:color="auto"/>
          <w:right w:val="single" w:sz="4" w:space="4" w:color="auto"/>
        </w:pBdr>
      </w:pPr>
      <w:r>
        <w:rPr>
          <w:noProof/>
          <w:color w:val="0000FF"/>
          <w:szCs w:val="24"/>
        </w:rPr>
        <w:t>Trzeci cykl sprawozdawczości musi zostać zamknięty do czerwca 2027 r., odpowiednio wcześnie przed zakończeniem programu.</w:t>
      </w:r>
      <w:r>
        <w:t xml:space="preserve"> </w:t>
      </w:r>
    </w:p>
    <w:p w:rsidR="00D3052E" w:rsidRDefault="00635D2F">
      <w:pPr>
        <w:pStyle w:val="ManualHeading3"/>
        <w:rPr>
          <w:noProof/>
        </w:rPr>
      </w:pPr>
      <w:bookmarkStart w:id="35" w:name="_Toc54546045"/>
      <w:r>
        <w:t>1.5.2.</w:t>
      </w:r>
      <w:r>
        <w:tab/>
      </w:r>
      <w:r>
        <w:rPr>
          <w:noProof/>
        </w:rPr>
        <w:t>Wartość dodana z tytułu zaangażowania Unii Europejskiej (może wynikać z różnych czynników, na przykład korzyści koordynacyjnych, pewności prawa, większej efektywności lub komplementarności). Na potrzeby tego punktu „wartość dodaną z tytułu zaangażowania Unii” należy rozumieć jako wartość wynikającą z unijnej interwencji wykraczającą poza wartość, która zostałaby wytworzona przez same państwa członkowskie.</w:t>
      </w:r>
      <w:bookmarkEnd w:id="33"/>
      <w:bookmarkEnd w:id="34"/>
      <w:bookmarkEnd w:id="35"/>
    </w:p>
    <w:p w:rsidR="00D3052E" w:rsidRDefault="00635D2F">
      <w:pPr>
        <w:pStyle w:val="Text1"/>
        <w:pBdr>
          <w:top w:val="single" w:sz="4" w:space="1" w:color="auto"/>
          <w:left w:val="single" w:sz="4" w:space="4" w:color="auto"/>
          <w:bottom w:val="single" w:sz="4" w:space="1" w:color="auto"/>
          <w:right w:val="single" w:sz="4" w:space="4" w:color="auto"/>
        </w:pBdr>
      </w:pPr>
      <w:bookmarkStart w:id="36" w:name="_Toc514938671"/>
      <w:bookmarkStart w:id="37" w:name="_Toc520485430"/>
      <w:r>
        <w:t xml:space="preserve">Przyczyny działania na poziomie europejskim (ex </w:t>
      </w:r>
      <w:proofErr w:type="spellStart"/>
      <w:r>
        <w:t>ante</w:t>
      </w:r>
      <w:proofErr w:type="spellEnd"/>
      <w:r>
        <w:t>)</w:t>
      </w:r>
    </w:p>
    <w:p w:rsidR="00D3052E" w:rsidRDefault="00635D2F">
      <w:pPr>
        <w:pStyle w:val="Text1"/>
        <w:pBdr>
          <w:top w:val="single" w:sz="4" w:space="1" w:color="auto"/>
          <w:left w:val="single" w:sz="4" w:space="4" w:color="auto"/>
          <w:bottom w:val="single" w:sz="4" w:space="1" w:color="auto"/>
          <w:right w:val="single" w:sz="4" w:space="4" w:color="auto"/>
        </w:pBdr>
      </w:pPr>
      <w:r>
        <w:t xml:space="preserve">Konieczność zapewnienia efektywnego, spójnego i skutecznego monitorowania 8. EAP oraz wszystkich unijnych polityk ochrony środowiska i polityk klimatycznych jest zapisana w Traktacie o Unii Europejskiej. </w:t>
      </w:r>
    </w:p>
    <w:p w:rsidR="00D3052E" w:rsidRDefault="00635D2F">
      <w:pPr>
        <w:pStyle w:val="Text1"/>
        <w:pBdr>
          <w:top w:val="single" w:sz="4" w:space="1" w:color="auto"/>
          <w:left w:val="single" w:sz="4" w:space="4" w:color="auto"/>
          <w:bottom w:val="single" w:sz="4" w:space="1" w:color="auto"/>
          <w:right w:val="single" w:sz="4" w:space="4" w:color="auto"/>
        </w:pBdr>
      </w:pPr>
      <w:r>
        <w:t>Oczekiwana wygenerowana unijna wartość dodana (ex post)</w:t>
      </w:r>
    </w:p>
    <w:p w:rsidR="00D3052E" w:rsidRDefault="00635D2F">
      <w:pPr>
        <w:pStyle w:val="Text1"/>
        <w:pBdr>
          <w:top w:val="single" w:sz="4" w:space="1" w:color="auto"/>
          <w:left w:val="single" w:sz="4" w:space="4" w:color="auto"/>
          <w:bottom w:val="single" w:sz="4" w:space="1" w:color="auto"/>
          <w:right w:val="single" w:sz="4" w:space="4" w:color="auto"/>
        </w:pBdr>
      </w:pPr>
      <w:r>
        <w:t xml:space="preserve">Ramy monitorowania będą środkiem monitorowania 8. EAP i Europejskiego Zielonego Ładu. Będą one wspierać wykonywanie obowiązków sprawozdawczych, ułatwią prowadzenie debat wysokiego szczebla i przyczynią się do oceny i analizy osiągnięć w ramach 8. EAP. </w:t>
      </w:r>
    </w:p>
    <w:p w:rsidR="00D3052E" w:rsidRDefault="00635D2F">
      <w:pPr>
        <w:pStyle w:val="ManualHeading3"/>
        <w:rPr>
          <w:noProof/>
        </w:rPr>
      </w:pPr>
      <w:bookmarkStart w:id="38" w:name="_Toc54546046"/>
      <w:r>
        <w:t>1.5.3.</w:t>
      </w:r>
      <w:r>
        <w:tab/>
      </w:r>
      <w:r>
        <w:rPr>
          <w:noProof/>
        </w:rPr>
        <w:t>Główne wnioski wyciągnięte z podobnych działań</w:t>
      </w:r>
      <w:bookmarkEnd w:id="36"/>
      <w:bookmarkEnd w:id="37"/>
      <w:bookmarkEnd w:id="38"/>
    </w:p>
    <w:p w:rsidR="00D3052E" w:rsidRDefault="00635D2F">
      <w:pPr>
        <w:pStyle w:val="Text1"/>
        <w:pBdr>
          <w:top w:val="single" w:sz="4" w:space="1" w:color="auto"/>
          <w:left w:val="single" w:sz="4" w:space="4" w:color="auto"/>
          <w:bottom w:val="single" w:sz="4" w:space="1" w:color="auto"/>
          <w:right w:val="single" w:sz="4" w:space="4" w:color="auto"/>
        </w:pBdr>
      </w:pPr>
      <w:bookmarkStart w:id="39" w:name="_Toc514938672"/>
      <w:bookmarkStart w:id="40" w:name="_Toc520485431"/>
      <w:r>
        <w:t>Nie dotyczy</w:t>
      </w:r>
    </w:p>
    <w:p w:rsidR="00D3052E" w:rsidRDefault="00635D2F">
      <w:pPr>
        <w:pStyle w:val="ManualHeading3"/>
        <w:rPr>
          <w:noProof/>
        </w:rPr>
      </w:pPr>
      <w:bookmarkStart w:id="41" w:name="_Toc54546047"/>
      <w:r>
        <w:t>1.5.4.</w:t>
      </w:r>
      <w:r>
        <w:tab/>
      </w:r>
      <w:r>
        <w:rPr>
          <w:noProof/>
        </w:rPr>
        <w:t>Spójność z wieloletnimi ramami finansowymi oraz możliwa synergia z innymi właściwymi instrumentami</w:t>
      </w:r>
      <w:bookmarkEnd w:id="39"/>
      <w:bookmarkEnd w:id="40"/>
      <w:bookmarkEnd w:id="41"/>
    </w:p>
    <w:p w:rsidR="00D3052E" w:rsidRDefault="00635D2F">
      <w:pPr>
        <w:pStyle w:val="Text1"/>
        <w:pBdr>
          <w:top w:val="single" w:sz="4" w:space="1" w:color="auto"/>
          <w:left w:val="single" w:sz="4" w:space="4" w:color="auto"/>
          <w:bottom w:val="single" w:sz="4" w:space="1" w:color="auto"/>
          <w:right w:val="single" w:sz="4" w:space="4" w:color="auto"/>
        </w:pBdr>
        <w:rPr>
          <w:rFonts w:eastAsia="Times New Roman"/>
          <w:noProof/>
          <w:color w:val="0000FF"/>
          <w:szCs w:val="24"/>
        </w:rPr>
      </w:pPr>
      <w:bookmarkStart w:id="42" w:name="_Toc514938673"/>
      <w:bookmarkStart w:id="43" w:name="_Toc520485432"/>
      <w:r>
        <w:t xml:space="preserve">Cel niniejszego wniosku jest spójny z polityką UE w wielu innych dziedzinach oraz z bieżącymi inicjatywami wynikającymi z Europejskiego Zielonego Ładu. </w:t>
      </w:r>
      <w:r>
        <w:rPr>
          <w:noProof/>
          <w:color w:val="0000FF"/>
          <w:szCs w:val="24"/>
        </w:rPr>
        <w:t>Cele priorytetowe 8. unijnego programu działań w zakresie środowiska są następujące:</w:t>
      </w:r>
    </w:p>
    <w:p w:rsidR="00D3052E" w:rsidRDefault="00635D2F">
      <w:pPr>
        <w:pStyle w:val="Text1"/>
        <w:pBdr>
          <w:top w:val="single" w:sz="4" w:space="1" w:color="auto"/>
          <w:left w:val="single" w:sz="4" w:space="4" w:color="auto"/>
          <w:bottom w:val="single" w:sz="4" w:space="1" w:color="auto"/>
          <w:right w:val="single" w:sz="4" w:space="4" w:color="auto"/>
        </w:pBdr>
        <w:rPr>
          <w:rFonts w:eastAsia="Times New Roman"/>
          <w:noProof/>
          <w:color w:val="0000FF"/>
          <w:szCs w:val="24"/>
        </w:rPr>
      </w:pPr>
      <w:r>
        <w:rPr>
          <w:noProof/>
          <w:color w:val="0000FF"/>
          <w:szCs w:val="24"/>
        </w:rPr>
        <w:t>a)</w:t>
      </w:r>
      <w:r>
        <w:rPr>
          <w:noProof/>
        </w:rPr>
        <w:tab/>
      </w:r>
      <w:r>
        <w:rPr>
          <w:noProof/>
          <w:color w:val="0000FF"/>
          <w:szCs w:val="24"/>
        </w:rPr>
        <w:t>osiągnięcie do 2050 r. dobrej jakości naszego życia z uwzględnieniem ekologicznych ograniczeń planety. Nasz dobrobyt i zdrowe środowisko wynikają z innowacyjnej, obiegowej gospodarki, w której nic się nie marnuje, zasobami naturalnymi gospodaruje się w sposób zrównoważony, a różnorodność biologiczna jest chroniona, ceniona i przywracana w sposób zwiększający odporność społeczeństwa. Nasza gospodarka neutralna dla klimatu została uniezależniona od wykorzystywania zasobów, co nadało tempo bezpiecznemu i zrównoważonemu społeczeństwu światowemu;</w:t>
      </w:r>
    </w:p>
    <w:p w:rsidR="00D3052E" w:rsidRDefault="00635D2F">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szCs w:val="24"/>
        </w:rPr>
        <w:t>b)</w:t>
      </w:r>
      <w:r>
        <w:rPr>
          <w:noProof/>
        </w:rPr>
        <w:tab/>
      </w:r>
      <w:r>
        <w:rPr>
          <w:noProof/>
          <w:color w:val="0000FF"/>
        </w:rPr>
        <w:t xml:space="preserve">osiągnięcie unijnych celów środowiskowych i klimatycznych określonych w Europejskim Zielonym Ładzie na potrzeby realizacji oenzetowskiej Agendy na rzecz zrównoważonego rozwoju 2030, w szczególności: </w:t>
      </w:r>
    </w:p>
    <w:p w:rsidR="00D3052E" w:rsidRDefault="00635D2F">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szCs w:val="24"/>
        </w:rPr>
        <w:t>-</w:t>
      </w:r>
      <w:r>
        <w:rPr>
          <w:noProof/>
        </w:rPr>
        <w:tab/>
      </w:r>
      <w:r>
        <w:rPr>
          <w:noProof/>
          <w:color w:val="0000FF"/>
          <w:szCs w:val="24"/>
        </w:rPr>
        <w:t>neutralności klimatycznej do 2050 r., o której mowa w prawie o klimacie;</w:t>
      </w:r>
    </w:p>
    <w:p w:rsidR="00D3052E" w:rsidRDefault="00635D2F">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szCs w:val="24"/>
        </w:rPr>
        <w:t>-</w:t>
      </w:r>
      <w:r>
        <w:rPr>
          <w:noProof/>
        </w:rPr>
        <w:tab/>
      </w:r>
      <w:r>
        <w:rPr>
          <w:noProof/>
          <w:color w:val="0000FF"/>
          <w:szCs w:val="24"/>
        </w:rPr>
        <w:t>neutralnej dla klimatu i czystej gospodarki o obiegu zamkniętym;</w:t>
      </w:r>
    </w:p>
    <w:p w:rsidR="00D3052E" w:rsidRDefault="00635D2F">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szCs w:val="24"/>
        </w:rPr>
        <w:t>-</w:t>
      </w:r>
      <w:r>
        <w:rPr>
          <w:noProof/>
        </w:rPr>
        <w:tab/>
      </w:r>
      <w:r>
        <w:rPr>
          <w:noProof/>
          <w:color w:val="0000FF"/>
          <w:szCs w:val="24"/>
        </w:rPr>
        <w:t>ochrony i odbudowy ekosystemów i różnorodności biologicznej;</w:t>
      </w:r>
    </w:p>
    <w:p w:rsidR="00D3052E" w:rsidRDefault="00635D2F">
      <w:pPr>
        <w:pStyle w:val="Text1"/>
        <w:pBdr>
          <w:top w:val="single" w:sz="4" w:space="1" w:color="auto"/>
          <w:left w:val="single" w:sz="4" w:space="4" w:color="auto"/>
          <w:bottom w:val="single" w:sz="4" w:space="1" w:color="auto"/>
          <w:right w:val="single" w:sz="4" w:space="4" w:color="auto"/>
        </w:pBdr>
        <w:rPr>
          <w:noProof/>
          <w:color w:val="0000FF"/>
        </w:rPr>
      </w:pPr>
      <w:r>
        <w:rPr>
          <w:noProof/>
          <w:color w:val="0000FF"/>
          <w:szCs w:val="24"/>
        </w:rPr>
        <w:lastRenderedPageBreak/>
        <w:t>-</w:t>
      </w:r>
      <w:r>
        <w:rPr>
          <w:noProof/>
        </w:rPr>
        <w:tab/>
      </w:r>
      <w:r>
        <w:rPr>
          <w:noProof/>
          <w:color w:val="0000FF"/>
          <w:szCs w:val="24"/>
        </w:rPr>
        <w:t>dążenia do osiągnięcia zerowego poziomu emisji zanieczyszczeń na potrzeby nietoksycznego środowiska i w celu ochrony zdrowia obywateli;</w:t>
      </w:r>
    </w:p>
    <w:p w:rsidR="00D3052E" w:rsidRDefault="00635D2F">
      <w:pPr>
        <w:pStyle w:val="Text1"/>
        <w:pBdr>
          <w:top w:val="single" w:sz="4" w:space="1" w:color="auto"/>
          <w:left w:val="single" w:sz="4" w:space="4" w:color="auto"/>
          <w:bottom w:val="single" w:sz="4" w:space="1" w:color="auto"/>
          <w:right w:val="single" w:sz="4" w:space="4" w:color="auto"/>
        </w:pBdr>
        <w:rPr>
          <w:rFonts w:eastAsia="Times New Roman"/>
          <w:noProof/>
          <w:color w:val="0000FF"/>
          <w:szCs w:val="24"/>
        </w:rPr>
      </w:pPr>
      <w:r>
        <w:rPr>
          <w:noProof/>
          <w:color w:val="0000FF"/>
        </w:rPr>
        <w:t>c)</w:t>
      </w:r>
      <w:r>
        <w:rPr>
          <w:noProof/>
        </w:rPr>
        <w:tab/>
      </w:r>
      <w:r>
        <w:rPr>
          <w:noProof/>
          <w:color w:val="0000FF"/>
          <w:szCs w:val="24"/>
        </w:rPr>
        <w:t>pełnej zgodności z istniejącym dorobkiem prawnym UE w dziedzinie środowiska i klimatu;</w:t>
      </w:r>
    </w:p>
    <w:p w:rsidR="00D3052E" w:rsidRDefault="00635D2F">
      <w:pPr>
        <w:pStyle w:val="Text1"/>
        <w:pBdr>
          <w:top w:val="single" w:sz="4" w:space="1" w:color="auto"/>
          <w:left w:val="single" w:sz="4" w:space="4" w:color="auto"/>
          <w:bottom w:val="single" w:sz="4" w:space="1" w:color="auto"/>
          <w:right w:val="single" w:sz="4" w:space="4" w:color="auto"/>
        </w:pBdr>
      </w:pPr>
      <w:r>
        <w:rPr>
          <w:noProof/>
          <w:color w:val="0000FF"/>
          <w:szCs w:val="24"/>
        </w:rPr>
        <w:t>d)</w:t>
      </w:r>
      <w:r>
        <w:rPr>
          <w:noProof/>
        </w:rPr>
        <w:tab/>
      </w:r>
      <w:r>
        <w:rPr>
          <w:noProof/>
          <w:color w:val="0000FF"/>
        </w:rPr>
        <w:t>wdrożenia środków polityki i podejść określonych w art. 3 programu, które wspólnie stanowią ramy umożliwiające zmianę transformacyjną.</w:t>
      </w:r>
    </w:p>
    <w:p w:rsidR="00D3052E" w:rsidRDefault="00635D2F">
      <w:pPr>
        <w:pStyle w:val="ManualHeading3"/>
        <w:rPr>
          <w:noProof/>
        </w:rPr>
      </w:pPr>
      <w:bookmarkStart w:id="44" w:name="_Toc54546048"/>
      <w:r>
        <w:t>1.5.5.</w:t>
      </w:r>
      <w:r>
        <w:tab/>
      </w:r>
      <w:r>
        <w:rPr>
          <w:noProof/>
        </w:rPr>
        <w:t>Ocena różnych dostępnych możliwości finansowania, w tym zakresu przegrupowania środków</w:t>
      </w:r>
      <w:bookmarkEnd w:id="42"/>
      <w:bookmarkEnd w:id="43"/>
      <w:bookmarkEnd w:id="44"/>
    </w:p>
    <w:p w:rsidR="00D3052E" w:rsidRDefault="00635D2F">
      <w:pPr>
        <w:pStyle w:val="Text1"/>
        <w:pBdr>
          <w:top w:val="single" w:sz="4" w:space="1" w:color="auto"/>
          <w:left w:val="single" w:sz="4" w:space="4" w:color="auto"/>
          <w:bottom w:val="single" w:sz="4" w:space="1" w:color="auto"/>
          <w:right w:val="single" w:sz="4" w:space="4" w:color="auto"/>
        </w:pBdr>
      </w:pPr>
      <w:r>
        <w:t xml:space="preserve">Nie dotyczy. </w:t>
      </w:r>
    </w:p>
    <w:p w:rsidR="00D3052E" w:rsidRDefault="00635D2F">
      <w:pPr>
        <w:pStyle w:val="ManualHeading2"/>
        <w:rPr>
          <w:bCs/>
          <w:noProof/>
          <w:szCs w:val="24"/>
        </w:rPr>
      </w:pPr>
      <w:bookmarkStart w:id="45" w:name="_Toc514938674"/>
      <w:bookmarkStart w:id="46" w:name="_Toc520485433"/>
      <w:bookmarkStart w:id="47" w:name="_Toc54546049"/>
      <w:r>
        <w:t>1.6.</w:t>
      </w:r>
      <w:r>
        <w:tab/>
      </w:r>
      <w:r>
        <w:rPr>
          <w:noProof/>
        </w:rPr>
        <w:t>Okres trwania i wpływ finansowy wniosku/inicjatywy</w:t>
      </w:r>
      <w:bookmarkEnd w:id="45"/>
      <w:bookmarkEnd w:id="46"/>
      <w:bookmarkEnd w:id="47"/>
    </w:p>
    <w:p w:rsidR="00D3052E" w:rsidRDefault="00635D2F">
      <w:pPr>
        <w:pStyle w:val="Text1"/>
        <w:rPr>
          <w:noProof/>
        </w:rPr>
      </w:pPr>
      <w:r>
        <w:rPr>
          <w:noProof/>
        </w:rPr>
        <w:sym w:font="Wingdings" w:char="F0A8"/>
      </w:r>
      <w:r>
        <w:rPr>
          <w:b/>
          <w:i/>
          <w:noProof/>
        </w:rPr>
        <w:t xml:space="preserve"> </w:t>
      </w:r>
      <w:r>
        <w:rPr>
          <w:b/>
          <w:noProof/>
        </w:rPr>
        <w:t xml:space="preserve">Ograniczony czas trwania </w:t>
      </w:r>
    </w:p>
    <w:p w:rsidR="00D3052E" w:rsidRDefault="00635D2F">
      <w:pPr>
        <w:pStyle w:val="ListDash2"/>
        <w:rPr>
          <w:noProof/>
        </w:rPr>
      </w:pPr>
      <w:r>
        <w:rPr>
          <w:noProof/>
        </w:rPr>
        <w:sym w:font="Wingdings" w:char="F0A8"/>
      </w:r>
      <w:r>
        <w:rPr>
          <w:noProof/>
        </w:rPr>
        <w:tab/>
        <w:t xml:space="preserve">Okres trwania wniosku/inicjatywy: od [DD/MM]RRRR r. do [DD/MM]RRRR r. </w:t>
      </w:r>
    </w:p>
    <w:p w:rsidR="00D3052E" w:rsidRDefault="00635D2F">
      <w:pPr>
        <w:pStyle w:val="ListDash2"/>
        <w:rPr>
          <w:noProof/>
        </w:rPr>
      </w:pPr>
      <w:r>
        <w:rPr>
          <w:noProof/>
        </w:rPr>
        <w:sym w:font="Wingdings" w:char="F0A8"/>
      </w:r>
      <w:r>
        <w:rPr>
          <w:noProof/>
        </w:rPr>
        <w:tab/>
        <w:t>Okres trwania wpływu finansowego: od RRRR r. do RRRR r.</w:t>
      </w:r>
    </w:p>
    <w:p w:rsidR="00D3052E" w:rsidRDefault="00635D2F">
      <w:pPr>
        <w:pStyle w:val="Text1"/>
        <w:rPr>
          <w:noProof/>
        </w:rPr>
      </w:pPr>
      <w:r>
        <w:rPr>
          <w:noProof/>
        </w:rPr>
        <w:sym w:font="Wingdings" w:char="F0FE"/>
      </w:r>
      <w:r>
        <w:rPr>
          <w:b/>
          <w:i/>
          <w:noProof/>
        </w:rPr>
        <w:t xml:space="preserve"> </w:t>
      </w:r>
      <w:r>
        <w:rPr>
          <w:b/>
          <w:noProof/>
        </w:rPr>
        <w:t>Nieograniczony czas trwania</w:t>
      </w:r>
    </w:p>
    <w:p w:rsidR="00D3052E" w:rsidRDefault="00635D2F">
      <w:pPr>
        <w:pStyle w:val="ListDash1"/>
        <w:rPr>
          <w:noProof/>
        </w:rPr>
      </w:pPr>
      <w:r>
        <w:rPr>
          <w:noProof/>
        </w:rPr>
        <w:t>Wprowadzenie w życie z okresem rozruchu od 2021 r.</w:t>
      </w:r>
    </w:p>
    <w:p w:rsidR="00D3052E" w:rsidRDefault="00635D2F">
      <w:pPr>
        <w:pStyle w:val="ListDash1"/>
        <w:rPr>
          <w:noProof/>
        </w:rPr>
      </w:pPr>
      <w:r>
        <w:rPr>
          <w:noProof/>
        </w:rPr>
        <w:t>po którym następuje faza operacyjna.</w:t>
      </w:r>
    </w:p>
    <w:p w:rsidR="00D3052E" w:rsidRDefault="00635D2F">
      <w:pPr>
        <w:pStyle w:val="ManualHeading2"/>
        <w:rPr>
          <w:bCs/>
          <w:noProof/>
          <w:szCs w:val="24"/>
        </w:rPr>
      </w:pPr>
      <w:bookmarkStart w:id="48" w:name="_Toc514938675"/>
      <w:bookmarkStart w:id="49" w:name="_Toc520485434"/>
      <w:bookmarkStart w:id="50" w:name="_Toc54546050"/>
      <w:r>
        <w:t>1.7.</w:t>
      </w:r>
      <w:r>
        <w:tab/>
      </w:r>
      <w:r>
        <w:rPr>
          <w:noProof/>
        </w:rPr>
        <w:t>Planowane tryby zarządzania</w:t>
      </w:r>
      <w:r>
        <w:rPr>
          <w:rStyle w:val="Odwoanieprzypisudolnego"/>
          <w:noProof/>
        </w:rPr>
        <w:footnoteReference w:id="38"/>
      </w:r>
      <w:bookmarkEnd w:id="48"/>
      <w:bookmarkEnd w:id="49"/>
      <w:bookmarkEnd w:id="50"/>
      <w:r>
        <w:rPr>
          <w:rStyle w:val="Odwoanieprzypisudolnego"/>
          <w:noProof/>
        </w:rPr>
        <w:t xml:space="preserve"> </w:t>
      </w:r>
    </w:p>
    <w:p w:rsidR="00D3052E" w:rsidRDefault="00635D2F">
      <w:pPr>
        <w:pStyle w:val="Text1"/>
        <w:rPr>
          <w:noProof/>
        </w:rPr>
      </w:pPr>
      <w:r>
        <w:rPr>
          <w:noProof/>
        </w:rPr>
        <w:sym w:font="Wingdings" w:char="F0FE"/>
      </w:r>
      <w:r>
        <w:rPr>
          <w:i/>
          <w:noProof/>
        </w:rPr>
        <w:t xml:space="preserve"> </w:t>
      </w:r>
      <w:r>
        <w:rPr>
          <w:b/>
          <w:noProof/>
        </w:rPr>
        <w:t>Bezpośrednie zarządzanie</w:t>
      </w:r>
      <w:r>
        <w:rPr>
          <w:noProof/>
        </w:rPr>
        <w:t xml:space="preserve"> przez Komisję przez</w:t>
      </w:r>
    </w:p>
    <w:p w:rsidR="00D3052E" w:rsidRDefault="00635D2F">
      <w:pPr>
        <w:pStyle w:val="ListDash2"/>
        <w:rPr>
          <w:noProof/>
        </w:rPr>
      </w:pPr>
      <w:r>
        <w:rPr>
          <w:noProof/>
        </w:rPr>
        <w:sym w:font="Wingdings" w:char="F0A8"/>
      </w:r>
      <w:r>
        <w:rPr>
          <w:noProof/>
        </w:rPr>
        <w:tab/>
        <w:t xml:space="preserve">agencje wykonawcze </w:t>
      </w:r>
    </w:p>
    <w:p w:rsidR="00D3052E" w:rsidRDefault="00635D2F">
      <w:pPr>
        <w:pStyle w:val="Text1"/>
        <w:rPr>
          <w:noProof/>
        </w:rPr>
      </w:pPr>
      <w:r>
        <w:rPr>
          <w:noProof/>
        </w:rPr>
        <w:sym w:font="Wingdings" w:char="F0A8"/>
      </w:r>
      <w:r>
        <w:rPr>
          <w:b/>
          <w:i/>
          <w:noProof/>
        </w:rPr>
        <w:t xml:space="preserve"> </w:t>
      </w:r>
      <w:r>
        <w:rPr>
          <w:b/>
          <w:noProof/>
        </w:rPr>
        <w:t>Zarządzanie dzielone</w:t>
      </w:r>
      <w:r>
        <w:rPr>
          <w:noProof/>
        </w:rPr>
        <w:t xml:space="preserve"> z państwami członkowskimi </w:t>
      </w:r>
    </w:p>
    <w:p w:rsidR="00D3052E" w:rsidRDefault="00635D2F">
      <w:pPr>
        <w:pStyle w:val="Text1"/>
        <w:rPr>
          <w:noProof/>
        </w:rPr>
      </w:pPr>
      <w:r>
        <w:rPr>
          <w:noProof/>
        </w:rPr>
        <w:sym w:font="Wingdings" w:char="F0FE"/>
      </w:r>
      <w:r>
        <w:rPr>
          <w:i/>
          <w:noProof/>
        </w:rPr>
        <w:t xml:space="preserve"> </w:t>
      </w:r>
      <w:r>
        <w:rPr>
          <w:b/>
          <w:noProof/>
        </w:rPr>
        <w:t>Zarządzanie pośrednie</w:t>
      </w:r>
      <w:r>
        <w:rPr>
          <w:noProof/>
        </w:rPr>
        <w:t xml:space="preserve"> poprzez przekazanie zadań związanych z wykonaniem budżetu:</w:t>
      </w:r>
    </w:p>
    <w:p w:rsidR="00D3052E" w:rsidRDefault="00635D2F">
      <w:pPr>
        <w:pStyle w:val="Text1"/>
        <w:rPr>
          <w:noProof/>
        </w:rPr>
      </w:pPr>
      <w:r>
        <w:rPr>
          <w:noProof/>
        </w:rPr>
        <w:sym w:font="Wingdings" w:char="F0A8"/>
      </w:r>
      <w:r>
        <w:rPr>
          <w:noProof/>
        </w:rPr>
        <w:t xml:space="preserve"> organizacjom międzynarodowym i ich agencjom (należy wyszczególnić);</w:t>
      </w:r>
    </w:p>
    <w:p w:rsidR="00D3052E" w:rsidRDefault="00635D2F">
      <w:pPr>
        <w:pStyle w:val="Text1"/>
        <w:rPr>
          <w:noProof/>
        </w:rPr>
      </w:pPr>
      <w:r>
        <w:rPr>
          <w:noProof/>
        </w:rPr>
        <w:sym w:font="Wingdings" w:char="F0A8"/>
      </w:r>
      <w:r>
        <w:rPr>
          <w:noProof/>
        </w:rPr>
        <w:t xml:space="preserve"> EBI oraz Europejskiemu Funduszowi Inwestycyjnemu;</w:t>
      </w:r>
    </w:p>
    <w:p w:rsidR="00D3052E" w:rsidRDefault="00635D2F">
      <w:pPr>
        <w:pStyle w:val="Text1"/>
        <w:rPr>
          <w:noProof/>
        </w:rPr>
      </w:pPr>
      <w:r>
        <w:rPr>
          <w:noProof/>
        </w:rPr>
        <w:sym w:font="Wingdings" w:char="F0FE"/>
      </w:r>
      <w:r>
        <w:rPr>
          <w:noProof/>
        </w:rPr>
        <w:t xml:space="preserve"> organom, o których mowa w art. 70 i 71;</w:t>
      </w:r>
    </w:p>
    <w:p w:rsidR="00D3052E" w:rsidRDefault="00635D2F">
      <w:pPr>
        <w:pStyle w:val="Text1"/>
        <w:rPr>
          <w:noProof/>
        </w:rPr>
      </w:pPr>
      <w:r>
        <w:rPr>
          <w:noProof/>
        </w:rPr>
        <w:sym w:font="Wingdings" w:char="F0A8"/>
      </w:r>
      <w:r>
        <w:rPr>
          <w:noProof/>
        </w:rPr>
        <w:t xml:space="preserve"> organom prawa publicznego;</w:t>
      </w:r>
    </w:p>
    <w:p w:rsidR="00D3052E" w:rsidRDefault="00635D2F">
      <w:pPr>
        <w:pStyle w:val="Text1"/>
        <w:rPr>
          <w:noProof/>
        </w:rPr>
      </w:pPr>
      <w:r>
        <w:rPr>
          <w:noProof/>
        </w:rPr>
        <w:sym w:font="Wingdings" w:char="F0A8"/>
      </w:r>
      <w:r>
        <w:rPr>
          <w:noProof/>
        </w:rPr>
        <w:t xml:space="preserve"> podmiotom podlegającym prawu prywatnemu, które świadczą usługi użyteczności publicznej, o ile zapewniają one odpowiednie gwarancje finansowe;</w:t>
      </w:r>
    </w:p>
    <w:p w:rsidR="00D3052E" w:rsidRDefault="00635D2F">
      <w:pPr>
        <w:pStyle w:val="Text1"/>
        <w:rPr>
          <w:noProof/>
        </w:rPr>
      </w:pPr>
      <w:r>
        <w:rPr>
          <w:noProof/>
        </w:rPr>
        <w:sym w:font="Wingdings" w:char="F0A8"/>
      </w:r>
      <w:r>
        <w:rPr>
          <w:noProof/>
        </w:rPr>
        <w:t xml:space="preserve"> podmiotom podlegającym prawu prywatnemu państwa członkowskiego, którym powierzono realizację partnerstwa publiczno-prywatnego oraz które zapewniają odpowiednie gwarancje finansowe;</w:t>
      </w:r>
    </w:p>
    <w:p w:rsidR="00D3052E" w:rsidRDefault="00635D2F">
      <w:pPr>
        <w:pStyle w:val="Text1"/>
        <w:rPr>
          <w:noProof/>
        </w:rPr>
      </w:pPr>
      <w:r>
        <w:rPr>
          <w:noProof/>
        </w:rPr>
        <w:sym w:font="Wingdings" w:char="F0A8"/>
      </w:r>
      <w:r>
        <w:rPr>
          <w:noProof/>
        </w:rPr>
        <w:t xml:space="preserve"> osobom odpowiedzialnym za wykonanie określonych działań w dziedzinie wspólnej polityki zagranicznej i bezpieczeństwa na mocy tytułu V Traktatu o Unii Europejskiej oraz określonym we właściwym podstawowym akcie prawnym.</w:t>
      </w:r>
    </w:p>
    <w:p w:rsidR="00D3052E" w:rsidRDefault="00635D2F">
      <w:pPr>
        <w:rPr>
          <w:noProof/>
        </w:rPr>
      </w:pPr>
      <w:r>
        <w:rPr>
          <w:noProof/>
        </w:rPr>
        <w:t>Uwagi</w:t>
      </w:r>
    </w:p>
    <w:p w:rsidR="00D3052E" w:rsidRDefault="00635D2F">
      <w:pPr>
        <w:pBdr>
          <w:top w:val="single" w:sz="4" w:space="1" w:color="auto"/>
          <w:left w:val="single" w:sz="4" w:space="4" w:color="auto"/>
          <w:bottom w:val="single" w:sz="4" w:space="1" w:color="auto"/>
          <w:right w:val="single" w:sz="4" w:space="4" w:color="auto"/>
        </w:pBdr>
        <w:rPr>
          <w:noProof/>
        </w:rPr>
      </w:pPr>
      <w:r>
        <w:t>Nie dotyczy</w:t>
      </w:r>
    </w:p>
    <w:p w:rsidR="00D3052E" w:rsidRDefault="00D3052E">
      <w:pPr>
        <w:rPr>
          <w:noProof/>
        </w:rPr>
        <w:sectPr w:rsidR="00D3052E">
          <w:pgSz w:w="12240" w:h="15840"/>
          <w:pgMar w:top="794" w:right="907" w:bottom="851" w:left="1361" w:header="510" w:footer="454" w:gutter="0"/>
          <w:cols w:space="720"/>
          <w:docGrid w:linePitch="326"/>
        </w:sectPr>
      </w:pPr>
    </w:p>
    <w:p w:rsidR="00D3052E" w:rsidRDefault="00635D2F">
      <w:pPr>
        <w:pStyle w:val="ManualHeading1"/>
        <w:rPr>
          <w:bCs/>
          <w:noProof/>
          <w:szCs w:val="24"/>
        </w:rPr>
      </w:pPr>
      <w:bookmarkStart w:id="51" w:name="_Toc514938676"/>
      <w:bookmarkStart w:id="52" w:name="_Toc520485435"/>
      <w:bookmarkStart w:id="53" w:name="_Toc54546051"/>
      <w:r>
        <w:lastRenderedPageBreak/>
        <w:t>2.</w:t>
      </w:r>
      <w:r>
        <w:tab/>
      </w:r>
      <w:r>
        <w:rPr>
          <w:noProof/>
        </w:rPr>
        <w:t>ŚRODKI ZARZĄDZANIA</w:t>
      </w:r>
      <w:bookmarkEnd w:id="51"/>
      <w:bookmarkEnd w:id="52"/>
      <w:bookmarkEnd w:id="53"/>
      <w:r>
        <w:rPr>
          <w:noProof/>
        </w:rPr>
        <w:t xml:space="preserve"> </w:t>
      </w:r>
    </w:p>
    <w:p w:rsidR="00D3052E" w:rsidRDefault="00635D2F">
      <w:pPr>
        <w:pStyle w:val="ManualHeading2"/>
        <w:rPr>
          <w:bCs/>
          <w:noProof/>
          <w:szCs w:val="24"/>
        </w:rPr>
      </w:pPr>
      <w:bookmarkStart w:id="54" w:name="_Toc514938677"/>
      <w:bookmarkStart w:id="55" w:name="_Toc520485436"/>
      <w:bookmarkStart w:id="56" w:name="_Toc54546052"/>
      <w:r>
        <w:t>2.1.</w:t>
      </w:r>
      <w:r>
        <w:tab/>
      </w:r>
      <w:r>
        <w:rPr>
          <w:noProof/>
        </w:rPr>
        <w:t>Zasady nadzoru i sprawozdawczości</w:t>
      </w:r>
      <w:bookmarkEnd w:id="54"/>
      <w:bookmarkEnd w:id="55"/>
      <w:bookmarkEnd w:id="56"/>
      <w:r>
        <w:rPr>
          <w:noProof/>
        </w:rPr>
        <w:t xml:space="preserve"> </w:t>
      </w:r>
    </w:p>
    <w:p w:rsidR="00D3052E" w:rsidRDefault="00635D2F">
      <w:pPr>
        <w:pStyle w:val="Text1"/>
        <w:rPr>
          <w:i/>
          <w:noProof/>
          <w:sz w:val="20"/>
        </w:rPr>
      </w:pPr>
      <w:r>
        <w:rPr>
          <w:i/>
          <w:noProof/>
          <w:sz w:val="20"/>
        </w:rPr>
        <w:t>Określić częstotliwość i warunki</w:t>
      </w:r>
    </w:p>
    <w:p w:rsidR="00D3052E" w:rsidRDefault="00635D2F">
      <w:pPr>
        <w:pStyle w:val="Text1"/>
        <w:pBdr>
          <w:top w:val="single" w:sz="4" w:space="1" w:color="auto"/>
          <w:left w:val="single" w:sz="4" w:space="4" w:color="auto"/>
          <w:bottom w:val="single" w:sz="4" w:space="1" w:color="auto"/>
          <w:right w:val="single" w:sz="4" w:space="4" w:color="auto"/>
        </w:pBdr>
      </w:pPr>
      <w:bookmarkStart w:id="57" w:name="_Toc514938678"/>
      <w:bookmarkStart w:id="58" w:name="_Toc520485437"/>
      <w:r>
        <w:t xml:space="preserve">We wniosku przedstawiono decyzję, za pośrednictwem której zostanie przyjęty 8. unijny program działań w zakresie środowiska. We wniosku dotyczącym 8. EAP przedstawiono konieczność przyjęcia ambitnego programu przewidującego regularne monitowanie stanu środowiska i starań państw członkowskich na rzecz realizacji działań w dziedzinie środowiska i klimatu oraz regularną sprawozdawczość w tym zakresie (art. 4 ust. 1). Prace te pozwolą poprawić wykorzystywanie uzgodnionych wskaźników dotyczących różnych obszarów polityki ochrony środowiska i polityki klimatycznej, a będą opierać się na zasadach infrastruktury informacji przestrzennej we Wspólnocie Europejskiej odnoszących się do wykorzystywania danych przestrzennych i informacji cyfrowych (program Copernicus). Spójna, </w:t>
      </w:r>
      <w:proofErr w:type="spellStart"/>
      <w:r>
        <w:t>multidyscyplinarna</w:t>
      </w:r>
      <w:proofErr w:type="spellEnd"/>
      <w:r>
        <w:t xml:space="preserve"> i aktualna sprawozdawczość będzie stanowić podstawę do przedstawienia informacji ogółowi społeczeństwa i podsumowania postępów w zakresie kwestii klimatycznych i środowiskowych. Ponadto na podstawie tych sprawozdań odbędzie się dyskusja, podczas której Rada i Parlament będą debatować o stanie środowiska i zmianach klimatu oraz ocenią spójność odnoszących się do nich unijnych polityk i działań, za pośrednictwem których realizowane są cele Europejskiego Zielonego Ładu. Zaangażowanie EEA i ECHA ma kluczowe znaczenie dla realizacji tych prac. Również w przypadku europejskiej strategii ochrony różnorodności biologicznej rola monitorowania i pełnego wykorzystania informacji cyfrowych jest niezwykle istotna dla monitorowania stanu wrażliwych i cennych ekosystemów oraz ich usług. Interoperacyjność baz danych i pozyskiwanie danych z różnych źródeł zapewnia wartościowe informacje na temat skutków działalności człowieka dla środowiska i klimatu. Regularna sprawozdawczość dotycząca tych skutków sygnalizuje nie tylko negatywne skutki, ale również reakcje na pozytywne środki zarządzania i działania ochronne. W ten sposób monitorowanie i sprawozdawczość dostarczają informacji o wynikach wspólnotowych programów, działań i zasobów finansowych w terenie zarówno na poziomie unijnym, jak i międzynarodowym. </w:t>
      </w:r>
    </w:p>
    <w:p w:rsidR="00D3052E" w:rsidRDefault="00635D2F">
      <w:pPr>
        <w:pStyle w:val="Text1"/>
        <w:pBdr>
          <w:top w:val="single" w:sz="4" w:space="1" w:color="auto"/>
          <w:left w:val="single" w:sz="4" w:space="4" w:color="auto"/>
          <w:bottom w:val="single" w:sz="4" w:space="1" w:color="auto"/>
          <w:right w:val="single" w:sz="4" w:space="4" w:color="auto"/>
        </w:pBdr>
      </w:pPr>
      <w:r>
        <w:rPr>
          <w:b/>
          <w:noProof/>
          <w:color w:val="0000FF"/>
        </w:rPr>
        <w:t>Zastosowanie będą miały standardowe przepisy monitorowania i sprawozdawczości w zakresie dotacji UE dla tradycyjnych agencji.</w:t>
      </w:r>
    </w:p>
    <w:p w:rsidR="00D3052E" w:rsidRDefault="00635D2F">
      <w:pPr>
        <w:pStyle w:val="ManualHeading2"/>
        <w:rPr>
          <w:bCs/>
          <w:noProof/>
          <w:szCs w:val="24"/>
        </w:rPr>
      </w:pPr>
      <w:bookmarkStart w:id="59" w:name="_Toc54546053"/>
      <w:r>
        <w:t>2.2.</w:t>
      </w:r>
      <w:r>
        <w:tab/>
      </w:r>
      <w:r>
        <w:rPr>
          <w:noProof/>
        </w:rPr>
        <w:t>System zarządzania i kontroli</w:t>
      </w:r>
      <w:bookmarkEnd w:id="57"/>
      <w:bookmarkEnd w:id="58"/>
      <w:bookmarkEnd w:id="59"/>
      <w:r>
        <w:rPr>
          <w:noProof/>
        </w:rPr>
        <w:t xml:space="preserve"> </w:t>
      </w:r>
    </w:p>
    <w:p w:rsidR="00D3052E" w:rsidRDefault="00635D2F">
      <w:pPr>
        <w:pStyle w:val="ManualHeading3"/>
        <w:rPr>
          <w:noProof/>
        </w:rPr>
      </w:pPr>
      <w:bookmarkStart w:id="60" w:name="_Toc514938679"/>
      <w:bookmarkStart w:id="61" w:name="_Toc520485438"/>
      <w:bookmarkStart w:id="62" w:name="_Toc54546054"/>
      <w:r>
        <w:t>2.2.1.</w:t>
      </w:r>
      <w:r>
        <w:tab/>
      </w:r>
      <w:r>
        <w:rPr>
          <w:noProof/>
        </w:rPr>
        <w:t>Uzasadnienie dla systemu zarządzania, mechanizmów finansowania wykonania, warunków płatności i proponowanej strategii kontroli</w:t>
      </w:r>
      <w:bookmarkEnd w:id="60"/>
      <w:bookmarkEnd w:id="61"/>
      <w:bookmarkEnd w:id="62"/>
    </w:p>
    <w:p w:rsidR="00D3052E" w:rsidRDefault="00635D2F">
      <w:pPr>
        <w:pStyle w:val="Text1"/>
        <w:pBdr>
          <w:top w:val="single" w:sz="4" w:space="1" w:color="auto"/>
          <w:left w:val="single" w:sz="4" w:space="4" w:color="auto"/>
          <w:bottom w:val="single" w:sz="4" w:space="1" w:color="auto"/>
          <w:right w:val="single" w:sz="4" w:space="4" w:color="auto"/>
        </w:pBdr>
      </w:pPr>
      <w:bookmarkStart w:id="63" w:name="_Toc514938680"/>
      <w:bookmarkStart w:id="64" w:name="_Toc520485439"/>
      <w:r>
        <w:t xml:space="preserve">Zarządzanie będzie zarówno bezpośrednie przez Komisję, jak i pośrednie za pośrednictwem Europejskiej Agencji Środowiska (EEA) i Europejskiej Agencji Chemikaliów (ECHA). </w:t>
      </w:r>
    </w:p>
    <w:p w:rsidR="00D3052E" w:rsidRDefault="00635D2F">
      <w:pPr>
        <w:pStyle w:val="Text1"/>
        <w:pBdr>
          <w:top w:val="single" w:sz="4" w:space="1" w:color="auto"/>
          <w:left w:val="single" w:sz="4" w:space="4" w:color="auto"/>
          <w:bottom w:val="single" w:sz="4" w:space="1" w:color="auto"/>
          <w:right w:val="single" w:sz="4" w:space="4" w:color="auto"/>
        </w:pBdr>
      </w:pPr>
      <w:r>
        <w:t xml:space="preserve">Stosowność podejścia polegającego na w pełni pośrednim zarządzaniu przez dwie (lub potencjalnie więcej) agencje zdecentralizowane (EEA, ECHA, ale możliwe, że również EFSA) zostanie zbadana wraz ze </w:t>
      </w:r>
      <w:proofErr w:type="spellStart"/>
      <w:r>
        <w:t>współprawodawcami</w:t>
      </w:r>
      <w:proofErr w:type="spellEnd"/>
      <w:r>
        <w:t xml:space="preserve">. </w:t>
      </w:r>
    </w:p>
    <w:p w:rsidR="00D3052E" w:rsidRDefault="00635D2F">
      <w:pPr>
        <w:pStyle w:val="Text1"/>
        <w:pBdr>
          <w:top w:val="single" w:sz="4" w:space="1" w:color="auto"/>
          <w:left w:val="single" w:sz="4" w:space="4" w:color="auto"/>
          <w:bottom w:val="single" w:sz="4" w:space="1" w:color="auto"/>
          <w:right w:val="single" w:sz="4" w:space="4" w:color="auto"/>
        </w:pBdr>
      </w:pPr>
      <w:r>
        <w:t xml:space="preserve">Jeżeli chodzi o strategię kontroli, wszystkie agencje zdecentralizowane współpracują ściśle ze Służbą Audytu Wewnętrznego Komisji, aby zapewnić spełnienie odpowiednich norm we wszystkich obszarach ram kontroli wewnętrznej. Te uregulowania będą również miały zastosowanie do roli agencji w odniesieniu do niniejszego wniosku. </w:t>
      </w:r>
    </w:p>
    <w:p w:rsidR="00D3052E" w:rsidRDefault="00635D2F">
      <w:pPr>
        <w:pStyle w:val="Text1"/>
        <w:pBdr>
          <w:top w:val="single" w:sz="4" w:space="1" w:color="auto"/>
          <w:left w:val="single" w:sz="4" w:space="4" w:color="auto"/>
          <w:bottom w:val="single" w:sz="4" w:space="1" w:color="auto"/>
          <w:right w:val="single" w:sz="4" w:space="4" w:color="auto"/>
        </w:pBdr>
      </w:pPr>
      <w:r>
        <w:lastRenderedPageBreak/>
        <w:t>Dodatkowo w każdym roku budżetowym Parlament Europejski, na zalecenie Rady i z uwzględnieniem ustaleń Europejskiego Trybunału Obrachunkowego, rozważa, czy udzielić agencjom absolutorium z wykonania budżetu.</w:t>
      </w:r>
    </w:p>
    <w:p w:rsidR="00D3052E" w:rsidRDefault="00635D2F">
      <w:pPr>
        <w:pStyle w:val="ManualHeading3"/>
        <w:rPr>
          <w:noProof/>
        </w:rPr>
      </w:pPr>
      <w:bookmarkStart w:id="65" w:name="_Toc54546055"/>
      <w:r>
        <w:t>2.2.2.</w:t>
      </w:r>
      <w:r>
        <w:tab/>
      </w:r>
      <w:r>
        <w:rPr>
          <w:noProof/>
        </w:rPr>
        <w:t>Informacje dotyczące zidentyfikowanego ryzyka i systemów kontroli wewnętrznej ustanowionych w celu jego ograniczenia</w:t>
      </w:r>
      <w:bookmarkEnd w:id="63"/>
      <w:bookmarkEnd w:id="64"/>
      <w:bookmarkEnd w:id="65"/>
    </w:p>
    <w:p w:rsidR="00D3052E" w:rsidRDefault="00635D2F">
      <w:pPr>
        <w:pStyle w:val="Text1"/>
        <w:pBdr>
          <w:top w:val="single" w:sz="4" w:space="1" w:color="auto"/>
          <w:left w:val="single" w:sz="4" w:space="4" w:color="auto"/>
          <w:bottom w:val="single" w:sz="4" w:space="1" w:color="auto"/>
          <w:right w:val="single" w:sz="4" w:space="4" w:color="auto"/>
        </w:pBdr>
      </w:pPr>
      <w:bookmarkStart w:id="66" w:name="_Toc514938681"/>
      <w:bookmarkStart w:id="67" w:name="_Toc520485440"/>
      <w:r>
        <w:t>W odniesieniu do prawomocnego, gospodarnego, efektywnego i skutecznego wykorzystania środków udostępnionych w związku z działaniami, które mają być prowadzone przez EEA i ECHA w kontekście niniejszego wniosku, niniejsza inicjatywa nie pociągnie za sobą nowych znaczących rodzajów ryzyka, które nie byłyby już uwzględnione przez istniejące wewnętrzne ramy kontroli. Działania, które należy przeprowadzić w kontekście niniejszego wniosku, rozpoczną się w 2021 r. i będą dalej kontynuowane przez cały okres nowych wieloletnich ram finansowych (WRF).</w:t>
      </w:r>
    </w:p>
    <w:p w:rsidR="00D3052E" w:rsidRDefault="00635D2F">
      <w:pPr>
        <w:pStyle w:val="ManualHeading3"/>
        <w:rPr>
          <w:noProof/>
        </w:rPr>
      </w:pPr>
      <w:bookmarkStart w:id="68" w:name="_Toc54546056"/>
      <w:r>
        <w:t>2.2.3.</w:t>
      </w:r>
      <w:r>
        <w:tab/>
      </w:r>
      <w:r>
        <w:rPr>
          <w:noProof/>
        </w:rPr>
        <w:t>Oszacowanie i uzasadnienie efektywności kosztowej kontroli (relacja kosztów kontroli do wartości zarządzanych funduszy powiązanych) oraz ocena prawdopodobnego ryzyka błędu (przy płatności i przy zamykaniu)</w:t>
      </w:r>
      <w:bookmarkEnd w:id="66"/>
      <w:bookmarkEnd w:id="67"/>
      <w:bookmarkEnd w:id="68"/>
      <w:r>
        <w:rPr>
          <w:noProof/>
        </w:rPr>
        <w:t xml:space="preserve"> </w:t>
      </w:r>
    </w:p>
    <w:p w:rsidR="00D3052E" w:rsidRDefault="00635D2F">
      <w:pPr>
        <w:pStyle w:val="Text1"/>
        <w:pBdr>
          <w:top w:val="single" w:sz="4" w:space="1" w:color="auto"/>
          <w:left w:val="single" w:sz="4" w:space="4" w:color="auto"/>
          <w:bottom w:val="single" w:sz="4" w:space="1" w:color="auto"/>
          <w:right w:val="single" w:sz="4" w:space="4" w:color="auto"/>
        </w:pBdr>
      </w:pPr>
      <w:bookmarkStart w:id="69" w:name="_Toc514938682"/>
      <w:r>
        <w:t>Systemy zarządzania i kontroli przewidziane są w rozporządzeniach, które obecnie regulują funkcjonowanie EEA i ECHA. Organy te ściśle współpracują ze Służbą Audytu Wewnętrznego Komisji w celu zapewnienia przestrzegania odpowiednich norm we wszystkich obszarach ram kontroli wewnętrznej.</w:t>
      </w:r>
    </w:p>
    <w:p w:rsidR="00D3052E" w:rsidRDefault="00635D2F">
      <w:pPr>
        <w:pStyle w:val="Text1"/>
        <w:pBdr>
          <w:top w:val="single" w:sz="4" w:space="1" w:color="auto"/>
          <w:left w:val="single" w:sz="4" w:space="4" w:color="auto"/>
          <w:bottom w:val="single" w:sz="4" w:space="1" w:color="auto"/>
          <w:right w:val="single" w:sz="4" w:space="4" w:color="auto"/>
        </w:pBdr>
      </w:pPr>
      <w:r>
        <w:t>Co roku Parlament Europejski, na zalecenie Rady, udziela absolutorium budżetowego zarówno EEA, jak i ECHA w związku z wykonaniem przez nie budżetu.</w:t>
      </w:r>
    </w:p>
    <w:p w:rsidR="00D3052E" w:rsidRDefault="00635D2F">
      <w:pPr>
        <w:pStyle w:val="ManualHeading2"/>
        <w:rPr>
          <w:bCs/>
          <w:noProof/>
          <w:szCs w:val="24"/>
        </w:rPr>
      </w:pPr>
      <w:bookmarkStart w:id="70" w:name="_Toc520485441"/>
      <w:bookmarkStart w:id="71" w:name="_Toc54546057"/>
      <w:r>
        <w:t>2.3.</w:t>
      </w:r>
      <w:r>
        <w:tab/>
      </w:r>
      <w:r>
        <w:rPr>
          <w:noProof/>
        </w:rPr>
        <w:t>Środki zapobiegania nadużyciom finansowym i nieprawidłowościom</w:t>
      </w:r>
      <w:bookmarkEnd w:id="69"/>
      <w:bookmarkEnd w:id="70"/>
      <w:bookmarkEnd w:id="71"/>
      <w:r>
        <w:rPr>
          <w:noProof/>
        </w:rPr>
        <w:t xml:space="preserve"> </w:t>
      </w:r>
    </w:p>
    <w:p w:rsidR="00D3052E" w:rsidRDefault="00635D2F">
      <w:pPr>
        <w:pStyle w:val="Text1"/>
        <w:rPr>
          <w:i/>
          <w:noProof/>
          <w:sz w:val="20"/>
        </w:rPr>
      </w:pPr>
      <w:r>
        <w:rPr>
          <w:i/>
          <w:noProof/>
          <w:sz w:val="20"/>
        </w:rPr>
        <w:t>Określić istniejące lub przewidywane środki zapobiegania i ochrony, np. ze strategii zwalczania nadużyć finansowych.</w:t>
      </w:r>
    </w:p>
    <w:p w:rsidR="00D3052E" w:rsidRDefault="00635D2F">
      <w:pPr>
        <w:pStyle w:val="Text1"/>
        <w:pBdr>
          <w:top w:val="single" w:sz="4" w:space="1" w:color="auto"/>
          <w:left w:val="single" w:sz="4" w:space="4" w:color="auto"/>
          <w:bottom w:val="single" w:sz="4" w:space="1" w:color="auto"/>
          <w:right w:val="single" w:sz="4" w:space="4" w:color="auto"/>
        </w:pBdr>
        <w:rPr>
          <w:noProof/>
          <w:color w:val="0000FF"/>
        </w:rPr>
      </w:pPr>
      <w:bookmarkStart w:id="72" w:name="_Toc514938683"/>
      <w:bookmarkStart w:id="73" w:name="_Toc520485442"/>
      <w:r>
        <w:t xml:space="preserve">Do celów zwalczania oszustw, korupcji oraz wszelkiej innej nielegalnej działalności do EEA i ECHA zastosowanie mają, bez żadnych ograniczeń, przepisy rozporządzenia Parlamentu Europejskiego i Rady (UE, </w:t>
      </w:r>
      <w:proofErr w:type="spellStart"/>
      <w:r>
        <w:t>Euratom</w:t>
      </w:r>
      <w:proofErr w:type="spellEnd"/>
      <w:r>
        <w:t>) nr 883/2013 z dnia 11 września 2013 r. dotyczące dochodzeń prowadzonych przez Europejski Urząd ds. Zwalczania Nadużyć Finansowych (OLAF). EEA i EEA posiadają specjalną strategię w zakresie zwalczania nadużyć finansowych i wynikający z niej plan działania. Ponadto w rozporządzeniach ustanawiających EEA i ECHA określono przepisy dotyczące wykonania i kontroli budżetów EEA i ECHA oraz mające zastosowanie przepisy finansowe, w tym przepisy mające na celu zapobieganie nadużyciom finansowym i nieprawidłowościom.</w:t>
      </w:r>
    </w:p>
    <w:p w:rsidR="00D3052E" w:rsidRDefault="00635D2F">
      <w:pPr>
        <w:pStyle w:val="ManualHeading1"/>
        <w:rPr>
          <w:bCs/>
          <w:noProof/>
          <w:szCs w:val="24"/>
        </w:rPr>
      </w:pPr>
      <w:bookmarkStart w:id="74" w:name="_Toc54546058"/>
      <w:r>
        <w:t>3.</w:t>
      </w:r>
      <w:r>
        <w:tab/>
      </w:r>
      <w:r>
        <w:rPr>
          <w:noProof/>
        </w:rPr>
        <w:t>SZACUNKOWY WPŁYW FINANSOWY WNIOSKU/INICJATYWY</w:t>
      </w:r>
      <w:bookmarkEnd w:id="72"/>
      <w:bookmarkEnd w:id="73"/>
      <w:r>
        <w:rPr>
          <w:rStyle w:val="Odwoanieprzypisudolnego"/>
          <w:noProof/>
        </w:rPr>
        <w:footnoteReference w:id="39"/>
      </w:r>
      <w:bookmarkEnd w:id="74"/>
      <w:r>
        <w:rPr>
          <w:noProof/>
        </w:rPr>
        <w:t xml:space="preserve"> </w:t>
      </w:r>
    </w:p>
    <w:p w:rsidR="00D3052E" w:rsidRDefault="00635D2F">
      <w:pPr>
        <w:pStyle w:val="ManualHeading2"/>
        <w:rPr>
          <w:bCs/>
          <w:noProof/>
          <w:szCs w:val="24"/>
        </w:rPr>
      </w:pPr>
      <w:bookmarkStart w:id="75" w:name="_Toc514938684"/>
      <w:bookmarkStart w:id="76" w:name="_Toc520485443"/>
      <w:bookmarkStart w:id="77" w:name="_Toc54546059"/>
      <w:r>
        <w:t>3.1.</w:t>
      </w:r>
      <w:r>
        <w:tab/>
      </w:r>
      <w:r>
        <w:rPr>
          <w:noProof/>
        </w:rPr>
        <w:t>Działy wieloletnich ram finansowych i linie budżetowe po stronie wydatków, na które wniosek/inicjatywa ma wpływ</w:t>
      </w:r>
      <w:bookmarkEnd w:id="75"/>
      <w:bookmarkEnd w:id="76"/>
      <w:bookmarkEnd w:id="77"/>
      <w:r>
        <w:rPr>
          <w:noProof/>
        </w:rPr>
        <w:t xml:space="preserve"> </w:t>
      </w:r>
    </w:p>
    <w:p w:rsidR="00D3052E" w:rsidRDefault="00635D2F">
      <w:pPr>
        <w:pStyle w:val="ListBullet1"/>
        <w:rPr>
          <w:noProof/>
        </w:rPr>
      </w:pPr>
      <w:r>
        <w:rPr>
          <w:noProof/>
        </w:rPr>
        <w:t xml:space="preserve">Istniejące linie budżetowe </w:t>
      </w:r>
    </w:p>
    <w:p w:rsidR="00D3052E" w:rsidRDefault="00635D2F">
      <w:pPr>
        <w:pStyle w:val="Text1"/>
        <w:rPr>
          <w:noProof/>
        </w:rPr>
      </w:pPr>
      <w:r>
        <w:rPr>
          <w:noProof/>
          <w:u w:val="single"/>
        </w:rPr>
        <w:t>Według</w:t>
      </w:r>
      <w:r>
        <w:rPr>
          <w:noProof/>
        </w:rPr>
        <w:t xml:space="preserve"> działów wieloletnich ram finansowych i linii budżetowych.</w:t>
      </w:r>
    </w:p>
    <w:tbl>
      <w:tblPr>
        <w:tblpPr w:leftFromText="180" w:rightFromText="180" w:vertAnchor="text" w:tblpX="-252" w:tblpY="1"/>
        <w:tblOverlap w:val="never"/>
        <w:tblW w:w="10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4412"/>
        <w:gridCol w:w="1080"/>
        <w:gridCol w:w="904"/>
        <w:gridCol w:w="993"/>
        <w:gridCol w:w="992"/>
        <w:gridCol w:w="1357"/>
        <w:gridCol w:w="26"/>
      </w:tblGrid>
      <w:tr w:rsidR="00D3052E">
        <w:tc>
          <w:tcPr>
            <w:tcW w:w="1080" w:type="dxa"/>
            <w:vMerge w:val="restart"/>
            <w:vAlign w:val="center"/>
          </w:tcPr>
          <w:p w:rsidR="00D3052E" w:rsidRDefault="00635D2F">
            <w:pPr>
              <w:spacing w:before="60" w:after="60"/>
              <w:jc w:val="center"/>
              <w:rPr>
                <w:noProof/>
                <w:sz w:val="18"/>
              </w:rPr>
            </w:pPr>
            <w:r>
              <w:rPr>
                <w:noProof/>
                <w:sz w:val="18"/>
              </w:rPr>
              <w:lastRenderedPageBreak/>
              <w:t>Dział wieloletnich ram finansowych</w:t>
            </w:r>
          </w:p>
        </w:tc>
        <w:tc>
          <w:tcPr>
            <w:tcW w:w="4412" w:type="dxa"/>
            <w:vAlign w:val="center"/>
          </w:tcPr>
          <w:p w:rsidR="00D3052E" w:rsidRDefault="00635D2F">
            <w:pPr>
              <w:spacing w:before="60" w:after="60"/>
              <w:jc w:val="center"/>
              <w:rPr>
                <w:noProof/>
              </w:rPr>
            </w:pPr>
            <w:r>
              <w:rPr>
                <w:noProof/>
                <w:sz w:val="20"/>
              </w:rPr>
              <w:t>Linia budżetowa</w:t>
            </w:r>
          </w:p>
        </w:tc>
        <w:tc>
          <w:tcPr>
            <w:tcW w:w="1080" w:type="dxa"/>
            <w:vAlign w:val="center"/>
          </w:tcPr>
          <w:p w:rsidR="00D3052E" w:rsidRDefault="00635D2F">
            <w:pPr>
              <w:spacing w:before="60" w:after="60"/>
              <w:jc w:val="center"/>
              <w:rPr>
                <w:noProof/>
              </w:rPr>
            </w:pPr>
            <w:r>
              <w:rPr>
                <w:noProof/>
                <w:sz w:val="18"/>
              </w:rPr>
              <w:t>Rodzaj</w:t>
            </w:r>
            <w:r>
              <w:rPr>
                <w:noProof/>
              </w:rPr>
              <w:br/>
            </w:r>
            <w:r>
              <w:rPr>
                <w:noProof/>
                <w:sz w:val="18"/>
              </w:rPr>
              <w:t>środków</w:t>
            </w:r>
          </w:p>
        </w:tc>
        <w:tc>
          <w:tcPr>
            <w:tcW w:w="4272" w:type="dxa"/>
            <w:gridSpan w:val="5"/>
            <w:vAlign w:val="center"/>
          </w:tcPr>
          <w:p w:rsidR="00D3052E" w:rsidRDefault="00635D2F">
            <w:pPr>
              <w:spacing w:before="60" w:after="60"/>
              <w:jc w:val="center"/>
              <w:rPr>
                <w:noProof/>
              </w:rPr>
            </w:pPr>
            <w:r>
              <w:rPr>
                <w:noProof/>
                <w:sz w:val="20"/>
              </w:rPr>
              <w:t xml:space="preserve">Wkład </w:t>
            </w:r>
          </w:p>
        </w:tc>
      </w:tr>
      <w:tr w:rsidR="00D3052E">
        <w:trPr>
          <w:gridAfter w:val="1"/>
          <w:wAfter w:w="26" w:type="dxa"/>
        </w:trPr>
        <w:tc>
          <w:tcPr>
            <w:tcW w:w="1080" w:type="dxa"/>
            <w:vMerge/>
            <w:vAlign w:val="center"/>
          </w:tcPr>
          <w:p w:rsidR="00D3052E" w:rsidRDefault="00D3052E">
            <w:pPr>
              <w:rPr>
                <w:noProof/>
                <w:sz w:val="18"/>
              </w:rPr>
            </w:pPr>
          </w:p>
        </w:tc>
        <w:tc>
          <w:tcPr>
            <w:tcW w:w="4412" w:type="dxa"/>
            <w:vAlign w:val="center"/>
          </w:tcPr>
          <w:p w:rsidR="00D3052E" w:rsidRDefault="00635D2F">
            <w:pPr>
              <w:rPr>
                <w:noProof/>
              </w:rPr>
            </w:pPr>
            <w:r>
              <w:rPr>
                <w:noProof/>
                <w:sz w:val="20"/>
              </w:rPr>
              <w:t xml:space="preserve">Numer </w:t>
            </w:r>
            <w:r>
              <w:rPr>
                <w:noProof/>
              </w:rPr>
              <w:br/>
            </w:r>
          </w:p>
        </w:tc>
        <w:tc>
          <w:tcPr>
            <w:tcW w:w="1080" w:type="dxa"/>
            <w:vAlign w:val="center"/>
          </w:tcPr>
          <w:p w:rsidR="00D3052E" w:rsidRDefault="00635D2F">
            <w:pPr>
              <w:jc w:val="center"/>
              <w:rPr>
                <w:noProof/>
              </w:rPr>
            </w:pPr>
            <w:r>
              <w:rPr>
                <w:noProof/>
                <w:sz w:val="18"/>
              </w:rPr>
              <w:t>Zróżn. /niezróżn</w:t>
            </w:r>
            <w:r>
              <w:rPr>
                <w:rStyle w:val="Odwoanieprzypisudolnego"/>
                <w:noProof/>
                <w:sz w:val="18"/>
              </w:rPr>
              <w:footnoteReference w:id="40"/>
            </w:r>
          </w:p>
        </w:tc>
        <w:tc>
          <w:tcPr>
            <w:tcW w:w="904" w:type="dxa"/>
            <w:vAlign w:val="center"/>
          </w:tcPr>
          <w:p w:rsidR="00D3052E" w:rsidRDefault="00635D2F">
            <w:pPr>
              <w:jc w:val="center"/>
              <w:rPr>
                <w:noProof/>
              </w:rPr>
            </w:pPr>
            <w:r>
              <w:rPr>
                <w:noProof/>
                <w:sz w:val="18"/>
              </w:rPr>
              <w:t>państw EFTA</w:t>
            </w:r>
            <w:r>
              <w:rPr>
                <w:rStyle w:val="Odwoanieprzypisudolnego"/>
                <w:noProof/>
                <w:sz w:val="18"/>
              </w:rPr>
              <w:footnoteReference w:id="41"/>
            </w:r>
          </w:p>
        </w:tc>
        <w:tc>
          <w:tcPr>
            <w:tcW w:w="993" w:type="dxa"/>
            <w:vAlign w:val="center"/>
          </w:tcPr>
          <w:p w:rsidR="00D3052E" w:rsidRDefault="00635D2F">
            <w:pPr>
              <w:jc w:val="center"/>
              <w:rPr>
                <w:noProof/>
                <w:sz w:val="18"/>
              </w:rPr>
            </w:pPr>
            <w:r>
              <w:rPr>
                <w:noProof/>
                <w:sz w:val="18"/>
              </w:rPr>
              <w:t>krajów kandydujących</w:t>
            </w:r>
            <w:r>
              <w:rPr>
                <w:rStyle w:val="Odwoanieprzypisudolnego"/>
                <w:noProof/>
                <w:sz w:val="18"/>
              </w:rPr>
              <w:footnoteReference w:id="42"/>
            </w:r>
          </w:p>
        </w:tc>
        <w:tc>
          <w:tcPr>
            <w:tcW w:w="992" w:type="dxa"/>
            <w:vAlign w:val="center"/>
          </w:tcPr>
          <w:p w:rsidR="00D3052E" w:rsidRDefault="00635D2F">
            <w:pPr>
              <w:jc w:val="center"/>
              <w:rPr>
                <w:noProof/>
                <w:sz w:val="18"/>
              </w:rPr>
            </w:pPr>
            <w:r>
              <w:rPr>
                <w:noProof/>
                <w:sz w:val="18"/>
              </w:rPr>
              <w:t>państw trzecich</w:t>
            </w:r>
          </w:p>
        </w:tc>
        <w:tc>
          <w:tcPr>
            <w:tcW w:w="1357" w:type="dxa"/>
            <w:vAlign w:val="center"/>
          </w:tcPr>
          <w:p w:rsidR="00D3052E" w:rsidRDefault="00635D2F">
            <w:pPr>
              <w:jc w:val="center"/>
              <w:rPr>
                <w:noProof/>
                <w:sz w:val="16"/>
                <w:szCs w:val="16"/>
              </w:rPr>
            </w:pPr>
            <w:r>
              <w:rPr>
                <w:noProof/>
                <w:sz w:val="16"/>
                <w:szCs w:val="16"/>
              </w:rPr>
              <w:t xml:space="preserve">w rozumieniu art. 21 ust. 2 lit. b) rozporządzenia finansowego </w:t>
            </w:r>
          </w:p>
        </w:tc>
      </w:tr>
      <w:tr w:rsidR="00D3052E">
        <w:trPr>
          <w:gridAfter w:val="1"/>
          <w:wAfter w:w="26" w:type="dxa"/>
        </w:trPr>
        <w:tc>
          <w:tcPr>
            <w:tcW w:w="1080" w:type="dxa"/>
            <w:vAlign w:val="center"/>
          </w:tcPr>
          <w:p w:rsidR="00D3052E" w:rsidRDefault="00635D2F">
            <w:pPr>
              <w:jc w:val="center"/>
              <w:rPr>
                <w:noProof/>
                <w:color w:val="0000FF"/>
              </w:rPr>
            </w:pPr>
            <w:r>
              <w:rPr>
                <w:noProof/>
                <w:color w:val="0000FF"/>
              </w:rPr>
              <w:t>3</w:t>
            </w:r>
          </w:p>
        </w:tc>
        <w:tc>
          <w:tcPr>
            <w:tcW w:w="4412" w:type="dxa"/>
            <w:vAlign w:val="center"/>
          </w:tcPr>
          <w:p w:rsidR="00D3052E" w:rsidRDefault="00635D2F">
            <w:pPr>
              <w:spacing w:before="60"/>
              <w:rPr>
                <w:noProof/>
                <w:color w:val="0000FF"/>
              </w:rPr>
            </w:pPr>
            <w:r>
              <w:rPr>
                <w:noProof/>
                <w:color w:val="0000FF"/>
              </w:rPr>
              <w:t>09.02.01 Przyroda i różnorodność biologiczna</w:t>
            </w:r>
          </w:p>
        </w:tc>
        <w:tc>
          <w:tcPr>
            <w:tcW w:w="1080" w:type="dxa"/>
            <w:vAlign w:val="center"/>
          </w:tcPr>
          <w:p w:rsidR="00D3052E" w:rsidRDefault="00635D2F">
            <w:pPr>
              <w:jc w:val="center"/>
              <w:rPr>
                <w:noProof/>
                <w:color w:val="0000FF"/>
                <w:sz w:val="18"/>
              </w:rPr>
            </w:pPr>
            <w:r>
              <w:rPr>
                <w:noProof/>
                <w:color w:val="0000FF"/>
                <w:sz w:val="18"/>
              </w:rPr>
              <w:t>Zróżn.</w:t>
            </w:r>
          </w:p>
        </w:tc>
        <w:tc>
          <w:tcPr>
            <w:tcW w:w="904" w:type="dxa"/>
            <w:vAlign w:val="center"/>
          </w:tcPr>
          <w:p w:rsidR="00D3052E" w:rsidRDefault="00635D2F">
            <w:pPr>
              <w:jc w:val="center"/>
              <w:rPr>
                <w:noProof/>
                <w:color w:val="0000FF"/>
                <w:sz w:val="20"/>
              </w:rPr>
            </w:pPr>
            <w:r>
              <w:rPr>
                <w:noProof/>
                <w:color w:val="0000FF"/>
                <w:sz w:val="20"/>
              </w:rPr>
              <w:t>NIE</w:t>
            </w:r>
          </w:p>
        </w:tc>
        <w:tc>
          <w:tcPr>
            <w:tcW w:w="993" w:type="dxa"/>
            <w:vAlign w:val="center"/>
          </w:tcPr>
          <w:p w:rsidR="00D3052E" w:rsidRDefault="00635D2F">
            <w:pPr>
              <w:jc w:val="center"/>
              <w:rPr>
                <w:noProof/>
                <w:color w:val="0000FF"/>
                <w:sz w:val="20"/>
              </w:rPr>
            </w:pPr>
            <w:r>
              <w:rPr>
                <w:noProof/>
                <w:color w:val="0000FF"/>
                <w:sz w:val="20"/>
              </w:rPr>
              <w:t>NIE</w:t>
            </w:r>
          </w:p>
        </w:tc>
        <w:tc>
          <w:tcPr>
            <w:tcW w:w="992" w:type="dxa"/>
            <w:vAlign w:val="center"/>
          </w:tcPr>
          <w:p w:rsidR="00D3052E" w:rsidRDefault="00635D2F">
            <w:pPr>
              <w:jc w:val="center"/>
              <w:rPr>
                <w:noProof/>
                <w:color w:val="0000FF"/>
                <w:sz w:val="20"/>
              </w:rPr>
            </w:pPr>
            <w:r>
              <w:rPr>
                <w:noProof/>
                <w:color w:val="0000FF"/>
                <w:sz w:val="20"/>
              </w:rPr>
              <w:t>NIE</w:t>
            </w:r>
          </w:p>
        </w:tc>
        <w:tc>
          <w:tcPr>
            <w:tcW w:w="1357" w:type="dxa"/>
            <w:vAlign w:val="center"/>
          </w:tcPr>
          <w:p w:rsidR="00D3052E" w:rsidRDefault="00635D2F">
            <w:pPr>
              <w:jc w:val="center"/>
              <w:rPr>
                <w:noProof/>
                <w:color w:val="0000FF"/>
                <w:sz w:val="20"/>
              </w:rPr>
            </w:pPr>
            <w:r>
              <w:rPr>
                <w:noProof/>
                <w:color w:val="0000FF"/>
                <w:sz w:val="20"/>
              </w:rPr>
              <w:t>NIE</w:t>
            </w:r>
          </w:p>
        </w:tc>
      </w:tr>
      <w:tr w:rsidR="00D3052E">
        <w:trPr>
          <w:gridAfter w:val="1"/>
          <w:wAfter w:w="26" w:type="dxa"/>
        </w:trPr>
        <w:tc>
          <w:tcPr>
            <w:tcW w:w="1080" w:type="dxa"/>
            <w:vAlign w:val="center"/>
          </w:tcPr>
          <w:p w:rsidR="00D3052E" w:rsidRDefault="00635D2F">
            <w:pPr>
              <w:jc w:val="center"/>
              <w:rPr>
                <w:noProof/>
                <w:color w:val="0000FF"/>
              </w:rPr>
            </w:pPr>
            <w:r>
              <w:rPr>
                <w:noProof/>
                <w:color w:val="0000FF"/>
              </w:rPr>
              <w:t>3</w:t>
            </w:r>
          </w:p>
        </w:tc>
        <w:tc>
          <w:tcPr>
            <w:tcW w:w="4412" w:type="dxa"/>
            <w:vAlign w:val="center"/>
          </w:tcPr>
          <w:p w:rsidR="00D3052E" w:rsidRDefault="00635D2F">
            <w:pPr>
              <w:spacing w:before="60"/>
              <w:rPr>
                <w:noProof/>
                <w:color w:val="0000FF"/>
              </w:rPr>
            </w:pPr>
            <w:r>
              <w:rPr>
                <w:noProof/>
                <w:color w:val="0000FF"/>
              </w:rPr>
              <w:t>09.02.02 Gospodarka o obiegu zamkniętym i jakość życia</w:t>
            </w:r>
          </w:p>
        </w:tc>
        <w:tc>
          <w:tcPr>
            <w:tcW w:w="1080" w:type="dxa"/>
            <w:vAlign w:val="center"/>
          </w:tcPr>
          <w:p w:rsidR="00D3052E" w:rsidRDefault="00635D2F">
            <w:pPr>
              <w:jc w:val="center"/>
              <w:rPr>
                <w:noProof/>
                <w:color w:val="0000FF"/>
                <w:sz w:val="18"/>
              </w:rPr>
            </w:pPr>
            <w:r>
              <w:rPr>
                <w:noProof/>
                <w:color w:val="0000FF"/>
                <w:sz w:val="18"/>
              </w:rPr>
              <w:t>Zróżn.</w:t>
            </w:r>
          </w:p>
        </w:tc>
        <w:tc>
          <w:tcPr>
            <w:tcW w:w="904" w:type="dxa"/>
            <w:vAlign w:val="center"/>
          </w:tcPr>
          <w:p w:rsidR="00D3052E" w:rsidRDefault="00635D2F">
            <w:pPr>
              <w:jc w:val="center"/>
              <w:rPr>
                <w:noProof/>
                <w:color w:val="0000FF"/>
                <w:sz w:val="20"/>
              </w:rPr>
            </w:pPr>
            <w:r>
              <w:rPr>
                <w:noProof/>
                <w:color w:val="0000FF"/>
                <w:sz w:val="20"/>
              </w:rPr>
              <w:t>NIE</w:t>
            </w:r>
          </w:p>
        </w:tc>
        <w:tc>
          <w:tcPr>
            <w:tcW w:w="993" w:type="dxa"/>
            <w:vAlign w:val="center"/>
          </w:tcPr>
          <w:p w:rsidR="00D3052E" w:rsidRDefault="00635D2F">
            <w:pPr>
              <w:jc w:val="center"/>
              <w:rPr>
                <w:noProof/>
                <w:color w:val="0000FF"/>
                <w:sz w:val="20"/>
              </w:rPr>
            </w:pPr>
            <w:r>
              <w:rPr>
                <w:noProof/>
                <w:color w:val="0000FF"/>
                <w:sz w:val="20"/>
              </w:rPr>
              <w:t>NIE</w:t>
            </w:r>
          </w:p>
        </w:tc>
        <w:tc>
          <w:tcPr>
            <w:tcW w:w="992" w:type="dxa"/>
            <w:vAlign w:val="center"/>
          </w:tcPr>
          <w:p w:rsidR="00D3052E" w:rsidRDefault="00635D2F">
            <w:pPr>
              <w:jc w:val="center"/>
              <w:rPr>
                <w:noProof/>
                <w:color w:val="0000FF"/>
                <w:sz w:val="20"/>
              </w:rPr>
            </w:pPr>
            <w:r>
              <w:rPr>
                <w:noProof/>
                <w:color w:val="0000FF"/>
                <w:sz w:val="20"/>
              </w:rPr>
              <w:t>NIE</w:t>
            </w:r>
          </w:p>
        </w:tc>
        <w:tc>
          <w:tcPr>
            <w:tcW w:w="1357" w:type="dxa"/>
            <w:vAlign w:val="center"/>
          </w:tcPr>
          <w:p w:rsidR="00D3052E" w:rsidRDefault="00635D2F">
            <w:pPr>
              <w:jc w:val="center"/>
              <w:rPr>
                <w:noProof/>
                <w:color w:val="0000FF"/>
                <w:sz w:val="20"/>
              </w:rPr>
            </w:pPr>
            <w:r>
              <w:rPr>
                <w:noProof/>
                <w:color w:val="0000FF"/>
                <w:sz w:val="20"/>
              </w:rPr>
              <w:t>NIE</w:t>
            </w:r>
          </w:p>
        </w:tc>
      </w:tr>
      <w:tr w:rsidR="00D3052E">
        <w:trPr>
          <w:gridAfter w:val="1"/>
          <w:wAfter w:w="26" w:type="dxa"/>
        </w:trPr>
        <w:tc>
          <w:tcPr>
            <w:tcW w:w="1080" w:type="dxa"/>
            <w:vAlign w:val="center"/>
          </w:tcPr>
          <w:p w:rsidR="00D3052E" w:rsidRDefault="00635D2F">
            <w:pPr>
              <w:jc w:val="center"/>
              <w:rPr>
                <w:noProof/>
                <w:color w:val="0000FF"/>
              </w:rPr>
            </w:pPr>
            <w:r>
              <w:rPr>
                <w:noProof/>
                <w:color w:val="0000FF"/>
              </w:rPr>
              <w:t>3</w:t>
            </w:r>
          </w:p>
        </w:tc>
        <w:tc>
          <w:tcPr>
            <w:tcW w:w="4412" w:type="dxa"/>
            <w:vAlign w:val="center"/>
          </w:tcPr>
          <w:p w:rsidR="00D3052E" w:rsidRDefault="00635D2F">
            <w:pPr>
              <w:spacing w:before="60"/>
              <w:rPr>
                <w:noProof/>
                <w:color w:val="0000FF"/>
              </w:rPr>
            </w:pPr>
            <w:r>
              <w:rPr>
                <w:noProof/>
                <w:color w:val="0000FF"/>
              </w:rPr>
              <w:t>09.02.03 Łagodzenie zmiany klimatu i przystosowywanie się do niej</w:t>
            </w:r>
          </w:p>
        </w:tc>
        <w:tc>
          <w:tcPr>
            <w:tcW w:w="1080" w:type="dxa"/>
            <w:vAlign w:val="center"/>
          </w:tcPr>
          <w:p w:rsidR="00D3052E" w:rsidRDefault="00635D2F">
            <w:pPr>
              <w:jc w:val="center"/>
              <w:rPr>
                <w:noProof/>
                <w:color w:val="0000FF"/>
                <w:sz w:val="18"/>
              </w:rPr>
            </w:pPr>
            <w:r>
              <w:rPr>
                <w:noProof/>
                <w:color w:val="0000FF"/>
                <w:sz w:val="18"/>
              </w:rPr>
              <w:t>Zróżn.</w:t>
            </w:r>
          </w:p>
        </w:tc>
        <w:tc>
          <w:tcPr>
            <w:tcW w:w="904" w:type="dxa"/>
            <w:vAlign w:val="center"/>
          </w:tcPr>
          <w:p w:rsidR="00D3052E" w:rsidRDefault="00635D2F">
            <w:pPr>
              <w:jc w:val="center"/>
              <w:rPr>
                <w:noProof/>
                <w:color w:val="0000FF"/>
                <w:sz w:val="20"/>
              </w:rPr>
            </w:pPr>
            <w:r>
              <w:rPr>
                <w:noProof/>
                <w:color w:val="0000FF"/>
                <w:sz w:val="20"/>
              </w:rPr>
              <w:t>NIE</w:t>
            </w:r>
          </w:p>
        </w:tc>
        <w:tc>
          <w:tcPr>
            <w:tcW w:w="993" w:type="dxa"/>
            <w:vAlign w:val="center"/>
          </w:tcPr>
          <w:p w:rsidR="00D3052E" w:rsidRDefault="00635D2F">
            <w:pPr>
              <w:jc w:val="center"/>
              <w:rPr>
                <w:noProof/>
                <w:color w:val="0000FF"/>
                <w:sz w:val="20"/>
              </w:rPr>
            </w:pPr>
            <w:r>
              <w:rPr>
                <w:noProof/>
                <w:color w:val="0000FF"/>
                <w:sz w:val="20"/>
              </w:rPr>
              <w:t>NIE</w:t>
            </w:r>
          </w:p>
        </w:tc>
        <w:tc>
          <w:tcPr>
            <w:tcW w:w="992" w:type="dxa"/>
            <w:vAlign w:val="center"/>
          </w:tcPr>
          <w:p w:rsidR="00D3052E" w:rsidRDefault="00635D2F">
            <w:pPr>
              <w:jc w:val="center"/>
              <w:rPr>
                <w:noProof/>
                <w:color w:val="0000FF"/>
                <w:sz w:val="20"/>
              </w:rPr>
            </w:pPr>
            <w:r>
              <w:rPr>
                <w:noProof/>
                <w:color w:val="0000FF"/>
                <w:sz w:val="20"/>
              </w:rPr>
              <w:t>NIE</w:t>
            </w:r>
          </w:p>
        </w:tc>
        <w:tc>
          <w:tcPr>
            <w:tcW w:w="1357" w:type="dxa"/>
            <w:vAlign w:val="center"/>
          </w:tcPr>
          <w:p w:rsidR="00D3052E" w:rsidRDefault="00635D2F">
            <w:pPr>
              <w:jc w:val="center"/>
              <w:rPr>
                <w:noProof/>
                <w:color w:val="0000FF"/>
                <w:sz w:val="20"/>
              </w:rPr>
            </w:pPr>
            <w:r>
              <w:rPr>
                <w:noProof/>
                <w:color w:val="0000FF"/>
                <w:sz w:val="20"/>
              </w:rPr>
              <w:t>NIE</w:t>
            </w:r>
          </w:p>
        </w:tc>
      </w:tr>
      <w:tr w:rsidR="00D3052E">
        <w:trPr>
          <w:gridAfter w:val="1"/>
          <w:wAfter w:w="26" w:type="dxa"/>
        </w:trPr>
        <w:tc>
          <w:tcPr>
            <w:tcW w:w="1080" w:type="dxa"/>
            <w:vAlign w:val="center"/>
          </w:tcPr>
          <w:p w:rsidR="00D3052E" w:rsidRDefault="00635D2F">
            <w:pPr>
              <w:jc w:val="center"/>
              <w:rPr>
                <w:noProof/>
                <w:color w:val="0000FF"/>
              </w:rPr>
            </w:pPr>
            <w:r>
              <w:rPr>
                <w:noProof/>
                <w:color w:val="0000FF"/>
              </w:rPr>
              <w:t>3</w:t>
            </w:r>
          </w:p>
        </w:tc>
        <w:tc>
          <w:tcPr>
            <w:tcW w:w="4412" w:type="dxa"/>
            <w:vAlign w:val="center"/>
          </w:tcPr>
          <w:p w:rsidR="00D3052E" w:rsidRDefault="00635D2F">
            <w:pPr>
              <w:spacing w:before="60"/>
              <w:rPr>
                <w:noProof/>
                <w:color w:val="0000FF"/>
              </w:rPr>
            </w:pPr>
            <w:r>
              <w:rPr>
                <w:noProof/>
                <w:color w:val="0000FF"/>
              </w:rPr>
              <w:t>09.10.02 - Europejska Agencja Środowiska</w:t>
            </w:r>
          </w:p>
        </w:tc>
        <w:tc>
          <w:tcPr>
            <w:tcW w:w="1080" w:type="dxa"/>
            <w:vAlign w:val="center"/>
          </w:tcPr>
          <w:p w:rsidR="00D3052E" w:rsidRDefault="00635D2F">
            <w:pPr>
              <w:jc w:val="center"/>
              <w:rPr>
                <w:noProof/>
                <w:color w:val="0000FF"/>
                <w:sz w:val="18"/>
              </w:rPr>
            </w:pPr>
            <w:r>
              <w:rPr>
                <w:noProof/>
                <w:color w:val="0000FF"/>
                <w:sz w:val="18"/>
              </w:rPr>
              <w:t>Zróżn.</w:t>
            </w:r>
          </w:p>
        </w:tc>
        <w:tc>
          <w:tcPr>
            <w:tcW w:w="904" w:type="dxa"/>
            <w:vAlign w:val="center"/>
          </w:tcPr>
          <w:p w:rsidR="00D3052E" w:rsidRDefault="00635D2F">
            <w:pPr>
              <w:jc w:val="center"/>
              <w:rPr>
                <w:noProof/>
                <w:color w:val="0000FF"/>
                <w:sz w:val="20"/>
              </w:rPr>
            </w:pPr>
            <w:r>
              <w:rPr>
                <w:noProof/>
                <w:color w:val="0000FF"/>
                <w:sz w:val="20"/>
              </w:rPr>
              <w:t>NIE</w:t>
            </w:r>
          </w:p>
        </w:tc>
        <w:tc>
          <w:tcPr>
            <w:tcW w:w="993" w:type="dxa"/>
            <w:vAlign w:val="center"/>
          </w:tcPr>
          <w:p w:rsidR="00D3052E" w:rsidRDefault="00635D2F">
            <w:pPr>
              <w:jc w:val="center"/>
              <w:rPr>
                <w:noProof/>
                <w:color w:val="0000FF"/>
                <w:sz w:val="20"/>
              </w:rPr>
            </w:pPr>
            <w:r>
              <w:rPr>
                <w:noProof/>
                <w:color w:val="0000FF"/>
                <w:sz w:val="20"/>
              </w:rPr>
              <w:t>NIE</w:t>
            </w:r>
          </w:p>
        </w:tc>
        <w:tc>
          <w:tcPr>
            <w:tcW w:w="992" w:type="dxa"/>
            <w:vAlign w:val="center"/>
          </w:tcPr>
          <w:p w:rsidR="00D3052E" w:rsidRDefault="00635D2F">
            <w:pPr>
              <w:jc w:val="center"/>
              <w:rPr>
                <w:noProof/>
                <w:color w:val="0000FF"/>
                <w:sz w:val="20"/>
              </w:rPr>
            </w:pPr>
            <w:r>
              <w:rPr>
                <w:noProof/>
                <w:color w:val="0000FF"/>
                <w:sz w:val="20"/>
              </w:rPr>
              <w:t>NIE</w:t>
            </w:r>
          </w:p>
        </w:tc>
        <w:tc>
          <w:tcPr>
            <w:tcW w:w="1357" w:type="dxa"/>
            <w:vAlign w:val="center"/>
          </w:tcPr>
          <w:p w:rsidR="00D3052E" w:rsidRDefault="00635D2F">
            <w:pPr>
              <w:jc w:val="center"/>
              <w:rPr>
                <w:noProof/>
                <w:color w:val="0000FF"/>
                <w:sz w:val="20"/>
              </w:rPr>
            </w:pPr>
            <w:r>
              <w:rPr>
                <w:noProof/>
                <w:color w:val="0000FF"/>
                <w:sz w:val="20"/>
              </w:rPr>
              <w:t>NIE</w:t>
            </w:r>
          </w:p>
        </w:tc>
      </w:tr>
      <w:tr w:rsidR="00D3052E">
        <w:trPr>
          <w:gridAfter w:val="1"/>
          <w:wAfter w:w="26" w:type="dxa"/>
        </w:trPr>
        <w:tc>
          <w:tcPr>
            <w:tcW w:w="1080" w:type="dxa"/>
            <w:vAlign w:val="center"/>
          </w:tcPr>
          <w:p w:rsidR="00D3052E" w:rsidRDefault="00635D2F">
            <w:pPr>
              <w:jc w:val="center"/>
              <w:rPr>
                <w:noProof/>
                <w:color w:val="0000FF"/>
              </w:rPr>
            </w:pPr>
            <w:r>
              <w:rPr>
                <w:noProof/>
                <w:color w:val="0000FF"/>
              </w:rPr>
              <w:t>3</w:t>
            </w:r>
          </w:p>
        </w:tc>
        <w:tc>
          <w:tcPr>
            <w:tcW w:w="4412" w:type="dxa"/>
            <w:vAlign w:val="center"/>
          </w:tcPr>
          <w:p w:rsidR="00D3052E" w:rsidRDefault="00635D2F">
            <w:pPr>
              <w:spacing w:before="60"/>
              <w:rPr>
                <w:noProof/>
                <w:color w:val="0000FF"/>
              </w:rPr>
            </w:pPr>
            <w:r>
              <w:rPr>
                <w:noProof/>
                <w:color w:val="0000FF"/>
              </w:rPr>
              <w:t>09.10.01 – Europejska Agencja Chemikaliów</w:t>
            </w:r>
          </w:p>
        </w:tc>
        <w:tc>
          <w:tcPr>
            <w:tcW w:w="1080" w:type="dxa"/>
            <w:vAlign w:val="center"/>
          </w:tcPr>
          <w:p w:rsidR="00D3052E" w:rsidRDefault="00635D2F">
            <w:pPr>
              <w:jc w:val="center"/>
              <w:rPr>
                <w:noProof/>
                <w:color w:val="0000FF"/>
                <w:sz w:val="18"/>
              </w:rPr>
            </w:pPr>
            <w:r>
              <w:rPr>
                <w:noProof/>
                <w:color w:val="0000FF"/>
                <w:sz w:val="18"/>
              </w:rPr>
              <w:t>Zróżn.</w:t>
            </w:r>
          </w:p>
        </w:tc>
        <w:tc>
          <w:tcPr>
            <w:tcW w:w="904" w:type="dxa"/>
            <w:vAlign w:val="center"/>
          </w:tcPr>
          <w:p w:rsidR="00D3052E" w:rsidRDefault="00635D2F">
            <w:pPr>
              <w:jc w:val="center"/>
              <w:rPr>
                <w:noProof/>
                <w:color w:val="0000FF"/>
                <w:sz w:val="20"/>
              </w:rPr>
            </w:pPr>
            <w:r>
              <w:rPr>
                <w:noProof/>
                <w:color w:val="0000FF"/>
                <w:sz w:val="20"/>
              </w:rPr>
              <w:t>NIE</w:t>
            </w:r>
          </w:p>
        </w:tc>
        <w:tc>
          <w:tcPr>
            <w:tcW w:w="993" w:type="dxa"/>
            <w:vAlign w:val="center"/>
          </w:tcPr>
          <w:p w:rsidR="00D3052E" w:rsidRDefault="00635D2F">
            <w:pPr>
              <w:jc w:val="center"/>
              <w:rPr>
                <w:noProof/>
                <w:color w:val="0000FF"/>
                <w:sz w:val="20"/>
              </w:rPr>
            </w:pPr>
            <w:r>
              <w:rPr>
                <w:noProof/>
                <w:color w:val="0000FF"/>
                <w:sz w:val="20"/>
              </w:rPr>
              <w:t>NIE</w:t>
            </w:r>
          </w:p>
        </w:tc>
        <w:tc>
          <w:tcPr>
            <w:tcW w:w="992" w:type="dxa"/>
            <w:vAlign w:val="center"/>
          </w:tcPr>
          <w:p w:rsidR="00D3052E" w:rsidRDefault="00635D2F">
            <w:pPr>
              <w:jc w:val="center"/>
              <w:rPr>
                <w:noProof/>
                <w:color w:val="0000FF"/>
                <w:sz w:val="20"/>
              </w:rPr>
            </w:pPr>
            <w:r>
              <w:rPr>
                <w:noProof/>
                <w:color w:val="0000FF"/>
                <w:sz w:val="20"/>
              </w:rPr>
              <w:t>NIE</w:t>
            </w:r>
          </w:p>
        </w:tc>
        <w:tc>
          <w:tcPr>
            <w:tcW w:w="1357" w:type="dxa"/>
            <w:vAlign w:val="center"/>
          </w:tcPr>
          <w:p w:rsidR="00D3052E" w:rsidRDefault="00635D2F">
            <w:pPr>
              <w:jc w:val="center"/>
              <w:rPr>
                <w:noProof/>
                <w:color w:val="0000FF"/>
                <w:sz w:val="20"/>
              </w:rPr>
            </w:pPr>
            <w:r>
              <w:rPr>
                <w:noProof/>
                <w:color w:val="0000FF"/>
                <w:sz w:val="20"/>
              </w:rPr>
              <w:t>NIE</w:t>
            </w:r>
          </w:p>
        </w:tc>
      </w:tr>
    </w:tbl>
    <w:p w:rsidR="00D3052E" w:rsidRDefault="00D3052E">
      <w:pPr>
        <w:rPr>
          <w:noProof/>
        </w:rPr>
        <w:sectPr w:rsidR="00D3052E">
          <w:pgSz w:w="12240" w:h="15840"/>
          <w:pgMar w:top="794" w:right="907" w:bottom="851" w:left="1361" w:header="510" w:footer="454" w:gutter="0"/>
          <w:cols w:space="720"/>
          <w:docGrid w:linePitch="326"/>
        </w:sectPr>
      </w:pPr>
    </w:p>
    <w:p w:rsidR="00D3052E" w:rsidRDefault="00635D2F">
      <w:pPr>
        <w:pStyle w:val="ManualHeading2"/>
        <w:rPr>
          <w:bCs/>
          <w:noProof/>
          <w:szCs w:val="24"/>
        </w:rPr>
      </w:pPr>
      <w:bookmarkStart w:id="78" w:name="_Toc514938685"/>
      <w:bookmarkStart w:id="79" w:name="_Toc520485444"/>
      <w:bookmarkStart w:id="80" w:name="_Toc54546060"/>
      <w:r>
        <w:lastRenderedPageBreak/>
        <w:t>3.2.</w:t>
      </w:r>
      <w:r>
        <w:tab/>
      </w:r>
      <w:r>
        <w:rPr>
          <w:noProof/>
        </w:rPr>
        <w:t>Szacunkowy wpływ na wydatki</w:t>
      </w:r>
      <w:bookmarkEnd w:id="78"/>
      <w:bookmarkEnd w:id="79"/>
      <w:bookmarkEnd w:id="80"/>
      <w:r>
        <w:rPr>
          <w:noProof/>
        </w:rPr>
        <w:t xml:space="preserve"> </w:t>
      </w:r>
    </w:p>
    <w:p w:rsidR="00D3052E" w:rsidRDefault="00635D2F">
      <w:pPr>
        <w:pStyle w:val="ManualHeading3"/>
        <w:rPr>
          <w:bCs/>
          <w:noProof/>
          <w:szCs w:val="24"/>
        </w:rPr>
      </w:pPr>
      <w:bookmarkStart w:id="81" w:name="_Toc514938686"/>
      <w:bookmarkStart w:id="82" w:name="_Toc520485445"/>
      <w:bookmarkStart w:id="83" w:name="_Toc54546061"/>
      <w:r>
        <w:t>3.2.1.</w:t>
      </w:r>
      <w:r>
        <w:tab/>
      </w:r>
      <w:r>
        <w:rPr>
          <w:noProof/>
        </w:rPr>
        <w:t>Synteza szacunkowego wpływu na wydatki</w:t>
      </w:r>
      <w:bookmarkEnd w:id="81"/>
      <w:bookmarkEnd w:id="82"/>
      <w:r>
        <w:rPr>
          <w:rStyle w:val="Odwoanieprzypisudolnego"/>
          <w:noProof/>
        </w:rPr>
        <w:footnoteReference w:id="43"/>
      </w:r>
      <w:bookmarkEnd w:id="83"/>
      <w:r>
        <w:rPr>
          <w:noProof/>
        </w:rPr>
        <w:t xml:space="preserve"> </w:t>
      </w:r>
    </w:p>
    <w:p w:rsidR="00D3052E" w:rsidRDefault="00635D2F">
      <w:pPr>
        <w:spacing w:before="0"/>
        <w:jc w:val="right"/>
        <w:rPr>
          <w:noProof/>
          <w:sz w:val="20"/>
        </w:rPr>
      </w:pPr>
      <w:r>
        <w:rPr>
          <w:noProof/>
          <w:sz w:val="20"/>
        </w:rPr>
        <w:t>w mln EUR (do trzech miejsc po przecinku)</w:t>
      </w:r>
    </w:p>
    <w:p w:rsidR="00D3052E" w:rsidRDefault="00635D2F">
      <w:pPr>
        <w:spacing w:before="0" w:after="200" w:line="276" w:lineRule="auto"/>
        <w:jc w:val="left"/>
        <w:rPr>
          <w:noProof/>
          <w:sz w:val="22"/>
        </w:rPr>
      </w:pPr>
      <w:r>
        <w:rPr>
          <w:noProof/>
          <w:sz w:val="22"/>
        </w:rPr>
        <w:t xml:space="preserve">Oczekuje się, że dział 3 utrzyma neutralność i niniejszy wniosek nie będzie miał na niego wpływu. Niezbędne zasoby dla EEA i ECHA zostaną odliczone z budżetu programu LIFE zgodnie z podziałem kosztów, według którego w przypadku EEA 2/3 kosztów pokryje DG ds. Środowiska, a 1/3 DG ds. Działań w dziedzinie Klimatu, natomiast koszty koniecznych zasobów dla ECHA zostaną w pełni pokryte przez DG ds. Środowiska.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D3052E">
        <w:trPr>
          <w:jc w:val="center"/>
        </w:trPr>
        <w:tc>
          <w:tcPr>
            <w:tcW w:w="4744" w:type="dxa"/>
            <w:shd w:val="thinDiagStripe" w:color="C0C0C0" w:fill="auto"/>
            <w:vAlign w:val="center"/>
          </w:tcPr>
          <w:p w:rsidR="00D3052E" w:rsidRDefault="00635D2F">
            <w:pPr>
              <w:spacing w:before="60" w:after="60"/>
              <w:jc w:val="center"/>
              <w:rPr>
                <w:b/>
                <w:noProof/>
              </w:rPr>
            </w:pPr>
            <w:r>
              <w:rPr>
                <w:b/>
                <w:noProof/>
                <w:sz w:val="22"/>
              </w:rPr>
              <w:t>Dział wieloletnich ram</w:t>
            </w:r>
            <w:r>
              <w:rPr>
                <w:noProof/>
              </w:rPr>
              <w:t xml:space="preserve"> </w:t>
            </w:r>
            <w:r>
              <w:rPr>
                <w:noProof/>
              </w:rPr>
              <w:br/>
            </w:r>
            <w:r>
              <w:rPr>
                <w:b/>
                <w:noProof/>
                <w:sz w:val="22"/>
              </w:rPr>
              <w:t xml:space="preserve">finansowych </w:t>
            </w:r>
          </w:p>
        </w:tc>
        <w:tc>
          <w:tcPr>
            <w:tcW w:w="1080" w:type="dxa"/>
            <w:vAlign w:val="center"/>
          </w:tcPr>
          <w:p w:rsidR="00D3052E" w:rsidRDefault="00635D2F">
            <w:pPr>
              <w:spacing w:before="60" w:after="60"/>
              <w:jc w:val="center"/>
              <w:rPr>
                <w:noProof/>
              </w:rPr>
            </w:pPr>
            <w:r>
              <w:rPr>
                <w:noProof/>
                <w:sz w:val="22"/>
              </w:rPr>
              <w:t>Numer</w:t>
            </w:r>
          </w:p>
        </w:tc>
        <w:tc>
          <w:tcPr>
            <w:tcW w:w="7817" w:type="dxa"/>
            <w:vAlign w:val="center"/>
          </w:tcPr>
          <w:p w:rsidR="00D3052E" w:rsidRDefault="00635D2F">
            <w:pPr>
              <w:spacing w:before="60" w:after="60"/>
              <w:rPr>
                <w:noProof/>
              </w:rPr>
            </w:pPr>
            <w:r>
              <w:rPr>
                <w:noProof/>
              </w:rPr>
              <w:t>Dział 3: Zasoby naturalne i środowisko</w:t>
            </w:r>
          </w:p>
        </w:tc>
      </w:tr>
    </w:tbl>
    <w:p w:rsidR="00D3052E" w:rsidRDefault="00635D2F">
      <w:pPr>
        <w:jc w:val="right"/>
        <w:rPr>
          <w:noProof/>
          <w:sz w:val="16"/>
        </w:rPr>
      </w:pPr>
      <w:r>
        <w:rPr>
          <w:noProof/>
          <w:sz w:val="16"/>
        </w:rPr>
        <w:t>Ceny stałe</w:t>
      </w:r>
    </w:p>
    <w:tbl>
      <w:tblPr>
        <w:tblW w:w="13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0"/>
        <w:gridCol w:w="2040"/>
        <w:gridCol w:w="834"/>
        <w:gridCol w:w="895"/>
        <w:gridCol w:w="924"/>
        <w:gridCol w:w="924"/>
        <w:gridCol w:w="924"/>
        <w:gridCol w:w="924"/>
        <w:gridCol w:w="924"/>
        <w:gridCol w:w="925"/>
        <w:gridCol w:w="1246"/>
      </w:tblGrid>
      <w:tr w:rsidR="00D3052E">
        <w:trPr>
          <w:trHeight w:val="920"/>
        </w:trPr>
        <w:tc>
          <w:tcPr>
            <w:tcW w:w="2760" w:type="dxa"/>
            <w:vAlign w:val="center"/>
          </w:tcPr>
          <w:p w:rsidR="00D3052E" w:rsidRDefault="00635D2F">
            <w:pPr>
              <w:spacing w:after="60"/>
              <w:jc w:val="center"/>
              <w:rPr>
                <w:noProof/>
              </w:rPr>
            </w:pPr>
            <w:r>
              <w:rPr>
                <w:noProof/>
                <w:sz w:val="22"/>
              </w:rPr>
              <w:t xml:space="preserve">DG ENV i DG CLIMA: </w:t>
            </w:r>
            <w:r>
              <w:rPr>
                <w:noProof/>
              </w:rPr>
              <w:t>&lt;09.02.01, 09.02.02, 09.0203&gt;</w:t>
            </w:r>
          </w:p>
        </w:tc>
        <w:tc>
          <w:tcPr>
            <w:tcW w:w="2040" w:type="dxa"/>
            <w:vAlign w:val="center"/>
          </w:tcPr>
          <w:p w:rsidR="00D3052E" w:rsidRDefault="00D3052E">
            <w:pPr>
              <w:rPr>
                <w:noProof/>
                <w:sz w:val="20"/>
              </w:rPr>
            </w:pPr>
          </w:p>
        </w:tc>
        <w:tc>
          <w:tcPr>
            <w:tcW w:w="834" w:type="dxa"/>
            <w:vAlign w:val="center"/>
          </w:tcPr>
          <w:p w:rsidR="00D3052E" w:rsidRDefault="00D3052E">
            <w:pPr>
              <w:jc w:val="center"/>
              <w:rPr>
                <w:noProof/>
                <w:sz w:val="20"/>
              </w:rPr>
            </w:pPr>
          </w:p>
        </w:tc>
        <w:tc>
          <w:tcPr>
            <w:tcW w:w="895" w:type="dxa"/>
            <w:vAlign w:val="center"/>
          </w:tcPr>
          <w:p w:rsidR="00D3052E" w:rsidRDefault="00635D2F">
            <w:pPr>
              <w:jc w:val="center"/>
              <w:rPr>
                <w:noProof/>
                <w:sz w:val="20"/>
              </w:rPr>
            </w:pPr>
            <w:r>
              <w:rPr>
                <w:noProof/>
                <w:sz w:val="20"/>
              </w:rPr>
              <w:t>2021</w:t>
            </w:r>
          </w:p>
        </w:tc>
        <w:tc>
          <w:tcPr>
            <w:tcW w:w="924" w:type="dxa"/>
            <w:vAlign w:val="center"/>
          </w:tcPr>
          <w:p w:rsidR="00D3052E" w:rsidRDefault="00635D2F">
            <w:pPr>
              <w:jc w:val="center"/>
              <w:rPr>
                <w:noProof/>
                <w:sz w:val="20"/>
              </w:rPr>
            </w:pPr>
            <w:r>
              <w:rPr>
                <w:noProof/>
                <w:sz w:val="20"/>
              </w:rPr>
              <w:t>2022</w:t>
            </w:r>
          </w:p>
        </w:tc>
        <w:tc>
          <w:tcPr>
            <w:tcW w:w="924" w:type="dxa"/>
            <w:vAlign w:val="center"/>
          </w:tcPr>
          <w:p w:rsidR="00D3052E" w:rsidRDefault="00635D2F">
            <w:pPr>
              <w:jc w:val="center"/>
              <w:rPr>
                <w:noProof/>
                <w:sz w:val="20"/>
              </w:rPr>
            </w:pPr>
            <w:r>
              <w:rPr>
                <w:noProof/>
                <w:sz w:val="20"/>
              </w:rPr>
              <w:t>2023</w:t>
            </w:r>
          </w:p>
        </w:tc>
        <w:tc>
          <w:tcPr>
            <w:tcW w:w="924" w:type="dxa"/>
            <w:vAlign w:val="center"/>
          </w:tcPr>
          <w:p w:rsidR="00D3052E" w:rsidRDefault="00635D2F">
            <w:pPr>
              <w:jc w:val="center"/>
              <w:rPr>
                <w:noProof/>
                <w:sz w:val="20"/>
              </w:rPr>
            </w:pPr>
            <w:r>
              <w:rPr>
                <w:noProof/>
                <w:sz w:val="20"/>
              </w:rPr>
              <w:t>2024</w:t>
            </w:r>
          </w:p>
        </w:tc>
        <w:tc>
          <w:tcPr>
            <w:tcW w:w="924" w:type="dxa"/>
            <w:vAlign w:val="center"/>
          </w:tcPr>
          <w:p w:rsidR="00D3052E" w:rsidRDefault="00635D2F">
            <w:pPr>
              <w:jc w:val="center"/>
              <w:rPr>
                <w:noProof/>
                <w:sz w:val="20"/>
              </w:rPr>
            </w:pPr>
            <w:r>
              <w:rPr>
                <w:noProof/>
                <w:sz w:val="20"/>
              </w:rPr>
              <w:t>2025</w:t>
            </w:r>
          </w:p>
        </w:tc>
        <w:tc>
          <w:tcPr>
            <w:tcW w:w="924" w:type="dxa"/>
            <w:vAlign w:val="center"/>
          </w:tcPr>
          <w:p w:rsidR="00D3052E" w:rsidRDefault="00635D2F">
            <w:pPr>
              <w:jc w:val="center"/>
              <w:rPr>
                <w:noProof/>
                <w:sz w:val="20"/>
              </w:rPr>
            </w:pPr>
            <w:r>
              <w:rPr>
                <w:noProof/>
                <w:sz w:val="20"/>
              </w:rPr>
              <w:t>2026</w:t>
            </w:r>
          </w:p>
        </w:tc>
        <w:tc>
          <w:tcPr>
            <w:tcW w:w="925" w:type="dxa"/>
            <w:vAlign w:val="center"/>
          </w:tcPr>
          <w:p w:rsidR="00D3052E" w:rsidRDefault="00635D2F">
            <w:pPr>
              <w:jc w:val="center"/>
              <w:rPr>
                <w:noProof/>
                <w:sz w:val="20"/>
              </w:rPr>
            </w:pPr>
            <w:r>
              <w:rPr>
                <w:noProof/>
                <w:sz w:val="20"/>
              </w:rPr>
              <w:t>2027</w:t>
            </w:r>
          </w:p>
        </w:tc>
        <w:tc>
          <w:tcPr>
            <w:tcW w:w="1246" w:type="dxa"/>
            <w:vAlign w:val="center"/>
          </w:tcPr>
          <w:p w:rsidR="00D3052E" w:rsidRDefault="00635D2F">
            <w:pPr>
              <w:jc w:val="center"/>
              <w:rPr>
                <w:b/>
                <w:noProof/>
                <w:sz w:val="20"/>
              </w:rPr>
            </w:pPr>
            <w:r>
              <w:rPr>
                <w:b/>
                <w:noProof/>
                <w:sz w:val="20"/>
              </w:rPr>
              <w:t>OGÓŁEM</w:t>
            </w:r>
          </w:p>
        </w:tc>
      </w:tr>
      <w:tr w:rsidR="00D3052E">
        <w:trPr>
          <w:trHeight w:val="277"/>
        </w:trPr>
        <w:tc>
          <w:tcPr>
            <w:tcW w:w="2760" w:type="dxa"/>
            <w:vMerge w:val="restart"/>
            <w:vAlign w:val="center"/>
          </w:tcPr>
          <w:p w:rsidR="00D3052E" w:rsidRDefault="00635D2F">
            <w:pPr>
              <w:rPr>
                <w:noProof/>
                <w:sz w:val="20"/>
              </w:rPr>
            </w:pPr>
            <w:r>
              <w:rPr>
                <w:b/>
                <w:noProof/>
                <w:sz w:val="20"/>
              </w:rPr>
              <w:t xml:space="preserve">Zmniejszenie </w:t>
            </w:r>
            <w:r>
              <w:rPr>
                <w:noProof/>
                <w:sz w:val="20"/>
              </w:rPr>
              <w:t>na 09.02.01 – DG ENV</w:t>
            </w:r>
          </w:p>
        </w:tc>
        <w:tc>
          <w:tcPr>
            <w:tcW w:w="2040" w:type="dxa"/>
            <w:vAlign w:val="center"/>
          </w:tcPr>
          <w:p w:rsidR="00D3052E" w:rsidRDefault="00635D2F">
            <w:pPr>
              <w:spacing w:before="20" w:after="20"/>
              <w:rPr>
                <w:noProof/>
              </w:rPr>
            </w:pPr>
            <w:r>
              <w:rPr>
                <w:noProof/>
                <w:sz w:val="18"/>
              </w:rPr>
              <w:t>Środki na zobowiązania</w:t>
            </w:r>
          </w:p>
        </w:tc>
        <w:tc>
          <w:tcPr>
            <w:tcW w:w="834" w:type="dxa"/>
            <w:vAlign w:val="center"/>
          </w:tcPr>
          <w:p w:rsidR="00D3052E" w:rsidRDefault="00635D2F">
            <w:pPr>
              <w:spacing w:before="20" w:after="20"/>
              <w:jc w:val="center"/>
              <w:rPr>
                <w:noProof/>
                <w:sz w:val="14"/>
              </w:rPr>
            </w:pPr>
            <w:r>
              <w:rPr>
                <w:noProof/>
                <w:sz w:val="14"/>
              </w:rPr>
              <w:t>(1a)</w:t>
            </w:r>
          </w:p>
        </w:tc>
        <w:tc>
          <w:tcPr>
            <w:tcW w:w="895" w:type="dxa"/>
            <w:vAlign w:val="bottom"/>
          </w:tcPr>
          <w:p w:rsidR="00D3052E" w:rsidRDefault="00635D2F">
            <w:pPr>
              <w:spacing w:before="40" w:after="40"/>
              <w:jc w:val="right"/>
              <w:rPr>
                <w:noProof/>
                <w:sz w:val="20"/>
                <w:szCs w:val="20"/>
              </w:rPr>
            </w:pPr>
            <w:r>
              <w:rPr>
                <w:noProof/>
                <w:color w:val="000000"/>
                <w:sz w:val="20"/>
                <w:szCs w:val="20"/>
              </w:rPr>
              <w:t xml:space="preserve">1,385 </w:t>
            </w:r>
          </w:p>
        </w:tc>
        <w:tc>
          <w:tcPr>
            <w:tcW w:w="924" w:type="dxa"/>
            <w:vAlign w:val="bottom"/>
          </w:tcPr>
          <w:p w:rsidR="00D3052E" w:rsidRDefault="00635D2F">
            <w:pPr>
              <w:spacing w:before="40" w:after="40"/>
              <w:jc w:val="right"/>
              <w:rPr>
                <w:noProof/>
                <w:sz w:val="20"/>
                <w:szCs w:val="20"/>
                <w:highlight w:val="yellow"/>
              </w:rPr>
            </w:pPr>
            <w:r>
              <w:rPr>
                <w:noProof/>
                <w:color w:val="000000"/>
                <w:sz w:val="20"/>
                <w:szCs w:val="20"/>
              </w:rPr>
              <w:t xml:space="preserve">1,405 </w:t>
            </w:r>
          </w:p>
        </w:tc>
        <w:tc>
          <w:tcPr>
            <w:tcW w:w="924" w:type="dxa"/>
            <w:vAlign w:val="bottom"/>
          </w:tcPr>
          <w:p w:rsidR="00D3052E" w:rsidRDefault="00635D2F">
            <w:pPr>
              <w:spacing w:before="40" w:after="40"/>
              <w:jc w:val="right"/>
              <w:rPr>
                <w:noProof/>
                <w:sz w:val="20"/>
                <w:szCs w:val="20"/>
                <w:highlight w:val="yellow"/>
              </w:rPr>
            </w:pPr>
            <w:r>
              <w:rPr>
                <w:noProof/>
                <w:color w:val="000000"/>
                <w:sz w:val="20"/>
                <w:szCs w:val="20"/>
              </w:rPr>
              <w:t xml:space="preserve">1,428 </w:t>
            </w:r>
          </w:p>
        </w:tc>
        <w:tc>
          <w:tcPr>
            <w:tcW w:w="924" w:type="dxa"/>
            <w:vAlign w:val="bottom"/>
          </w:tcPr>
          <w:p w:rsidR="00D3052E" w:rsidRDefault="00635D2F">
            <w:pPr>
              <w:spacing w:before="40" w:after="40"/>
              <w:jc w:val="right"/>
              <w:rPr>
                <w:noProof/>
                <w:sz w:val="20"/>
                <w:szCs w:val="20"/>
                <w:highlight w:val="yellow"/>
              </w:rPr>
            </w:pPr>
            <w:r>
              <w:rPr>
                <w:noProof/>
                <w:color w:val="000000"/>
                <w:sz w:val="20"/>
                <w:szCs w:val="20"/>
              </w:rPr>
              <w:t xml:space="preserve">1,450 </w:t>
            </w:r>
          </w:p>
        </w:tc>
        <w:tc>
          <w:tcPr>
            <w:tcW w:w="924" w:type="dxa"/>
            <w:vAlign w:val="bottom"/>
          </w:tcPr>
          <w:p w:rsidR="00D3052E" w:rsidRDefault="00635D2F">
            <w:pPr>
              <w:spacing w:before="40" w:after="40"/>
              <w:jc w:val="right"/>
              <w:rPr>
                <w:noProof/>
                <w:sz w:val="20"/>
                <w:szCs w:val="20"/>
                <w:highlight w:val="yellow"/>
              </w:rPr>
            </w:pPr>
            <w:r>
              <w:rPr>
                <w:noProof/>
                <w:color w:val="000000"/>
                <w:sz w:val="20"/>
                <w:szCs w:val="20"/>
              </w:rPr>
              <w:t xml:space="preserve">1,474 </w:t>
            </w:r>
          </w:p>
        </w:tc>
        <w:tc>
          <w:tcPr>
            <w:tcW w:w="924" w:type="dxa"/>
            <w:vAlign w:val="bottom"/>
          </w:tcPr>
          <w:p w:rsidR="00D3052E" w:rsidRDefault="00635D2F">
            <w:pPr>
              <w:spacing w:before="40" w:after="40"/>
              <w:jc w:val="right"/>
              <w:rPr>
                <w:noProof/>
                <w:sz w:val="20"/>
                <w:szCs w:val="20"/>
                <w:highlight w:val="yellow"/>
              </w:rPr>
            </w:pPr>
            <w:r>
              <w:rPr>
                <w:noProof/>
                <w:color w:val="000000"/>
                <w:sz w:val="20"/>
                <w:szCs w:val="20"/>
              </w:rPr>
              <w:t xml:space="preserve">1,496 </w:t>
            </w:r>
          </w:p>
        </w:tc>
        <w:tc>
          <w:tcPr>
            <w:tcW w:w="925" w:type="dxa"/>
            <w:vAlign w:val="bottom"/>
          </w:tcPr>
          <w:p w:rsidR="00D3052E" w:rsidRDefault="00635D2F">
            <w:pPr>
              <w:spacing w:before="40" w:after="40"/>
              <w:jc w:val="right"/>
              <w:rPr>
                <w:noProof/>
                <w:sz w:val="20"/>
                <w:szCs w:val="20"/>
                <w:highlight w:val="yellow"/>
              </w:rPr>
            </w:pPr>
            <w:r>
              <w:rPr>
                <w:noProof/>
                <w:color w:val="000000"/>
                <w:sz w:val="20"/>
                <w:szCs w:val="20"/>
              </w:rPr>
              <w:t xml:space="preserve">1,522 </w:t>
            </w:r>
          </w:p>
        </w:tc>
        <w:tc>
          <w:tcPr>
            <w:tcW w:w="1246" w:type="dxa"/>
            <w:vAlign w:val="bottom"/>
          </w:tcPr>
          <w:p w:rsidR="00D3052E" w:rsidRDefault="00635D2F">
            <w:pPr>
              <w:spacing w:before="20" w:after="20"/>
              <w:jc w:val="right"/>
              <w:rPr>
                <w:b/>
                <w:noProof/>
                <w:sz w:val="20"/>
                <w:szCs w:val="20"/>
                <w:highlight w:val="yellow"/>
              </w:rPr>
            </w:pPr>
            <w:r>
              <w:rPr>
                <w:noProof/>
                <w:color w:val="000000"/>
                <w:sz w:val="20"/>
                <w:szCs w:val="20"/>
              </w:rPr>
              <w:t xml:space="preserve">10,160 </w:t>
            </w:r>
          </w:p>
        </w:tc>
      </w:tr>
      <w:tr w:rsidR="00D3052E">
        <w:tc>
          <w:tcPr>
            <w:tcW w:w="2760" w:type="dxa"/>
            <w:vMerge/>
            <w:vAlign w:val="center"/>
          </w:tcPr>
          <w:p w:rsidR="00D3052E" w:rsidRDefault="00D3052E">
            <w:pPr>
              <w:rPr>
                <w:noProof/>
              </w:rPr>
            </w:pPr>
          </w:p>
        </w:tc>
        <w:tc>
          <w:tcPr>
            <w:tcW w:w="2040" w:type="dxa"/>
            <w:vAlign w:val="center"/>
          </w:tcPr>
          <w:p w:rsidR="00D3052E" w:rsidRDefault="00635D2F">
            <w:pPr>
              <w:spacing w:before="20" w:after="20"/>
              <w:rPr>
                <w:noProof/>
                <w:sz w:val="18"/>
              </w:rPr>
            </w:pPr>
            <w:r>
              <w:rPr>
                <w:noProof/>
                <w:sz w:val="18"/>
              </w:rPr>
              <w:t>Środki na płatności</w:t>
            </w:r>
          </w:p>
        </w:tc>
        <w:tc>
          <w:tcPr>
            <w:tcW w:w="834" w:type="dxa"/>
            <w:vAlign w:val="center"/>
          </w:tcPr>
          <w:p w:rsidR="00D3052E" w:rsidRDefault="00635D2F">
            <w:pPr>
              <w:spacing w:before="20" w:after="20"/>
              <w:jc w:val="center"/>
              <w:rPr>
                <w:noProof/>
                <w:sz w:val="14"/>
              </w:rPr>
            </w:pPr>
            <w:r>
              <w:rPr>
                <w:noProof/>
                <w:sz w:val="14"/>
              </w:rPr>
              <w:t>(2 a)</w:t>
            </w:r>
          </w:p>
        </w:tc>
        <w:tc>
          <w:tcPr>
            <w:tcW w:w="895" w:type="dxa"/>
            <w:vAlign w:val="bottom"/>
          </w:tcPr>
          <w:p w:rsidR="00D3052E" w:rsidRDefault="00635D2F">
            <w:pPr>
              <w:spacing w:before="20" w:after="20"/>
              <w:jc w:val="right"/>
              <w:rPr>
                <w:noProof/>
                <w:sz w:val="20"/>
              </w:rPr>
            </w:pPr>
            <w:r>
              <w:rPr>
                <w:noProof/>
                <w:color w:val="000000"/>
                <w:sz w:val="20"/>
                <w:szCs w:val="20"/>
              </w:rPr>
              <w:t xml:space="preserve">1,385 </w:t>
            </w:r>
          </w:p>
        </w:tc>
        <w:tc>
          <w:tcPr>
            <w:tcW w:w="924" w:type="dxa"/>
            <w:vAlign w:val="bottom"/>
          </w:tcPr>
          <w:p w:rsidR="00D3052E" w:rsidRDefault="00635D2F">
            <w:pPr>
              <w:spacing w:before="20" w:after="20"/>
              <w:jc w:val="right"/>
              <w:rPr>
                <w:noProof/>
                <w:sz w:val="20"/>
                <w:highlight w:val="yellow"/>
              </w:rPr>
            </w:pPr>
            <w:r>
              <w:rPr>
                <w:noProof/>
                <w:color w:val="000000"/>
                <w:sz w:val="20"/>
                <w:szCs w:val="20"/>
              </w:rPr>
              <w:t xml:space="preserve">1,405 </w:t>
            </w:r>
          </w:p>
        </w:tc>
        <w:tc>
          <w:tcPr>
            <w:tcW w:w="924" w:type="dxa"/>
            <w:vAlign w:val="bottom"/>
          </w:tcPr>
          <w:p w:rsidR="00D3052E" w:rsidRDefault="00635D2F">
            <w:pPr>
              <w:spacing w:before="20" w:after="20"/>
              <w:jc w:val="right"/>
              <w:rPr>
                <w:noProof/>
                <w:sz w:val="20"/>
                <w:highlight w:val="yellow"/>
              </w:rPr>
            </w:pPr>
            <w:r>
              <w:rPr>
                <w:noProof/>
                <w:color w:val="000000"/>
                <w:sz w:val="20"/>
                <w:szCs w:val="20"/>
              </w:rPr>
              <w:t xml:space="preserve">1,428 </w:t>
            </w:r>
          </w:p>
        </w:tc>
        <w:tc>
          <w:tcPr>
            <w:tcW w:w="924" w:type="dxa"/>
            <w:vAlign w:val="bottom"/>
          </w:tcPr>
          <w:p w:rsidR="00D3052E" w:rsidRDefault="00635D2F">
            <w:pPr>
              <w:spacing w:before="20" w:after="20"/>
              <w:jc w:val="right"/>
              <w:rPr>
                <w:noProof/>
                <w:sz w:val="20"/>
                <w:highlight w:val="yellow"/>
              </w:rPr>
            </w:pPr>
            <w:r>
              <w:rPr>
                <w:noProof/>
                <w:color w:val="000000"/>
                <w:sz w:val="20"/>
                <w:szCs w:val="20"/>
              </w:rPr>
              <w:t xml:space="preserve">1,450 </w:t>
            </w:r>
          </w:p>
        </w:tc>
        <w:tc>
          <w:tcPr>
            <w:tcW w:w="924" w:type="dxa"/>
            <w:vAlign w:val="bottom"/>
          </w:tcPr>
          <w:p w:rsidR="00D3052E" w:rsidRDefault="00635D2F">
            <w:pPr>
              <w:spacing w:before="20" w:after="20"/>
              <w:jc w:val="right"/>
              <w:rPr>
                <w:noProof/>
                <w:sz w:val="20"/>
                <w:highlight w:val="yellow"/>
              </w:rPr>
            </w:pPr>
            <w:r>
              <w:rPr>
                <w:noProof/>
                <w:color w:val="000000"/>
                <w:sz w:val="20"/>
                <w:szCs w:val="20"/>
              </w:rPr>
              <w:t xml:space="preserve">1,474 </w:t>
            </w:r>
          </w:p>
        </w:tc>
        <w:tc>
          <w:tcPr>
            <w:tcW w:w="924" w:type="dxa"/>
            <w:vAlign w:val="bottom"/>
          </w:tcPr>
          <w:p w:rsidR="00D3052E" w:rsidRDefault="00635D2F">
            <w:pPr>
              <w:spacing w:before="20" w:after="20"/>
              <w:jc w:val="right"/>
              <w:rPr>
                <w:noProof/>
                <w:sz w:val="20"/>
                <w:highlight w:val="yellow"/>
              </w:rPr>
            </w:pPr>
            <w:r>
              <w:rPr>
                <w:noProof/>
                <w:color w:val="000000"/>
                <w:sz w:val="20"/>
                <w:szCs w:val="20"/>
              </w:rPr>
              <w:t xml:space="preserve">1,496 </w:t>
            </w:r>
          </w:p>
        </w:tc>
        <w:tc>
          <w:tcPr>
            <w:tcW w:w="925" w:type="dxa"/>
            <w:vAlign w:val="bottom"/>
          </w:tcPr>
          <w:p w:rsidR="00D3052E" w:rsidRDefault="00635D2F">
            <w:pPr>
              <w:spacing w:before="20" w:after="20"/>
              <w:jc w:val="right"/>
              <w:rPr>
                <w:noProof/>
                <w:sz w:val="20"/>
                <w:highlight w:val="yellow"/>
              </w:rPr>
            </w:pPr>
            <w:r>
              <w:rPr>
                <w:noProof/>
                <w:color w:val="000000"/>
                <w:sz w:val="20"/>
                <w:szCs w:val="20"/>
              </w:rPr>
              <w:t xml:space="preserve">1,522 </w:t>
            </w:r>
          </w:p>
        </w:tc>
        <w:tc>
          <w:tcPr>
            <w:tcW w:w="1246" w:type="dxa"/>
            <w:vAlign w:val="bottom"/>
          </w:tcPr>
          <w:p w:rsidR="00D3052E" w:rsidRDefault="00635D2F">
            <w:pPr>
              <w:spacing w:before="20" w:after="20"/>
              <w:jc w:val="right"/>
              <w:rPr>
                <w:b/>
                <w:noProof/>
                <w:sz w:val="20"/>
                <w:highlight w:val="yellow"/>
              </w:rPr>
            </w:pPr>
            <w:r>
              <w:rPr>
                <w:noProof/>
                <w:color w:val="000000"/>
                <w:sz w:val="20"/>
                <w:szCs w:val="20"/>
              </w:rPr>
              <w:t xml:space="preserve">10,160 </w:t>
            </w:r>
          </w:p>
        </w:tc>
      </w:tr>
      <w:tr w:rsidR="00D3052E">
        <w:tc>
          <w:tcPr>
            <w:tcW w:w="2760" w:type="dxa"/>
            <w:vMerge w:val="restart"/>
            <w:vAlign w:val="center"/>
          </w:tcPr>
          <w:p w:rsidR="00D3052E" w:rsidRDefault="00635D2F">
            <w:pPr>
              <w:rPr>
                <w:b/>
                <w:noProof/>
              </w:rPr>
            </w:pPr>
            <w:r>
              <w:rPr>
                <w:b/>
                <w:noProof/>
                <w:sz w:val="20"/>
              </w:rPr>
              <w:t xml:space="preserve">Zmniejszenie </w:t>
            </w:r>
            <w:r>
              <w:rPr>
                <w:noProof/>
                <w:sz w:val="20"/>
              </w:rPr>
              <w:t>na 09.02.02 – DG ENV</w:t>
            </w:r>
          </w:p>
        </w:tc>
        <w:tc>
          <w:tcPr>
            <w:tcW w:w="2040" w:type="dxa"/>
            <w:vAlign w:val="center"/>
          </w:tcPr>
          <w:p w:rsidR="00D3052E" w:rsidRDefault="00635D2F">
            <w:pPr>
              <w:spacing w:before="20" w:after="20"/>
              <w:rPr>
                <w:noProof/>
                <w:sz w:val="18"/>
              </w:rPr>
            </w:pPr>
            <w:r>
              <w:rPr>
                <w:noProof/>
                <w:sz w:val="18"/>
              </w:rPr>
              <w:t>Środki na zobowiązania</w:t>
            </w:r>
          </w:p>
        </w:tc>
        <w:tc>
          <w:tcPr>
            <w:tcW w:w="834" w:type="dxa"/>
            <w:vAlign w:val="center"/>
          </w:tcPr>
          <w:p w:rsidR="00D3052E" w:rsidRDefault="00635D2F">
            <w:pPr>
              <w:spacing w:before="20" w:after="20"/>
              <w:jc w:val="center"/>
              <w:rPr>
                <w:noProof/>
                <w:sz w:val="14"/>
              </w:rPr>
            </w:pPr>
            <w:r>
              <w:rPr>
                <w:noProof/>
                <w:sz w:val="14"/>
              </w:rPr>
              <w:t>(1b)</w:t>
            </w:r>
          </w:p>
        </w:tc>
        <w:tc>
          <w:tcPr>
            <w:tcW w:w="895" w:type="dxa"/>
            <w:vAlign w:val="bottom"/>
          </w:tcPr>
          <w:p w:rsidR="00D3052E" w:rsidRDefault="00635D2F">
            <w:pPr>
              <w:spacing w:before="20" w:after="20"/>
              <w:jc w:val="right"/>
              <w:rPr>
                <w:noProof/>
                <w:sz w:val="20"/>
              </w:rPr>
            </w:pPr>
            <w:r>
              <w:rPr>
                <w:noProof/>
                <w:color w:val="000000"/>
                <w:sz w:val="20"/>
                <w:szCs w:val="20"/>
              </w:rPr>
              <w:t xml:space="preserve">1,062 </w:t>
            </w:r>
          </w:p>
        </w:tc>
        <w:tc>
          <w:tcPr>
            <w:tcW w:w="924" w:type="dxa"/>
            <w:vAlign w:val="bottom"/>
          </w:tcPr>
          <w:p w:rsidR="00D3052E" w:rsidRDefault="00635D2F">
            <w:pPr>
              <w:spacing w:before="20" w:after="20"/>
              <w:jc w:val="right"/>
              <w:rPr>
                <w:noProof/>
                <w:sz w:val="20"/>
                <w:highlight w:val="yellow"/>
              </w:rPr>
            </w:pPr>
            <w:r>
              <w:rPr>
                <w:noProof/>
                <w:color w:val="000000"/>
                <w:sz w:val="20"/>
                <w:szCs w:val="20"/>
              </w:rPr>
              <w:t xml:space="preserve">1,079 </w:t>
            </w:r>
          </w:p>
        </w:tc>
        <w:tc>
          <w:tcPr>
            <w:tcW w:w="924" w:type="dxa"/>
            <w:vAlign w:val="bottom"/>
          </w:tcPr>
          <w:p w:rsidR="00D3052E" w:rsidRDefault="00635D2F">
            <w:pPr>
              <w:spacing w:before="20" w:after="20"/>
              <w:jc w:val="right"/>
              <w:rPr>
                <w:noProof/>
                <w:sz w:val="20"/>
                <w:highlight w:val="yellow"/>
              </w:rPr>
            </w:pPr>
            <w:r>
              <w:rPr>
                <w:noProof/>
                <w:color w:val="000000"/>
                <w:sz w:val="20"/>
                <w:szCs w:val="20"/>
              </w:rPr>
              <w:t xml:space="preserve">1,096 </w:t>
            </w:r>
          </w:p>
        </w:tc>
        <w:tc>
          <w:tcPr>
            <w:tcW w:w="924" w:type="dxa"/>
            <w:vAlign w:val="bottom"/>
          </w:tcPr>
          <w:p w:rsidR="00D3052E" w:rsidRDefault="00635D2F">
            <w:pPr>
              <w:spacing w:before="20" w:after="20"/>
              <w:jc w:val="right"/>
              <w:rPr>
                <w:noProof/>
                <w:sz w:val="20"/>
                <w:highlight w:val="yellow"/>
              </w:rPr>
            </w:pPr>
            <w:r>
              <w:rPr>
                <w:noProof/>
                <w:color w:val="000000"/>
                <w:sz w:val="20"/>
                <w:szCs w:val="20"/>
              </w:rPr>
              <w:t xml:space="preserve">1,113 </w:t>
            </w:r>
          </w:p>
        </w:tc>
        <w:tc>
          <w:tcPr>
            <w:tcW w:w="924" w:type="dxa"/>
            <w:vAlign w:val="bottom"/>
          </w:tcPr>
          <w:p w:rsidR="00D3052E" w:rsidRDefault="00635D2F">
            <w:pPr>
              <w:spacing w:before="20" w:after="20"/>
              <w:jc w:val="right"/>
              <w:rPr>
                <w:noProof/>
                <w:sz w:val="20"/>
                <w:highlight w:val="yellow"/>
              </w:rPr>
            </w:pPr>
            <w:r>
              <w:rPr>
                <w:noProof/>
                <w:color w:val="000000"/>
                <w:sz w:val="20"/>
                <w:szCs w:val="20"/>
              </w:rPr>
              <w:t xml:space="preserve">1,130 </w:t>
            </w:r>
          </w:p>
        </w:tc>
        <w:tc>
          <w:tcPr>
            <w:tcW w:w="924" w:type="dxa"/>
            <w:vAlign w:val="bottom"/>
          </w:tcPr>
          <w:p w:rsidR="00D3052E" w:rsidRDefault="00635D2F">
            <w:pPr>
              <w:spacing w:before="20" w:after="20"/>
              <w:jc w:val="right"/>
              <w:rPr>
                <w:noProof/>
                <w:sz w:val="20"/>
                <w:highlight w:val="yellow"/>
              </w:rPr>
            </w:pPr>
            <w:r>
              <w:rPr>
                <w:noProof/>
                <w:color w:val="000000"/>
                <w:sz w:val="20"/>
                <w:szCs w:val="20"/>
              </w:rPr>
              <w:t xml:space="preserve">1,148 </w:t>
            </w:r>
          </w:p>
        </w:tc>
        <w:tc>
          <w:tcPr>
            <w:tcW w:w="925" w:type="dxa"/>
            <w:vAlign w:val="bottom"/>
          </w:tcPr>
          <w:p w:rsidR="00D3052E" w:rsidRDefault="00635D2F">
            <w:pPr>
              <w:spacing w:before="20" w:after="20"/>
              <w:jc w:val="right"/>
              <w:rPr>
                <w:noProof/>
                <w:sz w:val="20"/>
                <w:highlight w:val="yellow"/>
              </w:rPr>
            </w:pPr>
            <w:r>
              <w:rPr>
                <w:noProof/>
                <w:color w:val="000000"/>
                <w:sz w:val="20"/>
                <w:szCs w:val="20"/>
              </w:rPr>
              <w:t xml:space="preserve">1,166 </w:t>
            </w:r>
          </w:p>
        </w:tc>
        <w:tc>
          <w:tcPr>
            <w:tcW w:w="1246" w:type="dxa"/>
            <w:vAlign w:val="bottom"/>
          </w:tcPr>
          <w:p w:rsidR="00D3052E" w:rsidRDefault="00635D2F">
            <w:pPr>
              <w:spacing w:before="20" w:after="20"/>
              <w:jc w:val="right"/>
              <w:rPr>
                <w:b/>
                <w:noProof/>
                <w:sz w:val="20"/>
                <w:highlight w:val="yellow"/>
              </w:rPr>
            </w:pPr>
            <w:r>
              <w:rPr>
                <w:noProof/>
                <w:color w:val="000000"/>
                <w:sz w:val="20"/>
                <w:szCs w:val="20"/>
              </w:rPr>
              <w:t xml:space="preserve">7,794 </w:t>
            </w:r>
          </w:p>
        </w:tc>
      </w:tr>
      <w:tr w:rsidR="00D3052E">
        <w:tc>
          <w:tcPr>
            <w:tcW w:w="2760" w:type="dxa"/>
            <w:vMerge/>
            <w:vAlign w:val="center"/>
          </w:tcPr>
          <w:p w:rsidR="00D3052E" w:rsidRDefault="00D3052E">
            <w:pPr>
              <w:rPr>
                <w:noProof/>
              </w:rPr>
            </w:pPr>
          </w:p>
        </w:tc>
        <w:tc>
          <w:tcPr>
            <w:tcW w:w="2040" w:type="dxa"/>
            <w:vAlign w:val="center"/>
          </w:tcPr>
          <w:p w:rsidR="00D3052E" w:rsidRDefault="00635D2F">
            <w:pPr>
              <w:spacing w:before="20" w:after="20"/>
              <w:rPr>
                <w:noProof/>
                <w:sz w:val="18"/>
              </w:rPr>
            </w:pPr>
            <w:r>
              <w:rPr>
                <w:noProof/>
                <w:sz w:val="18"/>
              </w:rPr>
              <w:t>Środki na płatności</w:t>
            </w:r>
          </w:p>
        </w:tc>
        <w:tc>
          <w:tcPr>
            <w:tcW w:w="834" w:type="dxa"/>
            <w:vAlign w:val="center"/>
          </w:tcPr>
          <w:p w:rsidR="00D3052E" w:rsidRDefault="00635D2F">
            <w:pPr>
              <w:spacing w:before="20" w:after="20"/>
              <w:jc w:val="center"/>
              <w:rPr>
                <w:noProof/>
                <w:sz w:val="14"/>
              </w:rPr>
            </w:pPr>
            <w:r>
              <w:rPr>
                <w:noProof/>
                <w:sz w:val="14"/>
              </w:rPr>
              <w:t>(2b)</w:t>
            </w:r>
          </w:p>
        </w:tc>
        <w:tc>
          <w:tcPr>
            <w:tcW w:w="895" w:type="dxa"/>
            <w:vAlign w:val="bottom"/>
          </w:tcPr>
          <w:p w:rsidR="00D3052E" w:rsidRDefault="00635D2F">
            <w:pPr>
              <w:spacing w:before="20" w:after="20"/>
              <w:jc w:val="right"/>
              <w:rPr>
                <w:noProof/>
                <w:sz w:val="20"/>
              </w:rPr>
            </w:pPr>
            <w:r>
              <w:rPr>
                <w:noProof/>
                <w:color w:val="000000"/>
                <w:sz w:val="20"/>
                <w:szCs w:val="20"/>
              </w:rPr>
              <w:t xml:space="preserve">1,062 </w:t>
            </w:r>
          </w:p>
        </w:tc>
        <w:tc>
          <w:tcPr>
            <w:tcW w:w="924" w:type="dxa"/>
            <w:vAlign w:val="bottom"/>
          </w:tcPr>
          <w:p w:rsidR="00D3052E" w:rsidRDefault="00635D2F">
            <w:pPr>
              <w:spacing w:before="20" w:after="20"/>
              <w:jc w:val="right"/>
              <w:rPr>
                <w:noProof/>
                <w:sz w:val="20"/>
                <w:highlight w:val="yellow"/>
              </w:rPr>
            </w:pPr>
            <w:r>
              <w:rPr>
                <w:noProof/>
                <w:color w:val="000000"/>
                <w:sz w:val="20"/>
                <w:szCs w:val="20"/>
              </w:rPr>
              <w:t xml:space="preserve">1,079 </w:t>
            </w:r>
          </w:p>
        </w:tc>
        <w:tc>
          <w:tcPr>
            <w:tcW w:w="924" w:type="dxa"/>
            <w:vAlign w:val="bottom"/>
          </w:tcPr>
          <w:p w:rsidR="00D3052E" w:rsidRDefault="00635D2F">
            <w:pPr>
              <w:spacing w:before="20" w:after="20"/>
              <w:jc w:val="right"/>
              <w:rPr>
                <w:noProof/>
                <w:sz w:val="20"/>
                <w:highlight w:val="yellow"/>
              </w:rPr>
            </w:pPr>
            <w:r>
              <w:rPr>
                <w:noProof/>
                <w:color w:val="000000"/>
                <w:sz w:val="20"/>
                <w:szCs w:val="20"/>
              </w:rPr>
              <w:t xml:space="preserve">1,096 </w:t>
            </w:r>
          </w:p>
        </w:tc>
        <w:tc>
          <w:tcPr>
            <w:tcW w:w="924" w:type="dxa"/>
            <w:vAlign w:val="bottom"/>
          </w:tcPr>
          <w:p w:rsidR="00D3052E" w:rsidRDefault="00635D2F">
            <w:pPr>
              <w:spacing w:before="20" w:after="20"/>
              <w:jc w:val="right"/>
              <w:rPr>
                <w:noProof/>
                <w:sz w:val="20"/>
                <w:highlight w:val="yellow"/>
              </w:rPr>
            </w:pPr>
            <w:r>
              <w:rPr>
                <w:noProof/>
                <w:color w:val="000000"/>
                <w:sz w:val="20"/>
                <w:szCs w:val="20"/>
              </w:rPr>
              <w:t xml:space="preserve">1,113 </w:t>
            </w:r>
          </w:p>
        </w:tc>
        <w:tc>
          <w:tcPr>
            <w:tcW w:w="924" w:type="dxa"/>
            <w:vAlign w:val="bottom"/>
          </w:tcPr>
          <w:p w:rsidR="00D3052E" w:rsidRDefault="00635D2F">
            <w:pPr>
              <w:spacing w:before="20" w:after="20"/>
              <w:jc w:val="right"/>
              <w:rPr>
                <w:noProof/>
                <w:sz w:val="20"/>
                <w:highlight w:val="yellow"/>
              </w:rPr>
            </w:pPr>
            <w:r>
              <w:rPr>
                <w:noProof/>
                <w:color w:val="000000"/>
                <w:sz w:val="20"/>
                <w:szCs w:val="20"/>
              </w:rPr>
              <w:t xml:space="preserve">1,130 </w:t>
            </w:r>
          </w:p>
        </w:tc>
        <w:tc>
          <w:tcPr>
            <w:tcW w:w="924" w:type="dxa"/>
            <w:vAlign w:val="bottom"/>
          </w:tcPr>
          <w:p w:rsidR="00D3052E" w:rsidRDefault="00635D2F">
            <w:pPr>
              <w:spacing w:before="20" w:after="20"/>
              <w:jc w:val="right"/>
              <w:rPr>
                <w:noProof/>
                <w:sz w:val="20"/>
                <w:highlight w:val="yellow"/>
              </w:rPr>
            </w:pPr>
            <w:r>
              <w:rPr>
                <w:noProof/>
                <w:color w:val="000000"/>
                <w:sz w:val="20"/>
                <w:szCs w:val="20"/>
              </w:rPr>
              <w:t xml:space="preserve">1,148 </w:t>
            </w:r>
          </w:p>
        </w:tc>
        <w:tc>
          <w:tcPr>
            <w:tcW w:w="925" w:type="dxa"/>
            <w:vAlign w:val="bottom"/>
          </w:tcPr>
          <w:p w:rsidR="00D3052E" w:rsidRDefault="00635D2F">
            <w:pPr>
              <w:spacing w:before="20" w:after="20"/>
              <w:jc w:val="right"/>
              <w:rPr>
                <w:noProof/>
                <w:sz w:val="20"/>
                <w:highlight w:val="yellow"/>
              </w:rPr>
            </w:pPr>
            <w:r>
              <w:rPr>
                <w:noProof/>
                <w:color w:val="000000"/>
                <w:sz w:val="20"/>
                <w:szCs w:val="20"/>
              </w:rPr>
              <w:t xml:space="preserve">1,166 </w:t>
            </w:r>
          </w:p>
        </w:tc>
        <w:tc>
          <w:tcPr>
            <w:tcW w:w="1246" w:type="dxa"/>
            <w:vAlign w:val="bottom"/>
          </w:tcPr>
          <w:p w:rsidR="00D3052E" w:rsidRDefault="00635D2F">
            <w:pPr>
              <w:spacing w:before="20" w:after="20"/>
              <w:jc w:val="right"/>
              <w:rPr>
                <w:b/>
                <w:noProof/>
                <w:sz w:val="20"/>
                <w:highlight w:val="yellow"/>
              </w:rPr>
            </w:pPr>
            <w:r>
              <w:rPr>
                <w:noProof/>
                <w:color w:val="000000"/>
                <w:sz w:val="20"/>
                <w:szCs w:val="20"/>
              </w:rPr>
              <w:t xml:space="preserve">7,794 </w:t>
            </w:r>
          </w:p>
        </w:tc>
      </w:tr>
      <w:tr w:rsidR="00D3052E">
        <w:tc>
          <w:tcPr>
            <w:tcW w:w="2760" w:type="dxa"/>
            <w:vMerge w:val="restart"/>
            <w:vAlign w:val="center"/>
          </w:tcPr>
          <w:p w:rsidR="00D3052E" w:rsidRDefault="00635D2F">
            <w:pPr>
              <w:rPr>
                <w:noProof/>
              </w:rPr>
            </w:pPr>
            <w:r>
              <w:rPr>
                <w:b/>
                <w:noProof/>
                <w:sz w:val="20"/>
              </w:rPr>
              <w:t xml:space="preserve">Zmniejszenie </w:t>
            </w:r>
            <w:r>
              <w:rPr>
                <w:noProof/>
                <w:sz w:val="20"/>
              </w:rPr>
              <w:t>na 09.02.03 – DG CLIMA</w:t>
            </w:r>
          </w:p>
        </w:tc>
        <w:tc>
          <w:tcPr>
            <w:tcW w:w="2040" w:type="dxa"/>
            <w:vAlign w:val="center"/>
          </w:tcPr>
          <w:p w:rsidR="00D3052E" w:rsidRDefault="00635D2F">
            <w:pPr>
              <w:spacing w:before="20" w:after="20"/>
              <w:rPr>
                <w:noProof/>
                <w:sz w:val="18"/>
              </w:rPr>
            </w:pPr>
            <w:r>
              <w:rPr>
                <w:noProof/>
                <w:sz w:val="18"/>
              </w:rPr>
              <w:t>Środki na zobowiązania</w:t>
            </w:r>
          </w:p>
        </w:tc>
        <w:tc>
          <w:tcPr>
            <w:tcW w:w="834" w:type="dxa"/>
            <w:vAlign w:val="center"/>
          </w:tcPr>
          <w:p w:rsidR="00D3052E" w:rsidRDefault="00635D2F">
            <w:pPr>
              <w:spacing w:before="20" w:after="20"/>
              <w:jc w:val="center"/>
              <w:rPr>
                <w:noProof/>
                <w:sz w:val="14"/>
              </w:rPr>
            </w:pPr>
            <w:r>
              <w:rPr>
                <w:noProof/>
                <w:sz w:val="14"/>
              </w:rPr>
              <w:t>(1c)</w:t>
            </w:r>
          </w:p>
        </w:tc>
        <w:tc>
          <w:tcPr>
            <w:tcW w:w="895" w:type="dxa"/>
            <w:vAlign w:val="bottom"/>
          </w:tcPr>
          <w:p w:rsidR="00D3052E" w:rsidRDefault="00635D2F">
            <w:pPr>
              <w:spacing w:before="20" w:after="20"/>
              <w:jc w:val="right"/>
              <w:rPr>
                <w:noProof/>
                <w:sz w:val="20"/>
              </w:rPr>
            </w:pPr>
            <w:r>
              <w:rPr>
                <w:noProof/>
                <w:color w:val="000000"/>
                <w:sz w:val="20"/>
                <w:szCs w:val="20"/>
              </w:rPr>
              <w:t xml:space="preserve">1,062 </w:t>
            </w:r>
          </w:p>
        </w:tc>
        <w:tc>
          <w:tcPr>
            <w:tcW w:w="924" w:type="dxa"/>
            <w:vAlign w:val="bottom"/>
          </w:tcPr>
          <w:p w:rsidR="00D3052E" w:rsidRDefault="00635D2F">
            <w:pPr>
              <w:spacing w:before="20" w:after="20"/>
              <w:jc w:val="right"/>
              <w:rPr>
                <w:noProof/>
                <w:sz w:val="20"/>
                <w:highlight w:val="yellow"/>
              </w:rPr>
            </w:pPr>
            <w:r>
              <w:rPr>
                <w:noProof/>
                <w:color w:val="000000"/>
                <w:sz w:val="20"/>
                <w:szCs w:val="20"/>
              </w:rPr>
              <w:t xml:space="preserve">1,079 </w:t>
            </w:r>
          </w:p>
        </w:tc>
        <w:tc>
          <w:tcPr>
            <w:tcW w:w="924" w:type="dxa"/>
            <w:vAlign w:val="bottom"/>
          </w:tcPr>
          <w:p w:rsidR="00D3052E" w:rsidRDefault="00635D2F">
            <w:pPr>
              <w:spacing w:before="20" w:after="20"/>
              <w:jc w:val="right"/>
              <w:rPr>
                <w:noProof/>
                <w:sz w:val="20"/>
                <w:highlight w:val="yellow"/>
              </w:rPr>
            </w:pPr>
            <w:r>
              <w:rPr>
                <w:noProof/>
                <w:color w:val="000000"/>
                <w:sz w:val="20"/>
                <w:szCs w:val="20"/>
              </w:rPr>
              <w:t xml:space="preserve">1,096 </w:t>
            </w:r>
          </w:p>
        </w:tc>
        <w:tc>
          <w:tcPr>
            <w:tcW w:w="924" w:type="dxa"/>
            <w:vAlign w:val="bottom"/>
          </w:tcPr>
          <w:p w:rsidR="00D3052E" w:rsidRDefault="00635D2F">
            <w:pPr>
              <w:spacing w:before="20" w:after="20"/>
              <w:jc w:val="right"/>
              <w:rPr>
                <w:noProof/>
                <w:sz w:val="20"/>
                <w:highlight w:val="yellow"/>
              </w:rPr>
            </w:pPr>
            <w:r>
              <w:rPr>
                <w:noProof/>
                <w:color w:val="000000"/>
                <w:sz w:val="20"/>
                <w:szCs w:val="20"/>
              </w:rPr>
              <w:t xml:space="preserve">1,113 </w:t>
            </w:r>
          </w:p>
        </w:tc>
        <w:tc>
          <w:tcPr>
            <w:tcW w:w="924" w:type="dxa"/>
            <w:vAlign w:val="bottom"/>
          </w:tcPr>
          <w:p w:rsidR="00D3052E" w:rsidRDefault="00635D2F">
            <w:pPr>
              <w:spacing w:before="20" w:after="20"/>
              <w:jc w:val="right"/>
              <w:rPr>
                <w:noProof/>
                <w:sz w:val="20"/>
                <w:highlight w:val="yellow"/>
              </w:rPr>
            </w:pPr>
            <w:r>
              <w:rPr>
                <w:noProof/>
                <w:color w:val="000000"/>
                <w:sz w:val="20"/>
                <w:szCs w:val="20"/>
              </w:rPr>
              <w:t xml:space="preserve">1,130 </w:t>
            </w:r>
          </w:p>
        </w:tc>
        <w:tc>
          <w:tcPr>
            <w:tcW w:w="924" w:type="dxa"/>
            <w:vAlign w:val="bottom"/>
          </w:tcPr>
          <w:p w:rsidR="00D3052E" w:rsidRDefault="00635D2F">
            <w:pPr>
              <w:spacing w:before="20" w:after="20"/>
              <w:jc w:val="right"/>
              <w:rPr>
                <w:noProof/>
                <w:sz w:val="20"/>
                <w:highlight w:val="yellow"/>
              </w:rPr>
            </w:pPr>
            <w:r>
              <w:rPr>
                <w:noProof/>
                <w:color w:val="000000"/>
                <w:sz w:val="20"/>
                <w:szCs w:val="20"/>
              </w:rPr>
              <w:t xml:space="preserve">1,148 </w:t>
            </w:r>
          </w:p>
        </w:tc>
        <w:tc>
          <w:tcPr>
            <w:tcW w:w="925" w:type="dxa"/>
            <w:vAlign w:val="bottom"/>
          </w:tcPr>
          <w:p w:rsidR="00D3052E" w:rsidRDefault="00635D2F">
            <w:pPr>
              <w:spacing w:before="20" w:after="20"/>
              <w:jc w:val="right"/>
              <w:rPr>
                <w:noProof/>
                <w:sz w:val="20"/>
                <w:highlight w:val="yellow"/>
              </w:rPr>
            </w:pPr>
            <w:r>
              <w:rPr>
                <w:noProof/>
                <w:color w:val="000000"/>
                <w:sz w:val="20"/>
                <w:szCs w:val="20"/>
              </w:rPr>
              <w:t xml:space="preserve">1,166 </w:t>
            </w:r>
          </w:p>
        </w:tc>
        <w:tc>
          <w:tcPr>
            <w:tcW w:w="1246" w:type="dxa"/>
            <w:vAlign w:val="bottom"/>
          </w:tcPr>
          <w:p w:rsidR="00D3052E" w:rsidRDefault="00635D2F">
            <w:pPr>
              <w:spacing w:before="20" w:after="20"/>
              <w:jc w:val="right"/>
              <w:rPr>
                <w:b/>
                <w:noProof/>
                <w:sz w:val="20"/>
                <w:highlight w:val="yellow"/>
              </w:rPr>
            </w:pPr>
            <w:r>
              <w:rPr>
                <w:noProof/>
                <w:color w:val="000000"/>
                <w:sz w:val="20"/>
                <w:szCs w:val="20"/>
              </w:rPr>
              <w:t xml:space="preserve">7,794 </w:t>
            </w:r>
          </w:p>
        </w:tc>
      </w:tr>
      <w:tr w:rsidR="00D3052E">
        <w:trPr>
          <w:trHeight w:val="229"/>
        </w:trPr>
        <w:tc>
          <w:tcPr>
            <w:tcW w:w="2760" w:type="dxa"/>
            <w:vMerge/>
            <w:vAlign w:val="center"/>
          </w:tcPr>
          <w:p w:rsidR="00D3052E" w:rsidRDefault="00D3052E">
            <w:pPr>
              <w:rPr>
                <w:noProof/>
              </w:rPr>
            </w:pPr>
          </w:p>
        </w:tc>
        <w:tc>
          <w:tcPr>
            <w:tcW w:w="2040" w:type="dxa"/>
            <w:vAlign w:val="center"/>
          </w:tcPr>
          <w:p w:rsidR="00D3052E" w:rsidRDefault="00635D2F">
            <w:pPr>
              <w:spacing w:before="20" w:after="20"/>
              <w:rPr>
                <w:noProof/>
                <w:sz w:val="18"/>
              </w:rPr>
            </w:pPr>
            <w:r>
              <w:rPr>
                <w:noProof/>
                <w:sz w:val="18"/>
              </w:rPr>
              <w:t>Środki na płatności</w:t>
            </w:r>
          </w:p>
        </w:tc>
        <w:tc>
          <w:tcPr>
            <w:tcW w:w="834" w:type="dxa"/>
            <w:vAlign w:val="center"/>
          </w:tcPr>
          <w:p w:rsidR="00D3052E" w:rsidRDefault="00635D2F">
            <w:pPr>
              <w:spacing w:before="20" w:after="20"/>
              <w:jc w:val="center"/>
              <w:rPr>
                <w:noProof/>
                <w:sz w:val="14"/>
              </w:rPr>
            </w:pPr>
            <w:r>
              <w:rPr>
                <w:noProof/>
                <w:sz w:val="14"/>
              </w:rPr>
              <w:t>(2c)</w:t>
            </w:r>
          </w:p>
        </w:tc>
        <w:tc>
          <w:tcPr>
            <w:tcW w:w="895" w:type="dxa"/>
            <w:vAlign w:val="bottom"/>
          </w:tcPr>
          <w:p w:rsidR="00D3052E" w:rsidRDefault="00635D2F">
            <w:pPr>
              <w:spacing w:before="20" w:after="20"/>
              <w:jc w:val="right"/>
              <w:rPr>
                <w:noProof/>
                <w:sz w:val="20"/>
              </w:rPr>
            </w:pPr>
            <w:r>
              <w:rPr>
                <w:noProof/>
                <w:color w:val="000000"/>
                <w:sz w:val="20"/>
                <w:szCs w:val="20"/>
              </w:rPr>
              <w:t xml:space="preserve">1,062 </w:t>
            </w:r>
          </w:p>
        </w:tc>
        <w:tc>
          <w:tcPr>
            <w:tcW w:w="924" w:type="dxa"/>
            <w:vAlign w:val="bottom"/>
          </w:tcPr>
          <w:p w:rsidR="00D3052E" w:rsidRDefault="00635D2F">
            <w:pPr>
              <w:spacing w:before="20" w:after="20"/>
              <w:jc w:val="right"/>
              <w:rPr>
                <w:noProof/>
                <w:sz w:val="20"/>
                <w:highlight w:val="yellow"/>
              </w:rPr>
            </w:pPr>
            <w:r>
              <w:rPr>
                <w:noProof/>
                <w:color w:val="000000"/>
                <w:sz w:val="20"/>
                <w:szCs w:val="20"/>
              </w:rPr>
              <w:t xml:space="preserve">1,079 </w:t>
            </w:r>
          </w:p>
        </w:tc>
        <w:tc>
          <w:tcPr>
            <w:tcW w:w="924" w:type="dxa"/>
            <w:vAlign w:val="bottom"/>
          </w:tcPr>
          <w:p w:rsidR="00D3052E" w:rsidRDefault="00635D2F">
            <w:pPr>
              <w:spacing w:before="20" w:after="20"/>
              <w:jc w:val="right"/>
              <w:rPr>
                <w:noProof/>
                <w:sz w:val="20"/>
                <w:highlight w:val="yellow"/>
              </w:rPr>
            </w:pPr>
            <w:r>
              <w:rPr>
                <w:noProof/>
                <w:color w:val="000000"/>
                <w:sz w:val="20"/>
                <w:szCs w:val="20"/>
              </w:rPr>
              <w:t xml:space="preserve">1,096 </w:t>
            </w:r>
          </w:p>
        </w:tc>
        <w:tc>
          <w:tcPr>
            <w:tcW w:w="924" w:type="dxa"/>
            <w:vAlign w:val="bottom"/>
          </w:tcPr>
          <w:p w:rsidR="00D3052E" w:rsidRDefault="00635D2F">
            <w:pPr>
              <w:spacing w:before="20" w:after="20"/>
              <w:jc w:val="right"/>
              <w:rPr>
                <w:noProof/>
                <w:sz w:val="20"/>
                <w:highlight w:val="yellow"/>
              </w:rPr>
            </w:pPr>
            <w:r>
              <w:rPr>
                <w:noProof/>
                <w:color w:val="000000"/>
                <w:sz w:val="20"/>
                <w:szCs w:val="20"/>
              </w:rPr>
              <w:t xml:space="preserve">1,113 </w:t>
            </w:r>
          </w:p>
        </w:tc>
        <w:tc>
          <w:tcPr>
            <w:tcW w:w="924" w:type="dxa"/>
            <w:vAlign w:val="bottom"/>
          </w:tcPr>
          <w:p w:rsidR="00D3052E" w:rsidRDefault="00635D2F">
            <w:pPr>
              <w:spacing w:before="20" w:after="20"/>
              <w:jc w:val="right"/>
              <w:rPr>
                <w:noProof/>
                <w:sz w:val="20"/>
                <w:highlight w:val="yellow"/>
              </w:rPr>
            </w:pPr>
            <w:r>
              <w:rPr>
                <w:noProof/>
                <w:color w:val="000000"/>
                <w:sz w:val="20"/>
                <w:szCs w:val="20"/>
              </w:rPr>
              <w:t xml:space="preserve">1,130 </w:t>
            </w:r>
          </w:p>
        </w:tc>
        <w:tc>
          <w:tcPr>
            <w:tcW w:w="924" w:type="dxa"/>
            <w:vAlign w:val="bottom"/>
          </w:tcPr>
          <w:p w:rsidR="00D3052E" w:rsidRDefault="00635D2F">
            <w:pPr>
              <w:spacing w:before="20" w:after="20"/>
              <w:jc w:val="right"/>
              <w:rPr>
                <w:noProof/>
                <w:sz w:val="20"/>
                <w:highlight w:val="yellow"/>
              </w:rPr>
            </w:pPr>
            <w:r>
              <w:rPr>
                <w:noProof/>
                <w:color w:val="000000"/>
                <w:sz w:val="20"/>
                <w:szCs w:val="20"/>
              </w:rPr>
              <w:t xml:space="preserve">1,148 </w:t>
            </w:r>
          </w:p>
        </w:tc>
        <w:tc>
          <w:tcPr>
            <w:tcW w:w="925" w:type="dxa"/>
            <w:vAlign w:val="bottom"/>
          </w:tcPr>
          <w:p w:rsidR="00D3052E" w:rsidRDefault="00635D2F">
            <w:pPr>
              <w:spacing w:before="20" w:after="20"/>
              <w:jc w:val="right"/>
              <w:rPr>
                <w:noProof/>
                <w:sz w:val="20"/>
                <w:highlight w:val="yellow"/>
              </w:rPr>
            </w:pPr>
            <w:r>
              <w:rPr>
                <w:noProof/>
                <w:color w:val="000000"/>
                <w:sz w:val="20"/>
                <w:szCs w:val="20"/>
              </w:rPr>
              <w:t xml:space="preserve">1,166 </w:t>
            </w:r>
          </w:p>
        </w:tc>
        <w:tc>
          <w:tcPr>
            <w:tcW w:w="1246" w:type="dxa"/>
            <w:vAlign w:val="bottom"/>
          </w:tcPr>
          <w:p w:rsidR="00D3052E" w:rsidRDefault="00635D2F">
            <w:pPr>
              <w:spacing w:before="20" w:after="20"/>
              <w:jc w:val="right"/>
              <w:rPr>
                <w:b/>
                <w:noProof/>
                <w:sz w:val="20"/>
                <w:highlight w:val="yellow"/>
              </w:rPr>
            </w:pPr>
            <w:r>
              <w:rPr>
                <w:noProof/>
                <w:color w:val="000000"/>
                <w:sz w:val="20"/>
                <w:szCs w:val="20"/>
              </w:rPr>
              <w:t>7,794</w:t>
            </w:r>
          </w:p>
        </w:tc>
      </w:tr>
      <w:tr w:rsidR="00D3052E">
        <w:tc>
          <w:tcPr>
            <w:tcW w:w="2760" w:type="dxa"/>
            <w:vMerge w:val="restart"/>
            <w:vAlign w:val="center"/>
          </w:tcPr>
          <w:p w:rsidR="00D3052E" w:rsidRDefault="00635D2F">
            <w:pPr>
              <w:jc w:val="center"/>
              <w:rPr>
                <w:noProof/>
              </w:rPr>
            </w:pPr>
            <w:r>
              <w:rPr>
                <w:b/>
                <w:noProof/>
                <w:sz w:val="22"/>
              </w:rPr>
              <w:t>Zmniejszenie środków operacyjnych OGÓŁEM</w:t>
            </w:r>
            <w:r>
              <w:rPr>
                <w:noProof/>
              </w:rPr>
              <w:t xml:space="preserve"> </w:t>
            </w:r>
            <w:r>
              <w:rPr>
                <w:noProof/>
              </w:rPr>
              <w:br/>
            </w:r>
            <w:r>
              <w:rPr>
                <w:b/>
                <w:noProof/>
                <w:sz w:val="22"/>
              </w:rPr>
              <w:t xml:space="preserve">w przypadku DG ENV i DG CLIMA </w:t>
            </w:r>
            <w:r>
              <w:rPr>
                <w:noProof/>
              </w:rPr>
              <w:t>&lt;09.02.01, 09.02.02 i 09.0203&gt;</w:t>
            </w:r>
          </w:p>
        </w:tc>
        <w:tc>
          <w:tcPr>
            <w:tcW w:w="2040" w:type="dxa"/>
            <w:vAlign w:val="center"/>
          </w:tcPr>
          <w:p w:rsidR="00D3052E" w:rsidRDefault="00635D2F">
            <w:pPr>
              <w:rPr>
                <w:noProof/>
                <w:sz w:val="18"/>
              </w:rPr>
            </w:pPr>
            <w:r>
              <w:rPr>
                <w:noProof/>
                <w:sz w:val="18"/>
              </w:rPr>
              <w:t>Środki na zobowiązania</w:t>
            </w:r>
          </w:p>
        </w:tc>
        <w:tc>
          <w:tcPr>
            <w:tcW w:w="834" w:type="dxa"/>
            <w:vAlign w:val="center"/>
          </w:tcPr>
          <w:p w:rsidR="00D3052E" w:rsidRDefault="00635D2F">
            <w:pPr>
              <w:jc w:val="center"/>
              <w:rPr>
                <w:noProof/>
                <w:sz w:val="14"/>
              </w:rPr>
            </w:pPr>
            <w:r>
              <w:rPr>
                <w:noProof/>
                <w:sz w:val="14"/>
              </w:rPr>
              <w:t>=1a+1b +1c</w:t>
            </w:r>
          </w:p>
        </w:tc>
        <w:tc>
          <w:tcPr>
            <w:tcW w:w="895" w:type="dxa"/>
            <w:vAlign w:val="bottom"/>
          </w:tcPr>
          <w:p w:rsidR="00D3052E" w:rsidRDefault="00635D2F">
            <w:pPr>
              <w:spacing w:before="40" w:after="40"/>
              <w:jc w:val="right"/>
              <w:rPr>
                <w:noProof/>
                <w:sz w:val="20"/>
                <w:szCs w:val="20"/>
              </w:rPr>
            </w:pPr>
            <w:r>
              <w:rPr>
                <w:noProof/>
                <w:color w:val="000000"/>
                <w:sz w:val="20"/>
                <w:szCs w:val="20"/>
              </w:rPr>
              <w:t xml:space="preserve">3,509 </w:t>
            </w:r>
          </w:p>
        </w:tc>
        <w:tc>
          <w:tcPr>
            <w:tcW w:w="924" w:type="dxa"/>
            <w:vAlign w:val="bottom"/>
          </w:tcPr>
          <w:p w:rsidR="00D3052E" w:rsidRDefault="00635D2F">
            <w:pPr>
              <w:spacing w:before="40" w:after="40"/>
              <w:jc w:val="right"/>
              <w:rPr>
                <w:noProof/>
                <w:sz w:val="20"/>
                <w:szCs w:val="20"/>
                <w:highlight w:val="yellow"/>
              </w:rPr>
            </w:pPr>
            <w:r>
              <w:rPr>
                <w:noProof/>
                <w:color w:val="000000"/>
                <w:sz w:val="20"/>
                <w:szCs w:val="20"/>
              </w:rPr>
              <w:t xml:space="preserve">3,563 </w:t>
            </w:r>
          </w:p>
        </w:tc>
        <w:tc>
          <w:tcPr>
            <w:tcW w:w="924" w:type="dxa"/>
            <w:vAlign w:val="bottom"/>
          </w:tcPr>
          <w:p w:rsidR="00D3052E" w:rsidRDefault="00635D2F">
            <w:pPr>
              <w:spacing w:before="40" w:after="40"/>
              <w:jc w:val="right"/>
              <w:rPr>
                <w:noProof/>
                <w:sz w:val="20"/>
                <w:szCs w:val="20"/>
                <w:highlight w:val="yellow"/>
              </w:rPr>
            </w:pPr>
            <w:r>
              <w:rPr>
                <w:noProof/>
                <w:color w:val="000000"/>
                <w:sz w:val="20"/>
                <w:szCs w:val="20"/>
              </w:rPr>
              <w:t xml:space="preserve">3,620 </w:t>
            </w:r>
          </w:p>
        </w:tc>
        <w:tc>
          <w:tcPr>
            <w:tcW w:w="924" w:type="dxa"/>
            <w:vAlign w:val="bottom"/>
          </w:tcPr>
          <w:p w:rsidR="00D3052E" w:rsidRDefault="00635D2F">
            <w:pPr>
              <w:spacing w:before="40" w:after="40"/>
              <w:jc w:val="right"/>
              <w:rPr>
                <w:noProof/>
                <w:sz w:val="20"/>
                <w:szCs w:val="20"/>
                <w:highlight w:val="yellow"/>
              </w:rPr>
            </w:pPr>
            <w:r>
              <w:rPr>
                <w:noProof/>
                <w:color w:val="000000"/>
                <w:sz w:val="20"/>
                <w:szCs w:val="20"/>
              </w:rPr>
              <w:t xml:space="preserve">3,676 </w:t>
            </w:r>
          </w:p>
        </w:tc>
        <w:tc>
          <w:tcPr>
            <w:tcW w:w="924" w:type="dxa"/>
            <w:vAlign w:val="bottom"/>
          </w:tcPr>
          <w:p w:rsidR="00D3052E" w:rsidRDefault="00635D2F">
            <w:pPr>
              <w:spacing w:before="40" w:after="40"/>
              <w:jc w:val="right"/>
              <w:rPr>
                <w:noProof/>
                <w:sz w:val="20"/>
                <w:szCs w:val="20"/>
                <w:highlight w:val="yellow"/>
              </w:rPr>
            </w:pPr>
            <w:r>
              <w:rPr>
                <w:noProof/>
                <w:color w:val="000000"/>
                <w:sz w:val="20"/>
                <w:szCs w:val="20"/>
              </w:rPr>
              <w:t xml:space="preserve">3,734 </w:t>
            </w:r>
          </w:p>
        </w:tc>
        <w:tc>
          <w:tcPr>
            <w:tcW w:w="924" w:type="dxa"/>
            <w:vAlign w:val="bottom"/>
          </w:tcPr>
          <w:p w:rsidR="00D3052E" w:rsidRDefault="00635D2F">
            <w:pPr>
              <w:spacing w:before="40" w:after="40"/>
              <w:jc w:val="right"/>
              <w:rPr>
                <w:noProof/>
                <w:sz w:val="20"/>
                <w:szCs w:val="20"/>
                <w:highlight w:val="yellow"/>
              </w:rPr>
            </w:pPr>
            <w:r>
              <w:rPr>
                <w:noProof/>
                <w:color w:val="000000"/>
                <w:sz w:val="20"/>
                <w:szCs w:val="20"/>
              </w:rPr>
              <w:t xml:space="preserve">3,792 </w:t>
            </w:r>
          </w:p>
        </w:tc>
        <w:tc>
          <w:tcPr>
            <w:tcW w:w="925" w:type="dxa"/>
            <w:vAlign w:val="bottom"/>
          </w:tcPr>
          <w:p w:rsidR="00D3052E" w:rsidRDefault="00635D2F">
            <w:pPr>
              <w:spacing w:before="40" w:after="40"/>
              <w:jc w:val="right"/>
              <w:rPr>
                <w:noProof/>
                <w:sz w:val="20"/>
                <w:szCs w:val="20"/>
                <w:highlight w:val="yellow"/>
              </w:rPr>
            </w:pPr>
            <w:r>
              <w:rPr>
                <w:noProof/>
                <w:color w:val="000000"/>
                <w:sz w:val="20"/>
                <w:szCs w:val="20"/>
              </w:rPr>
              <w:t xml:space="preserve">3,854 </w:t>
            </w:r>
          </w:p>
        </w:tc>
        <w:tc>
          <w:tcPr>
            <w:tcW w:w="1246" w:type="dxa"/>
            <w:vAlign w:val="bottom"/>
          </w:tcPr>
          <w:p w:rsidR="00D3052E" w:rsidRDefault="00635D2F">
            <w:pPr>
              <w:spacing w:before="20" w:after="20"/>
              <w:jc w:val="right"/>
              <w:rPr>
                <w:b/>
                <w:noProof/>
                <w:sz w:val="20"/>
                <w:szCs w:val="20"/>
                <w:highlight w:val="yellow"/>
              </w:rPr>
            </w:pPr>
            <w:r>
              <w:rPr>
                <w:noProof/>
                <w:color w:val="000000"/>
                <w:sz w:val="20"/>
                <w:szCs w:val="20"/>
              </w:rPr>
              <w:t xml:space="preserve">25,748 </w:t>
            </w:r>
          </w:p>
        </w:tc>
      </w:tr>
      <w:tr w:rsidR="00D3052E">
        <w:tc>
          <w:tcPr>
            <w:tcW w:w="2760" w:type="dxa"/>
            <w:vMerge/>
            <w:vAlign w:val="center"/>
          </w:tcPr>
          <w:p w:rsidR="00D3052E" w:rsidRDefault="00D3052E">
            <w:pPr>
              <w:rPr>
                <w:b/>
                <w:noProof/>
                <w:highlight w:val="yellow"/>
              </w:rPr>
            </w:pPr>
          </w:p>
        </w:tc>
        <w:tc>
          <w:tcPr>
            <w:tcW w:w="2040" w:type="dxa"/>
            <w:vAlign w:val="center"/>
          </w:tcPr>
          <w:p w:rsidR="00D3052E" w:rsidRDefault="00635D2F">
            <w:pPr>
              <w:rPr>
                <w:noProof/>
                <w:sz w:val="18"/>
              </w:rPr>
            </w:pPr>
            <w:r>
              <w:rPr>
                <w:noProof/>
                <w:sz w:val="18"/>
              </w:rPr>
              <w:t>Środki na płatności</w:t>
            </w:r>
          </w:p>
        </w:tc>
        <w:tc>
          <w:tcPr>
            <w:tcW w:w="834" w:type="dxa"/>
            <w:vAlign w:val="center"/>
          </w:tcPr>
          <w:p w:rsidR="00D3052E" w:rsidRDefault="00635D2F">
            <w:pPr>
              <w:ind w:left="-112" w:right="-107"/>
              <w:jc w:val="center"/>
              <w:rPr>
                <w:noProof/>
                <w:sz w:val="14"/>
              </w:rPr>
            </w:pPr>
            <w:r>
              <w:rPr>
                <w:noProof/>
                <w:sz w:val="14"/>
              </w:rPr>
              <w:t>=2a+2b+3c</w:t>
            </w:r>
          </w:p>
        </w:tc>
        <w:tc>
          <w:tcPr>
            <w:tcW w:w="895" w:type="dxa"/>
            <w:vAlign w:val="bottom"/>
          </w:tcPr>
          <w:p w:rsidR="00D3052E" w:rsidRDefault="00635D2F">
            <w:pPr>
              <w:spacing w:before="40" w:after="40"/>
              <w:jc w:val="right"/>
              <w:rPr>
                <w:noProof/>
                <w:sz w:val="20"/>
                <w:highlight w:val="yellow"/>
              </w:rPr>
            </w:pPr>
            <w:r>
              <w:rPr>
                <w:noProof/>
                <w:color w:val="000000"/>
                <w:sz w:val="20"/>
                <w:szCs w:val="20"/>
              </w:rPr>
              <w:t xml:space="preserve">3,509 </w:t>
            </w:r>
          </w:p>
        </w:tc>
        <w:tc>
          <w:tcPr>
            <w:tcW w:w="924" w:type="dxa"/>
            <w:vAlign w:val="bottom"/>
          </w:tcPr>
          <w:p w:rsidR="00D3052E" w:rsidRDefault="00635D2F">
            <w:pPr>
              <w:spacing w:before="40" w:after="40"/>
              <w:jc w:val="right"/>
              <w:rPr>
                <w:noProof/>
                <w:sz w:val="20"/>
                <w:highlight w:val="yellow"/>
              </w:rPr>
            </w:pPr>
            <w:r>
              <w:rPr>
                <w:noProof/>
                <w:color w:val="000000"/>
                <w:sz w:val="20"/>
                <w:szCs w:val="20"/>
              </w:rPr>
              <w:t xml:space="preserve">3,563 </w:t>
            </w:r>
          </w:p>
        </w:tc>
        <w:tc>
          <w:tcPr>
            <w:tcW w:w="924" w:type="dxa"/>
            <w:vAlign w:val="bottom"/>
          </w:tcPr>
          <w:p w:rsidR="00D3052E" w:rsidRDefault="00635D2F">
            <w:pPr>
              <w:spacing w:before="40" w:after="40"/>
              <w:jc w:val="right"/>
              <w:rPr>
                <w:noProof/>
                <w:sz w:val="20"/>
                <w:highlight w:val="yellow"/>
              </w:rPr>
            </w:pPr>
            <w:r>
              <w:rPr>
                <w:noProof/>
                <w:color w:val="000000"/>
                <w:sz w:val="20"/>
                <w:szCs w:val="20"/>
              </w:rPr>
              <w:t xml:space="preserve">3,620 </w:t>
            </w:r>
          </w:p>
        </w:tc>
        <w:tc>
          <w:tcPr>
            <w:tcW w:w="924" w:type="dxa"/>
            <w:vAlign w:val="bottom"/>
          </w:tcPr>
          <w:p w:rsidR="00D3052E" w:rsidRDefault="00635D2F">
            <w:pPr>
              <w:spacing w:before="40" w:after="40"/>
              <w:jc w:val="right"/>
              <w:rPr>
                <w:noProof/>
                <w:sz w:val="20"/>
                <w:highlight w:val="yellow"/>
              </w:rPr>
            </w:pPr>
            <w:r>
              <w:rPr>
                <w:noProof/>
                <w:color w:val="000000"/>
                <w:sz w:val="20"/>
                <w:szCs w:val="20"/>
              </w:rPr>
              <w:t xml:space="preserve">3,676 </w:t>
            </w:r>
          </w:p>
        </w:tc>
        <w:tc>
          <w:tcPr>
            <w:tcW w:w="924" w:type="dxa"/>
            <w:vAlign w:val="bottom"/>
          </w:tcPr>
          <w:p w:rsidR="00D3052E" w:rsidRDefault="00635D2F">
            <w:pPr>
              <w:spacing w:before="40" w:after="40"/>
              <w:jc w:val="right"/>
              <w:rPr>
                <w:noProof/>
                <w:sz w:val="20"/>
                <w:highlight w:val="yellow"/>
              </w:rPr>
            </w:pPr>
            <w:r>
              <w:rPr>
                <w:noProof/>
                <w:color w:val="000000"/>
                <w:sz w:val="20"/>
                <w:szCs w:val="20"/>
              </w:rPr>
              <w:t xml:space="preserve">3,734 </w:t>
            </w:r>
          </w:p>
        </w:tc>
        <w:tc>
          <w:tcPr>
            <w:tcW w:w="924" w:type="dxa"/>
            <w:vAlign w:val="bottom"/>
          </w:tcPr>
          <w:p w:rsidR="00D3052E" w:rsidRDefault="00635D2F">
            <w:pPr>
              <w:spacing w:before="40" w:after="40"/>
              <w:jc w:val="right"/>
              <w:rPr>
                <w:noProof/>
                <w:sz w:val="20"/>
                <w:highlight w:val="yellow"/>
              </w:rPr>
            </w:pPr>
            <w:r>
              <w:rPr>
                <w:noProof/>
                <w:color w:val="000000"/>
                <w:sz w:val="20"/>
                <w:szCs w:val="20"/>
              </w:rPr>
              <w:t xml:space="preserve">3,792 </w:t>
            </w:r>
          </w:p>
        </w:tc>
        <w:tc>
          <w:tcPr>
            <w:tcW w:w="925" w:type="dxa"/>
            <w:vAlign w:val="bottom"/>
          </w:tcPr>
          <w:p w:rsidR="00D3052E" w:rsidRDefault="00635D2F">
            <w:pPr>
              <w:spacing w:before="40" w:after="40"/>
              <w:jc w:val="right"/>
              <w:rPr>
                <w:noProof/>
                <w:sz w:val="20"/>
                <w:highlight w:val="yellow"/>
              </w:rPr>
            </w:pPr>
            <w:r>
              <w:rPr>
                <w:noProof/>
                <w:color w:val="000000"/>
                <w:sz w:val="20"/>
                <w:szCs w:val="20"/>
              </w:rPr>
              <w:t xml:space="preserve">3,854 </w:t>
            </w:r>
          </w:p>
        </w:tc>
        <w:tc>
          <w:tcPr>
            <w:tcW w:w="1246" w:type="dxa"/>
            <w:vAlign w:val="bottom"/>
          </w:tcPr>
          <w:p w:rsidR="00D3052E" w:rsidRDefault="00635D2F">
            <w:pPr>
              <w:spacing w:before="20" w:after="20"/>
              <w:jc w:val="right"/>
              <w:rPr>
                <w:b/>
                <w:noProof/>
                <w:sz w:val="20"/>
              </w:rPr>
            </w:pPr>
            <w:r>
              <w:rPr>
                <w:noProof/>
                <w:color w:val="000000"/>
                <w:sz w:val="20"/>
                <w:szCs w:val="20"/>
              </w:rPr>
              <w:t xml:space="preserve">25,748 </w:t>
            </w:r>
          </w:p>
        </w:tc>
      </w:tr>
    </w:tbl>
    <w:p w:rsidR="00D3052E" w:rsidRDefault="00D3052E">
      <w:pPr>
        <w:jc w:val="right"/>
        <w:rPr>
          <w:noProof/>
          <w:sz w:val="16"/>
        </w:rPr>
      </w:pPr>
    </w:p>
    <w:tbl>
      <w:tblPr>
        <w:tblW w:w="133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1E0" w:firstRow="1" w:lastRow="1" w:firstColumn="1" w:lastColumn="1" w:noHBand="0" w:noVBand="0"/>
      </w:tblPr>
      <w:tblGrid>
        <w:gridCol w:w="2752"/>
        <w:gridCol w:w="2040"/>
        <w:gridCol w:w="840"/>
        <w:gridCol w:w="897"/>
        <w:gridCol w:w="924"/>
        <w:gridCol w:w="924"/>
        <w:gridCol w:w="924"/>
        <w:gridCol w:w="924"/>
        <w:gridCol w:w="924"/>
        <w:gridCol w:w="925"/>
        <w:gridCol w:w="1246"/>
      </w:tblGrid>
      <w:tr w:rsidR="00D3052E">
        <w:trPr>
          <w:cantSplit/>
        </w:trPr>
        <w:tc>
          <w:tcPr>
            <w:tcW w:w="2752" w:type="dxa"/>
            <w:vAlign w:val="center"/>
          </w:tcPr>
          <w:p w:rsidR="00D3052E" w:rsidRDefault="00635D2F">
            <w:pPr>
              <w:spacing w:before="60" w:after="60"/>
              <w:jc w:val="center"/>
              <w:rPr>
                <w:noProof/>
              </w:rPr>
            </w:pPr>
            <w:r>
              <w:rPr>
                <w:noProof/>
                <w:sz w:val="22"/>
              </w:rPr>
              <w:lastRenderedPageBreak/>
              <w:t xml:space="preserve">EEA: </w:t>
            </w:r>
            <w:r>
              <w:rPr>
                <w:noProof/>
              </w:rPr>
              <w:t>&lt;09.10.02&gt;</w:t>
            </w:r>
          </w:p>
        </w:tc>
        <w:tc>
          <w:tcPr>
            <w:tcW w:w="2040" w:type="dxa"/>
            <w:vAlign w:val="center"/>
          </w:tcPr>
          <w:p w:rsidR="00D3052E" w:rsidRDefault="00D3052E">
            <w:pPr>
              <w:spacing w:before="60" w:after="60"/>
              <w:rPr>
                <w:noProof/>
                <w:sz w:val="20"/>
              </w:rPr>
            </w:pPr>
          </w:p>
        </w:tc>
        <w:tc>
          <w:tcPr>
            <w:tcW w:w="840" w:type="dxa"/>
            <w:vAlign w:val="center"/>
          </w:tcPr>
          <w:p w:rsidR="00D3052E" w:rsidRDefault="00D3052E">
            <w:pPr>
              <w:spacing w:before="60" w:after="60"/>
              <w:jc w:val="center"/>
              <w:rPr>
                <w:noProof/>
                <w:sz w:val="20"/>
              </w:rPr>
            </w:pPr>
          </w:p>
        </w:tc>
        <w:tc>
          <w:tcPr>
            <w:tcW w:w="897" w:type="dxa"/>
            <w:vAlign w:val="center"/>
          </w:tcPr>
          <w:p w:rsidR="00D3052E" w:rsidRDefault="00635D2F">
            <w:pPr>
              <w:spacing w:before="60" w:after="60"/>
              <w:jc w:val="center"/>
              <w:rPr>
                <w:noProof/>
                <w:sz w:val="20"/>
              </w:rPr>
            </w:pPr>
            <w:r>
              <w:rPr>
                <w:noProof/>
                <w:sz w:val="20"/>
              </w:rPr>
              <w:t>2021</w:t>
            </w:r>
          </w:p>
        </w:tc>
        <w:tc>
          <w:tcPr>
            <w:tcW w:w="924" w:type="dxa"/>
            <w:vAlign w:val="center"/>
          </w:tcPr>
          <w:p w:rsidR="00D3052E" w:rsidRDefault="00635D2F">
            <w:pPr>
              <w:spacing w:before="60" w:after="60"/>
              <w:jc w:val="center"/>
              <w:rPr>
                <w:noProof/>
                <w:sz w:val="20"/>
              </w:rPr>
            </w:pPr>
            <w:r>
              <w:rPr>
                <w:noProof/>
                <w:sz w:val="20"/>
              </w:rPr>
              <w:t>2022</w:t>
            </w:r>
          </w:p>
        </w:tc>
        <w:tc>
          <w:tcPr>
            <w:tcW w:w="924" w:type="dxa"/>
            <w:vAlign w:val="center"/>
          </w:tcPr>
          <w:p w:rsidR="00D3052E" w:rsidRDefault="00635D2F">
            <w:pPr>
              <w:spacing w:before="60" w:after="60"/>
              <w:jc w:val="center"/>
              <w:rPr>
                <w:noProof/>
                <w:sz w:val="20"/>
              </w:rPr>
            </w:pPr>
            <w:r>
              <w:rPr>
                <w:noProof/>
                <w:sz w:val="20"/>
              </w:rPr>
              <w:t>2023</w:t>
            </w:r>
          </w:p>
        </w:tc>
        <w:tc>
          <w:tcPr>
            <w:tcW w:w="924" w:type="dxa"/>
            <w:vAlign w:val="center"/>
          </w:tcPr>
          <w:p w:rsidR="00D3052E" w:rsidRDefault="00635D2F">
            <w:pPr>
              <w:spacing w:before="60" w:after="60"/>
              <w:jc w:val="center"/>
              <w:rPr>
                <w:noProof/>
                <w:sz w:val="20"/>
              </w:rPr>
            </w:pPr>
            <w:r>
              <w:rPr>
                <w:noProof/>
                <w:sz w:val="20"/>
              </w:rPr>
              <w:t>2024</w:t>
            </w:r>
          </w:p>
        </w:tc>
        <w:tc>
          <w:tcPr>
            <w:tcW w:w="924" w:type="dxa"/>
            <w:vAlign w:val="center"/>
          </w:tcPr>
          <w:p w:rsidR="00D3052E" w:rsidRDefault="00635D2F">
            <w:pPr>
              <w:spacing w:before="60" w:after="60"/>
              <w:jc w:val="center"/>
              <w:rPr>
                <w:noProof/>
                <w:sz w:val="20"/>
              </w:rPr>
            </w:pPr>
            <w:r>
              <w:rPr>
                <w:noProof/>
                <w:sz w:val="20"/>
              </w:rPr>
              <w:t>2025</w:t>
            </w:r>
          </w:p>
        </w:tc>
        <w:tc>
          <w:tcPr>
            <w:tcW w:w="924" w:type="dxa"/>
            <w:vAlign w:val="center"/>
          </w:tcPr>
          <w:p w:rsidR="00D3052E" w:rsidRDefault="00635D2F">
            <w:pPr>
              <w:spacing w:before="60" w:after="60"/>
              <w:jc w:val="center"/>
              <w:rPr>
                <w:noProof/>
                <w:sz w:val="20"/>
              </w:rPr>
            </w:pPr>
            <w:r>
              <w:rPr>
                <w:noProof/>
                <w:sz w:val="20"/>
              </w:rPr>
              <w:t>2026</w:t>
            </w:r>
          </w:p>
        </w:tc>
        <w:tc>
          <w:tcPr>
            <w:tcW w:w="925" w:type="dxa"/>
            <w:vAlign w:val="center"/>
          </w:tcPr>
          <w:p w:rsidR="00D3052E" w:rsidRDefault="00635D2F">
            <w:pPr>
              <w:spacing w:before="60" w:after="60"/>
              <w:jc w:val="center"/>
              <w:rPr>
                <w:noProof/>
                <w:sz w:val="20"/>
              </w:rPr>
            </w:pPr>
            <w:r>
              <w:rPr>
                <w:noProof/>
                <w:sz w:val="20"/>
              </w:rPr>
              <w:t>2027</w:t>
            </w:r>
          </w:p>
        </w:tc>
        <w:tc>
          <w:tcPr>
            <w:tcW w:w="1246" w:type="dxa"/>
            <w:vAlign w:val="center"/>
          </w:tcPr>
          <w:p w:rsidR="00D3052E" w:rsidRDefault="00635D2F">
            <w:pPr>
              <w:spacing w:before="60" w:after="60"/>
              <w:jc w:val="center"/>
              <w:rPr>
                <w:b/>
                <w:noProof/>
                <w:sz w:val="20"/>
              </w:rPr>
            </w:pPr>
            <w:r>
              <w:rPr>
                <w:b/>
                <w:noProof/>
                <w:sz w:val="20"/>
              </w:rPr>
              <w:t>OGÓŁEM</w:t>
            </w:r>
          </w:p>
        </w:tc>
      </w:tr>
      <w:tr w:rsidR="00D3052E">
        <w:trPr>
          <w:cantSplit/>
        </w:trPr>
        <w:tc>
          <w:tcPr>
            <w:tcW w:w="2752" w:type="dxa"/>
            <w:vMerge w:val="restart"/>
            <w:vAlign w:val="center"/>
          </w:tcPr>
          <w:p w:rsidR="00D3052E" w:rsidRDefault="00635D2F">
            <w:pPr>
              <w:spacing w:before="60" w:after="60"/>
              <w:rPr>
                <w:noProof/>
              </w:rPr>
            </w:pPr>
            <w:r>
              <w:rPr>
                <w:noProof/>
                <w:sz w:val="20"/>
              </w:rPr>
              <w:t>Tytuł 1:</w:t>
            </w:r>
          </w:p>
        </w:tc>
        <w:tc>
          <w:tcPr>
            <w:tcW w:w="2040" w:type="dxa"/>
            <w:vAlign w:val="center"/>
          </w:tcPr>
          <w:p w:rsidR="00D3052E" w:rsidRDefault="00635D2F">
            <w:pPr>
              <w:spacing w:before="60" w:after="60"/>
              <w:rPr>
                <w:noProof/>
              </w:rPr>
            </w:pPr>
            <w:r>
              <w:rPr>
                <w:noProof/>
                <w:sz w:val="18"/>
              </w:rPr>
              <w:t>Środki na zobowiązania</w:t>
            </w:r>
          </w:p>
        </w:tc>
        <w:tc>
          <w:tcPr>
            <w:tcW w:w="840" w:type="dxa"/>
            <w:vAlign w:val="center"/>
          </w:tcPr>
          <w:p w:rsidR="00D3052E" w:rsidRDefault="00635D2F">
            <w:pPr>
              <w:spacing w:before="60" w:after="60"/>
              <w:jc w:val="center"/>
              <w:rPr>
                <w:noProof/>
                <w:sz w:val="14"/>
              </w:rPr>
            </w:pPr>
            <w:r>
              <w:rPr>
                <w:noProof/>
                <w:sz w:val="14"/>
              </w:rPr>
              <w:t>(1)</w:t>
            </w:r>
          </w:p>
        </w:tc>
        <w:tc>
          <w:tcPr>
            <w:tcW w:w="897" w:type="dxa"/>
            <w:vAlign w:val="center"/>
          </w:tcPr>
          <w:p w:rsidR="00D3052E" w:rsidRDefault="00635D2F">
            <w:pPr>
              <w:spacing w:before="60" w:after="60"/>
              <w:jc w:val="right"/>
              <w:rPr>
                <w:noProof/>
                <w:sz w:val="20"/>
                <w:szCs w:val="20"/>
              </w:rPr>
            </w:pPr>
            <w:r>
              <w:rPr>
                <w:noProof/>
                <w:color w:val="000000"/>
                <w:sz w:val="20"/>
                <w:szCs w:val="20"/>
              </w:rPr>
              <w:t>2,462</w:t>
            </w:r>
          </w:p>
        </w:tc>
        <w:tc>
          <w:tcPr>
            <w:tcW w:w="924" w:type="dxa"/>
            <w:vAlign w:val="center"/>
          </w:tcPr>
          <w:p w:rsidR="00D3052E" w:rsidRDefault="00635D2F">
            <w:pPr>
              <w:spacing w:before="60" w:after="60"/>
              <w:jc w:val="right"/>
              <w:rPr>
                <w:noProof/>
                <w:sz w:val="20"/>
                <w:szCs w:val="20"/>
              </w:rPr>
            </w:pPr>
            <w:r>
              <w:rPr>
                <w:noProof/>
                <w:color w:val="000000"/>
                <w:sz w:val="20"/>
                <w:szCs w:val="20"/>
              </w:rPr>
              <w:t>2,511</w:t>
            </w:r>
          </w:p>
        </w:tc>
        <w:tc>
          <w:tcPr>
            <w:tcW w:w="924" w:type="dxa"/>
            <w:vAlign w:val="center"/>
          </w:tcPr>
          <w:p w:rsidR="00D3052E" w:rsidRDefault="00635D2F">
            <w:pPr>
              <w:spacing w:before="60" w:after="60"/>
              <w:jc w:val="right"/>
              <w:rPr>
                <w:noProof/>
                <w:sz w:val="20"/>
                <w:szCs w:val="20"/>
              </w:rPr>
            </w:pPr>
            <w:r>
              <w:rPr>
                <w:noProof/>
                <w:color w:val="000000"/>
                <w:sz w:val="20"/>
                <w:szCs w:val="20"/>
              </w:rPr>
              <w:t>2,562</w:t>
            </w:r>
          </w:p>
        </w:tc>
        <w:tc>
          <w:tcPr>
            <w:tcW w:w="924" w:type="dxa"/>
            <w:vAlign w:val="center"/>
          </w:tcPr>
          <w:p w:rsidR="00D3052E" w:rsidRDefault="00635D2F">
            <w:pPr>
              <w:spacing w:before="60" w:after="60"/>
              <w:jc w:val="right"/>
              <w:rPr>
                <w:noProof/>
                <w:sz w:val="20"/>
                <w:szCs w:val="20"/>
              </w:rPr>
            </w:pPr>
            <w:r>
              <w:rPr>
                <w:noProof/>
                <w:color w:val="000000"/>
                <w:sz w:val="20"/>
                <w:szCs w:val="20"/>
              </w:rPr>
              <w:t>2,613</w:t>
            </w:r>
          </w:p>
        </w:tc>
        <w:tc>
          <w:tcPr>
            <w:tcW w:w="924" w:type="dxa"/>
            <w:vAlign w:val="center"/>
          </w:tcPr>
          <w:p w:rsidR="00D3052E" w:rsidRDefault="00635D2F">
            <w:pPr>
              <w:spacing w:before="60" w:after="60"/>
              <w:jc w:val="right"/>
              <w:rPr>
                <w:noProof/>
                <w:sz w:val="20"/>
                <w:szCs w:val="20"/>
              </w:rPr>
            </w:pPr>
            <w:r>
              <w:rPr>
                <w:noProof/>
                <w:color w:val="000000"/>
                <w:sz w:val="20"/>
                <w:szCs w:val="20"/>
              </w:rPr>
              <w:t>2,665</w:t>
            </w:r>
          </w:p>
        </w:tc>
        <w:tc>
          <w:tcPr>
            <w:tcW w:w="924" w:type="dxa"/>
            <w:vAlign w:val="center"/>
          </w:tcPr>
          <w:p w:rsidR="00D3052E" w:rsidRDefault="00635D2F">
            <w:pPr>
              <w:spacing w:before="60" w:after="60"/>
              <w:jc w:val="right"/>
              <w:rPr>
                <w:noProof/>
                <w:sz w:val="20"/>
                <w:szCs w:val="20"/>
              </w:rPr>
            </w:pPr>
            <w:r>
              <w:rPr>
                <w:noProof/>
                <w:color w:val="000000"/>
                <w:sz w:val="20"/>
                <w:szCs w:val="20"/>
              </w:rPr>
              <w:t>2,718</w:t>
            </w:r>
          </w:p>
        </w:tc>
        <w:tc>
          <w:tcPr>
            <w:tcW w:w="925" w:type="dxa"/>
            <w:vAlign w:val="center"/>
          </w:tcPr>
          <w:p w:rsidR="00D3052E" w:rsidRDefault="00635D2F">
            <w:pPr>
              <w:spacing w:before="60" w:after="60"/>
              <w:jc w:val="right"/>
              <w:rPr>
                <w:noProof/>
                <w:sz w:val="20"/>
                <w:szCs w:val="20"/>
              </w:rPr>
            </w:pPr>
            <w:r>
              <w:rPr>
                <w:noProof/>
                <w:color w:val="000000"/>
                <w:sz w:val="20"/>
                <w:szCs w:val="20"/>
              </w:rPr>
              <w:t>2,773</w:t>
            </w:r>
          </w:p>
        </w:tc>
        <w:tc>
          <w:tcPr>
            <w:tcW w:w="1246" w:type="dxa"/>
            <w:vAlign w:val="center"/>
          </w:tcPr>
          <w:p w:rsidR="00D3052E" w:rsidRDefault="00635D2F">
            <w:pPr>
              <w:spacing w:before="60" w:after="60"/>
              <w:jc w:val="right"/>
              <w:rPr>
                <w:b/>
                <w:noProof/>
                <w:sz w:val="20"/>
                <w:szCs w:val="20"/>
              </w:rPr>
            </w:pPr>
            <w:r>
              <w:rPr>
                <w:b/>
                <w:bCs/>
                <w:noProof/>
                <w:color w:val="000000"/>
                <w:sz w:val="20"/>
                <w:szCs w:val="20"/>
              </w:rPr>
              <w:t>18,304</w:t>
            </w:r>
          </w:p>
        </w:tc>
      </w:tr>
      <w:tr w:rsidR="00D3052E">
        <w:trPr>
          <w:cantSplit/>
        </w:trPr>
        <w:tc>
          <w:tcPr>
            <w:tcW w:w="2752" w:type="dxa"/>
            <w:vMerge/>
            <w:vAlign w:val="center"/>
          </w:tcPr>
          <w:p w:rsidR="00D3052E" w:rsidRDefault="00D3052E">
            <w:pPr>
              <w:spacing w:before="60" w:after="60"/>
              <w:rPr>
                <w:noProof/>
              </w:rPr>
            </w:pPr>
          </w:p>
        </w:tc>
        <w:tc>
          <w:tcPr>
            <w:tcW w:w="2040" w:type="dxa"/>
            <w:vAlign w:val="center"/>
          </w:tcPr>
          <w:p w:rsidR="00D3052E" w:rsidRDefault="00635D2F">
            <w:pPr>
              <w:spacing w:before="60" w:after="60"/>
              <w:rPr>
                <w:noProof/>
                <w:sz w:val="18"/>
              </w:rPr>
            </w:pPr>
            <w:r>
              <w:rPr>
                <w:noProof/>
                <w:sz w:val="18"/>
              </w:rPr>
              <w:t>Środki na płatności</w:t>
            </w:r>
          </w:p>
        </w:tc>
        <w:tc>
          <w:tcPr>
            <w:tcW w:w="840" w:type="dxa"/>
            <w:vAlign w:val="center"/>
          </w:tcPr>
          <w:p w:rsidR="00D3052E" w:rsidRDefault="00635D2F">
            <w:pPr>
              <w:spacing w:before="60" w:after="60"/>
              <w:jc w:val="center"/>
              <w:rPr>
                <w:noProof/>
                <w:sz w:val="14"/>
              </w:rPr>
            </w:pPr>
            <w:r>
              <w:rPr>
                <w:noProof/>
                <w:sz w:val="14"/>
              </w:rPr>
              <w:t>(2)</w:t>
            </w:r>
          </w:p>
        </w:tc>
        <w:tc>
          <w:tcPr>
            <w:tcW w:w="897" w:type="dxa"/>
            <w:vAlign w:val="center"/>
          </w:tcPr>
          <w:p w:rsidR="00D3052E" w:rsidRDefault="00635D2F">
            <w:pPr>
              <w:spacing w:before="60" w:after="60"/>
              <w:jc w:val="right"/>
              <w:rPr>
                <w:noProof/>
                <w:sz w:val="20"/>
              </w:rPr>
            </w:pPr>
            <w:r>
              <w:rPr>
                <w:noProof/>
                <w:color w:val="000000"/>
                <w:sz w:val="20"/>
                <w:szCs w:val="20"/>
              </w:rPr>
              <w:t>2,462</w:t>
            </w:r>
          </w:p>
        </w:tc>
        <w:tc>
          <w:tcPr>
            <w:tcW w:w="924" w:type="dxa"/>
            <w:vAlign w:val="center"/>
          </w:tcPr>
          <w:p w:rsidR="00D3052E" w:rsidRDefault="00635D2F">
            <w:pPr>
              <w:spacing w:before="60" w:after="60"/>
              <w:jc w:val="right"/>
              <w:rPr>
                <w:noProof/>
                <w:sz w:val="20"/>
              </w:rPr>
            </w:pPr>
            <w:r>
              <w:rPr>
                <w:noProof/>
                <w:color w:val="000000"/>
                <w:sz w:val="20"/>
                <w:szCs w:val="20"/>
              </w:rPr>
              <w:t>2,511</w:t>
            </w:r>
          </w:p>
        </w:tc>
        <w:tc>
          <w:tcPr>
            <w:tcW w:w="924" w:type="dxa"/>
            <w:vAlign w:val="center"/>
          </w:tcPr>
          <w:p w:rsidR="00D3052E" w:rsidRDefault="00635D2F">
            <w:pPr>
              <w:spacing w:before="60" w:after="60"/>
              <w:jc w:val="right"/>
              <w:rPr>
                <w:noProof/>
                <w:sz w:val="20"/>
              </w:rPr>
            </w:pPr>
            <w:r>
              <w:rPr>
                <w:noProof/>
                <w:color w:val="000000"/>
                <w:sz w:val="20"/>
                <w:szCs w:val="20"/>
              </w:rPr>
              <w:t>2,562</w:t>
            </w:r>
          </w:p>
        </w:tc>
        <w:tc>
          <w:tcPr>
            <w:tcW w:w="924" w:type="dxa"/>
            <w:vAlign w:val="center"/>
          </w:tcPr>
          <w:p w:rsidR="00D3052E" w:rsidRDefault="00635D2F">
            <w:pPr>
              <w:spacing w:before="60" w:after="60"/>
              <w:jc w:val="right"/>
              <w:rPr>
                <w:noProof/>
                <w:sz w:val="20"/>
              </w:rPr>
            </w:pPr>
            <w:r>
              <w:rPr>
                <w:noProof/>
                <w:color w:val="000000"/>
                <w:sz w:val="20"/>
                <w:szCs w:val="20"/>
              </w:rPr>
              <w:t>2,613</w:t>
            </w:r>
          </w:p>
        </w:tc>
        <w:tc>
          <w:tcPr>
            <w:tcW w:w="924" w:type="dxa"/>
            <w:vAlign w:val="center"/>
          </w:tcPr>
          <w:p w:rsidR="00D3052E" w:rsidRDefault="00635D2F">
            <w:pPr>
              <w:spacing w:before="60" w:after="60"/>
              <w:jc w:val="right"/>
              <w:rPr>
                <w:noProof/>
                <w:sz w:val="20"/>
              </w:rPr>
            </w:pPr>
            <w:r>
              <w:rPr>
                <w:noProof/>
                <w:color w:val="000000"/>
                <w:sz w:val="20"/>
                <w:szCs w:val="20"/>
              </w:rPr>
              <w:t>2,665</w:t>
            </w:r>
          </w:p>
        </w:tc>
        <w:tc>
          <w:tcPr>
            <w:tcW w:w="924" w:type="dxa"/>
            <w:vAlign w:val="center"/>
          </w:tcPr>
          <w:p w:rsidR="00D3052E" w:rsidRDefault="00635D2F">
            <w:pPr>
              <w:spacing w:before="60" w:after="60"/>
              <w:jc w:val="right"/>
              <w:rPr>
                <w:noProof/>
                <w:sz w:val="20"/>
              </w:rPr>
            </w:pPr>
            <w:r>
              <w:rPr>
                <w:noProof/>
                <w:color w:val="000000"/>
                <w:sz w:val="20"/>
                <w:szCs w:val="20"/>
              </w:rPr>
              <w:t>2,718</w:t>
            </w:r>
          </w:p>
        </w:tc>
        <w:tc>
          <w:tcPr>
            <w:tcW w:w="925" w:type="dxa"/>
            <w:vAlign w:val="center"/>
          </w:tcPr>
          <w:p w:rsidR="00D3052E" w:rsidRDefault="00635D2F">
            <w:pPr>
              <w:spacing w:before="60" w:after="60"/>
              <w:jc w:val="right"/>
              <w:rPr>
                <w:noProof/>
                <w:sz w:val="20"/>
              </w:rPr>
            </w:pPr>
            <w:r>
              <w:rPr>
                <w:noProof/>
                <w:color w:val="000000"/>
                <w:sz w:val="20"/>
                <w:szCs w:val="20"/>
              </w:rPr>
              <w:t>2,773</w:t>
            </w:r>
          </w:p>
        </w:tc>
        <w:tc>
          <w:tcPr>
            <w:tcW w:w="1246" w:type="dxa"/>
            <w:vAlign w:val="center"/>
          </w:tcPr>
          <w:p w:rsidR="00D3052E" w:rsidRDefault="00635D2F">
            <w:pPr>
              <w:spacing w:before="60" w:after="60"/>
              <w:jc w:val="right"/>
              <w:rPr>
                <w:b/>
                <w:noProof/>
                <w:sz w:val="20"/>
              </w:rPr>
            </w:pPr>
            <w:r>
              <w:rPr>
                <w:b/>
                <w:bCs/>
                <w:noProof/>
                <w:color w:val="000000"/>
                <w:sz w:val="20"/>
                <w:szCs w:val="20"/>
              </w:rPr>
              <w:t>18,304</w:t>
            </w:r>
          </w:p>
        </w:tc>
      </w:tr>
      <w:tr w:rsidR="00D3052E">
        <w:trPr>
          <w:cantSplit/>
        </w:trPr>
        <w:tc>
          <w:tcPr>
            <w:tcW w:w="2752" w:type="dxa"/>
            <w:vMerge w:val="restart"/>
            <w:vAlign w:val="center"/>
          </w:tcPr>
          <w:p w:rsidR="00D3052E" w:rsidRDefault="00635D2F">
            <w:pPr>
              <w:spacing w:before="60" w:after="60"/>
              <w:rPr>
                <w:noProof/>
              </w:rPr>
            </w:pPr>
            <w:r>
              <w:rPr>
                <w:noProof/>
                <w:sz w:val="20"/>
              </w:rPr>
              <w:t>Tytuł 2:</w:t>
            </w:r>
          </w:p>
        </w:tc>
        <w:tc>
          <w:tcPr>
            <w:tcW w:w="2040" w:type="dxa"/>
            <w:vAlign w:val="center"/>
          </w:tcPr>
          <w:p w:rsidR="00D3052E" w:rsidRDefault="00635D2F">
            <w:pPr>
              <w:spacing w:before="60" w:after="60"/>
              <w:rPr>
                <w:noProof/>
                <w:sz w:val="18"/>
              </w:rPr>
            </w:pPr>
            <w:r>
              <w:rPr>
                <w:noProof/>
                <w:sz w:val="18"/>
              </w:rPr>
              <w:t>Środki na zobowiązania</w:t>
            </w:r>
          </w:p>
        </w:tc>
        <w:tc>
          <w:tcPr>
            <w:tcW w:w="840" w:type="dxa"/>
            <w:vAlign w:val="center"/>
          </w:tcPr>
          <w:p w:rsidR="00D3052E" w:rsidRDefault="00635D2F">
            <w:pPr>
              <w:spacing w:before="60" w:after="60"/>
              <w:jc w:val="center"/>
              <w:rPr>
                <w:noProof/>
                <w:sz w:val="14"/>
              </w:rPr>
            </w:pPr>
            <w:r>
              <w:rPr>
                <w:noProof/>
                <w:sz w:val="14"/>
              </w:rPr>
              <w:t>(1a)</w:t>
            </w:r>
          </w:p>
        </w:tc>
        <w:tc>
          <w:tcPr>
            <w:tcW w:w="897" w:type="dxa"/>
            <w:vAlign w:val="center"/>
          </w:tcPr>
          <w:p w:rsidR="00D3052E" w:rsidRDefault="00635D2F">
            <w:pPr>
              <w:spacing w:before="60" w:after="60"/>
              <w:jc w:val="right"/>
              <w:rPr>
                <w:noProof/>
                <w:sz w:val="20"/>
              </w:rPr>
            </w:pPr>
            <w:r>
              <w:rPr>
                <w:noProof/>
                <w:sz w:val="20"/>
              </w:rPr>
              <w:t>0,225</w:t>
            </w:r>
          </w:p>
        </w:tc>
        <w:tc>
          <w:tcPr>
            <w:tcW w:w="924" w:type="dxa"/>
            <w:vAlign w:val="center"/>
          </w:tcPr>
          <w:p w:rsidR="00D3052E" w:rsidRDefault="00635D2F">
            <w:pPr>
              <w:spacing w:before="60" w:after="60"/>
              <w:jc w:val="right"/>
              <w:rPr>
                <w:noProof/>
                <w:sz w:val="20"/>
              </w:rPr>
            </w:pPr>
            <w:r>
              <w:rPr>
                <w:noProof/>
                <w:sz w:val="20"/>
              </w:rPr>
              <w:t>0,225</w:t>
            </w:r>
          </w:p>
        </w:tc>
        <w:tc>
          <w:tcPr>
            <w:tcW w:w="924" w:type="dxa"/>
            <w:vAlign w:val="center"/>
          </w:tcPr>
          <w:p w:rsidR="00D3052E" w:rsidRDefault="00635D2F">
            <w:pPr>
              <w:spacing w:before="60" w:after="60"/>
              <w:jc w:val="right"/>
              <w:rPr>
                <w:noProof/>
                <w:sz w:val="20"/>
              </w:rPr>
            </w:pPr>
            <w:r>
              <w:rPr>
                <w:noProof/>
                <w:sz w:val="20"/>
              </w:rPr>
              <w:t>0,225</w:t>
            </w:r>
          </w:p>
        </w:tc>
        <w:tc>
          <w:tcPr>
            <w:tcW w:w="924" w:type="dxa"/>
            <w:vAlign w:val="center"/>
          </w:tcPr>
          <w:p w:rsidR="00D3052E" w:rsidRDefault="00635D2F">
            <w:pPr>
              <w:spacing w:before="60" w:after="60"/>
              <w:jc w:val="right"/>
              <w:rPr>
                <w:noProof/>
                <w:sz w:val="20"/>
              </w:rPr>
            </w:pPr>
            <w:r>
              <w:rPr>
                <w:noProof/>
                <w:sz w:val="20"/>
              </w:rPr>
              <w:t>0,225</w:t>
            </w:r>
          </w:p>
        </w:tc>
        <w:tc>
          <w:tcPr>
            <w:tcW w:w="924" w:type="dxa"/>
            <w:vAlign w:val="center"/>
          </w:tcPr>
          <w:p w:rsidR="00D3052E" w:rsidRDefault="00635D2F">
            <w:pPr>
              <w:spacing w:before="60" w:after="60"/>
              <w:jc w:val="right"/>
              <w:rPr>
                <w:noProof/>
                <w:sz w:val="20"/>
              </w:rPr>
            </w:pPr>
            <w:r>
              <w:rPr>
                <w:noProof/>
                <w:sz w:val="20"/>
              </w:rPr>
              <w:t>0,225</w:t>
            </w:r>
          </w:p>
        </w:tc>
        <w:tc>
          <w:tcPr>
            <w:tcW w:w="924" w:type="dxa"/>
            <w:vAlign w:val="center"/>
          </w:tcPr>
          <w:p w:rsidR="00D3052E" w:rsidRDefault="00635D2F">
            <w:pPr>
              <w:spacing w:before="60" w:after="60"/>
              <w:jc w:val="right"/>
              <w:rPr>
                <w:noProof/>
                <w:sz w:val="20"/>
              </w:rPr>
            </w:pPr>
            <w:r>
              <w:rPr>
                <w:noProof/>
                <w:sz w:val="20"/>
              </w:rPr>
              <w:t>0,225</w:t>
            </w:r>
          </w:p>
        </w:tc>
        <w:tc>
          <w:tcPr>
            <w:tcW w:w="925" w:type="dxa"/>
            <w:vAlign w:val="center"/>
          </w:tcPr>
          <w:p w:rsidR="00D3052E" w:rsidRDefault="00635D2F">
            <w:pPr>
              <w:spacing w:before="60" w:after="60"/>
              <w:jc w:val="right"/>
              <w:rPr>
                <w:noProof/>
                <w:sz w:val="20"/>
              </w:rPr>
            </w:pPr>
            <w:r>
              <w:rPr>
                <w:noProof/>
                <w:sz w:val="20"/>
              </w:rPr>
              <w:t>0,225</w:t>
            </w:r>
          </w:p>
        </w:tc>
        <w:tc>
          <w:tcPr>
            <w:tcW w:w="1246" w:type="dxa"/>
            <w:vAlign w:val="center"/>
          </w:tcPr>
          <w:p w:rsidR="00D3052E" w:rsidRDefault="00635D2F">
            <w:pPr>
              <w:spacing w:before="60" w:after="60"/>
              <w:jc w:val="right"/>
              <w:rPr>
                <w:b/>
                <w:noProof/>
                <w:sz w:val="20"/>
              </w:rPr>
            </w:pPr>
            <w:r>
              <w:rPr>
                <w:b/>
                <w:noProof/>
                <w:sz w:val="20"/>
              </w:rPr>
              <w:t>1,575</w:t>
            </w:r>
          </w:p>
        </w:tc>
      </w:tr>
      <w:tr w:rsidR="00D3052E">
        <w:trPr>
          <w:cantSplit/>
        </w:trPr>
        <w:tc>
          <w:tcPr>
            <w:tcW w:w="2752" w:type="dxa"/>
            <w:vMerge/>
            <w:vAlign w:val="center"/>
          </w:tcPr>
          <w:p w:rsidR="00D3052E" w:rsidRDefault="00D3052E">
            <w:pPr>
              <w:spacing w:before="60" w:after="60"/>
              <w:rPr>
                <w:noProof/>
              </w:rPr>
            </w:pPr>
          </w:p>
        </w:tc>
        <w:tc>
          <w:tcPr>
            <w:tcW w:w="2040" w:type="dxa"/>
            <w:vAlign w:val="center"/>
          </w:tcPr>
          <w:p w:rsidR="00D3052E" w:rsidRDefault="00635D2F">
            <w:pPr>
              <w:spacing w:before="60" w:after="60"/>
              <w:rPr>
                <w:noProof/>
                <w:sz w:val="18"/>
              </w:rPr>
            </w:pPr>
            <w:r>
              <w:rPr>
                <w:noProof/>
                <w:sz w:val="18"/>
              </w:rPr>
              <w:t>Środki na płatności</w:t>
            </w:r>
          </w:p>
        </w:tc>
        <w:tc>
          <w:tcPr>
            <w:tcW w:w="840" w:type="dxa"/>
            <w:vAlign w:val="center"/>
          </w:tcPr>
          <w:p w:rsidR="00D3052E" w:rsidRDefault="00635D2F">
            <w:pPr>
              <w:spacing w:before="60" w:after="60"/>
              <w:jc w:val="center"/>
              <w:rPr>
                <w:noProof/>
                <w:sz w:val="14"/>
              </w:rPr>
            </w:pPr>
            <w:r>
              <w:rPr>
                <w:noProof/>
                <w:sz w:val="14"/>
              </w:rPr>
              <w:t>(2 a)</w:t>
            </w:r>
          </w:p>
        </w:tc>
        <w:tc>
          <w:tcPr>
            <w:tcW w:w="897" w:type="dxa"/>
            <w:vAlign w:val="center"/>
          </w:tcPr>
          <w:p w:rsidR="00D3052E" w:rsidRDefault="00635D2F">
            <w:pPr>
              <w:spacing w:before="60" w:after="60"/>
              <w:jc w:val="right"/>
              <w:rPr>
                <w:noProof/>
                <w:sz w:val="20"/>
              </w:rPr>
            </w:pPr>
            <w:r>
              <w:rPr>
                <w:noProof/>
                <w:sz w:val="20"/>
              </w:rPr>
              <w:t>0,225</w:t>
            </w:r>
          </w:p>
        </w:tc>
        <w:tc>
          <w:tcPr>
            <w:tcW w:w="924" w:type="dxa"/>
            <w:vAlign w:val="center"/>
          </w:tcPr>
          <w:p w:rsidR="00D3052E" w:rsidRDefault="00635D2F">
            <w:pPr>
              <w:spacing w:before="60" w:after="60"/>
              <w:jc w:val="right"/>
              <w:rPr>
                <w:noProof/>
                <w:sz w:val="20"/>
              </w:rPr>
            </w:pPr>
            <w:r>
              <w:rPr>
                <w:noProof/>
                <w:sz w:val="20"/>
              </w:rPr>
              <w:t>0,225</w:t>
            </w:r>
          </w:p>
        </w:tc>
        <w:tc>
          <w:tcPr>
            <w:tcW w:w="924" w:type="dxa"/>
            <w:vAlign w:val="center"/>
          </w:tcPr>
          <w:p w:rsidR="00D3052E" w:rsidRDefault="00635D2F">
            <w:pPr>
              <w:spacing w:before="60" w:after="60"/>
              <w:jc w:val="right"/>
              <w:rPr>
                <w:noProof/>
                <w:sz w:val="20"/>
              </w:rPr>
            </w:pPr>
            <w:r>
              <w:rPr>
                <w:noProof/>
                <w:sz w:val="20"/>
              </w:rPr>
              <w:t>0,225</w:t>
            </w:r>
          </w:p>
        </w:tc>
        <w:tc>
          <w:tcPr>
            <w:tcW w:w="924" w:type="dxa"/>
            <w:vAlign w:val="center"/>
          </w:tcPr>
          <w:p w:rsidR="00D3052E" w:rsidRDefault="00635D2F">
            <w:pPr>
              <w:spacing w:before="60" w:after="60"/>
              <w:jc w:val="right"/>
              <w:rPr>
                <w:noProof/>
                <w:sz w:val="20"/>
              </w:rPr>
            </w:pPr>
            <w:r>
              <w:rPr>
                <w:noProof/>
                <w:sz w:val="20"/>
              </w:rPr>
              <w:t>0,225</w:t>
            </w:r>
          </w:p>
        </w:tc>
        <w:tc>
          <w:tcPr>
            <w:tcW w:w="924" w:type="dxa"/>
            <w:vAlign w:val="center"/>
          </w:tcPr>
          <w:p w:rsidR="00D3052E" w:rsidRDefault="00635D2F">
            <w:pPr>
              <w:spacing w:before="60" w:after="60"/>
              <w:jc w:val="right"/>
              <w:rPr>
                <w:noProof/>
                <w:sz w:val="20"/>
              </w:rPr>
            </w:pPr>
            <w:r>
              <w:rPr>
                <w:noProof/>
                <w:sz w:val="20"/>
              </w:rPr>
              <w:t>0,225</w:t>
            </w:r>
          </w:p>
        </w:tc>
        <w:tc>
          <w:tcPr>
            <w:tcW w:w="924" w:type="dxa"/>
            <w:vAlign w:val="center"/>
          </w:tcPr>
          <w:p w:rsidR="00D3052E" w:rsidRDefault="00635D2F">
            <w:pPr>
              <w:spacing w:before="60" w:after="60"/>
              <w:jc w:val="right"/>
              <w:rPr>
                <w:noProof/>
                <w:sz w:val="20"/>
              </w:rPr>
            </w:pPr>
            <w:r>
              <w:rPr>
                <w:noProof/>
                <w:sz w:val="20"/>
              </w:rPr>
              <w:t>0,225</w:t>
            </w:r>
          </w:p>
        </w:tc>
        <w:tc>
          <w:tcPr>
            <w:tcW w:w="925" w:type="dxa"/>
            <w:vAlign w:val="center"/>
          </w:tcPr>
          <w:p w:rsidR="00D3052E" w:rsidRDefault="00635D2F">
            <w:pPr>
              <w:spacing w:before="60" w:after="60"/>
              <w:jc w:val="right"/>
              <w:rPr>
                <w:noProof/>
                <w:sz w:val="20"/>
              </w:rPr>
            </w:pPr>
            <w:r>
              <w:rPr>
                <w:noProof/>
                <w:sz w:val="20"/>
              </w:rPr>
              <w:t>0,225</w:t>
            </w:r>
          </w:p>
        </w:tc>
        <w:tc>
          <w:tcPr>
            <w:tcW w:w="1246" w:type="dxa"/>
            <w:vAlign w:val="center"/>
          </w:tcPr>
          <w:p w:rsidR="00D3052E" w:rsidRDefault="00635D2F">
            <w:pPr>
              <w:spacing w:before="60" w:after="60"/>
              <w:jc w:val="right"/>
              <w:rPr>
                <w:b/>
                <w:noProof/>
                <w:sz w:val="20"/>
              </w:rPr>
            </w:pPr>
            <w:r>
              <w:rPr>
                <w:b/>
                <w:noProof/>
                <w:sz w:val="20"/>
              </w:rPr>
              <w:t>1,575</w:t>
            </w:r>
          </w:p>
        </w:tc>
      </w:tr>
      <w:tr w:rsidR="00D3052E">
        <w:trPr>
          <w:cantSplit/>
        </w:trPr>
        <w:tc>
          <w:tcPr>
            <w:tcW w:w="2752" w:type="dxa"/>
            <w:vMerge w:val="restart"/>
            <w:vAlign w:val="center"/>
          </w:tcPr>
          <w:p w:rsidR="00D3052E" w:rsidRDefault="00635D2F">
            <w:pPr>
              <w:spacing w:before="60" w:after="60"/>
              <w:rPr>
                <w:noProof/>
              </w:rPr>
            </w:pPr>
            <w:r>
              <w:rPr>
                <w:noProof/>
                <w:sz w:val="20"/>
              </w:rPr>
              <w:t>Tytuł 3:</w:t>
            </w:r>
          </w:p>
        </w:tc>
        <w:tc>
          <w:tcPr>
            <w:tcW w:w="2040" w:type="dxa"/>
            <w:vAlign w:val="center"/>
          </w:tcPr>
          <w:p w:rsidR="00D3052E" w:rsidRDefault="00635D2F">
            <w:pPr>
              <w:spacing w:before="60" w:after="60"/>
              <w:rPr>
                <w:noProof/>
                <w:sz w:val="18"/>
              </w:rPr>
            </w:pPr>
            <w:r>
              <w:rPr>
                <w:noProof/>
                <w:sz w:val="18"/>
              </w:rPr>
              <w:t>Środki na zobowiązania</w:t>
            </w:r>
          </w:p>
        </w:tc>
        <w:tc>
          <w:tcPr>
            <w:tcW w:w="840" w:type="dxa"/>
            <w:vAlign w:val="center"/>
          </w:tcPr>
          <w:p w:rsidR="00D3052E" w:rsidRDefault="00635D2F">
            <w:pPr>
              <w:spacing w:before="60" w:after="60"/>
              <w:jc w:val="center"/>
              <w:rPr>
                <w:noProof/>
                <w:sz w:val="14"/>
              </w:rPr>
            </w:pPr>
            <w:r>
              <w:rPr>
                <w:noProof/>
                <w:sz w:val="14"/>
              </w:rPr>
              <w:t>(3 a)</w:t>
            </w:r>
          </w:p>
        </w:tc>
        <w:tc>
          <w:tcPr>
            <w:tcW w:w="897" w:type="dxa"/>
            <w:vAlign w:val="center"/>
          </w:tcPr>
          <w:p w:rsidR="00D3052E" w:rsidRDefault="00635D2F">
            <w:pPr>
              <w:spacing w:before="60" w:after="60"/>
              <w:jc w:val="right"/>
              <w:rPr>
                <w:noProof/>
                <w:sz w:val="20"/>
              </w:rPr>
            </w:pPr>
            <w:r>
              <w:rPr>
                <w:noProof/>
                <w:sz w:val="20"/>
              </w:rPr>
              <w:t>500</w:t>
            </w:r>
          </w:p>
        </w:tc>
        <w:tc>
          <w:tcPr>
            <w:tcW w:w="924" w:type="dxa"/>
            <w:vAlign w:val="center"/>
          </w:tcPr>
          <w:p w:rsidR="00D3052E" w:rsidRDefault="00635D2F">
            <w:pPr>
              <w:spacing w:before="60" w:after="60"/>
              <w:jc w:val="right"/>
              <w:rPr>
                <w:noProof/>
                <w:sz w:val="20"/>
              </w:rPr>
            </w:pPr>
            <w:r>
              <w:rPr>
                <w:noProof/>
                <w:sz w:val="20"/>
              </w:rPr>
              <w:t>500</w:t>
            </w:r>
          </w:p>
        </w:tc>
        <w:tc>
          <w:tcPr>
            <w:tcW w:w="924" w:type="dxa"/>
            <w:vAlign w:val="center"/>
          </w:tcPr>
          <w:p w:rsidR="00D3052E" w:rsidRDefault="00635D2F">
            <w:pPr>
              <w:spacing w:before="60" w:after="60"/>
              <w:jc w:val="right"/>
              <w:rPr>
                <w:noProof/>
                <w:sz w:val="20"/>
              </w:rPr>
            </w:pPr>
            <w:r>
              <w:rPr>
                <w:noProof/>
                <w:sz w:val="20"/>
              </w:rPr>
              <w:t>500</w:t>
            </w:r>
          </w:p>
        </w:tc>
        <w:tc>
          <w:tcPr>
            <w:tcW w:w="924" w:type="dxa"/>
            <w:vAlign w:val="center"/>
          </w:tcPr>
          <w:p w:rsidR="00D3052E" w:rsidRDefault="00635D2F">
            <w:pPr>
              <w:spacing w:before="60" w:after="60"/>
              <w:jc w:val="right"/>
              <w:rPr>
                <w:noProof/>
                <w:sz w:val="20"/>
              </w:rPr>
            </w:pPr>
            <w:r>
              <w:rPr>
                <w:noProof/>
                <w:sz w:val="20"/>
              </w:rPr>
              <w:t>500</w:t>
            </w:r>
          </w:p>
        </w:tc>
        <w:tc>
          <w:tcPr>
            <w:tcW w:w="924" w:type="dxa"/>
            <w:vAlign w:val="center"/>
          </w:tcPr>
          <w:p w:rsidR="00D3052E" w:rsidRDefault="00635D2F">
            <w:pPr>
              <w:spacing w:before="60" w:after="60"/>
              <w:jc w:val="right"/>
              <w:rPr>
                <w:noProof/>
                <w:sz w:val="20"/>
              </w:rPr>
            </w:pPr>
            <w:r>
              <w:rPr>
                <w:noProof/>
                <w:sz w:val="20"/>
              </w:rPr>
              <w:t>500</w:t>
            </w:r>
          </w:p>
        </w:tc>
        <w:tc>
          <w:tcPr>
            <w:tcW w:w="924" w:type="dxa"/>
            <w:vAlign w:val="center"/>
          </w:tcPr>
          <w:p w:rsidR="00D3052E" w:rsidRDefault="00635D2F">
            <w:pPr>
              <w:spacing w:before="60" w:after="60"/>
              <w:jc w:val="right"/>
              <w:rPr>
                <w:noProof/>
                <w:sz w:val="20"/>
              </w:rPr>
            </w:pPr>
            <w:r>
              <w:rPr>
                <w:noProof/>
                <w:sz w:val="20"/>
              </w:rPr>
              <w:t>500</w:t>
            </w:r>
          </w:p>
        </w:tc>
        <w:tc>
          <w:tcPr>
            <w:tcW w:w="925" w:type="dxa"/>
            <w:vAlign w:val="center"/>
          </w:tcPr>
          <w:p w:rsidR="00D3052E" w:rsidRDefault="00635D2F">
            <w:pPr>
              <w:spacing w:before="60" w:after="60"/>
              <w:jc w:val="right"/>
              <w:rPr>
                <w:noProof/>
                <w:sz w:val="20"/>
              </w:rPr>
            </w:pPr>
            <w:r>
              <w:rPr>
                <w:noProof/>
                <w:sz w:val="20"/>
              </w:rPr>
              <w:t>500</w:t>
            </w:r>
          </w:p>
        </w:tc>
        <w:tc>
          <w:tcPr>
            <w:tcW w:w="1246" w:type="dxa"/>
            <w:vAlign w:val="center"/>
          </w:tcPr>
          <w:p w:rsidR="00D3052E" w:rsidRDefault="00635D2F">
            <w:pPr>
              <w:spacing w:before="60" w:after="60"/>
              <w:jc w:val="right"/>
              <w:rPr>
                <w:b/>
                <w:noProof/>
                <w:sz w:val="20"/>
              </w:rPr>
            </w:pPr>
            <w:r>
              <w:rPr>
                <w:b/>
                <w:noProof/>
                <w:sz w:val="20"/>
              </w:rPr>
              <w:t>3,500</w:t>
            </w:r>
          </w:p>
        </w:tc>
      </w:tr>
      <w:tr w:rsidR="00D3052E">
        <w:trPr>
          <w:cantSplit/>
        </w:trPr>
        <w:tc>
          <w:tcPr>
            <w:tcW w:w="2752" w:type="dxa"/>
            <w:vMerge/>
            <w:vAlign w:val="center"/>
          </w:tcPr>
          <w:p w:rsidR="00D3052E" w:rsidRDefault="00D3052E">
            <w:pPr>
              <w:spacing w:before="60" w:after="60"/>
              <w:rPr>
                <w:b/>
                <w:noProof/>
                <w:sz w:val="20"/>
              </w:rPr>
            </w:pPr>
          </w:p>
        </w:tc>
        <w:tc>
          <w:tcPr>
            <w:tcW w:w="2040" w:type="dxa"/>
            <w:vAlign w:val="center"/>
          </w:tcPr>
          <w:p w:rsidR="00D3052E" w:rsidRDefault="00635D2F">
            <w:pPr>
              <w:spacing w:before="60" w:after="60"/>
              <w:rPr>
                <w:noProof/>
                <w:sz w:val="18"/>
              </w:rPr>
            </w:pPr>
            <w:r>
              <w:rPr>
                <w:noProof/>
                <w:sz w:val="18"/>
              </w:rPr>
              <w:t>Środki na płatności</w:t>
            </w:r>
          </w:p>
        </w:tc>
        <w:tc>
          <w:tcPr>
            <w:tcW w:w="840" w:type="dxa"/>
            <w:vAlign w:val="center"/>
          </w:tcPr>
          <w:p w:rsidR="00D3052E" w:rsidRDefault="00635D2F">
            <w:pPr>
              <w:spacing w:before="60" w:after="60"/>
              <w:jc w:val="center"/>
              <w:rPr>
                <w:noProof/>
                <w:sz w:val="14"/>
              </w:rPr>
            </w:pPr>
            <w:r>
              <w:rPr>
                <w:noProof/>
                <w:sz w:val="14"/>
              </w:rPr>
              <w:t>(3b)</w:t>
            </w:r>
          </w:p>
        </w:tc>
        <w:tc>
          <w:tcPr>
            <w:tcW w:w="897" w:type="dxa"/>
            <w:vAlign w:val="center"/>
          </w:tcPr>
          <w:p w:rsidR="00D3052E" w:rsidRDefault="00635D2F">
            <w:pPr>
              <w:spacing w:before="60" w:after="60"/>
              <w:jc w:val="right"/>
              <w:rPr>
                <w:noProof/>
                <w:sz w:val="20"/>
              </w:rPr>
            </w:pPr>
            <w:r>
              <w:rPr>
                <w:noProof/>
                <w:sz w:val="20"/>
              </w:rPr>
              <w:t>500</w:t>
            </w:r>
          </w:p>
        </w:tc>
        <w:tc>
          <w:tcPr>
            <w:tcW w:w="924" w:type="dxa"/>
            <w:vAlign w:val="center"/>
          </w:tcPr>
          <w:p w:rsidR="00D3052E" w:rsidRDefault="00635D2F">
            <w:pPr>
              <w:spacing w:before="60" w:after="60"/>
              <w:jc w:val="right"/>
              <w:rPr>
                <w:noProof/>
                <w:sz w:val="20"/>
              </w:rPr>
            </w:pPr>
            <w:r>
              <w:rPr>
                <w:noProof/>
                <w:sz w:val="20"/>
              </w:rPr>
              <w:t>500</w:t>
            </w:r>
          </w:p>
        </w:tc>
        <w:tc>
          <w:tcPr>
            <w:tcW w:w="924" w:type="dxa"/>
            <w:vAlign w:val="center"/>
          </w:tcPr>
          <w:p w:rsidR="00D3052E" w:rsidRDefault="00635D2F">
            <w:pPr>
              <w:spacing w:before="60" w:after="60"/>
              <w:jc w:val="right"/>
              <w:rPr>
                <w:noProof/>
                <w:sz w:val="20"/>
              </w:rPr>
            </w:pPr>
            <w:r>
              <w:rPr>
                <w:noProof/>
                <w:sz w:val="20"/>
              </w:rPr>
              <w:t>500</w:t>
            </w:r>
          </w:p>
        </w:tc>
        <w:tc>
          <w:tcPr>
            <w:tcW w:w="924" w:type="dxa"/>
            <w:vAlign w:val="center"/>
          </w:tcPr>
          <w:p w:rsidR="00D3052E" w:rsidRDefault="00635D2F">
            <w:pPr>
              <w:spacing w:before="60" w:after="60"/>
              <w:jc w:val="right"/>
              <w:rPr>
                <w:noProof/>
                <w:sz w:val="20"/>
              </w:rPr>
            </w:pPr>
            <w:r>
              <w:rPr>
                <w:noProof/>
                <w:sz w:val="20"/>
              </w:rPr>
              <w:t>500</w:t>
            </w:r>
          </w:p>
        </w:tc>
        <w:tc>
          <w:tcPr>
            <w:tcW w:w="924" w:type="dxa"/>
            <w:vAlign w:val="center"/>
          </w:tcPr>
          <w:p w:rsidR="00D3052E" w:rsidRDefault="00635D2F">
            <w:pPr>
              <w:spacing w:before="60" w:after="60"/>
              <w:jc w:val="right"/>
              <w:rPr>
                <w:noProof/>
                <w:sz w:val="20"/>
              </w:rPr>
            </w:pPr>
            <w:r>
              <w:rPr>
                <w:noProof/>
                <w:sz w:val="20"/>
              </w:rPr>
              <w:t>500</w:t>
            </w:r>
          </w:p>
        </w:tc>
        <w:tc>
          <w:tcPr>
            <w:tcW w:w="924" w:type="dxa"/>
            <w:vAlign w:val="center"/>
          </w:tcPr>
          <w:p w:rsidR="00D3052E" w:rsidRDefault="00635D2F">
            <w:pPr>
              <w:spacing w:before="60" w:after="60"/>
              <w:jc w:val="right"/>
              <w:rPr>
                <w:noProof/>
                <w:sz w:val="20"/>
              </w:rPr>
            </w:pPr>
            <w:r>
              <w:rPr>
                <w:noProof/>
                <w:sz w:val="20"/>
              </w:rPr>
              <w:t>500</w:t>
            </w:r>
          </w:p>
        </w:tc>
        <w:tc>
          <w:tcPr>
            <w:tcW w:w="925" w:type="dxa"/>
            <w:vAlign w:val="center"/>
          </w:tcPr>
          <w:p w:rsidR="00D3052E" w:rsidRDefault="00635D2F">
            <w:pPr>
              <w:spacing w:before="60" w:after="60"/>
              <w:jc w:val="right"/>
              <w:rPr>
                <w:noProof/>
                <w:sz w:val="20"/>
              </w:rPr>
            </w:pPr>
            <w:r>
              <w:rPr>
                <w:noProof/>
                <w:sz w:val="20"/>
              </w:rPr>
              <w:t>500</w:t>
            </w:r>
          </w:p>
        </w:tc>
        <w:tc>
          <w:tcPr>
            <w:tcW w:w="1246" w:type="dxa"/>
            <w:vAlign w:val="center"/>
          </w:tcPr>
          <w:p w:rsidR="00D3052E" w:rsidRDefault="00635D2F">
            <w:pPr>
              <w:spacing w:before="60" w:after="60"/>
              <w:jc w:val="right"/>
              <w:rPr>
                <w:b/>
                <w:noProof/>
                <w:sz w:val="20"/>
              </w:rPr>
            </w:pPr>
            <w:r>
              <w:rPr>
                <w:b/>
                <w:noProof/>
                <w:sz w:val="20"/>
              </w:rPr>
              <w:t>3,500</w:t>
            </w:r>
          </w:p>
        </w:tc>
      </w:tr>
      <w:tr w:rsidR="00D3052E">
        <w:trPr>
          <w:cantSplit/>
          <w:trHeight w:val="224"/>
        </w:trPr>
        <w:tc>
          <w:tcPr>
            <w:tcW w:w="2752" w:type="dxa"/>
            <w:vMerge w:val="restart"/>
            <w:vAlign w:val="center"/>
          </w:tcPr>
          <w:p w:rsidR="00D3052E" w:rsidRDefault="00635D2F">
            <w:pPr>
              <w:spacing w:before="60" w:after="60"/>
              <w:jc w:val="center"/>
              <w:rPr>
                <w:noProof/>
              </w:rPr>
            </w:pPr>
            <w:r>
              <w:rPr>
                <w:b/>
                <w:noProof/>
                <w:sz w:val="22"/>
              </w:rPr>
              <w:t>OGÓŁEM środki</w:t>
            </w:r>
            <w:r>
              <w:rPr>
                <w:noProof/>
              </w:rPr>
              <w:t xml:space="preserve"> </w:t>
            </w:r>
            <w:r>
              <w:rPr>
                <w:noProof/>
              </w:rPr>
              <w:br/>
            </w:r>
            <w:r>
              <w:rPr>
                <w:b/>
                <w:noProof/>
                <w:sz w:val="22"/>
              </w:rPr>
              <w:t xml:space="preserve">dla EEA </w:t>
            </w:r>
            <w:r>
              <w:rPr>
                <w:noProof/>
              </w:rPr>
              <w:t>&lt;09.10.02&gt;</w:t>
            </w:r>
          </w:p>
        </w:tc>
        <w:tc>
          <w:tcPr>
            <w:tcW w:w="2040" w:type="dxa"/>
            <w:vAlign w:val="center"/>
          </w:tcPr>
          <w:p w:rsidR="00D3052E" w:rsidRDefault="00635D2F">
            <w:pPr>
              <w:spacing w:before="60" w:after="60"/>
              <w:rPr>
                <w:noProof/>
                <w:sz w:val="18"/>
              </w:rPr>
            </w:pPr>
            <w:r>
              <w:rPr>
                <w:noProof/>
                <w:sz w:val="18"/>
              </w:rPr>
              <w:t>Środki na zobowiązania</w:t>
            </w:r>
          </w:p>
        </w:tc>
        <w:tc>
          <w:tcPr>
            <w:tcW w:w="840" w:type="dxa"/>
            <w:vAlign w:val="center"/>
          </w:tcPr>
          <w:p w:rsidR="00D3052E" w:rsidRDefault="00635D2F">
            <w:pPr>
              <w:spacing w:before="60" w:after="60"/>
              <w:jc w:val="center"/>
              <w:rPr>
                <w:noProof/>
                <w:sz w:val="14"/>
              </w:rPr>
            </w:pPr>
            <w:r>
              <w:rPr>
                <w:noProof/>
                <w:sz w:val="14"/>
              </w:rPr>
              <w:t>=1+1a +3</w:t>
            </w:r>
          </w:p>
        </w:tc>
        <w:tc>
          <w:tcPr>
            <w:tcW w:w="897" w:type="dxa"/>
            <w:vAlign w:val="center"/>
          </w:tcPr>
          <w:p w:rsidR="00D3052E" w:rsidRDefault="00635D2F">
            <w:pPr>
              <w:spacing w:before="60" w:after="60"/>
              <w:jc w:val="right"/>
              <w:rPr>
                <w:noProof/>
                <w:sz w:val="20"/>
              </w:rPr>
            </w:pPr>
            <w:r>
              <w:rPr>
                <w:noProof/>
                <w:sz w:val="20"/>
              </w:rPr>
              <w:t>3,187</w:t>
            </w:r>
          </w:p>
        </w:tc>
        <w:tc>
          <w:tcPr>
            <w:tcW w:w="924" w:type="dxa"/>
            <w:vAlign w:val="center"/>
          </w:tcPr>
          <w:p w:rsidR="00D3052E" w:rsidRDefault="00635D2F">
            <w:pPr>
              <w:spacing w:before="60" w:after="60"/>
              <w:jc w:val="right"/>
              <w:rPr>
                <w:noProof/>
                <w:sz w:val="20"/>
              </w:rPr>
            </w:pPr>
            <w:r>
              <w:rPr>
                <w:noProof/>
                <w:sz w:val="20"/>
              </w:rPr>
              <w:t>3,236</w:t>
            </w:r>
          </w:p>
        </w:tc>
        <w:tc>
          <w:tcPr>
            <w:tcW w:w="924" w:type="dxa"/>
            <w:vAlign w:val="center"/>
          </w:tcPr>
          <w:p w:rsidR="00D3052E" w:rsidRDefault="00635D2F">
            <w:pPr>
              <w:spacing w:before="60" w:after="60"/>
              <w:jc w:val="right"/>
              <w:rPr>
                <w:noProof/>
                <w:sz w:val="20"/>
              </w:rPr>
            </w:pPr>
            <w:r>
              <w:rPr>
                <w:noProof/>
                <w:sz w:val="20"/>
              </w:rPr>
              <w:t>3,287</w:t>
            </w:r>
          </w:p>
        </w:tc>
        <w:tc>
          <w:tcPr>
            <w:tcW w:w="924" w:type="dxa"/>
            <w:vAlign w:val="center"/>
          </w:tcPr>
          <w:p w:rsidR="00D3052E" w:rsidRDefault="00635D2F">
            <w:pPr>
              <w:spacing w:before="60" w:after="60"/>
              <w:jc w:val="right"/>
              <w:rPr>
                <w:noProof/>
                <w:sz w:val="20"/>
              </w:rPr>
            </w:pPr>
            <w:r>
              <w:rPr>
                <w:noProof/>
                <w:sz w:val="20"/>
              </w:rPr>
              <w:t>3,338</w:t>
            </w:r>
          </w:p>
        </w:tc>
        <w:tc>
          <w:tcPr>
            <w:tcW w:w="924" w:type="dxa"/>
            <w:vAlign w:val="center"/>
          </w:tcPr>
          <w:p w:rsidR="00D3052E" w:rsidRDefault="00635D2F">
            <w:pPr>
              <w:spacing w:before="60" w:after="60"/>
              <w:jc w:val="right"/>
              <w:rPr>
                <w:noProof/>
                <w:sz w:val="20"/>
              </w:rPr>
            </w:pPr>
            <w:r>
              <w:rPr>
                <w:noProof/>
                <w:sz w:val="20"/>
              </w:rPr>
              <w:t>3,390</w:t>
            </w:r>
          </w:p>
        </w:tc>
        <w:tc>
          <w:tcPr>
            <w:tcW w:w="924" w:type="dxa"/>
            <w:vAlign w:val="center"/>
          </w:tcPr>
          <w:p w:rsidR="00D3052E" w:rsidRDefault="00635D2F">
            <w:pPr>
              <w:spacing w:before="60" w:after="60"/>
              <w:jc w:val="right"/>
              <w:rPr>
                <w:noProof/>
                <w:sz w:val="20"/>
              </w:rPr>
            </w:pPr>
            <w:r>
              <w:rPr>
                <w:noProof/>
                <w:sz w:val="20"/>
              </w:rPr>
              <w:t>3,443</w:t>
            </w:r>
          </w:p>
        </w:tc>
        <w:tc>
          <w:tcPr>
            <w:tcW w:w="925" w:type="dxa"/>
            <w:vAlign w:val="center"/>
          </w:tcPr>
          <w:p w:rsidR="00D3052E" w:rsidRDefault="00635D2F">
            <w:pPr>
              <w:spacing w:before="60" w:after="60"/>
              <w:jc w:val="right"/>
              <w:rPr>
                <w:noProof/>
                <w:sz w:val="20"/>
              </w:rPr>
            </w:pPr>
            <w:r>
              <w:rPr>
                <w:noProof/>
                <w:sz w:val="20"/>
              </w:rPr>
              <w:t>3,498</w:t>
            </w:r>
          </w:p>
        </w:tc>
        <w:tc>
          <w:tcPr>
            <w:tcW w:w="1246" w:type="dxa"/>
            <w:vAlign w:val="center"/>
          </w:tcPr>
          <w:p w:rsidR="00D3052E" w:rsidRDefault="00635D2F">
            <w:pPr>
              <w:spacing w:before="60" w:after="60"/>
              <w:jc w:val="right"/>
              <w:rPr>
                <w:b/>
                <w:noProof/>
                <w:sz w:val="20"/>
              </w:rPr>
            </w:pPr>
            <w:r>
              <w:rPr>
                <w:b/>
                <w:noProof/>
                <w:sz w:val="20"/>
              </w:rPr>
              <w:t>23,379</w:t>
            </w:r>
          </w:p>
        </w:tc>
      </w:tr>
      <w:tr w:rsidR="00D3052E">
        <w:trPr>
          <w:cantSplit/>
          <w:trHeight w:val="164"/>
        </w:trPr>
        <w:tc>
          <w:tcPr>
            <w:tcW w:w="2752" w:type="dxa"/>
            <w:vMerge/>
            <w:vAlign w:val="center"/>
          </w:tcPr>
          <w:p w:rsidR="00D3052E" w:rsidRDefault="00D3052E">
            <w:pPr>
              <w:spacing w:before="60" w:after="60"/>
              <w:rPr>
                <w:b/>
                <w:noProof/>
              </w:rPr>
            </w:pPr>
          </w:p>
        </w:tc>
        <w:tc>
          <w:tcPr>
            <w:tcW w:w="2040" w:type="dxa"/>
            <w:vAlign w:val="center"/>
          </w:tcPr>
          <w:p w:rsidR="00D3052E" w:rsidRDefault="00635D2F">
            <w:pPr>
              <w:spacing w:before="60" w:after="60"/>
              <w:rPr>
                <w:noProof/>
                <w:sz w:val="18"/>
              </w:rPr>
            </w:pPr>
            <w:r>
              <w:rPr>
                <w:noProof/>
                <w:sz w:val="18"/>
              </w:rPr>
              <w:t>Środki na płatności</w:t>
            </w:r>
          </w:p>
        </w:tc>
        <w:tc>
          <w:tcPr>
            <w:tcW w:w="840" w:type="dxa"/>
            <w:vAlign w:val="center"/>
          </w:tcPr>
          <w:p w:rsidR="00D3052E" w:rsidRDefault="00635D2F">
            <w:pPr>
              <w:spacing w:before="60" w:after="60"/>
              <w:jc w:val="center"/>
              <w:rPr>
                <w:noProof/>
                <w:sz w:val="14"/>
              </w:rPr>
            </w:pPr>
            <w:r>
              <w:rPr>
                <w:noProof/>
                <w:sz w:val="14"/>
              </w:rPr>
              <w:t>=2+2a</w:t>
            </w:r>
          </w:p>
          <w:p w:rsidR="00D3052E" w:rsidRDefault="00635D2F">
            <w:pPr>
              <w:spacing w:before="60" w:after="60"/>
              <w:jc w:val="center"/>
              <w:rPr>
                <w:noProof/>
                <w:sz w:val="14"/>
              </w:rPr>
            </w:pPr>
            <w:r>
              <w:rPr>
                <w:noProof/>
                <w:sz w:val="14"/>
              </w:rPr>
              <w:t>+3b</w:t>
            </w:r>
          </w:p>
        </w:tc>
        <w:tc>
          <w:tcPr>
            <w:tcW w:w="897" w:type="dxa"/>
            <w:vAlign w:val="center"/>
          </w:tcPr>
          <w:p w:rsidR="00D3052E" w:rsidRDefault="00635D2F">
            <w:pPr>
              <w:spacing w:before="60" w:after="60"/>
              <w:jc w:val="right"/>
              <w:rPr>
                <w:noProof/>
                <w:sz w:val="20"/>
              </w:rPr>
            </w:pPr>
            <w:r>
              <w:rPr>
                <w:noProof/>
                <w:sz w:val="20"/>
              </w:rPr>
              <w:t>3,187</w:t>
            </w:r>
          </w:p>
        </w:tc>
        <w:tc>
          <w:tcPr>
            <w:tcW w:w="924" w:type="dxa"/>
            <w:vAlign w:val="center"/>
          </w:tcPr>
          <w:p w:rsidR="00D3052E" w:rsidRDefault="00635D2F">
            <w:pPr>
              <w:spacing w:before="60" w:after="60"/>
              <w:jc w:val="right"/>
              <w:rPr>
                <w:noProof/>
                <w:sz w:val="20"/>
              </w:rPr>
            </w:pPr>
            <w:r>
              <w:rPr>
                <w:noProof/>
                <w:sz w:val="20"/>
              </w:rPr>
              <w:t>3,236</w:t>
            </w:r>
          </w:p>
        </w:tc>
        <w:tc>
          <w:tcPr>
            <w:tcW w:w="924" w:type="dxa"/>
            <w:vAlign w:val="center"/>
          </w:tcPr>
          <w:p w:rsidR="00D3052E" w:rsidRDefault="00635D2F">
            <w:pPr>
              <w:spacing w:before="60" w:after="60"/>
              <w:jc w:val="right"/>
              <w:rPr>
                <w:noProof/>
                <w:sz w:val="20"/>
              </w:rPr>
            </w:pPr>
            <w:r>
              <w:rPr>
                <w:noProof/>
                <w:sz w:val="20"/>
              </w:rPr>
              <w:t>3,287</w:t>
            </w:r>
          </w:p>
        </w:tc>
        <w:tc>
          <w:tcPr>
            <w:tcW w:w="924" w:type="dxa"/>
            <w:vAlign w:val="center"/>
          </w:tcPr>
          <w:p w:rsidR="00D3052E" w:rsidRDefault="00635D2F">
            <w:pPr>
              <w:spacing w:before="60" w:after="60"/>
              <w:jc w:val="right"/>
              <w:rPr>
                <w:noProof/>
                <w:sz w:val="20"/>
              </w:rPr>
            </w:pPr>
            <w:r>
              <w:rPr>
                <w:noProof/>
                <w:sz w:val="20"/>
              </w:rPr>
              <w:t>3,338</w:t>
            </w:r>
          </w:p>
        </w:tc>
        <w:tc>
          <w:tcPr>
            <w:tcW w:w="924" w:type="dxa"/>
            <w:vAlign w:val="center"/>
          </w:tcPr>
          <w:p w:rsidR="00D3052E" w:rsidRDefault="00635D2F">
            <w:pPr>
              <w:spacing w:before="60" w:after="60"/>
              <w:jc w:val="right"/>
              <w:rPr>
                <w:noProof/>
                <w:sz w:val="20"/>
              </w:rPr>
            </w:pPr>
            <w:r>
              <w:rPr>
                <w:noProof/>
                <w:sz w:val="20"/>
              </w:rPr>
              <w:t>3,390</w:t>
            </w:r>
          </w:p>
        </w:tc>
        <w:tc>
          <w:tcPr>
            <w:tcW w:w="924" w:type="dxa"/>
            <w:vAlign w:val="center"/>
          </w:tcPr>
          <w:p w:rsidR="00D3052E" w:rsidRDefault="00635D2F">
            <w:pPr>
              <w:spacing w:before="60" w:after="60"/>
              <w:jc w:val="right"/>
              <w:rPr>
                <w:noProof/>
                <w:sz w:val="20"/>
              </w:rPr>
            </w:pPr>
            <w:r>
              <w:rPr>
                <w:noProof/>
                <w:sz w:val="20"/>
              </w:rPr>
              <w:t>3,443</w:t>
            </w:r>
          </w:p>
        </w:tc>
        <w:tc>
          <w:tcPr>
            <w:tcW w:w="925" w:type="dxa"/>
            <w:vAlign w:val="center"/>
          </w:tcPr>
          <w:p w:rsidR="00D3052E" w:rsidRDefault="00635D2F">
            <w:pPr>
              <w:spacing w:before="60" w:after="60"/>
              <w:jc w:val="right"/>
              <w:rPr>
                <w:noProof/>
                <w:sz w:val="20"/>
              </w:rPr>
            </w:pPr>
            <w:r>
              <w:rPr>
                <w:noProof/>
                <w:sz w:val="20"/>
              </w:rPr>
              <w:t>3,498</w:t>
            </w:r>
          </w:p>
        </w:tc>
        <w:tc>
          <w:tcPr>
            <w:tcW w:w="1246" w:type="dxa"/>
            <w:vAlign w:val="center"/>
          </w:tcPr>
          <w:p w:rsidR="00D3052E" w:rsidRDefault="00635D2F">
            <w:pPr>
              <w:spacing w:before="60" w:after="60"/>
              <w:jc w:val="right"/>
              <w:rPr>
                <w:b/>
                <w:noProof/>
                <w:sz w:val="20"/>
              </w:rPr>
            </w:pPr>
            <w:r>
              <w:rPr>
                <w:b/>
                <w:noProof/>
                <w:sz w:val="20"/>
              </w:rPr>
              <w:t>23,379</w:t>
            </w:r>
          </w:p>
        </w:tc>
      </w:tr>
      <w:tr w:rsidR="00D3052E">
        <w:trPr>
          <w:cantSplit/>
        </w:trPr>
        <w:tc>
          <w:tcPr>
            <w:tcW w:w="2752" w:type="dxa"/>
            <w:vAlign w:val="center"/>
          </w:tcPr>
          <w:p w:rsidR="00D3052E" w:rsidRDefault="00635D2F">
            <w:pPr>
              <w:spacing w:before="60" w:after="60"/>
              <w:jc w:val="center"/>
              <w:rPr>
                <w:noProof/>
              </w:rPr>
            </w:pPr>
            <w:r>
              <w:rPr>
                <w:noProof/>
              </w:rPr>
              <w:br w:type="page"/>
            </w:r>
            <w:r>
              <w:rPr>
                <w:noProof/>
                <w:sz w:val="22"/>
              </w:rPr>
              <w:t xml:space="preserve">ECHA: </w:t>
            </w:r>
            <w:r>
              <w:rPr>
                <w:noProof/>
              </w:rPr>
              <w:t>&lt;09.10.2001&gt;</w:t>
            </w:r>
          </w:p>
        </w:tc>
        <w:tc>
          <w:tcPr>
            <w:tcW w:w="2040" w:type="dxa"/>
            <w:vAlign w:val="center"/>
          </w:tcPr>
          <w:p w:rsidR="00D3052E" w:rsidRDefault="00D3052E">
            <w:pPr>
              <w:spacing w:before="60" w:after="60"/>
              <w:rPr>
                <w:noProof/>
                <w:sz w:val="20"/>
              </w:rPr>
            </w:pPr>
          </w:p>
        </w:tc>
        <w:tc>
          <w:tcPr>
            <w:tcW w:w="840" w:type="dxa"/>
            <w:vAlign w:val="center"/>
          </w:tcPr>
          <w:p w:rsidR="00D3052E" w:rsidRDefault="00D3052E">
            <w:pPr>
              <w:spacing w:before="60" w:after="60"/>
              <w:jc w:val="center"/>
              <w:rPr>
                <w:noProof/>
                <w:sz w:val="20"/>
              </w:rPr>
            </w:pPr>
          </w:p>
        </w:tc>
        <w:tc>
          <w:tcPr>
            <w:tcW w:w="897" w:type="dxa"/>
            <w:vAlign w:val="center"/>
          </w:tcPr>
          <w:p w:rsidR="00D3052E" w:rsidRDefault="00635D2F">
            <w:pPr>
              <w:spacing w:before="60" w:after="60"/>
              <w:jc w:val="center"/>
              <w:rPr>
                <w:noProof/>
                <w:sz w:val="20"/>
              </w:rPr>
            </w:pPr>
            <w:r>
              <w:rPr>
                <w:noProof/>
                <w:sz w:val="20"/>
              </w:rPr>
              <w:t>2021</w:t>
            </w:r>
          </w:p>
        </w:tc>
        <w:tc>
          <w:tcPr>
            <w:tcW w:w="924" w:type="dxa"/>
            <w:vAlign w:val="center"/>
          </w:tcPr>
          <w:p w:rsidR="00D3052E" w:rsidRDefault="00635D2F">
            <w:pPr>
              <w:spacing w:before="60" w:after="60"/>
              <w:jc w:val="center"/>
              <w:rPr>
                <w:noProof/>
                <w:sz w:val="20"/>
              </w:rPr>
            </w:pPr>
            <w:r>
              <w:rPr>
                <w:noProof/>
                <w:sz w:val="20"/>
              </w:rPr>
              <w:t>2022</w:t>
            </w:r>
          </w:p>
        </w:tc>
        <w:tc>
          <w:tcPr>
            <w:tcW w:w="924" w:type="dxa"/>
            <w:vAlign w:val="center"/>
          </w:tcPr>
          <w:p w:rsidR="00D3052E" w:rsidRDefault="00635D2F">
            <w:pPr>
              <w:spacing w:before="60" w:after="60"/>
              <w:jc w:val="center"/>
              <w:rPr>
                <w:noProof/>
                <w:sz w:val="20"/>
              </w:rPr>
            </w:pPr>
            <w:r>
              <w:rPr>
                <w:noProof/>
                <w:sz w:val="20"/>
              </w:rPr>
              <w:t>2023</w:t>
            </w:r>
          </w:p>
        </w:tc>
        <w:tc>
          <w:tcPr>
            <w:tcW w:w="924" w:type="dxa"/>
            <w:vAlign w:val="center"/>
          </w:tcPr>
          <w:p w:rsidR="00D3052E" w:rsidRDefault="00635D2F">
            <w:pPr>
              <w:spacing w:before="60" w:after="60"/>
              <w:jc w:val="center"/>
              <w:rPr>
                <w:noProof/>
                <w:sz w:val="20"/>
              </w:rPr>
            </w:pPr>
            <w:r>
              <w:rPr>
                <w:noProof/>
                <w:sz w:val="20"/>
              </w:rPr>
              <w:t>2024</w:t>
            </w:r>
          </w:p>
        </w:tc>
        <w:tc>
          <w:tcPr>
            <w:tcW w:w="924" w:type="dxa"/>
            <w:vAlign w:val="center"/>
          </w:tcPr>
          <w:p w:rsidR="00D3052E" w:rsidRDefault="00635D2F">
            <w:pPr>
              <w:spacing w:before="60" w:after="60"/>
              <w:jc w:val="center"/>
              <w:rPr>
                <w:noProof/>
                <w:sz w:val="20"/>
              </w:rPr>
            </w:pPr>
            <w:r>
              <w:rPr>
                <w:noProof/>
                <w:sz w:val="20"/>
              </w:rPr>
              <w:t>2025</w:t>
            </w:r>
          </w:p>
        </w:tc>
        <w:tc>
          <w:tcPr>
            <w:tcW w:w="924" w:type="dxa"/>
            <w:vAlign w:val="center"/>
          </w:tcPr>
          <w:p w:rsidR="00D3052E" w:rsidRDefault="00635D2F">
            <w:pPr>
              <w:spacing w:before="60" w:after="60"/>
              <w:jc w:val="center"/>
              <w:rPr>
                <w:noProof/>
                <w:sz w:val="20"/>
              </w:rPr>
            </w:pPr>
            <w:r>
              <w:rPr>
                <w:noProof/>
                <w:sz w:val="20"/>
              </w:rPr>
              <w:t>2026</w:t>
            </w:r>
          </w:p>
        </w:tc>
        <w:tc>
          <w:tcPr>
            <w:tcW w:w="925" w:type="dxa"/>
            <w:vAlign w:val="center"/>
          </w:tcPr>
          <w:p w:rsidR="00D3052E" w:rsidRDefault="00635D2F">
            <w:pPr>
              <w:spacing w:before="60" w:after="60"/>
              <w:jc w:val="center"/>
              <w:rPr>
                <w:noProof/>
                <w:sz w:val="20"/>
              </w:rPr>
            </w:pPr>
            <w:r>
              <w:rPr>
                <w:noProof/>
                <w:sz w:val="20"/>
              </w:rPr>
              <w:t>2027</w:t>
            </w:r>
          </w:p>
        </w:tc>
        <w:tc>
          <w:tcPr>
            <w:tcW w:w="1246" w:type="dxa"/>
            <w:vAlign w:val="center"/>
          </w:tcPr>
          <w:p w:rsidR="00D3052E" w:rsidRDefault="00635D2F">
            <w:pPr>
              <w:spacing w:before="60" w:after="60"/>
              <w:jc w:val="center"/>
              <w:rPr>
                <w:b/>
                <w:noProof/>
                <w:sz w:val="20"/>
              </w:rPr>
            </w:pPr>
            <w:r>
              <w:rPr>
                <w:b/>
                <w:noProof/>
                <w:sz w:val="20"/>
              </w:rPr>
              <w:t>OGÓŁEM</w:t>
            </w:r>
          </w:p>
        </w:tc>
      </w:tr>
      <w:tr w:rsidR="00D3052E">
        <w:trPr>
          <w:cantSplit/>
        </w:trPr>
        <w:tc>
          <w:tcPr>
            <w:tcW w:w="2752" w:type="dxa"/>
            <w:vMerge w:val="restart"/>
            <w:vAlign w:val="center"/>
          </w:tcPr>
          <w:p w:rsidR="00D3052E" w:rsidRDefault="00635D2F">
            <w:pPr>
              <w:spacing w:before="60" w:after="60"/>
              <w:rPr>
                <w:noProof/>
              </w:rPr>
            </w:pPr>
            <w:r>
              <w:rPr>
                <w:noProof/>
                <w:sz w:val="20"/>
              </w:rPr>
              <w:t>Tytuł 1:</w:t>
            </w:r>
          </w:p>
        </w:tc>
        <w:tc>
          <w:tcPr>
            <w:tcW w:w="2040" w:type="dxa"/>
            <w:vAlign w:val="center"/>
          </w:tcPr>
          <w:p w:rsidR="00D3052E" w:rsidRDefault="00635D2F">
            <w:pPr>
              <w:spacing w:before="60" w:after="60"/>
              <w:rPr>
                <w:noProof/>
              </w:rPr>
            </w:pPr>
            <w:r>
              <w:rPr>
                <w:noProof/>
                <w:sz w:val="18"/>
              </w:rPr>
              <w:t>Środki na zobowiązania</w:t>
            </w:r>
          </w:p>
        </w:tc>
        <w:tc>
          <w:tcPr>
            <w:tcW w:w="840" w:type="dxa"/>
            <w:vAlign w:val="center"/>
          </w:tcPr>
          <w:p w:rsidR="00D3052E" w:rsidRDefault="00635D2F">
            <w:pPr>
              <w:spacing w:before="60" w:after="60"/>
              <w:jc w:val="center"/>
              <w:rPr>
                <w:noProof/>
                <w:sz w:val="14"/>
              </w:rPr>
            </w:pPr>
            <w:r>
              <w:rPr>
                <w:noProof/>
                <w:sz w:val="14"/>
              </w:rPr>
              <w:t>(1)</w:t>
            </w:r>
          </w:p>
        </w:tc>
        <w:tc>
          <w:tcPr>
            <w:tcW w:w="897" w:type="dxa"/>
            <w:vAlign w:val="center"/>
          </w:tcPr>
          <w:p w:rsidR="00D3052E" w:rsidRDefault="00635D2F">
            <w:pPr>
              <w:spacing w:before="60" w:after="60"/>
              <w:jc w:val="right"/>
              <w:rPr>
                <w:noProof/>
                <w:sz w:val="20"/>
              </w:rPr>
            </w:pPr>
            <w:r>
              <w:rPr>
                <w:noProof/>
                <w:sz w:val="20"/>
              </w:rPr>
              <w:t>0,272</w:t>
            </w:r>
          </w:p>
        </w:tc>
        <w:tc>
          <w:tcPr>
            <w:tcW w:w="924" w:type="dxa"/>
            <w:vAlign w:val="center"/>
          </w:tcPr>
          <w:p w:rsidR="00D3052E" w:rsidRDefault="00635D2F">
            <w:pPr>
              <w:spacing w:before="60" w:after="60"/>
              <w:jc w:val="right"/>
              <w:rPr>
                <w:noProof/>
                <w:sz w:val="20"/>
              </w:rPr>
            </w:pPr>
            <w:r>
              <w:rPr>
                <w:noProof/>
                <w:sz w:val="20"/>
              </w:rPr>
              <w:t>0,277</w:t>
            </w:r>
          </w:p>
        </w:tc>
        <w:tc>
          <w:tcPr>
            <w:tcW w:w="924" w:type="dxa"/>
            <w:vAlign w:val="center"/>
          </w:tcPr>
          <w:p w:rsidR="00D3052E" w:rsidRDefault="00635D2F">
            <w:pPr>
              <w:spacing w:before="60" w:after="60"/>
              <w:jc w:val="right"/>
              <w:rPr>
                <w:noProof/>
                <w:sz w:val="20"/>
              </w:rPr>
            </w:pPr>
            <w:r>
              <w:rPr>
                <w:noProof/>
                <w:sz w:val="20"/>
              </w:rPr>
              <w:t>0,283</w:t>
            </w:r>
          </w:p>
        </w:tc>
        <w:tc>
          <w:tcPr>
            <w:tcW w:w="924" w:type="dxa"/>
            <w:vAlign w:val="center"/>
          </w:tcPr>
          <w:p w:rsidR="00D3052E" w:rsidRDefault="00635D2F">
            <w:pPr>
              <w:spacing w:before="60" w:after="60"/>
              <w:jc w:val="right"/>
              <w:rPr>
                <w:noProof/>
                <w:sz w:val="20"/>
              </w:rPr>
            </w:pPr>
            <w:r>
              <w:rPr>
                <w:noProof/>
                <w:sz w:val="20"/>
              </w:rPr>
              <w:t>0,288</w:t>
            </w:r>
          </w:p>
        </w:tc>
        <w:tc>
          <w:tcPr>
            <w:tcW w:w="924" w:type="dxa"/>
            <w:vAlign w:val="center"/>
          </w:tcPr>
          <w:p w:rsidR="00D3052E" w:rsidRDefault="00635D2F">
            <w:pPr>
              <w:spacing w:before="60" w:after="60"/>
              <w:jc w:val="right"/>
              <w:rPr>
                <w:noProof/>
                <w:sz w:val="20"/>
              </w:rPr>
            </w:pPr>
            <w:r>
              <w:rPr>
                <w:noProof/>
                <w:sz w:val="20"/>
              </w:rPr>
              <w:t>0,294</w:t>
            </w:r>
          </w:p>
        </w:tc>
        <w:tc>
          <w:tcPr>
            <w:tcW w:w="924" w:type="dxa"/>
            <w:vAlign w:val="center"/>
          </w:tcPr>
          <w:p w:rsidR="00D3052E" w:rsidRDefault="00635D2F">
            <w:pPr>
              <w:spacing w:before="60" w:after="60"/>
              <w:jc w:val="right"/>
              <w:rPr>
                <w:noProof/>
                <w:sz w:val="20"/>
              </w:rPr>
            </w:pPr>
            <w:r>
              <w:rPr>
                <w:noProof/>
                <w:sz w:val="20"/>
              </w:rPr>
              <w:t>0,300</w:t>
            </w:r>
          </w:p>
        </w:tc>
        <w:tc>
          <w:tcPr>
            <w:tcW w:w="925" w:type="dxa"/>
            <w:vAlign w:val="center"/>
          </w:tcPr>
          <w:p w:rsidR="00D3052E" w:rsidRDefault="00635D2F">
            <w:pPr>
              <w:spacing w:before="60" w:after="60"/>
              <w:jc w:val="right"/>
              <w:rPr>
                <w:noProof/>
                <w:sz w:val="20"/>
              </w:rPr>
            </w:pPr>
            <w:r>
              <w:rPr>
                <w:noProof/>
                <w:sz w:val="20"/>
              </w:rPr>
              <w:t>0,306</w:t>
            </w:r>
          </w:p>
        </w:tc>
        <w:tc>
          <w:tcPr>
            <w:tcW w:w="1246" w:type="dxa"/>
            <w:vAlign w:val="center"/>
          </w:tcPr>
          <w:p w:rsidR="00D3052E" w:rsidRDefault="00635D2F">
            <w:pPr>
              <w:spacing w:before="60" w:after="60"/>
              <w:jc w:val="right"/>
              <w:rPr>
                <w:b/>
                <w:noProof/>
                <w:sz w:val="20"/>
              </w:rPr>
            </w:pPr>
            <w:r>
              <w:rPr>
                <w:b/>
                <w:noProof/>
                <w:sz w:val="20"/>
              </w:rPr>
              <w:t>2,019</w:t>
            </w:r>
          </w:p>
        </w:tc>
      </w:tr>
      <w:tr w:rsidR="00D3052E">
        <w:trPr>
          <w:cantSplit/>
        </w:trPr>
        <w:tc>
          <w:tcPr>
            <w:tcW w:w="2752" w:type="dxa"/>
            <w:vMerge/>
            <w:vAlign w:val="center"/>
          </w:tcPr>
          <w:p w:rsidR="00D3052E" w:rsidRDefault="00D3052E">
            <w:pPr>
              <w:spacing w:before="60" w:after="60"/>
              <w:rPr>
                <w:noProof/>
              </w:rPr>
            </w:pPr>
          </w:p>
        </w:tc>
        <w:tc>
          <w:tcPr>
            <w:tcW w:w="2040" w:type="dxa"/>
            <w:vAlign w:val="center"/>
          </w:tcPr>
          <w:p w:rsidR="00D3052E" w:rsidRDefault="00635D2F">
            <w:pPr>
              <w:spacing w:before="60" w:after="60"/>
              <w:rPr>
                <w:noProof/>
                <w:sz w:val="18"/>
              </w:rPr>
            </w:pPr>
            <w:r>
              <w:rPr>
                <w:noProof/>
                <w:sz w:val="18"/>
              </w:rPr>
              <w:t>Środki na płatności</w:t>
            </w:r>
          </w:p>
        </w:tc>
        <w:tc>
          <w:tcPr>
            <w:tcW w:w="840" w:type="dxa"/>
            <w:vAlign w:val="center"/>
          </w:tcPr>
          <w:p w:rsidR="00D3052E" w:rsidRDefault="00635D2F">
            <w:pPr>
              <w:spacing w:before="60" w:after="60"/>
              <w:jc w:val="center"/>
              <w:rPr>
                <w:noProof/>
                <w:sz w:val="14"/>
              </w:rPr>
            </w:pPr>
            <w:r>
              <w:rPr>
                <w:noProof/>
                <w:sz w:val="14"/>
              </w:rPr>
              <w:t>(2)</w:t>
            </w:r>
          </w:p>
        </w:tc>
        <w:tc>
          <w:tcPr>
            <w:tcW w:w="897" w:type="dxa"/>
            <w:vAlign w:val="center"/>
          </w:tcPr>
          <w:p w:rsidR="00D3052E" w:rsidRDefault="00635D2F">
            <w:pPr>
              <w:spacing w:before="60" w:after="60"/>
              <w:jc w:val="right"/>
              <w:rPr>
                <w:noProof/>
                <w:sz w:val="20"/>
              </w:rPr>
            </w:pPr>
            <w:r>
              <w:rPr>
                <w:noProof/>
                <w:sz w:val="20"/>
              </w:rPr>
              <w:t>0,272</w:t>
            </w:r>
          </w:p>
        </w:tc>
        <w:tc>
          <w:tcPr>
            <w:tcW w:w="924" w:type="dxa"/>
            <w:vAlign w:val="center"/>
          </w:tcPr>
          <w:p w:rsidR="00D3052E" w:rsidRDefault="00635D2F">
            <w:pPr>
              <w:spacing w:before="60" w:after="60"/>
              <w:jc w:val="right"/>
              <w:rPr>
                <w:noProof/>
                <w:sz w:val="20"/>
              </w:rPr>
            </w:pPr>
            <w:r>
              <w:rPr>
                <w:noProof/>
                <w:sz w:val="20"/>
              </w:rPr>
              <w:t>0,277</w:t>
            </w:r>
          </w:p>
        </w:tc>
        <w:tc>
          <w:tcPr>
            <w:tcW w:w="924" w:type="dxa"/>
            <w:vAlign w:val="center"/>
          </w:tcPr>
          <w:p w:rsidR="00D3052E" w:rsidRDefault="00635D2F">
            <w:pPr>
              <w:spacing w:before="60" w:after="60"/>
              <w:jc w:val="right"/>
              <w:rPr>
                <w:noProof/>
                <w:sz w:val="20"/>
              </w:rPr>
            </w:pPr>
            <w:r>
              <w:rPr>
                <w:noProof/>
                <w:sz w:val="20"/>
              </w:rPr>
              <w:t>0,283</w:t>
            </w:r>
          </w:p>
        </w:tc>
        <w:tc>
          <w:tcPr>
            <w:tcW w:w="924" w:type="dxa"/>
            <w:vAlign w:val="center"/>
          </w:tcPr>
          <w:p w:rsidR="00D3052E" w:rsidRDefault="00635D2F">
            <w:pPr>
              <w:spacing w:before="60" w:after="60"/>
              <w:jc w:val="right"/>
              <w:rPr>
                <w:noProof/>
                <w:sz w:val="20"/>
              </w:rPr>
            </w:pPr>
            <w:r>
              <w:rPr>
                <w:noProof/>
                <w:sz w:val="20"/>
              </w:rPr>
              <w:t>0,288</w:t>
            </w:r>
          </w:p>
        </w:tc>
        <w:tc>
          <w:tcPr>
            <w:tcW w:w="924" w:type="dxa"/>
            <w:vAlign w:val="center"/>
          </w:tcPr>
          <w:p w:rsidR="00D3052E" w:rsidRDefault="00635D2F">
            <w:pPr>
              <w:spacing w:before="60" w:after="60"/>
              <w:jc w:val="right"/>
              <w:rPr>
                <w:noProof/>
                <w:sz w:val="20"/>
              </w:rPr>
            </w:pPr>
            <w:r>
              <w:rPr>
                <w:noProof/>
                <w:sz w:val="20"/>
              </w:rPr>
              <w:t>0,294</w:t>
            </w:r>
          </w:p>
        </w:tc>
        <w:tc>
          <w:tcPr>
            <w:tcW w:w="924" w:type="dxa"/>
            <w:vAlign w:val="center"/>
          </w:tcPr>
          <w:p w:rsidR="00D3052E" w:rsidRDefault="00635D2F">
            <w:pPr>
              <w:spacing w:before="60" w:after="60"/>
              <w:jc w:val="right"/>
              <w:rPr>
                <w:noProof/>
                <w:sz w:val="20"/>
              </w:rPr>
            </w:pPr>
            <w:r>
              <w:rPr>
                <w:noProof/>
                <w:sz w:val="20"/>
              </w:rPr>
              <w:t>0,300</w:t>
            </w:r>
          </w:p>
        </w:tc>
        <w:tc>
          <w:tcPr>
            <w:tcW w:w="925" w:type="dxa"/>
            <w:vAlign w:val="center"/>
          </w:tcPr>
          <w:p w:rsidR="00D3052E" w:rsidRDefault="00635D2F">
            <w:pPr>
              <w:spacing w:before="60" w:after="60"/>
              <w:jc w:val="right"/>
              <w:rPr>
                <w:noProof/>
                <w:sz w:val="20"/>
              </w:rPr>
            </w:pPr>
            <w:r>
              <w:rPr>
                <w:noProof/>
                <w:sz w:val="20"/>
              </w:rPr>
              <w:t>0,306</w:t>
            </w:r>
          </w:p>
        </w:tc>
        <w:tc>
          <w:tcPr>
            <w:tcW w:w="1246" w:type="dxa"/>
            <w:vAlign w:val="center"/>
          </w:tcPr>
          <w:p w:rsidR="00D3052E" w:rsidRDefault="00635D2F">
            <w:pPr>
              <w:spacing w:before="60" w:after="60"/>
              <w:jc w:val="right"/>
              <w:rPr>
                <w:b/>
                <w:noProof/>
                <w:sz w:val="20"/>
              </w:rPr>
            </w:pPr>
            <w:r>
              <w:rPr>
                <w:b/>
                <w:noProof/>
                <w:sz w:val="20"/>
              </w:rPr>
              <w:t>2,019</w:t>
            </w:r>
          </w:p>
        </w:tc>
      </w:tr>
      <w:tr w:rsidR="00D3052E">
        <w:trPr>
          <w:cantSplit/>
        </w:trPr>
        <w:tc>
          <w:tcPr>
            <w:tcW w:w="2752" w:type="dxa"/>
            <w:vMerge w:val="restart"/>
            <w:vAlign w:val="center"/>
          </w:tcPr>
          <w:p w:rsidR="00D3052E" w:rsidRDefault="00635D2F">
            <w:pPr>
              <w:spacing w:before="60" w:after="60"/>
              <w:rPr>
                <w:noProof/>
              </w:rPr>
            </w:pPr>
            <w:r>
              <w:rPr>
                <w:noProof/>
                <w:sz w:val="20"/>
              </w:rPr>
              <w:t>Tytuł 2:</w:t>
            </w:r>
          </w:p>
        </w:tc>
        <w:tc>
          <w:tcPr>
            <w:tcW w:w="2040" w:type="dxa"/>
            <w:vAlign w:val="center"/>
          </w:tcPr>
          <w:p w:rsidR="00D3052E" w:rsidRDefault="00635D2F">
            <w:pPr>
              <w:spacing w:before="60" w:after="60"/>
              <w:rPr>
                <w:noProof/>
                <w:sz w:val="18"/>
              </w:rPr>
            </w:pPr>
            <w:r>
              <w:rPr>
                <w:noProof/>
                <w:sz w:val="18"/>
              </w:rPr>
              <w:t>Środki na zobowiązania</w:t>
            </w:r>
          </w:p>
        </w:tc>
        <w:tc>
          <w:tcPr>
            <w:tcW w:w="840" w:type="dxa"/>
            <w:vAlign w:val="center"/>
          </w:tcPr>
          <w:p w:rsidR="00D3052E" w:rsidRDefault="00635D2F">
            <w:pPr>
              <w:spacing w:before="60" w:after="60"/>
              <w:jc w:val="center"/>
              <w:rPr>
                <w:noProof/>
                <w:sz w:val="14"/>
              </w:rPr>
            </w:pPr>
            <w:r>
              <w:rPr>
                <w:noProof/>
                <w:sz w:val="14"/>
              </w:rPr>
              <w:t>(1a)</w:t>
            </w:r>
          </w:p>
        </w:tc>
        <w:tc>
          <w:tcPr>
            <w:tcW w:w="897" w:type="dxa"/>
            <w:vAlign w:val="center"/>
          </w:tcPr>
          <w:p w:rsidR="00D3052E" w:rsidRDefault="00635D2F">
            <w:pPr>
              <w:spacing w:before="60" w:after="60"/>
              <w:jc w:val="right"/>
              <w:rPr>
                <w:noProof/>
                <w:sz w:val="20"/>
              </w:rPr>
            </w:pPr>
            <w:r>
              <w:rPr>
                <w:noProof/>
                <w:sz w:val="20"/>
              </w:rPr>
              <w:t>0,050</w:t>
            </w:r>
          </w:p>
        </w:tc>
        <w:tc>
          <w:tcPr>
            <w:tcW w:w="924" w:type="dxa"/>
            <w:vAlign w:val="center"/>
          </w:tcPr>
          <w:p w:rsidR="00D3052E" w:rsidRDefault="00635D2F">
            <w:pPr>
              <w:spacing w:before="60" w:after="60"/>
              <w:jc w:val="right"/>
              <w:rPr>
                <w:noProof/>
                <w:sz w:val="20"/>
              </w:rPr>
            </w:pPr>
            <w:r>
              <w:rPr>
                <w:noProof/>
                <w:sz w:val="20"/>
              </w:rPr>
              <w:t>0,050</w:t>
            </w:r>
          </w:p>
        </w:tc>
        <w:tc>
          <w:tcPr>
            <w:tcW w:w="924" w:type="dxa"/>
            <w:vAlign w:val="center"/>
          </w:tcPr>
          <w:p w:rsidR="00D3052E" w:rsidRDefault="00635D2F">
            <w:pPr>
              <w:spacing w:before="60" w:after="60"/>
              <w:jc w:val="right"/>
              <w:rPr>
                <w:noProof/>
                <w:sz w:val="20"/>
              </w:rPr>
            </w:pPr>
            <w:r>
              <w:rPr>
                <w:noProof/>
                <w:sz w:val="20"/>
              </w:rPr>
              <w:t>0,050</w:t>
            </w:r>
          </w:p>
        </w:tc>
        <w:tc>
          <w:tcPr>
            <w:tcW w:w="924" w:type="dxa"/>
            <w:vAlign w:val="center"/>
          </w:tcPr>
          <w:p w:rsidR="00D3052E" w:rsidRDefault="00635D2F">
            <w:pPr>
              <w:spacing w:before="60" w:after="60"/>
              <w:jc w:val="right"/>
              <w:rPr>
                <w:noProof/>
                <w:sz w:val="20"/>
              </w:rPr>
            </w:pPr>
            <w:r>
              <w:rPr>
                <w:noProof/>
                <w:sz w:val="20"/>
              </w:rPr>
              <w:t>0,050</w:t>
            </w:r>
          </w:p>
        </w:tc>
        <w:tc>
          <w:tcPr>
            <w:tcW w:w="924" w:type="dxa"/>
            <w:vAlign w:val="center"/>
          </w:tcPr>
          <w:p w:rsidR="00D3052E" w:rsidRDefault="00635D2F">
            <w:pPr>
              <w:spacing w:before="60" w:after="60"/>
              <w:jc w:val="right"/>
              <w:rPr>
                <w:noProof/>
                <w:sz w:val="20"/>
              </w:rPr>
            </w:pPr>
            <w:r>
              <w:rPr>
                <w:noProof/>
                <w:sz w:val="20"/>
              </w:rPr>
              <w:t>0,050</w:t>
            </w:r>
          </w:p>
        </w:tc>
        <w:tc>
          <w:tcPr>
            <w:tcW w:w="924" w:type="dxa"/>
            <w:vAlign w:val="center"/>
          </w:tcPr>
          <w:p w:rsidR="00D3052E" w:rsidRDefault="00635D2F">
            <w:pPr>
              <w:spacing w:before="60" w:after="60"/>
              <w:jc w:val="right"/>
              <w:rPr>
                <w:noProof/>
                <w:sz w:val="20"/>
              </w:rPr>
            </w:pPr>
            <w:r>
              <w:rPr>
                <w:noProof/>
                <w:sz w:val="20"/>
              </w:rPr>
              <w:t>0,050</w:t>
            </w:r>
          </w:p>
        </w:tc>
        <w:tc>
          <w:tcPr>
            <w:tcW w:w="925" w:type="dxa"/>
            <w:vAlign w:val="center"/>
          </w:tcPr>
          <w:p w:rsidR="00D3052E" w:rsidRDefault="00635D2F">
            <w:pPr>
              <w:spacing w:before="60" w:after="60"/>
              <w:jc w:val="right"/>
              <w:rPr>
                <w:noProof/>
                <w:sz w:val="20"/>
              </w:rPr>
            </w:pPr>
            <w:r>
              <w:rPr>
                <w:noProof/>
                <w:sz w:val="20"/>
              </w:rPr>
              <w:t>0,050</w:t>
            </w:r>
          </w:p>
        </w:tc>
        <w:tc>
          <w:tcPr>
            <w:tcW w:w="1246" w:type="dxa"/>
            <w:vAlign w:val="center"/>
          </w:tcPr>
          <w:p w:rsidR="00D3052E" w:rsidRDefault="00635D2F">
            <w:pPr>
              <w:spacing w:before="60" w:after="60"/>
              <w:jc w:val="right"/>
              <w:rPr>
                <w:b/>
                <w:noProof/>
                <w:sz w:val="20"/>
              </w:rPr>
            </w:pPr>
            <w:r>
              <w:rPr>
                <w:b/>
                <w:noProof/>
                <w:sz w:val="20"/>
              </w:rPr>
              <w:t>0,350</w:t>
            </w:r>
          </w:p>
        </w:tc>
      </w:tr>
      <w:tr w:rsidR="00D3052E">
        <w:trPr>
          <w:cantSplit/>
        </w:trPr>
        <w:tc>
          <w:tcPr>
            <w:tcW w:w="2752" w:type="dxa"/>
            <w:vMerge/>
            <w:vAlign w:val="center"/>
          </w:tcPr>
          <w:p w:rsidR="00D3052E" w:rsidRDefault="00D3052E">
            <w:pPr>
              <w:spacing w:before="60" w:after="60"/>
              <w:rPr>
                <w:noProof/>
              </w:rPr>
            </w:pPr>
          </w:p>
        </w:tc>
        <w:tc>
          <w:tcPr>
            <w:tcW w:w="2040" w:type="dxa"/>
            <w:vAlign w:val="center"/>
          </w:tcPr>
          <w:p w:rsidR="00D3052E" w:rsidRDefault="00635D2F">
            <w:pPr>
              <w:spacing w:before="60" w:after="60"/>
              <w:rPr>
                <w:noProof/>
                <w:sz w:val="18"/>
              </w:rPr>
            </w:pPr>
            <w:r>
              <w:rPr>
                <w:noProof/>
                <w:sz w:val="18"/>
              </w:rPr>
              <w:t>Środki na płatności</w:t>
            </w:r>
          </w:p>
        </w:tc>
        <w:tc>
          <w:tcPr>
            <w:tcW w:w="840" w:type="dxa"/>
            <w:vAlign w:val="center"/>
          </w:tcPr>
          <w:p w:rsidR="00D3052E" w:rsidRDefault="00635D2F">
            <w:pPr>
              <w:spacing w:before="60" w:after="60"/>
              <w:jc w:val="center"/>
              <w:rPr>
                <w:noProof/>
                <w:sz w:val="14"/>
              </w:rPr>
            </w:pPr>
            <w:r>
              <w:rPr>
                <w:noProof/>
                <w:sz w:val="14"/>
              </w:rPr>
              <w:t>(2a)</w:t>
            </w:r>
          </w:p>
        </w:tc>
        <w:tc>
          <w:tcPr>
            <w:tcW w:w="897" w:type="dxa"/>
            <w:vAlign w:val="center"/>
          </w:tcPr>
          <w:p w:rsidR="00D3052E" w:rsidRDefault="00635D2F">
            <w:pPr>
              <w:spacing w:before="60" w:after="60"/>
              <w:jc w:val="right"/>
              <w:rPr>
                <w:noProof/>
                <w:sz w:val="20"/>
              </w:rPr>
            </w:pPr>
            <w:r>
              <w:rPr>
                <w:noProof/>
                <w:sz w:val="20"/>
              </w:rPr>
              <w:t>0,050</w:t>
            </w:r>
          </w:p>
        </w:tc>
        <w:tc>
          <w:tcPr>
            <w:tcW w:w="924" w:type="dxa"/>
            <w:vAlign w:val="center"/>
          </w:tcPr>
          <w:p w:rsidR="00D3052E" w:rsidRDefault="00635D2F">
            <w:pPr>
              <w:spacing w:before="60" w:after="60"/>
              <w:jc w:val="right"/>
              <w:rPr>
                <w:noProof/>
                <w:sz w:val="20"/>
              </w:rPr>
            </w:pPr>
            <w:r>
              <w:rPr>
                <w:noProof/>
                <w:sz w:val="20"/>
              </w:rPr>
              <w:t>0,050</w:t>
            </w:r>
          </w:p>
        </w:tc>
        <w:tc>
          <w:tcPr>
            <w:tcW w:w="924" w:type="dxa"/>
            <w:vAlign w:val="center"/>
          </w:tcPr>
          <w:p w:rsidR="00D3052E" w:rsidRDefault="00635D2F">
            <w:pPr>
              <w:spacing w:before="60" w:after="60"/>
              <w:jc w:val="right"/>
              <w:rPr>
                <w:noProof/>
                <w:sz w:val="20"/>
              </w:rPr>
            </w:pPr>
            <w:r>
              <w:rPr>
                <w:noProof/>
                <w:sz w:val="20"/>
              </w:rPr>
              <w:t>0,050</w:t>
            </w:r>
          </w:p>
        </w:tc>
        <w:tc>
          <w:tcPr>
            <w:tcW w:w="924" w:type="dxa"/>
            <w:vAlign w:val="center"/>
          </w:tcPr>
          <w:p w:rsidR="00D3052E" w:rsidRDefault="00635D2F">
            <w:pPr>
              <w:spacing w:before="60" w:after="60"/>
              <w:jc w:val="right"/>
              <w:rPr>
                <w:noProof/>
                <w:sz w:val="20"/>
              </w:rPr>
            </w:pPr>
            <w:r>
              <w:rPr>
                <w:noProof/>
                <w:sz w:val="20"/>
              </w:rPr>
              <w:t>0,050</w:t>
            </w:r>
          </w:p>
        </w:tc>
        <w:tc>
          <w:tcPr>
            <w:tcW w:w="924" w:type="dxa"/>
            <w:vAlign w:val="center"/>
          </w:tcPr>
          <w:p w:rsidR="00D3052E" w:rsidRDefault="00635D2F">
            <w:pPr>
              <w:spacing w:before="60" w:after="60"/>
              <w:jc w:val="right"/>
              <w:rPr>
                <w:noProof/>
                <w:sz w:val="20"/>
              </w:rPr>
            </w:pPr>
            <w:r>
              <w:rPr>
                <w:noProof/>
                <w:sz w:val="20"/>
              </w:rPr>
              <w:t>0,050</w:t>
            </w:r>
          </w:p>
        </w:tc>
        <w:tc>
          <w:tcPr>
            <w:tcW w:w="924" w:type="dxa"/>
            <w:vAlign w:val="center"/>
          </w:tcPr>
          <w:p w:rsidR="00D3052E" w:rsidRDefault="00635D2F">
            <w:pPr>
              <w:spacing w:before="60" w:after="60"/>
              <w:jc w:val="right"/>
              <w:rPr>
                <w:noProof/>
                <w:sz w:val="20"/>
              </w:rPr>
            </w:pPr>
            <w:r>
              <w:rPr>
                <w:noProof/>
                <w:sz w:val="20"/>
              </w:rPr>
              <w:t>0,050</w:t>
            </w:r>
          </w:p>
        </w:tc>
        <w:tc>
          <w:tcPr>
            <w:tcW w:w="925" w:type="dxa"/>
            <w:vAlign w:val="center"/>
          </w:tcPr>
          <w:p w:rsidR="00D3052E" w:rsidRDefault="00635D2F">
            <w:pPr>
              <w:spacing w:before="60" w:after="60"/>
              <w:jc w:val="right"/>
              <w:rPr>
                <w:noProof/>
                <w:sz w:val="20"/>
              </w:rPr>
            </w:pPr>
            <w:r>
              <w:rPr>
                <w:noProof/>
                <w:sz w:val="20"/>
              </w:rPr>
              <w:t>0,050</w:t>
            </w:r>
          </w:p>
        </w:tc>
        <w:tc>
          <w:tcPr>
            <w:tcW w:w="1246" w:type="dxa"/>
            <w:vAlign w:val="center"/>
          </w:tcPr>
          <w:p w:rsidR="00D3052E" w:rsidRDefault="00635D2F">
            <w:pPr>
              <w:spacing w:before="60" w:after="60"/>
              <w:jc w:val="right"/>
              <w:rPr>
                <w:b/>
                <w:noProof/>
                <w:sz w:val="20"/>
              </w:rPr>
            </w:pPr>
            <w:r>
              <w:rPr>
                <w:b/>
                <w:noProof/>
                <w:sz w:val="20"/>
              </w:rPr>
              <w:t>0,350</w:t>
            </w:r>
          </w:p>
        </w:tc>
      </w:tr>
      <w:tr w:rsidR="00D3052E">
        <w:trPr>
          <w:cantSplit/>
        </w:trPr>
        <w:tc>
          <w:tcPr>
            <w:tcW w:w="2752" w:type="dxa"/>
            <w:vMerge w:val="restart"/>
            <w:vAlign w:val="center"/>
          </w:tcPr>
          <w:p w:rsidR="00D3052E" w:rsidRDefault="00635D2F">
            <w:pPr>
              <w:spacing w:before="60" w:after="60"/>
              <w:rPr>
                <w:noProof/>
              </w:rPr>
            </w:pPr>
            <w:r>
              <w:rPr>
                <w:noProof/>
                <w:sz w:val="20"/>
              </w:rPr>
              <w:t>Tytuł 3:</w:t>
            </w:r>
          </w:p>
        </w:tc>
        <w:tc>
          <w:tcPr>
            <w:tcW w:w="2040" w:type="dxa"/>
            <w:vAlign w:val="center"/>
          </w:tcPr>
          <w:p w:rsidR="00D3052E" w:rsidRDefault="00635D2F">
            <w:pPr>
              <w:spacing w:before="60" w:after="60"/>
              <w:rPr>
                <w:noProof/>
                <w:sz w:val="18"/>
              </w:rPr>
            </w:pPr>
            <w:r>
              <w:rPr>
                <w:noProof/>
                <w:sz w:val="18"/>
              </w:rPr>
              <w:t>Środki na zobowiązania</w:t>
            </w:r>
          </w:p>
        </w:tc>
        <w:tc>
          <w:tcPr>
            <w:tcW w:w="840" w:type="dxa"/>
            <w:vAlign w:val="center"/>
          </w:tcPr>
          <w:p w:rsidR="00D3052E" w:rsidRDefault="00635D2F">
            <w:pPr>
              <w:spacing w:before="60" w:after="60"/>
              <w:jc w:val="center"/>
              <w:rPr>
                <w:noProof/>
                <w:sz w:val="14"/>
              </w:rPr>
            </w:pPr>
            <w:r>
              <w:rPr>
                <w:noProof/>
                <w:sz w:val="14"/>
              </w:rPr>
              <w:t>(3a)</w:t>
            </w:r>
          </w:p>
        </w:tc>
        <w:tc>
          <w:tcPr>
            <w:tcW w:w="897" w:type="dxa"/>
            <w:vAlign w:val="center"/>
          </w:tcPr>
          <w:p w:rsidR="00D3052E" w:rsidRDefault="00635D2F">
            <w:pPr>
              <w:spacing w:before="60" w:after="60"/>
              <w:jc w:val="right"/>
              <w:rPr>
                <w:noProof/>
                <w:sz w:val="20"/>
              </w:rPr>
            </w:pPr>
            <w:r>
              <w:rPr>
                <w:noProof/>
                <w:sz w:val="20"/>
              </w:rPr>
              <w:t>0,000</w:t>
            </w:r>
          </w:p>
        </w:tc>
        <w:tc>
          <w:tcPr>
            <w:tcW w:w="924" w:type="dxa"/>
            <w:vAlign w:val="center"/>
          </w:tcPr>
          <w:p w:rsidR="00D3052E" w:rsidRDefault="00635D2F">
            <w:pPr>
              <w:spacing w:before="60" w:after="60"/>
              <w:jc w:val="right"/>
              <w:rPr>
                <w:noProof/>
                <w:sz w:val="20"/>
              </w:rPr>
            </w:pPr>
            <w:r>
              <w:rPr>
                <w:noProof/>
                <w:sz w:val="20"/>
              </w:rPr>
              <w:t>0,000</w:t>
            </w:r>
          </w:p>
        </w:tc>
        <w:tc>
          <w:tcPr>
            <w:tcW w:w="924" w:type="dxa"/>
            <w:vAlign w:val="center"/>
          </w:tcPr>
          <w:p w:rsidR="00D3052E" w:rsidRDefault="00635D2F">
            <w:pPr>
              <w:spacing w:before="60" w:after="60"/>
              <w:jc w:val="right"/>
              <w:rPr>
                <w:noProof/>
                <w:sz w:val="20"/>
              </w:rPr>
            </w:pPr>
            <w:r>
              <w:rPr>
                <w:noProof/>
                <w:sz w:val="20"/>
              </w:rPr>
              <w:t>0,000</w:t>
            </w:r>
          </w:p>
        </w:tc>
        <w:tc>
          <w:tcPr>
            <w:tcW w:w="924" w:type="dxa"/>
            <w:vAlign w:val="center"/>
          </w:tcPr>
          <w:p w:rsidR="00D3052E" w:rsidRDefault="00635D2F">
            <w:pPr>
              <w:spacing w:before="60" w:after="60"/>
              <w:jc w:val="right"/>
              <w:rPr>
                <w:noProof/>
                <w:sz w:val="20"/>
              </w:rPr>
            </w:pPr>
            <w:r>
              <w:rPr>
                <w:noProof/>
                <w:sz w:val="20"/>
              </w:rPr>
              <w:t>0,000</w:t>
            </w:r>
          </w:p>
        </w:tc>
        <w:tc>
          <w:tcPr>
            <w:tcW w:w="924" w:type="dxa"/>
            <w:vAlign w:val="center"/>
          </w:tcPr>
          <w:p w:rsidR="00D3052E" w:rsidRDefault="00635D2F">
            <w:pPr>
              <w:spacing w:before="60" w:after="60"/>
              <w:jc w:val="right"/>
              <w:rPr>
                <w:noProof/>
                <w:sz w:val="20"/>
              </w:rPr>
            </w:pPr>
            <w:r>
              <w:rPr>
                <w:noProof/>
                <w:sz w:val="20"/>
              </w:rPr>
              <w:t>0,000</w:t>
            </w:r>
          </w:p>
        </w:tc>
        <w:tc>
          <w:tcPr>
            <w:tcW w:w="924" w:type="dxa"/>
            <w:vAlign w:val="center"/>
          </w:tcPr>
          <w:p w:rsidR="00D3052E" w:rsidRDefault="00635D2F">
            <w:pPr>
              <w:spacing w:before="60" w:after="60"/>
              <w:jc w:val="right"/>
              <w:rPr>
                <w:noProof/>
                <w:sz w:val="20"/>
              </w:rPr>
            </w:pPr>
            <w:r>
              <w:rPr>
                <w:noProof/>
                <w:sz w:val="20"/>
              </w:rPr>
              <w:t>0,000</w:t>
            </w:r>
          </w:p>
        </w:tc>
        <w:tc>
          <w:tcPr>
            <w:tcW w:w="925" w:type="dxa"/>
            <w:vAlign w:val="center"/>
          </w:tcPr>
          <w:p w:rsidR="00D3052E" w:rsidRDefault="00635D2F">
            <w:pPr>
              <w:spacing w:before="60" w:after="60"/>
              <w:jc w:val="right"/>
              <w:rPr>
                <w:noProof/>
                <w:sz w:val="20"/>
              </w:rPr>
            </w:pPr>
            <w:r>
              <w:rPr>
                <w:noProof/>
                <w:sz w:val="20"/>
              </w:rPr>
              <w:t>0,000</w:t>
            </w:r>
          </w:p>
        </w:tc>
        <w:tc>
          <w:tcPr>
            <w:tcW w:w="1246" w:type="dxa"/>
            <w:vAlign w:val="center"/>
          </w:tcPr>
          <w:p w:rsidR="00D3052E" w:rsidRDefault="00635D2F">
            <w:pPr>
              <w:spacing w:before="60" w:after="60"/>
              <w:jc w:val="right"/>
              <w:rPr>
                <w:b/>
                <w:noProof/>
                <w:sz w:val="20"/>
              </w:rPr>
            </w:pPr>
            <w:r>
              <w:rPr>
                <w:b/>
                <w:noProof/>
                <w:sz w:val="20"/>
              </w:rPr>
              <w:t>0,000</w:t>
            </w:r>
          </w:p>
        </w:tc>
      </w:tr>
      <w:tr w:rsidR="00D3052E">
        <w:trPr>
          <w:cantSplit/>
        </w:trPr>
        <w:tc>
          <w:tcPr>
            <w:tcW w:w="2752" w:type="dxa"/>
            <w:vMerge/>
            <w:vAlign w:val="center"/>
          </w:tcPr>
          <w:p w:rsidR="00D3052E" w:rsidRDefault="00D3052E">
            <w:pPr>
              <w:spacing w:before="60" w:after="60"/>
              <w:rPr>
                <w:b/>
                <w:noProof/>
                <w:sz w:val="20"/>
              </w:rPr>
            </w:pPr>
          </w:p>
        </w:tc>
        <w:tc>
          <w:tcPr>
            <w:tcW w:w="2040" w:type="dxa"/>
            <w:vAlign w:val="center"/>
          </w:tcPr>
          <w:p w:rsidR="00D3052E" w:rsidRDefault="00635D2F">
            <w:pPr>
              <w:spacing w:before="60" w:after="60"/>
              <w:rPr>
                <w:noProof/>
                <w:sz w:val="18"/>
              </w:rPr>
            </w:pPr>
            <w:r>
              <w:rPr>
                <w:noProof/>
                <w:sz w:val="18"/>
              </w:rPr>
              <w:t>Środki na płatności</w:t>
            </w:r>
          </w:p>
        </w:tc>
        <w:tc>
          <w:tcPr>
            <w:tcW w:w="840" w:type="dxa"/>
            <w:vAlign w:val="center"/>
          </w:tcPr>
          <w:p w:rsidR="00D3052E" w:rsidRDefault="00635D2F">
            <w:pPr>
              <w:spacing w:before="60" w:after="60"/>
              <w:jc w:val="center"/>
              <w:rPr>
                <w:noProof/>
                <w:sz w:val="14"/>
              </w:rPr>
            </w:pPr>
            <w:r>
              <w:rPr>
                <w:noProof/>
                <w:sz w:val="14"/>
              </w:rPr>
              <w:t>(3b)</w:t>
            </w:r>
          </w:p>
        </w:tc>
        <w:tc>
          <w:tcPr>
            <w:tcW w:w="897" w:type="dxa"/>
            <w:vAlign w:val="center"/>
          </w:tcPr>
          <w:p w:rsidR="00D3052E" w:rsidRDefault="00635D2F">
            <w:pPr>
              <w:spacing w:before="60" w:after="60"/>
              <w:jc w:val="right"/>
              <w:rPr>
                <w:noProof/>
                <w:sz w:val="20"/>
              </w:rPr>
            </w:pPr>
            <w:r>
              <w:rPr>
                <w:noProof/>
                <w:sz w:val="20"/>
              </w:rPr>
              <w:t>0,000</w:t>
            </w:r>
          </w:p>
        </w:tc>
        <w:tc>
          <w:tcPr>
            <w:tcW w:w="924" w:type="dxa"/>
            <w:vAlign w:val="center"/>
          </w:tcPr>
          <w:p w:rsidR="00D3052E" w:rsidRDefault="00635D2F">
            <w:pPr>
              <w:spacing w:before="60" w:after="60"/>
              <w:jc w:val="right"/>
              <w:rPr>
                <w:noProof/>
                <w:sz w:val="20"/>
              </w:rPr>
            </w:pPr>
            <w:r>
              <w:rPr>
                <w:noProof/>
                <w:sz w:val="20"/>
              </w:rPr>
              <w:t>0,000</w:t>
            </w:r>
          </w:p>
        </w:tc>
        <w:tc>
          <w:tcPr>
            <w:tcW w:w="924" w:type="dxa"/>
            <w:vAlign w:val="center"/>
          </w:tcPr>
          <w:p w:rsidR="00D3052E" w:rsidRDefault="00635D2F">
            <w:pPr>
              <w:spacing w:before="60" w:after="60"/>
              <w:jc w:val="right"/>
              <w:rPr>
                <w:noProof/>
                <w:sz w:val="20"/>
              </w:rPr>
            </w:pPr>
            <w:r>
              <w:rPr>
                <w:noProof/>
                <w:sz w:val="20"/>
              </w:rPr>
              <w:t>0,000</w:t>
            </w:r>
          </w:p>
        </w:tc>
        <w:tc>
          <w:tcPr>
            <w:tcW w:w="924" w:type="dxa"/>
            <w:vAlign w:val="center"/>
          </w:tcPr>
          <w:p w:rsidR="00D3052E" w:rsidRDefault="00635D2F">
            <w:pPr>
              <w:spacing w:before="60" w:after="60"/>
              <w:jc w:val="right"/>
              <w:rPr>
                <w:noProof/>
                <w:sz w:val="20"/>
              </w:rPr>
            </w:pPr>
            <w:r>
              <w:rPr>
                <w:noProof/>
                <w:sz w:val="20"/>
              </w:rPr>
              <w:t>0,000</w:t>
            </w:r>
          </w:p>
        </w:tc>
        <w:tc>
          <w:tcPr>
            <w:tcW w:w="924" w:type="dxa"/>
            <w:vAlign w:val="center"/>
          </w:tcPr>
          <w:p w:rsidR="00D3052E" w:rsidRDefault="00635D2F">
            <w:pPr>
              <w:spacing w:before="60" w:after="60"/>
              <w:jc w:val="right"/>
              <w:rPr>
                <w:noProof/>
                <w:sz w:val="20"/>
              </w:rPr>
            </w:pPr>
            <w:r>
              <w:rPr>
                <w:noProof/>
                <w:sz w:val="20"/>
              </w:rPr>
              <w:t>0,000</w:t>
            </w:r>
          </w:p>
        </w:tc>
        <w:tc>
          <w:tcPr>
            <w:tcW w:w="924" w:type="dxa"/>
            <w:vAlign w:val="center"/>
          </w:tcPr>
          <w:p w:rsidR="00D3052E" w:rsidRDefault="00635D2F">
            <w:pPr>
              <w:spacing w:before="60" w:after="60"/>
              <w:jc w:val="right"/>
              <w:rPr>
                <w:noProof/>
                <w:sz w:val="20"/>
              </w:rPr>
            </w:pPr>
            <w:r>
              <w:rPr>
                <w:noProof/>
                <w:sz w:val="20"/>
              </w:rPr>
              <w:t>0,000</w:t>
            </w:r>
          </w:p>
        </w:tc>
        <w:tc>
          <w:tcPr>
            <w:tcW w:w="925" w:type="dxa"/>
            <w:vAlign w:val="center"/>
          </w:tcPr>
          <w:p w:rsidR="00D3052E" w:rsidRDefault="00635D2F">
            <w:pPr>
              <w:spacing w:before="60" w:after="60"/>
              <w:jc w:val="right"/>
              <w:rPr>
                <w:noProof/>
                <w:sz w:val="20"/>
              </w:rPr>
            </w:pPr>
            <w:r>
              <w:rPr>
                <w:noProof/>
                <w:sz w:val="20"/>
              </w:rPr>
              <w:t>0,000</w:t>
            </w:r>
          </w:p>
        </w:tc>
        <w:tc>
          <w:tcPr>
            <w:tcW w:w="1246" w:type="dxa"/>
            <w:vAlign w:val="center"/>
          </w:tcPr>
          <w:p w:rsidR="00D3052E" w:rsidRDefault="00635D2F">
            <w:pPr>
              <w:spacing w:before="60" w:after="60"/>
              <w:jc w:val="right"/>
              <w:rPr>
                <w:b/>
                <w:noProof/>
                <w:sz w:val="20"/>
              </w:rPr>
            </w:pPr>
            <w:r>
              <w:rPr>
                <w:b/>
                <w:noProof/>
                <w:sz w:val="20"/>
              </w:rPr>
              <w:t>0,000</w:t>
            </w:r>
          </w:p>
        </w:tc>
      </w:tr>
      <w:tr w:rsidR="00D3052E">
        <w:trPr>
          <w:cantSplit/>
        </w:trPr>
        <w:tc>
          <w:tcPr>
            <w:tcW w:w="2752" w:type="dxa"/>
            <w:vMerge w:val="restart"/>
            <w:vAlign w:val="center"/>
          </w:tcPr>
          <w:p w:rsidR="00D3052E" w:rsidRDefault="00635D2F">
            <w:pPr>
              <w:spacing w:before="60" w:after="60"/>
              <w:jc w:val="center"/>
              <w:rPr>
                <w:noProof/>
              </w:rPr>
            </w:pPr>
            <w:r>
              <w:rPr>
                <w:b/>
                <w:noProof/>
                <w:sz w:val="22"/>
              </w:rPr>
              <w:t>OGÓŁEM środki</w:t>
            </w:r>
            <w:r>
              <w:rPr>
                <w:noProof/>
              </w:rPr>
              <w:t xml:space="preserve"> </w:t>
            </w:r>
            <w:r>
              <w:rPr>
                <w:noProof/>
              </w:rPr>
              <w:br/>
            </w:r>
            <w:r>
              <w:rPr>
                <w:b/>
                <w:noProof/>
                <w:sz w:val="22"/>
              </w:rPr>
              <w:t xml:space="preserve">dla ECHA </w:t>
            </w:r>
            <w:r>
              <w:rPr>
                <w:noProof/>
              </w:rPr>
              <w:t>&lt;09.10.01&gt;</w:t>
            </w:r>
          </w:p>
        </w:tc>
        <w:tc>
          <w:tcPr>
            <w:tcW w:w="2040" w:type="dxa"/>
            <w:vAlign w:val="center"/>
          </w:tcPr>
          <w:p w:rsidR="00D3052E" w:rsidRDefault="00635D2F">
            <w:pPr>
              <w:spacing w:before="60" w:after="60"/>
              <w:rPr>
                <w:noProof/>
                <w:sz w:val="18"/>
              </w:rPr>
            </w:pPr>
            <w:r>
              <w:rPr>
                <w:noProof/>
                <w:sz w:val="18"/>
              </w:rPr>
              <w:t>Środki na zobowiązania</w:t>
            </w:r>
          </w:p>
        </w:tc>
        <w:tc>
          <w:tcPr>
            <w:tcW w:w="840" w:type="dxa"/>
            <w:vAlign w:val="center"/>
          </w:tcPr>
          <w:p w:rsidR="00D3052E" w:rsidRDefault="00635D2F">
            <w:pPr>
              <w:spacing w:before="60" w:after="60"/>
              <w:jc w:val="center"/>
              <w:rPr>
                <w:noProof/>
                <w:sz w:val="14"/>
              </w:rPr>
            </w:pPr>
            <w:r>
              <w:rPr>
                <w:noProof/>
                <w:sz w:val="14"/>
              </w:rPr>
              <w:t>=1+1a +3</w:t>
            </w:r>
          </w:p>
        </w:tc>
        <w:tc>
          <w:tcPr>
            <w:tcW w:w="897" w:type="dxa"/>
            <w:vAlign w:val="center"/>
          </w:tcPr>
          <w:p w:rsidR="00D3052E" w:rsidRDefault="00635D2F">
            <w:pPr>
              <w:spacing w:before="60" w:after="60"/>
              <w:jc w:val="right"/>
              <w:rPr>
                <w:noProof/>
                <w:sz w:val="20"/>
                <w:highlight w:val="yellow"/>
              </w:rPr>
            </w:pPr>
            <w:r>
              <w:rPr>
                <w:noProof/>
                <w:sz w:val="20"/>
              </w:rPr>
              <w:t>0,322</w:t>
            </w:r>
          </w:p>
        </w:tc>
        <w:tc>
          <w:tcPr>
            <w:tcW w:w="924" w:type="dxa"/>
            <w:vAlign w:val="center"/>
          </w:tcPr>
          <w:p w:rsidR="00D3052E" w:rsidRDefault="00635D2F">
            <w:pPr>
              <w:spacing w:before="60" w:after="60"/>
              <w:jc w:val="right"/>
              <w:rPr>
                <w:noProof/>
                <w:sz w:val="20"/>
                <w:highlight w:val="yellow"/>
              </w:rPr>
            </w:pPr>
            <w:r>
              <w:rPr>
                <w:noProof/>
                <w:sz w:val="20"/>
              </w:rPr>
              <w:t>0,327</w:t>
            </w:r>
          </w:p>
        </w:tc>
        <w:tc>
          <w:tcPr>
            <w:tcW w:w="924" w:type="dxa"/>
            <w:vAlign w:val="center"/>
          </w:tcPr>
          <w:p w:rsidR="00D3052E" w:rsidRDefault="00635D2F">
            <w:pPr>
              <w:spacing w:before="60" w:after="60"/>
              <w:jc w:val="right"/>
              <w:rPr>
                <w:noProof/>
                <w:sz w:val="20"/>
                <w:highlight w:val="yellow"/>
              </w:rPr>
            </w:pPr>
            <w:r>
              <w:rPr>
                <w:noProof/>
                <w:sz w:val="20"/>
              </w:rPr>
              <w:t>0,333</w:t>
            </w:r>
          </w:p>
        </w:tc>
        <w:tc>
          <w:tcPr>
            <w:tcW w:w="924" w:type="dxa"/>
            <w:vAlign w:val="center"/>
          </w:tcPr>
          <w:p w:rsidR="00D3052E" w:rsidRDefault="00635D2F">
            <w:pPr>
              <w:spacing w:before="60" w:after="60"/>
              <w:jc w:val="right"/>
              <w:rPr>
                <w:noProof/>
                <w:sz w:val="20"/>
                <w:highlight w:val="yellow"/>
              </w:rPr>
            </w:pPr>
            <w:r>
              <w:rPr>
                <w:noProof/>
                <w:sz w:val="20"/>
              </w:rPr>
              <w:t>0,338</w:t>
            </w:r>
          </w:p>
        </w:tc>
        <w:tc>
          <w:tcPr>
            <w:tcW w:w="924" w:type="dxa"/>
            <w:vAlign w:val="center"/>
          </w:tcPr>
          <w:p w:rsidR="00D3052E" w:rsidRDefault="00635D2F">
            <w:pPr>
              <w:spacing w:before="60" w:after="60"/>
              <w:jc w:val="right"/>
              <w:rPr>
                <w:noProof/>
                <w:sz w:val="20"/>
                <w:highlight w:val="yellow"/>
              </w:rPr>
            </w:pPr>
            <w:r>
              <w:rPr>
                <w:noProof/>
                <w:sz w:val="20"/>
              </w:rPr>
              <w:t>0,344</w:t>
            </w:r>
          </w:p>
        </w:tc>
        <w:tc>
          <w:tcPr>
            <w:tcW w:w="924" w:type="dxa"/>
            <w:vAlign w:val="center"/>
          </w:tcPr>
          <w:p w:rsidR="00D3052E" w:rsidRDefault="00635D2F">
            <w:pPr>
              <w:spacing w:before="60" w:after="60"/>
              <w:jc w:val="right"/>
              <w:rPr>
                <w:noProof/>
                <w:sz w:val="20"/>
                <w:highlight w:val="yellow"/>
              </w:rPr>
            </w:pPr>
            <w:r>
              <w:rPr>
                <w:noProof/>
                <w:sz w:val="20"/>
              </w:rPr>
              <w:t>0,350</w:t>
            </w:r>
          </w:p>
        </w:tc>
        <w:tc>
          <w:tcPr>
            <w:tcW w:w="925" w:type="dxa"/>
            <w:vAlign w:val="center"/>
          </w:tcPr>
          <w:p w:rsidR="00D3052E" w:rsidRDefault="00635D2F">
            <w:pPr>
              <w:spacing w:before="60" w:after="60"/>
              <w:jc w:val="right"/>
              <w:rPr>
                <w:noProof/>
                <w:sz w:val="20"/>
                <w:highlight w:val="yellow"/>
              </w:rPr>
            </w:pPr>
            <w:r>
              <w:rPr>
                <w:noProof/>
                <w:sz w:val="20"/>
              </w:rPr>
              <w:t>0,356</w:t>
            </w:r>
          </w:p>
        </w:tc>
        <w:tc>
          <w:tcPr>
            <w:tcW w:w="1246" w:type="dxa"/>
            <w:vAlign w:val="center"/>
          </w:tcPr>
          <w:p w:rsidR="00D3052E" w:rsidRDefault="00635D2F">
            <w:pPr>
              <w:spacing w:before="60" w:after="60"/>
              <w:jc w:val="right"/>
              <w:rPr>
                <w:b/>
                <w:noProof/>
                <w:sz w:val="20"/>
                <w:highlight w:val="yellow"/>
              </w:rPr>
            </w:pPr>
            <w:r>
              <w:rPr>
                <w:b/>
                <w:noProof/>
                <w:sz w:val="20"/>
              </w:rPr>
              <w:t>2,369</w:t>
            </w:r>
          </w:p>
        </w:tc>
      </w:tr>
      <w:tr w:rsidR="00D3052E">
        <w:trPr>
          <w:cantSplit/>
        </w:trPr>
        <w:tc>
          <w:tcPr>
            <w:tcW w:w="2752" w:type="dxa"/>
            <w:vMerge/>
            <w:vAlign w:val="center"/>
          </w:tcPr>
          <w:p w:rsidR="00D3052E" w:rsidRDefault="00D3052E">
            <w:pPr>
              <w:spacing w:before="60" w:after="60"/>
              <w:rPr>
                <w:b/>
                <w:noProof/>
              </w:rPr>
            </w:pPr>
          </w:p>
        </w:tc>
        <w:tc>
          <w:tcPr>
            <w:tcW w:w="2040" w:type="dxa"/>
            <w:vAlign w:val="center"/>
          </w:tcPr>
          <w:p w:rsidR="00D3052E" w:rsidRDefault="00635D2F">
            <w:pPr>
              <w:spacing w:before="60" w:after="60"/>
              <w:rPr>
                <w:noProof/>
                <w:sz w:val="18"/>
              </w:rPr>
            </w:pPr>
            <w:r>
              <w:rPr>
                <w:noProof/>
                <w:sz w:val="18"/>
              </w:rPr>
              <w:t>Środki na płatności</w:t>
            </w:r>
          </w:p>
        </w:tc>
        <w:tc>
          <w:tcPr>
            <w:tcW w:w="840" w:type="dxa"/>
            <w:vAlign w:val="center"/>
          </w:tcPr>
          <w:p w:rsidR="00D3052E" w:rsidRDefault="00635D2F">
            <w:pPr>
              <w:spacing w:before="60" w:after="60"/>
              <w:jc w:val="center"/>
              <w:rPr>
                <w:noProof/>
                <w:sz w:val="14"/>
              </w:rPr>
            </w:pPr>
            <w:r>
              <w:rPr>
                <w:noProof/>
                <w:sz w:val="14"/>
              </w:rPr>
              <w:t>=2+2a</w:t>
            </w:r>
          </w:p>
          <w:p w:rsidR="00D3052E" w:rsidRDefault="00635D2F">
            <w:pPr>
              <w:spacing w:before="60" w:after="60"/>
              <w:jc w:val="center"/>
              <w:rPr>
                <w:noProof/>
                <w:sz w:val="14"/>
              </w:rPr>
            </w:pPr>
            <w:r>
              <w:rPr>
                <w:noProof/>
                <w:sz w:val="14"/>
              </w:rPr>
              <w:t>+3b</w:t>
            </w:r>
          </w:p>
        </w:tc>
        <w:tc>
          <w:tcPr>
            <w:tcW w:w="897" w:type="dxa"/>
            <w:vAlign w:val="center"/>
          </w:tcPr>
          <w:p w:rsidR="00D3052E" w:rsidRDefault="00635D2F">
            <w:pPr>
              <w:spacing w:before="60" w:after="60"/>
              <w:jc w:val="right"/>
              <w:rPr>
                <w:noProof/>
                <w:sz w:val="20"/>
                <w:highlight w:val="yellow"/>
              </w:rPr>
            </w:pPr>
            <w:r>
              <w:rPr>
                <w:noProof/>
                <w:sz w:val="20"/>
              </w:rPr>
              <w:t>0,322</w:t>
            </w:r>
          </w:p>
        </w:tc>
        <w:tc>
          <w:tcPr>
            <w:tcW w:w="924" w:type="dxa"/>
            <w:vAlign w:val="center"/>
          </w:tcPr>
          <w:p w:rsidR="00D3052E" w:rsidRDefault="00635D2F">
            <w:pPr>
              <w:spacing w:before="60" w:after="60"/>
              <w:jc w:val="right"/>
              <w:rPr>
                <w:noProof/>
                <w:sz w:val="20"/>
                <w:highlight w:val="yellow"/>
              </w:rPr>
            </w:pPr>
            <w:r>
              <w:rPr>
                <w:noProof/>
                <w:sz w:val="20"/>
              </w:rPr>
              <w:t>0,327</w:t>
            </w:r>
          </w:p>
        </w:tc>
        <w:tc>
          <w:tcPr>
            <w:tcW w:w="924" w:type="dxa"/>
            <w:vAlign w:val="center"/>
          </w:tcPr>
          <w:p w:rsidR="00D3052E" w:rsidRDefault="00635D2F">
            <w:pPr>
              <w:spacing w:before="60" w:after="60"/>
              <w:jc w:val="right"/>
              <w:rPr>
                <w:noProof/>
                <w:sz w:val="20"/>
                <w:highlight w:val="yellow"/>
              </w:rPr>
            </w:pPr>
            <w:r>
              <w:rPr>
                <w:noProof/>
                <w:sz w:val="20"/>
              </w:rPr>
              <w:t>0,333</w:t>
            </w:r>
          </w:p>
        </w:tc>
        <w:tc>
          <w:tcPr>
            <w:tcW w:w="924" w:type="dxa"/>
            <w:vAlign w:val="center"/>
          </w:tcPr>
          <w:p w:rsidR="00D3052E" w:rsidRDefault="00635D2F">
            <w:pPr>
              <w:spacing w:before="60" w:after="60"/>
              <w:jc w:val="right"/>
              <w:rPr>
                <w:noProof/>
                <w:sz w:val="20"/>
                <w:highlight w:val="yellow"/>
              </w:rPr>
            </w:pPr>
            <w:r>
              <w:rPr>
                <w:noProof/>
                <w:sz w:val="20"/>
              </w:rPr>
              <w:t>0,338</w:t>
            </w:r>
          </w:p>
        </w:tc>
        <w:tc>
          <w:tcPr>
            <w:tcW w:w="924" w:type="dxa"/>
            <w:vAlign w:val="center"/>
          </w:tcPr>
          <w:p w:rsidR="00D3052E" w:rsidRDefault="00635D2F">
            <w:pPr>
              <w:spacing w:before="60" w:after="60"/>
              <w:jc w:val="right"/>
              <w:rPr>
                <w:noProof/>
                <w:sz w:val="20"/>
                <w:highlight w:val="yellow"/>
              </w:rPr>
            </w:pPr>
            <w:r>
              <w:rPr>
                <w:noProof/>
                <w:sz w:val="20"/>
              </w:rPr>
              <w:t>0,344</w:t>
            </w:r>
          </w:p>
        </w:tc>
        <w:tc>
          <w:tcPr>
            <w:tcW w:w="924" w:type="dxa"/>
            <w:vAlign w:val="center"/>
          </w:tcPr>
          <w:p w:rsidR="00D3052E" w:rsidRDefault="00635D2F">
            <w:pPr>
              <w:spacing w:before="60" w:after="60"/>
              <w:jc w:val="right"/>
              <w:rPr>
                <w:noProof/>
                <w:sz w:val="20"/>
                <w:highlight w:val="yellow"/>
              </w:rPr>
            </w:pPr>
            <w:r>
              <w:rPr>
                <w:noProof/>
                <w:sz w:val="20"/>
              </w:rPr>
              <w:t>0,350</w:t>
            </w:r>
          </w:p>
        </w:tc>
        <w:tc>
          <w:tcPr>
            <w:tcW w:w="925" w:type="dxa"/>
            <w:vAlign w:val="center"/>
          </w:tcPr>
          <w:p w:rsidR="00D3052E" w:rsidRDefault="00635D2F">
            <w:pPr>
              <w:spacing w:before="60" w:after="60"/>
              <w:jc w:val="right"/>
              <w:rPr>
                <w:noProof/>
                <w:sz w:val="20"/>
                <w:highlight w:val="yellow"/>
              </w:rPr>
            </w:pPr>
            <w:r>
              <w:rPr>
                <w:noProof/>
                <w:sz w:val="20"/>
              </w:rPr>
              <w:t>0,356</w:t>
            </w:r>
          </w:p>
        </w:tc>
        <w:tc>
          <w:tcPr>
            <w:tcW w:w="1246" w:type="dxa"/>
            <w:vAlign w:val="center"/>
          </w:tcPr>
          <w:p w:rsidR="00D3052E" w:rsidRDefault="00635D2F">
            <w:pPr>
              <w:spacing w:before="60" w:after="60"/>
              <w:jc w:val="right"/>
              <w:rPr>
                <w:b/>
                <w:noProof/>
                <w:sz w:val="20"/>
                <w:highlight w:val="yellow"/>
              </w:rPr>
            </w:pPr>
            <w:r>
              <w:rPr>
                <w:b/>
                <w:noProof/>
                <w:sz w:val="20"/>
              </w:rPr>
              <w:t>2,369</w:t>
            </w:r>
          </w:p>
        </w:tc>
      </w:tr>
    </w:tbl>
    <w:p w:rsidR="00D3052E" w:rsidRDefault="00D3052E">
      <w:pPr>
        <w:rPr>
          <w:noProof/>
        </w:rPr>
        <w:sectPr w:rsidR="00D3052E">
          <w:headerReference w:type="default" r:id="rId14"/>
          <w:footerReference w:type="default" r:id="rId15"/>
          <w:headerReference w:type="first" r:id="rId16"/>
          <w:footerReference w:type="first" r:id="rId17"/>
          <w:pgSz w:w="15840" w:h="12240" w:orient="landscape"/>
          <w:pgMar w:top="1134" w:right="1077" w:bottom="902" w:left="1247" w:header="709" w:footer="510" w:gutter="0"/>
          <w:cols w:space="720"/>
          <w:docGrid w:linePitch="326"/>
        </w:sectPr>
      </w:pPr>
    </w:p>
    <w:p w:rsidR="00D3052E" w:rsidRDefault="00635D2F">
      <w:pPr>
        <w:pStyle w:val="ManualHeading3"/>
        <w:rPr>
          <w:bCs/>
          <w:noProof/>
          <w:szCs w:val="24"/>
        </w:rPr>
      </w:pPr>
      <w:bookmarkStart w:id="84" w:name="_Toc514938687"/>
      <w:bookmarkStart w:id="85" w:name="_Toc520485446"/>
      <w:bookmarkStart w:id="86" w:name="_Toc54546062"/>
      <w:r>
        <w:lastRenderedPageBreak/>
        <w:t>3.2.2.</w:t>
      </w:r>
      <w:r>
        <w:tab/>
      </w:r>
      <w:r>
        <w:rPr>
          <w:noProof/>
        </w:rPr>
        <w:t>Szacunkowy wpływ na środki EEA i ECHA</w:t>
      </w:r>
      <w:bookmarkEnd w:id="84"/>
      <w:bookmarkEnd w:id="85"/>
      <w:bookmarkEnd w:id="86"/>
      <w:r>
        <w:rPr>
          <w:noProof/>
        </w:rPr>
        <w:t xml:space="preserve"> </w:t>
      </w:r>
    </w:p>
    <w:p w:rsidR="00D3052E" w:rsidRDefault="00635D2F">
      <w:pPr>
        <w:pStyle w:val="ListDash1"/>
        <w:rPr>
          <w:noProof/>
        </w:rPr>
      </w:pPr>
      <w:r>
        <w:rPr>
          <w:noProof/>
        </w:rPr>
        <w:sym w:font="Wingdings" w:char="F0FE"/>
      </w:r>
      <w:r>
        <w:rPr>
          <w:noProof/>
        </w:rPr>
        <w:tab/>
        <w:t xml:space="preserve">Wniosek/inicjatywa nie wiąże się z koniecznością wykorzystania środków operacyjnych </w:t>
      </w:r>
    </w:p>
    <w:p w:rsidR="00D3052E" w:rsidRDefault="00635D2F">
      <w:pPr>
        <w:pStyle w:val="ListDash1"/>
        <w:rPr>
          <w:noProof/>
        </w:rPr>
      </w:pPr>
      <w:r>
        <w:rPr>
          <w:noProof/>
        </w:rPr>
        <w:sym w:font="Wingdings" w:char="F0A8"/>
      </w:r>
      <w:r>
        <w:rPr>
          <w:noProof/>
        </w:rPr>
        <w:tab/>
        <w:t>Wniosek/inicjatywa wiąże się z koniecznością wykorzystania środków operacyjnych, jak określono poniżej:</w:t>
      </w:r>
    </w:p>
    <w:p w:rsidR="00D3052E" w:rsidRDefault="00635D2F">
      <w:pPr>
        <w:jc w:val="right"/>
        <w:rPr>
          <w:noProof/>
          <w:sz w:val="20"/>
        </w:rPr>
      </w:pPr>
      <w:r>
        <w:rPr>
          <w:noProof/>
          <w:sz w:val="20"/>
        </w:rPr>
        <w:t>Środki na zobowiązania w mln EUR (do trzech miejsc po przecinku) w cenach stałych</w:t>
      </w:r>
    </w:p>
    <w:tbl>
      <w:tblPr>
        <w:tblW w:w="12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562"/>
        <w:gridCol w:w="595"/>
        <w:gridCol w:w="594"/>
        <w:gridCol w:w="593"/>
        <w:gridCol w:w="593"/>
        <w:gridCol w:w="594"/>
        <w:gridCol w:w="593"/>
        <w:gridCol w:w="593"/>
        <w:gridCol w:w="594"/>
        <w:gridCol w:w="593"/>
        <w:gridCol w:w="564"/>
        <w:gridCol w:w="623"/>
        <w:gridCol w:w="593"/>
        <w:gridCol w:w="593"/>
        <w:gridCol w:w="594"/>
        <w:gridCol w:w="593"/>
        <w:gridCol w:w="851"/>
        <w:gridCol w:w="804"/>
      </w:tblGrid>
      <w:tr w:rsidR="00D3052E">
        <w:trPr>
          <w:jc w:val="center"/>
        </w:trPr>
        <w:tc>
          <w:tcPr>
            <w:tcW w:w="1054" w:type="dxa"/>
            <w:vMerge w:val="restart"/>
            <w:vAlign w:val="center"/>
          </w:tcPr>
          <w:p w:rsidR="00D3052E" w:rsidRDefault="00635D2F">
            <w:pPr>
              <w:ind w:right="-29"/>
              <w:jc w:val="center"/>
              <w:rPr>
                <w:b/>
                <w:noProof/>
                <w:sz w:val="18"/>
              </w:rPr>
            </w:pPr>
            <w:r>
              <w:rPr>
                <w:b/>
                <w:noProof/>
                <w:sz w:val="18"/>
              </w:rPr>
              <w:t xml:space="preserve">Określić cele i produkty </w:t>
            </w:r>
          </w:p>
          <w:p w:rsidR="00D3052E" w:rsidRDefault="00D3052E">
            <w:pPr>
              <w:ind w:right="-29"/>
              <w:jc w:val="center"/>
              <w:rPr>
                <w:b/>
                <w:noProof/>
                <w:sz w:val="18"/>
              </w:rPr>
            </w:pPr>
          </w:p>
          <w:p w:rsidR="00D3052E" w:rsidRDefault="00635D2F">
            <w:pPr>
              <w:ind w:right="-29"/>
              <w:jc w:val="center"/>
              <w:rPr>
                <w:noProof/>
                <w:sz w:val="18"/>
              </w:rPr>
            </w:pPr>
            <w:r>
              <w:rPr>
                <w:noProof/>
                <w:sz w:val="18"/>
              </w:rPr>
              <w:sym w:font="Wingdings" w:char="F0F2"/>
            </w:r>
          </w:p>
        </w:tc>
        <w:tc>
          <w:tcPr>
            <w:tcW w:w="562" w:type="dxa"/>
            <w:tcBorders>
              <w:bottom w:val="single" w:sz="4" w:space="0" w:color="auto"/>
            </w:tcBorders>
            <w:vAlign w:val="center"/>
          </w:tcPr>
          <w:p w:rsidR="00D3052E" w:rsidRDefault="00D3052E">
            <w:pPr>
              <w:ind w:right="-29"/>
              <w:jc w:val="center"/>
              <w:rPr>
                <w:noProof/>
                <w:sz w:val="18"/>
              </w:rPr>
            </w:pPr>
          </w:p>
        </w:tc>
        <w:tc>
          <w:tcPr>
            <w:tcW w:w="595" w:type="dxa"/>
            <w:tcBorders>
              <w:bottom w:val="single" w:sz="4" w:space="0" w:color="auto"/>
            </w:tcBorders>
            <w:vAlign w:val="center"/>
          </w:tcPr>
          <w:p w:rsidR="00D3052E" w:rsidRDefault="00D3052E">
            <w:pPr>
              <w:ind w:right="-29"/>
              <w:jc w:val="center"/>
              <w:rPr>
                <w:noProof/>
                <w:sz w:val="18"/>
              </w:rPr>
            </w:pPr>
          </w:p>
        </w:tc>
        <w:tc>
          <w:tcPr>
            <w:tcW w:w="1187" w:type="dxa"/>
            <w:gridSpan w:val="2"/>
            <w:tcBorders>
              <w:left w:val="nil"/>
              <w:bottom w:val="single" w:sz="4" w:space="0" w:color="auto"/>
            </w:tcBorders>
            <w:vAlign w:val="center"/>
          </w:tcPr>
          <w:p w:rsidR="00D3052E" w:rsidRDefault="00635D2F">
            <w:pPr>
              <w:jc w:val="center"/>
              <w:rPr>
                <w:noProof/>
                <w:sz w:val="18"/>
              </w:rPr>
            </w:pPr>
            <w:r>
              <w:rPr>
                <w:noProof/>
                <w:sz w:val="18"/>
              </w:rPr>
              <w:t>2021</w:t>
            </w:r>
          </w:p>
        </w:tc>
        <w:tc>
          <w:tcPr>
            <w:tcW w:w="1187" w:type="dxa"/>
            <w:gridSpan w:val="2"/>
            <w:tcBorders>
              <w:left w:val="nil"/>
              <w:bottom w:val="single" w:sz="4" w:space="0" w:color="auto"/>
            </w:tcBorders>
            <w:vAlign w:val="center"/>
          </w:tcPr>
          <w:p w:rsidR="00D3052E" w:rsidRDefault="00635D2F">
            <w:pPr>
              <w:jc w:val="center"/>
              <w:rPr>
                <w:noProof/>
                <w:sz w:val="18"/>
              </w:rPr>
            </w:pPr>
            <w:r>
              <w:rPr>
                <w:noProof/>
                <w:sz w:val="18"/>
              </w:rPr>
              <w:t>2022</w:t>
            </w:r>
          </w:p>
        </w:tc>
        <w:tc>
          <w:tcPr>
            <w:tcW w:w="1186" w:type="dxa"/>
            <w:gridSpan w:val="2"/>
            <w:tcBorders>
              <w:left w:val="nil"/>
              <w:bottom w:val="single" w:sz="4" w:space="0" w:color="auto"/>
            </w:tcBorders>
            <w:vAlign w:val="center"/>
          </w:tcPr>
          <w:p w:rsidR="00D3052E" w:rsidRDefault="00635D2F">
            <w:pPr>
              <w:jc w:val="center"/>
              <w:rPr>
                <w:noProof/>
                <w:sz w:val="18"/>
              </w:rPr>
            </w:pPr>
            <w:r>
              <w:rPr>
                <w:noProof/>
                <w:sz w:val="18"/>
              </w:rPr>
              <w:t>2023</w:t>
            </w:r>
          </w:p>
        </w:tc>
        <w:tc>
          <w:tcPr>
            <w:tcW w:w="1187" w:type="dxa"/>
            <w:gridSpan w:val="2"/>
            <w:tcBorders>
              <w:left w:val="nil"/>
              <w:bottom w:val="single" w:sz="4" w:space="0" w:color="auto"/>
            </w:tcBorders>
            <w:vAlign w:val="center"/>
          </w:tcPr>
          <w:p w:rsidR="00D3052E" w:rsidRDefault="00635D2F">
            <w:pPr>
              <w:jc w:val="center"/>
              <w:rPr>
                <w:noProof/>
                <w:sz w:val="18"/>
              </w:rPr>
            </w:pPr>
            <w:r>
              <w:rPr>
                <w:noProof/>
                <w:sz w:val="18"/>
              </w:rPr>
              <w:t>2024</w:t>
            </w:r>
          </w:p>
        </w:tc>
        <w:tc>
          <w:tcPr>
            <w:tcW w:w="1187" w:type="dxa"/>
            <w:gridSpan w:val="2"/>
            <w:tcBorders>
              <w:left w:val="nil"/>
              <w:bottom w:val="single" w:sz="4" w:space="0" w:color="auto"/>
            </w:tcBorders>
            <w:vAlign w:val="center"/>
          </w:tcPr>
          <w:p w:rsidR="00D3052E" w:rsidRDefault="00635D2F">
            <w:pPr>
              <w:jc w:val="center"/>
              <w:rPr>
                <w:noProof/>
                <w:sz w:val="18"/>
              </w:rPr>
            </w:pPr>
            <w:r>
              <w:rPr>
                <w:noProof/>
                <w:sz w:val="18"/>
              </w:rPr>
              <w:t>2025</w:t>
            </w:r>
          </w:p>
        </w:tc>
        <w:tc>
          <w:tcPr>
            <w:tcW w:w="1186" w:type="dxa"/>
            <w:gridSpan w:val="2"/>
            <w:tcBorders>
              <w:left w:val="nil"/>
              <w:bottom w:val="single" w:sz="4" w:space="0" w:color="auto"/>
            </w:tcBorders>
            <w:vAlign w:val="center"/>
          </w:tcPr>
          <w:p w:rsidR="00D3052E" w:rsidRDefault="00635D2F">
            <w:pPr>
              <w:jc w:val="center"/>
              <w:rPr>
                <w:noProof/>
                <w:sz w:val="18"/>
              </w:rPr>
            </w:pPr>
            <w:r>
              <w:rPr>
                <w:noProof/>
                <w:sz w:val="18"/>
              </w:rPr>
              <w:t>2026</w:t>
            </w:r>
          </w:p>
        </w:tc>
        <w:tc>
          <w:tcPr>
            <w:tcW w:w="1187" w:type="dxa"/>
            <w:gridSpan w:val="2"/>
            <w:tcBorders>
              <w:left w:val="nil"/>
              <w:bottom w:val="single" w:sz="4" w:space="0" w:color="auto"/>
            </w:tcBorders>
          </w:tcPr>
          <w:p w:rsidR="00D3052E" w:rsidRDefault="00635D2F">
            <w:pPr>
              <w:jc w:val="center"/>
              <w:rPr>
                <w:noProof/>
                <w:sz w:val="18"/>
              </w:rPr>
            </w:pPr>
            <w:r>
              <w:rPr>
                <w:noProof/>
                <w:sz w:val="18"/>
              </w:rPr>
              <w:t>2027</w:t>
            </w:r>
          </w:p>
        </w:tc>
        <w:tc>
          <w:tcPr>
            <w:tcW w:w="1655" w:type="dxa"/>
            <w:gridSpan w:val="2"/>
            <w:tcBorders>
              <w:left w:val="nil"/>
              <w:bottom w:val="single" w:sz="4" w:space="0" w:color="auto"/>
            </w:tcBorders>
            <w:vAlign w:val="center"/>
          </w:tcPr>
          <w:p w:rsidR="00D3052E" w:rsidRDefault="00635D2F">
            <w:pPr>
              <w:ind w:right="-29"/>
              <w:jc w:val="center"/>
              <w:rPr>
                <w:noProof/>
                <w:sz w:val="18"/>
              </w:rPr>
            </w:pPr>
            <w:r>
              <w:rPr>
                <w:b/>
                <w:noProof/>
                <w:sz w:val="18"/>
              </w:rPr>
              <w:t>OGÓŁEM</w:t>
            </w:r>
          </w:p>
        </w:tc>
      </w:tr>
      <w:tr w:rsidR="00D3052E">
        <w:trPr>
          <w:jc w:val="center"/>
        </w:trPr>
        <w:tc>
          <w:tcPr>
            <w:tcW w:w="1054" w:type="dxa"/>
            <w:vMerge/>
            <w:vAlign w:val="center"/>
          </w:tcPr>
          <w:p w:rsidR="00D3052E" w:rsidRDefault="00D3052E">
            <w:pPr>
              <w:rPr>
                <w:noProof/>
                <w:sz w:val="18"/>
              </w:rPr>
            </w:pPr>
          </w:p>
        </w:tc>
        <w:tc>
          <w:tcPr>
            <w:tcW w:w="1157" w:type="dxa"/>
            <w:gridSpan w:val="2"/>
            <w:tcBorders>
              <w:right w:val="nil"/>
            </w:tcBorders>
            <w:vAlign w:val="center"/>
          </w:tcPr>
          <w:p w:rsidR="00D3052E" w:rsidRDefault="00635D2F">
            <w:pPr>
              <w:spacing w:before="60" w:after="60"/>
              <w:ind w:right="-29"/>
              <w:jc w:val="center"/>
              <w:rPr>
                <w:noProof/>
                <w:sz w:val="18"/>
              </w:rPr>
            </w:pPr>
            <w:r>
              <w:rPr>
                <w:b/>
                <w:noProof/>
                <w:sz w:val="18"/>
              </w:rPr>
              <w:t>PRODUKT</w:t>
            </w:r>
          </w:p>
        </w:tc>
        <w:tc>
          <w:tcPr>
            <w:tcW w:w="594" w:type="dxa"/>
            <w:tcBorders>
              <w:right w:val="nil"/>
            </w:tcBorders>
            <w:vAlign w:val="center"/>
          </w:tcPr>
          <w:p w:rsidR="00D3052E" w:rsidRDefault="00D3052E">
            <w:pPr>
              <w:spacing w:before="60" w:after="60"/>
              <w:ind w:right="-29"/>
              <w:jc w:val="center"/>
              <w:rPr>
                <w:noProof/>
                <w:sz w:val="18"/>
              </w:rPr>
            </w:pPr>
          </w:p>
        </w:tc>
        <w:tc>
          <w:tcPr>
            <w:tcW w:w="593" w:type="dxa"/>
            <w:tcBorders>
              <w:left w:val="nil"/>
              <w:right w:val="nil"/>
            </w:tcBorders>
            <w:vAlign w:val="center"/>
          </w:tcPr>
          <w:p w:rsidR="00D3052E" w:rsidRDefault="00D3052E">
            <w:pPr>
              <w:spacing w:before="60" w:after="60"/>
              <w:ind w:right="-29"/>
              <w:jc w:val="center"/>
              <w:rPr>
                <w:noProof/>
                <w:sz w:val="18"/>
              </w:rPr>
            </w:pPr>
          </w:p>
        </w:tc>
        <w:tc>
          <w:tcPr>
            <w:tcW w:w="593" w:type="dxa"/>
            <w:tcBorders>
              <w:left w:val="nil"/>
              <w:right w:val="nil"/>
            </w:tcBorders>
            <w:vAlign w:val="center"/>
          </w:tcPr>
          <w:p w:rsidR="00D3052E" w:rsidRDefault="00D3052E">
            <w:pPr>
              <w:spacing w:before="60" w:after="60"/>
              <w:ind w:right="-29"/>
              <w:jc w:val="center"/>
              <w:rPr>
                <w:noProof/>
                <w:sz w:val="18"/>
              </w:rPr>
            </w:pPr>
          </w:p>
        </w:tc>
        <w:tc>
          <w:tcPr>
            <w:tcW w:w="594" w:type="dxa"/>
            <w:tcBorders>
              <w:left w:val="nil"/>
              <w:right w:val="nil"/>
            </w:tcBorders>
            <w:vAlign w:val="center"/>
          </w:tcPr>
          <w:p w:rsidR="00D3052E" w:rsidRDefault="00D3052E">
            <w:pPr>
              <w:spacing w:before="60" w:after="60"/>
              <w:ind w:right="-29"/>
              <w:jc w:val="center"/>
              <w:rPr>
                <w:noProof/>
                <w:sz w:val="18"/>
              </w:rPr>
            </w:pPr>
          </w:p>
        </w:tc>
        <w:tc>
          <w:tcPr>
            <w:tcW w:w="593" w:type="dxa"/>
            <w:tcBorders>
              <w:left w:val="nil"/>
              <w:right w:val="nil"/>
            </w:tcBorders>
            <w:vAlign w:val="center"/>
          </w:tcPr>
          <w:p w:rsidR="00D3052E" w:rsidRDefault="00D3052E">
            <w:pPr>
              <w:spacing w:before="60" w:after="60"/>
              <w:ind w:right="-29"/>
              <w:jc w:val="center"/>
              <w:rPr>
                <w:noProof/>
                <w:sz w:val="18"/>
              </w:rPr>
            </w:pPr>
          </w:p>
        </w:tc>
        <w:tc>
          <w:tcPr>
            <w:tcW w:w="593" w:type="dxa"/>
            <w:tcBorders>
              <w:left w:val="nil"/>
              <w:right w:val="nil"/>
            </w:tcBorders>
            <w:vAlign w:val="center"/>
          </w:tcPr>
          <w:p w:rsidR="00D3052E" w:rsidRDefault="00D3052E">
            <w:pPr>
              <w:spacing w:before="60" w:after="60"/>
              <w:ind w:right="-29"/>
              <w:jc w:val="center"/>
              <w:rPr>
                <w:noProof/>
                <w:sz w:val="18"/>
              </w:rPr>
            </w:pPr>
          </w:p>
        </w:tc>
        <w:tc>
          <w:tcPr>
            <w:tcW w:w="594" w:type="dxa"/>
            <w:tcBorders>
              <w:left w:val="nil"/>
              <w:right w:val="nil"/>
            </w:tcBorders>
            <w:vAlign w:val="center"/>
          </w:tcPr>
          <w:p w:rsidR="00D3052E" w:rsidRDefault="00D3052E">
            <w:pPr>
              <w:spacing w:before="60" w:after="60"/>
              <w:ind w:right="-29"/>
              <w:jc w:val="center"/>
              <w:rPr>
                <w:noProof/>
                <w:sz w:val="18"/>
              </w:rPr>
            </w:pPr>
          </w:p>
        </w:tc>
        <w:tc>
          <w:tcPr>
            <w:tcW w:w="593" w:type="dxa"/>
            <w:tcBorders>
              <w:left w:val="nil"/>
              <w:right w:val="nil"/>
            </w:tcBorders>
            <w:vAlign w:val="center"/>
          </w:tcPr>
          <w:p w:rsidR="00D3052E" w:rsidRDefault="00D3052E">
            <w:pPr>
              <w:spacing w:before="60" w:after="60"/>
              <w:ind w:right="-29"/>
              <w:jc w:val="center"/>
              <w:rPr>
                <w:noProof/>
                <w:sz w:val="18"/>
              </w:rPr>
            </w:pPr>
          </w:p>
        </w:tc>
        <w:tc>
          <w:tcPr>
            <w:tcW w:w="564" w:type="dxa"/>
            <w:tcBorders>
              <w:left w:val="nil"/>
              <w:right w:val="nil"/>
            </w:tcBorders>
            <w:vAlign w:val="center"/>
          </w:tcPr>
          <w:p w:rsidR="00D3052E" w:rsidRDefault="00D3052E">
            <w:pPr>
              <w:spacing w:before="60" w:after="60"/>
              <w:ind w:right="-29"/>
              <w:jc w:val="center"/>
              <w:rPr>
                <w:noProof/>
                <w:sz w:val="18"/>
              </w:rPr>
            </w:pPr>
          </w:p>
        </w:tc>
        <w:tc>
          <w:tcPr>
            <w:tcW w:w="623" w:type="dxa"/>
            <w:tcBorders>
              <w:left w:val="nil"/>
              <w:right w:val="nil"/>
            </w:tcBorders>
            <w:vAlign w:val="center"/>
          </w:tcPr>
          <w:p w:rsidR="00D3052E" w:rsidRDefault="00D3052E">
            <w:pPr>
              <w:spacing w:before="60" w:after="60"/>
              <w:ind w:right="-29"/>
              <w:jc w:val="center"/>
              <w:rPr>
                <w:noProof/>
                <w:sz w:val="18"/>
              </w:rPr>
            </w:pPr>
          </w:p>
        </w:tc>
        <w:tc>
          <w:tcPr>
            <w:tcW w:w="593" w:type="dxa"/>
            <w:tcBorders>
              <w:left w:val="nil"/>
              <w:right w:val="nil"/>
            </w:tcBorders>
            <w:vAlign w:val="center"/>
          </w:tcPr>
          <w:p w:rsidR="00D3052E" w:rsidRDefault="00D3052E">
            <w:pPr>
              <w:spacing w:before="60" w:after="60"/>
              <w:ind w:right="-29"/>
              <w:jc w:val="center"/>
              <w:rPr>
                <w:noProof/>
                <w:sz w:val="18"/>
              </w:rPr>
            </w:pPr>
          </w:p>
        </w:tc>
        <w:tc>
          <w:tcPr>
            <w:tcW w:w="593" w:type="dxa"/>
            <w:tcBorders>
              <w:left w:val="nil"/>
              <w:right w:val="nil"/>
            </w:tcBorders>
            <w:vAlign w:val="center"/>
          </w:tcPr>
          <w:p w:rsidR="00D3052E" w:rsidRDefault="00D3052E">
            <w:pPr>
              <w:spacing w:before="60" w:after="60"/>
              <w:ind w:right="-29"/>
              <w:jc w:val="center"/>
              <w:rPr>
                <w:noProof/>
                <w:sz w:val="18"/>
              </w:rPr>
            </w:pPr>
          </w:p>
        </w:tc>
        <w:tc>
          <w:tcPr>
            <w:tcW w:w="594" w:type="dxa"/>
            <w:tcBorders>
              <w:left w:val="nil"/>
              <w:right w:val="nil"/>
            </w:tcBorders>
          </w:tcPr>
          <w:p w:rsidR="00D3052E" w:rsidRDefault="00D3052E">
            <w:pPr>
              <w:spacing w:before="60" w:after="60"/>
              <w:ind w:right="-29"/>
              <w:jc w:val="center"/>
              <w:rPr>
                <w:noProof/>
                <w:sz w:val="18"/>
              </w:rPr>
            </w:pPr>
          </w:p>
        </w:tc>
        <w:tc>
          <w:tcPr>
            <w:tcW w:w="593" w:type="dxa"/>
            <w:tcBorders>
              <w:left w:val="nil"/>
              <w:right w:val="nil"/>
            </w:tcBorders>
          </w:tcPr>
          <w:p w:rsidR="00D3052E" w:rsidRDefault="00D3052E">
            <w:pPr>
              <w:spacing w:before="60" w:after="60"/>
              <w:ind w:right="-29"/>
              <w:jc w:val="center"/>
              <w:rPr>
                <w:noProof/>
                <w:sz w:val="18"/>
              </w:rPr>
            </w:pPr>
          </w:p>
        </w:tc>
        <w:tc>
          <w:tcPr>
            <w:tcW w:w="851" w:type="dxa"/>
            <w:tcBorders>
              <w:left w:val="nil"/>
              <w:right w:val="nil"/>
            </w:tcBorders>
            <w:vAlign w:val="center"/>
          </w:tcPr>
          <w:p w:rsidR="00D3052E" w:rsidRDefault="00D3052E">
            <w:pPr>
              <w:spacing w:before="60" w:after="60"/>
              <w:ind w:right="-29"/>
              <w:jc w:val="center"/>
              <w:rPr>
                <w:noProof/>
                <w:sz w:val="18"/>
              </w:rPr>
            </w:pPr>
          </w:p>
        </w:tc>
        <w:tc>
          <w:tcPr>
            <w:tcW w:w="804" w:type="dxa"/>
            <w:tcBorders>
              <w:left w:val="nil"/>
            </w:tcBorders>
            <w:vAlign w:val="center"/>
          </w:tcPr>
          <w:p w:rsidR="00D3052E" w:rsidRDefault="00D3052E">
            <w:pPr>
              <w:spacing w:before="60" w:after="60"/>
              <w:ind w:right="-29"/>
              <w:jc w:val="center"/>
              <w:rPr>
                <w:noProof/>
                <w:sz w:val="18"/>
              </w:rPr>
            </w:pPr>
          </w:p>
        </w:tc>
      </w:tr>
      <w:tr w:rsidR="00D3052E">
        <w:trPr>
          <w:cantSplit/>
          <w:trHeight w:val="1134"/>
          <w:jc w:val="center"/>
        </w:trPr>
        <w:tc>
          <w:tcPr>
            <w:tcW w:w="1054" w:type="dxa"/>
            <w:vMerge/>
            <w:vAlign w:val="center"/>
          </w:tcPr>
          <w:p w:rsidR="00D3052E" w:rsidRDefault="00D3052E">
            <w:pPr>
              <w:rPr>
                <w:noProof/>
                <w:sz w:val="18"/>
              </w:rPr>
            </w:pPr>
          </w:p>
        </w:tc>
        <w:tc>
          <w:tcPr>
            <w:tcW w:w="562" w:type="dxa"/>
            <w:textDirection w:val="btLr"/>
            <w:vAlign w:val="center"/>
          </w:tcPr>
          <w:p w:rsidR="00D3052E" w:rsidRDefault="00635D2F">
            <w:pPr>
              <w:ind w:left="113" w:right="113"/>
              <w:jc w:val="center"/>
              <w:rPr>
                <w:noProof/>
                <w:sz w:val="18"/>
              </w:rPr>
            </w:pPr>
            <w:r>
              <w:rPr>
                <w:noProof/>
                <w:sz w:val="18"/>
              </w:rPr>
              <w:t>Rodzaj</w:t>
            </w:r>
            <w:r>
              <w:rPr>
                <w:rStyle w:val="Odwoanieprzypisudolnego"/>
                <w:noProof/>
                <w:sz w:val="18"/>
              </w:rPr>
              <w:footnoteReference w:id="44"/>
            </w:r>
          </w:p>
        </w:tc>
        <w:tc>
          <w:tcPr>
            <w:tcW w:w="595" w:type="dxa"/>
            <w:textDirection w:val="btLr"/>
            <w:vAlign w:val="center"/>
          </w:tcPr>
          <w:p w:rsidR="00D3052E" w:rsidRDefault="00635D2F">
            <w:pPr>
              <w:ind w:left="113" w:right="113"/>
              <w:jc w:val="center"/>
              <w:rPr>
                <w:noProof/>
              </w:rPr>
            </w:pPr>
            <w:r>
              <w:rPr>
                <w:noProof/>
                <w:sz w:val="18"/>
              </w:rPr>
              <w:t>Średni koszt</w:t>
            </w:r>
          </w:p>
        </w:tc>
        <w:tc>
          <w:tcPr>
            <w:tcW w:w="594" w:type="dxa"/>
            <w:tcBorders>
              <w:right w:val="dashSmallGap" w:sz="4" w:space="0" w:color="auto"/>
            </w:tcBorders>
            <w:shd w:val="pct10" w:color="auto" w:fill="auto"/>
            <w:textDirection w:val="btLr"/>
            <w:vAlign w:val="center"/>
          </w:tcPr>
          <w:p w:rsidR="00D3052E" w:rsidRDefault="00635D2F">
            <w:pPr>
              <w:ind w:left="113" w:right="113"/>
              <w:jc w:val="center"/>
              <w:rPr>
                <w:noProof/>
              </w:rPr>
            </w:pPr>
            <w:r>
              <w:rPr>
                <w:noProof/>
                <w:sz w:val="18"/>
              </w:rPr>
              <w:t>Liczba</w:t>
            </w:r>
          </w:p>
        </w:tc>
        <w:tc>
          <w:tcPr>
            <w:tcW w:w="593" w:type="dxa"/>
            <w:tcBorders>
              <w:left w:val="dashSmallGap" w:sz="4" w:space="0" w:color="auto"/>
            </w:tcBorders>
            <w:shd w:val="pct10" w:color="auto" w:fill="auto"/>
            <w:vAlign w:val="center"/>
          </w:tcPr>
          <w:p w:rsidR="00D3052E" w:rsidRDefault="00635D2F">
            <w:pPr>
              <w:jc w:val="center"/>
              <w:rPr>
                <w:noProof/>
                <w:sz w:val="18"/>
              </w:rPr>
            </w:pPr>
            <w:r>
              <w:rPr>
                <w:noProof/>
                <w:sz w:val="18"/>
              </w:rPr>
              <w:t>Koszt</w:t>
            </w:r>
          </w:p>
        </w:tc>
        <w:tc>
          <w:tcPr>
            <w:tcW w:w="593" w:type="dxa"/>
            <w:tcBorders>
              <w:right w:val="dashSmallGap" w:sz="4" w:space="0" w:color="auto"/>
            </w:tcBorders>
            <w:shd w:val="pct10" w:color="auto" w:fill="auto"/>
            <w:textDirection w:val="btLr"/>
            <w:vAlign w:val="center"/>
          </w:tcPr>
          <w:p w:rsidR="00D3052E" w:rsidRDefault="00635D2F">
            <w:pPr>
              <w:ind w:left="113" w:right="113"/>
              <w:jc w:val="center"/>
              <w:rPr>
                <w:noProof/>
              </w:rPr>
            </w:pPr>
            <w:r>
              <w:rPr>
                <w:noProof/>
                <w:sz w:val="18"/>
              </w:rPr>
              <w:t>Liczba</w:t>
            </w:r>
          </w:p>
        </w:tc>
        <w:tc>
          <w:tcPr>
            <w:tcW w:w="594" w:type="dxa"/>
            <w:tcBorders>
              <w:left w:val="dashSmallGap" w:sz="4" w:space="0" w:color="auto"/>
            </w:tcBorders>
            <w:shd w:val="pct10" w:color="auto" w:fill="auto"/>
            <w:vAlign w:val="center"/>
          </w:tcPr>
          <w:p w:rsidR="00D3052E" w:rsidRDefault="00635D2F">
            <w:pPr>
              <w:jc w:val="center"/>
              <w:rPr>
                <w:noProof/>
                <w:sz w:val="18"/>
              </w:rPr>
            </w:pPr>
            <w:r>
              <w:rPr>
                <w:noProof/>
                <w:sz w:val="18"/>
              </w:rPr>
              <w:t>Koszt</w:t>
            </w:r>
          </w:p>
        </w:tc>
        <w:tc>
          <w:tcPr>
            <w:tcW w:w="593" w:type="dxa"/>
            <w:tcBorders>
              <w:right w:val="dashSmallGap" w:sz="4" w:space="0" w:color="auto"/>
            </w:tcBorders>
            <w:shd w:val="pct10" w:color="auto" w:fill="auto"/>
            <w:textDirection w:val="btLr"/>
            <w:vAlign w:val="center"/>
          </w:tcPr>
          <w:p w:rsidR="00D3052E" w:rsidRDefault="00635D2F">
            <w:pPr>
              <w:ind w:left="113" w:right="113"/>
              <w:jc w:val="center"/>
              <w:rPr>
                <w:noProof/>
              </w:rPr>
            </w:pPr>
            <w:r>
              <w:rPr>
                <w:noProof/>
                <w:sz w:val="18"/>
              </w:rPr>
              <w:t>Liczba</w:t>
            </w:r>
          </w:p>
        </w:tc>
        <w:tc>
          <w:tcPr>
            <w:tcW w:w="593" w:type="dxa"/>
            <w:tcBorders>
              <w:left w:val="dashSmallGap" w:sz="4" w:space="0" w:color="auto"/>
            </w:tcBorders>
            <w:shd w:val="pct10" w:color="auto" w:fill="auto"/>
            <w:vAlign w:val="center"/>
          </w:tcPr>
          <w:p w:rsidR="00D3052E" w:rsidRDefault="00635D2F">
            <w:pPr>
              <w:jc w:val="center"/>
              <w:rPr>
                <w:noProof/>
                <w:sz w:val="18"/>
              </w:rPr>
            </w:pPr>
            <w:r>
              <w:rPr>
                <w:noProof/>
                <w:sz w:val="18"/>
              </w:rPr>
              <w:t>Koszt</w:t>
            </w:r>
          </w:p>
        </w:tc>
        <w:tc>
          <w:tcPr>
            <w:tcW w:w="594" w:type="dxa"/>
            <w:tcBorders>
              <w:right w:val="dashSmallGap" w:sz="4" w:space="0" w:color="auto"/>
            </w:tcBorders>
            <w:shd w:val="pct10" w:color="auto" w:fill="auto"/>
            <w:textDirection w:val="btLr"/>
            <w:vAlign w:val="center"/>
          </w:tcPr>
          <w:p w:rsidR="00D3052E" w:rsidRDefault="00635D2F">
            <w:pPr>
              <w:ind w:left="113" w:right="113"/>
              <w:jc w:val="center"/>
              <w:rPr>
                <w:noProof/>
              </w:rPr>
            </w:pPr>
            <w:r>
              <w:rPr>
                <w:noProof/>
                <w:sz w:val="18"/>
              </w:rPr>
              <w:t>Liczba</w:t>
            </w:r>
          </w:p>
        </w:tc>
        <w:tc>
          <w:tcPr>
            <w:tcW w:w="593" w:type="dxa"/>
            <w:tcBorders>
              <w:left w:val="dashSmallGap" w:sz="4" w:space="0" w:color="auto"/>
            </w:tcBorders>
            <w:shd w:val="pct10" w:color="auto" w:fill="auto"/>
            <w:vAlign w:val="center"/>
          </w:tcPr>
          <w:p w:rsidR="00D3052E" w:rsidRDefault="00635D2F">
            <w:pPr>
              <w:jc w:val="center"/>
              <w:rPr>
                <w:noProof/>
                <w:sz w:val="18"/>
              </w:rPr>
            </w:pPr>
            <w:r>
              <w:rPr>
                <w:noProof/>
                <w:sz w:val="18"/>
              </w:rPr>
              <w:t>Koszt</w:t>
            </w:r>
          </w:p>
        </w:tc>
        <w:tc>
          <w:tcPr>
            <w:tcW w:w="564" w:type="dxa"/>
            <w:tcBorders>
              <w:right w:val="dashSmallGap" w:sz="4" w:space="0" w:color="auto"/>
            </w:tcBorders>
            <w:shd w:val="pct10" w:color="auto" w:fill="auto"/>
            <w:textDirection w:val="btLr"/>
            <w:vAlign w:val="center"/>
          </w:tcPr>
          <w:p w:rsidR="00D3052E" w:rsidRDefault="00635D2F">
            <w:pPr>
              <w:ind w:left="113" w:right="113"/>
              <w:jc w:val="center"/>
              <w:rPr>
                <w:noProof/>
              </w:rPr>
            </w:pPr>
            <w:r>
              <w:rPr>
                <w:noProof/>
                <w:sz w:val="18"/>
              </w:rPr>
              <w:t>Liczba</w:t>
            </w:r>
          </w:p>
        </w:tc>
        <w:tc>
          <w:tcPr>
            <w:tcW w:w="623" w:type="dxa"/>
            <w:tcBorders>
              <w:left w:val="dashSmallGap" w:sz="4" w:space="0" w:color="auto"/>
            </w:tcBorders>
            <w:shd w:val="pct10" w:color="auto" w:fill="auto"/>
            <w:vAlign w:val="center"/>
          </w:tcPr>
          <w:p w:rsidR="00D3052E" w:rsidRDefault="00635D2F">
            <w:pPr>
              <w:jc w:val="center"/>
              <w:rPr>
                <w:noProof/>
                <w:sz w:val="18"/>
              </w:rPr>
            </w:pPr>
            <w:r>
              <w:rPr>
                <w:noProof/>
                <w:sz w:val="18"/>
              </w:rPr>
              <w:t>Koszt</w:t>
            </w:r>
          </w:p>
        </w:tc>
        <w:tc>
          <w:tcPr>
            <w:tcW w:w="593" w:type="dxa"/>
            <w:shd w:val="pct10" w:color="auto" w:fill="auto"/>
            <w:textDirection w:val="btLr"/>
            <w:vAlign w:val="center"/>
          </w:tcPr>
          <w:p w:rsidR="00D3052E" w:rsidRDefault="00635D2F">
            <w:pPr>
              <w:ind w:left="113" w:right="113"/>
              <w:jc w:val="center"/>
              <w:rPr>
                <w:noProof/>
              </w:rPr>
            </w:pPr>
            <w:r>
              <w:rPr>
                <w:noProof/>
                <w:sz w:val="18"/>
              </w:rPr>
              <w:t>Liczba</w:t>
            </w:r>
          </w:p>
        </w:tc>
        <w:tc>
          <w:tcPr>
            <w:tcW w:w="593" w:type="dxa"/>
            <w:shd w:val="pct10" w:color="auto" w:fill="FFFFFF"/>
            <w:vAlign w:val="center"/>
          </w:tcPr>
          <w:p w:rsidR="00D3052E" w:rsidRDefault="00635D2F">
            <w:pPr>
              <w:jc w:val="center"/>
              <w:rPr>
                <w:noProof/>
                <w:sz w:val="18"/>
              </w:rPr>
            </w:pPr>
            <w:r>
              <w:rPr>
                <w:noProof/>
                <w:sz w:val="18"/>
              </w:rPr>
              <w:t>Koszt</w:t>
            </w:r>
          </w:p>
        </w:tc>
        <w:tc>
          <w:tcPr>
            <w:tcW w:w="594" w:type="dxa"/>
            <w:shd w:val="pct10" w:color="auto" w:fill="FFFFFF"/>
            <w:textDirection w:val="btLr"/>
            <w:vAlign w:val="center"/>
          </w:tcPr>
          <w:p w:rsidR="00D3052E" w:rsidRDefault="00635D2F">
            <w:pPr>
              <w:jc w:val="center"/>
              <w:rPr>
                <w:noProof/>
                <w:sz w:val="18"/>
              </w:rPr>
            </w:pPr>
            <w:r>
              <w:rPr>
                <w:noProof/>
                <w:sz w:val="18"/>
              </w:rPr>
              <w:t>Liczba</w:t>
            </w:r>
          </w:p>
        </w:tc>
        <w:tc>
          <w:tcPr>
            <w:tcW w:w="593" w:type="dxa"/>
            <w:shd w:val="pct10" w:color="auto" w:fill="FFFFFF"/>
            <w:vAlign w:val="center"/>
          </w:tcPr>
          <w:p w:rsidR="00D3052E" w:rsidRDefault="00635D2F">
            <w:pPr>
              <w:jc w:val="center"/>
              <w:rPr>
                <w:noProof/>
                <w:sz w:val="18"/>
              </w:rPr>
            </w:pPr>
            <w:r>
              <w:rPr>
                <w:noProof/>
                <w:sz w:val="18"/>
              </w:rPr>
              <w:t>Koszt</w:t>
            </w:r>
          </w:p>
        </w:tc>
        <w:tc>
          <w:tcPr>
            <w:tcW w:w="851" w:type="dxa"/>
            <w:tcBorders>
              <w:right w:val="dashSmallGap" w:sz="4" w:space="0" w:color="auto"/>
            </w:tcBorders>
            <w:shd w:val="pct10" w:color="auto" w:fill="auto"/>
            <w:vAlign w:val="center"/>
          </w:tcPr>
          <w:p w:rsidR="00D3052E" w:rsidRDefault="00635D2F">
            <w:pPr>
              <w:jc w:val="center"/>
              <w:rPr>
                <w:noProof/>
                <w:sz w:val="18"/>
              </w:rPr>
            </w:pPr>
            <w:r>
              <w:rPr>
                <w:noProof/>
                <w:sz w:val="18"/>
              </w:rPr>
              <w:t>Liczba ogółem</w:t>
            </w:r>
          </w:p>
        </w:tc>
        <w:tc>
          <w:tcPr>
            <w:tcW w:w="804" w:type="dxa"/>
            <w:tcBorders>
              <w:left w:val="dashSmallGap" w:sz="4" w:space="0" w:color="auto"/>
            </w:tcBorders>
            <w:shd w:val="pct10" w:color="auto" w:fill="auto"/>
            <w:vAlign w:val="center"/>
          </w:tcPr>
          <w:p w:rsidR="00D3052E" w:rsidRDefault="00635D2F">
            <w:pPr>
              <w:jc w:val="center"/>
              <w:rPr>
                <w:noProof/>
              </w:rPr>
            </w:pPr>
            <w:r>
              <w:rPr>
                <w:noProof/>
                <w:sz w:val="18"/>
              </w:rPr>
              <w:t>Koszt całkowity</w:t>
            </w:r>
          </w:p>
        </w:tc>
      </w:tr>
      <w:tr w:rsidR="00D3052E">
        <w:trPr>
          <w:jc w:val="center"/>
        </w:trPr>
        <w:tc>
          <w:tcPr>
            <w:tcW w:w="2211" w:type="dxa"/>
            <w:gridSpan w:val="3"/>
            <w:vAlign w:val="center"/>
          </w:tcPr>
          <w:p w:rsidR="00D3052E" w:rsidRDefault="00635D2F">
            <w:pPr>
              <w:spacing w:before="60" w:after="60"/>
              <w:ind w:right="-29"/>
              <w:jc w:val="center"/>
              <w:rPr>
                <w:noProof/>
                <w:sz w:val="18"/>
              </w:rPr>
            </w:pPr>
            <w:r>
              <w:rPr>
                <w:noProof/>
                <w:sz w:val="18"/>
              </w:rPr>
              <w:t>CEL SZCZEGÓŁOWY nr 1</w:t>
            </w:r>
            <w:r>
              <w:rPr>
                <w:rStyle w:val="Odwoanieprzypisudolnego"/>
                <w:noProof/>
                <w:sz w:val="18"/>
              </w:rPr>
              <w:footnoteReference w:id="45"/>
            </w:r>
          </w:p>
        </w:tc>
        <w:tc>
          <w:tcPr>
            <w:tcW w:w="594" w:type="dxa"/>
            <w:tcBorders>
              <w:top w:val="nil"/>
              <w:bottom w:val="nil"/>
              <w:right w:val="dashSmallGap" w:sz="4" w:space="0" w:color="auto"/>
            </w:tcBorders>
          </w:tcPr>
          <w:p w:rsidR="00D3052E" w:rsidRDefault="00D3052E">
            <w:pPr>
              <w:spacing w:before="60" w:after="60"/>
              <w:ind w:right="-29"/>
              <w:jc w:val="center"/>
              <w:rPr>
                <w:noProof/>
                <w:sz w:val="18"/>
              </w:rPr>
            </w:pPr>
          </w:p>
        </w:tc>
        <w:tc>
          <w:tcPr>
            <w:tcW w:w="593" w:type="dxa"/>
            <w:tcBorders>
              <w:left w:val="dashSmallGap" w:sz="4" w:space="0" w:color="auto"/>
              <w:bottom w:val="nil"/>
            </w:tcBorders>
          </w:tcPr>
          <w:p w:rsidR="00D3052E" w:rsidRDefault="00D3052E">
            <w:pPr>
              <w:spacing w:before="60" w:after="60"/>
              <w:ind w:right="-29"/>
              <w:jc w:val="center"/>
              <w:rPr>
                <w:noProof/>
                <w:sz w:val="18"/>
              </w:rPr>
            </w:pPr>
          </w:p>
        </w:tc>
        <w:tc>
          <w:tcPr>
            <w:tcW w:w="593" w:type="dxa"/>
            <w:tcBorders>
              <w:top w:val="single" w:sz="4" w:space="0" w:color="auto"/>
              <w:bottom w:val="nil"/>
              <w:right w:val="nil"/>
            </w:tcBorders>
          </w:tcPr>
          <w:p w:rsidR="00D3052E" w:rsidRDefault="00D3052E">
            <w:pPr>
              <w:spacing w:before="60" w:after="60"/>
              <w:ind w:right="-29"/>
              <w:jc w:val="center"/>
              <w:rPr>
                <w:noProof/>
                <w:sz w:val="18"/>
              </w:rPr>
            </w:pPr>
          </w:p>
        </w:tc>
        <w:tc>
          <w:tcPr>
            <w:tcW w:w="594" w:type="dxa"/>
            <w:tcBorders>
              <w:top w:val="nil"/>
              <w:left w:val="nil"/>
              <w:bottom w:val="nil"/>
              <w:right w:val="nil"/>
            </w:tcBorders>
          </w:tcPr>
          <w:p w:rsidR="00D3052E" w:rsidRDefault="00D3052E">
            <w:pPr>
              <w:spacing w:before="60" w:after="60"/>
              <w:ind w:right="-29"/>
              <w:jc w:val="center"/>
              <w:rPr>
                <w:noProof/>
                <w:sz w:val="18"/>
              </w:rPr>
            </w:pPr>
          </w:p>
        </w:tc>
        <w:tc>
          <w:tcPr>
            <w:tcW w:w="593" w:type="dxa"/>
            <w:tcBorders>
              <w:top w:val="nil"/>
              <w:left w:val="nil"/>
              <w:bottom w:val="nil"/>
              <w:right w:val="nil"/>
            </w:tcBorders>
          </w:tcPr>
          <w:p w:rsidR="00D3052E" w:rsidRDefault="00D3052E">
            <w:pPr>
              <w:spacing w:before="60" w:after="60"/>
              <w:ind w:right="-29"/>
              <w:jc w:val="center"/>
              <w:rPr>
                <w:noProof/>
                <w:sz w:val="18"/>
              </w:rPr>
            </w:pPr>
          </w:p>
        </w:tc>
        <w:tc>
          <w:tcPr>
            <w:tcW w:w="593" w:type="dxa"/>
            <w:tcBorders>
              <w:top w:val="nil"/>
              <w:left w:val="nil"/>
              <w:bottom w:val="nil"/>
              <w:right w:val="nil"/>
            </w:tcBorders>
          </w:tcPr>
          <w:p w:rsidR="00D3052E" w:rsidRDefault="00D3052E">
            <w:pPr>
              <w:spacing w:before="60" w:after="60"/>
              <w:ind w:right="-29"/>
              <w:jc w:val="center"/>
              <w:rPr>
                <w:noProof/>
                <w:sz w:val="18"/>
              </w:rPr>
            </w:pPr>
          </w:p>
        </w:tc>
        <w:tc>
          <w:tcPr>
            <w:tcW w:w="594" w:type="dxa"/>
            <w:tcBorders>
              <w:top w:val="nil"/>
              <w:left w:val="nil"/>
              <w:bottom w:val="nil"/>
              <w:right w:val="nil"/>
            </w:tcBorders>
          </w:tcPr>
          <w:p w:rsidR="00D3052E" w:rsidRDefault="00D3052E">
            <w:pPr>
              <w:spacing w:before="60" w:after="60"/>
              <w:ind w:right="-29"/>
              <w:jc w:val="center"/>
              <w:rPr>
                <w:noProof/>
                <w:sz w:val="18"/>
              </w:rPr>
            </w:pPr>
          </w:p>
        </w:tc>
        <w:tc>
          <w:tcPr>
            <w:tcW w:w="593" w:type="dxa"/>
            <w:tcBorders>
              <w:top w:val="nil"/>
              <w:left w:val="nil"/>
              <w:bottom w:val="nil"/>
              <w:right w:val="nil"/>
            </w:tcBorders>
          </w:tcPr>
          <w:p w:rsidR="00D3052E" w:rsidRDefault="00D3052E">
            <w:pPr>
              <w:spacing w:before="60" w:after="60"/>
              <w:ind w:right="-29"/>
              <w:jc w:val="center"/>
              <w:rPr>
                <w:noProof/>
                <w:sz w:val="18"/>
              </w:rPr>
            </w:pPr>
          </w:p>
        </w:tc>
        <w:tc>
          <w:tcPr>
            <w:tcW w:w="564" w:type="dxa"/>
            <w:tcBorders>
              <w:top w:val="nil"/>
              <w:left w:val="nil"/>
              <w:bottom w:val="nil"/>
              <w:right w:val="nil"/>
            </w:tcBorders>
          </w:tcPr>
          <w:p w:rsidR="00D3052E" w:rsidRDefault="00D3052E">
            <w:pPr>
              <w:spacing w:before="60" w:after="60"/>
              <w:ind w:right="-29"/>
              <w:jc w:val="center"/>
              <w:rPr>
                <w:noProof/>
                <w:sz w:val="18"/>
              </w:rPr>
            </w:pPr>
          </w:p>
        </w:tc>
        <w:tc>
          <w:tcPr>
            <w:tcW w:w="623" w:type="dxa"/>
            <w:tcBorders>
              <w:top w:val="nil"/>
              <w:left w:val="nil"/>
              <w:bottom w:val="nil"/>
              <w:right w:val="nil"/>
            </w:tcBorders>
          </w:tcPr>
          <w:p w:rsidR="00D3052E" w:rsidRDefault="00D3052E">
            <w:pPr>
              <w:spacing w:before="60" w:after="60"/>
              <w:ind w:right="-29"/>
              <w:jc w:val="center"/>
              <w:rPr>
                <w:noProof/>
                <w:sz w:val="18"/>
              </w:rPr>
            </w:pPr>
          </w:p>
        </w:tc>
        <w:tc>
          <w:tcPr>
            <w:tcW w:w="593" w:type="dxa"/>
            <w:tcBorders>
              <w:top w:val="nil"/>
              <w:left w:val="nil"/>
              <w:bottom w:val="nil"/>
              <w:right w:val="nil"/>
            </w:tcBorders>
          </w:tcPr>
          <w:p w:rsidR="00D3052E" w:rsidRDefault="00D3052E">
            <w:pPr>
              <w:spacing w:before="60" w:after="60"/>
              <w:ind w:right="-29"/>
              <w:jc w:val="center"/>
              <w:rPr>
                <w:noProof/>
                <w:sz w:val="18"/>
              </w:rPr>
            </w:pPr>
          </w:p>
        </w:tc>
        <w:tc>
          <w:tcPr>
            <w:tcW w:w="593" w:type="dxa"/>
            <w:tcBorders>
              <w:left w:val="nil"/>
              <w:right w:val="nil"/>
            </w:tcBorders>
          </w:tcPr>
          <w:p w:rsidR="00D3052E" w:rsidRDefault="00D3052E">
            <w:pPr>
              <w:spacing w:before="60" w:after="60"/>
              <w:ind w:right="-29"/>
              <w:jc w:val="center"/>
              <w:rPr>
                <w:noProof/>
                <w:sz w:val="18"/>
              </w:rPr>
            </w:pPr>
          </w:p>
        </w:tc>
        <w:tc>
          <w:tcPr>
            <w:tcW w:w="594" w:type="dxa"/>
            <w:tcBorders>
              <w:left w:val="nil"/>
              <w:right w:val="nil"/>
            </w:tcBorders>
          </w:tcPr>
          <w:p w:rsidR="00D3052E" w:rsidRDefault="00D3052E">
            <w:pPr>
              <w:spacing w:before="60" w:after="60"/>
              <w:ind w:right="-29"/>
              <w:jc w:val="center"/>
              <w:rPr>
                <w:noProof/>
                <w:sz w:val="18"/>
              </w:rPr>
            </w:pPr>
          </w:p>
        </w:tc>
        <w:tc>
          <w:tcPr>
            <w:tcW w:w="593" w:type="dxa"/>
            <w:tcBorders>
              <w:left w:val="nil"/>
              <w:right w:val="nil"/>
            </w:tcBorders>
          </w:tcPr>
          <w:p w:rsidR="00D3052E" w:rsidRDefault="00D3052E">
            <w:pPr>
              <w:spacing w:before="60" w:after="60"/>
              <w:ind w:right="-29"/>
              <w:jc w:val="center"/>
              <w:rPr>
                <w:noProof/>
                <w:sz w:val="18"/>
              </w:rPr>
            </w:pPr>
          </w:p>
        </w:tc>
        <w:tc>
          <w:tcPr>
            <w:tcW w:w="851" w:type="dxa"/>
            <w:tcBorders>
              <w:top w:val="nil"/>
              <w:left w:val="nil"/>
              <w:bottom w:val="nil"/>
              <w:right w:val="nil"/>
            </w:tcBorders>
          </w:tcPr>
          <w:p w:rsidR="00D3052E" w:rsidRDefault="00D3052E">
            <w:pPr>
              <w:spacing w:before="60" w:after="60"/>
              <w:ind w:right="-29"/>
              <w:jc w:val="center"/>
              <w:rPr>
                <w:noProof/>
                <w:sz w:val="18"/>
              </w:rPr>
            </w:pPr>
          </w:p>
        </w:tc>
        <w:tc>
          <w:tcPr>
            <w:tcW w:w="804" w:type="dxa"/>
            <w:tcBorders>
              <w:top w:val="nil"/>
              <w:left w:val="nil"/>
              <w:bottom w:val="nil"/>
              <w:right w:val="nil"/>
            </w:tcBorders>
          </w:tcPr>
          <w:p w:rsidR="00D3052E" w:rsidRDefault="00D3052E">
            <w:pPr>
              <w:spacing w:before="60" w:after="60"/>
              <w:ind w:right="-29"/>
              <w:jc w:val="center"/>
              <w:rPr>
                <w:noProof/>
                <w:sz w:val="18"/>
              </w:rPr>
            </w:pPr>
          </w:p>
        </w:tc>
      </w:tr>
      <w:tr w:rsidR="00D3052E">
        <w:trPr>
          <w:trHeight w:hRule="exact" w:val="387"/>
          <w:jc w:val="center"/>
        </w:trPr>
        <w:tc>
          <w:tcPr>
            <w:tcW w:w="1054" w:type="dxa"/>
          </w:tcPr>
          <w:p w:rsidR="00D3052E" w:rsidRDefault="00635D2F">
            <w:pPr>
              <w:ind w:right="-29"/>
              <w:jc w:val="center"/>
              <w:rPr>
                <w:noProof/>
                <w:sz w:val="18"/>
              </w:rPr>
            </w:pPr>
            <w:r>
              <w:rPr>
                <w:noProof/>
                <w:sz w:val="18"/>
              </w:rPr>
              <w:t>- Produkt</w:t>
            </w:r>
          </w:p>
        </w:tc>
        <w:tc>
          <w:tcPr>
            <w:tcW w:w="562" w:type="dxa"/>
          </w:tcPr>
          <w:p w:rsidR="00D3052E" w:rsidRDefault="00D3052E">
            <w:pPr>
              <w:ind w:right="-29"/>
              <w:jc w:val="center"/>
              <w:rPr>
                <w:noProof/>
                <w:sz w:val="18"/>
              </w:rPr>
            </w:pPr>
          </w:p>
        </w:tc>
        <w:tc>
          <w:tcPr>
            <w:tcW w:w="595" w:type="dxa"/>
          </w:tcPr>
          <w:p w:rsidR="00D3052E" w:rsidRDefault="00D3052E">
            <w:pPr>
              <w:ind w:right="-29"/>
              <w:jc w:val="center"/>
              <w:rPr>
                <w:noProof/>
                <w:sz w:val="18"/>
              </w:rPr>
            </w:pPr>
          </w:p>
        </w:tc>
        <w:tc>
          <w:tcPr>
            <w:tcW w:w="594" w:type="dxa"/>
            <w:tcBorders>
              <w:right w:val="dashSmallGap" w:sz="4" w:space="0" w:color="auto"/>
            </w:tcBorders>
            <w:vAlign w:val="center"/>
          </w:tcPr>
          <w:p w:rsidR="00D3052E" w:rsidRDefault="00D3052E">
            <w:pPr>
              <w:ind w:right="-29"/>
              <w:jc w:val="center"/>
              <w:rPr>
                <w:noProof/>
                <w:sz w:val="18"/>
              </w:rPr>
            </w:pPr>
          </w:p>
        </w:tc>
        <w:tc>
          <w:tcPr>
            <w:tcW w:w="593" w:type="dxa"/>
            <w:vMerge w:val="restart"/>
            <w:tcBorders>
              <w:left w:val="dashSmallGap" w:sz="4" w:space="0" w:color="auto"/>
            </w:tcBorders>
            <w:vAlign w:val="center"/>
          </w:tcPr>
          <w:p w:rsidR="00D3052E" w:rsidRDefault="00D3052E">
            <w:pPr>
              <w:ind w:right="-29"/>
              <w:jc w:val="center"/>
              <w:rPr>
                <w:noProof/>
                <w:sz w:val="18"/>
              </w:rPr>
            </w:pPr>
          </w:p>
        </w:tc>
        <w:tc>
          <w:tcPr>
            <w:tcW w:w="593" w:type="dxa"/>
            <w:tcBorders>
              <w:right w:val="dashSmallGap" w:sz="4" w:space="0" w:color="auto"/>
            </w:tcBorders>
            <w:vAlign w:val="center"/>
          </w:tcPr>
          <w:p w:rsidR="00D3052E" w:rsidRDefault="00D3052E">
            <w:pPr>
              <w:ind w:right="-29"/>
              <w:jc w:val="center"/>
              <w:rPr>
                <w:noProof/>
                <w:sz w:val="18"/>
              </w:rPr>
            </w:pPr>
          </w:p>
        </w:tc>
        <w:tc>
          <w:tcPr>
            <w:tcW w:w="594" w:type="dxa"/>
            <w:tcBorders>
              <w:left w:val="dashSmallGap" w:sz="4" w:space="0" w:color="auto"/>
            </w:tcBorders>
            <w:vAlign w:val="center"/>
          </w:tcPr>
          <w:p w:rsidR="00D3052E" w:rsidRDefault="00D3052E">
            <w:pPr>
              <w:ind w:right="-29"/>
              <w:jc w:val="center"/>
              <w:rPr>
                <w:noProof/>
                <w:sz w:val="18"/>
              </w:rPr>
            </w:pPr>
          </w:p>
        </w:tc>
        <w:tc>
          <w:tcPr>
            <w:tcW w:w="593" w:type="dxa"/>
            <w:tcBorders>
              <w:right w:val="dashSmallGap" w:sz="4" w:space="0" w:color="auto"/>
            </w:tcBorders>
            <w:vAlign w:val="center"/>
          </w:tcPr>
          <w:p w:rsidR="00D3052E" w:rsidRDefault="00D3052E">
            <w:pPr>
              <w:ind w:right="-29"/>
              <w:jc w:val="center"/>
              <w:rPr>
                <w:noProof/>
                <w:sz w:val="18"/>
              </w:rPr>
            </w:pPr>
          </w:p>
        </w:tc>
        <w:tc>
          <w:tcPr>
            <w:tcW w:w="593" w:type="dxa"/>
            <w:tcBorders>
              <w:left w:val="dashSmallGap" w:sz="4" w:space="0" w:color="auto"/>
            </w:tcBorders>
            <w:vAlign w:val="center"/>
          </w:tcPr>
          <w:p w:rsidR="00D3052E" w:rsidRDefault="00D3052E">
            <w:pPr>
              <w:ind w:right="-29"/>
              <w:jc w:val="center"/>
              <w:rPr>
                <w:noProof/>
                <w:sz w:val="18"/>
              </w:rPr>
            </w:pPr>
          </w:p>
        </w:tc>
        <w:tc>
          <w:tcPr>
            <w:tcW w:w="594" w:type="dxa"/>
            <w:tcBorders>
              <w:right w:val="dashSmallGap" w:sz="4" w:space="0" w:color="auto"/>
            </w:tcBorders>
            <w:vAlign w:val="center"/>
          </w:tcPr>
          <w:p w:rsidR="00D3052E" w:rsidRDefault="00D3052E">
            <w:pPr>
              <w:ind w:right="-29"/>
              <w:jc w:val="center"/>
              <w:rPr>
                <w:noProof/>
                <w:sz w:val="18"/>
              </w:rPr>
            </w:pPr>
          </w:p>
        </w:tc>
        <w:tc>
          <w:tcPr>
            <w:tcW w:w="593" w:type="dxa"/>
            <w:tcBorders>
              <w:left w:val="dashSmallGap" w:sz="4" w:space="0" w:color="auto"/>
            </w:tcBorders>
            <w:vAlign w:val="center"/>
          </w:tcPr>
          <w:p w:rsidR="00D3052E" w:rsidRDefault="00D3052E">
            <w:pPr>
              <w:ind w:right="-29"/>
              <w:jc w:val="center"/>
              <w:rPr>
                <w:noProof/>
                <w:sz w:val="18"/>
              </w:rPr>
            </w:pPr>
          </w:p>
        </w:tc>
        <w:tc>
          <w:tcPr>
            <w:tcW w:w="564" w:type="dxa"/>
            <w:tcBorders>
              <w:right w:val="dashSmallGap" w:sz="4" w:space="0" w:color="auto"/>
            </w:tcBorders>
            <w:vAlign w:val="center"/>
          </w:tcPr>
          <w:p w:rsidR="00D3052E" w:rsidRDefault="00D3052E">
            <w:pPr>
              <w:ind w:right="-29"/>
              <w:jc w:val="center"/>
              <w:rPr>
                <w:noProof/>
                <w:sz w:val="18"/>
              </w:rPr>
            </w:pPr>
          </w:p>
        </w:tc>
        <w:tc>
          <w:tcPr>
            <w:tcW w:w="623" w:type="dxa"/>
            <w:tcBorders>
              <w:left w:val="dashSmallGap" w:sz="4" w:space="0" w:color="auto"/>
            </w:tcBorders>
            <w:vAlign w:val="center"/>
          </w:tcPr>
          <w:p w:rsidR="00D3052E" w:rsidRDefault="00D3052E">
            <w:pPr>
              <w:ind w:right="-29"/>
              <w:jc w:val="center"/>
              <w:rPr>
                <w:noProof/>
                <w:sz w:val="18"/>
              </w:rPr>
            </w:pPr>
          </w:p>
        </w:tc>
        <w:tc>
          <w:tcPr>
            <w:tcW w:w="593" w:type="dxa"/>
            <w:vAlign w:val="center"/>
          </w:tcPr>
          <w:p w:rsidR="00D3052E" w:rsidRDefault="00D3052E">
            <w:pPr>
              <w:ind w:right="-29"/>
              <w:jc w:val="center"/>
              <w:rPr>
                <w:noProof/>
                <w:sz w:val="18"/>
              </w:rPr>
            </w:pPr>
          </w:p>
        </w:tc>
        <w:tc>
          <w:tcPr>
            <w:tcW w:w="593" w:type="dxa"/>
            <w:tcBorders>
              <w:bottom w:val="single" w:sz="4" w:space="0" w:color="auto"/>
            </w:tcBorders>
            <w:vAlign w:val="center"/>
          </w:tcPr>
          <w:p w:rsidR="00D3052E" w:rsidRDefault="00D3052E">
            <w:pPr>
              <w:ind w:right="-29"/>
              <w:jc w:val="center"/>
              <w:rPr>
                <w:noProof/>
                <w:sz w:val="18"/>
              </w:rPr>
            </w:pPr>
          </w:p>
        </w:tc>
        <w:tc>
          <w:tcPr>
            <w:tcW w:w="594" w:type="dxa"/>
            <w:tcBorders>
              <w:bottom w:val="single" w:sz="4" w:space="0" w:color="auto"/>
            </w:tcBorders>
            <w:vAlign w:val="center"/>
          </w:tcPr>
          <w:p w:rsidR="00D3052E" w:rsidRDefault="00D3052E">
            <w:pPr>
              <w:ind w:right="-29"/>
              <w:jc w:val="center"/>
              <w:rPr>
                <w:noProof/>
                <w:sz w:val="18"/>
              </w:rPr>
            </w:pPr>
          </w:p>
        </w:tc>
        <w:tc>
          <w:tcPr>
            <w:tcW w:w="593" w:type="dxa"/>
            <w:tcBorders>
              <w:bottom w:val="single" w:sz="4" w:space="0" w:color="auto"/>
            </w:tcBorders>
            <w:vAlign w:val="center"/>
          </w:tcPr>
          <w:p w:rsidR="00D3052E" w:rsidRDefault="00D3052E">
            <w:pPr>
              <w:ind w:right="-29"/>
              <w:jc w:val="center"/>
              <w:rPr>
                <w:noProof/>
                <w:sz w:val="18"/>
              </w:rPr>
            </w:pPr>
          </w:p>
        </w:tc>
        <w:tc>
          <w:tcPr>
            <w:tcW w:w="851" w:type="dxa"/>
            <w:vAlign w:val="center"/>
          </w:tcPr>
          <w:p w:rsidR="00D3052E" w:rsidRDefault="00D3052E">
            <w:pPr>
              <w:ind w:right="-29"/>
              <w:jc w:val="center"/>
              <w:rPr>
                <w:noProof/>
                <w:sz w:val="18"/>
              </w:rPr>
            </w:pPr>
          </w:p>
        </w:tc>
        <w:tc>
          <w:tcPr>
            <w:tcW w:w="804" w:type="dxa"/>
            <w:vAlign w:val="center"/>
          </w:tcPr>
          <w:p w:rsidR="00D3052E" w:rsidRDefault="00D3052E">
            <w:pPr>
              <w:ind w:right="-29"/>
              <w:jc w:val="center"/>
              <w:rPr>
                <w:noProof/>
                <w:sz w:val="18"/>
              </w:rPr>
            </w:pPr>
          </w:p>
        </w:tc>
      </w:tr>
      <w:tr w:rsidR="00D3052E">
        <w:trPr>
          <w:jc w:val="center"/>
        </w:trPr>
        <w:tc>
          <w:tcPr>
            <w:tcW w:w="2211" w:type="dxa"/>
            <w:gridSpan w:val="3"/>
            <w:tcBorders>
              <w:bottom w:val="single" w:sz="12" w:space="0" w:color="auto"/>
            </w:tcBorders>
            <w:vAlign w:val="center"/>
          </w:tcPr>
          <w:p w:rsidR="00D3052E" w:rsidRDefault="00635D2F">
            <w:pPr>
              <w:ind w:right="-29"/>
              <w:jc w:val="center"/>
              <w:rPr>
                <w:noProof/>
                <w:sz w:val="18"/>
              </w:rPr>
            </w:pPr>
            <w:r>
              <w:rPr>
                <w:noProof/>
                <w:sz w:val="18"/>
              </w:rPr>
              <w:t>Cel szczegółowy nr 1 – suma cząstkowa</w:t>
            </w:r>
          </w:p>
        </w:tc>
        <w:tc>
          <w:tcPr>
            <w:tcW w:w="594" w:type="dxa"/>
            <w:tcBorders>
              <w:bottom w:val="single" w:sz="12" w:space="0" w:color="auto"/>
              <w:right w:val="dashSmallGap" w:sz="4" w:space="0" w:color="auto"/>
            </w:tcBorders>
            <w:vAlign w:val="center"/>
          </w:tcPr>
          <w:p w:rsidR="00D3052E" w:rsidRDefault="00D3052E">
            <w:pPr>
              <w:ind w:right="-29"/>
              <w:jc w:val="center"/>
              <w:rPr>
                <w:noProof/>
                <w:sz w:val="18"/>
              </w:rPr>
            </w:pPr>
          </w:p>
        </w:tc>
        <w:tc>
          <w:tcPr>
            <w:tcW w:w="593" w:type="dxa"/>
            <w:vMerge/>
            <w:tcBorders>
              <w:left w:val="dashSmallGap" w:sz="4" w:space="0" w:color="auto"/>
              <w:bottom w:val="single" w:sz="12" w:space="0" w:color="auto"/>
            </w:tcBorders>
            <w:vAlign w:val="center"/>
          </w:tcPr>
          <w:p w:rsidR="00D3052E" w:rsidRDefault="00D3052E">
            <w:pPr>
              <w:ind w:right="-29"/>
              <w:jc w:val="center"/>
              <w:rPr>
                <w:noProof/>
                <w:sz w:val="18"/>
              </w:rPr>
            </w:pPr>
          </w:p>
        </w:tc>
        <w:tc>
          <w:tcPr>
            <w:tcW w:w="593" w:type="dxa"/>
            <w:tcBorders>
              <w:bottom w:val="single" w:sz="12" w:space="0" w:color="auto"/>
            </w:tcBorders>
            <w:vAlign w:val="center"/>
          </w:tcPr>
          <w:p w:rsidR="00D3052E" w:rsidRDefault="00D3052E">
            <w:pPr>
              <w:ind w:right="-29"/>
              <w:jc w:val="center"/>
              <w:rPr>
                <w:noProof/>
                <w:sz w:val="18"/>
              </w:rPr>
            </w:pPr>
          </w:p>
        </w:tc>
        <w:tc>
          <w:tcPr>
            <w:tcW w:w="594" w:type="dxa"/>
            <w:tcBorders>
              <w:bottom w:val="single" w:sz="12" w:space="0" w:color="auto"/>
            </w:tcBorders>
            <w:vAlign w:val="center"/>
          </w:tcPr>
          <w:p w:rsidR="00D3052E" w:rsidRDefault="00D3052E">
            <w:pPr>
              <w:ind w:right="-29"/>
              <w:jc w:val="center"/>
              <w:rPr>
                <w:noProof/>
                <w:sz w:val="18"/>
              </w:rPr>
            </w:pPr>
          </w:p>
        </w:tc>
        <w:tc>
          <w:tcPr>
            <w:tcW w:w="593" w:type="dxa"/>
            <w:tcBorders>
              <w:bottom w:val="single" w:sz="12" w:space="0" w:color="auto"/>
            </w:tcBorders>
            <w:vAlign w:val="center"/>
          </w:tcPr>
          <w:p w:rsidR="00D3052E" w:rsidRDefault="00D3052E">
            <w:pPr>
              <w:ind w:right="-29"/>
              <w:jc w:val="center"/>
              <w:rPr>
                <w:noProof/>
                <w:sz w:val="18"/>
              </w:rPr>
            </w:pPr>
          </w:p>
        </w:tc>
        <w:tc>
          <w:tcPr>
            <w:tcW w:w="593" w:type="dxa"/>
            <w:tcBorders>
              <w:bottom w:val="single" w:sz="12" w:space="0" w:color="auto"/>
            </w:tcBorders>
            <w:vAlign w:val="center"/>
          </w:tcPr>
          <w:p w:rsidR="00D3052E" w:rsidRDefault="00D3052E">
            <w:pPr>
              <w:ind w:right="-29"/>
              <w:jc w:val="center"/>
              <w:rPr>
                <w:noProof/>
                <w:sz w:val="18"/>
              </w:rPr>
            </w:pPr>
          </w:p>
        </w:tc>
        <w:tc>
          <w:tcPr>
            <w:tcW w:w="594" w:type="dxa"/>
            <w:tcBorders>
              <w:bottom w:val="single" w:sz="12" w:space="0" w:color="auto"/>
            </w:tcBorders>
            <w:vAlign w:val="center"/>
          </w:tcPr>
          <w:p w:rsidR="00D3052E" w:rsidRDefault="00D3052E">
            <w:pPr>
              <w:ind w:right="-29"/>
              <w:jc w:val="center"/>
              <w:rPr>
                <w:noProof/>
                <w:sz w:val="18"/>
              </w:rPr>
            </w:pPr>
          </w:p>
        </w:tc>
        <w:tc>
          <w:tcPr>
            <w:tcW w:w="593" w:type="dxa"/>
            <w:tcBorders>
              <w:bottom w:val="single" w:sz="12" w:space="0" w:color="auto"/>
            </w:tcBorders>
            <w:vAlign w:val="center"/>
          </w:tcPr>
          <w:p w:rsidR="00D3052E" w:rsidRDefault="00D3052E">
            <w:pPr>
              <w:ind w:right="-29"/>
              <w:jc w:val="center"/>
              <w:rPr>
                <w:noProof/>
                <w:sz w:val="18"/>
              </w:rPr>
            </w:pPr>
          </w:p>
        </w:tc>
        <w:tc>
          <w:tcPr>
            <w:tcW w:w="564" w:type="dxa"/>
            <w:tcBorders>
              <w:bottom w:val="single" w:sz="12" w:space="0" w:color="auto"/>
            </w:tcBorders>
            <w:vAlign w:val="center"/>
          </w:tcPr>
          <w:p w:rsidR="00D3052E" w:rsidRDefault="00D3052E">
            <w:pPr>
              <w:ind w:right="-29"/>
              <w:jc w:val="center"/>
              <w:rPr>
                <w:noProof/>
                <w:sz w:val="18"/>
              </w:rPr>
            </w:pPr>
          </w:p>
        </w:tc>
        <w:tc>
          <w:tcPr>
            <w:tcW w:w="623" w:type="dxa"/>
            <w:tcBorders>
              <w:bottom w:val="single" w:sz="12" w:space="0" w:color="auto"/>
            </w:tcBorders>
            <w:vAlign w:val="center"/>
          </w:tcPr>
          <w:p w:rsidR="00D3052E" w:rsidRDefault="00D3052E">
            <w:pPr>
              <w:ind w:right="-29"/>
              <w:jc w:val="center"/>
              <w:rPr>
                <w:noProof/>
                <w:sz w:val="18"/>
              </w:rPr>
            </w:pPr>
          </w:p>
        </w:tc>
        <w:tc>
          <w:tcPr>
            <w:tcW w:w="593" w:type="dxa"/>
            <w:tcBorders>
              <w:bottom w:val="single" w:sz="12" w:space="0" w:color="auto"/>
              <w:right w:val="single" w:sz="4" w:space="0" w:color="auto"/>
            </w:tcBorders>
            <w:vAlign w:val="center"/>
          </w:tcPr>
          <w:p w:rsidR="00D3052E" w:rsidRDefault="00D3052E">
            <w:pPr>
              <w:ind w:right="-29"/>
              <w:jc w:val="center"/>
              <w:rPr>
                <w:noProof/>
                <w:sz w:val="18"/>
              </w:rPr>
            </w:pPr>
          </w:p>
        </w:tc>
        <w:tc>
          <w:tcPr>
            <w:tcW w:w="593" w:type="dxa"/>
            <w:tcBorders>
              <w:top w:val="single" w:sz="4" w:space="0" w:color="auto"/>
              <w:left w:val="single" w:sz="4" w:space="0" w:color="auto"/>
              <w:bottom w:val="single" w:sz="4" w:space="0" w:color="auto"/>
              <w:right w:val="single" w:sz="4" w:space="0" w:color="auto"/>
            </w:tcBorders>
            <w:vAlign w:val="center"/>
          </w:tcPr>
          <w:p w:rsidR="00D3052E" w:rsidRDefault="00D3052E">
            <w:pPr>
              <w:ind w:right="-29"/>
              <w:jc w:val="center"/>
              <w:rPr>
                <w:noProof/>
                <w:sz w:val="18"/>
              </w:rPr>
            </w:pPr>
          </w:p>
        </w:tc>
        <w:tc>
          <w:tcPr>
            <w:tcW w:w="594" w:type="dxa"/>
            <w:tcBorders>
              <w:top w:val="single" w:sz="4" w:space="0" w:color="auto"/>
              <w:left w:val="single" w:sz="4" w:space="0" w:color="auto"/>
              <w:bottom w:val="single" w:sz="4" w:space="0" w:color="auto"/>
              <w:right w:val="single" w:sz="4" w:space="0" w:color="auto"/>
            </w:tcBorders>
            <w:vAlign w:val="center"/>
          </w:tcPr>
          <w:p w:rsidR="00D3052E" w:rsidRDefault="00D3052E">
            <w:pPr>
              <w:ind w:right="-29"/>
              <w:jc w:val="center"/>
              <w:rPr>
                <w:noProof/>
                <w:sz w:val="18"/>
              </w:rPr>
            </w:pPr>
          </w:p>
        </w:tc>
        <w:tc>
          <w:tcPr>
            <w:tcW w:w="593" w:type="dxa"/>
            <w:tcBorders>
              <w:top w:val="single" w:sz="4" w:space="0" w:color="auto"/>
              <w:left w:val="single" w:sz="4" w:space="0" w:color="auto"/>
              <w:bottom w:val="single" w:sz="12" w:space="0" w:color="auto"/>
              <w:right w:val="single" w:sz="4" w:space="0" w:color="auto"/>
            </w:tcBorders>
            <w:vAlign w:val="center"/>
          </w:tcPr>
          <w:p w:rsidR="00D3052E" w:rsidRDefault="00D3052E">
            <w:pPr>
              <w:ind w:right="-29"/>
              <w:jc w:val="center"/>
              <w:rPr>
                <w:noProof/>
                <w:sz w:val="18"/>
              </w:rPr>
            </w:pPr>
          </w:p>
        </w:tc>
        <w:tc>
          <w:tcPr>
            <w:tcW w:w="851" w:type="dxa"/>
            <w:tcBorders>
              <w:left w:val="single" w:sz="4" w:space="0" w:color="auto"/>
              <w:bottom w:val="single" w:sz="12" w:space="0" w:color="auto"/>
            </w:tcBorders>
            <w:vAlign w:val="center"/>
          </w:tcPr>
          <w:p w:rsidR="00D3052E" w:rsidRDefault="00D3052E">
            <w:pPr>
              <w:ind w:right="-29"/>
              <w:jc w:val="center"/>
              <w:rPr>
                <w:noProof/>
                <w:sz w:val="18"/>
              </w:rPr>
            </w:pPr>
          </w:p>
        </w:tc>
        <w:tc>
          <w:tcPr>
            <w:tcW w:w="804" w:type="dxa"/>
            <w:tcBorders>
              <w:bottom w:val="single" w:sz="12" w:space="0" w:color="auto"/>
            </w:tcBorders>
            <w:vAlign w:val="center"/>
          </w:tcPr>
          <w:p w:rsidR="00D3052E" w:rsidRDefault="00D3052E">
            <w:pPr>
              <w:ind w:right="-29"/>
              <w:jc w:val="center"/>
              <w:rPr>
                <w:noProof/>
                <w:sz w:val="18"/>
              </w:rPr>
            </w:pPr>
          </w:p>
        </w:tc>
      </w:tr>
      <w:tr w:rsidR="00D3052E">
        <w:trPr>
          <w:jc w:val="center"/>
        </w:trPr>
        <w:tc>
          <w:tcPr>
            <w:tcW w:w="2211" w:type="dxa"/>
            <w:gridSpan w:val="3"/>
            <w:vAlign w:val="center"/>
          </w:tcPr>
          <w:p w:rsidR="00D3052E" w:rsidRDefault="00635D2F">
            <w:pPr>
              <w:spacing w:before="60" w:after="60"/>
              <w:ind w:right="-29"/>
              <w:jc w:val="center"/>
              <w:rPr>
                <w:noProof/>
                <w:sz w:val="18"/>
              </w:rPr>
            </w:pPr>
            <w:r>
              <w:rPr>
                <w:noProof/>
                <w:sz w:val="18"/>
              </w:rPr>
              <w:t>CEL SZCZEGÓŁOWY nr 2</w:t>
            </w:r>
          </w:p>
        </w:tc>
        <w:tc>
          <w:tcPr>
            <w:tcW w:w="594" w:type="dxa"/>
            <w:tcBorders>
              <w:top w:val="nil"/>
              <w:bottom w:val="nil"/>
              <w:right w:val="nil"/>
            </w:tcBorders>
          </w:tcPr>
          <w:p w:rsidR="00D3052E" w:rsidRDefault="00D3052E">
            <w:pPr>
              <w:spacing w:before="60" w:after="60"/>
              <w:ind w:right="-29"/>
              <w:jc w:val="center"/>
              <w:rPr>
                <w:noProof/>
                <w:sz w:val="18"/>
              </w:rPr>
            </w:pPr>
          </w:p>
        </w:tc>
        <w:tc>
          <w:tcPr>
            <w:tcW w:w="593" w:type="dxa"/>
            <w:tcBorders>
              <w:top w:val="nil"/>
              <w:left w:val="nil"/>
              <w:bottom w:val="nil"/>
              <w:right w:val="nil"/>
            </w:tcBorders>
          </w:tcPr>
          <w:p w:rsidR="00D3052E" w:rsidRDefault="00D3052E">
            <w:pPr>
              <w:spacing w:before="60" w:after="60"/>
              <w:ind w:right="-29"/>
              <w:jc w:val="center"/>
              <w:rPr>
                <w:noProof/>
                <w:sz w:val="18"/>
              </w:rPr>
            </w:pPr>
          </w:p>
        </w:tc>
        <w:tc>
          <w:tcPr>
            <w:tcW w:w="593" w:type="dxa"/>
            <w:tcBorders>
              <w:top w:val="nil"/>
              <w:left w:val="nil"/>
              <w:bottom w:val="nil"/>
              <w:right w:val="nil"/>
            </w:tcBorders>
          </w:tcPr>
          <w:p w:rsidR="00D3052E" w:rsidRDefault="00D3052E">
            <w:pPr>
              <w:spacing w:before="60" w:after="60"/>
              <w:ind w:right="-29"/>
              <w:jc w:val="center"/>
              <w:rPr>
                <w:noProof/>
                <w:sz w:val="18"/>
              </w:rPr>
            </w:pPr>
          </w:p>
        </w:tc>
        <w:tc>
          <w:tcPr>
            <w:tcW w:w="594" w:type="dxa"/>
            <w:tcBorders>
              <w:top w:val="nil"/>
              <w:left w:val="nil"/>
              <w:bottom w:val="nil"/>
              <w:right w:val="nil"/>
            </w:tcBorders>
          </w:tcPr>
          <w:p w:rsidR="00D3052E" w:rsidRDefault="00D3052E">
            <w:pPr>
              <w:spacing w:before="60" w:after="60"/>
              <w:ind w:right="-29"/>
              <w:jc w:val="center"/>
              <w:rPr>
                <w:noProof/>
                <w:sz w:val="18"/>
              </w:rPr>
            </w:pPr>
          </w:p>
        </w:tc>
        <w:tc>
          <w:tcPr>
            <w:tcW w:w="593" w:type="dxa"/>
            <w:tcBorders>
              <w:top w:val="nil"/>
              <w:left w:val="nil"/>
              <w:bottom w:val="nil"/>
              <w:right w:val="nil"/>
            </w:tcBorders>
          </w:tcPr>
          <w:p w:rsidR="00D3052E" w:rsidRDefault="00D3052E">
            <w:pPr>
              <w:spacing w:before="60" w:after="60"/>
              <w:ind w:right="-29"/>
              <w:jc w:val="center"/>
              <w:rPr>
                <w:noProof/>
                <w:sz w:val="18"/>
              </w:rPr>
            </w:pPr>
          </w:p>
        </w:tc>
        <w:tc>
          <w:tcPr>
            <w:tcW w:w="593" w:type="dxa"/>
            <w:tcBorders>
              <w:top w:val="nil"/>
              <w:left w:val="nil"/>
              <w:bottom w:val="nil"/>
              <w:right w:val="nil"/>
            </w:tcBorders>
          </w:tcPr>
          <w:p w:rsidR="00D3052E" w:rsidRDefault="00D3052E">
            <w:pPr>
              <w:spacing w:before="60" w:after="60"/>
              <w:ind w:right="-29"/>
              <w:jc w:val="center"/>
              <w:rPr>
                <w:noProof/>
                <w:sz w:val="18"/>
              </w:rPr>
            </w:pPr>
          </w:p>
        </w:tc>
        <w:tc>
          <w:tcPr>
            <w:tcW w:w="594" w:type="dxa"/>
            <w:tcBorders>
              <w:top w:val="nil"/>
              <w:left w:val="nil"/>
              <w:bottom w:val="nil"/>
              <w:right w:val="nil"/>
            </w:tcBorders>
          </w:tcPr>
          <w:p w:rsidR="00D3052E" w:rsidRDefault="00D3052E">
            <w:pPr>
              <w:spacing w:before="60" w:after="60"/>
              <w:ind w:right="-29"/>
              <w:jc w:val="center"/>
              <w:rPr>
                <w:noProof/>
                <w:sz w:val="18"/>
              </w:rPr>
            </w:pPr>
          </w:p>
        </w:tc>
        <w:tc>
          <w:tcPr>
            <w:tcW w:w="593" w:type="dxa"/>
            <w:tcBorders>
              <w:top w:val="nil"/>
              <w:left w:val="nil"/>
              <w:bottom w:val="nil"/>
              <w:right w:val="nil"/>
            </w:tcBorders>
          </w:tcPr>
          <w:p w:rsidR="00D3052E" w:rsidRDefault="00D3052E">
            <w:pPr>
              <w:spacing w:before="60" w:after="60"/>
              <w:ind w:right="-29"/>
              <w:jc w:val="center"/>
              <w:rPr>
                <w:noProof/>
                <w:sz w:val="18"/>
              </w:rPr>
            </w:pPr>
          </w:p>
        </w:tc>
        <w:tc>
          <w:tcPr>
            <w:tcW w:w="564" w:type="dxa"/>
            <w:tcBorders>
              <w:top w:val="nil"/>
              <w:left w:val="nil"/>
              <w:bottom w:val="nil"/>
              <w:right w:val="nil"/>
            </w:tcBorders>
          </w:tcPr>
          <w:p w:rsidR="00D3052E" w:rsidRDefault="00D3052E">
            <w:pPr>
              <w:spacing w:before="60" w:after="60"/>
              <w:ind w:right="-29"/>
              <w:jc w:val="center"/>
              <w:rPr>
                <w:noProof/>
                <w:sz w:val="18"/>
              </w:rPr>
            </w:pPr>
          </w:p>
        </w:tc>
        <w:tc>
          <w:tcPr>
            <w:tcW w:w="623" w:type="dxa"/>
            <w:tcBorders>
              <w:top w:val="nil"/>
              <w:left w:val="nil"/>
              <w:bottom w:val="nil"/>
              <w:right w:val="nil"/>
            </w:tcBorders>
          </w:tcPr>
          <w:p w:rsidR="00D3052E" w:rsidRDefault="00D3052E">
            <w:pPr>
              <w:spacing w:before="60" w:after="60"/>
              <w:ind w:right="-29"/>
              <w:jc w:val="center"/>
              <w:rPr>
                <w:noProof/>
                <w:sz w:val="18"/>
              </w:rPr>
            </w:pPr>
          </w:p>
        </w:tc>
        <w:tc>
          <w:tcPr>
            <w:tcW w:w="593" w:type="dxa"/>
            <w:tcBorders>
              <w:top w:val="nil"/>
              <w:left w:val="nil"/>
              <w:bottom w:val="nil"/>
              <w:right w:val="nil"/>
            </w:tcBorders>
          </w:tcPr>
          <w:p w:rsidR="00D3052E" w:rsidRDefault="00D3052E">
            <w:pPr>
              <w:spacing w:before="60" w:after="60"/>
              <w:ind w:right="-29"/>
              <w:jc w:val="center"/>
              <w:rPr>
                <w:noProof/>
                <w:sz w:val="18"/>
              </w:rPr>
            </w:pPr>
          </w:p>
        </w:tc>
        <w:tc>
          <w:tcPr>
            <w:tcW w:w="593" w:type="dxa"/>
            <w:tcBorders>
              <w:top w:val="single" w:sz="12" w:space="0" w:color="auto"/>
              <w:left w:val="nil"/>
              <w:right w:val="nil"/>
            </w:tcBorders>
          </w:tcPr>
          <w:p w:rsidR="00D3052E" w:rsidRDefault="00D3052E">
            <w:pPr>
              <w:spacing w:before="60" w:after="60"/>
              <w:ind w:right="-29"/>
              <w:jc w:val="center"/>
              <w:rPr>
                <w:noProof/>
                <w:sz w:val="18"/>
              </w:rPr>
            </w:pPr>
          </w:p>
        </w:tc>
        <w:tc>
          <w:tcPr>
            <w:tcW w:w="594" w:type="dxa"/>
            <w:tcBorders>
              <w:top w:val="single" w:sz="12" w:space="0" w:color="auto"/>
              <w:left w:val="nil"/>
              <w:right w:val="nil"/>
            </w:tcBorders>
          </w:tcPr>
          <w:p w:rsidR="00D3052E" w:rsidRDefault="00D3052E">
            <w:pPr>
              <w:spacing w:before="60" w:after="60"/>
              <w:ind w:right="-29"/>
              <w:jc w:val="center"/>
              <w:rPr>
                <w:noProof/>
                <w:sz w:val="18"/>
              </w:rPr>
            </w:pPr>
          </w:p>
        </w:tc>
        <w:tc>
          <w:tcPr>
            <w:tcW w:w="593" w:type="dxa"/>
            <w:tcBorders>
              <w:top w:val="single" w:sz="12" w:space="0" w:color="auto"/>
              <w:left w:val="nil"/>
              <w:right w:val="nil"/>
            </w:tcBorders>
          </w:tcPr>
          <w:p w:rsidR="00D3052E" w:rsidRDefault="00D3052E">
            <w:pPr>
              <w:spacing w:before="60" w:after="60"/>
              <w:ind w:right="-29"/>
              <w:jc w:val="center"/>
              <w:rPr>
                <w:noProof/>
                <w:sz w:val="18"/>
              </w:rPr>
            </w:pPr>
          </w:p>
        </w:tc>
        <w:tc>
          <w:tcPr>
            <w:tcW w:w="851" w:type="dxa"/>
            <w:tcBorders>
              <w:top w:val="single" w:sz="12" w:space="0" w:color="auto"/>
              <w:left w:val="nil"/>
              <w:bottom w:val="nil"/>
              <w:right w:val="nil"/>
            </w:tcBorders>
          </w:tcPr>
          <w:p w:rsidR="00D3052E" w:rsidRDefault="00D3052E">
            <w:pPr>
              <w:spacing w:before="60" w:after="60"/>
              <w:ind w:right="-29"/>
              <w:jc w:val="center"/>
              <w:rPr>
                <w:noProof/>
                <w:sz w:val="18"/>
              </w:rPr>
            </w:pPr>
          </w:p>
        </w:tc>
        <w:tc>
          <w:tcPr>
            <w:tcW w:w="804" w:type="dxa"/>
            <w:tcBorders>
              <w:top w:val="nil"/>
              <w:left w:val="nil"/>
              <w:bottom w:val="nil"/>
              <w:right w:val="nil"/>
            </w:tcBorders>
          </w:tcPr>
          <w:p w:rsidR="00D3052E" w:rsidRDefault="00D3052E">
            <w:pPr>
              <w:spacing w:before="60" w:after="60"/>
              <w:ind w:right="-29"/>
              <w:jc w:val="center"/>
              <w:rPr>
                <w:noProof/>
                <w:sz w:val="18"/>
              </w:rPr>
            </w:pPr>
          </w:p>
        </w:tc>
      </w:tr>
      <w:tr w:rsidR="00D3052E">
        <w:trPr>
          <w:trHeight w:hRule="exact" w:val="369"/>
          <w:jc w:val="center"/>
        </w:trPr>
        <w:tc>
          <w:tcPr>
            <w:tcW w:w="1054" w:type="dxa"/>
          </w:tcPr>
          <w:p w:rsidR="00D3052E" w:rsidRDefault="00635D2F">
            <w:pPr>
              <w:ind w:right="-29"/>
              <w:jc w:val="center"/>
              <w:rPr>
                <w:noProof/>
                <w:sz w:val="18"/>
              </w:rPr>
            </w:pPr>
            <w:r>
              <w:rPr>
                <w:noProof/>
                <w:sz w:val="18"/>
              </w:rPr>
              <w:t>- Produkt</w:t>
            </w:r>
          </w:p>
        </w:tc>
        <w:tc>
          <w:tcPr>
            <w:tcW w:w="562" w:type="dxa"/>
          </w:tcPr>
          <w:p w:rsidR="00D3052E" w:rsidRDefault="00D3052E">
            <w:pPr>
              <w:ind w:right="-29"/>
              <w:jc w:val="center"/>
              <w:rPr>
                <w:noProof/>
                <w:sz w:val="18"/>
              </w:rPr>
            </w:pPr>
          </w:p>
        </w:tc>
        <w:tc>
          <w:tcPr>
            <w:tcW w:w="595" w:type="dxa"/>
          </w:tcPr>
          <w:p w:rsidR="00D3052E" w:rsidRDefault="00D3052E">
            <w:pPr>
              <w:ind w:right="-29"/>
              <w:jc w:val="center"/>
              <w:rPr>
                <w:noProof/>
                <w:sz w:val="18"/>
              </w:rPr>
            </w:pPr>
          </w:p>
        </w:tc>
        <w:tc>
          <w:tcPr>
            <w:tcW w:w="594" w:type="dxa"/>
          </w:tcPr>
          <w:p w:rsidR="00D3052E" w:rsidRDefault="00D3052E">
            <w:pPr>
              <w:ind w:right="-29"/>
              <w:jc w:val="center"/>
              <w:rPr>
                <w:noProof/>
                <w:sz w:val="18"/>
              </w:rPr>
            </w:pPr>
          </w:p>
        </w:tc>
        <w:tc>
          <w:tcPr>
            <w:tcW w:w="593" w:type="dxa"/>
          </w:tcPr>
          <w:p w:rsidR="00D3052E" w:rsidRDefault="00D3052E">
            <w:pPr>
              <w:ind w:right="-29"/>
              <w:jc w:val="center"/>
              <w:rPr>
                <w:noProof/>
                <w:sz w:val="18"/>
              </w:rPr>
            </w:pPr>
          </w:p>
        </w:tc>
        <w:tc>
          <w:tcPr>
            <w:tcW w:w="593" w:type="dxa"/>
          </w:tcPr>
          <w:p w:rsidR="00D3052E" w:rsidRDefault="00D3052E">
            <w:pPr>
              <w:ind w:right="-29"/>
              <w:jc w:val="center"/>
              <w:rPr>
                <w:noProof/>
                <w:sz w:val="18"/>
              </w:rPr>
            </w:pPr>
          </w:p>
        </w:tc>
        <w:tc>
          <w:tcPr>
            <w:tcW w:w="594" w:type="dxa"/>
          </w:tcPr>
          <w:p w:rsidR="00D3052E" w:rsidRDefault="00D3052E">
            <w:pPr>
              <w:ind w:right="-29"/>
              <w:jc w:val="center"/>
              <w:rPr>
                <w:noProof/>
                <w:sz w:val="18"/>
              </w:rPr>
            </w:pPr>
          </w:p>
        </w:tc>
        <w:tc>
          <w:tcPr>
            <w:tcW w:w="593" w:type="dxa"/>
          </w:tcPr>
          <w:p w:rsidR="00D3052E" w:rsidRDefault="00D3052E">
            <w:pPr>
              <w:ind w:right="-29"/>
              <w:jc w:val="center"/>
              <w:rPr>
                <w:noProof/>
                <w:sz w:val="18"/>
              </w:rPr>
            </w:pPr>
          </w:p>
        </w:tc>
        <w:tc>
          <w:tcPr>
            <w:tcW w:w="593" w:type="dxa"/>
          </w:tcPr>
          <w:p w:rsidR="00D3052E" w:rsidRDefault="00D3052E">
            <w:pPr>
              <w:ind w:right="-29"/>
              <w:jc w:val="center"/>
              <w:rPr>
                <w:noProof/>
                <w:sz w:val="18"/>
              </w:rPr>
            </w:pPr>
          </w:p>
        </w:tc>
        <w:tc>
          <w:tcPr>
            <w:tcW w:w="594" w:type="dxa"/>
          </w:tcPr>
          <w:p w:rsidR="00D3052E" w:rsidRDefault="00D3052E">
            <w:pPr>
              <w:ind w:right="-29"/>
              <w:jc w:val="center"/>
              <w:rPr>
                <w:noProof/>
                <w:sz w:val="18"/>
              </w:rPr>
            </w:pPr>
          </w:p>
        </w:tc>
        <w:tc>
          <w:tcPr>
            <w:tcW w:w="593" w:type="dxa"/>
          </w:tcPr>
          <w:p w:rsidR="00D3052E" w:rsidRDefault="00D3052E">
            <w:pPr>
              <w:ind w:right="-29"/>
              <w:jc w:val="center"/>
              <w:rPr>
                <w:noProof/>
                <w:sz w:val="18"/>
              </w:rPr>
            </w:pPr>
          </w:p>
        </w:tc>
        <w:tc>
          <w:tcPr>
            <w:tcW w:w="564" w:type="dxa"/>
          </w:tcPr>
          <w:p w:rsidR="00D3052E" w:rsidRDefault="00D3052E">
            <w:pPr>
              <w:ind w:right="-29"/>
              <w:jc w:val="center"/>
              <w:rPr>
                <w:noProof/>
                <w:sz w:val="18"/>
              </w:rPr>
            </w:pPr>
          </w:p>
        </w:tc>
        <w:tc>
          <w:tcPr>
            <w:tcW w:w="623" w:type="dxa"/>
          </w:tcPr>
          <w:p w:rsidR="00D3052E" w:rsidRDefault="00D3052E">
            <w:pPr>
              <w:ind w:right="-29"/>
              <w:jc w:val="center"/>
              <w:rPr>
                <w:noProof/>
                <w:sz w:val="18"/>
              </w:rPr>
            </w:pPr>
          </w:p>
        </w:tc>
        <w:tc>
          <w:tcPr>
            <w:tcW w:w="593" w:type="dxa"/>
          </w:tcPr>
          <w:p w:rsidR="00D3052E" w:rsidRDefault="00D3052E">
            <w:pPr>
              <w:ind w:right="-29"/>
              <w:jc w:val="center"/>
              <w:rPr>
                <w:noProof/>
                <w:sz w:val="18"/>
              </w:rPr>
            </w:pPr>
          </w:p>
        </w:tc>
        <w:tc>
          <w:tcPr>
            <w:tcW w:w="593" w:type="dxa"/>
          </w:tcPr>
          <w:p w:rsidR="00D3052E" w:rsidRDefault="00D3052E">
            <w:pPr>
              <w:ind w:right="-29"/>
              <w:jc w:val="center"/>
              <w:rPr>
                <w:noProof/>
                <w:sz w:val="18"/>
              </w:rPr>
            </w:pPr>
          </w:p>
        </w:tc>
        <w:tc>
          <w:tcPr>
            <w:tcW w:w="594" w:type="dxa"/>
          </w:tcPr>
          <w:p w:rsidR="00D3052E" w:rsidRDefault="00D3052E">
            <w:pPr>
              <w:ind w:right="-29"/>
              <w:jc w:val="center"/>
              <w:rPr>
                <w:noProof/>
                <w:sz w:val="18"/>
              </w:rPr>
            </w:pPr>
          </w:p>
        </w:tc>
        <w:tc>
          <w:tcPr>
            <w:tcW w:w="593" w:type="dxa"/>
          </w:tcPr>
          <w:p w:rsidR="00D3052E" w:rsidRDefault="00D3052E">
            <w:pPr>
              <w:ind w:right="-29"/>
              <w:jc w:val="center"/>
              <w:rPr>
                <w:noProof/>
                <w:sz w:val="18"/>
              </w:rPr>
            </w:pPr>
          </w:p>
        </w:tc>
        <w:tc>
          <w:tcPr>
            <w:tcW w:w="851" w:type="dxa"/>
          </w:tcPr>
          <w:p w:rsidR="00D3052E" w:rsidRDefault="00D3052E">
            <w:pPr>
              <w:ind w:right="-29"/>
              <w:jc w:val="center"/>
              <w:rPr>
                <w:noProof/>
                <w:sz w:val="18"/>
              </w:rPr>
            </w:pPr>
          </w:p>
        </w:tc>
        <w:tc>
          <w:tcPr>
            <w:tcW w:w="804" w:type="dxa"/>
          </w:tcPr>
          <w:p w:rsidR="00D3052E" w:rsidRDefault="00D3052E">
            <w:pPr>
              <w:ind w:right="-29"/>
              <w:jc w:val="center"/>
              <w:rPr>
                <w:noProof/>
                <w:sz w:val="18"/>
              </w:rPr>
            </w:pPr>
          </w:p>
        </w:tc>
      </w:tr>
      <w:tr w:rsidR="00D3052E">
        <w:trPr>
          <w:jc w:val="center"/>
        </w:trPr>
        <w:tc>
          <w:tcPr>
            <w:tcW w:w="2211" w:type="dxa"/>
            <w:gridSpan w:val="3"/>
            <w:tcBorders>
              <w:bottom w:val="single" w:sz="12" w:space="0" w:color="auto"/>
            </w:tcBorders>
            <w:vAlign w:val="center"/>
          </w:tcPr>
          <w:p w:rsidR="00D3052E" w:rsidRDefault="00635D2F">
            <w:pPr>
              <w:jc w:val="center"/>
              <w:rPr>
                <w:noProof/>
                <w:sz w:val="18"/>
              </w:rPr>
            </w:pPr>
            <w:r>
              <w:rPr>
                <w:noProof/>
                <w:sz w:val="18"/>
              </w:rPr>
              <w:t>Cel szczegółowy nr 2 – suma cząstkowa</w:t>
            </w:r>
          </w:p>
        </w:tc>
        <w:tc>
          <w:tcPr>
            <w:tcW w:w="594" w:type="dxa"/>
            <w:tcBorders>
              <w:bottom w:val="single" w:sz="12" w:space="0" w:color="auto"/>
            </w:tcBorders>
          </w:tcPr>
          <w:p w:rsidR="00D3052E" w:rsidRDefault="00D3052E">
            <w:pPr>
              <w:ind w:right="-29"/>
              <w:jc w:val="center"/>
              <w:rPr>
                <w:noProof/>
                <w:sz w:val="18"/>
              </w:rPr>
            </w:pPr>
          </w:p>
        </w:tc>
        <w:tc>
          <w:tcPr>
            <w:tcW w:w="593" w:type="dxa"/>
            <w:tcBorders>
              <w:bottom w:val="single" w:sz="12" w:space="0" w:color="auto"/>
            </w:tcBorders>
          </w:tcPr>
          <w:p w:rsidR="00D3052E" w:rsidRDefault="00D3052E">
            <w:pPr>
              <w:ind w:right="-29"/>
              <w:jc w:val="center"/>
              <w:rPr>
                <w:noProof/>
                <w:sz w:val="18"/>
              </w:rPr>
            </w:pPr>
          </w:p>
        </w:tc>
        <w:tc>
          <w:tcPr>
            <w:tcW w:w="593" w:type="dxa"/>
            <w:tcBorders>
              <w:bottom w:val="single" w:sz="12" w:space="0" w:color="auto"/>
            </w:tcBorders>
          </w:tcPr>
          <w:p w:rsidR="00D3052E" w:rsidRDefault="00D3052E">
            <w:pPr>
              <w:ind w:right="-29"/>
              <w:jc w:val="center"/>
              <w:rPr>
                <w:noProof/>
                <w:sz w:val="18"/>
              </w:rPr>
            </w:pPr>
          </w:p>
        </w:tc>
        <w:tc>
          <w:tcPr>
            <w:tcW w:w="594" w:type="dxa"/>
            <w:tcBorders>
              <w:bottom w:val="single" w:sz="12" w:space="0" w:color="auto"/>
            </w:tcBorders>
          </w:tcPr>
          <w:p w:rsidR="00D3052E" w:rsidRDefault="00D3052E">
            <w:pPr>
              <w:ind w:right="-29"/>
              <w:jc w:val="center"/>
              <w:rPr>
                <w:noProof/>
                <w:sz w:val="18"/>
              </w:rPr>
            </w:pPr>
          </w:p>
        </w:tc>
        <w:tc>
          <w:tcPr>
            <w:tcW w:w="593" w:type="dxa"/>
            <w:tcBorders>
              <w:bottom w:val="single" w:sz="12" w:space="0" w:color="auto"/>
            </w:tcBorders>
          </w:tcPr>
          <w:p w:rsidR="00D3052E" w:rsidRDefault="00D3052E">
            <w:pPr>
              <w:ind w:right="-29"/>
              <w:jc w:val="center"/>
              <w:rPr>
                <w:noProof/>
                <w:sz w:val="18"/>
              </w:rPr>
            </w:pPr>
          </w:p>
        </w:tc>
        <w:tc>
          <w:tcPr>
            <w:tcW w:w="593" w:type="dxa"/>
            <w:tcBorders>
              <w:bottom w:val="single" w:sz="12" w:space="0" w:color="auto"/>
            </w:tcBorders>
          </w:tcPr>
          <w:p w:rsidR="00D3052E" w:rsidRDefault="00D3052E">
            <w:pPr>
              <w:ind w:right="-29"/>
              <w:jc w:val="center"/>
              <w:rPr>
                <w:noProof/>
                <w:sz w:val="18"/>
              </w:rPr>
            </w:pPr>
          </w:p>
        </w:tc>
        <w:tc>
          <w:tcPr>
            <w:tcW w:w="594" w:type="dxa"/>
            <w:tcBorders>
              <w:bottom w:val="single" w:sz="12" w:space="0" w:color="auto"/>
            </w:tcBorders>
          </w:tcPr>
          <w:p w:rsidR="00D3052E" w:rsidRDefault="00D3052E">
            <w:pPr>
              <w:ind w:right="-29"/>
              <w:jc w:val="center"/>
              <w:rPr>
                <w:noProof/>
                <w:sz w:val="18"/>
              </w:rPr>
            </w:pPr>
          </w:p>
        </w:tc>
        <w:tc>
          <w:tcPr>
            <w:tcW w:w="593" w:type="dxa"/>
            <w:tcBorders>
              <w:bottom w:val="single" w:sz="12" w:space="0" w:color="auto"/>
            </w:tcBorders>
          </w:tcPr>
          <w:p w:rsidR="00D3052E" w:rsidRDefault="00D3052E">
            <w:pPr>
              <w:ind w:right="-29"/>
              <w:jc w:val="center"/>
              <w:rPr>
                <w:noProof/>
                <w:sz w:val="18"/>
              </w:rPr>
            </w:pPr>
          </w:p>
        </w:tc>
        <w:tc>
          <w:tcPr>
            <w:tcW w:w="564" w:type="dxa"/>
            <w:tcBorders>
              <w:bottom w:val="single" w:sz="12" w:space="0" w:color="auto"/>
            </w:tcBorders>
          </w:tcPr>
          <w:p w:rsidR="00D3052E" w:rsidRDefault="00D3052E">
            <w:pPr>
              <w:ind w:right="-29"/>
              <w:jc w:val="center"/>
              <w:rPr>
                <w:noProof/>
                <w:sz w:val="18"/>
              </w:rPr>
            </w:pPr>
          </w:p>
        </w:tc>
        <w:tc>
          <w:tcPr>
            <w:tcW w:w="623" w:type="dxa"/>
            <w:tcBorders>
              <w:bottom w:val="single" w:sz="12" w:space="0" w:color="auto"/>
            </w:tcBorders>
          </w:tcPr>
          <w:p w:rsidR="00D3052E" w:rsidRDefault="00D3052E">
            <w:pPr>
              <w:ind w:right="-29"/>
              <w:jc w:val="center"/>
              <w:rPr>
                <w:noProof/>
                <w:sz w:val="18"/>
              </w:rPr>
            </w:pPr>
          </w:p>
        </w:tc>
        <w:tc>
          <w:tcPr>
            <w:tcW w:w="593" w:type="dxa"/>
            <w:tcBorders>
              <w:bottom w:val="single" w:sz="12" w:space="0" w:color="auto"/>
            </w:tcBorders>
          </w:tcPr>
          <w:p w:rsidR="00D3052E" w:rsidRDefault="00D3052E">
            <w:pPr>
              <w:ind w:right="-29"/>
              <w:jc w:val="center"/>
              <w:rPr>
                <w:noProof/>
                <w:sz w:val="18"/>
              </w:rPr>
            </w:pPr>
          </w:p>
        </w:tc>
        <w:tc>
          <w:tcPr>
            <w:tcW w:w="593" w:type="dxa"/>
            <w:tcBorders>
              <w:bottom w:val="single" w:sz="12" w:space="0" w:color="auto"/>
            </w:tcBorders>
          </w:tcPr>
          <w:p w:rsidR="00D3052E" w:rsidRDefault="00D3052E">
            <w:pPr>
              <w:ind w:right="-29"/>
              <w:jc w:val="center"/>
              <w:rPr>
                <w:noProof/>
                <w:sz w:val="18"/>
              </w:rPr>
            </w:pPr>
          </w:p>
        </w:tc>
        <w:tc>
          <w:tcPr>
            <w:tcW w:w="594" w:type="dxa"/>
            <w:tcBorders>
              <w:bottom w:val="single" w:sz="12" w:space="0" w:color="auto"/>
            </w:tcBorders>
          </w:tcPr>
          <w:p w:rsidR="00D3052E" w:rsidRDefault="00D3052E">
            <w:pPr>
              <w:ind w:right="-29"/>
              <w:jc w:val="center"/>
              <w:rPr>
                <w:noProof/>
                <w:sz w:val="18"/>
              </w:rPr>
            </w:pPr>
          </w:p>
        </w:tc>
        <w:tc>
          <w:tcPr>
            <w:tcW w:w="593" w:type="dxa"/>
            <w:tcBorders>
              <w:bottom w:val="single" w:sz="12" w:space="0" w:color="auto"/>
            </w:tcBorders>
          </w:tcPr>
          <w:p w:rsidR="00D3052E" w:rsidRDefault="00D3052E">
            <w:pPr>
              <w:ind w:right="-29"/>
              <w:jc w:val="center"/>
              <w:rPr>
                <w:noProof/>
                <w:sz w:val="18"/>
              </w:rPr>
            </w:pPr>
          </w:p>
        </w:tc>
        <w:tc>
          <w:tcPr>
            <w:tcW w:w="851" w:type="dxa"/>
            <w:tcBorders>
              <w:bottom w:val="single" w:sz="12" w:space="0" w:color="auto"/>
            </w:tcBorders>
          </w:tcPr>
          <w:p w:rsidR="00D3052E" w:rsidRDefault="00D3052E">
            <w:pPr>
              <w:ind w:right="-29"/>
              <w:jc w:val="center"/>
              <w:rPr>
                <w:noProof/>
                <w:sz w:val="18"/>
              </w:rPr>
            </w:pPr>
          </w:p>
        </w:tc>
        <w:tc>
          <w:tcPr>
            <w:tcW w:w="804" w:type="dxa"/>
            <w:tcBorders>
              <w:bottom w:val="single" w:sz="12" w:space="0" w:color="auto"/>
            </w:tcBorders>
          </w:tcPr>
          <w:p w:rsidR="00D3052E" w:rsidRDefault="00D3052E">
            <w:pPr>
              <w:ind w:right="-29"/>
              <w:jc w:val="center"/>
              <w:rPr>
                <w:noProof/>
                <w:sz w:val="18"/>
              </w:rPr>
            </w:pPr>
          </w:p>
        </w:tc>
      </w:tr>
      <w:tr w:rsidR="00D3052E">
        <w:trPr>
          <w:jc w:val="center"/>
        </w:trPr>
        <w:tc>
          <w:tcPr>
            <w:tcW w:w="2211" w:type="dxa"/>
            <w:gridSpan w:val="3"/>
            <w:tcBorders>
              <w:top w:val="single" w:sz="12" w:space="0" w:color="auto"/>
              <w:left w:val="single" w:sz="12" w:space="0" w:color="auto"/>
              <w:bottom w:val="single" w:sz="12" w:space="0" w:color="auto"/>
            </w:tcBorders>
            <w:vAlign w:val="center"/>
          </w:tcPr>
          <w:p w:rsidR="00D3052E" w:rsidRDefault="00635D2F">
            <w:pPr>
              <w:ind w:right="-29"/>
              <w:jc w:val="center"/>
              <w:rPr>
                <w:noProof/>
                <w:sz w:val="18"/>
              </w:rPr>
            </w:pPr>
            <w:r>
              <w:rPr>
                <w:b/>
                <w:noProof/>
                <w:sz w:val="18"/>
              </w:rPr>
              <w:t>KOSZT OGÓŁEM</w:t>
            </w:r>
          </w:p>
        </w:tc>
        <w:tc>
          <w:tcPr>
            <w:tcW w:w="594" w:type="dxa"/>
            <w:tcBorders>
              <w:top w:val="single" w:sz="12" w:space="0" w:color="auto"/>
              <w:bottom w:val="single" w:sz="12" w:space="0" w:color="auto"/>
            </w:tcBorders>
            <w:vAlign w:val="center"/>
          </w:tcPr>
          <w:p w:rsidR="00D3052E" w:rsidRDefault="00D3052E">
            <w:pPr>
              <w:spacing w:before="180" w:after="180"/>
              <w:ind w:right="-29"/>
              <w:jc w:val="center"/>
              <w:rPr>
                <w:b/>
                <w:noProof/>
                <w:sz w:val="18"/>
              </w:rPr>
            </w:pPr>
          </w:p>
        </w:tc>
        <w:tc>
          <w:tcPr>
            <w:tcW w:w="593" w:type="dxa"/>
            <w:tcBorders>
              <w:top w:val="single" w:sz="12" w:space="0" w:color="auto"/>
              <w:bottom w:val="single" w:sz="12" w:space="0" w:color="auto"/>
            </w:tcBorders>
            <w:vAlign w:val="center"/>
          </w:tcPr>
          <w:p w:rsidR="00D3052E" w:rsidRDefault="00D3052E">
            <w:pPr>
              <w:spacing w:before="180" w:after="180"/>
              <w:ind w:right="-29"/>
              <w:jc w:val="center"/>
              <w:rPr>
                <w:b/>
                <w:noProof/>
                <w:sz w:val="18"/>
              </w:rPr>
            </w:pPr>
          </w:p>
        </w:tc>
        <w:tc>
          <w:tcPr>
            <w:tcW w:w="593" w:type="dxa"/>
            <w:tcBorders>
              <w:top w:val="single" w:sz="12" w:space="0" w:color="auto"/>
              <w:bottom w:val="single" w:sz="12" w:space="0" w:color="auto"/>
            </w:tcBorders>
            <w:vAlign w:val="center"/>
          </w:tcPr>
          <w:p w:rsidR="00D3052E" w:rsidRDefault="00D3052E">
            <w:pPr>
              <w:spacing w:before="180" w:after="180"/>
              <w:ind w:right="-29"/>
              <w:jc w:val="center"/>
              <w:rPr>
                <w:b/>
                <w:noProof/>
                <w:sz w:val="18"/>
              </w:rPr>
            </w:pPr>
          </w:p>
        </w:tc>
        <w:tc>
          <w:tcPr>
            <w:tcW w:w="594" w:type="dxa"/>
            <w:tcBorders>
              <w:top w:val="single" w:sz="12" w:space="0" w:color="auto"/>
              <w:bottom w:val="single" w:sz="12" w:space="0" w:color="auto"/>
            </w:tcBorders>
            <w:vAlign w:val="center"/>
          </w:tcPr>
          <w:p w:rsidR="00D3052E" w:rsidRDefault="00D3052E">
            <w:pPr>
              <w:spacing w:before="180" w:after="180"/>
              <w:ind w:right="-29"/>
              <w:jc w:val="center"/>
              <w:rPr>
                <w:b/>
                <w:noProof/>
                <w:sz w:val="18"/>
              </w:rPr>
            </w:pPr>
          </w:p>
        </w:tc>
        <w:tc>
          <w:tcPr>
            <w:tcW w:w="593" w:type="dxa"/>
            <w:tcBorders>
              <w:top w:val="single" w:sz="12" w:space="0" w:color="auto"/>
              <w:bottom w:val="single" w:sz="12" w:space="0" w:color="auto"/>
            </w:tcBorders>
            <w:vAlign w:val="center"/>
          </w:tcPr>
          <w:p w:rsidR="00D3052E" w:rsidRDefault="00D3052E">
            <w:pPr>
              <w:spacing w:before="180" w:after="180"/>
              <w:ind w:right="-29"/>
              <w:jc w:val="center"/>
              <w:rPr>
                <w:b/>
                <w:noProof/>
                <w:sz w:val="18"/>
              </w:rPr>
            </w:pPr>
          </w:p>
        </w:tc>
        <w:tc>
          <w:tcPr>
            <w:tcW w:w="593" w:type="dxa"/>
            <w:tcBorders>
              <w:top w:val="single" w:sz="12" w:space="0" w:color="auto"/>
              <w:bottom w:val="single" w:sz="12" w:space="0" w:color="auto"/>
            </w:tcBorders>
            <w:vAlign w:val="center"/>
          </w:tcPr>
          <w:p w:rsidR="00D3052E" w:rsidRDefault="00D3052E">
            <w:pPr>
              <w:spacing w:before="180" w:after="180"/>
              <w:ind w:right="-29"/>
              <w:jc w:val="center"/>
              <w:rPr>
                <w:b/>
                <w:noProof/>
                <w:sz w:val="18"/>
              </w:rPr>
            </w:pPr>
          </w:p>
        </w:tc>
        <w:tc>
          <w:tcPr>
            <w:tcW w:w="594" w:type="dxa"/>
            <w:tcBorders>
              <w:top w:val="single" w:sz="12" w:space="0" w:color="auto"/>
              <w:bottom w:val="single" w:sz="12" w:space="0" w:color="auto"/>
            </w:tcBorders>
            <w:vAlign w:val="center"/>
          </w:tcPr>
          <w:p w:rsidR="00D3052E" w:rsidRDefault="00D3052E">
            <w:pPr>
              <w:spacing w:before="180" w:after="180"/>
              <w:ind w:right="-29"/>
              <w:jc w:val="center"/>
              <w:rPr>
                <w:b/>
                <w:noProof/>
                <w:sz w:val="18"/>
              </w:rPr>
            </w:pPr>
          </w:p>
        </w:tc>
        <w:tc>
          <w:tcPr>
            <w:tcW w:w="593" w:type="dxa"/>
            <w:tcBorders>
              <w:top w:val="single" w:sz="12" w:space="0" w:color="auto"/>
              <w:bottom w:val="single" w:sz="12" w:space="0" w:color="auto"/>
            </w:tcBorders>
            <w:vAlign w:val="center"/>
          </w:tcPr>
          <w:p w:rsidR="00D3052E" w:rsidRDefault="00D3052E">
            <w:pPr>
              <w:spacing w:before="180" w:after="180"/>
              <w:ind w:right="-29"/>
              <w:jc w:val="center"/>
              <w:rPr>
                <w:b/>
                <w:noProof/>
                <w:sz w:val="18"/>
              </w:rPr>
            </w:pPr>
          </w:p>
        </w:tc>
        <w:tc>
          <w:tcPr>
            <w:tcW w:w="564" w:type="dxa"/>
            <w:tcBorders>
              <w:top w:val="single" w:sz="12" w:space="0" w:color="auto"/>
              <w:bottom w:val="single" w:sz="12" w:space="0" w:color="auto"/>
            </w:tcBorders>
            <w:vAlign w:val="center"/>
          </w:tcPr>
          <w:p w:rsidR="00D3052E" w:rsidRDefault="00D3052E">
            <w:pPr>
              <w:spacing w:before="180" w:after="180"/>
              <w:ind w:right="-29"/>
              <w:jc w:val="center"/>
              <w:rPr>
                <w:b/>
                <w:noProof/>
                <w:sz w:val="18"/>
              </w:rPr>
            </w:pPr>
          </w:p>
        </w:tc>
        <w:tc>
          <w:tcPr>
            <w:tcW w:w="623" w:type="dxa"/>
            <w:tcBorders>
              <w:top w:val="single" w:sz="12" w:space="0" w:color="auto"/>
              <w:bottom w:val="single" w:sz="12" w:space="0" w:color="auto"/>
            </w:tcBorders>
            <w:vAlign w:val="center"/>
          </w:tcPr>
          <w:p w:rsidR="00D3052E" w:rsidRDefault="00D3052E">
            <w:pPr>
              <w:spacing w:before="180" w:after="180"/>
              <w:ind w:right="-29"/>
              <w:jc w:val="center"/>
              <w:rPr>
                <w:b/>
                <w:noProof/>
                <w:sz w:val="18"/>
              </w:rPr>
            </w:pPr>
          </w:p>
        </w:tc>
        <w:tc>
          <w:tcPr>
            <w:tcW w:w="593" w:type="dxa"/>
            <w:tcBorders>
              <w:top w:val="single" w:sz="12" w:space="0" w:color="auto"/>
              <w:bottom w:val="single" w:sz="12" w:space="0" w:color="auto"/>
            </w:tcBorders>
            <w:vAlign w:val="center"/>
          </w:tcPr>
          <w:p w:rsidR="00D3052E" w:rsidRDefault="00D3052E">
            <w:pPr>
              <w:spacing w:before="180" w:after="180"/>
              <w:ind w:right="-29"/>
              <w:jc w:val="center"/>
              <w:rPr>
                <w:b/>
                <w:noProof/>
                <w:sz w:val="18"/>
              </w:rPr>
            </w:pPr>
          </w:p>
        </w:tc>
        <w:tc>
          <w:tcPr>
            <w:tcW w:w="593" w:type="dxa"/>
            <w:tcBorders>
              <w:top w:val="single" w:sz="12" w:space="0" w:color="auto"/>
              <w:bottom w:val="single" w:sz="12" w:space="0" w:color="auto"/>
            </w:tcBorders>
            <w:vAlign w:val="center"/>
          </w:tcPr>
          <w:p w:rsidR="00D3052E" w:rsidRDefault="00D3052E">
            <w:pPr>
              <w:spacing w:before="180" w:after="180"/>
              <w:ind w:right="-29"/>
              <w:jc w:val="center"/>
              <w:rPr>
                <w:b/>
                <w:noProof/>
                <w:sz w:val="18"/>
              </w:rPr>
            </w:pPr>
          </w:p>
        </w:tc>
        <w:tc>
          <w:tcPr>
            <w:tcW w:w="594" w:type="dxa"/>
            <w:tcBorders>
              <w:top w:val="single" w:sz="12" w:space="0" w:color="auto"/>
              <w:bottom w:val="single" w:sz="12" w:space="0" w:color="auto"/>
            </w:tcBorders>
            <w:vAlign w:val="center"/>
          </w:tcPr>
          <w:p w:rsidR="00D3052E" w:rsidRDefault="00D3052E">
            <w:pPr>
              <w:spacing w:before="180" w:after="180"/>
              <w:ind w:right="-29"/>
              <w:jc w:val="center"/>
              <w:rPr>
                <w:b/>
                <w:noProof/>
                <w:sz w:val="18"/>
              </w:rPr>
            </w:pPr>
          </w:p>
        </w:tc>
        <w:tc>
          <w:tcPr>
            <w:tcW w:w="593" w:type="dxa"/>
            <w:tcBorders>
              <w:top w:val="single" w:sz="12" w:space="0" w:color="auto"/>
              <w:bottom w:val="single" w:sz="12" w:space="0" w:color="auto"/>
            </w:tcBorders>
            <w:vAlign w:val="center"/>
          </w:tcPr>
          <w:p w:rsidR="00D3052E" w:rsidRDefault="00D3052E">
            <w:pPr>
              <w:spacing w:before="180" w:after="180"/>
              <w:ind w:right="-29"/>
              <w:jc w:val="center"/>
              <w:rPr>
                <w:b/>
                <w:noProof/>
                <w:sz w:val="18"/>
              </w:rPr>
            </w:pPr>
          </w:p>
        </w:tc>
        <w:tc>
          <w:tcPr>
            <w:tcW w:w="851" w:type="dxa"/>
            <w:tcBorders>
              <w:top w:val="single" w:sz="12" w:space="0" w:color="auto"/>
              <w:bottom w:val="single" w:sz="12" w:space="0" w:color="auto"/>
            </w:tcBorders>
            <w:vAlign w:val="center"/>
          </w:tcPr>
          <w:p w:rsidR="00D3052E" w:rsidRDefault="00D3052E">
            <w:pPr>
              <w:spacing w:before="180" w:after="180"/>
              <w:ind w:right="-29"/>
              <w:jc w:val="center"/>
              <w:rPr>
                <w:b/>
                <w:noProof/>
                <w:sz w:val="18"/>
              </w:rPr>
            </w:pPr>
          </w:p>
        </w:tc>
        <w:tc>
          <w:tcPr>
            <w:tcW w:w="804" w:type="dxa"/>
            <w:tcBorders>
              <w:top w:val="single" w:sz="12" w:space="0" w:color="auto"/>
              <w:bottom w:val="single" w:sz="12" w:space="0" w:color="auto"/>
              <w:right w:val="single" w:sz="12" w:space="0" w:color="auto"/>
            </w:tcBorders>
            <w:vAlign w:val="center"/>
          </w:tcPr>
          <w:p w:rsidR="00D3052E" w:rsidRDefault="00D3052E">
            <w:pPr>
              <w:spacing w:before="180" w:after="180"/>
              <w:ind w:right="-29"/>
              <w:jc w:val="center"/>
              <w:rPr>
                <w:b/>
                <w:noProof/>
                <w:sz w:val="18"/>
              </w:rPr>
            </w:pPr>
          </w:p>
        </w:tc>
      </w:tr>
    </w:tbl>
    <w:p w:rsidR="00D3052E" w:rsidRDefault="00D3052E">
      <w:pPr>
        <w:rPr>
          <w:noProof/>
        </w:rPr>
        <w:sectPr w:rsidR="00D3052E">
          <w:headerReference w:type="default" r:id="rId18"/>
          <w:footerReference w:type="default" r:id="rId19"/>
          <w:headerReference w:type="first" r:id="rId20"/>
          <w:footerReference w:type="first" r:id="rId21"/>
          <w:pgSz w:w="15840" w:h="12240" w:orient="landscape"/>
          <w:pgMar w:top="1418" w:right="902" w:bottom="902" w:left="567" w:header="709" w:footer="709" w:gutter="0"/>
          <w:cols w:space="720"/>
          <w:docGrid w:linePitch="326"/>
        </w:sectPr>
      </w:pPr>
    </w:p>
    <w:p w:rsidR="00D3052E" w:rsidRDefault="00635D2F">
      <w:pPr>
        <w:pStyle w:val="ManualHeading3"/>
        <w:rPr>
          <w:bCs/>
          <w:noProof/>
          <w:szCs w:val="24"/>
        </w:rPr>
      </w:pPr>
      <w:bookmarkStart w:id="87" w:name="_Toc514938688"/>
      <w:bookmarkStart w:id="88" w:name="_Toc520485447"/>
      <w:bookmarkStart w:id="89" w:name="_Toc54546063"/>
      <w:r>
        <w:lastRenderedPageBreak/>
        <w:t>3.2.3.</w:t>
      </w:r>
      <w:r>
        <w:tab/>
      </w:r>
      <w:r>
        <w:rPr>
          <w:noProof/>
        </w:rPr>
        <w:t>Szacunkowy wpływ na zasoby ludzkie EEA i ECHA</w:t>
      </w:r>
      <w:bookmarkEnd w:id="87"/>
      <w:bookmarkEnd w:id="88"/>
      <w:bookmarkEnd w:id="89"/>
      <w:r>
        <w:rPr>
          <w:noProof/>
        </w:rPr>
        <w:t xml:space="preserve"> </w:t>
      </w:r>
    </w:p>
    <w:p w:rsidR="00D3052E" w:rsidRDefault="00635D2F">
      <w:pPr>
        <w:pStyle w:val="ManualHeading4"/>
        <w:rPr>
          <w:bCs/>
          <w:noProof/>
          <w:szCs w:val="24"/>
        </w:rPr>
      </w:pPr>
      <w:r>
        <w:t>3.2.3.1.</w:t>
      </w:r>
      <w:r>
        <w:tab/>
      </w:r>
      <w:r>
        <w:rPr>
          <w:noProof/>
        </w:rPr>
        <w:t xml:space="preserve">Streszczenie </w:t>
      </w:r>
    </w:p>
    <w:p w:rsidR="00D3052E" w:rsidRDefault="00635D2F">
      <w:pPr>
        <w:pStyle w:val="ListDash1"/>
        <w:rPr>
          <w:noProof/>
        </w:rPr>
      </w:pPr>
      <w:r>
        <w:rPr>
          <w:noProof/>
        </w:rPr>
        <w:sym w:font="Wingdings" w:char="F0A8"/>
      </w:r>
      <w:r>
        <w:rPr>
          <w:noProof/>
        </w:rPr>
        <w:tab/>
        <w:t xml:space="preserve">Wniosek/inicjatywa nie wiąże się z koniecznością wykorzystania środków administracyjnych </w:t>
      </w:r>
    </w:p>
    <w:p w:rsidR="00D3052E" w:rsidRDefault="00635D2F">
      <w:pPr>
        <w:pStyle w:val="ListDash1"/>
        <w:rPr>
          <w:noProof/>
        </w:rPr>
      </w:pPr>
      <w:r>
        <w:rPr>
          <w:noProof/>
        </w:rPr>
        <w:sym w:font="Wingdings" w:char="F0FE"/>
      </w:r>
      <w:r>
        <w:rPr>
          <w:noProof/>
        </w:rPr>
        <w:tab/>
        <w:t>Wniosek/inicjatywa wiąże się z koniecznością wykorzystania środków administracyjnych, jak określono poniżej:</w:t>
      </w:r>
    </w:p>
    <w:p w:rsidR="00D3052E" w:rsidRDefault="00635D2F">
      <w:pPr>
        <w:rPr>
          <w:noProof/>
          <w:sz w:val="20"/>
        </w:rPr>
      </w:pPr>
      <w:r>
        <w:rPr>
          <w:noProof/>
          <w:sz w:val="20"/>
        </w:rPr>
        <w:t>w mln EUR (do trzech miejsc po przecinku) w cenach stałych</w:t>
      </w:r>
    </w:p>
    <w:tbl>
      <w:tblPr>
        <w:tblW w:w="96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960"/>
        <w:gridCol w:w="960"/>
        <w:gridCol w:w="960"/>
        <w:gridCol w:w="960"/>
        <w:gridCol w:w="960"/>
        <w:gridCol w:w="960"/>
        <w:gridCol w:w="960"/>
        <w:gridCol w:w="960"/>
      </w:tblGrid>
      <w:tr w:rsidR="00D3052E">
        <w:trPr>
          <w:trHeight w:val="585"/>
        </w:trPr>
        <w:tc>
          <w:tcPr>
            <w:tcW w:w="1980" w:type="dxa"/>
          </w:tcPr>
          <w:p w:rsidR="00D3052E" w:rsidRDefault="00635D2F">
            <w:pPr>
              <w:spacing w:before="60" w:after="60"/>
              <w:rPr>
                <w:b/>
                <w:noProof/>
                <w:sz w:val="20"/>
              </w:rPr>
            </w:pPr>
            <w:r>
              <w:rPr>
                <w:b/>
                <w:noProof/>
                <w:sz w:val="20"/>
              </w:rPr>
              <w:t>EEA i ECHA</w:t>
            </w:r>
          </w:p>
        </w:tc>
        <w:tc>
          <w:tcPr>
            <w:tcW w:w="960" w:type="dxa"/>
            <w:vAlign w:val="center"/>
          </w:tcPr>
          <w:p w:rsidR="00D3052E" w:rsidRDefault="00635D2F">
            <w:pPr>
              <w:spacing w:before="60" w:after="60"/>
              <w:jc w:val="center"/>
              <w:rPr>
                <w:b/>
                <w:noProof/>
                <w:sz w:val="20"/>
              </w:rPr>
            </w:pPr>
            <w:r>
              <w:rPr>
                <w:b/>
                <w:noProof/>
                <w:sz w:val="20"/>
              </w:rPr>
              <w:t>2021</w:t>
            </w:r>
          </w:p>
        </w:tc>
        <w:tc>
          <w:tcPr>
            <w:tcW w:w="960" w:type="dxa"/>
            <w:vAlign w:val="center"/>
          </w:tcPr>
          <w:p w:rsidR="00D3052E" w:rsidRDefault="00635D2F">
            <w:pPr>
              <w:spacing w:before="60" w:after="60"/>
              <w:jc w:val="center"/>
              <w:rPr>
                <w:b/>
                <w:noProof/>
                <w:sz w:val="20"/>
              </w:rPr>
            </w:pPr>
            <w:r>
              <w:rPr>
                <w:b/>
                <w:noProof/>
                <w:sz w:val="20"/>
              </w:rPr>
              <w:t>2022</w:t>
            </w:r>
          </w:p>
        </w:tc>
        <w:tc>
          <w:tcPr>
            <w:tcW w:w="960" w:type="dxa"/>
            <w:vAlign w:val="center"/>
          </w:tcPr>
          <w:p w:rsidR="00D3052E" w:rsidRDefault="00635D2F">
            <w:pPr>
              <w:spacing w:before="60" w:after="60"/>
              <w:jc w:val="center"/>
              <w:rPr>
                <w:b/>
                <w:noProof/>
                <w:sz w:val="20"/>
              </w:rPr>
            </w:pPr>
            <w:r>
              <w:rPr>
                <w:b/>
                <w:noProof/>
                <w:sz w:val="20"/>
              </w:rPr>
              <w:t>2023</w:t>
            </w:r>
          </w:p>
        </w:tc>
        <w:tc>
          <w:tcPr>
            <w:tcW w:w="960" w:type="dxa"/>
            <w:vAlign w:val="center"/>
          </w:tcPr>
          <w:p w:rsidR="00D3052E" w:rsidRDefault="00635D2F">
            <w:pPr>
              <w:jc w:val="center"/>
              <w:rPr>
                <w:b/>
                <w:noProof/>
                <w:sz w:val="20"/>
              </w:rPr>
            </w:pPr>
            <w:r>
              <w:rPr>
                <w:b/>
                <w:noProof/>
                <w:sz w:val="20"/>
              </w:rPr>
              <w:t>2024</w:t>
            </w:r>
          </w:p>
        </w:tc>
        <w:tc>
          <w:tcPr>
            <w:tcW w:w="960" w:type="dxa"/>
            <w:vAlign w:val="center"/>
          </w:tcPr>
          <w:p w:rsidR="00D3052E" w:rsidRDefault="00635D2F">
            <w:pPr>
              <w:jc w:val="center"/>
              <w:rPr>
                <w:b/>
                <w:noProof/>
                <w:sz w:val="20"/>
              </w:rPr>
            </w:pPr>
            <w:r>
              <w:rPr>
                <w:b/>
                <w:noProof/>
                <w:sz w:val="20"/>
              </w:rPr>
              <w:t>2025</w:t>
            </w:r>
          </w:p>
        </w:tc>
        <w:tc>
          <w:tcPr>
            <w:tcW w:w="960" w:type="dxa"/>
            <w:vAlign w:val="center"/>
          </w:tcPr>
          <w:p w:rsidR="00D3052E" w:rsidRDefault="00635D2F">
            <w:pPr>
              <w:jc w:val="center"/>
              <w:rPr>
                <w:b/>
                <w:noProof/>
                <w:sz w:val="20"/>
              </w:rPr>
            </w:pPr>
            <w:r>
              <w:rPr>
                <w:b/>
                <w:noProof/>
                <w:sz w:val="20"/>
              </w:rPr>
              <w:t>2026</w:t>
            </w:r>
          </w:p>
        </w:tc>
        <w:tc>
          <w:tcPr>
            <w:tcW w:w="960" w:type="dxa"/>
            <w:vAlign w:val="center"/>
          </w:tcPr>
          <w:p w:rsidR="00D3052E" w:rsidRDefault="00635D2F">
            <w:pPr>
              <w:jc w:val="center"/>
              <w:rPr>
                <w:b/>
                <w:noProof/>
                <w:sz w:val="20"/>
              </w:rPr>
            </w:pPr>
            <w:r>
              <w:rPr>
                <w:b/>
                <w:noProof/>
                <w:sz w:val="20"/>
              </w:rPr>
              <w:t>2027</w:t>
            </w:r>
          </w:p>
        </w:tc>
        <w:tc>
          <w:tcPr>
            <w:tcW w:w="960" w:type="dxa"/>
            <w:vAlign w:val="center"/>
          </w:tcPr>
          <w:p w:rsidR="00D3052E" w:rsidRDefault="00635D2F">
            <w:pPr>
              <w:spacing w:before="60" w:after="60"/>
              <w:jc w:val="center"/>
              <w:rPr>
                <w:b/>
                <w:noProof/>
                <w:sz w:val="20"/>
              </w:rPr>
            </w:pPr>
            <w:r>
              <w:rPr>
                <w:b/>
                <w:noProof/>
                <w:sz w:val="20"/>
              </w:rPr>
              <w:t>OGÓŁEM</w:t>
            </w:r>
          </w:p>
        </w:tc>
      </w:tr>
      <w:tr w:rsidR="00D305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D9D9D9" w:themeFill="background1" w:themeFillShade="D9"/>
            <w:vAlign w:val="center"/>
          </w:tcPr>
          <w:p w:rsidR="00D3052E" w:rsidRDefault="00635D2F">
            <w:pPr>
              <w:spacing w:before="60" w:after="60"/>
              <w:jc w:val="center"/>
              <w:rPr>
                <w:noProof/>
                <w:sz w:val="20"/>
              </w:rPr>
            </w:pPr>
            <w:r>
              <w:rPr>
                <w:noProof/>
                <w:sz w:val="20"/>
              </w:rPr>
              <w:t>Pracownicy zatrudnieni na czas określony (grupy zaszeregowania AD)</w:t>
            </w:r>
          </w:p>
        </w:tc>
        <w:tc>
          <w:tcPr>
            <w:tcW w:w="960" w:type="dxa"/>
            <w:tcBorders>
              <w:top w:val="single" w:sz="12" w:space="0" w:color="auto"/>
              <w:left w:val="single" w:sz="2" w:space="0" w:color="auto"/>
              <w:bottom w:val="single" w:sz="12" w:space="0" w:color="auto"/>
              <w:right w:val="single" w:sz="2" w:space="0" w:color="auto"/>
            </w:tcBorders>
            <w:vAlign w:val="bottom"/>
          </w:tcPr>
          <w:p w:rsidR="00D3052E" w:rsidRDefault="00635D2F">
            <w:pPr>
              <w:spacing w:before="60" w:after="60"/>
              <w:jc w:val="right"/>
              <w:rPr>
                <w:noProof/>
                <w:sz w:val="20"/>
              </w:rPr>
            </w:pPr>
            <w:r>
              <w:rPr>
                <w:noProof/>
                <w:color w:val="000000"/>
                <w:sz w:val="20"/>
              </w:rPr>
              <w:t xml:space="preserve">1,993 </w:t>
            </w:r>
          </w:p>
        </w:tc>
        <w:tc>
          <w:tcPr>
            <w:tcW w:w="960" w:type="dxa"/>
            <w:tcBorders>
              <w:top w:val="single" w:sz="12" w:space="0" w:color="auto"/>
              <w:left w:val="single" w:sz="2" w:space="0" w:color="auto"/>
              <w:bottom w:val="single" w:sz="12" w:space="0" w:color="auto"/>
              <w:right w:val="single" w:sz="2" w:space="0" w:color="auto"/>
            </w:tcBorders>
            <w:vAlign w:val="bottom"/>
          </w:tcPr>
          <w:p w:rsidR="00D3052E" w:rsidRDefault="00635D2F">
            <w:pPr>
              <w:spacing w:before="60" w:after="60"/>
              <w:jc w:val="right"/>
              <w:rPr>
                <w:noProof/>
                <w:sz w:val="20"/>
              </w:rPr>
            </w:pPr>
            <w:r>
              <w:rPr>
                <w:noProof/>
                <w:color w:val="000000"/>
                <w:sz w:val="20"/>
              </w:rPr>
              <w:t xml:space="preserve">2,033 </w:t>
            </w:r>
          </w:p>
        </w:tc>
        <w:tc>
          <w:tcPr>
            <w:tcW w:w="960" w:type="dxa"/>
            <w:tcBorders>
              <w:top w:val="single" w:sz="12" w:space="0" w:color="auto"/>
              <w:left w:val="single" w:sz="2" w:space="0" w:color="auto"/>
              <w:bottom w:val="single" w:sz="12" w:space="0" w:color="auto"/>
              <w:right w:val="single" w:sz="2" w:space="0" w:color="auto"/>
            </w:tcBorders>
            <w:vAlign w:val="bottom"/>
          </w:tcPr>
          <w:p w:rsidR="00D3052E" w:rsidRDefault="00635D2F">
            <w:pPr>
              <w:spacing w:before="60" w:after="60"/>
              <w:jc w:val="right"/>
              <w:rPr>
                <w:noProof/>
                <w:sz w:val="20"/>
              </w:rPr>
            </w:pPr>
            <w:r>
              <w:rPr>
                <w:noProof/>
                <w:color w:val="000000"/>
                <w:sz w:val="20"/>
              </w:rPr>
              <w:t xml:space="preserve">2,074 </w:t>
            </w:r>
          </w:p>
        </w:tc>
        <w:tc>
          <w:tcPr>
            <w:tcW w:w="960" w:type="dxa"/>
            <w:tcBorders>
              <w:top w:val="single" w:sz="12" w:space="0" w:color="auto"/>
              <w:left w:val="single" w:sz="2" w:space="0" w:color="auto"/>
              <w:bottom w:val="single" w:sz="12" w:space="0" w:color="auto"/>
              <w:right w:val="single" w:sz="2" w:space="0" w:color="auto"/>
            </w:tcBorders>
            <w:vAlign w:val="bottom"/>
          </w:tcPr>
          <w:p w:rsidR="00D3052E" w:rsidRDefault="00635D2F">
            <w:pPr>
              <w:spacing w:before="60" w:after="60"/>
              <w:jc w:val="right"/>
              <w:rPr>
                <w:noProof/>
                <w:sz w:val="20"/>
              </w:rPr>
            </w:pPr>
            <w:r>
              <w:rPr>
                <w:noProof/>
                <w:color w:val="000000"/>
                <w:sz w:val="20"/>
              </w:rPr>
              <w:t xml:space="preserve">2,115 </w:t>
            </w:r>
          </w:p>
        </w:tc>
        <w:tc>
          <w:tcPr>
            <w:tcW w:w="960" w:type="dxa"/>
            <w:tcBorders>
              <w:top w:val="single" w:sz="12" w:space="0" w:color="auto"/>
              <w:left w:val="single" w:sz="2" w:space="0" w:color="auto"/>
              <w:bottom w:val="single" w:sz="12" w:space="0" w:color="auto"/>
              <w:right w:val="single" w:sz="2" w:space="0" w:color="auto"/>
            </w:tcBorders>
            <w:vAlign w:val="bottom"/>
          </w:tcPr>
          <w:p w:rsidR="00D3052E" w:rsidRDefault="00635D2F">
            <w:pPr>
              <w:spacing w:before="60" w:after="60"/>
              <w:jc w:val="right"/>
              <w:rPr>
                <w:noProof/>
                <w:sz w:val="20"/>
              </w:rPr>
            </w:pPr>
            <w:r>
              <w:rPr>
                <w:noProof/>
                <w:color w:val="000000"/>
                <w:sz w:val="20"/>
              </w:rPr>
              <w:t xml:space="preserve">2,158 </w:t>
            </w:r>
          </w:p>
        </w:tc>
        <w:tc>
          <w:tcPr>
            <w:tcW w:w="960" w:type="dxa"/>
            <w:tcBorders>
              <w:top w:val="single" w:sz="12" w:space="0" w:color="auto"/>
              <w:left w:val="single" w:sz="2" w:space="0" w:color="auto"/>
              <w:bottom w:val="single" w:sz="12" w:space="0" w:color="auto"/>
              <w:right w:val="single" w:sz="2" w:space="0" w:color="auto"/>
            </w:tcBorders>
            <w:vAlign w:val="bottom"/>
          </w:tcPr>
          <w:p w:rsidR="00D3052E" w:rsidRDefault="00635D2F">
            <w:pPr>
              <w:spacing w:before="60" w:after="60"/>
              <w:jc w:val="right"/>
              <w:rPr>
                <w:noProof/>
                <w:sz w:val="20"/>
              </w:rPr>
            </w:pPr>
            <w:r>
              <w:rPr>
                <w:noProof/>
                <w:color w:val="000000"/>
                <w:sz w:val="20"/>
              </w:rPr>
              <w:t>2,201</w:t>
            </w:r>
          </w:p>
        </w:tc>
        <w:tc>
          <w:tcPr>
            <w:tcW w:w="960" w:type="dxa"/>
            <w:tcBorders>
              <w:top w:val="single" w:sz="12" w:space="0" w:color="auto"/>
              <w:left w:val="single" w:sz="2" w:space="0" w:color="auto"/>
              <w:bottom w:val="single" w:sz="12" w:space="0" w:color="auto"/>
              <w:right w:val="single" w:sz="2" w:space="0" w:color="auto"/>
            </w:tcBorders>
            <w:vAlign w:val="bottom"/>
          </w:tcPr>
          <w:p w:rsidR="00D3052E" w:rsidRDefault="00635D2F">
            <w:pPr>
              <w:spacing w:before="60" w:after="60"/>
              <w:jc w:val="right"/>
              <w:rPr>
                <w:noProof/>
                <w:sz w:val="20"/>
              </w:rPr>
            </w:pPr>
            <w:r>
              <w:rPr>
                <w:noProof/>
                <w:color w:val="000000"/>
                <w:sz w:val="20"/>
              </w:rPr>
              <w:t>2,245</w:t>
            </w:r>
          </w:p>
        </w:tc>
        <w:tc>
          <w:tcPr>
            <w:tcW w:w="960" w:type="dxa"/>
            <w:tcBorders>
              <w:top w:val="single" w:sz="12" w:space="0" w:color="auto"/>
              <w:left w:val="single" w:sz="2" w:space="0" w:color="auto"/>
              <w:bottom w:val="single" w:sz="12" w:space="0" w:color="auto"/>
              <w:right w:val="single" w:sz="12" w:space="0" w:color="auto"/>
            </w:tcBorders>
            <w:vAlign w:val="bottom"/>
          </w:tcPr>
          <w:p w:rsidR="00D3052E" w:rsidRDefault="00635D2F">
            <w:pPr>
              <w:spacing w:before="60" w:after="60"/>
              <w:jc w:val="right"/>
              <w:rPr>
                <w:noProof/>
                <w:sz w:val="20"/>
              </w:rPr>
            </w:pPr>
            <w:r>
              <w:rPr>
                <w:noProof/>
                <w:sz w:val="20"/>
              </w:rPr>
              <w:t>14,820</w:t>
            </w:r>
          </w:p>
        </w:tc>
      </w:tr>
      <w:tr w:rsidR="00D305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BFBFBF" w:themeFill="background1" w:themeFillShade="BF"/>
            <w:vAlign w:val="center"/>
          </w:tcPr>
          <w:p w:rsidR="00D3052E" w:rsidRDefault="00635D2F">
            <w:pPr>
              <w:spacing w:before="60" w:after="60"/>
              <w:jc w:val="center"/>
              <w:rPr>
                <w:noProof/>
                <w:sz w:val="20"/>
              </w:rPr>
            </w:pPr>
            <w:r>
              <w:rPr>
                <w:noProof/>
                <w:sz w:val="20"/>
              </w:rPr>
              <w:t>Pracownicy zatrudnieni na czas określony (AST)</w:t>
            </w:r>
          </w:p>
        </w:tc>
        <w:tc>
          <w:tcPr>
            <w:tcW w:w="960" w:type="dxa"/>
            <w:tcBorders>
              <w:top w:val="single" w:sz="12" w:space="0" w:color="auto"/>
              <w:left w:val="single" w:sz="2" w:space="0" w:color="auto"/>
              <w:bottom w:val="single" w:sz="12" w:space="0" w:color="auto"/>
              <w:right w:val="single" w:sz="2" w:space="0" w:color="auto"/>
            </w:tcBorders>
            <w:vAlign w:val="bottom"/>
          </w:tcPr>
          <w:p w:rsidR="00D3052E" w:rsidRDefault="00D3052E">
            <w:pPr>
              <w:spacing w:before="60" w:after="60"/>
              <w:jc w:val="right"/>
              <w:rPr>
                <w:noProof/>
                <w:sz w:val="20"/>
              </w:rPr>
            </w:pPr>
          </w:p>
        </w:tc>
        <w:tc>
          <w:tcPr>
            <w:tcW w:w="960" w:type="dxa"/>
            <w:tcBorders>
              <w:top w:val="single" w:sz="12" w:space="0" w:color="auto"/>
              <w:left w:val="single" w:sz="2" w:space="0" w:color="auto"/>
              <w:bottom w:val="single" w:sz="12" w:space="0" w:color="auto"/>
              <w:right w:val="single" w:sz="2" w:space="0" w:color="auto"/>
            </w:tcBorders>
            <w:vAlign w:val="bottom"/>
          </w:tcPr>
          <w:p w:rsidR="00D3052E" w:rsidRDefault="00D3052E">
            <w:pPr>
              <w:spacing w:before="60" w:after="60"/>
              <w:jc w:val="right"/>
              <w:rPr>
                <w:noProof/>
                <w:sz w:val="20"/>
              </w:rPr>
            </w:pPr>
          </w:p>
        </w:tc>
        <w:tc>
          <w:tcPr>
            <w:tcW w:w="960" w:type="dxa"/>
            <w:tcBorders>
              <w:top w:val="single" w:sz="12" w:space="0" w:color="auto"/>
              <w:left w:val="single" w:sz="2" w:space="0" w:color="auto"/>
              <w:bottom w:val="single" w:sz="12" w:space="0" w:color="auto"/>
              <w:right w:val="single" w:sz="2" w:space="0" w:color="auto"/>
            </w:tcBorders>
            <w:vAlign w:val="bottom"/>
          </w:tcPr>
          <w:p w:rsidR="00D3052E" w:rsidRDefault="00D3052E">
            <w:pPr>
              <w:spacing w:before="60" w:after="60"/>
              <w:jc w:val="right"/>
              <w:rPr>
                <w:noProof/>
                <w:sz w:val="20"/>
              </w:rPr>
            </w:pPr>
          </w:p>
        </w:tc>
        <w:tc>
          <w:tcPr>
            <w:tcW w:w="960" w:type="dxa"/>
            <w:tcBorders>
              <w:top w:val="single" w:sz="12" w:space="0" w:color="auto"/>
              <w:left w:val="single" w:sz="2" w:space="0" w:color="auto"/>
              <w:bottom w:val="single" w:sz="12" w:space="0" w:color="auto"/>
              <w:right w:val="single" w:sz="2" w:space="0" w:color="auto"/>
            </w:tcBorders>
            <w:vAlign w:val="bottom"/>
          </w:tcPr>
          <w:p w:rsidR="00D3052E" w:rsidRDefault="00D3052E">
            <w:pPr>
              <w:spacing w:before="60" w:after="60"/>
              <w:jc w:val="right"/>
              <w:rPr>
                <w:noProof/>
                <w:sz w:val="20"/>
              </w:rPr>
            </w:pPr>
          </w:p>
        </w:tc>
        <w:tc>
          <w:tcPr>
            <w:tcW w:w="960" w:type="dxa"/>
            <w:tcBorders>
              <w:top w:val="single" w:sz="12" w:space="0" w:color="auto"/>
              <w:left w:val="single" w:sz="2" w:space="0" w:color="auto"/>
              <w:bottom w:val="single" w:sz="12" w:space="0" w:color="auto"/>
              <w:right w:val="single" w:sz="2" w:space="0" w:color="auto"/>
            </w:tcBorders>
            <w:vAlign w:val="bottom"/>
          </w:tcPr>
          <w:p w:rsidR="00D3052E" w:rsidRDefault="00D3052E">
            <w:pPr>
              <w:spacing w:before="60" w:after="60"/>
              <w:jc w:val="right"/>
              <w:rPr>
                <w:noProof/>
                <w:sz w:val="20"/>
              </w:rPr>
            </w:pPr>
          </w:p>
        </w:tc>
        <w:tc>
          <w:tcPr>
            <w:tcW w:w="960" w:type="dxa"/>
            <w:tcBorders>
              <w:top w:val="single" w:sz="12" w:space="0" w:color="auto"/>
              <w:left w:val="single" w:sz="2" w:space="0" w:color="auto"/>
              <w:bottom w:val="single" w:sz="12" w:space="0" w:color="auto"/>
              <w:right w:val="single" w:sz="2" w:space="0" w:color="auto"/>
            </w:tcBorders>
            <w:vAlign w:val="bottom"/>
          </w:tcPr>
          <w:p w:rsidR="00D3052E" w:rsidRDefault="00D3052E">
            <w:pPr>
              <w:spacing w:before="60" w:after="60"/>
              <w:jc w:val="right"/>
              <w:rPr>
                <w:noProof/>
                <w:sz w:val="20"/>
              </w:rPr>
            </w:pPr>
          </w:p>
        </w:tc>
        <w:tc>
          <w:tcPr>
            <w:tcW w:w="960" w:type="dxa"/>
            <w:tcBorders>
              <w:top w:val="single" w:sz="12" w:space="0" w:color="auto"/>
              <w:left w:val="single" w:sz="2" w:space="0" w:color="auto"/>
              <w:bottom w:val="single" w:sz="12" w:space="0" w:color="auto"/>
              <w:right w:val="single" w:sz="2" w:space="0" w:color="auto"/>
            </w:tcBorders>
            <w:vAlign w:val="bottom"/>
          </w:tcPr>
          <w:p w:rsidR="00D3052E" w:rsidRDefault="00D3052E">
            <w:pPr>
              <w:spacing w:before="60" w:after="60"/>
              <w:jc w:val="right"/>
              <w:rPr>
                <w:noProof/>
                <w:sz w:val="20"/>
              </w:rPr>
            </w:pPr>
          </w:p>
        </w:tc>
        <w:tc>
          <w:tcPr>
            <w:tcW w:w="960" w:type="dxa"/>
            <w:tcBorders>
              <w:top w:val="single" w:sz="12" w:space="0" w:color="auto"/>
              <w:left w:val="single" w:sz="2" w:space="0" w:color="auto"/>
              <w:bottom w:val="single" w:sz="12" w:space="0" w:color="auto"/>
              <w:right w:val="single" w:sz="12" w:space="0" w:color="auto"/>
            </w:tcBorders>
            <w:vAlign w:val="bottom"/>
          </w:tcPr>
          <w:p w:rsidR="00D3052E" w:rsidRDefault="00D3052E">
            <w:pPr>
              <w:spacing w:before="60" w:after="60"/>
              <w:jc w:val="right"/>
              <w:rPr>
                <w:noProof/>
                <w:sz w:val="20"/>
              </w:rPr>
            </w:pPr>
          </w:p>
        </w:tc>
      </w:tr>
      <w:tr w:rsidR="00D305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BFBFBF" w:themeFill="background1" w:themeFillShade="BF"/>
            <w:vAlign w:val="center"/>
          </w:tcPr>
          <w:p w:rsidR="00D3052E" w:rsidRDefault="00635D2F">
            <w:pPr>
              <w:spacing w:before="60" w:after="60"/>
              <w:jc w:val="center"/>
              <w:rPr>
                <w:noProof/>
                <w:sz w:val="20"/>
              </w:rPr>
            </w:pPr>
            <w:r>
              <w:rPr>
                <w:noProof/>
                <w:sz w:val="20"/>
              </w:rPr>
              <w:t>Personel kontraktowy</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rsidR="00D3052E" w:rsidRDefault="00635D2F">
            <w:pPr>
              <w:spacing w:before="60" w:after="60"/>
              <w:jc w:val="right"/>
              <w:rPr>
                <w:noProof/>
                <w:sz w:val="20"/>
              </w:rPr>
            </w:pPr>
            <w:r>
              <w:rPr>
                <w:noProof/>
                <w:color w:val="000000"/>
                <w:sz w:val="20"/>
              </w:rPr>
              <w:t>740</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rsidR="00D3052E" w:rsidRDefault="00635D2F">
            <w:pPr>
              <w:spacing w:before="60" w:after="60"/>
              <w:jc w:val="right"/>
              <w:rPr>
                <w:noProof/>
                <w:sz w:val="20"/>
              </w:rPr>
            </w:pPr>
            <w:r>
              <w:rPr>
                <w:noProof/>
                <w:color w:val="000000"/>
                <w:sz w:val="20"/>
              </w:rPr>
              <w:t>755</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rsidR="00D3052E" w:rsidRDefault="00635D2F">
            <w:pPr>
              <w:spacing w:before="60" w:after="60"/>
              <w:jc w:val="right"/>
              <w:rPr>
                <w:noProof/>
                <w:sz w:val="20"/>
              </w:rPr>
            </w:pPr>
            <w:r>
              <w:rPr>
                <w:noProof/>
                <w:color w:val="000000"/>
                <w:sz w:val="20"/>
              </w:rPr>
              <w:t>770</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rsidR="00D3052E" w:rsidRDefault="00635D2F">
            <w:pPr>
              <w:spacing w:before="60" w:after="60"/>
              <w:jc w:val="right"/>
              <w:rPr>
                <w:noProof/>
                <w:sz w:val="20"/>
              </w:rPr>
            </w:pPr>
            <w:r>
              <w:rPr>
                <w:noProof/>
                <w:color w:val="000000"/>
                <w:sz w:val="20"/>
              </w:rPr>
              <w:t>786</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rsidR="00D3052E" w:rsidRDefault="00635D2F">
            <w:pPr>
              <w:spacing w:before="60" w:after="60"/>
              <w:jc w:val="right"/>
              <w:rPr>
                <w:noProof/>
                <w:sz w:val="20"/>
              </w:rPr>
            </w:pPr>
            <w:r>
              <w:rPr>
                <w:noProof/>
                <w:color w:val="000000"/>
                <w:sz w:val="20"/>
              </w:rPr>
              <w:t>801</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rsidR="00D3052E" w:rsidRDefault="00635D2F">
            <w:pPr>
              <w:spacing w:before="60" w:after="60"/>
              <w:jc w:val="right"/>
              <w:rPr>
                <w:noProof/>
                <w:sz w:val="20"/>
              </w:rPr>
            </w:pPr>
            <w:r>
              <w:rPr>
                <w:noProof/>
                <w:color w:val="000000"/>
                <w:sz w:val="20"/>
              </w:rPr>
              <w:t>817</w:t>
            </w:r>
          </w:p>
        </w:tc>
        <w:tc>
          <w:tcPr>
            <w:tcW w:w="960" w:type="dxa"/>
            <w:tcBorders>
              <w:top w:val="single" w:sz="12" w:space="0" w:color="auto"/>
              <w:left w:val="single" w:sz="2" w:space="0" w:color="auto"/>
              <w:bottom w:val="single" w:sz="12" w:space="0" w:color="auto"/>
              <w:right w:val="single" w:sz="2" w:space="0" w:color="auto"/>
            </w:tcBorders>
            <w:shd w:val="clear" w:color="auto" w:fill="BFBFBF" w:themeFill="background1" w:themeFillShade="BF"/>
            <w:vAlign w:val="center"/>
          </w:tcPr>
          <w:p w:rsidR="00D3052E" w:rsidRDefault="00635D2F">
            <w:pPr>
              <w:spacing w:before="60" w:after="60"/>
              <w:jc w:val="right"/>
              <w:rPr>
                <w:noProof/>
                <w:sz w:val="20"/>
              </w:rPr>
            </w:pPr>
            <w:r>
              <w:rPr>
                <w:noProof/>
                <w:color w:val="000000"/>
                <w:sz w:val="20"/>
              </w:rPr>
              <w:t>834</w:t>
            </w:r>
          </w:p>
        </w:tc>
        <w:tc>
          <w:tcPr>
            <w:tcW w:w="960" w:type="dxa"/>
            <w:tcBorders>
              <w:top w:val="single" w:sz="12" w:space="0" w:color="auto"/>
              <w:left w:val="single" w:sz="2" w:space="0" w:color="auto"/>
              <w:bottom w:val="single" w:sz="12" w:space="0" w:color="auto"/>
              <w:right w:val="single" w:sz="12" w:space="0" w:color="auto"/>
            </w:tcBorders>
            <w:shd w:val="clear" w:color="auto" w:fill="BFBFBF" w:themeFill="background1" w:themeFillShade="BF"/>
            <w:vAlign w:val="center"/>
          </w:tcPr>
          <w:p w:rsidR="00D3052E" w:rsidRDefault="00635D2F">
            <w:pPr>
              <w:spacing w:before="60" w:after="60"/>
              <w:jc w:val="right"/>
              <w:rPr>
                <w:noProof/>
                <w:sz w:val="20"/>
              </w:rPr>
            </w:pPr>
            <w:r>
              <w:rPr>
                <w:bCs/>
                <w:noProof/>
                <w:color w:val="000000"/>
                <w:sz w:val="20"/>
              </w:rPr>
              <w:t>5,503</w:t>
            </w:r>
          </w:p>
        </w:tc>
      </w:tr>
      <w:tr w:rsidR="00D305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shd w:val="clear" w:color="auto" w:fill="CCCCCC"/>
            <w:vAlign w:val="center"/>
          </w:tcPr>
          <w:p w:rsidR="00D3052E" w:rsidRDefault="00635D2F">
            <w:pPr>
              <w:spacing w:before="60" w:after="60"/>
              <w:jc w:val="center"/>
              <w:rPr>
                <w:noProof/>
                <w:sz w:val="20"/>
              </w:rPr>
            </w:pPr>
            <w:r>
              <w:rPr>
                <w:noProof/>
                <w:sz w:val="20"/>
              </w:rPr>
              <w:t>Oddelegowani eksperci krajowi</w:t>
            </w:r>
          </w:p>
        </w:tc>
        <w:tc>
          <w:tcPr>
            <w:tcW w:w="960" w:type="dxa"/>
            <w:tcBorders>
              <w:top w:val="single" w:sz="12" w:space="0" w:color="auto"/>
              <w:left w:val="single" w:sz="2" w:space="0" w:color="auto"/>
              <w:bottom w:val="single" w:sz="12" w:space="0" w:color="auto"/>
              <w:right w:val="single" w:sz="2" w:space="0" w:color="auto"/>
            </w:tcBorders>
            <w:vAlign w:val="center"/>
          </w:tcPr>
          <w:p w:rsidR="00D3052E" w:rsidRDefault="00635D2F">
            <w:pPr>
              <w:spacing w:before="60" w:after="60"/>
              <w:jc w:val="right"/>
              <w:rPr>
                <w:noProof/>
                <w:sz w:val="20"/>
              </w:rPr>
            </w:pPr>
            <w:r>
              <w:rPr>
                <w:bCs/>
                <w:noProof/>
                <w:color w:val="000000"/>
                <w:sz w:val="20"/>
              </w:rPr>
              <w:t xml:space="preserve"> </w:t>
            </w:r>
          </w:p>
        </w:tc>
        <w:tc>
          <w:tcPr>
            <w:tcW w:w="960" w:type="dxa"/>
            <w:tcBorders>
              <w:top w:val="single" w:sz="12" w:space="0" w:color="auto"/>
              <w:left w:val="single" w:sz="2" w:space="0" w:color="auto"/>
              <w:bottom w:val="single" w:sz="12" w:space="0" w:color="auto"/>
              <w:right w:val="single" w:sz="2" w:space="0" w:color="auto"/>
            </w:tcBorders>
            <w:vAlign w:val="center"/>
          </w:tcPr>
          <w:p w:rsidR="00D3052E" w:rsidRDefault="00635D2F">
            <w:pPr>
              <w:spacing w:before="60" w:after="60"/>
              <w:jc w:val="right"/>
              <w:rPr>
                <w:noProof/>
                <w:sz w:val="20"/>
              </w:rPr>
            </w:pPr>
            <w:r>
              <w:rPr>
                <w:bCs/>
                <w:noProof/>
                <w:color w:val="000000"/>
                <w:sz w:val="20"/>
              </w:rPr>
              <w:t xml:space="preserve"> </w:t>
            </w:r>
          </w:p>
        </w:tc>
        <w:tc>
          <w:tcPr>
            <w:tcW w:w="960" w:type="dxa"/>
            <w:tcBorders>
              <w:top w:val="single" w:sz="12" w:space="0" w:color="auto"/>
              <w:left w:val="single" w:sz="2" w:space="0" w:color="auto"/>
              <w:bottom w:val="single" w:sz="12" w:space="0" w:color="auto"/>
              <w:right w:val="single" w:sz="2" w:space="0" w:color="auto"/>
            </w:tcBorders>
            <w:vAlign w:val="center"/>
          </w:tcPr>
          <w:p w:rsidR="00D3052E" w:rsidRDefault="00635D2F">
            <w:pPr>
              <w:spacing w:before="60" w:after="60"/>
              <w:jc w:val="right"/>
              <w:rPr>
                <w:noProof/>
                <w:sz w:val="20"/>
              </w:rPr>
            </w:pPr>
            <w:r>
              <w:rPr>
                <w:bCs/>
                <w:noProof/>
                <w:color w:val="000000"/>
                <w:sz w:val="20"/>
              </w:rPr>
              <w:t xml:space="preserve"> </w:t>
            </w:r>
          </w:p>
        </w:tc>
        <w:tc>
          <w:tcPr>
            <w:tcW w:w="960" w:type="dxa"/>
            <w:tcBorders>
              <w:top w:val="single" w:sz="12" w:space="0" w:color="auto"/>
              <w:left w:val="single" w:sz="2" w:space="0" w:color="auto"/>
              <w:bottom w:val="single" w:sz="12" w:space="0" w:color="auto"/>
              <w:right w:val="single" w:sz="2" w:space="0" w:color="auto"/>
            </w:tcBorders>
            <w:vAlign w:val="center"/>
          </w:tcPr>
          <w:p w:rsidR="00D3052E" w:rsidRDefault="00635D2F">
            <w:pPr>
              <w:spacing w:before="60" w:after="60"/>
              <w:jc w:val="right"/>
              <w:rPr>
                <w:noProof/>
                <w:sz w:val="20"/>
              </w:rPr>
            </w:pPr>
            <w:r>
              <w:rPr>
                <w:bCs/>
                <w:noProof/>
                <w:color w:val="000000"/>
                <w:sz w:val="20"/>
              </w:rPr>
              <w:t xml:space="preserve"> </w:t>
            </w:r>
          </w:p>
        </w:tc>
        <w:tc>
          <w:tcPr>
            <w:tcW w:w="960" w:type="dxa"/>
            <w:tcBorders>
              <w:top w:val="single" w:sz="12" w:space="0" w:color="auto"/>
              <w:left w:val="single" w:sz="2" w:space="0" w:color="auto"/>
              <w:bottom w:val="single" w:sz="12" w:space="0" w:color="auto"/>
              <w:right w:val="single" w:sz="2" w:space="0" w:color="auto"/>
            </w:tcBorders>
            <w:vAlign w:val="center"/>
          </w:tcPr>
          <w:p w:rsidR="00D3052E" w:rsidRDefault="00635D2F">
            <w:pPr>
              <w:spacing w:before="60" w:after="60"/>
              <w:jc w:val="right"/>
              <w:rPr>
                <w:noProof/>
                <w:sz w:val="20"/>
              </w:rPr>
            </w:pPr>
            <w:r>
              <w:rPr>
                <w:bCs/>
                <w:noProof/>
                <w:color w:val="000000"/>
                <w:sz w:val="20"/>
              </w:rPr>
              <w:t xml:space="preserve"> </w:t>
            </w:r>
          </w:p>
        </w:tc>
        <w:tc>
          <w:tcPr>
            <w:tcW w:w="960" w:type="dxa"/>
            <w:tcBorders>
              <w:top w:val="single" w:sz="12" w:space="0" w:color="auto"/>
              <w:left w:val="single" w:sz="2" w:space="0" w:color="auto"/>
              <w:bottom w:val="single" w:sz="12" w:space="0" w:color="auto"/>
              <w:right w:val="single" w:sz="2" w:space="0" w:color="auto"/>
            </w:tcBorders>
            <w:vAlign w:val="center"/>
          </w:tcPr>
          <w:p w:rsidR="00D3052E" w:rsidRDefault="00635D2F">
            <w:pPr>
              <w:spacing w:before="60" w:after="60"/>
              <w:jc w:val="right"/>
              <w:rPr>
                <w:noProof/>
                <w:sz w:val="20"/>
              </w:rPr>
            </w:pPr>
            <w:r>
              <w:rPr>
                <w:bCs/>
                <w:noProof/>
                <w:color w:val="000000"/>
                <w:sz w:val="20"/>
              </w:rPr>
              <w:t xml:space="preserve"> </w:t>
            </w:r>
          </w:p>
        </w:tc>
        <w:tc>
          <w:tcPr>
            <w:tcW w:w="960" w:type="dxa"/>
            <w:tcBorders>
              <w:top w:val="single" w:sz="12" w:space="0" w:color="auto"/>
              <w:left w:val="single" w:sz="2" w:space="0" w:color="auto"/>
              <w:bottom w:val="single" w:sz="12" w:space="0" w:color="auto"/>
              <w:right w:val="single" w:sz="2" w:space="0" w:color="auto"/>
            </w:tcBorders>
            <w:vAlign w:val="center"/>
          </w:tcPr>
          <w:p w:rsidR="00D3052E" w:rsidRDefault="00635D2F">
            <w:pPr>
              <w:spacing w:before="60" w:after="60"/>
              <w:jc w:val="right"/>
              <w:rPr>
                <w:noProof/>
                <w:sz w:val="20"/>
              </w:rPr>
            </w:pPr>
            <w:r>
              <w:rPr>
                <w:bCs/>
                <w:noProof/>
                <w:color w:val="000000"/>
                <w:sz w:val="20"/>
              </w:rPr>
              <w:t xml:space="preserve"> </w:t>
            </w:r>
          </w:p>
        </w:tc>
        <w:tc>
          <w:tcPr>
            <w:tcW w:w="960" w:type="dxa"/>
            <w:tcBorders>
              <w:top w:val="single" w:sz="12" w:space="0" w:color="auto"/>
              <w:left w:val="single" w:sz="2" w:space="0" w:color="auto"/>
              <w:bottom w:val="single" w:sz="12" w:space="0" w:color="auto"/>
              <w:right w:val="single" w:sz="12" w:space="0" w:color="auto"/>
            </w:tcBorders>
            <w:vAlign w:val="center"/>
          </w:tcPr>
          <w:p w:rsidR="00D3052E" w:rsidRDefault="00635D2F">
            <w:pPr>
              <w:spacing w:before="60" w:after="60"/>
              <w:jc w:val="right"/>
              <w:rPr>
                <w:noProof/>
                <w:sz w:val="20"/>
              </w:rPr>
            </w:pPr>
            <w:r>
              <w:rPr>
                <w:bCs/>
                <w:noProof/>
                <w:color w:val="000000"/>
                <w:sz w:val="20"/>
              </w:rPr>
              <w:t xml:space="preserve"> </w:t>
            </w:r>
          </w:p>
        </w:tc>
      </w:tr>
      <w:tr w:rsidR="00D305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D3052E" w:rsidRDefault="00635D2F">
            <w:pPr>
              <w:spacing w:before="60" w:after="60"/>
              <w:jc w:val="right"/>
              <w:rPr>
                <w:noProof/>
                <w:sz w:val="20"/>
              </w:rPr>
            </w:pPr>
            <w:r>
              <w:rPr>
                <w:noProof/>
                <w:sz w:val="20"/>
              </w:rPr>
              <w:t>OGÓŁEM</w:t>
            </w:r>
          </w:p>
        </w:tc>
        <w:tc>
          <w:tcPr>
            <w:tcW w:w="960" w:type="dxa"/>
            <w:tcBorders>
              <w:top w:val="single" w:sz="12" w:space="0" w:color="auto"/>
              <w:left w:val="single" w:sz="2" w:space="0" w:color="auto"/>
              <w:bottom w:val="single" w:sz="12" w:space="0" w:color="auto"/>
              <w:right w:val="single" w:sz="2" w:space="0" w:color="auto"/>
            </w:tcBorders>
            <w:vAlign w:val="center"/>
          </w:tcPr>
          <w:p w:rsidR="00D3052E" w:rsidRDefault="00635D2F">
            <w:pPr>
              <w:spacing w:before="60" w:after="60"/>
              <w:jc w:val="right"/>
              <w:rPr>
                <w:noProof/>
                <w:sz w:val="20"/>
              </w:rPr>
            </w:pPr>
            <w:r>
              <w:rPr>
                <w:noProof/>
                <w:color w:val="000000"/>
                <w:sz w:val="20"/>
              </w:rPr>
              <w:t>2,734</w:t>
            </w:r>
          </w:p>
        </w:tc>
        <w:tc>
          <w:tcPr>
            <w:tcW w:w="960" w:type="dxa"/>
            <w:tcBorders>
              <w:top w:val="single" w:sz="12" w:space="0" w:color="auto"/>
              <w:left w:val="single" w:sz="2" w:space="0" w:color="auto"/>
              <w:bottom w:val="single" w:sz="12" w:space="0" w:color="auto"/>
              <w:right w:val="single" w:sz="2" w:space="0" w:color="auto"/>
            </w:tcBorders>
            <w:vAlign w:val="center"/>
          </w:tcPr>
          <w:p w:rsidR="00D3052E" w:rsidRDefault="00635D2F">
            <w:pPr>
              <w:spacing w:before="60" w:after="60"/>
              <w:jc w:val="right"/>
              <w:rPr>
                <w:noProof/>
                <w:sz w:val="20"/>
              </w:rPr>
            </w:pPr>
            <w:r>
              <w:rPr>
                <w:noProof/>
                <w:color w:val="000000"/>
                <w:sz w:val="20"/>
              </w:rPr>
              <w:t>2,778</w:t>
            </w:r>
          </w:p>
        </w:tc>
        <w:tc>
          <w:tcPr>
            <w:tcW w:w="960" w:type="dxa"/>
            <w:tcBorders>
              <w:top w:val="single" w:sz="12" w:space="0" w:color="auto"/>
              <w:left w:val="single" w:sz="2" w:space="0" w:color="auto"/>
              <w:bottom w:val="single" w:sz="12" w:space="0" w:color="auto"/>
              <w:right w:val="single" w:sz="2" w:space="0" w:color="auto"/>
            </w:tcBorders>
            <w:vAlign w:val="center"/>
          </w:tcPr>
          <w:p w:rsidR="00D3052E" w:rsidRDefault="00635D2F">
            <w:pPr>
              <w:spacing w:before="60" w:after="60"/>
              <w:jc w:val="right"/>
              <w:rPr>
                <w:noProof/>
                <w:sz w:val="20"/>
              </w:rPr>
            </w:pPr>
            <w:r>
              <w:rPr>
                <w:noProof/>
                <w:color w:val="000000"/>
                <w:sz w:val="20"/>
              </w:rPr>
              <w:t>2,844</w:t>
            </w:r>
          </w:p>
        </w:tc>
        <w:tc>
          <w:tcPr>
            <w:tcW w:w="960" w:type="dxa"/>
            <w:tcBorders>
              <w:top w:val="single" w:sz="12" w:space="0" w:color="auto"/>
              <w:left w:val="single" w:sz="2" w:space="0" w:color="auto"/>
              <w:bottom w:val="single" w:sz="12" w:space="0" w:color="auto"/>
              <w:right w:val="single" w:sz="2" w:space="0" w:color="auto"/>
            </w:tcBorders>
            <w:vAlign w:val="center"/>
          </w:tcPr>
          <w:p w:rsidR="00D3052E" w:rsidRDefault="00635D2F">
            <w:pPr>
              <w:spacing w:before="60" w:after="60"/>
              <w:jc w:val="right"/>
              <w:rPr>
                <w:noProof/>
                <w:sz w:val="20"/>
              </w:rPr>
            </w:pPr>
            <w:r>
              <w:rPr>
                <w:noProof/>
                <w:color w:val="000000"/>
                <w:sz w:val="20"/>
              </w:rPr>
              <w:t>2,901</w:t>
            </w:r>
          </w:p>
        </w:tc>
        <w:tc>
          <w:tcPr>
            <w:tcW w:w="960" w:type="dxa"/>
            <w:tcBorders>
              <w:top w:val="single" w:sz="12" w:space="0" w:color="auto"/>
              <w:left w:val="single" w:sz="2" w:space="0" w:color="auto"/>
              <w:bottom w:val="single" w:sz="12" w:space="0" w:color="auto"/>
              <w:right w:val="single" w:sz="2" w:space="0" w:color="auto"/>
            </w:tcBorders>
            <w:vAlign w:val="center"/>
          </w:tcPr>
          <w:p w:rsidR="00D3052E" w:rsidRDefault="00635D2F">
            <w:pPr>
              <w:spacing w:before="60" w:after="60"/>
              <w:jc w:val="right"/>
              <w:rPr>
                <w:noProof/>
                <w:sz w:val="20"/>
              </w:rPr>
            </w:pPr>
            <w:r>
              <w:rPr>
                <w:noProof/>
                <w:color w:val="000000"/>
                <w:sz w:val="20"/>
              </w:rPr>
              <w:t>2,959</w:t>
            </w:r>
          </w:p>
        </w:tc>
        <w:tc>
          <w:tcPr>
            <w:tcW w:w="960" w:type="dxa"/>
            <w:tcBorders>
              <w:top w:val="single" w:sz="12" w:space="0" w:color="auto"/>
              <w:left w:val="single" w:sz="2" w:space="0" w:color="auto"/>
              <w:bottom w:val="single" w:sz="12" w:space="0" w:color="auto"/>
              <w:right w:val="single" w:sz="2" w:space="0" w:color="auto"/>
            </w:tcBorders>
            <w:vAlign w:val="center"/>
          </w:tcPr>
          <w:p w:rsidR="00D3052E" w:rsidRDefault="00635D2F">
            <w:pPr>
              <w:spacing w:before="60" w:after="60"/>
              <w:jc w:val="right"/>
              <w:rPr>
                <w:noProof/>
                <w:sz w:val="20"/>
              </w:rPr>
            </w:pPr>
            <w:r>
              <w:rPr>
                <w:noProof/>
                <w:color w:val="000000"/>
                <w:sz w:val="20"/>
              </w:rPr>
              <w:t>2,018</w:t>
            </w:r>
          </w:p>
        </w:tc>
        <w:tc>
          <w:tcPr>
            <w:tcW w:w="960" w:type="dxa"/>
            <w:tcBorders>
              <w:top w:val="single" w:sz="12" w:space="0" w:color="auto"/>
              <w:left w:val="single" w:sz="2" w:space="0" w:color="auto"/>
              <w:bottom w:val="single" w:sz="12" w:space="0" w:color="auto"/>
              <w:right w:val="single" w:sz="2" w:space="0" w:color="auto"/>
            </w:tcBorders>
            <w:vAlign w:val="center"/>
          </w:tcPr>
          <w:p w:rsidR="00D3052E" w:rsidRDefault="00635D2F">
            <w:pPr>
              <w:spacing w:before="60" w:after="60"/>
              <w:jc w:val="right"/>
              <w:rPr>
                <w:noProof/>
                <w:sz w:val="20"/>
              </w:rPr>
            </w:pPr>
            <w:r>
              <w:rPr>
                <w:noProof/>
                <w:color w:val="000000"/>
                <w:sz w:val="20"/>
              </w:rPr>
              <w:t>3,087</w:t>
            </w:r>
          </w:p>
        </w:tc>
        <w:tc>
          <w:tcPr>
            <w:tcW w:w="960" w:type="dxa"/>
            <w:tcBorders>
              <w:top w:val="single" w:sz="12" w:space="0" w:color="auto"/>
              <w:left w:val="single" w:sz="2" w:space="0" w:color="auto"/>
              <w:bottom w:val="single" w:sz="12" w:space="0" w:color="auto"/>
              <w:right w:val="single" w:sz="12" w:space="0" w:color="auto"/>
            </w:tcBorders>
            <w:vAlign w:val="center"/>
          </w:tcPr>
          <w:p w:rsidR="00D3052E" w:rsidRDefault="00635D2F">
            <w:pPr>
              <w:spacing w:before="60" w:after="60"/>
              <w:jc w:val="right"/>
              <w:rPr>
                <w:b/>
                <w:noProof/>
                <w:sz w:val="20"/>
              </w:rPr>
            </w:pPr>
            <w:r>
              <w:rPr>
                <w:b/>
                <w:noProof/>
                <w:color w:val="000000"/>
                <w:sz w:val="20"/>
              </w:rPr>
              <w:t>20,323</w:t>
            </w:r>
          </w:p>
        </w:tc>
      </w:tr>
    </w:tbl>
    <w:p w:rsidR="00D3052E" w:rsidRDefault="00635D2F">
      <w:pPr>
        <w:rPr>
          <w:i/>
          <w:noProof/>
        </w:rPr>
      </w:pPr>
      <w:r>
        <w:rPr>
          <w:b/>
          <w:i/>
          <w:noProof/>
        </w:rPr>
        <w:t>Uwaga:</w:t>
      </w:r>
      <w:r>
        <w:rPr>
          <w:i/>
          <w:noProof/>
        </w:rPr>
        <w:t xml:space="preserve"> Ceny zakładają korektę w wysokości 31,9 % w przypadku stanowisk EEA (w Kopenhadze) i indeksację wynagrodzenia wynoszącą 2 % przez cały okres WRF (w odniesieniu do stanowisk zarówno w EEA, jak i w ECHA).</w:t>
      </w:r>
    </w:p>
    <w:p w:rsidR="00D3052E" w:rsidRDefault="00635D2F">
      <w:pPr>
        <w:rPr>
          <w:noProof/>
          <w:sz w:val="20"/>
        </w:rPr>
      </w:pPr>
      <w:r>
        <w:rPr>
          <w:noProof/>
          <w:sz w:val="20"/>
        </w:rPr>
        <w:t>Wymagania dotyczące pracowników (EPC):</w:t>
      </w:r>
    </w:p>
    <w:tbl>
      <w:tblPr>
        <w:tblW w:w="966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960"/>
        <w:gridCol w:w="960"/>
        <w:gridCol w:w="960"/>
        <w:gridCol w:w="960"/>
        <w:gridCol w:w="960"/>
        <w:gridCol w:w="960"/>
        <w:gridCol w:w="960"/>
        <w:gridCol w:w="960"/>
      </w:tblGrid>
      <w:tr w:rsidR="00D3052E">
        <w:trPr>
          <w:trHeight w:val="585"/>
        </w:trPr>
        <w:tc>
          <w:tcPr>
            <w:tcW w:w="1980" w:type="dxa"/>
          </w:tcPr>
          <w:p w:rsidR="00D3052E" w:rsidRDefault="00635D2F">
            <w:pPr>
              <w:spacing w:before="60" w:after="60"/>
              <w:rPr>
                <w:b/>
                <w:noProof/>
                <w:sz w:val="20"/>
              </w:rPr>
            </w:pPr>
            <w:r>
              <w:rPr>
                <w:b/>
                <w:noProof/>
                <w:sz w:val="20"/>
              </w:rPr>
              <w:t>EEA i ECHA</w:t>
            </w:r>
          </w:p>
        </w:tc>
        <w:tc>
          <w:tcPr>
            <w:tcW w:w="960" w:type="dxa"/>
            <w:vAlign w:val="center"/>
          </w:tcPr>
          <w:p w:rsidR="00D3052E" w:rsidRDefault="00635D2F">
            <w:pPr>
              <w:spacing w:before="60" w:after="60"/>
              <w:jc w:val="center"/>
              <w:rPr>
                <w:b/>
                <w:noProof/>
                <w:sz w:val="20"/>
              </w:rPr>
            </w:pPr>
            <w:r>
              <w:rPr>
                <w:b/>
                <w:noProof/>
                <w:sz w:val="20"/>
              </w:rPr>
              <w:t>2021</w:t>
            </w:r>
          </w:p>
        </w:tc>
        <w:tc>
          <w:tcPr>
            <w:tcW w:w="960" w:type="dxa"/>
            <w:vAlign w:val="center"/>
          </w:tcPr>
          <w:p w:rsidR="00D3052E" w:rsidRDefault="00635D2F">
            <w:pPr>
              <w:spacing w:before="60" w:after="60"/>
              <w:jc w:val="center"/>
              <w:rPr>
                <w:b/>
                <w:noProof/>
                <w:sz w:val="20"/>
              </w:rPr>
            </w:pPr>
            <w:r>
              <w:rPr>
                <w:b/>
                <w:noProof/>
                <w:sz w:val="20"/>
              </w:rPr>
              <w:t>2022</w:t>
            </w:r>
          </w:p>
        </w:tc>
        <w:tc>
          <w:tcPr>
            <w:tcW w:w="960" w:type="dxa"/>
            <w:vAlign w:val="center"/>
          </w:tcPr>
          <w:p w:rsidR="00D3052E" w:rsidRDefault="00635D2F">
            <w:pPr>
              <w:spacing w:before="60" w:after="60"/>
              <w:jc w:val="center"/>
              <w:rPr>
                <w:b/>
                <w:noProof/>
                <w:sz w:val="20"/>
              </w:rPr>
            </w:pPr>
            <w:r>
              <w:rPr>
                <w:b/>
                <w:noProof/>
                <w:sz w:val="20"/>
              </w:rPr>
              <w:t>2023</w:t>
            </w:r>
          </w:p>
        </w:tc>
        <w:tc>
          <w:tcPr>
            <w:tcW w:w="960" w:type="dxa"/>
            <w:vAlign w:val="center"/>
          </w:tcPr>
          <w:p w:rsidR="00D3052E" w:rsidRDefault="00635D2F">
            <w:pPr>
              <w:jc w:val="center"/>
              <w:rPr>
                <w:b/>
                <w:noProof/>
                <w:sz w:val="20"/>
              </w:rPr>
            </w:pPr>
            <w:r>
              <w:rPr>
                <w:b/>
                <w:noProof/>
                <w:sz w:val="20"/>
              </w:rPr>
              <w:t>2024</w:t>
            </w:r>
          </w:p>
        </w:tc>
        <w:tc>
          <w:tcPr>
            <w:tcW w:w="960" w:type="dxa"/>
            <w:vAlign w:val="center"/>
          </w:tcPr>
          <w:p w:rsidR="00D3052E" w:rsidRDefault="00635D2F">
            <w:pPr>
              <w:jc w:val="center"/>
              <w:rPr>
                <w:b/>
                <w:noProof/>
                <w:sz w:val="20"/>
              </w:rPr>
            </w:pPr>
            <w:r>
              <w:rPr>
                <w:b/>
                <w:noProof/>
                <w:sz w:val="20"/>
              </w:rPr>
              <w:t>2025</w:t>
            </w:r>
          </w:p>
        </w:tc>
        <w:tc>
          <w:tcPr>
            <w:tcW w:w="960" w:type="dxa"/>
            <w:vAlign w:val="center"/>
          </w:tcPr>
          <w:p w:rsidR="00D3052E" w:rsidRDefault="00635D2F">
            <w:pPr>
              <w:jc w:val="center"/>
              <w:rPr>
                <w:b/>
                <w:noProof/>
                <w:sz w:val="20"/>
              </w:rPr>
            </w:pPr>
            <w:r>
              <w:rPr>
                <w:b/>
                <w:noProof/>
                <w:sz w:val="20"/>
              </w:rPr>
              <w:t>2026</w:t>
            </w:r>
          </w:p>
        </w:tc>
        <w:tc>
          <w:tcPr>
            <w:tcW w:w="960" w:type="dxa"/>
            <w:vAlign w:val="center"/>
          </w:tcPr>
          <w:p w:rsidR="00D3052E" w:rsidRDefault="00635D2F">
            <w:pPr>
              <w:jc w:val="center"/>
              <w:rPr>
                <w:b/>
                <w:noProof/>
                <w:sz w:val="20"/>
              </w:rPr>
            </w:pPr>
            <w:r>
              <w:rPr>
                <w:b/>
                <w:noProof/>
                <w:sz w:val="20"/>
              </w:rPr>
              <w:t>2027</w:t>
            </w:r>
          </w:p>
        </w:tc>
        <w:tc>
          <w:tcPr>
            <w:tcW w:w="960" w:type="dxa"/>
            <w:vAlign w:val="center"/>
          </w:tcPr>
          <w:p w:rsidR="00D3052E" w:rsidRDefault="00635D2F">
            <w:pPr>
              <w:spacing w:before="60" w:after="60"/>
              <w:jc w:val="center"/>
              <w:rPr>
                <w:b/>
                <w:noProof/>
                <w:sz w:val="20"/>
              </w:rPr>
            </w:pPr>
            <w:r>
              <w:rPr>
                <w:b/>
                <w:noProof/>
                <w:sz w:val="20"/>
              </w:rPr>
              <w:t>OGÓŁEM</w:t>
            </w:r>
          </w:p>
        </w:tc>
      </w:tr>
      <w:tr w:rsidR="00D3052E">
        <w:trPr>
          <w:trHeight w:val="585"/>
        </w:trPr>
        <w:tc>
          <w:tcPr>
            <w:tcW w:w="1980" w:type="dxa"/>
            <w:shd w:val="clear" w:color="auto" w:fill="D9D9D9" w:themeFill="background1" w:themeFillShade="D9"/>
            <w:vAlign w:val="center"/>
          </w:tcPr>
          <w:p w:rsidR="00D3052E" w:rsidRDefault="00635D2F">
            <w:pPr>
              <w:spacing w:before="60" w:after="60"/>
              <w:jc w:val="center"/>
              <w:rPr>
                <w:noProof/>
                <w:sz w:val="18"/>
              </w:rPr>
            </w:pPr>
            <w:r>
              <w:rPr>
                <w:noProof/>
                <w:sz w:val="18"/>
              </w:rPr>
              <w:t>Pracownicy zatrudnieni na czas określony (grupy zaszeregowania AD)</w:t>
            </w:r>
          </w:p>
          <w:p w:rsidR="00D3052E" w:rsidRDefault="00635D2F">
            <w:pPr>
              <w:spacing w:before="60" w:after="60"/>
              <w:jc w:val="center"/>
              <w:rPr>
                <w:noProof/>
              </w:rPr>
            </w:pPr>
            <w:r>
              <w:rPr>
                <w:noProof/>
                <w:sz w:val="18"/>
              </w:rPr>
              <w:t>EEA=9, ECHA=1</w:t>
            </w:r>
          </w:p>
        </w:tc>
        <w:tc>
          <w:tcPr>
            <w:tcW w:w="960" w:type="dxa"/>
            <w:vAlign w:val="center"/>
          </w:tcPr>
          <w:p w:rsidR="00D3052E" w:rsidRDefault="00635D2F">
            <w:pPr>
              <w:spacing w:before="60" w:after="60"/>
              <w:jc w:val="center"/>
              <w:rPr>
                <w:noProof/>
                <w:sz w:val="20"/>
              </w:rPr>
            </w:pPr>
            <w:r>
              <w:rPr>
                <w:noProof/>
                <w:sz w:val="20"/>
              </w:rPr>
              <w:t>10</w:t>
            </w:r>
          </w:p>
        </w:tc>
        <w:tc>
          <w:tcPr>
            <w:tcW w:w="960" w:type="dxa"/>
            <w:vAlign w:val="center"/>
          </w:tcPr>
          <w:p w:rsidR="00D3052E" w:rsidRDefault="00635D2F">
            <w:pPr>
              <w:spacing w:before="60" w:after="60"/>
              <w:jc w:val="center"/>
              <w:rPr>
                <w:noProof/>
                <w:sz w:val="20"/>
              </w:rPr>
            </w:pPr>
            <w:r>
              <w:rPr>
                <w:noProof/>
                <w:sz w:val="20"/>
              </w:rPr>
              <w:t>10</w:t>
            </w:r>
          </w:p>
        </w:tc>
        <w:tc>
          <w:tcPr>
            <w:tcW w:w="960" w:type="dxa"/>
            <w:vAlign w:val="center"/>
          </w:tcPr>
          <w:p w:rsidR="00D3052E" w:rsidRDefault="00635D2F">
            <w:pPr>
              <w:spacing w:before="60" w:after="60"/>
              <w:jc w:val="center"/>
              <w:rPr>
                <w:noProof/>
                <w:sz w:val="20"/>
              </w:rPr>
            </w:pPr>
            <w:r>
              <w:rPr>
                <w:noProof/>
                <w:sz w:val="20"/>
              </w:rPr>
              <w:t>10</w:t>
            </w:r>
          </w:p>
        </w:tc>
        <w:tc>
          <w:tcPr>
            <w:tcW w:w="960" w:type="dxa"/>
            <w:vAlign w:val="center"/>
          </w:tcPr>
          <w:p w:rsidR="00D3052E" w:rsidRDefault="00635D2F">
            <w:pPr>
              <w:spacing w:before="60" w:after="60"/>
              <w:jc w:val="center"/>
              <w:rPr>
                <w:noProof/>
                <w:sz w:val="20"/>
              </w:rPr>
            </w:pPr>
            <w:r>
              <w:rPr>
                <w:noProof/>
                <w:sz w:val="20"/>
              </w:rPr>
              <w:t>10</w:t>
            </w:r>
          </w:p>
        </w:tc>
        <w:tc>
          <w:tcPr>
            <w:tcW w:w="960" w:type="dxa"/>
            <w:vAlign w:val="center"/>
          </w:tcPr>
          <w:p w:rsidR="00D3052E" w:rsidRDefault="00635D2F">
            <w:pPr>
              <w:spacing w:before="60" w:after="60"/>
              <w:jc w:val="center"/>
              <w:rPr>
                <w:noProof/>
                <w:sz w:val="20"/>
              </w:rPr>
            </w:pPr>
            <w:r>
              <w:rPr>
                <w:noProof/>
                <w:sz w:val="20"/>
              </w:rPr>
              <w:t>10</w:t>
            </w:r>
          </w:p>
        </w:tc>
        <w:tc>
          <w:tcPr>
            <w:tcW w:w="960" w:type="dxa"/>
            <w:vAlign w:val="center"/>
          </w:tcPr>
          <w:p w:rsidR="00D3052E" w:rsidRDefault="00635D2F">
            <w:pPr>
              <w:spacing w:before="60" w:after="60"/>
              <w:jc w:val="center"/>
              <w:rPr>
                <w:noProof/>
                <w:sz w:val="20"/>
              </w:rPr>
            </w:pPr>
            <w:r>
              <w:rPr>
                <w:noProof/>
                <w:sz w:val="20"/>
              </w:rPr>
              <w:t>10</w:t>
            </w:r>
          </w:p>
        </w:tc>
        <w:tc>
          <w:tcPr>
            <w:tcW w:w="960" w:type="dxa"/>
            <w:vAlign w:val="center"/>
          </w:tcPr>
          <w:p w:rsidR="00D3052E" w:rsidRDefault="00635D2F">
            <w:pPr>
              <w:spacing w:before="60" w:after="60"/>
              <w:jc w:val="center"/>
              <w:rPr>
                <w:noProof/>
                <w:sz w:val="20"/>
              </w:rPr>
            </w:pPr>
            <w:r>
              <w:rPr>
                <w:noProof/>
                <w:sz w:val="20"/>
              </w:rPr>
              <w:t>10</w:t>
            </w:r>
          </w:p>
        </w:tc>
        <w:tc>
          <w:tcPr>
            <w:tcW w:w="960" w:type="dxa"/>
            <w:vAlign w:val="center"/>
          </w:tcPr>
          <w:p w:rsidR="00D3052E" w:rsidRDefault="00D3052E">
            <w:pPr>
              <w:spacing w:before="60" w:after="60"/>
              <w:jc w:val="center"/>
              <w:rPr>
                <w:noProof/>
                <w:sz w:val="20"/>
              </w:rPr>
            </w:pPr>
          </w:p>
        </w:tc>
      </w:tr>
      <w:tr w:rsidR="00D3052E">
        <w:trPr>
          <w:trHeight w:val="585"/>
        </w:trPr>
        <w:tc>
          <w:tcPr>
            <w:tcW w:w="1980" w:type="dxa"/>
            <w:shd w:val="clear" w:color="auto" w:fill="BFBFBF" w:themeFill="background1" w:themeFillShade="BF"/>
            <w:vAlign w:val="center"/>
          </w:tcPr>
          <w:p w:rsidR="00D3052E" w:rsidRDefault="00635D2F">
            <w:pPr>
              <w:spacing w:before="60" w:after="60"/>
              <w:ind w:left="72"/>
              <w:rPr>
                <w:noProof/>
              </w:rPr>
            </w:pPr>
            <w:r>
              <w:rPr>
                <w:noProof/>
                <w:sz w:val="20"/>
              </w:rPr>
              <w:t>Pracownicy zatrudnieni na czas określony (AST)</w:t>
            </w:r>
          </w:p>
        </w:tc>
        <w:tc>
          <w:tcPr>
            <w:tcW w:w="960" w:type="dxa"/>
            <w:vAlign w:val="center"/>
          </w:tcPr>
          <w:p w:rsidR="00D3052E" w:rsidRDefault="00D3052E">
            <w:pPr>
              <w:spacing w:before="60" w:after="60"/>
              <w:jc w:val="right"/>
              <w:rPr>
                <w:noProof/>
                <w:sz w:val="20"/>
              </w:rPr>
            </w:pPr>
          </w:p>
        </w:tc>
        <w:tc>
          <w:tcPr>
            <w:tcW w:w="960" w:type="dxa"/>
            <w:vAlign w:val="center"/>
          </w:tcPr>
          <w:p w:rsidR="00D3052E" w:rsidRDefault="00D3052E">
            <w:pPr>
              <w:spacing w:before="60" w:after="60"/>
              <w:jc w:val="right"/>
              <w:rPr>
                <w:noProof/>
                <w:sz w:val="20"/>
              </w:rPr>
            </w:pPr>
          </w:p>
        </w:tc>
        <w:tc>
          <w:tcPr>
            <w:tcW w:w="960" w:type="dxa"/>
            <w:vAlign w:val="center"/>
          </w:tcPr>
          <w:p w:rsidR="00D3052E" w:rsidRDefault="00D3052E">
            <w:pPr>
              <w:spacing w:before="60" w:after="60"/>
              <w:jc w:val="right"/>
              <w:rPr>
                <w:noProof/>
                <w:sz w:val="20"/>
              </w:rPr>
            </w:pPr>
          </w:p>
        </w:tc>
        <w:tc>
          <w:tcPr>
            <w:tcW w:w="960" w:type="dxa"/>
            <w:vAlign w:val="center"/>
          </w:tcPr>
          <w:p w:rsidR="00D3052E" w:rsidRDefault="00D3052E">
            <w:pPr>
              <w:spacing w:before="60" w:after="60"/>
              <w:jc w:val="right"/>
              <w:rPr>
                <w:noProof/>
                <w:sz w:val="20"/>
              </w:rPr>
            </w:pPr>
          </w:p>
        </w:tc>
        <w:tc>
          <w:tcPr>
            <w:tcW w:w="960" w:type="dxa"/>
          </w:tcPr>
          <w:p w:rsidR="00D3052E" w:rsidRDefault="00D3052E">
            <w:pPr>
              <w:spacing w:before="60" w:after="60"/>
              <w:jc w:val="right"/>
              <w:rPr>
                <w:b/>
                <w:noProof/>
                <w:sz w:val="20"/>
              </w:rPr>
            </w:pPr>
          </w:p>
        </w:tc>
        <w:tc>
          <w:tcPr>
            <w:tcW w:w="960" w:type="dxa"/>
          </w:tcPr>
          <w:p w:rsidR="00D3052E" w:rsidRDefault="00D3052E">
            <w:pPr>
              <w:spacing w:before="60" w:after="60"/>
              <w:jc w:val="right"/>
              <w:rPr>
                <w:b/>
                <w:noProof/>
                <w:sz w:val="20"/>
              </w:rPr>
            </w:pPr>
          </w:p>
        </w:tc>
        <w:tc>
          <w:tcPr>
            <w:tcW w:w="960" w:type="dxa"/>
            <w:vAlign w:val="center"/>
          </w:tcPr>
          <w:p w:rsidR="00D3052E" w:rsidRDefault="00D3052E">
            <w:pPr>
              <w:spacing w:before="60" w:after="60"/>
              <w:jc w:val="right"/>
              <w:rPr>
                <w:b/>
                <w:noProof/>
                <w:sz w:val="20"/>
              </w:rPr>
            </w:pPr>
          </w:p>
        </w:tc>
        <w:tc>
          <w:tcPr>
            <w:tcW w:w="960" w:type="dxa"/>
            <w:vAlign w:val="center"/>
          </w:tcPr>
          <w:p w:rsidR="00D3052E" w:rsidRDefault="00D3052E">
            <w:pPr>
              <w:spacing w:before="60" w:after="60"/>
              <w:jc w:val="right"/>
              <w:rPr>
                <w:b/>
                <w:noProof/>
                <w:sz w:val="20"/>
              </w:rPr>
            </w:pPr>
          </w:p>
        </w:tc>
      </w:tr>
      <w:tr w:rsidR="00D3052E">
        <w:trPr>
          <w:trHeight w:val="585"/>
        </w:trPr>
        <w:tc>
          <w:tcPr>
            <w:tcW w:w="1980" w:type="dxa"/>
            <w:shd w:val="clear" w:color="auto" w:fill="BFBFBF" w:themeFill="background1" w:themeFillShade="BF"/>
            <w:vAlign w:val="center"/>
          </w:tcPr>
          <w:p w:rsidR="00D3052E" w:rsidRDefault="00635D2F">
            <w:pPr>
              <w:spacing w:before="60" w:after="60"/>
              <w:ind w:left="72"/>
              <w:rPr>
                <w:noProof/>
                <w:sz w:val="20"/>
              </w:rPr>
            </w:pPr>
            <w:r>
              <w:rPr>
                <w:noProof/>
                <w:sz w:val="20"/>
              </w:rPr>
              <w:t>Personel kontraktowy</w:t>
            </w:r>
          </w:p>
          <w:p w:rsidR="00D3052E" w:rsidRDefault="00635D2F">
            <w:pPr>
              <w:spacing w:before="60" w:after="60"/>
              <w:ind w:left="72"/>
              <w:rPr>
                <w:noProof/>
              </w:rPr>
            </w:pPr>
            <w:r>
              <w:rPr>
                <w:noProof/>
                <w:sz w:val="20"/>
              </w:rPr>
              <w:t xml:space="preserve">EEA=6, ECHA=1 </w:t>
            </w:r>
          </w:p>
        </w:tc>
        <w:tc>
          <w:tcPr>
            <w:tcW w:w="960" w:type="dxa"/>
            <w:shd w:val="clear" w:color="auto" w:fill="BFBFBF" w:themeFill="background1" w:themeFillShade="BF"/>
            <w:vAlign w:val="center"/>
          </w:tcPr>
          <w:p w:rsidR="00D3052E" w:rsidRDefault="00635D2F">
            <w:pPr>
              <w:spacing w:before="60" w:after="60"/>
              <w:jc w:val="center"/>
              <w:rPr>
                <w:noProof/>
                <w:sz w:val="20"/>
              </w:rPr>
            </w:pPr>
            <w:r>
              <w:rPr>
                <w:noProof/>
                <w:sz w:val="20"/>
              </w:rPr>
              <w:t>7</w:t>
            </w:r>
          </w:p>
        </w:tc>
        <w:tc>
          <w:tcPr>
            <w:tcW w:w="960" w:type="dxa"/>
            <w:shd w:val="clear" w:color="auto" w:fill="BFBFBF" w:themeFill="background1" w:themeFillShade="BF"/>
            <w:vAlign w:val="center"/>
          </w:tcPr>
          <w:p w:rsidR="00D3052E" w:rsidRDefault="00635D2F">
            <w:pPr>
              <w:spacing w:before="60" w:after="60"/>
              <w:jc w:val="center"/>
              <w:rPr>
                <w:noProof/>
                <w:sz w:val="20"/>
              </w:rPr>
            </w:pPr>
            <w:r>
              <w:rPr>
                <w:noProof/>
                <w:sz w:val="20"/>
              </w:rPr>
              <w:t>7</w:t>
            </w:r>
          </w:p>
        </w:tc>
        <w:tc>
          <w:tcPr>
            <w:tcW w:w="960" w:type="dxa"/>
            <w:shd w:val="clear" w:color="auto" w:fill="BFBFBF" w:themeFill="background1" w:themeFillShade="BF"/>
            <w:vAlign w:val="center"/>
          </w:tcPr>
          <w:p w:rsidR="00D3052E" w:rsidRDefault="00635D2F">
            <w:pPr>
              <w:spacing w:before="60" w:after="60"/>
              <w:jc w:val="center"/>
              <w:rPr>
                <w:noProof/>
                <w:sz w:val="20"/>
              </w:rPr>
            </w:pPr>
            <w:r>
              <w:rPr>
                <w:noProof/>
                <w:sz w:val="20"/>
              </w:rPr>
              <w:t>7</w:t>
            </w:r>
          </w:p>
        </w:tc>
        <w:tc>
          <w:tcPr>
            <w:tcW w:w="960" w:type="dxa"/>
            <w:shd w:val="clear" w:color="auto" w:fill="BFBFBF" w:themeFill="background1" w:themeFillShade="BF"/>
            <w:vAlign w:val="center"/>
          </w:tcPr>
          <w:p w:rsidR="00D3052E" w:rsidRDefault="00635D2F">
            <w:pPr>
              <w:spacing w:before="60" w:after="60"/>
              <w:jc w:val="center"/>
              <w:rPr>
                <w:noProof/>
                <w:sz w:val="20"/>
              </w:rPr>
            </w:pPr>
            <w:r>
              <w:rPr>
                <w:noProof/>
                <w:sz w:val="20"/>
              </w:rPr>
              <w:t>7</w:t>
            </w:r>
          </w:p>
        </w:tc>
        <w:tc>
          <w:tcPr>
            <w:tcW w:w="960" w:type="dxa"/>
            <w:shd w:val="clear" w:color="auto" w:fill="BFBFBF" w:themeFill="background1" w:themeFillShade="BF"/>
            <w:vAlign w:val="center"/>
          </w:tcPr>
          <w:p w:rsidR="00D3052E" w:rsidRDefault="00635D2F">
            <w:pPr>
              <w:spacing w:before="60" w:after="60"/>
              <w:jc w:val="center"/>
              <w:rPr>
                <w:noProof/>
                <w:sz w:val="20"/>
              </w:rPr>
            </w:pPr>
            <w:r>
              <w:rPr>
                <w:noProof/>
                <w:sz w:val="20"/>
              </w:rPr>
              <w:t>7</w:t>
            </w:r>
          </w:p>
        </w:tc>
        <w:tc>
          <w:tcPr>
            <w:tcW w:w="960" w:type="dxa"/>
            <w:shd w:val="clear" w:color="auto" w:fill="BFBFBF" w:themeFill="background1" w:themeFillShade="BF"/>
            <w:vAlign w:val="center"/>
          </w:tcPr>
          <w:p w:rsidR="00D3052E" w:rsidRDefault="00635D2F">
            <w:pPr>
              <w:spacing w:before="60" w:after="60"/>
              <w:jc w:val="center"/>
              <w:rPr>
                <w:noProof/>
                <w:sz w:val="20"/>
              </w:rPr>
            </w:pPr>
            <w:r>
              <w:rPr>
                <w:noProof/>
                <w:sz w:val="20"/>
              </w:rPr>
              <w:t>7</w:t>
            </w:r>
          </w:p>
        </w:tc>
        <w:tc>
          <w:tcPr>
            <w:tcW w:w="960" w:type="dxa"/>
            <w:shd w:val="clear" w:color="auto" w:fill="BFBFBF" w:themeFill="background1" w:themeFillShade="BF"/>
            <w:vAlign w:val="center"/>
          </w:tcPr>
          <w:p w:rsidR="00D3052E" w:rsidRDefault="00635D2F">
            <w:pPr>
              <w:spacing w:before="60" w:after="60"/>
              <w:jc w:val="center"/>
              <w:rPr>
                <w:noProof/>
                <w:sz w:val="20"/>
              </w:rPr>
            </w:pPr>
            <w:r>
              <w:rPr>
                <w:noProof/>
                <w:sz w:val="20"/>
              </w:rPr>
              <w:t>7</w:t>
            </w:r>
          </w:p>
        </w:tc>
        <w:tc>
          <w:tcPr>
            <w:tcW w:w="960" w:type="dxa"/>
            <w:shd w:val="clear" w:color="auto" w:fill="BFBFBF" w:themeFill="background1" w:themeFillShade="BF"/>
            <w:vAlign w:val="center"/>
          </w:tcPr>
          <w:p w:rsidR="00D3052E" w:rsidRDefault="00D3052E">
            <w:pPr>
              <w:spacing w:before="60" w:after="60"/>
              <w:jc w:val="right"/>
              <w:rPr>
                <w:b/>
                <w:noProof/>
                <w:sz w:val="20"/>
              </w:rPr>
            </w:pPr>
          </w:p>
        </w:tc>
      </w:tr>
      <w:tr w:rsidR="00D3052E">
        <w:trPr>
          <w:trHeight w:val="585"/>
        </w:trPr>
        <w:tc>
          <w:tcPr>
            <w:tcW w:w="1980" w:type="dxa"/>
            <w:shd w:val="clear" w:color="auto" w:fill="CCCCCC"/>
            <w:vAlign w:val="center"/>
          </w:tcPr>
          <w:p w:rsidR="00D3052E" w:rsidRDefault="00635D2F">
            <w:pPr>
              <w:spacing w:before="60" w:after="60"/>
              <w:jc w:val="center"/>
              <w:rPr>
                <w:noProof/>
              </w:rPr>
            </w:pPr>
            <w:r>
              <w:rPr>
                <w:noProof/>
                <w:sz w:val="18"/>
              </w:rPr>
              <w:t>Oddelegowani eksperci krajowi</w:t>
            </w:r>
          </w:p>
        </w:tc>
        <w:tc>
          <w:tcPr>
            <w:tcW w:w="960" w:type="dxa"/>
            <w:vAlign w:val="center"/>
          </w:tcPr>
          <w:p w:rsidR="00D3052E" w:rsidRDefault="00D3052E">
            <w:pPr>
              <w:spacing w:before="60" w:after="60"/>
              <w:jc w:val="right"/>
              <w:rPr>
                <w:noProof/>
                <w:sz w:val="20"/>
              </w:rPr>
            </w:pPr>
          </w:p>
        </w:tc>
        <w:tc>
          <w:tcPr>
            <w:tcW w:w="960" w:type="dxa"/>
            <w:vAlign w:val="center"/>
          </w:tcPr>
          <w:p w:rsidR="00D3052E" w:rsidRDefault="00D3052E">
            <w:pPr>
              <w:spacing w:before="60" w:after="60"/>
              <w:jc w:val="right"/>
              <w:rPr>
                <w:noProof/>
                <w:sz w:val="20"/>
              </w:rPr>
            </w:pPr>
          </w:p>
        </w:tc>
        <w:tc>
          <w:tcPr>
            <w:tcW w:w="960" w:type="dxa"/>
            <w:vAlign w:val="center"/>
          </w:tcPr>
          <w:p w:rsidR="00D3052E" w:rsidRDefault="00D3052E">
            <w:pPr>
              <w:spacing w:before="60" w:after="60"/>
              <w:jc w:val="right"/>
              <w:rPr>
                <w:noProof/>
                <w:sz w:val="20"/>
              </w:rPr>
            </w:pPr>
          </w:p>
        </w:tc>
        <w:tc>
          <w:tcPr>
            <w:tcW w:w="960" w:type="dxa"/>
            <w:vAlign w:val="center"/>
          </w:tcPr>
          <w:p w:rsidR="00D3052E" w:rsidRDefault="00D3052E">
            <w:pPr>
              <w:spacing w:before="60" w:after="60"/>
              <w:jc w:val="right"/>
              <w:rPr>
                <w:noProof/>
                <w:sz w:val="20"/>
              </w:rPr>
            </w:pPr>
          </w:p>
        </w:tc>
        <w:tc>
          <w:tcPr>
            <w:tcW w:w="960" w:type="dxa"/>
          </w:tcPr>
          <w:p w:rsidR="00D3052E" w:rsidRDefault="00D3052E">
            <w:pPr>
              <w:spacing w:before="60" w:after="60"/>
              <w:jc w:val="right"/>
              <w:rPr>
                <w:b/>
                <w:noProof/>
                <w:sz w:val="20"/>
              </w:rPr>
            </w:pPr>
          </w:p>
        </w:tc>
        <w:tc>
          <w:tcPr>
            <w:tcW w:w="960" w:type="dxa"/>
          </w:tcPr>
          <w:p w:rsidR="00D3052E" w:rsidRDefault="00D3052E">
            <w:pPr>
              <w:spacing w:before="60" w:after="60"/>
              <w:jc w:val="right"/>
              <w:rPr>
                <w:b/>
                <w:noProof/>
                <w:sz w:val="20"/>
              </w:rPr>
            </w:pPr>
          </w:p>
        </w:tc>
        <w:tc>
          <w:tcPr>
            <w:tcW w:w="960" w:type="dxa"/>
            <w:vAlign w:val="center"/>
          </w:tcPr>
          <w:p w:rsidR="00D3052E" w:rsidRDefault="00D3052E">
            <w:pPr>
              <w:spacing w:before="60" w:after="60"/>
              <w:jc w:val="right"/>
              <w:rPr>
                <w:b/>
                <w:noProof/>
                <w:sz w:val="20"/>
              </w:rPr>
            </w:pPr>
          </w:p>
        </w:tc>
        <w:tc>
          <w:tcPr>
            <w:tcW w:w="960" w:type="dxa"/>
            <w:vAlign w:val="center"/>
          </w:tcPr>
          <w:p w:rsidR="00D3052E" w:rsidRDefault="00D3052E">
            <w:pPr>
              <w:spacing w:before="60" w:after="60"/>
              <w:jc w:val="right"/>
              <w:rPr>
                <w:b/>
                <w:noProof/>
                <w:sz w:val="20"/>
              </w:rPr>
            </w:pPr>
          </w:p>
        </w:tc>
      </w:tr>
      <w:tr w:rsidR="00D305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D3052E" w:rsidRDefault="00635D2F">
            <w:pPr>
              <w:spacing w:before="60" w:after="60"/>
              <w:jc w:val="center"/>
              <w:rPr>
                <w:noProof/>
                <w:sz w:val="20"/>
              </w:rPr>
            </w:pPr>
            <w:r>
              <w:rPr>
                <w:b/>
                <w:noProof/>
                <w:sz w:val="20"/>
              </w:rPr>
              <w:t>OGÓŁEM</w:t>
            </w:r>
          </w:p>
        </w:tc>
        <w:tc>
          <w:tcPr>
            <w:tcW w:w="960" w:type="dxa"/>
            <w:tcBorders>
              <w:top w:val="single" w:sz="12" w:space="0" w:color="auto"/>
              <w:left w:val="single" w:sz="2" w:space="0" w:color="auto"/>
              <w:bottom w:val="single" w:sz="12" w:space="0" w:color="auto"/>
              <w:right w:val="single" w:sz="2" w:space="0" w:color="auto"/>
            </w:tcBorders>
            <w:vAlign w:val="center"/>
          </w:tcPr>
          <w:p w:rsidR="00D3052E" w:rsidRDefault="00635D2F">
            <w:pPr>
              <w:spacing w:before="60" w:after="60"/>
              <w:jc w:val="center"/>
              <w:rPr>
                <w:b/>
                <w:noProof/>
                <w:sz w:val="20"/>
              </w:rPr>
            </w:pPr>
            <w:r>
              <w:rPr>
                <w:b/>
                <w:noProof/>
                <w:sz w:val="20"/>
              </w:rPr>
              <w:t>17</w:t>
            </w:r>
          </w:p>
        </w:tc>
        <w:tc>
          <w:tcPr>
            <w:tcW w:w="960" w:type="dxa"/>
            <w:tcBorders>
              <w:top w:val="single" w:sz="12" w:space="0" w:color="auto"/>
              <w:left w:val="single" w:sz="2" w:space="0" w:color="auto"/>
              <w:bottom w:val="single" w:sz="12" w:space="0" w:color="auto"/>
              <w:right w:val="single" w:sz="2" w:space="0" w:color="auto"/>
            </w:tcBorders>
            <w:vAlign w:val="center"/>
          </w:tcPr>
          <w:p w:rsidR="00D3052E" w:rsidRDefault="00635D2F">
            <w:pPr>
              <w:spacing w:before="60" w:after="60"/>
              <w:jc w:val="center"/>
              <w:rPr>
                <w:b/>
                <w:noProof/>
                <w:sz w:val="20"/>
              </w:rPr>
            </w:pPr>
            <w:r>
              <w:rPr>
                <w:b/>
                <w:noProof/>
                <w:sz w:val="20"/>
              </w:rPr>
              <w:t>17</w:t>
            </w:r>
          </w:p>
        </w:tc>
        <w:tc>
          <w:tcPr>
            <w:tcW w:w="960" w:type="dxa"/>
            <w:tcBorders>
              <w:top w:val="single" w:sz="12" w:space="0" w:color="auto"/>
              <w:left w:val="single" w:sz="2" w:space="0" w:color="auto"/>
              <w:bottom w:val="single" w:sz="12" w:space="0" w:color="auto"/>
              <w:right w:val="single" w:sz="2" w:space="0" w:color="auto"/>
            </w:tcBorders>
            <w:vAlign w:val="center"/>
          </w:tcPr>
          <w:p w:rsidR="00D3052E" w:rsidRDefault="00635D2F">
            <w:pPr>
              <w:spacing w:before="60" w:after="60"/>
              <w:jc w:val="center"/>
              <w:rPr>
                <w:b/>
                <w:noProof/>
                <w:sz w:val="20"/>
              </w:rPr>
            </w:pPr>
            <w:r>
              <w:rPr>
                <w:b/>
                <w:noProof/>
                <w:sz w:val="20"/>
              </w:rPr>
              <w:t>17</w:t>
            </w:r>
          </w:p>
        </w:tc>
        <w:tc>
          <w:tcPr>
            <w:tcW w:w="960" w:type="dxa"/>
            <w:tcBorders>
              <w:top w:val="single" w:sz="12" w:space="0" w:color="auto"/>
              <w:left w:val="single" w:sz="2" w:space="0" w:color="auto"/>
              <w:bottom w:val="single" w:sz="12" w:space="0" w:color="auto"/>
              <w:right w:val="single" w:sz="2" w:space="0" w:color="auto"/>
            </w:tcBorders>
            <w:vAlign w:val="center"/>
          </w:tcPr>
          <w:p w:rsidR="00D3052E" w:rsidRDefault="00635D2F">
            <w:pPr>
              <w:spacing w:before="60" w:after="60"/>
              <w:jc w:val="center"/>
              <w:rPr>
                <w:b/>
                <w:noProof/>
                <w:sz w:val="20"/>
              </w:rPr>
            </w:pPr>
            <w:r>
              <w:rPr>
                <w:b/>
                <w:noProof/>
                <w:sz w:val="20"/>
              </w:rPr>
              <w:t>17</w:t>
            </w:r>
          </w:p>
        </w:tc>
        <w:tc>
          <w:tcPr>
            <w:tcW w:w="960" w:type="dxa"/>
            <w:tcBorders>
              <w:top w:val="single" w:sz="12" w:space="0" w:color="auto"/>
              <w:left w:val="single" w:sz="2" w:space="0" w:color="auto"/>
              <w:bottom w:val="single" w:sz="12" w:space="0" w:color="auto"/>
              <w:right w:val="single" w:sz="2" w:space="0" w:color="auto"/>
            </w:tcBorders>
            <w:vAlign w:val="center"/>
          </w:tcPr>
          <w:p w:rsidR="00D3052E" w:rsidRDefault="00635D2F">
            <w:pPr>
              <w:spacing w:before="60" w:after="60"/>
              <w:jc w:val="center"/>
              <w:rPr>
                <w:b/>
                <w:noProof/>
                <w:sz w:val="20"/>
              </w:rPr>
            </w:pPr>
            <w:r>
              <w:rPr>
                <w:b/>
                <w:noProof/>
                <w:sz w:val="20"/>
              </w:rPr>
              <w:t>17</w:t>
            </w:r>
          </w:p>
        </w:tc>
        <w:tc>
          <w:tcPr>
            <w:tcW w:w="960" w:type="dxa"/>
            <w:tcBorders>
              <w:top w:val="single" w:sz="12" w:space="0" w:color="auto"/>
              <w:left w:val="single" w:sz="2" w:space="0" w:color="auto"/>
              <w:bottom w:val="single" w:sz="12" w:space="0" w:color="auto"/>
              <w:right w:val="single" w:sz="2" w:space="0" w:color="auto"/>
            </w:tcBorders>
            <w:vAlign w:val="center"/>
          </w:tcPr>
          <w:p w:rsidR="00D3052E" w:rsidRDefault="00635D2F">
            <w:pPr>
              <w:spacing w:before="60" w:after="60"/>
              <w:jc w:val="center"/>
              <w:rPr>
                <w:b/>
                <w:noProof/>
                <w:sz w:val="20"/>
              </w:rPr>
            </w:pPr>
            <w:r>
              <w:rPr>
                <w:b/>
                <w:noProof/>
                <w:sz w:val="20"/>
              </w:rPr>
              <w:t>17</w:t>
            </w:r>
          </w:p>
        </w:tc>
        <w:tc>
          <w:tcPr>
            <w:tcW w:w="960" w:type="dxa"/>
            <w:tcBorders>
              <w:top w:val="single" w:sz="12" w:space="0" w:color="auto"/>
              <w:left w:val="single" w:sz="2" w:space="0" w:color="auto"/>
              <w:bottom w:val="single" w:sz="12" w:space="0" w:color="auto"/>
              <w:right w:val="single" w:sz="2" w:space="0" w:color="auto"/>
            </w:tcBorders>
            <w:vAlign w:val="center"/>
          </w:tcPr>
          <w:p w:rsidR="00D3052E" w:rsidRDefault="00635D2F">
            <w:pPr>
              <w:spacing w:before="60" w:after="60"/>
              <w:jc w:val="center"/>
              <w:rPr>
                <w:b/>
                <w:noProof/>
                <w:sz w:val="20"/>
              </w:rPr>
            </w:pPr>
            <w:r>
              <w:rPr>
                <w:b/>
                <w:noProof/>
                <w:sz w:val="20"/>
              </w:rPr>
              <w:t>17</w:t>
            </w:r>
          </w:p>
        </w:tc>
        <w:tc>
          <w:tcPr>
            <w:tcW w:w="960" w:type="dxa"/>
            <w:tcBorders>
              <w:top w:val="single" w:sz="12" w:space="0" w:color="auto"/>
              <w:left w:val="single" w:sz="2" w:space="0" w:color="auto"/>
              <w:bottom w:val="single" w:sz="12" w:space="0" w:color="auto"/>
              <w:right w:val="single" w:sz="12" w:space="0" w:color="auto"/>
            </w:tcBorders>
            <w:vAlign w:val="center"/>
          </w:tcPr>
          <w:p w:rsidR="00D3052E" w:rsidRDefault="00D3052E">
            <w:pPr>
              <w:spacing w:before="60" w:after="60"/>
              <w:jc w:val="right"/>
              <w:rPr>
                <w:b/>
                <w:noProof/>
                <w:sz w:val="20"/>
              </w:rPr>
            </w:pPr>
          </w:p>
        </w:tc>
      </w:tr>
    </w:tbl>
    <w:p w:rsidR="00D3052E" w:rsidRDefault="00D3052E">
      <w:pPr>
        <w:rPr>
          <w:noProof/>
        </w:rPr>
        <w:sectPr w:rsidR="00D3052E">
          <w:headerReference w:type="default" r:id="rId22"/>
          <w:footerReference w:type="default" r:id="rId23"/>
          <w:headerReference w:type="first" r:id="rId24"/>
          <w:footerReference w:type="first" r:id="rId25"/>
          <w:pgSz w:w="11907" w:h="16839"/>
          <w:pgMar w:top="1134" w:right="1417" w:bottom="1134" w:left="1417" w:header="709" w:footer="709" w:gutter="0"/>
          <w:cols w:space="720"/>
          <w:docGrid w:linePitch="326"/>
        </w:sectPr>
      </w:pPr>
    </w:p>
    <w:p w:rsidR="00D3052E" w:rsidRDefault="00635D2F">
      <w:pPr>
        <w:pStyle w:val="ManualHeading4"/>
        <w:rPr>
          <w:bCs/>
          <w:noProof/>
          <w:szCs w:val="24"/>
        </w:rPr>
      </w:pPr>
      <w:r>
        <w:lastRenderedPageBreak/>
        <w:t>3.2.3.2.</w:t>
      </w:r>
      <w:r>
        <w:tab/>
      </w:r>
      <w:r>
        <w:rPr>
          <w:noProof/>
        </w:rPr>
        <w:t>Szacowane zapotrzebowanie na zasoby ludzkie (macierzystych) DG</w:t>
      </w:r>
    </w:p>
    <w:p w:rsidR="00D3052E" w:rsidRDefault="00635D2F">
      <w:pPr>
        <w:pStyle w:val="ListDash1"/>
        <w:rPr>
          <w:noProof/>
        </w:rPr>
      </w:pPr>
      <w:r>
        <w:rPr>
          <w:noProof/>
        </w:rPr>
        <w:sym w:font="Wingdings" w:char="F0FE"/>
      </w:r>
      <w:r>
        <w:rPr>
          <w:noProof/>
        </w:rPr>
        <w:tab/>
        <w:t xml:space="preserve">Wniosek/inicjatywa nie wiąże się z koniecznością wykorzystania </w:t>
      </w:r>
      <w:r>
        <w:rPr>
          <w:b/>
          <w:noProof/>
        </w:rPr>
        <w:t>dodatkowych</w:t>
      </w:r>
      <w:r>
        <w:rPr>
          <w:noProof/>
        </w:rPr>
        <w:t xml:space="preserve"> zasobów ludzkich. </w:t>
      </w:r>
    </w:p>
    <w:p w:rsidR="00D3052E" w:rsidRDefault="00635D2F">
      <w:pPr>
        <w:pStyle w:val="ListDash1"/>
        <w:rPr>
          <w:noProof/>
        </w:rPr>
      </w:pPr>
      <w:r>
        <w:rPr>
          <w:noProof/>
        </w:rPr>
        <w:sym w:font="Wingdings" w:char="F0A8"/>
      </w:r>
      <w:r>
        <w:rPr>
          <w:noProof/>
        </w:rPr>
        <w:tab/>
        <w:t>Wniosek/inicjatywa wiąże się z koniecznością wykorzystania zasobów ludzkich, jak określono poniżej:</w:t>
      </w:r>
    </w:p>
    <w:p w:rsidR="00D3052E" w:rsidRDefault="00635D2F">
      <w:pPr>
        <w:spacing w:after="60"/>
        <w:jc w:val="right"/>
        <w:rPr>
          <w:i/>
          <w:noProof/>
          <w:sz w:val="20"/>
        </w:rPr>
      </w:pPr>
      <w:r>
        <w:rPr>
          <w:i/>
          <w:noProof/>
          <w:sz w:val="20"/>
        </w:rPr>
        <w:t>Wartości szacunkowe należy wyrazić w pełnych kwotach (lub najwyżej z dokładnością do jednego miejsca po przecinku)</w:t>
      </w:r>
    </w:p>
    <w:tbl>
      <w:tblPr>
        <w:tblW w:w="593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89"/>
        <w:gridCol w:w="2011"/>
        <w:gridCol w:w="843"/>
        <w:gridCol w:w="843"/>
        <w:gridCol w:w="843"/>
        <w:gridCol w:w="843"/>
        <w:gridCol w:w="843"/>
        <w:gridCol w:w="848"/>
        <w:gridCol w:w="6"/>
        <w:gridCol w:w="852"/>
        <w:gridCol w:w="837"/>
      </w:tblGrid>
      <w:tr w:rsidR="00D3052E">
        <w:trPr>
          <w:trHeight w:val="289"/>
          <w:jc w:val="center"/>
        </w:trPr>
        <w:tc>
          <w:tcPr>
            <w:tcW w:w="1858" w:type="pct"/>
            <w:gridSpan w:val="2"/>
            <w:shd w:val="clear" w:color="auto" w:fill="auto"/>
            <w:vAlign w:val="center"/>
          </w:tcPr>
          <w:p w:rsidR="00D3052E" w:rsidRDefault="00D3052E">
            <w:pPr>
              <w:pStyle w:val="Text1"/>
              <w:spacing w:before="40" w:after="40"/>
              <w:ind w:left="0"/>
              <w:jc w:val="center"/>
              <w:rPr>
                <w:i/>
                <w:noProof/>
                <w:sz w:val="20"/>
              </w:rPr>
            </w:pPr>
          </w:p>
        </w:tc>
        <w:tc>
          <w:tcPr>
            <w:tcW w:w="392" w:type="pct"/>
            <w:shd w:val="clear" w:color="auto" w:fill="auto"/>
            <w:vAlign w:val="center"/>
          </w:tcPr>
          <w:p w:rsidR="00D3052E" w:rsidRDefault="00635D2F">
            <w:pPr>
              <w:spacing w:before="20" w:after="20"/>
              <w:jc w:val="center"/>
              <w:rPr>
                <w:noProof/>
                <w:sz w:val="20"/>
              </w:rPr>
            </w:pPr>
            <w:r>
              <w:rPr>
                <w:noProof/>
                <w:sz w:val="20"/>
              </w:rPr>
              <w:t>2020</w:t>
            </w:r>
          </w:p>
        </w:tc>
        <w:tc>
          <w:tcPr>
            <w:tcW w:w="392" w:type="pct"/>
            <w:shd w:val="clear" w:color="auto" w:fill="auto"/>
            <w:vAlign w:val="center"/>
          </w:tcPr>
          <w:p w:rsidR="00D3052E" w:rsidRDefault="00635D2F">
            <w:pPr>
              <w:spacing w:before="20" w:after="20"/>
              <w:jc w:val="center"/>
              <w:rPr>
                <w:noProof/>
                <w:sz w:val="20"/>
              </w:rPr>
            </w:pPr>
            <w:r>
              <w:rPr>
                <w:noProof/>
                <w:sz w:val="20"/>
              </w:rPr>
              <w:t>2021</w:t>
            </w:r>
          </w:p>
        </w:tc>
        <w:tc>
          <w:tcPr>
            <w:tcW w:w="392" w:type="pct"/>
            <w:shd w:val="clear" w:color="auto" w:fill="auto"/>
            <w:vAlign w:val="center"/>
          </w:tcPr>
          <w:p w:rsidR="00D3052E" w:rsidRDefault="00635D2F">
            <w:pPr>
              <w:spacing w:before="20" w:after="20"/>
              <w:jc w:val="center"/>
              <w:rPr>
                <w:noProof/>
                <w:sz w:val="20"/>
              </w:rPr>
            </w:pPr>
            <w:r>
              <w:rPr>
                <w:noProof/>
                <w:sz w:val="20"/>
              </w:rPr>
              <w:t>2022</w:t>
            </w:r>
          </w:p>
        </w:tc>
        <w:tc>
          <w:tcPr>
            <w:tcW w:w="392" w:type="pct"/>
            <w:vAlign w:val="center"/>
          </w:tcPr>
          <w:p w:rsidR="00D3052E" w:rsidRDefault="00635D2F">
            <w:pPr>
              <w:spacing w:before="20" w:after="20"/>
              <w:jc w:val="center"/>
              <w:rPr>
                <w:noProof/>
                <w:sz w:val="20"/>
              </w:rPr>
            </w:pPr>
            <w:r>
              <w:rPr>
                <w:noProof/>
                <w:sz w:val="20"/>
              </w:rPr>
              <w:t>2023</w:t>
            </w:r>
          </w:p>
        </w:tc>
        <w:tc>
          <w:tcPr>
            <w:tcW w:w="392" w:type="pct"/>
            <w:shd w:val="clear" w:color="auto" w:fill="auto"/>
            <w:vAlign w:val="center"/>
          </w:tcPr>
          <w:p w:rsidR="00D3052E" w:rsidRDefault="00635D2F">
            <w:pPr>
              <w:spacing w:before="20" w:after="20"/>
              <w:jc w:val="center"/>
              <w:rPr>
                <w:noProof/>
                <w:sz w:val="20"/>
              </w:rPr>
            </w:pPr>
            <w:r>
              <w:rPr>
                <w:noProof/>
                <w:sz w:val="20"/>
              </w:rPr>
              <w:t>2024</w:t>
            </w:r>
          </w:p>
        </w:tc>
        <w:tc>
          <w:tcPr>
            <w:tcW w:w="394" w:type="pct"/>
            <w:shd w:val="clear" w:color="auto" w:fill="auto"/>
            <w:vAlign w:val="center"/>
          </w:tcPr>
          <w:p w:rsidR="00D3052E" w:rsidRDefault="00635D2F">
            <w:pPr>
              <w:spacing w:before="20" w:after="20"/>
              <w:jc w:val="center"/>
              <w:rPr>
                <w:noProof/>
                <w:sz w:val="20"/>
              </w:rPr>
            </w:pPr>
            <w:r>
              <w:rPr>
                <w:noProof/>
                <w:sz w:val="20"/>
              </w:rPr>
              <w:t>2025</w:t>
            </w:r>
          </w:p>
        </w:tc>
        <w:tc>
          <w:tcPr>
            <w:tcW w:w="399" w:type="pct"/>
            <w:gridSpan w:val="2"/>
            <w:shd w:val="clear" w:color="auto" w:fill="auto"/>
            <w:vAlign w:val="center"/>
          </w:tcPr>
          <w:p w:rsidR="00D3052E" w:rsidRDefault="00635D2F">
            <w:pPr>
              <w:spacing w:before="20" w:after="20"/>
              <w:jc w:val="center"/>
              <w:rPr>
                <w:noProof/>
                <w:sz w:val="20"/>
              </w:rPr>
            </w:pPr>
            <w:r>
              <w:rPr>
                <w:noProof/>
                <w:sz w:val="20"/>
              </w:rPr>
              <w:t>2026</w:t>
            </w:r>
          </w:p>
        </w:tc>
        <w:tc>
          <w:tcPr>
            <w:tcW w:w="389" w:type="pct"/>
            <w:shd w:val="clear" w:color="auto" w:fill="auto"/>
            <w:vAlign w:val="center"/>
          </w:tcPr>
          <w:p w:rsidR="00D3052E" w:rsidRDefault="00635D2F">
            <w:pPr>
              <w:spacing w:before="20" w:after="20"/>
              <w:jc w:val="center"/>
              <w:rPr>
                <w:noProof/>
                <w:sz w:val="20"/>
              </w:rPr>
            </w:pPr>
            <w:r>
              <w:rPr>
                <w:noProof/>
                <w:sz w:val="20"/>
              </w:rPr>
              <w:t>2027</w:t>
            </w:r>
          </w:p>
        </w:tc>
      </w:tr>
      <w:tr w:rsidR="00D3052E">
        <w:trPr>
          <w:trHeight w:val="289"/>
          <w:jc w:val="center"/>
        </w:trPr>
        <w:tc>
          <w:tcPr>
            <w:tcW w:w="1858" w:type="pct"/>
            <w:gridSpan w:val="2"/>
            <w:shd w:val="clear" w:color="auto" w:fill="auto"/>
            <w:vAlign w:val="center"/>
          </w:tcPr>
          <w:p w:rsidR="00D3052E" w:rsidRDefault="00635D2F">
            <w:pPr>
              <w:pStyle w:val="Text1"/>
              <w:numPr>
                <w:ilvl w:val="0"/>
                <w:numId w:val="22"/>
              </w:numPr>
              <w:tabs>
                <w:tab w:val="left" w:pos="208"/>
              </w:tabs>
              <w:spacing w:beforeLines="20" w:before="48" w:afterLines="20" w:after="48"/>
              <w:ind w:left="208" w:hanging="120"/>
              <w:jc w:val="left"/>
              <w:rPr>
                <w:b/>
                <w:noProof/>
                <w:sz w:val="20"/>
              </w:rPr>
            </w:pPr>
            <w:r>
              <w:rPr>
                <w:b/>
                <w:noProof/>
                <w:sz w:val="20"/>
              </w:rPr>
              <w:t>Stanowiska przewidziane w planie zatrudnienia (stanowiska urzędników i pracowników zatrudnionych na czas określony)</w:t>
            </w:r>
          </w:p>
        </w:tc>
        <w:tc>
          <w:tcPr>
            <w:tcW w:w="392" w:type="pct"/>
            <w:shd w:val="clear" w:color="auto" w:fill="auto"/>
            <w:vAlign w:val="center"/>
          </w:tcPr>
          <w:p w:rsidR="00D3052E" w:rsidRDefault="00D3052E">
            <w:pPr>
              <w:spacing w:beforeLines="20" w:before="48" w:afterLines="20" w:after="48"/>
              <w:jc w:val="center"/>
              <w:rPr>
                <w:noProof/>
                <w:sz w:val="20"/>
              </w:rPr>
            </w:pPr>
          </w:p>
        </w:tc>
        <w:tc>
          <w:tcPr>
            <w:tcW w:w="392" w:type="pct"/>
            <w:shd w:val="clear" w:color="auto" w:fill="auto"/>
            <w:vAlign w:val="center"/>
          </w:tcPr>
          <w:p w:rsidR="00D3052E" w:rsidRDefault="00D3052E">
            <w:pPr>
              <w:spacing w:beforeLines="20" w:before="48" w:afterLines="20" w:after="48"/>
              <w:jc w:val="center"/>
              <w:rPr>
                <w:noProof/>
                <w:sz w:val="20"/>
              </w:rPr>
            </w:pPr>
          </w:p>
        </w:tc>
        <w:tc>
          <w:tcPr>
            <w:tcW w:w="392" w:type="pct"/>
            <w:shd w:val="clear" w:color="auto" w:fill="auto"/>
            <w:vAlign w:val="center"/>
          </w:tcPr>
          <w:p w:rsidR="00D3052E" w:rsidRDefault="00D3052E">
            <w:pPr>
              <w:spacing w:beforeLines="20" w:before="48" w:afterLines="20" w:after="48"/>
              <w:jc w:val="center"/>
              <w:rPr>
                <w:noProof/>
                <w:sz w:val="20"/>
              </w:rPr>
            </w:pPr>
          </w:p>
        </w:tc>
        <w:tc>
          <w:tcPr>
            <w:tcW w:w="392" w:type="pct"/>
            <w:vAlign w:val="center"/>
          </w:tcPr>
          <w:p w:rsidR="00D3052E" w:rsidRDefault="00D3052E">
            <w:pPr>
              <w:spacing w:beforeLines="20" w:before="48" w:afterLines="20" w:after="48"/>
              <w:jc w:val="center"/>
              <w:rPr>
                <w:noProof/>
                <w:sz w:val="20"/>
              </w:rPr>
            </w:pPr>
          </w:p>
        </w:tc>
        <w:tc>
          <w:tcPr>
            <w:tcW w:w="392" w:type="pct"/>
            <w:shd w:val="clear" w:color="auto" w:fill="auto"/>
            <w:vAlign w:val="center"/>
          </w:tcPr>
          <w:p w:rsidR="00D3052E" w:rsidRDefault="00D3052E">
            <w:pPr>
              <w:spacing w:beforeLines="20" w:before="48" w:afterLines="20" w:after="48"/>
              <w:jc w:val="center"/>
              <w:rPr>
                <w:noProof/>
                <w:sz w:val="20"/>
              </w:rPr>
            </w:pPr>
          </w:p>
        </w:tc>
        <w:tc>
          <w:tcPr>
            <w:tcW w:w="397" w:type="pct"/>
            <w:gridSpan w:val="2"/>
            <w:shd w:val="clear" w:color="auto" w:fill="auto"/>
            <w:vAlign w:val="center"/>
          </w:tcPr>
          <w:p w:rsidR="00D3052E" w:rsidRDefault="00D3052E">
            <w:pPr>
              <w:spacing w:beforeLines="20" w:before="48" w:afterLines="20" w:after="48"/>
              <w:jc w:val="center"/>
              <w:rPr>
                <w:noProof/>
                <w:sz w:val="20"/>
              </w:rPr>
            </w:pPr>
          </w:p>
        </w:tc>
        <w:tc>
          <w:tcPr>
            <w:tcW w:w="396" w:type="pct"/>
            <w:shd w:val="clear" w:color="auto" w:fill="auto"/>
            <w:vAlign w:val="center"/>
          </w:tcPr>
          <w:p w:rsidR="00D3052E" w:rsidRDefault="00D3052E">
            <w:pPr>
              <w:spacing w:beforeLines="20" w:before="48" w:afterLines="20" w:after="48"/>
              <w:jc w:val="center"/>
              <w:rPr>
                <w:noProof/>
                <w:sz w:val="20"/>
              </w:rPr>
            </w:pPr>
          </w:p>
        </w:tc>
        <w:tc>
          <w:tcPr>
            <w:tcW w:w="389" w:type="pct"/>
            <w:shd w:val="clear" w:color="auto" w:fill="auto"/>
            <w:vAlign w:val="center"/>
          </w:tcPr>
          <w:p w:rsidR="00D3052E" w:rsidRDefault="00D3052E">
            <w:pPr>
              <w:spacing w:beforeLines="20" w:before="48" w:afterLines="20" w:after="48"/>
              <w:jc w:val="center"/>
              <w:rPr>
                <w:noProof/>
                <w:sz w:val="20"/>
              </w:rPr>
            </w:pPr>
          </w:p>
        </w:tc>
      </w:tr>
      <w:tr w:rsidR="00D3052E">
        <w:trPr>
          <w:trHeight w:val="289"/>
          <w:jc w:val="center"/>
        </w:trPr>
        <w:tc>
          <w:tcPr>
            <w:tcW w:w="1858" w:type="pct"/>
            <w:gridSpan w:val="2"/>
            <w:shd w:val="clear" w:color="auto" w:fill="auto"/>
            <w:vAlign w:val="center"/>
          </w:tcPr>
          <w:p w:rsidR="00D3052E" w:rsidRDefault="00D3052E">
            <w:pPr>
              <w:pStyle w:val="Text1"/>
              <w:spacing w:beforeLines="20" w:before="48" w:afterLines="20" w:after="48"/>
              <w:ind w:left="984"/>
              <w:jc w:val="left"/>
              <w:rPr>
                <w:b/>
                <w:noProof/>
                <w:sz w:val="20"/>
                <w:highlight w:val="yellow"/>
              </w:rPr>
            </w:pPr>
          </w:p>
        </w:tc>
        <w:tc>
          <w:tcPr>
            <w:tcW w:w="392" w:type="pct"/>
            <w:shd w:val="clear" w:color="auto" w:fill="auto"/>
            <w:vAlign w:val="center"/>
          </w:tcPr>
          <w:p w:rsidR="00D3052E" w:rsidRDefault="00D3052E">
            <w:pPr>
              <w:spacing w:beforeLines="20" w:before="48" w:afterLines="20" w:after="48"/>
              <w:jc w:val="center"/>
              <w:rPr>
                <w:noProof/>
                <w:sz w:val="20"/>
                <w:highlight w:val="yellow"/>
              </w:rPr>
            </w:pPr>
          </w:p>
        </w:tc>
        <w:tc>
          <w:tcPr>
            <w:tcW w:w="392" w:type="pct"/>
            <w:shd w:val="clear" w:color="auto" w:fill="auto"/>
            <w:vAlign w:val="center"/>
          </w:tcPr>
          <w:p w:rsidR="00D3052E" w:rsidRDefault="00D3052E">
            <w:pPr>
              <w:spacing w:beforeLines="20" w:before="48" w:afterLines="20" w:after="48"/>
              <w:jc w:val="center"/>
              <w:rPr>
                <w:noProof/>
                <w:sz w:val="20"/>
                <w:highlight w:val="yellow"/>
              </w:rPr>
            </w:pPr>
          </w:p>
        </w:tc>
        <w:tc>
          <w:tcPr>
            <w:tcW w:w="392" w:type="pct"/>
            <w:shd w:val="clear" w:color="auto" w:fill="auto"/>
            <w:vAlign w:val="center"/>
          </w:tcPr>
          <w:p w:rsidR="00D3052E" w:rsidRDefault="00D3052E">
            <w:pPr>
              <w:spacing w:beforeLines="20" w:before="48" w:afterLines="20" w:after="48"/>
              <w:jc w:val="center"/>
              <w:rPr>
                <w:noProof/>
                <w:sz w:val="20"/>
                <w:highlight w:val="yellow"/>
              </w:rPr>
            </w:pPr>
          </w:p>
        </w:tc>
        <w:tc>
          <w:tcPr>
            <w:tcW w:w="392" w:type="pct"/>
            <w:vAlign w:val="center"/>
          </w:tcPr>
          <w:p w:rsidR="00D3052E" w:rsidRDefault="00D3052E">
            <w:pPr>
              <w:spacing w:beforeLines="20" w:before="48" w:afterLines="20" w:after="48"/>
              <w:jc w:val="center"/>
              <w:rPr>
                <w:noProof/>
                <w:sz w:val="20"/>
                <w:highlight w:val="yellow"/>
              </w:rPr>
            </w:pPr>
          </w:p>
        </w:tc>
        <w:tc>
          <w:tcPr>
            <w:tcW w:w="392" w:type="pct"/>
            <w:shd w:val="clear" w:color="auto" w:fill="auto"/>
            <w:vAlign w:val="center"/>
          </w:tcPr>
          <w:p w:rsidR="00D3052E" w:rsidRDefault="00D3052E">
            <w:pPr>
              <w:spacing w:beforeLines="20" w:before="48" w:afterLines="20" w:after="48"/>
              <w:jc w:val="center"/>
              <w:rPr>
                <w:noProof/>
                <w:sz w:val="20"/>
                <w:highlight w:val="yellow"/>
              </w:rPr>
            </w:pPr>
          </w:p>
        </w:tc>
        <w:tc>
          <w:tcPr>
            <w:tcW w:w="397" w:type="pct"/>
            <w:gridSpan w:val="2"/>
            <w:shd w:val="clear" w:color="auto" w:fill="auto"/>
            <w:vAlign w:val="center"/>
          </w:tcPr>
          <w:p w:rsidR="00D3052E" w:rsidRDefault="00D3052E">
            <w:pPr>
              <w:spacing w:beforeLines="20" w:before="48" w:afterLines="20" w:after="48"/>
              <w:jc w:val="center"/>
              <w:rPr>
                <w:noProof/>
                <w:sz w:val="20"/>
                <w:highlight w:val="yellow"/>
              </w:rPr>
            </w:pPr>
          </w:p>
        </w:tc>
        <w:tc>
          <w:tcPr>
            <w:tcW w:w="396" w:type="pct"/>
            <w:shd w:val="clear" w:color="auto" w:fill="auto"/>
            <w:vAlign w:val="center"/>
          </w:tcPr>
          <w:p w:rsidR="00D3052E" w:rsidRDefault="00D3052E">
            <w:pPr>
              <w:spacing w:beforeLines="20" w:before="48" w:afterLines="20" w:after="48"/>
              <w:jc w:val="center"/>
              <w:rPr>
                <w:noProof/>
                <w:sz w:val="20"/>
                <w:highlight w:val="yellow"/>
              </w:rPr>
            </w:pPr>
          </w:p>
        </w:tc>
        <w:tc>
          <w:tcPr>
            <w:tcW w:w="389" w:type="pct"/>
            <w:shd w:val="clear" w:color="auto" w:fill="auto"/>
            <w:vAlign w:val="center"/>
          </w:tcPr>
          <w:p w:rsidR="00D3052E" w:rsidRDefault="00D3052E">
            <w:pPr>
              <w:spacing w:beforeLines="20" w:before="48" w:afterLines="20" w:after="48"/>
              <w:jc w:val="center"/>
              <w:rPr>
                <w:noProof/>
                <w:sz w:val="20"/>
                <w:highlight w:val="yellow"/>
              </w:rPr>
            </w:pPr>
          </w:p>
        </w:tc>
      </w:tr>
      <w:tr w:rsidR="00D3052E">
        <w:trPr>
          <w:trHeight w:val="289"/>
          <w:jc w:val="center"/>
        </w:trPr>
        <w:tc>
          <w:tcPr>
            <w:tcW w:w="1858" w:type="pct"/>
            <w:gridSpan w:val="2"/>
            <w:shd w:val="clear" w:color="auto" w:fill="auto"/>
            <w:vAlign w:val="center"/>
          </w:tcPr>
          <w:p w:rsidR="00D3052E" w:rsidRDefault="00D3052E">
            <w:pPr>
              <w:pStyle w:val="Text1"/>
              <w:spacing w:beforeLines="20" w:before="48" w:afterLines="20" w:after="48"/>
              <w:ind w:left="984"/>
              <w:jc w:val="left"/>
              <w:rPr>
                <w:b/>
                <w:noProof/>
                <w:sz w:val="20"/>
                <w:highlight w:val="yellow"/>
              </w:rPr>
            </w:pPr>
          </w:p>
        </w:tc>
        <w:tc>
          <w:tcPr>
            <w:tcW w:w="392" w:type="pct"/>
            <w:shd w:val="clear" w:color="auto" w:fill="auto"/>
            <w:vAlign w:val="center"/>
          </w:tcPr>
          <w:p w:rsidR="00D3052E" w:rsidRDefault="00D3052E">
            <w:pPr>
              <w:spacing w:beforeLines="20" w:before="48" w:afterLines="20" w:after="48"/>
              <w:jc w:val="center"/>
              <w:rPr>
                <w:noProof/>
                <w:sz w:val="20"/>
                <w:highlight w:val="yellow"/>
              </w:rPr>
            </w:pPr>
          </w:p>
        </w:tc>
        <w:tc>
          <w:tcPr>
            <w:tcW w:w="392" w:type="pct"/>
            <w:shd w:val="clear" w:color="auto" w:fill="auto"/>
            <w:vAlign w:val="center"/>
          </w:tcPr>
          <w:p w:rsidR="00D3052E" w:rsidRDefault="00D3052E">
            <w:pPr>
              <w:spacing w:beforeLines="20" w:before="48" w:afterLines="20" w:after="48"/>
              <w:jc w:val="center"/>
              <w:rPr>
                <w:noProof/>
                <w:sz w:val="20"/>
                <w:highlight w:val="yellow"/>
              </w:rPr>
            </w:pPr>
          </w:p>
        </w:tc>
        <w:tc>
          <w:tcPr>
            <w:tcW w:w="392" w:type="pct"/>
            <w:shd w:val="clear" w:color="auto" w:fill="auto"/>
            <w:vAlign w:val="center"/>
          </w:tcPr>
          <w:p w:rsidR="00D3052E" w:rsidRDefault="00D3052E">
            <w:pPr>
              <w:spacing w:beforeLines="20" w:before="48" w:afterLines="20" w:after="48"/>
              <w:jc w:val="center"/>
              <w:rPr>
                <w:noProof/>
                <w:sz w:val="20"/>
                <w:highlight w:val="yellow"/>
              </w:rPr>
            </w:pPr>
          </w:p>
        </w:tc>
        <w:tc>
          <w:tcPr>
            <w:tcW w:w="392" w:type="pct"/>
            <w:vAlign w:val="center"/>
          </w:tcPr>
          <w:p w:rsidR="00D3052E" w:rsidRDefault="00D3052E">
            <w:pPr>
              <w:spacing w:beforeLines="20" w:before="48" w:afterLines="20" w:after="48"/>
              <w:jc w:val="center"/>
              <w:rPr>
                <w:noProof/>
                <w:sz w:val="20"/>
                <w:highlight w:val="yellow"/>
              </w:rPr>
            </w:pPr>
          </w:p>
        </w:tc>
        <w:tc>
          <w:tcPr>
            <w:tcW w:w="392" w:type="pct"/>
            <w:shd w:val="clear" w:color="auto" w:fill="auto"/>
            <w:vAlign w:val="center"/>
          </w:tcPr>
          <w:p w:rsidR="00D3052E" w:rsidRDefault="00D3052E">
            <w:pPr>
              <w:spacing w:beforeLines="20" w:before="48" w:afterLines="20" w:after="48"/>
              <w:jc w:val="center"/>
              <w:rPr>
                <w:noProof/>
                <w:sz w:val="20"/>
                <w:highlight w:val="yellow"/>
              </w:rPr>
            </w:pPr>
          </w:p>
        </w:tc>
        <w:tc>
          <w:tcPr>
            <w:tcW w:w="394" w:type="pct"/>
            <w:shd w:val="clear" w:color="auto" w:fill="auto"/>
            <w:vAlign w:val="center"/>
          </w:tcPr>
          <w:p w:rsidR="00D3052E" w:rsidRDefault="00D3052E">
            <w:pPr>
              <w:spacing w:beforeLines="20" w:before="48" w:afterLines="20" w:after="48"/>
              <w:jc w:val="center"/>
              <w:rPr>
                <w:noProof/>
                <w:sz w:val="20"/>
                <w:highlight w:val="yellow"/>
              </w:rPr>
            </w:pPr>
          </w:p>
        </w:tc>
        <w:tc>
          <w:tcPr>
            <w:tcW w:w="399" w:type="pct"/>
            <w:gridSpan w:val="2"/>
            <w:shd w:val="clear" w:color="auto" w:fill="auto"/>
            <w:vAlign w:val="center"/>
          </w:tcPr>
          <w:p w:rsidR="00D3052E" w:rsidRDefault="00D3052E">
            <w:pPr>
              <w:spacing w:beforeLines="20" w:before="48" w:afterLines="20" w:after="48"/>
              <w:jc w:val="center"/>
              <w:rPr>
                <w:noProof/>
                <w:sz w:val="20"/>
                <w:highlight w:val="yellow"/>
              </w:rPr>
            </w:pPr>
          </w:p>
        </w:tc>
        <w:tc>
          <w:tcPr>
            <w:tcW w:w="389" w:type="pct"/>
            <w:shd w:val="clear" w:color="auto" w:fill="auto"/>
            <w:vAlign w:val="center"/>
          </w:tcPr>
          <w:p w:rsidR="00D3052E" w:rsidRDefault="00D3052E">
            <w:pPr>
              <w:spacing w:beforeLines="20" w:before="48" w:afterLines="20" w:after="48"/>
              <w:jc w:val="center"/>
              <w:rPr>
                <w:noProof/>
                <w:sz w:val="20"/>
                <w:highlight w:val="yellow"/>
              </w:rPr>
            </w:pPr>
          </w:p>
        </w:tc>
      </w:tr>
      <w:tr w:rsidR="00D3052E">
        <w:trPr>
          <w:trHeight w:val="289"/>
          <w:jc w:val="center"/>
        </w:trPr>
        <w:tc>
          <w:tcPr>
            <w:tcW w:w="1858" w:type="pct"/>
            <w:gridSpan w:val="2"/>
            <w:shd w:val="clear" w:color="auto" w:fill="auto"/>
            <w:vAlign w:val="center"/>
          </w:tcPr>
          <w:p w:rsidR="00D3052E" w:rsidRDefault="00D3052E">
            <w:pPr>
              <w:pStyle w:val="Text1"/>
              <w:spacing w:beforeLines="20" w:before="48" w:afterLines="20" w:after="48"/>
              <w:ind w:left="984"/>
              <w:jc w:val="left"/>
              <w:rPr>
                <w:noProof/>
                <w:sz w:val="20"/>
              </w:rPr>
            </w:pPr>
          </w:p>
        </w:tc>
        <w:tc>
          <w:tcPr>
            <w:tcW w:w="392" w:type="pct"/>
            <w:shd w:val="clear" w:color="auto" w:fill="auto"/>
            <w:vAlign w:val="center"/>
          </w:tcPr>
          <w:p w:rsidR="00D3052E" w:rsidRDefault="00D3052E">
            <w:pPr>
              <w:spacing w:beforeLines="20" w:before="48" w:afterLines="20" w:after="48"/>
              <w:jc w:val="center"/>
              <w:rPr>
                <w:noProof/>
                <w:sz w:val="20"/>
              </w:rPr>
            </w:pPr>
          </w:p>
        </w:tc>
        <w:tc>
          <w:tcPr>
            <w:tcW w:w="392" w:type="pct"/>
            <w:shd w:val="clear" w:color="auto" w:fill="auto"/>
            <w:vAlign w:val="center"/>
          </w:tcPr>
          <w:p w:rsidR="00D3052E" w:rsidRDefault="00D3052E">
            <w:pPr>
              <w:spacing w:beforeLines="20" w:before="48" w:afterLines="20" w:after="48"/>
              <w:jc w:val="center"/>
              <w:rPr>
                <w:noProof/>
                <w:sz w:val="20"/>
              </w:rPr>
            </w:pPr>
          </w:p>
        </w:tc>
        <w:tc>
          <w:tcPr>
            <w:tcW w:w="392" w:type="pct"/>
            <w:shd w:val="clear" w:color="auto" w:fill="auto"/>
            <w:vAlign w:val="center"/>
          </w:tcPr>
          <w:p w:rsidR="00D3052E" w:rsidRDefault="00D3052E">
            <w:pPr>
              <w:spacing w:beforeLines="20" w:before="48" w:afterLines="20" w:after="48"/>
              <w:jc w:val="center"/>
              <w:rPr>
                <w:noProof/>
                <w:sz w:val="20"/>
              </w:rPr>
            </w:pPr>
          </w:p>
        </w:tc>
        <w:tc>
          <w:tcPr>
            <w:tcW w:w="392" w:type="pct"/>
            <w:vAlign w:val="center"/>
          </w:tcPr>
          <w:p w:rsidR="00D3052E" w:rsidRDefault="00D3052E">
            <w:pPr>
              <w:spacing w:beforeLines="20" w:before="48" w:afterLines="20" w:after="48"/>
              <w:jc w:val="center"/>
              <w:rPr>
                <w:noProof/>
                <w:sz w:val="20"/>
              </w:rPr>
            </w:pPr>
          </w:p>
        </w:tc>
        <w:tc>
          <w:tcPr>
            <w:tcW w:w="392" w:type="pct"/>
            <w:shd w:val="clear" w:color="auto" w:fill="auto"/>
            <w:vAlign w:val="center"/>
          </w:tcPr>
          <w:p w:rsidR="00D3052E" w:rsidRDefault="00D3052E">
            <w:pPr>
              <w:spacing w:beforeLines="20" w:before="48" w:afterLines="20" w:after="48"/>
              <w:jc w:val="center"/>
              <w:rPr>
                <w:noProof/>
                <w:sz w:val="20"/>
              </w:rPr>
            </w:pPr>
          </w:p>
        </w:tc>
        <w:tc>
          <w:tcPr>
            <w:tcW w:w="397" w:type="pct"/>
            <w:gridSpan w:val="2"/>
            <w:shd w:val="clear" w:color="auto" w:fill="auto"/>
            <w:vAlign w:val="center"/>
          </w:tcPr>
          <w:p w:rsidR="00D3052E" w:rsidRDefault="00D3052E">
            <w:pPr>
              <w:spacing w:beforeLines="20" w:before="48" w:afterLines="20" w:after="48"/>
              <w:jc w:val="center"/>
              <w:rPr>
                <w:noProof/>
                <w:sz w:val="20"/>
              </w:rPr>
            </w:pPr>
          </w:p>
        </w:tc>
        <w:tc>
          <w:tcPr>
            <w:tcW w:w="396" w:type="pct"/>
            <w:shd w:val="clear" w:color="auto" w:fill="auto"/>
            <w:vAlign w:val="center"/>
          </w:tcPr>
          <w:p w:rsidR="00D3052E" w:rsidRDefault="00D3052E">
            <w:pPr>
              <w:spacing w:beforeLines="20" w:before="48" w:afterLines="20" w:after="48"/>
              <w:jc w:val="center"/>
              <w:rPr>
                <w:noProof/>
                <w:sz w:val="20"/>
              </w:rPr>
            </w:pPr>
          </w:p>
        </w:tc>
        <w:tc>
          <w:tcPr>
            <w:tcW w:w="389" w:type="pct"/>
            <w:shd w:val="clear" w:color="auto" w:fill="auto"/>
            <w:vAlign w:val="center"/>
          </w:tcPr>
          <w:p w:rsidR="00D3052E" w:rsidRDefault="00D3052E">
            <w:pPr>
              <w:spacing w:beforeLines="20" w:before="48" w:afterLines="20" w:after="48"/>
              <w:jc w:val="center"/>
              <w:rPr>
                <w:noProof/>
                <w:sz w:val="20"/>
              </w:rPr>
            </w:pPr>
          </w:p>
        </w:tc>
      </w:tr>
      <w:tr w:rsidR="00D3052E">
        <w:trPr>
          <w:trHeight w:val="289"/>
          <w:jc w:val="center"/>
        </w:trPr>
        <w:tc>
          <w:tcPr>
            <w:tcW w:w="1858" w:type="pct"/>
            <w:gridSpan w:val="2"/>
            <w:shd w:val="clear" w:color="auto" w:fill="auto"/>
            <w:vAlign w:val="center"/>
          </w:tcPr>
          <w:p w:rsidR="00D3052E" w:rsidRDefault="00635D2F">
            <w:pPr>
              <w:pStyle w:val="Text1"/>
              <w:spacing w:beforeLines="20" w:before="48" w:afterLines="20" w:after="48"/>
              <w:ind w:left="208" w:hanging="120"/>
              <w:jc w:val="left"/>
              <w:rPr>
                <w:noProof/>
                <w:sz w:val="20"/>
              </w:rPr>
            </w:pPr>
            <w:r>
              <w:rPr>
                <w:b/>
                <w:noProof/>
                <w:sz w:val="20"/>
              </w:rPr>
              <w:sym w:font="Wingdings" w:char="F09F"/>
            </w:r>
            <w:r>
              <w:rPr>
                <w:noProof/>
              </w:rPr>
              <w:t xml:space="preserve"> </w:t>
            </w:r>
            <w:r>
              <w:rPr>
                <w:b/>
                <w:noProof/>
              </w:rPr>
              <w:t>Personel zewnętrzny (w ekwiwalentach pełnego czasu pracy:</w:t>
            </w:r>
            <w:r>
              <w:rPr>
                <w:b/>
                <w:noProof/>
                <w:sz w:val="20"/>
              </w:rPr>
              <w:t xml:space="preserve"> EPC)</w:t>
            </w:r>
            <w:r>
              <w:rPr>
                <w:rStyle w:val="Odwoanieprzypisudolnego"/>
                <w:b/>
                <w:noProof/>
                <w:sz w:val="20"/>
              </w:rPr>
              <w:footnoteReference w:id="46"/>
            </w:r>
          </w:p>
        </w:tc>
        <w:tc>
          <w:tcPr>
            <w:tcW w:w="392" w:type="pct"/>
            <w:shd w:val="clear" w:color="auto" w:fill="auto"/>
            <w:vAlign w:val="center"/>
          </w:tcPr>
          <w:p w:rsidR="00D3052E" w:rsidRDefault="00D3052E">
            <w:pPr>
              <w:spacing w:beforeLines="20" w:before="48" w:afterLines="20" w:after="48"/>
              <w:jc w:val="center"/>
              <w:rPr>
                <w:noProof/>
                <w:sz w:val="20"/>
              </w:rPr>
            </w:pPr>
          </w:p>
        </w:tc>
        <w:tc>
          <w:tcPr>
            <w:tcW w:w="392" w:type="pct"/>
            <w:shd w:val="clear" w:color="auto" w:fill="auto"/>
            <w:vAlign w:val="center"/>
          </w:tcPr>
          <w:p w:rsidR="00D3052E" w:rsidRDefault="00D3052E">
            <w:pPr>
              <w:spacing w:beforeLines="20" w:before="48" w:afterLines="20" w:after="48"/>
              <w:jc w:val="center"/>
              <w:rPr>
                <w:noProof/>
                <w:sz w:val="20"/>
              </w:rPr>
            </w:pPr>
          </w:p>
        </w:tc>
        <w:tc>
          <w:tcPr>
            <w:tcW w:w="392" w:type="pct"/>
            <w:shd w:val="clear" w:color="auto" w:fill="auto"/>
            <w:vAlign w:val="center"/>
          </w:tcPr>
          <w:p w:rsidR="00D3052E" w:rsidRDefault="00D3052E">
            <w:pPr>
              <w:spacing w:beforeLines="20" w:before="48" w:afterLines="20" w:after="48"/>
              <w:jc w:val="center"/>
              <w:rPr>
                <w:noProof/>
                <w:sz w:val="20"/>
              </w:rPr>
            </w:pPr>
          </w:p>
        </w:tc>
        <w:tc>
          <w:tcPr>
            <w:tcW w:w="392" w:type="pct"/>
            <w:vAlign w:val="center"/>
          </w:tcPr>
          <w:p w:rsidR="00D3052E" w:rsidRDefault="00D3052E">
            <w:pPr>
              <w:spacing w:beforeLines="20" w:before="48" w:afterLines="20" w:after="48"/>
              <w:jc w:val="center"/>
              <w:rPr>
                <w:noProof/>
                <w:sz w:val="20"/>
              </w:rPr>
            </w:pPr>
          </w:p>
        </w:tc>
        <w:tc>
          <w:tcPr>
            <w:tcW w:w="392" w:type="pct"/>
            <w:shd w:val="clear" w:color="auto" w:fill="auto"/>
            <w:vAlign w:val="center"/>
          </w:tcPr>
          <w:p w:rsidR="00D3052E" w:rsidRDefault="00D3052E">
            <w:pPr>
              <w:spacing w:beforeLines="20" w:before="48" w:afterLines="20" w:after="48"/>
              <w:jc w:val="center"/>
              <w:rPr>
                <w:noProof/>
                <w:sz w:val="20"/>
              </w:rPr>
            </w:pPr>
          </w:p>
        </w:tc>
        <w:tc>
          <w:tcPr>
            <w:tcW w:w="397" w:type="pct"/>
            <w:gridSpan w:val="2"/>
            <w:shd w:val="clear" w:color="auto" w:fill="auto"/>
            <w:vAlign w:val="center"/>
          </w:tcPr>
          <w:p w:rsidR="00D3052E" w:rsidRDefault="00D3052E">
            <w:pPr>
              <w:spacing w:beforeLines="20" w:before="48" w:afterLines="20" w:after="48"/>
              <w:jc w:val="center"/>
              <w:rPr>
                <w:noProof/>
                <w:sz w:val="20"/>
              </w:rPr>
            </w:pPr>
          </w:p>
        </w:tc>
        <w:tc>
          <w:tcPr>
            <w:tcW w:w="396" w:type="pct"/>
            <w:shd w:val="clear" w:color="auto" w:fill="auto"/>
            <w:vAlign w:val="center"/>
          </w:tcPr>
          <w:p w:rsidR="00D3052E" w:rsidRDefault="00D3052E">
            <w:pPr>
              <w:spacing w:beforeLines="20" w:before="48" w:afterLines="20" w:after="48"/>
              <w:jc w:val="center"/>
              <w:rPr>
                <w:noProof/>
                <w:sz w:val="20"/>
              </w:rPr>
            </w:pPr>
          </w:p>
        </w:tc>
        <w:tc>
          <w:tcPr>
            <w:tcW w:w="389" w:type="pct"/>
            <w:shd w:val="clear" w:color="auto" w:fill="auto"/>
            <w:vAlign w:val="center"/>
          </w:tcPr>
          <w:p w:rsidR="00D3052E" w:rsidRDefault="00D3052E">
            <w:pPr>
              <w:spacing w:beforeLines="20" w:before="48" w:afterLines="20" w:after="48"/>
              <w:jc w:val="center"/>
              <w:rPr>
                <w:noProof/>
                <w:sz w:val="20"/>
              </w:rPr>
            </w:pPr>
          </w:p>
        </w:tc>
      </w:tr>
      <w:tr w:rsidR="00D3052E">
        <w:trPr>
          <w:trHeight w:val="289"/>
          <w:jc w:val="center"/>
        </w:trPr>
        <w:tc>
          <w:tcPr>
            <w:tcW w:w="1858" w:type="pct"/>
            <w:gridSpan w:val="2"/>
            <w:shd w:val="clear" w:color="auto" w:fill="auto"/>
            <w:vAlign w:val="center"/>
          </w:tcPr>
          <w:p w:rsidR="00D3052E" w:rsidRDefault="00635D2F">
            <w:pPr>
              <w:pStyle w:val="Text1"/>
              <w:spacing w:beforeLines="20" w:before="48" w:afterLines="20" w:after="48"/>
              <w:ind w:left="986"/>
              <w:jc w:val="left"/>
              <w:rPr>
                <w:b/>
                <w:noProof/>
                <w:sz w:val="20"/>
              </w:rPr>
            </w:pPr>
            <w:r>
              <w:rPr>
                <w:noProof/>
                <w:sz w:val="20"/>
              </w:rPr>
              <w:t>XX 01 02 01 (CA, SNE, INT z globalnej koperty finansowej)</w:t>
            </w:r>
          </w:p>
        </w:tc>
        <w:tc>
          <w:tcPr>
            <w:tcW w:w="392" w:type="pct"/>
            <w:shd w:val="clear" w:color="auto" w:fill="auto"/>
            <w:vAlign w:val="center"/>
          </w:tcPr>
          <w:p w:rsidR="00D3052E" w:rsidRDefault="00D3052E">
            <w:pPr>
              <w:spacing w:beforeLines="20" w:before="48" w:afterLines="20" w:after="48"/>
              <w:jc w:val="center"/>
              <w:rPr>
                <w:noProof/>
                <w:sz w:val="20"/>
              </w:rPr>
            </w:pPr>
          </w:p>
        </w:tc>
        <w:tc>
          <w:tcPr>
            <w:tcW w:w="392" w:type="pct"/>
            <w:shd w:val="clear" w:color="auto" w:fill="auto"/>
            <w:vAlign w:val="center"/>
          </w:tcPr>
          <w:p w:rsidR="00D3052E" w:rsidRDefault="00D3052E">
            <w:pPr>
              <w:spacing w:beforeLines="20" w:before="48" w:afterLines="20" w:after="48"/>
              <w:jc w:val="center"/>
              <w:rPr>
                <w:noProof/>
                <w:sz w:val="20"/>
              </w:rPr>
            </w:pPr>
          </w:p>
        </w:tc>
        <w:tc>
          <w:tcPr>
            <w:tcW w:w="392" w:type="pct"/>
            <w:shd w:val="clear" w:color="auto" w:fill="auto"/>
            <w:vAlign w:val="center"/>
          </w:tcPr>
          <w:p w:rsidR="00D3052E" w:rsidRDefault="00D3052E">
            <w:pPr>
              <w:spacing w:beforeLines="20" w:before="48" w:afterLines="20" w:after="48"/>
              <w:jc w:val="center"/>
              <w:rPr>
                <w:noProof/>
                <w:sz w:val="20"/>
              </w:rPr>
            </w:pPr>
          </w:p>
        </w:tc>
        <w:tc>
          <w:tcPr>
            <w:tcW w:w="392" w:type="pct"/>
            <w:vAlign w:val="center"/>
          </w:tcPr>
          <w:p w:rsidR="00D3052E" w:rsidRDefault="00D3052E">
            <w:pPr>
              <w:spacing w:beforeLines="20" w:before="48" w:afterLines="20" w:after="48"/>
              <w:jc w:val="center"/>
              <w:rPr>
                <w:noProof/>
                <w:sz w:val="20"/>
              </w:rPr>
            </w:pPr>
          </w:p>
        </w:tc>
        <w:tc>
          <w:tcPr>
            <w:tcW w:w="392" w:type="pct"/>
            <w:shd w:val="clear" w:color="auto" w:fill="auto"/>
            <w:vAlign w:val="center"/>
          </w:tcPr>
          <w:p w:rsidR="00D3052E" w:rsidRDefault="00D3052E">
            <w:pPr>
              <w:spacing w:beforeLines="20" w:before="48" w:afterLines="20" w:after="48"/>
              <w:jc w:val="center"/>
              <w:rPr>
                <w:noProof/>
                <w:sz w:val="20"/>
              </w:rPr>
            </w:pPr>
          </w:p>
        </w:tc>
        <w:tc>
          <w:tcPr>
            <w:tcW w:w="397" w:type="pct"/>
            <w:gridSpan w:val="2"/>
            <w:shd w:val="clear" w:color="auto" w:fill="auto"/>
            <w:vAlign w:val="center"/>
          </w:tcPr>
          <w:p w:rsidR="00D3052E" w:rsidRDefault="00D3052E">
            <w:pPr>
              <w:spacing w:beforeLines="20" w:before="48" w:afterLines="20" w:after="48"/>
              <w:jc w:val="center"/>
              <w:rPr>
                <w:noProof/>
                <w:sz w:val="20"/>
              </w:rPr>
            </w:pPr>
          </w:p>
        </w:tc>
        <w:tc>
          <w:tcPr>
            <w:tcW w:w="396" w:type="pct"/>
            <w:shd w:val="clear" w:color="auto" w:fill="auto"/>
            <w:vAlign w:val="center"/>
          </w:tcPr>
          <w:p w:rsidR="00D3052E" w:rsidRDefault="00D3052E">
            <w:pPr>
              <w:spacing w:beforeLines="20" w:before="48" w:afterLines="20" w:after="48"/>
              <w:jc w:val="center"/>
              <w:rPr>
                <w:noProof/>
                <w:sz w:val="20"/>
              </w:rPr>
            </w:pPr>
          </w:p>
        </w:tc>
        <w:tc>
          <w:tcPr>
            <w:tcW w:w="389" w:type="pct"/>
            <w:shd w:val="clear" w:color="auto" w:fill="auto"/>
            <w:vAlign w:val="center"/>
          </w:tcPr>
          <w:p w:rsidR="00D3052E" w:rsidRDefault="00D3052E">
            <w:pPr>
              <w:spacing w:beforeLines="20" w:before="48" w:afterLines="20" w:after="48"/>
              <w:jc w:val="center"/>
              <w:rPr>
                <w:noProof/>
                <w:sz w:val="20"/>
              </w:rPr>
            </w:pPr>
          </w:p>
        </w:tc>
      </w:tr>
      <w:tr w:rsidR="00D3052E">
        <w:trPr>
          <w:trHeight w:val="289"/>
          <w:jc w:val="center"/>
        </w:trPr>
        <w:tc>
          <w:tcPr>
            <w:tcW w:w="1858" w:type="pct"/>
            <w:gridSpan w:val="2"/>
            <w:shd w:val="clear" w:color="auto" w:fill="auto"/>
            <w:vAlign w:val="center"/>
          </w:tcPr>
          <w:p w:rsidR="00D3052E" w:rsidRDefault="00635D2F">
            <w:pPr>
              <w:pStyle w:val="Text1"/>
              <w:spacing w:beforeLines="20" w:before="48" w:afterLines="20" w:after="48"/>
              <w:ind w:left="986"/>
              <w:jc w:val="left"/>
              <w:rPr>
                <w:noProof/>
                <w:sz w:val="20"/>
              </w:rPr>
            </w:pPr>
            <w:r>
              <w:rPr>
                <w:noProof/>
                <w:sz w:val="20"/>
              </w:rPr>
              <w:t>XX 01 02 02 (AC, AL, END, INT and JPD w delegaturach)</w:t>
            </w:r>
          </w:p>
        </w:tc>
        <w:tc>
          <w:tcPr>
            <w:tcW w:w="392" w:type="pct"/>
            <w:shd w:val="clear" w:color="auto" w:fill="auto"/>
            <w:vAlign w:val="center"/>
          </w:tcPr>
          <w:p w:rsidR="00D3052E" w:rsidRDefault="00D3052E">
            <w:pPr>
              <w:spacing w:beforeLines="20" w:before="48" w:afterLines="20" w:after="48"/>
              <w:jc w:val="center"/>
              <w:rPr>
                <w:noProof/>
                <w:sz w:val="20"/>
              </w:rPr>
            </w:pPr>
          </w:p>
        </w:tc>
        <w:tc>
          <w:tcPr>
            <w:tcW w:w="392" w:type="pct"/>
            <w:shd w:val="clear" w:color="auto" w:fill="auto"/>
            <w:vAlign w:val="center"/>
          </w:tcPr>
          <w:p w:rsidR="00D3052E" w:rsidRDefault="00D3052E">
            <w:pPr>
              <w:spacing w:beforeLines="20" w:before="48" w:afterLines="20" w:after="48"/>
              <w:jc w:val="center"/>
              <w:rPr>
                <w:noProof/>
                <w:sz w:val="20"/>
              </w:rPr>
            </w:pPr>
          </w:p>
        </w:tc>
        <w:tc>
          <w:tcPr>
            <w:tcW w:w="392" w:type="pct"/>
            <w:shd w:val="clear" w:color="auto" w:fill="auto"/>
            <w:vAlign w:val="center"/>
          </w:tcPr>
          <w:p w:rsidR="00D3052E" w:rsidRDefault="00D3052E">
            <w:pPr>
              <w:spacing w:beforeLines="20" w:before="48" w:afterLines="20" w:after="48"/>
              <w:jc w:val="center"/>
              <w:rPr>
                <w:noProof/>
                <w:sz w:val="20"/>
              </w:rPr>
            </w:pPr>
          </w:p>
        </w:tc>
        <w:tc>
          <w:tcPr>
            <w:tcW w:w="392" w:type="pct"/>
            <w:vAlign w:val="center"/>
          </w:tcPr>
          <w:p w:rsidR="00D3052E" w:rsidRDefault="00D3052E">
            <w:pPr>
              <w:spacing w:beforeLines="20" w:before="48" w:afterLines="20" w:after="48"/>
              <w:jc w:val="center"/>
              <w:rPr>
                <w:noProof/>
                <w:sz w:val="20"/>
              </w:rPr>
            </w:pPr>
          </w:p>
        </w:tc>
        <w:tc>
          <w:tcPr>
            <w:tcW w:w="392" w:type="pct"/>
            <w:shd w:val="clear" w:color="auto" w:fill="auto"/>
            <w:vAlign w:val="center"/>
          </w:tcPr>
          <w:p w:rsidR="00D3052E" w:rsidRDefault="00D3052E">
            <w:pPr>
              <w:spacing w:beforeLines="20" w:before="48" w:afterLines="20" w:after="48"/>
              <w:jc w:val="center"/>
              <w:rPr>
                <w:noProof/>
                <w:sz w:val="20"/>
              </w:rPr>
            </w:pPr>
          </w:p>
        </w:tc>
        <w:tc>
          <w:tcPr>
            <w:tcW w:w="397" w:type="pct"/>
            <w:gridSpan w:val="2"/>
            <w:shd w:val="clear" w:color="auto" w:fill="auto"/>
            <w:vAlign w:val="center"/>
          </w:tcPr>
          <w:p w:rsidR="00D3052E" w:rsidRDefault="00D3052E">
            <w:pPr>
              <w:spacing w:beforeLines="20" w:before="48" w:afterLines="20" w:after="48"/>
              <w:jc w:val="center"/>
              <w:rPr>
                <w:noProof/>
                <w:sz w:val="20"/>
              </w:rPr>
            </w:pPr>
          </w:p>
        </w:tc>
        <w:tc>
          <w:tcPr>
            <w:tcW w:w="396" w:type="pct"/>
            <w:shd w:val="clear" w:color="auto" w:fill="auto"/>
            <w:vAlign w:val="center"/>
          </w:tcPr>
          <w:p w:rsidR="00D3052E" w:rsidRDefault="00D3052E">
            <w:pPr>
              <w:spacing w:beforeLines="20" w:before="48" w:afterLines="20" w:after="48"/>
              <w:jc w:val="center"/>
              <w:rPr>
                <w:noProof/>
                <w:sz w:val="20"/>
              </w:rPr>
            </w:pPr>
          </w:p>
        </w:tc>
        <w:tc>
          <w:tcPr>
            <w:tcW w:w="389" w:type="pct"/>
            <w:shd w:val="clear" w:color="auto" w:fill="auto"/>
            <w:vAlign w:val="center"/>
          </w:tcPr>
          <w:p w:rsidR="00D3052E" w:rsidRDefault="00D3052E">
            <w:pPr>
              <w:spacing w:beforeLines="20" w:before="48" w:afterLines="20" w:after="48"/>
              <w:jc w:val="center"/>
              <w:rPr>
                <w:noProof/>
                <w:sz w:val="20"/>
              </w:rPr>
            </w:pPr>
          </w:p>
        </w:tc>
      </w:tr>
      <w:tr w:rsidR="00D3052E">
        <w:trPr>
          <w:trHeight w:val="289"/>
          <w:jc w:val="center"/>
        </w:trPr>
        <w:tc>
          <w:tcPr>
            <w:tcW w:w="924" w:type="pct"/>
            <w:vMerge w:val="restart"/>
            <w:shd w:val="clear" w:color="auto" w:fill="auto"/>
            <w:vAlign w:val="center"/>
          </w:tcPr>
          <w:p w:rsidR="00D3052E" w:rsidRDefault="00635D2F">
            <w:pPr>
              <w:pStyle w:val="Text1"/>
              <w:spacing w:beforeLines="20" w:before="48" w:afterLines="20" w:after="48"/>
              <w:ind w:left="986"/>
              <w:jc w:val="left"/>
              <w:rPr>
                <w:b/>
                <w:noProof/>
                <w:sz w:val="20"/>
              </w:rPr>
            </w:pPr>
            <w:r>
              <w:rPr>
                <w:b/>
                <w:noProof/>
                <w:sz w:val="20"/>
              </w:rPr>
              <w:t>XX</w:t>
            </w:r>
            <w:r>
              <w:rPr>
                <w:noProof/>
                <w:sz w:val="20"/>
              </w:rPr>
              <w:t xml:space="preserve"> 01 04 </w:t>
            </w:r>
            <w:r>
              <w:rPr>
                <w:b/>
                <w:noProof/>
                <w:sz w:val="20"/>
              </w:rPr>
              <w:t>yy</w:t>
            </w:r>
            <w:r>
              <w:rPr>
                <w:rStyle w:val="Odwoanieprzypisudolnego"/>
                <w:b/>
                <w:noProof/>
                <w:sz w:val="20"/>
              </w:rPr>
              <w:footnoteReference w:id="47"/>
            </w:r>
          </w:p>
        </w:tc>
        <w:tc>
          <w:tcPr>
            <w:tcW w:w="934" w:type="pct"/>
            <w:shd w:val="clear" w:color="auto" w:fill="auto"/>
            <w:vAlign w:val="center"/>
          </w:tcPr>
          <w:p w:rsidR="00D3052E" w:rsidRDefault="00635D2F">
            <w:pPr>
              <w:pStyle w:val="Text1"/>
              <w:spacing w:beforeLines="20" w:before="48" w:afterLines="20" w:after="48"/>
              <w:ind w:left="598"/>
              <w:jc w:val="left"/>
              <w:rPr>
                <w:b/>
                <w:noProof/>
                <w:sz w:val="20"/>
              </w:rPr>
            </w:pPr>
            <w:r>
              <w:rPr>
                <w:noProof/>
                <w:sz w:val="20"/>
              </w:rPr>
              <w:t>- w centrali</w:t>
            </w:r>
            <w:r>
              <w:rPr>
                <w:rStyle w:val="Odwoanieprzypisudolnego"/>
                <w:noProof/>
                <w:sz w:val="20"/>
              </w:rPr>
              <w:footnoteReference w:id="48"/>
            </w:r>
            <w:r>
              <w:rPr>
                <w:noProof/>
              </w:rPr>
              <w:t xml:space="preserve"> </w:t>
            </w:r>
            <w:r>
              <w:rPr>
                <w:noProof/>
              </w:rPr>
              <w:br/>
            </w:r>
          </w:p>
        </w:tc>
        <w:tc>
          <w:tcPr>
            <w:tcW w:w="392" w:type="pct"/>
            <w:shd w:val="clear" w:color="auto" w:fill="auto"/>
            <w:vAlign w:val="center"/>
          </w:tcPr>
          <w:p w:rsidR="00D3052E" w:rsidRDefault="00D3052E">
            <w:pPr>
              <w:pStyle w:val="Text1"/>
              <w:spacing w:beforeLines="20" w:before="48" w:afterLines="20" w:after="48"/>
              <w:rPr>
                <w:noProof/>
                <w:sz w:val="20"/>
              </w:rPr>
            </w:pPr>
          </w:p>
        </w:tc>
        <w:tc>
          <w:tcPr>
            <w:tcW w:w="392" w:type="pct"/>
            <w:shd w:val="clear" w:color="auto" w:fill="auto"/>
            <w:vAlign w:val="center"/>
          </w:tcPr>
          <w:p w:rsidR="00D3052E" w:rsidRDefault="00D3052E">
            <w:pPr>
              <w:spacing w:beforeLines="20" w:before="48" w:afterLines="20" w:after="48"/>
              <w:jc w:val="center"/>
              <w:rPr>
                <w:noProof/>
                <w:sz w:val="20"/>
              </w:rPr>
            </w:pPr>
          </w:p>
        </w:tc>
        <w:tc>
          <w:tcPr>
            <w:tcW w:w="392" w:type="pct"/>
            <w:shd w:val="clear" w:color="auto" w:fill="auto"/>
            <w:vAlign w:val="center"/>
          </w:tcPr>
          <w:p w:rsidR="00D3052E" w:rsidRDefault="00D3052E">
            <w:pPr>
              <w:spacing w:beforeLines="20" w:before="48" w:afterLines="20" w:after="48"/>
              <w:jc w:val="center"/>
              <w:rPr>
                <w:noProof/>
                <w:sz w:val="20"/>
              </w:rPr>
            </w:pPr>
          </w:p>
        </w:tc>
        <w:tc>
          <w:tcPr>
            <w:tcW w:w="392" w:type="pct"/>
            <w:vAlign w:val="center"/>
          </w:tcPr>
          <w:p w:rsidR="00D3052E" w:rsidRDefault="00D3052E">
            <w:pPr>
              <w:spacing w:beforeLines="20" w:before="48" w:afterLines="20" w:after="48"/>
              <w:jc w:val="center"/>
              <w:rPr>
                <w:noProof/>
                <w:sz w:val="20"/>
              </w:rPr>
            </w:pPr>
          </w:p>
        </w:tc>
        <w:tc>
          <w:tcPr>
            <w:tcW w:w="392" w:type="pct"/>
            <w:shd w:val="clear" w:color="auto" w:fill="auto"/>
            <w:vAlign w:val="center"/>
          </w:tcPr>
          <w:p w:rsidR="00D3052E" w:rsidRDefault="00D3052E">
            <w:pPr>
              <w:spacing w:beforeLines="20" w:before="48" w:afterLines="20" w:after="48"/>
              <w:jc w:val="center"/>
              <w:rPr>
                <w:noProof/>
                <w:sz w:val="20"/>
              </w:rPr>
            </w:pPr>
          </w:p>
        </w:tc>
        <w:tc>
          <w:tcPr>
            <w:tcW w:w="397" w:type="pct"/>
            <w:gridSpan w:val="2"/>
            <w:shd w:val="clear" w:color="auto" w:fill="auto"/>
            <w:vAlign w:val="center"/>
          </w:tcPr>
          <w:p w:rsidR="00D3052E" w:rsidRDefault="00D3052E">
            <w:pPr>
              <w:spacing w:beforeLines="20" w:before="48" w:afterLines="20" w:after="48"/>
              <w:jc w:val="center"/>
              <w:rPr>
                <w:noProof/>
                <w:sz w:val="20"/>
              </w:rPr>
            </w:pPr>
          </w:p>
        </w:tc>
        <w:tc>
          <w:tcPr>
            <w:tcW w:w="396" w:type="pct"/>
            <w:shd w:val="clear" w:color="auto" w:fill="auto"/>
            <w:vAlign w:val="center"/>
          </w:tcPr>
          <w:p w:rsidR="00D3052E" w:rsidRDefault="00D3052E">
            <w:pPr>
              <w:spacing w:beforeLines="20" w:before="48" w:afterLines="20" w:after="48"/>
              <w:jc w:val="center"/>
              <w:rPr>
                <w:noProof/>
                <w:sz w:val="20"/>
              </w:rPr>
            </w:pPr>
          </w:p>
        </w:tc>
        <w:tc>
          <w:tcPr>
            <w:tcW w:w="389" w:type="pct"/>
            <w:shd w:val="clear" w:color="auto" w:fill="auto"/>
            <w:vAlign w:val="center"/>
          </w:tcPr>
          <w:p w:rsidR="00D3052E" w:rsidRDefault="00D3052E">
            <w:pPr>
              <w:spacing w:beforeLines="20" w:before="48" w:afterLines="20" w:after="48"/>
              <w:jc w:val="center"/>
              <w:rPr>
                <w:noProof/>
                <w:sz w:val="20"/>
              </w:rPr>
            </w:pPr>
          </w:p>
        </w:tc>
      </w:tr>
      <w:tr w:rsidR="00D3052E">
        <w:trPr>
          <w:trHeight w:val="289"/>
          <w:jc w:val="center"/>
        </w:trPr>
        <w:tc>
          <w:tcPr>
            <w:tcW w:w="924" w:type="pct"/>
            <w:vMerge/>
            <w:shd w:val="clear" w:color="auto" w:fill="auto"/>
            <w:vAlign w:val="center"/>
          </w:tcPr>
          <w:p w:rsidR="00D3052E" w:rsidRDefault="00D3052E">
            <w:pPr>
              <w:rPr>
                <w:b/>
                <w:noProof/>
                <w:sz w:val="20"/>
              </w:rPr>
            </w:pPr>
          </w:p>
        </w:tc>
        <w:tc>
          <w:tcPr>
            <w:tcW w:w="934" w:type="pct"/>
            <w:shd w:val="clear" w:color="auto" w:fill="auto"/>
            <w:vAlign w:val="center"/>
          </w:tcPr>
          <w:p w:rsidR="00D3052E" w:rsidRDefault="00635D2F">
            <w:pPr>
              <w:pStyle w:val="Text1"/>
              <w:spacing w:beforeLines="20" w:before="48" w:afterLines="20" w:after="48"/>
              <w:ind w:left="598"/>
              <w:jc w:val="left"/>
              <w:rPr>
                <w:b/>
                <w:noProof/>
                <w:sz w:val="20"/>
              </w:rPr>
            </w:pPr>
            <w:r>
              <w:rPr>
                <w:noProof/>
                <w:sz w:val="20"/>
              </w:rPr>
              <w:t xml:space="preserve">- w delegaturach </w:t>
            </w:r>
          </w:p>
        </w:tc>
        <w:tc>
          <w:tcPr>
            <w:tcW w:w="392" w:type="pct"/>
            <w:shd w:val="clear" w:color="auto" w:fill="auto"/>
            <w:vAlign w:val="center"/>
          </w:tcPr>
          <w:p w:rsidR="00D3052E" w:rsidRDefault="00D3052E">
            <w:pPr>
              <w:pStyle w:val="Text1"/>
              <w:spacing w:beforeLines="20" w:before="48" w:afterLines="20" w:after="48"/>
              <w:rPr>
                <w:noProof/>
                <w:sz w:val="20"/>
              </w:rPr>
            </w:pPr>
          </w:p>
        </w:tc>
        <w:tc>
          <w:tcPr>
            <w:tcW w:w="392" w:type="pct"/>
            <w:shd w:val="clear" w:color="auto" w:fill="auto"/>
            <w:vAlign w:val="center"/>
          </w:tcPr>
          <w:p w:rsidR="00D3052E" w:rsidRDefault="00D3052E">
            <w:pPr>
              <w:spacing w:beforeLines="20" w:before="48" w:afterLines="20" w:after="48"/>
              <w:jc w:val="center"/>
              <w:rPr>
                <w:noProof/>
                <w:sz w:val="20"/>
              </w:rPr>
            </w:pPr>
          </w:p>
        </w:tc>
        <w:tc>
          <w:tcPr>
            <w:tcW w:w="392" w:type="pct"/>
            <w:shd w:val="clear" w:color="auto" w:fill="auto"/>
            <w:vAlign w:val="center"/>
          </w:tcPr>
          <w:p w:rsidR="00D3052E" w:rsidRDefault="00D3052E">
            <w:pPr>
              <w:spacing w:beforeLines="20" w:before="48" w:afterLines="20" w:after="48"/>
              <w:jc w:val="center"/>
              <w:rPr>
                <w:noProof/>
                <w:sz w:val="20"/>
              </w:rPr>
            </w:pPr>
          </w:p>
        </w:tc>
        <w:tc>
          <w:tcPr>
            <w:tcW w:w="392" w:type="pct"/>
            <w:vAlign w:val="center"/>
          </w:tcPr>
          <w:p w:rsidR="00D3052E" w:rsidRDefault="00D3052E">
            <w:pPr>
              <w:spacing w:beforeLines="20" w:before="48" w:afterLines="20" w:after="48"/>
              <w:jc w:val="center"/>
              <w:rPr>
                <w:noProof/>
                <w:sz w:val="20"/>
              </w:rPr>
            </w:pPr>
          </w:p>
        </w:tc>
        <w:tc>
          <w:tcPr>
            <w:tcW w:w="392" w:type="pct"/>
            <w:shd w:val="clear" w:color="auto" w:fill="auto"/>
            <w:vAlign w:val="center"/>
          </w:tcPr>
          <w:p w:rsidR="00D3052E" w:rsidRDefault="00D3052E">
            <w:pPr>
              <w:spacing w:beforeLines="20" w:before="48" w:afterLines="20" w:after="48"/>
              <w:jc w:val="center"/>
              <w:rPr>
                <w:noProof/>
                <w:sz w:val="20"/>
              </w:rPr>
            </w:pPr>
          </w:p>
        </w:tc>
        <w:tc>
          <w:tcPr>
            <w:tcW w:w="397" w:type="pct"/>
            <w:gridSpan w:val="2"/>
            <w:shd w:val="clear" w:color="auto" w:fill="auto"/>
            <w:vAlign w:val="center"/>
          </w:tcPr>
          <w:p w:rsidR="00D3052E" w:rsidRDefault="00D3052E">
            <w:pPr>
              <w:spacing w:beforeLines="20" w:before="48" w:afterLines="20" w:after="48"/>
              <w:jc w:val="center"/>
              <w:rPr>
                <w:noProof/>
                <w:sz w:val="20"/>
              </w:rPr>
            </w:pPr>
          </w:p>
        </w:tc>
        <w:tc>
          <w:tcPr>
            <w:tcW w:w="396" w:type="pct"/>
            <w:shd w:val="clear" w:color="auto" w:fill="auto"/>
            <w:vAlign w:val="center"/>
          </w:tcPr>
          <w:p w:rsidR="00D3052E" w:rsidRDefault="00D3052E">
            <w:pPr>
              <w:spacing w:beforeLines="20" w:before="48" w:afterLines="20" w:after="48"/>
              <w:jc w:val="center"/>
              <w:rPr>
                <w:noProof/>
                <w:sz w:val="20"/>
              </w:rPr>
            </w:pPr>
          </w:p>
        </w:tc>
        <w:tc>
          <w:tcPr>
            <w:tcW w:w="389" w:type="pct"/>
            <w:shd w:val="clear" w:color="auto" w:fill="auto"/>
            <w:vAlign w:val="center"/>
          </w:tcPr>
          <w:p w:rsidR="00D3052E" w:rsidRDefault="00D3052E">
            <w:pPr>
              <w:spacing w:beforeLines="20" w:before="48" w:afterLines="20" w:after="48"/>
              <w:jc w:val="center"/>
              <w:rPr>
                <w:noProof/>
                <w:sz w:val="20"/>
              </w:rPr>
            </w:pPr>
          </w:p>
        </w:tc>
      </w:tr>
      <w:tr w:rsidR="00D3052E">
        <w:trPr>
          <w:trHeight w:val="289"/>
          <w:jc w:val="center"/>
        </w:trPr>
        <w:tc>
          <w:tcPr>
            <w:tcW w:w="1858" w:type="pct"/>
            <w:gridSpan w:val="2"/>
            <w:shd w:val="clear" w:color="auto" w:fill="auto"/>
            <w:vAlign w:val="center"/>
          </w:tcPr>
          <w:p w:rsidR="00D3052E" w:rsidRDefault="00635D2F">
            <w:pPr>
              <w:pStyle w:val="Text1"/>
              <w:spacing w:beforeLines="20" w:before="48" w:afterLines="20" w:after="48"/>
              <w:ind w:left="986"/>
              <w:jc w:val="left"/>
              <w:rPr>
                <w:noProof/>
                <w:sz w:val="20"/>
              </w:rPr>
            </w:pPr>
            <w:r>
              <w:rPr>
                <w:b/>
                <w:noProof/>
                <w:sz w:val="20"/>
              </w:rPr>
              <w:t>XX</w:t>
            </w:r>
            <w:r>
              <w:rPr>
                <w:noProof/>
                <w:sz w:val="20"/>
              </w:rPr>
              <w:t xml:space="preserve"> 01 05 02 (CA, SNE, INT – pośrednie badania naukowe)</w:t>
            </w:r>
          </w:p>
        </w:tc>
        <w:tc>
          <w:tcPr>
            <w:tcW w:w="392" w:type="pct"/>
            <w:shd w:val="clear" w:color="auto" w:fill="auto"/>
            <w:vAlign w:val="center"/>
          </w:tcPr>
          <w:p w:rsidR="00D3052E" w:rsidRDefault="00D3052E">
            <w:pPr>
              <w:spacing w:beforeLines="20" w:before="48" w:afterLines="20" w:after="48"/>
              <w:jc w:val="center"/>
              <w:rPr>
                <w:noProof/>
                <w:sz w:val="20"/>
              </w:rPr>
            </w:pPr>
          </w:p>
        </w:tc>
        <w:tc>
          <w:tcPr>
            <w:tcW w:w="392" w:type="pct"/>
            <w:shd w:val="clear" w:color="auto" w:fill="auto"/>
            <w:vAlign w:val="center"/>
          </w:tcPr>
          <w:p w:rsidR="00D3052E" w:rsidRDefault="00D3052E">
            <w:pPr>
              <w:spacing w:beforeLines="20" w:before="48" w:afterLines="20" w:after="48"/>
              <w:jc w:val="center"/>
              <w:rPr>
                <w:noProof/>
                <w:sz w:val="20"/>
              </w:rPr>
            </w:pPr>
          </w:p>
        </w:tc>
        <w:tc>
          <w:tcPr>
            <w:tcW w:w="392" w:type="pct"/>
            <w:shd w:val="clear" w:color="auto" w:fill="auto"/>
            <w:vAlign w:val="center"/>
          </w:tcPr>
          <w:p w:rsidR="00D3052E" w:rsidRDefault="00D3052E">
            <w:pPr>
              <w:spacing w:beforeLines="20" w:before="48" w:afterLines="20" w:after="48"/>
              <w:jc w:val="center"/>
              <w:rPr>
                <w:noProof/>
                <w:sz w:val="20"/>
              </w:rPr>
            </w:pPr>
          </w:p>
        </w:tc>
        <w:tc>
          <w:tcPr>
            <w:tcW w:w="392" w:type="pct"/>
            <w:vAlign w:val="center"/>
          </w:tcPr>
          <w:p w:rsidR="00D3052E" w:rsidRDefault="00D3052E">
            <w:pPr>
              <w:spacing w:beforeLines="20" w:before="48" w:afterLines="20" w:after="48"/>
              <w:jc w:val="center"/>
              <w:rPr>
                <w:noProof/>
                <w:sz w:val="20"/>
              </w:rPr>
            </w:pPr>
          </w:p>
        </w:tc>
        <w:tc>
          <w:tcPr>
            <w:tcW w:w="392" w:type="pct"/>
            <w:shd w:val="clear" w:color="auto" w:fill="auto"/>
            <w:vAlign w:val="center"/>
          </w:tcPr>
          <w:p w:rsidR="00D3052E" w:rsidRDefault="00D3052E">
            <w:pPr>
              <w:spacing w:beforeLines="20" w:before="48" w:afterLines="20" w:after="48"/>
              <w:jc w:val="center"/>
              <w:rPr>
                <w:noProof/>
                <w:sz w:val="20"/>
              </w:rPr>
            </w:pPr>
          </w:p>
        </w:tc>
        <w:tc>
          <w:tcPr>
            <w:tcW w:w="397" w:type="pct"/>
            <w:gridSpan w:val="2"/>
            <w:shd w:val="clear" w:color="auto" w:fill="auto"/>
            <w:vAlign w:val="center"/>
          </w:tcPr>
          <w:p w:rsidR="00D3052E" w:rsidRDefault="00D3052E">
            <w:pPr>
              <w:spacing w:beforeLines="20" w:before="48" w:afterLines="20" w:after="48"/>
              <w:jc w:val="center"/>
              <w:rPr>
                <w:noProof/>
                <w:sz w:val="20"/>
              </w:rPr>
            </w:pPr>
          </w:p>
        </w:tc>
        <w:tc>
          <w:tcPr>
            <w:tcW w:w="396" w:type="pct"/>
            <w:shd w:val="clear" w:color="auto" w:fill="auto"/>
            <w:vAlign w:val="center"/>
          </w:tcPr>
          <w:p w:rsidR="00D3052E" w:rsidRDefault="00D3052E">
            <w:pPr>
              <w:spacing w:beforeLines="20" w:before="48" w:afterLines="20" w:after="48"/>
              <w:jc w:val="center"/>
              <w:rPr>
                <w:noProof/>
                <w:sz w:val="20"/>
              </w:rPr>
            </w:pPr>
          </w:p>
        </w:tc>
        <w:tc>
          <w:tcPr>
            <w:tcW w:w="389" w:type="pct"/>
            <w:shd w:val="clear" w:color="auto" w:fill="auto"/>
            <w:vAlign w:val="center"/>
          </w:tcPr>
          <w:p w:rsidR="00D3052E" w:rsidRDefault="00D3052E">
            <w:pPr>
              <w:spacing w:beforeLines="20" w:before="48" w:afterLines="20" w:after="48"/>
              <w:jc w:val="center"/>
              <w:rPr>
                <w:noProof/>
                <w:sz w:val="20"/>
              </w:rPr>
            </w:pPr>
          </w:p>
        </w:tc>
      </w:tr>
      <w:tr w:rsidR="00D3052E">
        <w:trPr>
          <w:trHeight w:val="289"/>
          <w:jc w:val="center"/>
        </w:trPr>
        <w:tc>
          <w:tcPr>
            <w:tcW w:w="1858" w:type="pct"/>
            <w:gridSpan w:val="2"/>
            <w:shd w:val="clear" w:color="auto" w:fill="auto"/>
            <w:vAlign w:val="center"/>
          </w:tcPr>
          <w:p w:rsidR="00D3052E" w:rsidRDefault="00635D2F">
            <w:pPr>
              <w:pStyle w:val="Text1"/>
              <w:spacing w:beforeLines="20" w:before="48" w:afterLines="20" w:after="48"/>
              <w:ind w:left="986"/>
              <w:jc w:val="left"/>
              <w:rPr>
                <w:noProof/>
                <w:sz w:val="20"/>
              </w:rPr>
            </w:pPr>
            <w:r>
              <w:rPr>
                <w:noProof/>
                <w:sz w:val="20"/>
              </w:rPr>
              <w:t>10 01 05 02 (CA, SNE, INT – bezpośrednie badania naukowe)</w:t>
            </w:r>
          </w:p>
        </w:tc>
        <w:tc>
          <w:tcPr>
            <w:tcW w:w="392" w:type="pct"/>
            <w:shd w:val="clear" w:color="auto" w:fill="auto"/>
            <w:vAlign w:val="center"/>
          </w:tcPr>
          <w:p w:rsidR="00D3052E" w:rsidRDefault="00D3052E">
            <w:pPr>
              <w:spacing w:beforeLines="20" w:before="48" w:afterLines="20" w:after="48"/>
              <w:jc w:val="center"/>
              <w:rPr>
                <w:noProof/>
                <w:sz w:val="20"/>
              </w:rPr>
            </w:pPr>
          </w:p>
        </w:tc>
        <w:tc>
          <w:tcPr>
            <w:tcW w:w="392" w:type="pct"/>
            <w:shd w:val="clear" w:color="auto" w:fill="auto"/>
            <w:vAlign w:val="center"/>
          </w:tcPr>
          <w:p w:rsidR="00D3052E" w:rsidRDefault="00D3052E">
            <w:pPr>
              <w:spacing w:beforeLines="20" w:before="48" w:afterLines="20" w:after="48"/>
              <w:jc w:val="center"/>
              <w:rPr>
                <w:noProof/>
                <w:sz w:val="20"/>
              </w:rPr>
            </w:pPr>
          </w:p>
        </w:tc>
        <w:tc>
          <w:tcPr>
            <w:tcW w:w="392" w:type="pct"/>
            <w:shd w:val="clear" w:color="auto" w:fill="auto"/>
            <w:vAlign w:val="center"/>
          </w:tcPr>
          <w:p w:rsidR="00D3052E" w:rsidRDefault="00D3052E">
            <w:pPr>
              <w:spacing w:beforeLines="20" w:before="48" w:afterLines="20" w:after="48"/>
              <w:jc w:val="center"/>
              <w:rPr>
                <w:noProof/>
                <w:sz w:val="20"/>
              </w:rPr>
            </w:pPr>
          </w:p>
        </w:tc>
        <w:tc>
          <w:tcPr>
            <w:tcW w:w="392" w:type="pct"/>
            <w:vAlign w:val="center"/>
          </w:tcPr>
          <w:p w:rsidR="00D3052E" w:rsidRDefault="00D3052E">
            <w:pPr>
              <w:spacing w:beforeLines="20" w:before="48" w:afterLines="20" w:after="48"/>
              <w:jc w:val="center"/>
              <w:rPr>
                <w:noProof/>
                <w:sz w:val="20"/>
              </w:rPr>
            </w:pPr>
          </w:p>
        </w:tc>
        <w:tc>
          <w:tcPr>
            <w:tcW w:w="392" w:type="pct"/>
            <w:shd w:val="clear" w:color="auto" w:fill="auto"/>
            <w:vAlign w:val="center"/>
          </w:tcPr>
          <w:p w:rsidR="00D3052E" w:rsidRDefault="00D3052E">
            <w:pPr>
              <w:spacing w:beforeLines="20" w:before="48" w:afterLines="20" w:after="48"/>
              <w:jc w:val="center"/>
              <w:rPr>
                <w:noProof/>
                <w:sz w:val="20"/>
              </w:rPr>
            </w:pPr>
          </w:p>
        </w:tc>
        <w:tc>
          <w:tcPr>
            <w:tcW w:w="397" w:type="pct"/>
            <w:gridSpan w:val="2"/>
            <w:shd w:val="clear" w:color="auto" w:fill="auto"/>
            <w:vAlign w:val="center"/>
          </w:tcPr>
          <w:p w:rsidR="00D3052E" w:rsidRDefault="00D3052E">
            <w:pPr>
              <w:spacing w:beforeLines="20" w:before="48" w:afterLines="20" w:after="48"/>
              <w:jc w:val="center"/>
              <w:rPr>
                <w:noProof/>
                <w:sz w:val="20"/>
              </w:rPr>
            </w:pPr>
          </w:p>
        </w:tc>
        <w:tc>
          <w:tcPr>
            <w:tcW w:w="396" w:type="pct"/>
            <w:shd w:val="clear" w:color="auto" w:fill="auto"/>
            <w:vAlign w:val="center"/>
          </w:tcPr>
          <w:p w:rsidR="00D3052E" w:rsidRDefault="00D3052E">
            <w:pPr>
              <w:spacing w:beforeLines="20" w:before="48" w:afterLines="20" w:after="48"/>
              <w:jc w:val="center"/>
              <w:rPr>
                <w:noProof/>
                <w:sz w:val="20"/>
              </w:rPr>
            </w:pPr>
          </w:p>
        </w:tc>
        <w:tc>
          <w:tcPr>
            <w:tcW w:w="389" w:type="pct"/>
            <w:shd w:val="clear" w:color="auto" w:fill="auto"/>
            <w:vAlign w:val="center"/>
          </w:tcPr>
          <w:p w:rsidR="00D3052E" w:rsidRDefault="00D3052E">
            <w:pPr>
              <w:spacing w:beforeLines="20" w:before="48" w:afterLines="20" w:after="48"/>
              <w:jc w:val="center"/>
              <w:rPr>
                <w:noProof/>
                <w:sz w:val="20"/>
              </w:rPr>
            </w:pPr>
          </w:p>
        </w:tc>
      </w:tr>
      <w:tr w:rsidR="00D3052E">
        <w:trPr>
          <w:trHeight w:val="289"/>
          <w:jc w:val="center"/>
        </w:trPr>
        <w:tc>
          <w:tcPr>
            <w:tcW w:w="1858" w:type="pct"/>
            <w:gridSpan w:val="2"/>
            <w:tcBorders>
              <w:bottom w:val="double" w:sz="4" w:space="0" w:color="auto"/>
            </w:tcBorders>
            <w:shd w:val="clear" w:color="auto" w:fill="auto"/>
            <w:vAlign w:val="center"/>
          </w:tcPr>
          <w:p w:rsidR="00D3052E" w:rsidRDefault="00635D2F">
            <w:pPr>
              <w:pStyle w:val="Text1"/>
              <w:spacing w:beforeLines="20" w:before="48" w:afterLines="20" w:after="48"/>
              <w:ind w:left="984"/>
              <w:jc w:val="left"/>
              <w:rPr>
                <w:noProof/>
                <w:sz w:val="20"/>
              </w:rPr>
            </w:pPr>
            <w:r>
              <w:rPr>
                <w:noProof/>
                <w:sz w:val="20"/>
              </w:rPr>
              <w:t>Inna linia budżetowa (określić)</w:t>
            </w:r>
          </w:p>
        </w:tc>
        <w:tc>
          <w:tcPr>
            <w:tcW w:w="392" w:type="pct"/>
            <w:tcBorders>
              <w:bottom w:val="double" w:sz="4" w:space="0" w:color="auto"/>
            </w:tcBorders>
            <w:shd w:val="clear" w:color="auto" w:fill="auto"/>
            <w:vAlign w:val="center"/>
          </w:tcPr>
          <w:p w:rsidR="00D3052E" w:rsidRDefault="00D3052E">
            <w:pPr>
              <w:spacing w:beforeLines="20" w:before="48" w:afterLines="20" w:after="48"/>
              <w:jc w:val="center"/>
              <w:rPr>
                <w:noProof/>
                <w:sz w:val="20"/>
              </w:rPr>
            </w:pPr>
          </w:p>
        </w:tc>
        <w:tc>
          <w:tcPr>
            <w:tcW w:w="392" w:type="pct"/>
            <w:tcBorders>
              <w:bottom w:val="double" w:sz="4" w:space="0" w:color="auto"/>
            </w:tcBorders>
            <w:shd w:val="clear" w:color="auto" w:fill="auto"/>
            <w:vAlign w:val="center"/>
          </w:tcPr>
          <w:p w:rsidR="00D3052E" w:rsidRDefault="00D3052E">
            <w:pPr>
              <w:spacing w:beforeLines="20" w:before="48" w:afterLines="20" w:after="48"/>
              <w:jc w:val="center"/>
              <w:rPr>
                <w:noProof/>
                <w:sz w:val="20"/>
              </w:rPr>
            </w:pPr>
          </w:p>
        </w:tc>
        <w:tc>
          <w:tcPr>
            <w:tcW w:w="392" w:type="pct"/>
            <w:tcBorders>
              <w:bottom w:val="double" w:sz="4" w:space="0" w:color="auto"/>
            </w:tcBorders>
            <w:shd w:val="clear" w:color="auto" w:fill="auto"/>
            <w:vAlign w:val="center"/>
          </w:tcPr>
          <w:p w:rsidR="00D3052E" w:rsidRDefault="00D3052E">
            <w:pPr>
              <w:spacing w:beforeLines="20" w:before="48" w:afterLines="20" w:after="48"/>
              <w:jc w:val="center"/>
              <w:rPr>
                <w:noProof/>
                <w:sz w:val="20"/>
              </w:rPr>
            </w:pPr>
          </w:p>
        </w:tc>
        <w:tc>
          <w:tcPr>
            <w:tcW w:w="392" w:type="pct"/>
            <w:tcBorders>
              <w:bottom w:val="double" w:sz="4" w:space="0" w:color="auto"/>
            </w:tcBorders>
            <w:vAlign w:val="center"/>
          </w:tcPr>
          <w:p w:rsidR="00D3052E" w:rsidRDefault="00D3052E">
            <w:pPr>
              <w:spacing w:beforeLines="20" w:before="48" w:afterLines="20" w:after="48"/>
              <w:jc w:val="center"/>
              <w:rPr>
                <w:noProof/>
                <w:sz w:val="20"/>
              </w:rPr>
            </w:pPr>
          </w:p>
        </w:tc>
        <w:tc>
          <w:tcPr>
            <w:tcW w:w="392" w:type="pct"/>
            <w:tcBorders>
              <w:bottom w:val="double" w:sz="4" w:space="0" w:color="auto"/>
            </w:tcBorders>
            <w:shd w:val="clear" w:color="auto" w:fill="auto"/>
            <w:vAlign w:val="center"/>
          </w:tcPr>
          <w:p w:rsidR="00D3052E" w:rsidRDefault="00D3052E">
            <w:pPr>
              <w:spacing w:beforeLines="20" w:before="48" w:afterLines="20" w:after="48"/>
              <w:jc w:val="center"/>
              <w:rPr>
                <w:noProof/>
                <w:sz w:val="20"/>
              </w:rPr>
            </w:pPr>
          </w:p>
        </w:tc>
        <w:tc>
          <w:tcPr>
            <w:tcW w:w="397" w:type="pct"/>
            <w:gridSpan w:val="2"/>
            <w:tcBorders>
              <w:bottom w:val="double" w:sz="4" w:space="0" w:color="auto"/>
            </w:tcBorders>
            <w:shd w:val="clear" w:color="auto" w:fill="auto"/>
            <w:vAlign w:val="center"/>
          </w:tcPr>
          <w:p w:rsidR="00D3052E" w:rsidRDefault="00D3052E">
            <w:pPr>
              <w:spacing w:beforeLines="20" w:before="48" w:afterLines="20" w:after="48"/>
              <w:jc w:val="center"/>
              <w:rPr>
                <w:noProof/>
                <w:sz w:val="20"/>
              </w:rPr>
            </w:pPr>
          </w:p>
        </w:tc>
        <w:tc>
          <w:tcPr>
            <w:tcW w:w="396" w:type="pct"/>
            <w:tcBorders>
              <w:bottom w:val="double" w:sz="4" w:space="0" w:color="auto"/>
            </w:tcBorders>
            <w:shd w:val="clear" w:color="auto" w:fill="auto"/>
            <w:vAlign w:val="center"/>
          </w:tcPr>
          <w:p w:rsidR="00D3052E" w:rsidRDefault="00D3052E">
            <w:pPr>
              <w:spacing w:beforeLines="20" w:before="48" w:afterLines="20" w:after="48"/>
              <w:jc w:val="center"/>
              <w:rPr>
                <w:noProof/>
                <w:sz w:val="20"/>
              </w:rPr>
            </w:pPr>
          </w:p>
        </w:tc>
        <w:tc>
          <w:tcPr>
            <w:tcW w:w="389" w:type="pct"/>
            <w:tcBorders>
              <w:bottom w:val="double" w:sz="4" w:space="0" w:color="auto"/>
            </w:tcBorders>
            <w:shd w:val="clear" w:color="auto" w:fill="auto"/>
            <w:vAlign w:val="center"/>
          </w:tcPr>
          <w:p w:rsidR="00D3052E" w:rsidRDefault="00D3052E">
            <w:pPr>
              <w:spacing w:beforeLines="20" w:before="48" w:afterLines="20" w:after="48"/>
              <w:jc w:val="center"/>
              <w:rPr>
                <w:noProof/>
                <w:sz w:val="20"/>
              </w:rPr>
            </w:pPr>
          </w:p>
        </w:tc>
      </w:tr>
      <w:tr w:rsidR="00D3052E">
        <w:trPr>
          <w:trHeight w:val="289"/>
          <w:jc w:val="center"/>
        </w:trPr>
        <w:tc>
          <w:tcPr>
            <w:tcW w:w="1858" w:type="pct"/>
            <w:gridSpan w:val="2"/>
            <w:tcBorders>
              <w:top w:val="double" w:sz="4" w:space="0" w:color="auto"/>
            </w:tcBorders>
            <w:shd w:val="clear" w:color="auto" w:fill="auto"/>
            <w:vAlign w:val="center"/>
          </w:tcPr>
          <w:p w:rsidR="00D3052E" w:rsidRDefault="00635D2F">
            <w:pPr>
              <w:pStyle w:val="Text1"/>
              <w:spacing w:beforeLines="20" w:before="48" w:afterLines="20" w:after="48"/>
              <w:ind w:left="986"/>
              <w:jc w:val="left"/>
              <w:rPr>
                <w:noProof/>
                <w:sz w:val="20"/>
              </w:rPr>
            </w:pPr>
            <w:r>
              <w:rPr>
                <w:b/>
                <w:noProof/>
                <w:sz w:val="20"/>
              </w:rPr>
              <w:t>OGÓŁEM</w:t>
            </w:r>
          </w:p>
        </w:tc>
        <w:tc>
          <w:tcPr>
            <w:tcW w:w="392" w:type="pct"/>
            <w:tcBorders>
              <w:top w:val="double" w:sz="4" w:space="0" w:color="auto"/>
            </w:tcBorders>
            <w:shd w:val="clear" w:color="auto" w:fill="auto"/>
            <w:vAlign w:val="center"/>
          </w:tcPr>
          <w:p w:rsidR="00D3052E" w:rsidRDefault="00D3052E">
            <w:pPr>
              <w:spacing w:beforeLines="20" w:before="48" w:afterLines="20" w:after="48"/>
              <w:jc w:val="center"/>
              <w:rPr>
                <w:b/>
                <w:noProof/>
                <w:sz w:val="20"/>
              </w:rPr>
            </w:pPr>
          </w:p>
        </w:tc>
        <w:tc>
          <w:tcPr>
            <w:tcW w:w="392" w:type="pct"/>
            <w:tcBorders>
              <w:top w:val="double" w:sz="4" w:space="0" w:color="auto"/>
            </w:tcBorders>
            <w:shd w:val="clear" w:color="auto" w:fill="auto"/>
            <w:vAlign w:val="center"/>
          </w:tcPr>
          <w:p w:rsidR="00D3052E" w:rsidRDefault="00D3052E">
            <w:pPr>
              <w:spacing w:beforeLines="20" w:before="48" w:afterLines="20" w:after="48"/>
              <w:jc w:val="center"/>
              <w:rPr>
                <w:b/>
                <w:noProof/>
                <w:sz w:val="20"/>
              </w:rPr>
            </w:pPr>
          </w:p>
        </w:tc>
        <w:tc>
          <w:tcPr>
            <w:tcW w:w="392" w:type="pct"/>
            <w:tcBorders>
              <w:top w:val="double" w:sz="4" w:space="0" w:color="auto"/>
            </w:tcBorders>
            <w:shd w:val="clear" w:color="auto" w:fill="auto"/>
            <w:vAlign w:val="center"/>
          </w:tcPr>
          <w:p w:rsidR="00D3052E" w:rsidRDefault="00D3052E">
            <w:pPr>
              <w:spacing w:beforeLines="20" w:before="48" w:afterLines="20" w:after="48"/>
              <w:jc w:val="center"/>
              <w:rPr>
                <w:b/>
                <w:noProof/>
                <w:sz w:val="20"/>
              </w:rPr>
            </w:pPr>
          </w:p>
        </w:tc>
        <w:tc>
          <w:tcPr>
            <w:tcW w:w="392" w:type="pct"/>
            <w:tcBorders>
              <w:top w:val="double" w:sz="4" w:space="0" w:color="auto"/>
            </w:tcBorders>
            <w:vAlign w:val="center"/>
          </w:tcPr>
          <w:p w:rsidR="00D3052E" w:rsidRDefault="00D3052E">
            <w:pPr>
              <w:spacing w:beforeLines="20" w:before="48" w:afterLines="20" w:after="48"/>
              <w:jc w:val="center"/>
              <w:rPr>
                <w:b/>
                <w:noProof/>
                <w:sz w:val="20"/>
              </w:rPr>
            </w:pPr>
          </w:p>
        </w:tc>
        <w:tc>
          <w:tcPr>
            <w:tcW w:w="392" w:type="pct"/>
            <w:tcBorders>
              <w:top w:val="double" w:sz="4" w:space="0" w:color="auto"/>
            </w:tcBorders>
            <w:shd w:val="clear" w:color="auto" w:fill="auto"/>
            <w:vAlign w:val="center"/>
          </w:tcPr>
          <w:p w:rsidR="00D3052E" w:rsidRDefault="00D3052E">
            <w:pPr>
              <w:spacing w:beforeLines="20" w:before="48" w:afterLines="20" w:after="48"/>
              <w:jc w:val="center"/>
              <w:rPr>
                <w:b/>
                <w:noProof/>
                <w:sz w:val="20"/>
              </w:rPr>
            </w:pPr>
          </w:p>
        </w:tc>
        <w:tc>
          <w:tcPr>
            <w:tcW w:w="397" w:type="pct"/>
            <w:gridSpan w:val="2"/>
            <w:tcBorders>
              <w:top w:val="double" w:sz="4" w:space="0" w:color="auto"/>
            </w:tcBorders>
            <w:shd w:val="clear" w:color="auto" w:fill="auto"/>
            <w:vAlign w:val="center"/>
          </w:tcPr>
          <w:p w:rsidR="00D3052E" w:rsidRDefault="00D3052E">
            <w:pPr>
              <w:spacing w:beforeLines="20" w:before="48" w:afterLines="20" w:after="48"/>
              <w:jc w:val="center"/>
              <w:rPr>
                <w:b/>
                <w:noProof/>
                <w:sz w:val="20"/>
              </w:rPr>
            </w:pPr>
          </w:p>
        </w:tc>
        <w:tc>
          <w:tcPr>
            <w:tcW w:w="396" w:type="pct"/>
            <w:tcBorders>
              <w:top w:val="double" w:sz="4" w:space="0" w:color="auto"/>
            </w:tcBorders>
            <w:shd w:val="clear" w:color="auto" w:fill="auto"/>
            <w:vAlign w:val="center"/>
          </w:tcPr>
          <w:p w:rsidR="00D3052E" w:rsidRDefault="00D3052E">
            <w:pPr>
              <w:spacing w:beforeLines="20" w:before="48" w:afterLines="20" w:after="48"/>
              <w:jc w:val="center"/>
              <w:rPr>
                <w:b/>
                <w:noProof/>
                <w:sz w:val="20"/>
              </w:rPr>
            </w:pPr>
          </w:p>
        </w:tc>
        <w:tc>
          <w:tcPr>
            <w:tcW w:w="389" w:type="pct"/>
            <w:tcBorders>
              <w:top w:val="double" w:sz="4" w:space="0" w:color="auto"/>
            </w:tcBorders>
            <w:shd w:val="clear" w:color="auto" w:fill="auto"/>
            <w:vAlign w:val="center"/>
          </w:tcPr>
          <w:p w:rsidR="00D3052E" w:rsidRDefault="00D3052E">
            <w:pPr>
              <w:spacing w:beforeLines="20" w:before="48" w:afterLines="20" w:after="48"/>
              <w:jc w:val="center"/>
              <w:rPr>
                <w:b/>
                <w:noProof/>
                <w:sz w:val="20"/>
              </w:rPr>
            </w:pPr>
          </w:p>
        </w:tc>
      </w:tr>
    </w:tbl>
    <w:p w:rsidR="00D3052E" w:rsidRDefault="00635D2F">
      <w:pPr>
        <w:pStyle w:val="Text1"/>
        <w:spacing w:before="60" w:after="60"/>
        <w:ind w:left="851"/>
        <w:rPr>
          <w:noProof/>
        </w:rPr>
      </w:pPr>
      <w:r>
        <w:rPr>
          <w:b/>
          <w:noProof/>
        </w:rPr>
        <w:t>XX</w:t>
      </w:r>
      <w:r>
        <w:rPr>
          <w:noProof/>
        </w:rPr>
        <w:t xml:space="preserve"> oznacza odpowiedni obszary polityki lub odpowiedni tytuł w budżecie.</w:t>
      </w:r>
    </w:p>
    <w:p w:rsidR="00D3052E" w:rsidRDefault="00635D2F">
      <w:pPr>
        <w:pStyle w:val="Text1"/>
        <w:rPr>
          <w:b/>
          <w:i/>
          <w:noProof/>
          <w:sz w:val="22"/>
        </w:rPr>
      </w:pPr>
      <w:r>
        <w:rPr>
          <w:b/>
          <w:noProof/>
          <w:sz w:val="22"/>
        </w:rPr>
        <w:t xml:space="preserve">Potrzeby w zakresie zasobów ludzkich w przypadku tego działania, a w szczególności wzmocnionych ram monitorowania, które będą wprowadzone, </w:t>
      </w:r>
      <w:r>
        <w:rPr>
          <w:noProof/>
          <w:sz w:val="22"/>
        </w:rPr>
        <w:t xml:space="preserve">zostaną pokryte z zasobów dyrekcji generalnych już przydzielonych na zarządzanie tym działaniem lub przesuniętych w ramach dyrekcji generalnej. </w:t>
      </w:r>
      <w:r>
        <w:rPr>
          <w:b/>
          <w:i/>
          <w:noProof/>
          <w:sz w:val="22"/>
        </w:rPr>
        <w:t>W</w:t>
      </w:r>
      <w:r>
        <w:rPr>
          <w:noProof/>
          <w:sz w:val="22"/>
        </w:rPr>
        <w:t> </w:t>
      </w:r>
      <w:r>
        <w:rPr>
          <w:b/>
          <w:i/>
          <w:noProof/>
          <w:sz w:val="22"/>
        </w:rPr>
        <w:t>stosownych przypadkach potrzeby zostaną dostosowane do wszelkich dodatkowych zasobów, które mogą zostać przydzielone zarządzającej dyrekcji generalnej w ramach procedury rocznego przydziału środków oraz w świetle istniejących ograniczeń budżetowych.</w:t>
      </w:r>
    </w:p>
    <w:p w:rsidR="00D3052E" w:rsidRDefault="00635D2F">
      <w:pPr>
        <w:keepNext/>
        <w:keepLines/>
        <w:rPr>
          <w:noProof/>
          <w:sz w:val="20"/>
        </w:rPr>
      </w:pPr>
      <w:r>
        <w:rPr>
          <w:noProof/>
          <w:sz w:val="20"/>
        </w:rPr>
        <w:lastRenderedPageBreak/>
        <w:t>Opis zadań do wykonania: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D3052E">
        <w:tc>
          <w:tcPr>
            <w:tcW w:w="3240" w:type="dxa"/>
          </w:tcPr>
          <w:p w:rsidR="00D3052E" w:rsidRDefault="00635D2F">
            <w:pPr>
              <w:keepNext/>
              <w:keepLines/>
              <w:rPr>
                <w:noProof/>
                <w:sz w:val="20"/>
              </w:rPr>
            </w:pPr>
            <w:r>
              <w:rPr>
                <w:noProof/>
                <w:sz w:val="20"/>
              </w:rPr>
              <w:t>Urzędnicy i pracownicy zatrudnieni na czas określony</w:t>
            </w:r>
          </w:p>
        </w:tc>
        <w:tc>
          <w:tcPr>
            <w:tcW w:w="7200" w:type="dxa"/>
          </w:tcPr>
          <w:p w:rsidR="00D3052E" w:rsidRDefault="00D3052E">
            <w:pPr>
              <w:keepNext/>
              <w:keepLines/>
              <w:rPr>
                <w:noProof/>
                <w:sz w:val="20"/>
              </w:rPr>
            </w:pPr>
          </w:p>
        </w:tc>
      </w:tr>
      <w:tr w:rsidR="00D3052E">
        <w:tc>
          <w:tcPr>
            <w:tcW w:w="3240" w:type="dxa"/>
          </w:tcPr>
          <w:p w:rsidR="00D3052E" w:rsidRDefault="00635D2F">
            <w:pPr>
              <w:spacing w:before="60" w:after="60"/>
              <w:rPr>
                <w:noProof/>
                <w:sz w:val="20"/>
              </w:rPr>
            </w:pPr>
            <w:r>
              <w:rPr>
                <w:noProof/>
                <w:sz w:val="20"/>
              </w:rPr>
              <w:t>Personel zewnętrzny</w:t>
            </w:r>
          </w:p>
        </w:tc>
        <w:tc>
          <w:tcPr>
            <w:tcW w:w="7200" w:type="dxa"/>
          </w:tcPr>
          <w:p w:rsidR="00D3052E" w:rsidRDefault="00D3052E">
            <w:pPr>
              <w:rPr>
                <w:noProof/>
                <w:sz w:val="20"/>
              </w:rPr>
            </w:pPr>
          </w:p>
        </w:tc>
      </w:tr>
    </w:tbl>
    <w:p w:rsidR="00D3052E" w:rsidRDefault="00635D2F">
      <w:pPr>
        <w:rPr>
          <w:noProof/>
        </w:rPr>
      </w:pPr>
      <w:r>
        <w:rPr>
          <w:noProof/>
        </w:rPr>
        <w:t xml:space="preserve">Opis metody obliczenia kosztów ekwiwalentów pełnego czasu pracy powinien zostać zamieszczony w załączniku V pkt 3. </w:t>
      </w:r>
    </w:p>
    <w:p w:rsidR="00D3052E" w:rsidRDefault="00D3052E">
      <w:pPr>
        <w:rPr>
          <w:noProof/>
        </w:rPr>
        <w:sectPr w:rsidR="00D3052E">
          <w:pgSz w:w="11907" w:h="16839"/>
          <w:pgMar w:top="1134" w:right="1417" w:bottom="1134" w:left="1417" w:header="709" w:footer="709" w:gutter="0"/>
          <w:cols w:space="720"/>
          <w:docGrid w:linePitch="326"/>
        </w:sectPr>
      </w:pPr>
    </w:p>
    <w:p w:rsidR="00D3052E" w:rsidRDefault="00635D2F">
      <w:pPr>
        <w:pStyle w:val="ManualHeading3"/>
        <w:rPr>
          <w:bCs/>
          <w:noProof/>
          <w:szCs w:val="24"/>
        </w:rPr>
      </w:pPr>
      <w:bookmarkStart w:id="90" w:name="_Toc514938689"/>
      <w:bookmarkStart w:id="91" w:name="_Toc520485448"/>
      <w:bookmarkStart w:id="92" w:name="_Toc54546064"/>
      <w:r>
        <w:lastRenderedPageBreak/>
        <w:t>3.2.4.</w:t>
      </w:r>
      <w:r>
        <w:tab/>
      </w:r>
      <w:r>
        <w:rPr>
          <w:noProof/>
        </w:rPr>
        <w:t>Zgodność z obowiązującymi wieloletnimi ramami finansowymi</w:t>
      </w:r>
      <w:bookmarkEnd w:id="90"/>
      <w:bookmarkEnd w:id="91"/>
      <w:bookmarkEnd w:id="92"/>
      <w:r>
        <w:rPr>
          <w:noProof/>
        </w:rPr>
        <w:t xml:space="preserve"> </w:t>
      </w:r>
    </w:p>
    <w:p w:rsidR="00D3052E" w:rsidRDefault="00635D2F">
      <w:pPr>
        <w:pStyle w:val="ListDash1"/>
        <w:rPr>
          <w:noProof/>
        </w:rPr>
      </w:pPr>
      <w:r>
        <w:rPr>
          <w:noProof/>
        </w:rPr>
        <w:sym w:font="Wingdings" w:char="F0A8"/>
      </w:r>
      <w:r>
        <w:rPr>
          <w:noProof/>
        </w:rPr>
        <w:tab/>
        <w:t>Wniosek/inicjatywa jest zgodny(-a) z obowiązującymi wieloletnimi ramami finansowymi.</w:t>
      </w:r>
    </w:p>
    <w:p w:rsidR="00D3052E" w:rsidRDefault="00635D2F">
      <w:pPr>
        <w:pStyle w:val="ListDash1"/>
        <w:rPr>
          <w:noProof/>
        </w:rPr>
      </w:pPr>
      <w:r>
        <w:rPr>
          <w:noProof/>
        </w:rPr>
        <w:sym w:font="Wingdings" w:char="F0FE"/>
      </w:r>
      <w:r>
        <w:rPr>
          <w:noProof/>
        </w:rPr>
        <w:tab/>
        <w:t>Wniosek/inicjatywa wymaga przeprogramowania odpowiedniego działu w wieloletnich ramach finansowych.</w:t>
      </w:r>
    </w:p>
    <w:p w:rsidR="00D3052E" w:rsidRDefault="00D3052E">
      <w:pPr>
        <w:pStyle w:val="Text1"/>
        <w:pBdr>
          <w:top w:val="single" w:sz="4" w:space="1" w:color="auto"/>
          <w:left w:val="single" w:sz="4" w:space="4" w:color="auto"/>
          <w:bottom w:val="single" w:sz="4" w:space="1" w:color="auto"/>
          <w:right w:val="single" w:sz="4" w:space="4" w:color="auto"/>
        </w:pBdr>
        <w:rPr>
          <w:noProof/>
          <w:sz w:val="20"/>
        </w:rPr>
      </w:pPr>
    </w:p>
    <w:p w:rsidR="00D3052E" w:rsidRDefault="00635D2F">
      <w:pPr>
        <w:pStyle w:val="ListDash1"/>
        <w:rPr>
          <w:noProof/>
        </w:rPr>
      </w:pPr>
      <w:r>
        <w:rPr>
          <w:noProof/>
        </w:rPr>
        <w:sym w:font="Wingdings" w:char="F0A8"/>
      </w:r>
      <w:r>
        <w:rPr>
          <w:noProof/>
        </w:rPr>
        <w:tab/>
        <w:t>Wniosek/inicjatywa wymaga zastosowania instrumentu elastyczności lub zmiany wieloletnich ram finansowych</w:t>
      </w:r>
      <w:r>
        <w:rPr>
          <w:rStyle w:val="Odwoanieprzypisudolnego"/>
          <w:noProof/>
        </w:rPr>
        <w:footnoteReference w:id="49"/>
      </w:r>
      <w:r>
        <w:rPr>
          <w:noProof/>
        </w:rPr>
        <w:t>.</w:t>
      </w:r>
    </w:p>
    <w:p w:rsidR="00D3052E" w:rsidRDefault="00635D2F">
      <w:pPr>
        <w:pStyle w:val="Text1"/>
        <w:pBdr>
          <w:top w:val="single" w:sz="4" w:space="1" w:color="auto"/>
          <w:left w:val="single" w:sz="4" w:space="4" w:color="auto"/>
          <w:bottom w:val="single" w:sz="4" w:space="1" w:color="auto"/>
          <w:right w:val="single" w:sz="4" w:space="4" w:color="auto"/>
        </w:pBdr>
        <w:rPr>
          <w:noProof/>
          <w:sz w:val="20"/>
        </w:rPr>
      </w:pPr>
      <w:r>
        <w:rPr>
          <w:noProof/>
          <w:sz w:val="20"/>
        </w:rPr>
        <w:t>Należy wyjaśnić, który wariant jest konieczny, określając linie budżetowe, których ma on dotyczyć, oraz podając odpowiednie kwoty.</w:t>
      </w:r>
    </w:p>
    <w:p w:rsidR="00D3052E" w:rsidRDefault="00D3052E">
      <w:pPr>
        <w:pStyle w:val="Text1"/>
        <w:pBdr>
          <w:top w:val="single" w:sz="4" w:space="1" w:color="auto"/>
          <w:left w:val="single" w:sz="4" w:space="4" w:color="auto"/>
          <w:bottom w:val="single" w:sz="4" w:space="1" w:color="auto"/>
          <w:right w:val="single" w:sz="4" w:space="4" w:color="auto"/>
        </w:pBdr>
        <w:rPr>
          <w:noProof/>
          <w:sz w:val="20"/>
        </w:rPr>
      </w:pPr>
    </w:p>
    <w:p w:rsidR="00D3052E" w:rsidRDefault="00635D2F">
      <w:pPr>
        <w:pStyle w:val="ManualHeading3"/>
        <w:rPr>
          <w:bCs/>
          <w:noProof/>
          <w:szCs w:val="24"/>
        </w:rPr>
      </w:pPr>
      <w:bookmarkStart w:id="93" w:name="_Toc514938690"/>
      <w:bookmarkStart w:id="94" w:name="_Toc520485449"/>
      <w:bookmarkStart w:id="95" w:name="_Toc54546065"/>
      <w:r>
        <w:t>3.2.5.</w:t>
      </w:r>
      <w:r>
        <w:tab/>
      </w:r>
      <w:r>
        <w:rPr>
          <w:noProof/>
        </w:rPr>
        <w:t>Udział osób trzecich w finansowaniu</w:t>
      </w:r>
      <w:bookmarkEnd w:id="93"/>
      <w:bookmarkEnd w:id="94"/>
      <w:bookmarkEnd w:id="95"/>
      <w:r>
        <w:rPr>
          <w:noProof/>
        </w:rPr>
        <w:t xml:space="preserve"> </w:t>
      </w:r>
    </w:p>
    <w:p w:rsidR="00D3052E" w:rsidRDefault="00635D2F">
      <w:pPr>
        <w:pStyle w:val="ListDash1"/>
        <w:rPr>
          <w:noProof/>
        </w:rPr>
      </w:pPr>
      <w:r>
        <w:rPr>
          <w:noProof/>
        </w:rPr>
        <w:sym w:font="Wingdings" w:char="F0FE"/>
      </w:r>
      <w:r>
        <w:rPr>
          <w:noProof/>
        </w:rPr>
        <w:tab/>
        <w:t xml:space="preserve">Wniosek/inicjatywa nie przewiduje współfinansowania ze strony osób trzecich </w:t>
      </w:r>
    </w:p>
    <w:p w:rsidR="00D3052E" w:rsidRDefault="00635D2F">
      <w:pPr>
        <w:pStyle w:val="ListDash1"/>
        <w:rPr>
          <w:noProof/>
        </w:rPr>
      </w:pPr>
      <w:r>
        <w:rPr>
          <w:noProof/>
        </w:rPr>
        <w:sym w:font="Wingdings" w:char="F0A8"/>
      </w:r>
      <w:r>
        <w:rPr>
          <w:noProof/>
        </w:rPr>
        <w:tab/>
        <w:t>Wniosek/inicjatywa przewiduje współfinansowanie szacowane zgodnie z poniższym:</w:t>
      </w:r>
    </w:p>
    <w:p w:rsidR="00D3052E" w:rsidRDefault="00635D2F">
      <w:pPr>
        <w:jc w:val="right"/>
        <w:rPr>
          <w:noProof/>
          <w:sz w:val="20"/>
        </w:rPr>
      </w:pPr>
      <w:r>
        <w:rPr>
          <w:noProof/>
          <w:sz w:val="20"/>
        </w:rPr>
        <w:t>w mln EUR (do trzech miejsc po przecinku)</w:t>
      </w:r>
    </w:p>
    <w:tbl>
      <w:tblPr>
        <w:tblW w:w="9368"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878"/>
        <w:gridCol w:w="879"/>
        <w:gridCol w:w="878"/>
        <w:gridCol w:w="879"/>
        <w:gridCol w:w="878"/>
        <w:gridCol w:w="879"/>
        <w:gridCol w:w="878"/>
        <w:gridCol w:w="879"/>
      </w:tblGrid>
      <w:tr w:rsidR="00D3052E">
        <w:trPr>
          <w:cantSplit/>
        </w:trPr>
        <w:tc>
          <w:tcPr>
            <w:tcW w:w="2340" w:type="dxa"/>
            <w:vAlign w:val="center"/>
          </w:tcPr>
          <w:p w:rsidR="00D3052E" w:rsidRDefault="00D3052E">
            <w:pPr>
              <w:spacing w:before="60" w:after="60"/>
              <w:rPr>
                <w:noProof/>
                <w:sz w:val="20"/>
              </w:rPr>
            </w:pPr>
          </w:p>
        </w:tc>
        <w:tc>
          <w:tcPr>
            <w:tcW w:w="878" w:type="dxa"/>
            <w:vAlign w:val="center"/>
          </w:tcPr>
          <w:p w:rsidR="00D3052E" w:rsidRDefault="00635D2F">
            <w:pPr>
              <w:jc w:val="center"/>
              <w:rPr>
                <w:noProof/>
                <w:sz w:val="20"/>
              </w:rPr>
            </w:pPr>
            <w:r>
              <w:rPr>
                <w:noProof/>
                <w:sz w:val="20"/>
              </w:rPr>
              <w:t>2021</w:t>
            </w:r>
          </w:p>
        </w:tc>
        <w:tc>
          <w:tcPr>
            <w:tcW w:w="879" w:type="dxa"/>
            <w:vAlign w:val="center"/>
          </w:tcPr>
          <w:p w:rsidR="00D3052E" w:rsidRDefault="00635D2F">
            <w:pPr>
              <w:jc w:val="center"/>
              <w:rPr>
                <w:noProof/>
                <w:sz w:val="20"/>
              </w:rPr>
            </w:pPr>
            <w:r>
              <w:rPr>
                <w:noProof/>
                <w:sz w:val="20"/>
              </w:rPr>
              <w:t>2022</w:t>
            </w:r>
          </w:p>
        </w:tc>
        <w:tc>
          <w:tcPr>
            <w:tcW w:w="878" w:type="dxa"/>
            <w:vAlign w:val="center"/>
          </w:tcPr>
          <w:p w:rsidR="00D3052E" w:rsidRDefault="00635D2F">
            <w:pPr>
              <w:jc w:val="center"/>
              <w:rPr>
                <w:noProof/>
                <w:sz w:val="20"/>
              </w:rPr>
            </w:pPr>
            <w:r>
              <w:rPr>
                <w:noProof/>
                <w:sz w:val="20"/>
              </w:rPr>
              <w:t>2023</w:t>
            </w:r>
          </w:p>
        </w:tc>
        <w:tc>
          <w:tcPr>
            <w:tcW w:w="879" w:type="dxa"/>
            <w:vAlign w:val="center"/>
          </w:tcPr>
          <w:p w:rsidR="00D3052E" w:rsidRDefault="00635D2F">
            <w:pPr>
              <w:jc w:val="center"/>
              <w:rPr>
                <w:noProof/>
                <w:sz w:val="20"/>
              </w:rPr>
            </w:pPr>
            <w:r>
              <w:rPr>
                <w:noProof/>
                <w:sz w:val="20"/>
              </w:rPr>
              <w:t>2024</w:t>
            </w:r>
          </w:p>
        </w:tc>
        <w:tc>
          <w:tcPr>
            <w:tcW w:w="878" w:type="dxa"/>
            <w:vAlign w:val="center"/>
          </w:tcPr>
          <w:p w:rsidR="00D3052E" w:rsidRDefault="00635D2F">
            <w:pPr>
              <w:jc w:val="center"/>
              <w:rPr>
                <w:noProof/>
                <w:sz w:val="20"/>
              </w:rPr>
            </w:pPr>
            <w:r>
              <w:rPr>
                <w:noProof/>
                <w:sz w:val="20"/>
              </w:rPr>
              <w:t>2025</w:t>
            </w:r>
          </w:p>
        </w:tc>
        <w:tc>
          <w:tcPr>
            <w:tcW w:w="879" w:type="dxa"/>
            <w:vAlign w:val="center"/>
          </w:tcPr>
          <w:p w:rsidR="00D3052E" w:rsidRDefault="00635D2F">
            <w:pPr>
              <w:jc w:val="center"/>
              <w:rPr>
                <w:noProof/>
                <w:sz w:val="20"/>
              </w:rPr>
            </w:pPr>
            <w:r>
              <w:rPr>
                <w:noProof/>
                <w:sz w:val="20"/>
              </w:rPr>
              <w:t>2026</w:t>
            </w:r>
          </w:p>
        </w:tc>
        <w:tc>
          <w:tcPr>
            <w:tcW w:w="878" w:type="dxa"/>
            <w:vAlign w:val="center"/>
          </w:tcPr>
          <w:p w:rsidR="00D3052E" w:rsidRDefault="00635D2F">
            <w:pPr>
              <w:jc w:val="center"/>
              <w:rPr>
                <w:noProof/>
                <w:sz w:val="20"/>
              </w:rPr>
            </w:pPr>
            <w:r>
              <w:rPr>
                <w:noProof/>
                <w:sz w:val="20"/>
              </w:rPr>
              <w:t>2027</w:t>
            </w:r>
          </w:p>
        </w:tc>
        <w:tc>
          <w:tcPr>
            <w:tcW w:w="879" w:type="dxa"/>
            <w:vAlign w:val="center"/>
          </w:tcPr>
          <w:p w:rsidR="00D3052E" w:rsidRDefault="00635D2F">
            <w:pPr>
              <w:spacing w:before="60" w:after="60"/>
              <w:jc w:val="center"/>
              <w:rPr>
                <w:noProof/>
                <w:sz w:val="20"/>
              </w:rPr>
            </w:pPr>
            <w:r>
              <w:rPr>
                <w:noProof/>
                <w:sz w:val="20"/>
              </w:rPr>
              <w:t>Ogółem</w:t>
            </w:r>
          </w:p>
        </w:tc>
      </w:tr>
      <w:tr w:rsidR="00D3052E">
        <w:trPr>
          <w:cantSplit/>
        </w:trPr>
        <w:tc>
          <w:tcPr>
            <w:tcW w:w="2340" w:type="dxa"/>
            <w:vAlign w:val="center"/>
          </w:tcPr>
          <w:p w:rsidR="00D3052E" w:rsidRDefault="00635D2F">
            <w:pPr>
              <w:rPr>
                <w:noProof/>
              </w:rPr>
            </w:pPr>
            <w:r>
              <w:rPr>
                <w:noProof/>
              </w:rPr>
              <w:t>Xxxxx</w:t>
            </w:r>
          </w:p>
        </w:tc>
        <w:tc>
          <w:tcPr>
            <w:tcW w:w="878" w:type="dxa"/>
            <w:vAlign w:val="center"/>
          </w:tcPr>
          <w:p w:rsidR="00D3052E" w:rsidRDefault="00D3052E">
            <w:pPr>
              <w:spacing w:before="60" w:after="60"/>
              <w:jc w:val="center"/>
              <w:rPr>
                <w:noProof/>
                <w:sz w:val="20"/>
              </w:rPr>
            </w:pPr>
          </w:p>
        </w:tc>
        <w:tc>
          <w:tcPr>
            <w:tcW w:w="879" w:type="dxa"/>
            <w:vAlign w:val="center"/>
          </w:tcPr>
          <w:p w:rsidR="00D3052E" w:rsidRDefault="00D3052E">
            <w:pPr>
              <w:spacing w:before="60" w:after="60"/>
              <w:jc w:val="center"/>
              <w:rPr>
                <w:noProof/>
                <w:sz w:val="20"/>
              </w:rPr>
            </w:pPr>
          </w:p>
        </w:tc>
        <w:tc>
          <w:tcPr>
            <w:tcW w:w="878" w:type="dxa"/>
            <w:vAlign w:val="center"/>
          </w:tcPr>
          <w:p w:rsidR="00D3052E" w:rsidRDefault="00D3052E">
            <w:pPr>
              <w:spacing w:before="60" w:after="60"/>
              <w:jc w:val="center"/>
              <w:rPr>
                <w:noProof/>
                <w:sz w:val="20"/>
              </w:rPr>
            </w:pPr>
          </w:p>
        </w:tc>
        <w:tc>
          <w:tcPr>
            <w:tcW w:w="879" w:type="dxa"/>
            <w:vAlign w:val="center"/>
          </w:tcPr>
          <w:p w:rsidR="00D3052E" w:rsidRDefault="00D3052E">
            <w:pPr>
              <w:spacing w:before="60" w:after="60"/>
              <w:jc w:val="center"/>
              <w:rPr>
                <w:noProof/>
                <w:sz w:val="20"/>
              </w:rPr>
            </w:pPr>
          </w:p>
        </w:tc>
        <w:tc>
          <w:tcPr>
            <w:tcW w:w="878" w:type="dxa"/>
            <w:vAlign w:val="center"/>
          </w:tcPr>
          <w:p w:rsidR="00D3052E" w:rsidRDefault="00D3052E">
            <w:pPr>
              <w:spacing w:before="60" w:after="60"/>
              <w:jc w:val="center"/>
              <w:rPr>
                <w:noProof/>
                <w:sz w:val="20"/>
              </w:rPr>
            </w:pPr>
          </w:p>
        </w:tc>
        <w:tc>
          <w:tcPr>
            <w:tcW w:w="879" w:type="dxa"/>
            <w:vAlign w:val="center"/>
          </w:tcPr>
          <w:p w:rsidR="00D3052E" w:rsidRDefault="00D3052E">
            <w:pPr>
              <w:spacing w:before="60" w:after="60"/>
              <w:jc w:val="center"/>
              <w:rPr>
                <w:noProof/>
                <w:sz w:val="20"/>
              </w:rPr>
            </w:pPr>
          </w:p>
        </w:tc>
        <w:tc>
          <w:tcPr>
            <w:tcW w:w="878" w:type="dxa"/>
            <w:vAlign w:val="center"/>
          </w:tcPr>
          <w:p w:rsidR="00D3052E" w:rsidRDefault="00D3052E">
            <w:pPr>
              <w:spacing w:before="60" w:after="60"/>
              <w:jc w:val="center"/>
              <w:rPr>
                <w:noProof/>
                <w:sz w:val="20"/>
              </w:rPr>
            </w:pPr>
          </w:p>
        </w:tc>
        <w:tc>
          <w:tcPr>
            <w:tcW w:w="879" w:type="dxa"/>
            <w:vAlign w:val="center"/>
          </w:tcPr>
          <w:p w:rsidR="00D3052E" w:rsidRDefault="00D3052E">
            <w:pPr>
              <w:spacing w:before="60" w:after="60"/>
              <w:jc w:val="center"/>
              <w:rPr>
                <w:noProof/>
                <w:sz w:val="20"/>
              </w:rPr>
            </w:pPr>
          </w:p>
        </w:tc>
      </w:tr>
      <w:tr w:rsidR="00D3052E">
        <w:trPr>
          <w:cantSplit/>
        </w:trPr>
        <w:tc>
          <w:tcPr>
            <w:tcW w:w="2340" w:type="dxa"/>
            <w:vAlign w:val="center"/>
          </w:tcPr>
          <w:p w:rsidR="00D3052E" w:rsidRDefault="00635D2F">
            <w:pPr>
              <w:spacing w:before="60" w:after="60"/>
              <w:rPr>
                <w:noProof/>
                <w:sz w:val="20"/>
              </w:rPr>
            </w:pPr>
            <w:r>
              <w:rPr>
                <w:noProof/>
                <w:sz w:val="20"/>
              </w:rPr>
              <w:t xml:space="preserve">OGÓŁEM środki objęte współfinansowaniem </w:t>
            </w:r>
          </w:p>
        </w:tc>
        <w:tc>
          <w:tcPr>
            <w:tcW w:w="878" w:type="dxa"/>
            <w:vAlign w:val="center"/>
          </w:tcPr>
          <w:p w:rsidR="00D3052E" w:rsidRDefault="00D3052E">
            <w:pPr>
              <w:spacing w:before="60" w:after="60"/>
              <w:jc w:val="center"/>
              <w:rPr>
                <w:noProof/>
                <w:sz w:val="20"/>
              </w:rPr>
            </w:pPr>
          </w:p>
        </w:tc>
        <w:tc>
          <w:tcPr>
            <w:tcW w:w="879" w:type="dxa"/>
            <w:vAlign w:val="center"/>
          </w:tcPr>
          <w:p w:rsidR="00D3052E" w:rsidRDefault="00D3052E">
            <w:pPr>
              <w:spacing w:before="60" w:after="60"/>
              <w:jc w:val="center"/>
              <w:rPr>
                <w:noProof/>
                <w:sz w:val="20"/>
              </w:rPr>
            </w:pPr>
          </w:p>
        </w:tc>
        <w:tc>
          <w:tcPr>
            <w:tcW w:w="878" w:type="dxa"/>
            <w:vAlign w:val="center"/>
          </w:tcPr>
          <w:p w:rsidR="00D3052E" w:rsidRDefault="00D3052E">
            <w:pPr>
              <w:spacing w:before="60" w:after="60"/>
              <w:jc w:val="center"/>
              <w:rPr>
                <w:noProof/>
                <w:sz w:val="20"/>
              </w:rPr>
            </w:pPr>
          </w:p>
        </w:tc>
        <w:tc>
          <w:tcPr>
            <w:tcW w:w="879" w:type="dxa"/>
            <w:vAlign w:val="center"/>
          </w:tcPr>
          <w:p w:rsidR="00D3052E" w:rsidRDefault="00D3052E">
            <w:pPr>
              <w:spacing w:before="60" w:after="60"/>
              <w:jc w:val="center"/>
              <w:rPr>
                <w:noProof/>
                <w:sz w:val="20"/>
              </w:rPr>
            </w:pPr>
          </w:p>
        </w:tc>
        <w:tc>
          <w:tcPr>
            <w:tcW w:w="878" w:type="dxa"/>
            <w:vAlign w:val="center"/>
          </w:tcPr>
          <w:p w:rsidR="00D3052E" w:rsidRDefault="00D3052E">
            <w:pPr>
              <w:spacing w:before="60" w:after="60"/>
              <w:jc w:val="center"/>
              <w:rPr>
                <w:noProof/>
                <w:sz w:val="20"/>
              </w:rPr>
            </w:pPr>
          </w:p>
        </w:tc>
        <w:tc>
          <w:tcPr>
            <w:tcW w:w="879" w:type="dxa"/>
            <w:vAlign w:val="center"/>
          </w:tcPr>
          <w:p w:rsidR="00D3052E" w:rsidRDefault="00D3052E">
            <w:pPr>
              <w:spacing w:before="60" w:after="60"/>
              <w:jc w:val="center"/>
              <w:rPr>
                <w:noProof/>
                <w:sz w:val="20"/>
              </w:rPr>
            </w:pPr>
          </w:p>
        </w:tc>
        <w:tc>
          <w:tcPr>
            <w:tcW w:w="878" w:type="dxa"/>
            <w:vAlign w:val="center"/>
          </w:tcPr>
          <w:p w:rsidR="00D3052E" w:rsidRDefault="00D3052E">
            <w:pPr>
              <w:spacing w:before="60" w:after="60"/>
              <w:jc w:val="center"/>
              <w:rPr>
                <w:noProof/>
                <w:sz w:val="20"/>
              </w:rPr>
            </w:pPr>
          </w:p>
        </w:tc>
        <w:tc>
          <w:tcPr>
            <w:tcW w:w="879" w:type="dxa"/>
            <w:vAlign w:val="center"/>
          </w:tcPr>
          <w:p w:rsidR="00D3052E" w:rsidRDefault="00D3052E">
            <w:pPr>
              <w:spacing w:before="60" w:after="60"/>
              <w:jc w:val="center"/>
              <w:rPr>
                <w:noProof/>
                <w:sz w:val="20"/>
              </w:rPr>
            </w:pPr>
          </w:p>
        </w:tc>
      </w:tr>
    </w:tbl>
    <w:p w:rsidR="00D3052E" w:rsidRDefault="00635D2F">
      <w:pPr>
        <w:pStyle w:val="ManualHeading2"/>
        <w:rPr>
          <w:bCs/>
          <w:noProof/>
          <w:szCs w:val="24"/>
        </w:rPr>
      </w:pPr>
      <w:bookmarkStart w:id="96" w:name="_Toc514938691"/>
      <w:bookmarkStart w:id="97" w:name="_Toc520485450"/>
      <w:bookmarkStart w:id="98" w:name="_Toc54546066"/>
      <w:r>
        <w:t>3.3.</w:t>
      </w:r>
      <w:r>
        <w:tab/>
      </w:r>
      <w:r>
        <w:rPr>
          <w:noProof/>
        </w:rPr>
        <w:t>Szacunkowy wpływ na dochody</w:t>
      </w:r>
      <w:bookmarkEnd w:id="96"/>
      <w:bookmarkEnd w:id="97"/>
      <w:bookmarkEnd w:id="98"/>
      <w:r>
        <w:rPr>
          <w:noProof/>
        </w:rPr>
        <w:t xml:space="preserve"> </w:t>
      </w:r>
    </w:p>
    <w:p w:rsidR="00D3052E" w:rsidRDefault="00635D2F">
      <w:pPr>
        <w:pStyle w:val="ListDash1"/>
        <w:rPr>
          <w:noProof/>
        </w:rPr>
      </w:pPr>
      <w:r>
        <w:rPr>
          <w:noProof/>
        </w:rPr>
        <w:sym w:font="Wingdings" w:char="F0FE"/>
      </w:r>
      <w:r>
        <w:rPr>
          <w:noProof/>
        </w:rPr>
        <w:tab/>
        <w:t>Wniosek/inicjatywa nie ma wpływu finansowego na dochody.</w:t>
      </w:r>
    </w:p>
    <w:p w:rsidR="00D3052E" w:rsidRDefault="00635D2F">
      <w:pPr>
        <w:pStyle w:val="ListDash1"/>
        <w:rPr>
          <w:noProof/>
        </w:rPr>
      </w:pPr>
      <w:r>
        <w:rPr>
          <w:noProof/>
        </w:rPr>
        <w:sym w:font="Wingdings" w:char="F0A8"/>
      </w:r>
      <w:r>
        <w:rPr>
          <w:noProof/>
        </w:rPr>
        <w:tab/>
        <w:t>Wniosek/inicjatywa ma wpływ finansowy określony poniżej:</w:t>
      </w:r>
    </w:p>
    <w:p w:rsidR="00D3052E" w:rsidRDefault="00635D2F">
      <w:pPr>
        <w:pStyle w:val="ListNumberLevel3"/>
        <w:rPr>
          <w:noProof/>
        </w:rPr>
      </w:pPr>
      <w:r>
        <w:rPr>
          <w:noProof/>
        </w:rPr>
        <w:t>-</w:t>
      </w:r>
      <w:r>
        <w:rPr>
          <w:noProof/>
        </w:rPr>
        <w:tab/>
      </w:r>
      <w:r>
        <w:rPr>
          <w:noProof/>
        </w:rPr>
        <w:sym w:font="Wingdings" w:char="F0A8"/>
      </w:r>
      <w:r>
        <w:rPr>
          <w:noProof/>
        </w:rPr>
        <w:tab/>
        <w:t xml:space="preserve">wpływ na zasoby własne </w:t>
      </w:r>
    </w:p>
    <w:p w:rsidR="00D3052E" w:rsidRDefault="00635D2F">
      <w:pPr>
        <w:pStyle w:val="ListNumberLevel3"/>
        <w:rPr>
          <w:noProof/>
        </w:rPr>
      </w:pPr>
      <w:r>
        <w:rPr>
          <w:noProof/>
        </w:rPr>
        <w:t>-</w:t>
      </w:r>
      <w:r>
        <w:rPr>
          <w:noProof/>
        </w:rPr>
        <w:tab/>
      </w:r>
      <w:r>
        <w:rPr>
          <w:noProof/>
        </w:rPr>
        <w:sym w:font="Wingdings" w:char="F0A8"/>
      </w:r>
      <w:r>
        <w:rPr>
          <w:noProof/>
        </w:rPr>
        <w:tab/>
        <w:t xml:space="preserve">wpływ na dochody inne </w:t>
      </w:r>
    </w:p>
    <w:p w:rsidR="00D3052E" w:rsidRDefault="00635D2F">
      <w:pPr>
        <w:pStyle w:val="ListNumberLevel3"/>
        <w:rPr>
          <w:noProof/>
        </w:rPr>
      </w:pPr>
      <w:r>
        <w:rPr>
          <w:noProof/>
        </w:rPr>
        <w:t>-</w:t>
      </w:r>
      <w:r>
        <w:rPr>
          <w:noProof/>
        </w:rPr>
        <w:tab/>
      </w:r>
      <w:r>
        <w:rPr>
          <w:noProof/>
        </w:rPr>
        <w:sym w:font="Wingdings" w:char="F0A8"/>
      </w:r>
      <w:r>
        <w:rPr>
          <w:noProof/>
        </w:rPr>
        <w:tab/>
        <w:t xml:space="preserve">Wskazać, czy dochody są przypisane do linii budżetowej po stronie wydatków </w:t>
      </w:r>
    </w:p>
    <w:p w:rsidR="00D3052E" w:rsidRDefault="00635D2F">
      <w:pPr>
        <w:jc w:val="right"/>
        <w:rPr>
          <w:i/>
          <w:noProof/>
          <w:sz w:val="20"/>
        </w:rPr>
      </w:pPr>
      <w:r>
        <w:rPr>
          <w:noProof/>
          <w:sz w:val="20"/>
        </w:rPr>
        <w:t>w mln EUR (do trzech miejsc po przecinku)</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rsidR="00D3052E">
        <w:trPr>
          <w:trHeight w:val="388"/>
        </w:trPr>
        <w:tc>
          <w:tcPr>
            <w:tcW w:w="2144" w:type="dxa"/>
            <w:vMerge w:val="restart"/>
            <w:vAlign w:val="center"/>
          </w:tcPr>
          <w:p w:rsidR="00D3052E" w:rsidRDefault="00635D2F">
            <w:pPr>
              <w:spacing w:before="40" w:after="40"/>
              <w:rPr>
                <w:noProof/>
                <w:sz w:val="18"/>
              </w:rPr>
            </w:pPr>
            <w:r>
              <w:rPr>
                <w:noProof/>
                <w:sz w:val="18"/>
              </w:rPr>
              <w:t>Linia budżetowa po stronie dochodów</w:t>
            </w:r>
          </w:p>
        </w:tc>
        <w:tc>
          <w:tcPr>
            <w:tcW w:w="1276" w:type="dxa"/>
            <w:vMerge w:val="restart"/>
            <w:vAlign w:val="center"/>
          </w:tcPr>
          <w:p w:rsidR="00D3052E" w:rsidRDefault="00635D2F">
            <w:pPr>
              <w:jc w:val="center"/>
              <w:rPr>
                <w:noProof/>
                <w:sz w:val="18"/>
              </w:rPr>
            </w:pPr>
            <w:r>
              <w:rPr>
                <w:noProof/>
                <w:sz w:val="18"/>
              </w:rPr>
              <w:t>Środki zapisane w budżecie na bieżący rok budżetowy</w:t>
            </w:r>
          </w:p>
        </w:tc>
        <w:tc>
          <w:tcPr>
            <w:tcW w:w="7200" w:type="dxa"/>
            <w:gridSpan w:val="7"/>
            <w:vAlign w:val="center"/>
          </w:tcPr>
          <w:p w:rsidR="00D3052E" w:rsidRDefault="00635D2F">
            <w:pPr>
              <w:jc w:val="center"/>
              <w:rPr>
                <w:noProof/>
                <w:sz w:val="18"/>
              </w:rPr>
            </w:pPr>
            <w:r>
              <w:rPr>
                <w:noProof/>
                <w:sz w:val="18"/>
              </w:rPr>
              <w:t>Wpływ wniosku/inicjatywy</w:t>
            </w:r>
            <w:r>
              <w:rPr>
                <w:rStyle w:val="Odwoanieprzypisudolnego"/>
                <w:noProof/>
                <w:sz w:val="18"/>
              </w:rPr>
              <w:footnoteReference w:id="50"/>
            </w:r>
          </w:p>
        </w:tc>
      </w:tr>
      <w:tr w:rsidR="00D3052E">
        <w:trPr>
          <w:trHeight w:val="388"/>
        </w:trPr>
        <w:tc>
          <w:tcPr>
            <w:tcW w:w="2144" w:type="dxa"/>
            <w:vMerge/>
            <w:vAlign w:val="center"/>
          </w:tcPr>
          <w:p w:rsidR="00D3052E" w:rsidRDefault="00D3052E">
            <w:pPr>
              <w:rPr>
                <w:noProof/>
                <w:sz w:val="18"/>
              </w:rPr>
            </w:pPr>
          </w:p>
        </w:tc>
        <w:tc>
          <w:tcPr>
            <w:tcW w:w="1276" w:type="dxa"/>
            <w:vMerge/>
            <w:vAlign w:val="center"/>
          </w:tcPr>
          <w:p w:rsidR="00D3052E" w:rsidRDefault="00D3052E">
            <w:pPr>
              <w:rPr>
                <w:noProof/>
                <w:sz w:val="18"/>
              </w:rPr>
            </w:pPr>
          </w:p>
        </w:tc>
        <w:tc>
          <w:tcPr>
            <w:tcW w:w="1080" w:type="dxa"/>
            <w:vAlign w:val="center"/>
          </w:tcPr>
          <w:p w:rsidR="00D3052E" w:rsidRDefault="00635D2F">
            <w:pPr>
              <w:jc w:val="center"/>
              <w:rPr>
                <w:noProof/>
                <w:sz w:val="18"/>
              </w:rPr>
            </w:pPr>
            <w:r>
              <w:rPr>
                <w:noProof/>
                <w:sz w:val="18"/>
              </w:rPr>
              <w:t>Rok</w:t>
            </w:r>
            <w:r>
              <w:rPr>
                <w:noProof/>
              </w:rPr>
              <w:t xml:space="preserve"> </w:t>
            </w:r>
            <w:r>
              <w:rPr>
                <w:noProof/>
              </w:rPr>
              <w:br/>
            </w:r>
            <w:r>
              <w:rPr>
                <w:b/>
                <w:noProof/>
                <w:sz w:val="18"/>
              </w:rPr>
              <w:t>N</w:t>
            </w:r>
          </w:p>
        </w:tc>
        <w:tc>
          <w:tcPr>
            <w:tcW w:w="900" w:type="dxa"/>
            <w:vAlign w:val="center"/>
          </w:tcPr>
          <w:p w:rsidR="00D3052E" w:rsidRDefault="00635D2F">
            <w:pPr>
              <w:jc w:val="center"/>
              <w:rPr>
                <w:noProof/>
                <w:sz w:val="18"/>
              </w:rPr>
            </w:pPr>
            <w:r>
              <w:rPr>
                <w:noProof/>
                <w:sz w:val="18"/>
              </w:rPr>
              <w:t>Rok</w:t>
            </w:r>
            <w:r>
              <w:rPr>
                <w:noProof/>
              </w:rPr>
              <w:t xml:space="preserve"> </w:t>
            </w:r>
            <w:r>
              <w:rPr>
                <w:noProof/>
              </w:rPr>
              <w:br/>
            </w:r>
            <w:r>
              <w:rPr>
                <w:b/>
                <w:noProof/>
                <w:sz w:val="18"/>
              </w:rPr>
              <w:t>N+1</w:t>
            </w:r>
          </w:p>
        </w:tc>
        <w:tc>
          <w:tcPr>
            <w:tcW w:w="900" w:type="dxa"/>
            <w:vAlign w:val="center"/>
          </w:tcPr>
          <w:p w:rsidR="00D3052E" w:rsidRDefault="00635D2F">
            <w:pPr>
              <w:jc w:val="center"/>
              <w:rPr>
                <w:noProof/>
                <w:sz w:val="18"/>
              </w:rPr>
            </w:pPr>
            <w:r>
              <w:rPr>
                <w:noProof/>
                <w:sz w:val="18"/>
              </w:rPr>
              <w:t>Rok</w:t>
            </w:r>
            <w:r>
              <w:rPr>
                <w:noProof/>
              </w:rPr>
              <w:t xml:space="preserve"> </w:t>
            </w:r>
            <w:r>
              <w:rPr>
                <w:noProof/>
              </w:rPr>
              <w:br/>
            </w:r>
            <w:r>
              <w:rPr>
                <w:b/>
                <w:noProof/>
                <w:sz w:val="18"/>
              </w:rPr>
              <w:t>N+2</w:t>
            </w:r>
          </w:p>
        </w:tc>
        <w:tc>
          <w:tcPr>
            <w:tcW w:w="1080" w:type="dxa"/>
            <w:vAlign w:val="center"/>
          </w:tcPr>
          <w:p w:rsidR="00D3052E" w:rsidRDefault="00635D2F">
            <w:pPr>
              <w:jc w:val="center"/>
              <w:rPr>
                <w:noProof/>
                <w:sz w:val="18"/>
              </w:rPr>
            </w:pPr>
            <w:r>
              <w:rPr>
                <w:noProof/>
                <w:sz w:val="18"/>
              </w:rPr>
              <w:t>Rok</w:t>
            </w:r>
            <w:r>
              <w:rPr>
                <w:noProof/>
              </w:rPr>
              <w:t xml:space="preserve"> </w:t>
            </w:r>
            <w:r>
              <w:rPr>
                <w:noProof/>
              </w:rPr>
              <w:br/>
            </w:r>
            <w:r>
              <w:rPr>
                <w:b/>
                <w:noProof/>
                <w:sz w:val="18"/>
              </w:rPr>
              <w:t>N+3</w:t>
            </w:r>
          </w:p>
        </w:tc>
        <w:tc>
          <w:tcPr>
            <w:tcW w:w="3240" w:type="dxa"/>
            <w:gridSpan w:val="3"/>
            <w:vAlign w:val="center"/>
          </w:tcPr>
          <w:p w:rsidR="00D3052E" w:rsidRDefault="00635D2F">
            <w:pPr>
              <w:jc w:val="center"/>
              <w:rPr>
                <w:b/>
                <w:noProof/>
                <w:sz w:val="18"/>
              </w:rPr>
            </w:pPr>
            <w:r>
              <w:rPr>
                <w:noProof/>
                <w:sz w:val="18"/>
              </w:rPr>
              <w:t>Wprowadzić taką liczbę kolumn dla poszczególnych lat, jaka jest niezbędna, by odzwierciedlić cały okres wpływu (por. pkt 1.6)</w:t>
            </w:r>
          </w:p>
        </w:tc>
      </w:tr>
      <w:tr w:rsidR="00D3052E">
        <w:trPr>
          <w:trHeight w:val="388"/>
        </w:trPr>
        <w:tc>
          <w:tcPr>
            <w:tcW w:w="2144" w:type="dxa"/>
            <w:vAlign w:val="center"/>
          </w:tcPr>
          <w:p w:rsidR="00D3052E" w:rsidRDefault="00635D2F">
            <w:pPr>
              <w:spacing w:before="40" w:after="40"/>
              <w:rPr>
                <w:noProof/>
                <w:sz w:val="18"/>
              </w:rPr>
            </w:pPr>
            <w:r>
              <w:rPr>
                <w:noProof/>
                <w:sz w:val="18"/>
              </w:rPr>
              <w:t>Artykuł …</w:t>
            </w:r>
          </w:p>
        </w:tc>
        <w:tc>
          <w:tcPr>
            <w:tcW w:w="1276" w:type="dxa"/>
          </w:tcPr>
          <w:p w:rsidR="00D3052E" w:rsidRDefault="00D3052E">
            <w:pPr>
              <w:spacing w:beforeLines="40" w:before="96" w:afterLines="40" w:after="96"/>
              <w:jc w:val="center"/>
              <w:rPr>
                <w:i/>
                <w:noProof/>
                <w:sz w:val="18"/>
              </w:rPr>
            </w:pPr>
          </w:p>
        </w:tc>
        <w:tc>
          <w:tcPr>
            <w:tcW w:w="1080" w:type="dxa"/>
          </w:tcPr>
          <w:p w:rsidR="00D3052E" w:rsidRDefault="00D3052E">
            <w:pPr>
              <w:spacing w:beforeLines="40" w:before="96" w:afterLines="40" w:after="96"/>
              <w:jc w:val="center"/>
              <w:rPr>
                <w:noProof/>
                <w:sz w:val="18"/>
              </w:rPr>
            </w:pPr>
          </w:p>
        </w:tc>
        <w:tc>
          <w:tcPr>
            <w:tcW w:w="900" w:type="dxa"/>
          </w:tcPr>
          <w:p w:rsidR="00D3052E" w:rsidRDefault="00D3052E">
            <w:pPr>
              <w:spacing w:beforeLines="40" w:before="96" w:afterLines="40" w:after="96"/>
              <w:jc w:val="center"/>
              <w:rPr>
                <w:noProof/>
                <w:sz w:val="18"/>
              </w:rPr>
            </w:pPr>
          </w:p>
        </w:tc>
        <w:tc>
          <w:tcPr>
            <w:tcW w:w="900" w:type="dxa"/>
          </w:tcPr>
          <w:p w:rsidR="00D3052E" w:rsidRDefault="00D3052E">
            <w:pPr>
              <w:spacing w:beforeLines="40" w:before="96" w:afterLines="40" w:after="96"/>
              <w:jc w:val="center"/>
              <w:rPr>
                <w:noProof/>
                <w:sz w:val="18"/>
              </w:rPr>
            </w:pPr>
          </w:p>
        </w:tc>
        <w:tc>
          <w:tcPr>
            <w:tcW w:w="1080" w:type="dxa"/>
          </w:tcPr>
          <w:p w:rsidR="00D3052E" w:rsidRDefault="00D3052E">
            <w:pPr>
              <w:spacing w:beforeLines="40" w:before="96" w:afterLines="40" w:after="96"/>
              <w:jc w:val="center"/>
              <w:rPr>
                <w:noProof/>
                <w:sz w:val="18"/>
              </w:rPr>
            </w:pPr>
          </w:p>
        </w:tc>
        <w:tc>
          <w:tcPr>
            <w:tcW w:w="1080" w:type="dxa"/>
          </w:tcPr>
          <w:p w:rsidR="00D3052E" w:rsidRDefault="00D3052E">
            <w:pPr>
              <w:spacing w:beforeLines="40" w:before="96" w:afterLines="40" w:after="96"/>
              <w:jc w:val="center"/>
              <w:rPr>
                <w:noProof/>
                <w:sz w:val="18"/>
              </w:rPr>
            </w:pPr>
          </w:p>
        </w:tc>
        <w:tc>
          <w:tcPr>
            <w:tcW w:w="1080" w:type="dxa"/>
          </w:tcPr>
          <w:p w:rsidR="00D3052E" w:rsidRDefault="00D3052E">
            <w:pPr>
              <w:spacing w:beforeLines="40" w:before="96" w:afterLines="40" w:after="96"/>
              <w:jc w:val="center"/>
              <w:rPr>
                <w:noProof/>
                <w:sz w:val="18"/>
              </w:rPr>
            </w:pPr>
          </w:p>
        </w:tc>
        <w:tc>
          <w:tcPr>
            <w:tcW w:w="1080" w:type="dxa"/>
          </w:tcPr>
          <w:p w:rsidR="00D3052E" w:rsidRDefault="00D3052E">
            <w:pPr>
              <w:spacing w:beforeLines="40" w:before="96" w:afterLines="40" w:after="96"/>
              <w:jc w:val="center"/>
              <w:rPr>
                <w:noProof/>
                <w:sz w:val="18"/>
              </w:rPr>
            </w:pPr>
          </w:p>
        </w:tc>
      </w:tr>
    </w:tbl>
    <w:p w:rsidR="00D3052E" w:rsidRDefault="00635D2F">
      <w:pPr>
        <w:pStyle w:val="Text1"/>
        <w:rPr>
          <w:noProof/>
          <w:sz w:val="20"/>
        </w:rPr>
      </w:pPr>
      <w:r>
        <w:rPr>
          <w:noProof/>
          <w:sz w:val="20"/>
        </w:rPr>
        <w:lastRenderedPageBreak/>
        <w:t>W przypadku wpływu na dochody różne „przeznaczone na określony cel” należy wskazać linie budżetowe po stronie wydatków, które ten wpływ obejmie.</w:t>
      </w:r>
    </w:p>
    <w:p w:rsidR="00D3052E" w:rsidRDefault="00D3052E">
      <w:pPr>
        <w:pStyle w:val="Text1"/>
        <w:pBdr>
          <w:top w:val="single" w:sz="4" w:space="1" w:color="auto"/>
          <w:left w:val="single" w:sz="4" w:space="4" w:color="auto"/>
          <w:bottom w:val="single" w:sz="4" w:space="1" w:color="auto"/>
          <w:right w:val="single" w:sz="4" w:space="4" w:color="auto"/>
        </w:pBdr>
        <w:rPr>
          <w:noProof/>
        </w:rPr>
      </w:pPr>
    </w:p>
    <w:p w:rsidR="00D3052E" w:rsidRDefault="00635D2F">
      <w:pPr>
        <w:pStyle w:val="Text1"/>
        <w:rPr>
          <w:noProof/>
          <w:sz w:val="20"/>
        </w:rPr>
      </w:pPr>
      <w:r>
        <w:rPr>
          <w:noProof/>
          <w:sz w:val="20"/>
        </w:rPr>
        <w:t>Należy określić metodę obliczania wpływu na dochody.</w:t>
      </w:r>
    </w:p>
    <w:p w:rsidR="00D3052E" w:rsidRDefault="00D3052E">
      <w:pPr>
        <w:pStyle w:val="Text1"/>
        <w:pBdr>
          <w:top w:val="single" w:sz="4" w:space="1" w:color="auto"/>
          <w:left w:val="single" w:sz="4" w:space="4" w:color="auto"/>
          <w:bottom w:val="single" w:sz="4" w:space="1" w:color="auto"/>
          <w:right w:val="single" w:sz="4" w:space="4" w:color="auto"/>
        </w:pBdr>
        <w:rPr>
          <w:noProof/>
        </w:rPr>
      </w:pPr>
    </w:p>
    <w:sectPr w:rsidR="00D3052E">
      <w:pgSz w:w="12240" w:h="15840"/>
      <w:pgMar w:top="794" w:right="907" w:bottom="851" w:left="1361" w:header="51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162" w:rsidRDefault="001B6162">
      <w:pPr>
        <w:spacing w:before="0" w:after="0"/>
      </w:pPr>
      <w:r>
        <w:separator/>
      </w:r>
    </w:p>
  </w:endnote>
  <w:endnote w:type="continuationSeparator" w:id="0">
    <w:p w:rsidR="001B6162" w:rsidRDefault="001B61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52E" w:rsidRDefault="00635D2F">
    <w:pPr>
      <w:pStyle w:val="Stopka"/>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proofErr w:type="spellStart"/>
    <w:r>
      <w:rPr>
        <w:rFonts w:ascii="Arial" w:hAnsi="Arial" w:cs="Arial"/>
        <w:b/>
        <w:sz w:val="48"/>
      </w:rPr>
      <w:t>PL</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52E" w:rsidRDefault="00635D2F">
    <w:pPr>
      <w:pStyle w:val="Stopka"/>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52E" w:rsidRDefault="00D3052E">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52E" w:rsidRDefault="00635D2F">
    <w:pPr>
      <w:pStyle w:val="FooterLandscape"/>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52E" w:rsidRDefault="00D3052E">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52E" w:rsidRDefault="00635D2F">
    <w:pPr>
      <w:pStyle w:val="FooterLandscape"/>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PL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52E" w:rsidRDefault="00D3052E">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52E" w:rsidRDefault="00635D2F">
    <w:pPr>
      <w:pStyle w:val="Stopka"/>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Pr>
        <w:noProof/>
      </w:rPr>
      <w:t>37</w:t>
    </w:r>
    <w:r>
      <w:fldChar w:fldCharType="end"/>
    </w:r>
    <w:r>
      <w:tab/>
    </w:r>
    <w:r>
      <w:tab/>
    </w:r>
    <w:r>
      <w:rPr>
        <w:rFonts w:ascii="Arial" w:hAnsi="Arial" w:cs="Arial"/>
        <w:b/>
        <w:sz w:val="48"/>
      </w:rPr>
      <w:t>PL</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52E" w:rsidRDefault="00D305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162" w:rsidRDefault="001B6162">
      <w:pPr>
        <w:spacing w:before="0" w:after="0"/>
      </w:pPr>
      <w:r>
        <w:separator/>
      </w:r>
    </w:p>
  </w:footnote>
  <w:footnote w:type="continuationSeparator" w:id="0">
    <w:p w:rsidR="001B6162" w:rsidRDefault="001B6162">
      <w:pPr>
        <w:spacing w:before="0" w:after="0"/>
      </w:pPr>
      <w:r>
        <w:continuationSeparator/>
      </w:r>
    </w:p>
  </w:footnote>
  <w:footnote w:id="1">
    <w:p w:rsidR="00D3052E" w:rsidRDefault="00635D2F">
      <w:pPr>
        <w:pStyle w:val="Tekstprzypisudolnego"/>
      </w:pPr>
      <w:r>
        <w:rPr>
          <w:rStyle w:val="Odwoanieprzypisudolnego"/>
        </w:rPr>
        <w:footnoteRef/>
      </w:r>
      <w:r>
        <w:tab/>
        <w:t>Sprawozdanie Europejskiej Agencji Środowiska: „Środowisko Europy 2020 – stan i prognozy: wiedza na rzecz transformacji w kierunku zrównoważonej Europy” (2019 r.)</w:t>
      </w:r>
      <w:r>
        <w:rPr>
          <w:i/>
        </w:rPr>
        <w:t>.</w:t>
      </w:r>
    </w:p>
  </w:footnote>
  <w:footnote w:id="2">
    <w:p w:rsidR="00D3052E" w:rsidRDefault="00635D2F">
      <w:pPr>
        <w:pStyle w:val="Tekstprzypisudolnego"/>
      </w:pPr>
      <w:r>
        <w:rPr>
          <w:rStyle w:val="Odwoanieprzypisudolnego"/>
        </w:rPr>
        <w:footnoteRef/>
      </w:r>
      <w:r>
        <w:tab/>
        <w:t xml:space="preserve">COM(2019) 640 </w:t>
      </w:r>
      <w:proofErr w:type="spellStart"/>
      <w:r>
        <w:t>final</w:t>
      </w:r>
      <w:proofErr w:type="spellEnd"/>
      <w:r>
        <w:t>.</w:t>
      </w:r>
    </w:p>
  </w:footnote>
  <w:footnote w:id="3">
    <w:p w:rsidR="00D3052E" w:rsidRDefault="00635D2F">
      <w:pPr>
        <w:pStyle w:val="Tekstprzypisudolnego"/>
      </w:pPr>
      <w:r>
        <w:rPr>
          <w:rStyle w:val="Odwoanieprzypisudolnego"/>
        </w:rPr>
        <w:footnoteRef/>
      </w:r>
      <w:r>
        <w:tab/>
        <w:t xml:space="preserve">COM(2018) 773 </w:t>
      </w:r>
      <w:proofErr w:type="spellStart"/>
      <w:r>
        <w:t>final</w:t>
      </w:r>
      <w:proofErr w:type="spellEnd"/>
      <w:r>
        <w:t>.</w:t>
      </w:r>
    </w:p>
  </w:footnote>
  <w:footnote w:id="4">
    <w:p w:rsidR="00D3052E" w:rsidRDefault="00635D2F">
      <w:pPr>
        <w:pStyle w:val="Tekstprzypisudolnego"/>
      </w:pPr>
      <w:r>
        <w:rPr>
          <w:rStyle w:val="Odwoanieprzypisudolnego"/>
        </w:rPr>
        <w:footnoteRef/>
      </w:r>
      <w:r>
        <w:tab/>
        <w:t>Uwagi przekazane przez Chorwację i Komisję Europejską w imieniu Unii Europejskiej i jej państw członkowskich „</w:t>
      </w:r>
      <w:proofErr w:type="spellStart"/>
      <w:r>
        <w:t>Long</w:t>
      </w:r>
      <w:proofErr w:type="spellEnd"/>
      <w:r>
        <w:t xml:space="preserve">-term </w:t>
      </w:r>
      <w:proofErr w:type="spellStart"/>
      <w:r>
        <w:t>low</w:t>
      </w:r>
      <w:proofErr w:type="spellEnd"/>
      <w:r>
        <w:t xml:space="preserve"> </w:t>
      </w:r>
      <w:proofErr w:type="spellStart"/>
      <w:r>
        <w:t>greenhouse</w:t>
      </w:r>
      <w:proofErr w:type="spellEnd"/>
      <w:r>
        <w:t xml:space="preserve"> </w:t>
      </w:r>
      <w:proofErr w:type="spellStart"/>
      <w:r>
        <w:t>gas</w:t>
      </w:r>
      <w:proofErr w:type="spellEnd"/>
      <w:r>
        <w:t xml:space="preserve"> </w:t>
      </w:r>
      <w:proofErr w:type="spellStart"/>
      <w:r>
        <w:t>emission</w:t>
      </w:r>
      <w:proofErr w:type="spellEnd"/>
      <w:r>
        <w:t xml:space="preserve"> development </w:t>
      </w:r>
      <w:proofErr w:type="spellStart"/>
      <w:r>
        <w:t>strategy</w:t>
      </w:r>
      <w:proofErr w:type="spellEnd"/>
      <w:r>
        <w:t xml:space="preserve"> of the </w:t>
      </w:r>
      <w:proofErr w:type="spellStart"/>
      <w:r>
        <w:t>European</w:t>
      </w:r>
      <w:proofErr w:type="spellEnd"/>
      <w:r>
        <w:t xml:space="preserve"> Union and </w:t>
      </w:r>
      <w:proofErr w:type="spellStart"/>
      <w:r>
        <w:t>its</w:t>
      </w:r>
      <w:proofErr w:type="spellEnd"/>
      <w:r>
        <w:t xml:space="preserve"> </w:t>
      </w:r>
      <w:proofErr w:type="spellStart"/>
      <w:r>
        <w:t>Member</w:t>
      </w:r>
      <w:proofErr w:type="spellEnd"/>
      <w:r>
        <w:t xml:space="preserve"> </w:t>
      </w:r>
      <w:proofErr w:type="spellStart"/>
      <w:r>
        <w:t>States</w:t>
      </w:r>
      <w:proofErr w:type="spellEnd"/>
      <w:r>
        <w:t xml:space="preserve">” [„Długoterminowa strategia rozwoju niskoemisyjnego Unii Europejskiej i jej państw członkowskich”] (2020, </w:t>
      </w:r>
      <w:hyperlink r:id="rId1" w:history="1">
        <w:r>
          <w:rPr>
            <w:rStyle w:val="Hipercze"/>
          </w:rPr>
          <w:t>https://unfccc.int/sites/default/files/resource/HR-03-06-2020%20EU‌%20Submission%20on%20Long%20term%20strategy.pdf</w:t>
        </w:r>
      </w:hyperlink>
      <w:r>
        <w:t>).</w:t>
      </w:r>
    </w:p>
  </w:footnote>
  <w:footnote w:id="5">
    <w:p w:rsidR="00D3052E" w:rsidRDefault="00635D2F">
      <w:pPr>
        <w:pStyle w:val="Tekstprzypisudolnego"/>
      </w:pPr>
      <w:r>
        <w:rPr>
          <w:rStyle w:val="Odwoanieprzypisudolnego"/>
        </w:rPr>
        <w:footnoteRef/>
      </w:r>
      <w:r>
        <w:tab/>
        <w:t xml:space="preserve">COM(2020) 80 </w:t>
      </w:r>
      <w:proofErr w:type="spellStart"/>
      <w:r>
        <w:t>final</w:t>
      </w:r>
      <w:proofErr w:type="spellEnd"/>
      <w:r>
        <w:t>.</w:t>
      </w:r>
    </w:p>
  </w:footnote>
  <w:footnote w:id="6">
    <w:p w:rsidR="00D3052E" w:rsidRDefault="00635D2F">
      <w:pPr>
        <w:pStyle w:val="Tekstprzypisudolnego"/>
      </w:pPr>
      <w:r>
        <w:rPr>
          <w:rStyle w:val="Odwoanieprzypisudolnego"/>
        </w:rPr>
        <w:footnoteRef/>
      </w:r>
      <w:r>
        <w:tab/>
        <w:t xml:space="preserve">COM (2020) 98 </w:t>
      </w:r>
      <w:proofErr w:type="spellStart"/>
      <w:r>
        <w:t>final</w:t>
      </w:r>
      <w:proofErr w:type="spellEnd"/>
      <w:r>
        <w:t>.</w:t>
      </w:r>
    </w:p>
  </w:footnote>
  <w:footnote w:id="7">
    <w:p w:rsidR="00D3052E" w:rsidRDefault="00635D2F">
      <w:pPr>
        <w:pStyle w:val="Tekstprzypisudolnego"/>
        <w:rPr>
          <w:rStyle w:val="Odwoanieprzypisudolnego"/>
        </w:rPr>
      </w:pPr>
      <w:r>
        <w:rPr>
          <w:rStyle w:val="Odwoanieprzypisudolnego"/>
        </w:rPr>
        <w:footnoteRef/>
      </w:r>
      <w:r>
        <w:tab/>
        <w:t xml:space="preserve">COM(2020) 380 </w:t>
      </w:r>
      <w:proofErr w:type="spellStart"/>
      <w:r>
        <w:t>final</w:t>
      </w:r>
      <w:proofErr w:type="spellEnd"/>
      <w:r>
        <w:t>.</w:t>
      </w:r>
    </w:p>
  </w:footnote>
  <w:footnote w:id="8">
    <w:p w:rsidR="00D3052E" w:rsidRDefault="00635D2F">
      <w:pPr>
        <w:pStyle w:val="Tekstprzypisudolnego"/>
      </w:pPr>
      <w:r>
        <w:rPr>
          <w:rStyle w:val="Odwoanieprzypisudolnego"/>
        </w:rPr>
        <w:footnoteRef/>
      </w:r>
      <w:r>
        <w:tab/>
        <w:t xml:space="preserve">COM(2020) 381 </w:t>
      </w:r>
      <w:proofErr w:type="spellStart"/>
      <w:r>
        <w:t>final</w:t>
      </w:r>
      <w:proofErr w:type="spellEnd"/>
      <w:r>
        <w:t>.</w:t>
      </w:r>
    </w:p>
  </w:footnote>
  <w:footnote w:id="9">
    <w:p w:rsidR="00D3052E" w:rsidRDefault="00635D2F">
      <w:pPr>
        <w:pStyle w:val="Tekstprzypisudolnego"/>
      </w:pPr>
      <w:r>
        <w:rPr>
          <w:rStyle w:val="Odwoanieprzypisudolnego"/>
        </w:rPr>
        <w:footnoteRef/>
      </w:r>
      <w:r>
        <w:tab/>
        <w:t xml:space="preserve">COM (2019) 233 </w:t>
      </w:r>
      <w:proofErr w:type="spellStart"/>
      <w:r>
        <w:t>final</w:t>
      </w:r>
      <w:proofErr w:type="spellEnd"/>
      <w:r>
        <w:t>.</w:t>
      </w:r>
    </w:p>
  </w:footnote>
  <w:footnote w:id="10">
    <w:p w:rsidR="00D3052E" w:rsidRDefault="00635D2F">
      <w:pPr>
        <w:pStyle w:val="Tekstprzypisudolnego"/>
      </w:pPr>
      <w:r>
        <w:rPr>
          <w:rStyle w:val="Odwoanieprzypisudolnego"/>
        </w:rPr>
        <w:footnoteRef/>
      </w:r>
      <w:r>
        <w:tab/>
        <w:t>Europejska ocena skutków Parlamentu Europejskiego:</w:t>
      </w:r>
      <w:r>
        <w:rPr>
          <w:i/>
        </w:rPr>
        <w:t xml:space="preserve"> </w:t>
      </w:r>
      <w:r>
        <w:t>Wdrożenie 7. unijnego programu działań w zakresie środowiska – przegląd śródokresowy (2017).</w:t>
      </w:r>
    </w:p>
  </w:footnote>
  <w:footnote w:id="11">
    <w:p w:rsidR="00D3052E" w:rsidRDefault="00635D2F">
      <w:pPr>
        <w:pStyle w:val="Tekstprzypisudolnego"/>
      </w:pPr>
      <w:r>
        <w:rPr>
          <w:rStyle w:val="Odwoanieprzypisudolnego"/>
        </w:rPr>
        <w:footnoteRef/>
      </w:r>
      <w:r>
        <w:tab/>
        <w:t>Rezolucja Parlamentu Europejskiego z dnia 17 kwietnia 2018 r. w sprawie wdrożenia 7. unijnego programu działań w zakresie środowiska (2017/2030(INI)).</w:t>
      </w:r>
    </w:p>
  </w:footnote>
  <w:footnote w:id="12">
    <w:p w:rsidR="00D3052E" w:rsidRDefault="00635D2F">
      <w:pPr>
        <w:pStyle w:val="Tekstprzypisudolnego"/>
      </w:pPr>
      <w:r>
        <w:rPr>
          <w:rStyle w:val="Odwoanieprzypisudolnego"/>
        </w:rPr>
        <w:footnoteRef/>
      </w:r>
      <w:r>
        <w:tab/>
        <w:t>Komitet Regionów: „W kierunku 8. unijnego programu działań w zakresie środowiska – wymiar lokalny i regionalny” (2018).</w:t>
      </w:r>
    </w:p>
  </w:footnote>
  <w:footnote w:id="13">
    <w:p w:rsidR="00D3052E" w:rsidRDefault="00635D2F">
      <w:pPr>
        <w:pStyle w:val="Tekstprzypisudolnego"/>
      </w:pPr>
      <w:r>
        <w:rPr>
          <w:rStyle w:val="Odwoanieprzypisudolnego"/>
        </w:rPr>
        <w:footnoteRef/>
      </w:r>
      <w:r>
        <w:tab/>
        <w:t>Dz.U. C 168 z 16.5.2019, s. 27.</w:t>
      </w:r>
    </w:p>
  </w:footnote>
  <w:footnote w:id="14">
    <w:p w:rsidR="00D3052E" w:rsidRDefault="00635D2F">
      <w:pPr>
        <w:pStyle w:val="Tekstprzypisudolnego"/>
      </w:pPr>
      <w:r>
        <w:rPr>
          <w:rStyle w:val="Odwoanieprzypisudolnego"/>
        </w:rPr>
        <w:footnoteRef/>
      </w:r>
      <w:r>
        <w:tab/>
        <w:t>Konkluzje Rady z dnia 4 października 2019 r. (dok. 12795/19)</w:t>
      </w:r>
    </w:p>
  </w:footnote>
  <w:footnote w:id="15">
    <w:p w:rsidR="00D3052E" w:rsidRDefault="00635D2F">
      <w:pPr>
        <w:pStyle w:val="Tekstprzypisudolnego"/>
      </w:pPr>
      <w:r>
        <w:rPr>
          <w:rStyle w:val="Odwoanieprzypisudolnego"/>
        </w:rPr>
        <w:footnoteRef/>
      </w:r>
      <w:r>
        <w:tab/>
        <w:t xml:space="preserve">Zob. na przykład </w:t>
      </w:r>
      <w:hyperlink r:id="rId2" w:history="1">
        <w:r>
          <w:rPr>
            <w:rStyle w:val="Hipercze"/>
          </w:rPr>
          <w:t>https://data.consilium.europa.eu/doc/document/ST-10414-2019-INIT/pl/pdf</w:t>
        </w:r>
      </w:hyperlink>
      <w:r>
        <w:rPr>
          <w:rStyle w:val="Hipercze"/>
        </w:rPr>
        <w:t xml:space="preserve"> </w:t>
      </w:r>
      <w:r>
        <w:t>.</w:t>
      </w:r>
    </w:p>
  </w:footnote>
  <w:footnote w:id="16">
    <w:p w:rsidR="00D3052E" w:rsidRDefault="00635D2F">
      <w:pPr>
        <w:pStyle w:val="Tekstkomentarza"/>
        <w:ind w:left="720" w:hanging="720"/>
      </w:pPr>
      <w:r>
        <w:rPr>
          <w:rStyle w:val="Odwoanieprzypisudolnego"/>
        </w:rPr>
        <w:footnoteRef/>
      </w:r>
      <w:r>
        <w:tab/>
      </w:r>
      <w:hyperlink r:id="rId3" w:history="1">
        <w:r>
          <w:rPr>
            <w:rStyle w:val="Hipercze"/>
          </w:rPr>
          <w:t>https://www.eesc.europa.eu/en/our-work/opinions-information-reports/opinions/reflection-paper-towards-sustainable-europe-2030</w:t>
        </w:r>
      </w:hyperlink>
    </w:p>
  </w:footnote>
  <w:footnote w:id="17">
    <w:p w:rsidR="00D3052E" w:rsidRDefault="00635D2F">
      <w:pPr>
        <w:pStyle w:val="Tekstprzypisudolnego"/>
      </w:pPr>
      <w:r>
        <w:rPr>
          <w:rStyle w:val="Odwoanieprzypisudolnego"/>
        </w:rPr>
        <w:footnoteRef/>
      </w:r>
      <w:r>
        <w:tab/>
        <w:t xml:space="preserve">Zob. na przykład </w:t>
      </w:r>
      <w:r>
        <w:rPr>
          <w:i/>
        </w:rPr>
        <w:t>ramy OECD dotyczące dobrobytu</w:t>
      </w:r>
      <w:r>
        <w:t xml:space="preserve">, </w:t>
      </w:r>
      <w:r>
        <w:rPr>
          <w:i/>
        </w:rPr>
        <w:t>ramy OECD dotyczące działań w ramach polityki na rzecz wzrostu sprzyjającego włączeniu społecznemu</w:t>
      </w:r>
      <w:r>
        <w:t xml:space="preserve">, </w:t>
      </w:r>
      <w:r>
        <w:rPr>
          <w:i/>
        </w:rPr>
        <w:t>inicjatywa „Lepsze życie”</w:t>
      </w:r>
      <w:r>
        <w:t xml:space="preserve"> i </w:t>
      </w:r>
      <w:r>
        <w:rPr>
          <w:i/>
        </w:rPr>
        <w:t>inicjatywa „Nowe podejścia do wyzwań gospodarczych”.</w:t>
      </w:r>
    </w:p>
  </w:footnote>
  <w:footnote w:id="18">
    <w:p w:rsidR="00D3052E" w:rsidRDefault="00635D2F">
      <w:pPr>
        <w:pStyle w:val="Tekstprzypisudolnego"/>
      </w:pPr>
      <w:r>
        <w:rPr>
          <w:rStyle w:val="Odwoanieprzypisudolnego"/>
        </w:rPr>
        <w:footnoteRef/>
      </w:r>
      <w:r>
        <w:tab/>
        <w:t>https://www.postgrowth2018.eu/</w:t>
      </w:r>
    </w:p>
  </w:footnote>
  <w:footnote w:id="19">
    <w:p w:rsidR="00D3052E" w:rsidRDefault="00635D2F">
      <w:pPr>
        <w:pStyle w:val="Tekstprzypisudolnego"/>
      </w:pPr>
      <w:r>
        <w:rPr>
          <w:rStyle w:val="Odwoanieprzypisudolnego"/>
        </w:rPr>
        <w:footnoteRef/>
      </w:r>
      <w:r>
        <w:tab/>
        <w:t xml:space="preserve">Zob. na przykład </w:t>
      </w:r>
      <w:hyperlink r:id="rId4" w:history="1">
        <w:r>
          <w:rPr>
            <w:rStyle w:val="Hipercze"/>
          </w:rPr>
          <w:t>https://www.eea.europa.eu/publications/environmental-indicator-report-2018</w:t>
        </w:r>
      </w:hyperlink>
      <w:r>
        <w:t>.</w:t>
      </w:r>
    </w:p>
  </w:footnote>
  <w:footnote w:id="20">
    <w:p w:rsidR="00D3052E" w:rsidRDefault="00635D2F">
      <w:pPr>
        <w:pStyle w:val="Tekstprzypisudolnego"/>
      </w:pPr>
      <w:r>
        <w:rPr>
          <w:rStyle w:val="Odwoanieprzypisudolnego"/>
        </w:rPr>
        <w:footnoteRef/>
      </w:r>
      <w:r>
        <w:tab/>
        <w:t xml:space="preserve">COM(2020) 98 </w:t>
      </w:r>
      <w:proofErr w:type="spellStart"/>
      <w:r>
        <w:t>final</w:t>
      </w:r>
      <w:proofErr w:type="spellEnd"/>
      <w:r>
        <w:t>, s. 18.</w:t>
      </w:r>
    </w:p>
  </w:footnote>
  <w:footnote w:id="21">
    <w:p w:rsidR="00D3052E" w:rsidRDefault="00635D2F">
      <w:pPr>
        <w:pStyle w:val="Tekstprzypisudolnego"/>
      </w:pPr>
      <w:r>
        <w:rPr>
          <w:rStyle w:val="Odwoanieprzypisudolnego"/>
        </w:rPr>
        <w:footnoteRef/>
      </w:r>
      <w:r>
        <w:tab/>
        <w:t>Wstawić, jeżeli EKES przyjmie opinię w sprawie wniosku.</w:t>
      </w:r>
    </w:p>
  </w:footnote>
  <w:footnote w:id="22">
    <w:p w:rsidR="00D3052E" w:rsidRDefault="00635D2F">
      <w:pPr>
        <w:pStyle w:val="Tekstprzypisudolnego"/>
      </w:pPr>
      <w:r>
        <w:rPr>
          <w:rStyle w:val="Odwoanieprzypisudolnego"/>
        </w:rPr>
        <w:footnoteRef/>
      </w:r>
      <w:r>
        <w:tab/>
        <w:t>Wstawić, jeżeli KR przyjmie opinię w sprawie wniosku.</w:t>
      </w:r>
    </w:p>
  </w:footnote>
  <w:footnote w:id="23">
    <w:p w:rsidR="00D3052E" w:rsidRDefault="00635D2F">
      <w:pPr>
        <w:pStyle w:val="Tekstprzypisudolnego"/>
      </w:pPr>
      <w:r>
        <w:rPr>
          <w:rStyle w:val="Odwoanieprzypisudolnego"/>
        </w:rPr>
        <w:footnoteRef/>
      </w:r>
      <w:r>
        <w:tab/>
        <w:t>Dz.U. L 354 z 28.12.2013, s. 171.</w:t>
      </w:r>
    </w:p>
  </w:footnote>
  <w:footnote w:id="24">
    <w:p w:rsidR="00D3052E" w:rsidRDefault="00635D2F">
      <w:pPr>
        <w:pStyle w:val="Tekstprzypisudolnego"/>
      </w:pPr>
      <w:r>
        <w:rPr>
          <w:rStyle w:val="Odwoanieprzypisudolnego"/>
        </w:rPr>
        <w:footnoteRef/>
      </w:r>
      <w:r>
        <w:tab/>
        <w:t xml:space="preserve">COM(2019) 233 </w:t>
      </w:r>
      <w:proofErr w:type="spellStart"/>
      <w:r>
        <w:t>final</w:t>
      </w:r>
      <w:proofErr w:type="spellEnd"/>
      <w:r>
        <w:t>.</w:t>
      </w:r>
    </w:p>
  </w:footnote>
  <w:footnote w:id="25">
    <w:p w:rsidR="00D3052E" w:rsidRDefault="00635D2F">
      <w:pPr>
        <w:pStyle w:val="Tekstprzypisudolnego"/>
      </w:pPr>
      <w:r>
        <w:rPr>
          <w:rStyle w:val="Odwoanieprzypisudolnego"/>
        </w:rPr>
        <w:footnoteRef/>
      </w:r>
      <w:r>
        <w:tab/>
        <w:t xml:space="preserve">COM(2019) 640 </w:t>
      </w:r>
      <w:proofErr w:type="spellStart"/>
      <w:r>
        <w:t>final</w:t>
      </w:r>
      <w:proofErr w:type="spellEnd"/>
      <w:r>
        <w:t>.</w:t>
      </w:r>
    </w:p>
  </w:footnote>
  <w:footnote w:id="26">
    <w:p w:rsidR="00D3052E" w:rsidRDefault="00635D2F">
      <w:pPr>
        <w:pStyle w:val="Tekstprzypisudolnego"/>
      </w:pPr>
      <w:r>
        <w:rPr>
          <w:rStyle w:val="Odwoanieprzypisudolnego"/>
        </w:rPr>
        <w:footnoteRef/>
      </w:r>
      <w:r>
        <w:tab/>
        <w:t xml:space="preserve">COM(2020) 80 </w:t>
      </w:r>
      <w:proofErr w:type="spellStart"/>
      <w:r>
        <w:t>final</w:t>
      </w:r>
      <w:proofErr w:type="spellEnd"/>
      <w:r>
        <w:t>.</w:t>
      </w:r>
    </w:p>
  </w:footnote>
  <w:footnote w:id="27">
    <w:p w:rsidR="00D3052E" w:rsidRDefault="00635D2F">
      <w:pPr>
        <w:pStyle w:val="Tekstprzypisudolnego"/>
      </w:pPr>
      <w:r>
        <w:rPr>
          <w:rStyle w:val="Odwoanieprzypisudolnego"/>
        </w:rPr>
        <w:footnoteRef/>
      </w:r>
      <w:r>
        <w:tab/>
        <w:t xml:space="preserve">Zob. na przykład https://data.consilium.europa.eu/doc/document/ST-10414-2019-INIT/pl/pdf. </w:t>
      </w:r>
    </w:p>
  </w:footnote>
  <w:footnote w:id="28">
    <w:p w:rsidR="00D3052E" w:rsidRDefault="00635D2F">
      <w:pPr>
        <w:pStyle w:val="Tekstprzypisudolnego"/>
      </w:pPr>
      <w:r>
        <w:rPr>
          <w:rStyle w:val="Odwoanieprzypisudolnego"/>
        </w:rPr>
        <w:footnoteRef/>
      </w:r>
      <w:r>
        <w:tab/>
        <w:t>https://www.eesc.europa.eu/en/our-work/opinions-information-reports/opinions/reflection-paper-towards-sustainable-europe-2030</w:t>
      </w:r>
    </w:p>
  </w:footnote>
  <w:footnote w:id="29">
    <w:p w:rsidR="00D3052E" w:rsidRDefault="00635D2F">
      <w:pPr>
        <w:pStyle w:val="Tekstprzypisudolnego"/>
      </w:pPr>
      <w:r>
        <w:rPr>
          <w:rStyle w:val="Odwoanieprzypisudolnego"/>
        </w:rPr>
        <w:footnoteRef/>
      </w:r>
      <w:r>
        <w:tab/>
        <w:t>Zob. na przykład ramy OECD dotyczące dobrobytu, ramy OECD dotyczące działań politycznych na rzecz wzrostu sprzyjającego włączeniu społecznemu, inicjatywa „Lepsze życie” i inicjatywa „Nowe podejścia do wyzwań gospodarczych”.</w:t>
      </w:r>
    </w:p>
  </w:footnote>
  <w:footnote w:id="30">
    <w:p w:rsidR="00D3052E" w:rsidRDefault="00635D2F">
      <w:pPr>
        <w:pStyle w:val="Tekstprzypisudolnego"/>
      </w:pPr>
      <w:r>
        <w:rPr>
          <w:rStyle w:val="Odwoanieprzypisudolnego"/>
        </w:rPr>
        <w:footnoteRef/>
      </w:r>
      <w:r>
        <w:tab/>
        <w:t xml:space="preserve">Rozporządzenie Parlamentu Europejskiego i Rady (UE) 2018/1999 z dnia 11 grudnia 2018 r. w sprawie zarządzania unią energetyczną i działaniami w dziedzinie klimatu, </w:t>
      </w:r>
      <w:r>
        <w:rPr>
          <w:rStyle w:val="Uwydatnienie"/>
        </w:rPr>
        <w:t>Dz.U. L 328 z 21.12.2018, s. 1</w:t>
      </w:r>
      <w:r>
        <w:t>.</w:t>
      </w:r>
    </w:p>
  </w:footnote>
  <w:footnote w:id="31">
    <w:p w:rsidR="00D3052E" w:rsidRDefault="00635D2F">
      <w:pPr>
        <w:pStyle w:val="Tekstprzypisudolnego"/>
      </w:pPr>
      <w:r>
        <w:rPr>
          <w:rStyle w:val="Odwoanieprzypisudolnego"/>
        </w:rPr>
        <w:footnoteRef/>
      </w:r>
      <w:r>
        <w:tab/>
        <w:t xml:space="preserve">COM/2020/493 </w:t>
      </w:r>
      <w:proofErr w:type="spellStart"/>
      <w:r>
        <w:t>final</w:t>
      </w:r>
      <w:proofErr w:type="spellEnd"/>
      <w:r>
        <w:t>.</w:t>
      </w:r>
    </w:p>
  </w:footnote>
  <w:footnote w:id="32">
    <w:p w:rsidR="00D3052E" w:rsidRDefault="00635D2F">
      <w:pPr>
        <w:pStyle w:val="Tekstprzypisudolnego"/>
      </w:pPr>
      <w:r>
        <w:rPr>
          <w:rStyle w:val="Odwoanieprzypisudolnego"/>
        </w:rPr>
        <w:footnoteRef/>
      </w:r>
      <w:r>
        <w:tab/>
        <w:t xml:space="preserve">COM/2020/80 </w:t>
      </w:r>
      <w:proofErr w:type="spellStart"/>
      <w:r>
        <w:t>final</w:t>
      </w:r>
      <w:proofErr w:type="spellEnd"/>
      <w:r>
        <w:t>.</w:t>
      </w:r>
    </w:p>
  </w:footnote>
  <w:footnote w:id="33">
    <w:p w:rsidR="00D3052E" w:rsidRDefault="00635D2F">
      <w:pPr>
        <w:pStyle w:val="Tekstprzypisudolnego"/>
      </w:pPr>
      <w:r>
        <w:rPr>
          <w:rStyle w:val="Odwoanieprzypisudolnego"/>
        </w:rPr>
        <w:footnoteRef/>
      </w:r>
      <w:r>
        <w:tab/>
        <w:t xml:space="preserve">Dyrektywa Parlamentu Europejskiego i Rady 2014/52/UE z dnia 16 kwietnia 2014 r. zmieniająca dyrektywę 2011/92/UE w sprawie oceny wpływu wywieranego przez niektóre przedsięwzięcia publiczne i prywatne na środowisko (Dz.U. L 124 z 25.4.2014, s. 1). </w:t>
      </w:r>
    </w:p>
  </w:footnote>
  <w:footnote w:id="34">
    <w:p w:rsidR="00D3052E" w:rsidRDefault="00635D2F">
      <w:pPr>
        <w:pStyle w:val="Tekstprzypisudolnego"/>
      </w:pPr>
      <w:r>
        <w:rPr>
          <w:rStyle w:val="Odwoanieprzypisudolnego"/>
        </w:rPr>
        <w:footnoteRef/>
      </w:r>
      <w:r>
        <w:tab/>
        <w:t>Dyrektywa 2001/42/WE Parlamentu Europejskiego i Rady z dnia 27 czerwca 2001 r. w sprawie oceny wpływu niektórych planów i programów na środowisko (Dz.U. L 197 z 21.7.2001, s. 30).</w:t>
      </w:r>
    </w:p>
  </w:footnote>
  <w:footnote w:id="35">
    <w:p w:rsidR="00D3052E" w:rsidRDefault="00635D2F">
      <w:pPr>
        <w:pStyle w:val="Tekstprzypisudolnego"/>
      </w:pPr>
      <w:r>
        <w:rPr>
          <w:rStyle w:val="Odwoanieprzypisudolnego"/>
        </w:rPr>
        <w:footnoteRef/>
      </w:r>
      <w:r>
        <w:tab/>
        <w:t>https://www.unece.org/fileadmin/DAM/env/pp/documents/cep43e.pdf.</w:t>
      </w:r>
    </w:p>
  </w:footnote>
  <w:footnote w:id="36">
    <w:p w:rsidR="00D3052E" w:rsidRDefault="00635D2F">
      <w:pPr>
        <w:pStyle w:val="Tekstprzypisudolnego"/>
        <w:rPr>
          <w:szCs w:val="24"/>
        </w:rPr>
      </w:pPr>
      <w:r>
        <w:rPr>
          <w:rStyle w:val="Odwoanieprzypisudolnego"/>
        </w:rPr>
        <w:footnoteRef/>
      </w:r>
      <w:r>
        <w:tab/>
        <w:t>O którym mowa w art. 58 ust. 2 lit. a) lub b) rozporządzenia finansowego.</w:t>
      </w:r>
    </w:p>
  </w:footnote>
  <w:footnote w:id="37">
    <w:p w:rsidR="00D3052E" w:rsidRDefault="00635D2F">
      <w:pPr>
        <w:pStyle w:val="Tekstprzypisudolnego"/>
      </w:pPr>
      <w:r>
        <w:rPr>
          <w:rStyle w:val="Odwoanieprzypisudolnego"/>
        </w:rPr>
        <w:footnoteRef/>
      </w:r>
      <w:r>
        <w:tab/>
        <w:t xml:space="preserve">Zob. </w:t>
      </w:r>
      <w:hyperlink r:id="rId5" w:history="1">
        <w:r>
          <w:rPr>
            <w:rStyle w:val="Hipercze"/>
          </w:rPr>
          <w:t>https://ec.europa.eu/environment/legal/reporting/fc_actions_en.htm</w:t>
        </w:r>
      </w:hyperlink>
      <w:r>
        <w:t>.</w:t>
      </w:r>
    </w:p>
  </w:footnote>
  <w:footnote w:id="38">
    <w:p w:rsidR="00D3052E" w:rsidRDefault="00635D2F">
      <w:pPr>
        <w:pStyle w:val="Tekstprzypisudolnego"/>
        <w:rPr>
          <w:szCs w:val="24"/>
        </w:rPr>
      </w:pPr>
      <w:r>
        <w:rPr>
          <w:rStyle w:val="Odwoanieprzypisudolnego"/>
        </w:rPr>
        <w:footnoteRef/>
      </w:r>
      <w:r>
        <w:tab/>
        <w:t xml:space="preserve">Wyjaśnienia dotyczące trybów zarządzania oraz odniesienia do rozporządzenia finansowego znajdują się na następującej stronie: </w:t>
      </w:r>
      <w:hyperlink r:id="rId6" w:history="1">
        <w:r>
          <w:rPr>
            <w:rStyle w:val="Hipercze"/>
          </w:rPr>
          <w:t>https://myintracomm.ec.europa.eu/budgweb/PL/man/budgmanag/Pages/budgmanag.aspx</w:t>
        </w:r>
      </w:hyperlink>
      <w:r>
        <w:t>.</w:t>
      </w:r>
    </w:p>
  </w:footnote>
  <w:footnote w:id="39">
    <w:p w:rsidR="00D3052E" w:rsidRDefault="00635D2F">
      <w:pPr>
        <w:ind w:left="720" w:hanging="720"/>
        <w:rPr>
          <w:sz w:val="20"/>
          <w:szCs w:val="20"/>
        </w:rPr>
      </w:pPr>
      <w:r>
        <w:rPr>
          <w:rStyle w:val="Odwoanieprzypisudolnego"/>
        </w:rPr>
        <w:footnoteRef/>
      </w:r>
      <w:r>
        <w:tab/>
      </w:r>
      <w:r>
        <w:rPr>
          <w:sz w:val="20"/>
          <w:szCs w:val="20"/>
        </w:rPr>
        <w:t>Przedstawione dane budżetowe mają charakter orientacyjny i pozostają bez uszczerbku dla procedur budżetowych będących następstwem przyjęcia wieloletnich ram finansowych na lata 2021–2027.</w:t>
      </w:r>
    </w:p>
  </w:footnote>
  <w:footnote w:id="40">
    <w:p w:rsidR="00D3052E" w:rsidRDefault="00635D2F">
      <w:pPr>
        <w:pStyle w:val="Tekstprzypisudolnego"/>
        <w:rPr>
          <w:szCs w:val="24"/>
        </w:rPr>
      </w:pPr>
      <w:r>
        <w:rPr>
          <w:rStyle w:val="Odwoanieprzypisudolnego"/>
        </w:rPr>
        <w:footnoteRef/>
      </w:r>
      <w:r>
        <w:tab/>
        <w:t>Środki zróżnicowane / środki niezróżnicowane</w:t>
      </w:r>
    </w:p>
  </w:footnote>
  <w:footnote w:id="41">
    <w:p w:rsidR="00D3052E" w:rsidRDefault="00635D2F">
      <w:pPr>
        <w:pStyle w:val="Tekstprzypisudolnego"/>
        <w:rPr>
          <w:szCs w:val="24"/>
        </w:rPr>
      </w:pPr>
      <w:r>
        <w:rPr>
          <w:rStyle w:val="Odwoanieprzypisudolnego"/>
        </w:rPr>
        <w:footnoteRef/>
      </w:r>
      <w:r>
        <w:tab/>
        <w:t xml:space="preserve">EFTA: Europejskie Stowarzyszenie Wolnego Handlu </w:t>
      </w:r>
    </w:p>
  </w:footnote>
  <w:footnote w:id="42">
    <w:p w:rsidR="00D3052E" w:rsidRDefault="00635D2F">
      <w:pPr>
        <w:pStyle w:val="Tekstprzypisudolnego"/>
        <w:rPr>
          <w:szCs w:val="24"/>
        </w:rPr>
      </w:pPr>
      <w:r>
        <w:rPr>
          <w:rStyle w:val="Odwoanieprzypisudolnego"/>
        </w:rPr>
        <w:footnoteRef/>
      </w:r>
      <w:r>
        <w:tab/>
        <w:t>Kraje kandydujące oraz w stosownych przypadkach potencjalne kraje kandydujące Bałkanów Zachodnich.</w:t>
      </w:r>
    </w:p>
  </w:footnote>
  <w:footnote w:id="43">
    <w:p w:rsidR="00D3052E" w:rsidRDefault="00635D2F">
      <w:pPr>
        <w:ind w:left="720" w:hanging="720"/>
        <w:rPr>
          <w:sz w:val="20"/>
          <w:szCs w:val="20"/>
        </w:rPr>
      </w:pPr>
      <w:r>
        <w:rPr>
          <w:rStyle w:val="Odwoanieprzypisudolnego"/>
        </w:rPr>
        <w:footnoteRef/>
      </w:r>
      <w:r>
        <w:tab/>
      </w:r>
      <w:r>
        <w:rPr>
          <w:sz w:val="20"/>
          <w:szCs w:val="20"/>
        </w:rPr>
        <w:t>Przedstawione dane budżetowe mają charakter orientacyjny i pozostają bez uszczerbku dla procedur budżetowych będących następstwem przyjęcia wieloletnich ram finansowych na lata 2021–2027.</w:t>
      </w:r>
    </w:p>
  </w:footnote>
  <w:footnote w:id="44">
    <w:p w:rsidR="00D3052E" w:rsidRDefault="00635D2F">
      <w:pPr>
        <w:pStyle w:val="Tekstprzypisudolnego"/>
        <w:rPr>
          <w:szCs w:val="24"/>
        </w:rPr>
      </w:pPr>
      <w:r>
        <w:rPr>
          <w:rStyle w:val="Odwoanieprzypisudolnego"/>
        </w:rPr>
        <w:footnoteRef/>
      </w:r>
      <w:r>
        <w:tab/>
        <w:t>Produkty odnoszą się do produktów i usług, które zostaną zapewnione (np. liczba sfinansowanych wymian studentów, liczba kilometrów zbudowanych dróg itp.).</w:t>
      </w:r>
    </w:p>
  </w:footnote>
  <w:footnote w:id="45">
    <w:p w:rsidR="00D3052E" w:rsidRDefault="00635D2F">
      <w:pPr>
        <w:pStyle w:val="Tekstprzypisudolnego"/>
        <w:rPr>
          <w:szCs w:val="24"/>
        </w:rPr>
      </w:pPr>
      <w:r>
        <w:rPr>
          <w:rStyle w:val="Odwoanieprzypisudolnego"/>
        </w:rPr>
        <w:footnoteRef/>
      </w:r>
      <w:r>
        <w:tab/>
        <w:t>Zgodnie z opisem w pkt 1.4.2. „Cele szczegółowe …”.</w:t>
      </w:r>
    </w:p>
  </w:footnote>
  <w:footnote w:id="46">
    <w:p w:rsidR="00D3052E" w:rsidRDefault="00635D2F">
      <w:pPr>
        <w:pStyle w:val="Tekstprzypisudolnego"/>
        <w:rPr>
          <w:szCs w:val="24"/>
        </w:rPr>
      </w:pPr>
      <w:r>
        <w:rPr>
          <w:rStyle w:val="Odwoanieprzypisudolnego"/>
        </w:rPr>
        <w:footnoteRef/>
      </w:r>
      <w:r>
        <w:tab/>
        <w:t xml:space="preserve">CA = personel kontraktowy; LA = personel miejscowy; SNE = oddelegowany ekspert krajowy; INT = personel tymczasowy; JED = młodszy oddelegowany ekspert. </w:t>
      </w:r>
    </w:p>
  </w:footnote>
  <w:footnote w:id="47">
    <w:p w:rsidR="00D3052E" w:rsidRDefault="00635D2F">
      <w:pPr>
        <w:pStyle w:val="Tekstprzypisudolnego"/>
        <w:rPr>
          <w:szCs w:val="24"/>
        </w:rPr>
      </w:pPr>
      <w:r>
        <w:rPr>
          <w:rStyle w:val="Odwoanieprzypisudolnego"/>
        </w:rPr>
        <w:footnoteRef/>
      </w:r>
      <w:r>
        <w:tab/>
        <w:t xml:space="preserve">W ramach </w:t>
      </w:r>
      <w:proofErr w:type="spellStart"/>
      <w:r>
        <w:t>podpułapu</w:t>
      </w:r>
      <w:proofErr w:type="spellEnd"/>
      <w:r>
        <w:t xml:space="preserve"> na personel zewnętrzny ze środków operacyjnych (dawne linie „BA”).</w:t>
      </w:r>
    </w:p>
  </w:footnote>
  <w:footnote w:id="48">
    <w:p w:rsidR="00D3052E" w:rsidRDefault="00635D2F">
      <w:pPr>
        <w:pStyle w:val="Tekstprzypisudolnego"/>
        <w:rPr>
          <w:szCs w:val="24"/>
        </w:rPr>
      </w:pPr>
      <w:r>
        <w:rPr>
          <w:rStyle w:val="Odwoanieprzypisudolnego"/>
        </w:rPr>
        <w:footnoteRef/>
      </w:r>
      <w:r>
        <w:tab/>
        <w:t>Przede wszystkim fundusze strukturalne, Europejski Fundusz Rolny na rzecz Rozwoju Obszarów Wiejskich (EFRROW) oraz Europejski Fundusz Rybacki.</w:t>
      </w:r>
    </w:p>
  </w:footnote>
  <w:footnote w:id="49">
    <w:p w:rsidR="00D3052E" w:rsidRDefault="00635D2F">
      <w:pPr>
        <w:pStyle w:val="Tekstprzypisudolnego"/>
        <w:rPr>
          <w:szCs w:val="24"/>
        </w:rPr>
      </w:pPr>
      <w:r>
        <w:rPr>
          <w:rStyle w:val="Odwoanieprzypisudolnego"/>
        </w:rPr>
        <w:footnoteRef/>
      </w:r>
      <w:r>
        <w:tab/>
        <w:t xml:space="preserve">Zob. art. 11 i 17 rozporządzenia Rady (UE, </w:t>
      </w:r>
      <w:proofErr w:type="spellStart"/>
      <w:r>
        <w:t>Euratom</w:t>
      </w:r>
      <w:proofErr w:type="spellEnd"/>
      <w:r>
        <w:t>) nr 1311/2013 określającego wieloletnie ramy finansowe na lata 2014–2020.</w:t>
      </w:r>
    </w:p>
  </w:footnote>
  <w:footnote w:id="50">
    <w:p w:rsidR="00D3052E" w:rsidRDefault="00635D2F">
      <w:pPr>
        <w:pStyle w:val="Tekstprzypisudolnego"/>
        <w:rPr>
          <w:szCs w:val="24"/>
        </w:rPr>
      </w:pPr>
      <w:r>
        <w:rPr>
          <w:rStyle w:val="Odwoanieprzypisudolnego"/>
        </w:rPr>
        <w:footnoteRef/>
      </w:r>
      <w:r>
        <w:tab/>
        <w:t>W przypadku tradycyjnych zasobów własnych (opłaty celne, opłaty wyrównawcze od cukru) należy wskazać kwoty netto, tzn. kwoty brutto po odliczeniu 20 % na poczet kosztów poboru.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52E" w:rsidRDefault="00D3052E">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52E" w:rsidRDefault="00D3052E">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52E" w:rsidRDefault="00D3052E">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52E" w:rsidRDefault="00D3052E">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52E" w:rsidRDefault="00D3052E">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52E" w:rsidRDefault="00D3052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56E88310"/>
    <w:lvl w:ilvl="0">
      <w:start w:val="1"/>
      <w:numFmt w:val="decimal"/>
      <w:pStyle w:val="Listanumerowana4"/>
      <w:lvlText w:val="%1."/>
      <w:lvlJc w:val="left"/>
      <w:pPr>
        <w:tabs>
          <w:tab w:val="num" w:pos="1209"/>
        </w:tabs>
        <w:ind w:left="1209" w:hanging="360"/>
      </w:pPr>
    </w:lvl>
  </w:abstractNum>
  <w:abstractNum w:abstractNumId="1" w15:restartNumberingAfterBreak="0">
    <w:nsid w:val="FFFFFF7E"/>
    <w:multiLevelType w:val="singleLevel"/>
    <w:tmpl w:val="D7C2C9EA"/>
    <w:lvl w:ilvl="0">
      <w:start w:val="1"/>
      <w:numFmt w:val="decimal"/>
      <w:pStyle w:val="Listanumerowana3"/>
      <w:lvlText w:val="%1."/>
      <w:lvlJc w:val="left"/>
      <w:pPr>
        <w:tabs>
          <w:tab w:val="num" w:pos="926"/>
        </w:tabs>
        <w:ind w:left="926" w:hanging="360"/>
      </w:pPr>
    </w:lvl>
  </w:abstractNum>
  <w:abstractNum w:abstractNumId="2" w15:restartNumberingAfterBreak="0">
    <w:nsid w:val="FFFFFF7F"/>
    <w:multiLevelType w:val="singleLevel"/>
    <w:tmpl w:val="72580E04"/>
    <w:lvl w:ilvl="0">
      <w:start w:val="1"/>
      <w:numFmt w:val="decimal"/>
      <w:pStyle w:val="Listanumerowana2"/>
      <w:lvlText w:val="%1."/>
      <w:lvlJc w:val="left"/>
      <w:pPr>
        <w:tabs>
          <w:tab w:val="num" w:pos="643"/>
        </w:tabs>
        <w:ind w:left="643" w:hanging="360"/>
      </w:pPr>
    </w:lvl>
  </w:abstractNum>
  <w:abstractNum w:abstractNumId="3" w15:restartNumberingAfterBreak="0">
    <w:nsid w:val="FFFFFF81"/>
    <w:multiLevelType w:val="singleLevel"/>
    <w:tmpl w:val="8E48E128"/>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F88E2C88"/>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0D4C642"/>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F84E212"/>
    <w:lvl w:ilvl="0">
      <w:start w:val="1"/>
      <w:numFmt w:val="decimal"/>
      <w:pStyle w:val="Listanumerowana"/>
      <w:lvlText w:val="%1."/>
      <w:lvlJc w:val="left"/>
      <w:pPr>
        <w:tabs>
          <w:tab w:val="num" w:pos="360"/>
        </w:tabs>
        <w:ind w:left="360" w:hanging="360"/>
      </w:pPr>
    </w:lvl>
  </w:abstractNum>
  <w:abstractNum w:abstractNumId="7" w15:restartNumberingAfterBreak="0">
    <w:nsid w:val="FFFFFF89"/>
    <w:multiLevelType w:val="singleLevel"/>
    <w:tmpl w:val="7396D872"/>
    <w:lvl w:ilvl="0">
      <w:start w:val="1"/>
      <w:numFmt w:val="bullet"/>
      <w:pStyle w:val="Listapunktowana"/>
      <w:lvlText w:val=""/>
      <w:lvlJc w:val="left"/>
      <w:pPr>
        <w:tabs>
          <w:tab w:val="num" w:pos="360"/>
        </w:tabs>
        <w:ind w:left="360" w:hanging="360"/>
      </w:pPr>
      <w:rPr>
        <w:rFonts w:ascii="Symbol" w:hAnsi="Symbol" w:hint="default"/>
      </w:rPr>
    </w:lvl>
  </w:abstractNum>
  <w:abstractNum w:abstractNumId="8" w15:restartNumberingAfterBreak="0">
    <w:nsid w:val="15284920"/>
    <w:multiLevelType w:val="hybridMultilevel"/>
    <w:tmpl w:val="4F3C1990"/>
    <w:styleLink w:val="ImportedStyle6"/>
    <w:lvl w:ilvl="0" w:tplc="7B1C87AA">
      <w:start w:val="1"/>
      <w:numFmt w:val="bullet"/>
      <w:lvlText w:val="–"/>
      <w:lvlJc w:val="left"/>
      <w:pPr>
        <w:ind w:left="198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
      <w:lvlJc w:val="left"/>
      <w:pPr>
        <w:ind w:left="198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start w:val="1"/>
      <w:numFmt w:val="bullet"/>
      <w:lvlText w:val="–"/>
      <w:lvlJc w:val="left"/>
      <w:pPr>
        <w:ind w:left="198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090001">
      <w:start w:val="1"/>
      <w:numFmt w:val="bullet"/>
      <w:lvlText w:val="–"/>
      <w:lvlJc w:val="left"/>
      <w:pPr>
        <w:ind w:left="198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090003">
      <w:start w:val="1"/>
      <w:numFmt w:val="bullet"/>
      <w:lvlText w:val="–"/>
      <w:lvlJc w:val="left"/>
      <w:pPr>
        <w:ind w:left="198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90005">
      <w:start w:val="1"/>
      <w:numFmt w:val="bullet"/>
      <w:lvlText w:val="–"/>
      <w:lvlJc w:val="left"/>
      <w:pPr>
        <w:ind w:left="198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090001">
      <w:start w:val="1"/>
      <w:numFmt w:val="bullet"/>
      <w:lvlText w:val="–"/>
      <w:lvlJc w:val="left"/>
      <w:pPr>
        <w:ind w:left="198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090003">
      <w:start w:val="1"/>
      <w:numFmt w:val="bullet"/>
      <w:lvlText w:val="–"/>
      <w:lvlJc w:val="left"/>
      <w:pPr>
        <w:ind w:left="198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090005">
      <w:start w:val="1"/>
      <w:numFmt w:val="bullet"/>
      <w:lvlText w:val="–"/>
      <w:lvlJc w:val="left"/>
      <w:pPr>
        <w:ind w:left="198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96D67A1"/>
    <w:multiLevelType w:val="singleLevel"/>
    <w:tmpl w:val="9AC8831A"/>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22" w15:restartNumberingAfterBreak="0">
    <w:nsid w:val="62A8042C"/>
    <w:multiLevelType w:val="singleLevel"/>
    <w:tmpl w:val="CCF20C06"/>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3" w15:restartNumberingAfterBreak="0">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D54ACF"/>
    <w:multiLevelType w:val="hybridMultilevel"/>
    <w:tmpl w:val="1D26AC0C"/>
    <w:styleLink w:val="ImportedStyle5"/>
    <w:lvl w:ilvl="0" w:tplc="9B78C452">
      <w:start w:val="1"/>
      <w:numFmt w:val="decimal"/>
      <w:lvlText w:val="(%1)"/>
      <w:lvlJc w:val="left"/>
      <w:pPr>
        <w:ind w:left="850" w:hanging="8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2E8A5C">
      <w:start w:val="1"/>
      <w:numFmt w:val="lowerLetter"/>
      <w:lvlText w:val="(%2)"/>
      <w:lvlJc w:val="left"/>
      <w:pPr>
        <w:ind w:left="850" w:hanging="8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3C1D48">
      <w:start w:val="1"/>
      <w:numFmt w:val="decimal"/>
      <w:lvlText w:val="(%3)"/>
      <w:lvlJc w:val="left"/>
      <w:pPr>
        <w:ind w:left="141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2359E">
      <w:start w:val="1"/>
      <w:numFmt w:val="lowerLetter"/>
      <w:lvlText w:val="(%4)"/>
      <w:lvlJc w:val="left"/>
      <w:pPr>
        <w:ind w:left="141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EC78E6">
      <w:start w:val="1"/>
      <w:numFmt w:val="decimal"/>
      <w:lvlText w:val="(%5)"/>
      <w:lvlJc w:val="left"/>
      <w:pPr>
        <w:ind w:left="198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0C7C34">
      <w:start w:val="1"/>
      <w:numFmt w:val="lowerLetter"/>
      <w:lvlText w:val="(%6)"/>
      <w:lvlJc w:val="left"/>
      <w:pPr>
        <w:ind w:left="198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04BB22">
      <w:start w:val="1"/>
      <w:numFmt w:val="decimal"/>
      <w:lvlText w:val="(%7)"/>
      <w:lvlJc w:val="left"/>
      <w:pPr>
        <w:ind w:left="2551"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703C86">
      <w:start w:val="1"/>
      <w:numFmt w:val="lowerLetter"/>
      <w:lvlText w:val="(%8)"/>
      <w:lvlJc w:val="left"/>
      <w:pPr>
        <w:ind w:left="2551"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262A88">
      <w:start w:val="1"/>
      <w:numFmt w:val="lowerLetter"/>
      <w:lvlText w:val="(%9)"/>
      <w:lvlJc w:val="left"/>
      <w:pPr>
        <w:ind w:left="311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6A6901C1"/>
    <w:multiLevelType w:val="singleLevel"/>
    <w:tmpl w:val="208841AE"/>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27"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4"/>
  </w:num>
  <w:num w:numId="2">
    <w:abstractNumId w:va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4"/>
  </w:num>
  <w:num w:numId="10">
    <w:abstractNumId w:val="3"/>
  </w:num>
  <w:num w:numId="11">
    <w:abstractNumId w:val="6"/>
  </w:num>
  <w:num w:numId="12">
    <w:abstractNumId w:val="2"/>
  </w:num>
  <w:num w:numId="13">
    <w:abstractNumId w:val="1"/>
  </w:num>
  <w:num w:numId="14">
    <w:abstractNumId w:val="0"/>
  </w:num>
  <w:num w:numId="15">
    <w:abstractNumId w:val="13"/>
    <w:lvlOverride w:ilvl="0">
      <w:startOverride w:val="1"/>
    </w:lvlOverride>
  </w:num>
  <w:num w:numId="16">
    <w:abstractNumId w:val="27"/>
    <w:lvlOverride w:ilvl="0">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2"/>
  </w:num>
  <w:num w:numId="20">
    <w:abstractNumId w:val="17"/>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5"/>
    <w:lvlOverride w:ilvl="0">
      <w:startOverride w:val="1"/>
    </w:lvlOverride>
  </w:num>
  <w:num w:numId="24">
    <w:abstractNumId w:val="20"/>
  </w:num>
  <w:num w:numId="25">
    <w:abstractNumId w:val="13"/>
  </w:num>
  <w:num w:numId="26">
    <w:abstractNumId w:val="25"/>
  </w:num>
  <w:num w:numId="27">
    <w:abstractNumId w:val="12"/>
  </w:num>
  <w:num w:numId="28">
    <w:abstractNumId w:val="14"/>
  </w:num>
  <w:num w:numId="29">
    <w:abstractNumId w:val="10"/>
  </w:num>
  <w:num w:numId="30">
    <w:abstractNumId w:val="23"/>
  </w:num>
  <w:num w:numId="31">
    <w:abstractNumId w:val="9"/>
  </w:num>
  <w:num w:numId="32">
    <w:abstractNumId w:val="15"/>
  </w:num>
  <w:num w:numId="33">
    <w:abstractNumId w:val="18"/>
  </w:num>
  <w:num w:numId="34">
    <w:abstractNumId w:val="19"/>
  </w:num>
  <w:num w:numId="35">
    <w:abstractNumId w:val="11"/>
  </w:num>
  <w:num w:numId="36">
    <w:abstractNumId w:val="16"/>
  </w:num>
  <w:num w:numId="37">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DQCDateTime" w:val="2020-10-29 21:53:22"/>
    <w:docVar w:name="DQCResult_Distribution" w:val="0;2"/>
    <w:docVar w:name="DQCResult_DocumentContent" w:val="0;0"/>
    <w:docVar w:name="DQCResult_DocumentSize" w:val="0;0"/>
    <w:docVar w:name="DQCResult_DocumentVersions" w:val="0;0"/>
    <w:docVar w:name="DQCResult_InvalidFootnotes" w:val="0;0"/>
    <w:docVar w:name="DQCResult_LinkedStyles" w:val="0;0"/>
    <w:docVar w:name="DQCResult_ModifiedMargins" w:val="0;4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3"/>
    <w:docVar w:name="DQCStatus" w:val="Green"/>
    <w:docVar w:name="DQCVersion" w:val="3"/>
    <w:docVar w:name="DQCWithWarnings" w:val="0"/>
    <w:docVar w:name="LW_CORRIGENDUM" w:val="&lt;UNUSED&gt;"/>
    <w:docVar w:name="LW_COVERPAGE_EXISTS" w:val="True"/>
    <w:docVar w:name="LW_COVERPAGE_GUID" w:val="27A8FC9F-C852-4523-B82E-5C3CFD29D4A5"/>
    <w:docVar w:name="LW_COVERPAGE_TYPE" w:val="1"/>
    <w:docVar w:name="LW_CROSSREFERENCE" w:val="&lt;UNUSED&gt;"/>
    <w:docVar w:name="LW_DocType" w:val="COM"/>
    <w:docVar w:name="LW_EMISSION" w:val="14.10.2020"/>
    <w:docVar w:name="LW_EMISSION_ISODATE" w:val="2020-10-14"/>
    <w:docVar w:name="LW_EMISSION_LOCATION" w:val="BRX"/>
    <w:docVar w:name="LW_EMISSION_PREFIX" w:val="Bruksela, dnia "/>
    <w:docVar w:name="LW_EMISSION_SUFFIX" w:val=" r."/>
    <w:docVar w:name="LW_ID_DOCMODEL" w:val="SJ-025"/>
    <w:docVar w:name="LW_ID_DOCSIGNATURE" w:val="SJ-025"/>
    <w:docVar w:name="LW_ID_DOCSTRUCTURE" w:val="COM/PL/ORG"/>
    <w:docVar w:name="LW_ID_DOCTYPE" w:val="SJ-025"/>
    <w:docVar w:name="LW_ID_EXP.MOTIFS.NEW" w:val="EM_PL_"/>
    <w:docVar w:name="LW_ID_STATUT" w:val="SJ-025"/>
    <w:docVar w:name="LW_INTERETEEE.CP" w:val="&lt;UNUSED&gt;"/>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300"/>
    <w:docVar w:name="LW_REF.II.NEW.CP_YEAR" w:val="2020"/>
    <w:docVar w:name="LW_REF.INST.NEW" w:val="COM"/>
    <w:docVar w:name="LW_REF.INST.NEW_ADOPTED" w:val="final"/>
    <w:docVar w:name="LW_REF.INST.NEW_TEXT" w:val="(2020) 65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w sprawie ogólnego unijnego programu dzia\u322?a\u324? w zakresie \u347?rodowiska do 2030 r."/>
    <w:docVar w:name="LW_TYPE.DOC.CP" w:val="DECYZJA PARLAMENTU EUROPEJSKIEGO I RADY"/>
  </w:docVars>
  <w:rsids>
    <w:rsidRoot w:val="00D3052E"/>
    <w:rsid w:val="001B6162"/>
    <w:rsid w:val="00635D2F"/>
    <w:rsid w:val="00D3052E"/>
    <w:rsid w:val="00D61D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E158F7-6493-40F7-A84D-D80DDD4E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before="120" w:after="120" w:line="240" w:lineRule="auto"/>
      <w:jc w:val="both"/>
    </w:pPr>
    <w:rPr>
      <w:rFonts w:ascii="Times New Roman" w:hAnsi="Times New Roman" w:cs="Times New Roman"/>
      <w:sz w:val="24"/>
      <w:lang w:val="pl-PL"/>
    </w:rPr>
  </w:style>
  <w:style w:type="paragraph" w:styleId="Nagwek1">
    <w:name w:val="heading 1"/>
    <w:basedOn w:val="Normalny"/>
    <w:next w:val="Text1"/>
    <w:link w:val="Nagwek1Znak"/>
    <w:uiPriority w:val="9"/>
    <w:qFormat/>
    <w:pPr>
      <w:keepNext/>
      <w:numPr>
        <w:numId w:val="30"/>
      </w:numPr>
      <w:spacing w:before="360"/>
      <w:outlineLvl w:val="0"/>
    </w:pPr>
    <w:rPr>
      <w:rFonts w:eastAsiaTheme="majorEastAsia"/>
      <w:b/>
      <w:bCs/>
      <w:smallCaps/>
      <w:szCs w:val="28"/>
    </w:rPr>
  </w:style>
  <w:style w:type="paragraph" w:styleId="Nagwek2">
    <w:name w:val="heading 2"/>
    <w:basedOn w:val="Normalny"/>
    <w:next w:val="Text1"/>
    <w:link w:val="Nagwek2Znak"/>
    <w:uiPriority w:val="9"/>
    <w:semiHidden/>
    <w:unhideWhenUsed/>
    <w:qFormat/>
    <w:pPr>
      <w:keepNext/>
      <w:numPr>
        <w:ilvl w:val="1"/>
        <w:numId w:val="30"/>
      </w:numPr>
      <w:outlineLvl w:val="1"/>
    </w:pPr>
    <w:rPr>
      <w:rFonts w:eastAsiaTheme="majorEastAsia"/>
      <w:b/>
      <w:bCs/>
      <w:szCs w:val="26"/>
    </w:rPr>
  </w:style>
  <w:style w:type="paragraph" w:styleId="Nagwek3">
    <w:name w:val="heading 3"/>
    <w:basedOn w:val="Normalny"/>
    <w:next w:val="Text1"/>
    <w:link w:val="Nagwek3Znak"/>
    <w:uiPriority w:val="9"/>
    <w:semiHidden/>
    <w:unhideWhenUsed/>
    <w:qFormat/>
    <w:pPr>
      <w:keepNext/>
      <w:numPr>
        <w:ilvl w:val="2"/>
        <w:numId w:val="30"/>
      </w:numPr>
      <w:outlineLvl w:val="2"/>
    </w:pPr>
    <w:rPr>
      <w:rFonts w:eastAsiaTheme="majorEastAsia"/>
      <w:bCs/>
      <w:i/>
    </w:rPr>
  </w:style>
  <w:style w:type="paragraph" w:styleId="Nagwek4">
    <w:name w:val="heading 4"/>
    <w:basedOn w:val="Normalny"/>
    <w:next w:val="Text1"/>
    <w:link w:val="Nagwek4Znak"/>
    <w:uiPriority w:val="9"/>
    <w:semiHidden/>
    <w:unhideWhenUsed/>
    <w:qFormat/>
    <w:pPr>
      <w:keepNext/>
      <w:numPr>
        <w:ilvl w:val="3"/>
        <w:numId w:val="30"/>
      </w:numPr>
      <w:outlineLvl w:val="3"/>
    </w:pPr>
    <w:rPr>
      <w:rFonts w:eastAsiaTheme="majorEastAsia"/>
      <w:bCs/>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u w:val="single"/>
    </w:rPr>
  </w:style>
  <w:style w:type="paragraph" w:styleId="Tekstkomentarza">
    <w:name w:val="annotation text"/>
    <w:basedOn w:val="Normalny"/>
    <w:link w:val="TekstkomentarzaZnak"/>
    <w:uiPriority w:val="99"/>
    <w:unhideWhenUsed/>
    <w:pPr>
      <w:pBdr>
        <w:top w:val="nil"/>
        <w:left w:val="nil"/>
        <w:bottom w:val="nil"/>
        <w:right w:val="nil"/>
        <w:between w:val="nil"/>
        <w:bar w:val="nil"/>
      </w:pBdr>
      <w:spacing w:before="0" w:after="0"/>
      <w:jc w:val="left"/>
    </w:pPr>
    <w:rPr>
      <w:rFonts w:eastAsia="Arial Unicode MS"/>
      <w:sz w:val="20"/>
      <w:szCs w:val="20"/>
      <w:bdr w:val="nil"/>
    </w:rPr>
  </w:style>
  <w:style w:type="character" w:customStyle="1" w:styleId="TekstkomentarzaZnak">
    <w:name w:val="Tekst komentarza Znak"/>
    <w:basedOn w:val="Domylnaczcionkaakapitu"/>
    <w:link w:val="Tekstkomentarza"/>
    <w:uiPriority w:val="99"/>
    <w:rPr>
      <w:rFonts w:ascii="Times New Roman" w:eastAsia="Arial Unicode MS" w:hAnsi="Times New Roman" w:cs="Times New Roman"/>
      <w:sz w:val="20"/>
      <w:szCs w:val="20"/>
      <w:bdr w:val="nil"/>
    </w:rPr>
  </w:style>
  <w:style w:type="paragraph" w:styleId="Akapitzlist">
    <w:name w:val="List Paragraph"/>
    <w:basedOn w:val="Normalny"/>
    <w:uiPriority w:val="34"/>
    <w:qFormat/>
    <w:pPr>
      <w:pBdr>
        <w:top w:val="nil"/>
        <w:left w:val="nil"/>
        <w:bottom w:val="nil"/>
        <w:right w:val="nil"/>
        <w:between w:val="nil"/>
        <w:bar w:val="nil"/>
      </w:pBdr>
      <w:spacing w:before="0" w:after="0"/>
      <w:ind w:left="720"/>
      <w:contextualSpacing/>
      <w:jc w:val="left"/>
    </w:pPr>
    <w:rPr>
      <w:rFonts w:eastAsia="Arial Unicode MS"/>
      <w:szCs w:val="24"/>
      <w:bdr w:val="nil"/>
    </w:r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numbering" w:customStyle="1" w:styleId="ImportedStyle5">
    <w:name w:val="Imported Style 5"/>
    <w:pPr>
      <w:numPr>
        <w:numId w:val="1"/>
      </w:numPr>
    </w:pPr>
  </w:style>
  <w:style w:type="numbering" w:customStyle="1" w:styleId="ImportedStyle6">
    <w:name w:val="Imported Style 6"/>
    <w:pPr>
      <w:numPr>
        <w:numId w:val="2"/>
      </w:numPr>
    </w:pPr>
  </w:style>
  <w:style w:type="paragraph" w:customStyle="1" w:styleId="t">
    <w:name w:val="t"/>
    <w:basedOn w:val="Tekstkomentarza"/>
    <w:rPr>
      <w:rFonts w:cs="Arial Unicode MS"/>
      <w:i/>
      <w:iCs/>
      <w:color w:val="000000"/>
      <w:sz w:val="24"/>
      <w:szCs w:val="24"/>
      <w:u w:color="000000"/>
    </w:rPr>
  </w:style>
  <w:style w:type="paragraph" w:styleId="Legenda">
    <w:name w:val="caption"/>
    <w:basedOn w:val="Normalny"/>
    <w:next w:val="Normalny"/>
    <w:unhideWhenUsed/>
    <w:qFormat/>
    <w:pPr>
      <w:spacing w:before="0" w:after="200"/>
    </w:pPr>
    <w:rPr>
      <w:i/>
      <w:iCs/>
      <w:color w:val="1F497D" w:themeColor="text2"/>
      <w:sz w:val="18"/>
      <w:szCs w:val="18"/>
    </w:rPr>
  </w:style>
  <w:style w:type="paragraph" w:styleId="Spisilustracji">
    <w:name w:val="table of figures"/>
    <w:basedOn w:val="Normalny"/>
    <w:next w:val="Normalny"/>
    <w:unhideWhenUsed/>
    <w:pPr>
      <w:spacing w:after="0"/>
    </w:pPr>
  </w:style>
  <w:style w:type="paragraph" w:styleId="Listapunktowana">
    <w:name w:val="List Bullet"/>
    <w:basedOn w:val="Normalny"/>
    <w:unhideWhenUsed/>
    <w:pPr>
      <w:numPr>
        <w:numId w:val="7"/>
      </w:numPr>
      <w:contextualSpacing/>
    </w:pPr>
  </w:style>
  <w:style w:type="paragraph" w:styleId="Listapunktowana2">
    <w:name w:val="List Bullet 2"/>
    <w:basedOn w:val="Normalny"/>
    <w:unhideWhenUsed/>
    <w:pPr>
      <w:numPr>
        <w:numId w:val="8"/>
      </w:numPr>
      <w:contextualSpacing/>
    </w:pPr>
  </w:style>
  <w:style w:type="paragraph" w:styleId="Listapunktowana3">
    <w:name w:val="List Bullet 3"/>
    <w:basedOn w:val="Normalny"/>
    <w:unhideWhenUsed/>
    <w:pPr>
      <w:numPr>
        <w:numId w:val="9"/>
      </w:numPr>
      <w:contextualSpacing/>
    </w:pPr>
  </w:style>
  <w:style w:type="paragraph" w:styleId="Listapunktowana4">
    <w:name w:val="List Bullet 4"/>
    <w:basedOn w:val="Normalny"/>
    <w:unhideWhenUsed/>
    <w:pPr>
      <w:numPr>
        <w:numId w:val="10"/>
      </w:numPr>
      <w:contextualSpacing/>
    </w:pPr>
  </w:style>
  <w:style w:type="paragraph" w:styleId="Listanumerowana">
    <w:name w:val="List Number"/>
    <w:basedOn w:val="Normalny"/>
    <w:unhideWhenUsed/>
    <w:pPr>
      <w:numPr>
        <w:numId w:val="11"/>
      </w:numPr>
      <w:contextualSpacing/>
    </w:pPr>
  </w:style>
  <w:style w:type="paragraph" w:styleId="Listanumerowana2">
    <w:name w:val="List Number 2"/>
    <w:basedOn w:val="Normalny"/>
    <w:unhideWhenUsed/>
    <w:pPr>
      <w:numPr>
        <w:numId w:val="12"/>
      </w:numPr>
      <w:contextualSpacing/>
    </w:pPr>
  </w:style>
  <w:style w:type="paragraph" w:styleId="Listanumerowana3">
    <w:name w:val="List Number 3"/>
    <w:basedOn w:val="Normalny"/>
    <w:unhideWhenUsed/>
    <w:pPr>
      <w:numPr>
        <w:numId w:val="13"/>
      </w:numPr>
      <w:contextualSpacing/>
    </w:pPr>
  </w:style>
  <w:style w:type="paragraph" w:styleId="Listanumerowana4">
    <w:name w:val="List Number 4"/>
    <w:basedOn w:val="Normalny"/>
    <w:unhideWhenUsed/>
    <w:pPr>
      <w:numPr>
        <w:numId w:val="14"/>
      </w:numPr>
      <w:contextualSpacing/>
    </w:pPr>
  </w:style>
  <w:style w:type="character" w:styleId="Odwoaniedokomentarza">
    <w:name w:val="annotation reference"/>
    <w:basedOn w:val="Domylnaczcionkaakapitu"/>
    <w:uiPriority w:val="99"/>
    <w:unhideWhenUsed/>
    <w:rPr>
      <w:sz w:val="16"/>
      <w:szCs w:val="16"/>
    </w:rPr>
  </w:style>
  <w:style w:type="paragraph" w:styleId="Tematkomentarza">
    <w:name w:val="annotation subject"/>
    <w:basedOn w:val="Tekstkomentarza"/>
    <w:next w:val="Tekstkomentarza"/>
    <w:link w:val="TematkomentarzaZnak"/>
    <w:unhideWhenUse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heme="minorHAnsi"/>
      <w:b/>
      <w:bCs/>
      <w:bdr w:val="none" w:sz="0" w:space="0" w:color="auto"/>
    </w:rPr>
  </w:style>
  <w:style w:type="character" w:customStyle="1" w:styleId="TematkomentarzaZnak">
    <w:name w:val="Temat komentarza Znak"/>
    <w:basedOn w:val="TekstkomentarzaZnak"/>
    <w:link w:val="Tematkomentarza"/>
    <w:rPr>
      <w:rFonts w:ascii="Times New Roman" w:eastAsia="Arial Unicode MS" w:hAnsi="Times New Roman" w:cs="Times New Roman"/>
      <w:b/>
      <w:bCs/>
      <w:sz w:val="20"/>
      <w:szCs w:val="20"/>
      <w:bdr w:val="nil"/>
      <w:lang w:val="pl-PL"/>
    </w:rPr>
  </w:style>
  <w:style w:type="paragraph" w:styleId="Tekstdymka">
    <w:name w:val="Balloon Text"/>
    <w:basedOn w:val="Normalny"/>
    <w:link w:val="TekstdymkaZnak"/>
    <w:unhideWhenUsed/>
    <w:pPr>
      <w:spacing w:before="0" w:after="0"/>
    </w:pPr>
    <w:rPr>
      <w:rFonts w:ascii="Segoe UI" w:hAnsi="Segoe UI" w:cs="Segoe UI"/>
      <w:sz w:val="18"/>
      <w:szCs w:val="18"/>
    </w:rPr>
  </w:style>
  <w:style w:type="character" w:customStyle="1" w:styleId="TekstdymkaZnak">
    <w:name w:val="Tekst dymka Znak"/>
    <w:basedOn w:val="Domylnaczcionkaakapitu"/>
    <w:link w:val="Tekstdymka"/>
    <w:rPr>
      <w:rFonts w:ascii="Segoe UI" w:hAnsi="Segoe UI" w:cs="Segoe UI"/>
      <w:sz w:val="18"/>
      <w:szCs w:val="18"/>
      <w:lang w:val="pl-PL"/>
    </w:rPr>
  </w:style>
  <w:style w:type="paragraph" w:styleId="Poprawka">
    <w:name w:val="Revision"/>
    <w:hidden/>
    <w:uiPriority w:val="99"/>
    <w:semiHidden/>
    <w:pPr>
      <w:spacing w:after="0" w:line="240" w:lineRule="auto"/>
    </w:pPr>
    <w:rPr>
      <w:rFonts w:ascii="Times New Roman" w:hAnsi="Times New Roman" w:cs="Times New Roman"/>
      <w:sz w:val="24"/>
    </w:rPr>
  </w:style>
  <w:style w:type="paragraph" w:styleId="Tekstprzypisukocowego">
    <w:name w:val="endnote text"/>
    <w:basedOn w:val="Normalny"/>
    <w:link w:val="TekstprzypisukocowegoZnak"/>
    <w:uiPriority w:val="99"/>
    <w:semiHidden/>
    <w:unhideWhenUsed/>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Pr>
      <w:rFonts w:ascii="Times New Roman" w:hAnsi="Times New Roman" w:cs="Times New Roman"/>
      <w:sz w:val="20"/>
      <w:szCs w:val="20"/>
      <w:lang w:val="pl-PL"/>
    </w:rPr>
  </w:style>
  <w:style w:type="character" w:styleId="Odwoanieprzypisukocowego">
    <w:name w:val="endnote reference"/>
    <w:basedOn w:val="Domylnaczcionkaakapitu"/>
    <w:uiPriority w:val="99"/>
    <w:semiHidden/>
    <w:unhideWhenUsed/>
    <w:rPr>
      <w:vertAlign w:val="superscript"/>
    </w:rPr>
  </w:style>
  <w:style w:type="character" w:styleId="Uwydatnienie">
    <w:name w:val="Emphasis"/>
    <w:basedOn w:val="Domylnaczcionkaakapitu"/>
    <w:uiPriority w:val="20"/>
    <w:qFormat/>
    <w:rPr>
      <w:i/>
      <w:iCs/>
    </w:rPr>
  </w:style>
  <w:style w:type="paragraph" w:customStyle="1" w:styleId="ListBullet1">
    <w:name w:val="List Bullet 1"/>
    <w:basedOn w:val="Normalny"/>
    <w:pPr>
      <w:numPr>
        <w:numId w:val="18"/>
      </w:numPr>
    </w:pPr>
    <w:rPr>
      <w:lang w:eastAsia="en-GB"/>
    </w:rPr>
  </w:style>
  <w:style w:type="paragraph" w:customStyle="1" w:styleId="ListDash1">
    <w:name w:val="List Dash 1"/>
    <w:basedOn w:val="Normalny"/>
    <w:pPr>
      <w:numPr>
        <w:numId w:val="19"/>
      </w:numPr>
    </w:pPr>
    <w:rPr>
      <w:lang w:eastAsia="en-GB"/>
    </w:rPr>
  </w:style>
  <w:style w:type="paragraph" w:customStyle="1" w:styleId="ListDash2">
    <w:name w:val="List Dash 2"/>
    <w:basedOn w:val="Normalny"/>
    <w:pPr>
      <w:numPr>
        <w:numId w:val="20"/>
      </w:numPr>
    </w:pPr>
    <w:rPr>
      <w:lang w:eastAsia="en-GB"/>
    </w:rPr>
  </w:style>
  <w:style w:type="paragraph" w:customStyle="1" w:styleId="ListNumberLevel2">
    <w:name w:val="List Number (Level 2)"/>
    <w:basedOn w:val="Normalny"/>
    <w:pPr>
      <w:tabs>
        <w:tab w:val="num" w:pos="1417"/>
      </w:tabs>
      <w:ind w:left="1417" w:hanging="708"/>
    </w:pPr>
    <w:rPr>
      <w:lang w:eastAsia="en-GB"/>
    </w:rPr>
  </w:style>
  <w:style w:type="paragraph" w:customStyle="1" w:styleId="ListNumberLevel3">
    <w:name w:val="List Number (Level 3)"/>
    <w:basedOn w:val="Normalny"/>
    <w:pPr>
      <w:tabs>
        <w:tab w:val="num" w:pos="2126"/>
      </w:tabs>
      <w:ind w:left="2126" w:hanging="709"/>
    </w:pPr>
    <w:rPr>
      <w:lang w:eastAsia="en-GB"/>
    </w:rPr>
  </w:style>
  <w:style w:type="paragraph" w:customStyle="1" w:styleId="ListNumberLevel4">
    <w:name w:val="List Number (Level 4)"/>
    <w:basedOn w:val="Normalny"/>
    <w:pPr>
      <w:tabs>
        <w:tab w:val="num" w:pos="2835"/>
      </w:tabs>
      <w:ind w:left="2835" w:hanging="709"/>
    </w:pPr>
    <w:rPr>
      <w:lang w:eastAsia="en-GB"/>
    </w:rPr>
  </w:style>
  <w:style w:type="paragraph" w:customStyle="1" w:styleId="Fichefinancirestandardtitre">
    <w:name w:val="Fiche financière (standard) titre"/>
    <w:basedOn w:val="Normalny"/>
    <w:next w:val="Normalny"/>
    <w:pPr>
      <w:jc w:val="center"/>
    </w:pPr>
    <w:rPr>
      <w:b/>
      <w:u w:val="single"/>
      <w:lang w:eastAsia="en-GB"/>
    </w:rPr>
  </w:style>
  <w:style w:type="paragraph" w:customStyle="1" w:styleId="Sous-titreobjet">
    <w:name w:val="Sous-titre objet"/>
    <w:basedOn w:val="Normalny"/>
    <w:pPr>
      <w:spacing w:before="0" w:after="0"/>
      <w:jc w:val="center"/>
    </w:pPr>
    <w:rPr>
      <w:b/>
      <w:lang w:eastAsia="en-GB"/>
    </w:rPr>
  </w:style>
  <w:style w:type="paragraph" w:customStyle="1" w:styleId="Sous-titreobjetPagedecouverture">
    <w:name w:val="Sous-titre objet (Page de couverture)"/>
    <w:basedOn w:val="Sous-titreobjet"/>
  </w:style>
  <w:style w:type="character" w:styleId="UyteHipercze">
    <w:name w:val="FollowedHyperlink"/>
    <w:rPr>
      <w:color w:val="800080"/>
      <w:u w:val="single"/>
    </w:rPr>
  </w:style>
  <w:style w:type="paragraph" w:customStyle="1" w:styleId="FooterCoverPage">
    <w:name w:val="Footer Cover Page"/>
    <w:basedOn w:val="Normalny"/>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omylnaczcionkaakapitu"/>
    <w:uiPriority w:val="39"/>
    <w:rPr>
      <w:rFonts w:ascii="Times New Roman" w:hAnsi="Times New Roman" w:cs="Times New Roman"/>
      <w:b/>
      <w:sz w:val="28"/>
      <w:lang w:val="pl-PL"/>
    </w:rPr>
  </w:style>
  <w:style w:type="character" w:customStyle="1" w:styleId="FooterCoverPageChar">
    <w:name w:val="Footer Cover Page Char"/>
    <w:basedOn w:val="TOCHeadingChar"/>
    <w:link w:val="FooterCoverPage"/>
    <w:rPr>
      <w:rFonts w:ascii="Times New Roman" w:hAnsi="Times New Roman" w:cs="Times New Roman"/>
      <w:b w:val="0"/>
      <w:sz w:val="24"/>
      <w:lang w:val="pl-PL"/>
    </w:rPr>
  </w:style>
  <w:style w:type="paragraph" w:customStyle="1" w:styleId="HeaderCoverPage">
    <w:name w:val="Header Cover Page"/>
    <w:basedOn w:val="Normalny"/>
    <w:link w:val="HeaderCoverPageChar"/>
    <w:pPr>
      <w:tabs>
        <w:tab w:val="center" w:pos="4535"/>
        <w:tab w:val="right" w:pos="9071"/>
      </w:tabs>
      <w:spacing w:before="0"/>
    </w:pPr>
    <w:rPr>
      <w:lang w:eastAsia="en-GB"/>
    </w:rPr>
  </w:style>
  <w:style w:type="character" w:customStyle="1" w:styleId="HeaderCoverPageChar">
    <w:name w:val="Header Cover Page Char"/>
    <w:basedOn w:val="TOCHeadingChar"/>
    <w:link w:val="HeaderCoverPage"/>
    <w:rPr>
      <w:rFonts w:ascii="Times New Roman" w:hAnsi="Times New Roman" w:cs="Times New Roman"/>
      <w:b w:val="0"/>
      <w:sz w:val="24"/>
      <w:lang w:val="pl-PL" w:eastAsia="en-GB"/>
    </w:rPr>
  </w:style>
  <w:style w:type="table" w:styleId="Tabela-Siatka">
    <w:name w:val="Table Grid"/>
    <w:basedOn w:val="Standardowy"/>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ny"/>
    <w:pPr>
      <w:spacing w:before="100" w:beforeAutospacing="1" w:after="100" w:afterAutospacing="1"/>
      <w:jc w:val="left"/>
    </w:pPr>
    <w:rPr>
      <w:rFonts w:eastAsia="Times New Roman"/>
      <w:szCs w:val="24"/>
      <w:lang w:eastAsia="en-GB"/>
    </w:rPr>
  </w:style>
  <w:style w:type="paragraph" w:customStyle="1" w:styleId="xmsolistparagraph">
    <w:name w:val="x_msolistparagraph"/>
    <w:basedOn w:val="Normalny"/>
    <w:pPr>
      <w:spacing w:before="100" w:beforeAutospacing="1" w:after="100" w:afterAutospacing="1"/>
      <w:jc w:val="left"/>
    </w:pPr>
    <w:rPr>
      <w:rFonts w:eastAsia="Times New Roman"/>
      <w:szCs w:val="24"/>
      <w:lang w:eastAsia="en-GB"/>
    </w:rPr>
  </w:style>
  <w:style w:type="paragraph" w:styleId="Nagwek">
    <w:name w:val="header"/>
    <w:basedOn w:val="Normalny"/>
    <w:link w:val="NagwekZnak"/>
    <w:uiPriority w:val="99"/>
    <w:unhideWhenUsed/>
    <w:pPr>
      <w:tabs>
        <w:tab w:val="center" w:pos="4535"/>
        <w:tab w:val="right" w:pos="9071"/>
      </w:tabs>
      <w:spacing w:before="0"/>
    </w:pPr>
  </w:style>
  <w:style w:type="character" w:customStyle="1" w:styleId="NagwekZnak">
    <w:name w:val="Nagłówek Znak"/>
    <w:basedOn w:val="Domylnaczcionkaakapitu"/>
    <w:link w:val="Nagwek"/>
    <w:uiPriority w:val="99"/>
    <w:rPr>
      <w:rFonts w:ascii="Times New Roman" w:hAnsi="Times New Roman" w:cs="Times New Roman"/>
      <w:sz w:val="24"/>
      <w:lang w:val="pl-PL"/>
    </w:rPr>
  </w:style>
  <w:style w:type="paragraph" w:styleId="Stopka">
    <w:name w:val="footer"/>
    <w:basedOn w:val="Normalny"/>
    <w:link w:val="StopkaZnak"/>
    <w:uiPriority w:val="99"/>
    <w:unhideWhenUsed/>
    <w:pPr>
      <w:tabs>
        <w:tab w:val="center" w:pos="4535"/>
        <w:tab w:val="right" w:pos="9071"/>
        <w:tab w:val="right" w:pos="9921"/>
      </w:tabs>
      <w:spacing w:before="360" w:after="0"/>
      <w:ind w:left="-850" w:right="-850"/>
      <w:jc w:val="left"/>
    </w:pPr>
  </w:style>
  <w:style w:type="character" w:customStyle="1" w:styleId="StopkaZnak">
    <w:name w:val="Stopka Znak"/>
    <w:basedOn w:val="Domylnaczcionkaakapitu"/>
    <w:link w:val="Stopka"/>
    <w:uiPriority w:val="99"/>
    <w:rPr>
      <w:rFonts w:ascii="Times New Roman" w:hAnsi="Times New Roman" w:cs="Times New Roman"/>
      <w:sz w:val="24"/>
      <w:lang w:val="pl-PL"/>
    </w:rPr>
  </w:style>
  <w:style w:type="paragraph" w:styleId="Tekstprzypisudolnego">
    <w:name w:val="footnote text"/>
    <w:basedOn w:val="Normalny"/>
    <w:link w:val="TekstprzypisudolnegoZnak"/>
    <w:uiPriority w:val="99"/>
    <w:semiHidden/>
    <w:unhideWhenUsed/>
    <w:pPr>
      <w:spacing w:before="0" w:after="0"/>
      <w:ind w:left="720" w:hanging="720"/>
    </w:pPr>
    <w:rPr>
      <w:sz w:val="20"/>
      <w:szCs w:val="20"/>
    </w:rPr>
  </w:style>
  <w:style w:type="character" w:customStyle="1" w:styleId="TekstprzypisudolnegoZnak">
    <w:name w:val="Tekst przypisu dolnego Znak"/>
    <w:basedOn w:val="Domylnaczcionkaakapitu"/>
    <w:link w:val="Tekstprzypisudolnego"/>
    <w:uiPriority w:val="99"/>
    <w:semiHidden/>
    <w:rPr>
      <w:rFonts w:ascii="Times New Roman" w:hAnsi="Times New Roman" w:cs="Times New Roman"/>
      <w:sz w:val="20"/>
      <w:szCs w:val="20"/>
      <w:shd w:val="clear" w:color="auto" w:fill="auto"/>
      <w:lang w:val="en-GB"/>
    </w:rPr>
  </w:style>
  <w:style w:type="character" w:customStyle="1" w:styleId="Nagwek1Znak">
    <w:name w:val="Nagłówek 1 Znak"/>
    <w:basedOn w:val="Domylnaczcionkaakapitu"/>
    <w:link w:val="Nagwek1"/>
    <w:uiPriority w:val="9"/>
    <w:rPr>
      <w:rFonts w:ascii="Times New Roman" w:eastAsiaTheme="majorEastAsia" w:hAnsi="Times New Roman" w:cs="Times New Roman"/>
      <w:b/>
      <w:bCs/>
      <w:smallCaps/>
      <w:sz w:val="24"/>
      <w:szCs w:val="28"/>
      <w:lang w:val="en-GB"/>
    </w:rPr>
  </w:style>
  <w:style w:type="character" w:customStyle="1" w:styleId="Nagwek2Znak">
    <w:name w:val="Nagłówek 2 Znak"/>
    <w:basedOn w:val="Domylnaczcionkaakapitu"/>
    <w:link w:val="Nagwek2"/>
    <w:uiPriority w:val="9"/>
    <w:semiHidden/>
    <w:rPr>
      <w:rFonts w:ascii="Times New Roman" w:eastAsiaTheme="majorEastAsia" w:hAnsi="Times New Roman" w:cs="Times New Roman"/>
      <w:b/>
      <w:bCs/>
      <w:sz w:val="24"/>
      <w:szCs w:val="26"/>
      <w:lang w:val="en-GB"/>
    </w:rPr>
  </w:style>
  <w:style w:type="character" w:customStyle="1" w:styleId="Nagwek3Znak">
    <w:name w:val="Nagłówek 3 Znak"/>
    <w:basedOn w:val="Domylnaczcionkaakapitu"/>
    <w:link w:val="Nagwek3"/>
    <w:uiPriority w:val="9"/>
    <w:semiHidden/>
    <w:rPr>
      <w:rFonts w:ascii="Times New Roman" w:eastAsiaTheme="majorEastAsia" w:hAnsi="Times New Roman" w:cs="Times New Roman"/>
      <w:bCs/>
      <w:i/>
      <w:sz w:val="24"/>
      <w:lang w:val="en-GB"/>
    </w:rPr>
  </w:style>
  <w:style w:type="character" w:customStyle="1" w:styleId="Nagwek4Znak">
    <w:name w:val="Nagłówek 4 Znak"/>
    <w:basedOn w:val="Domylnaczcionkaakapitu"/>
    <w:link w:val="Nagwek4"/>
    <w:uiPriority w:val="9"/>
    <w:semiHidden/>
    <w:rPr>
      <w:rFonts w:ascii="Times New Roman" w:eastAsiaTheme="majorEastAsia" w:hAnsi="Times New Roman" w:cs="Times New Roman"/>
      <w:bCs/>
      <w:iCs/>
      <w:sz w:val="24"/>
      <w:lang w:val="en-GB"/>
    </w:rPr>
  </w:style>
  <w:style w:type="paragraph" w:styleId="Nagwekspisutreci">
    <w:name w:val="TOC Heading"/>
    <w:basedOn w:val="Normalny"/>
    <w:next w:val="Normalny"/>
    <w:uiPriority w:val="39"/>
    <w:semiHidden/>
    <w:unhideWhenUsed/>
    <w:qFormat/>
    <w:pPr>
      <w:spacing w:after="240"/>
      <w:jc w:val="center"/>
    </w:pPr>
    <w:rPr>
      <w:b/>
      <w:sz w:val="28"/>
    </w:rPr>
  </w:style>
  <w:style w:type="paragraph" w:styleId="Spistreci1">
    <w:name w:val="toc 1"/>
    <w:basedOn w:val="Normalny"/>
    <w:next w:val="Normalny"/>
    <w:uiPriority w:val="39"/>
    <w:semiHidden/>
    <w:unhideWhenUsed/>
    <w:pPr>
      <w:tabs>
        <w:tab w:val="right" w:leader="dot" w:pos="9071"/>
      </w:tabs>
      <w:spacing w:before="60"/>
      <w:ind w:left="850" w:hanging="850"/>
      <w:jc w:val="left"/>
    </w:pPr>
  </w:style>
  <w:style w:type="paragraph" w:styleId="Spistreci2">
    <w:name w:val="toc 2"/>
    <w:basedOn w:val="Normalny"/>
    <w:next w:val="Normalny"/>
    <w:uiPriority w:val="39"/>
    <w:semiHidden/>
    <w:unhideWhenUsed/>
    <w:pPr>
      <w:tabs>
        <w:tab w:val="right" w:leader="dot" w:pos="9071"/>
      </w:tabs>
      <w:spacing w:before="60"/>
      <w:ind w:left="850" w:hanging="850"/>
      <w:jc w:val="left"/>
    </w:pPr>
  </w:style>
  <w:style w:type="paragraph" w:styleId="Spistreci3">
    <w:name w:val="toc 3"/>
    <w:basedOn w:val="Normalny"/>
    <w:next w:val="Normalny"/>
    <w:uiPriority w:val="39"/>
    <w:semiHidden/>
    <w:unhideWhenUsed/>
    <w:pPr>
      <w:tabs>
        <w:tab w:val="right" w:leader="dot" w:pos="9071"/>
      </w:tabs>
      <w:spacing w:before="60"/>
      <w:ind w:left="850" w:hanging="850"/>
      <w:jc w:val="left"/>
    </w:pPr>
  </w:style>
  <w:style w:type="paragraph" w:styleId="Spistreci4">
    <w:name w:val="toc 4"/>
    <w:basedOn w:val="Normalny"/>
    <w:next w:val="Normalny"/>
    <w:uiPriority w:val="39"/>
    <w:semiHidden/>
    <w:unhideWhenUsed/>
    <w:pPr>
      <w:tabs>
        <w:tab w:val="right" w:leader="dot" w:pos="9071"/>
      </w:tabs>
      <w:spacing w:before="60"/>
      <w:ind w:left="850" w:hanging="850"/>
      <w:jc w:val="left"/>
    </w:pPr>
  </w:style>
  <w:style w:type="paragraph" w:styleId="Spistreci5">
    <w:name w:val="toc 5"/>
    <w:basedOn w:val="Normalny"/>
    <w:next w:val="Normalny"/>
    <w:uiPriority w:val="39"/>
    <w:semiHidden/>
    <w:unhideWhenUsed/>
    <w:pPr>
      <w:tabs>
        <w:tab w:val="right" w:leader="dot" w:pos="9071"/>
      </w:tabs>
      <w:spacing w:before="300"/>
      <w:jc w:val="left"/>
    </w:pPr>
  </w:style>
  <w:style w:type="paragraph" w:styleId="Spistreci6">
    <w:name w:val="toc 6"/>
    <w:basedOn w:val="Normalny"/>
    <w:next w:val="Normalny"/>
    <w:uiPriority w:val="39"/>
    <w:semiHidden/>
    <w:unhideWhenUsed/>
    <w:pPr>
      <w:tabs>
        <w:tab w:val="right" w:leader="dot" w:pos="9071"/>
      </w:tabs>
      <w:spacing w:before="240"/>
      <w:jc w:val="left"/>
    </w:pPr>
  </w:style>
  <w:style w:type="paragraph" w:styleId="Spistreci7">
    <w:name w:val="toc 7"/>
    <w:basedOn w:val="Normalny"/>
    <w:next w:val="Normalny"/>
    <w:uiPriority w:val="39"/>
    <w:semiHidden/>
    <w:unhideWhenUsed/>
    <w:pPr>
      <w:tabs>
        <w:tab w:val="right" w:leader="dot" w:pos="9071"/>
      </w:tabs>
      <w:spacing w:before="180"/>
      <w:jc w:val="left"/>
    </w:pPr>
  </w:style>
  <w:style w:type="paragraph" w:styleId="Spistreci8">
    <w:name w:val="toc 8"/>
    <w:basedOn w:val="Normalny"/>
    <w:next w:val="Normalny"/>
    <w:uiPriority w:val="39"/>
    <w:semiHidden/>
    <w:unhideWhenUsed/>
    <w:pPr>
      <w:tabs>
        <w:tab w:val="right" w:leader="dot" w:pos="9071"/>
      </w:tabs>
      <w:jc w:val="left"/>
    </w:pPr>
  </w:style>
  <w:style w:type="paragraph" w:styleId="Spistreci9">
    <w:name w:val="toc 9"/>
    <w:basedOn w:val="Normalny"/>
    <w:next w:val="Normalny"/>
    <w:uiPriority w:val="39"/>
    <w:semiHidden/>
    <w:unhideWhenUsed/>
    <w:pPr>
      <w:tabs>
        <w:tab w:val="right" w:leader="dot" w:pos="9071"/>
      </w:tabs>
    </w:pPr>
  </w:style>
  <w:style w:type="paragraph" w:customStyle="1" w:styleId="HeaderLandscape">
    <w:name w:val="HeaderLandscape"/>
    <w:basedOn w:val="Normalny"/>
    <w:pPr>
      <w:tabs>
        <w:tab w:val="center" w:pos="7285"/>
        <w:tab w:val="right" w:pos="14003"/>
      </w:tabs>
      <w:spacing w:before="0"/>
    </w:pPr>
  </w:style>
  <w:style w:type="paragraph" w:customStyle="1" w:styleId="FooterLandscape">
    <w:name w:val="FooterLandscape"/>
    <w:basedOn w:val="Normalny"/>
    <w:pPr>
      <w:tabs>
        <w:tab w:val="center" w:pos="7285"/>
        <w:tab w:val="center" w:pos="10913"/>
        <w:tab w:val="right" w:pos="15137"/>
      </w:tabs>
      <w:spacing w:before="360" w:after="0"/>
      <w:ind w:left="-567" w:right="-567"/>
      <w:jc w:val="left"/>
    </w:pPr>
  </w:style>
  <w:style w:type="character" w:styleId="Odwoanieprzypisudolnego">
    <w:name w:val="footnote reference"/>
    <w:basedOn w:val="Domylnaczcionkaakapitu"/>
    <w:uiPriority w:val="99"/>
    <w:semiHidden/>
    <w:unhideWhenUsed/>
    <w:rPr>
      <w:shd w:val="clear" w:color="auto" w:fill="auto"/>
      <w:vertAlign w:val="superscript"/>
    </w:rPr>
  </w:style>
  <w:style w:type="paragraph" w:customStyle="1" w:styleId="HeaderSensitivity">
    <w:name w:val="Header Sensitivity"/>
    <w:basedOn w:val="Normalny"/>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ny"/>
    <w:pPr>
      <w:spacing w:before="0"/>
      <w:jc w:val="right"/>
    </w:pPr>
    <w:rPr>
      <w:sz w:val="28"/>
    </w:rPr>
  </w:style>
  <w:style w:type="paragraph" w:customStyle="1" w:styleId="FooterSensitivity">
    <w:name w:val="Footer Sensitivity"/>
    <w:basedOn w:val="Normalny"/>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ny"/>
    <w:pPr>
      <w:ind w:left="850"/>
    </w:pPr>
  </w:style>
  <w:style w:type="paragraph" w:customStyle="1" w:styleId="Text2">
    <w:name w:val="Text 2"/>
    <w:basedOn w:val="Normalny"/>
    <w:pPr>
      <w:ind w:left="1417"/>
    </w:pPr>
  </w:style>
  <w:style w:type="paragraph" w:customStyle="1" w:styleId="Text3">
    <w:name w:val="Text 3"/>
    <w:basedOn w:val="Normalny"/>
    <w:pPr>
      <w:ind w:left="1984"/>
    </w:pPr>
  </w:style>
  <w:style w:type="paragraph" w:customStyle="1" w:styleId="Text4">
    <w:name w:val="Text 4"/>
    <w:basedOn w:val="Normalny"/>
    <w:pPr>
      <w:ind w:left="2551"/>
    </w:pPr>
  </w:style>
  <w:style w:type="paragraph" w:customStyle="1" w:styleId="NormalCentered">
    <w:name w:val="Normal Centered"/>
    <w:basedOn w:val="Normalny"/>
    <w:pPr>
      <w:jc w:val="center"/>
    </w:pPr>
  </w:style>
  <w:style w:type="paragraph" w:customStyle="1" w:styleId="NormalLeft">
    <w:name w:val="Normal Left"/>
    <w:basedOn w:val="Normalny"/>
    <w:pPr>
      <w:jc w:val="left"/>
    </w:pPr>
  </w:style>
  <w:style w:type="paragraph" w:customStyle="1" w:styleId="NormalRight">
    <w:name w:val="Normal Right"/>
    <w:basedOn w:val="Normalny"/>
    <w:pPr>
      <w:jc w:val="right"/>
    </w:pPr>
  </w:style>
  <w:style w:type="paragraph" w:customStyle="1" w:styleId="QuotedText">
    <w:name w:val="Quoted Text"/>
    <w:basedOn w:val="Normalny"/>
    <w:pPr>
      <w:ind w:left="1417"/>
    </w:pPr>
  </w:style>
  <w:style w:type="paragraph" w:customStyle="1" w:styleId="Point0">
    <w:name w:val="Point 0"/>
    <w:basedOn w:val="Normalny"/>
    <w:pPr>
      <w:ind w:left="850" w:hanging="850"/>
    </w:pPr>
  </w:style>
  <w:style w:type="paragraph" w:customStyle="1" w:styleId="Point1">
    <w:name w:val="Point 1"/>
    <w:basedOn w:val="Normalny"/>
    <w:pPr>
      <w:ind w:left="1417" w:hanging="567"/>
    </w:pPr>
  </w:style>
  <w:style w:type="paragraph" w:customStyle="1" w:styleId="Point2">
    <w:name w:val="Point 2"/>
    <w:basedOn w:val="Normalny"/>
    <w:pPr>
      <w:ind w:left="1984" w:hanging="567"/>
    </w:pPr>
  </w:style>
  <w:style w:type="paragraph" w:customStyle="1" w:styleId="Point3">
    <w:name w:val="Point 3"/>
    <w:basedOn w:val="Normalny"/>
    <w:pPr>
      <w:ind w:left="2551" w:hanging="567"/>
    </w:pPr>
  </w:style>
  <w:style w:type="paragraph" w:customStyle="1" w:styleId="Point4">
    <w:name w:val="Point 4"/>
    <w:basedOn w:val="Normalny"/>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ny"/>
    <w:pPr>
      <w:tabs>
        <w:tab w:val="left" w:pos="850"/>
      </w:tabs>
      <w:ind w:left="1417" w:hanging="1417"/>
    </w:pPr>
  </w:style>
  <w:style w:type="paragraph" w:customStyle="1" w:styleId="PointDouble1">
    <w:name w:val="PointDouble 1"/>
    <w:basedOn w:val="Normalny"/>
    <w:pPr>
      <w:tabs>
        <w:tab w:val="left" w:pos="1417"/>
      </w:tabs>
      <w:ind w:left="1984" w:hanging="1134"/>
    </w:pPr>
  </w:style>
  <w:style w:type="paragraph" w:customStyle="1" w:styleId="PointDouble2">
    <w:name w:val="PointDouble 2"/>
    <w:basedOn w:val="Normalny"/>
    <w:pPr>
      <w:tabs>
        <w:tab w:val="left" w:pos="1984"/>
      </w:tabs>
      <w:ind w:left="2551" w:hanging="1134"/>
    </w:pPr>
  </w:style>
  <w:style w:type="paragraph" w:customStyle="1" w:styleId="PointDouble3">
    <w:name w:val="PointDouble 3"/>
    <w:basedOn w:val="Normalny"/>
    <w:pPr>
      <w:tabs>
        <w:tab w:val="left" w:pos="2551"/>
      </w:tabs>
      <w:ind w:left="3118" w:hanging="1134"/>
    </w:pPr>
  </w:style>
  <w:style w:type="paragraph" w:customStyle="1" w:styleId="PointDouble4">
    <w:name w:val="PointDouble 4"/>
    <w:basedOn w:val="Normalny"/>
    <w:pPr>
      <w:tabs>
        <w:tab w:val="left" w:pos="3118"/>
      </w:tabs>
      <w:ind w:left="3685" w:hanging="1134"/>
    </w:pPr>
  </w:style>
  <w:style w:type="paragraph" w:customStyle="1" w:styleId="PointTriple0">
    <w:name w:val="PointTriple 0"/>
    <w:basedOn w:val="Normalny"/>
    <w:pPr>
      <w:tabs>
        <w:tab w:val="left" w:pos="850"/>
        <w:tab w:val="left" w:pos="1417"/>
      </w:tabs>
      <w:ind w:left="1984" w:hanging="1984"/>
    </w:pPr>
  </w:style>
  <w:style w:type="paragraph" w:customStyle="1" w:styleId="PointTriple1">
    <w:name w:val="PointTriple 1"/>
    <w:basedOn w:val="Normalny"/>
    <w:pPr>
      <w:tabs>
        <w:tab w:val="left" w:pos="1417"/>
        <w:tab w:val="left" w:pos="1984"/>
      </w:tabs>
      <w:ind w:left="2551" w:hanging="1701"/>
    </w:pPr>
  </w:style>
  <w:style w:type="paragraph" w:customStyle="1" w:styleId="PointTriple2">
    <w:name w:val="PointTriple 2"/>
    <w:basedOn w:val="Normalny"/>
    <w:pPr>
      <w:tabs>
        <w:tab w:val="left" w:pos="1984"/>
        <w:tab w:val="left" w:pos="2551"/>
      </w:tabs>
      <w:ind w:left="3118" w:hanging="1701"/>
    </w:pPr>
  </w:style>
  <w:style w:type="paragraph" w:customStyle="1" w:styleId="PointTriple3">
    <w:name w:val="PointTriple 3"/>
    <w:basedOn w:val="Normalny"/>
    <w:pPr>
      <w:tabs>
        <w:tab w:val="left" w:pos="2551"/>
        <w:tab w:val="left" w:pos="3118"/>
      </w:tabs>
      <w:ind w:left="3685" w:hanging="1701"/>
    </w:pPr>
  </w:style>
  <w:style w:type="paragraph" w:customStyle="1" w:styleId="PointTriple4">
    <w:name w:val="PointTriple 4"/>
    <w:basedOn w:val="Normalny"/>
    <w:pPr>
      <w:tabs>
        <w:tab w:val="left" w:pos="3118"/>
        <w:tab w:val="left" w:pos="3685"/>
      </w:tabs>
      <w:ind w:left="4252" w:hanging="1701"/>
    </w:pPr>
  </w:style>
  <w:style w:type="paragraph" w:customStyle="1" w:styleId="NumPar1">
    <w:name w:val="NumPar 1"/>
    <w:basedOn w:val="Normalny"/>
    <w:next w:val="Text1"/>
    <w:pPr>
      <w:numPr>
        <w:numId w:val="29"/>
      </w:numPr>
    </w:pPr>
  </w:style>
  <w:style w:type="paragraph" w:customStyle="1" w:styleId="NumPar2">
    <w:name w:val="NumPar 2"/>
    <w:basedOn w:val="Normalny"/>
    <w:next w:val="Text1"/>
    <w:pPr>
      <w:numPr>
        <w:ilvl w:val="1"/>
        <w:numId w:val="29"/>
      </w:numPr>
    </w:pPr>
  </w:style>
  <w:style w:type="paragraph" w:customStyle="1" w:styleId="NumPar3">
    <w:name w:val="NumPar 3"/>
    <w:basedOn w:val="Normalny"/>
    <w:next w:val="Text1"/>
    <w:pPr>
      <w:numPr>
        <w:ilvl w:val="2"/>
        <w:numId w:val="29"/>
      </w:numPr>
    </w:pPr>
  </w:style>
  <w:style w:type="paragraph" w:customStyle="1" w:styleId="NumPar4">
    <w:name w:val="NumPar 4"/>
    <w:basedOn w:val="Normalny"/>
    <w:next w:val="Text1"/>
    <w:pPr>
      <w:numPr>
        <w:ilvl w:val="3"/>
        <w:numId w:val="29"/>
      </w:numPr>
    </w:pPr>
  </w:style>
  <w:style w:type="paragraph" w:customStyle="1" w:styleId="ManualNumPar1">
    <w:name w:val="Manual NumPar 1"/>
    <w:basedOn w:val="Normalny"/>
    <w:next w:val="Text1"/>
    <w:pPr>
      <w:ind w:left="850" w:hanging="850"/>
    </w:pPr>
  </w:style>
  <w:style w:type="paragraph" w:customStyle="1" w:styleId="ManualNumPar2">
    <w:name w:val="Manual NumPar 2"/>
    <w:basedOn w:val="Normalny"/>
    <w:next w:val="Text1"/>
    <w:pPr>
      <w:ind w:left="850" w:hanging="850"/>
    </w:pPr>
  </w:style>
  <w:style w:type="paragraph" w:customStyle="1" w:styleId="ManualNumPar3">
    <w:name w:val="Manual NumPar 3"/>
    <w:basedOn w:val="Normalny"/>
    <w:next w:val="Text1"/>
    <w:pPr>
      <w:ind w:left="850" w:hanging="850"/>
    </w:pPr>
  </w:style>
  <w:style w:type="paragraph" w:customStyle="1" w:styleId="ManualNumPar4">
    <w:name w:val="Manual NumPar 4"/>
    <w:basedOn w:val="Normalny"/>
    <w:next w:val="Text1"/>
    <w:pPr>
      <w:ind w:left="850" w:hanging="850"/>
    </w:pPr>
  </w:style>
  <w:style w:type="paragraph" w:customStyle="1" w:styleId="QuotedNumPar">
    <w:name w:val="Quoted NumPar"/>
    <w:basedOn w:val="Normalny"/>
    <w:pPr>
      <w:ind w:left="1417" w:hanging="567"/>
    </w:pPr>
  </w:style>
  <w:style w:type="paragraph" w:customStyle="1" w:styleId="ManualHeading1">
    <w:name w:val="Manual Heading 1"/>
    <w:basedOn w:val="Normalny"/>
    <w:next w:val="Text1"/>
    <w:pPr>
      <w:keepNext/>
      <w:tabs>
        <w:tab w:val="left" w:pos="850"/>
      </w:tabs>
      <w:spacing w:before="360"/>
      <w:ind w:left="850" w:hanging="850"/>
      <w:outlineLvl w:val="0"/>
    </w:pPr>
    <w:rPr>
      <w:b/>
      <w:smallCaps/>
    </w:rPr>
  </w:style>
  <w:style w:type="paragraph" w:customStyle="1" w:styleId="ManualHeading2">
    <w:name w:val="Manual Heading 2"/>
    <w:basedOn w:val="Normalny"/>
    <w:next w:val="Text1"/>
    <w:pPr>
      <w:keepNext/>
      <w:tabs>
        <w:tab w:val="left" w:pos="850"/>
      </w:tabs>
      <w:ind w:left="850" w:hanging="850"/>
      <w:outlineLvl w:val="1"/>
    </w:pPr>
    <w:rPr>
      <w:b/>
    </w:rPr>
  </w:style>
  <w:style w:type="paragraph" w:customStyle="1" w:styleId="ManualHeading3">
    <w:name w:val="Manual Heading 3"/>
    <w:basedOn w:val="Normalny"/>
    <w:next w:val="Text1"/>
    <w:pPr>
      <w:keepNext/>
      <w:tabs>
        <w:tab w:val="left" w:pos="850"/>
      </w:tabs>
      <w:ind w:left="850" w:hanging="850"/>
      <w:outlineLvl w:val="2"/>
    </w:pPr>
    <w:rPr>
      <w:i/>
    </w:rPr>
  </w:style>
  <w:style w:type="paragraph" w:customStyle="1" w:styleId="ManualHeading4">
    <w:name w:val="Manual Heading 4"/>
    <w:basedOn w:val="Normalny"/>
    <w:next w:val="Text1"/>
    <w:pPr>
      <w:keepNext/>
      <w:tabs>
        <w:tab w:val="left" w:pos="850"/>
      </w:tabs>
      <w:ind w:left="850" w:hanging="850"/>
      <w:outlineLvl w:val="3"/>
    </w:pPr>
  </w:style>
  <w:style w:type="paragraph" w:customStyle="1" w:styleId="ChapterTitle">
    <w:name w:val="ChapterTitle"/>
    <w:basedOn w:val="Normalny"/>
    <w:next w:val="Normalny"/>
    <w:pPr>
      <w:keepNext/>
      <w:spacing w:after="360"/>
      <w:jc w:val="center"/>
    </w:pPr>
    <w:rPr>
      <w:b/>
      <w:sz w:val="32"/>
    </w:rPr>
  </w:style>
  <w:style w:type="paragraph" w:customStyle="1" w:styleId="PartTitle">
    <w:name w:val="PartTitle"/>
    <w:basedOn w:val="Normalny"/>
    <w:next w:val="ChapterTitle"/>
    <w:pPr>
      <w:keepNext/>
      <w:pageBreakBefore/>
      <w:spacing w:after="360"/>
      <w:jc w:val="center"/>
    </w:pPr>
    <w:rPr>
      <w:b/>
      <w:sz w:val="36"/>
    </w:rPr>
  </w:style>
  <w:style w:type="paragraph" w:customStyle="1" w:styleId="SectionTitle">
    <w:name w:val="SectionTitle"/>
    <w:basedOn w:val="Normalny"/>
    <w:next w:val="Nagwek1"/>
    <w:pPr>
      <w:keepNext/>
      <w:spacing w:after="360"/>
      <w:jc w:val="center"/>
    </w:pPr>
    <w:rPr>
      <w:b/>
      <w:smallCaps/>
      <w:sz w:val="28"/>
    </w:rPr>
  </w:style>
  <w:style w:type="paragraph" w:customStyle="1" w:styleId="TableTitle">
    <w:name w:val="Table Title"/>
    <w:basedOn w:val="Normalny"/>
    <w:next w:val="Normalny"/>
    <w:pPr>
      <w:jc w:val="center"/>
    </w:pPr>
    <w:rPr>
      <w:b/>
    </w:rPr>
  </w:style>
  <w:style w:type="character" w:customStyle="1" w:styleId="Marker">
    <w:name w:val="Marker"/>
    <w:basedOn w:val="Domylnaczcionkaakapitu"/>
    <w:rPr>
      <w:color w:val="0000FF"/>
      <w:shd w:val="clear" w:color="auto" w:fill="auto"/>
    </w:rPr>
  </w:style>
  <w:style w:type="character" w:customStyle="1" w:styleId="Marker1">
    <w:name w:val="Marker1"/>
    <w:basedOn w:val="Domylnaczcionkaakapitu"/>
    <w:rPr>
      <w:color w:val="008000"/>
      <w:shd w:val="clear" w:color="auto" w:fill="auto"/>
    </w:rPr>
  </w:style>
  <w:style w:type="character" w:customStyle="1" w:styleId="Marker2">
    <w:name w:val="Marker2"/>
    <w:basedOn w:val="Domylnaczcionkaakapitu"/>
    <w:rPr>
      <w:color w:val="FF0000"/>
      <w:shd w:val="clear" w:color="auto" w:fill="auto"/>
    </w:rPr>
  </w:style>
  <w:style w:type="paragraph" w:customStyle="1" w:styleId="Point0number">
    <w:name w:val="Point 0 (number)"/>
    <w:basedOn w:val="Normalny"/>
    <w:pPr>
      <w:numPr>
        <w:numId w:val="31"/>
      </w:numPr>
    </w:pPr>
  </w:style>
  <w:style w:type="paragraph" w:customStyle="1" w:styleId="Point1number">
    <w:name w:val="Point 1 (number)"/>
    <w:basedOn w:val="Normalny"/>
    <w:pPr>
      <w:numPr>
        <w:ilvl w:val="2"/>
        <w:numId w:val="31"/>
      </w:numPr>
    </w:pPr>
  </w:style>
  <w:style w:type="paragraph" w:customStyle="1" w:styleId="Point2number">
    <w:name w:val="Point 2 (number)"/>
    <w:basedOn w:val="Normalny"/>
    <w:pPr>
      <w:numPr>
        <w:ilvl w:val="4"/>
        <w:numId w:val="31"/>
      </w:numPr>
    </w:pPr>
  </w:style>
  <w:style w:type="paragraph" w:customStyle="1" w:styleId="Point3number">
    <w:name w:val="Point 3 (number)"/>
    <w:basedOn w:val="Normalny"/>
    <w:pPr>
      <w:numPr>
        <w:ilvl w:val="6"/>
        <w:numId w:val="31"/>
      </w:numPr>
    </w:pPr>
  </w:style>
  <w:style w:type="paragraph" w:customStyle="1" w:styleId="Point0letter">
    <w:name w:val="Point 0 (letter)"/>
    <w:basedOn w:val="Normalny"/>
    <w:pPr>
      <w:numPr>
        <w:ilvl w:val="1"/>
        <w:numId w:val="31"/>
      </w:numPr>
    </w:pPr>
  </w:style>
  <w:style w:type="paragraph" w:customStyle="1" w:styleId="Point1letter">
    <w:name w:val="Point 1 (letter)"/>
    <w:basedOn w:val="Normalny"/>
    <w:pPr>
      <w:numPr>
        <w:ilvl w:val="3"/>
        <w:numId w:val="31"/>
      </w:numPr>
    </w:pPr>
  </w:style>
  <w:style w:type="paragraph" w:customStyle="1" w:styleId="Point2letter">
    <w:name w:val="Point 2 (letter)"/>
    <w:basedOn w:val="Normalny"/>
    <w:pPr>
      <w:numPr>
        <w:ilvl w:val="5"/>
        <w:numId w:val="31"/>
      </w:numPr>
    </w:pPr>
  </w:style>
  <w:style w:type="paragraph" w:customStyle="1" w:styleId="Point3letter">
    <w:name w:val="Point 3 (letter)"/>
    <w:basedOn w:val="Normalny"/>
    <w:pPr>
      <w:numPr>
        <w:ilvl w:val="7"/>
        <w:numId w:val="31"/>
      </w:numPr>
    </w:pPr>
  </w:style>
  <w:style w:type="paragraph" w:customStyle="1" w:styleId="Point4letter">
    <w:name w:val="Point 4 (letter)"/>
    <w:basedOn w:val="Normalny"/>
    <w:pPr>
      <w:numPr>
        <w:ilvl w:val="8"/>
        <w:numId w:val="31"/>
      </w:numPr>
    </w:pPr>
  </w:style>
  <w:style w:type="paragraph" w:customStyle="1" w:styleId="Bullet0">
    <w:name w:val="Bullet 0"/>
    <w:basedOn w:val="Normalny"/>
    <w:pPr>
      <w:numPr>
        <w:numId w:val="32"/>
      </w:numPr>
    </w:pPr>
  </w:style>
  <w:style w:type="paragraph" w:customStyle="1" w:styleId="Bullet1">
    <w:name w:val="Bullet 1"/>
    <w:basedOn w:val="Normalny"/>
    <w:pPr>
      <w:numPr>
        <w:numId w:val="33"/>
      </w:numPr>
    </w:pPr>
  </w:style>
  <w:style w:type="paragraph" w:customStyle="1" w:styleId="Bullet2">
    <w:name w:val="Bullet 2"/>
    <w:basedOn w:val="Normalny"/>
    <w:pPr>
      <w:numPr>
        <w:numId w:val="34"/>
      </w:numPr>
    </w:pPr>
  </w:style>
  <w:style w:type="paragraph" w:customStyle="1" w:styleId="Bullet3">
    <w:name w:val="Bullet 3"/>
    <w:basedOn w:val="Normalny"/>
    <w:pPr>
      <w:numPr>
        <w:numId w:val="35"/>
      </w:numPr>
    </w:pPr>
  </w:style>
  <w:style w:type="paragraph" w:customStyle="1" w:styleId="Bullet4">
    <w:name w:val="Bullet 4"/>
    <w:basedOn w:val="Normalny"/>
    <w:pPr>
      <w:numPr>
        <w:numId w:val="36"/>
      </w:numPr>
    </w:pPr>
  </w:style>
  <w:style w:type="paragraph" w:customStyle="1" w:styleId="Langue">
    <w:name w:val="Langue"/>
    <w:basedOn w:val="Normalny"/>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ny"/>
    <w:next w:val="Emission"/>
    <w:pPr>
      <w:spacing w:before="0" w:after="0"/>
      <w:jc w:val="left"/>
    </w:pPr>
    <w:rPr>
      <w:rFonts w:ascii="Arial" w:hAnsi="Arial" w:cs="Arial"/>
    </w:rPr>
  </w:style>
  <w:style w:type="paragraph" w:customStyle="1" w:styleId="Emission">
    <w:name w:val="Emission"/>
    <w:basedOn w:val="Normalny"/>
    <w:next w:val="Rfrenceinstitutionnelle"/>
    <w:pPr>
      <w:spacing w:before="0" w:after="0"/>
      <w:ind w:left="5103"/>
      <w:jc w:val="left"/>
    </w:pPr>
  </w:style>
  <w:style w:type="paragraph" w:customStyle="1" w:styleId="Rfrenceinstitutionnelle">
    <w:name w:val="Référence institutionnelle"/>
    <w:basedOn w:val="Normalny"/>
    <w:next w:val="Confidentialit"/>
    <w:pPr>
      <w:spacing w:before="0" w:after="240"/>
      <w:ind w:left="5103"/>
      <w:jc w:val="left"/>
    </w:pPr>
  </w:style>
  <w:style w:type="paragraph" w:customStyle="1" w:styleId="Pagedecouverture">
    <w:name w:val="Page de couverture"/>
    <w:basedOn w:val="Normalny"/>
    <w:next w:val="Normalny"/>
    <w:pPr>
      <w:spacing w:before="0" w:after="0"/>
    </w:pPr>
  </w:style>
  <w:style w:type="paragraph" w:customStyle="1" w:styleId="Declassification">
    <w:name w:val="Declassification"/>
    <w:basedOn w:val="Normalny"/>
    <w:next w:val="Normalny"/>
    <w:pPr>
      <w:spacing w:before="0" w:after="0"/>
    </w:pPr>
  </w:style>
  <w:style w:type="paragraph" w:customStyle="1" w:styleId="Disclaimer">
    <w:name w:val="Disclaimer"/>
    <w:basedOn w:val="Normalny"/>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ny"/>
    <w:pPr>
      <w:spacing w:before="0" w:after="0" w:line="276" w:lineRule="auto"/>
      <w:ind w:left="5103"/>
      <w:jc w:val="left"/>
    </w:pPr>
    <w:rPr>
      <w:sz w:val="28"/>
    </w:rPr>
  </w:style>
  <w:style w:type="paragraph" w:customStyle="1" w:styleId="DateMarking">
    <w:name w:val="DateMarking"/>
    <w:basedOn w:val="Normalny"/>
    <w:pPr>
      <w:spacing w:before="0" w:after="0" w:line="276" w:lineRule="auto"/>
      <w:ind w:left="5103"/>
      <w:jc w:val="left"/>
    </w:pPr>
    <w:rPr>
      <w:i/>
      <w:sz w:val="28"/>
    </w:rPr>
  </w:style>
  <w:style w:type="paragraph" w:customStyle="1" w:styleId="ReleasableTo">
    <w:name w:val="ReleasableTo"/>
    <w:basedOn w:val="Normalny"/>
    <w:pPr>
      <w:spacing w:before="0" w:after="0" w:line="276" w:lineRule="auto"/>
      <w:ind w:left="5103"/>
      <w:jc w:val="left"/>
    </w:pPr>
    <w:rPr>
      <w:i/>
      <w:sz w:val="28"/>
    </w:rPr>
  </w:style>
  <w:style w:type="paragraph" w:customStyle="1" w:styleId="Annexetitreexpos">
    <w:name w:val="Annexe titre (exposé)"/>
    <w:basedOn w:val="Normalny"/>
    <w:next w:val="Normalny"/>
    <w:pPr>
      <w:jc w:val="center"/>
    </w:pPr>
    <w:rPr>
      <w:b/>
      <w:u w:val="single"/>
    </w:rPr>
  </w:style>
  <w:style w:type="paragraph" w:customStyle="1" w:styleId="Annexetitre">
    <w:name w:val="Annexe titre"/>
    <w:basedOn w:val="Normalny"/>
    <w:next w:val="Normalny"/>
    <w:pPr>
      <w:jc w:val="center"/>
    </w:pPr>
    <w:rPr>
      <w:b/>
      <w:u w:val="single"/>
    </w:rPr>
  </w:style>
  <w:style w:type="paragraph" w:customStyle="1" w:styleId="Annexetitrefichefinancire">
    <w:name w:val="Annexe titre (fiche financière)"/>
    <w:basedOn w:val="Normalny"/>
    <w:next w:val="Normalny"/>
    <w:pPr>
      <w:jc w:val="center"/>
    </w:pPr>
    <w:rPr>
      <w:b/>
      <w:u w:val="single"/>
    </w:rPr>
  </w:style>
  <w:style w:type="paragraph" w:customStyle="1" w:styleId="Applicationdirecte">
    <w:name w:val="Application directe"/>
    <w:basedOn w:val="Normalny"/>
    <w:next w:val="Fait"/>
    <w:pPr>
      <w:spacing w:before="480"/>
    </w:pPr>
  </w:style>
  <w:style w:type="paragraph" w:customStyle="1" w:styleId="Avertissementtitre">
    <w:name w:val="Avertissement titre"/>
    <w:basedOn w:val="Normalny"/>
    <w:next w:val="Normalny"/>
    <w:pPr>
      <w:keepNext/>
      <w:spacing w:before="480"/>
    </w:pPr>
    <w:rPr>
      <w:u w:val="single"/>
    </w:rPr>
  </w:style>
  <w:style w:type="paragraph" w:customStyle="1" w:styleId="Confidence">
    <w:name w:val="Confidence"/>
    <w:basedOn w:val="Normalny"/>
    <w:next w:val="Normalny"/>
    <w:pPr>
      <w:spacing w:before="360"/>
      <w:jc w:val="center"/>
    </w:pPr>
  </w:style>
  <w:style w:type="paragraph" w:customStyle="1" w:styleId="Confidentialit">
    <w:name w:val="Confidentialité"/>
    <w:basedOn w:val="Normalny"/>
    <w:next w:val="TypedudocumentPagedecouverture"/>
    <w:pPr>
      <w:spacing w:before="240" w:after="240"/>
      <w:ind w:left="5103"/>
      <w:jc w:val="left"/>
    </w:pPr>
    <w:rPr>
      <w:i/>
      <w:sz w:val="32"/>
    </w:rPr>
  </w:style>
  <w:style w:type="paragraph" w:customStyle="1" w:styleId="Considrant">
    <w:name w:val="Considérant"/>
    <w:basedOn w:val="Normalny"/>
    <w:pPr>
      <w:numPr>
        <w:numId w:val="37"/>
      </w:numPr>
    </w:pPr>
  </w:style>
  <w:style w:type="paragraph" w:customStyle="1" w:styleId="Corrigendum">
    <w:name w:val="Corrigendum"/>
    <w:basedOn w:val="Normalny"/>
    <w:next w:val="Normalny"/>
    <w:pPr>
      <w:spacing w:before="0" w:after="240"/>
      <w:jc w:val="left"/>
    </w:pPr>
  </w:style>
  <w:style w:type="paragraph" w:customStyle="1" w:styleId="Datedadoption">
    <w:name w:val="Date d'adoption"/>
    <w:basedOn w:val="Normalny"/>
    <w:next w:val="Titreobjet"/>
    <w:pPr>
      <w:spacing w:before="360" w:after="0"/>
      <w:jc w:val="center"/>
    </w:pPr>
    <w:rPr>
      <w:b/>
    </w:rPr>
  </w:style>
  <w:style w:type="paragraph" w:customStyle="1" w:styleId="Exposdesmotifstitre">
    <w:name w:val="Exposé des motifs titre"/>
    <w:basedOn w:val="Normalny"/>
    <w:next w:val="Normalny"/>
    <w:pPr>
      <w:jc w:val="center"/>
    </w:pPr>
    <w:rPr>
      <w:b/>
      <w:u w:val="single"/>
    </w:rPr>
  </w:style>
  <w:style w:type="paragraph" w:customStyle="1" w:styleId="Fait">
    <w:name w:val="Fait à"/>
    <w:basedOn w:val="Normalny"/>
    <w:next w:val="Institutionquisigne"/>
    <w:pPr>
      <w:keepNext/>
      <w:spacing w:after="0"/>
    </w:pPr>
  </w:style>
  <w:style w:type="paragraph" w:customStyle="1" w:styleId="Formuledadoption">
    <w:name w:val="Formule d'adoption"/>
    <w:basedOn w:val="Normalny"/>
    <w:next w:val="Titrearticle"/>
    <w:pPr>
      <w:keepNext/>
    </w:pPr>
  </w:style>
  <w:style w:type="paragraph" w:customStyle="1" w:styleId="Institutionquiagit">
    <w:name w:val="Institution qui agit"/>
    <w:basedOn w:val="Normalny"/>
    <w:next w:val="Normalny"/>
    <w:pPr>
      <w:keepNext/>
      <w:spacing w:before="600"/>
    </w:pPr>
  </w:style>
  <w:style w:type="paragraph" w:customStyle="1" w:styleId="Institutionquisigne">
    <w:name w:val="Institution qui signe"/>
    <w:basedOn w:val="Normalny"/>
    <w:next w:val="Personnequisigne"/>
    <w:pPr>
      <w:keepNext/>
      <w:tabs>
        <w:tab w:val="left" w:pos="4252"/>
      </w:tabs>
      <w:spacing w:before="720" w:after="0"/>
    </w:pPr>
    <w:rPr>
      <w:i/>
    </w:rPr>
  </w:style>
  <w:style w:type="paragraph" w:customStyle="1" w:styleId="ManualConsidrant">
    <w:name w:val="Manual Considérant"/>
    <w:basedOn w:val="Normalny"/>
    <w:pPr>
      <w:ind w:left="709" w:hanging="709"/>
    </w:pPr>
  </w:style>
  <w:style w:type="paragraph" w:customStyle="1" w:styleId="Personnequisigne">
    <w:name w:val="Personne qui signe"/>
    <w:basedOn w:val="Normalny"/>
    <w:next w:val="Institutionquisigne"/>
    <w:pPr>
      <w:tabs>
        <w:tab w:val="left" w:pos="4252"/>
      </w:tabs>
      <w:spacing w:before="0" w:after="0"/>
      <w:jc w:val="left"/>
    </w:pPr>
    <w:rPr>
      <w:i/>
    </w:rPr>
  </w:style>
  <w:style w:type="paragraph" w:customStyle="1" w:styleId="Rfrenceinterinstitutionnelle">
    <w:name w:val="Référence interinstitutionnelle"/>
    <w:basedOn w:val="Normalny"/>
    <w:next w:val="Statut"/>
    <w:pPr>
      <w:spacing w:before="0" w:after="0"/>
      <w:ind w:left="5103"/>
      <w:jc w:val="left"/>
    </w:pPr>
  </w:style>
  <w:style w:type="paragraph" w:customStyle="1" w:styleId="Rfrenceinterne">
    <w:name w:val="Référence interne"/>
    <w:basedOn w:val="Normalny"/>
    <w:next w:val="Rfrenceinterinstitutionnelle"/>
    <w:pPr>
      <w:spacing w:before="0" w:after="0"/>
      <w:ind w:left="5103"/>
      <w:jc w:val="left"/>
    </w:pPr>
  </w:style>
  <w:style w:type="paragraph" w:customStyle="1" w:styleId="Statut">
    <w:name w:val="Statut"/>
    <w:basedOn w:val="Normalny"/>
    <w:next w:val="Typedudocument"/>
    <w:pPr>
      <w:spacing w:before="360" w:after="0"/>
      <w:jc w:val="center"/>
    </w:pPr>
  </w:style>
  <w:style w:type="paragraph" w:customStyle="1" w:styleId="Titrearticle">
    <w:name w:val="Titre article"/>
    <w:basedOn w:val="Normalny"/>
    <w:next w:val="Normalny"/>
    <w:pPr>
      <w:keepNext/>
      <w:spacing w:before="360"/>
      <w:jc w:val="center"/>
    </w:pPr>
    <w:rPr>
      <w:i/>
    </w:rPr>
  </w:style>
  <w:style w:type="paragraph" w:customStyle="1" w:styleId="Titreobjet">
    <w:name w:val="Titre objet"/>
    <w:basedOn w:val="Normalny"/>
    <w:next w:val="IntrtEEE"/>
    <w:pPr>
      <w:spacing w:before="360" w:after="360"/>
      <w:jc w:val="center"/>
    </w:pPr>
    <w:rPr>
      <w:b/>
    </w:rPr>
  </w:style>
  <w:style w:type="paragraph" w:customStyle="1" w:styleId="Typedudocument">
    <w:name w:val="Type du document"/>
    <w:basedOn w:val="Normalny"/>
    <w:next w:val="Titreobjet"/>
    <w:pPr>
      <w:spacing w:before="360" w:after="0"/>
      <w:jc w:val="center"/>
    </w:pPr>
    <w:rPr>
      <w:b/>
    </w:rPr>
  </w:style>
  <w:style w:type="character" w:customStyle="1" w:styleId="Added">
    <w:name w:val="Added"/>
    <w:basedOn w:val="Domylnaczcionkaakapitu"/>
    <w:rPr>
      <w:b/>
      <w:u w:val="single"/>
      <w:shd w:val="clear" w:color="auto" w:fill="auto"/>
    </w:rPr>
  </w:style>
  <w:style w:type="character" w:customStyle="1" w:styleId="Deleted">
    <w:name w:val="Deleted"/>
    <w:basedOn w:val="Domylnaczcionkaakapitu"/>
    <w:rPr>
      <w:strike/>
      <w:dstrike w:val="0"/>
      <w:shd w:val="clear" w:color="auto" w:fill="auto"/>
    </w:rPr>
  </w:style>
  <w:style w:type="paragraph" w:customStyle="1" w:styleId="Address">
    <w:name w:val="Address"/>
    <w:basedOn w:val="Normalny"/>
    <w:next w:val="Normalny"/>
    <w:pPr>
      <w:keepLines/>
      <w:spacing w:line="360" w:lineRule="auto"/>
      <w:ind w:left="3402"/>
      <w:jc w:val="left"/>
    </w:pPr>
  </w:style>
  <w:style w:type="paragraph" w:customStyle="1" w:styleId="Objetexterne">
    <w:name w:val="Objet externe"/>
    <w:basedOn w:val="Normalny"/>
    <w:next w:val="Normalny"/>
    <w:rPr>
      <w:i/>
      <w:caps/>
    </w:rPr>
  </w:style>
  <w:style w:type="paragraph" w:customStyle="1" w:styleId="Supertitre">
    <w:name w:val="Supertitre"/>
    <w:basedOn w:val="Normalny"/>
    <w:next w:val="Normalny"/>
    <w:pPr>
      <w:spacing w:before="0" w:after="600"/>
      <w:jc w:val="center"/>
    </w:pPr>
    <w:rPr>
      <w:b/>
    </w:rPr>
  </w:style>
  <w:style w:type="paragraph" w:customStyle="1" w:styleId="Languesfaisantfoi">
    <w:name w:val="Langues faisant foi"/>
    <w:basedOn w:val="Normalny"/>
    <w:next w:val="Normalny"/>
    <w:pPr>
      <w:spacing w:before="360" w:after="0"/>
      <w:jc w:val="center"/>
    </w:pPr>
  </w:style>
  <w:style w:type="paragraph" w:customStyle="1" w:styleId="Rfrencecroise">
    <w:name w:val="Référence croisée"/>
    <w:basedOn w:val="Normalny"/>
    <w:pPr>
      <w:spacing w:before="0" w:after="0"/>
      <w:jc w:val="center"/>
    </w:pPr>
  </w:style>
  <w:style w:type="paragraph" w:customStyle="1" w:styleId="Fichefinanciretitre">
    <w:name w:val="Fiche financière titre"/>
    <w:basedOn w:val="Normalny"/>
    <w:next w:val="Normalny"/>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ny"/>
    <w:next w:val="Confidentialit"/>
    <w:pPr>
      <w:spacing w:before="0" w:after="240"/>
      <w:ind w:left="5103"/>
      <w:jc w:val="left"/>
    </w:pPr>
  </w:style>
  <w:style w:type="paragraph" w:customStyle="1" w:styleId="IntrtEEE">
    <w:name w:val="Intérêt EEE"/>
    <w:basedOn w:val="Languesfaisantfoi"/>
    <w:next w:val="Normalny"/>
    <w:pPr>
      <w:spacing w:after="240"/>
    </w:pPr>
  </w:style>
  <w:style w:type="paragraph" w:customStyle="1" w:styleId="Accompagnant">
    <w:name w:val="Accompagnant"/>
    <w:basedOn w:val="Normalny"/>
    <w:next w:val="Typeacteprincipal"/>
    <w:pPr>
      <w:spacing w:before="0" w:after="240"/>
      <w:jc w:val="center"/>
    </w:pPr>
    <w:rPr>
      <w:b/>
      <w:i/>
    </w:rPr>
  </w:style>
  <w:style w:type="paragraph" w:customStyle="1" w:styleId="Typeacteprincipal">
    <w:name w:val="Type acte principal"/>
    <w:basedOn w:val="Normalny"/>
    <w:next w:val="Objetacteprincipal"/>
    <w:pPr>
      <w:spacing w:before="0" w:after="240"/>
      <w:jc w:val="center"/>
    </w:pPr>
    <w:rPr>
      <w:b/>
    </w:rPr>
  </w:style>
  <w:style w:type="paragraph" w:customStyle="1" w:styleId="Objetacteprincipal">
    <w:name w:val="Objet acte principal"/>
    <w:basedOn w:val="Normalny"/>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ny"/>
    <w:next w:val="Normalny"/>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159">
      <w:bodyDiv w:val="1"/>
      <w:marLeft w:val="0"/>
      <w:marRight w:val="0"/>
      <w:marTop w:val="0"/>
      <w:marBottom w:val="0"/>
      <w:divBdr>
        <w:top w:val="none" w:sz="0" w:space="0" w:color="auto"/>
        <w:left w:val="none" w:sz="0" w:space="0" w:color="auto"/>
        <w:bottom w:val="none" w:sz="0" w:space="0" w:color="auto"/>
        <w:right w:val="none" w:sz="0" w:space="0" w:color="auto"/>
      </w:divBdr>
    </w:div>
    <w:div w:id="64768329">
      <w:bodyDiv w:val="1"/>
      <w:marLeft w:val="0"/>
      <w:marRight w:val="0"/>
      <w:marTop w:val="0"/>
      <w:marBottom w:val="0"/>
      <w:divBdr>
        <w:top w:val="none" w:sz="0" w:space="0" w:color="auto"/>
        <w:left w:val="none" w:sz="0" w:space="0" w:color="auto"/>
        <w:bottom w:val="none" w:sz="0" w:space="0" w:color="auto"/>
        <w:right w:val="none" w:sz="0" w:space="0" w:color="auto"/>
      </w:divBdr>
    </w:div>
    <w:div w:id="720249822">
      <w:bodyDiv w:val="1"/>
      <w:marLeft w:val="0"/>
      <w:marRight w:val="0"/>
      <w:marTop w:val="0"/>
      <w:marBottom w:val="0"/>
      <w:divBdr>
        <w:top w:val="none" w:sz="0" w:space="0" w:color="auto"/>
        <w:left w:val="none" w:sz="0" w:space="0" w:color="auto"/>
        <w:bottom w:val="none" w:sz="0" w:space="0" w:color="auto"/>
        <w:right w:val="none" w:sz="0" w:space="0" w:color="auto"/>
      </w:divBdr>
      <w:divsChild>
        <w:div w:id="1246376704">
          <w:marLeft w:val="208"/>
          <w:marRight w:val="0"/>
          <w:marTop w:val="15"/>
          <w:marBottom w:val="0"/>
          <w:divBdr>
            <w:top w:val="none" w:sz="0" w:space="0" w:color="auto"/>
            <w:left w:val="none" w:sz="0" w:space="0" w:color="auto"/>
            <w:bottom w:val="none" w:sz="0" w:space="0" w:color="auto"/>
            <w:right w:val="none" w:sz="0" w:space="0" w:color="auto"/>
          </w:divBdr>
          <w:divsChild>
            <w:div w:id="1007947986">
              <w:marLeft w:val="0"/>
              <w:marRight w:val="0"/>
              <w:marTop w:val="0"/>
              <w:marBottom w:val="0"/>
              <w:divBdr>
                <w:top w:val="none" w:sz="0" w:space="0" w:color="auto"/>
                <w:left w:val="none" w:sz="0" w:space="0" w:color="auto"/>
                <w:bottom w:val="none" w:sz="0" w:space="0" w:color="auto"/>
                <w:right w:val="none" w:sz="0" w:space="0" w:color="auto"/>
              </w:divBdr>
              <w:divsChild>
                <w:div w:id="1626154404">
                  <w:marLeft w:val="0"/>
                  <w:marRight w:val="0"/>
                  <w:marTop w:val="0"/>
                  <w:marBottom w:val="0"/>
                  <w:divBdr>
                    <w:top w:val="none" w:sz="0" w:space="0" w:color="auto"/>
                    <w:left w:val="none" w:sz="0" w:space="0" w:color="auto"/>
                    <w:bottom w:val="none" w:sz="0" w:space="0" w:color="auto"/>
                    <w:right w:val="none" w:sz="0" w:space="0" w:color="auto"/>
                  </w:divBdr>
                </w:div>
                <w:div w:id="5920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369599">
      <w:bodyDiv w:val="1"/>
      <w:marLeft w:val="0"/>
      <w:marRight w:val="0"/>
      <w:marTop w:val="0"/>
      <w:marBottom w:val="0"/>
      <w:divBdr>
        <w:top w:val="none" w:sz="0" w:space="0" w:color="auto"/>
        <w:left w:val="none" w:sz="0" w:space="0" w:color="auto"/>
        <w:bottom w:val="none" w:sz="0" w:space="0" w:color="auto"/>
        <w:right w:val="none" w:sz="0" w:space="0" w:color="auto"/>
      </w:divBdr>
    </w:div>
    <w:div w:id="164130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ec.europa.eu/clima/policies/international/negotiations/paris/index_pl.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www.undp.org/content/undp/en/home/sustainable-development-goals.html" TargetMode="Externa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esc.europa.eu/pl/our-work/opinions-information-reports/opinions/reflection-paper-towards-sustainable-europe-2030" TargetMode="External"/><Relationship Id="rId2" Type="http://schemas.openxmlformats.org/officeDocument/2006/relationships/hyperlink" Target="https://data.consilium.europa.eu/doc/document/ST-10414-2019-INIT/pl/pdf" TargetMode="External"/><Relationship Id="rId1" Type="http://schemas.openxmlformats.org/officeDocument/2006/relationships/hyperlink" Target="https://unfccc.int/sites/default/files/resource/HR-03-06-2020%20EU%20Submission%20on%20Long%20term%20strategy.pdf" TargetMode="External"/><Relationship Id="rId6" Type="http://schemas.openxmlformats.org/officeDocument/2006/relationships/hyperlink" Target="https://myintracomm.ec.europa.eu/budgweb/EN/man/budgmanag/Pages/budgmanag.aspx" TargetMode="External"/><Relationship Id="rId5" Type="http://schemas.openxmlformats.org/officeDocument/2006/relationships/hyperlink" Target="https://ec.europa.eu/environment/legal/reporting/fc_actions_en.htm" TargetMode="External"/><Relationship Id="rId4" Type="http://schemas.openxmlformats.org/officeDocument/2006/relationships/hyperlink" Target="https://www.eea.europa.eu/publications/environmental-indicator-report-20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B1C35AD-3D92-4382-86B4-DBEE5C47E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38</Pages>
  <Words>12283</Words>
  <Characters>73704</Characters>
  <Application>Microsoft Office Word</Application>
  <DocSecurity>0</DocSecurity>
  <Lines>614</Lines>
  <Paragraphs>171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Górnicz Ewa</dc:creator>
  <cp:keywords/>
  <dc:description/>
  <cp:lastModifiedBy>CZESZEJKO-SOCHACKA Małgorzata</cp:lastModifiedBy>
  <cp:revision>2</cp:revision>
  <cp:lastPrinted>2020-10-11T12:01:00Z</cp:lastPrinted>
  <dcterms:created xsi:type="dcterms:W3CDTF">2020-11-03T14:28:00Z</dcterms:created>
  <dcterms:modified xsi:type="dcterms:W3CDTF">2020-11-03T14:28:00Z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SJ-025</vt:lpwstr>
  </property>
  <property fmtid="{D5CDD505-2E9C-101B-9397-08002B2CF9AE}" pid="10" name="DQCStatus">
    <vt:lpwstr>Green (DQC version 03)</vt:lpwstr>
  </property>
</Properties>
</file>