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558D" w14:textId="77777777" w:rsidR="00893E28" w:rsidRDefault="00773B8D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 w14:anchorId="027DD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14:paraId="0F47CC2E" w14:textId="77777777" w:rsidR="00893E28" w:rsidRDefault="00893E28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5070BEE7" w14:textId="77777777" w:rsidR="00893E28" w:rsidRDefault="00893E28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1058749E" w14:textId="77777777" w:rsidR="00893E28" w:rsidRDefault="00893E28" w:rsidP="001E390F">
      <w:pPr>
        <w:jc w:val="both"/>
        <w:rPr>
          <w:rFonts w:ascii="Arial" w:hAnsi="Arial" w:cs="Arial"/>
        </w:rPr>
      </w:pPr>
    </w:p>
    <w:p w14:paraId="2C7E9CED" w14:textId="77777777" w:rsidR="00893E28" w:rsidRPr="004244F6" w:rsidRDefault="00893E28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14:paraId="10570D89" w14:textId="77777777" w:rsidR="00893E28" w:rsidRPr="007A680B" w:rsidRDefault="00893E28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76AF07A6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33C56510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14:paraId="36C2F719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708E3D37" w14:textId="77777777" w:rsidR="00893E28" w:rsidRDefault="00893E28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BCF5D98" w14:textId="77777777" w:rsidR="00893E28" w:rsidRDefault="00893E28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Tczew, ul. Dworcowa 2</w:t>
      </w:r>
    </w:p>
    <w:p w14:paraId="7D46585F" w14:textId="23FD76CE" w:rsidR="00893E28" w:rsidRPr="00B109CC" w:rsidRDefault="00893E28" w:rsidP="00B109C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B109CC">
        <w:rPr>
          <w:rFonts w:ascii="Arial" w:hAnsi="Arial" w:cs="Arial"/>
          <w:sz w:val="16"/>
          <w:szCs w:val="16"/>
        </w:rPr>
        <w:t xml:space="preserve"> użytkowania wieczystego nieruchomości, oznaczonej w ewidencji gruntów jako działka nr 236/2 o powierzchni 0,1527ha, </w:t>
      </w:r>
      <w:r w:rsidR="00C852E8"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>wraz z posadowionymi na niej, stanowiącymi odrębny od gruntu przedmiot własności: budynkiem biurowym o powierzchni użytkowej 1673,45m</w:t>
      </w:r>
      <w:r w:rsidRPr="00B109CC">
        <w:rPr>
          <w:rFonts w:ascii="Arial" w:hAnsi="Arial" w:cs="Arial"/>
          <w:sz w:val="16"/>
          <w:szCs w:val="16"/>
          <w:vertAlign w:val="superscript"/>
        </w:rPr>
        <w:t>2</w:t>
      </w:r>
      <w:r w:rsidRPr="00B109CC">
        <w:rPr>
          <w:rFonts w:ascii="Arial" w:hAnsi="Arial" w:cs="Arial"/>
          <w:sz w:val="16"/>
          <w:szCs w:val="16"/>
        </w:rPr>
        <w:t xml:space="preserve"> i pozostałym budynkiem niemieszkalnym o powierzchni użytkowej </w:t>
      </w:r>
      <w:smartTag w:uri="urn:schemas-microsoft-com:office:smarttags" w:element="metricconverter">
        <w:smartTagPr>
          <w:attr w:name="ProductID" w:val="88,91 m2"/>
        </w:smartTagPr>
        <w:r w:rsidRPr="00B109CC">
          <w:rPr>
            <w:rFonts w:ascii="Arial" w:hAnsi="Arial" w:cs="Arial"/>
            <w:sz w:val="16"/>
            <w:szCs w:val="16"/>
          </w:rPr>
          <w:t>88,91 m</w:t>
        </w:r>
        <w:r w:rsidRPr="00B109CC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sz w:val="16"/>
          <w:szCs w:val="16"/>
        </w:rPr>
        <w:t>, położonej w Tczewie przy ul. Dworcowej 2, powiecie tczewskim, województwie pomorskim, objętej księga wieczystą nr GD1T/00007792/2, prowadzoną przez Sąd Rejonowy w Tczewie IV Wydział Ksiąg Wieczystych.</w:t>
      </w:r>
    </w:p>
    <w:p w14:paraId="0EB931A5" w14:textId="77777777" w:rsidR="00893E28" w:rsidRPr="00024EDC" w:rsidRDefault="00893E28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71B2479A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Według Miejscowego Planu Zagospodarowania Przestrzennego Miasta Tczewa zatwierdzonego Uchwałą Nr XXVIII/263/2005 Rady Miejskiej w Tczewie z dnia 27 stycznia 2005 r. nieruchomość należy do terenów zamkniętych oznaczonych na rysunku Planu symbolem ,,Z</w:t>
      </w:r>
      <w:smartTag w:uri="urn:schemas-microsoft-com:office:smarttags" w:element="metricconverter">
        <w:smartTagPr>
          <w:attr w:name="ProductID" w:val="2”"/>
        </w:smartTagPr>
        <w:r w:rsidRPr="00B109CC">
          <w:rPr>
            <w:rFonts w:ascii="Arial" w:hAnsi="Arial" w:cs="Arial"/>
            <w:sz w:val="16"/>
            <w:szCs w:val="16"/>
          </w:rPr>
          <w:t>2”</w:t>
        </w:r>
      </w:smartTag>
      <w:r w:rsidRPr="00B109CC">
        <w:rPr>
          <w:rFonts w:ascii="Arial" w:hAnsi="Arial" w:cs="Arial"/>
          <w:sz w:val="16"/>
          <w:szCs w:val="16"/>
        </w:rPr>
        <w:t xml:space="preserve"> – strefa zamknięta, dla której nie ustala się zasad zagospodarowania.</w:t>
      </w:r>
    </w:p>
    <w:p w14:paraId="5F71D5C8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2D2336CB" w14:textId="3B0D3184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Pomieszczenia o łącznej powierzchni użytkowej </w:t>
      </w:r>
      <w:smartTag w:uri="urn:schemas-microsoft-com:office:smarttags" w:element="metricconverter">
        <w:smartTagPr>
          <w:attr w:name="ProductID" w:val="40,29 m2"/>
        </w:smartTagPr>
        <w:r w:rsidRPr="00B109CC">
          <w:rPr>
            <w:rFonts w:ascii="Arial" w:hAnsi="Arial" w:cs="Arial"/>
            <w:bCs/>
            <w:color w:val="000000"/>
            <w:sz w:val="16"/>
            <w:szCs w:val="16"/>
          </w:rPr>
          <w:t>40,29 m</w:t>
        </w:r>
        <w:r w:rsidRPr="00B109CC">
          <w:rPr>
            <w:rFonts w:ascii="Arial" w:hAnsi="Arial" w:cs="Arial"/>
            <w:bCs/>
            <w:color w:val="000000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 położone w budynku biurowym najmowane są na podstawie umowy najmu. </w:t>
      </w:r>
      <w:r w:rsidRPr="00B109CC">
        <w:rPr>
          <w:rFonts w:ascii="Arial" w:hAnsi="Arial" w:cs="Arial"/>
          <w:sz w:val="16"/>
          <w:szCs w:val="16"/>
        </w:rPr>
        <w:t xml:space="preserve">Po zbyciu przedmiotowego lokalu, nabywca wstępuje w miejsce zbywcy w stosunek prawny wynikający z ww. umowy </w:t>
      </w:r>
      <w:r w:rsidR="005060E3"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>na podstawie której najemca płaci comiesięczny czynsz.</w:t>
      </w:r>
    </w:p>
    <w:p w14:paraId="3AF9DB1E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B109CC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14:paraId="1E57F1C8" w14:textId="77777777" w:rsidR="00893E28" w:rsidRPr="003824DB" w:rsidRDefault="00893E28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EE33E01" w14:textId="77777777" w:rsidR="00893E28" w:rsidRPr="001606F7" w:rsidRDefault="00893E28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1 720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172 000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14:paraId="5ECE769E" w14:textId="77777777" w:rsidR="00893E28" w:rsidRDefault="00893E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31A96577" w14:textId="77777777" w:rsidR="00893E28" w:rsidRPr="0079691C" w:rsidRDefault="00893E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AA64672" w14:textId="77777777" w:rsidR="00893E28" w:rsidRDefault="00893E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E95070" w14:textId="77777777" w:rsidR="00893E28" w:rsidRPr="00673A2F" w:rsidRDefault="00893E28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 w:rsidR="00DD5C63">
        <w:rPr>
          <w:rFonts w:ascii="Arial" w:hAnsi="Arial" w:cs="Arial"/>
          <w:b/>
          <w:sz w:val="16"/>
          <w:szCs w:val="16"/>
        </w:rPr>
        <w:t>30.11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14:paraId="7CBFCE65" w14:textId="77777777" w:rsidR="00893E28" w:rsidRPr="00673A2F" w:rsidRDefault="00893E28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14:paraId="655E069B" w14:textId="77777777" w:rsidR="00893E28" w:rsidRDefault="00893E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</w:t>
      </w:r>
      <w:r w:rsidR="00DD5C63">
        <w:rPr>
          <w:rFonts w:ascii="Arial" w:hAnsi="Arial" w:cs="Arial"/>
          <w:b/>
          <w:sz w:val="16"/>
          <w:szCs w:val="16"/>
        </w:rPr>
        <w:t>26</w:t>
      </w:r>
      <w:r w:rsidR="00CF5E55">
        <w:rPr>
          <w:rFonts w:ascii="Arial" w:hAnsi="Arial" w:cs="Arial"/>
          <w:b/>
          <w:sz w:val="16"/>
          <w:szCs w:val="16"/>
        </w:rPr>
        <w:t>.11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63304358" w14:textId="77777777" w:rsidR="00893E28" w:rsidRDefault="00893E28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4D947B68" w14:textId="77777777" w:rsidR="00893E28" w:rsidRPr="004F0048" w:rsidRDefault="00893E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544F28F6" w14:textId="77777777" w:rsidR="00893E28" w:rsidRPr="005431CD" w:rsidRDefault="00893E28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Tczew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7BE33995" w14:textId="77777777" w:rsidR="00893E28" w:rsidRPr="00B41D2A" w:rsidRDefault="00893E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57250FA0" w14:textId="77777777" w:rsidR="00893E28" w:rsidRDefault="00893E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43D548C3" w14:textId="77777777" w:rsidR="00893E28" w:rsidRDefault="00893E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6855404C" w14:textId="77777777" w:rsidR="00893E28" w:rsidRDefault="00893E28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począwszy od dnia </w:t>
      </w:r>
    </w:p>
    <w:p w14:paraId="29908D2F" w14:textId="77777777" w:rsidR="00893E28" w:rsidRDefault="00893E28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4F0048">
        <w:rPr>
          <w:rFonts w:ascii="Arial" w:hAnsi="Arial" w:cs="Arial"/>
          <w:bCs/>
          <w:sz w:val="16"/>
          <w:szCs w:val="16"/>
        </w:rPr>
        <w:t xml:space="preserve">publikacji ogłoszenia do dnia </w:t>
      </w:r>
      <w:r w:rsidR="00DD5C63">
        <w:rPr>
          <w:rFonts w:ascii="Arial" w:hAnsi="Arial" w:cs="Arial"/>
          <w:bCs/>
          <w:sz w:val="16"/>
          <w:szCs w:val="16"/>
        </w:rPr>
        <w:t>23-25</w:t>
      </w:r>
      <w:r w:rsidR="00CF5E55">
        <w:rPr>
          <w:rFonts w:ascii="Arial" w:hAnsi="Arial" w:cs="Arial"/>
          <w:bCs/>
          <w:sz w:val="16"/>
          <w:szCs w:val="16"/>
        </w:rPr>
        <w:t>.11</w:t>
      </w:r>
      <w:r>
        <w:rPr>
          <w:rFonts w:ascii="Arial" w:hAnsi="Arial" w:cs="Arial"/>
          <w:bCs/>
          <w:sz w:val="16"/>
          <w:szCs w:val="16"/>
        </w:rPr>
        <w:t>.2020 r.</w:t>
      </w:r>
    </w:p>
    <w:p w14:paraId="29851B4B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7274D034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0664516E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5194AA39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uchylania się przez  wyłonionego Nabywcę od zawarcia umowy, Sprzedawca ma prawo do sądowego dochodzenia zawarcia umowy, zatrzymania wadium albo dochodzenia odszkodowania.</w:t>
      </w:r>
    </w:p>
    <w:p w14:paraId="4F532E90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14:paraId="452E2CB1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17756F19" w14:textId="77777777" w:rsidR="00893E28" w:rsidRPr="00065957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0F33E209" w14:textId="77777777" w:rsidR="00893E28" w:rsidRPr="00E9045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54731F7A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5F8B6B9A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02ABDC73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1634D1AA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035C2ED8" w14:textId="77777777" w:rsidR="00893E28" w:rsidRPr="003824DB" w:rsidRDefault="00773B8D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pict w14:anchorId="305DAA37">
          <v:shape id="Obraz 3" o:spid="_x0000_s1026" type="#_x0000_t75" alt="fala" style="position:absolute;margin-left:-27.55pt;margin-top:453.6pt;width:547.35pt;height:138.35pt;z-index:-1;visibility:visible">
            <v:imagedata r:id="rId10" o:title=""/>
          </v:shape>
        </w:pict>
      </w:r>
    </w:p>
    <w:sectPr w:rsidR="00893E28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C654" w14:textId="77777777" w:rsidR="00773B8D" w:rsidRDefault="00773B8D">
      <w:r>
        <w:separator/>
      </w:r>
    </w:p>
  </w:endnote>
  <w:endnote w:type="continuationSeparator" w:id="0">
    <w:p w14:paraId="1C199784" w14:textId="77777777" w:rsidR="00773B8D" w:rsidRDefault="0077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4888C" w14:textId="77777777" w:rsidR="00893E28" w:rsidRDefault="00893E28">
    <w:pPr>
      <w:pStyle w:val="Stopka"/>
    </w:pPr>
  </w:p>
  <w:p w14:paraId="40675726" w14:textId="77777777" w:rsidR="00893E28" w:rsidRDefault="00893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F0A9" w14:textId="77777777" w:rsidR="00773B8D" w:rsidRDefault="00773B8D">
      <w:r>
        <w:separator/>
      </w:r>
    </w:p>
  </w:footnote>
  <w:footnote w:type="continuationSeparator" w:id="0">
    <w:p w14:paraId="1A960758" w14:textId="77777777" w:rsidR="00773B8D" w:rsidRDefault="0077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5F0D"/>
    <w:rsid w:val="00267DA7"/>
    <w:rsid w:val="00271740"/>
    <w:rsid w:val="00271954"/>
    <w:rsid w:val="00271C76"/>
    <w:rsid w:val="00275C8D"/>
    <w:rsid w:val="00277916"/>
    <w:rsid w:val="002821B8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060E3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3B8D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944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29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852E8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CF5E55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5C6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9B1DB2B"/>
  <w15:docId w15:val="{47B43402-B7D3-499C-B1A2-753DC0A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Anna Korczak</cp:lastModifiedBy>
  <cp:revision>80</cp:revision>
  <cp:lastPrinted>2020-10-06T06:55:00Z</cp:lastPrinted>
  <dcterms:created xsi:type="dcterms:W3CDTF">2018-09-19T09:14:00Z</dcterms:created>
  <dcterms:modified xsi:type="dcterms:W3CDTF">2020-11-06T14:06:00Z</dcterms:modified>
</cp:coreProperties>
</file>