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29DC2C48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BA09BE">
        <w:rPr>
          <w:rFonts w:eastAsia="Calibri"/>
          <w:b/>
          <w:bCs/>
        </w:rPr>
        <w:t>6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DC763F8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BA09BE">
        <w:rPr>
          <w:rFonts w:eastAsia="Calibri"/>
        </w:rPr>
        <w:t>300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lastRenderedPageBreak/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734F5F9B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BA09BE">
        <w:rPr>
          <w:rFonts w:eastAsia="Calibri"/>
          <w:b/>
          <w:bCs/>
        </w:rPr>
        <w:t>6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lastRenderedPageBreak/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lastRenderedPageBreak/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14:paraId="17B3346A" w14:textId="48078EE8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182424">
        <w:rPr>
          <w:rFonts w:asciiTheme="minorHAnsi" w:hAnsiTheme="minorHAnsi"/>
          <w:b/>
        </w:rPr>
        <w:t>6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182424">
        <w:rPr>
          <w:b/>
        </w:rPr>
        <w:t>3 030,00</w:t>
      </w:r>
      <w:r w:rsidRPr="00F16A1D">
        <w:rPr>
          <w:b/>
        </w:rPr>
        <w:t xml:space="preserve"> zł dla osoby samotnie gospodarującej oraz </w:t>
      </w:r>
      <w:r w:rsidR="00B83DCE">
        <w:rPr>
          <w:b/>
        </w:rPr>
        <w:t>2</w:t>
      </w:r>
      <w:r w:rsidR="00182424">
        <w:rPr>
          <w:b/>
        </w:rPr>
        <w:t> 469,00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lastRenderedPageBreak/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pieniężnego, o którym mowa w art. 8a ust. 1 ustawy z dnia 7 września </w:t>
      </w:r>
      <w:r w:rsidRPr="008E18FB">
        <w:rPr>
          <w:rFonts w:asciiTheme="minorHAnsi" w:hAnsiTheme="minorHAnsi" w:cstheme="minorHAnsi"/>
          <w:sz w:val="21"/>
          <w:szCs w:val="21"/>
        </w:rPr>
        <w:t>2007 r. o Karcie Polaka,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5B7DAB7D" w14:textId="65023205" w:rsidR="005F0B53" w:rsidRPr="00182424" w:rsidRDefault="0022534A" w:rsidP="00182424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B83DCE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lastRenderedPageBreak/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1CB1C832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BA09BE">
        <w:t>3 030,00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BA09BE">
        <w:t>2</w:t>
      </w:r>
      <w:r w:rsidR="00272771">
        <w:t> </w:t>
      </w:r>
      <w:r w:rsidR="00BA09BE">
        <w:t>469</w:t>
      </w:r>
      <w:r w:rsidR="00272771">
        <w:t>,</w:t>
      </w:r>
      <w:r w:rsidR="00BA09BE">
        <w:t>00</w:t>
      </w:r>
      <w:r w:rsidR="00A23F1E">
        <w:t xml:space="preserve"> </w:t>
      </w:r>
      <w:r>
        <w:t>zł w przypadku osoby w rodzinie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1D430F44" w:rsidR="00D039DE" w:rsidRPr="00DC58D1" w:rsidRDefault="00DC58D1" w:rsidP="00DC58D1">
    <w:pPr>
      <w:pStyle w:val="Nagwek"/>
      <w:ind w:right="37"/>
      <w:jc w:val="center"/>
      <w:rPr>
        <w:sz w:val="28"/>
        <w:szCs w:val="28"/>
      </w:rPr>
    </w:pPr>
    <w:r w:rsidRPr="00DC58D1">
      <w:rPr>
        <w:b/>
        <w:bCs/>
        <w:color w:val="FF0000"/>
        <w:sz w:val="28"/>
        <w:szCs w:val="28"/>
      </w:rPr>
      <w:t>Uwaga! Wzór tylko do wydruków w kolorze. W przypadku drukarek czarno-białych – użyj wzoru załącznika z logotypami w wersji MONOKOLOROWEJ!</w:t>
    </w:r>
    <w:r w:rsidR="00515424" w:rsidRPr="00DC58D1">
      <w:rPr>
        <w:noProof/>
        <w:sz w:val="28"/>
        <w:szCs w:val="28"/>
      </w:rPr>
      <w:drawing>
        <wp:inline distT="0" distB="0" distL="0" distR="0" wp14:anchorId="20FF0D39" wp14:editId="61241B47">
          <wp:extent cx="6188710" cy="867410"/>
          <wp:effectExtent l="0" t="0" r="2540" b="8890"/>
          <wp:docPr id="14372839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82424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83DCE"/>
    <w:rsid w:val="00B971D0"/>
    <w:rsid w:val="00BA09BE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C58D1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1634</Words>
  <Characters>11228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44</cp:revision>
  <cp:lastPrinted>2019-02-15T08:29:00Z</cp:lastPrinted>
  <dcterms:created xsi:type="dcterms:W3CDTF">2023-07-31T11:14:00Z</dcterms:created>
  <dcterms:modified xsi:type="dcterms:W3CDTF">2026-02-25T08:55:00Z</dcterms:modified>
</cp:coreProperties>
</file>