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A72" w:rsidRDefault="00ED1A72" w:rsidP="00ED1A7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pl-PL"/>
        </w:rPr>
        <w:drawing>
          <wp:inline distT="0" distB="0" distL="0" distR="0" wp14:anchorId="1D82780A">
            <wp:extent cx="554990" cy="59753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D1A72" w:rsidRPr="00ED1A72" w:rsidRDefault="00ED1A72" w:rsidP="00ED1A72">
      <w:pPr>
        <w:rPr>
          <w:rFonts w:asciiTheme="minorHAnsi" w:hAnsiTheme="minorHAnsi" w:cstheme="minorHAnsi"/>
        </w:rPr>
      </w:pPr>
      <w:r w:rsidRPr="00ED1A72">
        <w:rPr>
          <w:rFonts w:asciiTheme="minorHAnsi" w:hAnsiTheme="minorHAnsi" w:cstheme="minorHAnsi"/>
        </w:rPr>
        <w:t>GENERALNY DYREKTOR</w:t>
      </w:r>
    </w:p>
    <w:p w:rsidR="00ED1A72" w:rsidRDefault="00ED1A72" w:rsidP="00ED1A72">
      <w:pPr>
        <w:rPr>
          <w:rFonts w:asciiTheme="minorHAnsi" w:hAnsiTheme="minorHAnsi" w:cstheme="minorHAnsi"/>
        </w:rPr>
      </w:pPr>
      <w:r w:rsidRPr="00ED1A72">
        <w:rPr>
          <w:rFonts w:asciiTheme="minorHAnsi" w:hAnsiTheme="minorHAnsi" w:cstheme="minorHAnsi"/>
        </w:rPr>
        <w:t>OCHRONY ŚRODOWISKA</w:t>
      </w:r>
    </w:p>
    <w:p w:rsidR="009F1D34" w:rsidRPr="00ED1A72" w:rsidRDefault="004E7C03" w:rsidP="00ED1A72">
      <w:pPr>
        <w:rPr>
          <w:rFonts w:asciiTheme="minorHAnsi" w:hAnsiTheme="minorHAnsi" w:cstheme="minorHAnsi"/>
        </w:rPr>
      </w:pPr>
      <w:r w:rsidRPr="00ED1A72">
        <w:rPr>
          <w:rFonts w:asciiTheme="minorHAnsi" w:hAnsiTheme="minorHAnsi" w:cstheme="minorHAnsi"/>
        </w:rPr>
        <w:t xml:space="preserve">Warszawa, </w:t>
      </w:r>
      <w:bookmarkStart w:id="1" w:name="ezdDataPodpisu"/>
      <w:r w:rsidRPr="00ED1A72">
        <w:rPr>
          <w:rFonts w:asciiTheme="minorHAnsi" w:hAnsiTheme="minorHAnsi" w:cstheme="minorHAnsi"/>
        </w:rPr>
        <w:t>06 lutego 2025</w:t>
      </w:r>
      <w:bookmarkEnd w:id="1"/>
      <w:r w:rsidRPr="00ED1A72">
        <w:rPr>
          <w:rFonts w:asciiTheme="minorHAnsi" w:hAnsiTheme="minorHAnsi" w:cstheme="minorHAnsi"/>
        </w:rPr>
        <w:t xml:space="preserve"> r.</w:t>
      </w:r>
    </w:p>
    <w:p w:rsidR="009F1D34" w:rsidRPr="00ED1A72" w:rsidRDefault="004E7C03" w:rsidP="00ED1A72">
      <w:pPr>
        <w:rPr>
          <w:rFonts w:asciiTheme="minorHAnsi" w:hAnsiTheme="minorHAnsi" w:cstheme="minorHAnsi"/>
        </w:rPr>
      </w:pPr>
      <w:bookmarkStart w:id="2" w:name="ezdSprawaZnak"/>
      <w:r w:rsidRPr="00ED1A72">
        <w:rPr>
          <w:rFonts w:asciiTheme="minorHAnsi" w:hAnsiTheme="minorHAnsi" w:cstheme="minorHAnsi"/>
        </w:rPr>
        <w:t>DOOŚ-WDŚII.420.20.2024</w:t>
      </w:r>
      <w:bookmarkEnd w:id="2"/>
      <w:r w:rsidRPr="00ED1A72">
        <w:rPr>
          <w:rFonts w:asciiTheme="minorHAnsi" w:hAnsiTheme="minorHAnsi" w:cstheme="minorHAnsi"/>
        </w:rPr>
        <w:t>.</w:t>
      </w:r>
      <w:bookmarkStart w:id="3" w:name="ezdAutorInicjaly"/>
      <w:bookmarkStart w:id="4" w:name="ezdAtrybut_ezdAutorInicjaly"/>
      <w:r w:rsidRPr="00ED1A72">
        <w:rPr>
          <w:rFonts w:asciiTheme="minorHAnsi" w:hAnsiTheme="minorHAnsi" w:cstheme="minorHAnsi"/>
        </w:rPr>
        <w:t>MB</w:t>
      </w:r>
      <w:bookmarkEnd w:id="3"/>
      <w:bookmarkEnd w:id="4"/>
      <w:r w:rsidRPr="00ED1A72">
        <w:rPr>
          <w:rFonts w:asciiTheme="minorHAnsi" w:hAnsiTheme="minorHAnsi" w:cstheme="minorHAnsi"/>
        </w:rPr>
        <w:t>.11</w:t>
      </w:r>
    </w:p>
    <w:p w:rsidR="00D35162" w:rsidRPr="00ED1A72" w:rsidRDefault="004E7C03" w:rsidP="00ED1A72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</w:p>
    <w:p w:rsidR="00D35162" w:rsidRPr="00ED1A72" w:rsidRDefault="004E7C03" w:rsidP="00ED1A72">
      <w:pPr>
        <w:suppressAutoHyphens/>
        <w:spacing w:after="120" w:line="312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D1A72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ZAWIADOMIENIE</w:t>
      </w:r>
    </w:p>
    <w:p w:rsidR="00D35162" w:rsidRPr="00ED1A72" w:rsidRDefault="004E7C03" w:rsidP="00ED1A72">
      <w:pPr>
        <w:suppressAutoHyphens/>
        <w:spacing w:after="0" w:line="300" w:lineRule="auto"/>
        <w:rPr>
          <w:rFonts w:asciiTheme="minorHAnsi" w:eastAsia="Times New Roman" w:hAnsiTheme="minorHAnsi" w:cstheme="minorHAnsi"/>
          <w:bCs/>
          <w:color w:val="000000"/>
          <w:sz w:val="24"/>
          <w:szCs w:val="24"/>
          <w:lang w:eastAsia="pl-PL"/>
        </w:rPr>
      </w:pPr>
      <w:r w:rsidRPr="00ED1A72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Generalny Dyrektor Ochrony Środowiska, na podstawie art. 49 § 1 ustawy z dnia 14 czerwca 1960 r. – </w:t>
      </w:r>
      <w:r w:rsidRPr="00ED1A72">
        <w:rPr>
          <w:rFonts w:asciiTheme="minorHAnsi" w:eastAsia="Times New Roman" w:hAnsiTheme="minorHAnsi" w:cstheme="minorHAnsi"/>
          <w:iCs/>
          <w:color w:val="000000"/>
          <w:sz w:val="24"/>
          <w:szCs w:val="24"/>
          <w:lang w:eastAsia="pl-PL"/>
        </w:rPr>
        <w:t>Kodeks postępowania administracyjnego</w:t>
      </w:r>
      <w:r w:rsidRPr="00ED1A72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(Dz. U. z 2023 r. poz. 775, ze zm.), dalej k.</w:t>
      </w:r>
      <w:r w:rsidRPr="00ED1A72">
        <w:rPr>
          <w:rFonts w:asciiTheme="minorHAnsi" w:eastAsia="Times New Roman" w:hAnsiTheme="minorHAnsi" w:cstheme="minorHAnsi"/>
          <w:iCs/>
          <w:color w:val="000000"/>
          <w:sz w:val="24"/>
          <w:szCs w:val="24"/>
          <w:lang w:eastAsia="pl-PL"/>
        </w:rPr>
        <w:t>p.a.</w:t>
      </w:r>
      <w:r w:rsidRPr="00ED1A72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, w związku z art. 74 ust. 3 pkt 1 ustawy z dnia 3 października 2008 r. o udostępnianiu informacji o środowisku i jego ochronie, udziale społeczeństwa w ochronie środowiska oraz o ocenach oddziaływania na środowisko (Dz. U. z 2018 r. poz. 2081), dalej </w:t>
      </w:r>
      <w:proofErr w:type="spellStart"/>
      <w:r w:rsidRPr="00ED1A72">
        <w:rPr>
          <w:rFonts w:asciiTheme="minorHAnsi" w:eastAsia="Times New Roman" w:hAnsiTheme="minorHAnsi" w:cstheme="minorHAnsi"/>
          <w:iCs/>
          <w:color w:val="000000"/>
          <w:sz w:val="24"/>
          <w:szCs w:val="24"/>
          <w:lang w:eastAsia="pl-PL"/>
        </w:rPr>
        <w:t>u.o.o.ś</w:t>
      </w:r>
      <w:proofErr w:type="spellEnd"/>
      <w:r w:rsidRPr="00ED1A72">
        <w:rPr>
          <w:rFonts w:asciiTheme="minorHAnsi" w:eastAsia="Times New Roman" w:hAnsiTheme="minorHAnsi" w:cstheme="minorHAnsi"/>
          <w:iCs/>
          <w:color w:val="000000"/>
          <w:sz w:val="24"/>
          <w:szCs w:val="24"/>
          <w:lang w:eastAsia="pl-PL"/>
        </w:rPr>
        <w:t>.</w:t>
      </w:r>
      <w:r w:rsidRPr="00ED1A72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, zawiadamia</w:t>
      </w:r>
      <w:r w:rsidRPr="00ED1A72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strony postępowania</w:t>
      </w:r>
      <w:r w:rsidRPr="00ED1A72">
        <w:rPr>
          <w:rFonts w:asciiTheme="minorHAnsi" w:eastAsia="Times New Roman" w:hAnsiTheme="minorHAnsi" w:cstheme="minorHAnsi"/>
          <w:bCs/>
          <w:color w:val="000000"/>
          <w:sz w:val="24"/>
          <w:szCs w:val="24"/>
          <w:lang w:eastAsia="pl-PL"/>
        </w:rPr>
        <w:t xml:space="preserve"> o wydaniu </w:t>
      </w:r>
      <w:r w:rsidRPr="00ED1A72">
        <w:rPr>
          <w:rFonts w:asciiTheme="minorHAnsi" w:eastAsia="Times New Roman" w:hAnsiTheme="minorHAnsi" w:cstheme="minorHAnsi"/>
          <w:bCs/>
          <w:color w:val="000000"/>
          <w:sz w:val="24"/>
          <w:szCs w:val="24"/>
          <w:lang w:eastAsia="pl-PL"/>
        </w:rPr>
        <w:t xml:space="preserve">decyzji z 6 lutego 2025 r., znak: </w:t>
      </w:r>
      <w:r w:rsidRPr="00ED1A72">
        <w:rPr>
          <w:rFonts w:asciiTheme="minorHAnsi" w:eastAsia="Times New Roman" w:hAnsiTheme="minorHAnsi" w:cstheme="minorHAnsi"/>
          <w:bCs/>
          <w:color w:val="000000"/>
          <w:sz w:val="24"/>
          <w:szCs w:val="24"/>
          <w:lang w:eastAsia="pl-PL"/>
        </w:rPr>
        <w:t>DOOŚ-WDŚII.420.20.2024.MB.10</w:t>
      </w:r>
      <w:r w:rsidRPr="00ED1A72">
        <w:rPr>
          <w:rFonts w:asciiTheme="minorHAnsi" w:eastAsia="Times New Roman" w:hAnsiTheme="minorHAnsi" w:cstheme="minorHAnsi"/>
          <w:bCs/>
          <w:color w:val="000000"/>
          <w:sz w:val="24"/>
          <w:szCs w:val="24"/>
          <w:lang w:eastAsia="pl-PL"/>
        </w:rPr>
        <w:t xml:space="preserve">, umarzającej postępowanie odwoławcze </w:t>
      </w:r>
      <w:r w:rsidRPr="00ED1A7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od decyzji Regionalnego Dyrektora Ochrony Środowiska w Bydgoszczy z 27 czerwca 2024 r., nr 6/2024, znak: WOO.420.1.2021.ADS.96, o środowiskowych uwarunkowaniach </w:t>
      </w:r>
      <w:r w:rsidRPr="00ED1A7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dla </w:t>
      </w:r>
      <w:r w:rsidRPr="00ED1A72">
        <w:rPr>
          <w:rFonts w:asciiTheme="minorHAnsi" w:eastAsia="Times New Roman" w:hAnsiTheme="minorHAnsi" w:cstheme="minorHAnsi"/>
          <w:sz w:val="24"/>
          <w:szCs w:val="24"/>
          <w:lang w:eastAsia="pl-PL"/>
        </w:rPr>
        <w:t>przedsięwzięcia pn. „Prace na alternatywnym ciągu transportowym Bydgoszcz – Trójmiasto, obe</w:t>
      </w:r>
      <w:r w:rsidRPr="00ED1A72">
        <w:rPr>
          <w:rFonts w:asciiTheme="minorHAnsi" w:eastAsia="Times New Roman" w:hAnsiTheme="minorHAnsi" w:cstheme="minorHAnsi"/>
          <w:sz w:val="24"/>
          <w:szCs w:val="24"/>
          <w:lang w:eastAsia="pl-PL"/>
        </w:rPr>
        <w:t>jmującym linię nr 201 na odcinku Maksymilianowo – Kościerzyna”.</w:t>
      </w:r>
    </w:p>
    <w:p w:rsidR="00D35162" w:rsidRPr="00ED1A72" w:rsidRDefault="004E7C03" w:rsidP="00ED1A72">
      <w:pPr>
        <w:suppressAutoHyphens/>
        <w:spacing w:after="0" w:line="30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D1A7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Doręczenie ww. </w:t>
      </w:r>
      <w:r w:rsidRPr="00ED1A72">
        <w:rPr>
          <w:rFonts w:asciiTheme="minorHAnsi" w:eastAsia="Times New Roman" w:hAnsiTheme="minorHAnsi" w:cstheme="minorHAnsi"/>
          <w:sz w:val="24"/>
          <w:szCs w:val="24"/>
          <w:lang w:eastAsia="pl-PL"/>
        </w:rPr>
        <w:t>decyzji</w:t>
      </w:r>
      <w:r w:rsidRPr="00ED1A7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stronom postępowania uważa się za dokonane po upływie 14 dni liczonych od następnego dnia po dniu, w którym upubliczniono zawiadomienie.</w:t>
      </w:r>
    </w:p>
    <w:p w:rsidR="00D35162" w:rsidRPr="00ED1A72" w:rsidRDefault="004E7C03" w:rsidP="00ED1A72">
      <w:pPr>
        <w:suppressAutoHyphens/>
        <w:spacing w:after="0" w:line="312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D1A7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Z treścią </w:t>
      </w:r>
      <w:r w:rsidRPr="00ED1A72">
        <w:rPr>
          <w:rFonts w:asciiTheme="minorHAnsi" w:eastAsia="Times New Roman" w:hAnsiTheme="minorHAnsi" w:cstheme="minorHAnsi"/>
          <w:sz w:val="24"/>
          <w:szCs w:val="24"/>
          <w:lang w:eastAsia="pl-PL"/>
        </w:rPr>
        <w:t>decyzji</w:t>
      </w:r>
      <w:r w:rsidRPr="00ED1A7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strony postępo</w:t>
      </w:r>
      <w:r w:rsidRPr="00ED1A72">
        <w:rPr>
          <w:rFonts w:asciiTheme="minorHAnsi" w:eastAsia="Times New Roman" w:hAnsiTheme="minorHAnsi" w:cstheme="minorHAnsi"/>
          <w:sz w:val="24"/>
          <w:szCs w:val="24"/>
          <w:lang w:eastAsia="pl-PL"/>
        </w:rPr>
        <w:t>wania mogą zapoznać się w: Generalnej Dyrekcji Ochrony Środowiska, Regionalnej Dyrekcji Ochrony Środowiska w Bydgoszczy, Regionalnej Dyrekcji Środowiska w Gdańsku oraz w sposób wskazany w art. 49b § 1 k.p.a.</w:t>
      </w:r>
    </w:p>
    <w:p w:rsidR="00D35162" w:rsidRPr="00ED1A72" w:rsidRDefault="004E7C03" w:rsidP="00ED1A72">
      <w:pPr>
        <w:suppressAutoHyphens/>
        <w:spacing w:after="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ED1A72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ab/>
      </w:r>
    </w:p>
    <w:p w:rsidR="00D35162" w:rsidRPr="00ED1A72" w:rsidRDefault="004E7C03" w:rsidP="00ED1A72">
      <w:pPr>
        <w:suppressAutoHyphens/>
        <w:spacing w:after="0" w:line="312" w:lineRule="auto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ED1A72">
        <w:rPr>
          <w:rFonts w:asciiTheme="minorHAnsi" w:eastAsia="Times New Roman" w:hAnsiTheme="minorHAnsi" w:cstheme="minorHAnsi"/>
          <w:sz w:val="20"/>
          <w:szCs w:val="20"/>
          <w:lang w:eastAsia="pl-PL"/>
        </w:rPr>
        <w:t>Upubliczniono w dniach: od ………………… do …………………</w:t>
      </w:r>
    </w:p>
    <w:p w:rsidR="00D35162" w:rsidRPr="00ED1A72" w:rsidRDefault="004E7C03" w:rsidP="00ED1A72">
      <w:pPr>
        <w:suppressAutoHyphens/>
        <w:spacing w:after="0" w:line="312" w:lineRule="auto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ED1A72">
        <w:rPr>
          <w:rFonts w:asciiTheme="minorHAnsi" w:eastAsia="Times New Roman" w:hAnsiTheme="minorHAnsi" w:cstheme="minorHAnsi"/>
          <w:sz w:val="20"/>
          <w:szCs w:val="20"/>
          <w:lang w:eastAsia="pl-PL"/>
        </w:rPr>
        <w:t>Pieczęć urzędu i podpis:</w:t>
      </w:r>
    </w:p>
    <w:p w:rsidR="00D35162" w:rsidRPr="00ED1A72" w:rsidRDefault="004E7C03" w:rsidP="00ED1A72">
      <w:pPr>
        <w:suppressAutoHyphens/>
        <w:spacing w:after="0" w:line="312" w:lineRule="auto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</w:p>
    <w:p w:rsidR="00D35162" w:rsidRPr="00ED1A72" w:rsidRDefault="004E7C03" w:rsidP="00ED1A72">
      <w:pPr>
        <w:spacing w:after="0" w:line="240" w:lineRule="auto"/>
        <w:rPr>
          <w:rFonts w:asciiTheme="minorHAnsi" w:hAnsiTheme="minorHAnsi" w:cstheme="minorHAnsi"/>
          <w:kern w:val="2"/>
          <w:sz w:val="24"/>
          <w:szCs w:val="24"/>
          <w14:ligatures w14:val="standardContextual"/>
        </w:rPr>
      </w:pPr>
      <w:r w:rsidRPr="00ED1A72">
        <w:rPr>
          <w:rFonts w:asciiTheme="minorHAnsi" w:hAnsiTheme="minorHAnsi" w:cstheme="minorHAnsi"/>
          <w:kern w:val="2"/>
          <w:sz w:val="24"/>
          <w:szCs w:val="24"/>
          <w14:ligatures w14:val="standardContextual"/>
        </w:rPr>
        <w:t>Z upoważnienia</w:t>
      </w:r>
    </w:p>
    <w:p w:rsidR="00D35162" w:rsidRPr="00ED1A72" w:rsidRDefault="004E7C03" w:rsidP="00ED1A72">
      <w:pPr>
        <w:spacing w:after="240" w:line="240" w:lineRule="auto"/>
        <w:rPr>
          <w:rFonts w:asciiTheme="minorHAnsi" w:hAnsiTheme="minorHAnsi" w:cstheme="minorHAnsi"/>
          <w:kern w:val="2"/>
          <w:sz w:val="24"/>
          <w:szCs w:val="24"/>
          <w14:ligatures w14:val="standardContextual"/>
        </w:rPr>
      </w:pPr>
      <w:r w:rsidRPr="00ED1A72">
        <w:rPr>
          <w:rFonts w:asciiTheme="minorHAnsi" w:hAnsiTheme="minorHAnsi" w:cstheme="minorHAnsi"/>
          <w:kern w:val="2"/>
          <w:sz w:val="24"/>
          <w:szCs w:val="24"/>
          <w14:ligatures w14:val="standardContextual"/>
        </w:rPr>
        <w:t>Generalnego Dyrektora Ochrony Środowiska</w:t>
      </w:r>
    </w:p>
    <w:p w:rsidR="00D35162" w:rsidRPr="00ED1A72" w:rsidRDefault="004E7C03" w:rsidP="00ED1A72">
      <w:pPr>
        <w:spacing w:after="60" w:line="240" w:lineRule="auto"/>
        <w:rPr>
          <w:rFonts w:asciiTheme="minorHAnsi" w:hAnsiTheme="minorHAnsi" w:cstheme="minorHAnsi"/>
          <w:kern w:val="2"/>
          <w:sz w:val="24"/>
          <w:szCs w:val="24"/>
          <w14:ligatures w14:val="standardContextual"/>
        </w:rPr>
      </w:pPr>
      <w:r w:rsidRPr="00ED1A72">
        <w:rPr>
          <w:rFonts w:asciiTheme="minorHAnsi" w:hAnsiTheme="minorHAnsi" w:cstheme="minorHAnsi"/>
          <w:kern w:val="2"/>
          <w:sz w:val="26"/>
          <w:szCs w:val="26"/>
          <w14:ligatures w14:val="standardContextual"/>
        </w:rPr>
        <w:t>M</w:t>
      </w:r>
      <w:r w:rsidRPr="00ED1A72">
        <w:rPr>
          <w:rFonts w:asciiTheme="minorHAnsi" w:hAnsiTheme="minorHAnsi" w:cstheme="minorHAnsi"/>
          <w:kern w:val="2"/>
          <w:sz w:val="24"/>
          <w:szCs w:val="24"/>
          <w14:ligatures w14:val="standardContextual"/>
        </w:rPr>
        <w:t xml:space="preserve">ARCIN </w:t>
      </w:r>
      <w:r w:rsidRPr="00ED1A72">
        <w:rPr>
          <w:rFonts w:asciiTheme="minorHAnsi" w:hAnsiTheme="minorHAnsi" w:cstheme="minorHAnsi"/>
          <w:kern w:val="2"/>
          <w:sz w:val="26"/>
          <w:szCs w:val="26"/>
          <w14:ligatures w14:val="standardContextual"/>
        </w:rPr>
        <w:t>K</w:t>
      </w:r>
      <w:r w:rsidRPr="00ED1A72">
        <w:rPr>
          <w:rFonts w:asciiTheme="minorHAnsi" w:hAnsiTheme="minorHAnsi" w:cstheme="minorHAnsi"/>
          <w:kern w:val="2"/>
          <w:sz w:val="24"/>
          <w:szCs w:val="24"/>
          <w14:ligatures w14:val="standardContextual"/>
        </w:rPr>
        <w:t>OŁODYŃSKI</w:t>
      </w:r>
    </w:p>
    <w:p w:rsidR="00D35162" w:rsidRPr="00ED1A72" w:rsidRDefault="004E7C03" w:rsidP="00ED1A72">
      <w:pPr>
        <w:spacing w:after="0" w:line="240" w:lineRule="auto"/>
        <w:rPr>
          <w:rFonts w:asciiTheme="minorHAnsi" w:hAnsiTheme="minorHAnsi" w:cstheme="minorHAnsi"/>
          <w:kern w:val="2"/>
          <w:sz w:val="24"/>
          <w:szCs w:val="24"/>
          <w14:ligatures w14:val="standardContextual"/>
        </w:rPr>
      </w:pPr>
      <w:r w:rsidRPr="00ED1A72">
        <w:rPr>
          <w:rFonts w:asciiTheme="minorHAnsi" w:hAnsiTheme="minorHAnsi" w:cstheme="minorHAnsi"/>
          <w:kern w:val="2"/>
          <w:sz w:val="24"/>
          <w:szCs w:val="24"/>
          <w14:ligatures w14:val="standardContextual"/>
        </w:rPr>
        <w:t>Naczelnik Wydziału</w:t>
      </w:r>
    </w:p>
    <w:p w:rsidR="00D35162" w:rsidRPr="00ED1A72" w:rsidRDefault="004E7C03" w:rsidP="00ED1A72">
      <w:pPr>
        <w:spacing w:after="120" w:line="240" w:lineRule="auto"/>
        <w:rPr>
          <w:rFonts w:asciiTheme="minorHAnsi" w:hAnsiTheme="minorHAnsi" w:cstheme="minorHAnsi"/>
          <w:kern w:val="2"/>
          <w:sz w:val="24"/>
          <w:szCs w:val="24"/>
          <w14:ligatures w14:val="standardContextual"/>
        </w:rPr>
      </w:pPr>
      <w:r w:rsidRPr="00ED1A72">
        <w:rPr>
          <w:rFonts w:asciiTheme="minorHAnsi" w:hAnsiTheme="minorHAnsi" w:cstheme="minorHAnsi"/>
          <w:kern w:val="2"/>
          <w:sz w:val="24"/>
          <w:szCs w:val="24"/>
          <w14:ligatures w14:val="standardContextual"/>
        </w:rPr>
        <w:t>Departament Ocen Oddziaływania na Środowisko</w:t>
      </w:r>
    </w:p>
    <w:p w:rsidR="00D35162" w:rsidRPr="00ED1A72" w:rsidRDefault="004E7C03" w:rsidP="00ED1A72">
      <w:pPr>
        <w:spacing w:after="0" w:line="240" w:lineRule="auto"/>
        <w:rPr>
          <w:rFonts w:asciiTheme="minorHAnsi" w:hAnsiTheme="minorHAnsi" w:cstheme="minorHAnsi"/>
          <w:color w:val="7F7F7F"/>
          <w:kern w:val="2"/>
          <w:sz w:val="24"/>
          <w:szCs w:val="24"/>
          <w14:ligatures w14:val="standardContextual"/>
        </w:rPr>
      </w:pPr>
      <w:r w:rsidRPr="00ED1A72">
        <w:rPr>
          <w:rFonts w:asciiTheme="minorHAnsi" w:hAnsiTheme="minorHAnsi" w:cstheme="minorHAnsi"/>
          <w:color w:val="7F7F7F"/>
          <w:kern w:val="2"/>
          <w:sz w:val="24"/>
          <w:szCs w:val="24"/>
          <w14:ligatures w14:val="standardContextual"/>
        </w:rPr>
        <w:t>/podpis elektroniczny/</w:t>
      </w:r>
    </w:p>
    <w:p w:rsidR="00D35162" w:rsidRPr="00ED1A72" w:rsidRDefault="004E7C03" w:rsidP="00ED1A72">
      <w:pPr>
        <w:suppressAutoHyphens/>
        <w:spacing w:after="60" w:line="240" w:lineRule="auto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</w:p>
    <w:p w:rsidR="00D35162" w:rsidRPr="00ED1A72" w:rsidRDefault="004E7C03" w:rsidP="00ED1A72">
      <w:pPr>
        <w:suppressAutoHyphens/>
        <w:spacing w:after="60" w:line="240" w:lineRule="auto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</w:p>
    <w:p w:rsidR="00D35162" w:rsidRPr="00ED1A72" w:rsidRDefault="004E7C03" w:rsidP="00ED1A72">
      <w:pPr>
        <w:suppressAutoHyphens/>
        <w:spacing w:after="60" w:line="240" w:lineRule="auto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ED1A72">
        <w:rPr>
          <w:rFonts w:asciiTheme="minorHAnsi" w:eastAsia="Times New Roman" w:hAnsiTheme="minorHAnsi" w:cstheme="minorHAnsi"/>
          <w:sz w:val="18"/>
          <w:szCs w:val="18"/>
          <w:lang w:eastAsia="pl-PL"/>
        </w:rPr>
        <w:t>Art. 49 § 1 k.</w:t>
      </w:r>
      <w:r w:rsidRPr="00ED1A72">
        <w:rPr>
          <w:rFonts w:asciiTheme="minorHAnsi" w:eastAsia="Times New Roman" w:hAnsiTheme="minorHAnsi" w:cstheme="minorHAnsi"/>
          <w:iCs/>
          <w:sz w:val="18"/>
          <w:szCs w:val="18"/>
          <w:lang w:eastAsia="pl-PL"/>
        </w:rPr>
        <w:t>p.a.</w:t>
      </w:r>
      <w:r w:rsidRPr="00ED1A72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 </w:t>
      </w:r>
      <w:r w:rsidRPr="00ED1A72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Jeżeli przepis szczególny tak stanowi, </w:t>
      </w:r>
      <w:r w:rsidRPr="00ED1A72">
        <w:rPr>
          <w:rFonts w:asciiTheme="minorHAnsi" w:eastAsia="Times New Roman" w:hAnsiTheme="minorHAnsi" w:cstheme="minorHAnsi"/>
          <w:sz w:val="18"/>
          <w:szCs w:val="18"/>
          <w:lang w:eastAsia="pl-PL"/>
        </w:rPr>
        <w:t>zawiadomienie stron o decyzjach i innych czynnościach organu administracji publicznej może nastąpić w formie publicznego obwieszczenia, w innej formie publicznego ogłoszenia zwyczajowo przyjętej w danej miejscowości lub przez udostępnienie pisma w Biuletyn</w:t>
      </w:r>
      <w:r w:rsidRPr="00ED1A72">
        <w:rPr>
          <w:rFonts w:asciiTheme="minorHAnsi" w:eastAsia="Times New Roman" w:hAnsiTheme="minorHAnsi" w:cstheme="minorHAnsi"/>
          <w:sz w:val="18"/>
          <w:szCs w:val="18"/>
          <w:lang w:eastAsia="pl-PL"/>
        </w:rPr>
        <w:t>ie Informacji Publicznej na stronie podmiotowej właściwego organu administracji publicznej.</w:t>
      </w:r>
    </w:p>
    <w:p w:rsidR="00D35162" w:rsidRPr="00ED1A72" w:rsidRDefault="004E7C03" w:rsidP="00ED1A72">
      <w:pPr>
        <w:suppressAutoHyphens/>
        <w:spacing w:after="60" w:line="240" w:lineRule="auto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ED1A72">
        <w:rPr>
          <w:rFonts w:asciiTheme="minorHAnsi" w:eastAsia="Times New Roman" w:hAnsiTheme="minorHAnsi" w:cstheme="minorHAnsi"/>
          <w:sz w:val="18"/>
          <w:szCs w:val="18"/>
          <w:lang w:eastAsia="pl-PL"/>
        </w:rPr>
        <w:t>Art. 49b § 1 k.</w:t>
      </w:r>
      <w:r w:rsidRPr="00ED1A72">
        <w:rPr>
          <w:rFonts w:asciiTheme="minorHAnsi" w:eastAsia="Times New Roman" w:hAnsiTheme="minorHAnsi" w:cstheme="minorHAnsi"/>
          <w:iCs/>
          <w:sz w:val="18"/>
          <w:szCs w:val="18"/>
          <w:lang w:eastAsia="pl-PL"/>
        </w:rPr>
        <w:t>p.a.</w:t>
      </w:r>
      <w:r w:rsidRPr="00ED1A72">
        <w:rPr>
          <w:rFonts w:asciiTheme="minorHAnsi" w:eastAsia="Times New Roman" w:hAnsiTheme="minorHAnsi" w:cstheme="minorHAnsi"/>
          <w:i/>
          <w:sz w:val="18"/>
          <w:szCs w:val="18"/>
          <w:lang w:eastAsia="pl-PL"/>
        </w:rPr>
        <w:t xml:space="preserve"> </w:t>
      </w:r>
      <w:r w:rsidRPr="00ED1A72">
        <w:rPr>
          <w:rFonts w:asciiTheme="minorHAnsi" w:eastAsia="Times New Roman" w:hAnsiTheme="minorHAnsi" w:cstheme="minorHAnsi"/>
          <w:sz w:val="18"/>
          <w:szCs w:val="18"/>
          <w:lang w:eastAsia="pl-PL"/>
        </w:rPr>
        <w:t>W przypadku zawiadomienia strony zgodnie z art. 49 § 1 lub art. 49a o decyzji lub postanowieniu, które podlega zaskarżeniu, na wniosek strony, o</w:t>
      </w:r>
      <w:r w:rsidRPr="00ED1A72">
        <w:rPr>
          <w:rFonts w:asciiTheme="minorHAnsi" w:eastAsia="Times New Roman" w:hAnsiTheme="minorHAnsi" w:cstheme="minorHAnsi"/>
          <w:sz w:val="18"/>
          <w:szCs w:val="18"/>
          <w:lang w:eastAsia="pl-PL"/>
        </w:rPr>
        <w:t>rgan, który wydał decyzję lub postanowienie, niezwłocznie, nie później niż w terminie trzech dni od dnia otrzymania wniosku, udostępnia stronie odpis decyzji lub postanowienia w sposób i formie określonych we wniosku, chyba że środki techniczne, którymi dy</w:t>
      </w:r>
      <w:r w:rsidRPr="00ED1A72">
        <w:rPr>
          <w:rFonts w:asciiTheme="minorHAnsi" w:eastAsia="Times New Roman" w:hAnsiTheme="minorHAnsi" w:cstheme="minorHAnsi"/>
          <w:sz w:val="18"/>
          <w:szCs w:val="18"/>
          <w:lang w:eastAsia="pl-PL"/>
        </w:rPr>
        <w:t>sponuje organ, nie umożliwiają udostępnienia w taki sposób lub takiej formie.</w:t>
      </w:r>
    </w:p>
    <w:p w:rsidR="00D35162" w:rsidRPr="00ED1A72" w:rsidRDefault="004E7C03" w:rsidP="00ED1A72">
      <w:pPr>
        <w:suppressAutoHyphens/>
        <w:spacing w:after="60" w:line="240" w:lineRule="auto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ED1A72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Art. 74 ust. 3 pkt 1 </w:t>
      </w:r>
      <w:proofErr w:type="spellStart"/>
      <w:r w:rsidRPr="00ED1A72">
        <w:rPr>
          <w:rFonts w:asciiTheme="minorHAnsi" w:eastAsia="Times New Roman" w:hAnsiTheme="minorHAnsi" w:cstheme="minorHAnsi"/>
          <w:iCs/>
          <w:sz w:val="18"/>
          <w:szCs w:val="18"/>
          <w:lang w:eastAsia="pl-PL"/>
        </w:rPr>
        <w:t>u.o.o.ś</w:t>
      </w:r>
      <w:proofErr w:type="spellEnd"/>
      <w:r w:rsidRPr="00ED1A72">
        <w:rPr>
          <w:rFonts w:asciiTheme="minorHAnsi" w:eastAsia="Times New Roman" w:hAnsiTheme="minorHAnsi" w:cstheme="minorHAnsi"/>
          <w:iCs/>
          <w:sz w:val="18"/>
          <w:szCs w:val="18"/>
          <w:lang w:eastAsia="pl-PL"/>
        </w:rPr>
        <w:t>.</w:t>
      </w:r>
      <w:r w:rsidRPr="00ED1A72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 </w:t>
      </w:r>
      <w:r w:rsidRPr="00ED1A72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Jeżeli liczba stron postępowania o wydanie decyzji o środowiskowych uwarunkowaniach przekracza 20, stosuje się przepis art. 49 Kodeksu postępowania </w:t>
      </w:r>
      <w:r w:rsidRPr="00ED1A72">
        <w:rPr>
          <w:rFonts w:asciiTheme="minorHAnsi" w:eastAsia="Times New Roman" w:hAnsiTheme="minorHAnsi" w:cstheme="minorHAnsi"/>
          <w:sz w:val="18"/>
          <w:szCs w:val="18"/>
          <w:lang w:eastAsia="pl-PL"/>
        </w:rPr>
        <w:t>administracyjnego.</w:t>
      </w:r>
    </w:p>
    <w:p w:rsidR="00D35162" w:rsidRPr="00ED1A72" w:rsidRDefault="004E7C03" w:rsidP="00ED1A72">
      <w:pPr>
        <w:suppressAutoHyphens/>
        <w:spacing w:after="60" w:line="240" w:lineRule="auto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ED1A72">
        <w:rPr>
          <w:rFonts w:asciiTheme="minorHAnsi" w:eastAsia="Times New Roman" w:hAnsiTheme="minorHAnsi" w:cstheme="minorHAnsi"/>
          <w:sz w:val="18"/>
          <w:szCs w:val="18"/>
          <w:lang w:eastAsia="pl-PL"/>
        </w:rPr>
        <w:t>Art. 15 ust. 1 ustawy z dnia 13 lipca 2023 r. o zmianie ustawy o udostępnianiu informacji o środowisku i jego ochronie, udziale społeczeństwa w ochronie środowiska oraz o ocenach oddziaływania na środowisko oraz niektórych innych ustaw (</w:t>
      </w:r>
      <w:r w:rsidRPr="00ED1A72">
        <w:rPr>
          <w:rFonts w:asciiTheme="minorHAnsi" w:eastAsia="Times New Roman" w:hAnsiTheme="minorHAnsi" w:cstheme="minorHAnsi"/>
          <w:sz w:val="18"/>
          <w:szCs w:val="18"/>
          <w:lang w:eastAsia="pl-PL"/>
        </w:rPr>
        <w:t>Dz. U. poz. 1890).</w:t>
      </w:r>
      <w:r w:rsidRPr="00ED1A72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 Do spraw prowadzonych na podstawie ustawy zmienianej w art. 1 wszczętych i niezakończonych przed dniem wejścia w życie niniejszej ustawy stosuje się przepisy ustawy zmienianej w art. 1 w brzmieniu dotychczasowym, z wyjątkiem przepisów ar</w:t>
      </w:r>
      <w:r w:rsidRPr="00ED1A72">
        <w:rPr>
          <w:rFonts w:asciiTheme="minorHAnsi" w:eastAsia="Times New Roman" w:hAnsiTheme="minorHAnsi" w:cstheme="minorHAnsi"/>
          <w:sz w:val="18"/>
          <w:szCs w:val="18"/>
          <w:lang w:eastAsia="pl-PL"/>
        </w:rPr>
        <w:t>t. 61 ust. 1, art. 66 ust. 1 pkt 5, art. 82 ust. 1 oraz art. 86f ust. 2 i 4 ustawy zmienianej w art. 1, które stosuje się w brzmieniu nadanym niniejszą ustawą, oraz stosuje się przepisy art. 86f ust. la, 2a i 8 ustawy zmienianej w art. 1.</w:t>
      </w:r>
    </w:p>
    <w:p w:rsidR="00D35162" w:rsidRPr="00ED1A72" w:rsidRDefault="004E7C03" w:rsidP="00ED1A72">
      <w:pPr>
        <w:rPr>
          <w:rFonts w:asciiTheme="minorHAnsi" w:hAnsiTheme="minorHAnsi" w:cstheme="minorHAnsi"/>
        </w:rPr>
      </w:pPr>
    </w:p>
    <w:p w:rsidR="009F1D34" w:rsidRPr="00ED1A72" w:rsidRDefault="009F1D34" w:rsidP="00ED1A72">
      <w:pPr>
        <w:rPr>
          <w:rFonts w:asciiTheme="minorHAnsi" w:hAnsiTheme="minorHAnsi" w:cstheme="minorHAnsi"/>
        </w:rPr>
      </w:pPr>
    </w:p>
    <w:sectPr w:rsidR="009F1D34" w:rsidRPr="00ED1A72" w:rsidSect="00A3212B">
      <w:headerReference w:type="default" r:id="rId8"/>
      <w:footerReference w:type="default" r:id="rId9"/>
      <w:pgSz w:w="11906" w:h="16838"/>
      <w:pgMar w:top="1417" w:right="1417" w:bottom="1417" w:left="1417" w:header="85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7C03" w:rsidRDefault="004E7C03">
      <w:pPr>
        <w:spacing w:after="0" w:line="240" w:lineRule="auto"/>
      </w:pPr>
      <w:r>
        <w:separator/>
      </w:r>
    </w:p>
  </w:endnote>
  <w:endnote w:type="continuationSeparator" w:id="0">
    <w:p w:rsidR="004E7C03" w:rsidRDefault="004E7C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1D34" w:rsidRDefault="009F1D34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7C03" w:rsidRDefault="004E7C03">
      <w:pPr>
        <w:spacing w:after="0" w:line="240" w:lineRule="auto"/>
      </w:pPr>
      <w:r>
        <w:separator/>
      </w:r>
    </w:p>
  </w:footnote>
  <w:footnote w:type="continuationSeparator" w:id="0">
    <w:p w:rsidR="004E7C03" w:rsidRDefault="004E7C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1D34" w:rsidRDefault="009F1D34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D34"/>
    <w:rsid w:val="004E7C03"/>
    <w:rsid w:val="009F1D34"/>
    <w:rsid w:val="00ED1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A5D242"/>
  <w15:docId w15:val="{41E44AC7-2DE1-4DE1-9A40-8A47DCBF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52B04F-0059-469C-8E61-91E59C324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21</TotalTime>
  <Pages>2</Pages>
  <Words>499</Words>
  <Characters>2994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Magdalena Bajrowska</cp:lastModifiedBy>
  <cp:revision>7</cp:revision>
  <cp:lastPrinted>2010-12-24T09:23:00Z</cp:lastPrinted>
  <dcterms:created xsi:type="dcterms:W3CDTF">2022-10-20T15:35:00Z</dcterms:created>
  <dcterms:modified xsi:type="dcterms:W3CDTF">2025-02-07T11:15:00Z</dcterms:modified>
</cp:coreProperties>
</file>