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E5FF" w14:textId="77777777"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14:paraId="7CAA369C" w14:textId="28B34030" w:rsidR="00A70493" w:rsidRPr="00E67955" w:rsidRDefault="009771BC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9771BC">
        <w:rPr>
          <w:bCs/>
          <w:sz w:val="22"/>
          <w:szCs w:val="22"/>
        </w:rPr>
        <w:t>ZP.3127.</w:t>
      </w:r>
      <w:r w:rsidR="00AB5E93">
        <w:rPr>
          <w:bCs/>
          <w:sz w:val="22"/>
          <w:szCs w:val="22"/>
        </w:rPr>
        <w:t>1</w:t>
      </w:r>
      <w:r w:rsidR="00BE50B0">
        <w:rPr>
          <w:bCs/>
          <w:sz w:val="22"/>
          <w:szCs w:val="22"/>
        </w:rPr>
        <w:t>9</w:t>
      </w:r>
      <w:r w:rsidRPr="009771BC">
        <w:rPr>
          <w:bCs/>
          <w:sz w:val="22"/>
          <w:szCs w:val="22"/>
        </w:rPr>
        <w:t>.2023.</w:t>
      </w:r>
      <w:r w:rsidR="00BE50B0">
        <w:rPr>
          <w:bCs/>
          <w:sz w:val="22"/>
          <w:szCs w:val="22"/>
        </w:rPr>
        <w:t>DB</w:t>
      </w:r>
      <w:r w:rsidR="007640D8" w:rsidRPr="00E67955">
        <w:rPr>
          <w:bCs/>
          <w:sz w:val="22"/>
          <w:szCs w:val="22"/>
        </w:rPr>
        <w:tab/>
      </w:r>
    </w:p>
    <w:p w14:paraId="28FDE9BF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2FFD0D98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19FF4575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711846AF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4B5C95B8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39E88E48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29A74337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10CA4D68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3C0839A4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22981E86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40D7BB45" w14:textId="77777777" w:rsidR="00880D1B" w:rsidRDefault="00880D1B" w:rsidP="00880D1B"/>
    <w:p w14:paraId="2F380F93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14BA3526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4695B5DE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786ECEED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E054CAA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3C5AE542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0619E41B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2A508C18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6F1B359B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01E460B1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315E10A3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00B108C0" w14:textId="77777777" w:rsidR="00AB5E93" w:rsidRDefault="00AB5E93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e-puap…………………………….</w:t>
      </w:r>
    </w:p>
    <w:p w14:paraId="22A95577" w14:textId="67A88B5F"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BE50B0" w:rsidRPr="00BE50B0">
        <w:rPr>
          <w:b/>
          <w:bCs/>
          <w:sz w:val="22"/>
          <w:szCs w:val="22"/>
        </w:rPr>
        <w:t>Dostawa środków zapobiegających szkodom wyrządzonym przez bobry</w:t>
      </w:r>
    </w:p>
    <w:p w14:paraId="5540740C" w14:textId="77777777"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24B0D015" w14:textId="77777777"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2E2B7E03" w14:textId="77777777" w:rsidR="000F3975" w:rsidRPr="005B6CBA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</w:t>
      </w:r>
      <w:r w:rsidR="009771BC">
        <w:rPr>
          <w:spacing w:val="4"/>
          <w:sz w:val="22"/>
          <w:szCs w:val="22"/>
        </w:rPr>
        <w:t xml:space="preserve">za </w:t>
      </w:r>
      <w:r w:rsidR="00C252F7">
        <w:rPr>
          <w:spacing w:val="4"/>
          <w:sz w:val="22"/>
          <w:szCs w:val="22"/>
        </w:rPr>
        <w:t>ryczałtowa kwotę brutto</w:t>
      </w:r>
      <w:r w:rsidR="009771BC">
        <w:rPr>
          <w:spacing w:val="4"/>
          <w:sz w:val="22"/>
          <w:szCs w:val="22"/>
        </w:rPr>
        <w:t xml:space="preserve"> ………</w:t>
      </w:r>
      <w:r w:rsidR="00C252F7">
        <w:rPr>
          <w:spacing w:val="4"/>
          <w:sz w:val="22"/>
          <w:szCs w:val="22"/>
        </w:rPr>
        <w:t>……….</w:t>
      </w:r>
      <w:r w:rsidR="009771BC">
        <w:rPr>
          <w:spacing w:val="4"/>
          <w:sz w:val="22"/>
          <w:szCs w:val="22"/>
        </w:rPr>
        <w:t>…………………..</w:t>
      </w:r>
      <w:r w:rsidR="00847AB7" w:rsidRPr="005B6CBA">
        <w:rPr>
          <w:spacing w:val="4"/>
          <w:sz w:val="22"/>
          <w:szCs w:val="22"/>
        </w:rPr>
        <w:t>.</w:t>
      </w:r>
    </w:p>
    <w:p w14:paraId="558DFE66" w14:textId="77777777"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43656991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14:paraId="248FC9B4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3B39B2B1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14:paraId="2F8901E6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14:paraId="361AA6FA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lastRenderedPageBreak/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14:paraId="3784972B" w14:textId="77777777"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4A817FF" w14:textId="77777777"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6FAD877F" w14:textId="77777777"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14:paraId="6F3408B2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3A3E94B8" w14:textId="77777777"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0DDC1AA8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4FF76144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605B5D6B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2C1BCB68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41572016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4676B486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52F84BED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1A85955F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11C021ED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12E22E5C" w14:textId="77777777" w:rsidR="00E67955" w:rsidRDefault="00C252F7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700CCA" w:rsidRPr="005B6CBA">
        <w:rPr>
          <w:sz w:val="22"/>
          <w:szCs w:val="22"/>
        </w:rPr>
        <w:t xml:space="preserve"> </w:t>
      </w:r>
    </w:p>
    <w:p w14:paraId="0A1927D0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</w:t>
      </w:r>
      <w:r w:rsidR="00C252F7"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14:paraId="0219065F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14:paraId="151619A5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lastRenderedPageBreak/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7193C647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0BE28C17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0D24FADE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5EB8C614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4D2A89E7" w14:textId="77777777"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73F94359" w14:textId="77777777"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3C99A4C5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14:paraId="6D52E1B8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9EC6" w14:textId="77777777" w:rsidR="0034408D" w:rsidRDefault="0034408D">
      <w:r>
        <w:separator/>
      </w:r>
    </w:p>
  </w:endnote>
  <w:endnote w:type="continuationSeparator" w:id="0">
    <w:p w14:paraId="253458E6" w14:textId="77777777"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DB76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714B0C17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671BC078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6A94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930802B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24B1A147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8A13" w14:textId="4C552A62" w:rsidR="00C27E7B" w:rsidRDefault="00C27E7B" w:rsidP="0037481B">
    <w:pPr>
      <w:pStyle w:val="Stopka"/>
    </w:pPr>
  </w:p>
  <w:p w14:paraId="6E0802BF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445E3F5D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4CFA" w14:textId="77777777" w:rsidR="0034408D" w:rsidRDefault="0034408D">
      <w:r>
        <w:separator/>
      </w:r>
    </w:p>
  </w:footnote>
  <w:footnote w:type="continuationSeparator" w:id="0">
    <w:p w14:paraId="3B590C85" w14:textId="77777777"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C81C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918780119">
    <w:abstractNumId w:val="7"/>
  </w:num>
  <w:num w:numId="2" w16cid:durableId="371660309">
    <w:abstractNumId w:val="0"/>
  </w:num>
  <w:num w:numId="3" w16cid:durableId="2057309760">
    <w:abstractNumId w:val="1"/>
  </w:num>
  <w:num w:numId="4" w16cid:durableId="552540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7334527">
    <w:abstractNumId w:val="8"/>
  </w:num>
  <w:num w:numId="6" w16cid:durableId="1714621439">
    <w:abstractNumId w:val="5"/>
  </w:num>
  <w:num w:numId="7" w16cid:durableId="1211184615">
    <w:abstractNumId w:val="4"/>
  </w:num>
  <w:num w:numId="8" w16cid:durableId="1965842465">
    <w:abstractNumId w:val="9"/>
  </w:num>
  <w:num w:numId="9" w16cid:durableId="990254623">
    <w:abstractNumId w:val="2"/>
  </w:num>
  <w:num w:numId="10" w16cid:durableId="241909933">
    <w:abstractNumId w:val="3"/>
  </w:num>
  <w:num w:numId="11" w16cid:durableId="162129782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2F7A00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1BC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B5E9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50B0"/>
    <w:rsid w:val="00BE7C35"/>
    <w:rsid w:val="00BF22DF"/>
    <w:rsid w:val="00C004BE"/>
    <w:rsid w:val="00C079FF"/>
    <w:rsid w:val="00C252F7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34F04D6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8F72-BE63-43DD-9CEA-F71D2675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2</cp:revision>
  <cp:lastPrinted>2019-04-23T07:40:00Z</cp:lastPrinted>
  <dcterms:created xsi:type="dcterms:W3CDTF">2023-10-06T12:34:00Z</dcterms:created>
  <dcterms:modified xsi:type="dcterms:W3CDTF">2023-10-06T12:34:00Z</dcterms:modified>
</cp:coreProperties>
</file>