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A3" w:rsidRDefault="00741AA8" w:rsidP="00897BA3">
      <w:pPr>
        <w:tabs>
          <w:tab w:val="left" w:pos="6465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 xml:space="preserve">     </w:t>
      </w:r>
      <w:r w:rsidRPr="00C25A28">
        <w:rPr>
          <w:rFonts w:asciiTheme="minorHAnsi" w:hAnsiTheme="minorHAnsi" w:cstheme="minorHAnsi"/>
        </w:rPr>
        <w:t>Warszawa,</w:t>
      </w:r>
      <w:r>
        <w:rPr>
          <w:rFonts w:asciiTheme="minorHAnsi" w:hAnsiTheme="minorHAnsi" w:cstheme="minorHAnsi"/>
        </w:rPr>
        <w:t xml:space="preserve"> </w:t>
      </w:r>
      <w:bookmarkStart w:id="1" w:name="ezdDataPodpisu"/>
      <w:r>
        <w:rPr>
          <w:rFonts w:asciiTheme="minorHAnsi" w:hAnsiTheme="minorHAnsi" w:cstheme="minorHAnsi"/>
        </w:rPr>
        <w:t>24 listopada 2020 r.</w:t>
      </w:r>
      <w:bookmarkEnd w:id="1"/>
      <w:r>
        <w:rPr>
          <w:rFonts w:asciiTheme="minorHAnsi" w:hAnsiTheme="minorHAnsi" w:cstheme="minorHAnsi"/>
        </w:rPr>
        <w:t xml:space="preserve"> </w:t>
      </w:r>
    </w:p>
    <w:p w:rsidR="00897BA3" w:rsidRPr="00A838B4" w:rsidRDefault="00741AA8" w:rsidP="00897BA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</w:t>
      </w:r>
      <w:r>
        <w:rPr>
          <w:rFonts w:ascii="Calibri" w:hAnsi="Calibri" w:cs="Calibri"/>
          <w:noProof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A3" w:rsidRPr="00E009B5" w:rsidRDefault="00741AA8" w:rsidP="00897BA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</w:p>
    <w:p w:rsidR="00897BA3" w:rsidRPr="00C25A28" w:rsidRDefault="00741AA8" w:rsidP="00897BA3">
      <w:pPr>
        <w:ind w:left="5664" w:firstLine="708"/>
        <w:rPr>
          <w:rFonts w:asciiTheme="minorHAnsi" w:hAnsiTheme="minorHAnsi" w:cstheme="minorHAnsi"/>
        </w:rPr>
      </w:pPr>
    </w:p>
    <w:p w:rsidR="00897BA3" w:rsidRPr="006548EB" w:rsidRDefault="00741AA8" w:rsidP="00897B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25A28">
        <w:rPr>
          <w:rFonts w:asciiTheme="minorHAnsi" w:hAnsiTheme="minorHAnsi" w:cstheme="minorHAnsi"/>
        </w:rPr>
        <w:t>WNP-I.4131.</w:t>
      </w:r>
      <w:r>
        <w:rPr>
          <w:rFonts w:asciiTheme="minorHAnsi" w:hAnsiTheme="minorHAnsi" w:cstheme="minorHAnsi"/>
        </w:rPr>
        <w:t>199</w:t>
      </w:r>
      <w:r w:rsidRPr="00C25A28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20.KS</w:t>
      </w:r>
    </w:p>
    <w:p w:rsidR="00897BA3" w:rsidRPr="00CF63CF" w:rsidRDefault="00741AA8" w:rsidP="00773FC4">
      <w:pPr>
        <w:tabs>
          <w:tab w:val="left" w:pos="426"/>
          <w:tab w:val="left" w:pos="1276"/>
        </w:tabs>
        <w:spacing w:line="276" w:lineRule="auto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</w:r>
      <w:r w:rsidRPr="00CF63CF">
        <w:rPr>
          <w:rFonts w:ascii="Calibri" w:hAnsi="Calibri" w:cs="Calibri"/>
          <w:b/>
          <w:sz w:val="28"/>
        </w:rPr>
        <w:t xml:space="preserve">Rada </w:t>
      </w:r>
      <w:r>
        <w:rPr>
          <w:rFonts w:ascii="Calibri" w:hAnsi="Calibri" w:cs="Calibri"/>
          <w:b/>
          <w:sz w:val="28"/>
        </w:rPr>
        <w:t>Miejska w Serocku</w:t>
      </w:r>
    </w:p>
    <w:p w:rsidR="00897BA3" w:rsidRDefault="00741AA8" w:rsidP="00773FC4">
      <w:pPr>
        <w:tabs>
          <w:tab w:val="left" w:pos="426"/>
          <w:tab w:val="left" w:pos="1276"/>
        </w:tabs>
        <w:spacing w:line="276" w:lineRule="auto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>
        <w:rPr>
          <w:rFonts w:ascii="Calibri" w:hAnsi="Calibri" w:cs="Calibri"/>
          <w:b/>
          <w:sz w:val="28"/>
        </w:rPr>
        <w:tab/>
        <w:t>ul. Rynek 21</w:t>
      </w:r>
    </w:p>
    <w:p w:rsidR="00897BA3" w:rsidRPr="005877CA" w:rsidRDefault="00741AA8" w:rsidP="00773FC4">
      <w:pPr>
        <w:tabs>
          <w:tab w:val="left" w:pos="426"/>
          <w:tab w:val="left" w:pos="1276"/>
        </w:tabs>
        <w:spacing w:line="276" w:lineRule="auto"/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                </w:t>
      </w:r>
      <w:r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05-140 Serock</w:t>
      </w:r>
    </w:p>
    <w:p w:rsidR="00897BA3" w:rsidRPr="00473F8B" w:rsidRDefault="00741AA8" w:rsidP="00897BA3">
      <w:pPr>
        <w:rPr>
          <w:rFonts w:asciiTheme="minorHAnsi" w:hAnsiTheme="minorHAnsi" w:cstheme="minorHAnsi"/>
          <w:lang w:eastAsia="ar-SA"/>
        </w:rPr>
      </w:pPr>
    </w:p>
    <w:p w:rsidR="00897BA3" w:rsidRPr="00473F8B" w:rsidRDefault="00741AA8" w:rsidP="00897BA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73F8B">
        <w:rPr>
          <w:rFonts w:asciiTheme="minorHAnsi" w:hAnsiTheme="minorHAnsi" w:cstheme="minorHAnsi"/>
          <w:b/>
          <w:bCs/>
        </w:rPr>
        <w:t>Rozstrzygnięcie  nadzorcze</w:t>
      </w:r>
    </w:p>
    <w:p w:rsidR="00897BA3" w:rsidRPr="00473F8B" w:rsidRDefault="00741AA8" w:rsidP="00897BA3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Na podstawie art. 91 ust. 1 ustawy z dnia 8 marca 1990</w:t>
      </w:r>
      <w:r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>r. o sam</w:t>
      </w:r>
      <w:r>
        <w:rPr>
          <w:rFonts w:asciiTheme="minorHAnsi" w:hAnsiTheme="minorHAnsi" w:cstheme="minorHAnsi"/>
          <w:sz w:val="24"/>
        </w:rPr>
        <w:t>orządzie gmi</w:t>
      </w:r>
      <w:r>
        <w:rPr>
          <w:rFonts w:asciiTheme="minorHAnsi" w:hAnsiTheme="minorHAnsi" w:cstheme="minorHAnsi"/>
          <w:sz w:val="24"/>
        </w:rPr>
        <w:t>nnym</w:t>
      </w:r>
      <w:r>
        <w:rPr>
          <w:rFonts w:asciiTheme="minorHAnsi" w:hAnsiTheme="minorHAnsi" w:cstheme="minorHAnsi"/>
          <w:sz w:val="24"/>
        </w:rPr>
        <w:br/>
        <w:t xml:space="preserve"> (Dz. U. z 2020</w:t>
      </w:r>
      <w:r>
        <w:rPr>
          <w:rFonts w:asciiTheme="minorHAnsi" w:hAnsiTheme="minorHAnsi" w:cstheme="minorHAnsi"/>
          <w:sz w:val="24"/>
        </w:rPr>
        <w:t xml:space="preserve"> r. poz. 713, z późn. zm.</w:t>
      </w:r>
      <w:r w:rsidRPr="00473F8B">
        <w:rPr>
          <w:rFonts w:asciiTheme="minorHAnsi" w:hAnsiTheme="minorHAnsi" w:cstheme="minorHAnsi"/>
          <w:sz w:val="24"/>
        </w:rPr>
        <w:t>)</w:t>
      </w:r>
    </w:p>
    <w:p w:rsidR="00897BA3" w:rsidRPr="00473F8B" w:rsidRDefault="00741AA8" w:rsidP="00897BA3">
      <w:pPr>
        <w:pStyle w:val="Tekstpodstawowy"/>
        <w:jc w:val="center"/>
        <w:rPr>
          <w:rFonts w:asciiTheme="minorHAnsi" w:hAnsiTheme="minorHAnsi" w:cstheme="minorHAnsi"/>
          <w:b/>
          <w:bCs/>
          <w:sz w:val="24"/>
        </w:rPr>
      </w:pPr>
      <w:r w:rsidRPr="00473F8B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773FC4" w:rsidRPr="00773FC4" w:rsidRDefault="00741AA8" w:rsidP="00773FC4">
      <w:pPr>
        <w:spacing w:line="360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="Calibri" w:hAnsi="Calibri" w:cs="Calibri"/>
        </w:rPr>
        <w:t xml:space="preserve">uchwały Nr 295/XXVIII/2020 Rady Miejskiej w Serocku </w:t>
      </w:r>
      <w:r>
        <w:rPr>
          <w:rFonts w:ascii="Calibri" w:hAnsi="Calibri" w:cs="Calibri"/>
        </w:rPr>
        <w:t xml:space="preserve">z dnia 28 października 2020 r. </w:t>
      </w:r>
      <w:r w:rsidRPr="00773FC4">
        <w:rPr>
          <w:rFonts w:ascii="Calibri" w:eastAsia="Calibri" w:hAnsi="Calibri" w:cs="Calibri"/>
          <w:i/>
        </w:rPr>
        <w:t>w sprawie uchwalenia rocznego programu współpra</w:t>
      </w:r>
      <w:r>
        <w:rPr>
          <w:rFonts w:ascii="Calibri" w:eastAsia="Calibri" w:hAnsi="Calibri" w:cs="Calibri"/>
          <w:i/>
        </w:rPr>
        <w:t xml:space="preserve">cy gminy Miasto i Gmina Serock </w:t>
      </w:r>
      <w:r w:rsidRPr="00773FC4">
        <w:rPr>
          <w:rFonts w:ascii="Calibri" w:eastAsia="Calibri" w:hAnsi="Calibri" w:cs="Calibri"/>
          <w:i/>
        </w:rPr>
        <w:t>z organizacjami pozarządowymi oraz podmiotami, wymienionymi w art. 3 u</w:t>
      </w:r>
      <w:r>
        <w:rPr>
          <w:rFonts w:ascii="Calibri" w:eastAsia="Calibri" w:hAnsi="Calibri" w:cs="Calibri"/>
          <w:i/>
        </w:rPr>
        <w:t xml:space="preserve">st. 3 ustawy z dnia 24 kwietnia </w:t>
      </w:r>
      <w:r w:rsidRPr="00773FC4">
        <w:rPr>
          <w:rFonts w:ascii="Calibri" w:eastAsia="Calibri" w:hAnsi="Calibri" w:cs="Calibri"/>
          <w:i/>
        </w:rPr>
        <w:t xml:space="preserve">2003 r. o działalności pożytku publicznego i </w:t>
      </w:r>
      <w:r w:rsidRPr="00773FC4">
        <w:rPr>
          <w:rFonts w:ascii="Calibri" w:eastAsia="Calibri" w:hAnsi="Calibri" w:cs="Calibri"/>
          <w:i/>
        </w:rPr>
        <w:t>o wolontariacie na 2021 r.</w:t>
      </w:r>
      <w:r>
        <w:rPr>
          <w:rFonts w:ascii="Calibri" w:eastAsia="Calibri" w:hAnsi="Calibri" w:cs="Calibri"/>
          <w:i/>
        </w:rPr>
        <w:t xml:space="preserve"> </w:t>
      </w:r>
      <w:r w:rsidRPr="00DB6203">
        <w:rPr>
          <w:rFonts w:ascii="Calibri" w:eastAsia="Calibri" w:hAnsi="Calibri" w:cs="Calibri"/>
        </w:rPr>
        <w:t xml:space="preserve">w zakresie § 12 ust. 10 oraz </w:t>
      </w:r>
      <w:r w:rsidRPr="00DB6203">
        <w:rPr>
          <w:rFonts w:ascii="Calibri" w:eastAsia="Calibri" w:hAnsi="Calibri" w:cs="Calibri"/>
        </w:rPr>
        <w:t>§ 24 ust. 4 i 5 Załącznika do uchwały</w:t>
      </w:r>
      <w:r>
        <w:rPr>
          <w:rFonts w:ascii="Calibri" w:eastAsia="Calibri" w:hAnsi="Calibri" w:cs="Calibri"/>
          <w:i/>
        </w:rPr>
        <w:t>.</w:t>
      </w:r>
    </w:p>
    <w:p w:rsidR="00897BA3" w:rsidRPr="00E15AB4" w:rsidRDefault="00741AA8" w:rsidP="00897BA3">
      <w:pPr>
        <w:spacing w:line="360" w:lineRule="auto"/>
        <w:jc w:val="both"/>
        <w:rPr>
          <w:rFonts w:ascii="Calibri" w:hAnsi="Calibri" w:cs="Calibri"/>
        </w:rPr>
      </w:pPr>
    </w:p>
    <w:p w:rsidR="00897BA3" w:rsidRDefault="00741AA8" w:rsidP="00897BA3">
      <w:pPr>
        <w:jc w:val="center"/>
        <w:rPr>
          <w:rFonts w:asciiTheme="minorHAnsi" w:hAnsiTheme="minorHAnsi" w:cstheme="minorHAnsi"/>
          <w:b/>
        </w:rPr>
      </w:pPr>
    </w:p>
    <w:p w:rsidR="00897BA3" w:rsidRPr="00E15AB4" w:rsidRDefault="00741AA8" w:rsidP="00897BA3">
      <w:pPr>
        <w:jc w:val="center"/>
        <w:rPr>
          <w:rFonts w:asciiTheme="minorHAnsi" w:hAnsiTheme="minorHAnsi" w:cstheme="minorHAnsi"/>
          <w:b/>
        </w:rPr>
      </w:pPr>
      <w:r w:rsidRPr="00E15AB4">
        <w:rPr>
          <w:rFonts w:asciiTheme="minorHAnsi" w:hAnsiTheme="minorHAnsi" w:cstheme="minorHAnsi"/>
          <w:b/>
        </w:rPr>
        <w:t>UZASADNIENIE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jc w:val="both"/>
        <w:rPr>
          <w:rFonts w:asciiTheme="minorHAnsi" w:hAnsiTheme="minorHAnsi" w:cstheme="minorHAnsi"/>
        </w:rPr>
      </w:pPr>
    </w:p>
    <w:p w:rsidR="00773FC4" w:rsidRPr="00773FC4" w:rsidRDefault="00741AA8" w:rsidP="00773FC4">
      <w:pPr>
        <w:spacing w:line="360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hAnsiTheme="minorHAnsi" w:cstheme="minorHAnsi"/>
        </w:rPr>
        <w:tab/>
        <w:t xml:space="preserve">W dniu 28 października 2020 r. </w:t>
      </w:r>
      <w:r w:rsidRPr="00076239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>Miejska w Serocku</w:t>
      </w:r>
      <w:r w:rsidRPr="00076239">
        <w:rPr>
          <w:rFonts w:asciiTheme="minorHAnsi" w:hAnsiTheme="minorHAnsi" w:cstheme="minorHAnsi"/>
        </w:rPr>
        <w:t xml:space="preserve"> podjęła uchwałę </w:t>
      </w:r>
      <w:r>
        <w:rPr>
          <w:rFonts w:asciiTheme="minorHAnsi" w:hAnsiTheme="minorHAnsi" w:cstheme="minorHAnsi"/>
        </w:rPr>
        <w:br/>
      </w:r>
      <w:r>
        <w:rPr>
          <w:rFonts w:ascii="Calibri" w:hAnsi="Calibri" w:cs="Calibri"/>
        </w:rPr>
        <w:t xml:space="preserve">Nr 295/XXVIII/2020 </w:t>
      </w:r>
      <w:r w:rsidRPr="00773FC4">
        <w:rPr>
          <w:rFonts w:ascii="Calibri" w:eastAsia="Calibri" w:hAnsi="Calibri" w:cs="Calibri"/>
          <w:i/>
        </w:rPr>
        <w:t>w sprawie uchwalenia rocznego programu współpra</w:t>
      </w:r>
      <w:r>
        <w:rPr>
          <w:rFonts w:ascii="Calibri" w:eastAsia="Calibri" w:hAnsi="Calibri" w:cs="Calibri"/>
          <w:i/>
        </w:rPr>
        <w:t xml:space="preserve">cy gminy Miasto </w:t>
      </w:r>
      <w:r>
        <w:rPr>
          <w:rFonts w:ascii="Calibri" w:eastAsia="Calibri" w:hAnsi="Calibri" w:cs="Calibri"/>
          <w:i/>
        </w:rPr>
        <w:br/>
        <w:t xml:space="preserve">i Gmina Serock </w:t>
      </w:r>
      <w:r w:rsidRPr="00773FC4">
        <w:rPr>
          <w:rFonts w:ascii="Calibri" w:eastAsia="Calibri" w:hAnsi="Calibri" w:cs="Calibri"/>
          <w:i/>
        </w:rPr>
        <w:t xml:space="preserve">z organizacjami pozarządowymi oraz podmiotami, wymienionymi w art. 3 </w:t>
      </w:r>
      <w:r>
        <w:rPr>
          <w:rFonts w:ascii="Calibri" w:eastAsia="Calibri" w:hAnsi="Calibri" w:cs="Calibri"/>
          <w:i/>
        </w:rPr>
        <w:br/>
      </w:r>
      <w:r w:rsidRPr="00773FC4">
        <w:rPr>
          <w:rFonts w:ascii="Calibri" w:eastAsia="Calibri" w:hAnsi="Calibri" w:cs="Calibri"/>
          <w:i/>
        </w:rPr>
        <w:t>u</w:t>
      </w:r>
      <w:r>
        <w:rPr>
          <w:rFonts w:ascii="Calibri" w:eastAsia="Calibri" w:hAnsi="Calibri" w:cs="Calibri"/>
          <w:i/>
        </w:rPr>
        <w:t xml:space="preserve">st. 3 ustawy z dnia 24 kwietnia </w:t>
      </w:r>
      <w:r w:rsidRPr="00773FC4">
        <w:rPr>
          <w:rFonts w:ascii="Calibri" w:eastAsia="Calibri" w:hAnsi="Calibri" w:cs="Calibri"/>
          <w:i/>
        </w:rPr>
        <w:t xml:space="preserve">2003 r. o działalności pożytku publicznego i o wolontariacie na 2021 r. 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  <w:r w:rsidRPr="00076239">
        <w:rPr>
          <w:rFonts w:asciiTheme="minorHAnsi" w:hAnsiTheme="minorHAnsi" w:cstheme="minorHAnsi"/>
        </w:rPr>
        <w:t xml:space="preserve">W uchwale wskazano, że podstawę prawną do jej </w:t>
      </w:r>
      <w:r w:rsidRPr="00076239">
        <w:rPr>
          <w:rFonts w:asciiTheme="minorHAnsi" w:hAnsiTheme="minorHAnsi" w:cstheme="minorHAnsi"/>
        </w:rPr>
        <w:t>podjęcia stan</w:t>
      </w:r>
      <w:r>
        <w:rPr>
          <w:rFonts w:asciiTheme="minorHAnsi" w:hAnsiTheme="minorHAnsi" w:cstheme="minorHAnsi"/>
        </w:rPr>
        <w:t xml:space="preserve">owi przepis </w:t>
      </w:r>
      <w:r>
        <w:rPr>
          <w:rFonts w:asciiTheme="minorHAnsi" w:hAnsiTheme="minorHAnsi" w:cstheme="minorHAnsi"/>
        </w:rPr>
        <w:br/>
        <w:t xml:space="preserve">art. 18 ust. 2 pkt 15 </w:t>
      </w:r>
      <w:r w:rsidRPr="00473F8B">
        <w:rPr>
          <w:rFonts w:asciiTheme="minorHAnsi" w:hAnsiTheme="minorHAnsi" w:cstheme="minorHAnsi"/>
        </w:rPr>
        <w:t>ustawy o sam</w:t>
      </w:r>
      <w:r>
        <w:rPr>
          <w:rFonts w:asciiTheme="minorHAnsi" w:hAnsiTheme="minorHAnsi" w:cstheme="minorHAnsi"/>
        </w:rPr>
        <w:t xml:space="preserve">orządzie gminnym oraz art. 5a ust. 1 i 4 ustawy z dnia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24 kwietnia 2003 r. o działalności pożytku publicznego i o wolontariacie (Dz. U. z  2020 r. poz. 1057)</w:t>
      </w:r>
      <w:r>
        <w:rPr>
          <w:rFonts w:asciiTheme="minorHAnsi" w:hAnsiTheme="minorHAnsi" w:cstheme="minorHAnsi"/>
        </w:rPr>
        <w:t>.</w:t>
      </w:r>
    </w:p>
    <w:p w:rsidR="00897BA3" w:rsidRPr="005C451B" w:rsidRDefault="00741AA8" w:rsidP="00897BA3">
      <w:pPr>
        <w:spacing w:line="360" w:lineRule="auto"/>
        <w:jc w:val="both"/>
        <w:rPr>
          <w:rFonts w:ascii="Calibri" w:hAnsi="Calibri" w:cs="Calibri"/>
          <w:i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</w:rPr>
        <w:t xml:space="preserve">W </w:t>
      </w:r>
      <w:r>
        <w:rPr>
          <w:rFonts w:ascii="Calibri" w:hAnsi="Calibri" w:cs="Calibri"/>
        </w:rPr>
        <w:t xml:space="preserve">§ 12 ust. 10 Załącznika do </w:t>
      </w:r>
      <w:r>
        <w:rPr>
          <w:rFonts w:ascii="Calibri" w:hAnsi="Calibri" w:cs="Calibri"/>
        </w:rPr>
        <w:t>kw</w:t>
      </w:r>
      <w:r>
        <w:rPr>
          <w:rFonts w:ascii="Calibri" w:hAnsi="Calibri" w:cs="Calibri"/>
        </w:rPr>
        <w:t>esti</w:t>
      </w:r>
      <w:r>
        <w:rPr>
          <w:rFonts w:ascii="Calibri" w:hAnsi="Calibri" w:cs="Calibri"/>
        </w:rPr>
        <w:t>onowanej uchwały Rada Miejska w Serocku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postanowiła: </w:t>
      </w:r>
      <w:r>
        <w:rPr>
          <w:rFonts w:ascii="Calibri" w:hAnsi="Calibri" w:cs="Calibri"/>
        </w:rPr>
        <w:t>„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. </w:t>
      </w:r>
      <w:r w:rsidRPr="005B448D">
        <w:rPr>
          <w:rFonts w:ascii="Calibri" w:hAnsi="Calibri" w:cs="Calibri"/>
          <w:i/>
        </w:rPr>
        <w:t xml:space="preserve">Odpowiedzialność za dostarczenie oferty w terminie spoczywa </w:t>
      </w:r>
      <w:r>
        <w:rPr>
          <w:rFonts w:ascii="Calibri" w:hAnsi="Calibri" w:cs="Calibri"/>
          <w:i/>
        </w:rPr>
        <w:br/>
      </w:r>
      <w:r w:rsidRPr="005B448D">
        <w:rPr>
          <w:rFonts w:ascii="Calibri" w:hAnsi="Calibri" w:cs="Calibri"/>
          <w:i/>
        </w:rPr>
        <w:lastRenderedPageBreak/>
        <w:t xml:space="preserve">na </w:t>
      </w:r>
      <w:r>
        <w:rPr>
          <w:rFonts w:ascii="Calibri" w:hAnsi="Calibri" w:cs="Calibri"/>
          <w:i/>
        </w:rPr>
        <w:t xml:space="preserve">wnioskodawcy i </w:t>
      </w:r>
      <w:r>
        <w:rPr>
          <w:rFonts w:ascii="Calibri" w:hAnsi="Calibri" w:cs="Calibri"/>
          <w:i/>
        </w:rPr>
        <w:t xml:space="preserve"> żadne wyjaśnienia </w:t>
      </w:r>
      <w:r w:rsidRPr="005B448D">
        <w:rPr>
          <w:rFonts w:ascii="Calibri" w:hAnsi="Calibri" w:cs="Calibri"/>
          <w:i/>
        </w:rPr>
        <w:t xml:space="preserve">dotyczące opóźnień </w:t>
      </w:r>
      <w:r>
        <w:rPr>
          <w:rFonts w:ascii="Calibri" w:hAnsi="Calibri" w:cs="Calibri"/>
          <w:i/>
        </w:rPr>
        <w:t xml:space="preserve">wynikających z winy wnioskodawcy lub poczty, </w:t>
      </w:r>
      <w:r w:rsidRPr="005B448D">
        <w:rPr>
          <w:rFonts w:ascii="Calibri" w:hAnsi="Calibri" w:cs="Calibri"/>
          <w:i/>
        </w:rPr>
        <w:t>nie będą brane pod uwagę</w:t>
      </w:r>
      <w:r>
        <w:rPr>
          <w:rFonts w:ascii="Calibri" w:hAnsi="Calibri" w:cs="Calibri"/>
        </w:rPr>
        <w:t xml:space="preserve">.”.  </w:t>
      </w:r>
    </w:p>
    <w:p w:rsidR="00897BA3" w:rsidRDefault="00741AA8" w:rsidP="00897BA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Należy wskazać, że w</w:t>
      </w:r>
      <w:r>
        <w:rPr>
          <w:rFonts w:ascii="Calibri" w:hAnsi="Calibri" w:cs="Calibri"/>
        </w:rPr>
        <w:t xml:space="preserve"> art. 5a ustawy o działalności pożytku publicznego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i o wolontariacie brak delegacji, by nałożyć na podmiot trzeci odpowiedzialność za doręczanie przysyłek pocztowych. </w:t>
      </w:r>
    </w:p>
    <w:p w:rsidR="00897BA3" w:rsidRPr="008543AA" w:rsidRDefault="00741AA8" w:rsidP="00897BA3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8543AA">
        <w:rPr>
          <w:rFonts w:asciiTheme="minorHAnsi" w:hAnsiTheme="minorHAnsi" w:cstheme="minorHAnsi"/>
          <w:i/>
        </w:rPr>
        <w:t>W judykaturze przyjmuje się, że tylko istotne naruszenie prawa sta</w:t>
      </w:r>
      <w:r w:rsidRPr="008543AA">
        <w:rPr>
          <w:rFonts w:asciiTheme="minorHAnsi" w:hAnsiTheme="minorHAnsi" w:cstheme="minorHAnsi"/>
          <w:i/>
        </w:rPr>
        <w:t xml:space="preserve">nowi podstawę </w:t>
      </w:r>
      <w:r>
        <w:rPr>
          <w:rFonts w:asciiTheme="minorHAnsi" w:hAnsiTheme="minorHAnsi" w:cstheme="minorHAnsi"/>
          <w:i/>
        </w:rPr>
        <w:br/>
      </w:r>
      <w:r w:rsidRPr="008543AA">
        <w:rPr>
          <w:rFonts w:asciiTheme="minorHAnsi" w:hAnsiTheme="minorHAnsi" w:cstheme="minorHAnsi"/>
          <w:i/>
        </w:rPr>
        <w:t xml:space="preserve">do stwierdzenia nieważności uchwały organu gminy, a więc uchybienie prowadzące </w:t>
      </w:r>
      <w:r>
        <w:rPr>
          <w:rFonts w:asciiTheme="minorHAnsi" w:hAnsiTheme="minorHAnsi" w:cstheme="minorHAnsi"/>
          <w:i/>
        </w:rPr>
        <w:br/>
      </w:r>
      <w:r w:rsidRPr="008543AA">
        <w:rPr>
          <w:rFonts w:asciiTheme="minorHAnsi" w:hAnsiTheme="minorHAnsi" w:cstheme="minorHAnsi"/>
          <w:i/>
        </w:rPr>
        <w:t>do skutków, które nie mogą być zaakceptowane w demokratycznym państwie prawnym, które wpływają na treść uchwały lub zarządzenia. Do takich naruszeń zalicza się m</w:t>
      </w:r>
      <w:r w:rsidRPr="008543AA">
        <w:rPr>
          <w:rFonts w:asciiTheme="minorHAnsi" w:hAnsiTheme="minorHAnsi" w:cstheme="minorHAnsi"/>
          <w:i/>
        </w:rPr>
        <w:t xml:space="preserve">iędzy innymi naruszenie przepisów </w:t>
      </w:r>
      <w:r w:rsidRPr="008543AA">
        <w:rPr>
          <w:rFonts w:asciiTheme="minorHAnsi" w:hAnsiTheme="minorHAnsi" w:cstheme="minorHAnsi"/>
          <w:i/>
          <w:u w:val="single"/>
        </w:rPr>
        <w:t xml:space="preserve">wyznaczających kompetencje do wydania </w:t>
      </w:r>
      <w:r w:rsidRPr="00A91850">
        <w:rPr>
          <w:rFonts w:asciiTheme="minorHAnsi" w:hAnsiTheme="minorHAnsi" w:cstheme="minorHAnsi"/>
          <w:i/>
          <w:u w:val="single"/>
        </w:rPr>
        <w:t>aktu lub brak</w:t>
      </w:r>
      <w:r w:rsidRPr="008543AA">
        <w:rPr>
          <w:rFonts w:asciiTheme="minorHAnsi" w:hAnsiTheme="minorHAnsi" w:cstheme="minorHAnsi"/>
          <w:i/>
          <w:u w:val="single"/>
        </w:rPr>
        <w:t xml:space="preserve"> podstawy prawnej</w:t>
      </w:r>
      <w:r w:rsidRPr="008543AA">
        <w:rPr>
          <w:rFonts w:asciiTheme="minorHAnsi" w:hAnsiTheme="minorHAnsi" w:cstheme="minorHAnsi"/>
          <w:i/>
        </w:rPr>
        <w:t>, bądź przepisów prawa ustrojowego lub przepisów prawa materialnego przez wadliwą ich wykładnię oraz przepisów regulujących procedurę podejmowania uchwał,</w:t>
      </w:r>
      <w:r w:rsidRPr="008543AA">
        <w:rPr>
          <w:rFonts w:asciiTheme="minorHAnsi" w:hAnsiTheme="minorHAnsi" w:cstheme="minorHAnsi"/>
          <w:i/>
        </w:rPr>
        <w:t xml:space="preserve"> jeżeli na skutek tego naruszenia zapadła uchwała innej treści, niż gdyby naruszenie to nie wystąpiło</w:t>
      </w:r>
      <w:r>
        <w:rPr>
          <w:rFonts w:asciiTheme="minorHAnsi" w:hAnsiTheme="minorHAnsi" w:cstheme="minorHAnsi"/>
        </w:rPr>
        <w:t>”</w:t>
      </w:r>
      <w:r w:rsidRPr="008543A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w</w:t>
      </w:r>
      <w:r w:rsidRPr="008543AA">
        <w:rPr>
          <w:rFonts w:asciiTheme="minorHAnsi" w:hAnsiTheme="minorHAnsi" w:cstheme="minorHAnsi"/>
        </w:rPr>
        <w:t>yrok Wojewódzkiego Sądu Adm</w:t>
      </w:r>
      <w:r>
        <w:rPr>
          <w:rFonts w:asciiTheme="minorHAnsi" w:hAnsiTheme="minorHAnsi" w:cstheme="minorHAnsi"/>
        </w:rPr>
        <w:t xml:space="preserve">inistracyjnego w Gorzowie Wielkopolskim </w:t>
      </w:r>
      <w:r w:rsidRPr="008543AA">
        <w:rPr>
          <w:rFonts w:asciiTheme="minorHAnsi" w:hAnsiTheme="minorHAnsi" w:cstheme="minorHAnsi"/>
        </w:rPr>
        <w:t xml:space="preserve">z dnia 30 maja 2018 r. </w:t>
      </w:r>
      <w:r>
        <w:rPr>
          <w:rFonts w:asciiTheme="minorHAnsi" w:hAnsiTheme="minorHAnsi" w:cstheme="minorHAnsi"/>
        </w:rPr>
        <w:t xml:space="preserve">sygn. akt </w:t>
      </w:r>
      <w:r w:rsidRPr="008543AA">
        <w:rPr>
          <w:rFonts w:asciiTheme="minorHAnsi" w:hAnsiTheme="minorHAnsi" w:cstheme="minorHAnsi"/>
        </w:rPr>
        <w:t>II SA/Go 271/18</w:t>
      </w:r>
      <w:r>
        <w:rPr>
          <w:rFonts w:asciiTheme="minorHAnsi" w:hAnsiTheme="minorHAnsi" w:cstheme="minorHAnsi"/>
        </w:rPr>
        <w:t>).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 tym miejscu należy zauważyć, ż</w:t>
      </w:r>
      <w:r>
        <w:rPr>
          <w:rFonts w:asciiTheme="minorHAnsi" w:hAnsiTheme="minorHAnsi" w:cstheme="minorHAnsi"/>
        </w:rPr>
        <w:t xml:space="preserve">e przepis </w:t>
      </w:r>
      <w:r w:rsidRPr="00F747FF">
        <w:rPr>
          <w:rFonts w:asciiTheme="minorHAnsi" w:hAnsiTheme="minorHAnsi" w:cstheme="minorHAnsi"/>
        </w:rPr>
        <w:t>art. 88 ust. 3</w:t>
      </w:r>
      <w:r>
        <w:rPr>
          <w:rFonts w:asciiTheme="minorHAnsi" w:hAnsiTheme="minorHAnsi" w:cstheme="minorHAnsi"/>
        </w:rPr>
        <w:t xml:space="preserve"> ustawy z dnia 23 listopada 2012 </w:t>
      </w:r>
      <w:r>
        <w:rPr>
          <w:rFonts w:asciiTheme="minorHAnsi" w:hAnsiTheme="minorHAnsi" w:cstheme="minorHAnsi"/>
        </w:rPr>
        <w:t>r. Prawo pocztowe (Dz. U. z 2020 r. poz.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1041</w:t>
      </w:r>
      <w:r>
        <w:rPr>
          <w:rFonts w:asciiTheme="minorHAnsi" w:hAnsiTheme="minorHAnsi" w:cstheme="minorHAnsi"/>
        </w:rPr>
        <w:t>) stanowi, że</w:t>
      </w:r>
      <w:r w:rsidRPr="00F747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F747FF">
        <w:rPr>
          <w:rFonts w:asciiTheme="minorHAnsi" w:hAnsiTheme="minorHAnsi" w:cstheme="minorHAnsi"/>
        </w:rPr>
        <w:t xml:space="preserve"> tytułu nienależytego wykonania usługi powszechnej odszkodowanie przysługuje również za doręczenie przesyłki listowej rejestrowanej najszybszej kategorii w terminie późniejszym niż w 4 dniu po dniu nadania - w wysokości stanowiącej różnicę między opłatą za</w:t>
      </w:r>
      <w:r w:rsidRPr="00F747FF">
        <w:rPr>
          <w:rFonts w:asciiTheme="minorHAnsi" w:hAnsiTheme="minorHAnsi" w:cstheme="minorHAnsi"/>
        </w:rPr>
        <w:t xml:space="preserve"> przesyłkę listową najszybszej kategorii danego przedziału wagowego, a opłatą za taką przesyłkę niebędącą przesyłką najszybszej kategorii tego samego przedziału wagowego.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art. 88</w:t>
      </w:r>
      <w:r w:rsidRPr="00F747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F747FF">
        <w:rPr>
          <w:rFonts w:asciiTheme="minorHAnsi" w:hAnsiTheme="minorHAnsi" w:cstheme="minorHAnsi"/>
        </w:rPr>
        <w:t>st. 4 pkt 4</w:t>
      </w:r>
      <w:r>
        <w:rPr>
          <w:rFonts w:asciiTheme="minorHAnsi" w:hAnsiTheme="minorHAnsi" w:cstheme="minorHAnsi"/>
        </w:rPr>
        <w:t xml:space="preserve"> ww. ustawy,</w:t>
      </w:r>
      <w:r w:rsidRPr="00F747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F747FF">
        <w:rPr>
          <w:rFonts w:asciiTheme="minorHAnsi" w:hAnsiTheme="minorHAnsi" w:cstheme="minorHAnsi"/>
        </w:rPr>
        <w:t xml:space="preserve"> tytułu niewykonania lub nienależytego wyko</w:t>
      </w:r>
      <w:r w:rsidRPr="00F747FF">
        <w:rPr>
          <w:rFonts w:asciiTheme="minorHAnsi" w:hAnsiTheme="minorHAnsi" w:cstheme="minorHAnsi"/>
        </w:rPr>
        <w:t xml:space="preserve">nania usługi pocztowej niebędącej usługą powszechną przysługuje odszkodowanie: </w:t>
      </w:r>
      <w:r>
        <w:rPr>
          <w:rFonts w:asciiTheme="minorHAnsi" w:hAnsiTheme="minorHAnsi" w:cstheme="minorHAnsi"/>
        </w:rPr>
        <w:br/>
      </w:r>
      <w:r w:rsidRPr="00F747FF">
        <w:rPr>
          <w:rFonts w:asciiTheme="minorHAnsi" w:hAnsiTheme="minorHAnsi" w:cstheme="minorHAnsi"/>
        </w:rPr>
        <w:t>za opóźnienie w doręczeniu przesyłki pocztowej w stosunku do gwarantowanego terminu doręczenia - w wysokości nieprzekraczającej dwukrotności opłaty za usługę</w:t>
      </w:r>
      <w:r>
        <w:rPr>
          <w:rFonts w:asciiTheme="minorHAnsi" w:hAnsiTheme="minorHAnsi" w:cstheme="minorHAnsi"/>
        </w:rPr>
        <w:t xml:space="preserve"> - chyba </w:t>
      </w:r>
      <w:r>
        <w:rPr>
          <w:rFonts w:asciiTheme="minorHAnsi" w:hAnsiTheme="minorHAnsi" w:cstheme="minorHAnsi"/>
        </w:rPr>
        <w:br/>
        <w:t>że postan</w:t>
      </w:r>
      <w:r>
        <w:rPr>
          <w:rFonts w:asciiTheme="minorHAnsi" w:hAnsiTheme="minorHAnsi" w:cstheme="minorHAnsi"/>
        </w:rPr>
        <w:t>owienia regulaminu świadczenia usługi pocztowej w zakresie wysokości odszkodowania są korzystniejsze.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87 Prawa pocztowego stanowi o ponoszeniu odpowiedzialności za niewykonanie lub nienależyte wykonanie usługi pocztowej, co do zasady przez operatora p</w:t>
      </w:r>
      <w:r>
        <w:rPr>
          <w:rFonts w:asciiTheme="minorHAnsi" w:hAnsiTheme="minorHAnsi" w:cstheme="minorHAnsi"/>
          <w:bCs/>
        </w:rPr>
        <w:t>ocztowego.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Wprowadzony do uchwały przepis  zatem wykracza poza delegację ustawową.</w:t>
      </w:r>
    </w:p>
    <w:p w:rsidR="00897BA3" w:rsidRDefault="00741AA8" w:rsidP="005734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ab/>
        <w:t>Niezależnie od powyższego, tak sformułowany</w:t>
      </w:r>
      <w:r>
        <w:rPr>
          <w:rFonts w:asciiTheme="minorHAnsi" w:hAnsiTheme="minorHAnsi" w:cstheme="minorHAnsi"/>
          <w:bCs/>
        </w:rPr>
        <w:t xml:space="preserve"> przepis nakłada na wnioskodawcę</w:t>
      </w:r>
      <w:r>
        <w:rPr>
          <w:rFonts w:asciiTheme="minorHAnsi" w:hAnsiTheme="minorHAnsi" w:cstheme="minorHAnsi"/>
          <w:bCs/>
        </w:rPr>
        <w:t xml:space="preserve"> biorącego udział w konkursie odpowiedzialność za czynnik niezależny od niego samego.</w:t>
      </w:r>
    </w:p>
    <w:p w:rsidR="00897BA3" w:rsidRDefault="00741AA8" w:rsidP="00897BA3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4650A">
        <w:rPr>
          <w:rFonts w:asciiTheme="minorHAnsi" w:hAnsiTheme="minorHAnsi" w:cstheme="minorHAnsi"/>
        </w:rPr>
        <w:t>ykonując s</w:t>
      </w:r>
      <w:r w:rsidRPr="0044650A">
        <w:rPr>
          <w:rFonts w:asciiTheme="minorHAnsi" w:hAnsiTheme="minorHAnsi" w:cstheme="minorHAnsi"/>
        </w:rPr>
        <w:t>woje kompetencje prawodawcze zawarte w upoważnieniach ustawowych organy samorządu terytorialnego są obowiązane działać ściśle w granicach tych upoważnień. Nie są upoważnione ani do regulowania tego, co zostało już ustawowo uregulowane, ani też do wychodzen</w:t>
      </w:r>
      <w:r w:rsidRPr="0044650A">
        <w:rPr>
          <w:rFonts w:asciiTheme="minorHAnsi" w:hAnsiTheme="minorHAnsi" w:cstheme="minorHAnsi"/>
        </w:rPr>
        <w:t>ia poza zakres upoważnienia ustawowego</w:t>
      </w:r>
      <w:r>
        <w:rPr>
          <w:rFonts w:asciiTheme="minorHAnsi" w:hAnsiTheme="minorHAnsi" w:cstheme="minorHAnsi"/>
        </w:rPr>
        <w:t>, czy tym bardziej podejmowania działań stojących w rażącej sprzeczności z udzielonym upoważnieniem</w:t>
      </w:r>
      <w:r w:rsidRPr="0044650A">
        <w:rPr>
          <w:rFonts w:asciiTheme="minorHAnsi" w:hAnsiTheme="minorHAnsi" w:cstheme="minorHAnsi"/>
        </w:rPr>
        <w:t>.</w:t>
      </w:r>
    </w:p>
    <w:p w:rsidR="00897BA3" w:rsidRDefault="00741AA8" w:rsidP="00897BA3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033377">
        <w:rPr>
          <w:rFonts w:asciiTheme="minorHAnsi" w:hAnsiTheme="minorHAnsi" w:cstheme="minorHAnsi"/>
          <w:i/>
        </w:rPr>
        <w:t>Zgodnie z zasadą legalności (art. 7 Konstytucji RP), organy władzy publicznej działają na podstawie i w granicach pr</w:t>
      </w:r>
      <w:r w:rsidRPr="00033377">
        <w:rPr>
          <w:rFonts w:asciiTheme="minorHAnsi" w:hAnsiTheme="minorHAnsi" w:cstheme="minorHAnsi"/>
          <w:i/>
        </w:rPr>
        <w:t xml:space="preserve">awa. Rada gminy obowiązana jest, zatem przestrzegać zakresu upoważniania ustawowego udzielonego jej przez ustawę w zakresie tworzenia aktów prawa miejscowego, a w ramach udzielonej jej delegacji w tych działaniach nie może wykraczać </w:t>
      </w:r>
      <w:r>
        <w:rPr>
          <w:rFonts w:asciiTheme="minorHAnsi" w:hAnsiTheme="minorHAnsi" w:cstheme="minorHAnsi"/>
          <w:i/>
        </w:rPr>
        <w:br/>
      </w:r>
      <w:r w:rsidRPr="00033377">
        <w:rPr>
          <w:rFonts w:asciiTheme="minorHAnsi" w:hAnsiTheme="minorHAnsi" w:cstheme="minorHAnsi"/>
          <w:i/>
        </w:rPr>
        <w:t xml:space="preserve">w materie uregulowana </w:t>
      </w:r>
      <w:r w:rsidRPr="00033377">
        <w:rPr>
          <w:rFonts w:asciiTheme="minorHAnsi" w:hAnsiTheme="minorHAnsi" w:cstheme="minorHAnsi"/>
          <w:i/>
        </w:rPr>
        <w:t>ustawą. (...)</w:t>
      </w:r>
      <w:r>
        <w:rPr>
          <w:rFonts w:asciiTheme="minorHAnsi" w:hAnsiTheme="minorHAnsi" w:cstheme="minorHAnsi"/>
          <w:i/>
        </w:rPr>
        <w:t>.</w:t>
      </w:r>
      <w:r w:rsidRPr="00033377">
        <w:rPr>
          <w:rFonts w:asciiTheme="minorHAnsi" w:hAnsiTheme="minorHAnsi" w:cstheme="minorHAnsi"/>
          <w:i/>
        </w:rPr>
        <w:t>"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(wyrok Wojewódzkiego Sądu Administracyjnego</w:t>
      </w:r>
      <w:r w:rsidRPr="000333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033377">
        <w:rPr>
          <w:rFonts w:asciiTheme="minorHAnsi" w:hAnsiTheme="minorHAnsi" w:cstheme="minorHAnsi"/>
        </w:rPr>
        <w:t xml:space="preserve">w Olsztynie z dnia12 stycznia 2016 r. </w:t>
      </w:r>
      <w:r>
        <w:rPr>
          <w:rFonts w:asciiTheme="minorHAnsi" w:hAnsiTheme="minorHAnsi" w:cstheme="minorHAnsi"/>
        </w:rPr>
        <w:t xml:space="preserve">sygn. akt. </w:t>
      </w:r>
      <w:r w:rsidRPr="00033377">
        <w:rPr>
          <w:rFonts w:asciiTheme="minorHAnsi" w:hAnsiTheme="minorHAnsi" w:cstheme="minorHAnsi"/>
        </w:rPr>
        <w:t>II SA/OI 1269/15).</w:t>
      </w:r>
    </w:p>
    <w:p w:rsidR="00B90D0B" w:rsidRDefault="00741AA8" w:rsidP="00897BA3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Poza tym w § 24 ust. 4 i 5 Załącznika do kwestionowanej uchwały Rada Miejska postanowiła: </w:t>
      </w:r>
    </w:p>
    <w:p w:rsidR="00B90D0B" w:rsidRPr="00B90D0B" w:rsidRDefault="00741AA8" w:rsidP="00897BA3">
      <w:pPr>
        <w:spacing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B90D0B">
        <w:rPr>
          <w:rFonts w:asciiTheme="minorHAnsi" w:hAnsiTheme="minorHAnsi" w:cstheme="minorHAnsi"/>
          <w:i/>
        </w:rPr>
        <w:t xml:space="preserve">,,4. W terminie 7 dni od daty ogłoszenia wyników konkursu uczestnik konkursu może wnieść do burmistrza odwołanie od jego rozstrzygnięcia. </w:t>
      </w:r>
    </w:p>
    <w:p w:rsidR="00B90D0B" w:rsidRDefault="00741AA8" w:rsidP="00897BA3">
      <w:pPr>
        <w:spacing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B90D0B">
        <w:rPr>
          <w:rFonts w:asciiTheme="minorHAnsi" w:hAnsiTheme="minorHAnsi" w:cstheme="minorHAnsi"/>
          <w:i/>
        </w:rPr>
        <w:t xml:space="preserve">5. Rozpatrzenie odwołania przez burmistrza następuje w terminie 14 dni od dnia jego wniesienia i jest ostateczne”. </w:t>
      </w:r>
    </w:p>
    <w:p w:rsidR="00EC3FED" w:rsidRDefault="00741AA8" w:rsidP="00EC3FED">
      <w:pPr>
        <w:spacing w:line="360" w:lineRule="auto"/>
        <w:ind w:firstLine="708"/>
        <w:jc w:val="both"/>
      </w:pPr>
      <w:r w:rsidRPr="00E415DA">
        <w:rPr>
          <w:rFonts w:ascii="Calibri" w:hAnsi="Calibri" w:cs="Calibri"/>
          <w:color w:val="000000"/>
          <w:shd w:val="clear" w:color="auto" w:fill="FFFFFF"/>
        </w:rPr>
        <w:t>N</w:t>
      </w:r>
      <w:r w:rsidRPr="00E415DA">
        <w:rPr>
          <w:rFonts w:ascii="Calibri" w:hAnsi="Calibri" w:cs="Calibri"/>
          <w:color w:val="000000"/>
          <w:shd w:val="clear" w:color="auto" w:fill="FFFFFF"/>
        </w:rPr>
        <w:t xml:space="preserve">ależy pokreślić, że przepisy ustawy </w:t>
      </w:r>
      <w:r w:rsidRPr="00E415DA">
        <w:rPr>
          <w:rFonts w:ascii="Calibri" w:eastAsia="Calibri" w:hAnsi="Calibri" w:cs="Calibri"/>
        </w:rPr>
        <w:t xml:space="preserve">o działalności pożytku publicznego </w:t>
      </w:r>
      <w:r>
        <w:rPr>
          <w:rFonts w:ascii="Calibri" w:eastAsia="Calibri" w:hAnsi="Calibri" w:cs="Calibri"/>
        </w:rPr>
        <w:br/>
      </w:r>
      <w:r w:rsidRPr="00E415DA">
        <w:rPr>
          <w:rFonts w:ascii="Calibri" w:eastAsia="Calibri" w:hAnsi="Calibri" w:cs="Calibri"/>
        </w:rPr>
        <w:t>i o wolontariacie</w:t>
      </w:r>
      <w:r w:rsidRPr="00E415DA"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nie </w:t>
      </w:r>
      <w:r>
        <w:rPr>
          <w:rFonts w:ascii="Calibri" w:hAnsi="Calibri" w:cs="Calibri"/>
          <w:color w:val="000000"/>
          <w:shd w:val="clear" w:color="auto" w:fill="FFFFFF"/>
        </w:rPr>
        <w:t>regulują</w:t>
      </w:r>
      <w:r>
        <w:rPr>
          <w:rFonts w:ascii="Calibri" w:hAnsi="Calibri" w:cs="Calibri"/>
          <w:color w:val="000000"/>
          <w:shd w:val="clear" w:color="auto" w:fill="FFFFFF"/>
        </w:rPr>
        <w:t xml:space="preserve"> kwestii odwołania od rozstrzygnięcia konkursu ofert</w:t>
      </w:r>
      <w:r>
        <w:rPr>
          <w:rFonts w:ascii="Calibri" w:hAnsi="Calibri" w:cs="Calibri"/>
          <w:color w:val="000000"/>
          <w:shd w:val="clear" w:color="auto" w:fill="FFFFFF"/>
        </w:rPr>
        <w:t>, ani nie zawierają w tym zakresie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E415DA">
        <w:rPr>
          <w:rFonts w:ascii="Calibri" w:hAnsi="Calibri" w:cs="Calibri"/>
          <w:color w:val="000000"/>
          <w:shd w:val="clear" w:color="auto" w:fill="FFFFFF"/>
        </w:rPr>
        <w:t xml:space="preserve">odesłania do </w:t>
      </w:r>
      <w:r>
        <w:rPr>
          <w:rFonts w:ascii="Calibri" w:hAnsi="Calibri" w:cs="Calibri"/>
          <w:color w:val="000000"/>
          <w:shd w:val="clear" w:color="auto" w:fill="FFFFFF"/>
        </w:rPr>
        <w:t>jakichkolwiek przepisów</w:t>
      </w:r>
      <w:r>
        <w:rPr>
          <w:rFonts w:ascii="Calibri" w:hAnsi="Calibri" w:cs="Calibri"/>
          <w:color w:val="000000"/>
          <w:shd w:val="clear" w:color="auto" w:fill="FFFFFF"/>
        </w:rPr>
        <w:t xml:space="preserve"> odrębnych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Pr="00E415DA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</w:rPr>
        <w:t>Trzeba jednak</w:t>
      </w:r>
      <w:r w:rsidRPr="00E415DA">
        <w:rPr>
          <w:rFonts w:ascii="Calibri" w:hAnsi="Calibri" w:cs="Calibri"/>
        </w:rPr>
        <w:t xml:space="preserve"> zauważyć, że stosownie do </w:t>
      </w:r>
      <w:hyperlink r:id="rId5" w:history="1">
        <w:r w:rsidRPr="00E415DA">
          <w:rPr>
            <w:rStyle w:val="Hipercze"/>
            <w:rFonts w:ascii="Calibri" w:hAnsi="Calibri" w:cs="Calibri"/>
            <w:color w:val="auto"/>
            <w:u w:val="none"/>
          </w:rPr>
          <w:t>art. 15 ust. 2i</w:t>
        </w:r>
      </w:hyperlink>
      <w:r w:rsidRPr="00E415DA">
        <w:rPr>
          <w:rFonts w:ascii="Calibri" w:hAnsi="Calibri" w:cs="Calibri"/>
        </w:rPr>
        <w:t xml:space="preserve"> ustawy </w:t>
      </w:r>
      <w:r w:rsidRPr="00E415DA">
        <w:rPr>
          <w:rFonts w:ascii="Calibri" w:hAnsi="Calibri" w:cs="Calibri"/>
          <w:iCs/>
        </w:rPr>
        <w:t xml:space="preserve">o działalności pożytku publicznego </w:t>
      </w:r>
      <w:r>
        <w:rPr>
          <w:rFonts w:ascii="Calibri" w:hAnsi="Calibri" w:cs="Calibri"/>
          <w:iCs/>
        </w:rPr>
        <w:br/>
      </w:r>
      <w:r w:rsidRPr="00E415DA">
        <w:rPr>
          <w:rFonts w:ascii="Calibri" w:hAnsi="Calibri" w:cs="Calibri"/>
          <w:iCs/>
        </w:rPr>
        <w:t>i o wolontariacie</w:t>
      </w:r>
      <w:r>
        <w:rPr>
          <w:rFonts w:ascii="Calibri" w:hAnsi="Calibri" w:cs="Calibri"/>
        </w:rPr>
        <w:t xml:space="preserve"> </w:t>
      </w:r>
      <w:r w:rsidRPr="00E415DA">
        <w:rPr>
          <w:rFonts w:ascii="Calibri" w:hAnsi="Calibri" w:cs="Calibri"/>
        </w:rPr>
        <w:t>każdy, w terminie 30 dni od dnia ogłosze</w:t>
      </w:r>
      <w:r w:rsidRPr="00E415DA">
        <w:rPr>
          <w:rFonts w:ascii="Calibri" w:hAnsi="Calibri" w:cs="Calibri"/>
        </w:rPr>
        <w:t xml:space="preserve">nia </w:t>
      </w:r>
      <w:r>
        <w:rPr>
          <w:rFonts w:ascii="Calibri" w:hAnsi="Calibri" w:cs="Calibri"/>
        </w:rPr>
        <w:t>wyników konkursu</w:t>
      </w:r>
      <w:r w:rsidRPr="00E415D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może żądać</w:t>
      </w:r>
      <w:r w:rsidRPr="00E415DA">
        <w:rPr>
          <w:rFonts w:ascii="Calibri" w:hAnsi="Calibri" w:cs="Calibri"/>
        </w:rPr>
        <w:t xml:space="preserve"> uzasadnieni</w:t>
      </w:r>
      <w:r>
        <w:rPr>
          <w:rFonts w:ascii="Calibri" w:hAnsi="Calibri" w:cs="Calibri"/>
        </w:rPr>
        <w:t xml:space="preserve">a wyboru lub odrzucenia oferty. </w:t>
      </w:r>
      <w:r>
        <w:rPr>
          <w:rFonts w:ascii="Calibri" w:hAnsi="Calibri" w:cs="Calibri"/>
        </w:rPr>
        <w:t>W ocenie organu nadzoru, m</w:t>
      </w:r>
      <w:r>
        <w:rPr>
          <w:rFonts w:ascii="Calibri" w:hAnsi="Calibri" w:cs="Calibri"/>
        </w:rPr>
        <w:t xml:space="preserve">ożliwość wniesienia odwołania nie jest jednoznaczne z żądaniem </w:t>
      </w:r>
      <w:r>
        <w:rPr>
          <w:rFonts w:ascii="Calibri" w:hAnsi="Calibri" w:cs="Calibri"/>
        </w:rPr>
        <w:t>,,</w:t>
      </w:r>
      <w:r>
        <w:rPr>
          <w:rFonts w:ascii="Calibri" w:hAnsi="Calibri" w:cs="Calibri"/>
        </w:rPr>
        <w:t>uzasadnienia wyboru lub odrzucenia oferty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</w:rPr>
        <w:t>, bowie</w:t>
      </w:r>
      <w:r>
        <w:rPr>
          <w:rFonts w:ascii="Calibri" w:hAnsi="Calibri" w:cs="Calibri"/>
        </w:rPr>
        <w:t>m nie jest kwestią jednoznaczną</w:t>
      </w:r>
      <w:r>
        <w:rPr>
          <w:rFonts w:ascii="Calibri" w:hAnsi="Calibri" w:cs="Calibri"/>
        </w:rPr>
        <w:t>, czy Rad</w:t>
      </w:r>
      <w:r>
        <w:rPr>
          <w:rFonts w:ascii="Calibri" w:hAnsi="Calibri" w:cs="Calibri"/>
        </w:rPr>
        <w:t>a Miejska przewidziała w §</w:t>
      </w:r>
      <w:r>
        <w:rPr>
          <w:rFonts w:ascii="Calibri" w:hAnsi="Calibri" w:cs="Calibri"/>
        </w:rPr>
        <w:t xml:space="preserve"> 24 ust. 4 i 5 Załącznika </w:t>
      </w:r>
      <w:r>
        <w:rPr>
          <w:rFonts w:ascii="Calibri" w:hAnsi="Calibri" w:cs="Calibri"/>
        </w:rPr>
        <w:t>kwestionowanej uchwały ,,odwołanie” jako dodatkowy instrument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badania </w:t>
      </w:r>
      <w:r>
        <w:rPr>
          <w:rFonts w:ascii="Calibri" w:hAnsi="Calibri" w:cs="Calibri"/>
        </w:rPr>
        <w:t>zasadności decyzji Burmistrza w sprawie przyznania dotacji</w:t>
      </w:r>
      <w:r>
        <w:rPr>
          <w:rFonts w:ascii="Calibri" w:hAnsi="Calibri" w:cs="Calibri"/>
        </w:rPr>
        <w:t xml:space="preserve">, czy zapis ten jest modyfikacją przepisu </w:t>
      </w:r>
      <w:hyperlink r:id="rId6" w:history="1">
        <w:r w:rsidRPr="00E415DA">
          <w:rPr>
            <w:rStyle w:val="Hipercze"/>
            <w:rFonts w:ascii="Calibri" w:hAnsi="Calibri" w:cs="Calibri"/>
            <w:color w:val="auto"/>
            <w:u w:val="none"/>
          </w:rPr>
          <w:t>art. 15 ust. 2i</w:t>
        </w:r>
      </w:hyperlink>
      <w:r w:rsidRPr="00E415DA">
        <w:rPr>
          <w:rFonts w:ascii="Calibri" w:hAnsi="Calibri" w:cs="Calibri"/>
        </w:rPr>
        <w:t xml:space="preserve"> ustawy </w:t>
      </w:r>
      <w:r w:rsidRPr="00E415DA">
        <w:rPr>
          <w:rFonts w:ascii="Calibri" w:hAnsi="Calibri" w:cs="Calibri"/>
          <w:iCs/>
        </w:rPr>
        <w:t>o działalności pożytku publicznego i o wolontariacie</w:t>
      </w:r>
      <w:r>
        <w:rPr>
          <w:rFonts w:ascii="Calibri" w:hAnsi="Calibri" w:cs="Calibri"/>
          <w:iCs/>
        </w:rPr>
        <w:t>.</w:t>
      </w:r>
      <w:r>
        <w:t xml:space="preserve"> </w:t>
      </w:r>
    </w:p>
    <w:p w:rsidR="00EC3FED" w:rsidRDefault="00741AA8" w:rsidP="00EC3FED">
      <w:pPr>
        <w:spacing w:line="360" w:lineRule="auto"/>
        <w:ind w:firstLine="708"/>
        <w:jc w:val="both"/>
        <w:rPr>
          <w:rFonts w:ascii="Calibri" w:hAnsi="Calibri" w:cs="Calibri"/>
        </w:rPr>
      </w:pPr>
      <w:r w:rsidRPr="0044650A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44650A">
        <w:rPr>
          <w:rFonts w:asciiTheme="minorHAnsi" w:hAnsiTheme="minorHAnsi" w:cstheme="minorHAnsi"/>
          <w:bCs/>
        </w:rPr>
        <w:t xml:space="preserve">uchwały </w:t>
      </w:r>
      <w:r w:rsidRPr="0044650A">
        <w:rPr>
          <w:rFonts w:asciiTheme="minorHAnsi" w:hAnsiTheme="minorHAnsi" w:cstheme="minorHAnsi"/>
        </w:rPr>
        <w:t xml:space="preserve">Rady </w:t>
      </w:r>
      <w:r>
        <w:rPr>
          <w:rFonts w:asciiTheme="minorHAnsi" w:hAnsiTheme="minorHAnsi" w:cstheme="minorHAnsi"/>
        </w:rPr>
        <w:t>Miejskiej w Serocku</w:t>
      </w:r>
      <w:r>
        <w:rPr>
          <w:rFonts w:asciiTheme="minorHAnsi" w:hAnsiTheme="minorHAnsi" w:cstheme="minorHAnsi"/>
        </w:rPr>
        <w:t>,</w:t>
      </w:r>
      <w:r w:rsidRPr="0044650A">
        <w:rPr>
          <w:rFonts w:asciiTheme="minorHAnsi" w:hAnsiTheme="minorHAnsi" w:cstheme="minorHAnsi"/>
        </w:rPr>
        <w:t xml:space="preserve"> we wskazanej w petitum części, jest w pełni uzasadnione.</w:t>
      </w:r>
    </w:p>
    <w:p w:rsidR="00EC3FED" w:rsidRDefault="00741AA8" w:rsidP="00EC3FE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4650A">
        <w:rPr>
          <w:rFonts w:asciiTheme="minorHAnsi" w:hAnsiTheme="minorHAnsi" w:cstheme="minorHAnsi"/>
        </w:rPr>
        <w:lastRenderedPageBreak/>
        <w:t xml:space="preserve">Na niniejsze rozstrzygnięcie nadzorcze </w:t>
      </w:r>
      <w:r>
        <w:rPr>
          <w:rFonts w:asciiTheme="minorHAnsi" w:hAnsiTheme="minorHAnsi" w:cstheme="minorHAnsi"/>
        </w:rPr>
        <w:t>Miastu</w:t>
      </w:r>
      <w:r w:rsidRPr="0044650A">
        <w:rPr>
          <w:rFonts w:asciiTheme="minorHAnsi" w:hAnsiTheme="minorHAnsi" w:cstheme="minorHAnsi"/>
        </w:rPr>
        <w:t xml:space="preserve"> przysługuje skarga do Wojewódzkiego Sądu Administracyjnego w Warszawie w terminie 30 dni od daty jego doręczenia, wnoszona </w:t>
      </w:r>
      <w:r w:rsidRPr="0044650A">
        <w:rPr>
          <w:rFonts w:asciiTheme="minorHAnsi" w:hAnsiTheme="minorHAnsi" w:cstheme="minorHAnsi"/>
        </w:rPr>
        <w:br/>
        <w:t xml:space="preserve">za pośrednictwem organu, </w:t>
      </w:r>
      <w:r>
        <w:rPr>
          <w:rFonts w:asciiTheme="minorHAnsi" w:hAnsiTheme="minorHAnsi" w:cstheme="minorHAnsi"/>
        </w:rPr>
        <w:t>któ</w:t>
      </w:r>
      <w:r>
        <w:rPr>
          <w:rFonts w:asciiTheme="minorHAnsi" w:hAnsiTheme="minorHAnsi" w:cstheme="minorHAnsi"/>
        </w:rPr>
        <w:t>ry skarżone orzeczenie wydał</w:t>
      </w:r>
    </w:p>
    <w:p w:rsidR="00897BA3" w:rsidRPr="00EC3FED" w:rsidRDefault="00741AA8" w:rsidP="00EC3FED">
      <w:pPr>
        <w:spacing w:line="360" w:lineRule="auto"/>
        <w:ind w:firstLine="708"/>
        <w:jc w:val="both"/>
        <w:rPr>
          <w:rFonts w:ascii="Calibri" w:hAnsi="Calibri" w:cs="Calibri"/>
        </w:rPr>
      </w:pPr>
      <w:r w:rsidRPr="0044650A">
        <w:rPr>
          <w:rFonts w:asciiTheme="minorHAnsi" w:hAnsiTheme="minorHAnsi" w:cstheme="minorHAnsi"/>
        </w:rPr>
        <w:t>Informuję, że rozstrzygnięcie nadzorcze wstrzymuje wykonanie uchwały z mocy prawa, w części objętej orzeczeniem, z dniem jego doręczenia.</w:t>
      </w:r>
    </w:p>
    <w:p w:rsidR="00897BA3" w:rsidRPr="0044650A" w:rsidRDefault="00741AA8" w:rsidP="00897BA3">
      <w:pPr>
        <w:ind w:firstLine="708"/>
        <w:rPr>
          <w:rFonts w:asciiTheme="minorHAnsi" w:hAnsiTheme="minorHAnsi" w:cstheme="minorHAnsi"/>
        </w:rPr>
      </w:pPr>
    </w:p>
    <w:p w:rsidR="00E30CFB" w:rsidRDefault="00741AA8" w:rsidP="00E30CFB">
      <w:pPr>
        <w:pStyle w:val="Teksttreci40"/>
        <w:shd w:val="clear" w:color="auto" w:fill="auto"/>
        <w:spacing w:after="20" w:line="240" w:lineRule="auto"/>
        <w:ind w:firstLine="0"/>
        <w:jc w:val="center"/>
        <w:rPr>
          <w:b w:val="0"/>
          <w:i/>
          <w:sz w:val="24"/>
        </w:rPr>
      </w:pPr>
      <w:r>
        <w:rPr>
          <w:b w:val="0"/>
          <w:i/>
          <w:sz w:val="24"/>
        </w:rPr>
        <w:t xml:space="preserve">                                                                                       K</w:t>
      </w:r>
      <w:r>
        <w:rPr>
          <w:b w:val="0"/>
          <w:i/>
          <w:sz w:val="24"/>
        </w:rPr>
        <w:t>onstanty Radziwiłł</w:t>
      </w:r>
    </w:p>
    <w:p w:rsidR="00E30CFB" w:rsidRDefault="00741AA8" w:rsidP="00E30CFB">
      <w:pPr>
        <w:pStyle w:val="Teksttreci40"/>
        <w:shd w:val="clear" w:color="auto" w:fill="auto"/>
        <w:spacing w:after="20" w:line="240" w:lineRule="auto"/>
        <w:ind w:firstLine="0"/>
        <w:jc w:val="center"/>
        <w:rPr>
          <w:b w:val="0"/>
          <w:i/>
          <w:sz w:val="24"/>
        </w:rPr>
      </w:pPr>
      <w:r>
        <w:rPr>
          <w:b w:val="0"/>
          <w:i/>
          <w:sz w:val="24"/>
        </w:rPr>
        <w:t xml:space="preserve">                                                                                      Wojewoda Mazowiecki </w:t>
      </w:r>
    </w:p>
    <w:p w:rsidR="00897BA3" w:rsidRPr="00EA4CAF" w:rsidRDefault="00741AA8" w:rsidP="00E30C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EA4CAF">
        <w:rPr>
          <w:i/>
          <w:szCs w:val="22"/>
        </w:rPr>
        <w:t xml:space="preserve">                                                                                 /podpisano elektronicznie/</w:t>
      </w: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897BA3" w:rsidRDefault="00741AA8" w:rsidP="00897B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B51125" w:rsidRDefault="00741AA8" w:rsidP="00897BA3">
      <w:r w:rsidRPr="008543AA">
        <w:rPr>
          <w:sz w:val="21"/>
          <w:szCs w:val="21"/>
        </w:rPr>
        <w:br/>
      </w:r>
    </w:p>
    <w:sectPr w:rsidR="00B51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DB"/>
    <w:rsid w:val="00741AA8"/>
    <w:rsid w:val="00C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F8E7A-46FE-451D-A86B-AE8F95D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897BA3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897BA3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7BA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D0750D"/>
    <w:rPr>
      <w:color w:val="0000FF"/>
      <w:u w:val="single"/>
    </w:rPr>
  </w:style>
  <w:style w:type="character" w:customStyle="1" w:styleId="Teksttreci4">
    <w:name w:val="Tekst treści (4)_"/>
    <w:link w:val="Teksttreci40"/>
    <w:locked/>
    <w:rsid w:val="00E30CFB"/>
    <w:rPr>
      <w:rFonts w:ascii="Calibri" w:hAnsi="Calibri" w:cs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30CFB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="Calibri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amryg44tmltqmfyc4mzwgu4tonjtg4" TargetMode="External"/><Relationship Id="rId5" Type="http://schemas.openxmlformats.org/officeDocument/2006/relationships/hyperlink" Target="https://sip.legalis.pl/document-view.seam?documentId=mfrxilrtg4ytamryg44tmltqmfyc4mzwgu4tonjtg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Sioch-Suchecka</dc:creator>
  <cp:lastModifiedBy>Beata Darnowska</cp:lastModifiedBy>
  <cp:revision>3</cp:revision>
  <dcterms:created xsi:type="dcterms:W3CDTF">2020-11-26T09:51:00Z</dcterms:created>
  <dcterms:modified xsi:type="dcterms:W3CDTF">2020-11-26T09:53:00Z</dcterms:modified>
</cp:coreProperties>
</file>