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2C" w:rsidRDefault="002B4D2C" w:rsidP="000B4D0E">
      <w:pPr>
        <w:spacing w:before="0" w:line="300" w:lineRule="auto"/>
        <w:jc w:val="right"/>
      </w:pPr>
    </w:p>
    <w:p w:rsidR="00A54120" w:rsidRPr="00310387" w:rsidRDefault="00075659" w:rsidP="000B4D0E">
      <w:pPr>
        <w:spacing w:before="0" w:line="300" w:lineRule="auto"/>
        <w:jc w:val="right"/>
      </w:pPr>
      <w:r w:rsidRPr="00310387">
        <w:t xml:space="preserve">Warszawa, </w:t>
      </w:r>
      <w:r w:rsidR="000D35BE">
        <w:t>21</w:t>
      </w:r>
      <w:r w:rsidR="00F52AEB">
        <w:t xml:space="preserve"> listopada </w:t>
      </w:r>
      <w:r w:rsidR="001464FB">
        <w:t>2019</w:t>
      </w:r>
      <w:r w:rsidRPr="00310387">
        <w:t xml:space="preserve"> r.</w:t>
      </w:r>
    </w:p>
    <w:p w:rsidR="00FF194C" w:rsidRPr="00BC5344" w:rsidRDefault="00F52AEB" w:rsidP="000B4D0E">
      <w:pPr>
        <w:spacing w:before="0" w:line="300" w:lineRule="auto"/>
        <w:outlineLvl w:val="0"/>
        <w:rPr>
          <w:b/>
        </w:rPr>
      </w:pPr>
      <w:r>
        <w:rPr>
          <w:b/>
        </w:rPr>
        <w:t>Piotr Macioszek</w:t>
      </w:r>
    </w:p>
    <w:p w:rsidR="00BC5344" w:rsidRDefault="00F52AEB" w:rsidP="000B4D0E">
      <w:pPr>
        <w:spacing w:before="0" w:line="300" w:lineRule="auto"/>
        <w:outlineLvl w:val="0"/>
        <w:rPr>
          <w:b/>
        </w:rPr>
      </w:pPr>
      <w:r>
        <w:rPr>
          <w:b/>
        </w:rPr>
        <w:t>Wicep</w:t>
      </w:r>
      <w:r w:rsidR="00BC5344" w:rsidRPr="00BC5344">
        <w:rPr>
          <w:b/>
        </w:rPr>
        <w:t>rezes</w:t>
      </w:r>
      <w:r>
        <w:rPr>
          <w:b/>
        </w:rPr>
        <w:t xml:space="preserve"> </w:t>
      </w:r>
      <w:r w:rsidR="00BC5344" w:rsidRPr="00BC5344">
        <w:rPr>
          <w:b/>
        </w:rPr>
        <w:t>Zarządu</w:t>
      </w:r>
    </w:p>
    <w:p w:rsidR="00F52AEB" w:rsidRPr="00BC5344" w:rsidRDefault="00F52AEB" w:rsidP="000B4D0E">
      <w:pPr>
        <w:spacing w:before="0" w:line="300" w:lineRule="auto"/>
        <w:outlineLvl w:val="0"/>
        <w:rPr>
          <w:b/>
        </w:rPr>
      </w:pPr>
      <w:r>
        <w:rPr>
          <w:b/>
        </w:rPr>
        <w:t xml:space="preserve">Przewodniczący Sekcji Przewoźników Kolejowych </w:t>
      </w:r>
    </w:p>
    <w:p w:rsidR="00075659" w:rsidRPr="00BC5344" w:rsidRDefault="00075659" w:rsidP="000B4D0E">
      <w:pPr>
        <w:spacing w:before="0" w:line="300" w:lineRule="auto"/>
        <w:outlineLvl w:val="0"/>
        <w:rPr>
          <w:b/>
        </w:rPr>
      </w:pPr>
      <w:r w:rsidRPr="00BC5344">
        <w:rPr>
          <w:b/>
        </w:rPr>
        <w:t>Izby Gospodarczej Transportu Lądowego</w:t>
      </w:r>
    </w:p>
    <w:p w:rsidR="00310387" w:rsidRPr="000B4D0E" w:rsidRDefault="00310387" w:rsidP="000B4D0E">
      <w:pPr>
        <w:spacing w:before="0" w:line="300" w:lineRule="auto"/>
        <w:outlineLvl w:val="0"/>
        <w:rPr>
          <w:b/>
          <w:i/>
          <w:sz w:val="20"/>
          <w:lang w:val="en-GB"/>
        </w:rPr>
      </w:pPr>
      <w:r w:rsidRPr="000B4D0E">
        <w:rPr>
          <w:b/>
          <w:i/>
          <w:sz w:val="20"/>
          <w:lang w:val="en-GB"/>
        </w:rPr>
        <w:t>IGTL/</w:t>
      </w:r>
      <w:r w:rsidR="000D35BE" w:rsidRPr="000B4D0E">
        <w:rPr>
          <w:b/>
          <w:i/>
          <w:sz w:val="20"/>
          <w:lang w:val="en-GB"/>
        </w:rPr>
        <w:t>2/1/12/MG</w:t>
      </w:r>
      <w:r w:rsidR="001464FB" w:rsidRPr="000B4D0E">
        <w:rPr>
          <w:b/>
          <w:i/>
          <w:sz w:val="20"/>
          <w:lang w:val="en-GB"/>
        </w:rPr>
        <w:tab/>
        <w:t>/</w:t>
      </w:r>
      <w:r w:rsidR="00D11C6D" w:rsidRPr="000B4D0E">
        <w:rPr>
          <w:b/>
          <w:i/>
          <w:sz w:val="20"/>
          <w:lang w:val="en-GB"/>
        </w:rPr>
        <w:t>201</w:t>
      </w:r>
      <w:r w:rsidR="0073316E" w:rsidRPr="000B4D0E">
        <w:rPr>
          <w:b/>
          <w:i/>
          <w:sz w:val="20"/>
          <w:lang w:val="en-GB"/>
        </w:rPr>
        <w:t>9</w:t>
      </w:r>
    </w:p>
    <w:p w:rsidR="00075659" w:rsidRPr="000B4D0E" w:rsidRDefault="00075659" w:rsidP="000B4D0E">
      <w:pPr>
        <w:spacing w:before="0" w:line="300" w:lineRule="auto"/>
        <w:jc w:val="right"/>
        <w:outlineLvl w:val="0"/>
        <w:rPr>
          <w:b/>
          <w:lang w:val="en-GB"/>
        </w:rPr>
      </w:pPr>
    </w:p>
    <w:p w:rsidR="00FF194C" w:rsidRPr="000B4D0E" w:rsidRDefault="00075659" w:rsidP="000B4D0E">
      <w:pPr>
        <w:spacing w:before="0" w:line="300" w:lineRule="auto"/>
        <w:jc w:val="right"/>
        <w:outlineLvl w:val="0"/>
        <w:rPr>
          <w:b/>
          <w:lang w:val="en-GB"/>
        </w:rPr>
      </w:pPr>
      <w:r w:rsidRPr="000B4D0E">
        <w:rPr>
          <w:b/>
          <w:lang w:val="en-GB"/>
        </w:rPr>
        <w:t xml:space="preserve">Pan </w:t>
      </w:r>
      <w:r w:rsidRPr="000B4D0E">
        <w:rPr>
          <w:b/>
          <w:lang w:val="en-GB"/>
        </w:rPr>
        <w:tab/>
      </w:r>
      <w:r w:rsidRPr="000B4D0E">
        <w:rPr>
          <w:b/>
          <w:lang w:val="en-GB"/>
        </w:rPr>
        <w:tab/>
      </w:r>
      <w:r w:rsidRPr="000B4D0E">
        <w:rPr>
          <w:b/>
          <w:lang w:val="en-GB"/>
        </w:rPr>
        <w:tab/>
      </w:r>
      <w:r w:rsidRPr="000B4D0E">
        <w:rPr>
          <w:b/>
          <w:lang w:val="en-GB"/>
        </w:rPr>
        <w:tab/>
      </w:r>
      <w:r w:rsidRPr="000B4D0E">
        <w:rPr>
          <w:b/>
          <w:lang w:val="en-GB"/>
        </w:rPr>
        <w:tab/>
      </w:r>
    </w:p>
    <w:p w:rsidR="00075659" w:rsidRPr="000B4D0E" w:rsidRDefault="00F52AEB" w:rsidP="000B4D0E">
      <w:pPr>
        <w:spacing w:before="0" w:line="300" w:lineRule="auto"/>
        <w:jc w:val="right"/>
        <w:outlineLvl w:val="0"/>
        <w:rPr>
          <w:b/>
          <w:lang w:val="en-GB"/>
        </w:rPr>
      </w:pPr>
      <w:r w:rsidRPr="000B4D0E">
        <w:rPr>
          <w:b/>
          <w:lang w:val="en-GB"/>
        </w:rPr>
        <w:t xml:space="preserve">Andrzej </w:t>
      </w:r>
      <w:proofErr w:type="spellStart"/>
      <w:r w:rsidRPr="000B4D0E">
        <w:rPr>
          <w:b/>
          <w:lang w:val="en-GB"/>
        </w:rPr>
        <w:t>Bittel</w:t>
      </w:r>
      <w:proofErr w:type="spellEnd"/>
      <w:r w:rsidR="00075659" w:rsidRPr="000B4D0E">
        <w:rPr>
          <w:b/>
          <w:lang w:val="en-GB"/>
        </w:rPr>
        <w:tab/>
      </w:r>
      <w:r w:rsidR="00075659" w:rsidRPr="000B4D0E">
        <w:rPr>
          <w:b/>
          <w:lang w:val="en-GB"/>
        </w:rPr>
        <w:tab/>
      </w:r>
      <w:r w:rsidR="00075659" w:rsidRPr="000B4D0E">
        <w:rPr>
          <w:b/>
          <w:lang w:val="en-GB"/>
        </w:rPr>
        <w:tab/>
      </w:r>
    </w:p>
    <w:p w:rsidR="00075659" w:rsidRPr="00310387" w:rsidRDefault="00F52AEB" w:rsidP="000B4D0E">
      <w:pPr>
        <w:spacing w:before="0" w:line="300" w:lineRule="auto"/>
        <w:jc w:val="right"/>
        <w:outlineLvl w:val="0"/>
        <w:rPr>
          <w:b/>
        </w:rPr>
      </w:pPr>
      <w:r>
        <w:rPr>
          <w:b/>
        </w:rPr>
        <w:t>Sekretarz Stanu</w:t>
      </w:r>
      <w:r w:rsidR="00075659" w:rsidRPr="00310387">
        <w:rPr>
          <w:b/>
        </w:rPr>
        <w:tab/>
      </w:r>
      <w:r w:rsidR="00075659" w:rsidRPr="00310387">
        <w:rPr>
          <w:b/>
        </w:rPr>
        <w:tab/>
      </w:r>
      <w:r w:rsidR="00075659" w:rsidRPr="00310387">
        <w:rPr>
          <w:b/>
        </w:rPr>
        <w:tab/>
      </w:r>
    </w:p>
    <w:p w:rsidR="00075659" w:rsidRPr="00310387" w:rsidRDefault="00F52AEB" w:rsidP="000B4D0E">
      <w:pPr>
        <w:spacing w:before="0" w:line="300" w:lineRule="auto"/>
        <w:jc w:val="right"/>
        <w:outlineLvl w:val="0"/>
        <w:rPr>
          <w:b/>
        </w:rPr>
      </w:pPr>
      <w:r>
        <w:rPr>
          <w:b/>
        </w:rPr>
        <w:t xml:space="preserve">Ministerstwo Infrastruktury </w:t>
      </w:r>
      <w:r w:rsidR="00075659" w:rsidRPr="00310387">
        <w:rPr>
          <w:b/>
        </w:rPr>
        <w:tab/>
      </w:r>
    </w:p>
    <w:p w:rsidR="002B4D2C" w:rsidRDefault="002B4D2C" w:rsidP="000B4D0E">
      <w:pPr>
        <w:spacing w:line="300" w:lineRule="auto"/>
        <w:outlineLvl w:val="0"/>
        <w:rPr>
          <w:i/>
        </w:rPr>
      </w:pPr>
    </w:p>
    <w:p w:rsidR="002B4D2C" w:rsidRDefault="002B4D2C" w:rsidP="000B4D0E">
      <w:pPr>
        <w:spacing w:line="300" w:lineRule="auto"/>
        <w:outlineLvl w:val="0"/>
      </w:pPr>
      <w:r>
        <w:t xml:space="preserve">Szanowny Panie </w:t>
      </w:r>
      <w:r w:rsidR="00F52AEB">
        <w:t xml:space="preserve">Ministrze, </w:t>
      </w:r>
    </w:p>
    <w:p w:rsidR="002B4D2C" w:rsidRDefault="002B4D2C" w:rsidP="000B4D0E">
      <w:pPr>
        <w:spacing w:line="300" w:lineRule="auto"/>
        <w:outlineLvl w:val="0"/>
      </w:pPr>
    </w:p>
    <w:p w:rsidR="00310387" w:rsidRPr="002B4D2C" w:rsidRDefault="00F52AEB" w:rsidP="000B4D0E">
      <w:pPr>
        <w:spacing w:line="300" w:lineRule="auto"/>
        <w:outlineLvl w:val="0"/>
      </w:pPr>
      <w:r>
        <w:t xml:space="preserve">w odpowiedzi na pismo </w:t>
      </w:r>
      <w:r w:rsidRPr="00F52AEB">
        <w:t>DTK-4.0210.4.2019.WN.2</w:t>
      </w:r>
      <w:r>
        <w:t xml:space="preserve"> z 18 października br. przekazujące do konsultacji publicznych projekt ustawy o zmianie ustawy o transporcie kolejowym </w:t>
      </w:r>
      <w:r w:rsidR="0000153E">
        <w:t>w zakresie dotyczącym szkolenia i egzaminowania oraz prowadzenia rejestru maszynistó</w:t>
      </w:r>
      <w:r w:rsidR="00BC2AFB">
        <w:t>w</w:t>
      </w:r>
      <w:r w:rsidR="0000153E">
        <w:t xml:space="preserve"> przedstawiam poniższe stanowisko. </w:t>
      </w:r>
    </w:p>
    <w:p w:rsidR="00310387" w:rsidRDefault="0000153E" w:rsidP="000B4D0E">
      <w:pPr>
        <w:spacing w:line="300" w:lineRule="auto"/>
        <w:outlineLvl w:val="0"/>
      </w:pPr>
      <w:r>
        <w:t>Na wstępie pragnę poinformować, że Izba Gospodarcza Transportu Lądowego jest jednym z</w:t>
      </w:r>
      <w:r w:rsidR="00BA345C">
        <w:t> </w:t>
      </w:r>
      <w:r>
        <w:t>partnerów projektu „</w:t>
      </w:r>
      <w:r w:rsidR="00BA345C" w:rsidRPr="00BA345C">
        <w:t>Efektywny i innowacyjny system szkolenia oraz rozwoju zawodowego maszynistów"</w:t>
      </w:r>
      <w:r w:rsidR="00BA345C">
        <w:t>. Raport końcowy z tego projektu badawczego dostępny jest na stronie IGTL (</w:t>
      </w:r>
      <w:hyperlink r:id="rId8" w:history="1">
        <w:r w:rsidR="00BA345C" w:rsidRPr="00FF34EE">
          <w:rPr>
            <w:rStyle w:val="Hipercze"/>
          </w:rPr>
          <w:t>www.igtl.pl</w:t>
        </w:r>
      </w:hyperlink>
      <w:r w:rsidR="00BA345C">
        <w:t xml:space="preserve">) i znaleźć w nim można szereg szczegółowych danych dotyczących realnej sytuacji w zakresie dopuszczania do zawodu oraz szkolenia, a także rekomendacji odnośnie pożądanych kierunków zmian w systemie. Należy podkreślić, że wszelkie daleko idące korekty obecnych rozwiązań i obowiązujących uregulowań prawnych powinny być oparte o merytoryczną i otwartą debatę z udziałem zarówno strony pracowniczej, jak i pracodawców, w szczególności w kontekście obecnego deficytu maszynistów i prognozowanego pogłębienia się tego problemu w przyszłości. </w:t>
      </w:r>
    </w:p>
    <w:p w:rsidR="00BC2AFB" w:rsidRDefault="00614124" w:rsidP="000B4D0E">
      <w:pPr>
        <w:spacing w:line="300" w:lineRule="auto"/>
        <w:outlineLvl w:val="0"/>
      </w:pPr>
      <w:r>
        <w:t xml:space="preserve">Uprzejmie informuję, że w niniejszym stanowisku przekazujemy uwagi o charakterze generalnym, </w:t>
      </w:r>
      <w:r w:rsidR="002A7C8F">
        <w:t xml:space="preserve">a ich kierunkowe </w:t>
      </w:r>
      <w:r w:rsidR="009C3269">
        <w:t xml:space="preserve">alternatywne </w:t>
      </w:r>
      <w:r w:rsidR="002A7C8F">
        <w:t xml:space="preserve">rozpatrzenie miałoby </w:t>
      </w:r>
      <w:r w:rsidR="009C3269">
        <w:t>bardzo istotny wpływ na</w:t>
      </w:r>
      <w:r w:rsidR="004137E4">
        <w:t> </w:t>
      </w:r>
      <w:r w:rsidR="009C3269">
        <w:t xml:space="preserve">ostateczny kształt poszczególnych proponowanych zapisów. Jednocześnie </w:t>
      </w:r>
      <w:r>
        <w:t>ponawia</w:t>
      </w:r>
      <w:r w:rsidR="009C3269">
        <w:t>my</w:t>
      </w:r>
      <w:r>
        <w:t xml:space="preserve"> prośbę organizacji branżowych o </w:t>
      </w:r>
      <w:r w:rsidR="009C3269">
        <w:t xml:space="preserve">zorganizowanie </w:t>
      </w:r>
      <w:r>
        <w:t>spotkani</w:t>
      </w:r>
      <w:r w:rsidR="009C3269">
        <w:t>a</w:t>
      </w:r>
      <w:r>
        <w:t xml:space="preserve"> konsultacyjne</w:t>
      </w:r>
      <w:r w:rsidR="009C3269">
        <w:t>go</w:t>
      </w:r>
      <w:r>
        <w:t xml:space="preserve">, przekazaną pismem </w:t>
      </w:r>
      <w:r w:rsidRPr="00614124">
        <w:t>IGTL/2/2/22/MG/2019</w:t>
      </w:r>
      <w:r>
        <w:t xml:space="preserve"> z 5 października br. </w:t>
      </w:r>
    </w:p>
    <w:p w:rsidR="00A65714" w:rsidRDefault="009C3269" w:rsidP="000B4D0E">
      <w:pPr>
        <w:spacing w:line="300" w:lineRule="auto"/>
        <w:outlineLvl w:val="0"/>
      </w:pPr>
      <w:r>
        <w:t xml:space="preserve">Pierwszym obszarem zmian jest egzaminowanie maszynistów oraz przeniesienie kompetencji w tym zakresie do Prezesa Urzędu Transportu Kolejowego. </w:t>
      </w:r>
      <w:r w:rsidR="00C95ACA">
        <w:t>Po uzyskaniu opinii firm członkowskich, również w toku wcześniejszych dyskusji w ramach Izby, pragnę podkreślić, że</w:t>
      </w:r>
      <w:r w:rsidR="004137E4">
        <w:t> </w:t>
      </w:r>
      <w:r w:rsidR="00C95ACA">
        <w:t>istnieją poważne wątpliwości pracodawców prowadzących działalność przewozową odnośnie przeprowadzania egzaminu na świadectwo maszynisty przez UTK. Szkolenie i</w:t>
      </w:r>
      <w:r w:rsidR="00A65714">
        <w:t> </w:t>
      </w:r>
      <w:r w:rsidR="00C95ACA">
        <w:t>egzamin na licencję maszynisty mają charakter podstawowy i uniwersalny, a</w:t>
      </w:r>
      <w:r w:rsidR="004137E4">
        <w:t> </w:t>
      </w:r>
      <w:r w:rsidR="00C95ACA">
        <w:t>ich</w:t>
      </w:r>
      <w:r w:rsidR="004137E4">
        <w:t> </w:t>
      </w:r>
      <w:r w:rsidR="00C95ACA">
        <w:t xml:space="preserve">przekształcenie w kierunku egzaminu państwowego jest kierunkiem akceptowanym przez pracodawców i może przynieść korzyści z punktu widzenia pracowników. </w:t>
      </w:r>
    </w:p>
    <w:p w:rsidR="004137E4" w:rsidRDefault="00DD56FF" w:rsidP="000B4D0E">
      <w:pPr>
        <w:spacing w:line="300" w:lineRule="auto"/>
        <w:outlineLvl w:val="0"/>
      </w:pPr>
      <w:r>
        <w:t>Wątpliwości i obawy w zakresie egzaminu na świadect</w:t>
      </w:r>
      <w:r w:rsidR="00246B76">
        <w:t>w</w:t>
      </w:r>
      <w:r>
        <w:t>o maszynisty dotyczą</w:t>
      </w:r>
      <w:r w:rsidR="00A65714">
        <w:t xml:space="preserve"> następujących zagadnień</w:t>
      </w:r>
      <w:r>
        <w:t>:</w:t>
      </w:r>
    </w:p>
    <w:p w:rsidR="00DD56FF" w:rsidRDefault="00246B76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Wysoki koszt przeprowadzenia egzaminu</w:t>
      </w:r>
      <w:r w:rsidR="00A65714">
        <w:t>;</w:t>
      </w:r>
    </w:p>
    <w:p w:rsidR="00246B76" w:rsidRDefault="00246B76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Brak określenia maksymalnego czasu na przeprowadzeni</w:t>
      </w:r>
      <w:r w:rsidR="00A33BA7">
        <w:t>e</w:t>
      </w:r>
      <w:r>
        <w:t xml:space="preserve"> egzaminu</w:t>
      </w:r>
      <w:r w:rsidR="00A65714">
        <w:t>;</w:t>
      </w:r>
    </w:p>
    <w:p w:rsidR="0024262A" w:rsidRDefault="00246B76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Brak oceny skutków finansowych dla rynku</w:t>
      </w:r>
      <w:r w:rsidR="00A65714">
        <w:t>;</w:t>
      </w:r>
      <w:r w:rsidR="0024262A">
        <w:t xml:space="preserve"> </w:t>
      </w:r>
    </w:p>
    <w:p w:rsidR="0024262A" w:rsidRDefault="00246B76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Egzaminy będą dotyczyły kandydatów na maszynistów zatrudnionych u różnych przewoźników</w:t>
      </w:r>
      <w:r w:rsidR="00A65714">
        <w:t>,</w:t>
      </w:r>
      <w:r>
        <w:t xml:space="preserve"> u których obowiązują indywidualnie opracowane systemy bezpieczeństwa, instrukcje wewnętrzne, procesy i procedury –</w:t>
      </w:r>
      <w:r w:rsidR="00A65714">
        <w:t xml:space="preserve"> </w:t>
      </w:r>
      <w:r>
        <w:t xml:space="preserve">zarówno w projekcie jak i w uzasadnieniu nie odniesiono się do tego zagadnienia. </w:t>
      </w:r>
      <w:r w:rsidR="00A65714">
        <w:t>Wziąwszy pod uwagę fakt funkcjonowania na polskim rynku</w:t>
      </w:r>
      <w:r>
        <w:t xml:space="preserve"> </w:t>
      </w:r>
      <w:r w:rsidR="00A65714">
        <w:t xml:space="preserve">kilkudziesięciu </w:t>
      </w:r>
      <w:r>
        <w:t>przewoźników</w:t>
      </w:r>
      <w:r w:rsidR="00A65714">
        <w:t>,</w:t>
      </w:r>
      <w:r>
        <w:t xml:space="preserve"> jest to naszym zdaniem zagadnienie </w:t>
      </w:r>
      <w:r w:rsidR="00551BE3">
        <w:t>podstawowe.</w:t>
      </w:r>
      <w:r>
        <w:t xml:space="preserve"> Dotychczasowy egzamin</w:t>
      </w:r>
      <w:r w:rsidR="00A65714">
        <w:t>,</w:t>
      </w:r>
      <w:r>
        <w:t xml:space="preserve"> oprócz zunifikowanej wiedzy podstawowej</w:t>
      </w:r>
      <w:r w:rsidR="00A65714">
        <w:t>,</w:t>
      </w:r>
      <w:r>
        <w:t xml:space="preserve"> obejm</w:t>
      </w:r>
      <w:r w:rsidR="00A65714">
        <w:t>uje</w:t>
      </w:r>
      <w:r>
        <w:t xml:space="preserve"> także szczegółowe regulacje przewoźnika. Takie rozwiązanie </w:t>
      </w:r>
      <w:r w:rsidR="00A65714">
        <w:t>jest</w:t>
      </w:r>
      <w:r>
        <w:t xml:space="preserve"> zgodne z przepisami i dyrektywami UE. Św</w:t>
      </w:r>
      <w:r w:rsidR="0024262A">
        <w:t>i</w:t>
      </w:r>
      <w:r>
        <w:t>adectwo maszynisty wyda</w:t>
      </w:r>
      <w:r w:rsidR="00A65714">
        <w:t>je</w:t>
      </w:r>
      <w:r>
        <w:t xml:space="preserve"> pracodawca</w:t>
      </w:r>
      <w:r w:rsidR="00A65714">
        <w:t>,</w:t>
      </w:r>
      <w:r>
        <w:t xml:space="preserve"> a zmiana pracodawcy wymaga przeprowadzenia sprawdzianu wiedzy i</w:t>
      </w:r>
      <w:r w:rsidR="00C66124">
        <w:t> </w:t>
      </w:r>
      <w:r>
        <w:t xml:space="preserve">kompetencji. </w:t>
      </w:r>
      <w:r w:rsidR="00C66124">
        <w:t>Z przedłożonych dokumentów nie można w sposób jednoznaczny rozstrzygnąć, j</w:t>
      </w:r>
      <w:r>
        <w:t>ak te zagadnienia mają być uregulowane</w:t>
      </w:r>
      <w:r w:rsidR="00A33BA7">
        <w:t>;</w:t>
      </w:r>
    </w:p>
    <w:p w:rsidR="00850FE8" w:rsidRDefault="00F22B93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 xml:space="preserve">Egzamin w proponowanej </w:t>
      </w:r>
      <w:r w:rsidR="0024262A">
        <w:t>form</w:t>
      </w:r>
      <w:r>
        <w:t>ie</w:t>
      </w:r>
      <w:r w:rsidR="0024262A">
        <w:t xml:space="preserve"> </w:t>
      </w:r>
      <w:r>
        <w:t xml:space="preserve"> zostanie rozszerzony </w:t>
      </w:r>
      <w:r w:rsidR="0024262A">
        <w:t xml:space="preserve">z </w:t>
      </w:r>
      <w:r>
        <w:t xml:space="preserve">obecnie </w:t>
      </w:r>
      <w:r w:rsidR="0024262A">
        <w:t xml:space="preserve">dwuczęściowego (teoretyczny w formie testów i praktyczny </w:t>
      </w:r>
      <w:r w:rsidR="0012438B">
        <w:t>w</w:t>
      </w:r>
      <w:r w:rsidR="0024262A">
        <w:t xml:space="preserve"> pojeździe) do czteroszczeblowego</w:t>
      </w:r>
      <w:r>
        <w:t>, tj.</w:t>
      </w:r>
      <w:r w:rsidR="00850FE8">
        <w:t>:</w:t>
      </w:r>
    </w:p>
    <w:p w:rsidR="00850FE8" w:rsidRDefault="00850FE8" w:rsidP="000B4D0E">
      <w:pPr>
        <w:pStyle w:val="Akapitzlist"/>
        <w:numPr>
          <w:ilvl w:val="2"/>
          <w:numId w:val="15"/>
        </w:numPr>
        <w:spacing w:line="300" w:lineRule="auto"/>
        <w:ind w:left="1134" w:hanging="605"/>
        <w:contextualSpacing w:val="0"/>
        <w:outlineLvl w:val="0"/>
      </w:pPr>
      <w:r>
        <w:t>Egzamin wewnętrzny dopuszczający do egzaminu państwowego (jedno czy dwuczęściowy ?)</w:t>
      </w:r>
    </w:p>
    <w:p w:rsidR="00850FE8" w:rsidRDefault="00850FE8" w:rsidP="000B4D0E">
      <w:pPr>
        <w:pStyle w:val="Akapitzlist"/>
        <w:numPr>
          <w:ilvl w:val="2"/>
          <w:numId w:val="15"/>
        </w:numPr>
        <w:spacing w:line="300" w:lineRule="auto"/>
        <w:ind w:left="1134" w:hanging="605"/>
        <w:contextualSpacing w:val="0"/>
        <w:outlineLvl w:val="0"/>
      </w:pPr>
      <w:r>
        <w:t>Egzamin państwowy – teoretyczny</w:t>
      </w:r>
    </w:p>
    <w:p w:rsidR="00850FE8" w:rsidRDefault="00850FE8" w:rsidP="000B4D0E">
      <w:pPr>
        <w:pStyle w:val="Akapitzlist"/>
        <w:numPr>
          <w:ilvl w:val="2"/>
          <w:numId w:val="15"/>
        </w:numPr>
        <w:spacing w:line="300" w:lineRule="auto"/>
        <w:ind w:left="1134" w:hanging="605"/>
        <w:contextualSpacing w:val="0"/>
        <w:outlineLvl w:val="0"/>
      </w:pPr>
      <w:r>
        <w:t>Egzamin państwowy na symulatorze (</w:t>
      </w:r>
      <w:r w:rsidR="00F22B93">
        <w:t xml:space="preserve">nie jest jasne, czy należy go traktować jako sprawdzian </w:t>
      </w:r>
      <w:r>
        <w:t>teor</w:t>
      </w:r>
      <w:r w:rsidR="00F22B93">
        <w:t>etyczny</w:t>
      </w:r>
      <w:r>
        <w:t xml:space="preserve"> czy prakty</w:t>
      </w:r>
      <w:r w:rsidR="00F22B93">
        <w:t>czny</w:t>
      </w:r>
      <w:r>
        <w:t>)</w:t>
      </w:r>
    </w:p>
    <w:p w:rsidR="00850FE8" w:rsidRDefault="00850FE8" w:rsidP="000B4D0E">
      <w:pPr>
        <w:pStyle w:val="Akapitzlist"/>
        <w:numPr>
          <w:ilvl w:val="2"/>
          <w:numId w:val="15"/>
        </w:numPr>
        <w:spacing w:line="300" w:lineRule="auto"/>
        <w:ind w:left="1134" w:hanging="605"/>
        <w:contextualSpacing w:val="0"/>
        <w:outlineLvl w:val="0"/>
      </w:pPr>
      <w:r>
        <w:t>Egzamin praktyczny na pojeździe – państwowy ale z udziałem egzaminatorów z egzaminów wewnętrznych</w:t>
      </w:r>
    </w:p>
    <w:p w:rsidR="0024262A" w:rsidRDefault="00850FE8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Brak określenia czy całość jest traktowana jako jeden egzamin i negatywny wynik egzaminu praktycznego powoduje powtórzenie całego procesu, ile egzaminów poprawkowych jest dopuszczalnych?</w:t>
      </w:r>
      <w:r w:rsidR="00551BE3">
        <w:t xml:space="preserve"> </w:t>
      </w:r>
    </w:p>
    <w:p w:rsidR="003C604B" w:rsidRDefault="0024262A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Wp</w:t>
      </w:r>
      <w:r w:rsidR="003C604B" w:rsidRPr="00CC6158">
        <w:t>rowadzany jest problematyczny podział odpowiedzialności podmiotowej</w:t>
      </w:r>
      <w:r w:rsidR="003C604B">
        <w:t>, tj.</w:t>
      </w:r>
      <w:r w:rsidR="003C604B" w:rsidRPr="00CC6158">
        <w:t xml:space="preserve"> jeżeli maszynista spowoduje wypadek wskutek niedostatecznego wyszkolenia, a będzie miał zdany egzamin UTK na świadectwo, kto w</w:t>
      </w:r>
      <w:r w:rsidR="003C604B">
        <w:t> </w:t>
      </w:r>
      <w:r w:rsidR="003C604B" w:rsidRPr="00CC6158">
        <w:t>takim przypadku jest odpowiedzialny za niewłaściwe wyszkolenie maszynisty?</w:t>
      </w:r>
    </w:p>
    <w:p w:rsidR="003C604B" w:rsidRDefault="003C604B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W świetle powyższego brak</w:t>
      </w:r>
      <w:r w:rsidR="005249CC">
        <w:t xml:space="preserve"> przeprowadzenia dogłębnej analizy prawnej w zakresie funkcjonowania egzaminów w zmienionej formie na jednolitym europejskim obszarze kolejowym w systemie prawa europejskiego. W szczególności </w:t>
      </w:r>
      <w:r w:rsidR="00CC6158">
        <w:t>ważne jest zagadnienie wzajemnego uznawania nadawanych uprawnień w przypadku wprowadzenia proponowanych zmian w systemie</w:t>
      </w:r>
    </w:p>
    <w:p w:rsidR="00776F31" w:rsidRDefault="00A17992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 xml:space="preserve"> </w:t>
      </w:r>
      <w:r w:rsidR="003C604B">
        <w:t>W uzasadnieniu opisany jest zamiar przejęcia przez prezesa UTK także sprawdzenia wiedzy i kompetencji maszynistów z obszaru UE</w:t>
      </w:r>
      <w:r w:rsidR="00776F31">
        <w:t xml:space="preserve"> w przypadku rozszerzania ich świadectw na</w:t>
      </w:r>
      <w:r w:rsidR="00A33BA7">
        <w:t> </w:t>
      </w:r>
      <w:r w:rsidR="00776F31">
        <w:t xml:space="preserve">obszar polskiej infrastruktury – w naszym odczuciu jest to sprzeczne z prawem unijnym. </w:t>
      </w:r>
    </w:p>
    <w:p w:rsidR="003C604B" w:rsidRDefault="00776F31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Proponowane zmiany mają wpływ na treść</w:t>
      </w:r>
      <w:r w:rsidRPr="000B4D0E">
        <w:t xml:space="preserve"> </w:t>
      </w:r>
      <w:r>
        <w:t xml:space="preserve">rozporządzenia </w:t>
      </w:r>
      <w:proofErr w:type="spellStart"/>
      <w:r>
        <w:t>MIiR</w:t>
      </w:r>
      <w:proofErr w:type="spellEnd"/>
      <w:r>
        <w:t xml:space="preserve"> z dnia 10 lut</w:t>
      </w:r>
      <w:r w:rsidR="00A33BA7">
        <w:t>ego</w:t>
      </w:r>
      <w:r>
        <w:t xml:space="preserve"> 2014 w </w:t>
      </w:r>
      <w:r w:rsidRPr="000B4D0E">
        <w:t>sprawie świadectwa masz</w:t>
      </w:r>
      <w:r>
        <w:t>ynisty i w sprawie licencji</w:t>
      </w:r>
      <w:r w:rsidR="00A33BA7">
        <w:t>. B</w:t>
      </w:r>
      <w:r>
        <w:t xml:space="preserve">rak </w:t>
      </w:r>
      <w:r w:rsidR="00A33BA7">
        <w:t>jednoczesnego przedłożeni</w:t>
      </w:r>
      <w:r w:rsidR="00A51C81">
        <w:t>a</w:t>
      </w:r>
      <w:r w:rsidR="00A33BA7">
        <w:t xml:space="preserve"> </w:t>
      </w:r>
      <w:r>
        <w:t xml:space="preserve">propozycji tych zmian może mieć istotny wpływ na ocenę proponowanych </w:t>
      </w:r>
      <w:r w:rsidR="00A33BA7">
        <w:t>rozwiązań</w:t>
      </w:r>
      <w:r>
        <w:t>.</w:t>
      </w:r>
    </w:p>
    <w:p w:rsidR="006C3F76" w:rsidRDefault="006C3F76" w:rsidP="000B4D0E">
      <w:pPr>
        <w:pStyle w:val="Akapitzlist"/>
        <w:numPr>
          <w:ilvl w:val="0"/>
          <w:numId w:val="12"/>
        </w:numPr>
        <w:spacing w:line="300" w:lineRule="auto"/>
        <w:ind w:left="0" w:firstLine="0"/>
        <w:contextualSpacing w:val="0"/>
        <w:outlineLvl w:val="0"/>
      </w:pPr>
      <w:r>
        <w:t>Brak regulacji w zakresie okresu przejściowego.</w:t>
      </w:r>
    </w:p>
    <w:p w:rsidR="003C604B" w:rsidRDefault="003C604B" w:rsidP="000B4D0E">
      <w:pPr>
        <w:pStyle w:val="Akapitzlist"/>
        <w:spacing w:line="300" w:lineRule="auto"/>
        <w:outlineLvl w:val="0"/>
      </w:pPr>
    </w:p>
    <w:p w:rsidR="006C3F76" w:rsidRDefault="00CC6158" w:rsidP="000B4D0E">
      <w:pPr>
        <w:spacing w:line="300" w:lineRule="auto"/>
        <w:outlineLvl w:val="0"/>
      </w:pPr>
      <w:r>
        <w:t>W odniesieniu do proponowanego prowadzenia przez Prezesa UTK k</w:t>
      </w:r>
      <w:r w:rsidRPr="00CC6158">
        <w:t>rajow</w:t>
      </w:r>
      <w:r>
        <w:t>ego</w:t>
      </w:r>
      <w:r w:rsidRPr="00CC6158">
        <w:t xml:space="preserve"> rejestr</w:t>
      </w:r>
      <w:r>
        <w:t>u</w:t>
      </w:r>
      <w:r w:rsidRPr="00CC6158">
        <w:t xml:space="preserve"> elektroniczn</w:t>
      </w:r>
      <w:r>
        <w:t>ego</w:t>
      </w:r>
      <w:r w:rsidRPr="00CC6158">
        <w:t xml:space="preserve"> maszynistów i prowadzących pojazdy kolejowe</w:t>
      </w:r>
      <w:r>
        <w:t xml:space="preserve"> zwracamy uwagę, że po raz kolejny rozważa się nałożenie na przewoźników dodatkowych obciążeń formalno – administracyjnych bez rzetelnego oszacowania kosztów i korzyści nowych rozwiązań. Jest to działanie, które w sposób negatywny wpłynie na konkurencyjność transportu kolejowego, co ufamy nie jest założeniem projektodawcy. </w:t>
      </w:r>
      <w:r w:rsidR="00C6186F">
        <w:t xml:space="preserve">Nie są prawdziwe stwierdzenia z uzasadnienia projektu, że obciążenia po stronie pracodawców nie ulegną znaczącemu zwiększeniu wobec obecnych obowiązków. </w:t>
      </w:r>
      <w:r>
        <w:t xml:space="preserve">Nie ulega wątpliwości, że prowadzenie rejestru elektronicznego wymagać będzie stworzenia aplikacji </w:t>
      </w:r>
      <w:r w:rsidR="00A17992">
        <w:t>działających on-line posiadających interfejsy zgodne z</w:t>
      </w:r>
      <w:r w:rsidR="008F06A9">
        <w:t> </w:t>
      </w:r>
      <w:r w:rsidR="00A17992">
        <w:t>systemem UTK oraz systemami kadrowymi i operacyjnymi poszczególnych pracodawców. Wziąwszy powyższe pod uwagę konieczne jest wyliczenie realnych kosztów operacji i</w:t>
      </w:r>
      <w:r w:rsidR="008F06A9">
        <w:t> </w:t>
      </w:r>
      <w:r w:rsidR="00A17992">
        <w:t>możliwości wdrożenia przez przedsiębiorców z bardzo wnikliwym zbadaniem wszystkich kwestii, takich jak m.in. zgodność z rozporządzeniem RODO.</w:t>
      </w:r>
    </w:p>
    <w:p w:rsidR="00CC6158" w:rsidRDefault="006C3F76" w:rsidP="000B4D0E">
      <w:pPr>
        <w:spacing w:line="300" w:lineRule="auto"/>
        <w:outlineLvl w:val="0"/>
      </w:pPr>
      <w:r>
        <w:t xml:space="preserve">Brak </w:t>
      </w:r>
      <w:r w:rsidR="001C6595">
        <w:t xml:space="preserve">jest </w:t>
      </w:r>
      <w:r>
        <w:t>także szczegółowej koncepcji w zakresie praktycznej obsługi systemu</w:t>
      </w:r>
      <w:r w:rsidR="00A17992">
        <w:t xml:space="preserve"> </w:t>
      </w:r>
      <w:r>
        <w:t xml:space="preserve">oraz zakresu odpowiedzialności za naruszenia norm pracy. </w:t>
      </w:r>
    </w:p>
    <w:p w:rsidR="00A17992" w:rsidRDefault="00A17992" w:rsidP="000B4D0E">
      <w:pPr>
        <w:spacing w:line="300" w:lineRule="auto"/>
        <w:outlineLvl w:val="0"/>
      </w:pPr>
      <w:r>
        <w:t xml:space="preserve">Naszym zdaniem wprowadzanie takiego rozwiązania wymaga doprecyzowania, kto będzie zobowiązany do pokrycia dodatkowych kosztów, jakie pojawią się w systemie kolejowym. Ponadto termin wejścia w życie nowych obowiązków jest w naszej opinii nierealny, w sytuacji kiedy nie są nawet określone (prawdopodobnie na poziomie rozporządzenia) wymagania dotyczące aplikacji. </w:t>
      </w:r>
    </w:p>
    <w:p w:rsidR="006C3F76" w:rsidRDefault="006C3F76" w:rsidP="000B4D0E">
      <w:pPr>
        <w:spacing w:line="300" w:lineRule="auto"/>
        <w:outlineLvl w:val="0"/>
      </w:pPr>
      <w:r>
        <w:t xml:space="preserve">Jesteśmy także przeciwnikami zniesienia obowiązku składania oświadczeń informujących pracodawcę o podjęciu pracy u drugiego pracodawcy. </w:t>
      </w:r>
    </w:p>
    <w:p w:rsidR="008F06A9" w:rsidRDefault="008F06A9" w:rsidP="000B4D0E">
      <w:pPr>
        <w:spacing w:line="300" w:lineRule="auto"/>
        <w:outlineLvl w:val="0"/>
      </w:pPr>
      <w:r>
        <w:t xml:space="preserve">Zwracam się z uprzejmą prośbą o uwzględnienie powyższych uwag w toku dalszych prac legislacyjnych oraz wyrażam nadzieję na pozytywne rozpatrzenie prośby organizacji branżowych o przeprowadzenie pogłębionej debaty przed wprowadzeniem zmian w prawie. </w:t>
      </w:r>
      <w:r w:rsidR="000D35BE">
        <w:t>Jednocześnie, deklaruję, że w przypadku organizacji spotkania, o którym mowa powyżej i informacji o stanowisku projektodawcy w odniesieniu do uwag generalnych</w:t>
      </w:r>
      <w:r w:rsidR="00150DE6">
        <w:t xml:space="preserve">, </w:t>
      </w:r>
      <w:r w:rsidR="000D35BE">
        <w:t>przed proponowanym spotkaniem przekażemy szczegółowe propozycje dot. poszczególnych zapisów</w:t>
      </w:r>
      <w:r w:rsidR="00150DE6">
        <w:t>.</w:t>
      </w:r>
      <w:r w:rsidR="000D35BE">
        <w:t xml:space="preserve">  </w:t>
      </w:r>
    </w:p>
    <w:p w:rsidR="008F06A9" w:rsidRDefault="008F06A9" w:rsidP="000B4D0E">
      <w:pPr>
        <w:spacing w:line="300" w:lineRule="auto"/>
        <w:outlineLvl w:val="0"/>
      </w:pPr>
    </w:p>
    <w:p w:rsidR="008F06A9" w:rsidRPr="00310387" w:rsidRDefault="008F06A9" w:rsidP="000B4D0E">
      <w:pPr>
        <w:spacing w:line="300" w:lineRule="auto"/>
        <w:outlineLvl w:val="0"/>
      </w:pPr>
      <w:r>
        <w:t xml:space="preserve"> </w:t>
      </w:r>
    </w:p>
    <w:p w:rsidR="002B4D2C" w:rsidRPr="002B4D2C" w:rsidRDefault="002B4D2C" w:rsidP="000B4D0E">
      <w:pPr>
        <w:spacing w:line="300" w:lineRule="auto"/>
        <w:jc w:val="right"/>
        <w:outlineLvl w:val="0"/>
      </w:pPr>
      <w:r>
        <w:t xml:space="preserve">Z </w:t>
      </w:r>
      <w:r w:rsidR="008A444C">
        <w:t>szacunkiem</w:t>
      </w:r>
      <w:r>
        <w:t xml:space="preserve"> </w:t>
      </w:r>
      <w:r>
        <w:tab/>
      </w:r>
      <w:r w:rsidR="008F06A9">
        <w:tab/>
      </w:r>
      <w:r w:rsidR="008F06A9">
        <w:tab/>
      </w:r>
      <w:r w:rsidR="008F06A9">
        <w:tab/>
      </w:r>
    </w:p>
    <w:p w:rsidR="00757CB2" w:rsidRPr="00310387" w:rsidRDefault="00150DE6">
      <w:pPr>
        <w:jc w:val="right"/>
        <w:outlineLvl w:val="0"/>
        <w:rPr>
          <w:i/>
        </w:rPr>
      </w:pPr>
      <w:bookmarkStart w:id="0" w:name="_GoBack"/>
      <w:bookmarkEnd w:id="0"/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sectPr w:rsidR="00757CB2" w:rsidRPr="00310387" w:rsidSect="00011EC2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455" w:rsidRDefault="00063455">
      <w:r>
        <w:separator/>
      </w:r>
    </w:p>
  </w:endnote>
  <w:endnote w:type="continuationSeparator" w:id="0">
    <w:p w:rsidR="00063455" w:rsidRDefault="0006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B Office">
    <w:altName w:val="Arial"/>
    <w:charset w:val="EE"/>
    <w:family w:val="swiss"/>
    <w:pitch w:val="variable"/>
    <w:sig w:usb0="A00000AF" w:usb1="1000204B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414" w:rsidRDefault="004E3D32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229.35pt;margin-top:-15.65pt;width:56.7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" stroked="f">
          <v:textbox>
            <w:txbxContent>
              <w:p w:rsidR="002776B4" w:rsidRDefault="004E3D32" w:rsidP="00011573">
                <w:pPr>
                  <w:jc w:val="center"/>
                </w:pPr>
                <w:r>
                  <w:fldChar w:fldCharType="begin"/>
                </w:r>
                <w:r w:rsidR="005A10E8">
                  <w:instrText xml:space="preserve"> PAGE   \* MERGEFORMAT </w:instrText>
                </w:r>
                <w:r>
                  <w:fldChar w:fldCharType="separate"/>
                </w:r>
                <w:r w:rsidR="00C26128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D7" w:rsidRPr="001164D7" w:rsidRDefault="001164D7" w:rsidP="001164D7">
    <w:pPr>
      <w:pStyle w:val="Stopka"/>
      <w:spacing w:before="0" w:line="240" w:lineRule="auto"/>
      <w:rPr>
        <w:rFonts w:ascii="Arial" w:hAnsi="Arial" w:cs="Arial"/>
        <w:color w:val="004895"/>
        <w:sz w:val="16"/>
      </w:rPr>
    </w:pPr>
    <w:r w:rsidRPr="001164D7">
      <w:rPr>
        <w:rFonts w:ascii="Arial" w:hAnsi="Arial" w:cs="Arial"/>
        <w:color w:val="004895"/>
        <w:sz w:val="16"/>
      </w:rPr>
      <w:t>Izba Gospodarcza Transportu Lądowego, Al. Jerozolimskie 125/127, lok. 606, 02-017 Warszawa</w:t>
    </w:r>
  </w:p>
  <w:p w:rsidR="001164D7" w:rsidRPr="001164D7" w:rsidRDefault="001164D7" w:rsidP="001164D7">
    <w:pPr>
      <w:pStyle w:val="Stopka"/>
      <w:spacing w:before="0" w:line="240" w:lineRule="auto"/>
      <w:rPr>
        <w:rFonts w:ascii="Arial" w:hAnsi="Arial" w:cs="Arial"/>
        <w:color w:val="004895"/>
        <w:sz w:val="16"/>
      </w:rPr>
    </w:pPr>
    <w:r w:rsidRPr="001164D7">
      <w:rPr>
        <w:rFonts w:ascii="Arial" w:hAnsi="Arial" w:cs="Arial"/>
        <w:color w:val="004895"/>
        <w:sz w:val="16"/>
      </w:rPr>
      <w:t xml:space="preserve">Tel. +48 22 654 09 42; e-mail: igtl@igtl.pl; </w:t>
    </w:r>
    <w:hyperlink r:id="rId1" w:history="1">
      <w:r w:rsidRPr="001164D7">
        <w:rPr>
          <w:rStyle w:val="Hipercze"/>
          <w:rFonts w:ascii="Arial" w:hAnsi="Arial" w:cs="Arial"/>
          <w:sz w:val="16"/>
        </w:rPr>
        <w:t>www.igtl.pl</w:t>
      </w:r>
    </w:hyperlink>
    <w:r w:rsidRPr="001164D7">
      <w:rPr>
        <w:rFonts w:ascii="Arial" w:hAnsi="Arial" w:cs="Arial"/>
        <w:color w:val="004895"/>
        <w:sz w:val="16"/>
      </w:rPr>
      <w:t xml:space="preserve">; </w:t>
    </w:r>
    <w:proofErr w:type="spellStart"/>
    <w:r w:rsidRPr="001164D7">
      <w:rPr>
        <w:rFonts w:ascii="Arial" w:hAnsi="Arial" w:cs="Arial"/>
        <w:color w:val="004895"/>
        <w:sz w:val="16"/>
      </w:rPr>
      <w:t>Fb\igtl.kolej</w:t>
    </w:r>
    <w:proofErr w:type="spellEnd"/>
  </w:p>
  <w:p w:rsidR="001164D7" w:rsidRPr="001164D7" w:rsidRDefault="001164D7" w:rsidP="001164D7">
    <w:pPr>
      <w:pStyle w:val="Stopka"/>
      <w:spacing w:before="0" w:line="240" w:lineRule="auto"/>
      <w:rPr>
        <w:rFonts w:ascii="Arial" w:hAnsi="Arial" w:cs="Arial"/>
        <w:color w:val="004895"/>
        <w:sz w:val="16"/>
      </w:rPr>
    </w:pPr>
    <w:r w:rsidRPr="001164D7">
      <w:rPr>
        <w:rFonts w:ascii="Arial" w:hAnsi="Arial" w:cs="Arial"/>
        <w:color w:val="004895"/>
        <w:sz w:val="16"/>
      </w:rPr>
      <w:t>NIP: 527-10-49-972; REGON: 011 594 198; KRS: 0000 130 913 Sąd Rejonowy dla M. St. Warszawy, XII Wydz. Gospodarczy</w:t>
    </w:r>
  </w:p>
  <w:p w:rsidR="002776B4" w:rsidRPr="001164D7" w:rsidRDefault="001164D7" w:rsidP="001164D7">
    <w:pPr>
      <w:pStyle w:val="Stopka"/>
      <w:spacing w:before="0" w:line="240" w:lineRule="auto"/>
      <w:rPr>
        <w:rFonts w:ascii="Arial" w:hAnsi="Arial" w:cs="Arial"/>
        <w:sz w:val="22"/>
      </w:rPr>
    </w:pPr>
    <w:r w:rsidRPr="001164D7">
      <w:rPr>
        <w:rFonts w:ascii="Arial" w:hAnsi="Arial" w:cs="Arial"/>
        <w:color w:val="004895"/>
        <w:sz w:val="16"/>
      </w:rPr>
      <w:t>Bank Pekao SA: 92 1240 1037 1111 0000 0693 2684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455" w:rsidRDefault="00063455">
      <w:r>
        <w:separator/>
      </w:r>
    </w:p>
  </w:footnote>
  <w:footnote w:type="continuationSeparator" w:id="0">
    <w:p w:rsidR="00063455" w:rsidRDefault="00063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C8" w:rsidRDefault="009849C8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18" w:space="0" w:color="2E74B5" w:themeColor="accent1" w:themeShade="BF"/>
        <w:insideH w:val="none" w:sz="0" w:space="0" w:color="auto"/>
        <w:insideV w:val="single" w:sz="18" w:space="0" w:color="2E74B5" w:themeColor="accent1" w:themeShade="BF"/>
      </w:tblBorders>
      <w:tblLook w:val="04A0"/>
    </w:tblPr>
    <w:tblGrid>
      <w:gridCol w:w="1843"/>
      <w:gridCol w:w="2410"/>
      <w:gridCol w:w="2551"/>
    </w:tblGrid>
    <w:tr w:rsidR="00094D47" w:rsidRPr="006C0E77" w:rsidTr="00094D47">
      <w:tc>
        <w:tcPr>
          <w:tcW w:w="1843" w:type="dxa"/>
          <w:tcBorders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b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b/>
              <w:color w:val="2E74B5" w:themeColor="accent1" w:themeShade="BF"/>
              <w:sz w:val="18"/>
            </w:rPr>
            <w:t>Prezes Izby</w:t>
          </w:r>
        </w:p>
      </w:tc>
      <w:tc>
        <w:tcPr>
          <w:tcW w:w="2410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b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b/>
              <w:color w:val="2E74B5" w:themeColor="accent1" w:themeShade="BF"/>
              <w:sz w:val="18"/>
            </w:rPr>
            <w:t>Wiceprezesi Izby</w:t>
          </w:r>
        </w:p>
      </w:tc>
      <w:tc>
        <w:tcPr>
          <w:tcW w:w="2551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b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b/>
              <w:color w:val="2E74B5" w:themeColor="accent1" w:themeShade="BF"/>
              <w:sz w:val="18"/>
            </w:rPr>
            <w:t>Członkowie Zarządu</w:t>
          </w:r>
        </w:p>
      </w:tc>
    </w:tr>
    <w:tr w:rsidR="00094D47" w:rsidRPr="006C0E77" w:rsidTr="00094D47">
      <w:tc>
        <w:tcPr>
          <w:tcW w:w="1843" w:type="dxa"/>
          <w:tcBorders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 xml:space="preserve">Marita Szustak </w:t>
          </w:r>
        </w:p>
      </w:tc>
      <w:tc>
        <w:tcPr>
          <w:tcW w:w="2410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 xml:space="preserve">Przemysław Korwiel </w:t>
          </w:r>
        </w:p>
      </w:tc>
      <w:tc>
        <w:tcPr>
          <w:tcW w:w="2551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804135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>
            <w:rPr>
              <w:rFonts w:ascii="Arial" w:hAnsi="Arial" w:cs="Arial"/>
              <w:i/>
              <w:color w:val="2E74B5" w:themeColor="accent1" w:themeShade="BF"/>
              <w:sz w:val="18"/>
            </w:rPr>
            <w:t>Wojciech Jurkiewicz</w:t>
          </w:r>
        </w:p>
      </w:tc>
    </w:tr>
    <w:tr w:rsidR="00094D47" w:rsidRPr="006C0E77" w:rsidTr="00094D47">
      <w:tc>
        <w:tcPr>
          <w:tcW w:w="1843" w:type="dxa"/>
          <w:tcBorders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</w:p>
      </w:tc>
      <w:tc>
        <w:tcPr>
          <w:tcW w:w="2410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>Piotr Macioszek</w:t>
          </w:r>
        </w:p>
      </w:tc>
      <w:tc>
        <w:tcPr>
          <w:tcW w:w="2551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 xml:space="preserve">Ryszard Leszczyński </w:t>
          </w:r>
        </w:p>
      </w:tc>
    </w:tr>
    <w:tr w:rsidR="00094D47" w:rsidRPr="006C0E77" w:rsidTr="00094D47">
      <w:tc>
        <w:tcPr>
          <w:tcW w:w="1843" w:type="dxa"/>
          <w:tcBorders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</w:p>
      </w:tc>
      <w:tc>
        <w:tcPr>
          <w:tcW w:w="2410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094D47" w:rsidP="00094D47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>Wiesław Nowak</w:t>
          </w:r>
        </w:p>
      </w:tc>
      <w:tc>
        <w:tcPr>
          <w:tcW w:w="2551" w:type="dxa"/>
          <w:tcBorders>
            <w:left w:val="single" w:sz="12" w:space="0" w:color="2E74B5" w:themeColor="accent1" w:themeShade="BF"/>
            <w:right w:val="single" w:sz="12" w:space="0" w:color="2E74B5" w:themeColor="accent1" w:themeShade="BF"/>
          </w:tcBorders>
        </w:tcPr>
        <w:p w:rsidR="00094D47" w:rsidRPr="00541165" w:rsidRDefault="00FC1A24" w:rsidP="00016C7C">
          <w:pPr>
            <w:rPr>
              <w:rFonts w:ascii="Arial" w:hAnsi="Arial" w:cs="Arial"/>
              <w:i/>
              <w:color w:val="2E74B5" w:themeColor="accent1" w:themeShade="BF"/>
              <w:sz w:val="18"/>
            </w:rPr>
          </w:pPr>
          <w:r>
            <w:rPr>
              <w:rFonts w:ascii="Arial" w:hAnsi="Arial" w:cs="Arial"/>
              <w:i/>
              <w:color w:val="2E74B5" w:themeColor="accent1" w:themeShade="BF"/>
              <w:sz w:val="18"/>
            </w:rPr>
            <w:t xml:space="preserve">Henryk </w:t>
          </w:r>
          <w:proofErr w:type="spellStart"/>
          <w:r>
            <w:rPr>
              <w:rFonts w:ascii="Arial" w:hAnsi="Arial" w:cs="Arial"/>
              <w:i/>
              <w:color w:val="2E74B5" w:themeColor="accent1" w:themeShade="BF"/>
              <w:sz w:val="18"/>
            </w:rPr>
            <w:t>Pi</w:t>
          </w:r>
          <w:r w:rsidR="00016C7C">
            <w:rPr>
              <w:rFonts w:ascii="Arial" w:hAnsi="Arial" w:cs="Arial"/>
              <w:i/>
              <w:color w:val="2E74B5" w:themeColor="accent1" w:themeShade="BF"/>
              <w:sz w:val="18"/>
            </w:rPr>
            <w:t>ń</w:t>
          </w:r>
          <w:r w:rsidR="00094D47" w:rsidRPr="00541165">
            <w:rPr>
              <w:rFonts w:ascii="Arial" w:hAnsi="Arial" w:cs="Arial"/>
              <w:i/>
              <w:color w:val="2E74B5" w:themeColor="accent1" w:themeShade="BF"/>
              <w:sz w:val="18"/>
            </w:rPr>
            <w:t>kowski</w:t>
          </w:r>
          <w:proofErr w:type="spellEnd"/>
        </w:p>
      </w:tc>
    </w:tr>
  </w:tbl>
  <w:p w:rsidR="002776B4" w:rsidRPr="001164D7" w:rsidRDefault="00094D47" w:rsidP="00094D47">
    <w:pPr>
      <w:spacing w:before="0" w:line="240" w:lineRule="auto"/>
      <w:rPr>
        <w:rFonts w:ascii="Garamond" w:hAnsi="Garamond"/>
        <w:sz w:val="18"/>
      </w:rPr>
    </w:pPr>
    <w:r w:rsidRPr="006C0E77">
      <w:rPr>
        <w:rFonts w:ascii="Arial" w:hAnsi="Arial" w:cs="Arial"/>
        <w:noProof/>
        <w:color w:val="2E74B5" w:themeColor="accent1" w:themeShade="BF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4479925</wp:posOffset>
          </wp:positionH>
          <wp:positionV relativeFrom="paragraph">
            <wp:posOffset>-998220</wp:posOffset>
          </wp:positionV>
          <wp:extent cx="1280795" cy="1124585"/>
          <wp:effectExtent l="0" t="0" r="0" b="0"/>
          <wp:wrapThrough wrapText="bothSides">
            <wp:wrapPolygon edited="0">
              <wp:start x="0" y="0"/>
              <wp:lineTo x="0" y="21222"/>
              <wp:lineTo x="21204" y="21222"/>
              <wp:lineTo x="21204" y="0"/>
              <wp:lineTo x="0" y="0"/>
            </wp:wrapPolygon>
          </wp:wrapThrough>
          <wp:docPr id="2" name="Obraz 24" descr="C:\Users\SharkIT\AppData\Local\Microsoft\Windows\INetCache\Content.Word\IGTL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C:\Users\SharkIT\AppData\Local\Microsoft\Windows\INetCache\Content.Word\IGTL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C0E77">
      <w:rPr>
        <w:rFonts w:ascii="Arial" w:hAnsi="Arial" w:cs="Arial"/>
        <w:noProof/>
        <w:color w:val="2E74B5" w:themeColor="accent1" w:themeShade="BF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232"/>
    <w:multiLevelType w:val="hybridMultilevel"/>
    <w:tmpl w:val="6CF8BEA8"/>
    <w:lvl w:ilvl="0" w:tplc="B5B6B23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B92367"/>
    <w:multiLevelType w:val="hybridMultilevel"/>
    <w:tmpl w:val="A90E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E78F1"/>
    <w:multiLevelType w:val="hybridMultilevel"/>
    <w:tmpl w:val="21EA8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7F90"/>
    <w:multiLevelType w:val="hybridMultilevel"/>
    <w:tmpl w:val="05C6D5F2"/>
    <w:lvl w:ilvl="0" w:tplc="2D78AB34">
      <w:start w:val="1"/>
      <w:numFmt w:val="decimal"/>
      <w:lvlText w:val="%1)"/>
      <w:lvlJc w:val="left"/>
      <w:pPr>
        <w:ind w:left="1909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0794D91"/>
    <w:multiLevelType w:val="hybridMultilevel"/>
    <w:tmpl w:val="16FC3B00"/>
    <w:lvl w:ilvl="0" w:tplc="DC1CD64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9B4B64"/>
    <w:multiLevelType w:val="hybridMultilevel"/>
    <w:tmpl w:val="443C1FD8"/>
    <w:lvl w:ilvl="0" w:tplc="911A2148">
      <w:start w:val="1"/>
      <w:numFmt w:val="decimal"/>
      <w:lvlText w:val="%1."/>
      <w:lvlJc w:val="left"/>
      <w:pPr>
        <w:ind w:left="1429" w:hanging="360"/>
      </w:pPr>
      <w:rPr>
        <w:b/>
        <w:i w:val="0"/>
        <w:sz w:val="22"/>
        <w:szCs w:val="22"/>
      </w:rPr>
    </w:lvl>
    <w:lvl w:ilvl="1" w:tplc="2444CA34">
      <w:start w:val="1"/>
      <w:numFmt w:val="decimal"/>
      <w:lvlText w:val="%2."/>
      <w:lvlJc w:val="left"/>
      <w:pPr>
        <w:ind w:left="2149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 w:tplc="8790FEB2">
      <w:start w:val="1"/>
      <w:numFmt w:val="lowerLetter"/>
      <w:lvlText w:val="%3)"/>
      <w:lvlJc w:val="left"/>
      <w:pPr>
        <w:ind w:left="2869" w:hanging="180"/>
      </w:pPr>
      <w:rPr>
        <w:rFonts w:ascii="Arial" w:hAnsi="Arial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4E6F4A"/>
    <w:multiLevelType w:val="hybridMultilevel"/>
    <w:tmpl w:val="83D4F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F606ED2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70127"/>
    <w:multiLevelType w:val="hybridMultilevel"/>
    <w:tmpl w:val="7AAA3C40"/>
    <w:lvl w:ilvl="0" w:tplc="535AF3A4">
      <w:start w:val="1"/>
      <w:numFmt w:val="decimal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46E87BFA"/>
    <w:multiLevelType w:val="hybridMultilevel"/>
    <w:tmpl w:val="FE0E1BFA"/>
    <w:lvl w:ilvl="0" w:tplc="9BC69A1A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F271F4"/>
    <w:multiLevelType w:val="hybridMultilevel"/>
    <w:tmpl w:val="A90EF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42DB2"/>
    <w:multiLevelType w:val="hybridMultilevel"/>
    <w:tmpl w:val="EECCB51C"/>
    <w:lvl w:ilvl="0" w:tplc="0858521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E5386E"/>
    <w:multiLevelType w:val="hybridMultilevel"/>
    <w:tmpl w:val="E35A7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08F16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A4034"/>
    <w:multiLevelType w:val="hybridMultilevel"/>
    <w:tmpl w:val="EE327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1499E"/>
    <w:multiLevelType w:val="hybridMultilevel"/>
    <w:tmpl w:val="B77CC138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2AEB"/>
    <w:rsid w:val="0000153E"/>
    <w:rsid w:val="00011573"/>
    <w:rsid w:val="00011EC2"/>
    <w:rsid w:val="00012533"/>
    <w:rsid w:val="00016C7C"/>
    <w:rsid w:val="00063455"/>
    <w:rsid w:val="000650EA"/>
    <w:rsid w:val="00075659"/>
    <w:rsid w:val="00094D47"/>
    <w:rsid w:val="000B4D0E"/>
    <w:rsid w:val="000D0D7C"/>
    <w:rsid w:val="000D35BE"/>
    <w:rsid w:val="001164D7"/>
    <w:rsid w:val="0011651B"/>
    <w:rsid w:val="0012438B"/>
    <w:rsid w:val="0013326E"/>
    <w:rsid w:val="00140292"/>
    <w:rsid w:val="00141C45"/>
    <w:rsid w:val="001464FB"/>
    <w:rsid w:val="00150DE6"/>
    <w:rsid w:val="00155C17"/>
    <w:rsid w:val="00181DD1"/>
    <w:rsid w:val="001872DB"/>
    <w:rsid w:val="001C6595"/>
    <w:rsid w:val="001D62BF"/>
    <w:rsid w:val="001E6D6A"/>
    <w:rsid w:val="0024262A"/>
    <w:rsid w:val="00246B76"/>
    <w:rsid w:val="002776B4"/>
    <w:rsid w:val="00296F98"/>
    <w:rsid w:val="002A79A9"/>
    <w:rsid w:val="002A7C8F"/>
    <w:rsid w:val="002B4D2C"/>
    <w:rsid w:val="00310387"/>
    <w:rsid w:val="003B0824"/>
    <w:rsid w:val="003C604B"/>
    <w:rsid w:val="003E3D66"/>
    <w:rsid w:val="003F5CAC"/>
    <w:rsid w:val="0041037D"/>
    <w:rsid w:val="00412F03"/>
    <w:rsid w:val="004137E4"/>
    <w:rsid w:val="00422160"/>
    <w:rsid w:val="00451D10"/>
    <w:rsid w:val="00453665"/>
    <w:rsid w:val="00460321"/>
    <w:rsid w:val="00485F22"/>
    <w:rsid w:val="004E3D32"/>
    <w:rsid w:val="005249CC"/>
    <w:rsid w:val="00537306"/>
    <w:rsid w:val="00541165"/>
    <w:rsid w:val="00546A0E"/>
    <w:rsid w:val="00550CD9"/>
    <w:rsid w:val="00551BE3"/>
    <w:rsid w:val="005605F5"/>
    <w:rsid w:val="00564431"/>
    <w:rsid w:val="00567FF4"/>
    <w:rsid w:val="00575F69"/>
    <w:rsid w:val="005822C9"/>
    <w:rsid w:val="00585C1F"/>
    <w:rsid w:val="00592B63"/>
    <w:rsid w:val="005A10E8"/>
    <w:rsid w:val="005C5BAE"/>
    <w:rsid w:val="00604930"/>
    <w:rsid w:val="00614124"/>
    <w:rsid w:val="0063457F"/>
    <w:rsid w:val="00642E69"/>
    <w:rsid w:val="00651355"/>
    <w:rsid w:val="006A1735"/>
    <w:rsid w:val="006C0E77"/>
    <w:rsid w:val="006C3F76"/>
    <w:rsid w:val="006F2969"/>
    <w:rsid w:val="00717C8E"/>
    <w:rsid w:val="0073316E"/>
    <w:rsid w:val="00757CB2"/>
    <w:rsid w:val="0076282B"/>
    <w:rsid w:val="00762E2F"/>
    <w:rsid w:val="00766625"/>
    <w:rsid w:val="007738A5"/>
    <w:rsid w:val="007742D4"/>
    <w:rsid w:val="007758B2"/>
    <w:rsid w:val="0077628C"/>
    <w:rsid w:val="00776F31"/>
    <w:rsid w:val="007A5D2D"/>
    <w:rsid w:val="007D5414"/>
    <w:rsid w:val="007D5AE6"/>
    <w:rsid w:val="007D67FD"/>
    <w:rsid w:val="007D7371"/>
    <w:rsid w:val="007E565B"/>
    <w:rsid w:val="00804135"/>
    <w:rsid w:val="00850FE8"/>
    <w:rsid w:val="0085784A"/>
    <w:rsid w:val="00886338"/>
    <w:rsid w:val="008926E9"/>
    <w:rsid w:val="008A444C"/>
    <w:rsid w:val="008E644D"/>
    <w:rsid w:val="008F06A9"/>
    <w:rsid w:val="00963618"/>
    <w:rsid w:val="009706F1"/>
    <w:rsid w:val="00981967"/>
    <w:rsid w:val="0098310F"/>
    <w:rsid w:val="009849C8"/>
    <w:rsid w:val="009C3269"/>
    <w:rsid w:val="009E4174"/>
    <w:rsid w:val="009F376C"/>
    <w:rsid w:val="00A17992"/>
    <w:rsid w:val="00A17C60"/>
    <w:rsid w:val="00A20FEF"/>
    <w:rsid w:val="00A33BA7"/>
    <w:rsid w:val="00A50A97"/>
    <w:rsid w:val="00A51C81"/>
    <w:rsid w:val="00A54120"/>
    <w:rsid w:val="00A65714"/>
    <w:rsid w:val="00A85A9B"/>
    <w:rsid w:val="00A85E16"/>
    <w:rsid w:val="00A87DE1"/>
    <w:rsid w:val="00A9387D"/>
    <w:rsid w:val="00AA76D0"/>
    <w:rsid w:val="00AB122C"/>
    <w:rsid w:val="00AB5DD7"/>
    <w:rsid w:val="00AC12DE"/>
    <w:rsid w:val="00AE4C97"/>
    <w:rsid w:val="00AF1725"/>
    <w:rsid w:val="00B10BD2"/>
    <w:rsid w:val="00B26B26"/>
    <w:rsid w:val="00B43EE8"/>
    <w:rsid w:val="00B53BB1"/>
    <w:rsid w:val="00B71315"/>
    <w:rsid w:val="00B7364E"/>
    <w:rsid w:val="00BA345C"/>
    <w:rsid w:val="00BC2AFB"/>
    <w:rsid w:val="00BC5344"/>
    <w:rsid w:val="00BC623E"/>
    <w:rsid w:val="00BE6019"/>
    <w:rsid w:val="00BF25A6"/>
    <w:rsid w:val="00C058FC"/>
    <w:rsid w:val="00C133B0"/>
    <w:rsid w:val="00C26128"/>
    <w:rsid w:val="00C6186F"/>
    <w:rsid w:val="00C66124"/>
    <w:rsid w:val="00C87AD1"/>
    <w:rsid w:val="00C95ACA"/>
    <w:rsid w:val="00CA2D64"/>
    <w:rsid w:val="00CA40A4"/>
    <w:rsid w:val="00CC12E2"/>
    <w:rsid w:val="00CC6158"/>
    <w:rsid w:val="00D11C6D"/>
    <w:rsid w:val="00D14CE5"/>
    <w:rsid w:val="00D2304D"/>
    <w:rsid w:val="00D23CFF"/>
    <w:rsid w:val="00D44DEA"/>
    <w:rsid w:val="00DA7C06"/>
    <w:rsid w:val="00DD1DDB"/>
    <w:rsid w:val="00DD56FF"/>
    <w:rsid w:val="00E4523D"/>
    <w:rsid w:val="00E539D9"/>
    <w:rsid w:val="00E56368"/>
    <w:rsid w:val="00E63566"/>
    <w:rsid w:val="00E7510C"/>
    <w:rsid w:val="00EA104F"/>
    <w:rsid w:val="00EA50DE"/>
    <w:rsid w:val="00ED2332"/>
    <w:rsid w:val="00F01A67"/>
    <w:rsid w:val="00F20D8F"/>
    <w:rsid w:val="00F22B93"/>
    <w:rsid w:val="00F34B5B"/>
    <w:rsid w:val="00F52AEB"/>
    <w:rsid w:val="00F71971"/>
    <w:rsid w:val="00F74C01"/>
    <w:rsid w:val="00F76F10"/>
    <w:rsid w:val="00F91597"/>
    <w:rsid w:val="00F96CA1"/>
    <w:rsid w:val="00FA59B5"/>
    <w:rsid w:val="00FC1A24"/>
    <w:rsid w:val="00FC6BE3"/>
    <w:rsid w:val="00FE401F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659"/>
    <w:pPr>
      <w:spacing w:before="120" w:line="288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87DE1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42E69"/>
    <w:pPr>
      <w:tabs>
        <w:tab w:val="center" w:pos="4536"/>
        <w:tab w:val="right" w:pos="9072"/>
      </w:tabs>
      <w:jc w:val="center"/>
    </w:pPr>
  </w:style>
  <w:style w:type="paragraph" w:styleId="Stopka">
    <w:name w:val="footer"/>
    <w:basedOn w:val="Normalny"/>
    <w:rsid w:val="00642E69"/>
    <w:pPr>
      <w:tabs>
        <w:tab w:val="center" w:pos="4536"/>
        <w:tab w:val="right" w:pos="9072"/>
      </w:tabs>
      <w:jc w:val="center"/>
    </w:pPr>
  </w:style>
  <w:style w:type="table" w:styleId="Tabela-Siatka">
    <w:name w:val="Table Grid"/>
    <w:basedOn w:val="Standardowy"/>
    <w:rsid w:val="007D5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rsid w:val="00AF172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AF1725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rsid w:val="00AF17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F17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05F5"/>
    <w:pPr>
      <w:ind w:left="720"/>
      <w:contextualSpacing/>
    </w:pPr>
  </w:style>
  <w:style w:type="character" w:styleId="Pogrubienie">
    <w:name w:val="Strong"/>
    <w:uiPriority w:val="22"/>
    <w:qFormat/>
    <w:rsid w:val="00C133B0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F71971"/>
    <w:pPr>
      <w:spacing w:after="120"/>
    </w:pPr>
    <w:rPr>
      <w:rFonts w:ascii="DB Office" w:hAnsi="DB Office"/>
      <w:color w:val="000000"/>
      <w:sz w:val="22"/>
      <w:szCs w:val="20"/>
      <w:lang w:val="de-DE" w:eastAsia="de-DE"/>
    </w:rPr>
  </w:style>
  <w:style w:type="character" w:customStyle="1" w:styleId="TekstpodstawowyZnak">
    <w:name w:val="Tekst podstawowy Znak"/>
    <w:link w:val="Tekstpodstawowy"/>
    <w:rsid w:val="00F71971"/>
    <w:rPr>
      <w:rFonts w:ascii="DB Office" w:hAnsi="DB Office"/>
      <w:color w:val="000000"/>
      <w:sz w:val="22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A87DE1"/>
    <w:rPr>
      <w:rFonts w:eastAsiaTheme="majorEastAsia" w:cstheme="majorBidi"/>
      <w:b/>
      <w:sz w:val="24"/>
      <w:szCs w:val="32"/>
    </w:rPr>
  </w:style>
  <w:style w:type="character" w:styleId="Hipercze">
    <w:name w:val="Hyperlink"/>
    <w:basedOn w:val="Domylnaczcionkaakapitu"/>
    <w:unhideWhenUsed/>
    <w:rsid w:val="001164D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34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12438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4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38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3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t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gt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EC6C-6BDD-4C2F-8ED2-2A666D31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CTL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Gładyga</dc:creator>
  <cp:keywords/>
  <cp:lastModifiedBy>Maciej Gładyga</cp:lastModifiedBy>
  <cp:revision>9</cp:revision>
  <cp:lastPrinted>2019-11-22T09:54:00Z</cp:lastPrinted>
  <dcterms:created xsi:type="dcterms:W3CDTF">2019-11-20T10:35:00Z</dcterms:created>
  <dcterms:modified xsi:type="dcterms:W3CDTF">2019-11-22T11:40:00Z</dcterms:modified>
</cp:coreProperties>
</file>