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81" w:rsidRPr="0097128D" w:rsidRDefault="00B17FED" w:rsidP="001D5581">
      <w:pPr>
        <w:tabs>
          <w:tab w:val="left" w:pos="7621"/>
        </w:tabs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Załącznik nr 2</w:t>
      </w:r>
    </w:p>
    <w:p w:rsidR="001D5581" w:rsidRPr="0097128D" w:rsidRDefault="00B17FED" w:rsidP="001D5581">
      <w:pPr>
        <w:spacing w:before="120" w:after="24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OPIS PROGRAMU</w:t>
      </w:r>
    </w:p>
    <w:p w:rsidR="001D5581" w:rsidRPr="0097128D" w:rsidRDefault="001D5581" w:rsidP="001D5581">
      <w:pPr>
        <w:spacing w:before="120" w:after="24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Opis </w:t>
      </w:r>
      <w:r w:rsidRPr="0097128D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Programu kontroli jakości opieki nad dziećmi chorymi na nowotwory ośrodkowego układu nerwowego </w:t>
      </w: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na lata 2019-2021:</w:t>
      </w:r>
    </w:p>
    <w:p w:rsidR="001D5581" w:rsidRPr="0097128D" w:rsidRDefault="001D5581" w:rsidP="001D5581">
      <w:pPr>
        <w:spacing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Cele ogólne Programu:</w:t>
      </w:r>
    </w:p>
    <w:p w:rsidR="001D5581" w:rsidRPr="0097128D" w:rsidRDefault="001D5581" w:rsidP="001D5581">
      <w:pPr>
        <w:spacing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Poprawa wyników leczenia i jakości życia dzieci z nowotworami ośrodkowego układu nerwowego (OUN).</w:t>
      </w:r>
    </w:p>
    <w:p w:rsidR="001D5581" w:rsidRPr="0097128D" w:rsidRDefault="001D5581" w:rsidP="001D5581">
      <w:pPr>
        <w:spacing w:before="240" w:after="12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Cele szczegółowe Programu:</w:t>
      </w:r>
      <w:bookmarkStart w:id="0" w:name="_GoBack"/>
      <w:bookmarkEnd w:id="0"/>
    </w:p>
    <w:p w:rsidR="001D5581" w:rsidRPr="0097128D" w:rsidRDefault="001D5581" w:rsidP="001D558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 xml:space="preserve">Wypracowanie optymalnych metod kompleksowego leczenia poszczególnych rodzajów nowotworów OUN u dzieci, obejmujących identyfikację molekularnych czynników prognostycznych oraz stratyfikację pacjentów do odpowiednich leczniczych grup ryzyka. </w:t>
      </w:r>
    </w:p>
    <w:p w:rsidR="001D5581" w:rsidRPr="0097128D" w:rsidRDefault="001D5581" w:rsidP="001D558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Zmniejszenie toksyczności i późnych następstw leczenia.</w:t>
      </w:r>
    </w:p>
    <w:p w:rsidR="001D5581" w:rsidRPr="0097128D" w:rsidRDefault="001D5581" w:rsidP="001D5581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>Zredukowanie kosztów leczenia.</w:t>
      </w:r>
    </w:p>
    <w:p w:rsidR="001D5581" w:rsidRPr="0097128D" w:rsidRDefault="001D5581" w:rsidP="001D5581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Opis Programu: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28D">
        <w:rPr>
          <w:rFonts w:eastAsia="Times New Roman" w:cstheme="minorHAnsi"/>
          <w:sz w:val="24"/>
          <w:szCs w:val="24"/>
          <w:lang w:eastAsia="pl-PL"/>
        </w:rPr>
        <w:t xml:space="preserve">Nowotwory ośrodkowego układu nerwowego (OUN) są najczęstszymi guzami litymi u dzieci,  a po białaczkach najczęściej występującymi nowotworami w populacji pediatrycznej. Stanowią ponad 20% wszystkich zachorowań na nowotwory. Szacuje się że zachorowalność na nowotwory OUN w Polsce wynosi rocznie 17-29 na 1 milion populacji w wieku od 0 do 17 roku życia. Z tego względu, nowotwory OUN należą do chorób rzadkich. Jest to heterogenna grupa schorzeń często stanowiąca u dzieci problemy diagnostyczno-terapeutyczne. Wyniki leczenia w niektórych typach nowotworów OUN nie są satysfakcjonujące (np. glejaki w IV stopniu WHO). Dzięki wprowadzeniu w 2006 „Narodowego programu zwalczania chorób nowotworowych”, który swoimi działaniami objął także populację dziecięcą, możliwe było wprowadzenie i modyfikowanie ujednoliconego programu diagnostyki i kompleksowego leczenia tych schorzeń. Dzięki kompleksowemu postępowaniu, obejmującemu: centralną weryfikację badań patomorfologicznych i immunofenotypu, wykonywanie badań molekularnych wybranych onkogenów, weryfikacje przebiegu i sposobu leczenia, wyniki leczenia dzieci z nowotworami OUN w Polsce w ostatnim dziesięcioleciu uległy znacznej poprawie i nie odbiegają od wyników uzyskiwanych w najlepszych ośrodkach światowych. 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sz w:val="24"/>
          <w:szCs w:val="24"/>
          <w:lang w:eastAsia="pl-PL"/>
        </w:rPr>
        <w:t>Działania do realizacji: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1. Prowadzenie centralnej weryfikacji badań patomorfologicznych i immunofenotypu.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2. Badanie molekularne wybranych onkogenów.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3. Zakup przeciwciał do badań molekularnych.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4. Wykrywanie uznanych markerów biologicznych dla celów diagnostycznych i leczniczych. Finansowaniu podlega: zakup odczynników do izolacji DNA, sekwencjonowanie ogółem, zakup </w:t>
      </w:r>
      <w:r w:rsidRPr="0097128D">
        <w:rPr>
          <w:rFonts w:eastAsia="Times New Roman" w:cstheme="minorHAnsi"/>
          <w:bCs/>
          <w:sz w:val="24"/>
          <w:szCs w:val="24"/>
          <w:lang w:eastAsia="pl-PL"/>
        </w:rPr>
        <w:lastRenderedPageBreak/>
        <w:t>sond i odczynników do MLPA, zakup sond i odczynników do FISH oraz zakup przeciwciał i odczynników do immunohistochemii.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>5. Weryfikacja przebiegu i sposobu leczenia - polegająca na dokonaniu analizy dokumentacji  radiologicznej, analizy dokumentacji klinicznej oraz opracowaniu zaleceń dotyczących przebiegu i sposobu leczenia pacjenta. W skład zespołu koordynatorów programu wchodzą: pediatra onkolog, radiolog, neurochirurg.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6. Organizacja 2 sesji weryfikacyjnych dla patomorfologów, radiologów, pediatrów onkologów z ośrodków współpracujących. Finansowaniu podlegać będą </w:t>
      </w:r>
      <w:r w:rsidRPr="0097128D">
        <w:rPr>
          <w:rFonts w:eastAsia="Times New Roman" w:cstheme="minorHAnsi"/>
          <w:bCs/>
          <w:sz w:val="24"/>
          <w:szCs w:val="24"/>
          <w:u w:val="single"/>
          <w:lang w:eastAsia="pl-PL"/>
        </w:rPr>
        <w:t>wyłącznie</w:t>
      </w: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wydruku/zakupu materiałów konferencyjnych/ szkoleniowych, prowadzenia wykładów, obsługi administracyjnej.</w:t>
      </w:r>
    </w:p>
    <w:p w:rsidR="001D5581" w:rsidRPr="0097128D" w:rsidRDefault="001D5581" w:rsidP="001D5581">
      <w:pPr>
        <w:widowControl w:val="0"/>
        <w:spacing w:after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Populacja badana:</w:t>
      </w:r>
    </w:p>
    <w:p w:rsidR="001D5581" w:rsidRPr="0097128D" w:rsidRDefault="001D5581" w:rsidP="001D5581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Cs/>
          <w:sz w:val="24"/>
          <w:szCs w:val="24"/>
          <w:lang w:eastAsia="pl-PL"/>
        </w:rPr>
        <w:t xml:space="preserve">Dzieci i młodzież do 18 r.ż., u których zdiagnozowano nowotwór ośrodkowego układu nerwowego. </w:t>
      </w:r>
    </w:p>
    <w:p w:rsidR="001D5581" w:rsidRPr="0097128D" w:rsidRDefault="001D5581" w:rsidP="001D5581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28D">
        <w:rPr>
          <w:rFonts w:eastAsia="Times New Roman" w:cstheme="minorHAnsi"/>
          <w:b/>
          <w:bCs/>
          <w:sz w:val="24"/>
          <w:szCs w:val="24"/>
          <w:lang w:eastAsia="pl-PL"/>
        </w:rPr>
        <w:t>Ogólne warunki realizacji zadania:</w:t>
      </w:r>
    </w:p>
    <w:p w:rsidR="001D5581" w:rsidRPr="0097128D" w:rsidRDefault="001D5581" w:rsidP="001D5581">
      <w:pPr>
        <w:spacing w:before="240" w:after="120" w:line="240" w:lineRule="auto"/>
        <w:jc w:val="both"/>
        <w:rPr>
          <w:rFonts w:eastAsia="Times New Roman" w:cstheme="minorHAnsi"/>
          <w:sz w:val="24"/>
          <w:szCs w:val="24"/>
          <w:highlight w:val="cyan"/>
          <w:lang w:eastAsia="pl-PL"/>
        </w:rPr>
      </w:pPr>
      <w:r w:rsidRPr="0097128D">
        <w:rPr>
          <w:rFonts w:cstheme="minorHAnsi"/>
          <w:bCs/>
          <w:sz w:val="24"/>
          <w:szCs w:val="24"/>
        </w:rPr>
        <w:t>Wykaz limitów kosztów, możliwych do rozliczania w ramach organizacji sesji weryfikacyjnych:</w:t>
      </w:r>
    </w:p>
    <w:p w:rsidR="001D5581" w:rsidRPr="0097128D" w:rsidRDefault="001D5581" w:rsidP="001D5581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t>Koszty wynajęcia sal wykładowych (cena max. na osobę – 40 zł, jednak nie więcej niż 3 500 zł za dzień). W przypadku, gdy realizator zorganizuje spotkanie w swojej siedzibie, koszty wynajmu sali nie będą refundowane,</w:t>
      </w:r>
    </w:p>
    <w:p w:rsidR="001D5581" w:rsidRPr="0097128D" w:rsidRDefault="001D5581" w:rsidP="001D5581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t>Koszty wynagrodzenia wykładowców – max. 500 zł dla osoby posiadającej co najmniej stopień naukowy doktora oraz max. 300 zł dla pozostałych osób (za godzinę wykładową tj. min. 45 min.),</w:t>
      </w:r>
    </w:p>
    <w:p w:rsidR="001D5581" w:rsidRPr="0097128D" w:rsidRDefault="001D5581" w:rsidP="001D5581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t>Koszty  dojazdów (najbardziej ekonomicznym środkiem transportu):</w:t>
      </w:r>
    </w:p>
    <w:p w:rsidR="001D5581" w:rsidRPr="0097128D" w:rsidRDefault="001D5581" w:rsidP="001D5581">
      <w:pPr>
        <w:pStyle w:val="Akapitzlist"/>
        <w:tabs>
          <w:tab w:val="left" w:pos="0"/>
          <w:tab w:val="left" w:pos="284"/>
        </w:tabs>
        <w:spacing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t>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Zleceniobiorca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nich,</w:t>
      </w:r>
    </w:p>
    <w:p w:rsidR="001D5581" w:rsidRPr="0097128D" w:rsidRDefault="001D5581" w:rsidP="001D5581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t>Koszty usługi gastronomicznej (cateringu) - max. 35 zł za osobę na dzień,</w:t>
      </w:r>
    </w:p>
    <w:p w:rsidR="001D5581" w:rsidRPr="0097128D" w:rsidRDefault="001D5581" w:rsidP="001D5581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128D">
        <w:rPr>
          <w:rFonts w:asciiTheme="minorHAnsi" w:hAnsiTheme="minorHAnsi" w:cstheme="minorHAnsi"/>
          <w:bCs/>
          <w:sz w:val="24"/>
          <w:szCs w:val="24"/>
        </w:rPr>
        <w:lastRenderedPageBreak/>
        <w:t>Koszty noclegów dla wykładowców i uczestników sesji – max. 220 zł za osobę za dzień,</w:t>
      </w:r>
    </w:p>
    <w:p w:rsidR="001D5581" w:rsidRPr="0097128D" w:rsidRDefault="001D5581" w:rsidP="001D5581">
      <w:pPr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</w:rPr>
      </w:pPr>
      <w:r w:rsidRPr="0097128D">
        <w:rPr>
          <w:rFonts w:eastAsia="Times New Roman" w:cstheme="minorHAnsi"/>
          <w:bCs/>
          <w:sz w:val="24"/>
          <w:szCs w:val="24"/>
        </w:rPr>
        <w:t>Koszty obsługi administracyjnej – max. 10% łącznej kwoty środków przeznaczonych na organizację sesji weryfikacyjnych,</w:t>
      </w:r>
    </w:p>
    <w:p w:rsidR="001D5581" w:rsidRPr="0097128D" w:rsidRDefault="001D5581" w:rsidP="001D5581">
      <w:pPr>
        <w:numPr>
          <w:ilvl w:val="0"/>
          <w:numId w:val="1"/>
        </w:numPr>
        <w:tabs>
          <w:tab w:val="left" w:pos="0"/>
          <w:tab w:val="left" w:pos="284"/>
        </w:tabs>
        <w:spacing w:after="12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</w:rPr>
      </w:pPr>
      <w:r w:rsidRPr="0097128D">
        <w:rPr>
          <w:rFonts w:eastAsia="Times New Roman" w:cstheme="minorHAnsi"/>
          <w:bCs/>
          <w:sz w:val="24"/>
          <w:szCs w:val="24"/>
        </w:rPr>
        <w:t>Nie podlegają refundacji koszty wynajmu sprzętu medycznego, w przypadku, gdy jest on własnością realizatora Programu.</w:t>
      </w:r>
    </w:p>
    <w:p w:rsidR="00A62D4D" w:rsidRDefault="007A5373"/>
    <w:sectPr w:rsidR="00A62D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A7" w:rsidRDefault="009A7029">
      <w:pPr>
        <w:spacing w:after="0" w:line="240" w:lineRule="auto"/>
      </w:pPr>
      <w:r>
        <w:separator/>
      </w:r>
    </w:p>
  </w:endnote>
  <w:endnote w:type="continuationSeparator" w:id="0">
    <w:p w:rsidR="007B5AA7" w:rsidRDefault="009A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662433"/>
      <w:docPartObj>
        <w:docPartGallery w:val="Page Numbers (Bottom of Page)"/>
        <w:docPartUnique/>
      </w:docPartObj>
    </w:sdtPr>
    <w:sdtEndPr/>
    <w:sdtContent>
      <w:p w:rsidR="00401B25" w:rsidRDefault="001D55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373">
          <w:rPr>
            <w:noProof/>
          </w:rPr>
          <w:t>1</w:t>
        </w:r>
        <w:r>
          <w:fldChar w:fldCharType="end"/>
        </w:r>
      </w:p>
    </w:sdtContent>
  </w:sdt>
  <w:p w:rsidR="00401B25" w:rsidRDefault="007A53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A7" w:rsidRDefault="009A7029">
      <w:pPr>
        <w:spacing w:after="0" w:line="240" w:lineRule="auto"/>
      </w:pPr>
      <w:r>
        <w:separator/>
      </w:r>
    </w:p>
  </w:footnote>
  <w:footnote w:type="continuationSeparator" w:id="0">
    <w:p w:rsidR="007B5AA7" w:rsidRDefault="009A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B2E9F"/>
    <w:multiLevelType w:val="hybridMultilevel"/>
    <w:tmpl w:val="8D6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48"/>
    <w:rsid w:val="001D5581"/>
    <w:rsid w:val="002323D2"/>
    <w:rsid w:val="00557695"/>
    <w:rsid w:val="007A5373"/>
    <w:rsid w:val="007B5AA7"/>
    <w:rsid w:val="007F5A48"/>
    <w:rsid w:val="009434DB"/>
    <w:rsid w:val="009A7029"/>
    <w:rsid w:val="00A01B7C"/>
    <w:rsid w:val="00B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E68A-DB68-45D3-8B15-6A3D8D6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D55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D55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D55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0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2019-05-07T10:48:00Z</dcterms:created>
  <dcterms:modified xsi:type="dcterms:W3CDTF">2019-05-07T10:48:00Z</dcterms:modified>
</cp:coreProperties>
</file>