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81" w:rsidRPr="0097128D" w:rsidRDefault="00B17FED" w:rsidP="001D5581">
      <w:pPr>
        <w:tabs>
          <w:tab w:val="left" w:pos="7621"/>
        </w:tabs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Załącznik nr 2</w:t>
      </w:r>
    </w:p>
    <w:p w:rsidR="001D5581" w:rsidRPr="0097128D" w:rsidRDefault="00B17FED" w:rsidP="001D5581">
      <w:pPr>
        <w:spacing w:before="120" w:after="24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OPIS PROGRAMU</w:t>
      </w:r>
    </w:p>
    <w:p w:rsidR="001D5581" w:rsidRPr="0097128D" w:rsidRDefault="001D5581" w:rsidP="001D5581">
      <w:pPr>
        <w:spacing w:before="120" w:after="24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Opis </w:t>
      </w:r>
      <w:r w:rsidRPr="0097128D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Programu kontroli jakości opieki nad dziećmi chorymi na nowotwory ośrodkowego układu nerwowego </w:t>
      </w: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na lata 2019-2021:</w:t>
      </w:r>
    </w:p>
    <w:p w:rsidR="001D5581" w:rsidRPr="0097128D" w:rsidRDefault="001D5581" w:rsidP="001D5581">
      <w:pPr>
        <w:spacing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Cele ogólne Programu:</w:t>
      </w:r>
    </w:p>
    <w:p w:rsidR="001D5581" w:rsidRPr="0097128D" w:rsidRDefault="001D5581" w:rsidP="001D5581">
      <w:pPr>
        <w:spacing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Poprawa wyników leczenia i jakości życia dzieci z nowotworami ośrodkowego układu nerwowego (OUN).</w:t>
      </w:r>
    </w:p>
    <w:p w:rsidR="001D5581" w:rsidRPr="0097128D" w:rsidRDefault="001D5581" w:rsidP="001D5581">
      <w:pPr>
        <w:spacing w:before="240"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Cele szczegółowe Programu:</w:t>
      </w:r>
      <w:bookmarkStart w:id="0" w:name="_GoBack"/>
      <w:bookmarkEnd w:id="0"/>
    </w:p>
    <w:p w:rsidR="001D5581" w:rsidRPr="0097128D" w:rsidRDefault="001D5581" w:rsidP="001D558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 xml:space="preserve">Wypracowanie optymalnych metod kompleksowego leczenia poszczególnych rodzajów nowotworów OUN u dzieci, obejmujących identyfikację molekularnych czynników prognostycznych oraz stratyfikację pacjentów do odpowiednich leczniczych grup ryzyka. </w:t>
      </w:r>
    </w:p>
    <w:p w:rsidR="001D5581" w:rsidRPr="0097128D" w:rsidRDefault="001D5581" w:rsidP="001D558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Zmniejszenie toksyczności i późnych następstw leczenia.</w:t>
      </w:r>
    </w:p>
    <w:p w:rsidR="001D5581" w:rsidRPr="0097128D" w:rsidRDefault="001D5581" w:rsidP="001D558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Zredukowanie kosztów leczenia.</w:t>
      </w:r>
    </w:p>
    <w:p w:rsidR="001D5581" w:rsidRPr="0097128D" w:rsidRDefault="001D5581" w:rsidP="001D5581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Opis Programu: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 xml:space="preserve">Nowotwory ośrodkowego układu nerwowego (OUN) są najczęstszymi guzami litymi u dzieci,  a po białaczkach najczęściej występującymi nowotworami w populacji pediatrycznej. Stanowią ponad 20% wszystkich zachorowań na nowotwory. Szacuje się że zachorowalność na nowotwory OUN w Polsce wynosi rocznie 17-29 na 1 milion populacji w wieku od 0 do 17 roku życia. Z tego względu, nowotwory OUN należą do chorób rzadkich. Jest to heterogenna grupa schorzeń często stanowiąca u dzieci problemy diagnostyczno-terapeutyczne. Wyniki leczenia w niektórych typach nowotworów OUN nie są satysfakcjonujące (np. glejaki w IV stopniu WHO). Dzięki wprowadzeniu w 2006 „Narodowego programu zwalczania chorób nowotworowych”, który swoimi działaniami objął także populację dziecięcą, możliwe było wprowadzenie i modyfikowanie ujednoliconego programu diagnostyki i kompleksowego leczenia tych schorzeń. Dzięki kompleksowemu postępowaniu, obejmującemu: centralną weryfikację badań patomorfologicznych i immunofenotypu, wykonywanie badań molekularnych wybranych onkogenów, weryfikacje przebiegu i sposobu leczenia, wyniki leczenia dzieci z nowotworami OUN w Polsce w ostatnim dziesięcioleciu uległy znacznej poprawie i nie odbiegają od wyników uzyskiwanych w najlepszych ośrodkach światowych. 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sz w:val="24"/>
          <w:szCs w:val="24"/>
          <w:lang w:eastAsia="pl-PL"/>
        </w:rPr>
        <w:t>Działania do realizacji: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1. Prowadzenie centralnej weryfikacji badań patomorfologicznych i immunofenotypu.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2. Badanie molekularne wybranych onkogenów.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3. Zakup przeciwciał do badań molekularnych.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4. Wykrywanie uznanych markerów biologicznych dla celów diagnostycznych i leczniczych. Finansowaniu podlega: zakup odczynników do izolacji DNA, sekwencjonowanie ogółem, zakup </w:t>
      </w:r>
      <w:r w:rsidRPr="0097128D">
        <w:rPr>
          <w:rFonts w:eastAsia="Times New Roman" w:cstheme="minorHAnsi"/>
          <w:bCs/>
          <w:sz w:val="24"/>
          <w:szCs w:val="24"/>
          <w:lang w:eastAsia="pl-PL"/>
        </w:rPr>
        <w:lastRenderedPageBreak/>
        <w:t>sond i odczynników do MLPA, zakup sond i odczynników do FISH oraz zakup przeciwciał i odczynników do immunohistochemii.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5. Weryfikacja przebiegu i sposobu leczenia - polegająca na dokonaniu analizy dokumentacji  radiologicznej, analizy dokumentacji klinicznej oraz opracowaniu zaleceń dotyczących przebiegu i sposobu leczenia pacjenta. W skład zespołu koordynatorów programu wchodzą: pediatra onkolog, radiolog, neurochirurg.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6. Organizacja 2 sesji weryfikacyjnych dla patomorfologów, radiologów, pediatrów onkologów z ośrodków współpracujących. Finansowaniu podlegać będą </w:t>
      </w:r>
      <w:r w:rsidRPr="0097128D">
        <w:rPr>
          <w:rFonts w:eastAsia="Times New Roman" w:cstheme="minorHAnsi"/>
          <w:bCs/>
          <w:sz w:val="24"/>
          <w:szCs w:val="24"/>
          <w:u w:val="single"/>
          <w:lang w:eastAsia="pl-PL"/>
        </w:rPr>
        <w:t>wyłącznie</w:t>
      </w: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 szkoleniowych, prowadzenia wykładów, obsługi administracyjnej.</w:t>
      </w:r>
    </w:p>
    <w:p w:rsidR="001D5581" w:rsidRPr="0097128D" w:rsidRDefault="001D5581" w:rsidP="001D5581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Populacja badana:</w:t>
      </w:r>
    </w:p>
    <w:p w:rsidR="001D5581" w:rsidRPr="0097128D" w:rsidRDefault="001D5581" w:rsidP="001D5581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Dzieci i młodzież do 18 r.ż., u których zdiagnozowano nowotwór ośrodkowego układu nerwowego. </w:t>
      </w:r>
    </w:p>
    <w:p w:rsidR="001D5581" w:rsidRPr="0097128D" w:rsidRDefault="001D5581" w:rsidP="001D5581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Ogólne warunki realizacji zadania:</w:t>
      </w:r>
    </w:p>
    <w:p w:rsidR="001D5581" w:rsidRPr="0097128D" w:rsidRDefault="001D5581" w:rsidP="001D5581">
      <w:pPr>
        <w:spacing w:before="240" w:after="120" w:line="240" w:lineRule="auto"/>
        <w:jc w:val="both"/>
        <w:rPr>
          <w:rFonts w:eastAsia="Times New Roman" w:cstheme="minorHAnsi"/>
          <w:sz w:val="24"/>
          <w:szCs w:val="24"/>
          <w:highlight w:val="cyan"/>
          <w:lang w:eastAsia="pl-PL"/>
        </w:rPr>
      </w:pPr>
      <w:r w:rsidRPr="0097128D">
        <w:rPr>
          <w:rFonts w:cstheme="minorHAnsi"/>
          <w:bCs/>
          <w:sz w:val="24"/>
          <w:szCs w:val="24"/>
        </w:rPr>
        <w:t>Wykaz limitów kosztów, możliwych do rozliczania w ramach organizacji sesji weryfikacyjnych:</w:t>
      </w:r>
    </w:p>
    <w:p w:rsidR="001D5581" w:rsidRPr="0097128D" w:rsidRDefault="001D5581" w:rsidP="001D5581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t>Koszty wynajęcia sal wykładowych (cena max. na osobę – 40 zł, jednak nie więcej niż 3 500 zł za dzień). W przypadku, gdy realizator zorganizuje spotkanie w swojej siedzibie, koszty wynajmu sali nie będą refundowane,</w:t>
      </w:r>
    </w:p>
    <w:p w:rsidR="001D5581" w:rsidRPr="0097128D" w:rsidRDefault="001D5581" w:rsidP="001D5581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t>Koszty wynagrodzenia wykładowców – max. 500 zł dla osoby posiadającej co najmniej stopień naukowy doktora oraz max. 300 zł dla pozostałych osób (za godzinę wykładową tj. min. 45 min.),</w:t>
      </w:r>
    </w:p>
    <w:p w:rsidR="001D5581" w:rsidRPr="0097128D" w:rsidRDefault="001D5581" w:rsidP="001D5581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t>Koszty  dojazdów (najbardziej ekonomicznym środkiem transportu):</w:t>
      </w:r>
    </w:p>
    <w:p w:rsidR="001D5581" w:rsidRPr="0097128D" w:rsidRDefault="001D5581" w:rsidP="001D5581">
      <w:pPr>
        <w:pStyle w:val="Akapitzlist"/>
        <w:tabs>
          <w:tab w:val="left" w:pos="0"/>
          <w:tab w:val="left" w:pos="284"/>
        </w:tabs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t>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Zleceniobiorca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nich,</w:t>
      </w:r>
    </w:p>
    <w:p w:rsidR="001D5581" w:rsidRPr="0097128D" w:rsidRDefault="001D5581" w:rsidP="001D5581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t>Koszty usługi gastronomicznej (cateringu) - max. 35 zł za osobę na dzień,</w:t>
      </w:r>
    </w:p>
    <w:p w:rsidR="001D5581" w:rsidRPr="0097128D" w:rsidRDefault="001D5581" w:rsidP="001D5581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7128D">
        <w:rPr>
          <w:rFonts w:asciiTheme="minorHAnsi" w:hAnsiTheme="minorHAnsi" w:cstheme="minorHAnsi"/>
          <w:bCs/>
          <w:sz w:val="24"/>
          <w:szCs w:val="24"/>
        </w:rPr>
        <w:lastRenderedPageBreak/>
        <w:t>Koszty noclegów dla wykładowców i uczestników sesji – max. 220 zł za osobę za dzień,</w:t>
      </w:r>
    </w:p>
    <w:p w:rsidR="001D5581" w:rsidRPr="0097128D" w:rsidRDefault="001D5581" w:rsidP="001D5581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284" w:hanging="284"/>
        <w:jc w:val="both"/>
        <w:rPr>
          <w:rFonts w:eastAsia="Times New Roman" w:cstheme="minorHAnsi"/>
          <w:bCs/>
          <w:sz w:val="24"/>
          <w:szCs w:val="24"/>
        </w:rPr>
      </w:pPr>
      <w:r w:rsidRPr="0097128D">
        <w:rPr>
          <w:rFonts w:eastAsia="Times New Roman" w:cstheme="minorHAnsi"/>
          <w:bCs/>
          <w:sz w:val="24"/>
          <w:szCs w:val="24"/>
        </w:rPr>
        <w:t>Koszty obsługi administracyjnej – max. 10% łącznej kwoty środków przeznaczonych na organizację sesji weryfikacyjnych,</w:t>
      </w:r>
    </w:p>
    <w:p w:rsidR="001D5581" w:rsidRPr="0097128D" w:rsidRDefault="001D5581" w:rsidP="001D5581">
      <w:pPr>
        <w:numPr>
          <w:ilvl w:val="0"/>
          <w:numId w:val="1"/>
        </w:numPr>
        <w:tabs>
          <w:tab w:val="left" w:pos="0"/>
          <w:tab w:val="left" w:pos="284"/>
        </w:tabs>
        <w:spacing w:after="120" w:line="360" w:lineRule="auto"/>
        <w:ind w:left="284" w:hanging="284"/>
        <w:jc w:val="both"/>
        <w:rPr>
          <w:rFonts w:eastAsia="Times New Roman" w:cstheme="minorHAnsi"/>
          <w:bCs/>
          <w:sz w:val="24"/>
          <w:szCs w:val="24"/>
        </w:rPr>
      </w:pPr>
      <w:r w:rsidRPr="0097128D">
        <w:rPr>
          <w:rFonts w:eastAsia="Times New Roman" w:cstheme="minorHAnsi"/>
          <w:bCs/>
          <w:sz w:val="24"/>
          <w:szCs w:val="24"/>
        </w:rPr>
        <w:t>Nie podlegają refundacji koszty wynajmu sprzętu medycznego, w przypadku, gdy jest on własnością realizatora Programu.</w:t>
      </w:r>
    </w:p>
    <w:p w:rsidR="00A62D4D" w:rsidRDefault="007A5373"/>
    <w:sectPr w:rsidR="00A62D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AA7" w:rsidRDefault="009A7029">
      <w:pPr>
        <w:spacing w:after="0" w:line="240" w:lineRule="auto"/>
      </w:pPr>
      <w:r>
        <w:separator/>
      </w:r>
    </w:p>
  </w:endnote>
  <w:endnote w:type="continuationSeparator" w:id="0">
    <w:p w:rsidR="007B5AA7" w:rsidRDefault="009A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662433"/>
      <w:docPartObj>
        <w:docPartGallery w:val="Page Numbers (Bottom of Page)"/>
        <w:docPartUnique/>
      </w:docPartObj>
    </w:sdtPr>
    <w:sdtEndPr/>
    <w:sdtContent>
      <w:p w:rsidR="00401B25" w:rsidRDefault="001D5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373">
          <w:rPr>
            <w:noProof/>
          </w:rPr>
          <w:t>1</w:t>
        </w:r>
        <w:r>
          <w:fldChar w:fldCharType="end"/>
        </w:r>
      </w:p>
    </w:sdtContent>
  </w:sdt>
  <w:p w:rsidR="00401B25" w:rsidRDefault="007A53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AA7" w:rsidRDefault="009A7029">
      <w:pPr>
        <w:spacing w:after="0" w:line="240" w:lineRule="auto"/>
      </w:pPr>
      <w:r>
        <w:separator/>
      </w:r>
    </w:p>
  </w:footnote>
  <w:footnote w:type="continuationSeparator" w:id="0">
    <w:p w:rsidR="007B5AA7" w:rsidRDefault="009A7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48"/>
    <w:rsid w:val="001D5581"/>
    <w:rsid w:val="002323D2"/>
    <w:rsid w:val="00557695"/>
    <w:rsid w:val="007A5373"/>
    <w:rsid w:val="007B5AA7"/>
    <w:rsid w:val="007F5A48"/>
    <w:rsid w:val="009434DB"/>
    <w:rsid w:val="009A7029"/>
    <w:rsid w:val="00A01B7C"/>
    <w:rsid w:val="00B1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CE68A-DB68-45D3-8B15-6A3D8D6C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5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D55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D55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1D558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0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2019-05-07T10:48:00Z</dcterms:created>
  <dcterms:modified xsi:type="dcterms:W3CDTF">2019-05-07T10:48:00Z</dcterms:modified>
</cp:coreProperties>
</file>