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EF9E" w14:textId="77777777" w:rsidR="002F345A" w:rsidRPr="006D0ABA" w:rsidRDefault="002F345A" w:rsidP="002F345A">
      <w:pPr>
        <w:pStyle w:val="Nagwek1"/>
      </w:pPr>
      <w:r w:rsidRPr="006D0ABA">
        <w:t>DOCHODY</w:t>
      </w:r>
    </w:p>
    <w:p w14:paraId="249A5F09" w14:textId="77777777" w:rsidR="002F345A" w:rsidRPr="006D0ABA" w:rsidRDefault="002F345A" w:rsidP="002F345A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</w:p>
    <w:p w14:paraId="513C9F8E" w14:textId="4B251D51" w:rsidR="002F345A" w:rsidRPr="003D2930" w:rsidRDefault="002F345A" w:rsidP="002F345A">
      <w:pPr>
        <w:spacing w:line="360" w:lineRule="auto"/>
        <w:jc w:val="both"/>
        <w:rPr>
          <w:szCs w:val="26"/>
        </w:rPr>
      </w:pPr>
      <w:r w:rsidRPr="003D2930">
        <w:rPr>
          <w:szCs w:val="26"/>
        </w:rPr>
        <w:t>W ustawie budżetowej</w:t>
      </w:r>
      <w:r>
        <w:rPr>
          <w:szCs w:val="26"/>
        </w:rPr>
        <w:t xml:space="preserve"> na rok 2024</w:t>
      </w:r>
      <w:r w:rsidRPr="003D2930">
        <w:rPr>
          <w:szCs w:val="26"/>
        </w:rPr>
        <w:t xml:space="preserve"> zaplanowane zostały dochody w wysokości                        </w:t>
      </w:r>
      <w:r>
        <w:rPr>
          <w:szCs w:val="26"/>
        </w:rPr>
        <w:t>211.683</w:t>
      </w:r>
      <w:r w:rsidRPr="003D2930">
        <w:rPr>
          <w:szCs w:val="26"/>
        </w:rPr>
        <w:t xml:space="preserve"> tys. zł., które zrealizowan</w:t>
      </w:r>
      <w:r>
        <w:rPr>
          <w:szCs w:val="26"/>
        </w:rPr>
        <w:t>o</w:t>
      </w:r>
      <w:r w:rsidRPr="003D2930">
        <w:rPr>
          <w:szCs w:val="26"/>
        </w:rPr>
        <w:t xml:space="preserve"> w kwocie </w:t>
      </w:r>
      <w:r>
        <w:rPr>
          <w:szCs w:val="26"/>
        </w:rPr>
        <w:t>240.258 tys. zł., co stanowi 113,5</w:t>
      </w:r>
      <w:r w:rsidRPr="003D2930">
        <w:rPr>
          <w:szCs w:val="26"/>
        </w:rPr>
        <w:t xml:space="preserve"> % planu.</w:t>
      </w:r>
    </w:p>
    <w:p w14:paraId="1DC1E8C6" w14:textId="6B211307" w:rsidR="002F345A" w:rsidRPr="003D2930" w:rsidRDefault="002F345A" w:rsidP="002F345A">
      <w:pPr>
        <w:jc w:val="both"/>
        <w:rPr>
          <w:szCs w:val="26"/>
        </w:rPr>
      </w:pPr>
      <w:r w:rsidRPr="003D2930">
        <w:rPr>
          <w:szCs w:val="26"/>
        </w:rPr>
        <w:t xml:space="preserve">Uzyskano również dochody nieplanowane w wysokości </w:t>
      </w:r>
      <w:r>
        <w:rPr>
          <w:szCs w:val="26"/>
        </w:rPr>
        <w:t>11.5</w:t>
      </w:r>
      <w:r w:rsidR="0029267A">
        <w:rPr>
          <w:szCs w:val="26"/>
        </w:rPr>
        <w:t>81</w:t>
      </w:r>
      <w:r w:rsidRPr="003D2930">
        <w:rPr>
          <w:szCs w:val="26"/>
        </w:rPr>
        <w:t xml:space="preserve"> tys. zł.</w:t>
      </w:r>
    </w:p>
    <w:p w14:paraId="068D057E" w14:textId="77777777" w:rsidR="002F345A" w:rsidRPr="0045198A" w:rsidRDefault="002F345A" w:rsidP="002F345A">
      <w:pPr>
        <w:spacing w:line="360" w:lineRule="auto"/>
        <w:jc w:val="both"/>
        <w:rPr>
          <w:color w:val="FF0000"/>
        </w:rPr>
      </w:pPr>
    </w:p>
    <w:p w14:paraId="6B187216" w14:textId="77777777" w:rsidR="002F345A" w:rsidRPr="003D2930" w:rsidRDefault="002F345A" w:rsidP="002F345A">
      <w:pPr>
        <w:spacing w:line="360" w:lineRule="auto"/>
        <w:jc w:val="both"/>
      </w:pPr>
      <w:r w:rsidRPr="003D2930">
        <w:t>Wykonanie dochodów w poszczególnych działach przedstawia się następująco:</w:t>
      </w:r>
    </w:p>
    <w:p w14:paraId="181F8ECD" w14:textId="74B13D91" w:rsidR="00C76094" w:rsidRDefault="00C76094">
      <w:pPr>
        <w:spacing w:after="160" w:line="259" w:lineRule="auto"/>
      </w:pPr>
      <w:r>
        <w:br w:type="page"/>
      </w:r>
    </w:p>
    <w:p w14:paraId="6AF24D4A" w14:textId="77777777" w:rsidR="00C76094" w:rsidRPr="00C76094" w:rsidRDefault="00C76094" w:rsidP="00C76094">
      <w:pPr>
        <w:spacing w:before="240" w:after="60" w:line="360" w:lineRule="auto"/>
        <w:jc w:val="both"/>
        <w:outlineLvl w:val="5"/>
        <w:rPr>
          <w:b/>
          <w:bCs/>
          <w:sz w:val="28"/>
          <w:szCs w:val="20"/>
        </w:rPr>
      </w:pPr>
      <w:r w:rsidRPr="00C76094">
        <w:rPr>
          <w:b/>
          <w:bCs/>
          <w:sz w:val="28"/>
          <w:szCs w:val="20"/>
        </w:rPr>
        <w:lastRenderedPageBreak/>
        <w:t>DZIAŁ 010 - ROLNICTWO I ŁOWIECTWO</w:t>
      </w:r>
    </w:p>
    <w:p w14:paraId="6C8BF3E9" w14:textId="77777777" w:rsidR="00C76094" w:rsidRPr="00C76094" w:rsidRDefault="00C76094" w:rsidP="00C76094">
      <w:pPr>
        <w:spacing w:line="360" w:lineRule="auto"/>
        <w:jc w:val="both"/>
        <w:rPr>
          <w:highlight w:val="green"/>
        </w:rPr>
      </w:pPr>
    </w:p>
    <w:p w14:paraId="50191E5D" w14:textId="77777777" w:rsidR="00C76094" w:rsidRPr="00C76094" w:rsidRDefault="00C76094" w:rsidP="00C76094">
      <w:pPr>
        <w:spacing w:line="360" w:lineRule="auto"/>
        <w:jc w:val="both"/>
      </w:pPr>
      <w:r w:rsidRPr="00C76094">
        <w:t>Dochody w dziale za 2024 r. zrealizowano w kwocie 22.969 tys. zł, co stanowi 99,8% planu wynoszącego 23.009 tys. zł.</w:t>
      </w:r>
    </w:p>
    <w:p w14:paraId="6EAEC533" w14:textId="77777777" w:rsidR="00C76094" w:rsidRPr="00C76094" w:rsidRDefault="00C76094" w:rsidP="00C76094">
      <w:pPr>
        <w:spacing w:line="360" w:lineRule="auto"/>
        <w:jc w:val="both"/>
      </w:pPr>
    </w:p>
    <w:p w14:paraId="41D0398D" w14:textId="77777777" w:rsidR="00C76094" w:rsidRPr="00C76094" w:rsidRDefault="00C76094" w:rsidP="00C76094">
      <w:pPr>
        <w:spacing w:line="360" w:lineRule="auto"/>
        <w:jc w:val="both"/>
        <w:rPr>
          <w:szCs w:val="26"/>
        </w:rPr>
      </w:pPr>
      <w:r w:rsidRPr="00C76094">
        <w:rPr>
          <w:szCs w:val="26"/>
        </w:rPr>
        <w:t>Na wykonanie dochodów złożyły się wpływy osiągnięte przez:</w:t>
      </w:r>
    </w:p>
    <w:p w14:paraId="6C3CB228" w14:textId="77777777" w:rsidR="00C76094" w:rsidRPr="00C76094" w:rsidRDefault="00C76094" w:rsidP="00C76094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E w:val="0"/>
        <w:spacing w:line="360" w:lineRule="auto"/>
        <w:jc w:val="both"/>
        <w:rPr>
          <w:rFonts w:cs="Calibri"/>
          <w:szCs w:val="26"/>
          <w:lang w:eastAsia="ar-SA"/>
        </w:rPr>
      </w:pPr>
      <w:r w:rsidRPr="00C76094">
        <w:rPr>
          <w:rFonts w:cs="Calibri"/>
          <w:szCs w:val="26"/>
          <w:lang w:eastAsia="ar-SA"/>
        </w:rPr>
        <w:t>Inspektorat Jakości Handlowej Artykułów Rolno – Spożywczych. Planowane dochody w kwocie 190 tys. zł zostały zrealizowane w wysokości 273 tys. zł, co stanowi 143,7% planu. Pochodziły one z tytułu:</w:t>
      </w:r>
    </w:p>
    <w:p w14:paraId="6F8BA3DC" w14:textId="77777777" w:rsidR="00C76094" w:rsidRPr="00C76094" w:rsidRDefault="00C76094" w:rsidP="00C76094">
      <w:pPr>
        <w:widowControl w:val="0"/>
        <w:numPr>
          <w:ilvl w:val="1"/>
          <w:numId w:val="1"/>
        </w:numPr>
        <w:tabs>
          <w:tab w:val="left" w:pos="709"/>
        </w:tabs>
        <w:suppressAutoHyphens/>
        <w:autoSpaceDE w:val="0"/>
        <w:spacing w:line="360" w:lineRule="auto"/>
        <w:jc w:val="both"/>
        <w:rPr>
          <w:rFonts w:cs="Calibri"/>
          <w:szCs w:val="26"/>
          <w:lang w:eastAsia="ar-SA"/>
        </w:rPr>
      </w:pPr>
      <w:r w:rsidRPr="00C76094">
        <w:rPr>
          <w:rFonts w:cs="Calibri"/>
          <w:lang w:eastAsia="ar-SA"/>
        </w:rPr>
        <w:t xml:space="preserve">kar nakładanych za: stwierdzenie jakości niezgodnej z deklarowaną, jak również wprowadzenia do obrotu artykułów rolno – spożywczych zafałszowanych lub nieodpowiadających jakości handlowej określonej w przepisach o jakości handlowej, nie podania klasyfikacji lub ustalenia masy tusz wołowych oraz                         w przypadku nie usunięcia nieprawidłowości stwierdzonych podczas kontroli </w:t>
      </w:r>
      <w:r w:rsidRPr="00C76094">
        <w:rPr>
          <w:rFonts w:cs="Calibri"/>
          <w:lang w:eastAsia="ar-SA"/>
        </w:rPr>
        <w:br/>
        <w:t xml:space="preserve">w terminie określonym w zaleceniach pokontrolnych – 249 tys. zł, co stanowi 166% planu wynoszącego 150 tys. zł. </w:t>
      </w:r>
      <w:bookmarkStart w:id="0" w:name="_Hlk194314779"/>
      <w:r w:rsidRPr="00C76094">
        <w:rPr>
          <w:rFonts w:cs="Calibri"/>
          <w:lang w:eastAsia="ar-SA"/>
        </w:rPr>
        <w:t>Wyższe od planowanego wykonanie dochodów wynika przede wszystkim z</w:t>
      </w:r>
      <w:bookmarkEnd w:id="0"/>
      <w:r w:rsidRPr="00C76094">
        <w:rPr>
          <w:rFonts w:cs="Calibri"/>
          <w:lang w:eastAsia="ar-SA"/>
        </w:rPr>
        <w:t xml:space="preserve"> charakteru dochodów. Ze względu na sankcyjny charakter </w:t>
      </w:r>
      <w:r w:rsidRPr="00C76094">
        <w:rPr>
          <w:rFonts w:cs="Calibri"/>
          <w:szCs w:val="26"/>
        </w:rPr>
        <w:t>nie jest możliwe dokładnie zaplanowanie poziomu wpływów z tego tytułu</w:t>
      </w:r>
      <w:r w:rsidRPr="00C76094">
        <w:rPr>
          <w:rFonts w:cs="Calibri"/>
          <w:lang w:eastAsia="ar-SA"/>
        </w:rPr>
        <w:t>;</w:t>
      </w:r>
    </w:p>
    <w:p w14:paraId="5B1A2E86" w14:textId="77777777" w:rsidR="00C76094" w:rsidRPr="00C76094" w:rsidRDefault="00C76094" w:rsidP="00C76094">
      <w:pPr>
        <w:widowControl w:val="0"/>
        <w:numPr>
          <w:ilvl w:val="1"/>
          <w:numId w:val="1"/>
        </w:numPr>
        <w:tabs>
          <w:tab w:val="left" w:pos="709"/>
        </w:tabs>
        <w:suppressAutoHyphens/>
        <w:autoSpaceDE w:val="0"/>
        <w:spacing w:line="360" w:lineRule="auto"/>
        <w:jc w:val="both"/>
        <w:rPr>
          <w:rFonts w:cs="Calibri"/>
          <w:szCs w:val="26"/>
          <w:lang w:eastAsia="ar-SA"/>
        </w:rPr>
      </w:pPr>
      <w:r w:rsidRPr="00C76094">
        <w:rPr>
          <w:rFonts w:cs="Calibri"/>
          <w:lang w:eastAsia="ar-SA"/>
        </w:rPr>
        <w:t xml:space="preserve">opłat za dokonywanie na wniosek zainteresowanego przedsiębiorcy oceny                              i wydawania świadectw w zakresie jakości handlowej artykułów rolno – spożywczych, obciążeń za czynności przeprowadzone w ramach kontroli granicznej jakości handlowej artykułów rolno-spożywczych, w wyniku której stwierdzono, że artykuły rolno-spożywcze nie odpowiadają wymaganiom </w:t>
      </w:r>
      <w:r w:rsidRPr="00C76094">
        <w:rPr>
          <w:rFonts w:cs="Calibri"/>
          <w:lang w:eastAsia="ar-SA"/>
        </w:rPr>
        <w:br/>
        <w:t xml:space="preserve">w zakresie jakości handlowej wynikającym z przepisów o jakości handlowej lub wymaganiom dodatkowym zadeklarowanym przez producenta w przypadku stwierdzenia w trakcie kontroli  jakości niezgodnej z deklarowaną oraz wprowadzenie do obrotu i oznakowanie  niezgodne z obowiązującymi przepisami dotyczącymi materiałów i wyrobów przeznaczonych do kontaktu </w:t>
      </w:r>
      <w:r w:rsidRPr="00C76094">
        <w:rPr>
          <w:rFonts w:cs="Calibri"/>
          <w:lang w:eastAsia="ar-SA"/>
        </w:rPr>
        <w:br/>
        <w:t xml:space="preserve">z żywnością – 20 tys. zł, co stanowiło 50 % planu wynoszącego 40 tys. zł. </w:t>
      </w:r>
      <w:r w:rsidRPr="00C76094">
        <w:rPr>
          <w:rFonts w:cs="Calibri"/>
          <w:szCs w:val="26"/>
        </w:rPr>
        <w:t xml:space="preserve">Na niską realizacje planu wpływ ma mniejsza liczba stwierdzonych nieprawidłowości w przeprowadzonych kontrolach w porównaniu do lat ubiegłych. . Pomimo wysokiego poziomu realizacji przeprowadzonych kontroli  </w:t>
      </w:r>
      <w:r w:rsidRPr="00C76094">
        <w:rPr>
          <w:rFonts w:cs="Calibri"/>
          <w:szCs w:val="26"/>
        </w:rPr>
        <w:lastRenderedPageBreak/>
        <w:t>na podstawie których prognozowany był plan, nie było podstaw do obciążenia podmiotów kosztami przeprowadzonych kontroli z uwagi na brak stwierdzonych nieprawidłowości</w:t>
      </w:r>
      <w:r w:rsidRPr="00C76094">
        <w:rPr>
          <w:rFonts w:cs="Calibri"/>
          <w:lang w:eastAsia="ar-SA"/>
        </w:rPr>
        <w:t>.</w:t>
      </w:r>
    </w:p>
    <w:p w14:paraId="1677B169" w14:textId="77777777" w:rsidR="00C76094" w:rsidRPr="00C76094" w:rsidRDefault="00C76094" w:rsidP="00C76094">
      <w:pPr>
        <w:widowControl w:val="0"/>
        <w:tabs>
          <w:tab w:val="left" w:pos="709"/>
        </w:tabs>
        <w:suppressAutoHyphens/>
        <w:autoSpaceDE w:val="0"/>
        <w:spacing w:line="360" w:lineRule="auto"/>
        <w:ind w:left="708"/>
        <w:jc w:val="both"/>
        <w:rPr>
          <w:rFonts w:cs="Calibri"/>
          <w:szCs w:val="26"/>
          <w:lang w:eastAsia="ar-SA"/>
        </w:rPr>
      </w:pPr>
      <w:r w:rsidRPr="00C76094">
        <w:rPr>
          <w:rFonts w:cs="Calibri"/>
          <w:szCs w:val="26"/>
          <w:lang w:eastAsia="ar-SA"/>
        </w:rPr>
        <w:tab/>
        <w:t xml:space="preserve">Dochody nieplanowane przez inspektorat zostały zrealizowane w kwocie 4 tys. zł </w:t>
      </w:r>
      <w:r w:rsidRPr="00C76094">
        <w:rPr>
          <w:rFonts w:cs="Calibri"/>
          <w:szCs w:val="26"/>
          <w:lang w:eastAsia="ar-SA"/>
        </w:rPr>
        <w:br/>
        <w:t xml:space="preserve">i pochodziły przede wszystkim z tytułu odsetek od nieterminowo wpłaconych kar </w:t>
      </w:r>
      <w:r w:rsidRPr="00C76094">
        <w:rPr>
          <w:rFonts w:cs="Calibri"/>
          <w:szCs w:val="26"/>
          <w:lang w:eastAsia="ar-SA"/>
        </w:rPr>
        <w:br/>
        <w:t>i opłat;</w:t>
      </w:r>
    </w:p>
    <w:p w14:paraId="08DDBDBF" w14:textId="77777777" w:rsidR="00C76094" w:rsidRPr="00C76094" w:rsidRDefault="00C76094" w:rsidP="00C76094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C76094">
        <w:rPr>
          <w:rFonts w:eastAsia="Calibri"/>
          <w:lang w:eastAsia="en-US"/>
        </w:rPr>
        <w:t xml:space="preserve">Wojewódzką Inspekcję Weterynaryjną. Planowane w ustawie budżetowej dochody </w:t>
      </w:r>
      <w:r w:rsidRPr="00C76094">
        <w:rPr>
          <w:rFonts w:eastAsia="Calibri"/>
          <w:lang w:eastAsia="en-US"/>
        </w:rPr>
        <w:br/>
        <w:t>w wysokości 608 tys. zł. wykonane zostały w kwocie 711 tys. zł, co stanowi 116,7 % planu. Pochodziły one z tytułu:</w:t>
      </w:r>
    </w:p>
    <w:p w14:paraId="3DC50F7E" w14:textId="77777777" w:rsidR="00C76094" w:rsidRPr="00C76094" w:rsidRDefault="00C76094" w:rsidP="00C76094">
      <w:pPr>
        <w:numPr>
          <w:ilvl w:val="1"/>
          <w:numId w:val="1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C76094">
        <w:rPr>
          <w:rFonts w:eastAsia="Calibri"/>
          <w:lang w:eastAsia="en-US"/>
        </w:rPr>
        <w:t>opłat za usługowe badania laboratoryjne w Zakładzie Higieny Laboratoryjnej                         w Gdańsku – 422 tys. zł, co stanowi 88,3% planu wynoszącego 478 tys. zł;</w:t>
      </w:r>
    </w:p>
    <w:p w14:paraId="4BF03D13" w14:textId="77777777" w:rsidR="00C76094" w:rsidRPr="00C76094" w:rsidRDefault="00C76094" w:rsidP="00C76094">
      <w:pPr>
        <w:numPr>
          <w:ilvl w:val="1"/>
          <w:numId w:val="1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C76094">
        <w:rPr>
          <w:rFonts w:eastAsia="Calibri"/>
          <w:lang w:eastAsia="en-US"/>
        </w:rPr>
        <w:t>wpływów z tytułu najmu i dzierżawy pomieszczeń w nieruchomościach pozostających w trwałym zarządzie Wojewódzkiego Inspektoratu Weterynarii w Gdańsku – 197 tys. zł, co stanowi 98,5% planu wynoszącego 200 tys. zł;</w:t>
      </w:r>
    </w:p>
    <w:p w14:paraId="5A63D5BF" w14:textId="77777777" w:rsidR="00C76094" w:rsidRPr="00C76094" w:rsidRDefault="00C76094" w:rsidP="00C76094">
      <w:pPr>
        <w:spacing w:line="360" w:lineRule="auto"/>
        <w:ind w:left="708"/>
        <w:jc w:val="both"/>
      </w:pPr>
      <w:r w:rsidRPr="00C76094">
        <w:t xml:space="preserve">Dochody nieplanowane przez inspekcję zostały zrealizowane w kwocie 92 tys. zł </w:t>
      </w:r>
      <w:r w:rsidRPr="00C76094">
        <w:br/>
        <w:t xml:space="preserve">i pochodziły przede wszystkim z tytułu zapłaty kar umownych w związku </w:t>
      </w:r>
      <w:r w:rsidRPr="00C76094">
        <w:br/>
        <w:t xml:space="preserve">z odstąpieniem od umowy przetargowej w części z przyczyn leżących po stronie wykonawcy oraz za niedotrzymanie terminu wykonania zamówienia oraz rozliczenia </w:t>
      </w:r>
      <w:r w:rsidRPr="00C76094">
        <w:br/>
        <w:t>z lat ubiegłych za media i korekty faktur opłaconych w poprzednim roku;</w:t>
      </w:r>
    </w:p>
    <w:p w14:paraId="430BE40B" w14:textId="77777777" w:rsidR="00C76094" w:rsidRPr="00C76094" w:rsidRDefault="00C76094" w:rsidP="00C7609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76094">
        <w:rPr>
          <w:rFonts w:eastAsia="Calibri"/>
          <w:lang w:eastAsia="en-US"/>
        </w:rPr>
        <w:t xml:space="preserve">Powiatowe inspektoraty weterynarii. Planowane w ustawie budżetowej dochody </w:t>
      </w:r>
      <w:r w:rsidRPr="00C76094">
        <w:rPr>
          <w:rFonts w:eastAsia="Calibri"/>
          <w:lang w:eastAsia="en-US"/>
        </w:rPr>
        <w:br/>
        <w:t>w wysokości 21.016 tys. zł wykonane zostały w kwocie 20.996 tys. zł, co stanowi 99,9% planu. Pochodziły one z tytułu:</w:t>
      </w:r>
    </w:p>
    <w:p w14:paraId="3A3843CD" w14:textId="77777777" w:rsidR="00C76094" w:rsidRPr="00C76094" w:rsidRDefault="00C76094" w:rsidP="00C76094">
      <w:pPr>
        <w:numPr>
          <w:ilvl w:val="1"/>
          <w:numId w:val="2"/>
        </w:numPr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C76094">
        <w:rPr>
          <w:rFonts w:eastAsia="Calibri"/>
          <w:lang w:eastAsia="en-US"/>
        </w:rPr>
        <w:t xml:space="preserve">grzywien nakładanych na osoby fizyczne i osoby prawne (głownie zakłady przetwórstwa rybnego i mięsnego), m.in. za: nieprzestrzeganie warunków sanitarno–weterynaryjnych, prowadzenie produkcji w zakładzie bez zezwolenia lub rejestracji, wprowadzania na rynek produktów bez zatwierdzenia lub opatrzonych znakiem jakości zdrowotnej niezgodnie z zasadami, nieznakowania produktów pochodzenia zwierzęcego wbrew obowiązkowi, wprowadzenia na rynek produktów pochodzenia zwierzęcego wyprodukowanych w zakładach zatwierdzonych z surowców niepochodzących z zakładów zatwierdzonych, dokonania uboju zwierząt bez zgody urzędowego lekarza weterynarii, niespełniania wymagań weterynaryjnych przy produkcji produktów pochodzenia zwierzęcego, uniemożliwienia wstępu do zakładu        </w:t>
      </w:r>
      <w:r w:rsidRPr="00C76094">
        <w:rPr>
          <w:rFonts w:eastAsia="Calibri"/>
          <w:lang w:eastAsia="en-US"/>
        </w:rPr>
        <w:br/>
      </w:r>
      <w:r w:rsidRPr="00C76094">
        <w:rPr>
          <w:rFonts w:eastAsia="Calibri"/>
          <w:lang w:eastAsia="en-US"/>
        </w:rPr>
        <w:lastRenderedPageBreak/>
        <w:t>w celu przeprowadzenia kontroli – 243 tys. zł, co stanowi 342,3% planu wynoszącego 71 tys. zł. Wyższe od planowanego wykonanie dochodów wynika z sankcyjnego charakteru kar, z których wpływy trudno zaplanować;</w:t>
      </w:r>
    </w:p>
    <w:p w14:paraId="1B8DE618" w14:textId="77777777" w:rsidR="00C76094" w:rsidRPr="00C76094" w:rsidRDefault="00C76094" w:rsidP="00C76094">
      <w:pPr>
        <w:numPr>
          <w:ilvl w:val="1"/>
          <w:numId w:val="2"/>
        </w:numPr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C76094">
        <w:rPr>
          <w:rFonts w:eastAsia="Calibri"/>
          <w:lang w:eastAsia="en-US"/>
        </w:rPr>
        <w:t>wpływów za koszty egzekucyjne, komornicze oraz koszty upomnienia – 6 tys. zł, co stanowi 300% planu wynoszącego 2 tys. zł. Wyższe od planowanego wykonanie wynika przede wszystkim z charakteru dochodów, który utrudnia ich właściwe zaplanowanie;</w:t>
      </w:r>
    </w:p>
    <w:p w14:paraId="2DC0D94C" w14:textId="77777777" w:rsidR="00C76094" w:rsidRPr="00C76094" w:rsidRDefault="00C76094" w:rsidP="00C76094">
      <w:pPr>
        <w:numPr>
          <w:ilvl w:val="1"/>
          <w:numId w:val="2"/>
        </w:numPr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C76094">
        <w:rPr>
          <w:rFonts w:eastAsia="Calibri"/>
          <w:lang w:eastAsia="en-US"/>
        </w:rPr>
        <w:t>opłat za czynności w nadzorze weterynaryjnym, m.in.: badanie zwierząt rzeźnych i mięsa, nadzór nad przetwórstwem i rozbiorem mięsa, kontrola odpraw eksportowych, badanie mięsa na użytek własny, nadzór nad paszami. Mniejsze wykonanie dochodów niż planowano spowodowany jest spadkiem uboju drobiu w zakładach znajdujących się na terenie powiatów – 20.279 tys. zł, co stanowi 98,8% planu wynoszącego 20.521 tys. zł;</w:t>
      </w:r>
    </w:p>
    <w:p w14:paraId="5A5D0363" w14:textId="77777777" w:rsidR="00C76094" w:rsidRPr="00C76094" w:rsidRDefault="00C76094" w:rsidP="00C76094">
      <w:pPr>
        <w:numPr>
          <w:ilvl w:val="1"/>
          <w:numId w:val="2"/>
        </w:numPr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C76094">
        <w:rPr>
          <w:rFonts w:eastAsia="Calibri"/>
          <w:lang w:eastAsia="en-US"/>
        </w:rPr>
        <w:t>wpływów z najmu i dzierżawy składników majątkowych – 421 tys. zł, co stanowi 100,5% planu wynoszącego 419 tys. zł;</w:t>
      </w:r>
    </w:p>
    <w:p w14:paraId="3D57D172" w14:textId="77777777" w:rsidR="00C76094" w:rsidRPr="00C76094" w:rsidRDefault="00C76094" w:rsidP="00C76094">
      <w:pPr>
        <w:numPr>
          <w:ilvl w:val="1"/>
          <w:numId w:val="2"/>
        </w:numPr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C76094">
        <w:rPr>
          <w:rFonts w:eastAsia="Calibri"/>
          <w:lang w:eastAsia="en-US"/>
        </w:rPr>
        <w:t>wpływów z odsetek od niezapłaconych w terminie należności od kontrahentów – 9 tys. zł, co stanowi 300% planu wynoszącego 3 tys. zł. Wyższe od planowanego wykonanie wynika przede wszystkim z charakteru dochodów, który utrudnia ich właściwe zaplanowanie.</w:t>
      </w:r>
    </w:p>
    <w:p w14:paraId="6D0ACC24" w14:textId="77777777" w:rsidR="00C76094" w:rsidRPr="00C76094" w:rsidRDefault="00C76094" w:rsidP="00C76094">
      <w:pPr>
        <w:spacing w:after="200" w:line="360" w:lineRule="auto"/>
        <w:ind w:left="720"/>
        <w:contextualSpacing/>
        <w:jc w:val="both"/>
        <w:rPr>
          <w:rFonts w:eastAsia="Calibri"/>
          <w:lang w:eastAsia="en-US"/>
        </w:rPr>
      </w:pPr>
      <w:r w:rsidRPr="00C76094">
        <w:rPr>
          <w:rFonts w:eastAsia="Calibri"/>
          <w:lang w:eastAsia="en-US"/>
        </w:rPr>
        <w:t xml:space="preserve">Dochody nieplanowane przez inspektoraty zostały zrealizowane w kwocie 38 tys. zł </w:t>
      </w:r>
      <w:r w:rsidRPr="00C76094">
        <w:rPr>
          <w:rFonts w:eastAsia="Calibri"/>
          <w:lang w:eastAsia="en-US"/>
        </w:rPr>
        <w:br/>
        <w:t>i pochodziły głównie z tytułu: rozliczeń z lat ubiegłych, wpłat za media za lata ubiegłe oraz wynagrodzenie płatnika z tytułu podatku dochodowego;</w:t>
      </w:r>
    </w:p>
    <w:p w14:paraId="52467717" w14:textId="77777777" w:rsidR="00C76094" w:rsidRPr="00C76094" w:rsidRDefault="00C76094" w:rsidP="00C76094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C76094">
        <w:rPr>
          <w:rFonts w:eastAsia="Calibri"/>
          <w:lang w:eastAsia="en-US"/>
        </w:rPr>
        <w:t>Inspekcję Ochrony Roślin i Nasiennictwa. Planowane dochody w wysokości  1.125 tys. zł zostały zrealizowane w kwocie 975 tys. zł, co stanowi 86,7% planu. Pochodziły one z tytułu:</w:t>
      </w:r>
    </w:p>
    <w:p w14:paraId="74538A7D" w14:textId="77777777" w:rsidR="00C76094" w:rsidRPr="00C76094" w:rsidRDefault="00C76094" w:rsidP="00C76094">
      <w:pPr>
        <w:numPr>
          <w:ilvl w:val="1"/>
          <w:numId w:val="1"/>
        </w:numPr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C76094">
        <w:rPr>
          <w:rFonts w:eastAsia="Calibri"/>
          <w:lang w:eastAsia="en-US"/>
        </w:rPr>
        <w:t xml:space="preserve">kar nakładanych na osoby fizyczne i prawne za wprowadzane do obrotu materiału siewnego niezgodnie z warunkami określonymi w ustawie </w:t>
      </w:r>
      <w:r w:rsidRPr="00C76094">
        <w:rPr>
          <w:rFonts w:eastAsia="Calibri"/>
          <w:lang w:eastAsia="en-US"/>
        </w:rPr>
        <w:br/>
        <w:t>o nasiennictwie, za sprzedaż i wprowadzanie do obrotu roślin i produktów roślinnych bez wpisu do rejestru przedsiębiorców – 83 tys. zł, co stanowi 461,1% planu wynoszącego 18 tys. zł. Wyższe od planowanego wykonanie dochodów wynika przede wszystkim z trudności w dokładnym zaplanowaniu nieprawidłowości jakie pojawią się w toku przeprowadzanych kontroli w danym roku;</w:t>
      </w:r>
    </w:p>
    <w:p w14:paraId="43F4D525" w14:textId="77777777" w:rsidR="00C76094" w:rsidRPr="00C76094" w:rsidRDefault="00C76094" w:rsidP="00C76094">
      <w:pPr>
        <w:numPr>
          <w:ilvl w:val="1"/>
          <w:numId w:val="1"/>
        </w:numPr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C76094">
        <w:rPr>
          <w:rFonts w:eastAsia="Calibri"/>
          <w:lang w:eastAsia="en-US"/>
        </w:rPr>
        <w:lastRenderedPageBreak/>
        <w:t>opłat egzaminacyjnych – 1 tys. zł, co stanowi 16,7% planu wynoszącego 6 tys. zł. Niższe od planowanego wykonanie wynika przede wszystkim z trudnej do zaplanowanie liczby wniosków dotyczących egzaminów i udzielonych akredytacji;</w:t>
      </w:r>
    </w:p>
    <w:p w14:paraId="22A1D079" w14:textId="77777777" w:rsidR="00C76094" w:rsidRPr="00C76094" w:rsidRDefault="00C76094" w:rsidP="00C76094">
      <w:pPr>
        <w:numPr>
          <w:ilvl w:val="1"/>
          <w:numId w:val="1"/>
        </w:numPr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C76094">
        <w:rPr>
          <w:rFonts w:eastAsia="Calibri"/>
          <w:lang w:eastAsia="en-US"/>
        </w:rPr>
        <w:t>opłat z tytułu udzielenia akredytacji do dokonania oceny polowej materiału siewnego – 13 tys. zł, co stanowi 86,7% planu wynoszącego 15 tys. zł;</w:t>
      </w:r>
    </w:p>
    <w:p w14:paraId="34C7783E" w14:textId="77777777" w:rsidR="00C76094" w:rsidRPr="00C76094" w:rsidRDefault="00C76094" w:rsidP="00C76094">
      <w:pPr>
        <w:numPr>
          <w:ilvl w:val="1"/>
          <w:numId w:val="1"/>
        </w:numPr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C76094">
        <w:rPr>
          <w:rFonts w:eastAsia="Calibri"/>
          <w:lang w:eastAsia="en-US"/>
        </w:rPr>
        <w:t xml:space="preserve">opłat za: przeprowadzenie granicznych kontroli fitosanitarnych, związanych </w:t>
      </w:r>
      <w:r w:rsidRPr="00C76094">
        <w:rPr>
          <w:rFonts w:eastAsia="Calibri"/>
          <w:lang w:eastAsia="en-US"/>
        </w:rPr>
        <w:br/>
        <w:t>z oceną materiału siewnego, przeprowadzanie kontroli urzędowych, wykonywanie innych czynności urzędowych w zakresie ochrony roślin przed agrofagami, przeprowadzanie kontroli urzędowych w zakresie środków ochrony roślin – 866 tys. zł, co stanowi 80,1% planu wynoszącego 1.081 tys. zł;</w:t>
      </w:r>
    </w:p>
    <w:p w14:paraId="635CA489" w14:textId="77777777" w:rsidR="00C76094" w:rsidRPr="00C76094" w:rsidRDefault="00C76094" w:rsidP="00C76094">
      <w:pPr>
        <w:numPr>
          <w:ilvl w:val="1"/>
          <w:numId w:val="1"/>
        </w:numPr>
        <w:spacing w:after="200" w:line="360" w:lineRule="auto"/>
        <w:contextualSpacing/>
        <w:jc w:val="both"/>
        <w:rPr>
          <w:rFonts w:eastAsia="Calibri"/>
          <w:lang w:eastAsia="en-US"/>
        </w:rPr>
      </w:pPr>
      <w:bookmarkStart w:id="1" w:name="_Hlk194493036"/>
      <w:r w:rsidRPr="00C76094">
        <w:rPr>
          <w:rFonts w:eastAsia="Calibri"/>
          <w:lang w:eastAsia="en-US"/>
        </w:rPr>
        <w:t>wynajmu pomieszczeń w Oddziale w Chojnicach – 10 tys. zł, co stanowi 200% planu wynoszącego 5 tys. zł. Wyższe od planowanego wykonanie dochodów wynika ze zwiększenia czynszu za wynajem.</w:t>
      </w:r>
      <w:bookmarkEnd w:id="1"/>
    </w:p>
    <w:p w14:paraId="7420F694" w14:textId="77777777" w:rsidR="00C76094" w:rsidRPr="00C76094" w:rsidRDefault="00C76094" w:rsidP="00C76094">
      <w:pPr>
        <w:spacing w:after="200" w:line="360" w:lineRule="auto"/>
        <w:ind w:left="720"/>
        <w:contextualSpacing/>
        <w:jc w:val="both"/>
        <w:rPr>
          <w:rFonts w:eastAsia="Calibri"/>
          <w:lang w:eastAsia="en-US"/>
        </w:rPr>
      </w:pPr>
      <w:r w:rsidRPr="00C76094">
        <w:rPr>
          <w:rFonts w:eastAsia="Calibri"/>
          <w:lang w:eastAsia="en-US"/>
        </w:rPr>
        <w:t>Dochody nieplanowane w kwocie 2 tys. zł pochodziły głównie z wpływy z tytułu odsetek od nieterminowych wpłat.</w:t>
      </w:r>
    </w:p>
    <w:p w14:paraId="2FA091AA" w14:textId="77777777" w:rsidR="00C76094" w:rsidRPr="00C76094" w:rsidRDefault="00C76094" w:rsidP="00C76094">
      <w:pPr>
        <w:spacing w:after="200" w:line="360" w:lineRule="auto"/>
        <w:ind w:left="720"/>
        <w:contextualSpacing/>
        <w:jc w:val="both"/>
        <w:rPr>
          <w:rFonts w:eastAsia="Calibri"/>
          <w:lang w:eastAsia="en-US"/>
        </w:rPr>
      </w:pPr>
    </w:p>
    <w:p w14:paraId="3E00F103" w14:textId="77777777" w:rsidR="00C76094" w:rsidRPr="00C76094" w:rsidRDefault="00C76094" w:rsidP="00C76094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C76094">
        <w:rPr>
          <w:rFonts w:eastAsia="Calibri"/>
          <w:lang w:eastAsia="en-US"/>
        </w:rPr>
        <w:t>W ramach działu osiągnięto także inne dochody nieplanowane w kwocie 14 tys. zł, które pochodziły głównie ze zwrotów dotacji pobranych w nadmiernej wysokości oraz należności pokontrolnych.</w:t>
      </w:r>
    </w:p>
    <w:p w14:paraId="452ADA27" w14:textId="77777777" w:rsidR="00C76094" w:rsidRPr="00C76094" w:rsidRDefault="00C76094" w:rsidP="00C76094">
      <w:pPr>
        <w:spacing w:after="200" w:line="360" w:lineRule="auto"/>
        <w:ind w:left="720"/>
        <w:contextualSpacing/>
        <w:jc w:val="both"/>
        <w:rPr>
          <w:rFonts w:eastAsia="Calibri"/>
          <w:highlight w:val="yellow"/>
          <w:lang w:eastAsia="en-US"/>
        </w:rPr>
      </w:pPr>
    </w:p>
    <w:p w14:paraId="17FFF0BF" w14:textId="77777777" w:rsidR="00C76094" w:rsidRPr="00C76094" w:rsidRDefault="00C76094" w:rsidP="00C76094">
      <w:pPr>
        <w:spacing w:after="200" w:line="360" w:lineRule="auto"/>
        <w:ind w:left="720"/>
        <w:contextualSpacing/>
        <w:jc w:val="both"/>
        <w:rPr>
          <w:rFonts w:eastAsia="Calibri"/>
          <w:lang w:eastAsia="en-US"/>
        </w:rPr>
      </w:pPr>
      <w:r w:rsidRPr="00C76094">
        <w:rPr>
          <w:rFonts w:eastAsia="Calibri"/>
          <w:lang w:eastAsia="en-US"/>
        </w:rPr>
        <w:t xml:space="preserve">Należności na koniec 2024 r. wynoszą 798 tys. zł i w stosunku do roku 2023 wzrosły </w:t>
      </w:r>
      <w:r w:rsidRPr="00C76094">
        <w:rPr>
          <w:rFonts w:eastAsia="Calibri"/>
          <w:lang w:eastAsia="en-US"/>
        </w:rPr>
        <w:br/>
        <w:t>o 225 tys. zł przede wszystkim ze względu na przyrost przypisu z tytułu nakładanych kar oraz odsetek z nich wynikających. Wymagalne należności znajdują się w egzekucji administracyjnej utrudnionej często ze względu na upadłość podmiotów nadzorowanych, a co za tym idzie brakiem majątku możliwego do egzekucji.</w:t>
      </w:r>
    </w:p>
    <w:p w14:paraId="50C39C6A" w14:textId="77777777" w:rsidR="00C76094" w:rsidRPr="00C76094" w:rsidRDefault="00C76094" w:rsidP="00C76094">
      <w:pPr>
        <w:suppressAutoHyphens/>
        <w:spacing w:line="360" w:lineRule="auto"/>
        <w:jc w:val="both"/>
        <w:rPr>
          <w:rFonts w:cs="Calibri"/>
          <w:szCs w:val="26"/>
          <w:lang w:eastAsia="ar-SA"/>
        </w:rPr>
      </w:pPr>
    </w:p>
    <w:p w14:paraId="4E93CD06" w14:textId="555C908F" w:rsidR="00C76094" w:rsidRDefault="00C76094">
      <w:pPr>
        <w:spacing w:after="160" w:line="259" w:lineRule="auto"/>
      </w:pPr>
      <w:r>
        <w:br w:type="page"/>
      </w:r>
    </w:p>
    <w:p w14:paraId="2F6B4B06" w14:textId="77777777" w:rsidR="00C76094" w:rsidRPr="00C76094" w:rsidRDefault="00C76094" w:rsidP="00C76094">
      <w:pPr>
        <w:keepNext/>
        <w:keepLines/>
        <w:spacing w:before="40"/>
        <w:outlineLvl w:val="5"/>
        <w:rPr>
          <w:rFonts w:eastAsiaTheme="majorEastAsia" w:cstheme="majorBidi"/>
          <w:b/>
          <w:iCs/>
          <w:color w:val="000000" w:themeColor="text1"/>
          <w:sz w:val="28"/>
          <w:szCs w:val="20"/>
        </w:rPr>
      </w:pPr>
      <w:r w:rsidRPr="00C76094">
        <w:rPr>
          <w:rFonts w:eastAsiaTheme="majorEastAsia" w:cstheme="majorBidi"/>
          <w:b/>
          <w:iCs/>
          <w:color w:val="000000" w:themeColor="text1"/>
          <w:sz w:val="28"/>
          <w:szCs w:val="20"/>
        </w:rPr>
        <w:lastRenderedPageBreak/>
        <w:t>DZIAŁ 100 – GÓRNICTWO I KOPALNICTWO</w:t>
      </w:r>
    </w:p>
    <w:p w14:paraId="4229F474" w14:textId="77777777" w:rsidR="00C76094" w:rsidRPr="00C76094" w:rsidRDefault="00C76094" w:rsidP="00C76094">
      <w:pPr>
        <w:spacing w:line="360" w:lineRule="auto"/>
      </w:pPr>
    </w:p>
    <w:p w14:paraId="5E93E6B9" w14:textId="77777777" w:rsidR="00C76094" w:rsidRPr="00C76094" w:rsidRDefault="00C76094" w:rsidP="00C76094">
      <w:pPr>
        <w:spacing w:line="360" w:lineRule="auto"/>
        <w:jc w:val="both"/>
      </w:pPr>
      <w:r w:rsidRPr="00C76094">
        <w:t xml:space="preserve">Dochody w dziale za 2024 r. zrealizowano w kwocie 8 tys. zł, co stanowiło 66,7% planu wynoszącego 12 tys. zł. Dochody pochodzą z tytułu wynagrodzenia za ustanowienie użytkowania górniczego. Zawarte są dwie umowy o ustanowienie użytkowania górniczego  </w:t>
      </w:r>
      <w:r w:rsidRPr="00C76094">
        <w:br/>
        <w:t>w celu wydobywania wód leczniczych ze złoża w miejscowościach Sopot i Ustka. Niższe od planowanego wykonanie dochodów wynika z niższej niż przewidywano ilości wydobytej kopaliny (tj. wód leczniczych), która wpływa na wysokość opłaty zmiennej stanowiącej część wynagrodzenia z tytułu ustanowienia użytkowania górniczego.</w:t>
      </w:r>
    </w:p>
    <w:p w14:paraId="6B072637" w14:textId="77777777" w:rsidR="00C76094" w:rsidRPr="00C76094" w:rsidRDefault="00C76094" w:rsidP="00C76094">
      <w:pPr>
        <w:spacing w:line="360" w:lineRule="auto"/>
        <w:jc w:val="both"/>
      </w:pPr>
    </w:p>
    <w:p w14:paraId="0C51F21C" w14:textId="77777777" w:rsidR="00C76094" w:rsidRPr="00C76094" w:rsidRDefault="00C76094" w:rsidP="00C76094">
      <w:pPr>
        <w:spacing w:line="360" w:lineRule="auto"/>
        <w:jc w:val="both"/>
      </w:pPr>
      <w:r w:rsidRPr="00C76094">
        <w:t>Należności w dziale na koniec 2024 r. wyniosły 8 tys. zł. Dotyczą one zaległości z ww. tytułu dochodów.</w:t>
      </w:r>
    </w:p>
    <w:p w14:paraId="3EC1E5D4" w14:textId="77777777" w:rsidR="00C76094" w:rsidRPr="00C76094" w:rsidRDefault="00C76094" w:rsidP="00C76094">
      <w:pPr>
        <w:spacing w:line="360" w:lineRule="auto"/>
        <w:jc w:val="both"/>
        <w:rPr>
          <w:color w:val="FF0000"/>
          <w:szCs w:val="26"/>
        </w:rPr>
      </w:pPr>
    </w:p>
    <w:p w14:paraId="2F9ABEB3" w14:textId="77777777" w:rsidR="00C76094" w:rsidRPr="00C76094" w:rsidRDefault="00C76094" w:rsidP="00C76094">
      <w:pPr>
        <w:rPr>
          <w:color w:val="FF0000"/>
          <w:sz w:val="18"/>
          <w:szCs w:val="18"/>
        </w:rPr>
      </w:pPr>
    </w:p>
    <w:p w14:paraId="5E9293D8" w14:textId="77777777" w:rsidR="00C76094" w:rsidRPr="00C76094" w:rsidRDefault="00C76094" w:rsidP="00C76094">
      <w:pPr>
        <w:rPr>
          <w:color w:val="FF0000"/>
          <w:sz w:val="18"/>
          <w:szCs w:val="18"/>
        </w:rPr>
      </w:pPr>
    </w:p>
    <w:p w14:paraId="383EB5DD" w14:textId="77777777" w:rsidR="00C76094" w:rsidRPr="00C76094" w:rsidRDefault="00C76094" w:rsidP="00C76094">
      <w:pPr>
        <w:rPr>
          <w:color w:val="FF0000"/>
          <w:sz w:val="18"/>
          <w:szCs w:val="18"/>
        </w:rPr>
      </w:pPr>
    </w:p>
    <w:p w14:paraId="58D3A471" w14:textId="77777777" w:rsidR="00C76094" w:rsidRPr="00C76094" w:rsidRDefault="00C76094" w:rsidP="00C76094">
      <w:pPr>
        <w:rPr>
          <w:color w:val="FF0000"/>
          <w:sz w:val="18"/>
          <w:szCs w:val="18"/>
        </w:rPr>
      </w:pPr>
    </w:p>
    <w:p w14:paraId="4A5875FE" w14:textId="77777777" w:rsidR="00C76094" w:rsidRPr="00C76094" w:rsidRDefault="00C76094" w:rsidP="00C76094">
      <w:pPr>
        <w:rPr>
          <w:color w:val="FF0000"/>
          <w:sz w:val="18"/>
          <w:szCs w:val="18"/>
        </w:rPr>
      </w:pPr>
    </w:p>
    <w:p w14:paraId="3EB35D2D" w14:textId="77777777" w:rsidR="00C76094" w:rsidRPr="00C76094" w:rsidRDefault="00C76094" w:rsidP="00C76094">
      <w:pPr>
        <w:rPr>
          <w:color w:val="FF0000"/>
          <w:sz w:val="18"/>
          <w:szCs w:val="18"/>
        </w:rPr>
      </w:pPr>
    </w:p>
    <w:p w14:paraId="020A6144" w14:textId="77777777" w:rsidR="00C76094" w:rsidRPr="00C76094" w:rsidRDefault="00C76094" w:rsidP="00C76094">
      <w:pPr>
        <w:rPr>
          <w:color w:val="FF0000"/>
          <w:sz w:val="18"/>
          <w:szCs w:val="18"/>
        </w:rPr>
      </w:pPr>
    </w:p>
    <w:p w14:paraId="63421FFA" w14:textId="4DDC2DAD" w:rsidR="00C76094" w:rsidRDefault="00C76094">
      <w:pPr>
        <w:spacing w:after="160" w:line="259" w:lineRule="auto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14:paraId="229D4DAA" w14:textId="77777777" w:rsidR="00C76094" w:rsidRPr="00C76094" w:rsidRDefault="00C76094" w:rsidP="00C76094">
      <w:pPr>
        <w:keepNext/>
        <w:keepLines/>
        <w:spacing w:before="40"/>
        <w:outlineLvl w:val="5"/>
        <w:rPr>
          <w:rFonts w:eastAsiaTheme="majorEastAsia" w:cstheme="majorBidi"/>
          <w:b/>
          <w:iCs/>
          <w:color w:val="000000" w:themeColor="text1"/>
          <w:sz w:val="28"/>
        </w:rPr>
      </w:pPr>
      <w:r w:rsidRPr="00C76094">
        <w:rPr>
          <w:rFonts w:eastAsiaTheme="majorEastAsia" w:cstheme="majorBidi"/>
          <w:b/>
          <w:iCs/>
          <w:color w:val="000000" w:themeColor="text1"/>
          <w:sz w:val="28"/>
        </w:rPr>
        <w:lastRenderedPageBreak/>
        <w:t>DZIAŁ 500 - HANDEL</w:t>
      </w:r>
    </w:p>
    <w:p w14:paraId="07B929FC" w14:textId="77777777" w:rsidR="00C76094" w:rsidRPr="00C76094" w:rsidRDefault="00C76094" w:rsidP="00C76094">
      <w:pPr>
        <w:spacing w:line="360" w:lineRule="auto"/>
      </w:pPr>
    </w:p>
    <w:p w14:paraId="658C5700" w14:textId="77777777" w:rsidR="00C76094" w:rsidRPr="00C76094" w:rsidRDefault="00C76094" w:rsidP="00C76094">
      <w:pPr>
        <w:spacing w:line="360" w:lineRule="auto"/>
        <w:jc w:val="both"/>
      </w:pPr>
      <w:r w:rsidRPr="00C76094">
        <w:t xml:space="preserve">Dochody Wojewódzkiego Inspektoratu Inspekcji Handlowej na 2024 r. zrealizowano </w:t>
      </w:r>
      <w:r w:rsidRPr="00C76094">
        <w:br/>
        <w:t>w kwocie 288 tys. zł, co stanowi 151,6% planu wynoszącego 190 tys. zł.</w:t>
      </w:r>
    </w:p>
    <w:p w14:paraId="53F28C84" w14:textId="77777777" w:rsidR="00C76094" w:rsidRPr="00C76094" w:rsidRDefault="00C76094" w:rsidP="00C76094">
      <w:pPr>
        <w:spacing w:line="360" w:lineRule="auto"/>
        <w:jc w:val="both"/>
      </w:pPr>
    </w:p>
    <w:p w14:paraId="1B0584EA" w14:textId="77777777" w:rsidR="00C76094" w:rsidRPr="00C76094" w:rsidRDefault="00C76094" w:rsidP="00C76094">
      <w:pPr>
        <w:widowControl w:val="0"/>
        <w:autoSpaceDE w:val="0"/>
        <w:spacing w:line="360" w:lineRule="auto"/>
        <w:jc w:val="both"/>
      </w:pPr>
      <w:r w:rsidRPr="00C76094">
        <w:t>Na wykonanie dochodów złożyły się wpływy z tytułu:</w:t>
      </w:r>
    </w:p>
    <w:p w14:paraId="3DC8BA22" w14:textId="77777777" w:rsidR="00C76094" w:rsidRPr="00C76094" w:rsidRDefault="00C76094" w:rsidP="00C76094">
      <w:pPr>
        <w:widowControl w:val="0"/>
        <w:numPr>
          <w:ilvl w:val="0"/>
          <w:numId w:val="3"/>
        </w:numPr>
        <w:tabs>
          <w:tab w:val="left" w:pos="360"/>
        </w:tabs>
        <w:suppressAutoHyphens/>
        <w:autoSpaceDE w:val="0"/>
        <w:spacing w:line="360" w:lineRule="auto"/>
        <w:jc w:val="both"/>
      </w:pPr>
      <w:r w:rsidRPr="00C76094">
        <w:rPr>
          <w:szCs w:val="28"/>
        </w:rPr>
        <w:t>przeprowadzanych analiz laboratoryjnych wadliwych próbek, wykonywanych na podstawie ustawy z dnia 15 grudnia 2000 r. o Inspekcji Handlowej, ustawy z dnia               30 sierpnia 2002 r. o systemie oceny zgodności, ustawy z dnia 13 kwietnia 2016 r.              o systemach oceny zgodności i nadzoru rynku i ustawy z dnia 12 grudnia 2003 r.                      o ogólnym bezpieczeństwie produktów</w:t>
      </w:r>
      <w:r w:rsidRPr="00C76094">
        <w:t xml:space="preserve"> – 43 tys. zł, co stanowi 86% planu wynoszącego 50 tys. zł. Realizowanie planu dochodów uzależnione jest od liczby zakwestionowanych produktów pobieranych do badań. Podmiot kontrolowany pokrywa koszty badania tylko w przypadku, jeżeli próba nie spełnia polskich norm, bądź skład surowcowy artykułów żywnościowych nie jest zgodny</w:t>
      </w:r>
      <w:r w:rsidRPr="00C76094">
        <w:tab/>
        <w:t xml:space="preserve"> z deklarowanym na opakowaniu bądź recepturą;</w:t>
      </w:r>
    </w:p>
    <w:p w14:paraId="58997BDF" w14:textId="77777777" w:rsidR="00C76094" w:rsidRPr="00C76094" w:rsidRDefault="00C76094" w:rsidP="00C76094">
      <w:pPr>
        <w:widowControl w:val="0"/>
        <w:numPr>
          <w:ilvl w:val="0"/>
          <w:numId w:val="3"/>
        </w:numPr>
        <w:tabs>
          <w:tab w:val="left" w:pos="360"/>
        </w:tabs>
        <w:suppressAutoHyphens/>
        <w:autoSpaceDE w:val="0"/>
        <w:spacing w:line="360" w:lineRule="auto"/>
        <w:jc w:val="both"/>
      </w:pPr>
      <w:r w:rsidRPr="00C76094">
        <w:t xml:space="preserve">kar nakładanych na podstawie szeregu ustaw, m.in. ustawy z dnia 20 czerwca 1997 r. Prawo o ruchu drogowym, ustawy z dnia 11 września 2015 r. o zużytym sprzęcie elektrycznym i elektronicznym, ustawy z dnia 25 sierpnia 2006 r. </w:t>
      </w:r>
      <w:r w:rsidRPr="00C76094">
        <w:br/>
        <w:t>o systemie monitorowania i kontrolowania jakości paliw, ustawy</w:t>
      </w:r>
      <w:r w:rsidRPr="00C76094">
        <w:tab/>
        <w:t xml:space="preserve"> z dnia 13 czerwca 2013 r. o gospodarce opakowaniami i odpadami opakowaniowymi, ustawy </w:t>
      </w:r>
      <w:r w:rsidRPr="00C76094">
        <w:br/>
        <w:t xml:space="preserve">z dnia 9 maja  2014 r. o informowaniu o cenach towarów i usług, ustawy </w:t>
      </w:r>
      <w:r w:rsidRPr="00C76094">
        <w:br/>
        <w:t xml:space="preserve">z dnia 14 września 2012 r. o etykietowaniu energetycznym produktów związanych </w:t>
      </w:r>
      <w:r w:rsidRPr="00C76094">
        <w:br/>
        <w:t>z energią – 229 tys. zł, co stanowi 169,6 % planu wynoszącego 135 tys. zł. Wykonanie dochodów różni się od planu ze względu na sankcyjny charakter kar, który uniemożliwia dokonanie dokładnej prognozy wielkości wpływów;</w:t>
      </w:r>
    </w:p>
    <w:p w14:paraId="13320BD5" w14:textId="77777777" w:rsidR="00C76094" w:rsidRPr="00C76094" w:rsidRDefault="00C76094" w:rsidP="00C76094">
      <w:pPr>
        <w:widowControl w:val="0"/>
        <w:numPr>
          <w:ilvl w:val="0"/>
          <w:numId w:val="3"/>
        </w:numPr>
        <w:tabs>
          <w:tab w:val="left" w:pos="360"/>
        </w:tabs>
        <w:suppressAutoHyphens/>
        <w:autoSpaceDE w:val="0"/>
        <w:spacing w:line="360" w:lineRule="auto"/>
        <w:jc w:val="both"/>
      </w:pPr>
      <w:r w:rsidRPr="00C76094">
        <w:t>opłat czynszowych za lokal mieszkalny – 9 tys. zł, co stanowi 180% planu wynoszącego 5 tys. zł.</w:t>
      </w:r>
      <w:r w:rsidRPr="00C76094">
        <w:tab/>
      </w:r>
      <w:r w:rsidRPr="00C76094">
        <w:br/>
      </w:r>
    </w:p>
    <w:p w14:paraId="01FC9A7D" w14:textId="77777777" w:rsidR="00C76094" w:rsidRPr="00C76094" w:rsidRDefault="00C76094" w:rsidP="00C76094">
      <w:pPr>
        <w:suppressAutoHyphens/>
        <w:spacing w:line="360" w:lineRule="auto"/>
        <w:jc w:val="both"/>
        <w:rPr>
          <w:rFonts w:cs="Calibri"/>
          <w:szCs w:val="26"/>
          <w:lang w:eastAsia="ar-SA"/>
        </w:rPr>
      </w:pPr>
      <w:bookmarkStart w:id="2" w:name="_Hlk194318353"/>
      <w:r w:rsidRPr="00C76094">
        <w:rPr>
          <w:rFonts w:cs="Calibri"/>
          <w:szCs w:val="26"/>
          <w:lang w:eastAsia="ar-SA"/>
        </w:rPr>
        <w:t xml:space="preserve">Dochody nieplanowane w wysokości 7 tys. zł. pochodziły głównie z </w:t>
      </w:r>
      <w:bookmarkEnd w:id="2"/>
      <w:r w:rsidRPr="00C76094">
        <w:rPr>
          <w:rFonts w:cs="Calibri"/>
          <w:szCs w:val="26"/>
          <w:lang w:eastAsia="ar-SA"/>
        </w:rPr>
        <w:t>odsetek od nieterminowych wpłat oraz rozliczeń/zwrotów z lat ubiegłych.</w:t>
      </w:r>
    </w:p>
    <w:p w14:paraId="52BF520D" w14:textId="77777777" w:rsidR="00C76094" w:rsidRPr="00C76094" w:rsidRDefault="00C76094" w:rsidP="00C76094">
      <w:pPr>
        <w:spacing w:line="360" w:lineRule="auto"/>
        <w:jc w:val="both"/>
        <w:rPr>
          <w:bCs/>
        </w:rPr>
      </w:pPr>
    </w:p>
    <w:p w14:paraId="10BB8FC0" w14:textId="77777777" w:rsidR="00C76094" w:rsidRPr="00C76094" w:rsidRDefault="00C76094" w:rsidP="00C76094">
      <w:pPr>
        <w:spacing w:line="360" w:lineRule="auto"/>
        <w:jc w:val="both"/>
        <w:rPr>
          <w:bCs/>
        </w:rPr>
      </w:pPr>
      <w:r w:rsidRPr="00C76094">
        <w:rPr>
          <w:bCs/>
        </w:rPr>
        <w:lastRenderedPageBreak/>
        <w:t xml:space="preserve">Należności pozostałe do zapłaty na koniec 2024 r. w wysokości 29 tys. zł. Znajdują się </w:t>
      </w:r>
      <w:r w:rsidRPr="00C76094">
        <w:rPr>
          <w:bCs/>
        </w:rPr>
        <w:br/>
        <w:t>w egzekucji administracyjnej. Należności dotyczą przede wszystkim kar nałożonych na osoby fizyczne, prawne i inne jednostki organizacyjne.</w:t>
      </w:r>
    </w:p>
    <w:p w14:paraId="068666C3" w14:textId="77777777" w:rsidR="00C76094" w:rsidRPr="00C76094" w:rsidRDefault="00C76094" w:rsidP="00C76094"/>
    <w:p w14:paraId="12D12C94" w14:textId="0295222D" w:rsidR="00C76094" w:rsidRDefault="00C76094">
      <w:pPr>
        <w:spacing w:after="160" w:line="259" w:lineRule="auto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14:paraId="63F35EEF" w14:textId="77777777" w:rsidR="00C76094" w:rsidRPr="00C76094" w:rsidRDefault="00C76094" w:rsidP="00C76094">
      <w:pPr>
        <w:keepNext/>
        <w:keepLines/>
        <w:spacing w:before="40"/>
        <w:jc w:val="both"/>
        <w:outlineLvl w:val="5"/>
        <w:rPr>
          <w:rFonts w:eastAsiaTheme="majorEastAsia" w:cstheme="majorBidi"/>
          <w:b/>
          <w:iCs/>
          <w:sz w:val="28"/>
          <w:szCs w:val="22"/>
        </w:rPr>
      </w:pPr>
      <w:r w:rsidRPr="00C76094">
        <w:rPr>
          <w:rFonts w:eastAsiaTheme="majorEastAsia" w:cstheme="majorBidi"/>
          <w:b/>
          <w:iCs/>
          <w:sz w:val="28"/>
          <w:szCs w:val="22"/>
        </w:rPr>
        <w:lastRenderedPageBreak/>
        <w:t xml:space="preserve">DZIAŁ 600 – TRANSPORT </w:t>
      </w:r>
    </w:p>
    <w:p w14:paraId="0A8DDB75" w14:textId="77777777" w:rsidR="00C76094" w:rsidRPr="00C76094" w:rsidRDefault="00C76094" w:rsidP="00C76094">
      <w:pPr>
        <w:spacing w:line="360" w:lineRule="auto"/>
        <w:jc w:val="both"/>
      </w:pPr>
    </w:p>
    <w:p w14:paraId="7F28C8CE" w14:textId="77777777" w:rsidR="00C76094" w:rsidRPr="00C76094" w:rsidRDefault="00C76094" w:rsidP="00C76094">
      <w:pPr>
        <w:spacing w:line="360" w:lineRule="auto"/>
        <w:jc w:val="both"/>
      </w:pPr>
    </w:p>
    <w:p w14:paraId="5AAC749B" w14:textId="77777777" w:rsidR="00C76094" w:rsidRPr="00C76094" w:rsidRDefault="00C76094" w:rsidP="00C76094">
      <w:pPr>
        <w:spacing w:line="360" w:lineRule="auto"/>
        <w:jc w:val="both"/>
      </w:pPr>
      <w:r w:rsidRPr="00C76094">
        <w:t>Dochody w dziale za 2024 r. zrealizowano w kwocie 155 tys. zł, co stanowi 111,5% planu wynoszącego 139 tys. zł.</w:t>
      </w:r>
    </w:p>
    <w:p w14:paraId="25023C32" w14:textId="77777777" w:rsidR="00C76094" w:rsidRPr="00C76094" w:rsidRDefault="00C76094" w:rsidP="00C76094">
      <w:pPr>
        <w:spacing w:line="360" w:lineRule="auto"/>
        <w:jc w:val="both"/>
      </w:pPr>
    </w:p>
    <w:p w14:paraId="61CC147E" w14:textId="77777777" w:rsidR="00C76094" w:rsidRPr="00C76094" w:rsidRDefault="00C76094" w:rsidP="00C76094">
      <w:pPr>
        <w:spacing w:line="360" w:lineRule="auto"/>
        <w:jc w:val="both"/>
      </w:pPr>
      <w:r w:rsidRPr="00C76094">
        <w:t>Na wykonanie dochodów złożyły się wpływy z tytułu:</w:t>
      </w:r>
    </w:p>
    <w:p w14:paraId="6D3B06CE" w14:textId="77777777" w:rsidR="00C76094" w:rsidRPr="00C76094" w:rsidRDefault="00C76094" w:rsidP="00C76094">
      <w:pPr>
        <w:numPr>
          <w:ilvl w:val="0"/>
          <w:numId w:val="6"/>
        </w:numPr>
        <w:spacing w:line="360" w:lineRule="auto"/>
        <w:contextualSpacing/>
        <w:jc w:val="both"/>
      </w:pPr>
      <w:r w:rsidRPr="00C76094">
        <w:t>upomnień do nieterminowo zapłaconych należności (690 upomnień) zrealizowanych przez Wojewódzki Inspektorat Transportu Drogowego w Gdańsku - 10 tys. zł, co stanowi 125% planu wynoszącego 8 tys. zł. Wyższe od planowanego wykonanie dochodów wynika przede wszystkim ze zwiększonej liczby wystawionych upomnień, trudnych do dokładnego określenia na etapie planowania dochodów;</w:t>
      </w:r>
    </w:p>
    <w:p w14:paraId="0C80EF4C" w14:textId="77777777" w:rsidR="00C76094" w:rsidRPr="00C76094" w:rsidRDefault="00C76094" w:rsidP="00C76094">
      <w:pPr>
        <w:numPr>
          <w:ilvl w:val="0"/>
          <w:numId w:val="5"/>
        </w:numPr>
        <w:spacing w:line="360" w:lineRule="auto"/>
        <w:jc w:val="both"/>
        <w:rPr>
          <w:rFonts w:eastAsia="Batang"/>
        </w:rPr>
      </w:pPr>
      <w:r w:rsidRPr="00C76094">
        <w:rPr>
          <w:rFonts w:eastAsia="Batang"/>
        </w:rPr>
        <w:t xml:space="preserve">opłat pobieranych przez Marszałka Województwa Pomorskiego, wykonującego zadania z zakresu administracji rządowej, za wydawanie zaświadczeń ADR lub ich </w:t>
      </w:r>
      <w:r w:rsidRPr="00C76094">
        <w:rPr>
          <w:rFonts w:eastAsia="Batang"/>
        </w:rPr>
        <w:br/>
        <w:t>wtórników – 69 tys. zł, co stanowi 69% planu wynoszącego 100 tys. zł.</w:t>
      </w:r>
    </w:p>
    <w:p w14:paraId="4968DDCC" w14:textId="77777777" w:rsidR="00C76094" w:rsidRPr="00C76094" w:rsidRDefault="00C76094" w:rsidP="00C76094">
      <w:pPr>
        <w:spacing w:line="360" w:lineRule="auto"/>
        <w:ind w:left="720" w:hanging="11"/>
        <w:jc w:val="both"/>
      </w:pPr>
      <w:r w:rsidRPr="00C76094">
        <w:t>Niższe od planowanego wykonanie ww. dochodów wynika z mniejszej, niż planowano, liczby osób, które przystąpiły do egzaminu uprawniającego do kierowania pojazdem przewożącym towary niebezpieczne (kurs ADR). Konsekwencją powyższego było wydanie przez marszałka województwa mniejszej liczy zaświadczeń ADR;</w:t>
      </w:r>
    </w:p>
    <w:p w14:paraId="5711B4DF" w14:textId="77777777" w:rsidR="00C76094" w:rsidRPr="00C76094" w:rsidRDefault="00C76094" w:rsidP="00C76094">
      <w:pPr>
        <w:numPr>
          <w:ilvl w:val="0"/>
          <w:numId w:val="7"/>
        </w:numPr>
        <w:spacing w:line="360" w:lineRule="auto"/>
        <w:contextualSpacing/>
        <w:jc w:val="both"/>
      </w:pPr>
      <w:bookmarkStart w:id="3" w:name="_Hlk194409010"/>
      <w:r w:rsidRPr="00C76094">
        <w:t xml:space="preserve">wpływów z tytułu rozliczeń/zwrotów z lat ubiegłych (dotyczy głównie faktur za media na przejściach granicznych) – 1 tys. zł, co stanowi 16,7% planu wynoszącego 6 tys. zł; </w:t>
      </w:r>
      <w:bookmarkEnd w:id="3"/>
      <w:r w:rsidRPr="00C76094">
        <w:t>Niższe od planowanego wykonanie dochodów wynika przede wszystkim z oparcia planu o wysokość wpływów z tytułu w latach poprzednich. Charakter dochodu nie pozwala na jego zaplanowanie w inny sposób;</w:t>
      </w:r>
    </w:p>
    <w:p w14:paraId="5D54C014" w14:textId="77777777" w:rsidR="00C76094" w:rsidRPr="00C76094" w:rsidRDefault="00C76094" w:rsidP="00C76094">
      <w:pPr>
        <w:numPr>
          <w:ilvl w:val="0"/>
          <w:numId w:val="5"/>
        </w:numPr>
        <w:spacing w:line="360" w:lineRule="auto"/>
        <w:jc w:val="both"/>
      </w:pPr>
      <w:r w:rsidRPr="00C76094">
        <w:t xml:space="preserve">opłat pobieranych przez starostów za rejestrację jachtów i innych jednostek pływających o długości do 24 m – 66 tys. zł, co stanowi 264% planu wynoszącego </w:t>
      </w:r>
      <w:r w:rsidRPr="00C76094">
        <w:br/>
        <w:t>25 tys. zł. Wyższe wykonanie wynika zarejestrowanych większej ilości jachtów i innych jednostek pływających.</w:t>
      </w:r>
    </w:p>
    <w:p w14:paraId="17599CC7" w14:textId="77777777" w:rsidR="00C76094" w:rsidRPr="00C76094" w:rsidRDefault="00C76094" w:rsidP="00C76094">
      <w:pPr>
        <w:spacing w:line="360" w:lineRule="auto"/>
        <w:jc w:val="both"/>
      </w:pPr>
    </w:p>
    <w:p w14:paraId="63E04C24" w14:textId="77777777" w:rsidR="00C76094" w:rsidRPr="00C76094" w:rsidRDefault="00C76094" w:rsidP="00C76094">
      <w:pPr>
        <w:spacing w:line="360" w:lineRule="auto"/>
        <w:jc w:val="both"/>
      </w:pPr>
      <w:bookmarkStart w:id="4" w:name="_Hlk194409274"/>
      <w:r w:rsidRPr="00C76094">
        <w:t>Dochody nieplanowane w wysokości 9 tys. zł. stanowiły głównie wpływy z tytułu:</w:t>
      </w:r>
    </w:p>
    <w:p w14:paraId="2ED5F6B8" w14:textId="77777777" w:rsidR="00C76094" w:rsidRPr="00C76094" w:rsidRDefault="00C76094" w:rsidP="00C76094">
      <w:pPr>
        <w:numPr>
          <w:ilvl w:val="0"/>
          <w:numId w:val="4"/>
        </w:numPr>
        <w:spacing w:line="360" w:lineRule="auto"/>
        <w:jc w:val="both"/>
      </w:pPr>
      <w:r w:rsidRPr="00C76094">
        <w:t xml:space="preserve">wpływów odsetek ze środków przekazanych Gminie Kępice z tytułu realizacji „Programu na rzecz zwiększania szans rozwojowych Ziemi Słupskiej na lata </w:t>
      </w:r>
      <w:r w:rsidRPr="00C76094">
        <w:br/>
        <w:t>2019 – 2024” – 2 tys. zł;</w:t>
      </w:r>
    </w:p>
    <w:bookmarkEnd w:id="4"/>
    <w:p w14:paraId="6166AB10" w14:textId="77777777" w:rsidR="00C76094" w:rsidRPr="00C76094" w:rsidRDefault="00C76094" w:rsidP="00C76094">
      <w:pPr>
        <w:numPr>
          <w:ilvl w:val="0"/>
          <w:numId w:val="4"/>
        </w:numPr>
        <w:spacing w:line="360" w:lineRule="auto"/>
        <w:jc w:val="both"/>
      </w:pPr>
      <w:r w:rsidRPr="00C76094">
        <w:rPr>
          <w:rFonts w:ascii="TimesNewRomanPSMT" w:hAnsi="TimesNewRomanPSMT" w:cs="TimesNewRomanPSMT"/>
        </w:rPr>
        <w:t>kar wynikających z umów – 1</w:t>
      </w:r>
      <w:r w:rsidRPr="00C76094">
        <w:rPr>
          <w:rFonts w:ascii="TimesNewRomanPSMT" w:hAnsi="TimesNewRomanPSMT" w:cs="TimesNewRomanPSMT"/>
          <w:sz w:val="22"/>
          <w:szCs w:val="22"/>
        </w:rPr>
        <w:t xml:space="preserve"> tys. zł; </w:t>
      </w:r>
    </w:p>
    <w:p w14:paraId="3ABD63D2" w14:textId="77777777" w:rsidR="00C76094" w:rsidRPr="00C76094" w:rsidRDefault="00C76094" w:rsidP="00C76094">
      <w:pPr>
        <w:numPr>
          <w:ilvl w:val="0"/>
          <w:numId w:val="4"/>
        </w:numPr>
        <w:spacing w:line="360" w:lineRule="auto"/>
        <w:jc w:val="both"/>
      </w:pPr>
      <w:r w:rsidRPr="00C76094">
        <w:lastRenderedPageBreak/>
        <w:t xml:space="preserve">tytułu kar i odszkodowań wynikających z umów </w:t>
      </w:r>
      <w:r w:rsidRPr="00C76094">
        <w:rPr>
          <w:rFonts w:eastAsia="Batang"/>
        </w:rPr>
        <w:t>z rozliczeń/zwrotów z lat ubiegłych – dotyczy głównie faktur za media na przejściach granicznych – 1 tys. zł;</w:t>
      </w:r>
    </w:p>
    <w:p w14:paraId="0EAB556B" w14:textId="77777777" w:rsidR="00C76094" w:rsidRPr="00C76094" w:rsidRDefault="00C76094" w:rsidP="00C76094">
      <w:pPr>
        <w:numPr>
          <w:ilvl w:val="0"/>
          <w:numId w:val="4"/>
        </w:numPr>
        <w:spacing w:line="360" w:lineRule="auto"/>
        <w:jc w:val="both"/>
      </w:pPr>
      <w:r w:rsidRPr="00C76094">
        <w:t>zwrotów z lat ubiegłych dla Wojewódzkiego Inspektoratu Transportu Drogowego związanych m. in. z pozytywnym rozpatrzeniem reklamacji zakupów, zwrotem zaliczki od komornika sądowego, czy ze zwrotem nadpłaty za energię elektryczną – 5 tys. zł.</w:t>
      </w:r>
    </w:p>
    <w:p w14:paraId="5DF8B373" w14:textId="77777777" w:rsidR="00C76094" w:rsidRPr="00C76094" w:rsidRDefault="00C76094" w:rsidP="00C76094">
      <w:pPr>
        <w:spacing w:line="360" w:lineRule="auto"/>
        <w:jc w:val="both"/>
      </w:pPr>
    </w:p>
    <w:p w14:paraId="5193FE1D" w14:textId="77777777" w:rsidR="002D022F" w:rsidRDefault="00C76094" w:rsidP="00C76094">
      <w:pPr>
        <w:spacing w:line="360" w:lineRule="auto"/>
        <w:jc w:val="both"/>
        <w:rPr>
          <w:rFonts w:eastAsia="Batang"/>
        </w:rPr>
      </w:pPr>
      <w:bookmarkStart w:id="5" w:name="_Hlk194409300"/>
      <w:r w:rsidRPr="00C76094">
        <w:t xml:space="preserve">Na koniec 2024 r. należności wyniosły 89 tys. zł. i wzrosły w stosunku do roku 2023 </w:t>
      </w:r>
      <w:r w:rsidRPr="00C76094">
        <w:br/>
        <w:t xml:space="preserve">o 79 tys. zł. Wzrost należności wynika ze zwiększenia się przypisu zaległości z tytułu </w:t>
      </w:r>
      <w:r w:rsidRPr="00C76094">
        <w:rPr>
          <w:rFonts w:eastAsia="Batang"/>
        </w:rPr>
        <w:t>opłat pobieranych przez Marszałka Województwa Pomorskiego</w:t>
      </w:r>
      <w:r w:rsidRPr="00C76094">
        <w:t xml:space="preserve"> </w:t>
      </w:r>
      <w:r w:rsidRPr="00C76094">
        <w:rPr>
          <w:rFonts w:eastAsia="Batang"/>
        </w:rPr>
        <w:t>za wydawanie zaświadczeń ADR lub ich</w:t>
      </w:r>
      <w:r w:rsidRPr="00C76094">
        <w:rPr>
          <w:rFonts w:eastAsia="Batang"/>
        </w:rPr>
        <w:tab/>
        <w:t xml:space="preserve"> wtórników</w:t>
      </w:r>
      <w:r>
        <w:rPr>
          <w:rFonts w:eastAsia="Batang"/>
        </w:rPr>
        <w:t>.</w:t>
      </w:r>
    </w:p>
    <w:p w14:paraId="4F454F22" w14:textId="77777777" w:rsidR="002D022F" w:rsidRDefault="002D022F">
      <w:pPr>
        <w:spacing w:after="160" w:line="259" w:lineRule="auto"/>
        <w:rPr>
          <w:rFonts w:eastAsia="Batang"/>
        </w:rPr>
      </w:pPr>
      <w:r>
        <w:rPr>
          <w:rFonts w:eastAsia="Batang"/>
        </w:rPr>
        <w:br w:type="page"/>
      </w:r>
    </w:p>
    <w:p w14:paraId="7B948641" w14:textId="77777777" w:rsidR="002D022F" w:rsidRPr="002D022F" w:rsidRDefault="002D022F" w:rsidP="002D022F">
      <w:pPr>
        <w:keepNext/>
        <w:keepLines/>
        <w:spacing w:before="40" w:line="259" w:lineRule="auto"/>
        <w:outlineLvl w:val="5"/>
        <w:rPr>
          <w:rFonts w:eastAsiaTheme="majorEastAsia" w:cstheme="majorBidi"/>
          <w:b/>
          <w:iCs/>
          <w:kern w:val="2"/>
          <w:sz w:val="28"/>
          <w:szCs w:val="20"/>
          <w:lang w:eastAsia="en-US"/>
          <w14:ligatures w14:val="standardContextual"/>
        </w:rPr>
      </w:pPr>
      <w:r w:rsidRPr="002D022F">
        <w:rPr>
          <w:rFonts w:eastAsiaTheme="majorEastAsia" w:cstheme="majorBidi"/>
          <w:b/>
          <w:iCs/>
          <w:kern w:val="2"/>
          <w:sz w:val="28"/>
          <w:szCs w:val="20"/>
          <w:lang w:eastAsia="en-US"/>
          <w14:ligatures w14:val="standardContextual"/>
        </w:rPr>
        <w:lastRenderedPageBreak/>
        <w:t>DZIAŁ 700 – GOSPODARKA MIESZKANIOWA</w:t>
      </w:r>
    </w:p>
    <w:p w14:paraId="0BEF696C" w14:textId="77777777" w:rsidR="002D022F" w:rsidRPr="002D022F" w:rsidRDefault="002D022F" w:rsidP="002D022F">
      <w:pPr>
        <w:spacing w:line="360" w:lineRule="auto"/>
      </w:pPr>
    </w:p>
    <w:p w14:paraId="7AAC06CF" w14:textId="77777777" w:rsidR="002D022F" w:rsidRPr="002D022F" w:rsidRDefault="002D022F" w:rsidP="002D022F">
      <w:pPr>
        <w:spacing w:line="360" w:lineRule="auto"/>
        <w:jc w:val="both"/>
      </w:pPr>
      <w:r w:rsidRPr="002D022F">
        <w:t>Dochody w dziale za 2024 r. zrealizowano w kwocie 133.101 tys. zł, co stanowi 110,9% planu wynoszącego 120.002 tys. zł.</w:t>
      </w:r>
    </w:p>
    <w:p w14:paraId="348E2458" w14:textId="77777777" w:rsidR="002D022F" w:rsidRPr="002D022F" w:rsidRDefault="002D022F" w:rsidP="002D022F">
      <w:pPr>
        <w:widowControl w:val="0"/>
        <w:autoSpaceDE w:val="0"/>
        <w:autoSpaceDN w:val="0"/>
        <w:adjustRightInd w:val="0"/>
        <w:spacing w:before="120" w:line="360" w:lineRule="auto"/>
        <w:jc w:val="both"/>
      </w:pPr>
      <w:r w:rsidRPr="002D022F">
        <w:t>Zaplanowane w tym dziale dochody pochodziły przede wszystkim z opłat, pobieranych  przez starostów i prezydentów miast na prawach powiatu, z tytułu gospodarowania nieruchomościami Skarbu Państwa, tj. za trwały zarząd, użytkowanie i użytkowanie wieczyste, najem i dzierżawę, przekształcenie prawa użytkowania wieczystego przysługującego osobom fizycznym w prawo własności, jak również za odpłatne nabycie prawa własności oraz prawa użytkowania wieczystego nieruchomości.</w:t>
      </w:r>
    </w:p>
    <w:p w14:paraId="4C15023C" w14:textId="77777777" w:rsidR="002D022F" w:rsidRPr="002D022F" w:rsidRDefault="002D022F" w:rsidP="002D022F">
      <w:pPr>
        <w:spacing w:line="360" w:lineRule="auto"/>
        <w:jc w:val="both"/>
      </w:pPr>
      <w:r w:rsidRPr="002D022F">
        <w:t xml:space="preserve">Nie zrealizowano planowanych w rozdziale 70005 dochodów w kwocie 2 tys. zł. w związku </w:t>
      </w:r>
      <w:r w:rsidRPr="002D022F">
        <w:br/>
        <w:t>z prowadzoną egzekucją należności z tytułu nienależnie pobranego odszkodowania, z powodu nieskuteczności postępowań egzekucyjnych.</w:t>
      </w:r>
    </w:p>
    <w:p w14:paraId="5D038F76" w14:textId="77777777" w:rsidR="002D022F" w:rsidRPr="002D022F" w:rsidRDefault="002D022F" w:rsidP="002D022F">
      <w:pPr>
        <w:spacing w:line="360" w:lineRule="auto"/>
        <w:jc w:val="both"/>
        <w:rPr>
          <w:szCs w:val="26"/>
          <w:highlight w:val="yellow"/>
        </w:rPr>
      </w:pPr>
    </w:p>
    <w:p w14:paraId="6CA38FA2" w14:textId="77777777" w:rsidR="002D022F" w:rsidRPr="002D022F" w:rsidRDefault="002D022F" w:rsidP="002D022F">
      <w:pPr>
        <w:spacing w:line="360" w:lineRule="auto"/>
        <w:jc w:val="both"/>
      </w:pPr>
      <w:r w:rsidRPr="002D022F">
        <w:rPr>
          <w:szCs w:val="26"/>
        </w:rPr>
        <w:t>Dochody nieplanowane zostały zrealizowane w kwocie 8 tys. zł. Pochodziły one przede wszystkim z tytułu zwrotów dotacji oraz zaliczek z lat ubiegłych.</w:t>
      </w:r>
    </w:p>
    <w:p w14:paraId="59CA3E06" w14:textId="77777777" w:rsidR="002D022F" w:rsidRPr="002D022F" w:rsidRDefault="002D022F" w:rsidP="002D022F">
      <w:pPr>
        <w:spacing w:line="360" w:lineRule="auto"/>
        <w:jc w:val="both"/>
        <w:rPr>
          <w:color w:val="FF0000"/>
        </w:rPr>
      </w:pPr>
    </w:p>
    <w:p w14:paraId="3EBA55E7" w14:textId="77777777" w:rsidR="002D022F" w:rsidRPr="002D022F" w:rsidRDefault="002D022F" w:rsidP="002D022F">
      <w:pPr>
        <w:spacing w:line="360" w:lineRule="auto"/>
        <w:jc w:val="both"/>
        <w:rPr>
          <w:szCs w:val="26"/>
        </w:rPr>
      </w:pPr>
      <w:r w:rsidRPr="002D022F">
        <w:rPr>
          <w:szCs w:val="26"/>
        </w:rPr>
        <w:t xml:space="preserve">Na koniec 2024 r. należności z tytułu gospodarki nieruchomościami wyniosły 191.770 tys. zł </w:t>
      </w:r>
      <w:r w:rsidRPr="002D022F">
        <w:rPr>
          <w:szCs w:val="26"/>
        </w:rPr>
        <w:br/>
        <w:t xml:space="preserve">i w stosunku do roku 2023 wzrosły o 143.014 tys. zł. Wzrost należności wynika ze zwiększenia się ich przypisu w zakresie zaległości za  </w:t>
      </w:r>
      <w:r w:rsidRPr="002D022F">
        <w:t xml:space="preserve">opłaty pobierane przez starostów i prezydentów miast na prawach powiatu, z tytułu gospodarowania nieruchomościami Skarbu Państwa. </w:t>
      </w:r>
    </w:p>
    <w:p w14:paraId="0D7E6413" w14:textId="77777777" w:rsidR="002D022F" w:rsidRPr="002D022F" w:rsidRDefault="002D022F" w:rsidP="002D022F">
      <w:pPr>
        <w:spacing w:line="360" w:lineRule="auto"/>
        <w:jc w:val="both"/>
        <w:rPr>
          <w:color w:val="FF0000"/>
        </w:rPr>
      </w:pPr>
    </w:p>
    <w:p w14:paraId="44D1E89F" w14:textId="77777777" w:rsidR="002D022F" w:rsidRPr="002D022F" w:rsidRDefault="002D022F" w:rsidP="002D022F">
      <w:pPr>
        <w:spacing w:line="360" w:lineRule="auto"/>
        <w:jc w:val="both"/>
        <w:rPr>
          <w:color w:val="FF0000"/>
        </w:rPr>
      </w:pPr>
    </w:p>
    <w:p w14:paraId="43D5ECAF" w14:textId="77777777" w:rsidR="002D022F" w:rsidRPr="002D022F" w:rsidRDefault="002D022F" w:rsidP="002D022F">
      <w:pPr>
        <w:spacing w:line="360" w:lineRule="auto"/>
        <w:jc w:val="both"/>
        <w:rPr>
          <w:color w:val="FF0000"/>
        </w:rPr>
      </w:pPr>
    </w:p>
    <w:p w14:paraId="00E5D603" w14:textId="77777777" w:rsidR="002D022F" w:rsidRPr="002D022F" w:rsidRDefault="002D022F" w:rsidP="002D022F"/>
    <w:p w14:paraId="1CE9ED0F" w14:textId="77777777" w:rsidR="002D022F" w:rsidRDefault="002D022F">
      <w:pPr>
        <w:spacing w:after="160" w:line="259" w:lineRule="auto"/>
        <w:rPr>
          <w:rFonts w:eastAsia="Batang"/>
        </w:rPr>
      </w:pPr>
      <w:r>
        <w:rPr>
          <w:rFonts w:eastAsia="Batang"/>
        </w:rPr>
        <w:br w:type="page"/>
      </w:r>
    </w:p>
    <w:p w14:paraId="2ED673FF" w14:textId="77777777" w:rsidR="002D022F" w:rsidRPr="002D022F" w:rsidRDefault="002D022F" w:rsidP="002D022F">
      <w:pPr>
        <w:keepNext/>
        <w:keepLines/>
        <w:spacing w:before="40"/>
        <w:outlineLvl w:val="5"/>
        <w:rPr>
          <w:rFonts w:eastAsiaTheme="majorEastAsia" w:cstheme="majorBidi"/>
          <w:b/>
          <w:iCs/>
          <w:sz w:val="28"/>
          <w:szCs w:val="22"/>
        </w:rPr>
      </w:pPr>
      <w:r w:rsidRPr="002D022F">
        <w:rPr>
          <w:rFonts w:eastAsiaTheme="majorEastAsia" w:cstheme="majorBidi"/>
          <w:b/>
          <w:iCs/>
          <w:sz w:val="28"/>
          <w:szCs w:val="22"/>
        </w:rPr>
        <w:lastRenderedPageBreak/>
        <w:t>DZIAŁ 710 – DZIAŁALNOŚĆ USŁUGOWA</w:t>
      </w:r>
    </w:p>
    <w:p w14:paraId="742CBD79" w14:textId="77777777" w:rsidR="002D022F" w:rsidRPr="002D022F" w:rsidRDefault="002D022F" w:rsidP="002D022F">
      <w:pPr>
        <w:spacing w:line="360" w:lineRule="auto"/>
      </w:pPr>
    </w:p>
    <w:p w14:paraId="736DC1DE" w14:textId="77777777" w:rsidR="002D022F" w:rsidRPr="002D022F" w:rsidRDefault="002D022F" w:rsidP="002D022F">
      <w:pPr>
        <w:spacing w:line="360" w:lineRule="auto"/>
        <w:jc w:val="both"/>
      </w:pPr>
      <w:r w:rsidRPr="002D022F">
        <w:t>Dochody w dziale za 2024 r. zrealizowano w kwocie 1.871 tys. zł, co stanowi 88,3% planu wynoszącego 2.118 tys. zł.</w:t>
      </w:r>
    </w:p>
    <w:p w14:paraId="54B345AD" w14:textId="77777777" w:rsidR="002D022F" w:rsidRPr="002D022F" w:rsidRDefault="002D022F" w:rsidP="002D022F">
      <w:pPr>
        <w:spacing w:line="360" w:lineRule="auto"/>
        <w:jc w:val="both"/>
      </w:pPr>
    </w:p>
    <w:p w14:paraId="7C84EA91" w14:textId="77777777" w:rsidR="002D022F" w:rsidRPr="002D022F" w:rsidRDefault="002D022F" w:rsidP="002D022F">
      <w:pPr>
        <w:spacing w:line="360" w:lineRule="auto"/>
        <w:jc w:val="both"/>
        <w:rPr>
          <w:szCs w:val="26"/>
        </w:rPr>
      </w:pPr>
      <w:r w:rsidRPr="002D022F">
        <w:rPr>
          <w:szCs w:val="26"/>
        </w:rPr>
        <w:t>Na wykonanie dochodów złożyły się wpływy z tytułu:</w:t>
      </w:r>
    </w:p>
    <w:p w14:paraId="1227AC06" w14:textId="77777777" w:rsidR="002D022F" w:rsidRPr="002D022F" w:rsidRDefault="002D022F" w:rsidP="002D022F">
      <w:pPr>
        <w:widowControl w:val="0"/>
        <w:numPr>
          <w:ilvl w:val="0"/>
          <w:numId w:val="8"/>
        </w:numPr>
        <w:autoSpaceDE w:val="0"/>
        <w:spacing w:line="360" w:lineRule="auto"/>
        <w:contextualSpacing/>
        <w:jc w:val="both"/>
      </w:pPr>
      <w:r w:rsidRPr="002D022F">
        <w:rPr>
          <w:szCs w:val="28"/>
        </w:rPr>
        <w:t xml:space="preserve">opłat za </w:t>
      </w:r>
      <w:r w:rsidRPr="002D022F">
        <w:t xml:space="preserve">korzystanie z informacji geologicznej, do której prawa przysługują Skarbowi Państwa, na podstawie art. 100 ust. 2-3a  ustawy z dnia 9 czerwca 2011 r. Prawo geologiczne i górnicze zrealizowane przez Marszałka Województwa Pomorskiego – </w:t>
      </w:r>
      <w:r w:rsidRPr="002D022F">
        <w:br/>
        <w:t xml:space="preserve">13 tys. zł, co stanowi 50% planu wynoszącego 26 tys. zł. Niższe od planowanego wykonanie dochodów wynika z zawarcia mniejszej od planowanej liczby umów </w:t>
      </w:r>
      <w:r w:rsidRPr="002D022F">
        <w:br/>
        <w:t xml:space="preserve">o korzystanie z ww. informacji; </w:t>
      </w:r>
    </w:p>
    <w:p w14:paraId="16FF12A9" w14:textId="77777777" w:rsidR="002D022F" w:rsidRPr="002D022F" w:rsidRDefault="002D022F" w:rsidP="002D022F">
      <w:pPr>
        <w:widowControl w:val="0"/>
        <w:numPr>
          <w:ilvl w:val="0"/>
          <w:numId w:val="8"/>
        </w:numPr>
        <w:autoSpaceDE w:val="0"/>
        <w:spacing w:line="360" w:lineRule="auto"/>
        <w:contextualSpacing/>
        <w:jc w:val="both"/>
      </w:pPr>
      <w:r w:rsidRPr="002D022F">
        <w:rPr>
          <w:szCs w:val="28"/>
        </w:rPr>
        <w:t xml:space="preserve">grzywien, kar i mandatów nakładanych przez powiatowe inspektoraty nadzoru budowlanego na osoby fizyczne i prawne za: samowole budowlane, nielegalne użytkowanie obiektów, niezgodność z projektem, odstępstwa od warunków pozwolenia na budowę oraz </w:t>
      </w:r>
      <w:r w:rsidRPr="002D022F">
        <w:t>kar za nieprawidłowości dotyczące wprowadzenia do obrotu wyrobów budowlanych – 164 tys. zł, co stanowi 65,6% planu wynoszącego 250 tys. zł. Niższe od planowanego wykonanie dochodów wynika przede wszystkim z sankcyjnego charakteru dochodu, co utrudnia jego dokładne zaplanowanie;</w:t>
      </w:r>
    </w:p>
    <w:p w14:paraId="527BA4E0" w14:textId="77777777" w:rsidR="002D022F" w:rsidRPr="002D022F" w:rsidRDefault="002D022F" w:rsidP="002D022F">
      <w:pPr>
        <w:widowControl w:val="0"/>
        <w:numPr>
          <w:ilvl w:val="0"/>
          <w:numId w:val="8"/>
        </w:numPr>
        <w:autoSpaceDE w:val="0"/>
        <w:spacing w:line="360" w:lineRule="auto"/>
        <w:contextualSpacing/>
        <w:jc w:val="both"/>
      </w:pPr>
      <w:r w:rsidRPr="002D022F">
        <w:rPr>
          <w:szCs w:val="28"/>
        </w:rPr>
        <w:t>opłat legalizacyjnych, o których mowa w ustawie Prawo budowlane – 1.458 tys. zł, co stanowi 91,1% planu wynoszącego 1.600 tys. zł;</w:t>
      </w:r>
    </w:p>
    <w:p w14:paraId="6C710A27" w14:textId="77777777" w:rsidR="002D022F" w:rsidRPr="002D022F" w:rsidRDefault="002D022F" w:rsidP="002D022F">
      <w:pPr>
        <w:widowControl w:val="0"/>
        <w:numPr>
          <w:ilvl w:val="0"/>
          <w:numId w:val="8"/>
        </w:numPr>
        <w:spacing w:line="360" w:lineRule="auto"/>
        <w:contextualSpacing/>
        <w:jc w:val="both"/>
      </w:pPr>
      <w:r w:rsidRPr="002D022F">
        <w:t>opłat prolongacyjnych naliczonych w związku z rozłożeniem na raty należności                           z tytułu kar i opłat legalizacyjnych – 20 tys. zł, co stanowi 181,2% planu wynoszącego 11 tys. zł. Wykonanie jest ściśle związane z liczbą wydanych decyzji na podstawie złożonego wniosku o udzielenie ulgi w zapłacie w postaci rozłożenia płatności w ratach. W 2024 r. liczba pozytywnych wydanych decyzji o rozłożeniu na raty wzrosła o 100% z 6 wydanych w 2023 r. do 12 decyzji w 2024r. Charakter dochodu nie pozwala na dokładne zaplanowanie jego wysokości;</w:t>
      </w:r>
    </w:p>
    <w:p w14:paraId="479F5FC5" w14:textId="77777777" w:rsidR="002D022F" w:rsidRPr="002D022F" w:rsidRDefault="002D022F" w:rsidP="002D022F">
      <w:pPr>
        <w:widowControl w:val="0"/>
        <w:numPr>
          <w:ilvl w:val="0"/>
          <w:numId w:val="8"/>
        </w:numPr>
        <w:autoSpaceDE w:val="0"/>
        <w:spacing w:line="360" w:lineRule="auto"/>
        <w:contextualSpacing/>
        <w:jc w:val="both"/>
      </w:pPr>
      <w:r w:rsidRPr="002D022F">
        <w:t>grzywien w celu przymuszenia wykonania obowiązków o charakterze niepieniężnym, głównie rozbiórek obiektów budowlanych, kosztów upomnień  oraz opłat egzekucyjnych zrealizowanych przez powiatowe inspektoraty nadzoru budowlanego – 137 tys. zł, co stanowi 59,6% planu wynoszącego 230 tys. zł. Niższe od planowanego wykonanie dochodów wynika przede wszystkim z sankcyjnego charakteru dochodu, co utrudnia jego dokładne zaplanowanie.</w:t>
      </w:r>
    </w:p>
    <w:p w14:paraId="4829EE18" w14:textId="77777777" w:rsidR="002D022F" w:rsidRPr="002D022F" w:rsidRDefault="002D022F" w:rsidP="002D022F">
      <w:pPr>
        <w:widowControl w:val="0"/>
        <w:autoSpaceDE w:val="0"/>
        <w:spacing w:line="360" w:lineRule="auto"/>
        <w:jc w:val="both"/>
      </w:pPr>
      <w:r w:rsidRPr="002D022F">
        <w:lastRenderedPageBreak/>
        <w:t>Niezrealizowane pozostały dochody z tytułu odsetek od nieterminowo wpłaconych należności z tytułu kar administracyjnych, zaplanowane na kwotę 1 tys. zł. Niezrealizowanie dochodów wynika z terminowego regulowania kar oraz z braku skutecznej egzekucji należności przez organ egzekucyjny.</w:t>
      </w:r>
    </w:p>
    <w:p w14:paraId="0B9FED48" w14:textId="77777777" w:rsidR="002D022F" w:rsidRPr="002D022F" w:rsidRDefault="002D022F" w:rsidP="002D022F">
      <w:pPr>
        <w:widowControl w:val="0"/>
        <w:autoSpaceDE w:val="0"/>
        <w:spacing w:line="360" w:lineRule="auto"/>
        <w:jc w:val="both"/>
      </w:pPr>
    </w:p>
    <w:p w14:paraId="115E9F7A" w14:textId="77777777" w:rsidR="002D022F" w:rsidRPr="002D022F" w:rsidRDefault="002D022F" w:rsidP="002D022F">
      <w:pPr>
        <w:widowControl w:val="0"/>
        <w:autoSpaceDE w:val="0"/>
        <w:spacing w:line="360" w:lineRule="auto"/>
        <w:jc w:val="both"/>
        <w:rPr>
          <w:highlight w:val="red"/>
        </w:rPr>
      </w:pPr>
      <w:r w:rsidRPr="002D022F">
        <w:t>Dochody nieplanowane w wysokości 79 tys. zł pochodziły przede wszystkim ze sprzedaży samochodu osobowego oraz zwrotu kosztów za badania laboratoryjne wyrobów budowlanych.</w:t>
      </w:r>
      <w:r w:rsidRPr="002D022F">
        <w:rPr>
          <w:highlight w:val="red"/>
        </w:rPr>
        <w:t xml:space="preserve"> </w:t>
      </w:r>
    </w:p>
    <w:p w14:paraId="7618C743" w14:textId="77777777" w:rsidR="002D022F" w:rsidRPr="002D022F" w:rsidRDefault="002D022F" w:rsidP="002D022F">
      <w:pPr>
        <w:widowControl w:val="0"/>
        <w:autoSpaceDE w:val="0"/>
        <w:spacing w:line="360" w:lineRule="auto"/>
        <w:jc w:val="both"/>
        <w:rPr>
          <w:highlight w:val="red"/>
        </w:rPr>
      </w:pPr>
    </w:p>
    <w:p w14:paraId="2FA13B2B" w14:textId="77777777" w:rsidR="002D022F" w:rsidRPr="002D022F" w:rsidRDefault="002D022F" w:rsidP="002D022F">
      <w:pPr>
        <w:widowControl w:val="0"/>
        <w:autoSpaceDE w:val="0"/>
        <w:spacing w:line="360" w:lineRule="auto"/>
        <w:jc w:val="both"/>
      </w:pPr>
      <w:r w:rsidRPr="002D022F">
        <w:t xml:space="preserve">Należności na koniec 2024 r. wyniosły 11.534 tys. zł, co stanowi wzrost o kwotę </w:t>
      </w:r>
      <w:r w:rsidRPr="002D022F">
        <w:br/>
        <w:t xml:space="preserve">1.668 tys. zł w stosunku do roku 2023. Wzrost należności wynika przede wszystkim ze zwiększenia się przypisów należności z tytułu grzywien nakładanych  w celu przymuszenia wykonania obowiązków o charakterze niepieniężnym oraz z tytułu naliczonych opłat prolongacyjnych. </w:t>
      </w:r>
    </w:p>
    <w:p w14:paraId="5767B4C4" w14:textId="77777777" w:rsidR="002D022F" w:rsidRPr="002D022F" w:rsidRDefault="002D022F" w:rsidP="002D022F"/>
    <w:p w14:paraId="6C0D8E9B" w14:textId="77777777" w:rsidR="002D022F" w:rsidRDefault="002D022F">
      <w:pPr>
        <w:spacing w:after="160" w:line="259" w:lineRule="auto"/>
        <w:rPr>
          <w:rFonts w:eastAsia="Batang"/>
        </w:rPr>
      </w:pPr>
      <w:r>
        <w:rPr>
          <w:rFonts w:eastAsia="Batang"/>
        </w:rPr>
        <w:br w:type="page"/>
      </w:r>
    </w:p>
    <w:p w14:paraId="47AE20E8" w14:textId="77777777" w:rsidR="002D022F" w:rsidRPr="002D022F" w:rsidRDefault="002D022F" w:rsidP="002D022F">
      <w:pPr>
        <w:keepNext/>
        <w:keepLines/>
        <w:spacing w:before="40"/>
        <w:jc w:val="both"/>
        <w:outlineLvl w:val="5"/>
        <w:rPr>
          <w:rFonts w:eastAsiaTheme="majorEastAsia" w:cstheme="majorBidi"/>
          <w:b/>
          <w:iCs/>
          <w:sz w:val="28"/>
          <w:szCs w:val="22"/>
        </w:rPr>
      </w:pPr>
      <w:r w:rsidRPr="002D022F">
        <w:rPr>
          <w:rFonts w:eastAsiaTheme="majorEastAsia" w:cstheme="majorBidi"/>
          <w:b/>
          <w:iCs/>
          <w:sz w:val="28"/>
          <w:szCs w:val="22"/>
        </w:rPr>
        <w:lastRenderedPageBreak/>
        <w:t>DZIAŁ 750 – ADMINISTRACJA PUBLICZNA</w:t>
      </w:r>
    </w:p>
    <w:p w14:paraId="7E314383" w14:textId="77777777" w:rsidR="002D022F" w:rsidRPr="002D022F" w:rsidRDefault="002D022F" w:rsidP="002D022F">
      <w:pPr>
        <w:spacing w:line="360" w:lineRule="auto"/>
        <w:jc w:val="both"/>
        <w:rPr>
          <w:color w:val="FF0000"/>
        </w:rPr>
      </w:pPr>
    </w:p>
    <w:p w14:paraId="42F7F39F" w14:textId="77777777" w:rsidR="002D022F" w:rsidRPr="002D022F" w:rsidRDefault="002D022F" w:rsidP="002D022F">
      <w:pPr>
        <w:spacing w:after="200" w:line="360" w:lineRule="auto"/>
        <w:jc w:val="both"/>
      </w:pPr>
      <w:r w:rsidRPr="002D022F">
        <w:t>Dochody w dziale za 2024 r. zrealizowano w kwocie 21.705 tys. zł, co stanowi 121,1% planu wynoszącego 17.918 tys. zł.</w:t>
      </w:r>
    </w:p>
    <w:p w14:paraId="3D49FE7E" w14:textId="77777777" w:rsidR="002D022F" w:rsidRPr="002D022F" w:rsidRDefault="002D022F" w:rsidP="002D022F">
      <w:pPr>
        <w:spacing w:after="200" w:line="360" w:lineRule="auto"/>
        <w:jc w:val="both"/>
      </w:pPr>
      <w:r w:rsidRPr="002D022F">
        <w:rPr>
          <w:szCs w:val="26"/>
        </w:rPr>
        <w:t>Na wykonanie dochodów złożyły się wpływy z tytułu:</w:t>
      </w:r>
    </w:p>
    <w:p w14:paraId="5AB4F88B" w14:textId="77777777" w:rsidR="002D022F" w:rsidRPr="002D022F" w:rsidRDefault="002D022F" w:rsidP="002D022F">
      <w:pPr>
        <w:widowControl w:val="0"/>
        <w:numPr>
          <w:ilvl w:val="1"/>
          <w:numId w:val="9"/>
        </w:numPr>
        <w:tabs>
          <w:tab w:val="left" w:pos="709"/>
        </w:tabs>
        <w:suppressAutoHyphens/>
        <w:autoSpaceDE w:val="0"/>
        <w:spacing w:line="360" w:lineRule="auto"/>
        <w:ind w:left="720"/>
        <w:jc w:val="both"/>
      </w:pPr>
      <w:r w:rsidRPr="002D022F">
        <w:t>grzywien nałożonych w celu przymuszenia w związku z niedopełnieniem obowiązku poddania dziecka obowiązkowym szczepieniom ochronnym – 215 tys. zł, co stanowi 128,1 % planu wynoszącego 167 tys. zł. Wyższe od planowanego wykonanie dochodów z tytułu grzywien wynika przede wszystkim z ich sankcyjnego charakteru, co utrudnia zaplanowanie wysokości wpływów;</w:t>
      </w:r>
    </w:p>
    <w:p w14:paraId="6BAFE55A" w14:textId="77777777" w:rsidR="002D022F" w:rsidRPr="002D022F" w:rsidRDefault="002D022F" w:rsidP="002D022F">
      <w:pPr>
        <w:widowControl w:val="0"/>
        <w:numPr>
          <w:ilvl w:val="0"/>
          <w:numId w:val="12"/>
        </w:numPr>
        <w:tabs>
          <w:tab w:val="left" w:pos="709"/>
          <w:tab w:val="left" w:pos="1069"/>
        </w:tabs>
        <w:suppressAutoHyphens/>
        <w:autoSpaceDE w:val="0"/>
        <w:spacing w:line="360" w:lineRule="auto"/>
        <w:jc w:val="both"/>
      </w:pPr>
      <w:r w:rsidRPr="002D022F">
        <w:t>opłat za wpis do rejestru przedsiębiorców prowadzących ośrodki szkolenia, wpis do rejestru ośrodka szkolenia kierowców i za wpis do ewidencji instruktorów techniki jazdy oraz opłat za sprawdzenie teoretycznych i praktycznych kwalifikacji kandydatów na instruktorów i instruktorów nauki jazdy – 62 tys. zł, co stanowi 129,2% wynoszącego 48 tys. zł. Wyższe od planowanego wykonanie wynika z trudnego do przewidzenia charakteru dochodu. Dochód opiera się na liczbie złożonych wniosków;</w:t>
      </w:r>
    </w:p>
    <w:p w14:paraId="55FEAD5F" w14:textId="77777777" w:rsidR="002D022F" w:rsidRPr="002D022F" w:rsidRDefault="002D022F" w:rsidP="002D022F">
      <w:pPr>
        <w:widowControl w:val="0"/>
        <w:numPr>
          <w:ilvl w:val="0"/>
          <w:numId w:val="12"/>
        </w:numPr>
        <w:tabs>
          <w:tab w:val="left" w:pos="709"/>
          <w:tab w:val="left" w:pos="1418"/>
        </w:tabs>
        <w:suppressAutoHyphens/>
        <w:autoSpaceDE w:val="0"/>
        <w:spacing w:line="360" w:lineRule="auto"/>
        <w:jc w:val="both"/>
        <w:rPr>
          <w:color w:val="FF0000"/>
          <w:szCs w:val="26"/>
        </w:rPr>
      </w:pPr>
      <w:r w:rsidRPr="002D022F">
        <w:t xml:space="preserve">wpływów opłat paszportowych, opłat dokonanych przez cudzoziemców za kartę pobytu na terytorium Polski i innych opłat konsularnych – 14.198 tys. zł, co stanowi 113,6% planu wynoszącego 12.150 tys. zł. Wyższe od planowanego wykonanie wynika </w:t>
      </w:r>
      <w:r w:rsidRPr="002D022F">
        <w:br/>
        <w:t xml:space="preserve">z trudnego do przewidzenia charakteru dochodu. Dochód opiera się na liczbie wniosków o wykonanie czynności konsularnych; </w:t>
      </w:r>
    </w:p>
    <w:p w14:paraId="264E0322" w14:textId="77777777" w:rsidR="002D022F" w:rsidRPr="002D022F" w:rsidRDefault="002D022F" w:rsidP="002D022F">
      <w:pPr>
        <w:widowControl w:val="0"/>
        <w:numPr>
          <w:ilvl w:val="0"/>
          <w:numId w:val="9"/>
        </w:numPr>
        <w:tabs>
          <w:tab w:val="left" w:pos="709"/>
        </w:tabs>
        <w:suppressAutoHyphens/>
        <w:autoSpaceDE w:val="0"/>
        <w:spacing w:before="120" w:line="360" w:lineRule="auto"/>
        <w:ind w:left="714" w:hanging="357"/>
        <w:jc w:val="both"/>
      </w:pPr>
      <w:r w:rsidRPr="002D022F">
        <w:t>wpływów z różnych opłat, w tym m.in. z tytułu zatrudnienia cudzoziemców, opłat dokonanych przez cudzoziemców za kartę pobytu na terytorium Polski – 5.090 tys. zł, co stanowi 143,8% planu wynoszącego 3.540 tys. zł. Wyższe od planowanego wykonanie dochodów wynika ze zwiększonej liczby wniosków o dokonanie czynności urzędowych;</w:t>
      </w:r>
    </w:p>
    <w:p w14:paraId="19DAFF3A" w14:textId="77777777" w:rsidR="002D022F" w:rsidRPr="002D022F" w:rsidRDefault="002D022F" w:rsidP="002D022F">
      <w:pPr>
        <w:numPr>
          <w:ilvl w:val="0"/>
          <w:numId w:val="11"/>
        </w:numPr>
        <w:tabs>
          <w:tab w:val="left" w:pos="709"/>
        </w:tabs>
        <w:spacing w:before="120" w:line="360" w:lineRule="auto"/>
        <w:jc w:val="both"/>
      </w:pPr>
      <w:r w:rsidRPr="002D022F">
        <w:t>wpływów z różnych dochodów – 226 tys. zł, co stanowi 146,8% planu wynoszącego 154 tys. zł.). Źródła dochodu to:</w:t>
      </w:r>
    </w:p>
    <w:p w14:paraId="017E1FAD" w14:textId="77777777" w:rsidR="002D022F" w:rsidRPr="002D022F" w:rsidRDefault="002D022F" w:rsidP="002D022F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line="360" w:lineRule="auto"/>
        <w:jc w:val="both"/>
      </w:pPr>
      <w:bookmarkStart w:id="6" w:name="_Hlk194410315"/>
      <w:r w:rsidRPr="002D022F">
        <w:t xml:space="preserve">wynagrodzenie płatnika składek, ekwiwalent za zwierzynę bezprawnie pozyskaną oraz z tytułu odszkodowań za wyrządzoną przez zwierzynę szkodę w obwodach łowieckich, wpłaty z Urzędu Skarbowego należności od dłużników zlikwidowanego Zakładu Obsługi działającego przy urzędzie wojewódzkim, </w:t>
      </w:r>
      <w:r w:rsidRPr="002D022F">
        <w:lastRenderedPageBreak/>
        <w:t xml:space="preserve">wynagrodzenie dla płatnika z tytułu wykonywania zadań określonych przepisami prawa, wpłaty należności rozłożonych na raty od byłych najemców lokali Pomorskiego Urzędu Wojewódzkiego (czynsz) – 42 tys. zł, co stanowi 210% planu wynoszącego 20 tys. zł. Wyższe od planowanego wykonanie dochodów z tytułu wynika przede wszystkim ze zwiększonego wpływu ekwiwalentu za zwierzynę bezprawnie pozyskaną. Dochód z uwagi na swój charakter jest trudny do właściwego zaplanowania; </w:t>
      </w:r>
    </w:p>
    <w:bookmarkEnd w:id="6"/>
    <w:p w14:paraId="5E91EDE3" w14:textId="77777777" w:rsidR="002D022F" w:rsidRPr="002D022F" w:rsidRDefault="002D022F" w:rsidP="002D022F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line="360" w:lineRule="auto"/>
        <w:jc w:val="both"/>
      </w:pPr>
      <w:r w:rsidRPr="002D022F">
        <w:t>składki emerytalno-rentowe nadpłacone, wpłaty zaległych opłat za media przez najemców lokali oraz zwrot nadpłaconego podatku VAT – 38 tys. zł, co stanowi 108,6% planu wynoszącego 35 tys. zł;</w:t>
      </w:r>
    </w:p>
    <w:p w14:paraId="1F600698" w14:textId="77777777" w:rsidR="002D022F" w:rsidRPr="002D022F" w:rsidRDefault="002D022F" w:rsidP="002D022F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line="360" w:lineRule="auto"/>
        <w:jc w:val="both"/>
      </w:pPr>
      <w:bookmarkStart w:id="7" w:name="_Hlk194410328"/>
      <w:r w:rsidRPr="002D022F">
        <w:t>zwroty kosztów postepowania sądowego i egzekucyjnego, koszty upomnień  oraz  opłaty przez zobowiązanych rozłożonych na raty kosztów egzekucyjnych powstałych w związku z dokonaną przez organ egzekucyjny (wojewodę) eksmisją administracyjną i wpłaty kosztów eksmisji przez Wojskową Agencję Mieszkaniową – 40 tys. zł, co stanowi 138% planu wynoszącego 29 tys. zł. Wyższe od planowanego wykonanie dochodów z tytułu wynika przede wszystkim z</w:t>
      </w:r>
      <w:bookmarkEnd w:id="7"/>
      <w:r w:rsidRPr="002D022F">
        <w:t>e zwiększenia liczby postępowań w celu przymuszenia do wykonania obowiązku zaszczepienia dziecka, w ramach których ustalane są opłaty za czynności egzekucyjne;</w:t>
      </w:r>
    </w:p>
    <w:p w14:paraId="41E9AE17" w14:textId="77777777" w:rsidR="002D022F" w:rsidRPr="002D022F" w:rsidRDefault="002D022F" w:rsidP="002D022F">
      <w:pPr>
        <w:numPr>
          <w:ilvl w:val="0"/>
          <w:numId w:val="10"/>
        </w:numPr>
        <w:spacing w:line="360" w:lineRule="auto"/>
        <w:jc w:val="both"/>
      </w:pPr>
      <w:bookmarkStart w:id="8" w:name="_Hlk194410344"/>
      <w:r w:rsidRPr="002D022F">
        <w:t>spłata raty zadłużenia dłużników po zlikwidowanych przedsiębiorstwach państwowych na podstawie zawartych umów z Ministrem Skarbu Państwa                 o rozłożenie na raty i warunkowe zwolnienie z długu – 19 tys. zł, co stanowi 52,8% planu wynoszącego 36 tys. zł. Niższe od planowanego wykonanie dochodów z tytułu wynika z niskiej efektywności prowadzonych postępowań edukacyjnych. Plan założono w oparciu o wykonanie dochodu w latach ubiegłych;</w:t>
      </w:r>
    </w:p>
    <w:p w14:paraId="3CC87D06" w14:textId="77777777" w:rsidR="002D022F" w:rsidRPr="002D022F" w:rsidRDefault="002D022F" w:rsidP="002D022F">
      <w:pPr>
        <w:numPr>
          <w:ilvl w:val="0"/>
          <w:numId w:val="10"/>
        </w:numPr>
        <w:tabs>
          <w:tab w:val="left" w:pos="1080"/>
        </w:tabs>
        <w:spacing w:line="360" w:lineRule="auto"/>
        <w:jc w:val="both"/>
      </w:pPr>
      <w:bookmarkStart w:id="9" w:name="_Hlk194410354"/>
      <w:bookmarkEnd w:id="8"/>
      <w:r w:rsidRPr="002D022F">
        <w:t>odsetek od nieterminowo uregulowanych należności – 53 tys. zł, co stanowi 165,6% planu wynoszącego 32 tys. zł. Wyższe od planowanego wykonanie dochodów z tytułu wynika ze zwiększonej skuteczności egzekucji prowadzonych przez właściwe organy;</w:t>
      </w:r>
      <w:bookmarkEnd w:id="9"/>
    </w:p>
    <w:p w14:paraId="727132C2" w14:textId="77777777" w:rsidR="002D022F" w:rsidRPr="002D022F" w:rsidRDefault="002D022F" w:rsidP="002D022F">
      <w:pPr>
        <w:numPr>
          <w:ilvl w:val="0"/>
          <w:numId w:val="10"/>
        </w:numPr>
        <w:tabs>
          <w:tab w:val="left" w:pos="1080"/>
        </w:tabs>
        <w:spacing w:line="360" w:lineRule="auto"/>
        <w:jc w:val="both"/>
      </w:pPr>
      <w:bookmarkStart w:id="10" w:name="_Hlk194410364"/>
      <w:r w:rsidRPr="002D022F">
        <w:t xml:space="preserve">sprzedaży majątku ruchomego – 34 tys. zł, co stanowi 1.700% planu wynoszącego 2 tys. zł. </w:t>
      </w:r>
      <w:bookmarkStart w:id="11" w:name="_Hlk193979537"/>
      <w:r w:rsidRPr="002D022F">
        <w:t xml:space="preserve">Wyższe od planowanego wykonanie dochodów z tytułu </w:t>
      </w:r>
      <w:r w:rsidRPr="002D022F">
        <w:lastRenderedPageBreak/>
        <w:t>wynika z</w:t>
      </w:r>
      <w:bookmarkEnd w:id="11"/>
      <w:r w:rsidRPr="002D022F">
        <w:t xml:space="preserve">e zwiększonej liczby składników majątkowych (m.in. telefony </w:t>
      </w:r>
      <w:r w:rsidRPr="002D022F">
        <w:br/>
        <w:t>i laptopy) wykupionych przez odchodzących pracowników;</w:t>
      </w:r>
    </w:p>
    <w:bookmarkEnd w:id="10"/>
    <w:p w14:paraId="7BB525AC" w14:textId="77777777" w:rsidR="002D022F" w:rsidRPr="002D022F" w:rsidRDefault="002D022F" w:rsidP="002D022F">
      <w:pPr>
        <w:tabs>
          <w:tab w:val="left" w:pos="709"/>
        </w:tabs>
        <w:suppressAutoHyphens/>
        <w:spacing w:line="360" w:lineRule="auto"/>
        <w:jc w:val="both"/>
      </w:pPr>
    </w:p>
    <w:p w14:paraId="6F733895" w14:textId="77777777" w:rsidR="002D022F" w:rsidRPr="002D022F" w:rsidRDefault="002D022F" w:rsidP="002D022F">
      <w:pPr>
        <w:numPr>
          <w:ilvl w:val="0"/>
          <w:numId w:val="11"/>
        </w:numPr>
        <w:spacing w:after="160" w:line="360" w:lineRule="auto"/>
        <w:contextualSpacing/>
        <w:jc w:val="both"/>
      </w:pPr>
      <w:r w:rsidRPr="002D022F">
        <w:t xml:space="preserve">wpływów z czynszów najemców pomieszczeń w budynkach Pomorskiego Urzędu Wojewódzkiego w Gdańsku oraz wpłat z tytułu części udziałów Skarbu Państwa                     w nieruchomości w Słupsku – 234 tys. zł., co stanowi 121,9% planu wynoszącego </w:t>
      </w:r>
      <w:r w:rsidRPr="002D022F">
        <w:br/>
        <w:t>192 tys. zł. Wyższe od planowanego wykonanie dochodów z tytułu wynika z przyjętych założeń co do wykonania. Dochody zaplanowano w oparciu o wpływy z tytułu w latach poprzednich w trakcie roku uzyskano jednak zwiększone wpływy z wynajmu powierzchni dachu przy budynku Skarbu Państwa przy ul. Jana Pawła II w Słupsku;</w:t>
      </w:r>
    </w:p>
    <w:p w14:paraId="324EAB22" w14:textId="77777777" w:rsidR="002D022F" w:rsidRPr="002D022F" w:rsidRDefault="002D022F" w:rsidP="002D022F">
      <w:pPr>
        <w:numPr>
          <w:ilvl w:val="0"/>
          <w:numId w:val="9"/>
        </w:numPr>
        <w:tabs>
          <w:tab w:val="left" w:pos="709"/>
        </w:tabs>
        <w:suppressAutoHyphens/>
        <w:spacing w:line="360" w:lineRule="auto"/>
        <w:jc w:val="both"/>
      </w:pPr>
      <w:r w:rsidRPr="002D022F">
        <w:t xml:space="preserve">prowadzonej usługi inkasa przez Pomorski Urząd Wojewódzki na rzecz Urzędu Miasta Gdańska w związku z opłatą skarbową, sprzątania części wspólnych i partycypacja </w:t>
      </w:r>
      <w:r w:rsidRPr="002D022F">
        <w:br/>
        <w:t>w kosztach utrzymania pomieszczeń regulowane przez najemców lokali Pomorskiego Urzędu Wojewódzkiego w Gdańsku oraz obsługi kasy zapomogowo-pożyczkowej – 728 tys. zł, co stanowi 98,6% planu wynoszącego 730 tys. zł;</w:t>
      </w:r>
    </w:p>
    <w:p w14:paraId="0F080CB3" w14:textId="77777777" w:rsidR="002D022F" w:rsidRPr="002D022F" w:rsidRDefault="002D022F" w:rsidP="002D022F">
      <w:pPr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before="120" w:line="360" w:lineRule="auto"/>
        <w:jc w:val="both"/>
        <w:rPr>
          <w:bCs/>
        </w:rPr>
      </w:pPr>
      <w:r w:rsidRPr="002D022F">
        <w:rPr>
          <w:bCs/>
        </w:rPr>
        <w:t xml:space="preserve">opłat i innych dochodów pobieranych przez jednostki samorządu terytorialnego                   z tytułu realizacji zadań zleconych z zakresu administracji rządowej – 731 tys. zł.,               co stanowi 124,5% planu wynoszącego 587 tys. zł. </w:t>
      </w:r>
      <w:r w:rsidRPr="002D022F">
        <w:t>Wyższe od planowanego wykonanie dochodów z tytułu wynika z ich charakteru. Dochody te są przede wszystkim uzależnione od trudnej do zaplanowania liczby złożonych jednostkom samorządu terytorialnego wniosków (np. wniosków o udostepnienie danych z rejestru mieszkańców oraz rejestru PESEL).</w:t>
      </w:r>
    </w:p>
    <w:p w14:paraId="42DBDE3B" w14:textId="77777777" w:rsidR="002D022F" w:rsidRPr="002D022F" w:rsidRDefault="002D022F" w:rsidP="002D022F">
      <w:pPr>
        <w:spacing w:line="360" w:lineRule="auto"/>
        <w:jc w:val="both"/>
      </w:pPr>
    </w:p>
    <w:p w14:paraId="07E967E9" w14:textId="77777777" w:rsidR="002D022F" w:rsidRPr="002D022F" w:rsidRDefault="002D022F" w:rsidP="002D022F">
      <w:pPr>
        <w:tabs>
          <w:tab w:val="left" w:pos="1080"/>
        </w:tabs>
        <w:spacing w:line="360" w:lineRule="auto"/>
        <w:jc w:val="both"/>
        <w:rPr>
          <w:rFonts w:ascii="TimesNewRomanPSMT" w:eastAsiaTheme="minorHAnsi" w:hAnsi="TimesNewRomanPSMT" w:cs="TimesNewRomanPSMT"/>
          <w:sz w:val="22"/>
          <w:szCs w:val="22"/>
          <w:lang w:eastAsia="en-US"/>
          <w14:ligatures w14:val="standardContextual"/>
        </w:rPr>
      </w:pPr>
      <w:r w:rsidRPr="002D022F">
        <w:t>Dochody nieplanowane w wysokości 221 tys. zł. uzyskano przede wszystkim z tytułu:</w:t>
      </w:r>
      <w:r w:rsidRPr="002D022F">
        <w:rPr>
          <w:rFonts w:ascii="TimesNewRomanPSMT" w:eastAsiaTheme="minorHAnsi" w:hAnsi="TimesNewRomanPSMT" w:cs="TimesNewRomanPSMT"/>
          <w:sz w:val="22"/>
          <w:szCs w:val="22"/>
          <w:lang w:eastAsia="en-US"/>
          <w14:ligatures w14:val="standardContextual"/>
        </w:rPr>
        <w:t xml:space="preserve"> </w:t>
      </w:r>
    </w:p>
    <w:p w14:paraId="20440D65" w14:textId="77777777" w:rsidR="002D022F" w:rsidRPr="002D022F" w:rsidRDefault="002D022F" w:rsidP="002D022F">
      <w:pPr>
        <w:numPr>
          <w:ilvl w:val="0"/>
          <w:numId w:val="11"/>
        </w:numPr>
        <w:tabs>
          <w:tab w:val="left" w:pos="1080"/>
        </w:tabs>
        <w:spacing w:line="360" w:lineRule="auto"/>
        <w:contextualSpacing/>
        <w:jc w:val="both"/>
      </w:pPr>
      <w:r w:rsidRPr="002D022F">
        <w:rPr>
          <w:rFonts w:ascii="TimesNewRomanPSMT" w:eastAsiaTheme="minorHAnsi" w:hAnsi="TimesNewRomanPSMT" w:cs="TimesNewRomanPSMT"/>
          <w:sz w:val="22"/>
          <w:szCs w:val="22"/>
          <w:lang w:eastAsia="en-US"/>
          <w14:ligatures w14:val="standardContextual"/>
        </w:rPr>
        <w:t xml:space="preserve">kar za </w:t>
      </w:r>
      <w:r w:rsidRPr="002D022F">
        <w:t xml:space="preserve">niedochowanie przez jednostki samorządu terytorialnego ustawowego </w:t>
      </w:r>
      <w:r w:rsidRPr="002D022F">
        <w:br/>
        <w:t xml:space="preserve">65-dniowego terminu na wydanie decyzji o pozwoleniu na budowę lokalu; </w:t>
      </w:r>
    </w:p>
    <w:p w14:paraId="6DC2948F" w14:textId="77777777" w:rsidR="002D022F" w:rsidRPr="002D022F" w:rsidRDefault="002D022F" w:rsidP="002D022F">
      <w:pPr>
        <w:numPr>
          <w:ilvl w:val="0"/>
          <w:numId w:val="11"/>
        </w:numPr>
        <w:tabs>
          <w:tab w:val="left" w:pos="1080"/>
        </w:tabs>
        <w:spacing w:line="360" w:lineRule="auto"/>
        <w:contextualSpacing/>
        <w:jc w:val="both"/>
      </w:pPr>
      <w:r w:rsidRPr="002D022F">
        <w:t>zapłaconych grzywien w celu przymuszenia do wykonania obowiązku wyeliminowania</w:t>
      </w:r>
    </w:p>
    <w:p w14:paraId="5CCA2CFB" w14:textId="77777777" w:rsidR="002D022F" w:rsidRPr="002D022F" w:rsidRDefault="002D022F" w:rsidP="002D022F">
      <w:pPr>
        <w:tabs>
          <w:tab w:val="left" w:pos="1080"/>
        </w:tabs>
        <w:spacing w:line="360" w:lineRule="auto"/>
        <w:jc w:val="both"/>
      </w:pPr>
      <w:r w:rsidRPr="002D022F">
        <w:t xml:space="preserve">            wyrobów niezgodnych z ogólnymi wymaganiami bezpieczeństwa;</w:t>
      </w:r>
    </w:p>
    <w:p w14:paraId="532C7CEA" w14:textId="77777777" w:rsidR="002D022F" w:rsidRPr="002D022F" w:rsidRDefault="002D022F" w:rsidP="002D022F">
      <w:pPr>
        <w:numPr>
          <w:ilvl w:val="0"/>
          <w:numId w:val="13"/>
        </w:numPr>
        <w:tabs>
          <w:tab w:val="left" w:pos="1080"/>
        </w:tabs>
        <w:spacing w:line="360" w:lineRule="auto"/>
        <w:contextualSpacing/>
        <w:jc w:val="both"/>
      </w:pPr>
      <w:r w:rsidRPr="002D022F">
        <w:t>nałożonych kar umownych za niewywiązanie się z terminu zawartej umowy.</w:t>
      </w:r>
    </w:p>
    <w:p w14:paraId="6CC0EDC7" w14:textId="77777777" w:rsidR="002D022F" w:rsidRPr="002D022F" w:rsidRDefault="002D022F" w:rsidP="002D022F">
      <w:pPr>
        <w:jc w:val="both"/>
      </w:pPr>
    </w:p>
    <w:p w14:paraId="406EE427" w14:textId="77777777" w:rsidR="002D022F" w:rsidRPr="002D022F" w:rsidRDefault="002D022F" w:rsidP="002D022F">
      <w:pPr>
        <w:jc w:val="both"/>
      </w:pPr>
    </w:p>
    <w:p w14:paraId="7933858E" w14:textId="77777777" w:rsidR="002D022F" w:rsidRPr="002D022F" w:rsidRDefault="002D022F" w:rsidP="002D022F">
      <w:pPr>
        <w:spacing w:line="360" w:lineRule="auto"/>
        <w:jc w:val="both"/>
      </w:pPr>
      <w:r w:rsidRPr="002D022F">
        <w:t xml:space="preserve">Na koniec 2024 r. należności wyniosły 11.589 tys. zł., co stanowi wzrost o 485 tys. zł </w:t>
      </w:r>
      <w:r w:rsidRPr="002D022F">
        <w:br/>
        <w:t xml:space="preserve">w stosunku do roku 2023. Pochodziły one głównie od dłużników wykreślonych z rejestru sądowego przedsiębiorstw państwowych oraz odsetek z tego tytułu. Są to zaległości pozostałe </w:t>
      </w:r>
      <w:r w:rsidRPr="002D022F">
        <w:lastRenderedPageBreak/>
        <w:t xml:space="preserve">po likwidacji przedsiębiorstw, przejęte po zniesieniu Ministerstwa Skarbu Państwa. Odsetki </w:t>
      </w:r>
      <w:r w:rsidRPr="002D022F">
        <w:br/>
        <w:t>z tytułu stanowiły na koniec 2024 r. już przeszło połowę sumy wszystkich należności w dziale.</w:t>
      </w:r>
    </w:p>
    <w:p w14:paraId="48978D2D" w14:textId="77777777" w:rsidR="002D022F" w:rsidRPr="002D022F" w:rsidRDefault="002D022F" w:rsidP="002D022F">
      <w:pPr>
        <w:jc w:val="both"/>
      </w:pPr>
    </w:p>
    <w:p w14:paraId="790FC319" w14:textId="77777777" w:rsidR="002D022F" w:rsidRPr="002D022F" w:rsidRDefault="002D022F" w:rsidP="002D022F">
      <w:pPr>
        <w:jc w:val="both"/>
      </w:pPr>
    </w:p>
    <w:p w14:paraId="29092ADB" w14:textId="2C293B7B" w:rsidR="002D022F" w:rsidRDefault="00C76094" w:rsidP="00C76094">
      <w:pPr>
        <w:spacing w:line="360" w:lineRule="auto"/>
        <w:jc w:val="both"/>
        <w:rPr>
          <w:rFonts w:eastAsia="Batang"/>
        </w:rPr>
      </w:pPr>
      <w:r w:rsidRPr="00C76094">
        <w:rPr>
          <w:rFonts w:eastAsia="Batang"/>
        </w:rPr>
        <w:t xml:space="preserve"> </w:t>
      </w:r>
    </w:p>
    <w:p w14:paraId="44DB9967" w14:textId="77777777" w:rsidR="002D022F" w:rsidRDefault="002D022F">
      <w:pPr>
        <w:spacing w:after="160" w:line="259" w:lineRule="auto"/>
        <w:rPr>
          <w:rFonts w:eastAsia="Batang"/>
        </w:rPr>
      </w:pPr>
      <w:r>
        <w:rPr>
          <w:rFonts w:eastAsia="Batang"/>
        </w:rPr>
        <w:br w:type="page"/>
      </w:r>
    </w:p>
    <w:p w14:paraId="31C3A437" w14:textId="77777777" w:rsidR="002D022F" w:rsidRPr="002D022F" w:rsidRDefault="002D022F" w:rsidP="002D022F">
      <w:pPr>
        <w:keepNext/>
        <w:keepLines/>
        <w:spacing w:before="360" w:after="80" w:line="259" w:lineRule="auto"/>
        <w:jc w:val="both"/>
        <w:outlineLvl w:val="0"/>
        <w:rPr>
          <w:rFonts w:eastAsiaTheme="majorEastAsia" w:cstheme="majorBidi"/>
          <w:b/>
          <w:kern w:val="2"/>
          <w:sz w:val="28"/>
          <w:szCs w:val="36"/>
          <w:lang w:eastAsia="en-US"/>
          <w14:ligatures w14:val="standardContextual"/>
        </w:rPr>
      </w:pPr>
      <w:r w:rsidRPr="002D022F">
        <w:rPr>
          <w:rFonts w:eastAsiaTheme="majorEastAsia" w:cstheme="majorBidi"/>
          <w:b/>
          <w:kern w:val="2"/>
          <w:sz w:val="28"/>
          <w:szCs w:val="36"/>
          <w:lang w:eastAsia="en-US"/>
          <w14:ligatures w14:val="standardContextual"/>
        </w:rPr>
        <w:lastRenderedPageBreak/>
        <w:t>DZIAŁ 754 – BEZPIECZEŃSTWO PUBLICZNE I OCHRONA PRZECIWPOŻAROWA</w:t>
      </w:r>
    </w:p>
    <w:p w14:paraId="397FB26A" w14:textId="77777777" w:rsidR="002D022F" w:rsidRPr="002D022F" w:rsidRDefault="002D022F" w:rsidP="002D022F">
      <w:pPr>
        <w:spacing w:after="160"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72EC5D94" w14:textId="77777777" w:rsidR="002D022F" w:rsidRPr="002D022F" w:rsidRDefault="002D022F" w:rsidP="002D022F">
      <w:pPr>
        <w:spacing w:after="160"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D022F">
        <w:rPr>
          <w:rFonts w:eastAsiaTheme="minorHAnsi"/>
          <w:kern w:val="2"/>
          <w:lang w:eastAsia="en-US"/>
          <w14:ligatures w14:val="standardContextual"/>
        </w:rPr>
        <w:t>Dochody w dziale za 2024r. zrealizowano w kwocie 852 tys. zł, co stanowi 367,2% planu wynoszącego 232 tys. zł.</w:t>
      </w:r>
    </w:p>
    <w:p w14:paraId="70CEE522" w14:textId="77777777" w:rsidR="002D022F" w:rsidRPr="002D022F" w:rsidRDefault="002D022F" w:rsidP="002D022F">
      <w:pPr>
        <w:spacing w:after="160"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D022F">
        <w:rPr>
          <w:rFonts w:eastAsiaTheme="minorHAnsi"/>
          <w:kern w:val="2"/>
          <w:lang w:eastAsia="en-US"/>
          <w14:ligatures w14:val="standardContextual"/>
        </w:rPr>
        <w:t>Na wykonanie dochodów złożyły się wpływy osiągnięte przez:</w:t>
      </w:r>
    </w:p>
    <w:p w14:paraId="4C39389F" w14:textId="77777777" w:rsidR="002D022F" w:rsidRPr="002D022F" w:rsidRDefault="002D022F" w:rsidP="002D022F">
      <w:pPr>
        <w:numPr>
          <w:ilvl w:val="0"/>
          <w:numId w:val="14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D022F">
        <w:rPr>
          <w:rFonts w:eastAsiaTheme="minorHAnsi"/>
          <w:kern w:val="2"/>
          <w:lang w:eastAsia="en-US"/>
          <w14:ligatures w14:val="standardContextual"/>
        </w:rPr>
        <w:t>Komendę Wojewódzką Państwowej Straży Pożarnej w kwocie 625 tys. zł, co stanowi 5.208,3% planu wynoszącego 12 tys. zł.  Pochodziły one z tytułu: rozliczeń i zwrotów z lat ubiegłych, w tym m.in. za noty obciążeniowe dotyczące odbioru pojazdów ratowniczo-gaśniczych oraz rozliczenia związane ze studiami niestacjonarnymi dla strażaków w służbie stałej – 9 tys. zł, co stanowi 75% planu wynoszącego 12 tys. zł.</w:t>
      </w:r>
    </w:p>
    <w:p w14:paraId="4A3DFB8F" w14:textId="77777777" w:rsidR="002D022F" w:rsidRPr="002D022F" w:rsidRDefault="002D022F" w:rsidP="002D022F">
      <w:pPr>
        <w:spacing w:after="160" w:line="360" w:lineRule="auto"/>
        <w:ind w:left="708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D022F">
        <w:rPr>
          <w:rFonts w:eastAsiaTheme="minorHAnsi"/>
          <w:kern w:val="2"/>
          <w:lang w:eastAsia="en-US"/>
          <w14:ligatures w14:val="standardContextual"/>
        </w:rPr>
        <w:t>Osiągnięto przy tym także dochody nieplanowane w kwocie 616 tys. zł, na które złożyły się m.in. wpływy z tytułu:</w:t>
      </w:r>
    </w:p>
    <w:p w14:paraId="46E887F2" w14:textId="77777777" w:rsidR="002D022F" w:rsidRPr="002D022F" w:rsidRDefault="002D022F" w:rsidP="002D022F">
      <w:pPr>
        <w:numPr>
          <w:ilvl w:val="1"/>
          <w:numId w:val="14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D022F">
        <w:rPr>
          <w:rFonts w:eastAsiaTheme="minorHAnsi"/>
          <w:kern w:val="2"/>
          <w:lang w:eastAsia="en-US"/>
          <w14:ligatures w14:val="standardContextual"/>
        </w:rPr>
        <w:t>sprzedaży składników majątku</w:t>
      </w:r>
      <w:r w:rsidRPr="002D022F">
        <w:rPr>
          <w:rFonts w:eastAsiaTheme="minorHAnsi"/>
          <w:b/>
          <w:bCs/>
          <w:i/>
          <w:iCs/>
          <w:kern w:val="2"/>
          <w:lang w:eastAsia="en-US"/>
          <w14:ligatures w14:val="standardContextual"/>
        </w:rPr>
        <w:t xml:space="preserve"> </w:t>
      </w:r>
      <w:r w:rsidRPr="002D022F">
        <w:rPr>
          <w:rFonts w:eastAsiaTheme="minorHAnsi"/>
          <w:kern w:val="2"/>
          <w:lang w:eastAsia="en-US"/>
          <w14:ligatures w14:val="standardContextual"/>
        </w:rPr>
        <w:t xml:space="preserve">– wykup telefonów komórkowych, słuchawek bezprzewodowych, ładowarek i plecaka przez pracowników KW PSP                    </w:t>
      </w:r>
      <w:r w:rsidRPr="002D022F">
        <w:rPr>
          <w:rFonts w:eastAsiaTheme="minorHAnsi"/>
          <w:kern w:val="2"/>
          <w:lang w:eastAsia="en-US"/>
          <w14:ligatures w14:val="standardContextual"/>
        </w:rPr>
        <w:br/>
        <w:t>w Gdańsku – 4 tys. zł;</w:t>
      </w:r>
    </w:p>
    <w:p w14:paraId="61B43770" w14:textId="77777777" w:rsidR="002D022F" w:rsidRPr="002D022F" w:rsidRDefault="002D022F" w:rsidP="002D022F">
      <w:pPr>
        <w:numPr>
          <w:ilvl w:val="1"/>
          <w:numId w:val="14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D022F">
        <w:rPr>
          <w:rFonts w:eastAsiaTheme="minorHAnsi"/>
          <w:kern w:val="2"/>
          <w:lang w:eastAsia="en-US"/>
          <w14:ligatures w14:val="standardContextual"/>
        </w:rPr>
        <w:t>zwrotu z lat ubiegłych za odbiór autobusu do przewozu osób w ramach projektu „Wsparcie systemu ratowniczo-gaśniczego” – 8 tys. zł;</w:t>
      </w:r>
    </w:p>
    <w:p w14:paraId="59BFAC70" w14:textId="77777777" w:rsidR="002D022F" w:rsidRPr="002D022F" w:rsidRDefault="002D022F" w:rsidP="002D022F">
      <w:pPr>
        <w:numPr>
          <w:ilvl w:val="1"/>
          <w:numId w:val="14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D022F">
        <w:rPr>
          <w:rFonts w:eastAsiaTheme="minorHAnsi"/>
          <w:kern w:val="2"/>
          <w:lang w:eastAsia="en-US"/>
          <w14:ligatures w14:val="standardContextual"/>
        </w:rPr>
        <w:t xml:space="preserve">kar umownych za zwłokę w wykonaniu „Przebudowy pomieszczeń w KW PSP </w:t>
      </w:r>
      <w:r w:rsidRPr="002D022F">
        <w:rPr>
          <w:rFonts w:eastAsiaTheme="minorHAnsi"/>
          <w:kern w:val="2"/>
          <w:lang w:eastAsia="en-US"/>
          <w14:ligatures w14:val="standardContextual"/>
        </w:rPr>
        <w:br/>
        <w:t>w Gdańsku” – 314 tys. zł;</w:t>
      </w:r>
    </w:p>
    <w:p w14:paraId="29471BFB" w14:textId="77777777" w:rsidR="002D022F" w:rsidRPr="002D022F" w:rsidRDefault="002D022F" w:rsidP="002D022F">
      <w:pPr>
        <w:numPr>
          <w:ilvl w:val="1"/>
          <w:numId w:val="14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D022F">
        <w:rPr>
          <w:rFonts w:eastAsiaTheme="minorHAnsi"/>
          <w:kern w:val="2"/>
          <w:lang w:eastAsia="en-US"/>
          <w14:ligatures w14:val="standardContextual"/>
        </w:rPr>
        <w:t>kar umownych za zwłokę w wydaniu umundurowania (nota obciążeniowa dla dwóch przedsiębiorstw) – 34 tys. zł;</w:t>
      </w:r>
    </w:p>
    <w:p w14:paraId="2809371D" w14:textId="77777777" w:rsidR="002D022F" w:rsidRPr="002D022F" w:rsidRDefault="002D022F" w:rsidP="002D022F">
      <w:pPr>
        <w:numPr>
          <w:ilvl w:val="1"/>
          <w:numId w:val="14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D022F">
        <w:rPr>
          <w:rFonts w:eastAsiaTheme="minorHAnsi"/>
          <w:kern w:val="2"/>
          <w:lang w:eastAsia="en-US"/>
          <w14:ligatures w14:val="standardContextual"/>
        </w:rPr>
        <w:t>kar umownych za zwłokę w wydaniu zdalnie sterowanego pojazdu do gaszenia pożarów i likwidacji zagrożeń CBRNE wraz z platformą w ramach projektu „Wsparcie systemu ratowniczo-gaśniczego” – 31 tys. zł;</w:t>
      </w:r>
    </w:p>
    <w:p w14:paraId="04941F97" w14:textId="77777777" w:rsidR="002D022F" w:rsidRPr="002D022F" w:rsidRDefault="002D022F" w:rsidP="002D022F">
      <w:pPr>
        <w:numPr>
          <w:ilvl w:val="1"/>
          <w:numId w:val="14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D022F">
        <w:rPr>
          <w:rFonts w:eastAsiaTheme="minorHAnsi"/>
          <w:kern w:val="2"/>
          <w:lang w:eastAsia="en-US"/>
          <w14:ligatures w14:val="standardContextual"/>
        </w:rPr>
        <w:t>kar umownych za zwłokę w niedokonaniu napraw w terminie „ciężkiego samochodu ratownictwa technicznego do usuwania skutków kolizji drogowych (z rotatorem)” – 179 tys. zł;</w:t>
      </w:r>
    </w:p>
    <w:p w14:paraId="418CA558" w14:textId="77777777" w:rsidR="002D022F" w:rsidRPr="002D022F" w:rsidRDefault="002D022F" w:rsidP="002D022F">
      <w:pPr>
        <w:numPr>
          <w:ilvl w:val="1"/>
          <w:numId w:val="14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D022F">
        <w:rPr>
          <w:rFonts w:eastAsiaTheme="minorHAnsi"/>
          <w:kern w:val="2"/>
          <w:lang w:eastAsia="en-US"/>
          <w14:ligatures w14:val="standardContextual"/>
        </w:rPr>
        <w:t xml:space="preserve">zatrzymania wadium z powodu uchylenie się od zawarcia umowy przez wykonawcę EL-TEAM w postępowaniu o udzielenie zamówienia klasycznego o wartości mniejszej niż progi unijne, prowadzonego w trybie podstawowym </w:t>
      </w:r>
      <w:r w:rsidRPr="002D022F">
        <w:rPr>
          <w:rFonts w:eastAsiaTheme="minorHAnsi"/>
          <w:kern w:val="2"/>
          <w:lang w:eastAsia="en-US"/>
          <w14:ligatures w14:val="standardContextual"/>
        </w:rPr>
        <w:lastRenderedPageBreak/>
        <w:t xml:space="preserve">bez negocjacji pn.: „Przebudowa pomieszczeń w Ośrodku Szkolenia PSP </w:t>
      </w:r>
      <w:r w:rsidRPr="002D022F">
        <w:rPr>
          <w:rFonts w:eastAsiaTheme="minorHAnsi"/>
          <w:kern w:val="2"/>
          <w:lang w:eastAsia="en-US"/>
          <w14:ligatures w14:val="standardContextual"/>
        </w:rPr>
        <w:br/>
        <w:t>w Słupsku” – 45 tys. zł;</w:t>
      </w:r>
    </w:p>
    <w:p w14:paraId="4BAFF15E" w14:textId="77777777" w:rsidR="002D022F" w:rsidRPr="002D022F" w:rsidRDefault="002D022F" w:rsidP="002D022F">
      <w:pPr>
        <w:numPr>
          <w:ilvl w:val="0"/>
          <w:numId w:val="14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D022F">
        <w:rPr>
          <w:rFonts w:eastAsiaTheme="minorHAnsi"/>
          <w:kern w:val="2"/>
          <w:lang w:eastAsia="en-US"/>
          <w14:ligatures w14:val="standardContextual"/>
        </w:rPr>
        <w:t xml:space="preserve">komendy powiatowe Państwowe Straży Pożarnej w kwocie 225 tys. zł, co stanowi 102,3% planu wynoszącego 220 tys. zł. Dochody planowane dotyczyły głównie wpływów: z tytułu najmu i dzierżawy pomieszczeń komend powiatowych/miejskich, </w:t>
      </w:r>
      <w:r w:rsidRPr="002D022F">
        <w:rPr>
          <w:rFonts w:eastAsiaTheme="minorHAnsi"/>
          <w:kern w:val="2"/>
          <w:lang w:eastAsia="en-US"/>
          <w14:ligatures w14:val="standardContextual"/>
        </w:rPr>
        <w:br/>
        <w:t>z tytułu grzywien i kar pieniężnych od osób prawnych i innych jednostek organizacyjnych, z tytułu terminowej zapłaty podatku, z tytułu zwrotu kosztów upomnień. Zrealizowano je w kwocie 219 tys. zł, co stanowi 99,5% planu wynoszącego 220 tys. zł.</w:t>
      </w:r>
    </w:p>
    <w:p w14:paraId="37CB792B" w14:textId="77777777" w:rsidR="002D022F" w:rsidRPr="002D022F" w:rsidRDefault="002D022F" w:rsidP="002D022F">
      <w:pPr>
        <w:spacing w:after="160" w:line="360" w:lineRule="auto"/>
        <w:ind w:left="720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13F42E2E" w14:textId="77777777" w:rsidR="002D022F" w:rsidRPr="002D022F" w:rsidRDefault="002D022F" w:rsidP="002D022F">
      <w:pPr>
        <w:spacing w:after="160" w:line="360" w:lineRule="auto"/>
        <w:ind w:left="720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D022F">
        <w:rPr>
          <w:rFonts w:eastAsiaTheme="minorHAnsi"/>
          <w:kern w:val="2"/>
          <w:lang w:eastAsia="en-US"/>
          <w14:ligatures w14:val="standardContextual"/>
        </w:rPr>
        <w:t>Osiągnięto przy tym także dochody nieplanowane w kwocie 6 tys. zł z tytułu zwrotu dotacji niewykorzystanej w 2023 r.;</w:t>
      </w:r>
    </w:p>
    <w:p w14:paraId="199C6019" w14:textId="77777777" w:rsidR="002D022F" w:rsidRPr="002D022F" w:rsidRDefault="002D022F" w:rsidP="002D022F">
      <w:pPr>
        <w:spacing w:after="160" w:line="360" w:lineRule="auto"/>
        <w:ind w:left="720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1F1F5A34" w14:textId="77777777" w:rsidR="002D022F" w:rsidRPr="002D022F" w:rsidRDefault="002D022F" w:rsidP="002D022F">
      <w:pPr>
        <w:numPr>
          <w:ilvl w:val="0"/>
          <w:numId w:val="14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D022F">
        <w:rPr>
          <w:rFonts w:eastAsiaTheme="minorHAnsi"/>
          <w:kern w:val="2"/>
          <w:lang w:eastAsia="en-US"/>
          <w14:ligatures w14:val="standardContextual"/>
        </w:rPr>
        <w:t xml:space="preserve">Pomorski Urząd Wojewódzki 2 tys. zł. z tytułu wystawienia noty obciążeniowej wystawionej dla Przedsiębiorstwa Doradczo-Handlowego „Con-Spark” Sp. z o.o. </w:t>
      </w:r>
      <w:r w:rsidRPr="002D022F">
        <w:rPr>
          <w:rFonts w:eastAsiaTheme="minorHAnsi"/>
          <w:kern w:val="2"/>
          <w:lang w:eastAsia="en-US"/>
          <w14:ligatures w14:val="standardContextual"/>
        </w:rPr>
        <w:br/>
        <w:t>z tytułu przekroczenia terminu realizacji umowy.</w:t>
      </w:r>
    </w:p>
    <w:p w14:paraId="10D43C6F" w14:textId="77777777" w:rsidR="002D022F" w:rsidRPr="002D022F" w:rsidRDefault="002D022F" w:rsidP="002D022F">
      <w:pPr>
        <w:spacing w:after="160" w:line="360" w:lineRule="auto"/>
        <w:jc w:val="both"/>
        <w:rPr>
          <w:rFonts w:eastAsiaTheme="minorHAnsi"/>
          <w:kern w:val="2"/>
          <w:highlight w:val="red"/>
          <w:lang w:eastAsia="en-US"/>
          <w14:ligatures w14:val="standardContextual"/>
        </w:rPr>
      </w:pPr>
    </w:p>
    <w:p w14:paraId="391F2300" w14:textId="77777777" w:rsidR="002D022F" w:rsidRPr="002D022F" w:rsidRDefault="002D022F" w:rsidP="002D022F">
      <w:pPr>
        <w:spacing w:after="160"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D022F">
        <w:rPr>
          <w:rFonts w:eastAsiaTheme="minorHAnsi"/>
          <w:kern w:val="2"/>
          <w:lang w:eastAsia="en-US"/>
          <w14:ligatures w14:val="standardContextual"/>
        </w:rPr>
        <w:t xml:space="preserve">Należności na koniec 2024 r. wynoszą 1.749 tys. zł i w stosunku do roku 2023 zmalały </w:t>
      </w:r>
      <w:r w:rsidRPr="002D022F">
        <w:rPr>
          <w:rFonts w:eastAsiaTheme="minorHAnsi"/>
          <w:kern w:val="2"/>
          <w:lang w:eastAsia="en-US"/>
          <w14:ligatures w14:val="standardContextual"/>
        </w:rPr>
        <w:br/>
        <w:t>o 157 tys. zł. Głównymi tytułami należności są:</w:t>
      </w:r>
    </w:p>
    <w:p w14:paraId="7A8E8512" w14:textId="77777777" w:rsidR="002D022F" w:rsidRPr="002D022F" w:rsidRDefault="002D022F" w:rsidP="002D022F">
      <w:pPr>
        <w:numPr>
          <w:ilvl w:val="0"/>
          <w:numId w:val="14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D022F">
        <w:rPr>
          <w:rFonts w:eastAsiaTheme="minorHAnsi"/>
          <w:kern w:val="2"/>
          <w:lang w:eastAsia="en-US"/>
          <w14:ligatures w14:val="standardContextual"/>
        </w:rPr>
        <w:t>zaległości od ww. wpływów osiąganych przez powiatowe komendy PSP;</w:t>
      </w:r>
    </w:p>
    <w:p w14:paraId="48940E15" w14:textId="77777777" w:rsidR="002D022F" w:rsidRPr="002D022F" w:rsidRDefault="002D022F" w:rsidP="002D022F">
      <w:pPr>
        <w:numPr>
          <w:ilvl w:val="0"/>
          <w:numId w:val="14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D022F">
        <w:rPr>
          <w:rFonts w:eastAsiaTheme="minorHAnsi"/>
          <w:kern w:val="2"/>
          <w:lang w:eastAsia="en-US"/>
          <w14:ligatures w14:val="standardContextual"/>
        </w:rPr>
        <w:t>odsetki od należności niezapłaconych na rzecz Komendy Wojewódzkiej PSP;</w:t>
      </w:r>
    </w:p>
    <w:p w14:paraId="72ED0FEC" w14:textId="77777777" w:rsidR="002D022F" w:rsidRPr="002D022F" w:rsidRDefault="002D022F" w:rsidP="002D022F">
      <w:pPr>
        <w:numPr>
          <w:ilvl w:val="0"/>
          <w:numId w:val="14"/>
        </w:numPr>
        <w:spacing w:after="160" w:line="360" w:lineRule="auto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D022F">
        <w:rPr>
          <w:rFonts w:eastAsiaTheme="minorHAnsi"/>
          <w:kern w:val="2"/>
          <w:lang w:eastAsia="en-US"/>
          <w14:ligatures w14:val="standardContextual"/>
        </w:rPr>
        <w:t>wpływy z tytułu kar i odszkodowań oraz rozliczeń/zwrotów z lat ubiegłych należne Komendzie Wojewódzkiej PSP.</w:t>
      </w:r>
    </w:p>
    <w:p w14:paraId="1E974470" w14:textId="77777777" w:rsidR="00C76094" w:rsidRPr="00C76094" w:rsidRDefault="00C76094" w:rsidP="00C76094">
      <w:pPr>
        <w:spacing w:line="360" w:lineRule="auto"/>
        <w:jc w:val="both"/>
      </w:pPr>
    </w:p>
    <w:p w14:paraId="5FBDD27F" w14:textId="77777777" w:rsidR="00C76094" w:rsidRPr="00C76094" w:rsidRDefault="00C76094" w:rsidP="00C76094">
      <w:pPr>
        <w:spacing w:line="360" w:lineRule="auto"/>
        <w:jc w:val="both"/>
      </w:pPr>
    </w:p>
    <w:bookmarkEnd w:id="5"/>
    <w:p w14:paraId="10414228" w14:textId="77777777" w:rsidR="00C76094" w:rsidRPr="00C76094" w:rsidRDefault="00C76094" w:rsidP="00C76094">
      <w:pPr>
        <w:jc w:val="both"/>
      </w:pPr>
    </w:p>
    <w:p w14:paraId="2E4CD02C" w14:textId="77777777" w:rsidR="00C76094" w:rsidRPr="00C76094" w:rsidRDefault="00C76094" w:rsidP="00C76094">
      <w:pPr>
        <w:rPr>
          <w:color w:val="FF0000"/>
          <w:sz w:val="18"/>
          <w:szCs w:val="18"/>
        </w:rPr>
      </w:pPr>
    </w:p>
    <w:p w14:paraId="7AD1B573" w14:textId="77777777" w:rsidR="00C76094" w:rsidRPr="00C76094" w:rsidRDefault="00C76094" w:rsidP="00C76094">
      <w:pPr>
        <w:rPr>
          <w:color w:val="FF0000"/>
          <w:sz w:val="18"/>
          <w:szCs w:val="18"/>
        </w:rPr>
      </w:pPr>
    </w:p>
    <w:p w14:paraId="5A2B08BE" w14:textId="77777777" w:rsidR="00C76094" w:rsidRPr="00C76094" w:rsidRDefault="00C76094" w:rsidP="00C76094">
      <w:pPr>
        <w:rPr>
          <w:color w:val="FF0000"/>
          <w:sz w:val="18"/>
          <w:szCs w:val="18"/>
        </w:rPr>
      </w:pPr>
    </w:p>
    <w:p w14:paraId="3FFB468D" w14:textId="77777777" w:rsidR="00C76094" w:rsidRPr="00C76094" w:rsidRDefault="00C76094" w:rsidP="00C76094">
      <w:pPr>
        <w:rPr>
          <w:color w:val="FF0000"/>
          <w:sz w:val="18"/>
          <w:szCs w:val="18"/>
        </w:rPr>
      </w:pPr>
    </w:p>
    <w:p w14:paraId="25CE6DC9" w14:textId="77777777" w:rsidR="00C76094" w:rsidRPr="00C76094" w:rsidRDefault="00C76094" w:rsidP="00C76094">
      <w:pPr>
        <w:rPr>
          <w:color w:val="FF0000"/>
          <w:sz w:val="18"/>
          <w:szCs w:val="18"/>
        </w:rPr>
      </w:pPr>
    </w:p>
    <w:p w14:paraId="7B567455" w14:textId="7246EB18" w:rsidR="002D022F" w:rsidRDefault="002D022F">
      <w:pPr>
        <w:spacing w:after="160" w:line="259" w:lineRule="auto"/>
        <w:rPr>
          <w:color w:val="FF0000"/>
        </w:rPr>
      </w:pPr>
      <w:r>
        <w:rPr>
          <w:color w:val="FF0000"/>
        </w:rPr>
        <w:br w:type="page"/>
      </w:r>
    </w:p>
    <w:p w14:paraId="2FC449A2" w14:textId="77777777" w:rsidR="002D022F" w:rsidRPr="002D022F" w:rsidRDefault="002D022F" w:rsidP="002D022F">
      <w:pPr>
        <w:keepNext/>
        <w:keepLines/>
        <w:spacing w:before="40"/>
        <w:outlineLvl w:val="5"/>
        <w:rPr>
          <w:rFonts w:eastAsiaTheme="majorEastAsia" w:cstheme="majorBidi"/>
          <w:b/>
          <w:iCs/>
          <w:color w:val="000000" w:themeColor="text1"/>
          <w:sz w:val="28"/>
        </w:rPr>
      </w:pPr>
      <w:r w:rsidRPr="002D022F">
        <w:rPr>
          <w:rFonts w:eastAsiaTheme="majorEastAsia" w:cstheme="majorBidi"/>
          <w:b/>
          <w:iCs/>
          <w:color w:val="000000" w:themeColor="text1"/>
          <w:sz w:val="28"/>
        </w:rPr>
        <w:lastRenderedPageBreak/>
        <w:t>DZIAŁ 801 – OŚWIATA I WYCHOWANIE</w:t>
      </w:r>
    </w:p>
    <w:p w14:paraId="18499728" w14:textId="77777777" w:rsidR="002D022F" w:rsidRPr="002D022F" w:rsidRDefault="002D022F" w:rsidP="002D022F">
      <w:pPr>
        <w:spacing w:line="360" w:lineRule="auto"/>
      </w:pPr>
    </w:p>
    <w:p w14:paraId="5A38A210" w14:textId="77777777" w:rsidR="002D022F" w:rsidRPr="002D022F" w:rsidRDefault="002D022F" w:rsidP="002D022F">
      <w:pPr>
        <w:spacing w:line="360" w:lineRule="auto"/>
        <w:jc w:val="both"/>
      </w:pPr>
      <w:r w:rsidRPr="002D022F">
        <w:t>Dochody w dziale za 2024r. zrealizowano w kwocie 135 tys. zł, co stanowi 450% planu wynoszącego 30 tys. zł</w:t>
      </w:r>
      <w:r w:rsidRPr="002D022F">
        <w:rPr>
          <w:szCs w:val="26"/>
        </w:rPr>
        <w:t>. Dochody wykonane przez Kuratorium Oświaty pochodzą z tytułu:</w:t>
      </w:r>
    </w:p>
    <w:p w14:paraId="49AE130F" w14:textId="77777777" w:rsidR="002D022F" w:rsidRPr="002D022F" w:rsidRDefault="002D022F" w:rsidP="002D022F">
      <w:pPr>
        <w:numPr>
          <w:ilvl w:val="0"/>
          <w:numId w:val="15"/>
        </w:numPr>
        <w:suppressAutoHyphens/>
        <w:spacing w:line="360" w:lineRule="auto"/>
        <w:jc w:val="both"/>
        <w:rPr>
          <w:szCs w:val="26"/>
        </w:rPr>
      </w:pPr>
      <w:r w:rsidRPr="002D022F">
        <w:rPr>
          <w:szCs w:val="26"/>
        </w:rPr>
        <w:t xml:space="preserve">wpływów z opłat za duplikaty świadectw i dyplomów oraz legalizacji świadectw – </w:t>
      </w:r>
      <w:r w:rsidRPr="002D022F">
        <w:rPr>
          <w:szCs w:val="26"/>
        </w:rPr>
        <w:br/>
        <w:t>10 tys. zł, stanowi 100% planu wynoszącego 10 tys. zł;</w:t>
      </w:r>
    </w:p>
    <w:p w14:paraId="361DF8B9" w14:textId="77777777" w:rsidR="002D022F" w:rsidRPr="002D022F" w:rsidRDefault="002D022F" w:rsidP="002D022F">
      <w:pPr>
        <w:numPr>
          <w:ilvl w:val="0"/>
          <w:numId w:val="15"/>
        </w:numPr>
        <w:suppressAutoHyphens/>
        <w:spacing w:line="360" w:lineRule="auto"/>
        <w:jc w:val="both"/>
        <w:rPr>
          <w:szCs w:val="26"/>
        </w:rPr>
      </w:pPr>
      <w:r w:rsidRPr="002D022F">
        <w:rPr>
          <w:szCs w:val="26"/>
        </w:rPr>
        <w:t>wpływów za zezwolenia, akredytacje oraz opłaty ewidencyjne – 13 tys. zł, co stanowi 82,2% planu wynoszącego 16 tys. zł;</w:t>
      </w:r>
    </w:p>
    <w:p w14:paraId="36DB959E" w14:textId="77777777" w:rsidR="002D022F" w:rsidRPr="002D022F" w:rsidRDefault="002D022F" w:rsidP="002D022F">
      <w:pPr>
        <w:numPr>
          <w:ilvl w:val="0"/>
          <w:numId w:val="15"/>
        </w:numPr>
        <w:suppressAutoHyphens/>
        <w:spacing w:line="360" w:lineRule="auto"/>
        <w:jc w:val="both"/>
        <w:rPr>
          <w:szCs w:val="26"/>
        </w:rPr>
      </w:pPr>
      <w:r w:rsidRPr="002D022F">
        <w:rPr>
          <w:szCs w:val="26"/>
        </w:rPr>
        <w:t xml:space="preserve">wpływów z różnych dochodów (kwota dotyczy dochodów płatnika składek ZUS </w:t>
      </w:r>
      <w:r w:rsidRPr="002D022F">
        <w:rPr>
          <w:szCs w:val="26"/>
        </w:rPr>
        <w:br/>
        <w:t>i podatku PIT) – 5 tys. zł, stanowi 125% planu wynoszącego 4 tys. zł.</w:t>
      </w:r>
    </w:p>
    <w:p w14:paraId="2107A205" w14:textId="77777777" w:rsidR="002D022F" w:rsidRPr="002D022F" w:rsidRDefault="002D022F" w:rsidP="002D022F">
      <w:pPr>
        <w:suppressAutoHyphens/>
        <w:spacing w:line="360" w:lineRule="auto"/>
        <w:ind w:left="720"/>
        <w:jc w:val="both"/>
        <w:rPr>
          <w:szCs w:val="26"/>
        </w:rPr>
      </w:pPr>
    </w:p>
    <w:p w14:paraId="3CDF6891" w14:textId="77777777" w:rsidR="002D022F" w:rsidRPr="002D022F" w:rsidRDefault="002D022F" w:rsidP="002D022F">
      <w:pPr>
        <w:suppressAutoHyphens/>
        <w:spacing w:line="360" w:lineRule="auto"/>
        <w:jc w:val="both"/>
      </w:pPr>
      <w:r w:rsidRPr="002D022F">
        <w:rPr>
          <w:szCs w:val="26"/>
        </w:rPr>
        <w:t>Dochody nieplanowane w kwocie 107 tys. zł pochodziły przede wszystkim z tytułu</w:t>
      </w:r>
      <w:r w:rsidRPr="002D022F">
        <w:t xml:space="preserve"> zwrotów dotacji na </w:t>
      </w:r>
      <w:r w:rsidRPr="002D022F">
        <w:rPr>
          <w:szCs w:val="26"/>
        </w:rPr>
        <w:t>wyposażenia szkół w podręczniki, materiały edukacyjne lub materiały ćwiczeniowe.</w:t>
      </w:r>
    </w:p>
    <w:p w14:paraId="61BB58D7" w14:textId="77777777" w:rsidR="002D022F" w:rsidRPr="002D022F" w:rsidRDefault="002D022F" w:rsidP="002D022F">
      <w:pPr>
        <w:suppressAutoHyphens/>
        <w:spacing w:line="360" w:lineRule="auto"/>
        <w:jc w:val="both"/>
        <w:rPr>
          <w:color w:val="FF0000"/>
          <w:szCs w:val="26"/>
        </w:rPr>
      </w:pPr>
    </w:p>
    <w:p w14:paraId="6B4C2BF6" w14:textId="77777777" w:rsidR="002D022F" w:rsidRPr="002D022F" w:rsidRDefault="002D022F" w:rsidP="002D022F">
      <w:pPr>
        <w:suppressAutoHyphens/>
        <w:spacing w:line="360" w:lineRule="auto"/>
        <w:jc w:val="both"/>
        <w:rPr>
          <w:szCs w:val="26"/>
        </w:rPr>
      </w:pPr>
      <w:r w:rsidRPr="002D022F">
        <w:rPr>
          <w:szCs w:val="26"/>
        </w:rPr>
        <w:t xml:space="preserve">Na koniec 2024 r. w Kuratorium Oświaty zaległości w wysokości 47 tys. zł. (zarówno </w:t>
      </w:r>
      <w:r w:rsidRPr="002D022F">
        <w:rPr>
          <w:szCs w:val="26"/>
        </w:rPr>
        <w:br/>
        <w:t xml:space="preserve">w 2021 r., 2022 r., jak i w 2023 r.) stanowiły należności z tytułu bezumownego korzystania </w:t>
      </w:r>
      <w:r w:rsidRPr="002D022F">
        <w:rPr>
          <w:szCs w:val="26"/>
        </w:rPr>
        <w:br/>
        <w:t xml:space="preserve">z nieruchomości przez firmę BIMIT MITA w okresie od 1 stycznia 2021 r. do 31 grudnia 2021 r. Noty obciążeniowe z tego tytułu wystawiane były w cyklach miesięcznych z dołu. Zobowiązany w 2021 r. początkowo regulował częściowo płatności, jednakże później zaprzestał ich dokonywania. W celu dochodzenia roszczeń Kuratorium Oświaty </w:t>
      </w:r>
      <w:r w:rsidRPr="002D022F">
        <w:rPr>
          <w:szCs w:val="26"/>
        </w:rPr>
        <w:br/>
        <w:t>w Gdańsku skierowało do Sądu Rejonowego Gdańsk Południe wniosek o zawezwanie do próby ugodowej.</w:t>
      </w:r>
    </w:p>
    <w:p w14:paraId="643F5FDF" w14:textId="77777777" w:rsidR="002D022F" w:rsidRPr="002D022F" w:rsidRDefault="002D022F" w:rsidP="002D022F"/>
    <w:p w14:paraId="25B5DE39" w14:textId="64D59AD6" w:rsidR="002D022F" w:rsidRDefault="002D022F">
      <w:pPr>
        <w:spacing w:after="160" w:line="259" w:lineRule="auto"/>
        <w:rPr>
          <w:color w:val="FF0000"/>
        </w:rPr>
      </w:pPr>
      <w:r>
        <w:rPr>
          <w:color w:val="FF0000"/>
        </w:rPr>
        <w:br w:type="page"/>
      </w:r>
    </w:p>
    <w:p w14:paraId="02D341B9" w14:textId="77777777" w:rsidR="002D022F" w:rsidRPr="002D022F" w:rsidRDefault="002D022F" w:rsidP="002D022F">
      <w:pPr>
        <w:keepNext/>
        <w:keepLines/>
        <w:spacing w:before="40"/>
        <w:outlineLvl w:val="5"/>
        <w:rPr>
          <w:rFonts w:eastAsiaTheme="majorEastAsia" w:cstheme="majorBidi"/>
          <w:b/>
          <w:iCs/>
          <w:sz w:val="28"/>
          <w:szCs w:val="22"/>
        </w:rPr>
      </w:pPr>
      <w:r w:rsidRPr="002D022F">
        <w:rPr>
          <w:rFonts w:eastAsiaTheme="majorEastAsia" w:cstheme="majorBidi"/>
          <w:b/>
          <w:iCs/>
          <w:sz w:val="28"/>
          <w:szCs w:val="22"/>
        </w:rPr>
        <w:lastRenderedPageBreak/>
        <w:t>DZIAŁ 851 – OCHRONA ZDROWIA</w:t>
      </w:r>
    </w:p>
    <w:p w14:paraId="7D8D1020" w14:textId="77777777" w:rsidR="002D022F" w:rsidRPr="002D022F" w:rsidRDefault="002D022F" w:rsidP="002D022F">
      <w:pPr>
        <w:spacing w:line="360" w:lineRule="auto"/>
      </w:pPr>
    </w:p>
    <w:p w14:paraId="27B08521" w14:textId="77777777" w:rsidR="002D022F" w:rsidRPr="002D022F" w:rsidRDefault="002D022F" w:rsidP="002D022F">
      <w:pPr>
        <w:spacing w:line="360" w:lineRule="auto"/>
        <w:jc w:val="both"/>
      </w:pPr>
      <w:r w:rsidRPr="002D022F">
        <w:t>Dochody w dziale za 2024 r. zrealizowano w kwocie 12.620 tys. zł, co stanowi 154% planu wynoszącego 8.193 tys. zł.</w:t>
      </w:r>
    </w:p>
    <w:p w14:paraId="39F003F4" w14:textId="77777777" w:rsidR="002D022F" w:rsidRPr="002D022F" w:rsidRDefault="002D022F" w:rsidP="002D022F">
      <w:pPr>
        <w:spacing w:line="360" w:lineRule="auto"/>
        <w:jc w:val="both"/>
      </w:pPr>
    </w:p>
    <w:p w14:paraId="47D46DA0" w14:textId="77777777" w:rsidR="002D022F" w:rsidRPr="002D022F" w:rsidRDefault="002D022F" w:rsidP="002D022F">
      <w:pPr>
        <w:spacing w:line="360" w:lineRule="auto"/>
        <w:jc w:val="both"/>
        <w:rPr>
          <w:szCs w:val="26"/>
        </w:rPr>
      </w:pPr>
      <w:r w:rsidRPr="002D022F">
        <w:rPr>
          <w:szCs w:val="26"/>
        </w:rPr>
        <w:t>Na wykonanie dochodów złożyły się wpływy osiągnięte przez:</w:t>
      </w:r>
    </w:p>
    <w:p w14:paraId="3B7E5FA1" w14:textId="77777777" w:rsidR="002D022F" w:rsidRPr="002D022F" w:rsidRDefault="002D022F" w:rsidP="002D022F">
      <w:pPr>
        <w:widowControl w:val="0"/>
        <w:numPr>
          <w:ilvl w:val="0"/>
          <w:numId w:val="16"/>
        </w:numPr>
        <w:autoSpaceDE w:val="0"/>
        <w:spacing w:line="360" w:lineRule="auto"/>
        <w:contextualSpacing/>
        <w:jc w:val="both"/>
      </w:pPr>
      <w:r w:rsidRPr="002D022F">
        <w:t>Wojewódzki Inspektorat Farmaceutyczny. Planowane dochody w kwocie 451 tys. zł zostały zrealizowane w wysokości 601 tys. zł, co stanowi 133,3% planu. Pochodziły one z tytułu:</w:t>
      </w:r>
    </w:p>
    <w:p w14:paraId="7A27686B" w14:textId="77777777" w:rsidR="002D022F" w:rsidRPr="002D022F" w:rsidRDefault="002D022F" w:rsidP="002D022F">
      <w:pPr>
        <w:widowControl w:val="0"/>
        <w:numPr>
          <w:ilvl w:val="1"/>
          <w:numId w:val="16"/>
        </w:numPr>
        <w:autoSpaceDE w:val="0"/>
        <w:spacing w:line="360" w:lineRule="auto"/>
        <w:contextualSpacing/>
        <w:jc w:val="both"/>
      </w:pPr>
      <w:r w:rsidRPr="002D022F">
        <w:t>kar nakładanych na osoby fizyczne i prawne za umieszczanie niedozwolonych reklam, przekroczenie jednorazowej sprzedaży substancji o działaniu psychoaktywnym oraz za niepowiadomienie o miejscu przechowywania recept i za nieusprawiedliwione niezłożenie wyjaśnień – 64 tys. zł, co stanowi 106,7% planu wynoszącego 60 tys. zł;</w:t>
      </w:r>
    </w:p>
    <w:p w14:paraId="54DDD545" w14:textId="77777777" w:rsidR="002D022F" w:rsidRPr="002D022F" w:rsidRDefault="002D022F" w:rsidP="002D022F">
      <w:pPr>
        <w:widowControl w:val="0"/>
        <w:numPr>
          <w:ilvl w:val="1"/>
          <w:numId w:val="16"/>
        </w:numPr>
        <w:autoSpaceDE w:val="0"/>
        <w:spacing w:line="360" w:lineRule="auto"/>
        <w:contextualSpacing/>
        <w:jc w:val="both"/>
      </w:pPr>
      <w:r w:rsidRPr="002D022F">
        <w:t>opłat za wydawanie zezwoleń na prowadzenie aptek oraz punktów aptecznych, jak również dokonywania zmian w zezwoleniach i zezwoleń na stosowanie substancji psychotropowej – 348 tys. zł, co stanowi 116% planu wynoszącego 300 tys. zł;</w:t>
      </w:r>
    </w:p>
    <w:p w14:paraId="5D4B9068" w14:textId="77777777" w:rsidR="002D022F" w:rsidRPr="002D022F" w:rsidRDefault="002D022F" w:rsidP="002D022F">
      <w:pPr>
        <w:widowControl w:val="0"/>
        <w:numPr>
          <w:ilvl w:val="1"/>
          <w:numId w:val="16"/>
        </w:numPr>
        <w:autoSpaceDE w:val="0"/>
        <w:spacing w:line="360" w:lineRule="auto"/>
        <w:contextualSpacing/>
        <w:jc w:val="both"/>
        <w:rPr>
          <w:bCs/>
        </w:rPr>
      </w:pPr>
      <w:r w:rsidRPr="002D022F">
        <w:rPr>
          <w:bCs/>
        </w:rPr>
        <w:t>opłat za usługowe: badania laboratoryjne leków recepturowych, których wynik jest negatywny, badania mikrobiologiczne i fizyko-chemiczne wody, czystości mikrobiologicznej powietrza, skuteczności sterylizacji suchym i gorącym powietrzem, a także parą wodną w nadciśnieniu, kontrolę seryjną wstępną surowców do sporządzania leków recepturowych lub aptecznych – 187 tys. zł, co stanowi 207,8% planu wynoszącego 90 tys. zł. Zwiększone wykonanie planu wynika z dużo większej liczby złożonych wniosków i zleconych badań przeprowadzonych w LKJL w roku 2024, w stosunku do lat poprzednich. Zwiększone wykonanie wynika przede wszystkim z charakteru dochodu, którego wysokość trudno zaplanować.</w:t>
      </w:r>
    </w:p>
    <w:p w14:paraId="36EFC58A" w14:textId="77777777" w:rsidR="002D022F" w:rsidRPr="002D022F" w:rsidRDefault="002D022F" w:rsidP="002D022F">
      <w:pPr>
        <w:widowControl w:val="0"/>
        <w:autoSpaceDE w:val="0"/>
        <w:spacing w:line="360" w:lineRule="auto"/>
        <w:ind w:left="708"/>
        <w:jc w:val="both"/>
      </w:pPr>
      <w:r w:rsidRPr="002D022F">
        <w:rPr>
          <w:bCs/>
        </w:rPr>
        <w:t xml:space="preserve">Nie zrealizowano dochodów z tytułu </w:t>
      </w:r>
      <w:r w:rsidRPr="002D022F">
        <w:t xml:space="preserve">odsetek z tytułu nieterminowych wpłat od wystawionych faktur zaplanowanych na kwotę 1 tys. zł. </w:t>
      </w:r>
      <w:r w:rsidRPr="002D022F">
        <w:rPr>
          <w:bCs/>
          <w:szCs w:val="28"/>
        </w:rPr>
        <w:t xml:space="preserve">Brak realizacji wynika </w:t>
      </w:r>
      <w:r w:rsidRPr="002D022F">
        <w:rPr>
          <w:bCs/>
          <w:szCs w:val="28"/>
        </w:rPr>
        <w:br/>
        <w:t>z nieskuteczności egzekwowania należności.</w:t>
      </w:r>
    </w:p>
    <w:p w14:paraId="277A1E38" w14:textId="77777777" w:rsidR="002D022F" w:rsidRPr="002D022F" w:rsidRDefault="002D022F" w:rsidP="002D022F">
      <w:pPr>
        <w:widowControl w:val="0"/>
        <w:autoSpaceDE w:val="0"/>
        <w:spacing w:line="360" w:lineRule="auto"/>
        <w:ind w:left="708"/>
        <w:jc w:val="both"/>
        <w:rPr>
          <w:bCs/>
        </w:rPr>
      </w:pPr>
      <w:r w:rsidRPr="002D022F">
        <w:t xml:space="preserve">Dochody nieplanowane w rozdziale zostały zrealizowane w kwocie 2 tys. zł </w:t>
      </w:r>
      <w:r w:rsidRPr="002D022F">
        <w:br/>
        <w:t xml:space="preserve">i pochodziły z </w:t>
      </w:r>
      <w:r w:rsidRPr="002D022F">
        <w:rPr>
          <w:bCs/>
        </w:rPr>
        <w:t>wypłat odszkodowań oraz interpretacji indywidualnych.</w:t>
      </w:r>
    </w:p>
    <w:p w14:paraId="12E61114" w14:textId="77777777" w:rsidR="002D022F" w:rsidRPr="002D022F" w:rsidRDefault="002D022F" w:rsidP="002D022F">
      <w:pPr>
        <w:widowControl w:val="0"/>
        <w:numPr>
          <w:ilvl w:val="0"/>
          <w:numId w:val="17"/>
        </w:numPr>
        <w:autoSpaceDE w:val="0"/>
        <w:spacing w:line="360" w:lineRule="auto"/>
        <w:contextualSpacing/>
        <w:jc w:val="both"/>
      </w:pPr>
      <w:r w:rsidRPr="002D022F">
        <w:t xml:space="preserve">Inspekcję sanitarną. Planowane dochody w kwocie 7.407 tys. zł zostały zrealizowane </w:t>
      </w:r>
      <w:r w:rsidRPr="002D022F">
        <w:br/>
      </w:r>
      <w:r w:rsidRPr="002D022F">
        <w:lastRenderedPageBreak/>
        <w:t>w wysokości 10.553 tys. zł, co stanowi 142,5% planu. Pochodziły one z tytułu:</w:t>
      </w:r>
    </w:p>
    <w:p w14:paraId="1F29F1BA" w14:textId="77777777" w:rsidR="002D022F" w:rsidRPr="002D022F" w:rsidRDefault="002D022F" w:rsidP="002D022F">
      <w:pPr>
        <w:widowControl w:val="0"/>
        <w:numPr>
          <w:ilvl w:val="1"/>
          <w:numId w:val="17"/>
        </w:numPr>
        <w:autoSpaceDE w:val="0"/>
        <w:spacing w:line="360" w:lineRule="auto"/>
        <w:contextualSpacing/>
        <w:jc w:val="both"/>
      </w:pPr>
      <w:r w:rsidRPr="002D022F">
        <w:t>grzywien, mandatów i kar pieniężnych nakładanych na osoby fizyczne za nieprzestrzeganie  warunków sanitarno-higienicznych – 246 tys. zł, co stanowi 101,2% planu wynoszącego 242 tys. zł;</w:t>
      </w:r>
    </w:p>
    <w:p w14:paraId="272B2EA9" w14:textId="77777777" w:rsidR="002D022F" w:rsidRPr="002D022F" w:rsidRDefault="002D022F" w:rsidP="002D022F">
      <w:pPr>
        <w:widowControl w:val="0"/>
        <w:numPr>
          <w:ilvl w:val="1"/>
          <w:numId w:val="17"/>
        </w:numPr>
        <w:autoSpaceDE w:val="0"/>
        <w:spacing w:line="360" w:lineRule="auto"/>
        <w:contextualSpacing/>
        <w:jc w:val="both"/>
      </w:pPr>
      <w:r w:rsidRPr="002D022F">
        <w:t xml:space="preserve">grzywien i kar pieniężnych nakładanych decyzjami na osoby prawne, m.in. za: niewłaściwe warunki sanitarno-higieniczne w miejscu produkcji i spożywania posiłków, niewłaściwą prezentację i reklamę sprzedaży internetowej oraz nieprawidłowości w prezentacji i reklamie środka spożywczego jako produktu posiadającego właściwości lecznicze oraz suplementów diety – 299 tys. zł, </w:t>
      </w:r>
      <w:r w:rsidRPr="002D022F">
        <w:br/>
        <w:t>co stanowi 317% planu wynoszącego 94 tys. zł. Zwiększone wykonanie planu wynika przede wszystkim z sankcyjnego charakteru kar, który utrudnia zaplanowanie wpływów;</w:t>
      </w:r>
    </w:p>
    <w:p w14:paraId="3EA9C4D0" w14:textId="77777777" w:rsidR="002D022F" w:rsidRPr="002D022F" w:rsidRDefault="002D022F" w:rsidP="002D022F">
      <w:pPr>
        <w:widowControl w:val="0"/>
        <w:numPr>
          <w:ilvl w:val="1"/>
          <w:numId w:val="17"/>
        </w:numPr>
        <w:autoSpaceDE w:val="0"/>
        <w:spacing w:line="360" w:lineRule="auto"/>
        <w:contextualSpacing/>
        <w:jc w:val="both"/>
      </w:pPr>
      <w:r w:rsidRPr="002D022F">
        <w:t>wpływów zwrotu kosztów egzekucyjnych, opłaty komorniczej oraz kosztów upomnień od nieterminowych wpłat i szczepień dzieci – 44 tys. zł, co stanowi 209,5% planu wynoszącego 21 tys. zł. Zwiększone wykonanie planu wynika przede wszystkim ze wzrostu skuteczności egzekucji prowadzonych przez organy egzekucyjne oraz w ramach działań własnych jednostek;</w:t>
      </w:r>
    </w:p>
    <w:p w14:paraId="11F03AFA" w14:textId="77777777" w:rsidR="002D022F" w:rsidRPr="002D022F" w:rsidRDefault="002D022F" w:rsidP="002D022F">
      <w:pPr>
        <w:widowControl w:val="0"/>
        <w:numPr>
          <w:ilvl w:val="1"/>
          <w:numId w:val="17"/>
        </w:numPr>
        <w:autoSpaceDE w:val="0"/>
        <w:spacing w:line="360" w:lineRule="auto"/>
        <w:contextualSpacing/>
        <w:jc w:val="both"/>
      </w:pPr>
      <w:r w:rsidRPr="002D022F">
        <w:t xml:space="preserve">opłat nakładanych decyzjami płatniczymi na podmioty gospodarcze – </w:t>
      </w:r>
      <w:r w:rsidRPr="002D022F">
        <w:br/>
        <w:t xml:space="preserve">2.194 tys. zł, co stanowi 143,6% planu wynoszącego 1.528 tys. zł. Dochody </w:t>
      </w:r>
      <w:r w:rsidRPr="002D022F">
        <w:br/>
        <w:t>w tym tytule zrealizowano m.in. w związku z realizacją:</w:t>
      </w:r>
    </w:p>
    <w:p w14:paraId="48135360" w14:textId="77777777" w:rsidR="002D022F" w:rsidRPr="002D022F" w:rsidRDefault="002D022F" w:rsidP="002D022F">
      <w:pPr>
        <w:widowControl w:val="0"/>
        <w:numPr>
          <w:ilvl w:val="2"/>
          <w:numId w:val="17"/>
        </w:numPr>
        <w:autoSpaceDE w:val="0"/>
        <w:spacing w:line="360" w:lineRule="auto"/>
        <w:contextualSpacing/>
        <w:jc w:val="both"/>
        <w:rPr>
          <w:bCs/>
        </w:rPr>
      </w:pPr>
      <w:r w:rsidRPr="002D022F">
        <w:rPr>
          <w:bCs/>
        </w:rPr>
        <w:t>badań laboratoryjnych i innych czynności związanych z wydaniem oceny warunków sanitarno-higienicznych pomieszczeń, obiektów budowlanych przeznaczonych do użytku publicznego;</w:t>
      </w:r>
    </w:p>
    <w:p w14:paraId="28725973" w14:textId="77777777" w:rsidR="002D022F" w:rsidRPr="002D022F" w:rsidRDefault="002D022F" w:rsidP="002D022F">
      <w:pPr>
        <w:widowControl w:val="0"/>
        <w:numPr>
          <w:ilvl w:val="2"/>
          <w:numId w:val="17"/>
        </w:numPr>
        <w:autoSpaceDE w:val="0"/>
        <w:spacing w:line="360" w:lineRule="auto"/>
        <w:contextualSpacing/>
        <w:jc w:val="both"/>
        <w:rPr>
          <w:bCs/>
        </w:rPr>
      </w:pPr>
      <w:r w:rsidRPr="002D022F">
        <w:rPr>
          <w:bCs/>
        </w:rPr>
        <w:t>ocen o środkach spożywczych, substancjach dodatkowych dozwolonych i przedmiotach użytku, materiałach i wyrobach przeznaczonych do kontaktu z żywnością, kosmetykach przywożonych z zagranicy w celu wprowadzenia do obrotu lub produkcji wykonywane w ramach bieżącego nadzoru sanitarnego;</w:t>
      </w:r>
    </w:p>
    <w:p w14:paraId="45DE66DF" w14:textId="77777777" w:rsidR="002D022F" w:rsidRPr="002D022F" w:rsidRDefault="002D022F" w:rsidP="002D022F">
      <w:pPr>
        <w:widowControl w:val="0"/>
        <w:numPr>
          <w:ilvl w:val="2"/>
          <w:numId w:val="17"/>
        </w:numPr>
        <w:autoSpaceDE w:val="0"/>
        <w:spacing w:line="360" w:lineRule="auto"/>
        <w:contextualSpacing/>
        <w:jc w:val="both"/>
        <w:rPr>
          <w:bCs/>
        </w:rPr>
      </w:pPr>
      <w:r w:rsidRPr="002D022F">
        <w:rPr>
          <w:bCs/>
        </w:rPr>
        <w:t xml:space="preserve">czynności kontrolnych w ramach sprawowania zapobiegawczego nadzoru sanitarnego w ramach kontroli odbiorowej związanej </w:t>
      </w:r>
      <w:r w:rsidRPr="002D022F">
        <w:rPr>
          <w:bCs/>
        </w:rPr>
        <w:br/>
        <w:t>z narażeniem na promieniowanie jonizujące;</w:t>
      </w:r>
    </w:p>
    <w:p w14:paraId="001D478A" w14:textId="77777777" w:rsidR="002D022F" w:rsidRPr="002D022F" w:rsidRDefault="002D022F" w:rsidP="002D022F">
      <w:pPr>
        <w:widowControl w:val="0"/>
        <w:numPr>
          <w:ilvl w:val="2"/>
          <w:numId w:val="17"/>
        </w:numPr>
        <w:autoSpaceDE w:val="0"/>
        <w:spacing w:line="360" w:lineRule="auto"/>
        <w:contextualSpacing/>
        <w:jc w:val="both"/>
        <w:rPr>
          <w:bCs/>
        </w:rPr>
      </w:pPr>
      <w:r w:rsidRPr="002D022F">
        <w:rPr>
          <w:bCs/>
        </w:rPr>
        <w:t>badań próbek wody na basenach i pływalniach.</w:t>
      </w:r>
    </w:p>
    <w:p w14:paraId="7E4E3A64" w14:textId="77777777" w:rsidR="002D022F" w:rsidRPr="002D022F" w:rsidRDefault="002D022F" w:rsidP="002D022F">
      <w:pPr>
        <w:widowControl w:val="0"/>
        <w:autoSpaceDE w:val="0"/>
        <w:spacing w:line="360" w:lineRule="auto"/>
        <w:ind w:left="1416"/>
        <w:jc w:val="both"/>
      </w:pPr>
      <w:r w:rsidRPr="002D022F">
        <w:t xml:space="preserve">Zwiększone wykonane planu wynika przede wszystkim z większej liczby </w:t>
      </w:r>
      <w:r w:rsidRPr="002D022F">
        <w:lastRenderedPageBreak/>
        <w:t>kontroli interwencyjnych tj. większej liczby obiektów, w których takie nieprawidłowości stwierdzono. Ponadto znaczny wpływ wniosków przekłada się na liczbę wydanych decyzji administracyjnych nakładających na stronę</w:t>
      </w:r>
    </w:p>
    <w:p w14:paraId="1A23168D" w14:textId="77777777" w:rsidR="002D022F" w:rsidRPr="002D022F" w:rsidRDefault="002D022F" w:rsidP="002D022F">
      <w:pPr>
        <w:widowControl w:val="0"/>
        <w:autoSpaceDE w:val="0"/>
        <w:spacing w:line="360" w:lineRule="auto"/>
        <w:ind w:left="708" w:firstLine="708"/>
        <w:jc w:val="both"/>
        <w:rPr>
          <w:b/>
        </w:rPr>
      </w:pPr>
      <w:r w:rsidRPr="002D022F">
        <w:t>postępowania opłaty;</w:t>
      </w:r>
      <w:r w:rsidRPr="002D022F">
        <w:rPr>
          <w:b/>
        </w:rPr>
        <w:t xml:space="preserve">  </w:t>
      </w:r>
    </w:p>
    <w:p w14:paraId="4F24E9A0" w14:textId="77777777" w:rsidR="002D022F" w:rsidRPr="002D022F" w:rsidRDefault="002D022F" w:rsidP="002D022F">
      <w:pPr>
        <w:widowControl w:val="0"/>
        <w:numPr>
          <w:ilvl w:val="1"/>
          <w:numId w:val="17"/>
        </w:numPr>
        <w:autoSpaceDE w:val="0"/>
        <w:spacing w:line="360" w:lineRule="auto"/>
        <w:contextualSpacing/>
        <w:jc w:val="both"/>
      </w:pPr>
      <w:r w:rsidRPr="002D022F">
        <w:t xml:space="preserve">najmu i dzierżawy lokali w budynkach pozostających w trwałym zarządzie jednostek inspekcji sanitarnej – 8 tys. zł, co stanowi 80% planu wynoszącego </w:t>
      </w:r>
      <w:r w:rsidRPr="002D022F">
        <w:br/>
        <w:t>10 tys. zł;</w:t>
      </w:r>
    </w:p>
    <w:p w14:paraId="56238720" w14:textId="77777777" w:rsidR="002D022F" w:rsidRPr="002D022F" w:rsidRDefault="002D022F" w:rsidP="002D022F">
      <w:pPr>
        <w:widowControl w:val="0"/>
        <w:numPr>
          <w:ilvl w:val="1"/>
          <w:numId w:val="17"/>
        </w:numPr>
        <w:autoSpaceDE w:val="0"/>
        <w:spacing w:line="360" w:lineRule="auto"/>
        <w:contextualSpacing/>
        <w:jc w:val="both"/>
      </w:pPr>
      <w:r w:rsidRPr="002D022F">
        <w:t>świadczonych usług wykonywanych w ramach umów cywilno-prawnych, m.in.: poboru prób, badań laboratoryjno-chemicznych próbek żywności,</w:t>
      </w:r>
      <w:r w:rsidRPr="002D022F">
        <w:rPr>
          <w:color w:val="FF0000"/>
        </w:rPr>
        <w:t xml:space="preserve"> </w:t>
      </w:r>
      <w:r w:rsidRPr="002D022F">
        <w:t xml:space="preserve">badań mikrobiologicznych, fizykochemicznych, mikologicznych, pomiarów </w:t>
      </w:r>
      <w:r w:rsidRPr="002D022F">
        <w:br/>
        <w:t>i badanych czynników szkodliwych dla zdrowia w środowisku pracy, badań zanieczyszczeń powietrza substancjami szkodliwymi dla zdrowia, prowadzenie szkoleń i egzaminów oraz wykonywanie ocen zdrowotnych. W ramach tego tytułu ujęte są także wpływy z należności niezapłaconych w latach poprzednich, przekazanych do sądu. – 7.581 tys. zł, co stanowi 139% planu wynoszącego 5.453 tys. zł. Zwiększone wykonane planu wynika przede wszystkim charakteru dochodów. Wielkość wpływów z tytułu oparta jest</w:t>
      </w:r>
      <w:r w:rsidRPr="002D022F">
        <w:tab/>
        <w:t>w dużej mierze o wnioski podmiotów zewnętrznych w sprawie wykonania ww. czynności;</w:t>
      </w:r>
    </w:p>
    <w:p w14:paraId="2C03B4F6" w14:textId="77777777" w:rsidR="002D022F" w:rsidRPr="002D022F" w:rsidRDefault="002D022F" w:rsidP="002D022F">
      <w:pPr>
        <w:widowControl w:val="0"/>
        <w:numPr>
          <w:ilvl w:val="1"/>
          <w:numId w:val="17"/>
        </w:numPr>
        <w:autoSpaceDE w:val="0"/>
        <w:spacing w:line="360" w:lineRule="auto"/>
        <w:contextualSpacing/>
        <w:jc w:val="both"/>
      </w:pPr>
      <w:r w:rsidRPr="002D022F">
        <w:t xml:space="preserve">odsetek od nieterminowych wpłat za decyzje płatnicze – 26 tys. zł, co stanowi 130 % planu wynoszącego 20 tys. zł. Zwiększone wykonane planu wynika przede wszystkim z charakteru dochodu. Odsetki naliczane są od należności niespłaconych w latach ubiegłych, w związku z czym ich kwota rośnie wraz </w:t>
      </w:r>
      <w:r w:rsidRPr="002D022F">
        <w:br/>
        <w:t>z upływem czasu.;</w:t>
      </w:r>
    </w:p>
    <w:p w14:paraId="25420F25" w14:textId="77777777" w:rsidR="002D022F" w:rsidRPr="002D022F" w:rsidRDefault="002D022F" w:rsidP="002D022F">
      <w:pPr>
        <w:widowControl w:val="0"/>
        <w:numPr>
          <w:ilvl w:val="1"/>
          <w:numId w:val="17"/>
        </w:numPr>
        <w:autoSpaceDE w:val="0"/>
        <w:spacing w:line="360" w:lineRule="auto"/>
        <w:contextualSpacing/>
        <w:jc w:val="both"/>
      </w:pPr>
      <w:r w:rsidRPr="002D022F">
        <w:t>odsetek z tytułu nieterminowych wpłat od wystawionych faktur – 4 tys. zł, co stanowi 100% wykonania planu;</w:t>
      </w:r>
    </w:p>
    <w:p w14:paraId="724BC6BF" w14:textId="77777777" w:rsidR="002D022F" w:rsidRPr="002D022F" w:rsidRDefault="002D022F" w:rsidP="002D022F">
      <w:pPr>
        <w:widowControl w:val="0"/>
        <w:numPr>
          <w:ilvl w:val="1"/>
          <w:numId w:val="17"/>
        </w:numPr>
        <w:autoSpaceDE w:val="0"/>
        <w:spacing w:line="360" w:lineRule="auto"/>
        <w:contextualSpacing/>
        <w:jc w:val="both"/>
      </w:pPr>
      <w:r w:rsidRPr="002D022F">
        <w:t>rozliczeń/zwrotów z lat ubiegłych – 17 tys. zł, co stanowi 283,3% planu wynoszącego 6 tys. zł. Zwiększone wykonanie planu wynika z charakteru dochodu, z którego wielkość wpływów jest trudna do zaplanowania;</w:t>
      </w:r>
    </w:p>
    <w:p w14:paraId="60147217" w14:textId="77777777" w:rsidR="002D022F" w:rsidRPr="002D022F" w:rsidRDefault="002D022F" w:rsidP="002D022F">
      <w:pPr>
        <w:widowControl w:val="0"/>
        <w:numPr>
          <w:ilvl w:val="1"/>
          <w:numId w:val="17"/>
        </w:numPr>
        <w:autoSpaceDE w:val="0"/>
        <w:spacing w:line="360" w:lineRule="auto"/>
        <w:contextualSpacing/>
        <w:jc w:val="both"/>
      </w:pPr>
      <w:r w:rsidRPr="002D022F">
        <w:t xml:space="preserve">wynagrodzenia płatnika za terminowe opłacanie składek na ubezpieczenia zdrowotne oraz  płatnika pobierającego podatki na rzecz budżetu państwa i odpis dokumentacji medycznej – 37 tys. zł, co stanowi 127,6% planu wynoszącego </w:t>
      </w:r>
      <w:r w:rsidRPr="002D022F">
        <w:br/>
        <w:t>29 tys. zł.</w:t>
      </w:r>
    </w:p>
    <w:p w14:paraId="0B69BAFE" w14:textId="77777777" w:rsidR="002D022F" w:rsidRPr="002D022F" w:rsidRDefault="002D022F" w:rsidP="002D022F">
      <w:pPr>
        <w:widowControl w:val="0"/>
        <w:autoSpaceDE w:val="0"/>
        <w:spacing w:line="360" w:lineRule="auto"/>
        <w:ind w:left="708"/>
        <w:jc w:val="both"/>
      </w:pPr>
      <w:r w:rsidRPr="002D022F">
        <w:t xml:space="preserve">Dochody nieplanowane przez inspekcję zostały zrealizowane w kwocie 97 tys. zł </w:t>
      </w:r>
      <w:r w:rsidRPr="002D022F">
        <w:br/>
      </w:r>
      <w:r w:rsidRPr="002D022F">
        <w:lastRenderedPageBreak/>
        <w:t xml:space="preserve">i pochodziły niemal w pełni z wpływów z tytułu kar i odszkodowań wynikających </w:t>
      </w:r>
      <w:r w:rsidRPr="002D022F">
        <w:br/>
        <w:t xml:space="preserve">z umów. Wpływy te nie zostały zaplanowane, ponieważ incydentalnie pojawiają się sytuacje niewywiązywania się przez dostawców z umów, a odszkodowania wynikają </w:t>
      </w:r>
      <w:r w:rsidRPr="002D022F">
        <w:br/>
        <w:t>z sytuacji losowych.</w:t>
      </w:r>
    </w:p>
    <w:p w14:paraId="7237658E" w14:textId="77777777" w:rsidR="002D022F" w:rsidRPr="002D022F" w:rsidRDefault="002D022F" w:rsidP="002D022F">
      <w:pPr>
        <w:widowControl w:val="0"/>
        <w:numPr>
          <w:ilvl w:val="0"/>
          <w:numId w:val="17"/>
        </w:numPr>
        <w:autoSpaceDE w:val="0"/>
        <w:spacing w:line="360" w:lineRule="auto"/>
        <w:contextualSpacing/>
        <w:jc w:val="both"/>
      </w:pPr>
      <w:r w:rsidRPr="002D022F">
        <w:t xml:space="preserve">Pomorski Urząd Wojewódzki. Planowane dochody w kwocie 335 tys. zł zostały zrealizowane  w wysokości 1.466 tys. zł, co stanowi 437,6% planu. Pochodziły one </w:t>
      </w:r>
      <w:r w:rsidRPr="002D022F">
        <w:br/>
        <w:t>z tytułu:</w:t>
      </w:r>
    </w:p>
    <w:p w14:paraId="523FFD22" w14:textId="77777777" w:rsidR="002D022F" w:rsidRPr="002D022F" w:rsidRDefault="002D022F" w:rsidP="002D022F">
      <w:pPr>
        <w:widowControl w:val="0"/>
        <w:numPr>
          <w:ilvl w:val="1"/>
          <w:numId w:val="17"/>
        </w:numPr>
        <w:spacing w:line="360" w:lineRule="auto"/>
        <w:contextualSpacing/>
        <w:jc w:val="both"/>
      </w:pPr>
      <w:r w:rsidRPr="002D022F">
        <w:rPr>
          <w:bCs/>
          <w:szCs w:val="28"/>
        </w:rPr>
        <w:t xml:space="preserve">opłat za wpis do rejestru oraz zmiany wpisu do rejestru podmiotów leczniczych na podstawie ustawy o działalności leczniczej, opłat za złożenie wniosku </w:t>
      </w:r>
      <w:r w:rsidRPr="002D022F">
        <w:rPr>
          <w:bCs/>
          <w:szCs w:val="28"/>
        </w:rPr>
        <w:br/>
        <w:t xml:space="preserve">o ustalenie zdarzenia medycznego na podstawie ustawy o prawach pacjenta – 1.268 tys. zł, co stanowi 634% planu wynoszącego 200 tys. zł. </w:t>
      </w:r>
      <w:r w:rsidRPr="002D022F">
        <w:t xml:space="preserve">Zwiększone wykonanie planu wynika przede wszystkim z podwyższenia podstawowej kwoty opłaty za wpis do rejestru podmiotu leczniczego, zwiększonej liczby wniosków o dokonanie wpisu w rejestrze, a także z pojawienia się opłat za wpis do rejestru osób wykonujących zawody medyczne w oparciu o ustawę </w:t>
      </w:r>
      <w:r w:rsidRPr="002D022F">
        <w:br/>
        <w:t>z dnia 17 sierpnia 2023 r. o niektórych zawodach medycznych (Jest to nowy rodzaj opłaty, który nie był uwzględniony w planie, gdyż ustawa wprowadzająca weszła w życie z dniem 26.03.2024 r.)</w:t>
      </w:r>
      <w:r w:rsidRPr="002D022F">
        <w:rPr>
          <w:bCs/>
          <w:szCs w:val="28"/>
        </w:rPr>
        <w:t>;</w:t>
      </w:r>
    </w:p>
    <w:p w14:paraId="7BDEE7A0" w14:textId="77777777" w:rsidR="002D022F" w:rsidRPr="002D022F" w:rsidRDefault="002D022F" w:rsidP="002D022F">
      <w:pPr>
        <w:widowControl w:val="0"/>
        <w:numPr>
          <w:ilvl w:val="1"/>
          <w:numId w:val="17"/>
        </w:numPr>
        <w:autoSpaceDE w:val="0"/>
        <w:spacing w:line="360" w:lineRule="auto"/>
        <w:contextualSpacing/>
        <w:jc w:val="both"/>
      </w:pPr>
      <w:r w:rsidRPr="002D022F">
        <w:rPr>
          <w:bCs/>
          <w:szCs w:val="28"/>
        </w:rPr>
        <w:t>wpływów z tytułu zwrotu kosztów postępowania przed Wojewódzką Komisją ds. Orzekania o Zdarzeniach Medycznych – 13 tys. zł, co stanowi 86,7% planu wynoszącego 15 tys. zł.</w:t>
      </w:r>
    </w:p>
    <w:p w14:paraId="3168E301" w14:textId="77777777" w:rsidR="002D022F" w:rsidRPr="002D022F" w:rsidRDefault="002D022F" w:rsidP="002D022F">
      <w:pPr>
        <w:widowControl w:val="0"/>
        <w:autoSpaceDE w:val="0"/>
        <w:spacing w:line="360" w:lineRule="auto"/>
        <w:ind w:left="708"/>
        <w:jc w:val="both"/>
        <w:rPr>
          <w:bCs/>
          <w:szCs w:val="28"/>
        </w:rPr>
      </w:pPr>
      <w:r w:rsidRPr="002D022F">
        <w:t xml:space="preserve">Nie zrealizowano dochodów </w:t>
      </w:r>
      <w:r w:rsidRPr="002D022F">
        <w:rPr>
          <w:bCs/>
          <w:szCs w:val="28"/>
        </w:rPr>
        <w:t xml:space="preserve">z tytułu </w:t>
      </w:r>
      <w:r w:rsidRPr="002D022F">
        <w:t>zwrotów dokonywanych przez instytucję państwa członkowskiego UE z tytułu świadczeń udzielonych przez zespoły ratownictwa medycznego obywatelowi UE</w:t>
      </w:r>
      <w:r w:rsidRPr="002D022F">
        <w:rPr>
          <w:bCs/>
          <w:szCs w:val="28"/>
        </w:rPr>
        <w:t xml:space="preserve">, zgodnie z art. 97 ust. 3c ustawy                                </w:t>
      </w:r>
      <w:r w:rsidRPr="002D022F">
        <w:rPr>
          <w:bCs/>
          <w:szCs w:val="28"/>
        </w:rPr>
        <w:br/>
        <w:t>o świadczeniach opieki zdrowotnej finansowanych ze środków publicznych zaplanowanych na kwotę 120 tys. zł. Brak realizacji wynika z uchylenia ww. przepisu na początku 2024 r.;</w:t>
      </w:r>
    </w:p>
    <w:p w14:paraId="1FD97D33" w14:textId="77777777" w:rsidR="002D022F" w:rsidRPr="002D022F" w:rsidRDefault="002D022F" w:rsidP="002D022F">
      <w:pPr>
        <w:widowControl w:val="0"/>
        <w:autoSpaceDE w:val="0"/>
        <w:spacing w:line="360" w:lineRule="auto"/>
        <w:ind w:left="708"/>
        <w:jc w:val="both"/>
        <w:rPr>
          <w:bCs/>
          <w:szCs w:val="28"/>
        </w:rPr>
      </w:pPr>
      <w:r w:rsidRPr="002D022F">
        <w:rPr>
          <w:bCs/>
          <w:szCs w:val="28"/>
        </w:rPr>
        <w:t>Dochody niezaplanowane przez Pomorski Urząd Wojewódzki zrealizowano w kwocie 185 tys. zł i pochodziły one głównie z:</w:t>
      </w:r>
    </w:p>
    <w:p w14:paraId="75A4CD37" w14:textId="77777777" w:rsidR="002D022F" w:rsidRPr="002D022F" w:rsidRDefault="002D022F" w:rsidP="002D022F">
      <w:pPr>
        <w:widowControl w:val="0"/>
        <w:numPr>
          <w:ilvl w:val="1"/>
          <w:numId w:val="17"/>
        </w:numPr>
        <w:autoSpaceDE w:val="0"/>
        <w:spacing w:line="360" w:lineRule="auto"/>
        <w:contextualSpacing/>
        <w:jc w:val="both"/>
        <w:rPr>
          <w:bCs/>
          <w:szCs w:val="28"/>
        </w:rPr>
      </w:pPr>
      <w:r w:rsidRPr="002D022F">
        <w:t>wpływów nadwyżki dotacji z lat ubiegłych na wypłatę zasiłków dla bezrobotnych – 155 tys. zł;</w:t>
      </w:r>
    </w:p>
    <w:p w14:paraId="4E619FF4" w14:textId="77777777" w:rsidR="002D022F" w:rsidRPr="002D022F" w:rsidRDefault="002D022F" w:rsidP="002D022F">
      <w:pPr>
        <w:widowControl w:val="0"/>
        <w:numPr>
          <w:ilvl w:val="1"/>
          <w:numId w:val="17"/>
        </w:numPr>
        <w:autoSpaceDE w:val="0"/>
        <w:spacing w:line="360" w:lineRule="auto"/>
        <w:contextualSpacing/>
        <w:jc w:val="both"/>
        <w:rPr>
          <w:bCs/>
          <w:szCs w:val="28"/>
        </w:rPr>
      </w:pPr>
      <w:r w:rsidRPr="002D022F">
        <w:t xml:space="preserve">zwrotu niewykorzystanych przez podmiot (szpitale) środków na wypłatę dodatków do wynagrodzenia dla kierowników specjalizacji za rok 2023 – </w:t>
      </w:r>
      <w:r w:rsidRPr="002D022F">
        <w:br/>
      </w:r>
      <w:r w:rsidRPr="002D022F">
        <w:lastRenderedPageBreak/>
        <w:t>23 tys. zł;</w:t>
      </w:r>
    </w:p>
    <w:p w14:paraId="12423FEA" w14:textId="77777777" w:rsidR="002D022F" w:rsidRPr="002D022F" w:rsidRDefault="002D022F" w:rsidP="002D022F">
      <w:pPr>
        <w:widowControl w:val="0"/>
        <w:autoSpaceDE w:val="0"/>
        <w:spacing w:line="360" w:lineRule="auto"/>
        <w:jc w:val="both"/>
        <w:rPr>
          <w:bCs/>
          <w:szCs w:val="28"/>
        </w:rPr>
      </w:pPr>
    </w:p>
    <w:p w14:paraId="129AB98B" w14:textId="77777777" w:rsidR="002D022F" w:rsidRPr="002D022F" w:rsidRDefault="002D022F" w:rsidP="002D022F">
      <w:pPr>
        <w:spacing w:line="360" w:lineRule="auto"/>
        <w:jc w:val="both"/>
        <w:rPr>
          <w:szCs w:val="26"/>
        </w:rPr>
      </w:pPr>
      <w:r w:rsidRPr="002D022F">
        <w:rPr>
          <w:szCs w:val="26"/>
        </w:rPr>
        <w:t>Należności na koniec 2024 r. wyniosły 7.839 tys. zł i w stosunku do roku 2023 zwiększyły się o kwotę 162 tys. zł. Należności wynikają przede wszystkim z tytułu kar nałożonych na osoby fizyczne oraz odsetek od nieterminowego uiszczania opłat.</w:t>
      </w:r>
    </w:p>
    <w:p w14:paraId="54CCD28D" w14:textId="77777777" w:rsidR="002D022F" w:rsidRPr="002D022F" w:rsidRDefault="002D022F" w:rsidP="002D022F">
      <w:pPr>
        <w:widowControl w:val="0"/>
        <w:autoSpaceDE w:val="0"/>
        <w:spacing w:line="360" w:lineRule="auto"/>
        <w:ind w:left="1080"/>
        <w:jc w:val="both"/>
      </w:pPr>
    </w:p>
    <w:p w14:paraId="50B648E2" w14:textId="77777777" w:rsidR="002D022F" w:rsidRPr="002D022F" w:rsidRDefault="002D022F" w:rsidP="002D022F">
      <w:pPr>
        <w:widowControl w:val="0"/>
        <w:autoSpaceDE w:val="0"/>
        <w:spacing w:line="360" w:lineRule="auto"/>
        <w:ind w:left="720"/>
        <w:contextualSpacing/>
        <w:jc w:val="both"/>
        <w:rPr>
          <w:b/>
          <w:bCs/>
        </w:rPr>
      </w:pPr>
    </w:p>
    <w:p w14:paraId="7C16E1E3" w14:textId="492AFFCC" w:rsidR="002D022F" w:rsidRDefault="002D022F">
      <w:pPr>
        <w:spacing w:after="160" w:line="259" w:lineRule="auto"/>
      </w:pPr>
      <w:r>
        <w:br w:type="page"/>
      </w:r>
    </w:p>
    <w:p w14:paraId="73E0D350" w14:textId="77777777" w:rsidR="002D022F" w:rsidRPr="002D022F" w:rsidRDefault="002D022F" w:rsidP="002D022F">
      <w:pPr>
        <w:keepNext/>
        <w:keepLines/>
        <w:spacing w:before="40"/>
        <w:outlineLvl w:val="5"/>
        <w:rPr>
          <w:rFonts w:eastAsiaTheme="majorEastAsia" w:cstheme="majorBidi"/>
          <w:b/>
          <w:iCs/>
          <w:sz w:val="28"/>
          <w:szCs w:val="22"/>
        </w:rPr>
      </w:pPr>
      <w:r w:rsidRPr="002D022F">
        <w:rPr>
          <w:rFonts w:eastAsiaTheme="majorEastAsia" w:cstheme="majorBidi"/>
          <w:b/>
          <w:iCs/>
          <w:sz w:val="28"/>
          <w:szCs w:val="22"/>
        </w:rPr>
        <w:lastRenderedPageBreak/>
        <w:t>DZIAŁ 852 – POMOC SPOŁECZNA</w:t>
      </w:r>
    </w:p>
    <w:p w14:paraId="1317AAF0" w14:textId="77777777" w:rsidR="002D022F" w:rsidRPr="002D022F" w:rsidRDefault="002D022F" w:rsidP="002D022F">
      <w:pPr>
        <w:spacing w:line="360" w:lineRule="auto"/>
        <w:jc w:val="both"/>
      </w:pPr>
    </w:p>
    <w:p w14:paraId="0E056ADE" w14:textId="77777777" w:rsidR="002D022F" w:rsidRPr="002D022F" w:rsidRDefault="002D022F" w:rsidP="002D022F">
      <w:pPr>
        <w:spacing w:line="360" w:lineRule="auto"/>
        <w:jc w:val="both"/>
      </w:pPr>
      <w:r w:rsidRPr="002D022F">
        <w:t>Dochody w dziale za 2024 r. zrealizowano w kwocie 3.778 tys. zł, co stanowi 175,2% planu wynoszącego 2.157 tys. zł.</w:t>
      </w:r>
    </w:p>
    <w:p w14:paraId="00E18A8A" w14:textId="77777777" w:rsidR="002D022F" w:rsidRPr="002D022F" w:rsidRDefault="002D022F" w:rsidP="002D022F">
      <w:pPr>
        <w:spacing w:line="360" w:lineRule="auto"/>
        <w:jc w:val="both"/>
      </w:pPr>
    </w:p>
    <w:p w14:paraId="678C72F9" w14:textId="77777777" w:rsidR="002D022F" w:rsidRPr="002D022F" w:rsidRDefault="002D022F" w:rsidP="002D022F">
      <w:pPr>
        <w:spacing w:line="360" w:lineRule="auto"/>
        <w:jc w:val="both"/>
        <w:rPr>
          <w:szCs w:val="26"/>
        </w:rPr>
      </w:pPr>
      <w:r w:rsidRPr="002D022F">
        <w:rPr>
          <w:szCs w:val="26"/>
        </w:rPr>
        <w:t>Dochody pobierane przez jednostki samorządu terytorialnego z tytułu realizacji zadań zleconych z zakresu administracji rządowej, zrealizowano z tytułu:</w:t>
      </w:r>
    </w:p>
    <w:p w14:paraId="1223A60F" w14:textId="77777777" w:rsidR="002D022F" w:rsidRPr="002D022F" w:rsidRDefault="002D022F" w:rsidP="002D022F">
      <w:pPr>
        <w:numPr>
          <w:ilvl w:val="0"/>
          <w:numId w:val="18"/>
        </w:numPr>
        <w:spacing w:line="360" w:lineRule="auto"/>
        <w:jc w:val="both"/>
        <w:rPr>
          <w:szCs w:val="26"/>
        </w:rPr>
      </w:pPr>
      <w:bookmarkStart w:id="12" w:name="_Hlk194410885"/>
      <w:r w:rsidRPr="002D022F">
        <w:rPr>
          <w:szCs w:val="26"/>
        </w:rPr>
        <w:t xml:space="preserve">kar administracyjnych nałożonych Decyzją Wojewody Pomorskiego na osoby fizyczne, na podstawie art.130 ust.2 w związku z art.131 ust.1 ustawy z dnia 12 marca 2004 r. </w:t>
      </w:r>
      <w:r w:rsidRPr="002D022F">
        <w:rPr>
          <w:szCs w:val="26"/>
        </w:rPr>
        <w:br/>
        <w:t xml:space="preserve">o pomocy społecznej, za prowadzenie, bez wymaganego zezwolenia placówki zapewniającej całodobową opiekę osobom niepełnosprawnym(…) - 6 tys. zł, co stanowi 18,8% planu wynoszącego 32 tys. zł. Niższe od planowanego wykonanie dochodów wynika z nieskuteczności prowadzonych egzekucji; </w:t>
      </w:r>
    </w:p>
    <w:p w14:paraId="7CA64617" w14:textId="77777777" w:rsidR="002D022F" w:rsidRPr="002D022F" w:rsidRDefault="002D022F" w:rsidP="002D022F">
      <w:pPr>
        <w:numPr>
          <w:ilvl w:val="0"/>
          <w:numId w:val="18"/>
        </w:numPr>
        <w:spacing w:line="360" w:lineRule="auto"/>
        <w:jc w:val="both"/>
        <w:rPr>
          <w:szCs w:val="26"/>
        </w:rPr>
      </w:pPr>
      <w:r w:rsidRPr="002D022F">
        <w:rPr>
          <w:szCs w:val="26"/>
        </w:rPr>
        <w:t>pozostałych odsetek, w tym odsetek od wyegzekwowanej przez komornika sądowego zaległości – 5 tys. zł, co stanowi 166,7 % planu wynoszącego 3 tys. zł. Wyższe od planowanego wykonanie dochodów wynika ze zwiększonej skuteczności działań egzekucyjnych;</w:t>
      </w:r>
    </w:p>
    <w:p w14:paraId="11DBECD9" w14:textId="77777777" w:rsidR="002D022F" w:rsidRPr="002D022F" w:rsidRDefault="002D022F" w:rsidP="002D022F">
      <w:pPr>
        <w:numPr>
          <w:ilvl w:val="0"/>
          <w:numId w:val="18"/>
        </w:numPr>
        <w:spacing w:line="360" w:lineRule="auto"/>
        <w:jc w:val="both"/>
        <w:rPr>
          <w:szCs w:val="26"/>
        </w:rPr>
      </w:pPr>
      <w:r w:rsidRPr="002D022F">
        <w:rPr>
          <w:szCs w:val="26"/>
        </w:rPr>
        <w:t xml:space="preserve">odpłatności za usługi całodobowe świadczone w ośrodkach wsparcia osobom </w:t>
      </w:r>
      <w:r w:rsidRPr="002D022F">
        <w:rPr>
          <w:szCs w:val="26"/>
        </w:rPr>
        <w:br/>
        <w:t xml:space="preserve">z zaburzeniami psychicznymi – 6 tys. zł, co stanowi 85,7% planu wynoszącego </w:t>
      </w:r>
      <w:r w:rsidRPr="002D022F">
        <w:rPr>
          <w:szCs w:val="26"/>
        </w:rPr>
        <w:br/>
        <w:t>7 tys. zł;</w:t>
      </w:r>
    </w:p>
    <w:bookmarkEnd w:id="12"/>
    <w:p w14:paraId="3D1A0A7D" w14:textId="77777777" w:rsidR="002D022F" w:rsidRPr="002D022F" w:rsidRDefault="002D022F" w:rsidP="002D022F">
      <w:pPr>
        <w:numPr>
          <w:ilvl w:val="0"/>
          <w:numId w:val="18"/>
        </w:numPr>
        <w:spacing w:line="360" w:lineRule="auto"/>
        <w:jc w:val="both"/>
        <w:rPr>
          <w:szCs w:val="26"/>
        </w:rPr>
      </w:pPr>
      <w:r w:rsidRPr="002D022F">
        <w:rPr>
          <w:szCs w:val="26"/>
        </w:rPr>
        <w:t>odpłatności za świadczone usługi opiekuńcze i specjalistyczne usługi opiekuńcze dla osób z zaburzeniami psychicznymi – 2.874 tys. zł, co stanowi 135,9% planu wynoszącego 2.115 tys. zł. Wyższe od planowanego wykonanie dochodów wynika ze zwiększenia się liczby osób objętych usługami opiekuńczymi.</w:t>
      </w:r>
    </w:p>
    <w:p w14:paraId="2B112618" w14:textId="77777777" w:rsidR="002D022F" w:rsidRPr="002D022F" w:rsidRDefault="002D022F" w:rsidP="002D022F">
      <w:pPr>
        <w:spacing w:line="360" w:lineRule="auto"/>
        <w:jc w:val="both"/>
        <w:rPr>
          <w:szCs w:val="26"/>
          <w:highlight w:val="yellow"/>
        </w:rPr>
      </w:pPr>
    </w:p>
    <w:p w14:paraId="4BEF2189" w14:textId="77777777" w:rsidR="002D022F" w:rsidRPr="002D022F" w:rsidRDefault="002D022F" w:rsidP="002D022F">
      <w:pPr>
        <w:spacing w:line="360" w:lineRule="auto"/>
        <w:jc w:val="both"/>
        <w:rPr>
          <w:szCs w:val="26"/>
        </w:rPr>
      </w:pPr>
      <w:r w:rsidRPr="002D022F">
        <w:rPr>
          <w:szCs w:val="26"/>
        </w:rPr>
        <w:t>Dochody nieplanowane w wysokości 887 tys. zł. pochodziły głównie ze zwrotów dokonanych przez jednostki samorządu terytorialnego z tytułu niewykorzystanych dotacji bądź pobranych w  nadmiernej wysokości wraz z odsetkami na:</w:t>
      </w:r>
    </w:p>
    <w:p w14:paraId="2FE6752A" w14:textId="77777777" w:rsidR="002D022F" w:rsidRPr="002D022F" w:rsidRDefault="002D022F" w:rsidP="002D022F">
      <w:pPr>
        <w:numPr>
          <w:ilvl w:val="0"/>
          <w:numId w:val="18"/>
        </w:numPr>
        <w:spacing w:line="360" w:lineRule="auto"/>
        <w:jc w:val="both"/>
      </w:pPr>
      <w:r w:rsidRPr="002D022F">
        <w:t xml:space="preserve">wypłatę zasiłków z pomocy społecznej – 775 tys. zł. (znaczna część wpływów dotyczy: zwrotów nienależnie pobranych świadczeń w związku z przyznaniem świadczeń emerytalnych i rentowych, </w:t>
      </w:r>
      <w:r w:rsidRPr="002D022F">
        <w:rPr>
          <w:szCs w:val="26"/>
        </w:rPr>
        <w:t>niepobraniem przez osoby uprawnione zasiłków,</w:t>
      </w:r>
      <w:r w:rsidRPr="002D022F">
        <w:t xml:space="preserve"> </w:t>
      </w:r>
      <w:r w:rsidRPr="002D022F">
        <w:rPr>
          <w:szCs w:val="26"/>
        </w:rPr>
        <w:t>uchyleniem decyzji przyznających prawo do zasiłku w wyniku podjęcia zatrudnienia powodującego zmianę sytuację materialnej klientów, uzyskania dochodów ze zbycia składników majątku osobistego, braku współpracy z pracownikiem socjalnym</w:t>
      </w:r>
      <w:r w:rsidRPr="002D022F">
        <w:t>);</w:t>
      </w:r>
    </w:p>
    <w:p w14:paraId="3729916B" w14:textId="77777777" w:rsidR="002D022F" w:rsidRPr="002D022F" w:rsidRDefault="002D022F" w:rsidP="002D022F">
      <w:pPr>
        <w:numPr>
          <w:ilvl w:val="0"/>
          <w:numId w:val="18"/>
        </w:numPr>
        <w:spacing w:line="360" w:lineRule="auto"/>
        <w:jc w:val="both"/>
        <w:rPr>
          <w:szCs w:val="26"/>
        </w:rPr>
      </w:pPr>
      <w:r w:rsidRPr="002D022F">
        <w:lastRenderedPageBreak/>
        <w:t>działalność ośrodków wsparcia – 61 tys. zł;</w:t>
      </w:r>
    </w:p>
    <w:p w14:paraId="50BC8272" w14:textId="77777777" w:rsidR="002D022F" w:rsidRPr="002D022F" w:rsidRDefault="002D022F" w:rsidP="002D022F">
      <w:pPr>
        <w:numPr>
          <w:ilvl w:val="0"/>
          <w:numId w:val="18"/>
        </w:numPr>
        <w:spacing w:line="360" w:lineRule="auto"/>
        <w:jc w:val="both"/>
        <w:rPr>
          <w:szCs w:val="26"/>
        </w:rPr>
      </w:pPr>
      <w:r w:rsidRPr="002D022F">
        <w:t>pozostałe zadania z zakresu pomocy społecznej – 51 tys. zł.</w:t>
      </w:r>
    </w:p>
    <w:p w14:paraId="6AE541AD" w14:textId="77777777" w:rsidR="002D022F" w:rsidRPr="002D022F" w:rsidRDefault="002D022F" w:rsidP="002D022F">
      <w:pPr>
        <w:spacing w:line="360" w:lineRule="auto"/>
        <w:ind w:left="720"/>
        <w:jc w:val="both"/>
        <w:rPr>
          <w:szCs w:val="26"/>
        </w:rPr>
      </w:pPr>
    </w:p>
    <w:p w14:paraId="78158A1F" w14:textId="77777777" w:rsidR="002D022F" w:rsidRPr="002D022F" w:rsidRDefault="002D022F" w:rsidP="002D022F">
      <w:pPr>
        <w:spacing w:after="160" w:line="360" w:lineRule="auto"/>
        <w:jc w:val="both"/>
      </w:pPr>
      <w:bookmarkStart w:id="13" w:name="_Hlk194410909"/>
      <w:r w:rsidRPr="002D022F">
        <w:t xml:space="preserve">Należności na koniec 2024 r. wynoszą 3.433 tys. zł i w stosunku do roku 2023 wzrosły </w:t>
      </w:r>
      <w:r w:rsidRPr="002D022F">
        <w:br/>
        <w:t>o 2.797 tys. zł</w:t>
      </w:r>
      <w:bookmarkEnd w:id="13"/>
      <w:r w:rsidRPr="002D022F">
        <w:t xml:space="preserve">. Wzrost należności wynika przede wszystkim ze zwiększenia się przypisu zaległości odpłatności za świadczone usługi opiekuńcze i specjalistyczne usługi opiekuńcze dla osób z zaburzeniami psychicznymi. </w:t>
      </w:r>
    </w:p>
    <w:p w14:paraId="11A415D8" w14:textId="2DD24369" w:rsidR="002D022F" w:rsidRDefault="002D022F">
      <w:pPr>
        <w:spacing w:after="160" w:line="259" w:lineRule="auto"/>
      </w:pPr>
      <w:r>
        <w:br w:type="page"/>
      </w:r>
    </w:p>
    <w:p w14:paraId="5535C0DB" w14:textId="77777777" w:rsidR="002D022F" w:rsidRPr="002D022F" w:rsidRDefault="002D022F" w:rsidP="002D022F">
      <w:pPr>
        <w:keepNext/>
        <w:keepLines/>
        <w:spacing w:before="40"/>
        <w:outlineLvl w:val="5"/>
        <w:rPr>
          <w:rFonts w:eastAsiaTheme="majorEastAsia" w:cstheme="majorBidi"/>
          <w:b/>
          <w:iCs/>
          <w:sz w:val="28"/>
          <w:szCs w:val="22"/>
        </w:rPr>
      </w:pPr>
      <w:r w:rsidRPr="002D022F">
        <w:rPr>
          <w:rFonts w:eastAsiaTheme="majorEastAsia" w:cstheme="majorBidi"/>
          <w:b/>
          <w:iCs/>
          <w:sz w:val="28"/>
          <w:szCs w:val="22"/>
        </w:rPr>
        <w:lastRenderedPageBreak/>
        <w:t>DZIAŁ 853 – POZOSTAŁE ZADANIA W ZAKRESIE POLITYKI SPOŁECZNEJ</w:t>
      </w:r>
    </w:p>
    <w:p w14:paraId="0A348507" w14:textId="77777777" w:rsidR="002D022F" w:rsidRPr="002D022F" w:rsidRDefault="002D022F" w:rsidP="002D022F">
      <w:pPr>
        <w:spacing w:line="360" w:lineRule="auto"/>
        <w:jc w:val="both"/>
        <w:rPr>
          <w:szCs w:val="26"/>
        </w:rPr>
      </w:pPr>
    </w:p>
    <w:p w14:paraId="1BE00D80" w14:textId="77777777" w:rsidR="002D022F" w:rsidRPr="002D022F" w:rsidRDefault="002D022F" w:rsidP="002D022F">
      <w:pPr>
        <w:spacing w:line="360" w:lineRule="auto"/>
        <w:jc w:val="both"/>
      </w:pPr>
      <w:r w:rsidRPr="002D022F">
        <w:t xml:space="preserve">Dochody w dziale za 2024 r. zrealizowano w kwocie 2.776 tys. zł, co stanowi 116,9% planu wynoszącego 2.375 tys. zł. i pochodziły z tytułu: </w:t>
      </w:r>
    </w:p>
    <w:p w14:paraId="7D72A490" w14:textId="77777777" w:rsidR="002D022F" w:rsidRPr="002D022F" w:rsidRDefault="002D022F" w:rsidP="002D022F">
      <w:pPr>
        <w:numPr>
          <w:ilvl w:val="0"/>
          <w:numId w:val="19"/>
        </w:numPr>
        <w:spacing w:line="360" w:lineRule="auto"/>
        <w:jc w:val="both"/>
        <w:rPr>
          <w:szCs w:val="26"/>
        </w:rPr>
      </w:pPr>
      <w:r w:rsidRPr="002D022F">
        <w:rPr>
          <w:szCs w:val="26"/>
        </w:rPr>
        <w:t>opłat za wydawanie kart parkingowych, pobieranych przez powiatowe zespoły                  ds. orzekania o niepełnosprawności, który to obowiązek wprowadzony został ustawą                  z dnia 23 października 2013 r. o zmianie ustawy Prawo o ruchu drogowym oraz niektórych innych ustaw, jak również za wydanie duplikatu legitymacji dokumentującej niepełnosprawność albo stopień niepełnosprawności – 506 tys. zł, co stanowi 144,6% planu wynoszącego 350 tys. zł;</w:t>
      </w:r>
    </w:p>
    <w:p w14:paraId="322029F1" w14:textId="77777777" w:rsidR="002D022F" w:rsidRPr="002D022F" w:rsidRDefault="002D022F" w:rsidP="002D022F">
      <w:pPr>
        <w:numPr>
          <w:ilvl w:val="0"/>
          <w:numId w:val="19"/>
        </w:numPr>
        <w:spacing w:line="360" w:lineRule="auto"/>
        <w:jc w:val="both"/>
        <w:rPr>
          <w:szCs w:val="26"/>
        </w:rPr>
      </w:pPr>
      <w:r w:rsidRPr="002D022F">
        <w:rPr>
          <w:szCs w:val="26"/>
        </w:rPr>
        <w:t xml:space="preserve">wpłat związanych ze składanymi w powiatowych urzędach pracy oświadczeniami                   o powierzeniu wykonywania pracy cudzoziemcowi oraz wnioskami o wydanie zezwolenia na pracę sezonową, zgodnie z art. 90a ustawy o promocji zatrudnienia </w:t>
      </w:r>
      <w:r w:rsidRPr="002D022F">
        <w:rPr>
          <w:szCs w:val="26"/>
        </w:rPr>
        <w:br/>
        <w:t xml:space="preserve">i instytucjach rynku pracy – 2.262 tys. zł, co stanowi 111,7% planu wynoszącego </w:t>
      </w:r>
      <w:r w:rsidRPr="002D022F">
        <w:rPr>
          <w:szCs w:val="26"/>
        </w:rPr>
        <w:br/>
        <w:t>2.025 tys. zł.</w:t>
      </w:r>
    </w:p>
    <w:p w14:paraId="16F5BF52" w14:textId="77777777" w:rsidR="002D022F" w:rsidRPr="002D022F" w:rsidRDefault="002D022F" w:rsidP="002D022F">
      <w:pPr>
        <w:spacing w:line="360" w:lineRule="auto"/>
        <w:jc w:val="both"/>
      </w:pPr>
    </w:p>
    <w:p w14:paraId="6CB96C2D" w14:textId="77777777" w:rsidR="002D022F" w:rsidRPr="002D022F" w:rsidRDefault="002D022F" w:rsidP="002D022F">
      <w:pPr>
        <w:spacing w:line="360" w:lineRule="auto"/>
        <w:jc w:val="both"/>
        <w:rPr>
          <w:bCs/>
        </w:rPr>
      </w:pPr>
      <w:r w:rsidRPr="002D022F">
        <w:rPr>
          <w:bCs/>
        </w:rPr>
        <w:t>Dochody nieplanowane w wysokości 8 tys. zł. uzyskano z tytułu wystawienia not obciążeniowych za przekroczenia terminu realizacji umów oraz zwrotów niewyjaśnionych przez powiatowe urzędy pracy wpłat w związku z niedostarczeniem przez podmiot ubiegający się o wydanie zezwolenia na pracę sezonową odpowiedniej dokumentacji.</w:t>
      </w:r>
    </w:p>
    <w:p w14:paraId="2077EDD0" w14:textId="77777777" w:rsidR="002D022F" w:rsidRPr="002D022F" w:rsidRDefault="002D022F" w:rsidP="002D022F">
      <w:pPr>
        <w:spacing w:line="360" w:lineRule="auto"/>
        <w:jc w:val="both"/>
        <w:rPr>
          <w:szCs w:val="26"/>
          <w:highlight w:val="red"/>
        </w:rPr>
      </w:pPr>
    </w:p>
    <w:p w14:paraId="33EB1AF5" w14:textId="77777777" w:rsidR="002D022F" w:rsidRPr="002D022F" w:rsidRDefault="002D022F" w:rsidP="002D022F">
      <w:pPr>
        <w:spacing w:line="360" w:lineRule="auto"/>
        <w:jc w:val="both"/>
        <w:rPr>
          <w:szCs w:val="26"/>
        </w:rPr>
      </w:pPr>
      <w:r w:rsidRPr="002D022F">
        <w:rPr>
          <w:szCs w:val="26"/>
        </w:rPr>
        <w:t xml:space="preserve">Należności na koniec 2024 r. wyniosły 506 tys. zł i wynikają ze zwiększenia się ich przypisu </w:t>
      </w:r>
      <w:r w:rsidRPr="002D022F">
        <w:rPr>
          <w:szCs w:val="26"/>
        </w:rPr>
        <w:br/>
        <w:t>z tytułu opłat za wydawanie kart parkingowych, pobieranych przez powiatowe zespoły                  ds. orzekania o niepełnosprawności.</w:t>
      </w:r>
    </w:p>
    <w:p w14:paraId="5D75ED0A" w14:textId="77777777" w:rsidR="002D022F" w:rsidRPr="002D022F" w:rsidRDefault="002D022F" w:rsidP="002D022F">
      <w:pPr>
        <w:spacing w:line="360" w:lineRule="auto"/>
        <w:jc w:val="both"/>
        <w:rPr>
          <w:szCs w:val="26"/>
        </w:rPr>
      </w:pPr>
    </w:p>
    <w:p w14:paraId="10136FC7" w14:textId="77777777" w:rsidR="002D022F" w:rsidRPr="002D022F" w:rsidRDefault="002D022F" w:rsidP="002D022F">
      <w:pPr>
        <w:spacing w:line="360" w:lineRule="auto"/>
        <w:jc w:val="both"/>
        <w:rPr>
          <w:szCs w:val="26"/>
        </w:rPr>
      </w:pPr>
    </w:p>
    <w:p w14:paraId="54B3E249" w14:textId="77777777" w:rsidR="002D022F" w:rsidRPr="002D022F" w:rsidRDefault="002D022F" w:rsidP="002D022F">
      <w:pPr>
        <w:spacing w:line="360" w:lineRule="auto"/>
        <w:jc w:val="both"/>
        <w:rPr>
          <w:szCs w:val="26"/>
        </w:rPr>
      </w:pPr>
    </w:p>
    <w:p w14:paraId="13FCDED1" w14:textId="77777777" w:rsidR="002D022F" w:rsidRPr="002D022F" w:rsidRDefault="002D022F" w:rsidP="002D022F">
      <w:pPr>
        <w:spacing w:line="360" w:lineRule="auto"/>
        <w:jc w:val="both"/>
        <w:rPr>
          <w:szCs w:val="26"/>
        </w:rPr>
      </w:pPr>
    </w:p>
    <w:p w14:paraId="66FCB8A9" w14:textId="77777777" w:rsidR="002D022F" w:rsidRPr="002D022F" w:rsidRDefault="002D022F" w:rsidP="002D022F">
      <w:pPr>
        <w:spacing w:line="360" w:lineRule="auto"/>
        <w:jc w:val="both"/>
        <w:rPr>
          <w:szCs w:val="26"/>
        </w:rPr>
      </w:pPr>
    </w:p>
    <w:p w14:paraId="08452934" w14:textId="77777777" w:rsidR="002D022F" w:rsidRPr="002D022F" w:rsidRDefault="002D022F" w:rsidP="002D022F">
      <w:pPr>
        <w:spacing w:line="360" w:lineRule="auto"/>
        <w:jc w:val="both"/>
        <w:rPr>
          <w:szCs w:val="26"/>
        </w:rPr>
      </w:pPr>
    </w:p>
    <w:p w14:paraId="604A6264" w14:textId="77777777" w:rsidR="002D022F" w:rsidRPr="002D022F" w:rsidRDefault="002D022F" w:rsidP="002D022F">
      <w:pPr>
        <w:spacing w:line="360" w:lineRule="auto"/>
        <w:jc w:val="both"/>
        <w:rPr>
          <w:szCs w:val="26"/>
        </w:rPr>
      </w:pPr>
    </w:p>
    <w:p w14:paraId="20AD8081" w14:textId="77777777" w:rsidR="002D022F" w:rsidRPr="002D022F" w:rsidRDefault="002D022F" w:rsidP="002D022F">
      <w:pPr>
        <w:spacing w:line="360" w:lineRule="auto"/>
        <w:jc w:val="both"/>
        <w:rPr>
          <w:szCs w:val="26"/>
        </w:rPr>
      </w:pPr>
    </w:p>
    <w:p w14:paraId="3B27971A" w14:textId="77777777" w:rsidR="002D022F" w:rsidRPr="002D022F" w:rsidRDefault="002D022F" w:rsidP="002D022F"/>
    <w:p w14:paraId="42B196D7" w14:textId="77777777" w:rsidR="002D022F" w:rsidRPr="002D022F" w:rsidRDefault="002D022F" w:rsidP="002D022F">
      <w:pPr>
        <w:keepNext/>
        <w:keepLines/>
        <w:spacing w:before="40"/>
        <w:outlineLvl w:val="5"/>
        <w:rPr>
          <w:rFonts w:eastAsiaTheme="majorEastAsia" w:cstheme="majorBidi"/>
          <w:b/>
          <w:iCs/>
          <w:sz w:val="28"/>
          <w:szCs w:val="22"/>
        </w:rPr>
      </w:pPr>
      <w:r w:rsidRPr="002D022F">
        <w:rPr>
          <w:rFonts w:eastAsiaTheme="majorEastAsia" w:cstheme="majorBidi"/>
          <w:b/>
          <w:iCs/>
          <w:sz w:val="28"/>
          <w:szCs w:val="22"/>
        </w:rPr>
        <w:lastRenderedPageBreak/>
        <w:t>DZIAŁ 855 – RODZINA</w:t>
      </w:r>
    </w:p>
    <w:p w14:paraId="31F4824F" w14:textId="77777777" w:rsidR="002D022F" w:rsidRPr="002D022F" w:rsidRDefault="002D022F" w:rsidP="002D022F">
      <w:pPr>
        <w:spacing w:line="360" w:lineRule="auto"/>
        <w:jc w:val="both"/>
      </w:pPr>
    </w:p>
    <w:p w14:paraId="0C37E020" w14:textId="77777777" w:rsidR="002D022F" w:rsidRPr="002D022F" w:rsidRDefault="002D022F" w:rsidP="002D022F">
      <w:pPr>
        <w:spacing w:line="360" w:lineRule="auto"/>
        <w:jc w:val="both"/>
      </w:pPr>
      <w:r w:rsidRPr="002D022F">
        <w:t>Dochody w dziale za 2024 r. zrealizowano w kwocie 50.265 tys. zł, co stanowi 144,7% planu wynoszącego 34.748 tys. zł.</w:t>
      </w:r>
    </w:p>
    <w:p w14:paraId="569DF3C8" w14:textId="77777777" w:rsidR="002D022F" w:rsidRPr="002D022F" w:rsidRDefault="002D022F" w:rsidP="002D022F">
      <w:pPr>
        <w:spacing w:line="360" w:lineRule="auto"/>
        <w:jc w:val="both"/>
      </w:pPr>
    </w:p>
    <w:p w14:paraId="049E166D" w14:textId="77777777" w:rsidR="002D022F" w:rsidRPr="002D022F" w:rsidRDefault="002D022F" w:rsidP="002D022F">
      <w:pPr>
        <w:spacing w:line="360" w:lineRule="auto"/>
        <w:jc w:val="both"/>
        <w:rPr>
          <w:szCs w:val="26"/>
        </w:rPr>
      </w:pPr>
      <w:r w:rsidRPr="002D022F">
        <w:rPr>
          <w:szCs w:val="26"/>
        </w:rPr>
        <w:t>Na wykonanie dochodów pobieranych przez jednostki samorządu terytorialnego z zakresu administracji rządowej złożyły się wpływy z tytułu:</w:t>
      </w:r>
    </w:p>
    <w:p w14:paraId="3FCF141C" w14:textId="77777777" w:rsidR="002D022F" w:rsidRPr="002D022F" w:rsidRDefault="002D022F" w:rsidP="002D022F">
      <w:pPr>
        <w:numPr>
          <w:ilvl w:val="0"/>
          <w:numId w:val="20"/>
        </w:numPr>
        <w:spacing w:line="360" w:lineRule="auto"/>
        <w:jc w:val="both"/>
        <w:rPr>
          <w:szCs w:val="26"/>
        </w:rPr>
      </w:pPr>
      <w:r w:rsidRPr="002D022F">
        <w:rPr>
          <w:szCs w:val="26"/>
        </w:rPr>
        <w:t>zwrotu przez dłużników alimentacyjnych wypłaconych świadczeń z funduszu alimentacyjnego osobom uprawnionym na podstawie zapisów art. 27 ustawy z dnia               7 września 2007 r. o pomocy osobom uprawnionym do alimentów – 41.112 tys. zł, co stanowi 118,4% planu wynoszącego 34.733 tys. zł;</w:t>
      </w:r>
    </w:p>
    <w:p w14:paraId="06435F13" w14:textId="77777777" w:rsidR="002D022F" w:rsidRPr="002D022F" w:rsidRDefault="002D022F" w:rsidP="002D022F">
      <w:pPr>
        <w:numPr>
          <w:ilvl w:val="0"/>
          <w:numId w:val="20"/>
        </w:numPr>
        <w:spacing w:line="360" w:lineRule="auto"/>
        <w:jc w:val="both"/>
        <w:rPr>
          <w:szCs w:val="26"/>
        </w:rPr>
      </w:pPr>
      <w:r w:rsidRPr="002D022F">
        <w:rPr>
          <w:szCs w:val="26"/>
        </w:rPr>
        <w:t>wydania duplikatu oraz drugiej Karty Dużej Rodziny – 13 tys. zł, co stanowi 86,7% planu wynoszącego 15 tys. zł.</w:t>
      </w:r>
    </w:p>
    <w:p w14:paraId="61A31AC4" w14:textId="77777777" w:rsidR="002D022F" w:rsidRPr="002D022F" w:rsidRDefault="002D022F" w:rsidP="002D022F">
      <w:pPr>
        <w:spacing w:line="360" w:lineRule="auto"/>
        <w:jc w:val="both"/>
        <w:rPr>
          <w:szCs w:val="26"/>
        </w:rPr>
      </w:pPr>
    </w:p>
    <w:p w14:paraId="4946BA41" w14:textId="77777777" w:rsidR="002D022F" w:rsidRPr="002D022F" w:rsidRDefault="002D022F" w:rsidP="002D022F">
      <w:pPr>
        <w:spacing w:line="360" w:lineRule="auto"/>
        <w:jc w:val="both"/>
        <w:rPr>
          <w:szCs w:val="26"/>
        </w:rPr>
      </w:pPr>
      <w:r w:rsidRPr="002D022F">
        <w:rPr>
          <w:szCs w:val="26"/>
        </w:rPr>
        <w:t xml:space="preserve">Dochody nieplanowane w wysokości 9.140 tys. zł pochodziły przede wszystkim ze zwrotów dokonanych przez jednostki samorządu terytorialnego z tytułu dotacji niewykorzystanych bądź pobranych  w nadmiernej wysokości wraz z odsetkami w zakresie: </w:t>
      </w:r>
    </w:p>
    <w:p w14:paraId="39641C6A" w14:textId="77777777" w:rsidR="002D022F" w:rsidRPr="002D022F" w:rsidRDefault="002D022F" w:rsidP="002D022F">
      <w:pPr>
        <w:numPr>
          <w:ilvl w:val="0"/>
          <w:numId w:val="21"/>
        </w:numPr>
        <w:spacing w:line="360" w:lineRule="auto"/>
        <w:jc w:val="both"/>
        <w:rPr>
          <w:szCs w:val="26"/>
        </w:rPr>
      </w:pPr>
      <w:r w:rsidRPr="002D022F">
        <w:rPr>
          <w:szCs w:val="26"/>
        </w:rPr>
        <w:t xml:space="preserve">świadczeń wychowawczych – 1.459 tys. zł ; </w:t>
      </w:r>
    </w:p>
    <w:p w14:paraId="50A2EF51" w14:textId="77777777" w:rsidR="002D022F" w:rsidRPr="002D022F" w:rsidRDefault="002D022F" w:rsidP="002D022F">
      <w:pPr>
        <w:numPr>
          <w:ilvl w:val="0"/>
          <w:numId w:val="21"/>
        </w:numPr>
        <w:spacing w:line="360" w:lineRule="auto"/>
        <w:jc w:val="both"/>
        <w:rPr>
          <w:szCs w:val="26"/>
        </w:rPr>
      </w:pPr>
      <w:r w:rsidRPr="002D022F">
        <w:rPr>
          <w:szCs w:val="26"/>
        </w:rPr>
        <w:t>świadczeń rodzinnych – 7.215 tys. zł;</w:t>
      </w:r>
    </w:p>
    <w:p w14:paraId="15C3C3FB" w14:textId="77777777" w:rsidR="002D022F" w:rsidRPr="002D022F" w:rsidRDefault="002D022F" w:rsidP="002D022F">
      <w:pPr>
        <w:numPr>
          <w:ilvl w:val="0"/>
          <w:numId w:val="21"/>
        </w:numPr>
        <w:spacing w:line="360" w:lineRule="auto"/>
        <w:jc w:val="both"/>
        <w:rPr>
          <w:szCs w:val="26"/>
        </w:rPr>
      </w:pPr>
      <w:r w:rsidRPr="002D022F">
        <w:rPr>
          <w:szCs w:val="26"/>
        </w:rPr>
        <w:t>systemu opieki nad dziećmi do lat 3 – 440 tys. zł.</w:t>
      </w:r>
    </w:p>
    <w:p w14:paraId="12422796" w14:textId="77777777" w:rsidR="002D022F" w:rsidRPr="002D022F" w:rsidRDefault="002D022F" w:rsidP="002D022F">
      <w:pPr>
        <w:spacing w:after="120" w:line="360" w:lineRule="auto"/>
        <w:jc w:val="both"/>
        <w:rPr>
          <w:bCs/>
          <w:szCs w:val="26"/>
        </w:rPr>
      </w:pPr>
    </w:p>
    <w:p w14:paraId="0EF57033" w14:textId="77777777" w:rsidR="002D022F" w:rsidRPr="002D022F" w:rsidRDefault="002D022F" w:rsidP="002D022F">
      <w:pPr>
        <w:spacing w:after="120" w:line="360" w:lineRule="auto"/>
        <w:jc w:val="both"/>
      </w:pPr>
      <w:r w:rsidRPr="002D022F">
        <w:rPr>
          <w:bCs/>
          <w:szCs w:val="26"/>
        </w:rPr>
        <w:t xml:space="preserve">Należności pozostałe do zapłaty na koniec 2024 </w:t>
      </w:r>
      <w:r w:rsidRPr="002D022F">
        <w:rPr>
          <w:bCs/>
        </w:rPr>
        <w:t xml:space="preserve">r. wynosiły 1.332.851 zł i wzrosły o kwotę 125.169 tys. zł w stosunku do 2023 r. </w:t>
      </w:r>
      <w:r w:rsidRPr="002D022F">
        <w:t xml:space="preserve">Należności pozostałe do zapłaty prawie w pełnej wysokości dotyczyły zaległości od dłużników alimentacyjnych. Przyczyną wzrostu należności w roku 2024 w stosunku do roku 2023 była nieskuteczna windykacja, kształtująca się na poziomie ok. 3%. Dłużnikami alimentacyjnymi są zwykle osoby bez stałego miejsca zamieszkania, przebywające za granicą, bezrobotne, bądź inne nie będące w stanie wykonywać swoich zobowiązań alimentacyjnych, co znacząco utrudnia windykację.              </w:t>
      </w:r>
    </w:p>
    <w:p w14:paraId="78DE0BAC" w14:textId="77777777" w:rsidR="002D022F" w:rsidRPr="002D022F" w:rsidRDefault="002D022F" w:rsidP="002D022F">
      <w:pPr>
        <w:spacing w:line="360" w:lineRule="auto"/>
        <w:jc w:val="both"/>
        <w:rPr>
          <w:bCs/>
          <w:szCs w:val="26"/>
        </w:rPr>
      </w:pPr>
    </w:p>
    <w:p w14:paraId="7972B9B2" w14:textId="77777777" w:rsidR="002D022F" w:rsidRPr="002D022F" w:rsidRDefault="002D022F" w:rsidP="002D022F">
      <w:pPr>
        <w:spacing w:line="360" w:lineRule="auto"/>
        <w:jc w:val="both"/>
        <w:rPr>
          <w:szCs w:val="26"/>
        </w:rPr>
      </w:pPr>
    </w:p>
    <w:p w14:paraId="414AD760" w14:textId="77777777" w:rsidR="002D022F" w:rsidRPr="002D022F" w:rsidRDefault="002D022F" w:rsidP="002D022F">
      <w:pPr>
        <w:spacing w:line="360" w:lineRule="auto"/>
        <w:jc w:val="both"/>
        <w:rPr>
          <w:szCs w:val="26"/>
        </w:rPr>
      </w:pPr>
    </w:p>
    <w:p w14:paraId="6F356580" w14:textId="77777777" w:rsidR="002D022F" w:rsidRPr="002D022F" w:rsidRDefault="002D022F" w:rsidP="002D022F"/>
    <w:p w14:paraId="7670CFC2" w14:textId="77777777" w:rsidR="002D022F" w:rsidRPr="002D022F" w:rsidRDefault="002D022F" w:rsidP="002D022F">
      <w:pPr>
        <w:widowControl w:val="0"/>
        <w:autoSpaceDE w:val="0"/>
        <w:spacing w:line="360" w:lineRule="auto"/>
        <w:jc w:val="both"/>
      </w:pPr>
    </w:p>
    <w:p w14:paraId="3F42425A" w14:textId="77777777" w:rsidR="002D022F" w:rsidRPr="002D022F" w:rsidRDefault="002D022F" w:rsidP="002D022F">
      <w:pPr>
        <w:keepNext/>
        <w:keepLines/>
        <w:spacing w:before="40"/>
        <w:outlineLvl w:val="5"/>
        <w:rPr>
          <w:rFonts w:eastAsiaTheme="majorEastAsia" w:cstheme="majorBidi"/>
          <w:b/>
          <w:iCs/>
          <w:sz w:val="28"/>
          <w:szCs w:val="22"/>
        </w:rPr>
      </w:pPr>
      <w:r w:rsidRPr="002D022F">
        <w:rPr>
          <w:rFonts w:eastAsiaTheme="majorEastAsia" w:cstheme="majorBidi"/>
          <w:b/>
          <w:iCs/>
          <w:sz w:val="28"/>
          <w:szCs w:val="22"/>
        </w:rPr>
        <w:lastRenderedPageBreak/>
        <w:t>DZIAŁ 900 – GOSPODARKA KOMUNALNA I OCHRONA ŚRODOWISKA</w:t>
      </w:r>
    </w:p>
    <w:p w14:paraId="6BF83B1A" w14:textId="77777777" w:rsidR="002D022F" w:rsidRPr="002D022F" w:rsidRDefault="002D022F" w:rsidP="002D022F">
      <w:pPr>
        <w:spacing w:line="360" w:lineRule="auto"/>
      </w:pPr>
    </w:p>
    <w:p w14:paraId="2D004E6E" w14:textId="77777777" w:rsidR="002D022F" w:rsidRPr="002D022F" w:rsidRDefault="002D022F" w:rsidP="002D022F">
      <w:pPr>
        <w:spacing w:line="360" w:lineRule="auto"/>
        <w:jc w:val="both"/>
      </w:pPr>
      <w:r w:rsidRPr="002D022F">
        <w:t xml:space="preserve">Dochody w dziale za 2024 r. zrealizowano w kwocie 1.253 tys. zł, co stanowi 234,6% planu wynoszącego 534 tys. zł. </w:t>
      </w:r>
    </w:p>
    <w:p w14:paraId="7FCDA0B5" w14:textId="77777777" w:rsidR="002D022F" w:rsidRPr="002D022F" w:rsidRDefault="002D022F" w:rsidP="002D022F">
      <w:pPr>
        <w:spacing w:line="360" w:lineRule="auto"/>
        <w:jc w:val="both"/>
        <w:rPr>
          <w:szCs w:val="26"/>
        </w:rPr>
      </w:pPr>
    </w:p>
    <w:p w14:paraId="0E9B3C4A" w14:textId="77777777" w:rsidR="002D022F" w:rsidRPr="002D022F" w:rsidRDefault="002D022F" w:rsidP="002D022F">
      <w:pPr>
        <w:spacing w:line="360" w:lineRule="auto"/>
        <w:jc w:val="both"/>
        <w:rPr>
          <w:szCs w:val="26"/>
        </w:rPr>
      </w:pPr>
      <w:r w:rsidRPr="002D022F">
        <w:rPr>
          <w:szCs w:val="26"/>
        </w:rPr>
        <w:t>Na dochody zrealizowane przez Wojewódzki Inspektorat Ochrony Środowiska złożyły się środki z tytułu:</w:t>
      </w:r>
    </w:p>
    <w:p w14:paraId="74649229" w14:textId="77777777" w:rsidR="002D022F" w:rsidRPr="002D022F" w:rsidRDefault="002D022F" w:rsidP="002D022F">
      <w:pPr>
        <w:numPr>
          <w:ilvl w:val="0"/>
          <w:numId w:val="22"/>
        </w:numPr>
        <w:spacing w:line="360" w:lineRule="auto"/>
        <w:jc w:val="both"/>
        <w:rPr>
          <w:szCs w:val="26"/>
        </w:rPr>
      </w:pPr>
      <w:r w:rsidRPr="002D022F">
        <w:rPr>
          <w:szCs w:val="26"/>
        </w:rPr>
        <w:t>opłat za zagospodarowanie odpadów, o których mowa w ustawie z dnia 20 stycznia 2005 r. o recyklingu pojazdów wycofanych z eksploatacji – 173 tys. zł, co stanowi 119,3% planu wynoszącego 145 tys. zł;</w:t>
      </w:r>
    </w:p>
    <w:p w14:paraId="51482056" w14:textId="77777777" w:rsidR="002D022F" w:rsidRPr="002D022F" w:rsidRDefault="002D022F" w:rsidP="002D022F">
      <w:pPr>
        <w:numPr>
          <w:ilvl w:val="0"/>
          <w:numId w:val="22"/>
        </w:numPr>
        <w:spacing w:line="360" w:lineRule="auto"/>
        <w:jc w:val="both"/>
        <w:rPr>
          <w:szCs w:val="26"/>
        </w:rPr>
      </w:pPr>
      <w:r w:rsidRPr="002D022F">
        <w:rPr>
          <w:szCs w:val="26"/>
        </w:rPr>
        <w:t xml:space="preserve">kar pieniężnych nakładanych na podstawie ustawy z dnia 15 maja 2015 r.  </w:t>
      </w:r>
      <w:r w:rsidRPr="002D022F">
        <w:rPr>
          <w:szCs w:val="26"/>
        </w:rPr>
        <w:br/>
        <w:t>o substancjach zubożających warstwę ozonową oraz o niektórych fluorowanych gazach cieplarnianych – 39 tys. zł, co stanowi 39% planu wynoszącego 100 tys. zł. Niższe od planowanego wykonanie dochodów wynika przede wszystkim z sankcyjnego charakteru dochodów. Charakter dochodów czyni je trudnymi do dokładnego zaplanowania;</w:t>
      </w:r>
    </w:p>
    <w:p w14:paraId="570D5D61" w14:textId="77777777" w:rsidR="002D022F" w:rsidRPr="002D022F" w:rsidRDefault="002D022F" w:rsidP="002D022F">
      <w:pPr>
        <w:numPr>
          <w:ilvl w:val="0"/>
          <w:numId w:val="22"/>
        </w:numPr>
        <w:spacing w:line="360" w:lineRule="auto"/>
        <w:jc w:val="both"/>
        <w:rPr>
          <w:szCs w:val="26"/>
        </w:rPr>
      </w:pPr>
      <w:r w:rsidRPr="002D022F">
        <w:rPr>
          <w:szCs w:val="26"/>
        </w:rPr>
        <w:t xml:space="preserve">kar za naruszenie przepisów o ochronie środowiska, na podstawie ustaw: Prawo Ochrony Środowiska, o Inspekcji Ochrony Środowiska, o zużytym sprzęcie elektrycznym i elektronicznym, o bateriach i akumulatorach, o odpadach, lasach,                   o gospodarce opakowaniami i odpadami opakowaniowymi oraz o międzynarodowym przemieszczaniu odpadów – 955 tys. zł, co stanowi 353,7% planu wynoszącego </w:t>
      </w:r>
      <w:r w:rsidRPr="002D022F">
        <w:rPr>
          <w:szCs w:val="26"/>
        </w:rPr>
        <w:br/>
        <w:t xml:space="preserve">270 tys. zł. Wyższe od planowanego wykonanie dochodów z tytułu wynika </w:t>
      </w:r>
      <w:r w:rsidRPr="002D022F">
        <w:rPr>
          <w:szCs w:val="26"/>
        </w:rPr>
        <w:br/>
        <w:t xml:space="preserve">ze zmian organizacyjnych inspektoratu. Inspektorzy nie prowadzą już postępowań administracyjnych celem wymierzenia kar. Przeprowadzają kontrolę i dokumentację </w:t>
      </w:r>
      <w:r w:rsidRPr="002D022F">
        <w:rPr>
          <w:szCs w:val="26"/>
        </w:rPr>
        <w:br/>
        <w:t>z przeprowadzonej kontroli kierują do Wydziału Prawnego. Wcześniej przeprowadzali kontrolę i wymierzali kary. Obecnie skupiają się wyłącznie na kontrolach podmiotów nieprzestrzegających przepisów o ochronie środowiska. Na zwiększone wykonanie wpływ miał także sankcyjny charakter dochodów. Charakter dochodów czyni je trudnymi do dokładnego zaplanowania;</w:t>
      </w:r>
    </w:p>
    <w:p w14:paraId="36C43FC9" w14:textId="77777777" w:rsidR="002D022F" w:rsidRPr="002D022F" w:rsidRDefault="002D022F" w:rsidP="002D022F">
      <w:pPr>
        <w:numPr>
          <w:ilvl w:val="0"/>
          <w:numId w:val="22"/>
        </w:numPr>
        <w:spacing w:line="360" w:lineRule="auto"/>
        <w:jc w:val="both"/>
        <w:rPr>
          <w:szCs w:val="26"/>
        </w:rPr>
      </w:pPr>
      <w:r w:rsidRPr="002D022F">
        <w:rPr>
          <w:szCs w:val="28"/>
        </w:rPr>
        <w:t>kosztów egzekucji, opłat komorniczych oraz zwrotu kosztów upomnień</w:t>
      </w:r>
      <w:r w:rsidRPr="002D022F">
        <w:rPr>
          <w:szCs w:val="26"/>
        </w:rPr>
        <w:t xml:space="preserve"> – 1 tys. zł, co stanowi 100% planu wynoszącego 1 tys. zł;</w:t>
      </w:r>
    </w:p>
    <w:p w14:paraId="21CFCAED" w14:textId="77777777" w:rsidR="002D022F" w:rsidRPr="002D022F" w:rsidRDefault="002D022F" w:rsidP="002D022F">
      <w:pPr>
        <w:numPr>
          <w:ilvl w:val="0"/>
          <w:numId w:val="22"/>
        </w:numPr>
        <w:spacing w:line="360" w:lineRule="auto"/>
        <w:jc w:val="both"/>
        <w:rPr>
          <w:szCs w:val="26"/>
        </w:rPr>
      </w:pPr>
      <w:bookmarkStart w:id="14" w:name="_Hlk194571707"/>
      <w:r w:rsidRPr="002D022F">
        <w:rPr>
          <w:szCs w:val="26"/>
        </w:rPr>
        <w:t xml:space="preserve">wpływów z kosztów kontroli, określanych decyzjami WIOŚ (m.in. koszty pobierania próbek, wykonania pomiarów i analiz ścieków) – 11 tys. zł, co stanowi 366,7% planu </w:t>
      </w:r>
      <w:r w:rsidRPr="002D022F">
        <w:rPr>
          <w:szCs w:val="26"/>
        </w:rPr>
        <w:lastRenderedPageBreak/>
        <w:t>wynoszącego 3 tys. zł. Wyższe od planowanego wykonanie dochodów z tytułu wynika z konieczności dokonania większej liczby czynności w toku przeprowadzanych kontroli;</w:t>
      </w:r>
    </w:p>
    <w:bookmarkEnd w:id="14"/>
    <w:p w14:paraId="3BA8B5D2" w14:textId="77777777" w:rsidR="002D022F" w:rsidRPr="002D022F" w:rsidRDefault="002D022F" w:rsidP="002D022F">
      <w:pPr>
        <w:numPr>
          <w:ilvl w:val="0"/>
          <w:numId w:val="22"/>
        </w:numPr>
        <w:spacing w:line="360" w:lineRule="auto"/>
        <w:jc w:val="both"/>
        <w:rPr>
          <w:szCs w:val="26"/>
        </w:rPr>
      </w:pPr>
      <w:r w:rsidRPr="002D022F">
        <w:rPr>
          <w:szCs w:val="26"/>
        </w:rPr>
        <w:t>opłaty prolongacyjnej – 8 tys. zł, co stanowi 800% planu wynoszącego 1 tys. zł. Wyższe od planowanego wykonanie dochodów z tytułu wynika z charakteru tego tytułu dochodów, trudnych do przewidzenia na etapie planowania;</w:t>
      </w:r>
    </w:p>
    <w:p w14:paraId="52541D51" w14:textId="77777777" w:rsidR="002D022F" w:rsidRPr="002D022F" w:rsidRDefault="002D022F" w:rsidP="002D022F">
      <w:pPr>
        <w:numPr>
          <w:ilvl w:val="0"/>
          <w:numId w:val="22"/>
        </w:numPr>
        <w:spacing w:line="360" w:lineRule="auto"/>
        <w:jc w:val="both"/>
        <w:rPr>
          <w:szCs w:val="26"/>
        </w:rPr>
      </w:pPr>
      <w:bookmarkStart w:id="15" w:name="_Hlk194571791"/>
      <w:r w:rsidRPr="002D022F">
        <w:rPr>
          <w:szCs w:val="26"/>
        </w:rPr>
        <w:t>odsetek za zwłokę – 61 tys. zł, co stanowi 762,5% planu wynoszącego 8 tys. zł. Wyższe od planowanego wykonanie dochodów z tytułu wynika z charakteru dochodów. Plan oparto na wielkości wpływów z lat poprzednich. Udało się jednak wyegzekwować znaczącą część odsetek za wpłaty mające mieć miejsce w roku 2023;</w:t>
      </w:r>
    </w:p>
    <w:bookmarkEnd w:id="15"/>
    <w:p w14:paraId="7FF59911" w14:textId="77777777" w:rsidR="002D022F" w:rsidRPr="002D022F" w:rsidRDefault="002D022F" w:rsidP="002D022F">
      <w:pPr>
        <w:numPr>
          <w:ilvl w:val="0"/>
          <w:numId w:val="22"/>
        </w:numPr>
        <w:spacing w:line="360" w:lineRule="auto"/>
        <w:jc w:val="both"/>
        <w:rPr>
          <w:szCs w:val="26"/>
        </w:rPr>
      </w:pPr>
      <w:r w:rsidRPr="002D022F">
        <w:rPr>
          <w:szCs w:val="26"/>
        </w:rPr>
        <w:t xml:space="preserve">rozliczeń z lat ubiegłych – 3 tys. zł, co stanowi 300% planu wynoszącego 1 tys. zł. Wyższe od planowanego wykonanie dochodów z tytułu wynika z oparcia założeń </w:t>
      </w:r>
      <w:r w:rsidRPr="002D022F">
        <w:rPr>
          <w:szCs w:val="26"/>
        </w:rPr>
        <w:br/>
        <w:t>o wpływy z lat ubiegłych;</w:t>
      </w:r>
    </w:p>
    <w:p w14:paraId="0BFE2FEB" w14:textId="77777777" w:rsidR="002D022F" w:rsidRPr="002D022F" w:rsidRDefault="002D022F" w:rsidP="002D022F">
      <w:pPr>
        <w:numPr>
          <w:ilvl w:val="0"/>
          <w:numId w:val="22"/>
        </w:numPr>
        <w:spacing w:line="360" w:lineRule="auto"/>
        <w:jc w:val="both"/>
        <w:rPr>
          <w:szCs w:val="26"/>
        </w:rPr>
      </w:pPr>
      <w:r w:rsidRPr="002D022F">
        <w:rPr>
          <w:szCs w:val="26"/>
        </w:rPr>
        <w:t xml:space="preserve">wynagrodzenie płatnika za terminowe regulowanie zobowiązań oraz udostępniania informacji o środowisku – 2 tys. zł, co stanowi 40% planu wynoszącego 5 tys. zł. Niższe od planowanego wykonanie dochodów z tytułu wynika z charakteru dochodów. Wysokość dochodów zależna jest przede wszystkim od liczby złożonych wniosków </w:t>
      </w:r>
      <w:r w:rsidRPr="002D022F">
        <w:rPr>
          <w:szCs w:val="26"/>
        </w:rPr>
        <w:br/>
        <w:t>o udostępnienie informacji o środowisku.</w:t>
      </w:r>
    </w:p>
    <w:p w14:paraId="3180FEE6" w14:textId="77777777" w:rsidR="002D022F" w:rsidRPr="002D022F" w:rsidRDefault="002D022F" w:rsidP="002D022F">
      <w:pPr>
        <w:spacing w:line="360" w:lineRule="auto"/>
        <w:jc w:val="both"/>
        <w:rPr>
          <w:szCs w:val="26"/>
        </w:rPr>
      </w:pPr>
    </w:p>
    <w:p w14:paraId="3CBF7DB2" w14:textId="77777777" w:rsidR="002D022F" w:rsidRPr="002D022F" w:rsidRDefault="002D022F" w:rsidP="002D022F">
      <w:pPr>
        <w:spacing w:line="360" w:lineRule="auto"/>
        <w:jc w:val="both"/>
        <w:rPr>
          <w:szCs w:val="26"/>
        </w:rPr>
      </w:pPr>
      <w:r w:rsidRPr="002D022F">
        <w:rPr>
          <w:szCs w:val="26"/>
        </w:rPr>
        <w:t>Należności na koniec 2024 r. wynoszą 558 tys. zł i zmalały w stosunku do roku 2023 o 11 tys. zł. Głównymi tytułami należności pozostają grzywny i kary nałożone na osoby fizyczne oraz osoby prawne i inne jednostki organizacyjne.</w:t>
      </w:r>
    </w:p>
    <w:p w14:paraId="1945DBBA" w14:textId="77777777" w:rsidR="002D022F" w:rsidRPr="002D022F" w:rsidRDefault="002D022F" w:rsidP="002D022F"/>
    <w:p w14:paraId="14E4AEDD" w14:textId="6B9963D1" w:rsidR="002D022F" w:rsidRDefault="002D022F">
      <w:pPr>
        <w:spacing w:after="160" w:line="259" w:lineRule="auto"/>
      </w:pPr>
      <w:r>
        <w:br w:type="page"/>
      </w:r>
    </w:p>
    <w:p w14:paraId="2B291F58" w14:textId="77777777" w:rsidR="002D022F" w:rsidRPr="002D022F" w:rsidRDefault="002D022F" w:rsidP="002D022F">
      <w:pPr>
        <w:keepNext/>
        <w:keepLines/>
        <w:spacing w:before="40"/>
        <w:jc w:val="both"/>
        <w:outlineLvl w:val="5"/>
        <w:rPr>
          <w:rFonts w:eastAsiaTheme="majorEastAsia" w:cstheme="majorBidi"/>
          <w:b/>
          <w:iCs/>
          <w:sz w:val="28"/>
          <w:szCs w:val="22"/>
        </w:rPr>
      </w:pPr>
      <w:r w:rsidRPr="002D022F">
        <w:rPr>
          <w:rFonts w:eastAsiaTheme="majorEastAsia" w:cstheme="majorBidi"/>
          <w:b/>
          <w:iCs/>
          <w:sz w:val="28"/>
          <w:szCs w:val="22"/>
        </w:rPr>
        <w:lastRenderedPageBreak/>
        <w:t>DZIAŁ 921 – KULTURA I OCHRONA DZIEDZICTWA NARODOWEGO</w:t>
      </w:r>
    </w:p>
    <w:p w14:paraId="63A44EFB" w14:textId="77777777" w:rsidR="002D022F" w:rsidRPr="002D022F" w:rsidRDefault="002D022F" w:rsidP="002D022F">
      <w:pPr>
        <w:spacing w:line="360" w:lineRule="auto"/>
        <w:jc w:val="both"/>
      </w:pPr>
    </w:p>
    <w:p w14:paraId="3176CF1F" w14:textId="77777777" w:rsidR="002D022F" w:rsidRPr="002D022F" w:rsidRDefault="002D022F" w:rsidP="002D022F">
      <w:pPr>
        <w:spacing w:line="360" w:lineRule="auto"/>
        <w:jc w:val="both"/>
      </w:pPr>
      <w:r w:rsidRPr="002D022F">
        <w:t>Dochody w dziale za 2024 r. zrealizowano w kwocie 7 tys. zł, co stanowi 26,9% planu wynoszącego 26 tys. zł.</w:t>
      </w:r>
    </w:p>
    <w:p w14:paraId="35F4AD3B" w14:textId="77777777" w:rsidR="002D022F" w:rsidRPr="002D022F" w:rsidRDefault="002D022F" w:rsidP="002D022F">
      <w:pPr>
        <w:spacing w:line="360" w:lineRule="auto"/>
        <w:jc w:val="both"/>
      </w:pPr>
    </w:p>
    <w:p w14:paraId="06A68987" w14:textId="77777777" w:rsidR="002D022F" w:rsidRPr="002D022F" w:rsidRDefault="002D022F" w:rsidP="002D022F">
      <w:pPr>
        <w:spacing w:line="360" w:lineRule="auto"/>
        <w:jc w:val="both"/>
      </w:pPr>
      <w:r w:rsidRPr="002D022F">
        <w:t>Na wykonanie dochodów zrealizowanych przez Wojewódzki Urząd Ochrony Zabytków złożyły się wpływy tytułu:</w:t>
      </w:r>
    </w:p>
    <w:p w14:paraId="3DF6B265" w14:textId="77777777" w:rsidR="002D022F" w:rsidRPr="002D022F" w:rsidRDefault="002D022F" w:rsidP="002D022F">
      <w:pPr>
        <w:numPr>
          <w:ilvl w:val="0"/>
          <w:numId w:val="24"/>
        </w:numPr>
        <w:spacing w:line="360" w:lineRule="auto"/>
        <w:contextualSpacing/>
        <w:jc w:val="both"/>
      </w:pPr>
      <w:r w:rsidRPr="002D022F">
        <w:t>nałożonych grzywien w celu przymuszenia do wykonania robót budowlanych przy obiektach zabytkowych – 4 tys. zł, co stanowi 19% planu wynoszącego 21 tys. zł. Niższe od planowanego wykonanie dochodów wynika przede wszystkim z sankcyjnego charakteru dochodów co uniemożliwia ich dokładne zaplanowanie;</w:t>
      </w:r>
    </w:p>
    <w:p w14:paraId="3C26A8EE" w14:textId="77777777" w:rsidR="002D022F" w:rsidRPr="002D022F" w:rsidRDefault="002D022F" w:rsidP="002D022F">
      <w:pPr>
        <w:numPr>
          <w:ilvl w:val="0"/>
          <w:numId w:val="23"/>
        </w:numPr>
        <w:spacing w:line="360" w:lineRule="auto"/>
        <w:jc w:val="both"/>
      </w:pPr>
      <w:r w:rsidRPr="002D022F">
        <w:t>rozliczeń kosztów eksploatacji z lat ubiegłych, dotyczących siedziby wynajmowanej przez Wojewódzki Urząd Ochrony Zabytków w Gdańsku, jak i Delegatury w Słupsku – 2 tys. zł, co stanowi 50% planu wynoszącego 4 tys. zł.</w:t>
      </w:r>
    </w:p>
    <w:p w14:paraId="322B7CF1" w14:textId="77777777" w:rsidR="002D022F" w:rsidRPr="002D022F" w:rsidRDefault="002D022F" w:rsidP="002D022F">
      <w:pPr>
        <w:spacing w:line="360" w:lineRule="auto"/>
        <w:jc w:val="both"/>
      </w:pPr>
      <w:r w:rsidRPr="002D022F">
        <w:t xml:space="preserve">W ramach działu nie zrealizowano zaplanowanych na 1 tys. zł dochodów z tytułu kosztów egzekucyjnych, opłaty komorniczej i kosztów upomnień. Należności skierowano do egzekucji razem z nałożoną karą. </w:t>
      </w:r>
    </w:p>
    <w:p w14:paraId="4964F228" w14:textId="77777777" w:rsidR="002D022F" w:rsidRPr="002D022F" w:rsidRDefault="002D022F" w:rsidP="002D022F">
      <w:pPr>
        <w:spacing w:line="360" w:lineRule="auto"/>
        <w:jc w:val="both"/>
        <w:rPr>
          <w:highlight w:val="red"/>
        </w:rPr>
      </w:pPr>
    </w:p>
    <w:p w14:paraId="40AAC2BF" w14:textId="77777777" w:rsidR="002D022F" w:rsidRPr="002D022F" w:rsidRDefault="002D022F" w:rsidP="002D022F">
      <w:pPr>
        <w:spacing w:line="360" w:lineRule="auto"/>
        <w:jc w:val="both"/>
      </w:pPr>
      <w:r w:rsidRPr="002D022F">
        <w:t>Dochody nieplanowane w wysokości 1 tys. zł zostały zrealizowane z tytułu odsetek bankowych od udzielonych dotacji w tym dotacji wykorzystanych niezgodnie z przeznaczeniem.</w:t>
      </w:r>
    </w:p>
    <w:p w14:paraId="71FDE789" w14:textId="77777777" w:rsidR="002D022F" w:rsidRPr="002D022F" w:rsidRDefault="002D022F" w:rsidP="002D022F">
      <w:pPr>
        <w:spacing w:line="360" w:lineRule="auto"/>
        <w:jc w:val="both"/>
        <w:rPr>
          <w:bCs/>
        </w:rPr>
      </w:pPr>
    </w:p>
    <w:p w14:paraId="34A85DEB" w14:textId="77777777" w:rsidR="002D022F" w:rsidRPr="002D022F" w:rsidRDefault="002D022F" w:rsidP="002D022F">
      <w:pPr>
        <w:spacing w:line="360" w:lineRule="auto"/>
        <w:jc w:val="both"/>
      </w:pPr>
      <w:r w:rsidRPr="002D022F">
        <w:rPr>
          <w:bCs/>
        </w:rPr>
        <w:t xml:space="preserve">Należności pozostałe do zapłaty na koniec 2024 r. wynosiły 342 tys. zł, co stanowi wzrost </w:t>
      </w:r>
      <w:r w:rsidRPr="002D022F">
        <w:rPr>
          <w:bCs/>
        </w:rPr>
        <w:br/>
        <w:t xml:space="preserve">o 72 tys. zł w stosunku do roku 2023. Wzrost należności wynika ze zwiększenia się ich przypisu </w:t>
      </w:r>
      <w:r w:rsidRPr="002D022F">
        <w:rPr>
          <w:bCs/>
        </w:rPr>
        <w:br/>
        <w:t xml:space="preserve">z tytułu grzywien w celu przymuszenia </w:t>
      </w:r>
      <w:r w:rsidRPr="002D022F">
        <w:rPr>
          <w:szCs w:val="26"/>
        </w:rPr>
        <w:t>do wykonania robót budowlanych przy obiektach zabytkowych</w:t>
      </w:r>
      <w:r w:rsidRPr="002D022F">
        <w:rPr>
          <w:bCs/>
        </w:rPr>
        <w:t xml:space="preserve">. </w:t>
      </w:r>
    </w:p>
    <w:p w14:paraId="3A27D09F" w14:textId="77777777" w:rsidR="002D022F" w:rsidRPr="002D022F" w:rsidRDefault="002D022F" w:rsidP="002D022F">
      <w:pPr>
        <w:spacing w:line="360" w:lineRule="auto"/>
        <w:jc w:val="both"/>
      </w:pPr>
    </w:p>
    <w:p w14:paraId="3EB9E98C" w14:textId="77777777" w:rsidR="00C76094" w:rsidRPr="00C76094" w:rsidRDefault="00C76094" w:rsidP="00C76094">
      <w:pPr>
        <w:keepNext/>
        <w:keepLines/>
        <w:numPr>
          <w:ilvl w:val="5"/>
          <w:numId w:val="0"/>
        </w:numPr>
        <w:tabs>
          <w:tab w:val="left" w:pos="0"/>
        </w:tabs>
        <w:suppressAutoHyphens/>
        <w:spacing w:before="40"/>
        <w:outlineLvl w:val="5"/>
        <w:rPr>
          <w:rFonts w:ascii="Tahoma" w:eastAsiaTheme="majorEastAsia" w:hAnsi="Tahoma" w:cs="Tahoma"/>
          <w:iCs/>
          <w:color w:val="FF0000"/>
          <w:sz w:val="26"/>
          <w:szCs w:val="26"/>
        </w:rPr>
      </w:pPr>
    </w:p>
    <w:p w14:paraId="7D4185AF" w14:textId="77777777" w:rsidR="00C76094" w:rsidRPr="00C76094" w:rsidRDefault="00C76094" w:rsidP="00C76094">
      <w:pPr>
        <w:keepNext/>
        <w:keepLines/>
        <w:numPr>
          <w:ilvl w:val="5"/>
          <w:numId w:val="0"/>
        </w:numPr>
        <w:tabs>
          <w:tab w:val="left" w:pos="0"/>
        </w:tabs>
        <w:suppressAutoHyphens/>
        <w:spacing w:before="40"/>
        <w:outlineLvl w:val="5"/>
        <w:rPr>
          <w:rFonts w:ascii="Tahoma" w:eastAsiaTheme="majorEastAsia" w:hAnsi="Tahoma" w:cs="Tahoma"/>
          <w:iCs/>
          <w:color w:val="FF0000"/>
          <w:sz w:val="26"/>
          <w:szCs w:val="26"/>
        </w:rPr>
      </w:pPr>
    </w:p>
    <w:p w14:paraId="55B28502" w14:textId="77777777" w:rsidR="00C76094" w:rsidRPr="00C76094" w:rsidRDefault="00C76094" w:rsidP="00C76094">
      <w:pPr>
        <w:keepNext/>
        <w:keepLines/>
        <w:numPr>
          <w:ilvl w:val="5"/>
          <w:numId w:val="0"/>
        </w:numPr>
        <w:tabs>
          <w:tab w:val="left" w:pos="0"/>
        </w:tabs>
        <w:suppressAutoHyphens/>
        <w:spacing w:before="40"/>
        <w:outlineLvl w:val="5"/>
        <w:rPr>
          <w:rFonts w:ascii="Tahoma" w:eastAsiaTheme="majorEastAsia" w:hAnsi="Tahoma" w:cs="Tahoma"/>
          <w:iCs/>
          <w:color w:val="FF0000"/>
          <w:sz w:val="26"/>
          <w:szCs w:val="26"/>
        </w:rPr>
      </w:pPr>
    </w:p>
    <w:p w14:paraId="3CA57013" w14:textId="77777777" w:rsidR="00C76094" w:rsidRPr="00C76094" w:rsidRDefault="00C76094" w:rsidP="00C76094">
      <w:pPr>
        <w:keepNext/>
        <w:keepLines/>
        <w:numPr>
          <w:ilvl w:val="5"/>
          <w:numId w:val="0"/>
        </w:numPr>
        <w:tabs>
          <w:tab w:val="left" w:pos="0"/>
        </w:tabs>
        <w:suppressAutoHyphens/>
        <w:spacing w:before="40"/>
        <w:outlineLvl w:val="5"/>
        <w:rPr>
          <w:rFonts w:ascii="Tahoma" w:eastAsiaTheme="majorEastAsia" w:hAnsi="Tahoma" w:cs="Tahoma"/>
          <w:iCs/>
          <w:color w:val="FF0000"/>
          <w:sz w:val="26"/>
          <w:szCs w:val="26"/>
        </w:rPr>
      </w:pPr>
    </w:p>
    <w:p w14:paraId="31C95448" w14:textId="77777777" w:rsidR="00C76094" w:rsidRPr="00C76094" w:rsidRDefault="00C76094" w:rsidP="00C76094">
      <w:pPr>
        <w:keepNext/>
        <w:keepLines/>
        <w:numPr>
          <w:ilvl w:val="5"/>
          <w:numId w:val="0"/>
        </w:numPr>
        <w:tabs>
          <w:tab w:val="left" w:pos="0"/>
        </w:tabs>
        <w:suppressAutoHyphens/>
        <w:spacing w:before="40"/>
        <w:outlineLvl w:val="5"/>
        <w:rPr>
          <w:rFonts w:ascii="Tahoma" w:eastAsiaTheme="majorEastAsia" w:hAnsi="Tahoma" w:cs="Tahoma"/>
          <w:iCs/>
          <w:color w:val="FF0000"/>
          <w:sz w:val="26"/>
          <w:szCs w:val="26"/>
        </w:rPr>
      </w:pPr>
    </w:p>
    <w:p w14:paraId="13B31DA8" w14:textId="77777777" w:rsidR="00C76094" w:rsidRPr="00C76094" w:rsidRDefault="00C76094" w:rsidP="00C76094">
      <w:pPr>
        <w:keepNext/>
        <w:keepLines/>
        <w:numPr>
          <w:ilvl w:val="5"/>
          <w:numId w:val="0"/>
        </w:numPr>
        <w:tabs>
          <w:tab w:val="left" w:pos="0"/>
        </w:tabs>
        <w:suppressAutoHyphens/>
        <w:spacing w:before="40"/>
        <w:outlineLvl w:val="5"/>
        <w:rPr>
          <w:rFonts w:ascii="Tahoma" w:eastAsiaTheme="majorEastAsia" w:hAnsi="Tahoma" w:cs="Tahoma"/>
          <w:iCs/>
          <w:color w:val="FF0000"/>
          <w:sz w:val="26"/>
          <w:szCs w:val="26"/>
        </w:rPr>
      </w:pPr>
    </w:p>
    <w:p w14:paraId="59858527" w14:textId="77777777" w:rsidR="00C76094" w:rsidRPr="00C76094" w:rsidRDefault="00C76094" w:rsidP="00C76094">
      <w:pPr>
        <w:spacing w:line="360" w:lineRule="auto"/>
        <w:jc w:val="both"/>
        <w:rPr>
          <w:rFonts w:ascii="Tahoma" w:hAnsi="Tahoma" w:cs="Tahoma"/>
          <w:color w:val="FF0000"/>
          <w:sz w:val="26"/>
        </w:rPr>
      </w:pPr>
    </w:p>
    <w:p w14:paraId="7252222D" w14:textId="77777777" w:rsidR="00C76094" w:rsidRPr="00C76094" w:rsidRDefault="00C76094" w:rsidP="00C76094">
      <w:pPr>
        <w:rPr>
          <w:b/>
          <w:bCs/>
        </w:rPr>
      </w:pPr>
    </w:p>
    <w:p w14:paraId="5B229278" w14:textId="77777777" w:rsidR="00566838" w:rsidRDefault="00566838"/>
    <w:sectPr w:rsidR="00566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9B1860D6"/>
    <w:name w:val="WW8Num3"/>
    <w:lvl w:ilvl="0">
      <w:start w:val="1"/>
      <w:numFmt w:val="bullet"/>
      <w:lvlText w:val=""/>
      <w:lvlJc w:val="left"/>
      <w:pPr>
        <w:tabs>
          <w:tab w:val="num" w:pos="337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</w:pPr>
      <w:rPr>
        <w:rFonts w:ascii="Wingdings" w:hAnsi="Wingdings"/>
      </w:rPr>
    </w:lvl>
    <w:lvl w:ilvl="3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</w:rPr>
    </w:lvl>
    <w:lvl w:ilvl="4">
      <w:start w:val="1"/>
      <w:numFmt w:val="bullet"/>
      <w:lvlText w:val=""/>
      <w:lvlJc w:val="left"/>
      <w:pPr>
        <w:tabs>
          <w:tab w:val="num" w:pos="2520"/>
        </w:tabs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52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252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520"/>
        </w:tabs>
      </w:pPr>
      <w:rPr>
        <w:rFonts w:ascii="Wingdings" w:hAnsi="Wingdings"/>
      </w:rPr>
    </w:lvl>
  </w:abstractNum>
  <w:abstractNum w:abstractNumId="1" w15:restartNumberingAfterBreak="0">
    <w:nsid w:val="044D1F4A"/>
    <w:multiLevelType w:val="hybridMultilevel"/>
    <w:tmpl w:val="D3526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849E5"/>
    <w:multiLevelType w:val="hybridMultilevel"/>
    <w:tmpl w:val="FEF0D128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2701615"/>
    <w:multiLevelType w:val="hybridMultilevel"/>
    <w:tmpl w:val="5768B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00D5A"/>
    <w:multiLevelType w:val="hybridMultilevel"/>
    <w:tmpl w:val="538A6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16EC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318A9"/>
    <w:multiLevelType w:val="hybridMultilevel"/>
    <w:tmpl w:val="F8E64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16EC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11BA5"/>
    <w:multiLevelType w:val="hybridMultilevel"/>
    <w:tmpl w:val="9DFAF1A0"/>
    <w:lvl w:ilvl="0" w:tplc="4516EC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280591"/>
    <w:multiLevelType w:val="hybridMultilevel"/>
    <w:tmpl w:val="5B5C6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D21E3"/>
    <w:multiLevelType w:val="hybridMultilevel"/>
    <w:tmpl w:val="6DD04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16FD7"/>
    <w:multiLevelType w:val="hybridMultilevel"/>
    <w:tmpl w:val="DA56A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87005"/>
    <w:multiLevelType w:val="hybridMultilevel"/>
    <w:tmpl w:val="10D62CDC"/>
    <w:lvl w:ilvl="0" w:tplc="DFF69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A765E"/>
    <w:multiLevelType w:val="hybridMultilevel"/>
    <w:tmpl w:val="112E7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12C04"/>
    <w:multiLevelType w:val="hybridMultilevel"/>
    <w:tmpl w:val="46F22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87F19"/>
    <w:multiLevelType w:val="hybridMultilevel"/>
    <w:tmpl w:val="851E3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756AC"/>
    <w:multiLevelType w:val="hybridMultilevel"/>
    <w:tmpl w:val="70C23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029F5"/>
    <w:multiLevelType w:val="hybridMultilevel"/>
    <w:tmpl w:val="82627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C6B79"/>
    <w:multiLevelType w:val="hybridMultilevel"/>
    <w:tmpl w:val="FD180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16EC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47DBA"/>
    <w:multiLevelType w:val="hybridMultilevel"/>
    <w:tmpl w:val="1D267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2666F"/>
    <w:multiLevelType w:val="hybridMultilevel"/>
    <w:tmpl w:val="F8684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16EC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6599F"/>
    <w:multiLevelType w:val="hybridMultilevel"/>
    <w:tmpl w:val="166A6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16EC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8511A"/>
    <w:multiLevelType w:val="hybridMultilevel"/>
    <w:tmpl w:val="32FC5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11E38"/>
    <w:multiLevelType w:val="hybridMultilevel"/>
    <w:tmpl w:val="94AC1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3417C1"/>
    <w:multiLevelType w:val="hybridMultilevel"/>
    <w:tmpl w:val="5DCCE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E4F3A"/>
    <w:multiLevelType w:val="hybridMultilevel"/>
    <w:tmpl w:val="932ED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675757">
    <w:abstractNumId w:val="16"/>
  </w:num>
  <w:num w:numId="2" w16cid:durableId="587621346">
    <w:abstractNumId w:val="5"/>
  </w:num>
  <w:num w:numId="3" w16cid:durableId="234632186">
    <w:abstractNumId w:val="15"/>
  </w:num>
  <w:num w:numId="4" w16cid:durableId="359938284">
    <w:abstractNumId w:val="22"/>
  </w:num>
  <w:num w:numId="5" w16cid:durableId="1713463234">
    <w:abstractNumId w:val="14"/>
  </w:num>
  <w:num w:numId="6" w16cid:durableId="51081398">
    <w:abstractNumId w:val="11"/>
  </w:num>
  <w:num w:numId="7" w16cid:durableId="1485004699">
    <w:abstractNumId w:val="1"/>
  </w:num>
  <w:num w:numId="8" w16cid:durableId="667174737">
    <w:abstractNumId w:val="12"/>
  </w:num>
  <w:num w:numId="9" w16cid:durableId="1712533439">
    <w:abstractNumId w:val="0"/>
  </w:num>
  <w:num w:numId="10" w16cid:durableId="516038771">
    <w:abstractNumId w:val="6"/>
  </w:num>
  <w:num w:numId="11" w16cid:durableId="771783004">
    <w:abstractNumId w:val="23"/>
  </w:num>
  <w:num w:numId="12" w16cid:durableId="9845440">
    <w:abstractNumId w:val="2"/>
  </w:num>
  <w:num w:numId="13" w16cid:durableId="1086268985">
    <w:abstractNumId w:val="7"/>
  </w:num>
  <w:num w:numId="14" w16cid:durableId="633372560">
    <w:abstractNumId w:val="4"/>
  </w:num>
  <w:num w:numId="15" w16cid:durableId="1562518758">
    <w:abstractNumId w:val="21"/>
  </w:num>
  <w:num w:numId="16" w16cid:durableId="223569028">
    <w:abstractNumId w:val="19"/>
  </w:num>
  <w:num w:numId="17" w16cid:durableId="1472361328">
    <w:abstractNumId w:val="18"/>
  </w:num>
  <w:num w:numId="18" w16cid:durableId="177938641">
    <w:abstractNumId w:val="8"/>
  </w:num>
  <w:num w:numId="19" w16cid:durableId="850072855">
    <w:abstractNumId w:val="10"/>
  </w:num>
  <w:num w:numId="20" w16cid:durableId="927155524">
    <w:abstractNumId w:val="3"/>
  </w:num>
  <w:num w:numId="21" w16cid:durableId="431559022">
    <w:abstractNumId w:val="20"/>
  </w:num>
  <w:num w:numId="22" w16cid:durableId="1015225177">
    <w:abstractNumId w:val="17"/>
  </w:num>
  <w:num w:numId="23" w16cid:durableId="761489719">
    <w:abstractNumId w:val="9"/>
  </w:num>
  <w:num w:numId="24" w16cid:durableId="15550432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5A"/>
    <w:rsid w:val="00132259"/>
    <w:rsid w:val="00133825"/>
    <w:rsid w:val="0029267A"/>
    <w:rsid w:val="002D022F"/>
    <w:rsid w:val="002F345A"/>
    <w:rsid w:val="00566838"/>
    <w:rsid w:val="005A7E08"/>
    <w:rsid w:val="006151DA"/>
    <w:rsid w:val="007079D9"/>
    <w:rsid w:val="009E619A"/>
    <w:rsid w:val="00C7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44F7"/>
  <w15:chartTrackingRefBased/>
  <w15:docId w15:val="{C3776185-95B9-4E15-A2DA-DC707E1F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34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345A"/>
    <w:pPr>
      <w:keepNext/>
      <w:keepLines/>
      <w:spacing w:before="360" w:after="80" w:line="259" w:lineRule="auto"/>
      <w:outlineLvl w:val="0"/>
    </w:pPr>
    <w:rPr>
      <w:rFonts w:eastAsiaTheme="majorEastAsia" w:cstheme="majorBidi"/>
      <w:b/>
      <w:color w:val="000000" w:themeColor="text1"/>
      <w:kern w:val="2"/>
      <w:sz w:val="28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34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345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345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345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345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345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345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345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345A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3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34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34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34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34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34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34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34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34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3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345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F3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345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F34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34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F34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3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34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3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32</Pages>
  <Words>7036</Words>
  <Characters>42220</Characters>
  <Application>Microsoft Office Word</Application>
  <DocSecurity>0</DocSecurity>
  <Lines>351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Peciak</dc:creator>
  <cp:keywords/>
  <dc:description/>
  <cp:lastModifiedBy>Konrad Peciak</cp:lastModifiedBy>
  <cp:revision>4</cp:revision>
  <dcterms:created xsi:type="dcterms:W3CDTF">2025-04-08T09:06:00Z</dcterms:created>
  <dcterms:modified xsi:type="dcterms:W3CDTF">2025-04-16T08:47:00Z</dcterms:modified>
</cp:coreProperties>
</file>