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519544CA" w14:textId="4D1E20DA" w:rsidR="000B373D" w:rsidRPr="000B373D" w:rsidRDefault="00A151A3"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5D86B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837237631" r:id="rId6"/>
        </w:object>
      </w:r>
    </w:p>
    <w:p w14:paraId="667CE0C8"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FC84BF8" w14:textId="7C634FAC" w:rsidR="000B373D" w:rsidRPr="00412867" w:rsidRDefault="000B373D" w:rsidP="00412867">
      <w:pPr>
        <w:pStyle w:val="Nagwek2"/>
        <w:spacing w:before="0" w:after="100" w:afterAutospacing="1" w:line="360" w:lineRule="auto"/>
        <w:rPr>
          <w:rFonts w:asciiTheme="minorHAnsi" w:eastAsia="Lucida Sans Unicode" w:hAnsiTheme="minorHAnsi" w:cstheme="minorHAnsi"/>
          <w:color w:val="auto"/>
          <w:sz w:val="32"/>
          <w:szCs w:val="32"/>
        </w:rPr>
      </w:pPr>
      <w:r w:rsidRPr="00412867">
        <w:rPr>
          <w:rFonts w:asciiTheme="minorHAnsi" w:eastAsia="Lucida Sans Unicode" w:hAnsiTheme="minorHAnsi" w:cstheme="minorHAnsi"/>
          <w:color w:val="auto"/>
          <w:sz w:val="32"/>
          <w:szCs w:val="32"/>
        </w:rPr>
        <w:t>R</w:t>
      </w:r>
      <w:r w:rsidR="00412867" w:rsidRPr="00412867">
        <w:rPr>
          <w:rFonts w:asciiTheme="minorHAnsi" w:eastAsia="Lucida Sans Unicode" w:hAnsiTheme="minorHAnsi" w:cstheme="minorHAnsi"/>
          <w:color w:val="auto"/>
          <w:sz w:val="32"/>
          <w:szCs w:val="32"/>
        </w:rPr>
        <w:t>egionalny Dyrektor Ochrony Środowiska w Olsztynie</w:t>
      </w:r>
    </w:p>
    <w:p w14:paraId="221757D7" w14:textId="110A514B" w:rsidR="00F432E6" w:rsidRDefault="006021BE"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WOOŚ.</w:t>
      </w:r>
      <w:r w:rsidR="00CF4F1C">
        <w:rPr>
          <w:rFonts w:ascii="Calibri" w:eastAsia="Lucida Sans Unicode" w:hAnsi="Calibri" w:cs="Calibri"/>
          <w:bCs/>
          <w:kern w:val="28"/>
          <w:sz w:val="24"/>
          <w:szCs w:val="24"/>
        </w:rPr>
        <w:t>42</w:t>
      </w:r>
      <w:r w:rsidR="003A1A23">
        <w:rPr>
          <w:rFonts w:ascii="Calibri" w:eastAsia="Lucida Sans Unicode" w:hAnsi="Calibri" w:cs="Calibri"/>
          <w:bCs/>
          <w:kern w:val="28"/>
          <w:sz w:val="24"/>
          <w:szCs w:val="24"/>
        </w:rPr>
        <w:t>0.</w:t>
      </w:r>
      <w:r w:rsidR="00710F9E">
        <w:rPr>
          <w:rFonts w:ascii="Calibri" w:eastAsia="Lucida Sans Unicode" w:hAnsi="Calibri" w:cs="Calibri"/>
          <w:bCs/>
          <w:kern w:val="28"/>
          <w:sz w:val="24"/>
          <w:szCs w:val="24"/>
        </w:rPr>
        <w:t>26.2025.SCH.13</w:t>
      </w:r>
    </w:p>
    <w:p w14:paraId="74919869" w14:textId="3420BB54" w:rsidR="00E74C48" w:rsidRDefault="00CF4F1C"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 xml:space="preserve">Olsztyn, </w:t>
      </w:r>
      <w:r w:rsidR="00710F9E">
        <w:rPr>
          <w:rFonts w:ascii="Calibri" w:eastAsia="Lucida Sans Unicode" w:hAnsi="Calibri" w:cs="Calibri"/>
          <w:bCs/>
          <w:kern w:val="28"/>
          <w:sz w:val="24"/>
          <w:szCs w:val="24"/>
        </w:rPr>
        <w:t>9 kwietnia 2026 r.</w:t>
      </w:r>
    </w:p>
    <w:p w14:paraId="56389D8D" w14:textId="0142EE2E" w:rsidR="00710F9E" w:rsidRPr="00710F9E" w:rsidRDefault="00710F9E" w:rsidP="00710F9E">
      <w:pPr>
        <w:spacing w:after="100" w:afterAutospacing="1" w:line="360" w:lineRule="auto"/>
        <w:rPr>
          <w:bCs/>
          <w:sz w:val="24"/>
          <w:szCs w:val="24"/>
        </w:rPr>
      </w:pPr>
      <w:r w:rsidRPr="00710F9E">
        <w:rPr>
          <w:bCs/>
          <w:sz w:val="24"/>
          <w:szCs w:val="24"/>
        </w:rPr>
        <w:t xml:space="preserve">Załącznik do decyzji Regionalnego Dyrektora Ochrony Środowiska w Olsztynie z dnia 9 kwietnia 2026 r., znak: WOOŚ.420.26.2025.SCH.13, o środowiskowych uwarunkowaniach dla planowanego przedsięwzięcia pn.: „Budowa stacji 220/110 </w:t>
      </w:r>
      <w:proofErr w:type="spellStart"/>
      <w:r w:rsidRPr="00710F9E">
        <w:rPr>
          <w:bCs/>
          <w:sz w:val="24"/>
          <w:szCs w:val="24"/>
        </w:rPr>
        <w:t>kV</w:t>
      </w:r>
      <w:proofErr w:type="spellEnd"/>
      <w:r w:rsidRPr="00710F9E">
        <w:rPr>
          <w:bCs/>
          <w:sz w:val="24"/>
          <w:szCs w:val="24"/>
        </w:rPr>
        <w:t xml:space="preserve"> Norki” realizowana w ramach projektu Połączenie Międzysystemowe między Polską a Litwą (obecnie znane jako </w:t>
      </w:r>
      <w:proofErr w:type="spellStart"/>
      <w:r w:rsidRPr="00710F9E">
        <w:rPr>
          <w:bCs/>
          <w:sz w:val="24"/>
          <w:szCs w:val="24"/>
        </w:rPr>
        <w:t>Harmony</w:t>
      </w:r>
      <w:proofErr w:type="spellEnd"/>
      <w:r w:rsidRPr="00710F9E">
        <w:rPr>
          <w:bCs/>
          <w:sz w:val="24"/>
          <w:szCs w:val="24"/>
        </w:rPr>
        <w:t xml:space="preserve"> Link) wraz z przyłączeniem Suwalskiej Specjalnej Strefy Ekonomicznej.</w:t>
      </w:r>
    </w:p>
    <w:p w14:paraId="2414AAD8" w14:textId="77777777" w:rsidR="00CF4F1C" w:rsidRDefault="00CF4F1C" w:rsidP="00682693">
      <w:pPr>
        <w:pStyle w:val="Nagwek1"/>
        <w:spacing w:before="0" w:after="100" w:afterAutospacing="1" w:line="360" w:lineRule="auto"/>
        <w:rPr>
          <w:rFonts w:asciiTheme="minorHAnsi" w:eastAsia="Lucida Sans Unicode" w:hAnsiTheme="minorHAnsi" w:cstheme="minorHAnsi"/>
          <w:color w:val="auto"/>
          <w:sz w:val="28"/>
          <w:szCs w:val="28"/>
        </w:rPr>
      </w:pPr>
      <w:r w:rsidRPr="00682693">
        <w:rPr>
          <w:rFonts w:asciiTheme="minorHAnsi" w:eastAsia="Lucida Sans Unicode" w:hAnsiTheme="minorHAnsi" w:cstheme="minorHAnsi"/>
          <w:color w:val="auto"/>
          <w:sz w:val="28"/>
          <w:szCs w:val="28"/>
        </w:rPr>
        <w:t>Charakterystyka planowanego przedsięwzięcia</w:t>
      </w:r>
    </w:p>
    <w:p w14:paraId="05A43F12" w14:textId="77777777" w:rsidR="00710F9E" w:rsidRPr="00710F9E" w:rsidRDefault="00710F9E" w:rsidP="00710F9E">
      <w:pPr>
        <w:spacing w:after="0" w:line="360" w:lineRule="auto"/>
        <w:rPr>
          <w:sz w:val="24"/>
          <w:szCs w:val="24"/>
          <w:lang w:eastAsia="ar-SA"/>
        </w:rPr>
      </w:pPr>
      <w:r w:rsidRPr="00710F9E">
        <w:rPr>
          <w:sz w:val="24"/>
          <w:szCs w:val="24"/>
          <w:lang w:eastAsia="ar-SA"/>
        </w:rPr>
        <w:t>Planowane przedsięwzięcie obejmuje:</w:t>
      </w:r>
    </w:p>
    <w:p w14:paraId="23AD61A3" w14:textId="77777777" w:rsidR="00710F9E" w:rsidRDefault="00710F9E" w:rsidP="00710F9E">
      <w:pPr>
        <w:pStyle w:val="Akapitzlist"/>
        <w:numPr>
          <w:ilvl w:val="0"/>
          <w:numId w:val="11"/>
        </w:numPr>
        <w:spacing w:after="0" w:line="360" w:lineRule="auto"/>
        <w:rPr>
          <w:rFonts w:eastAsia="Times New Roman"/>
          <w:sz w:val="24"/>
          <w:szCs w:val="24"/>
          <w:lang w:eastAsia="ar-SA"/>
        </w:rPr>
      </w:pPr>
      <w:r w:rsidRPr="00710F9E">
        <w:rPr>
          <w:rFonts w:eastAsia="Times New Roman"/>
          <w:sz w:val="24"/>
          <w:szCs w:val="24"/>
          <w:lang w:eastAsia="ar-SA"/>
        </w:rPr>
        <w:t xml:space="preserve">Makroniwelację i </w:t>
      </w:r>
      <w:proofErr w:type="spellStart"/>
      <w:r w:rsidRPr="00710F9E">
        <w:rPr>
          <w:rFonts w:eastAsia="Times New Roman"/>
          <w:sz w:val="24"/>
          <w:szCs w:val="24"/>
          <w:lang w:eastAsia="ar-SA"/>
        </w:rPr>
        <w:t>mikroniwelację</w:t>
      </w:r>
      <w:proofErr w:type="spellEnd"/>
      <w:r w:rsidRPr="00710F9E">
        <w:rPr>
          <w:rFonts w:eastAsia="Times New Roman"/>
          <w:sz w:val="24"/>
          <w:szCs w:val="24"/>
          <w:lang w:eastAsia="ar-SA"/>
        </w:rPr>
        <w:t xml:space="preserve"> terenu oraz przebudowę drenażu rolniczego kolidującego z terenem stacji.</w:t>
      </w:r>
    </w:p>
    <w:p w14:paraId="6228AB1A" w14:textId="77777777" w:rsidR="00710F9E" w:rsidRDefault="00710F9E" w:rsidP="00710F9E">
      <w:pPr>
        <w:pStyle w:val="Akapitzlist"/>
        <w:numPr>
          <w:ilvl w:val="0"/>
          <w:numId w:val="11"/>
        </w:numPr>
        <w:spacing w:after="0" w:line="360" w:lineRule="auto"/>
        <w:rPr>
          <w:rFonts w:eastAsia="Times New Roman"/>
          <w:sz w:val="24"/>
          <w:szCs w:val="24"/>
          <w:lang w:eastAsia="ar-SA"/>
        </w:rPr>
      </w:pPr>
      <w:r w:rsidRPr="00710F9E">
        <w:rPr>
          <w:rFonts w:eastAsia="Times New Roman"/>
          <w:sz w:val="24"/>
          <w:szCs w:val="24"/>
          <w:lang w:eastAsia="ar-SA"/>
        </w:rPr>
        <w:t xml:space="preserve">Budowę zjazdu z drogi publicznej (dostosowanego klasą do obciążeń związanych z dostawą urządzeń), a także budowę alternatywnego wjazdu na stację (zgodnie z wymaganiami p. </w:t>
      </w:r>
      <w:proofErr w:type="spellStart"/>
      <w:r w:rsidRPr="00710F9E">
        <w:rPr>
          <w:rFonts w:eastAsia="Times New Roman"/>
          <w:sz w:val="24"/>
          <w:szCs w:val="24"/>
          <w:lang w:eastAsia="ar-SA"/>
        </w:rPr>
        <w:t>poż</w:t>
      </w:r>
      <w:proofErr w:type="spellEnd"/>
      <w:r w:rsidRPr="00710F9E">
        <w:rPr>
          <w:rFonts w:eastAsia="Times New Roman"/>
          <w:sz w:val="24"/>
          <w:szCs w:val="24"/>
          <w:lang w:eastAsia="ar-SA"/>
        </w:rPr>
        <w:t>.).</w:t>
      </w:r>
    </w:p>
    <w:p w14:paraId="0AD29948" w14:textId="77777777" w:rsidR="00710F9E" w:rsidRDefault="00710F9E" w:rsidP="00710F9E">
      <w:pPr>
        <w:pStyle w:val="Akapitzlist"/>
        <w:numPr>
          <w:ilvl w:val="0"/>
          <w:numId w:val="11"/>
        </w:numPr>
        <w:spacing w:after="0" w:line="360" w:lineRule="auto"/>
        <w:rPr>
          <w:rFonts w:eastAsia="Times New Roman"/>
          <w:sz w:val="24"/>
          <w:szCs w:val="24"/>
          <w:lang w:eastAsia="ar-SA"/>
        </w:rPr>
      </w:pPr>
      <w:r w:rsidRPr="00710F9E">
        <w:rPr>
          <w:rFonts w:eastAsia="Times New Roman"/>
          <w:sz w:val="24"/>
          <w:szCs w:val="24"/>
          <w:lang w:eastAsia="ar-SA"/>
        </w:rPr>
        <w:t>Budowę budynku technologicznego wraz z wyposażeniem.</w:t>
      </w:r>
    </w:p>
    <w:p w14:paraId="135D2FF9" w14:textId="77777777" w:rsidR="00710F9E" w:rsidRDefault="00710F9E" w:rsidP="00710F9E">
      <w:pPr>
        <w:pStyle w:val="Akapitzlist"/>
        <w:numPr>
          <w:ilvl w:val="0"/>
          <w:numId w:val="11"/>
        </w:numPr>
        <w:spacing w:after="0" w:line="360" w:lineRule="auto"/>
        <w:rPr>
          <w:rFonts w:eastAsia="Times New Roman"/>
          <w:sz w:val="24"/>
          <w:szCs w:val="24"/>
          <w:lang w:eastAsia="ar-SA"/>
        </w:rPr>
      </w:pPr>
      <w:r w:rsidRPr="00710F9E">
        <w:rPr>
          <w:rFonts w:eastAsia="Times New Roman"/>
          <w:sz w:val="24"/>
          <w:szCs w:val="24"/>
          <w:lang w:eastAsia="ar-SA"/>
        </w:rPr>
        <w:t>Budowę budynku wartowni wraz z wyposażeniem (opcjonalnie).</w:t>
      </w:r>
    </w:p>
    <w:p w14:paraId="42773027" w14:textId="77777777" w:rsidR="00710F9E" w:rsidRDefault="00710F9E" w:rsidP="00710F9E">
      <w:pPr>
        <w:pStyle w:val="Akapitzlist"/>
        <w:numPr>
          <w:ilvl w:val="0"/>
          <w:numId w:val="11"/>
        </w:numPr>
        <w:spacing w:after="0" w:line="360" w:lineRule="auto"/>
        <w:rPr>
          <w:rFonts w:eastAsia="Times New Roman"/>
          <w:sz w:val="24"/>
          <w:szCs w:val="24"/>
          <w:lang w:eastAsia="ar-SA"/>
        </w:rPr>
      </w:pPr>
      <w:r w:rsidRPr="00710F9E">
        <w:rPr>
          <w:rFonts w:eastAsia="Times New Roman"/>
          <w:sz w:val="24"/>
          <w:szCs w:val="24"/>
          <w:lang w:eastAsia="ar-SA"/>
        </w:rPr>
        <w:t>Budowę budynku garażu wraz z wyposażeniem.</w:t>
      </w:r>
    </w:p>
    <w:p w14:paraId="0E33ED2C" w14:textId="77777777" w:rsidR="00710F9E" w:rsidRDefault="00710F9E" w:rsidP="00710F9E">
      <w:pPr>
        <w:pStyle w:val="Akapitzlist"/>
        <w:numPr>
          <w:ilvl w:val="0"/>
          <w:numId w:val="11"/>
        </w:numPr>
        <w:spacing w:after="0" w:line="360" w:lineRule="auto"/>
        <w:rPr>
          <w:rFonts w:eastAsia="Times New Roman"/>
          <w:sz w:val="24"/>
          <w:szCs w:val="24"/>
          <w:lang w:eastAsia="ar-SA"/>
        </w:rPr>
      </w:pPr>
      <w:r w:rsidRPr="00710F9E">
        <w:rPr>
          <w:rFonts w:eastAsia="Times New Roman"/>
          <w:sz w:val="24"/>
          <w:szCs w:val="24"/>
          <w:lang w:eastAsia="ar-SA"/>
        </w:rPr>
        <w:t>Budowa kontenerów na sprzęt ppoż.</w:t>
      </w:r>
    </w:p>
    <w:p w14:paraId="7BAFFB1C" w14:textId="77777777" w:rsidR="00710F9E" w:rsidRDefault="00710F9E" w:rsidP="00710F9E">
      <w:pPr>
        <w:pStyle w:val="Akapitzlist"/>
        <w:numPr>
          <w:ilvl w:val="0"/>
          <w:numId w:val="11"/>
        </w:numPr>
        <w:spacing w:after="0" w:line="360" w:lineRule="auto"/>
        <w:rPr>
          <w:rFonts w:eastAsia="Times New Roman"/>
          <w:sz w:val="24"/>
          <w:szCs w:val="24"/>
          <w:lang w:eastAsia="ar-SA"/>
        </w:rPr>
      </w:pPr>
      <w:r w:rsidRPr="00710F9E">
        <w:rPr>
          <w:rFonts w:eastAsia="Times New Roman"/>
          <w:sz w:val="24"/>
          <w:szCs w:val="24"/>
          <w:lang w:eastAsia="ar-SA"/>
        </w:rPr>
        <w:t>Budowę wiaty dla pojemników na odpady.</w:t>
      </w:r>
    </w:p>
    <w:p w14:paraId="374BB797" w14:textId="77777777" w:rsidR="00710F9E" w:rsidRDefault="00710F9E" w:rsidP="00710F9E">
      <w:pPr>
        <w:pStyle w:val="Akapitzlist"/>
        <w:numPr>
          <w:ilvl w:val="0"/>
          <w:numId w:val="11"/>
        </w:numPr>
        <w:spacing w:after="0" w:line="360" w:lineRule="auto"/>
        <w:rPr>
          <w:rFonts w:eastAsia="Times New Roman"/>
          <w:sz w:val="24"/>
          <w:szCs w:val="24"/>
          <w:lang w:eastAsia="ar-SA"/>
        </w:rPr>
      </w:pPr>
      <w:r w:rsidRPr="00710F9E">
        <w:rPr>
          <w:rFonts w:eastAsia="Times New Roman"/>
          <w:sz w:val="24"/>
          <w:szCs w:val="24"/>
          <w:lang w:eastAsia="ar-SA"/>
        </w:rPr>
        <w:t xml:space="preserve">Budowę całej infrastruktury technicznej stacji (m.in.: ogrodzenie, drogi wewnętrzne, parkingi, chodniki, place, oświetlenie zewnętrzne, przyłącze i instalacje wodociągowe, szczelny zbiornik bezodpływowy na nieczystości ciekłe, kanalizacja sanitarna i deszczowa, systemy drenarskie, kanały kablowe/kanalizacja kablowa, instalacja odgromowa i uziemiająca, instalacje </w:t>
      </w:r>
      <w:proofErr w:type="spellStart"/>
      <w:r w:rsidRPr="00710F9E">
        <w:rPr>
          <w:rFonts w:eastAsia="Times New Roman"/>
          <w:sz w:val="24"/>
          <w:szCs w:val="24"/>
          <w:lang w:eastAsia="ar-SA"/>
        </w:rPr>
        <w:t>nN</w:t>
      </w:r>
      <w:proofErr w:type="spellEnd"/>
      <w:r w:rsidRPr="00710F9E">
        <w:rPr>
          <w:rFonts w:eastAsia="Times New Roman"/>
          <w:sz w:val="24"/>
          <w:szCs w:val="24"/>
          <w:lang w:eastAsia="ar-SA"/>
        </w:rPr>
        <w:t>, SN, SOT i teletechniczne).</w:t>
      </w:r>
    </w:p>
    <w:p w14:paraId="3EDE8820" w14:textId="77777777" w:rsidR="00710F9E" w:rsidRDefault="00710F9E" w:rsidP="00710F9E">
      <w:pPr>
        <w:pStyle w:val="Akapitzlist"/>
        <w:numPr>
          <w:ilvl w:val="0"/>
          <w:numId w:val="11"/>
        </w:numPr>
        <w:spacing w:after="0" w:line="360" w:lineRule="auto"/>
        <w:rPr>
          <w:rFonts w:eastAsia="Times New Roman"/>
          <w:sz w:val="24"/>
          <w:szCs w:val="24"/>
          <w:lang w:eastAsia="ar-SA"/>
        </w:rPr>
      </w:pPr>
      <w:r w:rsidRPr="00710F9E">
        <w:rPr>
          <w:rFonts w:eastAsia="Times New Roman"/>
          <w:sz w:val="24"/>
          <w:szCs w:val="24"/>
          <w:lang w:eastAsia="ar-SA"/>
        </w:rPr>
        <w:t>Budowę zbiornika retencyjnego wód deszczowych oraz zbiorników ppoż.</w:t>
      </w:r>
    </w:p>
    <w:p w14:paraId="3459B50A" w14:textId="77777777" w:rsidR="00710F9E" w:rsidRDefault="00710F9E" w:rsidP="00710F9E">
      <w:pPr>
        <w:pStyle w:val="Akapitzlist"/>
        <w:numPr>
          <w:ilvl w:val="0"/>
          <w:numId w:val="11"/>
        </w:numPr>
        <w:spacing w:after="0" w:line="360" w:lineRule="auto"/>
        <w:rPr>
          <w:rFonts w:eastAsia="Times New Roman"/>
          <w:sz w:val="24"/>
          <w:szCs w:val="24"/>
          <w:lang w:eastAsia="ar-SA"/>
        </w:rPr>
      </w:pPr>
      <w:r w:rsidRPr="00710F9E">
        <w:rPr>
          <w:rFonts w:eastAsia="Times New Roman"/>
          <w:sz w:val="24"/>
          <w:szCs w:val="24"/>
          <w:lang w:eastAsia="ar-SA"/>
        </w:rPr>
        <w:lastRenderedPageBreak/>
        <w:t xml:space="preserve">Budowę stanowisk autotransformatorów oraz dławików wraz z instalacją koniecznych urządzeń na stanowiskach oraz wynikających z przepisów </w:t>
      </w:r>
      <w:proofErr w:type="spellStart"/>
      <w:r w:rsidRPr="00710F9E">
        <w:rPr>
          <w:rFonts w:eastAsia="Times New Roman"/>
          <w:sz w:val="24"/>
          <w:szCs w:val="24"/>
          <w:lang w:eastAsia="ar-SA"/>
        </w:rPr>
        <w:t>ppoż</w:t>
      </w:r>
      <w:proofErr w:type="spellEnd"/>
      <w:r w:rsidRPr="00710F9E">
        <w:rPr>
          <w:rFonts w:eastAsia="Times New Roman"/>
          <w:sz w:val="24"/>
          <w:szCs w:val="24"/>
          <w:lang w:eastAsia="ar-SA"/>
        </w:rPr>
        <w:t>, ścian oddzielenia pożarowego.</w:t>
      </w:r>
    </w:p>
    <w:p w14:paraId="20819DC1" w14:textId="77777777" w:rsidR="00710F9E" w:rsidRDefault="00710F9E" w:rsidP="00710F9E">
      <w:pPr>
        <w:pStyle w:val="Akapitzlist"/>
        <w:numPr>
          <w:ilvl w:val="0"/>
          <w:numId w:val="11"/>
        </w:numPr>
        <w:spacing w:after="0" w:line="360" w:lineRule="auto"/>
        <w:rPr>
          <w:rFonts w:eastAsia="Times New Roman"/>
          <w:sz w:val="24"/>
          <w:szCs w:val="24"/>
          <w:lang w:eastAsia="ar-SA"/>
        </w:rPr>
      </w:pPr>
      <w:r w:rsidRPr="00710F9E">
        <w:rPr>
          <w:rFonts w:eastAsia="Times New Roman"/>
          <w:sz w:val="24"/>
          <w:szCs w:val="24"/>
          <w:lang w:eastAsia="ar-SA"/>
        </w:rPr>
        <w:t>Budowę układu zasilania rezerwowego SN z sieci zewnętrznej oraz podstawowego nr 1 i 2 dla potrzeb własnych Stacji.</w:t>
      </w:r>
    </w:p>
    <w:p w14:paraId="6F46CA02" w14:textId="77777777" w:rsidR="00710F9E" w:rsidRDefault="00710F9E" w:rsidP="00710F9E">
      <w:pPr>
        <w:pStyle w:val="Akapitzlist"/>
        <w:numPr>
          <w:ilvl w:val="0"/>
          <w:numId w:val="11"/>
        </w:numPr>
        <w:spacing w:after="0" w:line="360" w:lineRule="auto"/>
        <w:rPr>
          <w:rFonts w:eastAsia="Times New Roman"/>
          <w:sz w:val="24"/>
          <w:szCs w:val="24"/>
          <w:lang w:eastAsia="ar-SA"/>
        </w:rPr>
      </w:pPr>
      <w:r w:rsidRPr="00710F9E">
        <w:rPr>
          <w:rFonts w:eastAsia="Times New Roman"/>
          <w:sz w:val="24"/>
          <w:szCs w:val="24"/>
          <w:lang w:eastAsia="ar-SA"/>
        </w:rPr>
        <w:t>Budowę układu zasilania awaryjnego potrzeb własnych w tym zainstalowanie agregatu prądotwórczego w pobliżu budynku technologicznego. Zabudowę kontenera agregatu prądotwórczego na stanowisku (płyta żelbetowa, monolityczna) wraz z jego instalacją.</w:t>
      </w:r>
    </w:p>
    <w:p w14:paraId="5195C758" w14:textId="77777777" w:rsidR="00710F9E" w:rsidRDefault="00710F9E" w:rsidP="00710F9E">
      <w:pPr>
        <w:pStyle w:val="Akapitzlist"/>
        <w:numPr>
          <w:ilvl w:val="0"/>
          <w:numId w:val="11"/>
        </w:numPr>
        <w:spacing w:after="0" w:line="360" w:lineRule="auto"/>
        <w:rPr>
          <w:rFonts w:eastAsia="Times New Roman"/>
          <w:sz w:val="24"/>
          <w:szCs w:val="24"/>
          <w:lang w:eastAsia="ar-SA"/>
        </w:rPr>
      </w:pPr>
      <w:r w:rsidRPr="00710F9E">
        <w:rPr>
          <w:rFonts w:eastAsia="Times New Roman"/>
          <w:sz w:val="24"/>
          <w:szCs w:val="24"/>
          <w:lang w:eastAsia="ar-SA"/>
        </w:rPr>
        <w:t xml:space="preserve">Budowę napowietrznej rozdzielni 220 </w:t>
      </w:r>
      <w:proofErr w:type="spellStart"/>
      <w:r w:rsidRPr="00710F9E">
        <w:rPr>
          <w:rFonts w:eastAsia="Times New Roman"/>
          <w:sz w:val="24"/>
          <w:szCs w:val="24"/>
          <w:lang w:eastAsia="ar-SA"/>
        </w:rPr>
        <w:t>kV.</w:t>
      </w:r>
      <w:proofErr w:type="spellEnd"/>
    </w:p>
    <w:p w14:paraId="06FAE798" w14:textId="77777777" w:rsidR="00710F9E" w:rsidRDefault="00710F9E" w:rsidP="00710F9E">
      <w:pPr>
        <w:pStyle w:val="Akapitzlist"/>
        <w:numPr>
          <w:ilvl w:val="0"/>
          <w:numId w:val="11"/>
        </w:numPr>
        <w:spacing w:after="0" w:line="360" w:lineRule="auto"/>
        <w:rPr>
          <w:rFonts w:eastAsia="Times New Roman"/>
          <w:sz w:val="24"/>
          <w:szCs w:val="24"/>
          <w:lang w:eastAsia="ar-SA"/>
        </w:rPr>
      </w:pPr>
      <w:r w:rsidRPr="00710F9E">
        <w:rPr>
          <w:rFonts w:eastAsia="Times New Roman"/>
          <w:sz w:val="24"/>
          <w:szCs w:val="24"/>
          <w:lang w:eastAsia="ar-SA"/>
        </w:rPr>
        <w:t xml:space="preserve">Budowę napowietrznej rozdzielni 110 </w:t>
      </w:r>
      <w:proofErr w:type="spellStart"/>
      <w:r w:rsidRPr="00710F9E">
        <w:rPr>
          <w:rFonts w:eastAsia="Times New Roman"/>
          <w:sz w:val="24"/>
          <w:szCs w:val="24"/>
          <w:lang w:eastAsia="ar-SA"/>
        </w:rPr>
        <w:t>kV.</w:t>
      </w:r>
      <w:proofErr w:type="spellEnd"/>
    </w:p>
    <w:p w14:paraId="7F0B71EC" w14:textId="77777777" w:rsidR="00710F9E" w:rsidRDefault="00710F9E" w:rsidP="00710F9E">
      <w:pPr>
        <w:pStyle w:val="Akapitzlist"/>
        <w:numPr>
          <w:ilvl w:val="0"/>
          <w:numId w:val="11"/>
        </w:numPr>
        <w:spacing w:after="0" w:line="360" w:lineRule="auto"/>
        <w:rPr>
          <w:rFonts w:eastAsia="Times New Roman"/>
          <w:sz w:val="24"/>
          <w:szCs w:val="24"/>
          <w:lang w:eastAsia="ar-SA"/>
        </w:rPr>
      </w:pPr>
      <w:r w:rsidRPr="00710F9E">
        <w:rPr>
          <w:rFonts w:eastAsia="Times New Roman"/>
          <w:sz w:val="24"/>
          <w:szCs w:val="24"/>
          <w:lang w:eastAsia="ar-SA"/>
        </w:rPr>
        <w:t xml:space="preserve">Budowę mostów napowietrznych 110 </w:t>
      </w:r>
      <w:proofErr w:type="spellStart"/>
      <w:r w:rsidRPr="00710F9E">
        <w:rPr>
          <w:rFonts w:eastAsia="Times New Roman"/>
          <w:sz w:val="24"/>
          <w:szCs w:val="24"/>
          <w:lang w:eastAsia="ar-SA"/>
        </w:rPr>
        <w:t>kV</w:t>
      </w:r>
      <w:proofErr w:type="spellEnd"/>
      <w:r w:rsidRPr="00710F9E">
        <w:rPr>
          <w:rFonts w:eastAsia="Times New Roman"/>
          <w:sz w:val="24"/>
          <w:szCs w:val="24"/>
          <w:lang w:eastAsia="ar-SA"/>
        </w:rPr>
        <w:t xml:space="preserve">, łączących rozdzielnię 110 </w:t>
      </w:r>
      <w:proofErr w:type="spellStart"/>
      <w:r w:rsidRPr="00710F9E">
        <w:rPr>
          <w:rFonts w:eastAsia="Times New Roman"/>
          <w:sz w:val="24"/>
          <w:szCs w:val="24"/>
          <w:lang w:eastAsia="ar-SA"/>
        </w:rPr>
        <w:t>kV</w:t>
      </w:r>
      <w:proofErr w:type="spellEnd"/>
      <w:r w:rsidRPr="00710F9E">
        <w:rPr>
          <w:rFonts w:eastAsia="Times New Roman"/>
          <w:sz w:val="24"/>
          <w:szCs w:val="24"/>
          <w:lang w:eastAsia="ar-SA"/>
        </w:rPr>
        <w:t xml:space="preserve"> z rozdzielnią 220 </w:t>
      </w:r>
      <w:proofErr w:type="spellStart"/>
      <w:r w:rsidRPr="00710F9E">
        <w:rPr>
          <w:rFonts w:eastAsia="Times New Roman"/>
          <w:sz w:val="24"/>
          <w:szCs w:val="24"/>
          <w:lang w:eastAsia="ar-SA"/>
        </w:rPr>
        <w:t>kV.</w:t>
      </w:r>
      <w:proofErr w:type="spellEnd"/>
    </w:p>
    <w:p w14:paraId="0B84F198" w14:textId="77777777" w:rsidR="00710F9E" w:rsidRDefault="00710F9E" w:rsidP="00710F9E">
      <w:pPr>
        <w:pStyle w:val="Akapitzlist"/>
        <w:numPr>
          <w:ilvl w:val="0"/>
          <w:numId w:val="11"/>
        </w:numPr>
        <w:spacing w:after="0" w:line="360" w:lineRule="auto"/>
        <w:rPr>
          <w:rFonts w:eastAsia="Times New Roman"/>
          <w:sz w:val="24"/>
          <w:szCs w:val="24"/>
          <w:lang w:eastAsia="ar-SA"/>
        </w:rPr>
      </w:pPr>
      <w:r w:rsidRPr="00710F9E">
        <w:rPr>
          <w:rFonts w:eastAsia="Times New Roman"/>
          <w:sz w:val="24"/>
          <w:szCs w:val="24"/>
          <w:lang w:eastAsia="ar-SA"/>
        </w:rPr>
        <w:t xml:space="preserve">Obwody wtórne rozdzielni 220 </w:t>
      </w:r>
      <w:proofErr w:type="spellStart"/>
      <w:r w:rsidRPr="00710F9E">
        <w:rPr>
          <w:rFonts w:eastAsia="Times New Roman"/>
          <w:sz w:val="24"/>
          <w:szCs w:val="24"/>
          <w:lang w:eastAsia="ar-SA"/>
        </w:rPr>
        <w:t>kV</w:t>
      </w:r>
      <w:proofErr w:type="spellEnd"/>
      <w:r w:rsidRPr="00710F9E">
        <w:rPr>
          <w:rFonts w:eastAsia="Times New Roman"/>
          <w:sz w:val="24"/>
          <w:szCs w:val="24"/>
          <w:lang w:eastAsia="ar-SA"/>
        </w:rPr>
        <w:t xml:space="preserve">, 110 </w:t>
      </w:r>
      <w:proofErr w:type="spellStart"/>
      <w:r w:rsidRPr="00710F9E">
        <w:rPr>
          <w:rFonts w:eastAsia="Times New Roman"/>
          <w:sz w:val="24"/>
          <w:szCs w:val="24"/>
          <w:lang w:eastAsia="ar-SA"/>
        </w:rPr>
        <w:t>kV</w:t>
      </w:r>
      <w:proofErr w:type="spellEnd"/>
      <w:r w:rsidRPr="00710F9E">
        <w:rPr>
          <w:rFonts w:eastAsia="Times New Roman"/>
          <w:sz w:val="24"/>
          <w:szCs w:val="24"/>
          <w:lang w:eastAsia="ar-SA"/>
        </w:rPr>
        <w:t xml:space="preserve"> oraz autotransformatorów i dławików.</w:t>
      </w:r>
    </w:p>
    <w:p w14:paraId="2A35CBBB" w14:textId="77777777" w:rsidR="00710F9E" w:rsidRDefault="00710F9E" w:rsidP="00710F9E">
      <w:pPr>
        <w:pStyle w:val="Akapitzlist"/>
        <w:numPr>
          <w:ilvl w:val="0"/>
          <w:numId w:val="11"/>
        </w:numPr>
        <w:spacing w:after="0" w:line="360" w:lineRule="auto"/>
        <w:rPr>
          <w:rFonts w:eastAsia="Times New Roman"/>
          <w:sz w:val="24"/>
          <w:szCs w:val="24"/>
          <w:lang w:eastAsia="ar-SA"/>
        </w:rPr>
      </w:pPr>
      <w:r w:rsidRPr="00710F9E">
        <w:rPr>
          <w:rFonts w:eastAsia="Times New Roman"/>
          <w:sz w:val="24"/>
          <w:szCs w:val="24"/>
          <w:lang w:eastAsia="ar-SA"/>
        </w:rPr>
        <w:t>Budowę instalacji telekomunikacyjnej.</w:t>
      </w:r>
    </w:p>
    <w:p w14:paraId="1C7F585B" w14:textId="61C052CF" w:rsidR="00710F9E" w:rsidRPr="00710F9E" w:rsidRDefault="00710F9E" w:rsidP="00710F9E">
      <w:pPr>
        <w:pStyle w:val="Akapitzlist"/>
        <w:numPr>
          <w:ilvl w:val="0"/>
          <w:numId w:val="11"/>
        </w:numPr>
        <w:spacing w:after="0" w:line="360" w:lineRule="auto"/>
        <w:rPr>
          <w:rFonts w:eastAsia="Times New Roman"/>
          <w:sz w:val="24"/>
          <w:szCs w:val="24"/>
          <w:lang w:eastAsia="ar-SA"/>
        </w:rPr>
      </w:pPr>
      <w:r w:rsidRPr="00710F9E">
        <w:rPr>
          <w:rFonts w:eastAsia="Times New Roman"/>
          <w:sz w:val="24"/>
          <w:szCs w:val="24"/>
          <w:lang w:eastAsia="ar-SA"/>
        </w:rPr>
        <w:t>Budowę podwójnego ogrodzenia granicznego terenu stacji wraz z bramą wjazdową i furtką oraz ogrodzenie porządkowe wydzielające budynek technologiczny z terenu ruchu elektrycznego.</w:t>
      </w:r>
    </w:p>
    <w:p w14:paraId="5C6D6875" w14:textId="77777777" w:rsidR="00710F9E" w:rsidRPr="00710F9E" w:rsidRDefault="00710F9E" w:rsidP="00710F9E">
      <w:pPr>
        <w:spacing w:after="0" w:line="360" w:lineRule="auto"/>
        <w:rPr>
          <w:rFonts w:eastAsia="Times New Roman"/>
          <w:sz w:val="24"/>
          <w:szCs w:val="24"/>
          <w:lang/>
        </w:rPr>
      </w:pPr>
      <w:r w:rsidRPr="00710F9E">
        <w:rPr>
          <w:rFonts w:eastAsia="Times New Roman"/>
          <w:sz w:val="24"/>
          <w:szCs w:val="24"/>
          <w:lang/>
        </w:rPr>
        <w:t xml:space="preserve">Planowane przedsięwzięcie polegać będzie na budowie stacji 220/110 </w:t>
      </w:r>
      <w:proofErr w:type="spellStart"/>
      <w:r w:rsidRPr="00710F9E">
        <w:rPr>
          <w:rFonts w:eastAsia="Times New Roman"/>
          <w:sz w:val="24"/>
          <w:szCs w:val="24"/>
          <w:lang/>
        </w:rPr>
        <w:t>kV</w:t>
      </w:r>
      <w:proofErr w:type="spellEnd"/>
      <w:r w:rsidRPr="00710F9E">
        <w:rPr>
          <w:rFonts w:eastAsia="Times New Roman"/>
          <w:sz w:val="24"/>
          <w:szCs w:val="24"/>
          <w:lang/>
        </w:rPr>
        <w:t xml:space="preserve"> Norki wraz z infrastrukturą towarzyszącą. Stacja stanowi jeden z elementów projektu połączenia międzysystemowego między Polską a Litwą, zwanego </w:t>
      </w:r>
      <w:proofErr w:type="spellStart"/>
      <w:r w:rsidRPr="00710F9E">
        <w:rPr>
          <w:rFonts w:eastAsia="Times New Roman"/>
          <w:sz w:val="24"/>
          <w:szCs w:val="24"/>
          <w:lang/>
        </w:rPr>
        <w:t>Harmony</w:t>
      </w:r>
      <w:proofErr w:type="spellEnd"/>
      <w:r w:rsidRPr="00710F9E">
        <w:rPr>
          <w:rFonts w:eastAsia="Times New Roman"/>
          <w:sz w:val="24"/>
          <w:szCs w:val="24"/>
          <w:lang/>
        </w:rPr>
        <w:t xml:space="preserve"> Link. Zamierzenie inwestycyjne służy rozbudowie północno-wschodniej części Krajowego Systemu Elektroenergetycznego.</w:t>
      </w:r>
    </w:p>
    <w:p w14:paraId="6C4D42B1" w14:textId="77777777" w:rsidR="00710F9E" w:rsidRPr="00710F9E" w:rsidRDefault="00710F9E" w:rsidP="00710F9E">
      <w:pPr>
        <w:spacing w:after="0" w:line="360" w:lineRule="auto"/>
        <w:rPr>
          <w:rFonts w:eastAsia="Times New Roman"/>
          <w:sz w:val="24"/>
          <w:szCs w:val="24"/>
          <w:lang w:eastAsia="ar-SA"/>
        </w:rPr>
      </w:pPr>
      <w:r w:rsidRPr="00710F9E">
        <w:rPr>
          <w:rFonts w:eastAsia="Times New Roman"/>
          <w:sz w:val="24"/>
          <w:szCs w:val="24"/>
          <w:lang w:eastAsia="ar-SA"/>
        </w:rPr>
        <w:t xml:space="preserve">Inwestycja realizowana będzie na działkach o numerach ewidencyjnych </w:t>
      </w:r>
      <w:r w:rsidRPr="00710F9E">
        <w:rPr>
          <w:rFonts w:eastAsia="Calibri"/>
          <w:sz w:val="24"/>
          <w:szCs w:val="24"/>
          <w:lang w:eastAsia="ar-SA"/>
        </w:rPr>
        <w:t>działki nr 1/2, 2/10, 10/2, 11, 12, 14, 28/2, 29/2, 30/2, 31/9, 271</w:t>
      </w:r>
      <w:r w:rsidRPr="00710F9E">
        <w:rPr>
          <w:rFonts w:eastAsia="Times New Roman"/>
          <w:sz w:val="24"/>
          <w:szCs w:val="24"/>
          <w:lang w:eastAsia="ar-SA"/>
        </w:rPr>
        <w:t xml:space="preserve">, obręb Kalinowo oraz 53/2, 179 obręb Piętki, gmina Kalinowo, powiat ełcki, województwo warmińsko-mazurskie. Powierzchnia obszaru realizacji prac w ramach przedsięwzięcia wyniesie 14,3 ha, w tym czasowe zajęcie terenu obejmie około 1,9 ha. </w:t>
      </w:r>
    </w:p>
    <w:p w14:paraId="6B04799B" w14:textId="77777777" w:rsidR="00710F9E" w:rsidRPr="00710F9E" w:rsidRDefault="00710F9E" w:rsidP="00710F9E">
      <w:pPr>
        <w:spacing w:after="0" w:line="360" w:lineRule="auto"/>
        <w:rPr>
          <w:rFonts w:eastAsia="Times New Roman"/>
          <w:sz w:val="24"/>
          <w:szCs w:val="24"/>
          <w:lang w:eastAsia="ar-SA"/>
        </w:rPr>
      </w:pPr>
      <w:r w:rsidRPr="00710F9E">
        <w:rPr>
          <w:rFonts w:eastAsia="Times New Roman"/>
          <w:sz w:val="24"/>
          <w:szCs w:val="24"/>
          <w:lang w:eastAsia="ar-SA"/>
        </w:rPr>
        <w:t xml:space="preserve">Teren przewidziany pod realizację przedmiotowego przedsięwzięcia stanowi grunt orny, aktualnie użytkowany rolniczo. W sąsiedztwie planowanego przedsięwzięcia, poza terenami rolnymi, występują również tereny leśne, zlokalizowane na północ od obszaru inwestycji. Od strony południowej obszar realizacji inwestycji graniczy z drogą ekspresową S61 Via </w:t>
      </w:r>
      <w:proofErr w:type="spellStart"/>
      <w:r w:rsidRPr="00710F9E">
        <w:rPr>
          <w:rFonts w:eastAsia="Times New Roman"/>
          <w:sz w:val="24"/>
          <w:szCs w:val="24"/>
          <w:lang w:eastAsia="ar-SA"/>
        </w:rPr>
        <w:t>Baltica</w:t>
      </w:r>
      <w:proofErr w:type="spellEnd"/>
      <w:r w:rsidRPr="00710F9E">
        <w:rPr>
          <w:rFonts w:eastAsia="Times New Roman"/>
          <w:sz w:val="24"/>
          <w:szCs w:val="24"/>
          <w:lang w:eastAsia="ar-SA"/>
        </w:rPr>
        <w:t>, natomiast od strony zachodniej – z drogą powiatową nr 1945 N. Najbliższe względem inwestycji tereny zabudowy mieszkaniowej znajdują się w odległości ok. 500 m w kierunku wschodnim oraz w odległości ok. 650 m w kierunku południowo-zachodnim od granicy terenu SE Norki.</w:t>
      </w:r>
    </w:p>
    <w:p w14:paraId="25BA3283" w14:textId="77777777" w:rsidR="00710F9E" w:rsidRPr="00710F9E" w:rsidRDefault="00710F9E" w:rsidP="00710F9E">
      <w:pPr>
        <w:spacing w:after="0" w:line="360" w:lineRule="auto"/>
        <w:rPr>
          <w:rFonts w:eastAsia="Times New Roman"/>
          <w:sz w:val="24"/>
          <w:szCs w:val="24"/>
          <w:lang w:eastAsia="pl-PL"/>
        </w:rPr>
      </w:pPr>
      <w:r w:rsidRPr="00710F9E">
        <w:rPr>
          <w:rFonts w:eastAsia="Times New Roman"/>
          <w:sz w:val="24"/>
          <w:szCs w:val="24"/>
          <w:lang w:eastAsia="pl-PL"/>
        </w:rPr>
        <w:lastRenderedPageBreak/>
        <w:t xml:space="preserve">Planowane przedsięwzięcie polega na budowie stacji elektroenergetycznej 220/110 </w:t>
      </w:r>
      <w:proofErr w:type="spellStart"/>
      <w:r w:rsidRPr="00710F9E">
        <w:rPr>
          <w:rFonts w:eastAsia="Times New Roman"/>
          <w:sz w:val="24"/>
          <w:szCs w:val="24"/>
          <w:lang w:eastAsia="pl-PL"/>
        </w:rPr>
        <w:t>kV</w:t>
      </w:r>
      <w:proofErr w:type="spellEnd"/>
      <w:r w:rsidRPr="00710F9E">
        <w:rPr>
          <w:rFonts w:eastAsia="Times New Roman"/>
          <w:sz w:val="24"/>
          <w:szCs w:val="24"/>
          <w:lang w:eastAsia="pl-PL"/>
        </w:rPr>
        <w:t xml:space="preserve"> wraz z infrastrukturą towarzyszącą. Rozdzielnie 220 </w:t>
      </w:r>
      <w:proofErr w:type="spellStart"/>
      <w:r w:rsidRPr="00710F9E">
        <w:rPr>
          <w:rFonts w:eastAsia="Times New Roman"/>
          <w:sz w:val="24"/>
          <w:szCs w:val="24"/>
          <w:lang w:eastAsia="pl-PL"/>
        </w:rPr>
        <w:t>kV</w:t>
      </w:r>
      <w:proofErr w:type="spellEnd"/>
      <w:r w:rsidRPr="00710F9E">
        <w:rPr>
          <w:rFonts w:eastAsia="Times New Roman"/>
          <w:sz w:val="24"/>
          <w:szCs w:val="24"/>
          <w:lang w:eastAsia="pl-PL"/>
        </w:rPr>
        <w:t xml:space="preserve"> i 110 </w:t>
      </w:r>
      <w:proofErr w:type="spellStart"/>
      <w:r w:rsidRPr="00710F9E">
        <w:rPr>
          <w:rFonts w:eastAsia="Times New Roman"/>
          <w:sz w:val="24"/>
          <w:szCs w:val="24"/>
          <w:lang w:eastAsia="pl-PL"/>
        </w:rPr>
        <w:t>kV</w:t>
      </w:r>
      <w:proofErr w:type="spellEnd"/>
      <w:r w:rsidRPr="00710F9E">
        <w:rPr>
          <w:rFonts w:eastAsia="Times New Roman"/>
          <w:sz w:val="24"/>
          <w:szCs w:val="24"/>
          <w:lang w:eastAsia="pl-PL"/>
        </w:rPr>
        <w:t xml:space="preserve"> zostaną wykonane w technologii napowietrznej i obejmować będą układy szyn zbiorczych oraz aparaturę elektroenergetyczną, w tym urządzenia łączeniowe, pomiarowe, zabezpieczeniowe i sterownicze. Połączenia realizowane będą przy użyciu przewodów linkowych i rurowych. </w:t>
      </w:r>
    </w:p>
    <w:p w14:paraId="73308129" w14:textId="77777777" w:rsidR="00710F9E" w:rsidRPr="00710F9E" w:rsidRDefault="00710F9E" w:rsidP="00710F9E">
      <w:pPr>
        <w:spacing w:after="0" w:line="360" w:lineRule="auto"/>
        <w:rPr>
          <w:rFonts w:eastAsia="Times New Roman"/>
          <w:sz w:val="24"/>
          <w:szCs w:val="24"/>
          <w:lang w:eastAsia="pl-PL"/>
        </w:rPr>
      </w:pPr>
      <w:r w:rsidRPr="00710F9E">
        <w:rPr>
          <w:rFonts w:eastAsia="Times New Roman"/>
          <w:sz w:val="24"/>
          <w:szCs w:val="24"/>
          <w:lang w:eastAsia="pl-PL"/>
        </w:rPr>
        <w:t xml:space="preserve">Stacja zostanie wyposażona w dwa autotransformatory 220/110/15 </w:t>
      </w:r>
      <w:proofErr w:type="spellStart"/>
      <w:r w:rsidRPr="00710F9E">
        <w:rPr>
          <w:rFonts w:eastAsia="Times New Roman"/>
          <w:sz w:val="24"/>
          <w:szCs w:val="24"/>
          <w:lang w:eastAsia="pl-PL"/>
        </w:rPr>
        <w:t>kV</w:t>
      </w:r>
      <w:proofErr w:type="spellEnd"/>
      <w:r w:rsidRPr="00710F9E">
        <w:rPr>
          <w:rFonts w:eastAsia="Times New Roman"/>
          <w:sz w:val="24"/>
          <w:szCs w:val="24"/>
          <w:lang w:eastAsia="pl-PL"/>
        </w:rPr>
        <w:t xml:space="preserve"> o mocy 275 MVA każdy oraz trzy dławiki kompensacyjne 220 </w:t>
      </w:r>
      <w:proofErr w:type="spellStart"/>
      <w:r w:rsidRPr="00710F9E">
        <w:rPr>
          <w:rFonts w:eastAsia="Times New Roman"/>
          <w:sz w:val="24"/>
          <w:szCs w:val="24"/>
          <w:lang w:eastAsia="pl-PL"/>
        </w:rPr>
        <w:t>kV</w:t>
      </w:r>
      <w:proofErr w:type="spellEnd"/>
      <w:r w:rsidRPr="00710F9E">
        <w:rPr>
          <w:rFonts w:eastAsia="Times New Roman"/>
          <w:sz w:val="24"/>
          <w:szCs w:val="24"/>
          <w:lang w:eastAsia="pl-PL"/>
        </w:rPr>
        <w:t>. Urządzenia te zostaną posadowione na szczelnych stanowiskach wyposażonych w misy olejowe o pojemności umożliwiającej przejęcie całości oleju oraz wód pożarowych, z systemem odwodnienia i separacji substancji ropopochodnych, zabezpieczonym automatycznymi urządzeniami odcinającymi. Na terenie stacji przewiduje się wykonanie infrastruktury technicznej, w tym kanałów i przepustów kablowych, instalacji wodno-kanalizacyjnej, systemu odwodnienia, uziemienia, zasilania potrzeb własnych, systemów sterowania i nadzoru oraz ochrony technicznej. Wody opadowe i roztopowe będą odprowadzane do zbiornika retencyjnego, a następnie – po podczyszczeniu – do rowu melioracyjnego, z ograniczeniem odpływu. Ścieki bytowe będą gromadzone w zbiorniku bezodpływowym. Zaopatrzenie w wodę realizowane będzie z istniejącej sieci wodociągowej. Na potrzeby ochrony przeciwpożarowej zaprojektowano podziemne zbiorniki wody o łącznej pojemności 100 m³.</w:t>
      </w:r>
    </w:p>
    <w:p w14:paraId="26D7FD3A" w14:textId="77777777" w:rsidR="00710F9E" w:rsidRPr="00710F9E" w:rsidRDefault="00710F9E" w:rsidP="00710F9E">
      <w:pPr>
        <w:spacing w:after="0" w:line="360" w:lineRule="auto"/>
        <w:rPr>
          <w:rFonts w:eastAsia="Times New Roman"/>
          <w:sz w:val="24"/>
          <w:szCs w:val="24"/>
          <w:lang w:eastAsia="pl-PL"/>
        </w:rPr>
      </w:pPr>
      <w:r w:rsidRPr="00710F9E">
        <w:rPr>
          <w:rFonts w:eastAsia="Times New Roman"/>
          <w:sz w:val="24"/>
          <w:szCs w:val="24"/>
          <w:lang w:eastAsia="pl-PL"/>
        </w:rPr>
        <w:t>W ramach inwestycji przewiduje się również budowę układu komunikacyjnego (zjazd z drogi publicznej, drogi wewnętrzne, drogi pożarowe), placów technologicznych, zbiornika retencyjnego, stanowiska agregatu prądotwórczego oraz ogrodzenia terenu.</w:t>
      </w:r>
    </w:p>
    <w:p w14:paraId="471A734F" w14:textId="77777777" w:rsidR="00710F9E" w:rsidRPr="00710F9E" w:rsidRDefault="00710F9E" w:rsidP="00710F9E">
      <w:pPr>
        <w:spacing w:after="0" w:line="360" w:lineRule="auto"/>
        <w:rPr>
          <w:rFonts w:eastAsia="Times New Roman"/>
          <w:sz w:val="24"/>
          <w:szCs w:val="24"/>
          <w:lang w:eastAsia="pl-PL"/>
        </w:rPr>
      </w:pPr>
      <w:r w:rsidRPr="00710F9E">
        <w:rPr>
          <w:rFonts w:eastAsia="Times New Roman"/>
          <w:sz w:val="24"/>
          <w:szCs w:val="24"/>
          <w:lang w:eastAsia="pl-PL"/>
        </w:rPr>
        <w:t>Etap realizacji będzie wiązał się z krótkotrwałymi i lokalnymi oddziaływaniami, typowymi dla prac budowlanych, obejmującymi emisję hałasu, pyłu oraz przekształcenia powierzchni terenu. Oddziaływania te będą miały charakter odwracalny i ustaną po zakończeniu prac. Eksploatacja stacji nie będzie powodować znaczących oddziaływań na środowisko poza emisją hałasu o ograniczonym zasięgu.</w:t>
      </w:r>
    </w:p>
    <w:p w14:paraId="5CC68459" w14:textId="77777777" w:rsidR="00710F9E" w:rsidRPr="00710F9E" w:rsidRDefault="00710F9E" w:rsidP="00710F9E">
      <w:pPr>
        <w:spacing w:after="0" w:line="360" w:lineRule="auto"/>
        <w:rPr>
          <w:rFonts w:eastAsia="Times New Roman"/>
          <w:sz w:val="24"/>
          <w:szCs w:val="24"/>
          <w:lang w:eastAsia="ar-SA"/>
        </w:rPr>
      </w:pPr>
      <w:r w:rsidRPr="00710F9E">
        <w:rPr>
          <w:rFonts w:eastAsia="Times New Roman"/>
          <w:sz w:val="24"/>
          <w:szCs w:val="24"/>
          <w:lang w:eastAsia="ar-SA"/>
        </w:rPr>
        <w:t>Na etapie eksploatacji przedsięwzięcia głównymi oddziaływaniami na środowisko będą emisja hałasu oraz generowanie pól elektromagnetycznych. Źródłami hałasu będą przede wszystkim autotransformatory, dławiki kompensacyjne, aparatura rozdzielcza oraz urządzenia pomocnicze. Przeprowadzona analiza akustyczna wykazała, że poziomy hałasu na terenach chronionych akustycznie (najbliższa zabudowa zagrodowa w odległości ok. 500 m) nie przekroczą wartości dopuszczalnych i będą znacząco niższe od obowiązujących norm.</w:t>
      </w:r>
    </w:p>
    <w:p w14:paraId="46D044B1" w14:textId="77777777" w:rsidR="00710F9E" w:rsidRPr="00710F9E" w:rsidRDefault="00710F9E" w:rsidP="00710F9E">
      <w:pPr>
        <w:spacing w:after="0" w:line="360" w:lineRule="auto"/>
        <w:rPr>
          <w:rFonts w:eastAsia="Times New Roman"/>
          <w:sz w:val="24"/>
          <w:szCs w:val="24"/>
          <w:lang w:eastAsia="ar-SA"/>
        </w:rPr>
      </w:pPr>
      <w:r w:rsidRPr="00710F9E">
        <w:rPr>
          <w:rFonts w:eastAsia="Times New Roman"/>
          <w:sz w:val="24"/>
          <w:szCs w:val="24"/>
          <w:lang w:eastAsia="ar-SA"/>
        </w:rPr>
        <w:lastRenderedPageBreak/>
        <w:t>Urządzenia elektroenergetyczne będą źródłem pól elektromagnetycznych, jednak ze względu na lokalizację instalacji w obrębie ogrodzonego terenu oraz zastosowane rozwiązania techniczne, w tym wprowadzenia kablowe, nie przewiduje się przekroczenia dopuszczalnych poziomów pól poza terenem stacji. Przed oddaniem obiektu do użytkowania wykonane zostaną wymagane pomiary kontrolne.</w:t>
      </w:r>
    </w:p>
    <w:p w14:paraId="3EE80587" w14:textId="77777777" w:rsidR="00710F9E" w:rsidRPr="00710F9E" w:rsidRDefault="00710F9E" w:rsidP="00710F9E">
      <w:pPr>
        <w:spacing w:after="0" w:line="360" w:lineRule="auto"/>
        <w:rPr>
          <w:rFonts w:eastAsia="Times New Roman"/>
          <w:sz w:val="24"/>
          <w:szCs w:val="24"/>
          <w:lang w:eastAsia="ar-SA"/>
        </w:rPr>
      </w:pPr>
      <w:r w:rsidRPr="00710F9E">
        <w:rPr>
          <w:rFonts w:eastAsia="Times New Roman"/>
          <w:sz w:val="24"/>
          <w:szCs w:val="24"/>
          <w:lang w:eastAsia="ar-SA"/>
        </w:rPr>
        <w:t>Eksploatacja stacji nie będzie powodować istotnej emisji zanieczyszczeń do powietrza. Emisje będą miały charakter marginalny i będą związane głównie z ruchem pojazdów obsługi oraz sporadycznymi pracami konserwacyjnymi. Nie przewiduje się wpływu przedsięwzięcia na stan jakości powietrza.</w:t>
      </w:r>
    </w:p>
    <w:p w14:paraId="6628F3F7" w14:textId="77777777" w:rsidR="00710F9E" w:rsidRPr="00710F9E" w:rsidRDefault="00710F9E" w:rsidP="00710F9E">
      <w:pPr>
        <w:spacing w:after="0" w:line="360" w:lineRule="auto"/>
        <w:rPr>
          <w:rFonts w:eastAsia="Times New Roman"/>
          <w:sz w:val="24"/>
          <w:szCs w:val="24"/>
          <w:lang w:eastAsia="ar-SA"/>
        </w:rPr>
      </w:pPr>
      <w:r w:rsidRPr="00710F9E">
        <w:rPr>
          <w:rFonts w:eastAsia="Times New Roman"/>
          <w:sz w:val="24"/>
          <w:szCs w:val="24"/>
          <w:lang w:eastAsia="ar-SA"/>
        </w:rPr>
        <w:t>Najbliższe tereny zabudowy mieszkaniowej zlokalizowane są poza zasięgiem oddziaływania inwestycji. W związku z powyższym eksploatacja przedsięwzięcia nie spowoduje przekroczenia standardów jakości środowiska ani istotnego pogorszenia warunków życia ludzi.</w:t>
      </w:r>
    </w:p>
    <w:p w14:paraId="4C244876" w14:textId="77777777" w:rsidR="00710F9E" w:rsidRPr="00710F9E" w:rsidRDefault="00710F9E" w:rsidP="00710F9E">
      <w:pPr>
        <w:spacing w:after="0" w:line="360" w:lineRule="auto"/>
        <w:rPr>
          <w:sz w:val="24"/>
          <w:szCs w:val="24"/>
          <w:lang w:eastAsia="ar-SA"/>
        </w:rPr>
      </w:pPr>
      <w:r w:rsidRPr="00710F9E">
        <w:rPr>
          <w:sz w:val="24"/>
          <w:szCs w:val="24"/>
          <w:lang w:eastAsia="ar-SA"/>
        </w:rPr>
        <w:t>Teren planowanego przedsięwzięcia znajduje się poza obszarami ochrony przyrody wymienionymi w art. 6 ustawy z dnia 16 kwietnia 2004 r. o ochronie przyrody (Dz. U. z 2025 r. poz. 13). Najbliżej przedsięwzięcia zlokalizowany jest Obszar Chronionego Krajobrazu Jezior Rajgrodzkich (odległość ok. 1,7 km na zachód). Obszar inwestycji znajduje się również poza obszarami Europejskiej Sieci Ekologicznej Natura 2000. Najbliżej położonymi obszarami Natura 2000 są:</w:t>
      </w:r>
    </w:p>
    <w:p w14:paraId="149250A5" w14:textId="77777777" w:rsidR="00710F9E" w:rsidRDefault="00710F9E" w:rsidP="00710F9E">
      <w:pPr>
        <w:pStyle w:val="Akapitzlist"/>
        <w:numPr>
          <w:ilvl w:val="0"/>
          <w:numId w:val="12"/>
        </w:numPr>
        <w:spacing w:after="0" w:line="360" w:lineRule="auto"/>
        <w:rPr>
          <w:sz w:val="24"/>
          <w:szCs w:val="24"/>
          <w:lang w:eastAsia="ar-SA"/>
        </w:rPr>
      </w:pPr>
      <w:r w:rsidRPr="00710F9E">
        <w:rPr>
          <w:sz w:val="24"/>
          <w:szCs w:val="24"/>
          <w:lang w:eastAsia="ar-SA"/>
        </w:rPr>
        <w:t>Puszcza Augustowska PLB200002 w odległości ok. 13 km w kierunku północno - wschodnim;</w:t>
      </w:r>
    </w:p>
    <w:p w14:paraId="45E32F22" w14:textId="78E56CF8" w:rsidR="00710F9E" w:rsidRPr="00710F9E" w:rsidRDefault="00710F9E" w:rsidP="00710F9E">
      <w:pPr>
        <w:pStyle w:val="Akapitzlist"/>
        <w:numPr>
          <w:ilvl w:val="0"/>
          <w:numId w:val="12"/>
        </w:numPr>
        <w:spacing w:after="0" w:line="360" w:lineRule="auto"/>
        <w:rPr>
          <w:sz w:val="24"/>
          <w:szCs w:val="24"/>
          <w:lang w:eastAsia="ar-SA"/>
        </w:rPr>
      </w:pPr>
      <w:r w:rsidRPr="00710F9E">
        <w:rPr>
          <w:sz w:val="24"/>
          <w:szCs w:val="24"/>
          <w:lang w:eastAsia="ar-SA"/>
        </w:rPr>
        <w:t xml:space="preserve">Ostoja Augustowska PLH200005 w odległości ok. 13 km w kierunku północno-wschodnim. </w:t>
      </w:r>
    </w:p>
    <w:p w14:paraId="37941394" w14:textId="77777777" w:rsidR="00710F9E" w:rsidRPr="00710F9E" w:rsidRDefault="00710F9E" w:rsidP="00710F9E">
      <w:pPr>
        <w:spacing w:after="0" w:line="360" w:lineRule="auto"/>
        <w:rPr>
          <w:sz w:val="24"/>
          <w:szCs w:val="24"/>
          <w:lang w:eastAsia="ar-SA"/>
        </w:rPr>
      </w:pPr>
      <w:r w:rsidRPr="00710F9E">
        <w:rPr>
          <w:sz w:val="24"/>
          <w:szCs w:val="24"/>
          <w:lang w:eastAsia="ar-SA"/>
        </w:rPr>
        <w:t xml:space="preserve">Planowane przedsięwzięcie nie będzie znacząco oddziaływać na cele i przedmioty ochrony oraz integralność obszarów Natura 2000, a także nie wpłynie na spójność sieci obszarów Natura 2000. </w:t>
      </w:r>
    </w:p>
    <w:p w14:paraId="46BFE1A4" w14:textId="77777777" w:rsidR="00710F9E" w:rsidRPr="00710F9E" w:rsidRDefault="00710F9E" w:rsidP="00710F9E">
      <w:pPr>
        <w:spacing w:after="0" w:line="360" w:lineRule="auto"/>
        <w:rPr>
          <w:sz w:val="24"/>
          <w:szCs w:val="24"/>
          <w:lang w:eastAsia="ar-SA"/>
        </w:rPr>
      </w:pPr>
      <w:r w:rsidRPr="00710F9E">
        <w:rPr>
          <w:sz w:val="24"/>
          <w:szCs w:val="24"/>
          <w:lang w:eastAsia="ar-SA"/>
        </w:rPr>
        <w:t xml:space="preserve">Najcenniejszym elementem przyrodniczym w obszarze objętym inwestycją jest aleja </w:t>
      </w:r>
      <w:proofErr w:type="spellStart"/>
      <w:r w:rsidRPr="00710F9E">
        <w:rPr>
          <w:sz w:val="24"/>
          <w:szCs w:val="24"/>
          <w:lang w:eastAsia="ar-SA"/>
        </w:rPr>
        <w:t>klonowo-dębowa</w:t>
      </w:r>
      <w:proofErr w:type="spellEnd"/>
      <w:r w:rsidRPr="00710F9E">
        <w:rPr>
          <w:sz w:val="24"/>
          <w:szCs w:val="24"/>
          <w:lang w:eastAsia="ar-SA"/>
        </w:rPr>
        <w:t xml:space="preserve"> zlokalizowana wzdłuż drogi powiatowej nr 1945 N, stanowiąca istotny element krajobrazu oraz siedlisko dla organizmów nadrzewnych, w tym chronionego gatunku porostu – odnożycy jesionowej </w:t>
      </w:r>
      <w:proofErr w:type="spellStart"/>
      <w:r w:rsidRPr="00710F9E">
        <w:rPr>
          <w:sz w:val="24"/>
          <w:szCs w:val="24"/>
          <w:lang w:eastAsia="ar-SA"/>
        </w:rPr>
        <w:t>Ramalina</w:t>
      </w:r>
      <w:proofErr w:type="spellEnd"/>
      <w:r w:rsidRPr="00710F9E">
        <w:rPr>
          <w:sz w:val="24"/>
          <w:szCs w:val="24"/>
          <w:lang w:eastAsia="ar-SA"/>
        </w:rPr>
        <w:t xml:space="preserve"> </w:t>
      </w:r>
      <w:proofErr w:type="spellStart"/>
      <w:r w:rsidRPr="00710F9E">
        <w:rPr>
          <w:sz w:val="24"/>
          <w:szCs w:val="24"/>
          <w:lang w:eastAsia="ar-SA"/>
        </w:rPr>
        <w:t>fraxinea</w:t>
      </w:r>
      <w:proofErr w:type="spellEnd"/>
      <w:r w:rsidRPr="00710F9E">
        <w:rPr>
          <w:sz w:val="24"/>
          <w:szCs w:val="24"/>
          <w:lang w:eastAsia="ar-SA"/>
        </w:rPr>
        <w:t xml:space="preserve">. W pierwotnym wariancie realizacja inwestycji wiązała się z ryzykiem kolizji z dwoma drzewami alejowymi – klonem pospolitym o obwodzie pnia 99 cm oraz dębem szypułkowym o obwodzie pnia 275 cm (mierzonym na wysokości pierśnicy, tj. 1,3 m). Jednakże Inwestor, w piśmie z dnia 2.03.2026 r., wskazał, że w wyniku przeprowadzonych analiz dotyczących możliwości przeprojektowania zjazdu na teren planowanego przedsięwzięcia </w:t>
      </w:r>
      <w:r w:rsidRPr="00710F9E">
        <w:rPr>
          <w:sz w:val="24"/>
          <w:szCs w:val="24"/>
          <w:lang w:eastAsia="ar-SA"/>
        </w:rPr>
        <w:lastRenderedPageBreak/>
        <w:t xml:space="preserve">potwierdzono możliwość jego zaprojektowania w sposób bezkolizyjny względem dębu szypułkowego. Zmiana projektowa polega na jednostronnej modyfikacji promienia </w:t>
      </w:r>
      <w:proofErr w:type="spellStart"/>
      <w:r w:rsidRPr="00710F9E">
        <w:rPr>
          <w:sz w:val="24"/>
          <w:szCs w:val="24"/>
          <w:lang w:eastAsia="ar-SA"/>
        </w:rPr>
        <w:t>wyłukowania</w:t>
      </w:r>
      <w:proofErr w:type="spellEnd"/>
      <w:r w:rsidRPr="00710F9E">
        <w:rPr>
          <w:sz w:val="24"/>
          <w:szCs w:val="24"/>
          <w:lang w:eastAsia="ar-SA"/>
        </w:rPr>
        <w:t xml:space="preserve"> z 30 m do 20 m, przy zachowaniu wymaganej przejezdności.</w:t>
      </w:r>
    </w:p>
    <w:p w14:paraId="4A40385A" w14:textId="77777777" w:rsidR="00710F9E" w:rsidRPr="00710F9E" w:rsidRDefault="00710F9E" w:rsidP="00710F9E">
      <w:pPr>
        <w:spacing w:after="0" w:line="360" w:lineRule="auto"/>
        <w:rPr>
          <w:sz w:val="24"/>
          <w:szCs w:val="24"/>
          <w:lang w:eastAsia="ar-SA"/>
        </w:rPr>
      </w:pPr>
      <w:r w:rsidRPr="00710F9E">
        <w:rPr>
          <w:sz w:val="24"/>
          <w:szCs w:val="24"/>
          <w:lang w:eastAsia="ar-SA"/>
        </w:rPr>
        <w:t xml:space="preserve">Ponadto, cennym elementem jest również pas </w:t>
      </w:r>
      <w:proofErr w:type="spellStart"/>
      <w:r w:rsidRPr="00710F9E">
        <w:rPr>
          <w:sz w:val="24"/>
          <w:szCs w:val="24"/>
          <w:lang w:eastAsia="ar-SA"/>
        </w:rPr>
        <w:t>zadrzewień</w:t>
      </w:r>
      <w:proofErr w:type="spellEnd"/>
      <w:r w:rsidRPr="00710F9E">
        <w:rPr>
          <w:sz w:val="24"/>
          <w:szCs w:val="24"/>
          <w:lang w:eastAsia="ar-SA"/>
        </w:rPr>
        <w:t xml:space="preserve"> o zróżnicowanym składzie gatunkowym, towarzyszący rowowi melioracyjnemu po północnej stronie inwestycji, pełniący funkcję lokalnego korytarza ekologicznego oraz miejsca lęgowego ptaków. Pozostały obszar inwestycji stanowią głównie grunty orne oraz tereny przekształcone antropogenicznie, które nie wykazują istotnych walorów przyrodniczych ani nie stanowią siedlisk cennych przyrodniczo. Nie stwierdzono występowania chronionych gatunków roślin ani siedlisk przyrodniczych o znaczeniu lokalnym. Stwierdzone elementy fauny i </w:t>
      </w:r>
      <w:proofErr w:type="spellStart"/>
      <w:r w:rsidRPr="00710F9E">
        <w:rPr>
          <w:sz w:val="24"/>
          <w:szCs w:val="24"/>
          <w:lang w:eastAsia="ar-SA"/>
        </w:rPr>
        <w:t>mykobioty</w:t>
      </w:r>
      <w:proofErr w:type="spellEnd"/>
      <w:r w:rsidRPr="00710F9E">
        <w:rPr>
          <w:sz w:val="24"/>
          <w:szCs w:val="24"/>
          <w:lang w:eastAsia="ar-SA"/>
        </w:rPr>
        <w:t xml:space="preserve"> związane są głównie z wyżej wskazanymi </w:t>
      </w:r>
      <w:proofErr w:type="spellStart"/>
      <w:r w:rsidRPr="00710F9E">
        <w:rPr>
          <w:sz w:val="24"/>
          <w:szCs w:val="24"/>
          <w:lang w:eastAsia="ar-SA"/>
        </w:rPr>
        <w:t>zadrzewieniami</w:t>
      </w:r>
      <w:proofErr w:type="spellEnd"/>
      <w:r w:rsidRPr="00710F9E">
        <w:rPr>
          <w:sz w:val="24"/>
          <w:szCs w:val="24"/>
          <w:lang w:eastAsia="ar-SA"/>
        </w:rPr>
        <w:t xml:space="preserve">. Ich znaczenie przyrodnicze ma charakter lokalny, a planowana inwestycja – przy zastosowaniu działań minimalizujących – nie wpłynie istotnie na stan ich populacji ani funkcjonowanie wskazanych struktur przyrodniczych. Nie przewiduje się zatem, by planowana inwestycja oddziaływała negatywnie na środowisko przyrodnicze. </w:t>
      </w:r>
    </w:p>
    <w:p w14:paraId="04ECA5E0" w14:textId="255D7700" w:rsidR="00710F9E" w:rsidRPr="00710F9E" w:rsidRDefault="00710F9E" w:rsidP="00710F9E">
      <w:pPr>
        <w:spacing w:after="100" w:afterAutospacing="1" w:line="360" w:lineRule="auto"/>
        <w:rPr>
          <w:sz w:val="24"/>
          <w:szCs w:val="24"/>
          <w:lang w:eastAsia="ar-SA"/>
        </w:rPr>
      </w:pPr>
      <w:r w:rsidRPr="00710F9E">
        <w:rPr>
          <w:sz w:val="24"/>
          <w:szCs w:val="24"/>
          <w:lang w:eastAsia="ar-SA"/>
        </w:rPr>
        <w:t xml:space="preserve">Według projektów korytarzy ekologicznych łączących Europejską Sieć Natura 2000 w Polsce opracowanych przez Zakład Badania Ssaków Polskiej Akademii Nauk, Białowieża działki nr 1/2, 10/2, 11, 12, 14 obręb Kalinowo (północna ich część), położone są w granicach korytarza ekologicznego Pojezierze Ełckie KPn-1D (2012) oraz Dolina Biebrzy-Puszcza Borecka KPn-1D (2005). Ze względu, że teren przedsięwzięcia położny jest na skraju ww. korytarzy ekologicznych oraz bliskim sąsiedztwie drogi gminnej i drogi ekspresowej S61 Via </w:t>
      </w:r>
      <w:proofErr w:type="spellStart"/>
      <w:r w:rsidRPr="00710F9E">
        <w:rPr>
          <w:sz w:val="24"/>
          <w:szCs w:val="24"/>
          <w:lang w:eastAsia="ar-SA"/>
        </w:rPr>
        <w:t>Baltica</w:t>
      </w:r>
      <w:proofErr w:type="spellEnd"/>
      <w:r w:rsidRPr="00710F9E">
        <w:rPr>
          <w:sz w:val="24"/>
          <w:szCs w:val="24"/>
          <w:lang w:eastAsia="ar-SA"/>
        </w:rPr>
        <w:t xml:space="preserve">, a także z uwagi na niewielką powierzchnię zajmowaną przez projektowane obiekty, planowana inwestycja nie będzie miała wpływu na ewentualną migrację zwierząt.  </w:t>
      </w:r>
    </w:p>
    <w:p w14:paraId="4DEC5ECE" w14:textId="77777777" w:rsidR="006B0556" w:rsidRPr="006B0556" w:rsidRDefault="006B0556" w:rsidP="006B0556">
      <w:pPr>
        <w:spacing w:after="0" w:line="360" w:lineRule="auto"/>
        <w:rPr>
          <w:sz w:val="24"/>
        </w:rPr>
      </w:pPr>
      <w:r w:rsidRPr="006B0556">
        <w:rPr>
          <w:sz w:val="24"/>
        </w:rPr>
        <w:t>Z up. Regionalnego Dyrektora</w:t>
      </w:r>
    </w:p>
    <w:p w14:paraId="7FFDD5AE" w14:textId="77777777" w:rsidR="006B0556" w:rsidRPr="006B0556" w:rsidRDefault="006B0556" w:rsidP="006B0556">
      <w:pPr>
        <w:spacing w:after="0" w:line="360" w:lineRule="auto"/>
        <w:rPr>
          <w:sz w:val="24"/>
        </w:rPr>
      </w:pPr>
      <w:r w:rsidRPr="006B0556">
        <w:rPr>
          <w:sz w:val="24"/>
        </w:rPr>
        <w:t>Ochrony Środowiska w Olsztynie</w:t>
      </w:r>
    </w:p>
    <w:p w14:paraId="47FB740A" w14:textId="77777777" w:rsidR="006B0556" w:rsidRPr="006B0556" w:rsidRDefault="006B0556" w:rsidP="006B0556">
      <w:pPr>
        <w:spacing w:after="0" w:line="360" w:lineRule="auto"/>
        <w:rPr>
          <w:sz w:val="24"/>
        </w:rPr>
      </w:pPr>
      <w:r w:rsidRPr="006B0556">
        <w:rPr>
          <w:sz w:val="24"/>
        </w:rPr>
        <w:t xml:space="preserve">Marta </w:t>
      </w:r>
      <w:proofErr w:type="spellStart"/>
      <w:r w:rsidRPr="006B0556">
        <w:rPr>
          <w:sz w:val="24"/>
        </w:rPr>
        <w:t>Harhaj</w:t>
      </w:r>
      <w:proofErr w:type="spellEnd"/>
    </w:p>
    <w:p w14:paraId="149F78FB" w14:textId="77777777" w:rsidR="006B0556" w:rsidRPr="006B0556" w:rsidRDefault="006B0556" w:rsidP="006B0556">
      <w:pPr>
        <w:spacing w:after="0" w:line="360" w:lineRule="auto"/>
        <w:rPr>
          <w:sz w:val="24"/>
        </w:rPr>
      </w:pPr>
      <w:r w:rsidRPr="006B0556">
        <w:rPr>
          <w:sz w:val="24"/>
        </w:rPr>
        <w:t>Naczelnik Wydziału</w:t>
      </w:r>
    </w:p>
    <w:p w14:paraId="44F0E463" w14:textId="77777777" w:rsidR="006B0556" w:rsidRDefault="006B0556" w:rsidP="006B0556">
      <w:pPr>
        <w:spacing w:after="0" w:line="360" w:lineRule="auto"/>
        <w:rPr>
          <w:sz w:val="24"/>
        </w:rPr>
      </w:pPr>
      <w:r w:rsidRPr="006B0556">
        <w:rPr>
          <w:sz w:val="24"/>
        </w:rPr>
        <w:t>Ocen Oddziaływania na Środowisko</w:t>
      </w:r>
    </w:p>
    <w:p w14:paraId="63892FE2" w14:textId="48314629" w:rsidR="00710F9E" w:rsidRPr="006B0556" w:rsidRDefault="00710F9E" w:rsidP="006B0556">
      <w:pPr>
        <w:spacing w:after="0" w:line="360" w:lineRule="auto"/>
        <w:rPr>
          <w:sz w:val="24"/>
        </w:rPr>
      </w:pPr>
      <w:r>
        <w:rPr>
          <w:sz w:val="24"/>
        </w:rPr>
        <w:t>/podpis elektroniczny/</w:t>
      </w:r>
    </w:p>
    <w:p w14:paraId="020542E3" w14:textId="0FEDC8D9" w:rsidR="00B11B26" w:rsidRPr="00085114" w:rsidRDefault="00B11B26" w:rsidP="00B26B5B">
      <w:pPr>
        <w:spacing w:after="0" w:line="360" w:lineRule="auto"/>
        <w:rPr>
          <w:bCs/>
          <w:sz w:val="24"/>
          <w:szCs w:val="24"/>
        </w:rPr>
      </w:pPr>
    </w:p>
    <w:sectPr w:rsidR="00B11B26" w:rsidRPr="00085114"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665398"/>
    <w:multiLevelType w:val="multilevel"/>
    <w:tmpl w:val="221269C6"/>
    <w:lvl w:ilvl="0">
      <w:start w:val="1"/>
      <w:numFmt w:val="decimal"/>
      <w:lvlText w:val="%1."/>
      <w:lvlJc w:val="left"/>
      <w:pPr>
        <w:ind w:left="786" w:hanging="360"/>
      </w:pPr>
      <w:rPr>
        <w:rFonts w:hint="default"/>
        <w:b w:val="0"/>
        <w:bCs w:val="0"/>
      </w:rPr>
    </w:lvl>
    <w:lvl w:ilvl="1">
      <w:start w:val="1"/>
      <w:numFmt w:val="lowerLetter"/>
      <w:lvlText w:val="%2."/>
      <w:lvlJc w:val="left"/>
      <w:pPr>
        <w:ind w:left="1506" w:hanging="360"/>
      </w:pPr>
      <w:rPr>
        <w:rFonts w:hint="default"/>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 w15:restartNumberingAfterBreak="0">
    <w:nsid w:val="1FC571E0"/>
    <w:multiLevelType w:val="hybridMultilevel"/>
    <w:tmpl w:val="DB5AB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5120E9"/>
    <w:multiLevelType w:val="hybridMultilevel"/>
    <w:tmpl w:val="0BF881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CE69E3"/>
    <w:multiLevelType w:val="hybridMultilevel"/>
    <w:tmpl w:val="EA1E048C"/>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44578A6"/>
    <w:multiLevelType w:val="hybridMultilevel"/>
    <w:tmpl w:val="819A6216"/>
    <w:lvl w:ilvl="0" w:tplc="66BA76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D116A0F"/>
    <w:multiLevelType w:val="hybridMultilevel"/>
    <w:tmpl w:val="3A16F04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DE768FD"/>
    <w:multiLevelType w:val="hybridMultilevel"/>
    <w:tmpl w:val="F7FAE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205611B"/>
    <w:multiLevelType w:val="hybridMultilevel"/>
    <w:tmpl w:val="0FDCE74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7DF44217"/>
    <w:multiLevelType w:val="hybridMultilevel"/>
    <w:tmpl w:val="F4004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60714263">
    <w:abstractNumId w:val="3"/>
  </w:num>
  <w:num w:numId="2" w16cid:durableId="96407533">
    <w:abstractNumId w:val="0"/>
  </w:num>
  <w:num w:numId="3" w16cid:durableId="2142772320">
    <w:abstractNumId w:val="10"/>
  </w:num>
  <w:num w:numId="4" w16cid:durableId="848956055">
    <w:abstractNumId w:val="5"/>
  </w:num>
  <w:num w:numId="5" w16cid:durableId="2048527953">
    <w:abstractNumId w:val="9"/>
  </w:num>
  <w:num w:numId="6" w16cid:durableId="729694602">
    <w:abstractNumId w:val="11"/>
  </w:num>
  <w:num w:numId="7" w16cid:durableId="99227012">
    <w:abstractNumId w:val="2"/>
  </w:num>
  <w:num w:numId="8" w16cid:durableId="554462814">
    <w:abstractNumId w:val="8"/>
  </w:num>
  <w:num w:numId="9" w16cid:durableId="2120833915">
    <w:abstractNumId w:val="1"/>
  </w:num>
  <w:num w:numId="10" w16cid:durableId="1246106366">
    <w:abstractNumId w:val="6"/>
  </w:num>
  <w:num w:numId="11" w16cid:durableId="1957054481">
    <w:abstractNumId w:val="4"/>
  </w:num>
  <w:num w:numId="12" w16cid:durableId="17730407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85114"/>
    <w:rsid w:val="000B373D"/>
    <w:rsid w:val="000B503D"/>
    <w:rsid w:val="000C4F16"/>
    <w:rsid w:val="000E4460"/>
    <w:rsid w:val="001947A7"/>
    <w:rsid w:val="001B44C4"/>
    <w:rsid w:val="0026188F"/>
    <w:rsid w:val="002E129B"/>
    <w:rsid w:val="003A1A23"/>
    <w:rsid w:val="003A51F9"/>
    <w:rsid w:val="003D0F6B"/>
    <w:rsid w:val="00412867"/>
    <w:rsid w:val="00414A88"/>
    <w:rsid w:val="00420B20"/>
    <w:rsid w:val="00422BB8"/>
    <w:rsid w:val="00565A42"/>
    <w:rsid w:val="0057080A"/>
    <w:rsid w:val="005C0DED"/>
    <w:rsid w:val="006021BE"/>
    <w:rsid w:val="00615D35"/>
    <w:rsid w:val="00655B42"/>
    <w:rsid w:val="00665B79"/>
    <w:rsid w:val="00682693"/>
    <w:rsid w:val="006A5E56"/>
    <w:rsid w:val="006B0556"/>
    <w:rsid w:val="00710F9E"/>
    <w:rsid w:val="00712417"/>
    <w:rsid w:val="00714EB8"/>
    <w:rsid w:val="00753934"/>
    <w:rsid w:val="007D755D"/>
    <w:rsid w:val="0081118A"/>
    <w:rsid w:val="00882FAF"/>
    <w:rsid w:val="008C033D"/>
    <w:rsid w:val="008E3B98"/>
    <w:rsid w:val="00921D97"/>
    <w:rsid w:val="00926297"/>
    <w:rsid w:val="00974E6E"/>
    <w:rsid w:val="009F0EDF"/>
    <w:rsid w:val="00A151A3"/>
    <w:rsid w:val="00A55D8E"/>
    <w:rsid w:val="00A77D11"/>
    <w:rsid w:val="00A94971"/>
    <w:rsid w:val="00AD624D"/>
    <w:rsid w:val="00AD7EE9"/>
    <w:rsid w:val="00B11B26"/>
    <w:rsid w:val="00B26B5B"/>
    <w:rsid w:val="00B52E15"/>
    <w:rsid w:val="00C503ED"/>
    <w:rsid w:val="00C576CD"/>
    <w:rsid w:val="00C806FA"/>
    <w:rsid w:val="00CA32B2"/>
    <w:rsid w:val="00CA5A82"/>
    <w:rsid w:val="00CF4F1C"/>
    <w:rsid w:val="00D233B4"/>
    <w:rsid w:val="00D84FB0"/>
    <w:rsid w:val="00E03082"/>
    <w:rsid w:val="00E74C48"/>
    <w:rsid w:val="00F20082"/>
    <w:rsid w:val="00F40174"/>
    <w:rsid w:val="00F432E6"/>
    <w:rsid w:val="00F56E82"/>
    <w:rsid w:val="00F73627"/>
    <w:rsid w:val="00F73708"/>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D82F"/>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1574</Words>
  <Characters>9448</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Charakterystyka planowanego przedsięwzięcia</dc:title>
  <dc:subject/>
  <dc:creator>Iwona Bobek</dc:creator>
  <cp:keywords/>
  <dc:description/>
  <cp:lastModifiedBy>Kamila Kutryb</cp:lastModifiedBy>
  <cp:revision>58</cp:revision>
  <dcterms:created xsi:type="dcterms:W3CDTF">2020-09-07T10:53:00Z</dcterms:created>
  <dcterms:modified xsi:type="dcterms:W3CDTF">2026-04-09T09:01:00Z</dcterms:modified>
</cp:coreProperties>
</file>