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7BA5DB16"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0177CA">
        <w:rPr>
          <w:rFonts w:ascii="Arial" w:hAnsi="Arial" w:cs="Arial"/>
          <w:iCs/>
          <w:sz w:val="16"/>
          <w:szCs w:val="28"/>
          <w:lang w:eastAsia="x-none"/>
        </w:rPr>
        <w:t>14</w:t>
      </w:r>
      <w:r w:rsidRPr="006C730D">
        <w:rPr>
          <w:rFonts w:ascii="Arial" w:hAnsi="Arial" w:cs="Arial"/>
          <w:iCs/>
          <w:sz w:val="16"/>
          <w:szCs w:val="28"/>
          <w:lang w:eastAsia="x-none"/>
        </w:rPr>
        <w:t>.</w:t>
      </w:r>
      <w:r w:rsidR="00C570DA">
        <w:rPr>
          <w:rFonts w:ascii="Arial" w:hAnsi="Arial" w:cs="Arial"/>
          <w:iCs/>
          <w:sz w:val="16"/>
          <w:szCs w:val="28"/>
          <w:lang w:eastAsia="x-none"/>
        </w:rPr>
        <w:t>11</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22E1E9E4" w:rsidR="00D95E2F" w:rsidRPr="00C570DA" w:rsidRDefault="00F66EB8"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7352BAB0" w:rsidR="00D95E2F" w:rsidRPr="00C570DA" w:rsidRDefault="00F66EB8"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325CA97D" w:rsidR="00D95E2F" w:rsidRPr="00C570DA" w:rsidRDefault="00F66EB8"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2F33666F" w:rsidR="00D95E2F" w:rsidRPr="00C570DA" w:rsidRDefault="00F66EB8"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6E423CCD" w:rsidR="00D95E2F" w:rsidRPr="00C570DA" w:rsidRDefault="00F66EB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32835FBB" w:rsidR="00D95E2F" w:rsidRPr="00C570DA" w:rsidRDefault="00F66EB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C329F" w:rsidRPr="00C570DA">
              <w:rPr>
                <w:rFonts w:ascii="Arial" w:hAnsi="Arial" w:cs="Arial"/>
                <w:color w:val="000000" w:themeColor="text1"/>
                <w:sz w:val="19"/>
                <w:szCs w:val="19"/>
                <w:lang w:val="pl-PL"/>
              </w:rPr>
              <w:t>rezygnacja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12910A28" w:rsidR="00D95E2F" w:rsidRPr="00C570DA" w:rsidRDefault="00F66EB8"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547E2E4C" w:rsidR="00D95E2F" w:rsidRPr="00C570DA" w:rsidRDefault="00F66EB8" w:rsidP="0020067E">
            <w:pPr>
              <w:pStyle w:val="Tekstpodstawowywcity2"/>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5C449CFC" w:rsidR="00D95E2F" w:rsidRPr="00C570DA" w:rsidRDefault="00F66EB8"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7D4A2776" w:rsidR="00D95E2F" w:rsidRPr="00C570DA" w:rsidRDefault="00F66EB8" w:rsidP="0020067E">
            <w:pPr>
              <w:pStyle w:val="Tekstkomentarza"/>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386C8AB8" w:rsidR="00D95E2F" w:rsidRPr="00C570DA" w:rsidRDefault="00D12904"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5ECA77CE" w:rsidR="00D95E2F" w:rsidRPr="00C570DA" w:rsidRDefault="00D12904"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proofErr w:type="spellStart"/>
            <w:r w:rsidR="009C329F" w:rsidRPr="00C570DA">
              <w:rPr>
                <w:rFonts w:ascii="Arial" w:hAnsi="Arial" w:cs="Arial"/>
                <w:color w:val="000000" w:themeColor="text1"/>
                <w:sz w:val="19"/>
                <w:szCs w:val="19"/>
                <w:lang w:val="pl-PL" w:eastAsia="pl-PL"/>
              </w:rPr>
              <w:t>rezygnacaj</w:t>
            </w:r>
            <w:proofErr w:type="spellEnd"/>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CAEEBC4" w14:textId="28029BD2" w:rsidR="00D95E2F" w:rsidRPr="00C570DA" w:rsidRDefault="00D12904"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72023F" w:rsidRPr="00C570DA">
              <w:rPr>
                <w:rFonts w:ascii="Arial" w:hAnsi="Arial" w:cs="Arial"/>
                <w:color w:val="000000" w:themeColor="text1"/>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096DA531" w:rsidR="00D95E2F" w:rsidRPr="00C570DA" w:rsidRDefault="00D12904" w:rsidP="0066148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5E763225" w:rsidR="00D95E2F" w:rsidRPr="00C570DA" w:rsidRDefault="00D12904"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6C5836D4" w:rsidR="00D95E2F" w:rsidRPr="00C570DA" w:rsidRDefault="00D1290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rezygnacja 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17B4CFC1" w:rsidR="00D95E2F" w:rsidRPr="00C570DA" w:rsidRDefault="00D12904" w:rsidP="0020067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31695F3F" w:rsidR="00D95E2F" w:rsidRPr="00C570DA" w:rsidRDefault="00D12904" w:rsidP="0020067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rezygnacja 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34C3BC4B" w:rsidR="00D95E2F" w:rsidRPr="00C570DA" w:rsidRDefault="00D12904"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rezygnacja 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372E51C3" w:rsidR="00D95E2F" w:rsidRPr="00C570DA" w:rsidRDefault="00D1290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 xml:space="preserve">UW.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2D2EDD69" w:rsidR="00D95E2F" w:rsidRPr="00C570DA" w:rsidRDefault="00D1290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248E0A6D" w:rsidR="00D95E2F" w:rsidRPr="00C570DA" w:rsidRDefault="00D12904"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696171" w:rsidRPr="00C570DA">
              <w:rPr>
                <w:rFonts w:ascii="Arial" w:hAnsi="Arial" w:cs="Arial"/>
                <w:color w:val="000000" w:themeColor="text1"/>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w:t>
            </w:r>
            <w:r w:rsidRPr="00C570DA">
              <w:rPr>
                <w:rFonts w:ascii="Arial" w:hAnsi="Arial" w:cs="Arial"/>
                <w:color w:val="000000" w:themeColor="text1"/>
                <w:sz w:val="19"/>
                <w:szCs w:val="19"/>
              </w:rPr>
              <w:lastRenderedPageBreak/>
              <w:t>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4BFEFC62" w:rsidR="00D95E2F" w:rsidRPr="00C570DA" w:rsidRDefault="00EE48A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rezygnacja 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79E25FA6" w:rsidR="00D95E2F" w:rsidRPr="00C570DA" w:rsidRDefault="00EE48AF" w:rsidP="0020067E">
            <w:pPr>
              <w:tabs>
                <w:tab w:val="right" w:pos="284"/>
                <w:tab w:val="left" w:pos="408"/>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rezygnacja 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4C8EF220" w:rsidR="00D95E2F" w:rsidRPr="00C570DA" w:rsidRDefault="00EE48AF" w:rsidP="0020067E">
            <w:pPr>
              <w:tabs>
                <w:tab w:val="right" w:pos="284"/>
                <w:tab w:val="left" w:pos="408"/>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43EB42E2" w:rsidR="00D95E2F" w:rsidRPr="00C570DA" w:rsidRDefault="00EE48A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2B00C505" w:rsidR="00D95E2F" w:rsidRPr="00C570DA" w:rsidRDefault="00EE48AF"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eastAsia="Calibri" w:hAnsi="Arial" w:cs="Arial"/>
                <w:color w:val="000000" w:themeColor="text1"/>
                <w:sz w:val="19"/>
                <w:szCs w:val="19"/>
                <w:lang w:val="pl-PL" w:eastAsia="pl-PL"/>
              </w:rPr>
              <w:t xml:space="preserve">– </w:t>
            </w:r>
            <w:r w:rsidR="00B80851" w:rsidRPr="00C570DA">
              <w:rPr>
                <w:rFonts w:ascii="Arial" w:eastAsia="Calibri" w:hAnsi="Arial" w:cs="Arial"/>
                <w:color w:val="000000" w:themeColor="text1"/>
                <w:sz w:val="19"/>
                <w:szCs w:val="19"/>
                <w:lang w:val="pl-PL" w:eastAsia="pl-PL"/>
              </w:rPr>
              <w:t>prace wstrzymane</w:t>
            </w:r>
            <w:r w:rsidR="00E57CFE" w:rsidRPr="00C570DA">
              <w:rPr>
                <w:rFonts w:ascii="Arial" w:eastAsia="Calibri" w:hAnsi="Arial" w:cs="Arial"/>
                <w:color w:val="000000" w:themeColor="text1"/>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3FC7AF85" w:rsidR="00D95E2F" w:rsidRPr="00C570DA" w:rsidRDefault="00EE48A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63EEE77A" w:rsidR="00D95E2F" w:rsidRPr="00C570DA" w:rsidRDefault="00EE48A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9833667" w:rsidR="00D95E2F" w:rsidRPr="00C570DA" w:rsidRDefault="00EE48A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0B01FF07" w:rsidR="00D95E2F" w:rsidRPr="00C570DA" w:rsidRDefault="00EE48A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58B6C49B" w:rsidR="00D95E2F" w:rsidRPr="00C570DA" w:rsidRDefault="00EE48AF"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E57CFE" w:rsidRPr="00C570DA">
              <w:rPr>
                <w:rFonts w:ascii="Arial" w:hAnsi="Arial" w:cs="Arial"/>
                <w:color w:val="000000" w:themeColor="text1"/>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28C078C8" w:rsidR="00C924BE" w:rsidRPr="00C570DA" w:rsidRDefault="00EE48AF"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rezygnacja 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9139009" w14:textId="73E3E391" w:rsidR="00D95E2F" w:rsidRPr="00C570DA" w:rsidRDefault="00206666"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KP. </w:t>
            </w:r>
          </w:p>
          <w:p w14:paraId="4FECA861" w14:textId="0577CD02" w:rsidR="00EE48AF" w:rsidRPr="00C570DA" w:rsidRDefault="00EE48AF"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lang w:val="pl-PL"/>
              </w:rPr>
              <w:t>Prace wstrzymane.</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34B07BBB"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791B2C7C"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F4B85" w:rsidRPr="00C570DA">
              <w:rPr>
                <w:rFonts w:ascii="Arial" w:hAnsi="Arial" w:cs="Arial"/>
                <w:color w:val="000000" w:themeColor="text1"/>
                <w:sz w:val="19"/>
                <w:szCs w:val="19"/>
                <w:lang w:val="pl-PL"/>
              </w:rPr>
              <w:t xml:space="preserve">rezygnacja 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w:t>
            </w:r>
            <w:r w:rsidR="00BF4B85" w:rsidRPr="00C570DA">
              <w:rPr>
                <w:rFonts w:ascii="Arial" w:hAnsi="Arial" w:cs="Arial"/>
                <w:color w:val="000000" w:themeColor="text1"/>
                <w:sz w:val="19"/>
                <w:szCs w:val="19"/>
              </w:rPr>
              <w:lastRenderedPageBreak/>
              <w:t xml:space="preserve">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1FF7D091"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54D3A442"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07834A29"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49893FDA"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4E5E6A26"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02159991" w:rsidR="00D95E2F" w:rsidRPr="00C570DA" w:rsidRDefault="0020666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val="pl-PL"/>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5111A6FA" w:rsidR="00D95E2F" w:rsidRPr="00C570DA" w:rsidRDefault="00206666" w:rsidP="0020067E">
            <w:pPr>
              <w:pStyle w:val="Tekstpodstawowywcity2"/>
              <w:tabs>
                <w:tab w:val="clear" w:pos="284"/>
                <w:tab w:val="clear" w:pos="408"/>
              </w:tabs>
              <w:spacing w:before="80" w:after="80"/>
              <w:ind w:left="26" w:hanging="26"/>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7D4EE435" w:rsidR="00D95E2F" w:rsidRPr="00C570DA" w:rsidRDefault="00206666"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4C76F7CC" w:rsidR="00D95E2F" w:rsidRPr="00C570DA" w:rsidRDefault="00206666"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135CA14A" w:rsidR="00D95E2F" w:rsidRPr="00C570DA" w:rsidRDefault="00206666"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2F1ED3EF" w:rsidR="00D95E2F" w:rsidRPr="00C570DA" w:rsidRDefault="00206666"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00E540F5" w:rsidRPr="00C570DA">
              <w:rPr>
                <w:rFonts w:ascii="Arial" w:hAnsi="Arial" w:cs="Arial"/>
                <w:color w:val="000000" w:themeColor="text1"/>
                <w:sz w:val="19"/>
                <w:szCs w:val="19"/>
                <w:lang w:eastAsia="x-none"/>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6010FAB3" w:rsidR="00763A08" w:rsidRPr="00C570DA" w:rsidRDefault="002700B4"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na etapie UZ i KS</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5AA39E30" w:rsidR="00D95E2F" w:rsidRPr="00C570DA" w:rsidRDefault="002700B4"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42E2252E" w:rsidR="00D95E2F" w:rsidRPr="00C570DA" w:rsidRDefault="002700B4"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rezygnacja 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74C955BA" w:rsidR="00D95E2F" w:rsidRPr="00C570DA" w:rsidRDefault="002700B4"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486E5AA5" w:rsidR="00D95E2F" w:rsidRPr="00C570DA" w:rsidRDefault="002700B4" w:rsidP="0020067E">
            <w:pPr>
              <w:tabs>
                <w:tab w:val="right" w:pos="0"/>
                <w:tab w:val="left" w:pos="34"/>
              </w:tabs>
              <w:spacing w:before="80" w:after="80"/>
              <w:ind w:left="34"/>
              <w:jc w:val="both"/>
              <w:rPr>
                <w:rFonts w:ascii="Arial" w:hAnsi="Arial" w:cs="Arial"/>
                <w:color w:val="000000" w:themeColor="text1"/>
                <w:sz w:val="19"/>
                <w:szCs w:val="19"/>
                <w:lang w:eastAsia="x-none"/>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0A12CBD0" w:rsidR="00D95E2F" w:rsidRPr="00C570DA" w:rsidRDefault="009F7D28" w:rsidP="009F7D28">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3B4870D7" w:rsidR="00D95E2F" w:rsidRPr="00C570DA" w:rsidRDefault="00E540F5" w:rsidP="0020067E">
            <w:pPr>
              <w:tabs>
                <w:tab w:val="right" w:pos="0"/>
                <w:tab w:val="left" w:pos="34"/>
              </w:tabs>
              <w:spacing w:before="80" w:after="80"/>
              <w:ind w:left="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rezygnacja 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3F72CBEF" w:rsidR="009F7D28" w:rsidRPr="00C570DA" w:rsidRDefault="009F7D28" w:rsidP="009F7D2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UZ i KS.</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3EBCBC13" w14:textId="3B4FAD96" w:rsidR="008506A3" w:rsidRPr="00C570DA" w:rsidRDefault="00E540F5" w:rsidP="0020067E">
            <w:pPr>
              <w:tabs>
                <w:tab w:val="right" w:pos="0"/>
                <w:tab w:val="left" w:pos="34"/>
              </w:tabs>
              <w:spacing w:before="80" w:after="80"/>
              <w:ind w:left="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0250C">
              <w:rPr>
                <w:rFonts w:ascii="Arial" w:hAnsi="Arial" w:cs="Arial"/>
                <w:color w:val="000000" w:themeColor="text1"/>
                <w:sz w:val="19"/>
                <w:szCs w:val="19"/>
              </w:rPr>
              <w:t xml:space="preserve">rozporządzenie skierowane do </w:t>
            </w:r>
            <w:r w:rsidR="000177CA">
              <w:rPr>
                <w:rFonts w:ascii="Arial" w:hAnsi="Arial" w:cs="Arial"/>
                <w:color w:val="000000" w:themeColor="text1"/>
                <w:sz w:val="19"/>
                <w:szCs w:val="19"/>
              </w:rPr>
              <w:t>ogłoszenia</w:t>
            </w:r>
            <w:r w:rsidR="00E0250C">
              <w:rPr>
                <w:rFonts w:ascii="Arial" w:hAnsi="Arial" w:cs="Arial"/>
                <w:color w:val="000000" w:themeColor="text1"/>
                <w:sz w:val="19"/>
                <w:szCs w:val="19"/>
              </w:rPr>
              <w:t xml:space="preserve"> w Dz. U. </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2385BC7B" w14:textId="6101A879" w:rsidR="004B3D10" w:rsidRPr="00C570DA" w:rsidRDefault="00554A6C"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4B3D10"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 xml:space="preserve">na etapie </w:t>
            </w:r>
            <w:r w:rsidR="003C41B0">
              <w:rPr>
                <w:rFonts w:ascii="Arial" w:hAnsi="Arial" w:cs="Arial"/>
                <w:color w:val="000000" w:themeColor="text1"/>
                <w:sz w:val="19"/>
                <w:szCs w:val="19"/>
              </w:rPr>
              <w:t>notyfikacji</w:t>
            </w:r>
            <w:r w:rsidR="004B3D10" w:rsidRPr="00C570DA">
              <w:rPr>
                <w:rFonts w:ascii="Arial" w:hAnsi="Arial" w:cs="Arial"/>
                <w:color w:val="000000" w:themeColor="text1"/>
                <w:sz w:val="19"/>
                <w:szCs w:val="19"/>
              </w:rPr>
              <w:t>.</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4E8706CB" w:rsidR="000027BF" w:rsidRPr="00C570DA" w:rsidRDefault="00554A6C"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2A870062" w:rsidR="001A071D" w:rsidRPr="00C570DA" w:rsidRDefault="00E540F5"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17401F13" w:rsidR="00486646" w:rsidRPr="00C570DA" w:rsidRDefault="00E540F5"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366BA019" w:rsidR="00B91971" w:rsidRPr="00C570DA" w:rsidRDefault="00554A6C"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14 listopada 2022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74DB5940" w:rsidR="00996DE6" w:rsidRPr="00C570DA" w:rsidRDefault="00554A6C"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7803CB10" w:rsidR="004438C8" w:rsidRPr="00C570DA" w:rsidRDefault="00E540F5" w:rsidP="002312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6396FC4D" w:rsidR="00D73218" w:rsidRPr="00C570DA" w:rsidRDefault="00554A6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4217D04B" w:rsidR="00984119" w:rsidRPr="00C570DA" w:rsidRDefault="00554A6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63A01036" w14:textId="2C5ACCBF" w:rsidR="00F0781E" w:rsidRPr="00C570DA" w:rsidRDefault="00554A6C" w:rsidP="00F0781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E0250C">
              <w:rPr>
                <w:rFonts w:ascii="Arial" w:hAnsi="Arial" w:cs="Arial"/>
                <w:color w:val="000000" w:themeColor="text1"/>
                <w:sz w:val="19"/>
                <w:szCs w:val="19"/>
              </w:rPr>
              <w:t>rozporządzenie skierowane do ogłoszenia w Dz. U</w:t>
            </w:r>
            <w:r w:rsidR="003216BB" w:rsidRPr="00C570DA">
              <w:rPr>
                <w:rFonts w:ascii="Arial" w:hAnsi="Arial" w:cs="Arial"/>
                <w:color w:val="000000" w:themeColor="text1"/>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30C64676" w:rsidR="004E31BA"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0E806C10" w14:textId="6071E179" w:rsidR="0068419F"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4D2805" w:rsidRPr="00C570DA">
              <w:rPr>
                <w:rFonts w:ascii="Arial" w:hAnsi="Arial" w:cs="Arial"/>
                <w:color w:val="000000" w:themeColor="text1"/>
                <w:sz w:val="19"/>
                <w:szCs w:val="19"/>
              </w:rPr>
              <w:t xml:space="preserve">projekt </w:t>
            </w:r>
            <w:r w:rsidR="000D1948" w:rsidRPr="00C570DA">
              <w:rPr>
                <w:rFonts w:ascii="Arial" w:hAnsi="Arial" w:cs="Arial"/>
                <w:color w:val="000000" w:themeColor="text1"/>
                <w:sz w:val="19"/>
                <w:szCs w:val="19"/>
              </w:rPr>
              <w:t>na etapie notyfikacji w ramach EURATOM</w:t>
            </w:r>
            <w:r w:rsidR="004D2805" w:rsidRPr="00C570DA">
              <w:rPr>
                <w:rFonts w:ascii="Arial" w:hAnsi="Arial" w:cs="Arial"/>
                <w:color w:val="000000" w:themeColor="text1"/>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7239C0CA" w14:textId="3D6E36AA" w:rsidR="0068419F"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rozporządzenie skierowane do ogłoszenia w Dz. U</w:t>
            </w:r>
            <w:r w:rsidR="004D2805" w:rsidRPr="00C570DA">
              <w:rPr>
                <w:rFonts w:ascii="Arial" w:hAnsi="Arial" w:cs="Arial"/>
                <w:color w:val="000000" w:themeColor="text1"/>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0CB121C8" w:rsidR="009B5DD5"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C30DC04" w:rsidR="004E4416"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2383E13" w:rsidR="004E4416"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19A7E92A" w:rsidR="004E4416"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37AF1D2C" w:rsidR="000501DA" w:rsidRPr="00C570DA" w:rsidRDefault="00554A6C"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0501DA" w:rsidRPr="00C570DA">
              <w:rPr>
                <w:rFonts w:ascii="Arial" w:hAnsi="Arial" w:cs="Arial"/>
                <w:color w:val="000000" w:themeColor="text1"/>
                <w:sz w:val="19"/>
                <w:szCs w:val="19"/>
              </w:rPr>
              <w:t xml:space="preserve">projekt na etapie </w:t>
            </w:r>
            <w:r w:rsidR="00AC5E0F" w:rsidRPr="00C570DA">
              <w:rPr>
                <w:rFonts w:ascii="Arial" w:hAnsi="Arial" w:cs="Arial"/>
                <w:color w:val="000000" w:themeColor="text1"/>
                <w:sz w:val="19"/>
                <w:szCs w:val="19"/>
              </w:rPr>
              <w:t>UZ i KS</w:t>
            </w:r>
            <w:r w:rsidR="000501DA"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7930F394" w:rsidR="00C67E99" w:rsidRPr="00C570DA" w:rsidRDefault="00554A6C"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C67E99" w:rsidRPr="00C570DA">
              <w:rPr>
                <w:rFonts w:ascii="Arial" w:hAnsi="Arial" w:cs="Arial"/>
                <w:color w:val="000000" w:themeColor="text1"/>
                <w:sz w:val="19"/>
                <w:szCs w:val="19"/>
              </w:rPr>
              <w:t>projekt na 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4601B0E9" w:rsidR="00F65590" w:rsidRPr="00C570DA" w:rsidRDefault="00554A6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14 listopada 2022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1AD75392" w:rsidR="00F65590" w:rsidRPr="00C570DA" w:rsidRDefault="00554A6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155DB652" w:rsidR="00646C81" w:rsidRPr="00C570DA" w:rsidRDefault="00554A6C"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337AF508" w:rsidR="009B3F3C" w:rsidRPr="00C570DA" w:rsidRDefault="00E540F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014957A4" w:rsidR="009D7DF4" w:rsidRPr="00C570DA" w:rsidRDefault="00E540F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FE8EE4" w14:textId="127DD30B" w:rsidR="00D42447" w:rsidRPr="00C570DA" w:rsidRDefault="00D42447" w:rsidP="00D4244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KP.</w:t>
            </w: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6A6A0D9B" w:rsidR="00943D01" w:rsidRPr="00C570DA" w:rsidRDefault="00943D01" w:rsidP="00943D01">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Bromber,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6058EF36" w:rsidR="00151B94" w:rsidRPr="00C570DA" w:rsidRDefault="00E540F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30D16B15" w:rsidR="00464D25" w:rsidRPr="00C570DA" w:rsidRDefault="00E540F5" w:rsidP="00464D25">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78D2EE99" w:rsidR="00134D15" w:rsidRPr="00C570DA" w:rsidRDefault="00E540F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w:t>
            </w:r>
            <w:r w:rsidR="00554A6C">
              <w:rPr>
                <w:rFonts w:ascii="Arial" w:hAnsi="Arial" w:cs="Arial"/>
                <w:color w:val="000000" w:themeColor="text1"/>
                <w:sz w:val="19"/>
                <w:szCs w:val="19"/>
              </w:rPr>
              <w:t xml:space="preserve">na dzień 14 listopada 2022 r.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3712EC0" w14:textId="15D28C28" w:rsidR="002D6542"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projekt na etapie notyfikacji w ramach EURATOM.</w:t>
            </w:r>
            <w:r w:rsidR="00600D5E" w:rsidRPr="00C570DA">
              <w:rPr>
                <w:rFonts w:ascii="Arial" w:hAnsi="Arial" w:cs="Arial"/>
                <w:color w:val="000000" w:themeColor="text1"/>
                <w:sz w:val="19"/>
                <w:szCs w:val="19"/>
              </w:rPr>
              <w:t xml:space="preserve">.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C4574A1" w14:textId="69D2E40D" w:rsidR="002D6542" w:rsidRPr="00C570DA" w:rsidRDefault="00554A6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 xml:space="preserve">projekt na etapie </w:t>
            </w:r>
            <w:r w:rsidR="005B5EB9" w:rsidRPr="005B5EB9">
              <w:rPr>
                <w:rFonts w:ascii="Arial" w:hAnsi="Arial" w:cs="Arial"/>
                <w:color w:val="000000" w:themeColor="text1"/>
                <w:sz w:val="19"/>
                <w:szCs w:val="19"/>
              </w:rPr>
              <w:t xml:space="preserve">zaopiniowania </w:t>
            </w:r>
            <w:r w:rsidR="005B5EB9">
              <w:rPr>
                <w:rFonts w:ascii="Arial" w:hAnsi="Arial" w:cs="Arial"/>
                <w:color w:val="000000" w:themeColor="text1"/>
                <w:sz w:val="19"/>
                <w:szCs w:val="19"/>
              </w:rPr>
              <w:t>przez Komisję</w:t>
            </w:r>
            <w:r w:rsidR="005B5EB9" w:rsidRPr="005B5EB9">
              <w:rPr>
                <w:rFonts w:ascii="Arial" w:hAnsi="Arial" w:cs="Arial"/>
                <w:color w:val="000000" w:themeColor="text1"/>
                <w:sz w:val="19"/>
                <w:szCs w:val="19"/>
              </w:rPr>
              <w:t xml:space="preserve"> Europejsk</w:t>
            </w:r>
            <w:r w:rsidR="005B5EB9">
              <w:rPr>
                <w:rFonts w:ascii="Arial" w:hAnsi="Arial" w:cs="Arial"/>
                <w:color w:val="000000" w:themeColor="text1"/>
                <w:sz w:val="19"/>
                <w:szCs w:val="19"/>
              </w:rPr>
              <w:t xml:space="preserve">ą. </w:t>
            </w:r>
            <w:r w:rsidR="00600D5E" w:rsidRPr="00C570DA">
              <w:rPr>
                <w:rFonts w:ascii="Arial" w:hAnsi="Arial" w:cs="Arial"/>
                <w:color w:val="000000" w:themeColor="text1"/>
                <w:sz w:val="19"/>
                <w:szCs w:val="19"/>
              </w:rPr>
              <w:t xml:space="preserve">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B9D658" w14:textId="3F686EF8" w:rsidR="002D6542"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A26EE">
              <w:rPr>
                <w:rFonts w:ascii="Arial" w:hAnsi="Arial" w:cs="Arial"/>
                <w:color w:val="000000" w:themeColor="text1"/>
                <w:sz w:val="19"/>
                <w:szCs w:val="19"/>
              </w:rPr>
              <w:t xml:space="preserve">po KP. </w:t>
            </w:r>
            <w:r w:rsidR="00600D5E" w:rsidRPr="00C570DA">
              <w:rPr>
                <w:rFonts w:ascii="Arial" w:hAnsi="Arial" w:cs="Arial"/>
                <w:color w:val="000000" w:themeColor="text1"/>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ADEEECA" w14:textId="0C0328D1" w:rsidR="002D6542" w:rsidRPr="00C570DA" w:rsidRDefault="00554A6C"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14 listopada 2022 r.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projekt na eta</w:t>
            </w:r>
            <w:r w:rsidR="009D3E74" w:rsidRPr="00C570DA">
              <w:rPr>
                <w:rFonts w:ascii="Arial" w:hAnsi="Arial" w:cs="Arial"/>
                <w:color w:val="000000" w:themeColor="text1"/>
                <w:sz w:val="19"/>
                <w:szCs w:val="19"/>
              </w:rPr>
              <w:t>pie przekazania do podpisu MZ</w:t>
            </w:r>
            <w:r w:rsidR="00600D5E" w:rsidRPr="00C570DA">
              <w:rPr>
                <w:rFonts w:ascii="Arial" w:hAnsi="Arial" w:cs="Arial"/>
                <w:color w:val="000000" w:themeColor="text1"/>
                <w:sz w:val="19"/>
                <w:szCs w:val="19"/>
              </w:rPr>
              <w:t xml:space="preserve">.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4D1B2FB" w14:textId="59FFBA27" w:rsidR="002D6542"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45CA0" w:rsidRPr="00C570DA">
              <w:rPr>
                <w:rFonts w:ascii="Arial" w:hAnsi="Arial" w:cs="Arial"/>
                <w:color w:val="000000" w:themeColor="text1"/>
                <w:sz w:val="19"/>
                <w:szCs w:val="19"/>
              </w:rPr>
              <w:t xml:space="preserve">projekt na etapie </w:t>
            </w:r>
            <w:r w:rsidR="003C41B0">
              <w:rPr>
                <w:rFonts w:ascii="Arial" w:hAnsi="Arial" w:cs="Arial"/>
                <w:color w:val="000000" w:themeColor="text1"/>
                <w:sz w:val="19"/>
                <w:szCs w:val="19"/>
              </w:rPr>
              <w:t xml:space="preserve">zaopiniowania przez Komisję Europejską. </w:t>
            </w:r>
            <w:r w:rsidR="0064365D" w:rsidRPr="00C570DA">
              <w:rPr>
                <w:rFonts w:ascii="Arial" w:hAnsi="Arial" w:cs="Arial"/>
                <w:color w:val="000000" w:themeColor="text1"/>
                <w:sz w:val="19"/>
                <w:szCs w:val="19"/>
              </w:rPr>
              <w:t xml:space="preserve">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076E232" w14:textId="77D6DEEC" w:rsidR="002D6542"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na etapie KP.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C6B1A1E" w14:textId="0683D06B" w:rsidR="00157125"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D3C53" w:rsidRPr="00C570DA">
              <w:rPr>
                <w:rFonts w:ascii="Arial" w:hAnsi="Arial" w:cs="Arial"/>
                <w:color w:val="000000" w:themeColor="text1"/>
                <w:sz w:val="19"/>
                <w:szCs w:val="19"/>
              </w:rPr>
              <w:t>projekt</w:t>
            </w:r>
            <w:r w:rsidR="00157125">
              <w:rPr>
                <w:rFonts w:ascii="Arial" w:hAnsi="Arial" w:cs="Arial"/>
                <w:color w:val="000000" w:themeColor="text1"/>
                <w:sz w:val="19"/>
                <w:szCs w:val="19"/>
              </w:rPr>
              <w:t xml:space="preserve"> ponownie na etapie KP. </w:t>
            </w:r>
          </w:p>
          <w:p w14:paraId="78BAD733" w14:textId="322DEAC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581BD182" w:rsidR="00434BE4"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F6280" w:rsidRPr="00C570DA">
              <w:rPr>
                <w:rFonts w:ascii="Arial" w:hAnsi="Arial" w:cs="Arial"/>
                <w:color w:val="000000" w:themeColor="text1"/>
                <w:sz w:val="19"/>
                <w:szCs w:val="19"/>
              </w:rPr>
              <w:t>projekt na etapie kierowania na UZ i KS</w:t>
            </w:r>
            <w:r w:rsidR="00434BE4" w:rsidRPr="00C570DA">
              <w:rPr>
                <w:rFonts w:ascii="Arial" w:hAnsi="Arial" w:cs="Arial"/>
                <w:color w:val="000000" w:themeColor="text1"/>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w:t>
            </w:r>
            <w:r w:rsidRPr="00C570DA">
              <w:rPr>
                <w:rFonts w:ascii="Arial" w:hAnsi="Arial" w:cs="Arial"/>
                <w:color w:val="000000" w:themeColor="text1"/>
                <w:sz w:val="19"/>
                <w:szCs w:val="19"/>
              </w:rPr>
              <w:lastRenderedPageBreak/>
              <w:t>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6C2B0E55" w:rsidR="00B1329C" w:rsidRPr="00C570DA" w:rsidRDefault="00E540F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obiektów produkcyjnych, </w:t>
            </w:r>
            <w:r w:rsidRPr="00C570DA">
              <w:rPr>
                <w:rFonts w:ascii="Arial" w:eastAsia="Calibri" w:hAnsi="Arial" w:cs="Arial"/>
                <w:color w:val="000000" w:themeColor="text1"/>
                <w:sz w:val="19"/>
                <w:szCs w:val="19"/>
                <w:lang w:eastAsia="en-US"/>
              </w:rPr>
              <w:lastRenderedPageBreak/>
              <w:t>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 xml:space="preserve">art. 190 ust. 1 ustawy z dnia 27 sierpnia 2004 r. o świadczeniach opieki </w:t>
            </w:r>
            <w:r w:rsidRPr="00C8296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Prezesa Głównego Urzędu Statystycznego, </w:t>
            </w:r>
            <w:r w:rsidRPr="00C570DA">
              <w:rPr>
                <w:rFonts w:ascii="Arial" w:eastAsia="Calibri" w:hAnsi="Arial" w:cs="Arial"/>
                <w:color w:val="000000" w:themeColor="text1"/>
                <w:sz w:val="19"/>
                <w:szCs w:val="19"/>
                <w:lang w:eastAsia="en-US"/>
              </w:rPr>
              <w:lastRenderedPageBreak/>
              <w:t>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 xml:space="preserve">Wprowadzenie nowych kodów pozwalającego na identyfikację nowych grup osób, którzy uzyskali  prawo do </w:t>
            </w:r>
            <w:r w:rsidRPr="00C570DA">
              <w:rPr>
                <w:rFonts w:ascii="Arial" w:hAnsi="Arial" w:cs="Arial"/>
                <w:color w:val="000000" w:themeColor="text1"/>
                <w:sz w:val="19"/>
                <w:szCs w:val="19"/>
              </w:rPr>
              <w:lastRenderedPageBreak/>
              <w:t xml:space="preserve">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wysokość wynagrodzenia za wykonanie czynności kontrolnych, o </w:t>
            </w:r>
            <w:r w:rsidRPr="00C570DA">
              <w:rPr>
                <w:rFonts w:ascii="Arial" w:eastAsia="Calibri" w:hAnsi="Arial" w:cs="Arial"/>
                <w:color w:val="000000" w:themeColor="text1"/>
                <w:sz w:val="19"/>
                <w:szCs w:val="19"/>
                <w:lang w:eastAsia="en-US"/>
              </w:rPr>
              <w:lastRenderedPageBreak/>
              <w:t>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10) wzór dyplomu, o którym mowa w art. 30z,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wzór formularza zgłoszenia poważnego incydentu, </w:t>
            </w:r>
            <w:r w:rsidRPr="00C570DA">
              <w:rPr>
                <w:rFonts w:ascii="Arial" w:eastAsia="Calibri" w:hAnsi="Arial" w:cs="Arial"/>
                <w:color w:val="000000" w:themeColor="text1"/>
                <w:sz w:val="19"/>
                <w:szCs w:val="19"/>
                <w:lang w:eastAsia="en-US"/>
              </w:rPr>
              <w:lastRenderedPageBreak/>
              <w:t>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w:t>
            </w:r>
            <w:r w:rsidRPr="00C570DA">
              <w:rPr>
                <w:rFonts w:ascii="Arial" w:eastAsia="Calibri" w:hAnsi="Arial" w:cs="Arial"/>
                <w:color w:val="000000" w:themeColor="text1"/>
                <w:sz w:val="19"/>
                <w:szCs w:val="19"/>
                <w:lang w:eastAsia="en-US"/>
              </w:rPr>
              <w:lastRenderedPageBreak/>
              <w:t>Leczniczych, Wyrobów Medycznych i Produktów Biobójczych</w:t>
            </w:r>
          </w:p>
        </w:tc>
        <w:tc>
          <w:tcPr>
            <w:tcW w:w="2362" w:type="dxa"/>
            <w:shd w:val="clear" w:color="auto" w:fill="FFFFFF"/>
          </w:tcPr>
          <w:p w14:paraId="7FDBC51E" w14:textId="16E0E419" w:rsidR="0016610A"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Stan prac na dzień </w:t>
            </w:r>
            <w:r w:rsidR="00554A6C">
              <w:rPr>
                <w:rFonts w:ascii="Arial" w:hAnsi="Arial" w:cs="Arial"/>
                <w:color w:val="000000" w:themeColor="text1"/>
                <w:sz w:val="19"/>
                <w:szCs w:val="19"/>
              </w:rPr>
              <w:t xml:space="preserve">14 listopada </w:t>
            </w:r>
            <w:r w:rsidRPr="00C570DA">
              <w:rPr>
                <w:rFonts w:ascii="Arial" w:hAnsi="Arial" w:cs="Arial"/>
                <w:color w:val="000000" w:themeColor="text1"/>
                <w:sz w:val="19"/>
                <w:szCs w:val="19"/>
              </w:rPr>
              <w:t xml:space="preserve">2022 r. </w:t>
            </w:r>
            <w:r w:rsidR="00E202C3" w:rsidRPr="00C570DA">
              <w:rPr>
                <w:rFonts w:ascii="Arial" w:hAnsi="Arial" w:cs="Arial"/>
                <w:color w:val="000000" w:themeColor="text1"/>
                <w:sz w:val="19"/>
                <w:szCs w:val="19"/>
              </w:rPr>
              <w:t xml:space="preserve">– </w:t>
            </w:r>
            <w:r w:rsidR="00606185" w:rsidRPr="00C570DA">
              <w:rPr>
                <w:rFonts w:ascii="Arial" w:hAnsi="Arial" w:cs="Arial"/>
                <w:color w:val="000000" w:themeColor="text1"/>
                <w:sz w:val="19"/>
                <w:szCs w:val="19"/>
              </w:rPr>
              <w:t>UZ i KS</w:t>
            </w:r>
            <w:r w:rsidR="00E51B14"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6BC45F2B" w:rsidR="0016610A"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1B14" w:rsidRPr="00C570DA">
              <w:rPr>
                <w:rFonts w:ascii="Arial" w:hAnsi="Arial" w:cs="Arial"/>
                <w:color w:val="000000" w:themeColor="text1"/>
                <w:sz w:val="19"/>
                <w:szCs w:val="19"/>
              </w:rPr>
              <w:t>projekt</w:t>
            </w:r>
            <w:r w:rsidR="00AD6FE9" w:rsidRPr="00C570DA">
              <w:rPr>
                <w:rFonts w:ascii="Arial" w:hAnsi="Arial" w:cs="Arial"/>
                <w:color w:val="000000" w:themeColor="text1"/>
                <w:sz w:val="19"/>
                <w:szCs w:val="19"/>
              </w:rPr>
              <w:t xml:space="preserve"> </w:t>
            </w:r>
            <w:r w:rsidR="00C31B07" w:rsidRPr="00C570DA">
              <w:rPr>
                <w:rFonts w:ascii="Arial" w:hAnsi="Arial" w:cs="Arial"/>
                <w:color w:val="000000" w:themeColor="text1"/>
                <w:sz w:val="19"/>
                <w:szCs w:val="19"/>
              </w:rPr>
              <w:t>na etapie</w:t>
            </w:r>
            <w:r w:rsidR="00AD6FE9" w:rsidRPr="00C570DA">
              <w:rPr>
                <w:rFonts w:ascii="Arial" w:hAnsi="Arial" w:cs="Arial"/>
                <w:color w:val="000000" w:themeColor="text1"/>
                <w:sz w:val="19"/>
                <w:szCs w:val="19"/>
              </w:rPr>
              <w:t xml:space="preserve"> UZ i KS</w:t>
            </w:r>
            <w:r w:rsidR="00E51B14"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wysokość wynagrodzenia za wykonanie czynności kontrolnych, o </w:t>
            </w:r>
            <w:r w:rsidRPr="00C570DA">
              <w:rPr>
                <w:rFonts w:ascii="Arial" w:eastAsia="Calibri" w:hAnsi="Arial" w:cs="Arial"/>
                <w:color w:val="000000" w:themeColor="text1"/>
                <w:sz w:val="19"/>
                <w:szCs w:val="19"/>
                <w:lang w:eastAsia="en-US"/>
              </w:rPr>
              <w:lastRenderedPageBreak/>
              <w:t>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w:t>
            </w:r>
            <w:r w:rsidRPr="00C570DA">
              <w:rPr>
                <w:rFonts w:ascii="Arial" w:eastAsia="Calibri" w:hAnsi="Arial" w:cs="Arial"/>
                <w:color w:val="000000" w:themeColor="text1"/>
                <w:sz w:val="19"/>
                <w:szCs w:val="19"/>
                <w:lang w:eastAsia="en-US"/>
              </w:rPr>
              <w:lastRenderedPageBreak/>
              <w:t xml:space="preserve">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Wysokość opłat została określona na poziomie zbliżonym do rozporządzenia Ministra Zdrowia z dnia 16 lutego 2016 r. w sprawie wysokości opłat za złożenie zgłoszeń dotyczących wyrobów oraz wysokości opłaty za złożenie wniosku o </w:t>
            </w:r>
            <w:r w:rsidRPr="00C570DA">
              <w:rPr>
                <w:rFonts w:ascii="Arial" w:hAnsi="Arial" w:cs="Arial"/>
                <w:color w:val="000000" w:themeColor="text1"/>
                <w:sz w:val="19"/>
                <w:szCs w:val="19"/>
              </w:rPr>
              <w:lastRenderedPageBreak/>
              <w:t>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t>
            </w:r>
            <w:r w:rsidRPr="00C570DA">
              <w:rPr>
                <w:rFonts w:ascii="Arial" w:eastAsia="Calibri" w:hAnsi="Arial" w:cs="Arial"/>
                <w:color w:val="000000" w:themeColor="text1"/>
                <w:sz w:val="19"/>
                <w:szCs w:val="19"/>
                <w:lang w:eastAsia="en-US"/>
              </w:rPr>
              <w:lastRenderedPageBreak/>
              <w:t>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-wydłużenia etapu ewaluacji programu pilotażowego, trwającego 3 miesiące od dnia zakończenia etapu realizacji programu pilotażowego. Termin, w którym Narodowy Fundusz Zdrowia, </w:t>
            </w:r>
            <w:r w:rsidRPr="00C570DA">
              <w:rPr>
                <w:rFonts w:ascii="Arial" w:hAnsi="Arial" w:cs="Arial"/>
                <w:color w:val="000000" w:themeColor="text1"/>
                <w:sz w:val="19"/>
                <w:szCs w:val="19"/>
              </w:rPr>
              <w:lastRenderedPageBreak/>
              <w:t>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499F53A4" w:rsidR="00F06CD8"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projekt na etapie KP. </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razie niebezpieczeństwa szerzenia się zakażenia lub choroby zakaźnej innych niż wymienione w wykazie, o którym mowa w ust. 1, minister właściwy do spraw zdrowia może ogłosić, w drodze rozporządzenia, zakażenie lub chorobę zakaźną oraz, o ile jest </w:t>
            </w:r>
            <w:r w:rsidRPr="00C570DA">
              <w:rPr>
                <w:rFonts w:ascii="Arial" w:eastAsia="Calibri" w:hAnsi="Arial" w:cs="Arial"/>
                <w:color w:val="000000" w:themeColor="text1"/>
                <w:sz w:val="19"/>
                <w:szCs w:val="19"/>
                <w:lang w:eastAsia="en-US"/>
              </w:rPr>
              <w:lastRenderedPageBreak/>
              <w:t>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w:t>
            </w:r>
            <w:r w:rsidRPr="00C570DA">
              <w:rPr>
                <w:rFonts w:ascii="Arial" w:hAnsi="Arial" w:cs="Arial"/>
                <w:color w:val="000000" w:themeColor="text1"/>
                <w:sz w:val="19"/>
                <w:szCs w:val="19"/>
              </w:rPr>
              <w:lastRenderedPageBreak/>
              <w:t>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w:t>
            </w:r>
            <w:r w:rsidRPr="009A33E6">
              <w:rPr>
                <w:rFonts w:ascii="Arial" w:eastAsia="Calibri" w:hAnsi="Arial" w:cs="Arial"/>
                <w:color w:val="000000"/>
                <w:sz w:val="19"/>
                <w:szCs w:val="19"/>
                <w:lang w:eastAsia="en-US"/>
              </w:rPr>
              <w:lastRenderedPageBreak/>
              <w:t>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w:t>
            </w:r>
            <w:r w:rsidRPr="00C570DA">
              <w:rPr>
                <w:rFonts w:ascii="Arial" w:hAnsi="Arial" w:cs="Arial"/>
                <w:color w:val="000000" w:themeColor="text1"/>
                <w:sz w:val="19"/>
                <w:szCs w:val="19"/>
              </w:rPr>
              <w:lastRenderedPageBreak/>
              <w:t>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F42949F" w14:textId="73D5FD7D" w:rsidR="009A33E6" w:rsidRPr="00C570DA" w:rsidRDefault="00E540F5"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Stan prac </w:t>
            </w:r>
            <w:r w:rsidR="00554A6C">
              <w:rPr>
                <w:rFonts w:ascii="Arial" w:hAnsi="Arial" w:cs="Arial"/>
                <w:color w:val="000000" w:themeColor="text1"/>
                <w:sz w:val="19"/>
                <w:szCs w:val="19"/>
              </w:rPr>
              <w:t xml:space="preserve">na dzień 14 listopada 2022 r. </w:t>
            </w:r>
            <w:r w:rsidR="00E202C3" w:rsidRPr="00C570DA">
              <w:rPr>
                <w:rFonts w:ascii="Arial" w:hAnsi="Arial" w:cs="Arial"/>
                <w:color w:val="000000" w:themeColor="text1"/>
                <w:sz w:val="19"/>
                <w:szCs w:val="19"/>
              </w:rPr>
              <w:t xml:space="preserve">– </w:t>
            </w:r>
            <w:r w:rsidR="00766565" w:rsidRPr="00C570DA">
              <w:rPr>
                <w:rFonts w:ascii="Arial" w:hAnsi="Arial" w:cs="Arial"/>
                <w:color w:val="000000" w:themeColor="text1"/>
                <w:sz w:val="19"/>
                <w:szCs w:val="19"/>
              </w:rPr>
              <w:t xml:space="preserve">projekt </w:t>
            </w:r>
            <w:r w:rsidR="00766565" w:rsidRPr="00C570DA">
              <w:rPr>
                <w:rFonts w:ascii="Arial" w:hAnsi="Arial" w:cs="Arial"/>
                <w:color w:val="000000" w:themeColor="text1"/>
                <w:sz w:val="19"/>
                <w:szCs w:val="19"/>
              </w:rPr>
              <w:lastRenderedPageBreak/>
              <w:t>na etapie kierowania na KP</w:t>
            </w:r>
            <w:r w:rsidR="002F3427"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w:t>
            </w:r>
            <w:r w:rsidRPr="009A33E6">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C570DA">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został opracowany w związku z koniecznością wydłużenia okresu trwania programu pilotażowego dotyczącego leczenia </w:t>
            </w:r>
            <w:r w:rsidRPr="00C570DA">
              <w:rPr>
                <w:rFonts w:ascii="Arial" w:hAnsi="Arial" w:cs="Arial"/>
                <w:color w:val="000000" w:themeColor="text1"/>
                <w:sz w:val="19"/>
                <w:szCs w:val="19"/>
              </w:rPr>
              <w:lastRenderedPageBreak/>
              <w:t xml:space="preserve">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50 ust. 10 ustawy z dnia 27 sierpnia 2004 r. o świadczeniach opieki zdrowotnej </w:t>
            </w:r>
            <w:r w:rsidRPr="009A33E6">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wzory oświadczeń, o których mowa w ust. 6 i 9, mając na względzie </w:t>
            </w:r>
            <w:r w:rsidRPr="00C570DA">
              <w:rPr>
                <w:rFonts w:ascii="Arial" w:eastAsia="Calibri" w:hAnsi="Arial" w:cs="Arial"/>
                <w:color w:val="000000" w:themeColor="text1"/>
                <w:sz w:val="19"/>
                <w:szCs w:val="19"/>
                <w:lang w:eastAsia="en-US"/>
              </w:rPr>
              <w:lastRenderedPageBreak/>
              <w:t>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Określenie do wzoru oświadczenia nowowprowadzonej podstawy prawnej do korzystania ze świadczeń opieki zdrowotnej finansowanych ze środków </w:t>
            </w:r>
            <w:r w:rsidRPr="00C570DA">
              <w:rPr>
                <w:rFonts w:ascii="Arial" w:hAnsi="Arial" w:cs="Arial"/>
                <w:color w:val="000000" w:themeColor="text1"/>
                <w:sz w:val="19"/>
                <w:szCs w:val="19"/>
              </w:rPr>
              <w:lastRenderedPageBreak/>
              <w:t>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62A42EA2" w:rsidR="004A3480"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7125">
              <w:rPr>
                <w:rFonts w:ascii="Arial" w:hAnsi="Arial" w:cs="Arial"/>
                <w:color w:val="000000" w:themeColor="text1"/>
                <w:sz w:val="19"/>
                <w:szCs w:val="19"/>
              </w:rPr>
              <w:t xml:space="preserve">projekt </w:t>
            </w:r>
            <w:r w:rsidR="000177CA">
              <w:rPr>
                <w:rFonts w:ascii="Arial" w:hAnsi="Arial" w:cs="Arial"/>
                <w:color w:val="000000" w:themeColor="text1"/>
                <w:sz w:val="19"/>
                <w:szCs w:val="19"/>
              </w:rPr>
              <w:t>na etapie KP</w:t>
            </w:r>
            <w:r w:rsidR="00157125">
              <w:rPr>
                <w:rFonts w:ascii="Arial" w:hAnsi="Arial" w:cs="Arial"/>
                <w:color w:val="000000" w:themeColor="text1"/>
                <w:sz w:val="19"/>
                <w:szCs w:val="19"/>
              </w:rPr>
              <w:t xml:space="preserve">. </w:t>
            </w:r>
            <w:r w:rsidR="00E53019"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79B75103" w:rsidR="00371C3A" w:rsidRPr="00C570DA" w:rsidRDefault="00371C3A" w:rsidP="00371C3A">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UW.</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35E60E26" w14:textId="460780B6" w:rsidR="004A3480"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06CB9">
              <w:rPr>
                <w:rFonts w:ascii="Arial" w:hAnsi="Arial" w:cs="Arial"/>
                <w:color w:val="000000" w:themeColor="text1"/>
                <w:sz w:val="19"/>
                <w:szCs w:val="19"/>
              </w:rPr>
              <w:t xml:space="preserve">rozporządzenie skierowane do ogłoszenia w Dz. U.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konieczność zapewnienia realizacji prawa dostępu do dokumentacji medycznej oraz stopień przygotowania usługodawców do </w:t>
            </w:r>
            <w:r w:rsidRPr="00C570DA">
              <w:rPr>
                <w:rFonts w:ascii="Arial" w:eastAsia="Calibri" w:hAnsi="Arial" w:cs="Arial"/>
                <w:color w:val="000000" w:themeColor="text1"/>
                <w:sz w:val="19"/>
                <w:szCs w:val="19"/>
                <w:lang w:eastAsia="en-US"/>
              </w:rPr>
              <w:lastRenderedPageBreak/>
              <w:t>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w:t>
            </w:r>
            <w:r w:rsidRPr="00C570DA">
              <w:rPr>
                <w:rFonts w:ascii="Arial" w:hAnsi="Arial" w:cs="Arial"/>
                <w:color w:val="000000" w:themeColor="text1"/>
                <w:sz w:val="19"/>
                <w:szCs w:val="19"/>
              </w:rPr>
              <w:lastRenderedPageBreak/>
              <w:t>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7537CF5A" w:rsidR="004A3480" w:rsidRPr="00C570DA" w:rsidRDefault="004164B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538DE" w:rsidRPr="00C570DA">
              <w:rPr>
                <w:rFonts w:ascii="Arial" w:hAnsi="Arial" w:cs="Arial"/>
                <w:color w:val="000000" w:themeColor="text1"/>
                <w:sz w:val="19"/>
                <w:szCs w:val="19"/>
              </w:rPr>
              <w:t>UW</w:t>
            </w:r>
            <w:r w:rsidR="00E53019" w:rsidRPr="00C570DA">
              <w:rPr>
                <w:rFonts w:ascii="Arial" w:hAnsi="Arial" w:cs="Arial"/>
                <w:color w:val="000000" w:themeColor="text1"/>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 xml:space="preserve">2004 r. o świadczeniach opieki zdrowotnej </w:t>
            </w:r>
            <w:r w:rsidRPr="004A3480">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ogólne warunki umów o udzielanie świadczeń opieki zdrowotnej, </w:t>
            </w:r>
            <w:r w:rsidRPr="00C570DA">
              <w:rPr>
                <w:rFonts w:ascii="Arial" w:eastAsia="Calibri" w:hAnsi="Arial" w:cs="Arial"/>
                <w:color w:val="000000" w:themeColor="text1"/>
                <w:sz w:val="19"/>
                <w:szCs w:val="19"/>
                <w:lang w:eastAsia="en-US"/>
              </w:rPr>
              <w:lastRenderedPageBreak/>
              <w:t>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zmiany rozporządzenia jest konieczność skorygowania mechanizmu obniżania współczynników korygujących poprzez </w:t>
            </w:r>
            <w:r w:rsidRPr="00C570DA">
              <w:rPr>
                <w:rFonts w:ascii="Arial" w:hAnsi="Arial" w:cs="Arial"/>
                <w:color w:val="000000" w:themeColor="text1"/>
                <w:sz w:val="19"/>
                <w:szCs w:val="19"/>
              </w:rPr>
              <w:lastRenderedPageBreak/>
              <w:t>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0CC45FCB" w:rsidR="004A3480" w:rsidRPr="00C570DA" w:rsidRDefault="00E540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7541E">
              <w:rPr>
                <w:rFonts w:ascii="Arial" w:hAnsi="Arial" w:cs="Arial"/>
                <w:color w:val="000000" w:themeColor="text1"/>
                <w:sz w:val="19"/>
                <w:szCs w:val="19"/>
              </w:rPr>
              <w:t>projekt na etapie KP</w:t>
            </w:r>
            <w:r w:rsidR="00E53019" w:rsidRPr="00C570DA">
              <w:rPr>
                <w:rFonts w:ascii="Arial" w:hAnsi="Arial" w:cs="Arial"/>
                <w:color w:val="000000" w:themeColor="text1"/>
                <w:sz w:val="19"/>
                <w:szCs w:val="19"/>
              </w:rPr>
              <w:t>.</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w:t>
            </w:r>
            <w:r w:rsidRPr="004A3480">
              <w:rPr>
                <w:rFonts w:ascii="Arial" w:eastAsia="Calibri" w:hAnsi="Arial" w:cs="Arial"/>
                <w:color w:val="000000"/>
                <w:sz w:val="19"/>
                <w:szCs w:val="19"/>
                <w:lang w:eastAsia="en-US"/>
              </w:rPr>
              <w:lastRenderedPageBreak/>
              <w:t xml:space="preserve">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wymagania eksploatacyjne, </w:t>
            </w:r>
            <w:r w:rsidRPr="00C570DA">
              <w:rPr>
                <w:rFonts w:ascii="Arial" w:eastAsia="Calibri" w:hAnsi="Arial" w:cs="Arial"/>
                <w:color w:val="000000" w:themeColor="text1"/>
                <w:sz w:val="19"/>
                <w:szCs w:val="19"/>
                <w:lang w:eastAsia="en-US"/>
              </w:rPr>
              <w:lastRenderedPageBreak/>
              <w:t>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Proponuje się wydłużenie terminu obowiązku dostosowania zakładów i urządzeń lecznictwa uzdrowiskowego do wymagań określonych w </w:t>
            </w:r>
            <w:r w:rsidRPr="00C570DA">
              <w:rPr>
                <w:rFonts w:ascii="Arial" w:hAnsi="Arial" w:cs="Arial"/>
                <w:color w:val="000000" w:themeColor="text1"/>
                <w:sz w:val="19"/>
                <w:szCs w:val="19"/>
              </w:rPr>
              <w:lastRenderedPageBreak/>
              <w:t>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5DCC95A" w14:textId="44B91334" w:rsidR="00840162" w:rsidRPr="00C570DA" w:rsidRDefault="00840162" w:rsidP="0084016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w:t>
            </w:r>
            <w:r w:rsidR="000177CA">
              <w:rPr>
                <w:rFonts w:ascii="Arial" w:hAnsi="Arial" w:cs="Arial"/>
                <w:color w:val="000000" w:themeColor="text1"/>
                <w:sz w:val="19"/>
                <w:szCs w:val="19"/>
              </w:rPr>
              <w:t>po KP</w:t>
            </w:r>
            <w:r w:rsidRPr="00C570DA">
              <w:rPr>
                <w:rFonts w:ascii="Arial" w:hAnsi="Arial" w:cs="Arial"/>
                <w:color w:val="000000" w:themeColor="text1"/>
                <w:sz w:val="19"/>
                <w:szCs w:val="19"/>
              </w:rPr>
              <w:t>.</w:t>
            </w: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460425DE" w:rsidR="00840162" w:rsidRPr="00C570DA" w:rsidRDefault="00840162" w:rsidP="0084016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UZ i KS.</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opieka nad rodzinami wysokiego, dziedzicznie uwarunkowanego ryzyka zachorowania na nowotwory złośliwe </w:t>
            </w:r>
            <w:r w:rsidRPr="00C570DA">
              <w:rPr>
                <w:rFonts w:ascii="Arial" w:hAnsi="Arial" w:cs="Arial"/>
                <w:color w:val="000000" w:themeColor="text1"/>
                <w:sz w:val="19"/>
                <w:szCs w:val="19"/>
              </w:rPr>
              <w:lastRenderedPageBreak/>
              <w:t>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73B9DE3A"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31d Ustawy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74F81653" w:rsidR="006036E7" w:rsidRPr="00C570DA" w:rsidRDefault="006036E7" w:rsidP="006036E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UW.</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1FEBCE3E" w:rsidR="00792DA6" w:rsidRPr="00C570DA" w:rsidRDefault="00792DA6" w:rsidP="00792DA6">
            <w:pPr>
              <w:jc w:val="both"/>
              <w:rPr>
                <w:color w:val="000000" w:themeColor="text1"/>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C570DA">
              <w:rPr>
                <w:rFonts w:ascii="Arial" w:eastAsia="Calibri" w:hAnsi="Arial" w:cs="Arial"/>
                <w:color w:val="000000" w:themeColor="text1"/>
                <w:sz w:val="19"/>
                <w:szCs w:val="19"/>
                <w:lang w:eastAsia="en-US"/>
              </w:rPr>
              <w:lastRenderedPageBreak/>
              <w:t xml:space="preserve">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477F3F2A" w14:textId="1273ED95" w:rsidR="000A693A" w:rsidRPr="00C570DA" w:rsidRDefault="000A693A" w:rsidP="000A693A">
            <w:pPr>
              <w:jc w:val="both"/>
              <w:rPr>
                <w:color w:val="000000" w:themeColor="text1"/>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w:t>
            </w:r>
            <w:r w:rsidR="005B5EB9">
              <w:rPr>
                <w:rFonts w:ascii="Arial" w:hAnsi="Arial" w:cs="Arial"/>
                <w:color w:val="000000" w:themeColor="text1"/>
                <w:sz w:val="19"/>
                <w:szCs w:val="19"/>
              </w:rPr>
              <w:t>UZ i KS</w:t>
            </w:r>
            <w:r w:rsidRPr="00C570DA">
              <w:rPr>
                <w:rFonts w:ascii="Arial" w:hAnsi="Arial" w:cs="Arial"/>
                <w:color w:val="000000" w:themeColor="text1"/>
                <w:sz w:val="19"/>
                <w:szCs w:val="19"/>
              </w:rPr>
              <w:t>.</w:t>
            </w:r>
          </w:p>
          <w:p w14:paraId="0173F838" w14:textId="22B65247"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4B333395" w14:textId="13D97E76" w:rsidR="00583883" w:rsidRPr="00C570DA" w:rsidRDefault="00583883" w:rsidP="00583883">
            <w:pPr>
              <w:jc w:val="both"/>
              <w:rPr>
                <w:color w:val="000000" w:themeColor="text1"/>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w:t>
            </w:r>
            <w:r w:rsidR="00406CB9">
              <w:rPr>
                <w:rFonts w:ascii="Arial" w:hAnsi="Arial" w:cs="Arial"/>
                <w:color w:val="000000" w:themeColor="text1"/>
                <w:sz w:val="19"/>
                <w:szCs w:val="19"/>
              </w:rPr>
              <w:t>UZ i KS</w:t>
            </w:r>
            <w:r w:rsidRPr="00C570DA">
              <w:rPr>
                <w:rFonts w:ascii="Arial" w:hAnsi="Arial" w:cs="Arial"/>
                <w:color w:val="000000" w:themeColor="text1"/>
                <w:sz w:val="19"/>
                <w:szCs w:val="19"/>
              </w:rPr>
              <w:t>.</w:t>
            </w:r>
          </w:p>
          <w:p w14:paraId="7E1E973F" w14:textId="1E981390"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18) tryb uznawania dorobku zawodowego i naukowego lekarzy dentystów posiadających stopień naukowy doktora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Potrzeba umożliwienia lekarzom posiadającym tytuł specjalisty w dziedzinie gastroenterologii dziecięcej odbywania szkolenia specjalizacyjnego w dziedzinie transplantologii. Ponadto w </w:t>
            </w:r>
            <w:r w:rsidRPr="00C570DA">
              <w:rPr>
                <w:rFonts w:ascii="Arial" w:hAnsi="Arial" w:cs="Arial"/>
                <w:color w:val="000000" w:themeColor="text1"/>
                <w:sz w:val="19"/>
                <w:szCs w:val="19"/>
              </w:rPr>
              <w:lastRenderedPageBreak/>
              <w:t>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Piotr Bromber, Podsekretarz Stanu w Ministerstwie Zdrowia</w:t>
            </w:r>
          </w:p>
        </w:tc>
        <w:tc>
          <w:tcPr>
            <w:tcW w:w="2362" w:type="dxa"/>
            <w:shd w:val="clear" w:color="auto" w:fill="FFFFFF"/>
          </w:tcPr>
          <w:p w14:paraId="0F9A0B62" w14:textId="227C3E01" w:rsidR="00E302E2" w:rsidRPr="00C570DA" w:rsidRDefault="00E302E2" w:rsidP="00E302E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w:t>
            </w:r>
            <w:r w:rsidR="0067541E">
              <w:rPr>
                <w:rFonts w:ascii="Arial" w:hAnsi="Arial" w:cs="Arial"/>
                <w:color w:val="000000" w:themeColor="text1"/>
                <w:sz w:val="19"/>
                <w:szCs w:val="19"/>
              </w:rPr>
              <w:t>KP</w:t>
            </w:r>
            <w:r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pracy, uwzględniając zróżnicowane właściwości substancji chemicznych, ich mieszanin, czynników lub procesów technologicznych o działaniu rakotwórczym lub mutagennym, ich </w:t>
            </w:r>
            <w:r w:rsidRPr="00C570DA">
              <w:rPr>
                <w:rFonts w:ascii="Arial" w:eastAsia="Calibri" w:hAnsi="Arial" w:cs="Arial"/>
                <w:color w:val="000000" w:themeColor="text1"/>
                <w:sz w:val="19"/>
                <w:szCs w:val="19"/>
                <w:lang w:eastAsia="en-US"/>
              </w:rPr>
              <w:lastRenderedPageBreak/>
              <w:t>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6837F791" w:rsidR="00A538DE" w:rsidRPr="00C570DA" w:rsidRDefault="00E540F5" w:rsidP="00D3500D">
            <w:pPr>
              <w:tabs>
                <w:tab w:val="right" w:pos="0"/>
                <w:tab w:val="left" w:pos="34"/>
              </w:tabs>
              <w:spacing w:before="80" w:after="80"/>
              <w:jc w:val="both"/>
              <w:rPr>
                <w:rFonts w:ascii="Arial" w:hAnsi="Arial" w:cs="Arial"/>
                <w:color w:val="000000" w:themeColor="text1"/>
                <w:sz w:val="19"/>
                <w:szCs w:val="19"/>
              </w:rPr>
            </w:pPr>
            <w:bookmarkStart w:id="7" w:name="_Hlk113363243"/>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projekt na etapie </w:t>
            </w:r>
            <w:r w:rsidR="00596D0D">
              <w:rPr>
                <w:rFonts w:ascii="Arial" w:hAnsi="Arial" w:cs="Arial"/>
                <w:color w:val="000000" w:themeColor="text1"/>
                <w:sz w:val="19"/>
                <w:szCs w:val="19"/>
              </w:rPr>
              <w:t>UZ i KS</w:t>
            </w:r>
            <w:r w:rsidR="004327BB" w:rsidRPr="00C570DA">
              <w:rPr>
                <w:rFonts w:ascii="Arial" w:hAnsi="Arial" w:cs="Arial"/>
                <w:color w:val="000000" w:themeColor="text1"/>
                <w:sz w:val="19"/>
                <w:szCs w:val="19"/>
              </w:rPr>
              <w:t>.</w:t>
            </w:r>
            <w:bookmarkEnd w:id="7"/>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w:t>
            </w:r>
            <w:r w:rsidRPr="00C570DA">
              <w:rPr>
                <w:rFonts w:ascii="Arial" w:eastAsia="Calibri" w:hAnsi="Arial" w:cs="Arial"/>
                <w:color w:val="000000" w:themeColor="text1"/>
                <w:sz w:val="19"/>
                <w:szCs w:val="19"/>
                <w:lang w:eastAsia="en-US"/>
              </w:rPr>
              <w:lastRenderedPageBreak/>
              <w:t>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0916740F" w:rsidR="00A538DE" w:rsidRPr="00C570DA" w:rsidRDefault="00E540F5" w:rsidP="00A538DE">
            <w:pPr>
              <w:tabs>
                <w:tab w:val="right" w:pos="0"/>
                <w:tab w:val="left" w:pos="34"/>
              </w:tabs>
              <w:spacing w:before="80" w:after="80"/>
              <w:jc w:val="both"/>
              <w:rPr>
                <w:rFonts w:ascii="Arial" w:hAnsi="Arial" w:cs="Arial"/>
                <w:color w:val="000000" w:themeColor="text1"/>
                <w:sz w:val="19"/>
                <w:szCs w:val="19"/>
              </w:rPr>
            </w:pPr>
            <w:bookmarkStart w:id="8" w:name="_Hlk113363232"/>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w:t>
            </w:r>
            <w:bookmarkEnd w:id="8"/>
            <w:r w:rsidR="00E0250C">
              <w:rPr>
                <w:rFonts w:ascii="Arial" w:hAnsi="Arial" w:cs="Arial"/>
                <w:color w:val="000000" w:themeColor="text1"/>
                <w:sz w:val="19"/>
                <w:szCs w:val="19"/>
              </w:rPr>
              <w:t xml:space="preserve">rozporządzenie skierowane do ogłoszenia w Dz. U.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0D1F5FD" w14:textId="67626FB4" w:rsidR="00A538DE" w:rsidRPr="00C570DA" w:rsidRDefault="00E540F5"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projekt na etapie </w:t>
            </w:r>
            <w:r w:rsidR="003C41B0">
              <w:rPr>
                <w:rFonts w:ascii="Arial" w:hAnsi="Arial" w:cs="Arial"/>
                <w:color w:val="000000" w:themeColor="text1"/>
                <w:sz w:val="19"/>
                <w:szCs w:val="19"/>
              </w:rPr>
              <w:t>UZ i KS</w:t>
            </w:r>
            <w:r w:rsidR="004327BB" w:rsidRPr="00C570DA">
              <w:rPr>
                <w:rFonts w:ascii="Arial" w:hAnsi="Arial" w:cs="Arial"/>
                <w:color w:val="000000" w:themeColor="text1"/>
                <w:sz w:val="19"/>
                <w:szCs w:val="19"/>
              </w:rPr>
              <w:t>.</w:t>
            </w: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3E7F2E" w14:textId="0C352A6F" w:rsidR="00A538DE" w:rsidRPr="00C570DA" w:rsidRDefault="00E540F5"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w:t>
            </w:r>
            <w:r w:rsidR="00440E5B" w:rsidRPr="00C570DA">
              <w:rPr>
                <w:rFonts w:ascii="Arial" w:hAnsi="Arial" w:cs="Arial"/>
                <w:color w:val="000000" w:themeColor="text1"/>
                <w:sz w:val="19"/>
                <w:szCs w:val="19"/>
              </w:rPr>
              <w:t xml:space="preserve">projekt na etapie </w:t>
            </w:r>
            <w:r w:rsidR="0067541E">
              <w:rPr>
                <w:rFonts w:ascii="Arial" w:hAnsi="Arial" w:cs="Arial"/>
                <w:color w:val="000000" w:themeColor="text1"/>
                <w:sz w:val="19"/>
                <w:szCs w:val="19"/>
              </w:rPr>
              <w:t>KP</w:t>
            </w:r>
            <w:r w:rsidR="00440E5B" w:rsidRPr="00C570DA">
              <w:rPr>
                <w:rFonts w:ascii="Arial" w:hAnsi="Arial" w:cs="Arial"/>
                <w:color w:val="000000" w:themeColor="text1"/>
                <w:sz w:val="19"/>
                <w:szCs w:val="19"/>
              </w:rPr>
              <w:t>.</w:t>
            </w: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w:t>
            </w:r>
            <w:r w:rsidRPr="00C570DA">
              <w:rPr>
                <w:rFonts w:ascii="Arial" w:eastAsia="Calibri" w:hAnsi="Arial" w:cs="Arial"/>
                <w:color w:val="000000" w:themeColor="text1"/>
                <w:sz w:val="19"/>
                <w:szCs w:val="19"/>
                <w:lang w:eastAsia="en-US"/>
              </w:rPr>
              <w:lastRenderedPageBreak/>
              <w:t>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09F1ED84"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2AD31935"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zakaz albo ograniczenie stosowania, obrotu lub transportu materiałów i procesów </w:t>
            </w:r>
            <w:r w:rsidRPr="00C570DA">
              <w:rPr>
                <w:rFonts w:ascii="Arial" w:hAnsi="Arial" w:cs="Arial"/>
                <w:color w:val="000000" w:themeColor="text1"/>
                <w:sz w:val="19"/>
                <w:szCs w:val="19"/>
              </w:rPr>
              <w:lastRenderedPageBreak/>
              <w:t>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37614EFE" w14:textId="7DD7C69F"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w:t>
            </w:r>
            <w:r w:rsidR="00E0250C">
              <w:rPr>
                <w:rFonts w:ascii="Arial" w:hAnsi="Arial" w:cs="Arial"/>
                <w:color w:val="000000" w:themeColor="text1"/>
                <w:sz w:val="19"/>
                <w:szCs w:val="19"/>
              </w:rPr>
              <w:t xml:space="preserve">rozporządzenie skierowane do ogłoszenia w Dz. U. </w:t>
            </w:r>
          </w:p>
          <w:p w14:paraId="1C1C9B4E" w14:textId="77777777" w:rsidR="003C1937" w:rsidRPr="00C570DA" w:rsidRDefault="003C1937" w:rsidP="00D65ADF">
            <w:pPr>
              <w:rPr>
                <w:rFonts w:ascii="Arial" w:hAnsi="Arial" w:cs="Arial"/>
                <w:color w:val="000000" w:themeColor="text1"/>
                <w:sz w:val="19"/>
                <w:szCs w:val="19"/>
              </w:rPr>
            </w:pP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w:t>
            </w:r>
            <w:r w:rsidRPr="00C570DA">
              <w:rPr>
                <w:rFonts w:ascii="Arial" w:hAnsi="Arial" w:cs="Arial"/>
                <w:color w:val="000000" w:themeColor="text1"/>
                <w:sz w:val="19"/>
                <w:szCs w:val="19"/>
              </w:rPr>
              <w:lastRenderedPageBreak/>
              <w:t>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Adam Niedzielski Minister Zdrowia</w:t>
            </w:r>
          </w:p>
        </w:tc>
        <w:tc>
          <w:tcPr>
            <w:tcW w:w="2362" w:type="dxa"/>
            <w:shd w:val="clear" w:color="auto" w:fill="FFFFFF"/>
          </w:tcPr>
          <w:p w14:paraId="51293A42" w14:textId="426C0A46"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C570DA">
              <w:rPr>
                <w:rFonts w:ascii="Arial" w:hAnsi="Arial" w:cs="Arial"/>
                <w:color w:val="000000" w:themeColor="text1"/>
                <w:sz w:val="19"/>
                <w:szCs w:val="19"/>
                <w:shd w:val="clear" w:color="auto" w:fill="FFFFFF"/>
              </w:rPr>
              <w:lastRenderedPageBreak/>
              <w:t>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4952C201"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9CFC1FB" w14:textId="4912AB42" w:rsidR="00DA3034" w:rsidRPr="00C570DA" w:rsidRDefault="00DA3034" w:rsidP="00DA3034">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UZ</w:t>
            </w:r>
            <w:r>
              <w:rPr>
                <w:rFonts w:ascii="Arial" w:hAnsi="Arial" w:cs="Arial"/>
                <w:color w:val="000000" w:themeColor="text1"/>
                <w:sz w:val="19"/>
                <w:szCs w:val="19"/>
              </w:rPr>
              <w:t xml:space="preserve"> i KS</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31d ustawy z dnia 27 sierpnia 2004 r. o świadczeniach opieki zdrowotnej </w:t>
            </w:r>
            <w:r w:rsidRPr="009E507D">
              <w:rPr>
                <w:rFonts w:ascii="Arial" w:hAnsi="Arial" w:cs="Arial"/>
                <w:sz w:val="19"/>
                <w:szCs w:val="19"/>
              </w:rPr>
              <w:lastRenderedPageBreak/>
              <w:t>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shd w:val="clear" w:color="auto" w:fill="FFFFFF"/>
              </w:rPr>
              <w:lastRenderedPageBreak/>
              <w:t xml:space="preserve">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zmianę w rozporządzeniu w sprawie świadczeń gwarantowanych w AOS w zakresie wykonywanie przezskórnej biopsji </w:t>
            </w:r>
            <w:r w:rsidRPr="00C570DA">
              <w:rPr>
                <w:rFonts w:ascii="Arial" w:hAnsi="Arial" w:cs="Arial"/>
                <w:color w:val="000000" w:themeColor="text1"/>
                <w:sz w:val="19"/>
                <w:szCs w:val="19"/>
              </w:rPr>
              <w:lastRenderedPageBreak/>
              <w:t xml:space="preserve">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6125092" w14:textId="0D72C5F9" w:rsidR="00596D0D" w:rsidRPr="00C570DA" w:rsidRDefault="00596D0D" w:rsidP="00596D0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w:t>
            </w:r>
            <w:r>
              <w:rPr>
                <w:rFonts w:ascii="Arial" w:hAnsi="Arial" w:cs="Arial"/>
                <w:color w:val="000000" w:themeColor="text1"/>
                <w:sz w:val="19"/>
                <w:szCs w:val="19"/>
              </w:rPr>
              <w:t xml:space="preserve">UZ i KS. </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C570DA">
              <w:rPr>
                <w:rFonts w:ascii="Arial" w:hAnsi="Arial" w:cs="Arial"/>
                <w:color w:val="000000" w:themeColor="text1"/>
                <w:sz w:val="19"/>
                <w:szCs w:val="19"/>
                <w:shd w:val="clear" w:color="auto" w:fill="FFFFFF"/>
              </w:rPr>
              <w:lastRenderedPageBreak/>
              <w:t>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31A8807A"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przed skierowania do UZ i KS.</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74D0F7E1" w:rsidR="00E0250C" w:rsidRPr="00C570DA" w:rsidRDefault="0067541E" w:rsidP="00E0250C">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przed skierowania do UZ i KS</w:t>
            </w:r>
            <w:r w:rsidR="00E0250C">
              <w:rPr>
                <w:rFonts w:ascii="Arial" w:hAnsi="Arial" w:cs="Arial"/>
                <w:color w:val="000000" w:themeColor="text1"/>
                <w:sz w:val="19"/>
                <w:szCs w:val="19"/>
              </w:rPr>
              <w:t xml:space="preserve">.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w:t>
            </w:r>
            <w:r w:rsidRPr="00C570DA">
              <w:rPr>
                <w:rFonts w:ascii="Arial" w:hAnsi="Arial" w:cs="Arial"/>
                <w:color w:val="000000" w:themeColor="text1"/>
                <w:sz w:val="19"/>
                <w:szCs w:val="19"/>
              </w:rPr>
              <w:lastRenderedPageBreak/>
              <w:t xml:space="preserve">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Adam Niedzielski, Minister Zdrowia</w:t>
            </w:r>
          </w:p>
        </w:tc>
        <w:tc>
          <w:tcPr>
            <w:tcW w:w="2362" w:type="dxa"/>
            <w:shd w:val="clear" w:color="auto" w:fill="FFFFFF"/>
          </w:tcPr>
          <w:p w14:paraId="706EFFED" w14:textId="2FB530D6" w:rsidR="00E0250C" w:rsidRPr="00C570DA" w:rsidRDefault="00E0250C" w:rsidP="00E0250C">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w:t>
            </w:r>
            <w:r w:rsidR="000177CA">
              <w:rPr>
                <w:rFonts w:ascii="Arial" w:hAnsi="Arial" w:cs="Arial"/>
                <w:color w:val="000000" w:themeColor="text1"/>
                <w:sz w:val="19"/>
                <w:szCs w:val="19"/>
              </w:rPr>
              <w:t xml:space="preserve">rozporządzenia przekazane do ogłoszenia w Dz. U. </w:t>
            </w:r>
            <w:r>
              <w:rPr>
                <w:rFonts w:ascii="Arial" w:hAnsi="Arial" w:cs="Arial"/>
                <w:color w:val="000000" w:themeColor="text1"/>
                <w:sz w:val="19"/>
                <w:szCs w:val="19"/>
              </w:rPr>
              <w:t xml:space="preserve"> </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03F0769A" w14:textId="2D6E274C" w:rsidR="00E0250C" w:rsidRPr="00C570DA" w:rsidRDefault="00E0250C" w:rsidP="00E0250C">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w:t>
            </w:r>
            <w:r w:rsidR="000177CA">
              <w:rPr>
                <w:rFonts w:ascii="Arial" w:hAnsi="Arial" w:cs="Arial"/>
                <w:color w:val="000000" w:themeColor="text1"/>
                <w:sz w:val="19"/>
                <w:szCs w:val="19"/>
              </w:rPr>
              <w:t>rozporządzenia przekazane do ogłoszenia w Dz. U</w:t>
            </w: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5) dodatkowe wymagania kwalifikacyjne, jakie powinni spełniać lekarze przeprowadzający badania, o których mowa w § 1, 2 i </w:t>
            </w:r>
            <w:r w:rsidRPr="00C570DA">
              <w:rPr>
                <w:rFonts w:ascii="Arial" w:hAnsi="Arial" w:cs="Arial"/>
                <w:color w:val="000000" w:themeColor="text1"/>
                <w:sz w:val="19"/>
                <w:szCs w:val="19"/>
                <w:shd w:val="clear" w:color="auto" w:fill="FFFFFF"/>
              </w:rPr>
              <w:lastRenderedPageBreak/>
              <w:t>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D5D2400" w14:textId="1EE00E53" w:rsidR="00E0250C" w:rsidRPr="00C570DA" w:rsidRDefault="0067541E" w:rsidP="00E0250C">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554A6C">
              <w:rPr>
                <w:rFonts w:ascii="Arial" w:hAnsi="Arial" w:cs="Arial"/>
                <w:color w:val="000000" w:themeColor="text1"/>
                <w:sz w:val="19"/>
                <w:szCs w:val="19"/>
              </w:rPr>
              <w:t xml:space="preserve"> </w:t>
            </w:r>
            <w:r>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6EB7E4DA" w14:textId="55CEAA32" w:rsidR="00596D0D" w:rsidRPr="00C570DA" w:rsidRDefault="00596D0D" w:rsidP="00596D0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UZ.</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3FD063D4"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4CCA4DB3" w14:textId="699A4F17" w:rsidR="00596D0D" w:rsidRPr="00C570DA" w:rsidRDefault="00596D0D" w:rsidP="00596D0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 projekt na etapie UZ.</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36BF994" w14:textId="708B9A0C"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554A6C">
              <w:rPr>
                <w:rFonts w:ascii="Arial" w:hAnsi="Arial" w:cs="Arial"/>
                <w:color w:val="000000" w:themeColor="text1"/>
                <w:sz w:val="19"/>
                <w:szCs w:val="19"/>
              </w:rPr>
              <w:t xml:space="preserve"> </w:t>
            </w:r>
            <w:r>
              <w:rPr>
                <w:rFonts w:ascii="Arial" w:hAnsi="Arial" w:cs="Arial"/>
                <w:color w:val="000000" w:themeColor="text1"/>
                <w:sz w:val="19"/>
                <w:szCs w:val="19"/>
              </w:rPr>
              <w:t xml:space="preserve">UZ i KS. </w:t>
            </w: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w:t>
            </w:r>
            <w:r w:rsidRPr="00C570DA">
              <w:rPr>
                <w:rFonts w:ascii="Arial" w:hAnsi="Arial" w:cs="Arial"/>
                <w:color w:val="000000" w:themeColor="text1"/>
                <w:sz w:val="19"/>
                <w:szCs w:val="19"/>
                <w:shd w:val="clear" w:color="auto" w:fill="FFFFFF"/>
              </w:rPr>
              <w:lastRenderedPageBreak/>
              <w:t>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Aktualizacja i dostosowanie wysokości opłat do realnych kosztów poszczególnych czynności związanych z dopuszczeniem weterynaryjnego produktu leczniczego do obrotu, a w szczególności zapewnienie adekwatności wysokości opłat do </w:t>
            </w:r>
            <w:r w:rsidRPr="00C570DA">
              <w:rPr>
                <w:rFonts w:ascii="Arial" w:hAnsi="Arial" w:cs="Arial"/>
                <w:color w:val="000000" w:themeColor="text1"/>
                <w:sz w:val="19"/>
                <w:szCs w:val="19"/>
              </w:rPr>
              <w:lastRenderedPageBreak/>
              <w:t>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75117B4" w14:textId="1769909D"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przed skierowania do UZ i KS. </w:t>
            </w: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9F2DDD3" w14:textId="19904FD5"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w:t>
            </w:r>
            <w:r w:rsidR="000177CA">
              <w:rPr>
                <w:rFonts w:ascii="Arial" w:hAnsi="Arial" w:cs="Arial"/>
                <w:color w:val="000000" w:themeColor="text1"/>
                <w:sz w:val="19"/>
                <w:szCs w:val="19"/>
              </w:rPr>
              <w:t>kierowania do UZ i KS</w:t>
            </w:r>
            <w:r>
              <w:rPr>
                <w:rFonts w:ascii="Arial" w:hAnsi="Arial" w:cs="Arial"/>
                <w:color w:val="000000" w:themeColor="text1"/>
                <w:sz w:val="19"/>
                <w:szCs w:val="19"/>
              </w:rPr>
              <w:t xml:space="preserve">. </w:t>
            </w: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4) dziedziny ochrony zdrowia, w których posiadana specjalizacja I stopnia umożliwia uzyskanie tytułu specjalisty i dziedziny ochrony </w:t>
            </w:r>
            <w:r w:rsidRPr="00C570DA">
              <w:rPr>
                <w:rFonts w:ascii="Arial" w:hAnsi="Arial" w:cs="Arial"/>
                <w:color w:val="000000" w:themeColor="text1"/>
                <w:sz w:val="19"/>
                <w:szCs w:val="19"/>
                <w:shd w:val="clear" w:color="auto" w:fill="FFFFFF"/>
              </w:rPr>
              <w:lastRenderedPageBreak/>
              <w:t>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w:t>
            </w:r>
            <w:r w:rsidRPr="00C570DA">
              <w:rPr>
                <w:rFonts w:ascii="Arial" w:hAnsi="Arial" w:cs="Arial"/>
                <w:color w:val="000000" w:themeColor="text1"/>
                <w:sz w:val="19"/>
                <w:szCs w:val="19"/>
                <w:shd w:val="clear" w:color="auto" w:fill="FFFFFF"/>
              </w:rPr>
              <w:lastRenderedPageBreak/>
              <w:t>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11) wysokość wynagrodzenia za wykonywanie czynności kontrolnych, o którym mowa w art. 25 ust. 4, uwzględniając nakład pracy związany z </w:t>
            </w:r>
            <w:r w:rsidRPr="00C570DA">
              <w:rPr>
                <w:rFonts w:ascii="Arial" w:hAnsi="Arial" w:cs="Arial"/>
                <w:color w:val="000000" w:themeColor="text1"/>
                <w:sz w:val="19"/>
                <w:szCs w:val="19"/>
                <w:shd w:val="clear" w:color="auto" w:fill="FFFFFF"/>
              </w:rPr>
              <w:lastRenderedPageBreak/>
              <w:t>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w:t>
            </w:r>
            <w:r w:rsidRPr="00C570DA">
              <w:rPr>
                <w:rFonts w:ascii="Arial" w:hAnsi="Arial" w:cs="Arial"/>
                <w:color w:val="000000" w:themeColor="text1"/>
                <w:sz w:val="19"/>
                <w:szCs w:val="19"/>
              </w:rPr>
              <w:lastRenderedPageBreak/>
              <w:t>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72E37B78" w14:textId="49F5D8EF"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sidR="00554A6C">
              <w:rPr>
                <w:rFonts w:ascii="Arial" w:hAnsi="Arial" w:cs="Arial"/>
                <w:color w:val="000000" w:themeColor="text1"/>
                <w:sz w:val="19"/>
                <w:szCs w:val="19"/>
              </w:rPr>
              <w:t xml:space="preserve"> </w:t>
            </w:r>
            <w:r>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5FFE5E5A"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PW.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zakres uprawnień zawodowych określonych w art. 6, prawidłowe przygotowanie i </w:t>
            </w:r>
            <w:r w:rsidRPr="00C570DA">
              <w:rPr>
                <w:rFonts w:ascii="Arial" w:hAnsi="Arial" w:cs="Arial"/>
                <w:color w:val="000000" w:themeColor="text1"/>
                <w:sz w:val="19"/>
                <w:szCs w:val="19"/>
                <w:shd w:val="clear" w:color="auto" w:fill="FFFFFF"/>
              </w:rPr>
              <w:lastRenderedPageBreak/>
              <w:t>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29ED55ED" w:rsidR="009E507D"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PW.</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32794A9C" w:rsidR="00B871DE"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w:t>
            </w:r>
            <w:r w:rsidR="000177CA">
              <w:rPr>
                <w:rFonts w:ascii="Arial" w:hAnsi="Arial" w:cs="Arial"/>
                <w:color w:val="000000" w:themeColor="text1"/>
                <w:sz w:val="19"/>
                <w:szCs w:val="19"/>
              </w:rPr>
              <w:t>kierowania do UZ i KS</w:t>
            </w:r>
            <w:r>
              <w:rPr>
                <w:rFonts w:ascii="Arial" w:hAnsi="Arial" w:cs="Arial"/>
                <w:color w:val="000000" w:themeColor="text1"/>
                <w:sz w:val="19"/>
                <w:szCs w:val="19"/>
              </w:rPr>
              <w:t>.</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88F389C" w:rsidR="00B871DE"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 </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4925B325" w14:textId="44F57A28" w:rsidR="00B871DE"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 </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252DF507" w:rsidR="00B871DE"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projekt na etapie UW.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w:t>
            </w:r>
            <w:r w:rsidRPr="00C570DA">
              <w:rPr>
                <w:rFonts w:ascii="Arial" w:hAnsi="Arial" w:cs="Arial"/>
                <w:color w:val="000000" w:themeColor="text1"/>
                <w:sz w:val="19"/>
                <w:szCs w:val="19"/>
                <w:shd w:val="clear" w:color="auto" w:fill="FFFFFF"/>
              </w:rPr>
              <w:lastRenderedPageBreak/>
              <w:t>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w:t>
            </w:r>
            <w:r w:rsidRPr="00C570DA">
              <w:rPr>
                <w:rFonts w:ascii="Arial" w:hAnsi="Arial" w:cs="Arial"/>
                <w:color w:val="000000" w:themeColor="text1"/>
                <w:sz w:val="19"/>
                <w:szCs w:val="19"/>
              </w:rPr>
              <w:lastRenderedPageBreak/>
              <w:t>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4A9177A5" w14:textId="65FB1209" w:rsidR="00B871DE" w:rsidRPr="00C570DA" w:rsidRDefault="0067541E"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sidR="00A036CA">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PW.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6947950C" w:rsidR="000177CA" w:rsidRPr="00C570DA" w:rsidRDefault="002E6E59"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w:t>
            </w:r>
            <w:r>
              <w:rPr>
                <w:rFonts w:ascii="Arial" w:hAnsi="Arial" w:cs="Arial"/>
                <w:color w:val="000000" w:themeColor="text1"/>
                <w:sz w:val="19"/>
                <w:szCs w:val="19"/>
              </w:rPr>
              <w:t>UW</w:t>
            </w:r>
            <w:r>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w:t>
            </w:r>
            <w:r>
              <w:rPr>
                <w:rFonts w:ascii="Arial" w:hAnsi="Arial" w:cs="Arial"/>
                <w:b/>
                <w:bCs/>
                <w:color w:val="FF0000"/>
                <w:sz w:val="19"/>
                <w:szCs w:val="19"/>
              </w:rPr>
              <w:t>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4A8D3232" w:rsidR="002E6E59" w:rsidRPr="00C570DA" w:rsidRDefault="00CA1ED5"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UW.</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w:t>
            </w:r>
            <w:r>
              <w:rPr>
                <w:rFonts w:ascii="Arial" w:hAnsi="Arial" w:cs="Arial"/>
                <w:b/>
                <w:bCs/>
                <w:color w:val="FF0000"/>
                <w:sz w:val="19"/>
                <w:szCs w:val="19"/>
              </w:rPr>
              <w:t>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0E550EDD" w:rsidR="00CA1ED5" w:rsidRPr="00C570DA" w:rsidRDefault="00CA1ED5"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w:t>
            </w:r>
            <w:r w:rsidR="007A62DA">
              <w:rPr>
                <w:rFonts w:ascii="Arial" w:hAnsi="Arial" w:cs="Arial"/>
                <w:color w:val="000000" w:themeColor="text1"/>
                <w:sz w:val="19"/>
                <w:szCs w:val="19"/>
              </w:rPr>
              <w:t>UZ i KS</w:t>
            </w:r>
            <w:r>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w:t>
            </w:r>
            <w:r>
              <w:rPr>
                <w:rFonts w:ascii="Arial" w:hAnsi="Arial" w:cs="Arial"/>
                <w:b/>
                <w:bCs/>
                <w:color w:val="FF0000"/>
                <w:sz w:val="19"/>
                <w:szCs w:val="19"/>
              </w:rPr>
              <w:t>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 xml:space="preserve">rt. 136c ust. 6 pkt 1 ustawy z dnia 27 sierpnia 2004 r. o </w:t>
            </w:r>
            <w:r w:rsidRPr="00CA1ED5">
              <w:rPr>
                <w:rFonts w:ascii="Arial" w:hAnsi="Arial" w:cs="Arial"/>
                <w:sz w:val="19"/>
                <w:szCs w:val="19"/>
              </w:rPr>
              <w:lastRenderedPageBreak/>
              <w:t>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w:t>
            </w:r>
            <w:r w:rsidRPr="00CA1ED5">
              <w:rPr>
                <w:rFonts w:ascii="Arial" w:hAnsi="Arial" w:cs="Arial"/>
                <w:color w:val="000000" w:themeColor="text1"/>
                <w:sz w:val="19"/>
                <w:szCs w:val="19"/>
              </w:rPr>
              <w:lastRenderedPageBreak/>
              <w:t>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 xml:space="preserve">Waldemar Kraska, Sekretarz Stanu w </w:t>
            </w:r>
            <w:r w:rsidRPr="00CA1ED5">
              <w:rPr>
                <w:rFonts w:ascii="Arial" w:hAnsi="Arial" w:cs="Arial"/>
                <w:color w:val="000000" w:themeColor="text1"/>
                <w:sz w:val="19"/>
                <w:szCs w:val="19"/>
              </w:rPr>
              <w:lastRenderedPageBreak/>
              <w:t>Ministerstwie Zdrowia</w:t>
            </w:r>
          </w:p>
        </w:tc>
        <w:tc>
          <w:tcPr>
            <w:tcW w:w="2362" w:type="dxa"/>
            <w:shd w:val="clear" w:color="auto" w:fill="FFFFFF"/>
          </w:tcPr>
          <w:p w14:paraId="2253B686" w14:textId="449FC4C6" w:rsidR="00CA1ED5" w:rsidRPr="00C570DA" w:rsidRDefault="00CA1ED5"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U</w:t>
            </w:r>
            <w:r w:rsidR="007A62DA">
              <w:rPr>
                <w:rFonts w:ascii="Arial" w:hAnsi="Arial" w:cs="Arial"/>
                <w:color w:val="000000" w:themeColor="text1"/>
                <w:sz w:val="19"/>
                <w:szCs w:val="19"/>
              </w:rPr>
              <w:t>Z i KS</w:t>
            </w:r>
            <w:r>
              <w:rPr>
                <w:rFonts w:ascii="Arial" w:hAnsi="Arial" w:cs="Arial"/>
                <w:color w:val="000000" w:themeColor="text1"/>
                <w:sz w:val="19"/>
                <w:szCs w:val="19"/>
              </w:rPr>
              <w:t>.</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w:t>
            </w:r>
            <w:r>
              <w:rPr>
                <w:rFonts w:ascii="Arial" w:hAnsi="Arial" w:cs="Arial"/>
                <w:b/>
                <w:bCs/>
                <w:color w:val="FF0000"/>
                <w:sz w:val="19"/>
                <w:szCs w:val="19"/>
              </w:rPr>
              <w:t>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31C0177" w:rsidR="00CA1ED5" w:rsidRPr="00C570DA" w:rsidRDefault="00CA1ED5"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UW.</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w:t>
            </w:r>
            <w:r>
              <w:rPr>
                <w:rFonts w:ascii="Arial" w:hAnsi="Arial" w:cs="Arial"/>
                <w:b/>
                <w:bCs/>
                <w:color w:val="FF0000"/>
                <w:sz w:val="19"/>
                <w:szCs w:val="19"/>
              </w:rPr>
              <w:t>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4) sposób prowadzenia rejestru zgłoszeń niepożądanych odczynów poszczepiennych, udostępniania </w:t>
            </w:r>
            <w:r w:rsidRPr="007A62DA">
              <w:rPr>
                <w:rFonts w:ascii="Arial" w:hAnsi="Arial" w:cs="Arial"/>
                <w:color w:val="000000" w:themeColor="text1"/>
                <w:sz w:val="19"/>
                <w:szCs w:val="19"/>
                <w:shd w:val="clear" w:color="auto" w:fill="FFFFFF"/>
              </w:rPr>
              <w:lastRenderedPageBreak/>
              <w:t>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0B963201" w:rsidR="00CA1ED5" w:rsidRPr="00C570DA" w:rsidRDefault="00CA1ED5"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Stan prac na </w:t>
            </w:r>
            <w:r>
              <w:rPr>
                <w:rFonts w:ascii="Arial" w:hAnsi="Arial" w:cs="Arial"/>
                <w:color w:val="000000" w:themeColor="text1"/>
                <w:sz w:val="19"/>
                <w:szCs w:val="19"/>
              </w:rPr>
              <w:t xml:space="preserve">dzień </w:t>
            </w:r>
            <w:r w:rsidR="00554A6C">
              <w:rPr>
                <w:rFonts w:ascii="Arial" w:hAnsi="Arial" w:cs="Arial"/>
                <w:color w:val="000000" w:themeColor="text1"/>
                <w:sz w:val="19"/>
                <w:szCs w:val="19"/>
              </w:rPr>
              <w:t>14 listopada 2022 r.</w:t>
            </w:r>
            <w:r w:rsidRPr="00C570DA">
              <w:rPr>
                <w:rFonts w:ascii="Arial" w:hAnsi="Arial" w:cs="Arial"/>
                <w:color w:val="000000" w:themeColor="text1"/>
                <w:sz w:val="19"/>
                <w:szCs w:val="19"/>
              </w:rPr>
              <w:t xml:space="preserve"> –</w:t>
            </w:r>
            <w:r>
              <w:rPr>
                <w:rFonts w:ascii="Arial" w:hAnsi="Arial" w:cs="Arial"/>
                <w:color w:val="000000" w:themeColor="text1"/>
                <w:sz w:val="19"/>
                <w:szCs w:val="19"/>
              </w:rPr>
              <w:t xml:space="preserv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7656" w14:textId="77777777" w:rsidR="00FF1779" w:rsidRDefault="00FF1779">
      <w:r>
        <w:separator/>
      </w:r>
    </w:p>
  </w:endnote>
  <w:endnote w:type="continuationSeparator" w:id="0">
    <w:p w14:paraId="1B198164" w14:textId="77777777" w:rsidR="00FF1779" w:rsidRDefault="00FF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1B10" w14:textId="77777777" w:rsidR="00FF1779" w:rsidRDefault="00FF1779">
      <w:r>
        <w:separator/>
      </w:r>
    </w:p>
  </w:footnote>
  <w:footnote w:type="continuationSeparator" w:id="0">
    <w:p w14:paraId="3D9DC6EA" w14:textId="77777777" w:rsidR="00FF1779" w:rsidRDefault="00FF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46143</Words>
  <Characters>276859</Characters>
  <Application>Microsoft Office Word</Application>
  <DocSecurity>0</DocSecurity>
  <Lines>2307</Lines>
  <Paragraphs>644</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322358</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26</cp:revision>
  <cp:lastPrinted>2018-12-07T08:31:00Z</cp:lastPrinted>
  <dcterms:created xsi:type="dcterms:W3CDTF">2022-09-06T11:28:00Z</dcterms:created>
  <dcterms:modified xsi:type="dcterms:W3CDTF">2022-11-15T07:38:00Z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