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31F0" w14:textId="77777777" w:rsidR="00EA4925" w:rsidRPr="00552692" w:rsidRDefault="00EA4925" w:rsidP="00552692">
      <w:pPr>
        <w:pStyle w:val="Akapitzlist"/>
        <w:jc w:val="left"/>
        <w:rPr>
          <w:rFonts w:asciiTheme="majorHAnsi" w:hAnsiTheme="majorHAnsi"/>
          <w:b/>
        </w:rPr>
      </w:pPr>
    </w:p>
    <w:p w14:paraId="418C83F4" w14:textId="77777777" w:rsidR="00EA4925" w:rsidRPr="00552692" w:rsidRDefault="00DA7D29" w:rsidP="00552692">
      <w:pPr>
        <w:pStyle w:val="Akapitzlist"/>
        <w:ind w:left="0"/>
        <w:rPr>
          <w:rFonts w:asciiTheme="majorHAnsi" w:hAnsiTheme="majorHAnsi"/>
          <w:b/>
        </w:rPr>
      </w:pPr>
      <w:r w:rsidRPr="00552692">
        <w:rPr>
          <w:rFonts w:asciiTheme="majorHAnsi" w:hAnsiTheme="majorHAnsi"/>
          <w:b/>
          <w:noProof/>
          <w:lang w:eastAsia="pl-PL"/>
        </w:rPr>
        <w:drawing>
          <wp:inline distT="0" distB="0" distL="0" distR="0" wp14:anchorId="5E24855F" wp14:editId="3A1D6F5E">
            <wp:extent cx="3423865" cy="1025718"/>
            <wp:effectExtent l="19050" t="0" r="5135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088" cy="103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EF138" w14:textId="77777777" w:rsidR="00EA4925" w:rsidRPr="00552692" w:rsidRDefault="00EA4925" w:rsidP="00552692">
      <w:pPr>
        <w:pStyle w:val="Akapitzlist"/>
        <w:jc w:val="center"/>
        <w:rPr>
          <w:rFonts w:asciiTheme="majorHAnsi" w:hAnsiTheme="majorHAnsi"/>
          <w:b/>
        </w:rPr>
      </w:pPr>
    </w:p>
    <w:p w14:paraId="4068D96B" w14:textId="79379428" w:rsidR="0039567F" w:rsidRDefault="0039567F" w:rsidP="00552692">
      <w:pPr>
        <w:pStyle w:val="Akapitzlist"/>
        <w:jc w:val="center"/>
        <w:rPr>
          <w:rFonts w:asciiTheme="majorHAnsi" w:hAnsiTheme="majorHAnsi"/>
          <w:b/>
          <w:sz w:val="40"/>
          <w:szCs w:val="40"/>
        </w:rPr>
      </w:pPr>
    </w:p>
    <w:p w14:paraId="643BC6B4" w14:textId="6442D11D" w:rsidR="00DC240C" w:rsidRDefault="00DC240C" w:rsidP="00552692">
      <w:pPr>
        <w:pStyle w:val="Akapitzlist"/>
        <w:jc w:val="center"/>
        <w:rPr>
          <w:rFonts w:asciiTheme="majorHAnsi" w:hAnsiTheme="majorHAnsi"/>
          <w:b/>
          <w:sz w:val="40"/>
          <w:szCs w:val="40"/>
        </w:rPr>
      </w:pPr>
    </w:p>
    <w:p w14:paraId="725D2AB0" w14:textId="7B3B8404" w:rsidR="00DC240C" w:rsidRDefault="00DC240C" w:rsidP="00552692">
      <w:pPr>
        <w:pStyle w:val="Akapitzlist"/>
        <w:jc w:val="center"/>
        <w:rPr>
          <w:rFonts w:asciiTheme="majorHAnsi" w:hAnsiTheme="majorHAnsi"/>
          <w:b/>
          <w:sz w:val="40"/>
          <w:szCs w:val="40"/>
        </w:rPr>
      </w:pPr>
    </w:p>
    <w:p w14:paraId="354484D1" w14:textId="20A8070A" w:rsidR="00DC240C" w:rsidRDefault="00DC240C" w:rsidP="00552692">
      <w:pPr>
        <w:pStyle w:val="Akapitzlist"/>
        <w:jc w:val="center"/>
        <w:rPr>
          <w:rFonts w:asciiTheme="majorHAnsi" w:hAnsiTheme="majorHAnsi"/>
          <w:b/>
          <w:sz w:val="40"/>
          <w:szCs w:val="40"/>
        </w:rPr>
      </w:pPr>
    </w:p>
    <w:p w14:paraId="6922DE8D" w14:textId="79C0B1D8" w:rsidR="00DC240C" w:rsidRDefault="00DC240C" w:rsidP="00552692">
      <w:pPr>
        <w:pStyle w:val="Akapitzlist"/>
        <w:jc w:val="center"/>
        <w:rPr>
          <w:rFonts w:asciiTheme="majorHAnsi" w:hAnsiTheme="majorHAnsi"/>
          <w:b/>
          <w:sz w:val="40"/>
          <w:szCs w:val="40"/>
        </w:rPr>
      </w:pPr>
    </w:p>
    <w:p w14:paraId="70739783" w14:textId="77777777" w:rsidR="00DC240C" w:rsidRPr="00552692" w:rsidRDefault="00DC240C" w:rsidP="00552692">
      <w:pPr>
        <w:pStyle w:val="Akapitzlist"/>
        <w:jc w:val="center"/>
        <w:rPr>
          <w:rFonts w:asciiTheme="majorHAnsi" w:hAnsiTheme="majorHAnsi"/>
          <w:b/>
          <w:sz w:val="40"/>
          <w:szCs w:val="40"/>
        </w:rPr>
      </w:pPr>
    </w:p>
    <w:p w14:paraId="487729EB" w14:textId="77777777" w:rsidR="00DC240C" w:rsidRPr="00DC240C" w:rsidRDefault="00DC240C" w:rsidP="00DC240C">
      <w:pPr>
        <w:pStyle w:val="Akapitzlist"/>
        <w:jc w:val="center"/>
        <w:rPr>
          <w:rFonts w:asciiTheme="majorHAnsi" w:hAnsiTheme="majorHAnsi"/>
          <w:b/>
          <w:sz w:val="52"/>
          <w:szCs w:val="52"/>
        </w:rPr>
      </w:pPr>
      <w:r w:rsidRPr="00DC240C">
        <w:rPr>
          <w:rFonts w:asciiTheme="majorHAnsi" w:hAnsiTheme="majorHAnsi"/>
          <w:b/>
          <w:sz w:val="52"/>
          <w:szCs w:val="52"/>
        </w:rPr>
        <w:t>Konsultacje podatkowe</w:t>
      </w:r>
    </w:p>
    <w:p w14:paraId="13752C56" w14:textId="77777777" w:rsidR="00DC240C" w:rsidRPr="00DC240C" w:rsidRDefault="00DC240C" w:rsidP="00DC240C">
      <w:pPr>
        <w:jc w:val="center"/>
        <w:rPr>
          <w:rFonts w:asciiTheme="majorHAnsi" w:hAnsiTheme="majorHAnsi"/>
          <w:b/>
          <w:sz w:val="52"/>
          <w:szCs w:val="52"/>
        </w:rPr>
      </w:pPr>
    </w:p>
    <w:p w14:paraId="1556720C" w14:textId="1132998A" w:rsidR="00EA4925" w:rsidRPr="00DC240C" w:rsidRDefault="00DC240C" w:rsidP="00DC240C">
      <w:pPr>
        <w:pStyle w:val="Akapitzlist"/>
        <w:jc w:val="center"/>
        <w:rPr>
          <w:rFonts w:asciiTheme="majorHAnsi" w:hAnsiTheme="majorHAnsi"/>
          <w:b/>
          <w:sz w:val="52"/>
          <w:szCs w:val="52"/>
        </w:rPr>
      </w:pPr>
      <w:r w:rsidRPr="00DC240C">
        <w:rPr>
          <w:rFonts w:asciiTheme="majorHAnsi" w:hAnsiTheme="majorHAnsi"/>
          <w:b/>
          <w:sz w:val="52"/>
          <w:szCs w:val="52"/>
        </w:rPr>
        <w:t>w sprawie nowych regulacji w zakresie cen transferowych</w:t>
      </w:r>
    </w:p>
    <w:p w14:paraId="3061F12E" w14:textId="77777777" w:rsidR="00EA4925" w:rsidRPr="00552692" w:rsidRDefault="00EA4925" w:rsidP="00552692">
      <w:pPr>
        <w:pStyle w:val="Akapitzlist"/>
        <w:ind w:left="0"/>
        <w:jc w:val="left"/>
        <w:rPr>
          <w:rFonts w:asciiTheme="majorHAnsi" w:hAnsiTheme="majorHAnsi"/>
          <w:b/>
        </w:rPr>
      </w:pPr>
    </w:p>
    <w:p w14:paraId="62FBE9D2" w14:textId="77777777" w:rsidR="00EA4925" w:rsidRPr="00552692" w:rsidRDefault="00EA4925" w:rsidP="00552692">
      <w:pPr>
        <w:rPr>
          <w:rFonts w:asciiTheme="majorHAnsi" w:hAnsiTheme="majorHAnsi"/>
          <w:b/>
        </w:rPr>
      </w:pPr>
      <w:r w:rsidRPr="00552692">
        <w:rPr>
          <w:rFonts w:asciiTheme="majorHAnsi" w:hAnsiTheme="majorHAnsi"/>
          <w:b/>
        </w:rPr>
        <w:br w:type="page"/>
      </w:r>
    </w:p>
    <w:p w14:paraId="75461A1E" w14:textId="77777777" w:rsidR="0039567F" w:rsidRPr="00552692" w:rsidRDefault="0039567F" w:rsidP="00552692">
      <w:pPr>
        <w:rPr>
          <w:rFonts w:asciiTheme="majorHAnsi" w:hAnsiTheme="majorHAnsi"/>
          <w:b/>
        </w:rPr>
      </w:pPr>
    </w:p>
    <w:p w14:paraId="1D64E244" w14:textId="77777777" w:rsidR="00A73F1A" w:rsidRPr="00552692" w:rsidRDefault="00A73F1A" w:rsidP="00552692">
      <w:pPr>
        <w:pStyle w:val="Akapitzlist"/>
        <w:rPr>
          <w:rFonts w:asciiTheme="majorHAnsi" w:hAnsiTheme="majorHAnsi"/>
          <w:b/>
        </w:rPr>
      </w:pPr>
    </w:p>
    <w:p w14:paraId="15B7A658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/>
          <w:bCs/>
          <w:color w:val="000000"/>
          <w:lang w:eastAsia="pl-PL"/>
        </w:rPr>
      </w:pPr>
      <w:r w:rsidRPr="00AD2C0E">
        <w:rPr>
          <w:rFonts w:cs="Cambria"/>
          <w:b/>
          <w:bCs/>
          <w:color w:val="000000"/>
          <w:lang w:eastAsia="pl-PL"/>
        </w:rPr>
        <w:t>Podsekretarz Stanu w Ministerstwie Finansów</w:t>
      </w:r>
    </w:p>
    <w:p w14:paraId="41754A05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/>
          <w:bCs/>
          <w:color w:val="000000"/>
          <w:lang w:eastAsia="pl-PL"/>
        </w:rPr>
      </w:pPr>
      <w:r w:rsidRPr="00AD2C0E">
        <w:rPr>
          <w:rFonts w:cs="Cambria"/>
          <w:b/>
          <w:bCs/>
          <w:color w:val="000000"/>
          <w:lang w:eastAsia="pl-PL"/>
        </w:rPr>
        <w:t>Pan Filip Świtała</w:t>
      </w:r>
    </w:p>
    <w:p w14:paraId="4BA589AB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/>
          <w:bCs/>
          <w:color w:val="000000"/>
          <w:lang w:eastAsia="pl-PL"/>
        </w:rPr>
      </w:pPr>
    </w:p>
    <w:p w14:paraId="289F3585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Cs/>
          <w:color w:val="000000"/>
          <w:lang w:eastAsia="pl-PL"/>
        </w:rPr>
      </w:pPr>
      <w:r w:rsidRPr="00AD2C0E">
        <w:rPr>
          <w:rFonts w:cs="Cambria"/>
          <w:bCs/>
          <w:color w:val="000000"/>
          <w:lang w:eastAsia="pl-PL"/>
        </w:rPr>
        <w:t>Ministerstwo Finansów</w:t>
      </w:r>
    </w:p>
    <w:p w14:paraId="7ED50555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Cs/>
          <w:color w:val="000000"/>
          <w:lang w:eastAsia="pl-PL"/>
        </w:rPr>
      </w:pPr>
      <w:r w:rsidRPr="00AD2C0E">
        <w:rPr>
          <w:rFonts w:cs="Cambria"/>
          <w:bCs/>
          <w:color w:val="000000"/>
          <w:lang w:eastAsia="pl-PL"/>
        </w:rPr>
        <w:t>ul. Świętokrzyska 12</w:t>
      </w:r>
    </w:p>
    <w:p w14:paraId="4D3A7BCC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Cs/>
          <w:color w:val="000000"/>
          <w:lang w:eastAsia="pl-PL"/>
        </w:rPr>
      </w:pPr>
      <w:r w:rsidRPr="00AD2C0E">
        <w:rPr>
          <w:rFonts w:cs="Cambria"/>
          <w:bCs/>
          <w:color w:val="000000"/>
          <w:lang w:eastAsia="pl-PL"/>
        </w:rPr>
        <w:t>00-916 Warszawa</w:t>
      </w:r>
    </w:p>
    <w:p w14:paraId="57AC2CEE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Cs/>
          <w:color w:val="000000"/>
          <w:lang w:val="en-GB" w:eastAsia="pl-PL"/>
        </w:rPr>
      </w:pPr>
    </w:p>
    <w:p w14:paraId="03448EEA" w14:textId="77777777" w:rsidR="00DC240C" w:rsidRPr="00AD2C0E" w:rsidRDefault="00DC240C" w:rsidP="00DC240C">
      <w:pPr>
        <w:autoSpaceDE w:val="0"/>
        <w:autoSpaceDN w:val="0"/>
        <w:adjustRightInd w:val="0"/>
        <w:jc w:val="left"/>
        <w:rPr>
          <w:rFonts w:cs="Cambria"/>
          <w:bCs/>
          <w:color w:val="000000"/>
          <w:lang w:val="en-GB" w:eastAsia="pl-PL"/>
        </w:rPr>
      </w:pPr>
      <w:proofErr w:type="spellStart"/>
      <w:r w:rsidRPr="00AD2C0E">
        <w:rPr>
          <w:rFonts w:cs="Cambria"/>
          <w:bCs/>
          <w:color w:val="000000"/>
          <w:lang w:val="en-GB" w:eastAsia="pl-PL"/>
        </w:rPr>
        <w:t>Znak</w:t>
      </w:r>
      <w:proofErr w:type="spellEnd"/>
      <w:r w:rsidRPr="00AD2C0E">
        <w:rPr>
          <w:rFonts w:cs="Cambria"/>
          <w:bCs/>
          <w:color w:val="000000"/>
          <w:lang w:val="en-GB" w:eastAsia="pl-PL"/>
        </w:rPr>
        <w:t xml:space="preserve"> </w:t>
      </w:r>
      <w:proofErr w:type="spellStart"/>
      <w:r w:rsidRPr="00AD2C0E">
        <w:rPr>
          <w:rFonts w:cs="Cambria"/>
          <w:bCs/>
          <w:color w:val="000000"/>
          <w:lang w:val="en-GB" w:eastAsia="pl-PL"/>
        </w:rPr>
        <w:t>sprawy</w:t>
      </w:r>
      <w:proofErr w:type="spellEnd"/>
      <w:r w:rsidRPr="00AD2C0E">
        <w:rPr>
          <w:rFonts w:cs="Cambria"/>
          <w:bCs/>
          <w:color w:val="000000"/>
          <w:lang w:val="en-GB" w:eastAsia="pl-PL"/>
        </w:rPr>
        <w:t>: DCT1.8201.2.2018</w:t>
      </w:r>
      <w:r w:rsidRPr="00AD2C0E">
        <w:rPr>
          <w:rFonts w:cs="Cambria"/>
          <w:bCs/>
          <w:color w:val="000000"/>
          <w:lang w:val="en-GB" w:eastAsia="pl-PL"/>
        </w:rPr>
        <w:cr/>
      </w:r>
    </w:p>
    <w:p w14:paraId="782B626C" w14:textId="77777777" w:rsidR="00DC240C" w:rsidRPr="00AD2C0E" w:rsidRDefault="00DC240C" w:rsidP="00DC240C">
      <w:pPr>
        <w:autoSpaceDE w:val="0"/>
        <w:autoSpaceDN w:val="0"/>
        <w:adjustRightInd w:val="0"/>
        <w:spacing w:before="480" w:after="480"/>
        <w:jc w:val="right"/>
        <w:rPr>
          <w:rFonts w:cs="Cambria"/>
          <w:color w:val="000000"/>
          <w:lang w:eastAsia="pl-PL"/>
        </w:rPr>
      </w:pPr>
      <w:r w:rsidRPr="00AD2C0E">
        <w:rPr>
          <w:rFonts w:cs="Calibri"/>
        </w:rPr>
        <w:t>15 stycznia 2019 r.</w:t>
      </w:r>
    </w:p>
    <w:p w14:paraId="336BCB03" w14:textId="77777777" w:rsidR="00DC240C" w:rsidRPr="00AD2C0E" w:rsidRDefault="00DC240C" w:rsidP="00DC240C">
      <w:pPr>
        <w:pStyle w:val="Zwrotgrzecznociowy"/>
        <w:widowControl w:val="0"/>
        <w:spacing w:after="0" w:line="300" w:lineRule="atLeast"/>
        <w:jc w:val="both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sz w:val="22"/>
          <w:szCs w:val="22"/>
          <w:lang w:val="pl-PL"/>
        </w:rPr>
        <w:t>Szanowny Panie Ministrze,</w:t>
      </w:r>
    </w:p>
    <w:p w14:paraId="495813B9" w14:textId="77777777" w:rsidR="00DC240C" w:rsidRPr="00AD2C0E" w:rsidRDefault="00DC240C" w:rsidP="00DC240C">
      <w:pPr>
        <w:widowControl w:val="0"/>
      </w:pPr>
    </w:p>
    <w:p w14:paraId="52F96DAF" w14:textId="74B1153B" w:rsidR="00DC240C" w:rsidRPr="00AD2C0E" w:rsidRDefault="00DC240C" w:rsidP="00DC240C">
      <w:pPr>
        <w:rPr>
          <w:rFonts w:cs="Calibri"/>
        </w:rPr>
      </w:pPr>
      <w:r w:rsidRPr="00AD2C0E">
        <w:rPr>
          <w:rFonts w:cs="Calibri"/>
        </w:rPr>
        <w:t>w nawiązaniu do zawiadomienia o rozpoczęciu konsultacji podatkowych w sprawie nowych regulacji w zakresie cen transferowych z dnia 16 listopada 2018 r., niniejszym przekazuj</w:t>
      </w:r>
      <w:r w:rsidR="00D649FB">
        <w:rPr>
          <w:rFonts w:cs="Calibri"/>
        </w:rPr>
        <w:t>ę</w:t>
      </w:r>
      <w:r w:rsidRPr="00AD2C0E">
        <w:rPr>
          <w:rFonts w:cs="Calibri"/>
        </w:rPr>
        <w:t xml:space="preserve"> uwagi mające istotne znaczenie dla konsultowanego zagadnienia:</w:t>
      </w:r>
    </w:p>
    <w:p w14:paraId="45F1A55F" w14:textId="77777777" w:rsidR="00DC240C" w:rsidRPr="00AD2C0E" w:rsidRDefault="00DC240C" w:rsidP="00DC240C">
      <w:pPr>
        <w:rPr>
          <w:rFonts w:cs="Calibri"/>
        </w:rPr>
      </w:pPr>
    </w:p>
    <w:p w14:paraId="6261FC56" w14:textId="77777777" w:rsidR="00DC240C" w:rsidRPr="0049189A" w:rsidRDefault="00DC240C" w:rsidP="00DC240C">
      <w:pPr>
        <w:numPr>
          <w:ilvl w:val="0"/>
          <w:numId w:val="29"/>
        </w:numPr>
        <w:suppressAutoHyphens/>
        <w:rPr>
          <w:rFonts w:cs="Calibri"/>
          <w:b/>
        </w:rPr>
      </w:pPr>
      <w:r w:rsidRPr="0049189A">
        <w:rPr>
          <w:rFonts w:cs="Calibri"/>
          <w:b/>
        </w:rPr>
        <w:t>Art.</w:t>
      </w:r>
      <w:r>
        <w:rPr>
          <w:rFonts w:cs="Calibri"/>
          <w:b/>
        </w:rPr>
        <w:t xml:space="preserve"> </w:t>
      </w:r>
      <w:r w:rsidRPr="0049189A">
        <w:rPr>
          <w:rFonts w:cs="Calibri"/>
          <w:b/>
        </w:rPr>
        <w:t xml:space="preserve">2 pkt 9 Ustawy z dnia 23 października 2018 r. o zmianie ustawy o podatku dochodowym od osób fizycznych, ustawy o podatku dochodowym od osób prawnych, ustawy – Ordynacja podatkowa oraz niektórych innych ustaw (wprowadzany art. 11e do ustawy o CIT) </w:t>
      </w:r>
    </w:p>
    <w:p w14:paraId="641A4C60" w14:textId="77777777" w:rsidR="00DC240C" w:rsidRPr="00AD2C0E" w:rsidRDefault="00DC240C" w:rsidP="00DC240C">
      <w:pPr>
        <w:rPr>
          <w:rFonts w:cs="Calibri"/>
        </w:rPr>
      </w:pPr>
    </w:p>
    <w:p w14:paraId="5FF0F69C" w14:textId="77777777" w:rsidR="00DC240C" w:rsidRPr="00AD2C0E" w:rsidRDefault="00DC240C" w:rsidP="00DC240C">
      <w:pPr>
        <w:numPr>
          <w:ilvl w:val="0"/>
          <w:numId w:val="33"/>
        </w:numPr>
        <w:suppressAutoHyphens/>
        <w:rPr>
          <w:rFonts w:cs="Calibri"/>
          <w:b/>
        </w:rPr>
      </w:pPr>
      <w:r w:rsidRPr="00AD2C0E">
        <w:rPr>
          <w:rFonts w:cs="Calibri"/>
          <w:b/>
        </w:rPr>
        <w:t>Okres objęty korektą</w:t>
      </w:r>
    </w:p>
    <w:p w14:paraId="3A31A28D" w14:textId="77777777" w:rsidR="00DC240C" w:rsidRPr="00AD2C0E" w:rsidRDefault="00DC240C" w:rsidP="00DC240C">
      <w:pPr>
        <w:rPr>
          <w:rFonts w:cs="Calibri"/>
        </w:rPr>
      </w:pPr>
    </w:p>
    <w:p w14:paraId="1D35D9EF" w14:textId="4A2896D6" w:rsidR="00DC240C" w:rsidRPr="00AD2C0E" w:rsidRDefault="00DC240C" w:rsidP="00DC240C">
      <w:pPr>
        <w:rPr>
          <w:rFonts w:cs="Calibri"/>
        </w:rPr>
      </w:pPr>
      <w:r>
        <w:rPr>
          <w:rFonts w:cs="Calibri"/>
        </w:rPr>
        <w:t>Moim zdaniem</w:t>
      </w:r>
      <w:r w:rsidRPr="00AD2C0E">
        <w:rPr>
          <w:rFonts w:cs="Calibri"/>
        </w:rPr>
        <w:t xml:space="preserve"> wyjaśnienia wymaga, czy </w:t>
      </w:r>
      <w:r w:rsidRPr="00AD2C0E">
        <w:rPr>
          <w:rFonts w:cs="Calibri"/>
          <w:i/>
        </w:rPr>
        <w:t xml:space="preserve">„korekta cen transferowych” </w:t>
      </w:r>
      <w:r w:rsidRPr="00AD2C0E">
        <w:rPr>
          <w:rFonts w:cs="Calibri"/>
        </w:rPr>
        <w:t xml:space="preserve">o której mowa w art. 11e ustawy o CIT odnosi się wyłącznie do korekt cen transferowych obejmujących cały rok podatkowy (tzw. korekty „roczne”), czy do każdej, pojedynczej korekty ceny transferowej stosowanej pomiędzy podmiotami powiązanymi. </w:t>
      </w:r>
    </w:p>
    <w:p w14:paraId="35F67014" w14:textId="77777777" w:rsidR="00DC240C" w:rsidRPr="00AD2C0E" w:rsidRDefault="00DC240C" w:rsidP="00DC240C">
      <w:pPr>
        <w:rPr>
          <w:rFonts w:cs="Calibri"/>
        </w:rPr>
      </w:pPr>
    </w:p>
    <w:p w14:paraId="4A368954" w14:textId="3B4A6F01" w:rsidR="00DC240C" w:rsidRPr="00AD2C0E" w:rsidRDefault="00DC240C" w:rsidP="00DC240C">
      <w:pPr>
        <w:rPr>
          <w:rFonts w:cs="Calibri"/>
        </w:rPr>
      </w:pPr>
      <w:r>
        <w:rPr>
          <w:rFonts w:cs="Calibri"/>
        </w:rPr>
        <w:t>Moim zdaniem</w:t>
      </w:r>
      <w:r w:rsidRPr="00AD2C0E">
        <w:rPr>
          <w:rFonts w:cs="Calibri"/>
        </w:rPr>
        <w:t xml:space="preserve"> regulacje jak i elementy uzasadnienia do ustawy </w:t>
      </w:r>
      <w:r w:rsidR="000B02C6">
        <w:rPr>
          <w:rFonts w:cs="Calibri"/>
        </w:rPr>
        <w:t>mogą sugerować</w:t>
      </w:r>
      <w:r w:rsidRPr="00AD2C0E">
        <w:rPr>
          <w:rFonts w:cs="Calibri"/>
        </w:rPr>
        <w:t xml:space="preserve">, iż „korekta cen transferowych” o której mowa w art. 11e ustawy o CIT odnosi się wyłącznie do korekt cen transferowych obejmujących cały rok podatkowy. </w:t>
      </w:r>
    </w:p>
    <w:p w14:paraId="293F4218" w14:textId="77777777" w:rsidR="00DC240C" w:rsidRPr="00AD2C0E" w:rsidRDefault="00DC240C" w:rsidP="00DC240C">
      <w:pPr>
        <w:rPr>
          <w:rFonts w:cs="Calibri"/>
        </w:rPr>
      </w:pPr>
    </w:p>
    <w:p w14:paraId="7AD75FBE" w14:textId="7F4FE20C" w:rsidR="00DC240C" w:rsidRPr="00AD2C0E" w:rsidRDefault="00DC240C" w:rsidP="00DC240C">
      <w:pPr>
        <w:rPr>
          <w:rFonts w:cs="Calibri"/>
        </w:rPr>
      </w:pPr>
      <w:r w:rsidRPr="00AD2C0E">
        <w:rPr>
          <w:rFonts w:cs="Calibri"/>
        </w:rPr>
        <w:t>Ustawodawca w art. 11</w:t>
      </w:r>
      <w:r w:rsidR="000B02C6">
        <w:rPr>
          <w:rFonts w:cs="Calibri"/>
        </w:rPr>
        <w:t>e</w:t>
      </w:r>
      <w:r w:rsidRPr="00AD2C0E">
        <w:rPr>
          <w:rFonts w:cs="Calibri"/>
        </w:rPr>
        <w:t xml:space="preserve"> </w:t>
      </w:r>
      <w:r w:rsidR="000B02C6">
        <w:rPr>
          <w:rFonts w:cs="Calibri"/>
        </w:rPr>
        <w:t xml:space="preserve">pkt 5) </w:t>
      </w:r>
      <w:r w:rsidRPr="00AD2C0E">
        <w:rPr>
          <w:rFonts w:cs="Calibri"/>
        </w:rPr>
        <w:t>ustawy o CIT wskazał:</w:t>
      </w:r>
    </w:p>
    <w:p w14:paraId="3380F1BD" w14:textId="77777777" w:rsidR="00DC240C" w:rsidRPr="00AD2C0E" w:rsidRDefault="00DC240C" w:rsidP="000B02C6">
      <w:pPr>
        <w:numPr>
          <w:ilvl w:val="0"/>
          <w:numId w:val="36"/>
        </w:numPr>
        <w:suppressAutoHyphens/>
        <w:spacing w:before="120"/>
        <w:ind w:left="714" w:hanging="357"/>
        <w:rPr>
          <w:rFonts w:cs="Calibri"/>
          <w:b/>
          <w:i/>
        </w:rPr>
      </w:pPr>
      <w:r w:rsidRPr="00AD2C0E">
        <w:rPr>
          <w:rFonts w:cs="Calibri"/>
          <w:i/>
        </w:rPr>
        <w:t xml:space="preserve">„podatnik potwierdzi dokonanie korekty cen transferowych w rocznym zeznaniu podatkowym </w:t>
      </w:r>
      <w:r w:rsidRPr="00AD2C0E">
        <w:rPr>
          <w:rFonts w:cs="Calibri"/>
          <w:b/>
          <w:i/>
        </w:rPr>
        <w:t>za rok podatkowy, którego dotyczy ta korekta”</w:t>
      </w:r>
    </w:p>
    <w:p w14:paraId="74C6A0EB" w14:textId="77777777" w:rsidR="00DC240C" w:rsidRPr="00AD2C0E" w:rsidRDefault="00DC240C" w:rsidP="00DC240C">
      <w:pPr>
        <w:ind w:left="720"/>
        <w:rPr>
          <w:rFonts w:cs="Calibri"/>
          <w:i/>
        </w:rPr>
      </w:pPr>
      <w:r w:rsidRPr="00AD2C0E">
        <w:rPr>
          <w:rFonts w:cs="Calibri"/>
          <w:b/>
          <w:i/>
        </w:rPr>
        <w:br w:type="page"/>
      </w:r>
    </w:p>
    <w:p w14:paraId="03185F98" w14:textId="6D6185C8" w:rsidR="00DC240C" w:rsidRPr="00AD2C0E" w:rsidRDefault="00DC240C" w:rsidP="00DC240C">
      <w:pPr>
        <w:rPr>
          <w:rFonts w:cs="Calibri"/>
        </w:rPr>
      </w:pPr>
      <w:r w:rsidRPr="00AD2C0E">
        <w:rPr>
          <w:rFonts w:cs="Calibri"/>
        </w:rPr>
        <w:lastRenderedPageBreak/>
        <w:t xml:space="preserve">Z kolei w uzasadnieniu do ustawy nowelizującej </w:t>
      </w:r>
      <w:r w:rsidR="000B02C6">
        <w:rPr>
          <w:rFonts w:cs="Calibri"/>
        </w:rPr>
        <w:t xml:space="preserve">ustawodawca </w:t>
      </w:r>
      <w:r w:rsidRPr="00AD2C0E">
        <w:rPr>
          <w:rFonts w:cs="Calibri"/>
        </w:rPr>
        <w:t>wprost odnosi się do korekt „rocznych</w:t>
      </w:r>
      <w:r w:rsidR="000B02C6">
        <w:rPr>
          <w:rFonts w:cs="Calibri"/>
        </w:rPr>
        <w:t xml:space="preserve">” </w:t>
      </w:r>
      <w:r w:rsidRPr="00AD2C0E">
        <w:rPr>
          <w:rFonts w:cs="Calibri"/>
        </w:rPr>
        <w:t>np.:</w:t>
      </w:r>
    </w:p>
    <w:p w14:paraId="59180663" w14:textId="77777777" w:rsidR="00DC240C" w:rsidRPr="00AD2C0E" w:rsidRDefault="00DC240C" w:rsidP="00DC240C">
      <w:pPr>
        <w:numPr>
          <w:ilvl w:val="0"/>
          <w:numId w:val="34"/>
        </w:numPr>
        <w:suppressAutoHyphens/>
        <w:spacing w:before="120"/>
        <w:ind w:left="714" w:hanging="357"/>
        <w:rPr>
          <w:rFonts w:cs="Calibri"/>
          <w:i/>
        </w:rPr>
      </w:pPr>
      <w:r w:rsidRPr="00AD2C0E">
        <w:rPr>
          <w:rFonts w:cs="Calibri"/>
          <w:b/>
          <w:i/>
        </w:rPr>
        <w:t>„po zakończeniu roku</w:t>
      </w:r>
      <w:r w:rsidRPr="00AD2C0E">
        <w:rPr>
          <w:rFonts w:cs="Calibri"/>
          <w:i/>
        </w:rPr>
        <w:t xml:space="preserve"> może okazać się, że wskutek wystąpienia zmian okoliczności istotnych z punktu widzenia cen transferowych suma wynagrodzenia otrzymanego przez producenta w trakcie roku może nie być wystarczająca do osiągnięcia rynkowego poziomu rentowności i, w rezultacie</w:t>
      </w:r>
      <w:r w:rsidRPr="00AD2C0E">
        <w:rPr>
          <w:rFonts w:cs="Calibri"/>
          <w:b/>
          <w:i/>
        </w:rPr>
        <w:t>, konieczne jest dokonanie korekty rentowności</w:t>
      </w:r>
      <w:r w:rsidRPr="00AD2C0E">
        <w:rPr>
          <w:rFonts w:cs="Calibri"/>
          <w:i/>
        </w:rPr>
        <w:t xml:space="preserve"> w celu uzyskania wyniku finansowego zgodnego z poziomem rynkowym.”</w:t>
      </w:r>
    </w:p>
    <w:p w14:paraId="09B9D857" w14:textId="77777777" w:rsidR="00DC240C" w:rsidRPr="00AD2C0E" w:rsidRDefault="00DC240C" w:rsidP="00DC240C">
      <w:pPr>
        <w:numPr>
          <w:ilvl w:val="0"/>
          <w:numId w:val="34"/>
        </w:numPr>
        <w:suppressAutoHyphens/>
        <w:spacing w:before="120"/>
        <w:ind w:left="714" w:hanging="357"/>
        <w:rPr>
          <w:rFonts w:cs="Calibri"/>
          <w:i/>
        </w:rPr>
      </w:pPr>
      <w:r w:rsidRPr="00AD2C0E">
        <w:rPr>
          <w:rFonts w:cs="Calibri"/>
          <w:i/>
        </w:rPr>
        <w:t xml:space="preserve">„należy jednocześnie podkreślić, że przyjęte rozwiązania w zakresie warunków dopuszczalności dokonywania korekt zmniejszających przychody lub zwiększających koszty uzyskania przychodu przez podatnika nie ograniczają w żaden sposób możliwości weryfikacji zasadności dokonania takiej korekty przez organy podatkowe </w:t>
      </w:r>
      <w:r w:rsidRPr="00AD2C0E">
        <w:rPr>
          <w:rFonts w:cs="Calibri"/>
          <w:b/>
          <w:i/>
        </w:rPr>
        <w:t>po zakończeniu roku</w:t>
      </w:r>
      <w:r w:rsidRPr="00AD2C0E">
        <w:rPr>
          <w:rFonts w:cs="Calibri"/>
          <w:i/>
        </w:rPr>
        <w:t>, na podstawie przepisów o cenach transferowych”</w:t>
      </w:r>
    </w:p>
    <w:p w14:paraId="39AD39F4" w14:textId="77777777" w:rsidR="00DC240C" w:rsidRPr="00AD2C0E" w:rsidRDefault="00DC240C" w:rsidP="00DC240C">
      <w:pPr>
        <w:rPr>
          <w:rFonts w:cs="Calibri"/>
          <w:b/>
        </w:rPr>
      </w:pPr>
    </w:p>
    <w:p w14:paraId="45950FE5" w14:textId="66638F4D" w:rsidR="00DC240C" w:rsidRPr="00AD2C0E" w:rsidRDefault="00DC240C" w:rsidP="00DC240C">
      <w:pPr>
        <w:rPr>
          <w:rFonts w:cs="Calibri"/>
        </w:rPr>
      </w:pPr>
      <w:r>
        <w:rPr>
          <w:rFonts w:cs="Calibri"/>
        </w:rPr>
        <w:t>Moim zdaniem</w:t>
      </w:r>
      <w:r w:rsidRPr="00AD2C0E">
        <w:rPr>
          <w:rFonts w:cs="Calibri"/>
        </w:rPr>
        <w:t xml:space="preserve"> wskazana kwestia wymaga doprecyzowania w objaśnieniach podatkowych. </w:t>
      </w:r>
    </w:p>
    <w:p w14:paraId="028F9E42" w14:textId="77777777" w:rsidR="00DC240C" w:rsidRPr="00AD2C0E" w:rsidRDefault="00DC240C" w:rsidP="00DC240C">
      <w:pPr>
        <w:rPr>
          <w:rFonts w:cs="Calibri"/>
          <w:b/>
        </w:rPr>
      </w:pPr>
    </w:p>
    <w:p w14:paraId="5AB70A30" w14:textId="77777777" w:rsidR="00DC240C" w:rsidRPr="00AD2C0E" w:rsidRDefault="00DC240C" w:rsidP="00DC240C">
      <w:pPr>
        <w:numPr>
          <w:ilvl w:val="0"/>
          <w:numId w:val="33"/>
        </w:numPr>
        <w:suppressAutoHyphens/>
        <w:rPr>
          <w:rFonts w:cs="Calibri"/>
          <w:b/>
        </w:rPr>
      </w:pPr>
      <w:r w:rsidRPr="00AD2C0E">
        <w:rPr>
          <w:rFonts w:cs="Calibri"/>
          <w:b/>
        </w:rPr>
        <w:t>Dokonywanie korekt miesięcznych</w:t>
      </w:r>
    </w:p>
    <w:p w14:paraId="3B0EC6D4" w14:textId="77777777" w:rsidR="00DC240C" w:rsidRPr="00AD2C0E" w:rsidRDefault="00DC240C" w:rsidP="00DC240C">
      <w:pPr>
        <w:rPr>
          <w:rFonts w:cs="Calibri"/>
          <w:b/>
        </w:rPr>
      </w:pPr>
    </w:p>
    <w:p w14:paraId="40EE995E" w14:textId="186C180B" w:rsidR="00DC240C" w:rsidRPr="00AD2C0E" w:rsidRDefault="00DC240C" w:rsidP="00DC240C">
      <w:pPr>
        <w:rPr>
          <w:rFonts w:cs="Calibri"/>
        </w:rPr>
      </w:pPr>
      <w:r>
        <w:rPr>
          <w:rFonts w:cs="Calibri"/>
        </w:rPr>
        <w:t>Moim z</w:t>
      </w:r>
      <w:r w:rsidRPr="00AD2C0E">
        <w:rPr>
          <w:rFonts w:cs="Calibri"/>
        </w:rPr>
        <w:t>daniem, gdy w rozumieniu art. 11e ustawy o CIT korekta cen transferowych odnosi się do każdej, pojedynczej korekty ceny transferowej, wyjaśnienia wymaga czy:</w:t>
      </w:r>
    </w:p>
    <w:p w14:paraId="1C7E89A3" w14:textId="77777777" w:rsidR="00DC240C" w:rsidRPr="00AD2C0E" w:rsidRDefault="00DC240C" w:rsidP="00DC240C">
      <w:pPr>
        <w:numPr>
          <w:ilvl w:val="0"/>
          <w:numId w:val="37"/>
        </w:numPr>
        <w:suppressAutoHyphens/>
        <w:spacing w:before="120"/>
        <w:ind w:left="709" w:hanging="304"/>
        <w:rPr>
          <w:rFonts w:cs="Calibri"/>
        </w:rPr>
      </w:pPr>
      <w:r w:rsidRPr="00AD2C0E">
        <w:rPr>
          <w:rFonts w:cs="Calibri"/>
        </w:rPr>
        <w:t xml:space="preserve">dla podatników nie wpłacających zaliczek uproszczonych – w przypadku dokonywania miesięcznych korekt cen transferowych „na bieżąco” (tj. przed upływem zapłaty zaliczki na podatek dochodowy za dany miesiąc) </w:t>
      </w:r>
    </w:p>
    <w:p w14:paraId="3D72E790" w14:textId="7539FBCD" w:rsidR="00DC240C" w:rsidRPr="00AD2C0E" w:rsidRDefault="00DC240C" w:rsidP="00DC240C">
      <w:pPr>
        <w:numPr>
          <w:ilvl w:val="0"/>
          <w:numId w:val="37"/>
        </w:numPr>
        <w:suppressAutoHyphens/>
        <w:spacing w:before="120"/>
        <w:ind w:left="709" w:hanging="304"/>
        <w:rPr>
          <w:rFonts w:cs="Calibri"/>
        </w:rPr>
      </w:pPr>
      <w:r w:rsidRPr="00AD2C0E">
        <w:rPr>
          <w:rFonts w:cs="Calibri"/>
        </w:rPr>
        <w:t>dla podatnik</w:t>
      </w:r>
      <w:r w:rsidR="000B02C6">
        <w:rPr>
          <w:rFonts w:cs="Calibri"/>
        </w:rPr>
        <w:t>ów</w:t>
      </w:r>
      <w:r w:rsidRPr="00AD2C0E">
        <w:rPr>
          <w:rFonts w:cs="Calibri"/>
        </w:rPr>
        <w:t xml:space="preserve"> wpłacających zaliczki uproszczone;</w:t>
      </w:r>
    </w:p>
    <w:p w14:paraId="7C2A65BC" w14:textId="77777777" w:rsidR="00DC240C" w:rsidRPr="00AD2C0E" w:rsidRDefault="00DC240C" w:rsidP="00DC240C">
      <w:pPr>
        <w:spacing w:before="120"/>
        <w:rPr>
          <w:rFonts w:cs="Calibri"/>
        </w:rPr>
      </w:pPr>
      <w:r w:rsidRPr="00AD2C0E">
        <w:rPr>
          <w:rFonts w:cs="Calibri"/>
        </w:rPr>
        <w:t xml:space="preserve"> - podatnik zobowiązany jest do spełnienia warunków wskazanych w tym przepisie dla korekt </w:t>
      </w:r>
      <w:r>
        <w:rPr>
          <w:rFonts w:cs="Calibri"/>
        </w:rPr>
        <w:t xml:space="preserve">cen transferowych </w:t>
      </w:r>
      <w:r w:rsidRPr="00AD2C0E">
        <w:rPr>
          <w:rFonts w:cs="Calibri"/>
        </w:rPr>
        <w:t>niemających znaczenia dla rozliczeń podatkowych w trakcie roku.</w:t>
      </w:r>
    </w:p>
    <w:p w14:paraId="018DE91E" w14:textId="77777777" w:rsidR="00DC240C" w:rsidRPr="00AD2C0E" w:rsidRDefault="00DC240C" w:rsidP="00DC240C">
      <w:pPr>
        <w:rPr>
          <w:rFonts w:cs="Calibri"/>
        </w:rPr>
      </w:pPr>
    </w:p>
    <w:p w14:paraId="3C34D547" w14:textId="18F557B4" w:rsidR="00DC240C" w:rsidRPr="00AD2C0E" w:rsidRDefault="00DC240C" w:rsidP="00DC240C">
      <w:pPr>
        <w:rPr>
          <w:rFonts w:cs="Calibri"/>
        </w:rPr>
      </w:pPr>
      <w:r>
        <w:rPr>
          <w:rFonts w:cs="Calibri"/>
        </w:rPr>
        <w:t>Moim zdaniem</w:t>
      </w:r>
      <w:r w:rsidRPr="00AD2C0E">
        <w:rPr>
          <w:rFonts w:cs="Calibri"/>
        </w:rPr>
        <w:t>, brzmienie uzasadnienia do ustawy nowelizującej tj.:</w:t>
      </w:r>
    </w:p>
    <w:p w14:paraId="51E6D32B" w14:textId="77777777" w:rsidR="00DC240C" w:rsidRPr="00AD2C0E" w:rsidRDefault="00DC240C" w:rsidP="00DC240C">
      <w:pPr>
        <w:numPr>
          <w:ilvl w:val="0"/>
          <w:numId w:val="38"/>
        </w:numPr>
        <w:suppressAutoHyphens/>
        <w:spacing w:before="120"/>
        <w:ind w:left="760" w:hanging="357"/>
        <w:rPr>
          <w:rFonts w:cs="Calibri"/>
          <w:i/>
        </w:rPr>
      </w:pPr>
      <w:r w:rsidRPr="00AD2C0E">
        <w:rPr>
          <w:rFonts w:cs="Calibri"/>
          <w:i/>
        </w:rPr>
        <w:t xml:space="preserve">„Z uwagi na potencjalnie istotny wpływ możliwości dokonywania takich korekt </w:t>
      </w:r>
      <w:r w:rsidRPr="00A519F1">
        <w:rPr>
          <w:rFonts w:cs="Calibri"/>
          <w:b/>
          <w:i/>
        </w:rPr>
        <w:t>na dochody podatkowe Skarbu Państwa,</w:t>
      </w:r>
      <w:r w:rsidRPr="00AD2C0E">
        <w:rPr>
          <w:rFonts w:cs="Calibri"/>
          <w:i/>
        </w:rPr>
        <w:t xml:space="preserve"> wprowadzono warunki, które ograniczą możliwość nadużywania korekt cen transferowych przez podatników i </w:t>
      </w:r>
      <w:r w:rsidRPr="00A519F1">
        <w:rPr>
          <w:rFonts w:cs="Calibri"/>
          <w:b/>
          <w:i/>
        </w:rPr>
        <w:t>odpowiednio zabezpieczą interes Skarbu Państwa</w:t>
      </w:r>
      <w:r w:rsidRPr="00AD2C0E">
        <w:rPr>
          <w:rFonts w:cs="Calibri"/>
          <w:i/>
        </w:rPr>
        <w:t>.”</w:t>
      </w:r>
    </w:p>
    <w:p w14:paraId="1F3FFDC7" w14:textId="77777777" w:rsidR="00DC240C" w:rsidRPr="00A519F1" w:rsidRDefault="00DC240C" w:rsidP="00DC240C">
      <w:pPr>
        <w:numPr>
          <w:ilvl w:val="0"/>
          <w:numId w:val="38"/>
        </w:numPr>
        <w:suppressAutoHyphens/>
        <w:spacing w:before="120"/>
        <w:ind w:left="760" w:hanging="357"/>
        <w:rPr>
          <w:rFonts w:cs="Calibri"/>
          <w:b/>
          <w:i/>
        </w:rPr>
      </w:pPr>
      <w:r w:rsidRPr="00AD2C0E">
        <w:rPr>
          <w:rFonts w:cs="Calibri"/>
        </w:rPr>
        <w:t xml:space="preserve">wskazuje, iż celem wprowadzonej regulacji jest wyeliminowanie nadużywania korekt </w:t>
      </w:r>
      <w:r w:rsidRPr="00A519F1">
        <w:rPr>
          <w:rFonts w:cs="Calibri"/>
          <w:b/>
        </w:rPr>
        <w:t xml:space="preserve">mających wpływ na </w:t>
      </w:r>
      <w:r>
        <w:rPr>
          <w:rFonts w:cs="Calibri"/>
          <w:b/>
        </w:rPr>
        <w:t xml:space="preserve">interes Skarbu </w:t>
      </w:r>
      <w:r w:rsidRPr="00A519F1">
        <w:rPr>
          <w:rFonts w:cs="Calibri"/>
          <w:b/>
        </w:rPr>
        <w:t>Państwa</w:t>
      </w:r>
      <w:r>
        <w:rPr>
          <w:rFonts w:cs="Calibri"/>
          <w:b/>
        </w:rPr>
        <w:t>,</w:t>
      </w:r>
    </w:p>
    <w:p w14:paraId="74F77702" w14:textId="77777777" w:rsidR="00DC240C" w:rsidRPr="00AD2C0E" w:rsidRDefault="00DC240C" w:rsidP="00DC240C">
      <w:pPr>
        <w:numPr>
          <w:ilvl w:val="0"/>
          <w:numId w:val="38"/>
        </w:numPr>
        <w:suppressAutoHyphens/>
        <w:spacing w:before="120"/>
        <w:ind w:left="760" w:hanging="357"/>
        <w:rPr>
          <w:rFonts w:cs="Calibri"/>
        </w:rPr>
      </w:pPr>
      <w:r w:rsidRPr="00AD2C0E">
        <w:rPr>
          <w:rFonts w:cs="Calibri"/>
        </w:rPr>
        <w:t>z kolei w powyżej wskazanych przypadkach, dokonywane korekty przez podatnika nie wpływają w żaden sposób na wysokość zaliczek w trakcie w roku</w:t>
      </w:r>
      <w:r>
        <w:rPr>
          <w:rFonts w:cs="Calibri"/>
        </w:rPr>
        <w:t xml:space="preserve">, a więc pozostają obojętne na interes Skarbu Państwa. </w:t>
      </w:r>
      <w:r w:rsidRPr="00AD2C0E">
        <w:rPr>
          <w:rFonts w:cs="Calibri"/>
        </w:rPr>
        <w:t xml:space="preserve"> </w:t>
      </w:r>
    </w:p>
    <w:p w14:paraId="391E7686" w14:textId="7227872F" w:rsidR="00DC240C" w:rsidRDefault="00DC240C" w:rsidP="00DC240C">
      <w:pPr>
        <w:rPr>
          <w:rFonts w:cs="Calibri"/>
          <w:b/>
        </w:rPr>
      </w:pPr>
    </w:p>
    <w:p w14:paraId="2DAB57B3" w14:textId="77777777" w:rsidR="000B02C6" w:rsidRPr="00AD2C0E" w:rsidRDefault="000B02C6" w:rsidP="000B02C6">
      <w:pPr>
        <w:rPr>
          <w:rFonts w:cs="Calibri"/>
        </w:rPr>
      </w:pPr>
      <w:r>
        <w:rPr>
          <w:rFonts w:cs="Calibri"/>
        </w:rPr>
        <w:t>Moim zdaniem</w:t>
      </w:r>
      <w:r w:rsidRPr="00AD2C0E">
        <w:rPr>
          <w:rFonts w:cs="Calibri"/>
        </w:rPr>
        <w:t xml:space="preserve"> wskazana kwestia wymaga doprecyzowania w objaśnieniach podatkowych. </w:t>
      </w:r>
    </w:p>
    <w:p w14:paraId="370DF636" w14:textId="77777777" w:rsidR="000B02C6" w:rsidRPr="00AD2C0E" w:rsidRDefault="000B02C6" w:rsidP="00DC240C">
      <w:pPr>
        <w:rPr>
          <w:rFonts w:cs="Calibri"/>
          <w:b/>
        </w:rPr>
      </w:pPr>
    </w:p>
    <w:p w14:paraId="60B5C3C0" w14:textId="77777777" w:rsidR="00DC240C" w:rsidRPr="00AD2C0E" w:rsidRDefault="00DC240C" w:rsidP="00DC240C">
      <w:pPr>
        <w:pStyle w:val="Tekstpodstawowywcity"/>
        <w:widowControl w:val="0"/>
        <w:numPr>
          <w:ilvl w:val="0"/>
          <w:numId w:val="33"/>
        </w:numPr>
        <w:spacing w:after="0" w:line="300" w:lineRule="atLeast"/>
        <w:rPr>
          <w:rFonts w:ascii="Cambria" w:hAnsi="Cambria" w:cs="Calibri"/>
          <w:b/>
          <w:sz w:val="22"/>
          <w:szCs w:val="22"/>
          <w:lang w:val="pl-PL"/>
        </w:rPr>
      </w:pPr>
      <w:r w:rsidRPr="00AD2C0E">
        <w:rPr>
          <w:rFonts w:ascii="Cambria" w:hAnsi="Cambria" w:cs="Calibri"/>
          <w:b/>
          <w:sz w:val="22"/>
          <w:szCs w:val="22"/>
          <w:lang w:val="pl-PL"/>
        </w:rPr>
        <w:t>Metoda kalkulacji ceny transferowej w trakcie roku a metoda kalkulacji ceny transferowej w ramach korekty</w:t>
      </w:r>
    </w:p>
    <w:p w14:paraId="38238B1F" w14:textId="77777777" w:rsidR="00DC240C" w:rsidRPr="00AD2C0E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</w:p>
    <w:p w14:paraId="469CED18" w14:textId="1E8BD0B6" w:rsidR="00DC240C" w:rsidRPr="00AD2C0E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  <w:r>
        <w:rPr>
          <w:rFonts w:ascii="Cambria" w:hAnsi="Cambria" w:cs="Calibri"/>
          <w:sz w:val="22"/>
          <w:szCs w:val="22"/>
          <w:lang w:val="pl-PL"/>
        </w:rPr>
        <w:t>Moim zdaniem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 wyjaśnienia wymaga, czy podatnik, dla celów spełnienia warunku wskazanego w </w:t>
      </w:r>
      <w:r w:rsidRPr="00AD2C0E">
        <w:rPr>
          <w:rFonts w:ascii="Cambria" w:hAnsi="Cambria" w:cs="Calibri"/>
          <w:sz w:val="22"/>
          <w:szCs w:val="22"/>
          <w:lang w:val="pl-PL"/>
        </w:rPr>
        <w:lastRenderedPageBreak/>
        <w:t>art. 11e pkt 1</w:t>
      </w:r>
      <w:r w:rsidR="000B02C6">
        <w:rPr>
          <w:rFonts w:ascii="Cambria" w:hAnsi="Cambria" w:cs="Calibri"/>
          <w:sz w:val="22"/>
          <w:szCs w:val="22"/>
          <w:lang w:val="pl-PL"/>
        </w:rPr>
        <w:t>)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 ustawy o CIT, powinien:</w:t>
      </w:r>
    </w:p>
    <w:p w14:paraId="0D407A7A" w14:textId="77777777" w:rsidR="00DC240C" w:rsidRPr="00AD2C0E" w:rsidRDefault="00DC240C" w:rsidP="00DC240C">
      <w:pPr>
        <w:pStyle w:val="Tekstpodstawowywcity"/>
        <w:widowControl w:val="0"/>
        <w:numPr>
          <w:ilvl w:val="0"/>
          <w:numId w:val="30"/>
        </w:numPr>
        <w:spacing w:before="120" w:after="0" w:line="300" w:lineRule="atLeast"/>
        <w:ind w:hanging="357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sz w:val="22"/>
          <w:szCs w:val="22"/>
          <w:lang w:val="pl-PL"/>
        </w:rPr>
        <w:t>zarówno w trakcie roku</w:t>
      </w:r>
    </w:p>
    <w:p w14:paraId="7DA75C1B" w14:textId="77777777" w:rsidR="00DC240C" w:rsidRPr="00AD2C0E" w:rsidRDefault="00DC240C" w:rsidP="00DC240C">
      <w:pPr>
        <w:pStyle w:val="Tekstpodstawowywcity"/>
        <w:widowControl w:val="0"/>
        <w:numPr>
          <w:ilvl w:val="0"/>
          <w:numId w:val="30"/>
        </w:numPr>
        <w:spacing w:before="120" w:after="0" w:line="300" w:lineRule="atLeast"/>
        <w:ind w:hanging="357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sz w:val="22"/>
          <w:szCs w:val="22"/>
          <w:lang w:val="pl-PL"/>
        </w:rPr>
        <w:t>jak i w ramach dokonywanej korekty,</w:t>
      </w:r>
    </w:p>
    <w:p w14:paraId="18856415" w14:textId="77777777" w:rsidR="00DC240C" w:rsidRPr="00AD2C0E" w:rsidRDefault="00DC240C" w:rsidP="00DC240C">
      <w:pPr>
        <w:pStyle w:val="Tekstpodstawowywcity"/>
        <w:widowControl w:val="0"/>
        <w:numPr>
          <w:ilvl w:val="0"/>
          <w:numId w:val="31"/>
        </w:numPr>
        <w:spacing w:before="120" w:after="0" w:line="300" w:lineRule="atLeast"/>
        <w:ind w:hanging="357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sz w:val="22"/>
          <w:szCs w:val="22"/>
          <w:lang w:val="pl-PL"/>
        </w:rPr>
        <w:t xml:space="preserve">stosować jedną, spójną metodę </w:t>
      </w:r>
      <w:r>
        <w:rPr>
          <w:rFonts w:ascii="Cambria" w:hAnsi="Cambria" w:cs="Calibri"/>
          <w:sz w:val="22"/>
          <w:szCs w:val="22"/>
          <w:lang w:val="pl-PL"/>
        </w:rPr>
        <w:t>kalkulacji ceny transferowej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. </w:t>
      </w:r>
    </w:p>
    <w:p w14:paraId="505D3F3D" w14:textId="77777777" w:rsidR="00DC240C" w:rsidRPr="00AD2C0E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</w:rPr>
      </w:pPr>
    </w:p>
    <w:p w14:paraId="244FD730" w14:textId="28492575" w:rsidR="00DC240C" w:rsidRPr="00AD2C0E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  <w:r>
        <w:rPr>
          <w:rFonts w:ascii="Cambria" w:hAnsi="Cambria" w:cs="Calibri"/>
          <w:sz w:val="22"/>
          <w:szCs w:val="22"/>
          <w:lang w:val="pl-PL"/>
        </w:rPr>
        <w:t>Moim z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daniem, brzmienie regulacji wskazuje, iż stosowana metoda rozliczeń w trakcie roku powinna być spójna z metodą rozliczenia korekty. Dla przykładu, </w:t>
      </w:r>
      <w:r>
        <w:rPr>
          <w:rFonts w:ascii="Cambria" w:hAnsi="Cambria" w:cs="Calibri"/>
          <w:sz w:val="22"/>
          <w:szCs w:val="22"/>
          <w:lang w:val="pl-PL"/>
        </w:rPr>
        <w:t xml:space="preserve">moim 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zdaniem nie </w:t>
      </w:r>
      <w:r w:rsidR="000B02C6">
        <w:rPr>
          <w:rFonts w:ascii="Cambria" w:hAnsi="Cambria" w:cs="Calibri"/>
          <w:sz w:val="22"/>
          <w:szCs w:val="22"/>
          <w:lang w:val="pl-PL"/>
        </w:rPr>
        <w:t xml:space="preserve">powinna </w:t>
      </w:r>
      <w:r w:rsidRPr="00AD2C0E">
        <w:rPr>
          <w:rFonts w:ascii="Cambria" w:hAnsi="Cambria" w:cs="Calibri"/>
          <w:sz w:val="22"/>
          <w:szCs w:val="22"/>
          <w:lang w:val="pl-PL"/>
        </w:rPr>
        <w:t>mieć miejsca w sytuacja w której:</w:t>
      </w:r>
    </w:p>
    <w:p w14:paraId="25FEFF9E" w14:textId="77777777" w:rsidR="00DC240C" w:rsidRPr="00AD2C0E" w:rsidRDefault="00DC240C" w:rsidP="00DC240C">
      <w:pPr>
        <w:pStyle w:val="Tekstpodstawowywcity"/>
        <w:widowControl w:val="0"/>
        <w:numPr>
          <w:ilvl w:val="0"/>
          <w:numId w:val="32"/>
        </w:numPr>
        <w:spacing w:before="120" w:after="0" w:line="300" w:lineRule="atLeast"/>
        <w:ind w:left="714" w:hanging="357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sz w:val="22"/>
          <w:szCs w:val="22"/>
          <w:lang w:val="pl-PL"/>
        </w:rPr>
        <w:t>podatnik w trakcie roku produkuje i sprzedaje wyroby do podmiotu powiązanego po cenie obejmującej koszty bezpośrednie i pośrednie związane z produkcją (bez kosztów ogólnych) powiększone o narzut marży;</w:t>
      </w:r>
    </w:p>
    <w:p w14:paraId="42A10632" w14:textId="5CFC3062" w:rsidR="00DC240C" w:rsidRPr="00AD2C0E" w:rsidRDefault="00DC240C" w:rsidP="00DC240C">
      <w:pPr>
        <w:pStyle w:val="Tekstpodstawowywcity"/>
        <w:widowControl w:val="0"/>
        <w:numPr>
          <w:ilvl w:val="0"/>
          <w:numId w:val="32"/>
        </w:numPr>
        <w:spacing w:before="120" w:after="0" w:line="300" w:lineRule="atLeast"/>
        <w:ind w:left="714" w:hanging="357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sz w:val="22"/>
          <w:szCs w:val="22"/>
          <w:lang w:val="pl-PL"/>
        </w:rPr>
        <w:t xml:space="preserve">z kolei na koniec roku dokonuje rocznej korekty rentowności przy użyciu wskaźnika marży operacyjnej opartego na </w:t>
      </w:r>
      <w:proofErr w:type="spellStart"/>
      <w:r w:rsidRPr="00AD2C0E">
        <w:rPr>
          <w:rFonts w:ascii="Cambria" w:hAnsi="Cambria" w:cs="Calibri"/>
          <w:sz w:val="22"/>
          <w:szCs w:val="22"/>
          <w:lang w:val="pl-PL"/>
        </w:rPr>
        <w:t>RZiS</w:t>
      </w:r>
      <w:proofErr w:type="spellEnd"/>
      <w:r w:rsidRPr="00AD2C0E">
        <w:rPr>
          <w:rFonts w:ascii="Cambria" w:hAnsi="Cambria" w:cs="Calibri"/>
          <w:sz w:val="22"/>
          <w:szCs w:val="22"/>
          <w:lang w:val="pl-PL"/>
        </w:rPr>
        <w:t xml:space="preserve"> (</w:t>
      </w:r>
      <w:r w:rsidR="000B02C6">
        <w:rPr>
          <w:rFonts w:ascii="Cambria" w:hAnsi="Cambria" w:cs="Calibri"/>
          <w:sz w:val="22"/>
          <w:szCs w:val="22"/>
          <w:lang w:val="pl-PL"/>
        </w:rPr>
        <w:t>EBIT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/koszty operacyjne). </w:t>
      </w:r>
    </w:p>
    <w:p w14:paraId="3677960A" w14:textId="77777777" w:rsidR="00DC240C" w:rsidRPr="00AD2C0E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</w:p>
    <w:p w14:paraId="24C3CA5D" w14:textId="09626E56" w:rsidR="00DC240C" w:rsidRPr="00AD2C0E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  <w:r>
        <w:rPr>
          <w:rFonts w:ascii="Cambria" w:hAnsi="Cambria" w:cs="Calibri"/>
          <w:sz w:val="22"/>
          <w:szCs w:val="22"/>
          <w:lang w:val="pl-PL"/>
        </w:rPr>
        <w:t>Moim z</w:t>
      </w:r>
      <w:r w:rsidRPr="00AD2C0E">
        <w:rPr>
          <w:rFonts w:ascii="Cambria" w:hAnsi="Cambria" w:cs="Calibri"/>
          <w:sz w:val="22"/>
          <w:szCs w:val="22"/>
          <w:lang w:val="pl-PL"/>
        </w:rPr>
        <w:t>daniem, z uwagi na brzmienie regulacji, w takiej sytuacji nie można uznać, iż:</w:t>
      </w:r>
    </w:p>
    <w:p w14:paraId="06370544" w14:textId="77777777" w:rsidR="00DC240C" w:rsidRPr="00AD2C0E" w:rsidRDefault="00DC240C" w:rsidP="00DC240C">
      <w:pPr>
        <w:pStyle w:val="Tekstpodstawowywcity"/>
        <w:widowControl w:val="0"/>
        <w:numPr>
          <w:ilvl w:val="0"/>
          <w:numId w:val="35"/>
        </w:numPr>
        <w:spacing w:before="120" w:after="0" w:line="300" w:lineRule="atLeast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i/>
          <w:sz w:val="22"/>
          <w:szCs w:val="22"/>
          <w:lang w:val="pl-PL"/>
        </w:rPr>
        <w:t xml:space="preserve">„w transakcjach kontrolowanych realizowanych przez podatnika w trakcie roku podatkowego ustalone zostały warunki, które ustaliłyby podmioty niepowiązane”  </w:t>
      </w:r>
      <w:r w:rsidRPr="00AD2C0E">
        <w:rPr>
          <w:rFonts w:ascii="Cambria" w:hAnsi="Cambria" w:cs="Calibri"/>
          <w:sz w:val="22"/>
          <w:szCs w:val="22"/>
          <w:lang w:val="pl-PL"/>
        </w:rPr>
        <w:t>bowiem</w:t>
      </w:r>
    </w:p>
    <w:p w14:paraId="07D1AD04" w14:textId="77777777" w:rsidR="00DC240C" w:rsidRPr="00AD2C0E" w:rsidRDefault="00DC240C" w:rsidP="00DC240C">
      <w:pPr>
        <w:pStyle w:val="Tekstpodstawowywcity"/>
        <w:widowControl w:val="0"/>
        <w:numPr>
          <w:ilvl w:val="0"/>
          <w:numId w:val="35"/>
        </w:numPr>
        <w:spacing w:before="120" w:after="0" w:line="300" w:lineRule="atLeast"/>
        <w:rPr>
          <w:rFonts w:ascii="Cambria" w:hAnsi="Cambria" w:cs="Calibri"/>
          <w:sz w:val="22"/>
          <w:szCs w:val="22"/>
          <w:lang w:val="pl-PL"/>
        </w:rPr>
      </w:pPr>
      <w:r w:rsidRPr="00AD2C0E">
        <w:rPr>
          <w:rFonts w:ascii="Cambria" w:hAnsi="Cambria" w:cs="Calibri"/>
          <w:sz w:val="22"/>
          <w:szCs w:val="22"/>
          <w:lang w:val="pl-PL"/>
        </w:rPr>
        <w:t xml:space="preserve">metoda rozliczeń stosowana w trakcie roku nie może zostać uznana za „rynkową”, skoro metoda korekty cen transferowych (obejmująca rozliczenia </w:t>
      </w:r>
      <w:r>
        <w:rPr>
          <w:rFonts w:ascii="Cambria" w:hAnsi="Cambria" w:cs="Calibri"/>
          <w:sz w:val="22"/>
          <w:szCs w:val="22"/>
          <w:lang w:val="pl-PL"/>
        </w:rPr>
        <w:t xml:space="preserve">dotyczące transakcji realizowanych 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w trakcie roku) jest inna niż ta stosowana </w:t>
      </w:r>
      <w:r>
        <w:rPr>
          <w:rFonts w:ascii="Cambria" w:hAnsi="Cambria" w:cs="Calibri"/>
          <w:sz w:val="22"/>
          <w:szCs w:val="22"/>
          <w:lang w:val="pl-PL"/>
        </w:rPr>
        <w:t xml:space="preserve">metoda kalkulacji ceny transferowej </w:t>
      </w:r>
      <w:r w:rsidRPr="00AD2C0E">
        <w:rPr>
          <w:rFonts w:ascii="Cambria" w:hAnsi="Cambria" w:cs="Calibri"/>
          <w:sz w:val="22"/>
          <w:szCs w:val="22"/>
          <w:lang w:val="pl-PL"/>
        </w:rPr>
        <w:t xml:space="preserve">w trakcie roku. </w:t>
      </w:r>
    </w:p>
    <w:p w14:paraId="11E7257C" w14:textId="172DAEC0" w:rsidR="00DC240C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</w:rPr>
      </w:pPr>
    </w:p>
    <w:p w14:paraId="529165E4" w14:textId="77777777" w:rsidR="00EE3A0E" w:rsidRPr="00AD2C0E" w:rsidRDefault="00EE3A0E" w:rsidP="00EE3A0E">
      <w:pPr>
        <w:rPr>
          <w:rFonts w:cs="Calibri"/>
        </w:rPr>
      </w:pPr>
      <w:r>
        <w:rPr>
          <w:rFonts w:cs="Calibri"/>
        </w:rPr>
        <w:t>Moim zdaniem</w:t>
      </w:r>
      <w:r w:rsidRPr="00AD2C0E">
        <w:rPr>
          <w:rFonts w:cs="Calibri"/>
        </w:rPr>
        <w:t xml:space="preserve"> wskazana kwestia wymaga doprecyzowania w objaśnieniach podatkowych. </w:t>
      </w:r>
    </w:p>
    <w:p w14:paraId="01CA8D0A" w14:textId="77777777" w:rsidR="00EE3A0E" w:rsidRDefault="00EE3A0E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</w:rPr>
      </w:pPr>
    </w:p>
    <w:p w14:paraId="6B95ADE8" w14:textId="77777777" w:rsidR="00DC240C" w:rsidRDefault="00DC240C" w:rsidP="00DC240C">
      <w:pPr>
        <w:widowControl w:val="0"/>
        <w:numPr>
          <w:ilvl w:val="0"/>
          <w:numId w:val="29"/>
        </w:numPr>
        <w:suppressAutoHyphens/>
        <w:rPr>
          <w:rFonts w:cs="Calibri"/>
          <w:b/>
        </w:rPr>
      </w:pPr>
      <w:r w:rsidRPr="0049189A">
        <w:rPr>
          <w:rFonts w:cs="Calibri"/>
          <w:b/>
        </w:rPr>
        <w:t>Par. 2 pkt 1 R</w:t>
      </w:r>
      <w:r>
        <w:rPr>
          <w:rFonts w:cs="Calibri"/>
          <w:b/>
        </w:rPr>
        <w:t xml:space="preserve">ozporządzenia Ministra Finansów </w:t>
      </w:r>
      <w:r w:rsidRPr="0049189A">
        <w:rPr>
          <w:rFonts w:cs="Calibri"/>
          <w:b/>
        </w:rPr>
        <w:t>z dnia 21 grudnia 2018 r.</w:t>
      </w:r>
      <w:r>
        <w:rPr>
          <w:rFonts w:cs="Calibri"/>
          <w:b/>
        </w:rPr>
        <w:t xml:space="preserve"> </w:t>
      </w:r>
      <w:r w:rsidRPr="0049189A">
        <w:rPr>
          <w:rFonts w:cs="Calibri"/>
          <w:b/>
        </w:rPr>
        <w:t>w sprawie cen transferowych w zakresie podatku dochodowego od osób prawnych</w:t>
      </w:r>
    </w:p>
    <w:p w14:paraId="683D8F65" w14:textId="77777777" w:rsidR="00DC240C" w:rsidRDefault="00DC240C" w:rsidP="00DC240C">
      <w:pPr>
        <w:widowControl w:val="0"/>
        <w:rPr>
          <w:rFonts w:cs="Calibri"/>
          <w:b/>
        </w:rPr>
      </w:pPr>
    </w:p>
    <w:p w14:paraId="1CB3081C" w14:textId="13ADE62E" w:rsidR="00DC240C" w:rsidRDefault="00DC240C" w:rsidP="00DC240C">
      <w:pPr>
        <w:widowControl w:val="0"/>
        <w:rPr>
          <w:rFonts w:cs="Calibri"/>
        </w:rPr>
      </w:pPr>
      <w:r>
        <w:rPr>
          <w:rFonts w:cs="Calibri"/>
        </w:rPr>
        <w:t>Moim z</w:t>
      </w:r>
      <w:r w:rsidRPr="0049189A">
        <w:rPr>
          <w:rFonts w:cs="Calibri"/>
        </w:rPr>
        <w:t xml:space="preserve">daniem, wymaga wyjaśnienia, czy w przypadku gdy reorganizacja </w:t>
      </w:r>
      <w:r>
        <w:rPr>
          <w:rFonts w:cs="Calibri"/>
        </w:rPr>
        <w:t xml:space="preserve">dokonana </w:t>
      </w:r>
      <w:r w:rsidRPr="0049189A">
        <w:rPr>
          <w:rFonts w:cs="Calibri"/>
        </w:rPr>
        <w:t xml:space="preserve">pomiędzy podmiotami powiązanymi nie spełnia warunku uznania jej za restrukturyzację, strony reorganizacji powinny ustalić </w:t>
      </w:r>
      <w:r>
        <w:rPr>
          <w:rFonts w:cs="Calibri"/>
        </w:rPr>
        <w:t xml:space="preserve">wynagrodzenie </w:t>
      </w:r>
      <w:r w:rsidRPr="0049189A">
        <w:rPr>
          <w:rFonts w:cs="Calibri"/>
        </w:rPr>
        <w:t xml:space="preserve">z tytułu </w:t>
      </w:r>
      <w:r>
        <w:rPr>
          <w:rFonts w:cs="Calibri"/>
        </w:rPr>
        <w:t>tej reorganizacji</w:t>
      </w:r>
      <w:r w:rsidRPr="0049189A">
        <w:rPr>
          <w:rFonts w:cs="Calibri"/>
        </w:rPr>
        <w:t xml:space="preserve">. </w:t>
      </w:r>
    </w:p>
    <w:p w14:paraId="1B4ADBA9" w14:textId="77777777" w:rsidR="00DC240C" w:rsidRDefault="00DC240C" w:rsidP="00DC240C">
      <w:pPr>
        <w:widowControl w:val="0"/>
        <w:rPr>
          <w:rFonts w:cs="Calibri"/>
        </w:rPr>
      </w:pPr>
    </w:p>
    <w:p w14:paraId="21D9B2CB" w14:textId="6C42AF9D" w:rsidR="00DC240C" w:rsidRDefault="00D649FB" w:rsidP="00DC240C">
      <w:pPr>
        <w:widowControl w:val="0"/>
        <w:rPr>
          <w:rFonts w:cs="Calibri"/>
        </w:rPr>
      </w:pPr>
      <w:r>
        <w:rPr>
          <w:rFonts w:cs="Calibri"/>
        </w:rPr>
        <w:t>Moim zdaniem</w:t>
      </w:r>
      <w:r w:rsidR="00DC240C">
        <w:rPr>
          <w:rFonts w:cs="Calibri"/>
        </w:rPr>
        <w:t xml:space="preserve">, </w:t>
      </w:r>
      <w:r w:rsidR="00DC240C" w:rsidRPr="0049189A">
        <w:rPr>
          <w:rFonts w:cs="Calibri"/>
        </w:rPr>
        <w:t xml:space="preserve">gdy </w:t>
      </w:r>
      <w:r w:rsidR="00DC240C">
        <w:rPr>
          <w:rFonts w:cs="Calibri"/>
        </w:rPr>
        <w:t>np. w przypadku przeniesienia przez podmiot powiązany X do podmiotu powiązanego Y linii produkcyjnej (przeniesienie „części biznesu”) mającej znamiona „</w:t>
      </w:r>
      <w:r w:rsidR="00DC240C" w:rsidRPr="00246767">
        <w:rPr>
          <w:rFonts w:cs="Calibri"/>
          <w:i/>
        </w:rPr>
        <w:t>istotn</w:t>
      </w:r>
      <w:r w:rsidR="00DC240C">
        <w:rPr>
          <w:rFonts w:cs="Calibri"/>
          <w:i/>
        </w:rPr>
        <w:t>ej</w:t>
      </w:r>
      <w:r w:rsidR="00DC240C" w:rsidRPr="00246767">
        <w:rPr>
          <w:rFonts w:cs="Calibri"/>
          <w:i/>
        </w:rPr>
        <w:t xml:space="preserve"> zmian</w:t>
      </w:r>
      <w:r w:rsidR="00DC240C">
        <w:rPr>
          <w:rFonts w:cs="Calibri"/>
          <w:i/>
        </w:rPr>
        <w:t>y</w:t>
      </w:r>
      <w:r w:rsidR="00DC240C" w:rsidRPr="00246767">
        <w:rPr>
          <w:rFonts w:cs="Calibri"/>
          <w:i/>
        </w:rPr>
        <w:t xml:space="preserve"> relacji handlowych lub finansowych</w:t>
      </w:r>
      <w:r w:rsidR="00DC240C">
        <w:rPr>
          <w:rFonts w:cs="Calibri"/>
          <w:i/>
        </w:rPr>
        <w:t>”</w:t>
      </w:r>
      <w:r w:rsidR="00DC240C" w:rsidRPr="00246767">
        <w:rPr>
          <w:rFonts w:cs="Calibri"/>
        </w:rPr>
        <w:t>, oraz</w:t>
      </w:r>
      <w:r w:rsidR="00DC240C">
        <w:rPr>
          <w:rFonts w:cs="Calibri"/>
        </w:rPr>
        <w:t xml:space="preserve"> </w:t>
      </w:r>
      <w:r w:rsidR="00DC240C" w:rsidRPr="00246767">
        <w:rPr>
          <w:rFonts w:cs="Calibri"/>
          <w:i/>
        </w:rPr>
        <w:t>„wiąże się z przeniesieniem pomiędzy podmiotami powiązanymi funkcji, aktywów lub kategorii ryzyka</w:t>
      </w:r>
      <w:r w:rsidR="00DC240C" w:rsidRPr="00246767">
        <w:rPr>
          <w:rFonts w:cs="Calibri"/>
        </w:rPr>
        <w:t xml:space="preserve">, </w:t>
      </w:r>
      <w:r w:rsidR="00DC240C" w:rsidRPr="00246767">
        <w:rPr>
          <w:rFonts w:cs="Calibri"/>
          <w:b/>
        </w:rPr>
        <w:t>ale</w:t>
      </w:r>
      <w:r w:rsidR="00DC240C">
        <w:rPr>
          <w:rFonts w:cs="Calibri"/>
        </w:rPr>
        <w:t>:</w:t>
      </w:r>
    </w:p>
    <w:p w14:paraId="37ACEBC4" w14:textId="77777777" w:rsidR="00DC240C" w:rsidRDefault="00DC240C" w:rsidP="00DC240C">
      <w:pPr>
        <w:widowControl w:val="0"/>
        <w:numPr>
          <w:ilvl w:val="0"/>
          <w:numId w:val="39"/>
        </w:numPr>
        <w:suppressAutoHyphens/>
        <w:spacing w:before="120"/>
        <w:ind w:left="714" w:hanging="357"/>
        <w:rPr>
          <w:rFonts w:cs="Calibri"/>
        </w:rPr>
      </w:pPr>
      <w:r>
        <w:rPr>
          <w:rFonts w:cs="Calibri"/>
        </w:rPr>
        <w:t xml:space="preserve">w </w:t>
      </w:r>
      <w:r w:rsidRPr="00246767">
        <w:rPr>
          <w:rFonts w:cs="Calibri"/>
        </w:rPr>
        <w:t>wyniku tego przeniesienia przewidywany średnioroczny wynik finansowy podatnika przed odsetkami i opodatkowaniem (EBIT)</w:t>
      </w:r>
      <w:r>
        <w:rPr>
          <w:rFonts w:cs="Calibri"/>
        </w:rPr>
        <w:t xml:space="preserve"> </w:t>
      </w:r>
      <w:r w:rsidRPr="00246767">
        <w:rPr>
          <w:rFonts w:cs="Calibri"/>
        </w:rPr>
        <w:t xml:space="preserve">w trzyletnim okresie po tym przeniesieniu </w:t>
      </w:r>
      <w:r w:rsidRPr="00246767">
        <w:rPr>
          <w:rFonts w:cs="Calibri"/>
          <w:b/>
        </w:rPr>
        <w:t>nie uległby</w:t>
      </w:r>
      <w:r w:rsidRPr="00246767">
        <w:rPr>
          <w:rFonts w:cs="Calibri"/>
        </w:rPr>
        <w:t xml:space="preserve"> zmianie o co najmniej 20% przewidywanego średniorocznego EBIT w tym samym okresie, gdyby nie dokonano przeniesienia</w:t>
      </w:r>
      <w:r>
        <w:rPr>
          <w:rFonts w:cs="Calibri"/>
        </w:rPr>
        <w:t>;</w:t>
      </w:r>
    </w:p>
    <w:p w14:paraId="7FDD85C2" w14:textId="77777777" w:rsidR="00DC240C" w:rsidRPr="00246767" w:rsidRDefault="00DC240C" w:rsidP="00DC240C">
      <w:pPr>
        <w:widowControl w:val="0"/>
        <w:numPr>
          <w:ilvl w:val="0"/>
          <w:numId w:val="39"/>
        </w:numPr>
        <w:suppressAutoHyphens/>
        <w:spacing w:before="120"/>
        <w:ind w:left="714" w:hanging="357"/>
        <w:rPr>
          <w:rFonts w:cs="Calibri"/>
        </w:rPr>
      </w:pPr>
      <w:r w:rsidRPr="00246767">
        <w:rPr>
          <w:rFonts w:cs="Calibri"/>
        </w:rPr>
        <w:t xml:space="preserve">strony transakcji – obok wynagrodzenia za </w:t>
      </w:r>
      <w:r>
        <w:rPr>
          <w:rFonts w:cs="Calibri"/>
        </w:rPr>
        <w:t xml:space="preserve">sprzedawaną </w:t>
      </w:r>
      <w:r w:rsidRPr="00246767">
        <w:rPr>
          <w:rFonts w:cs="Calibri"/>
        </w:rPr>
        <w:t>linię produkcyjną</w:t>
      </w:r>
      <w:r>
        <w:rPr>
          <w:rFonts w:cs="Calibri"/>
        </w:rPr>
        <w:t xml:space="preserve"> (kalkulowanego według ceny rynkowej poszczególnych składników linii)</w:t>
      </w:r>
      <w:r w:rsidRPr="00246767">
        <w:rPr>
          <w:rFonts w:cs="Calibri"/>
        </w:rPr>
        <w:t xml:space="preserve"> – nie są zobowiązane do ustalenia wynagrodzenia z tytułu tej reorganizacji.   </w:t>
      </w:r>
    </w:p>
    <w:p w14:paraId="70614F39" w14:textId="77777777" w:rsidR="00DC240C" w:rsidRPr="00AD2C0E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</w:rPr>
      </w:pPr>
    </w:p>
    <w:p w14:paraId="60291F56" w14:textId="4CD451AF" w:rsidR="00DC240C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</w:rPr>
      </w:pPr>
      <w:r w:rsidRPr="00AD2C0E">
        <w:rPr>
          <w:rFonts w:ascii="Cambria" w:hAnsi="Cambria" w:cs="Calibri"/>
          <w:sz w:val="22"/>
          <w:szCs w:val="22"/>
        </w:rPr>
        <w:lastRenderedPageBreak/>
        <w:t>Z poważaniem</w:t>
      </w:r>
    </w:p>
    <w:p w14:paraId="084E7BFF" w14:textId="45F79BCF" w:rsidR="00DC240C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</w:rPr>
      </w:pPr>
    </w:p>
    <w:p w14:paraId="47213A8D" w14:textId="5463B163" w:rsidR="00DC240C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  <w:r>
        <w:rPr>
          <w:rFonts w:ascii="Cambria" w:hAnsi="Cambria" w:cs="Calibri"/>
          <w:sz w:val="22"/>
          <w:szCs w:val="22"/>
          <w:lang w:val="pl-PL"/>
        </w:rPr>
        <w:t>Remigiusz Markiel</w:t>
      </w:r>
    </w:p>
    <w:p w14:paraId="2AA6DACC" w14:textId="43F9C9BD" w:rsidR="00EB722F" w:rsidRDefault="00DC240C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  <w:r>
        <w:rPr>
          <w:rFonts w:ascii="Cambria" w:hAnsi="Cambria" w:cs="Calibri"/>
          <w:sz w:val="22"/>
          <w:szCs w:val="22"/>
          <w:lang w:val="pl-PL"/>
        </w:rPr>
        <w:t>Doradca podatkowy nr wpisu 13149</w:t>
      </w:r>
    </w:p>
    <w:p w14:paraId="60BD25A9" w14:textId="535AA19B" w:rsidR="00033319" w:rsidRDefault="00033319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</w:p>
    <w:p w14:paraId="5288295E" w14:textId="77777777" w:rsidR="00033319" w:rsidRDefault="00033319" w:rsidP="00033319">
      <w:pPr>
        <w:rPr>
          <w:i/>
        </w:rPr>
      </w:pPr>
      <w:r>
        <w:rPr>
          <w:i/>
        </w:rPr>
        <w:t>„Wyrażam zgodę na przetwarzanie moich danych osobowych w związku udziałem w procesie konsultacji podatkowych w sprawie nowych regulacji w zakresie cen transferowych,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</w:t>
      </w:r>
    </w:p>
    <w:p w14:paraId="56F68FA6" w14:textId="77777777" w:rsidR="00033319" w:rsidRPr="00DC240C" w:rsidRDefault="00033319" w:rsidP="00DC240C">
      <w:pPr>
        <w:pStyle w:val="Tekstpodstawowywcity"/>
        <w:widowControl w:val="0"/>
        <w:spacing w:after="0" w:line="300" w:lineRule="atLeast"/>
        <w:ind w:left="0"/>
        <w:rPr>
          <w:rFonts w:ascii="Cambria" w:hAnsi="Cambria" w:cs="Calibri"/>
          <w:sz w:val="22"/>
          <w:szCs w:val="22"/>
          <w:lang w:val="pl-PL"/>
        </w:rPr>
      </w:pPr>
      <w:bookmarkStart w:id="0" w:name="_GoBack"/>
      <w:bookmarkEnd w:id="0"/>
    </w:p>
    <w:sectPr w:rsidR="00033319" w:rsidRPr="00DC240C" w:rsidSect="0028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7004C" w14:textId="77777777" w:rsidR="0099468A" w:rsidRDefault="0099468A" w:rsidP="0000566D">
      <w:pPr>
        <w:pStyle w:val="Akapitzlist"/>
        <w:spacing w:line="240" w:lineRule="auto"/>
      </w:pPr>
      <w:r>
        <w:separator/>
      </w:r>
    </w:p>
  </w:endnote>
  <w:endnote w:type="continuationSeparator" w:id="0">
    <w:p w14:paraId="25035BC1" w14:textId="77777777" w:rsidR="0099468A" w:rsidRDefault="0099468A" w:rsidP="0000566D">
      <w:pPr>
        <w:pStyle w:val="Akapitzlist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B353C" w14:textId="77777777" w:rsidR="0099468A" w:rsidRDefault="0099468A" w:rsidP="0000566D">
      <w:pPr>
        <w:pStyle w:val="Akapitzlist"/>
        <w:spacing w:line="240" w:lineRule="auto"/>
      </w:pPr>
      <w:r>
        <w:separator/>
      </w:r>
    </w:p>
  </w:footnote>
  <w:footnote w:type="continuationSeparator" w:id="0">
    <w:p w14:paraId="73632BC3" w14:textId="77777777" w:rsidR="0099468A" w:rsidRDefault="0099468A" w:rsidP="0000566D">
      <w:pPr>
        <w:pStyle w:val="Akapitzlist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2246"/>
    <w:multiLevelType w:val="hybridMultilevel"/>
    <w:tmpl w:val="23642C1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B14D1F"/>
    <w:multiLevelType w:val="hybridMultilevel"/>
    <w:tmpl w:val="EAD2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7501"/>
    <w:multiLevelType w:val="hybridMultilevel"/>
    <w:tmpl w:val="D7E64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0C2E"/>
    <w:multiLevelType w:val="hybridMultilevel"/>
    <w:tmpl w:val="FAFE9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309A"/>
    <w:multiLevelType w:val="hybridMultilevel"/>
    <w:tmpl w:val="E10C4DCC"/>
    <w:lvl w:ilvl="0" w:tplc="0D0002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6233"/>
    <w:multiLevelType w:val="hybridMultilevel"/>
    <w:tmpl w:val="5C4AF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95EA6"/>
    <w:multiLevelType w:val="hybridMultilevel"/>
    <w:tmpl w:val="2F3A3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3EE4"/>
    <w:multiLevelType w:val="hybridMultilevel"/>
    <w:tmpl w:val="F454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4A54"/>
    <w:multiLevelType w:val="hybridMultilevel"/>
    <w:tmpl w:val="8D186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E7F3B"/>
    <w:multiLevelType w:val="hybridMultilevel"/>
    <w:tmpl w:val="88AA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E51"/>
    <w:multiLevelType w:val="hybridMultilevel"/>
    <w:tmpl w:val="A294A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E48D3"/>
    <w:multiLevelType w:val="hybridMultilevel"/>
    <w:tmpl w:val="2314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0C42"/>
    <w:multiLevelType w:val="hybridMultilevel"/>
    <w:tmpl w:val="FE54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632B8"/>
    <w:multiLevelType w:val="hybridMultilevel"/>
    <w:tmpl w:val="D1AA12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C65A69"/>
    <w:multiLevelType w:val="hybridMultilevel"/>
    <w:tmpl w:val="06F4F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F4140"/>
    <w:multiLevelType w:val="hybridMultilevel"/>
    <w:tmpl w:val="C324B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78FD"/>
    <w:multiLevelType w:val="hybridMultilevel"/>
    <w:tmpl w:val="4392A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1449"/>
    <w:multiLevelType w:val="hybridMultilevel"/>
    <w:tmpl w:val="BBD21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D0CB6"/>
    <w:multiLevelType w:val="hybridMultilevel"/>
    <w:tmpl w:val="09F669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BC35E0D"/>
    <w:multiLevelType w:val="hybridMultilevel"/>
    <w:tmpl w:val="C1A08FAA"/>
    <w:lvl w:ilvl="0" w:tplc="CC2A2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FB568D"/>
    <w:multiLevelType w:val="hybridMultilevel"/>
    <w:tmpl w:val="2E060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51A9F"/>
    <w:multiLevelType w:val="hybridMultilevel"/>
    <w:tmpl w:val="FEA0C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1105013"/>
    <w:multiLevelType w:val="hybridMultilevel"/>
    <w:tmpl w:val="7CA66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05AF5"/>
    <w:multiLevelType w:val="hybridMultilevel"/>
    <w:tmpl w:val="9C16A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317BA"/>
    <w:multiLevelType w:val="hybridMultilevel"/>
    <w:tmpl w:val="7982D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96536"/>
    <w:multiLevelType w:val="hybridMultilevel"/>
    <w:tmpl w:val="18F00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3012D"/>
    <w:multiLevelType w:val="hybridMultilevel"/>
    <w:tmpl w:val="A12CA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8079C"/>
    <w:multiLevelType w:val="hybridMultilevel"/>
    <w:tmpl w:val="591AB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53CAE"/>
    <w:multiLevelType w:val="hybridMultilevel"/>
    <w:tmpl w:val="44A24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37D52"/>
    <w:multiLevelType w:val="hybridMultilevel"/>
    <w:tmpl w:val="2C8657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D2758EE"/>
    <w:multiLevelType w:val="hybridMultilevel"/>
    <w:tmpl w:val="F65A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02F7F"/>
    <w:multiLevelType w:val="hybridMultilevel"/>
    <w:tmpl w:val="9EC2240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3D40CE5"/>
    <w:multiLevelType w:val="hybridMultilevel"/>
    <w:tmpl w:val="73667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0297B"/>
    <w:multiLevelType w:val="hybridMultilevel"/>
    <w:tmpl w:val="FE72F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B52CB"/>
    <w:multiLevelType w:val="hybridMultilevel"/>
    <w:tmpl w:val="5C6E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778A9"/>
    <w:multiLevelType w:val="hybridMultilevel"/>
    <w:tmpl w:val="7D966AC2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2434930"/>
    <w:multiLevelType w:val="hybridMultilevel"/>
    <w:tmpl w:val="7C4AC7B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 w15:restartNumberingAfterBreak="0">
    <w:nsid w:val="74FD6957"/>
    <w:multiLevelType w:val="hybridMultilevel"/>
    <w:tmpl w:val="EE26C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76F49"/>
    <w:multiLevelType w:val="hybridMultilevel"/>
    <w:tmpl w:val="44FA8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0"/>
  </w:num>
  <w:num w:numId="4">
    <w:abstractNumId w:val="8"/>
  </w:num>
  <w:num w:numId="5">
    <w:abstractNumId w:val="31"/>
  </w:num>
  <w:num w:numId="6">
    <w:abstractNumId w:val="22"/>
  </w:num>
  <w:num w:numId="7">
    <w:abstractNumId w:val="35"/>
  </w:num>
  <w:num w:numId="8">
    <w:abstractNumId w:val="27"/>
  </w:num>
  <w:num w:numId="9">
    <w:abstractNumId w:val="2"/>
  </w:num>
  <w:num w:numId="10">
    <w:abstractNumId w:val="15"/>
  </w:num>
  <w:num w:numId="11">
    <w:abstractNumId w:val="6"/>
  </w:num>
  <w:num w:numId="12">
    <w:abstractNumId w:val="36"/>
  </w:num>
  <w:num w:numId="13">
    <w:abstractNumId w:val="24"/>
  </w:num>
  <w:num w:numId="14">
    <w:abstractNumId w:val="13"/>
  </w:num>
  <w:num w:numId="15">
    <w:abstractNumId w:val="14"/>
  </w:num>
  <w:num w:numId="16">
    <w:abstractNumId w:val="32"/>
  </w:num>
  <w:num w:numId="17">
    <w:abstractNumId w:val="30"/>
  </w:num>
  <w:num w:numId="18">
    <w:abstractNumId w:val="7"/>
  </w:num>
  <w:num w:numId="19">
    <w:abstractNumId w:val="23"/>
  </w:num>
  <w:num w:numId="20">
    <w:abstractNumId w:val="3"/>
  </w:num>
  <w:num w:numId="21">
    <w:abstractNumId w:val="10"/>
  </w:num>
  <w:num w:numId="22">
    <w:abstractNumId w:val="0"/>
  </w:num>
  <w:num w:numId="23">
    <w:abstractNumId w:val="28"/>
  </w:num>
  <w:num w:numId="24">
    <w:abstractNumId w:val="17"/>
  </w:num>
  <w:num w:numId="25">
    <w:abstractNumId w:val="37"/>
  </w:num>
  <w:num w:numId="26">
    <w:abstractNumId w:val="9"/>
  </w:num>
  <w:num w:numId="27">
    <w:abstractNumId w:val="25"/>
  </w:num>
  <w:num w:numId="28">
    <w:abstractNumId w:val="18"/>
  </w:num>
  <w:num w:numId="29">
    <w:abstractNumId w:val="34"/>
  </w:num>
  <w:num w:numId="30">
    <w:abstractNumId w:val="11"/>
  </w:num>
  <w:num w:numId="31">
    <w:abstractNumId w:val="19"/>
  </w:num>
  <w:num w:numId="32">
    <w:abstractNumId w:val="38"/>
  </w:num>
  <w:num w:numId="33">
    <w:abstractNumId w:val="5"/>
  </w:num>
  <w:num w:numId="34">
    <w:abstractNumId w:val="16"/>
  </w:num>
  <w:num w:numId="35">
    <w:abstractNumId w:val="1"/>
  </w:num>
  <w:num w:numId="36">
    <w:abstractNumId w:val="26"/>
  </w:num>
  <w:num w:numId="37">
    <w:abstractNumId w:val="21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937"/>
    <w:rsid w:val="0000566D"/>
    <w:rsid w:val="00013F11"/>
    <w:rsid w:val="00033299"/>
    <w:rsid w:val="00033319"/>
    <w:rsid w:val="00053F83"/>
    <w:rsid w:val="00075991"/>
    <w:rsid w:val="00094715"/>
    <w:rsid w:val="000B02C6"/>
    <w:rsid w:val="000C5F51"/>
    <w:rsid w:val="000E3958"/>
    <w:rsid w:val="0012541C"/>
    <w:rsid w:val="00127AB9"/>
    <w:rsid w:val="00161772"/>
    <w:rsid w:val="00193BF7"/>
    <w:rsid w:val="001A7CD6"/>
    <w:rsid w:val="00205FB7"/>
    <w:rsid w:val="002463F0"/>
    <w:rsid w:val="0028719D"/>
    <w:rsid w:val="002A3B7F"/>
    <w:rsid w:val="002B2CAF"/>
    <w:rsid w:val="002C0545"/>
    <w:rsid w:val="002E4C4D"/>
    <w:rsid w:val="003006C4"/>
    <w:rsid w:val="00301258"/>
    <w:rsid w:val="003069A0"/>
    <w:rsid w:val="00313C41"/>
    <w:rsid w:val="00324540"/>
    <w:rsid w:val="003251BF"/>
    <w:rsid w:val="00335C21"/>
    <w:rsid w:val="00345794"/>
    <w:rsid w:val="00355ED0"/>
    <w:rsid w:val="00365FA6"/>
    <w:rsid w:val="003823DE"/>
    <w:rsid w:val="0039567F"/>
    <w:rsid w:val="003B43CB"/>
    <w:rsid w:val="003B4E2E"/>
    <w:rsid w:val="003D3271"/>
    <w:rsid w:val="003D6605"/>
    <w:rsid w:val="003E240D"/>
    <w:rsid w:val="00410929"/>
    <w:rsid w:val="00424012"/>
    <w:rsid w:val="0042476E"/>
    <w:rsid w:val="0045723E"/>
    <w:rsid w:val="0046502E"/>
    <w:rsid w:val="004656FE"/>
    <w:rsid w:val="0046797B"/>
    <w:rsid w:val="00482E84"/>
    <w:rsid w:val="004B0200"/>
    <w:rsid w:val="004B4603"/>
    <w:rsid w:val="004F108F"/>
    <w:rsid w:val="004F4051"/>
    <w:rsid w:val="00544007"/>
    <w:rsid w:val="00552692"/>
    <w:rsid w:val="00557A26"/>
    <w:rsid w:val="00581723"/>
    <w:rsid w:val="005D0E68"/>
    <w:rsid w:val="005E7213"/>
    <w:rsid w:val="006016CC"/>
    <w:rsid w:val="006227A6"/>
    <w:rsid w:val="0065797C"/>
    <w:rsid w:val="00660538"/>
    <w:rsid w:val="00665FE5"/>
    <w:rsid w:val="00667A03"/>
    <w:rsid w:val="006B5F65"/>
    <w:rsid w:val="006D349E"/>
    <w:rsid w:val="006D7DAA"/>
    <w:rsid w:val="006E3611"/>
    <w:rsid w:val="006E5D47"/>
    <w:rsid w:val="006F3FE4"/>
    <w:rsid w:val="0070005C"/>
    <w:rsid w:val="00731F89"/>
    <w:rsid w:val="007760F9"/>
    <w:rsid w:val="007D366E"/>
    <w:rsid w:val="00821B56"/>
    <w:rsid w:val="008337AE"/>
    <w:rsid w:val="00853C2F"/>
    <w:rsid w:val="00877561"/>
    <w:rsid w:val="008E2CC1"/>
    <w:rsid w:val="008E4298"/>
    <w:rsid w:val="008E438A"/>
    <w:rsid w:val="008E6F76"/>
    <w:rsid w:val="008F054D"/>
    <w:rsid w:val="008F2BEE"/>
    <w:rsid w:val="00953678"/>
    <w:rsid w:val="00963D6B"/>
    <w:rsid w:val="0099468A"/>
    <w:rsid w:val="009B0937"/>
    <w:rsid w:val="009D22B1"/>
    <w:rsid w:val="009E2666"/>
    <w:rsid w:val="00A000C4"/>
    <w:rsid w:val="00A14518"/>
    <w:rsid w:val="00A2539A"/>
    <w:rsid w:val="00A36C43"/>
    <w:rsid w:val="00A46065"/>
    <w:rsid w:val="00A57EBD"/>
    <w:rsid w:val="00A6216A"/>
    <w:rsid w:val="00A73F1A"/>
    <w:rsid w:val="00A92A2E"/>
    <w:rsid w:val="00A94AE9"/>
    <w:rsid w:val="00AA178A"/>
    <w:rsid w:val="00AB7B6B"/>
    <w:rsid w:val="00AD708E"/>
    <w:rsid w:val="00AE394E"/>
    <w:rsid w:val="00B018BA"/>
    <w:rsid w:val="00B54D37"/>
    <w:rsid w:val="00B75912"/>
    <w:rsid w:val="00B773FD"/>
    <w:rsid w:val="00B81852"/>
    <w:rsid w:val="00BC3BF9"/>
    <w:rsid w:val="00BF572D"/>
    <w:rsid w:val="00C71AE5"/>
    <w:rsid w:val="00C873F1"/>
    <w:rsid w:val="00C92261"/>
    <w:rsid w:val="00C9662D"/>
    <w:rsid w:val="00CA1DF8"/>
    <w:rsid w:val="00CC1460"/>
    <w:rsid w:val="00CD3DF5"/>
    <w:rsid w:val="00CF689E"/>
    <w:rsid w:val="00D0721F"/>
    <w:rsid w:val="00D647CB"/>
    <w:rsid w:val="00D649FB"/>
    <w:rsid w:val="00D97E32"/>
    <w:rsid w:val="00DA5272"/>
    <w:rsid w:val="00DA7D29"/>
    <w:rsid w:val="00DC2240"/>
    <w:rsid w:val="00DC240C"/>
    <w:rsid w:val="00DF289D"/>
    <w:rsid w:val="00E22504"/>
    <w:rsid w:val="00E22541"/>
    <w:rsid w:val="00E36F86"/>
    <w:rsid w:val="00E42C79"/>
    <w:rsid w:val="00E8738F"/>
    <w:rsid w:val="00EA4925"/>
    <w:rsid w:val="00EB1050"/>
    <w:rsid w:val="00EB722F"/>
    <w:rsid w:val="00EC5726"/>
    <w:rsid w:val="00EE0CFE"/>
    <w:rsid w:val="00EE0DCB"/>
    <w:rsid w:val="00EE3A0E"/>
    <w:rsid w:val="00EE6916"/>
    <w:rsid w:val="00F00BC8"/>
    <w:rsid w:val="00F25750"/>
    <w:rsid w:val="00F61A24"/>
    <w:rsid w:val="00F61FFE"/>
    <w:rsid w:val="00F70422"/>
    <w:rsid w:val="00F734AD"/>
    <w:rsid w:val="00F978C3"/>
    <w:rsid w:val="00FA043B"/>
    <w:rsid w:val="00FC3728"/>
    <w:rsid w:val="00FC6B17"/>
    <w:rsid w:val="00FD0C38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504C"/>
  <w15:docId w15:val="{4C77C763-8111-4CC8-9F5A-1147875B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7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722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5912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55ED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56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67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6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7AE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40C"/>
    <w:pPr>
      <w:suppressAutoHyphens/>
      <w:spacing w:after="120" w:line="360" w:lineRule="auto"/>
      <w:ind w:left="283"/>
    </w:pPr>
    <w:rPr>
      <w:rFonts w:ascii="Verdana" w:eastAsia="Times New Roman" w:hAnsi="Verdana" w:cs="Times New Roman"/>
      <w:sz w:val="20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40C"/>
    <w:rPr>
      <w:rFonts w:ascii="Verdana" w:eastAsia="Times New Roman" w:hAnsi="Verdana" w:cs="Times New Roman"/>
      <w:sz w:val="20"/>
      <w:szCs w:val="24"/>
      <w:lang w:val="x-none" w:eastAsia="ar-SA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DC240C"/>
    <w:pPr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DC240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07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79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AE81-7B87-455A-901B-A9B0FBE1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remik9</dc:creator>
  <cp:lastModifiedBy>TLA</cp:lastModifiedBy>
  <cp:revision>5</cp:revision>
  <cp:lastPrinted>2018-03-05T20:08:00Z</cp:lastPrinted>
  <dcterms:created xsi:type="dcterms:W3CDTF">2019-01-15T18:21:00Z</dcterms:created>
  <dcterms:modified xsi:type="dcterms:W3CDTF">2019-01-15T19:16:00Z</dcterms:modified>
</cp:coreProperties>
</file>