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E88" w:rsidRDefault="007B0E88" w:rsidP="007B0E88">
      <w:pPr>
        <w:keepNext/>
        <w:keepLines/>
        <w:spacing w:before="480" w:after="0"/>
        <w:outlineLvl w:val="0"/>
        <w:rPr>
          <w:rFonts w:ascii="Lato" w:eastAsiaTheme="majorEastAsia" w:hAnsi="Lato" w:cstheme="majorBidi"/>
          <w:b/>
          <w:bCs/>
          <w:color w:val="FF0000"/>
          <w:sz w:val="28"/>
          <w:szCs w:val="28"/>
        </w:rPr>
      </w:pPr>
      <w:bookmarkStart w:id="0" w:name="_Toc133316381"/>
      <w:r w:rsidRPr="007B0E88">
        <w:rPr>
          <w:rFonts w:ascii="Lato" w:eastAsiaTheme="majorEastAsia" w:hAnsi="Lato" w:cstheme="majorBidi"/>
          <w:b/>
          <w:bCs/>
          <w:color w:val="FF0000"/>
          <w:sz w:val="28"/>
          <w:szCs w:val="28"/>
        </w:rPr>
        <w:t xml:space="preserve">STRESZCZENIE Z WDRAŻANIA NPRCz 2.0 ZA 2022 ROK </w:t>
      </w:r>
      <w:r w:rsidRPr="007B0E88">
        <w:rPr>
          <w:rFonts w:ascii="Lato" w:eastAsiaTheme="majorEastAsia" w:hAnsi="Lato" w:cstheme="majorBidi"/>
          <w:b/>
          <w:bCs/>
          <w:color w:val="FF0000"/>
          <w:sz w:val="28"/>
          <w:szCs w:val="28"/>
        </w:rPr>
        <w:br/>
        <w:t>PODAWANE DO WIADOMOŚCI PUBLICZNEJ</w:t>
      </w:r>
      <w:bookmarkEnd w:id="0"/>
    </w:p>
    <w:p w:rsidR="007B0E88" w:rsidRPr="007B0E88" w:rsidRDefault="007B0E88" w:rsidP="007B0E88">
      <w:pPr>
        <w:keepNext/>
        <w:keepLines/>
        <w:spacing w:before="480" w:after="0"/>
        <w:outlineLvl w:val="0"/>
        <w:rPr>
          <w:rFonts w:ascii="Lato" w:eastAsiaTheme="majorEastAsia" w:hAnsi="Lato" w:cstheme="majorBidi"/>
          <w:b/>
          <w:bCs/>
          <w:color w:val="FF0000"/>
          <w:sz w:val="16"/>
          <w:szCs w:val="16"/>
        </w:rPr>
      </w:pPr>
    </w:p>
    <w:p w:rsidR="007B0E88" w:rsidRPr="007B0E88" w:rsidRDefault="007B0E88" w:rsidP="007B0E88">
      <w:pPr>
        <w:spacing w:after="120"/>
        <w:jc w:val="both"/>
        <w:rPr>
          <w:rFonts w:ascii="Lato" w:hAnsi="Lato"/>
          <w:sz w:val="24"/>
          <w:szCs w:val="16"/>
        </w:rPr>
      </w:pPr>
      <w:r w:rsidRPr="007B0E88">
        <w:rPr>
          <w:rFonts w:ascii="Lato" w:hAnsi="Lato"/>
          <w:sz w:val="24"/>
          <w:szCs w:val="16"/>
        </w:rPr>
        <w:t>Narodowy Program Rozwoju Czytelnictwa 2.0. na lata 2021–2025 ( NPRCz 2.0) został przyjęty uchwałą nr 69/2021 Rady Ministrów z dnia 21 maja 2021 r. w sprawie ustanowienia programu wieloletniego „Narodowy Program Rozwoju Czytelnictwa 2.0. na lata 2021–2025”</w:t>
      </w:r>
      <w:r w:rsidRPr="007B0E88">
        <w:rPr>
          <w:rFonts w:ascii="Lato" w:hAnsi="Lato"/>
          <w:sz w:val="24"/>
          <w:szCs w:val="16"/>
          <w:vertAlign w:val="superscript"/>
        </w:rPr>
        <w:footnoteReference w:id="1"/>
      </w:r>
      <w:r w:rsidRPr="007B0E88">
        <w:rPr>
          <w:rFonts w:ascii="Lato" w:hAnsi="Lato"/>
          <w:sz w:val="24"/>
          <w:szCs w:val="16"/>
        </w:rPr>
        <w:t xml:space="preserve">. </w:t>
      </w:r>
    </w:p>
    <w:p w:rsidR="007B0E88" w:rsidRPr="007B0E88" w:rsidRDefault="007B0E88" w:rsidP="007B0E88">
      <w:pPr>
        <w:spacing w:after="120"/>
        <w:jc w:val="both"/>
        <w:rPr>
          <w:rFonts w:ascii="Lato" w:hAnsi="Lato"/>
          <w:sz w:val="24"/>
          <w:szCs w:val="16"/>
        </w:rPr>
      </w:pPr>
      <w:r w:rsidRPr="007B0E88">
        <w:rPr>
          <w:rFonts w:ascii="Lato" w:hAnsi="Lato"/>
          <w:sz w:val="24"/>
          <w:szCs w:val="16"/>
        </w:rPr>
        <w:t>Program realizuje Minister właściwy do spraw kultury i ochrony dziedzictwa narodowego (w zakresie Priorytetów 1, 2 i 4), we współpracy z Ministrem właściwym do spraw oświaty i wychowania (wdrażanie Priorytetu 3).</w:t>
      </w:r>
    </w:p>
    <w:p w:rsidR="007B0E88" w:rsidRPr="007B0E88" w:rsidRDefault="007B0E88" w:rsidP="007B0E88">
      <w:pPr>
        <w:spacing w:after="120"/>
        <w:jc w:val="both"/>
        <w:rPr>
          <w:rFonts w:ascii="Lato" w:hAnsi="Lato"/>
          <w:sz w:val="24"/>
          <w:szCs w:val="16"/>
        </w:rPr>
      </w:pPr>
      <w:r w:rsidRPr="007B0E88">
        <w:rPr>
          <w:rFonts w:ascii="Lato" w:hAnsi="Lato"/>
          <w:sz w:val="24"/>
          <w:szCs w:val="16"/>
        </w:rPr>
        <w:t xml:space="preserve">Zgodnie z przyjętymi założeniami NPRCz 2.0. na lata 2021–2025 ma tworzyć warunki dla realizacji działań proczytelniczych na poziomie społeczności lokalnych. Pośrednio program powinien zmniejszać obawy dorosłych przed kształceniem ustawicznym. Istotnym elementem Programu jest wzmacnianie kompetencji czytelniczych dzieci i młodzieży, które wpływają na sukces uczniów w szkole, a w późniejszym życiu pozwalają pokonywać ograniczenia i trudności związane z mniej sprzyjającym środowiskiem społecznym. </w:t>
      </w:r>
    </w:p>
    <w:p w:rsidR="007B0E88" w:rsidRPr="007B0E88" w:rsidRDefault="007B0E88" w:rsidP="007B0E88">
      <w:pPr>
        <w:spacing w:after="120"/>
        <w:jc w:val="both"/>
        <w:rPr>
          <w:rFonts w:ascii="Lato" w:hAnsi="Lato"/>
          <w:sz w:val="24"/>
          <w:szCs w:val="16"/>
        </w:rPr>
      </w:pPr>
      <w:r w:rsidRPr="007B0E88">
        <w:rPr>
          <w:rFonts w:ascii="Lato" w:hAnsi="Lato"/>
          <w:sz w:val="24"/>
          <w:szCs w:val="16"/>
        </w:rPr>
        <w:t xml:space="preserve">Grupą odbiorców docelowych NPRCz 2.0 są czytelnicy i użytkownicy wszystkich typów bibliotek publicznych z całego kraju, a także dzieci, młodzież i osoby dorosłe korzystające z bibliotek szkolnych i pedagogicznych oraz dzieci z placówek wychowania przedszkolnego. </w:t>
      </w:r>
    </w:p>
    <w:p w:rsidR="007B0E88" w:rsidRPr="007B0E88" w:rsidRDefault="007B0E88" w:rsidP="007B0E88">
      <w:pPr>
        <w:spacing w:after="120"/>
        <w:jc w:val="both"/>
        <w:rPr>
          <w:rFonts w:ascii="Lato" w:hAnsi="Lato"/>
          <w:i/>
          <w:sz w:val="24"/>
          <w:szCs w:val="16"/>
        </w:rPr>
      </w:pPr>
      <w:r w:rsidRPr="007B0E88">
        <w:rPr>
          <w:rFonts w:ascii="Lato" w:hAnsi="Lato"/>
          <w:sz w:val="24"/>
          <w:szCs w:val="16"/>
        </w:rPr>
        <w:t xml:space="preserve">Celem głównym Programu - wyznaczonym na lata 2021-2025, jest </w:t>
      </w:r>
      <w:r w:rsidRPr="007B0E88">
        <w:rPr>
          <w:rFonts w:ascii="Lato" w:hAnsi="Lato"/>
          <w:i/>
          <w:sz w:val="24"/>
          <w:szCs w:val="16"/>
        </w:rPr>
        <w:t xml:space="preserve">Wzmocnienie czytelnictwa w Polsce oraz rozwój bibliotek do 2025. </w:t>
      </w:r>
    </w:p>
    <w:p w:rsidR="007B0E88" w:rsidRPr="007B0E88" w:rsidRDefault="007B0E88" w:rsidP="007B0E88">
      <w:pPr>
        <w:spacing w:after="120"/>
        <w:jc w:val="both"/>
        <w:rPr>
          <w:rFonts w:ascii="Lato" w:hAnsi="Lato"/>
          <w:sz w:val="24"/>
          <w:szCs w:val="16"/>
        </w:rPr>
      </w:pPr>
      <w:r w:rsidRPr="007B0E88">
        <w:rPr>
          <w:rFonts w:ascii="Lato" w:hAnsi="Lato"/>
          <w:sz w:val="24"/>
          <w:szCs w:val="16"/>
        </w:rPr>
        <w:t xml:space="preserve">Program został podzielony na Priorytety, do których przypisano Kierunki interwencji </w:t>
      </w:r>
    </w:p>
    <w:p w:rsidR="007B0E88" w:rsidRPr="007B0E88" w:rsidRDefault="007B0E88" w:rsidP="00EB16D2">
      <w:pPr>
        <w:numPr>
          <w:ilvl w:val="0"/>
          <w:numId w:val="9"/>
        </w:numPr>
        <w:spacing w:after="120"/>
        <w:contextualSpacing/>
        <w:jc w:val="both"/>
        <w:rPr>
          <w:rFonts w:ascii="Lato" w:hAnsi="Lato"/>
          <w:sz w:val="24"/>
          <w:szCs w:val="16"/>
          <w:u w:val="single"/>
        </w:rPr>
      </w:pPr>
      <w:r w:rsidRPr="007B0E88">
        <w:rPr>
          <w:rFonts w:ascii="Lato" w:hAnsi="Lato"/>
          <w:sz w:val="24"/>
          <w:szCs w:val="16"/>
          <w:u w:val="single"/>
        </w:rPr>
        <w:t xml:space="preserve">Priorytet 1: Poprawa oferty bibliotek publicznych. </w:t>
      </w:r>
    </w:p>
    <w:p w:rsidR="007B0E88" w:rsidRPr="007B0E88" w:rsidRDefault="007B0E88" w:rsidP="007B0E88">
      <w:pPr>
        <w:spacing w:after="120"/>
        <w:ind w:left="720"/>
        <w:contextualSpacing/>
        <w:jc w:val="both"/>
        <w:rPr>
          <w:rFonts w:ascii="Lato" w:hAnsi="Lato"/>
          <w:sz w:val="24"/>
          <w:szCs w:val="16"/>
        </w:rPr>
      </w:pPr>
    </w:p>
    <w:p w:rsidR="007B0E88" w:rsidRPr="007B0E88" w:rsidRDefault="007B0E88" w:rsidP="00EB16D2">
      <w:pPr>
        <w:numPr>
          <w:ilvl w:val="1"/>
          <w:numId w:val="9"/>
        </w:numPr>
        <w:spacing w:after="120"/>
        <w:ind w:left="1134" w:hanging="425"/>
        <w:contextualSpacing/>
        <w:jc w:val="both"/>
        <w:rPr>
          <w:rFonts w:ascii="Lato" w:hAnsi="Lato"/>
          <w:sz w:val="24"/>
          <w:szCs w:val="16"/>
        </w:rPr>
      </w:pPr>
      <w:r w:rsidRPr="007B0E88">
        <w:rPr>
          <w:rFonts w:ascii="Lato" w:hAnsi="Lato"/>
          <w:sz w:val="24"/>
          <w:szCs w:val="16"/>
        </w:rPr>
        <w:t>Kierunek interwencji 1.1. Zakup i zdalny dostęp do nowości wydawniczych.</w:t>
      </w:r>
    </w:p>
    <w:p w:rsidR="007B0E88" w:rsidRPr="007B0E88" w:rsidRDefault="007B0E88" w:rsidP="00EB16D2">
      <w:pPr>
        <w:numPr>
          <w:ilvl w:val="1"/>
          <w:numId w:val="9"/>
        </w:numPr>
        <w:spacing w:after="120"/>
        <w:ind w:left="1134" w:hanging="425"/>
        <w:contextualSpacing/>
        <w:jc w:val="both"/>
        <w:rPr>
          <w:rFonts w:ascii="Lato" w:hAnsi="Lato"/>
          <w:sz w:val="24"/>
          <w:szCs w:val="16"/>
        </w:rPr>
      </w:pPr>
      <w:r w:rsidRPr="007B0E88">
        <w:rPr>
          <w:rFonts w:ascii="Lato" w:hAnsi="Lato"/>
          <w:sz w:val="24"/>
          <w:szCs w:val="16"/>
        </w:rPr>
        <w:t xml:space="preserve">Kierunek interwencji 1.2. Budowa ogólnokrajowej sieci bibliotecznej poprzez zintegrowany system zarządzania zasobami bibliotek. </w:t>
      </w:r>
    </w:p>
    <w:p w:rsidR="007B0E88" w:rsidRPr="007B0E88" w:rsidRDefault="007B0E88" w:rsidP="007B0E88">
      <w:pPr>
        <w:spacing w:after="120"/>
        <w:ind w:left="1134"/>
        <w:contextualSpacing/>
        <w:jc w:val="both"/>
        <w:rPr>
          <w:rFonts w:ascii="Lato" w:hAnsi="Lato"/>
          <w:sz w:val="24"/>
          <w:szCs w:val="16"/>
        </w:rPr>
      </w:pPr>
    </w:p>
    <w:p w:rsidR="007B0E88" w:rsidRPr="007B0E88" w:rsidRDefault="007B0E88" w:rsidP="00EB16D2">
      <w:pPr>
        <w:numPr>
          <w:ilvl w:val="0"/>
          <w:numId w:val="9"/>
        </w:numPr>
        <w:spacing w:after="120"/>
        <w:contextualSpacing/>
        <w:jc w:val="both"/>
        <w:rPr>
          <w:rFonts w:ascii="Lato" w:hAnsi="Lato"/>
          <w:sz w:val="24"/>
          <w:szCs w:val="16"/>
          <w:u w:val="single"/>
        </w:rPr>
      </w:pPr>
      <w:r w:rsidRPr="007B0E88">
        <w:rPr>
          <w:rFonts w:ascii="Lato" w:hAnsi="Lato"/>
          <w:sz w:val="24"/>
          <w:szCs w:val="16"/>
          <w:u w:val="single"/>
        </w:rPr>
        <w:t xml:space="preserve">Priorytet 2: Inwestycje w infrastrukturę bibliotek publicznych. </w:t>
      </w:r>
    </w:p>
    <w:p w:rsidR="007B0E88" w:rsidRPr="007B0E88" w:rsidRDefault="007B0E88" w:rsidP="007B0E88">
      <w:pPr>
        <w:spacing w:after="120"/>
        <w:ind w:left="720"/>
        <w:contextualSpacing/>
        <w:jc w:val="both"/>
        <w:rPr>
          <w:rFonts w:ascii="Lato" w:hAnsi="Lato"/>
          <w:sz w:val="24"/>
          <w:szCs w:val="16"/>
        </w:rPr>
      </w:pPr>
    </w:p>
    <w:p w:rsidR="007B0E88" w:rsidRPr="007B0E88" w:rsidRDefault="007B0E88" w:rsidP="00EB16D2">
      <w:pPr>
        <w:numPr>
          <w:ilvl w:val="1"/>
          <w:numId w:val="9"/>
        </w:numPr>
        <w:spacing w:after="120"/>
        <w:ind w:left="1134" w:hanging="425"/>
        <w:contextualSpacing/>
        <w:jc w:val="both"/>
        <w:rPr>
          <w:rFonts w:ascii="Lato" w:hAnsi="Lato"/>
          <w:sz w:val="24"/>
          <w:szCs w:val="16"/>
        </w:rPr>
      </w:pPr>
      <w:r w:rsidRPr="007B0E88">
        <w:rPr>
          <w:rFonts w:ascii="Lato" w:hAnsi="Lato"/>
          <w:sz w:val="24"/>
          <w:szCs w:val="16"/>
        </w:rPr>
        <w:t xml:space="preserve"> Kierunek interwencji 2.1. Infrastruktura bibliotek 2021-2025,</w:t>
      </w:r>
    </w:p>
    <w:p w:rsidR="007B0E88" w:rsidRPr="007B0E88" w:rsidRDefault="007B0E88" w:rsidP="007B0E88">
      <w:pPr>
        <w:spacing w:after="120"/>
        <w:ind w:left="1134"/>
        <w:contextualSpacing/>
        <w:jc w:val="both"/>
        <w:rPr>
          <w:rFonts w:ascii="Lato" w:hAnsi="Lato"/>
          <w:sz w:val="24"/>
          <w:szCs w:val="16"/>
        </w:rPr>
      </w:pPr>
    </w:p>
    <w:p w:rsidR="007B0E88" w:rsidRPr="007B0E88" w:rsidRDefault="007B0E88" w:rsidP="00EB16D2">
      <w:pPr>
        <w:numPr>
          <w:ilvl w:val="0"/>
          <w:numId w:val="9"/>
        </w:numPr>
        <w:tabs>
          <w:tab w:val="left" w:pos="1418"/>
        </w:tabs>
        <w:spacing w:after="120"/>
        <w:contextualSpacing/>
        <w:jc w:val="both"/>
        <w:rPr>
          <w:rFonts w:ascii="Lato" w:hAnsi="Lato"/>
          <w:sz w:val="24"/>
          <w:szCs w:val="16"/>
        </w:rPr>
      </w:pPr>
      <w:r w:rsidRPr="007B0E88">
        <w:rPr>
          <w:rFonts w:ascii="Lato" w:hAnsi="Lato"/>
          <w:sz w:val="24"/>
          <w:szCs w:val="16"/>
          <w:u w:val="single"/>
        </w:rPr>
        <w:t>Priorytet 3: Zakup nowości wydawniczych do placówek wychowania przedszkolnego, bibliotek szkolnych i pedagogicznych</w:t>
      </w:r>
      <w:r w:rsidRPr="007B0E88">
        <w:rPr>
          <w:rFonts w:ascii="Lato" w:hAnsi="Lato"/>
          <w:sz w:val="24"/>
          <w:szCs w:val="16"/>
        </w:rPr>
        <w:t xml:space="preserve">. </w:t>
      </w:r>
    </w:p>
    <w:p w:rsidR="007B0E88" w:rsidRPr="007B0E88" w:rsidRDefault="007B0E88" w:rsidP="00EB16D2">
      <w:pPr>
        <w:numPr>
          <w:ilvl w:val="0"/>
          <w:numId w:val="10"/>
        </w:numPr>
        <w:tabs>
          <w:tab w:val="left" w:pos="1701"/>
        </w:tabs>
        <w:spacing w:after="120"/>
        <w:ind w:left="1134" w:hanging="425"/>
        <w:contextualSpacing/>
        <w:jc w:val="both"/>
        <w:rPr>
          <w:rFonts w:ascii="Lato" w:hAnsi="Lato"/>
          <w:sz w:val="24"/>
          <w:szCs w:val="16"/>
        </w:rPr>
      </w:pPr>
      <w:r w:rsidRPr="007B0E88">
        <w:rPr>
          <w:rFonts w:ascii="Lato" w:hAnsi="Lato"/>
          <w:sz w:val="24"/>
          <w:szCs w:val="16"/>
        </w:rPr>
        <w:lastRenderedPageBreak/>
        <w:t>Kierunek interwencji 3.1. Zakup nowości wydawniczych do placówek wychowania przedszkolnego.</w:t>
      </w:r>
    </w:p>
    <w:p w:rsidR="007B0E88" w:rsidRPr="007B0E88" w:rsidRDefault="007B0E88" w:rsidP="00EB16D2">
      <w:pPr>
        <w:numPr>
          <w:ilvl w:val="0"/>
          <w:numId w:val="10"/>
        </w:numPr>
        <w:tabs>
          <w:tab w:val="left" w:pos="1701"/>
        </w:tabs>
        <w:spacing w:after="120"/>
        <w:ind w:left="1276" w:hanging="567"/>
        <w:contextualSpacing/>
        <w:jc w:val="both"/>
        <w:rPr>
          <w:rFonts w:ascii="Lato" w:hAnsi="Lato"/>
          <w:sz w:val="24"/>
          <w:szCs w:val="16"/>
        </w:rPr>
      </w:pPr>
      <w:r w:rsidRPr="007B0E88">
        <w:rPr>
          <w:rFonts w:ascii="Lato" w:hAnsi="Lato"/>
          <w:sz w:val="24"/>
          <w:szCs w:val="16"/>
        </w:rPr>
        <w:t>Kierunek interwencji 3.2. Zakup nowości wydawniczych oraz elementów wyposażenia do bibliotek szkolnych i pedagogicznych.</w:t>
      </w:r>
    </w:p>
    <w:p w:rsidR="007B0E88" w:rsidRPr="007B0E88" w:rsidRDefault="007B0E88" w:rsidP="00EB16D2">
      <w:pPr>
        <w:numPr>
          <w:ilvl w:val="0"/>
          <w:numId w:val="9"/>
        </w:numPr>
        <w:tabs>
          <w:tab w:val="left" w:pos="1418"/>
        </w:tabs>
        <w:spacing w:after="120"/>
        <w:contextualSpacing/>
        <w:jc w:val="both"/>
        <w:rPr>
          <w:rFonts w:ascii="Lato" w:hAnsi="Lato"/>
          <w:sz w:val="24"/>
          <w:szCs w:val="16"/>
          <w:u w:val="single"/>
        </w:rPr>
      </w:pPr>
      <w:r w:rsidRPr="007B0E88">
        <w:rPr>
          <w:rFonts w:ascii="Lato" w:hAnsi="Lato"/>
          <w:sz w:val="24"/>
          <w:szCs w:val="16"/>
          <w:u w:val="single"/>
        </w:rPr>
        <w:t xml:space="preserve">Priorytet 4: Program dotacyjny dla bibliotek oraz promocja czytelnictwa. </w:t>
      </w:r>
    </w:p>
    <w:p w:rsidR="007B0E88" w:rsidRPr="007B0E88" w:rsidRDefault="007B0E88" w:rsidP="007B0E88">
      <w:pPr>
        <w:tabs>
          <w:tab w:val="left" w:pos="1418"/>
        </w:tabs>
        <w:spacing w:after="120"/>
        <w:ind w:left="720"/>
        <w:contextualSpacing/>
        <w:jc w:val="both"/>
        <w:rPr>
          <w:rFonts w:ascii="Lato" w:hAnsi="Lato"/>
          <w:sz w:val="24"/>
          <w:szCs w:val="16"/>
        </w:rPr>
      </w:pPr>
    </w:p>
    <w:p w:rsidR="007B0E88" w:rsidRPr="007B0E88" w:rsidRDefault="007B0E88" w:rsidP="00EB16D2">
      <w:pPr>
        <w:numPr>
          <w:ilvl w:val="1"/>
          <w:numId w:val="9"/>
        </w:numPr>
        <w:tabs>
          <w:tab w:val="left" w:pos="1418"/>
        </w:tabs>
        <w:spacing w:after="120"/>
        <w:ind w:hanging="644"/>
        <w:contextualSpacing/>
        <w:jc w:val="both"/>
        <w:rPr>
          <w:rFonts w:ascii="Lato" w:hAnsi="Lato"/>
          <w:sz w:val="24"/>
          <w:szCs w:val="16"/>
        </w:rPr>
      </w:pPr>
      <w:r w:rsidRPr="007B0E88">
        <w:rPr>
          <w:rFonts w:ascii="Lato" w:hAnsi="Lato"/>
          <w:sz w:val="24"/>
          <w:szCs w:val="16"/>
        </w:rPr>
        <w:t>Kierunek interwencji 4.1. BLISKO – Biblioteka | Lokalność | Inicjatywy | Społeczność | Kooperacja | Oddolność,</w:t>
      </w:r>
    </w:p>
    <w:p w:rsidR="007B0E88" w:rsidRPr="007B0E88" w:rsidRDefault="007B0E88" w:rsidP="00EB16D2">
      <w:pPr>
        <w:numPr>
          <w:ilvl w:val="1"/>
          <w:numId w:val="9"/>
        </w:numPr>
        <w:tabs>
          <w:tab w:val="left" w:pos="709"/>
        </w:tabs>
        <w:spacing w:after="120"/>
        <w:ind w:left="1418" w:hanging="709"/>
        <w:contextualSpacing/>
        <w:jc w:val="both"/>
        <w:rPr>
          <w:rFonts w:ascii="Lato" w:hAnsi="Lato"/>
          <w:sz w:val="24"/>
          <w:szCs w:val="16"/>
        </w:rPr>
      </w:pPr>
      <w:r w:rsidRPr="007B0E88">
        <w:rPr>
          <w:rFonts w:ascii="Lato" w:hAnsi="Lato"/>
          <w:sz w:val="24"/>
          <w:szCs w:val="16"/>
        </w:rPr>
        <w:t>Kierunek interwencji 4.2. Kampania społeczno-informacyjna.</w:t>
      </w:r>
    </w:p>
    <w:p w:rsidR="007B0E88" w:rsidRPr="007B0E88" w:rsidRDefault="007B0E88" w:rsidP="007B0E88">
      <w:pPr>
        <w:contextualSpacing/>
        <w:rPr>
          <w:rFonts w:ascii="Lato" w:eastAsia="Calibri" w:hAnsi="Lato" w:cs="Times New Roman"/>
          <w:sz w:val="24"/>
          <w:szCs w:val="16"/>
        </w:rPr>
      </w:pPr>
    </w:p>
    <w:p w:rsidR="007B0E88" w:rsidRPr="007B0E88" w:rsidRDefault="007B0E88" w:rsidP="007B0E88">
      <w:pPr>
        <w:spacing w:after="120"/>
        <w:jc w:val="both"/>
        <w:rPr>
          <w:rFonts w:ascii="Lato" w:eastAsia="Calibri" w:hAnsi="Lato" w:cs="Times New Roman"/>
          <w:sz w:val="24"/>
          <w:szCs w:val="16"/>
        </w:rPr>
      </w:pPr>
      <w:r w:rsidRPr="007B0E88">
        <w:rPr>
          <w:rFonts w:ascii="Lato" w:eastAsia="Calibri" w:hAnsi="Lato" w:cs="Times New Roman"/>
          <w:sz w:val="24"/>
          <w:szCs w:val="16"/>
        </w:rPr>
        <w:t>Realizacja Narodowego Programu Rozwoju Czytelnictwa 2.0 na lata 2021–2025 jest prowadzona na kilku poziomach i zakłada ścisłą współpracę ministra właściwego do spraw kultury i ochrony dziedzictwa narodowego oraz ministra właściwego do spraw oświaty i wychowania. Kluczową rolę w tym zakresie pełni komunikacja prowadzona na poziomie Operatorów Priorytetów NPRCz 2.0, realizowana m.in. poprzez cykliczne spotkania grup roboczych utworzonych na potrzeby NPRCz 2.0 tj. Grupy roboczej ds. monitoringu i ewaluacji Programu oraz Grupy roboczej ds. promocji NPRCz 2.0.</w:t>
      </w:r>
    </w:p>
    <w:p w:rsidR="007B0E88" w:rsidRPr="007B0E88" w:rsidRDefault="007B0E88" w:rsidP="007B0E88">
      <w:pPr>
        <w:contextualSpacing/>
        <w:rPr>
          <w:rFonts w:ascii="Lato" w:eastAsia="Calibri" w:hAnsi="Lato" w:cs="Times New Roman"/>
          <w:iCs/>
          <w:color w:val="000000"/>
          <w:sz w:val="24"/>
          <w:szCs w:val="24"/>
          <w:u w:val="single"/>
        </w:rPr>
      </w:pPr>
      <w:r w:rsidRPr="007B0E88">
        <w:rPr>
          <w:rFonts w:ascii="Lato" w:eastAsia="Calibri" w:hAnsi="Lato" w:cs="Times New Roman"/>
          <w:sz w:val="24"/>
          <w:szCs w:val="16"/>
          <w:u w:val="single"/>
        </w:rPr>
        <w:t>Informacja o wykonaniu wskaźników Programu.</w:t>
      </w:r>
    </w:p>
    <w:p w:rsidR="007B0E88" w:rsidRPr="007B0E88" w:rsidRDefault="007B0E88" w:rsidP="007B0E88">
      <w:pPr>
        <w:jc w:val="both"/>
        <w:rPr>
          <w:rFonts w:ascii="Lato" w:hAnsi="Lato"/>
          <w:sz w:val="24"/>
          <w:szCs w:val="24"/>
        </w:rPr>
      </w:pPr>
      <w:r w:rsidRPr="007B0E88">
        <w:rPr>
          <w:rFonts w:ascii="Lato" w:hAnsi="Lato"/>
          <w:sz w:val="24"/>
          <w:szCs w:val="24"/>
        </w:rPr>
        <w:t xml:space="preserve">Na potrzeby wdrażania </w:t>
      </w:r>
      <w:r w:rsidRPr="007B0E88">
        <w:rPr>
          <w:rFonts w:ascii="Lato" w:hAnsi="Lato"/>
          <w:i/>
          <w:sz w:val="24"/>
          <w:szCs w:val="24"/>
        </w:rPr>
        <w:t>Narodowego Programu Rozwoju Czytelnictwa 2.0. na lata 2021–2025</w:t>
      </w:r>
      <w:r w:rsidRPr="007B0E88">
        <w:rPr>
          <w:rFonts w:ascii="Lato" w:hAnsi="Lato"/>
          <w:sz w:val="24"/>
          <w:szCs w:val="24"/>
        </w:rPr>
        <w:t xml:space="preserve"> przyjęto, iż kluczowe znaczenie ma prowadzenie polityki publicznej w oparciu o zgromadzone dane, wnioski, rekomendacje, analizy oraz ocenę efektywności i skuteczności prowadzonych działań. Służyć temu będą informacje otrzymywane w ramach bieżącego monitoringu, badań i ewaluacji prowadzonych na potrzeby NPRCz 2.0.</w:t>
      </w:r>
    </w:p>
    <w:p w:rsidR="007B0E88" w:rsidRPr="007B0E88" w:rsidRDefault="007B0E88" w:rsidP="007B0E88">
      <w:pPr>
        <w:jc w:val="both"/>
        <w:rPr>
          <w:rFonts w:ascii="Lato" w:hAnsi="Lato"/>
          <w:bCs/>
          <w:sz w:val="24"/>
          <w:szCs w:val="24"/>
        </w:rPr>
      </w:pPr>
      <w:r w:rsidRPr="007B0E88">
        <w:rPr>
          <w:rFonts w:ascii="Lato" w:hAnsi="Lato"/>
          <w:bCs/>
          <w:sz w:val="24"/>
          <w:szCs w:val="24"/>
        </w:rPr>
        <w:t xml:space="preserve">W treści NPRCz 2.0 (rozdział X) określono sposób i zasady gromadzenia danych. Wskazano, iż wskaźniki produktu i wskaźniki rezultatu bezpośredniego zostały określone na poziomie projektu, przy czym wskaźniki produktu są powiązane wprost z wydatkami ponoszonymi w projekcie, a wskaźniki rezultatu bezpośredniego odnoszą się do bezpośrednich efektów projektu, których realizacja jest wynikiem projektu, ale mogą mieć na nią wpływ także inne czynniki zewnętrzne. Przedstawiono także założenia dotyczące wskaźników dla NPRCz 2.0 oraz zasady szacowania ich wartości pośrednich i docelowych. </w:t>
      </w:r>
    </w:p>
    <w:p w:rsidR="007B0E88" w:rsidRPr="007B0E88" w:rsidRDefault="007B0E88" w:rsidP="007B0E88">
      <w:pPr>
        <w:jc w:val="both"/>
        <w:rPr>
          <w:rFonts w:ascii="Lato" w:hAnsi="Lato"/>
          <w:bCs/>
          <w:sz w:val="24"/>
          <w:szCs w:val="24"/>
        </w:rPr>
      </w:pPr>
      <w:r w:rsidRPr="007B0E88">
        <w:rPr>
          <w:rFonts w:ascii="Lato" w:hAnsi="Lato"/>
          <w:bCs/>
          <w:sz w:val="24"/>
          <w:szCs w:val="24"/>
        </w:rPr>
        <w:t xml:space="preserve">Dodatkowo na potrzeby NPRCz 2.0 stworzono wykaz monitorowanych wskaźników, dla których nie szacowano wartości, dla których jednak dane będą gromadzone wraz z postępem realizacji Programu. </w:t>
      </w:r>
    </w:p>
    <w:p w:rsidR="007B0E88" w:rsidRPr="007B0E88" w:rsidRDefault="007B0E88" w:rsidP="007B0E88">
      <w:pPr>
        <w:jc w:val="both"/>
        <w:rPr>
          <w:rFonts w:ascii="Lato" w:hAnsi="Lato"/>
          <w:bCs/>
          <w:sz w:val="24"/>
          <w:szCs w:val="24"/>
        </w:rPr>
        <w:sectPr w:rsidR="007B0E88" w:rsidRPr="007B0E88" w:rsidSect="007B0E88">
          <w:pgSz w:w="11906" w:h="16838"/>
          <w:pgMar w:top="1417" w:right="1417" w:bottom="1417" w:left="1417" w:header="708" w:footer="708" w:gutter="0"/>
          <w:cols w:space="708"/>
          <w:docGrid w:linePitch="360"/>
        </w:sectPr>
      </w:pPr>
      <w:r w:rsidRPr="007B0E88">
        <w:rPr>
          <w:rFonts w:ascii="Lato" w:hAnsi="Lato"/>
          <w:bCs/>
          <w:sz w:val="24"/>
          <w:szCs w:val="24"/>
        </w:rPr>
        <w:t>Jednocześnie w treści NPRCz 2.0 zaznaczono, iż dla oceny postępów w osiąganiu celu głównego i celów szczegółowych przypisanych poszczególnym priorytetom stosuje się przyporządkowane do nich wskaźniki, obrazujące pożądaną zmianę sytuacji społeczno-gospodarczej.</w:t>
      </w:r>
    </w:p>
    <w:p w:rsidR="007B0E88" w:rsidRPr="00F874C0" w:rsidRDefault="007B0E88" w:rsidP="007B0E88">
      <w:pPr>
        <w:spacing w:after="120"/>
        <w:contextualSpacing/>
        <w:jc w:val="both"/>
        <w:rPr>
          <w:rFonts w:ascii="Calibri" w:eastAsia="Times New Roman" w:hAnsi="Calibri" w:cs="Times New Roman"/>
          <w:bCs/>
          <w:u w:val="single"/>
        </w:rPr>
      </w:pPr>
      <w:r w:rsidRPr="00F874C0">
        <w:rPr>
          <w:rFonts w:ascii="Calibri" w:eastAsia="Times New Roman" w:hAnsi="Calibri" w:cs="Times New Roman"/>
          <w:bCs/>
          <w:u w:val="single"/>
        </w:rPr>
        <w:lastRenderedPageBreak/>
        <w:t>Tabela Szczegółowe zestawienie wykonania wskaźników NPRCz 2.0 w 2022 r.</w:t>
      </w:r>
      <w:r w:rsidRPr="00F874C0" w:rsidDel="00EA29FC">
        <w:rPr>
          <w:rFonts w:ascii="Calibri" w:eastAsia="Times New Roman" w:hAnsi="Calibri" w:cs="Times New Roman"/>
          <w:bCs/>
          <w:u w:val="single"/>
        </w:rPr>
        <w:t xml:space="preserve"> </w:t>
      </w:r>
    </w:p>
    <w:p w:rsidR="007B0E88" w:rsidRDefault="007B0E88" w:rsidP="007B0E88">
      <w:pPr>
        <w:spacing w:after="120"/>
        <w:jc w:val="both"/>
        <w:rPr>
          <w:rFonts w:ascii="Lato" w:eastAsia="Times New Roman" w:hAnsi="Lato" w:cs="Times New Roman"/>
          <w:bCs/>
          <w:i/>
          <w:sz w:val="20"/>
          <w:szCs w:val="20"/>
        </w:rPr>
      </w:pPr>
      <w:r w:rsidRPr="007B0E88">
        <w:rPr>
          <w:rFonts w:ascii="Lato" w:eastAsia="Times New Roman" w:hAnsi="Lato" w:cs="Times New Roman"/>
          <w:bCs/>
          <w:i/>
          <w:sz w:val="20"/>
          <w:szCs w:val="20"/>
        </w:rPr>
        <w:t>W celu czytelnej prezentacji danych dotyczących wskaźników NPRCz 2.0 wprowadzono zaokrąglenie danych do tysięcy i milionów, z zachowaniem prezentacji danych do dwóch miejsc po przecinku. Rozwiązanie zastosowano dla tych wskaźników, w odniesieniu do których osiągnięte wartości wskazywały na zasadność takiego zaokrąglenia. Poniżej, w tabeli w kolumnach nr 7 i 11 dane opisane jako: „% realizacji wartości docelowej dla okresu sprawozdawczego” oraz „% realizacji wartości docelowej dla 2025 r.” przedstawiają obliczenie wartości % z zachowaniem dokładności do danych jednostkowych, które są również przywoływane w tekście sprawozdania w nawiązaniu do wybranych danych prezentowanych w tabeli.  Wykazany w tabeli poniżej % realizacji wartości docelowej danego wskaźnika jest zgodny z osiągniętym, natomiast może on nieznacznie różnić się od wartości jaka wynika  z obliczeń dokonanych na podstawie danych po zaokrągleniu.</w:t>
      </w:r>
    </w:p>
    <w:tbl>
      <w:tblPr>
        <w:tblW w:w="14030" w:type="dxa"/>
        <w:tblLayout w:type="fixed"/>
        <w:tblCellMar>
          <w:left w:w="70" w:type="dxa"/>
          <w:right w:w="70" w:type="dxa"/>
        </w:tblCellMar>
        <w:tblLook w:val="04A0" w:firstRow="1" w:lastRow="0" w:firstColumn="1" w:lastColumn="0" w:noHBand="0" w:noVBand="1"/>
      </w:tblPr>
      <w:tblGrid>
        <w:gridCol w:w="983"/>
        <w:gridCol w:w="1134"/>
        <w:gridCol w:w="992"/>
        <w:gridCol w:w="3260"/>
        <w:gridCol w:w="992"/>
        <w:gridCol w:w="993"/>
        <w:gridCol w:w="1134"/>
        <w:gridCol w:w="6"/>
        <w:gridCol w:w="1090"/>
        <w:gridCol w:w="1280"/>
        <w:gridCol w:w="1130"/>
        <w:gridCol w:w="1030"/>
        <w:gridCol w:w="6"/>
      </w:tblGrid>
      <w:tr w:rsidR="007B0E88" w:rsidRPr="007B0E88" w:rsidTr="00731DF0">
        <w:trPr>
          <w:trHeight w:val="420"/>
          <w:tblHeader/>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ID wskaźnika</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Kierunek Interwencji</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Rodzaj wskaźnika</w:t>
            </w:r>
          </w:p>
        </w:tc>
        <w:tc>
          <w:tcPr>
            <w:tcW w:w="32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Nazwa wskaźnika</w:t>
            </w:r>
          </w:p>
        </w:tc>
        <w:tc>
          <w:tcPr>
            <w:tcW w:w="3125" w:type="dxa"/>
            <w:gridSpan w:val="4"/>
            <w:tcBorders>
              <w:top w:val="single" w:sz="8" w:space="0" w:color="auto"/>
              <w:left w:val="nil"/>
              <w:bottom w:val="single" w:sz="8" w:space="0" w:color="auto"/>
              <w:right w:val="single" w:sz="8" w:space="0" w:color="000000"/>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Realizacja wskaźnika</w:t>
            </w:r>
            <w:r w:rsidRPr="007B0E88">
              <w:rPr>
                <w:rFonts w:ascii="Lato" w:eastAsia="Times New Roman" w:hAnsi="Lato" w:cs="Times New Roman"/>
                <w:color w:val="000000"/>
                <w:sz w:val="18"/>
                <w:szCs w:val="18"/>
                <w:vertAlign w:val="superscript"/>
                <w:lang w:eastAsia="pl-PL"/>
              </w:rPr>
              <w:t xml:space="preserve"> </w:t>
            </w:r>
            <w:r w:rsidRPr="007B0E88">
              <w:rPr>
                <w:rFonts w:ascii="Lato" w:eastAsia="Times New Roman" w:hAnsi="Lato" w:cs="Times New Roman"/>
                <w:color w:val="000000"/>
                <w:sz w:val="18"/>
                <w:szCs w:val="18"/>
                <w:lang w:eastAsia="pl-PL"/>
              </w:rPr>
              <w:t>w okresie sprawozdawczym</w:t>
            </w:r>
          </w:p>
        </w:tc>
        <w:tc>
          <w:tcPr>
            <w:tcW w:w="4536" w:type="dxa"/>
            <w:gridSpan w:val="5"/>
            <w:tcBorders>
              <w:top w:val="single" w:sz="8" w:space="0" w:color="auto"/>
              <w:left w:val="nil"/>
              <w:bottom w:val="single" w:sz="8" w:space="0" w:color="auto"/>
              <w:right w:val="single" w:sz="8" w:space="0" w:color="000000"/>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Realizacja wskaźnika od początku realizacji programu</w:t>
            </w:r>
          </w:p>
        </w:tc>
      </w:tr>
      <w:tr w:rsidR="007B0E88" w:rsidRPr="007B0E88" w:rsidTr="00731DF0">
        <w:trPr>
          <w:gridAfter w:val="1"/>
          <w:wAfter w:w="6" w:type="dxa"/>
          <w:trHeight w:val="2150"/>
          <w:tblHeader/>
        </w:trPr>
        <w:tc>
          <w:tcPr>
            <w:tcW w:w="983" w:type="dxa"/>
            <w:vMerge/>
            <w:tcBorders>
              <w:top w:val="single" w:sz="8" w:space="0" w:color="auto"/>
              <w:left w:val="single" w:sz="8" w:space="0" w:color="auto"/>
              <w:bottom w:val="single" w:sz="8" w:space="0" w:color="000000"/>
              <w:right w:val="single" w:sz="8" w:space="0" w:color="auto"/>
            </w:tcBorders>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p>
        </w:tc>
        <w:tc>
          <w:tcPr>
            <w:tcW w:w="3260" w:type="dxa"/>
            <w:vMerge/>
            <w:tcBorders>
              <w:top w:val="single" w:sz="8" w:space="0" w:color="auto"/>
              <w:left w:val="single" w:sz="8" w:space="0" w:color="auto"/>
              <w:bottom w:val="single" w:sz="8" w:space="0" w:color="000000"/>
              <w:right w:val="single" w:sz="8" w:space="0" w:color="auto"/>
            </w:tcBorders>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p>
        </w:tc>
        <w:tc>
          <w:tcPr>
            <w:tcW w:w="992"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Wartość docelowa dla okresu sprawozdawczego</w:t>
            </w:r>
          </w:p>
        </w:tc>
        <w:tc>
          <w:tcPr>
            <w:tcW w:w="993"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Wartość osiągnięta</w:t>
            </w:r>
            <w:r w:rsidRPr="007B0E88">
              <w:rPr>
                <w:rFonts w:ascii="Lato" w:eastAsia="Times New Roman" w:hAnsi="Lato" w:cs="Times New Roman"/>
                <w:color w:val="000000"/>
                <w:sz w:val="18"/>
                <w:szCs w:val="18"/>
                <w:vertAlign w:val="superscript"/>
                <w:lang w:eastAsia="pl-PL"/>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 realizacji wartości docelowej dla okresu sprawozdawczego</w:t>
            </w:r>
          </w:p>
        </w:tc>
        <w:tc>
          <w:tcPr>
            <w:tcW w:w="1096" w:type="dxa"/>
            <w:gridSpan w:val="2"/>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Wartość docelowa dla 2025 r.</w:t>
            </w:r>
          </w:p>
        </w:tc>
        <w:tc>
          <w:tcPr>
            <w:tcW w:w="1280"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Wartość szacowana na dzień zakończenia realizacji projektu (na podstawie wszystkich podpisanych umów)</w:t>
            </w:r>
          </w:p>
        </w:tc>
        <w:tc>
          <w:tcPr>
            <w:tcW w:w="1130"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Wartość osiągnięta od początku realizacji programu</w:t>
            </w:r>
          </w:p>
        </w:tc>
        <w:tc>
          <w:tcPr>
            <w:tcW w:w="1030"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 realizacji wartości docelowej dla 2025 r.</w:t>
            </w:r>
          </w:p>
        </w:tc>
      </w:tr>
      <w:tr w:rsidR="007B0E88" w:rsidRPr="007B0E88" w:rsidTr="00731DF0">
        <w:trPr>
          <w:gridAfter w:val="1"/>
          <w:wAfter w:w="6" w:type="dxa"/>
          <w:trHeight w:val="397"/>
          <w:tblHeader/>
        </w:trPr>
        <w:tc>
          <w:tcPr>
            <w:tcW w:w="983" w:type="dxa"/>
            <w:tcBorders>
              <w:top w:val="nil"/>
              <w:left w:val="single" w:sz="8" w:space="0" w:color="auto"/>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1</w:t>
            </w:r>
          </w:p>
        </w:tc>
        <w:tc>
          <w:tcPr>
            <w:tcW w:w="1134"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2</w:t>
            </w:r>
          </w:p>
        </w:tc>
        <w:tc>
          <w:tcPr>
            <w:tcW w:w="992"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3</w:t>
            </w:r>
          </w:p>
        </w:tc>
        <w:tc>
          <w:tcPr>
            <w:tcW w:w="3260"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4</w:t>
            </w:r>
          </w:p>
        </w:tc>
        <w:tc>
          <w:tcPr>
            <w:tcW w:w="992"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5</w:t>
            </w:r>
          </w:p>
        </w:tc>
        <w:tc>
          <w:tcPr>
            <w:tcW w:w="993"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6</w:t>
            </w:r>
          </w:p>
        </w:tc>
        <w:tc>
          <w:tcPr>
            <w:tcW w:w="1134"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7</w:t>
            </w:r>
            <w:r w:rsidRPr="007B0E88">
              <w:rPr>
                <w:rFonts w:ascii="Lato" w:eastAsia="Times New Roman" w:hAnsi="Lato" w:cs="Times New Roman"/>
                <w:color w:val="000000"/>
                <w:sz w:val="18"/>
                <w:szCs w:val="18"/>
                <w:vertAlign w:val="superscript"/>
                <w:lang w:eastAsia="pl-PL"/>
              </w:rPr>
              <w:footnoteReference w:id="2"/>
            </w:r>
            <w:r w:rsidRPr="007B0E88">
              <w:rPr>
                <w:rFonts w:ascii="Lato" w:eastAsia="Times New Roman" w:hAnsi="Lato" w:cs="Times New Roman"/>
                <w:color w:val="000000"/>
                <w:sz w:val="18"/>
                <w:szCs w:val="18"/>
                <w:lang w:eastAsia="pl-PL"/>
              </w:rPr>
              <w:t>=6/5</w:t>
            </w:r>
            <w:r w:rsidRPr="007B0E88">
              <w:rPr>
                <w:rFonts w:ascii="Lato" w:eastAsia="Times New Roman" w:hAnsi="Lato" w:cs="Times New Roman"/>
                <w:color w:val="000000"/>
                <w:sz w:val="18"/>
                <w:szCs w:val="18"/>
                <w:lang w:eastAsia="pl-PL"/>
              </w:rPr>
              <w:br/>
              <w:t>*100%</w:t>
            </w:r>
          </w:p>
        </w:tc>
        <w:tc>
          <w:tcPr>
            <w:tcW w:w="1096" w:type="dxa"/>
            <w:gridSpan w:val="2"/>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8</w:t>
            </w:r>
          </w:p>
        </w:tc>
        <w:tc>
          <w:tcPr>
            <w:tcW w:w="1280"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9</w:t>
            </w:r>
          </w:p>
        </w:tc>
        <w:tc>
          <w:tcPr>
            <w:tcW w:w="1130"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10</w:t>
            </w:r>
          </w:p>
        </w:tc>
        <w:tc>
          <w:tcPr>
            <w:tcW w:w="1030" w:type="dxa"/>
            <w:tcBorders>
              <w:top w:val="nil"/>
              <w:left w:val="nil"/>
              <w:bottom w:val="single" w:sz="8" w:space="0" w:color="auto"/>
              <w:right w:val="single" w:sz="8" w:space="0" w:color="auto"/>
            </w:tcBorders>
            <w:shd w:val="clear" w:color="000000" w:fill="D9D9D9"/>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11</w:t>
            </w:r>
            <w:r w:rsidRPr="007B0E88">
              <w:rPr>
                <w:rFonts w:ascii="Lato" w:eastAsia="Times New Roman" w:hAnsi="Lato" w:cs="Times New Roman"/>
                <w:color w:val="000000"/>
                <w:sz w:val="18"/>
                <w:szCs w:val="18"/>
                <w:vertAlign w:val="superscript"/>
                <w:lang w:eastAsia="pl-PL"/>
              </w:rPr>
              <w:footnoteReference w:id="3"/>
            </w:r>
            <w:r w:rsidRPr="007B0E88">
              <w:rPr>
                <w:rFonts w:ascii="Lato" w:eastAsia="Times New Roman" w:hAnsi="Lato" w:cs="Times New Roman"/>
                <w:color w:val="000000"/>
                <w:sz w:val="18"/>
                <w:szCs w:val="18"/>
                <w:lang w:eastAsia="pl-PL"/>
              </w:rPr>
              <w:t>=10/8*100%</w:t>
            </w:r>
          </w:p>
        </w:tc>
      </w:tr>
      <w:tr w:rsidR="007B0E88" w:rsidRPr="007B0E88" w:rsidTr="00F874C0">
        <w:trPr>
          <w:trHeight w:val="398"/>
        </w:trPr>
        <w:tc>
          <w:tcPr>
            <w:tcW w:w="14030" w:type="dxa"/>
            <w:gridSpan w:val="13"/>
            <w:tcBorders>
              <w:top w:val="single" w:sz="8" w:space="0" w:color="auto"/>
              <w:left w:val="single" w:sz="8" w:space="0" w:color="auto"/>
              <w:bottom w:val="nil"/>
              <w:right w:val="single" w:sz="8" w:space="0" w:color="auto"/>
            </w:tcBorders>
            <w:shd w:val="clear" w:color="auto" w:fill="FFFFFF" w:themeFill="background1"/>
            <w:vAlign w:val="center"/>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eastAsia="Times New Roman" w:hAnsi="Lato" w:cs="Times New Roman"/>
                <w:color w:val="C00000"/>
                <w:sz w:val="18"/>
                <w:szCs w:val="18"/>
                <w:lang w:eastAsia="pl-PL"/>
              </w:rPr>
              <w:t>Cel główny</w:t>
            </w:r>
          </w:p>
        </w:tc>
      </w:tr>
      <w:tr w:rsidR="007B0E88" w:rsidRPr="007B0E88" w:rsidTr="00731DF0">
        <w:trPr>
          <w:gridAfter w:val="1"/>
          <w:wAfter w:w="6" w:type="dxa"/>
          <w:trHeight w:val="850"/>
        </w:trPr>
        <w:tc>
          <w:tcPr>
            <w:tcW w:w="983" w:type="dxa"/>
            <w:tcBorders>
              <w:top w:val="single" w:sz="4" w:space="0" w:color="808080"/>
              <w:left w:val="single" w:sz="4" w:space="0" w:color="808080"/>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CG_R_1</w:t>
            </w:r>
          </w:p>
        </w:tc>
        <w:tc>
          <w:tcPr>
            <w:tcW w:w="1134" w:type="dxa"/>
            <w:tcBorders>
              <w:top w:val="single" w:sz="4" w:space="0" w:color="808080"/>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nie dotyczy</w:t>
            </w:r>
          </w:p>
        </w:tc>
        <w:tc>
          <w:tcPr>
            <w:tcW w:w="992" w:type="dxa"/>
            <w:tcBorders>
              <w:top w:val="single" w:sz="4" w:space="0" w:color="808080"/>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center"/>
              <w:rPr>
                <w:rFonts w:ascii="Lato" w:eastAsia="Times New Roman" w:hAnsi="Lato" w:cs="Times New Roman"/>
                <w:bCs/>
                <w:color w:val="000000"/>
                <w:sz w:val="18"/>
                <w:szCs w:val="18"/>
                <w:lang w:eastAsia="pl-PL"/>
              </w:rPr>
            </w:pPr>
            <w:r w:rsidRPr="007B0E88">
              <w:rPr>
                <w:rFonts w:ascii="Lato" w:hAnsi="Lato" w:cs="Calibri"/>
                <w:b/>
                <w:bCs/>
                <w:color w:val="000000"/>
                <w:sz w:val="18"/>
                <w:szCs w:val="18"/>
              </w:rPr>
              <w:t>rezultat</w:t>
            </w:r>
          </w:p>
        </w:tc>
        <w:tc>
          <w:tcPr>
            <w:tcW w:w="3260" w:type="dxa"/>
            <w:tcBorders>
              <w:top w:val="single" w:sz="4" w:space="0" w:color="808080"/>
              <w:left w:val="nil"/>
              <w:bottom w:val="single" w:sz="4" w:space="0" w:color="808080"/>
              <w:right w:val="single" w:sz="4" w:space="0" w:color="808080"/>
            </w:tcBorders>
            <w:shd w:val="clear" w:color="auto" w:fill="E8F0F8"/>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Poziom czytelnictwa (czytanie przynajmniej jednej książki w ciągu roku)</w:t>
            </w:r>
          </w:p>
        </w:tc>
        <w:tc>
          <w:tcPr>
            <w:tcW w:w="992" w:type="dxa"/>
            <w:tcBorders>
              <w:top w:val="single" w:sz="4" w:space="0" w:color="808080"/>
              <w:left w:val="nil"/>
              <w:bottom w:val="single" w:sz="4" w:space="0" w:color="808080"/>
              <w:right w:val="single" w:sz="4" w:space="0" w:color="808080"/>
            </w:tcBorders>
            <w:shd w:val="clear" w:color="auto"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39,5%</w:t>
            </w:r>
          </w:p>
        </w:tc>
        <w:tc>
          <w:tcPr>
            <w:tcW w:w="993" w:type="dxa"/>
            <w:tcBorders>
              <w:top w:val="single" w:sz="4" w:space="0" w:color="808080"/>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highlight w:val="yellow"/>
                <w:lang w:eastAsia="pl-PL"/>
              </w:rPr>
            </w:pPr>
            <w:r w:rsidRPr="007B0E88">
              <w:rPr>
                <w:rFonts w:ascii="Lato" w:hAnsi="Lato" w:cs="Calibri"/>
                <w:color w:val="000000"/>
                <w:sz w:val="18"/>
                <w:szCs w:val="18"/>
              </w:rPr>
              <w:t>34,0%</w:t>
            </w:r>
          </w:p>
        </w:tc>
        <w:tc>
          <w:tcPr>
            <w:tcW w:w="1134" w:type="dxa"/>
            <w:tcBorders>
              <w:top w:val="single" w:sz="4" w:space="0" w:color="808080"/>
              <w:left w:val="single" w:sz="4" w:space="0" w:color="808080"/>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bCs/>
                <w:color w:val="C00000"/>
                <w:sz w:val="18"/>
                <w:szCs w:val="18"/>
                <w:highlight w:val="yellow"/>
                <w:lang w:eastAsia="pl-PL"/>
              </w:rPr>
            </w:pPr>
            <w:r w:rsidRPr="007B0E88">
              <w:rPr>
                <w:rFonts w:ascii="Lato" w:hAnsi="Lato" w:cs="Calibri"/>
                <w:b/>
                <w:bCs/>
                <w:color w:val="C00000"/>
                <w:sz w:val="18"/>
                <w:szCs w:val="18"/>
              </w:rPr>
              <w:t>86,08%</w:t>
            </w:r>
          </w:p>
        </w:tc>
        <w:tc>
          <w:tcPr>
            <w:tcW w:w="1096" w:type="dxa"/>
            <w:gridSpan w:val="2"/>
            <w:tcBorders>
              <w:top w:val="single" w:sz="4" w:space="0" w:color="808080"/>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41,0%</w:t>
            </w:r>
          </w:p>
        </w:tc>
        <w:tc>
          <w:tcPr>
            <w:tcW w:w="1280" w:type="dxa"/>
            <w:tcBorders>
              <w:top w:val="single" w:sz="4" w:space="0" w:color="808080"/>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nie dotyczy</w:t>
            </w:r>
          </w:p>
        </w:tc>
        <w:tc>
          <w:tcPr>
            <w:tcW w:w="1130" w:type="dxa"/>
            <w:tcBorders>
              <w:top w:val="single" w:sz="4" w:space="0" w:color="808080"/>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highlight w:val="yellow"/>
                <w:lang w:eastAsia="pl-PL"/>
              </w:rPr>
            </w:pPr>
            <w:r w:rsidRPr="007B0E88">
              <w:rPr>
                <w:rFonts w:ascii="Lato" w:hAnsi="Lato" w:cs="Calibri"/>
                <w:color w:val="000000"/>
                <w:sz w:val="18"/>
                <w:szCs w:val="18"/>
              </w:rPr>
              <w:t>34,0%</w:t>
            </w:r>
          </w:p>
        </w:tc>
        <w:tc>
          <w:tcPr>
            <w:tcW w:w="1030" w:type="dxa"/>
            <w:tcBorders>
              <w:top w:val="single" w:sz="4" w:space="0" w:color="808080"/>
              <w:left w:val="single" w:sz="4" w:space="0" w:color="808080"/>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highlight w:val="yellow"/>
                <w:lang w:eastAsia="pl-PL"/>
              </w:rPr>
            </w:pPr>
            <w:r w:rsidRPr="007B0E88">
              <w:rPr>
                <w:rFonts w:ascii="Lato" w:hAnsi="Lato" w:cs="Calibri"/>
                <w:b/>
                <w:bCs/>
                <w:color w:val="FF0000"/>
                <w:sz w:val="18"/>
                <w:szCs w:val="18"/>
              </w:rPr>
              <w:t>82,93%</w:t>
            </w:r>
          </w:p>
        </w:tc>
      </w:tr>
      <w:tr w:rsidR="007B0E88" w:rsidRPr="007B0E88" w:rsidTr="00731DF0">
        <w:trPr>
          <w:gridAfter w:val="1"/>
          <w:wAfter w:w="6" w:type="dxa"/>
          <w:trHeight w:val="756"/>
        </w:trPr>
        <w:tc>
          <w:tcPr>
            <w:tcW w:w="983" w:type="dxa"/>
            <w:tcBorders>
              <w:top w:val="nil"/>
              <w:left w:val="single" w:sz="4" w:space="0" w:color="808080"/>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CG_R_2</w:t>
            </w:r>
          </w:p>
        </w:tc>
        <w:tc>
          <w:tcPr>
            <w:tcW w:w="1134" w:type="dxa"/>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nie dotyczy</w:t>
            </w:r>
          </w:p>
        </w:tc>
        <w:tc>
          <w:tcPr>
            <w:tcW w:w="992" w:type="dxa"/>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center"/>
              <w:rPr>
                <w:rFonts w:ascii="Lato" w:eastAsia="Times New Roman" w:hAnsi="Lato" w:cs="Times New Roman"/>
                <w:bCs/>
                <w:color w:val="000000"/>
                <w:sz w:val="18"/>
                <w:szCs w:val="18"/>
                <w:lang w:eastAsia="pl-PL"/>
              </w:rPr>
            </w:pPr>
            <w:r w:rsidRPr="007B0E88">
              <w:rPr>
                <w:rFonts w:ascii="Lato" w:hAnsi="Lato" w:cs="Calibri"/>
                <w:b/>
                <w:bCs/>
                <w:color w:val="000000"/>
                <w:sz w:val="18"/>
                <w:szCs w:val="18"/>
              </w:rPr>
              <w:t>rezultat</w:t>
            </w:r>
          </w:p>
        </w:tc>
        <w:tc>
          <w:tcPr>
            <w:tcW w:w="3260" w:type="dxa"/>
            <w:tcBorders>
              <w:top w:val="nil"/>
              <w:left w:val="nil"/>
              <w:bottom w:val="single" w:sz="4" w:space="0" w:color="808080"/>
              <w:right w:val="single" w:sz="4" w:space="0" w:color="808080"/>
            </w:tcBorders>
            <w:shd w:val="clear" w:color="auto" w:fill="E8F0F8"/>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Poziom wykorzystania nowości wydawniczych zakupionych do bibliotek szkolnych w ramach NPRCz 2.0.</w:t>
            </w:r>
          </w:p>
        </w:tc>
        <w:tc>
          <w:tcPr>
            <w:tcW w:w="992" w:type="dxa"/>
            <w:tcBorders>
              <w:top w:val="nil"/>
              <w:left w:val="nil"/>
              <w:bottom w:val="single" w:sz="4" w:space="0" w:color="808080"/>
              <w:right w:val="single" w:sz="4" w:space="0" w:color="808080"/>
            </w:tcBorders>
            <w:shd w:val="clear" w:color="auto"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74,0%</w:t>
            </w:r>
          </w:p>
        </w:tc>
        <w:tc>
          <w:tcPr>
            <w:tcW w:w="993" w:type="dxa"/>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67,0%</w:t>
            </w:r>
          </w:p>
        </w:tc>
        <w:tc>
          <w:tcPr>
            <w:tcW w:w="1134" w:type="dxa"/>
            <w:tcBorders>
              <w:top w:val="nil"/>
              <w:left w:val="single" w:sz="4" w:space="0" w:color="808080"/>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bCs/>
                <w:color w:val="C00000"/>
                <w:sz w:val="18"/>
                <w:szCs w:val="18"/>
                <w:lang w:eastAsia="pl-PL"/>
              </w:rPr>
            </w:pPr>
            <w:r w:rsidRPr="007B0E88">
              <w:rPr>
                <w:rFonts w:ascii="Lato" w:hAnsi="Lato" w:cs="Calibri"/>
                <w:b/>
                <w:bCs/>
                <w:color w:val="C00000"/>
                <w:sz w:val="18"/>
                <w:szCs w:val="18"/>
              </w:rPr>
              <w:t>90,54%</w:t>
            </w:r>
          </w:p>
        </w:tc>
        <w:tc>
          <w:tcPr>
            <w:tcW w:w="1096" w:type="dxa"/>
            <w:gridSpan w:val="2"/>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74,0%</w:t>
            </w:r>
          </w:p>
        </w:tc>
        <w:tc>
          <w:tcPr>
            <w:tcW w:w="1280" w:type="dxa"/>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nie dotyczy</w:t>
            </w:r>
          </w:p>
        </w:tc>
        <w:tc>
          <w:tcPr>
            <w:tcW w:w="1130" w:type="dxa"/>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67,0%</w:t>
            </w:r>
          </w:p>
        </w:tc>
        <w:tc>
          <w:tcPr>
            <w:tcW w:w="1030" w:type="dxa"/>
            <w:tcBorders>
              <w:top w:val="nil"/>
              <w:left w:val="single" w:sz="4" w:space="0" w:color="808080"/>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90,54%</w:t>
            </w:r>
          </w:p>
        </w:tc>
      </w:tr>
      <w:tr w:rsidR="007B0E88" w:rsidRPr="007B0E88" w:rsidTr="00731DF0">
        <w:trPr>
          <w:gridAfter w:val="1"/>
          <w:wAfter w:w="6" w:type="dxa"/>
          <w:trHeight w:val="680"/>
        </w:trPr>
        <w:tc>
          <w:tcPr>
            <w:tcW w:w="983" w:type="dxa"/>
            <w:tcBorders>
              <w:top w:val="nil"/>
              <w:left w:val="single" w:sz="4" w:space="0" w:color="808080"/>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CG_R_3</w:t>
            </w:r>
          </w:p>
        </w:tc>
        <w:tc>
          <w:tcPr>
            <w:tcW w:w="1134" w:type="dxa"/>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nie dotyczy</w:t>
            </w:r>
          </w:p>
        </w:tc>
        <w:tc>
          <w:tcPr>
            <w:tcW w:w="992" w:type="dxa"/>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center"/>
              <w:rPr>
                <w:rFonts w:ascii="Lato" w:eastAsia="Times New Roman" w:hAnsi="Lato" w:cs="Times New Roman"/>
                <w:bCs/>
                <w:color w:val="000000"/>
                <w:sz w:val="18"/>
                <w:szCs w:val="18"/>
                <w:lang w:eastAsia="pl-PL"/>
              </w:rPr>
            </w:pPr>
            <w:r w:rsidRPr="007B0E88">
              <w:rPr>
                <w:rFonts w:ascii="Lato" w:hAnsi="Lato" w:cs="Calibri"/>
                <w:b/>
                <w:bCs/>
                <w:color w:val="000000"/>
                <w:sz w:val="18"/>
                <w:szCs w:val="18"/>
              </w:rPr>
              <w:t>rezultat</w:t>
            </w:r>
          </w:p>
        </w:tc>
        <w:tc>
          <w:tcPr>
            <w:tcW w:w="3260" w:type="dxa"/>
            <w:tcBorders>
              <w:top w:val="nil"/>
              <w:left w:val="nil"/>
              <w:bottom w:val="single" w:sz="4" w:space="0" w:color="808080"/>
              <w:right w:val="single" w:sz="4" w:space="0" w:color="808080"/>
            </w:tcBorders>
            <w:shd w:val="clear" w:color="auto" w:fill="E8F0F8"/>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Poziom społecznego oddziaływania bibliotek </w:t>
            </w:r>
          </w:p>
        </w:tc>
        <w:tc>
          <w:tcPr>
            <w:tcW w:w="992" w:type="dxa"/>
            <w:tcBorders>
              <w:top w:val="nil"/>
              <w:left w:val="nil"/>
              <w:bottom w:val="single" w:sz="4" w:space="0" w:color="808080"/>
              <w:right w:val="single" w:sz="4" w:space="0" w:color="808080"/>
            </w:tcBorders>
            <w:shd w:val="clear" w:color="auto"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18,5%</w:t>
            </w:r>
          </w:p>
        </w:tc>
        <w:tc>
          <w:tcPr>
            <w:tcW w:w="993" w:type="dxa"/>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highlight w:val="yellow"/>
                <w:lang w:eastAsia="pl-PL"/>
              </w:rPr>
            </w:pPr>
            <w:r w:rsidRPr="007B0E88">
              <w:rPr>
                <w:rFonts w:ascii="Lato" w:hAnsi="Lato" w:cs="Calibri"/>
                <w:color w:val="000000"/>
                <w:sz w:val="18"/>
                <w:szCs w:val="18"/>
              </w:rPr>
              <w:t>12,5%</w:t>
            </w:r>
          </w:p>
        </w:tc>
        <w:tc>
          <w:tcPr>
            <w:tcW w:w="1134" w:type="dxa"/>
            <w:tcBorders>
              <w:top w:val="nil"/>
              <w:left w:val="single" w:sz="4" w:space="0" w:color="808080"/>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bCs/>
                <w:color w:val="C00000"/>
                <w:sz w:val="18"/>
                <w:szCs w:val="18"/>
                <w:highlight w:val="yellow"/>
                <w:lang w:eastAsia="pl-PL"/>
              </w:rPr>
            </w:pPr>
            <w:r w:rsidRPr="007B0E88">
              <w:rPr>
                <w:rFonts w:ascii="Lato" w:hAnsi="Lato" w:cs="Calibri"/>
                <w:b/>
                <w:bCs/>
                <w:color w:val="C00000"/>
                <w:sz w:val="18"/>
                <w:szCs w:val="18"/>
              </w:rPr>
              <w:t>67,57%</w:t>
            </w:r>
          </w:p>
        </w:tc>
        <w:tc>
          <w:tcPr>
            <w:tcW w:w="1096" w:type="dxa"/>
            <w:gridSpan w:val="2"/>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20,0%</w:t>
            </w:r>
          </w:p>
        </w:tc>
        <w:tc>
          <w:tcPr>
            <w:tcW w:w="1280" w:type="dxa"/>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nie dotyczy</w:t>
            </w:r>
          </w:p>
        </w:tc>
        <w:tc>
          <w:tcPr>
            <w:tcW w:w="1130" w:type="dxa"/>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highlight w:val="yellow"/>
                <w:lang w:eastAsia="pl-PL"/>
              </w:rPr>
            </w:pPr>
            <w:r w:rsidRPr="007B0E88">
              <w:rPr>
                <w:rFonts w:ascii="Lato" w:hAnsi="Lato" w:cs="Calibri"/>
                <w:color w:val="000000"/>
                <w:sz w:val="18"/>
                <w:szCs w:val="18"/>
              </w:rPr>
              <w:t>12,5%</w:t>
            </w:r>
          </w:p>
        </w:tc>
        <w:tc>
          <w:tcPr>
            <w:tcW w:w="1030" w:type="dxa"/>
            <w:tcBorders>
              <w:top w:val="nil"/>
              <w:left w:val="single" w:sz="4" w:space="0" w:color="808080"/>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highlight w:val="yellow"/>
                <w:lang w:eastAsia="pl-PL"/>
              </w:rPr>
            </w:pPr>
            <w:r w:rsidRPr="007B0E88">
              <w:rPr>
                <w:rFonts w:ascii="Lato" w:hAnsi="Lato" w:cs="Calibri"/>
                <w:b/>
                <w:bCs/>
                <w:color w:val="FF0000"/>
                <w:sz w:val="18"/>
                <w:szCs w:val="18"/>
              </w:rPr>
              <w:t>62,50%</w:t>
            </w:r>
          </w:p>
        </w:tc>
      </w:tr>
      <w:tr w:rsidR="007B0E88" w:rsidRPr="007B0E88" w:rsidTr="00731DF0">
        <w:trPr>
          <w:gridAfter w:val="1"/>
          <w:wAfter w:w="6" w:type="dxa"/>
          <w:trHeight w:val="698"/>
        </w:trPr>
        <w:tc>
          <w:tcPr>
            <w:tcW w:w="983" w:type="dxa"/>
            <w:tcBorders>
              <w:top w:val="nil"/>
              <w:left w:val="single" w:sz="4" w:space="0" w:color="808080"/>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lastRenderedPageBreak/>
              <w:t>CG_P_1</w:t>
            </w:r>
          </w:p>
        </w:tc>
        <w:tc>
          <w:tcPr>
            <w:tcW w:w="1134" w:type="dxa"/>
            <w:tcBorders>
              <w:top w:val="nil"/>
              <w:left w:val="nil"/>
              <w:bottom w:val="single" w:sz="4" w:space="0" w:color="808080"/>
              <w:right w:val="single" w:sz="4" w:space="0" w:color="808080"/>
            </w:tcBorders>
            <w:shd w:val="clear" w:color="000000" w:fill="E8F0F8"/>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wartość dla Priorytetów 1-4 razem</w:t>
            </w:r>
          </w:p>
        </w:tc>
        <w:tc>
          <w:tcPr>
            <w:tcW w:w="992" w:type="dxa"/>
            <w:tcBorders>
              <w:top w:val="nil"/>
              <w:left w:val="nil"/>
              <w:bottom w:val="single" w:sz="4" w:space="0" w:color="808080"/>
              <w:right w:val="single" w:sz="4" w:space="0" w:color="808080"/>
            </w:tcBorders>
            <w:shd w:val="clear" w:color="000000" w:fill="E8F0F8"/>
            <w:noWrap/>
            <w:vAlign w:val="center"/>
            <w:hideMark/>
          </w:tcPr>
          <w:p w:rsidR="007B0E88" w:rsidRPr="007B0E88" w:rsidRDefault="007B0E88" w:rsidP="007B0E88">
            <w:pPr>
              <w:spacing w:after="0" w:line="240" w:lineRule="auto"/>
              <w:jc w:val="center"/>
              <w:rPr>
                <w:rFonts w:ascii="Lato" w:eastAsia="Times New Roman" w:hAnsi="Lato" w:cs="Times New Roman"/>
                <w:bCs/>
                <w:color w:val="000000"/>
                <w:sz w:val="18"/>
                <w:szCs w:val="18"/>
                <w:lang w:eastAsia="pl-PL"/>
              </w:rPr>
            </w:pPr>
            <w:r w:rsidRPr="007B0E88">
              <w:rPr>
                <w:rFonts w:ascii="Lato" w:hAnsi="Lato" w:cs="Calibri"/>
                <w:b/>
                <w:bCs/>
                <w:color w:val="000000"/>
                <w:sz w:val="18"/>
                <w:szCs w:val="18"/>
              </w:rPr>
              <w:t>produkt</w:t>
            </w:r>
          </w:p>
        </w:tc>
        <w:tc>
          <w:tcPr>
            <w:tcW w:w="3260" w:type="dxa"/>
            <w:tcBorders>
              <w:top w:val="nil"/>
              <w:left w:val="nil"/>
              <w:bottom w:val="single" w:sz="4" w:space="0" w:color="808080"/>
              <w:right w:val="single" w:sz="4" w:space="0" w:color="808080"/>
            </w:tcBorders>
            <w:shd w:val="clear" w:color="auto" w:fill="E8F0F8"/>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bibliotek i placówek wychowania przedszkolnego objętych wsparciem w ramach NPRCz 2.0. ( w tys.)</w:t>
            </w:r>
          </w:p>
        </w:tc>
        <w:tc>
          <w:tcPr>
            <w:tcW w:w="992" w:type="dxa"/>
            <w:tcBorders>
              <w:top w:val="single" w:sz="4" w:space="0" w:color="808080"/>
              <w:left w:val="single" w:sz="4" w:space="0" w:color="808080"/>
              <w:bottom w:val="single" w:sz="4" w:space="0" w:color="808080"/>
              <w:right w:val="single" w:sz="4" w:space="0" w:color="808080"/>
            </w:tcBorders>
            <w:shd w:val="clear" w:color="auto"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7,66 tys.</w:t>
            </w:r>
          </w:p>
        </w:tc>
        <w:tc>
          <w:tcPr>
            <w:tcW w:w="993" w:type="dxa"/>
            <w:tcBorders>
              <w:top w:val="single" w:sz="4" w:space="0" w:color="808080"/>
              <w:left w:val="nil"/>
              <w:bottom w:val="single" w:sz="4" w:space="0" w:color="808080"/>
              <w:right w:val="single" w:sz="4" w:space="0" w:color="808080"/>
            </w:tcBorders>
            <w:shd w:val="clear" w:color="auto"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8,21 tys.</w:t>
            </w:r>
          </w:p>
        </w:tc>
        <w:tc>
          <w:tcPr>
            <w:tcW w:w="1134" w:type="dxa"/>
            <w:tcBorders>
              <w:top w:val="single" w:sz="4" w:space="0" w:color="808080"/>
              <w:left w:val="nil"/>
              <w:bottom w:val="single" w:sz="4" w:space="0" w:color="808080"/>
              <w:right w:val="single" w:sz="4" w:space="0" w:color="808080"/>
            </w:tcBorders>
            <w:shd w:val="clear" w:color="auto" w:fill="E8F0F8"/>
            <w:noWrap/>
            <w:vAlign w:val="center"/>
            <w:hideMark/>
          </w:tcPr>
          <w:p w:rsidR="007B0E88" w:rsidRPr="007B0E88" w:rsidRDefault="007B0E88" w:rsidP="007B0E88">
            <w:pPr>
              <w:spacing w:after="0" w:line="240" w:lineRule="auto"/>
              <w:jc w:val="right"/>
              <w:rPr>
                <w:rFonts w:ascii="Lato" w:eastAsia="Times New Roman" w:hAnsi="Lato" w:cs="Times New Roman"/>
                <w:bCs/>
                <w:color w:val="C00000"/>
                <w:sz w:val="18"/>
                <w:szCs w:val="18"/>
                <w:lang w:eastAsia="pl-PL"/>
              </w:rPr>
            </w:pPr>
            <w:r w:rsidRPr="007B0E88">
              <w:rPr>
                <w:rFonts w:ascii="Lato" w:hAnsi="Lato" w:cs="Calibri"/>
                <w:b/>
                <w:bCs/>
                <w:color w:val="C00000"/>
                <w:sz w:val="18"/>
                <w:szCs w:val="18"/>
              </w:rPr>
              <w:t>107,13%</w:t>
            </w:r>
          </w:p>
        </w:tc>
        <w:tc>
          <w:tcPr>
            <w:tcW w:w="1096" w:type="dxa"/>
            <w:gridSpan w:val="2"/>
            <w:tcBorders>
              <w:top w:val="single" w:sz="4" w:space="0" w:color="808080"/>
              <w:left w:val="nil"/>
              <w:bottom w:val="single" w:sz="4" w:space="0" w:color="808080"/>
              <w:right w:val="single" w:sz="4" w:space="0" w:color="808080"/>
            </w:tcBorders>
            <w:shd w:val="clear" w:color="auto" w:fill="E8F0F8"/>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36,74 tys.</w:t>
            </w:r>
          </w:p>
        </w:tc>
        <w:tc>
          <w:tcPr>
            <w:tcW w:w="1280" w:type="dxa"/>
            <w:tcBorders>
              <w:top w:val="single" w:sz="4" w:space="0" w:color="808080"/>
              <w:left w:val="nil"/>
              <w:bottom w:val="single" w:sz="4" w:space="0" w:color="808080"/>
              <w:right w:val="single" w:sz="4" w:space="0" w:color="808080"/>
            </w:tcBorders>
            <w:shd w:val="clear" w:color="auto" w:fill="E8F0F8"/>
            <w:noWrap/>
            <w:vAlign w:val="center"/>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14,14 tys.</w:t>
            </w:r>
          </w:p>
        </w:tc>
        <w:tc>
          <w:tcPr>
            <w:tcW w:w="1130" w:type="dxa"/>
            <w:tcBorders>
              <w:top w:val="single" w:sz="4" w:space="0" w:color="808080"/>
              <w:left w:val="nil"/>
              <w:bottom w:val="single" w:sz="4" w:space="0" w:color="808080"/>
              <w:right w:val="single" w:sz="4" w:space="0" w:color="808080"/>
            </w:tcBorders>
            <w:shd w:val="clear" w:color="auto" w:fill="E8F0F8"/>
            <w:noWrap/>
            <w:vAlign w:val="center"/>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14,00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38,10%</w:t>
            </w:r>
            <w:r w:rsidRPr="007B0E88">
              <w:rPr>
                <w:rFonts w:ascii="Lato" w:hAnsi="Lato" w:cs="Calibri"/>
                <w:bCs/>
                <w:sz w:val="18"/>
                <w:szCs w:val="18"/>
                <w:vertAlign w:val="superscript"/>
              </w:rPr>
              <w:footnoteReference w:id="4"/>
            </w:r>
          </w:p>
        </w:tc>
      </w:tr>
      <w:tr w:rsidR="007B0E88" w:rsidRPr="007B0E88" w:rsidTr="00F874C0">
        <w:trPr>
          <w:trHeight w:val="366"/>
        </w:trPr>
        <w:tc>
          <w:tcPr>
            <w:tcW w:w="14030" w:type="dxa"/>
            <w:gridSpan w:val="13"/>
            <w:tcBorders>
              <w:top w:val="nil"/>
              <w:left w:val="single" w:sz="4" w:space="0" w:color="808080"/>
              <w:bottom w:val="single" w:sz="4" w:space="0" w:color="808080"/>
              <w:right w:val="single" w:sz="4" w:space="0" w:color="808080"/>
            </w:tcBorders>
            <w:shd w:val="clear" w:color="auto" w:fill="FFFFFF" w:themeFill="background1"/>
            <w:noWrap/>
            <w:vAlign w:val="center"/>
          </w:tcPr>
          <w:p w:rsidR="007B0E88" w:rsidRPr="007B0E88" w:rsidRDefault="007B0E88" w:rsidP="007B0E88">
            <w:pPr>
              <w:spacing w:after="0" w:line="240" w:lineRule="auto"/>
              <w:rPr>
                <w:rFonts w:ascii="Lato" w:eastAsia="Times New Roman" w:hAnsi="Lato" w:cs="Times New Roman"/>
                <w:bCs/>
                <w:color w:val="FF0000"/>
                <w:sz w:val="18"/>
                <w:szCs w:val="18"/>
                <w:lang w:eastAsia="pl-PL"/>
              </w:rPr>
            </w:pPr>
            <w:r w:rsidRPr="007B0E88">
              <w:rPr>
                <w:rFonts w:ascii="Lato" w:eastAsia="Times New Roman" w:hAnsi="Lato" w:cs="Times New Roman"/>
                <w:color w:val="C00000"/>
                <w:sz w:val="18"/>
                <w:szCs w:val="18"/>
                <w:lang w:eastAsia="pl-PL"/>
              </w:rPr>
              <w:t>Cel szczegółowy 1 / Priorytet 1</w:t>
            </w:r>
          </w:p>
        </w:tc>
      </w:tr>
      <w:tr w:rsidR="007B0E88" w:rsidRPr="007B0E88" w:rsidTr="00731DF0">
        <w:trPr>
          <w:gridAfter w:val="1"/>
          <w:wAfter w:w="6" w:type="dxa"/>
          <w:trHeight w:val="452"/>
        </w:trPr>
        <w:tc>
          <w:tcPr>
            <w:tcW w:w="983"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CG_P_1</w:t>
            </w:r>
          </w:p>
        </w:tc>
        <w:tc>
          <w:tcPr>
            <w:tcW w:w="1134" w:type="dxa"/>
            <w:tcBorders>
              <w:top w:val="single" w:sz="4" w:space="0" w:color="808080"/>
              <w:left w:val="nil"/>
              <w:bottom w:val="single" w:sz="4" w:space="0" w:color="808080"/>
              <w:right w:val="single" w:sz="4" w:space="0" w:color="808080"/>
            </w:tcBorders>
            <w:shd w:val="clear" w:color="000000" w:fill="FFFFFF"/>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1.1.</w:t>
            </w:r>
          </w:p>
        </w:tc>
        <w:tc>
          <w:tcPr>
            <w:tcW w:w="992"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bibliotek (publicznych, szkolnych i pedagogicznych) oraz placówek wychowania przedszkolnego objętych wsparciem w ramach NPRCz 2.0.</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2,50 tys.</w:t>
            </w:r>
          </w:p>
        </w:tc>
        <w:tc>
          <w:tcPr>
            <w:tcW w:w="993"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2,54 tys.</w:t>
            </w:r>
          </w:p>
        </w:tc>
        <w:tc>
          <w:tcPr>
            <w:tcW w:w="1134"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C00000"/>
                <w:sz w:val="18"/>
                <w:szCs w:val="18"/>
                <w:lang w:eastAsia="pl-PL"/>
              </w:rPr>
            </w:pPr>
            <w:r w:rsidRPr="007B0E88">
              <w:rPr>
                <w:rFonts w:ascii="Lato" w:hAnsi="Lato" w:cs="Calibri"/>
                <w:color w:val="C00000"/>
                <w:sz w:val="18"/>
                <w:szCs w:val="18"/>
              </w:rPr>
              <w:t>101,40%</w:t>
            </w:r>
          </w:p>
        </w:tc>
        <w:tc>
          <w:tcPr>
            <w:tcW w:w="1096" w:type="dxa"/>
            <w:gridSpan w:val="2"/>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12,50 tys.</w:t>
            </w:r>
          </w:p>
        </w:tc>
        <w:tc>
          <w:tcPr>
            <w:tcW w:w="1280"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4,91 tys.</w:t>
            </w:r>
          </w:p>
        </w:tc>
        <w:tc>
          <w:tcPr>
            <w:tcW w:w="1130"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4,91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39,31%</w:t>
            </w:r>
          </w:p>
        </w:tc>
      </w:tr>
      <w:tr w:rsidR="007B0E88" w:rsidRPr="007B0E88" w:rsidTr="00731DF0">
        <w:trPr>
          <w:gridAfter w:val="1"/>
          <w:wAfter w:w="6" w:type="dxa"/>
          <w:trHeight w:val="1395"/>
        </w:trPr>
        <w:tc>
          <w:tcPr>
            <w:tcW w:w="983" w:type="dxa"/>
            <w:tcBorders>
              <w:top w:val="nil"/>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CG_P_1_a</w:t>
            </w:r>
          </w:p>
        </w:tc>
        <w:tc>
          <w:tcPr>
            <w:tcW w:w="1134" w:type="dxa"/>
            <w:tcBorders>
              <w:top w:val="nil"/>
              <w:left w:val="nil"/>
              <w:bottom w:val="single" w:sz="4" w:space="0" w:color="808080"/>
              <w:right w:val="single" w:sz="4" w:space="0" w:color="808080"/>
            </w:tcBorders>
            <w:shd w:val="clear" w:color="000000" w:fill="FFFFFF"/>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1.1.</w:t>
            </w:r>
          </w:p>
        </w:tc>
        <w:tc>
          <w:tcPr>
            <w:tcW w:w="992" w:type="dxa"/>
            <w:tcBorders>
              <w:top w:val="nil"/>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w tym:</w:t>
            </w:r>
            <w:r w:rsidRPr="007B0E88">
              <w:rPr>
                <w:rFonts w:ascii="Lato" w:hAnsi="Lato" w:cs="Calibri"/>
                <w:color w:val="000000"/>
                <w:sz w:val="18"/>
                <w:szCs w:val="18"/>
              </w:rPr>
              <w:br/>
              <w:t>liczba bibliotek, które w ramach NPRCz 2.0. zakupiły usługę zdalnego dostępu do książek w formacie e-booków i/lub audiobooków i/lub synchrobooków</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0,80 tys.</w:t>
            </w:r>
          </w:p>
        </w:tc>
        <w:tc>
          <w:tcPr>
            <w:tcW w:w="993"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0,74 tys.</w:t>
            </w:r>
          </w:p>
        </w:tc>
        <w:tc>
          <w:tcPr>
            <w:tcW w:w="1134"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C00000"/>
                <w:sz w:val="18"/>
                <w:szCs w:val="18"/>
                <w:lang w:eastAsia="pl-PL"/>
              </w:rPr>
            </w:pPr>
            <w:r w:rsidRPr="007B0E88">
              <w:rPr>
                <w:rFonts w:ascii="Lato" w:hAnsi="Lato" w:cs="Calibri"/>
                <w:color w:val="C00000"/>
                <w:sz w:val="18"/>
                <w:szCs w:val="18"/>
              </w:rPr>
              <w:t>92,88%</w:t>
            </w:r>
          </w:p>
        </w:tc>
        <w:tc>
          <w:tcPr>
            <w:tcW w:w="1096" w:type="dxa"/>
            <w:gridSpan w:val="2"/>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4,35 tys.</w:t>
            </w:r>
          </w:p>
        </w:tc>
        <w:tc>
          <w:tcPr>
            <w:tcW w:w="1280"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1,35 tys.</w:t>
            </w:r>
          </w:p>
        </w:tc>
        <w:tc>
          <w:tcPr>
            <w:tcW w:w="1130"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1,35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31,08%</w:t>
            </w:r>
          </w:p>
        </w:tc>
      </w:tr>
      <w:tr w:rsidR="007B0E88" w:rsidRPr="007B0E88" w:rsidTr="00731DF0">
        <w:trPr>
          <w:gridAfter w:val="1"/>
          <w:wAfter w:w="6" w:type="dxa"/>
          <w:trHeight w:val="1244"/>
        </w:trPr>
        <w:tc>
          <w:tcPr>
            <w:tcW w:w="983" w:type="dxa"/>
            <w:tcBorders>
              <w:top w:val="nil"/>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P_1</w:t>
            </w:r>
          </w:p>
        </w:tc>
        <w:tc>
          <w:tcPr>
            <w:tcW w:w="1134" w:type="dxa"/>
            <w:tcBorders>
              <w:top w:val="nil"/>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1.1. </w:t>
            </w:r>
          </w:p>
        </w:tc>
        <w:tc>
          <w:tcPr>
            <w:tcW w:w="992"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zakupionych nowości w bibliotekach/ placówkach wychowania przedszkolnego objętych wsparciem (zakupionych z projektu)</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3,34 mln</w:t>
            </w:r>
          </w:p>
        </w:tc>
        <w:tc>
          <w:tcPr>
            <w:tcW w:w="993"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3,54 mln</w:t>
            </w:r>
          </w:p>
        </w:tc>
        <w:tc>
          <w:tcPr>
            <w:tcW w:w="1134"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C00000"/>
                <w:sz w:val="18"/>
                <w:szCs w:val="18"/>
                <w:lang w:eastAsia="pl-PL"/>
              </w:rPr>
            </w:pPr>
            <w:r w:rsidRPr="007B0E88">
              <w:rPr>
                <w:rFonts w:ascii="Lato" w:hAnsi="Lato" w:cs="Calibri"/>
                <w:color w:val="C00000"/>
                <w:sz w:val="18"/>
                <w:szCs w:val="18"/>
              </w:rPr>
              <w:t>105,99%</w:t>
            </w:r>
          </w:p>
        </w:tc>
        <w:tc>
          <w:tcPr>
            <w:tcW w:w="1096" w:type="dxa"/>
            <w:gridSpan w:val="2"/>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14,43 mln</w:t>
            </w:r>
          </w:p>
        </w:tc>
        <w:tc>
          <w:tcPr>
            <w:tcW w:w="1280"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7,05 mln</w:t>
            </w:r>
          </w:p>
        </w:tc>
        <w:tc>
          <w:tcPr>
            <w:tcW w:w="1130"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7,05 mln</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48,86%</w:t>
            </w:r>
          </w:p>
        </w:tc>
      </w:tr>
      <w:tr w:rsidR="007B0E88" w:rsidRPr="007B0E88" w:rsidTr="00731DF0">
        <w:trPr>
          <w:gridAfter w:val="1"/>
          <w:wAfter w:w="6" w:type="dxa"/>
          <w:trHeight w:val="1111"/>
        </w:trPr>
        <w:tc>
          <w:tcPr>
            <w:tcW w:w="983" w:type="dxa"/>
            <w:tcBorders>
              <w:top w:val="nil"/>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lastRenderedPageBreak/>
              <w:t>CG_P_1</w:t>
            </w:r>
          </w:p>
        </w:tc>
        <w:tc>
          <w:tcPr>
            <w:tcW w:w="1134" w:type="dxa"/>
            <w:tcBorders>
              <w:top w:val="nil"/>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1.2.</w:t>
            </w:r>
          </w:p>
        </w:tc>
        <w:tc>
          <w:tcPr>
            <w:tcW w:w="992"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bibliotek (publicznych, szkolnych i pedagogicznych) oraz placówek wychowania przedszkolnego objętych wsparciem w ramach NPRCz 2.0.</w:t>
            </w:r>
          </w:p>
        </w:tc>
        <w:tc>
          <w:tcPr>
            <w:tcW w:w="992" w:type="dxa"/>
            <w:tcBorders>
              <w:top w:val="nil"/>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109</w:t>
            </w:r>
          </w:p>
        </w:tc>
        <w:tc>
          <w:tcPr>
            <w:tcW w:w="993" w:type="dxa"/>
            <w:tcBorders>
              <w:top w:val="nil"/>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109</w:t>
            </w:r>
          </w:p>
        </w:tc>
        <w:tc>
          <w:tcPr>
            <w:tcW w:w="1134" w:type="dxa"/>
            <w:tcBorders>
              <w:top w:val="nil"/>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right"/>
              <w:rPr>
                <w:rFonts w:ascii="Lato" w:eastAsia="Times New Roman" w:hAnsi="Lato" w:cs="Times New Roman"/>
                <w:color w:val="C00000"/>
                <w:sz w:val="18"/>
                <w:szCs w:val="18"/>
                <w:lang w:eastAsia="pl-PL"/>
              </w:rPr>
            </w:pPr>
            <w:r w:rsidRPr="007B0E88">
              <w:rPr>
                <w:rFonts w:ascii="Lato" w:hAnsi="Lato" w:cs="Calibri"/>
                <w:color w:val="C00000"/>
                <w:sz w:val="18"/>
                <w:szCs w:val="18"/>
              </w:rPr>
              <w:t>100,00%</w:t>
            </w:r>
          </w:p>
        </w:tc>
        <w:tc>
          <w:tcPr>
            <w:tcW w:w="1096" w:type="dxa"/>
            <w:gridSpan w:val="2"/>
            <w:tcBorders>
              <w:top w:val="nil"/>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496    </w:t>
            </w:r>
          </w:p>
        </w:tc>
        <w:tc>
          <w:tcPr>
            <w:tcW w:w="1280" w:type="dxa"/>
            <w:tcBorders>
              <w:top w:val="nil"/>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130    </w:t>
            </w:r>
          </w:p>
        </w:tc>
        <w:tc>
          <w:tcPr>
            <w:tcW w:w="1130" w:type="dxa"/>
            <w:tcBorders>
              <w:top w:val="nil"/>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109    </w:t>
            </w:r>
          </w:p>
        </w:tc>
        <w:tc>
          <w:tcPr>
            <w:tcW w:w="1030" w:type="dxa"/>
            <w:tcBorders>
              <w:top w:val="nil"/>
              <w:left w:val="nil"/>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21,98%</w:t>
            </w:r>
            <w:r w:rsidRPr="007B0E88">
              <w:rPr>
                <w:rFonts w:ascii="Lato" w:hAnsi="Lato" w:cs="Calibri"/>
                <w:bCs/>
                <w:sz w:val="18"/>
                <w:szCs w:val="18"/>
                <w:vertAlign w:val="superscript"/>
              </w:rPr>
              <w:footnoteReference w:id="5"/>
            </w:r>
          </w:p>
        </w:tc>
      </w:tr>
      <w:tr w:rsidR="007B0E88" w:rsidRPr="007B0E88" w:rsidTr="007B0E88">
        <w:trPr>
          <w:trHeight w:val="510"/>
        </w:trPr>
        <w:tc>
          <w:tcPr>
            <w:tcW w:w="14030" w:type="dxa"/>
            <w:gridSpan w:val="13"/>
            <w:tcBorders>
              <w:top w:val="nil"/>
              <w:left w:val="single" w:sz="4" w:space="0" w:color="808080"/>
              <w:bottom w:val="single" w:sz="4" w:space="0" w:color="808080"/>
              <w:right w:val="single" w:sz="4" w:space="0" w:color="808080"/>
            </w:tcBorders>
            <w:shd w:val="clear" w:color="auto" w:fill="FFFFFF" w:themeFill="background1"/>
            <w:noWrap/>
            <w:vAlign w:val="center"/>
          </w:tcPr>
          <w:p w:rsidR="007B0E88" w:rsidRPr="007B0E88" w:rsidRDefault="007B0E88" w:rsidP="007B0E88">
            <w:pPr>
              <w:spacing w:after="0" w:line="240" w:lineRule="auto"/>
              <w:rPr>
                <w:rFonts w:ascii="Lato" w:eastAsia="Times New Roman" w:hAnsi="Lato" w:cs="Times New Roman"/>
                <w:bCs/>
                <w:color w:val="FF0000"/>
                <w:sz w:val="18"/>
                <w:szCs w:val="18"/>
                <w:lang w:eastAsia="pl-PL"/>
              </w:rPr>
            </w:pPr>
            <w:r w:rsidRPr="007B0E88">
              <w:rPr>
                <w:rFonts w:ascii="Lato" w:eastAsia="Times New Roman" w:hAnsi="Lato" w:cs="Times New Roman"/>
                <w:bCs/>
                <w:color w:val="C00000"/>
                <w:sz w:val="18"/>
                <w:szCs w:val="18"/>
                <w:lang w:eastAsia="pl-PL"/>
              </w:rPr>
              <w:t>Cel szczegółowy 2 / Priorytet 2</w:t>
            </w:r>
          </w:p>
        </w:tc>
      </w:tr>
      <w:tr w:rsidR="007B0E88" w:rsidRPr="007B0E88" w:rsidTr="00731DF0">
        <w:trPr>
          <w:gridAfter w:val="1"/>
          <w:wAfter w:w="6" w:type="dxa"/>
          <w:trHeight w:val="1147"/>
        </w:trPr>
        <w:tc>
          <w:tcPr>
            <w:tcW w:w="983"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CG_P_1</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2.1.</w:t>
            </w:r>
          </w:p>
        </w:tc>
        <w:tc>
          <w:tcPr>
            <w:tcW w:w="992"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bibliotek (publicznych, szkolnych i pedagogicznych) oraz placówek wychowania przedszkolnego objętych wsparciem w ramach NPRCz 2.0.</w:t>
            </w:r>
          </w:p>
        </w:tc>
        <w:tc>
          <w:tcPr>
            <w:tcW w:w="992"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11 (57)</w:t>
            </w:r>
          </w:p>
        </w:tc>
        <w:tc>
          <w:tcPr>
            <w:tcW w:w="993"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7 (83)</w:t>
            </w:r>
            <w:r w:rsidRPr="007B0E88">
              <w:rPr>
                <w:rFonts w:ascii="Lato" w:hAnsi="Lato" w:cs="Calibri"/>
                <w:color w:val="000000"/>
                <w:sz w:val="18"/>
                <w:szCs w:val="18"/>
                <w:vertAlign w:val="superscript"/>
              </w:rPr>
              <w:footnoteReference w:id="6"/>
            </w:r>
          </w:p>
        </w:tc>
        <w:tc>
          <w:tcPr>
            <w:tcW w:w="1134"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right"/>
              <w:rPr>
                <w:rFonts w:ascii="Lato" w:hAnsi="Lato" w:cs="Calibri"/>
                <w:color w:val="C00000"/>
                <w:sz w:val="18"/>
                <w:szCs w:val="18"/>
              </w:rPr>
            </w:pPr>
            <w:r w:rsidRPr="007B0E88">
              <w:rPr>
                <w:rFonts w:ascii="Lato" w:hAnsi="Lato" w:cs="Calibri"/>
                <w:color w:val="C00000"/>
                <w:sz w:val="18"/>
                <w:szCs w:val="18"/>
              </w:rPr>
              <w:t xml:space="preserve">"63,64% </w:t>
            </w:r>
          </w:p>
          <w:p w:rsidR="007B0E88" w:rsidRPr="007B0E88" w:rsidRDefault="007B0E88" w:rsidP="007B0E88">
            <w:pPr>
              <w:spacing w:after="0" w:line="240" w:lineRule="auto"/>
              <w:jc w:val="right"/>
              <w:rPr>
                <w:rFonts w:ascii="Lato" w:eastAsia="Times New Roman" w:hAnsi="Lato" w:cs="Times New Roman"/>
                <w:color w:val="C00000"/>
                <w:sz w:val="18"/>
                <w:szCs w:val="18"/>
                <w:lang w:eastAsia="pl-PL"/>
              </w:rPr>
            </w:pPr>
            <w:r w:rsidRPr="007B0E88">
              <w:rPr>
                <w:rFonts w:ascii="Lato" w:hAnsi="Lato" w:cs="Calibri"/>
                <w:color w:val="C00000"/>
                <w:sz w:val="18"/>
                <w:szCs w:val="18"/>
              </w:rPr>
              <w:t>(145,61%)"</w:t>
            </w:r>
          </w:p>
        </w:tc>
        <w:tc>
          <w:tcPr>
            <w:tcW w:w="1096" w:type="dxa"/>
            <w:gridSpan w:val="2"/>
            <w:tcBorders>
              <w:top w:val="single" w:sz="4" w:space="0" w:color="808080"/>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164    </w:t>
            </w:r>
          </w:p>
        </w:tc>
        <w:tc>
          <w:tcPr>
            <w:tcW w:w="1280"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83    </w:t>
            </w:r>
          </w:p>
        </w:tc>
        <w:tc>
          <w:tcPr>
            <w:tcW w:w="1130"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7    </w:t>
            </w:r>
          </w:p>
        </w:tc>
        <w:tc>
          <w:tcPr>
            <w:tcW w:w="1030" w:type="dxa"/>
            <w:tcBorders>
              <w:top w:val="single" w:sz="4" w:space="0" w:color="808080"/>
              <w:left w:val="nil"/>
              <w:bottom w:val="single" w:sz="4" w:space="0" w:color="808080"/>
              <w:right w:val="single" w:sz="4" w:space="0" w:color="808080"/>
            </w:tcBorders>
            <w:shd w:val="clear" w:color="000000" w:fill="C5D9F1"/>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4,27%</w:t>
            </w:r>
            <w:r w:rsidRPr="007B0E88">
              <w:rPr>
                <w:rFonts w:ascii="Lato" w:hAnsi="Lato" w:cs="Calibri"/>
                <w:bCs/>
                <w:sz w:val="18"/>
                <w:szCs w:val="18"/>
                <w:vertAlign w:val="superscript"/>
              </w:rPr>
              <w:footnoteReference w:id="7"/>
            </w:r>
          </w:p>
        </w:tc>
      </w:tr>
      <w:tr w:rsidR="007B0E88" w:rsidRPr="007B0E88" w:rsidTr="00731DF0">
        <w:trPr>
          <w:gridAfter w:val="1"/>
          <w:wAfter w:w="6" w:type="dxa"/>
          <w:trHeight w:val="1020"/>
        </w:trPr>
        <w:tc>
          <w:tcPr>
            <w:tcW w:w="983" w:type="dxa"/>
            <w:tcBorders>
              <w:top w:val="nil"/>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lastRenderedPageBreak/>
              <w:t>P_4</w:t>
            </w:r>
          </w:p>
        </w:tc>
        <w:tc>
          <w:tcPr>
            <w:tcW w:w="1134" w:type="dxa"/>
            <w:tcBorders>
              <w:top w:val="nil"/>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2.1.</w:t>
            </w:r>
          </w:p>
        </w:tc>
        <w:tc>
          <w:tcPr>
            <w:tcW w:w="992"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bibliotek objętych wsparciem, które w wyniku projektu dostosowano do potrzeb osób ze szczególnymi potrzebami</w:t>
            </w:r>
          </w:p>
        </w:tc>
        <w:tc>
          <w:tcPr>
            <w:tcW w:w="992" w:type="dxa"/>
            <w:tcBorders>
              <w:top w:val="nil"/>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6    </w:t>
            </w:r>
          </w:p>
        </w:tc>
        <w:tc>
          <w:tcPr>
            <w:tcW w:w="993" w:type="dxa"/>
            <w:tcBorders>
              <w:top w:val="nil"/>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right"/>
              <w:rPr>
                <w:rFonts w:ascii="Lato" w:eastAsia="Times New Roman" w:hAnsi="Lato" w:cs="Times New Roman"/>
                <w:color w:val="C00000"/>
                <w:sz w:val="18"/>
                <w:szCs w:val="18"/>
                <w:lang w:eastAsia="pl-PL"/>
              </w:rPr>
            </w:pPr>
            <w:r w:rsidRPr="007B0E88">
              <w:rPr>
                <w:rFonts w:ascii="Lato" w:hAnsi="Lato" w:cs="Calibri"/>
                <w:color w:val="C00000"/>
                <w:sz w:val="18"/>
                <w:szCs w:val="18"/>
              </w:rPr>
              <w:t>83,33%</w:t>
            </w:r>
          </w:p>
        </w:tc>
        <w:tc>
          <w:tcPr>
            <w:tcW w:w="1096" w:type="dxa"/>
            <w:gridSpan w:val="2"/>
            <w:tcBorders>
              <w:top w:val="nil"/>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93    </w:t>
            </w:r>
          </w:p>
        </w:tc>
        <w:tc>
          <w:tcPr>
            <w:tcW w:w="1280" w:type="dxa"/>
            <w:tcBorders>
              <w:top w:val="nil"/>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80    </w:t>
            </w:r>
          </w:p>
        </w:tc>
        <w:tc>
          <w:tcPr>
            <w:tcW w:w="1130" w:type="dxa"/>
            <w:tcBorders>
              <w:top w:val="nil"/>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5    </w:t>
            </w:r>
          </w:p>
        </w:tc>
        <w:tc>
          <w:tcPr>
            <w:tcW w:w="1030" w:type="dxa"/>
            <w:tcBorders>
              <w:top w:val="nil"/>
              <w:left w:val="nil"/>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5,38%</w:t>
            </w:r>
            <w:r w:rsidRPr="007B0E88">
              <w:rPr>
                <w:rFonts w:ascii="Lato" w:hAnsi="Lato" w:cs="Calibri"/>
                <w:bCs/>
                <w:sz w:val="18"/>
                <w:szCs w:val="18"/>
                <w:vertAlign w:val="superscript"/>
              </w:rPr>
              <w:footnoteReference w:id="8"/>
            </w:r>
          </w:p>
        </w:tc>
      </w:tr>
      <w:tr w:rsidR="007B0E88" w:rsidRPr="007B0E88" w:rsidTr="007B0E88">
        <w:trPr>
          <w:trHeight w:val="510"/>
        </w:trPr>
        <w:tc>
          <w:tcPr>
            <w:tcW w:w="14030" w:type="dxa"/>
            <w:gridSpan w:val="13"/>
            <w:tcBorders>
              <w:top w:val="nil"/>
              <w:left w:val="single" w:sz="4" w:space="0" w:color="808080"/>
              <w:bottom w:val="single" w:sz="4" w:space="0" w:color="808080"/>
              <w:right w:val="single" w:sz="4" w:space="0" w:color="808080"/>
            </w:tcBorders>
            <w:shd w:val="clear" w:color="auto" w:fill="FFFFFF" w:themeFill="background1"/>
            <w:noWrap/>
            <w:vAlign w:val="center"/>
          </w:tcPr>
          <w:p w:rsidR="007B0E88" w:rsidRPr="007B0E88" w:rsidRDefault="007B0E88" w:rsidP="007B0E88">
            <w:pPr>
              <w:spacing w:after="0" w:line="240" w:lineRule="auto"/>
              <w:rPr>
                <w:rFonts w:ascii="Lato" w:eastAsia="Times New Roman" w:hAnsi="Lato" w:cs="Times New Roman"/>
                <w:bCs/>
                <w:color w:val="FF0000"/>
                <w:sz w:val="18"/>
                <w:szCs w:val="18"/>
                <w:lang w:eastAsia="pl-PL"/>
              </w:rPr>
            </w:pPr>
            <w:r w:rsidRPr="007B0E88">
              <w:rPr>
                <w:rFonts w:ascii="Lato" w:eastAsia="Times New Roman" w:hAnsi="Lato" w:cs="Times New Roman"/>
                <w:bCs/>
                <w:color w:val="C00000"/>
                <w:sz w:val="18"/>
                <w:szCs w:val="18"/>
                <w:lang w:eastAsia="pl-PL"/>
              </w:rPr>
              <w:t>Cel szczegółowy 3 / Priorytet 3</w:t>
            </w:r>
          </w:p>
        </w:tc>
      </w:tr>
      <w:tr w:rsidR="007B0E88" w:rsidRPr="007B0E88" w:rsidTr="00731DF0">
        <w:trPr>
          <w:gridAfter w:val="1"/>
          <w:wAfter w:w="6" w:type="dxa"/>
          <w:trHeight w:val="1147"/>
        </w:trPr>
        <w:tc>
          <w:tcPr>
            <w:tcW w:w="983"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CG_P_1</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K.I. 3.1. </w:t>
            </w:r>
          </w:p>
        </w:tc>
        <w:tc>
          <w:tcPr>
            <w:tcW w:w="992"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bibliotek (publicznych, szkolnych i pedagogicznych) oraz placówek wychowania przedszkolnego objętych wsparciem w ramach NPRCz 2.0.</w:t>
            </w:r>
          </w:p>
        </w:tc>
        <w:tc>
          <w:tcPr>
            <w:tcW w:w="992"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2,80 tys.</w:t>
            </w:r>
          </w:p>
        </w:tc>
        <w:tc>
          <w:tcPr>
            <w:tcW w:w="993"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2,94 tys.</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C00000"/>
                <w:sz w:val="18"/>
                <w:szCs w:val="18"/>
                <w:lang w:eastAsia="pl-PL"/>
              </w:rPr>
            </w:pPr>
            <w:r w:rsidRPr="007B0E88">
              <w:rPr>
                <w:rFonts w:ascii="Lato" w:hAnsi="Lato" w:cs="Calibri"/>
                <w:color w:val="C00000"/>
                <w:sz w:val="18"/>
                <w:szCs w:val="18"/>
              </w:rPr>
              <w:t>105,11%</w:t>
            </w:r>
          </w:p>
        </w:tc>
        <w:tc>
          <w:tcPr>
            <w:tcW w:w="1096"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13,10 tys.</w:t>
            </w:r>
          </w:p>
        </w:tc>
        <w:tc>
          <w:tcPr>
            <w:tcW w:w="1280"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4,39 tys.</w:t>
            </w:r>
          </w:p>
        </w:tc>
        <w:tc>
          <w:tcPr>
            <w:tcW w:w="1130"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4,39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33,48%</w:t>
            </w:r>
          </w:p>
        </w:tc>
      </w:tr>
      <w:tr w:rsidR="007B0E88" w:rsidRPr="007B0E88" w:rsidTr="00731DF0">
        <w:trPr>
          <w:gridAfter w:val="1"/>
          <w:wAfter w:w="6" w:type="dxa"/>
          <w:trHeight w:val="1120"/>
        </w:trPr>
        <w:tc>
          <w:tcPr>
            <w:tcW w:w="983" w:type="dxa"/>
            <w:tcBorders>
              <w:top w:val="nil"/>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P_1</w:t>
            </w:r>
          </w:p>
        </w:tc>
        <w:tc>
          <w:tcPr>
            <w:tcW w:w="1134" w:type="dxa"/>
            <w:tcBorders>
              <w:top w:val="nil"/>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K.I. 3.1</w:t>
            </w:r>
          </w:p>
        </w:tc>
        <w:tc>
          <w:tcPr>
            <w:tcW w:w="992"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zakupionych nowości w bibliotekach/ placówkach wychowania przedszkolnego objętych wsparciem (zakupionych z projektu)</w:t>
            </w:r>
          </w:p>
        </w:tc>
        <w:tc>
          <w:tcPr>
            <w:tcW w:w="992"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366,00 tys.</w:t>
            </w:r>
          </w:p>
        </w:tc>
        <w:tc>
          <w:tcPr>
            <w:tcW w:w="993"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538,98 tys.</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C00000"/>
                <w:sz w:val="18"/>
                <w:szCs w:val="18"/>
                <w:lang w:eastAsia="pl-PL"/>
              </w:rPr>
            </w:pPr>
            <w:r w:rsidRPr="007B0E88">
              <w:rPr>
                <w:rFonts w:ascii="Lato" w:hAnsi="Lato" w:cs="Calibri"/>
                <w:color w:val="C00000"/>
                <w:sz w:val="18"/>
                <w:szCs w:val="18"/>
              </w:rPr>
              <w:t>147,26%</w:t>
            </w:r>
          </w:p>
        </w:tc>
        <w:tc>
          <w:tcPr>
            <w:tcW w:w="1096"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1,70 mln</w:t>
            </w:r>
          </w:p>
        </w:tc>
        <w:tc>
          <w:tcPr>
            <w:tcW w:w="1280"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809,23 tys.</w:t>
            </w:r>
          </w:p>
        </w:tc>
        <w:tc>
          <w:tcPr>
            <w:tcW w:w="1130"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809,23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47,60%</w:t>
            </w:r>
          </w:p>
        </w:tc>
      </w:tr>
      <w:tr w:rsidR="007B0E88" w:rsidRPr="007B0E88" w:rsidTr="00731DF0">
        <w:trPr>
          <w:gridAfter w:val="1"/>
          <w:wAfter w:w="6" w:type="dxa"/>
          <w:trHeight w:val="1120"/>
        </w:trPr>
        <w:tc>
          <w:tcPr>
            <w:tcW w:w="983" w:type="dxa"/>
            <w:tcBorders>
              <w:top w:val="nil"/>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lastRenderedPageBreak/>
              <w:t>CG_P_1</w:t>
            </w:r>
          </w:p>
        </w:tc>
        <w:tc>
          <w:tcPr>
            <w:tcW w:w="1134" w:type="dxa"/>
            <w:tcBorders>
              <w:top w:val="nil"/>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K.I. 3.2</w:t>
            </w:r>
          </w:p>
        </w:tc>
        <w:tc>
          <w:tcPr>
            <w:tcW w:w="992"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bibliotek (publicznych, szkolnych i pedagogicznych) oraz placówek wychowania przedszkolnego objętych wsparciem w ramach NPRCz 2.0.</w:t>
            </w:r>
          </w:p>
        </w:tc>
        <w:tc>
          <w:tcPr>
            <w:tcW w:w="992"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2,20 tys.</w:t>
            </w:r>
          </w:p>
        </w:tc>
        <w:tc>
          <w:tcPr>
            <w:tcW w:w="993"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2,56 tys.</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C00000"/>
                <w:sz w:val="18"/>
                <w:szCs w:val="18"/>
                <w:lang w:eastAsia="pl-PL"/>
              </w:rPr>
            </w:pPr>
            <w:r w:rsidRPr="007B0E88">
              <w:rPr>
                <w:rFonts w:ascii="Lato" w:hAnsi="Lato" w:cs="Calibri"/>
                <w:color w:val="C00000"/>
                <w:sz w:val="18"/>
                <w:szCs w:val="18"/>
              </w:rPr>
              <w:t>116,50%</w:t>
            </w:r>
          </w:p>
        </w:tc>
        <w:tc>
          <w:tcPr>
            <w:tcW w:w="1096"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10,30 tys.</w:t>
            </w:r>
          </w:p>
        </w:tc>
        <w:tc>
          <w:tcPr>
            <w:tcW w:w="1280"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4,53 tys.</w:t>
            </w:r>
          </w:p>
        </w:tc>
        <w:tc>
          <w:tcPr>
            <w:tcW w:w="1130"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4,53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44,00%</w:t>
            </w:r>
          </w:p>
        </w:tc>
      </w:tr>
      <w:tr w:rsidR="007B0E88" w:rsidRPr="007B0E88" w:rsidTr="00731DF0">
        <w:trPr>
          <w:gridAfter w:val="1"/>
          <w:wAfter w:w="6" w:type="dxa"/>
          <w:trHeight w:val="1106"/>
        </w:trPr>
        <w:tc>
          <w:tcPr>
            <w:tcW w:w="983" w:type="dxa"/>
            <w:tcBorders>
              <w:top w:val="nil"/>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P_1</w:t>
            </w:r>
          </w:p>
        </w:tc>
        <w:tc>
          <w:tcPr>
            <w:tcW w:w="1134" w:type="dxa"/>
            <w:tcBorders>
              <w:top w:val="nil"/>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K.I. 3.2.</w:t>
            </w:r>
          </w:p>
        </w:tc>
        <w:tc>
          <w:tcPr>
            <w:tcW w:w="992"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zakupionych nowości w bibliotekach/ placówkach wychowania przedszkolnego objętych wsparciem (zakupionych z projektu)</w:t>
            </w:r>
          </w:p>
        </w:tc>
        <w:tc>
          <w:tcPr>
            <w:tcW w:w="992"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0,53 mln</w:t>
            </w:r>
          </w:p>
        </w:tc>
        <w:tc>
          <w:tcPr>
            <w:tcW w:w="993"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0,94 mln</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C00000"/>
                <w:sz w:val="18"/>
                <w:szCs w:val="18"/>
                <w:lang w:eastAsia="pl-PL"/>
              </w:rPr>
            </w:pPr>
            <w:r w:rsidRPr="007B0E88">
              <w:rPr>
                <w:rFonts w:ascii="Lato" w:hAnsi="Lato" w:cs="Calibri"/>
                <w:color w:val="C00000"/>
                <w:sz w:val="18"/>
                <w:szCs w:val="18"/>
              </w:rPr>
              <w:t>178,28%</w:t>
            </w:r>
          </w:p>
        </w:tc>
        <w:tc>
          <w:tcPr>
            <w:tcW w:w="1096"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2,40 mln</w:t>
            </w:r>
          </w:p>
        </w:tc>
        <w:tc>
          <w:tcPr>
            <w:tcW w:w="1280"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1,60 mln</w:t>
            </w:r>
          </w:p>
        </w:tc>
        <w:tc>
          <w:tcPr>
            <w:tcW w:w="1130"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right"/>
              <w:rPr>
                <w:rFonts w:ascii="Lato" w:eastAsia="Times New Roman" w:hAnsi="Lato" w:cs="Times New Roman"/>
                <w:color w:val="000000"/>
                <w:sz w:val="18"/>
                <w:szCs w:val="18"/>
                <w:lang w:eastAsia="pl-PL"/>
              </w:rPr>
            </w:pPr>
            <w:r w:rsidRPr="007B0E88">
              <w:rPr>
                <w:rFonts w:ascii="Lato" w:hAnsi="Lato" w:cs="Calibri"/>
                <w:color w:val="000000"/>
                <w:sz w:val="18"/>
                <w:szCs w:val="18"/>
              </w:rPr>
              <w:t>1,60 mln</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right"/>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66,50%</w:t>
            </w:r>
          </w:p>
        </w:tc>
      </w:tr>
      <w:tr w:rsidR="007B0E88" w:rsidRPr="007B0E88" w:rsidTr="007B0E88">
        <w:trPr>
          <w:trHeight w:val="510"/>
        </w:trPr>
        <w:tc>
          <w:tcPr>
            <w:tcW w:w="14030" w:type="dxa"/>
            <w:gridSpan w:val="13"/>
            <w:tcBorders>
              <w:top w:val="nil"/>
              <w:left w:val="single" w:sz="4" w:space="0" w:color="808080"/>
              <w:bottom w:val="single" w:sz="4" w:space="0" w:color="808080"/>
              <w:right w:val="single" w:sz="4" w:space="0" w:color="808080"/>
            </w:tcBorders>
            <w:shd w:val="clear" w:color="auto" w:fill="FFFFFF" w:themeFill="background1"/>
            <w:noWrap/>
            <w:vAlign w:val="center"/>
          </w:tcPr>
          <w:p w:rsidR="007B0E88" w:rsidRPr="007B0E88" w:rsidRDefault="007B0E88" w:rsidP="007B0E88">
            <w:pPr>
              <w:spacing w:after="0" w:line="240" w:lineRule="auto"/>
              <w:rPr>
                <w:rFonts w:ascii="Lato" w:eastAsia="Times New Roman" w:hAnsi="Lato" w:cs="Times New Roman"/>
                <w:bCs/>
                <w:color w:val="FF0000"/>
                <w:sz w:val="18"/>
                <w:szCs w:val="18"/>
                <w:lang w:eastAsia="pl-PL"/>
              </w:rPr>
            </w:pPr>
            <w:r w:rsidRPr="007B0E88">
              <w:rPr>
                <w:rFonts w:ascii="Lato" w:eastAsia="Times New Roman" w:hAnsi="Lato" w:cs="Times New Roman"/>
                <w:bCs/>
                <w:color w:val="C00000"/>
                <w:sz w:val="18"/>
                <w:szCs w:val="18"/>
                <w:lang w:eastAsia="pl-PL"/>
              </w:rPr>
              <w:t>Cel szczegółowy 4 / Priorytet 4</w:t>
            </w:r>
          </w:p>
        </w:tc>
      </w:tr>
      <w:tr w:rsidR="007B0E88" w:rsidRPr="007B0E88" w:rsidTr="00731DF0">
        <w:trPr>
          <w:gridAfter w:val="1"/>
          <w:wAfter w:w="6" w:type="dxa"/>
          <w:trHeight w:val="828"/>
        </w:trPr>
        <w:tc>
          <w:tcPr>
            <w:tcW w:w="983"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CG_P_1</w:t>
            </w:r>
          </w:p>
        </w:tc>
        <w:tc>
          <w:tcPr>
            <w:tcW w:w="1134" w:type="dxa"/>
            <w:tcBorders>
              <w:top w:val="single" w:sz="4" w:space="0" w:color="808080"/>
              <w:left w:val="nil"/>
              <w:bottom w:val="single" w:sz="4" w:space="0" w:color="808080"/>
              <w:right w:val="single" w:sz="4" w:space="0" w:color="808080"/>
            </w:tcBorders>
            <w:shd w:val="clear" w:color="000000" w:fill="FFFFFF"/>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K.I. 4.1.</w:t>
            </w:r>
          </w:p>
        </w:tc>
        <w:tc>
          <w:tcPr>
            <w:tcW w:w="992"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single" w:sz="4" w:space="0" w:color="808080"/>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bibliotek (publicznych, szkolnych i pedagogicznych) oraz placówek wychowania przedszkolnego objętych wsparciem w ramach NPRCz 2.0.</w:t>
            </w:r>
          </w:p>
        </w:tc>
        <w:tc>
          <w:tcPr>
            <w:tcW w:w="992" w:type="dxa"/>
            <w:tcBorders>
              <w:top w:val="single" w:sz="4" w:space="0" w:color="808080"/>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45(90)</w:t>
            </w:r>
          </w:p>
        </w:tc>
        <w:tc>
          <w:tcPr>
            <w:tcW w:w="993" w:type="dxa"/>
            <w:tcBorders>
              <w:top w:val="single" w:sz="4" w:space="0" w:color="808080"/>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49(95)</w:t>
            </w:r>
          </w:p>
        </w:tc>
        <w:tc>
          <w:tcPr>
            <w:tcW w:w="1134" w:type="dxa"/>
            <w:tcBorders>
              <w:top w:val="single" w:sz="4" w:space="0" w:color="808080"/>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center"/>
              <w:rPr>
                <w:rFonts w:ascii="Lato" w:eastAsia="Times New Roman" w:hAnsi="Lato" w:cs="Times New Roman"/>
                <w:color w:val="C00000"/>
                <w:sz w:val="18"/>
                <w:szCs w:val="18"/>
                <w:lang w:eastAsia="pl-PL"/>
              </w:rPr>
            </w:pPr>
            <w:r w:rsidRPr="007B0E88">
              <w:rPr>
                <w:rFonts w:ascii="Lato" w:hAnsi="Lato" w:cs="Calibri"/>
                <w:color w:val="C00000"/>
                <w:sz w:val="18"/>
                <w:szCs w:val="18"/>
              </w:rPr>
              <w:t>108,89%</w:t>
            </w:r>
            <w:r w:rsidRPr="007B0E88">
              <w:rPr>
                <w:rFonts w:ascii="Lato" w:hAnsi="Lato" w:cs="Calibri"/>
                <w:color w:val="C00000"/>
                <w:sz w:val="18"/>
                <w:szCs w:val="18"/>
              </w:rPr>
              <w:br/>
              <w:t>(105,56%)</w:t>
            </w:r>
          </w:p>
        </w:tc>
        <w:tc>
          <w:tcPr>
            <w:tcW w:w="1096" w:type="dxa"/>
            <w:gridSpan w:val="2"/>
            <w:tcBorders>
              <w:top w:val="single" w:sz="4" w:space="0" w:color="808080"/>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180    </w:t>
            </w:r>
          </w:p>
        </w:tc>
        <w:tc>
          <w:tcPr>
            <w:tcW w:w="1280" w:type="dxa"/>
            <w:tcBorders>
              <w:top w:val="single" w:sz="4" w:space="0" w:color="808080"/>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95    </w:t>
            </w:r>
          </w:p>
        </w:tc>
        <w:tc>
          <w:tcPr>
            <w:tcW w:w="1130" w:type="dxa"/>
            <w:tcBorders>
              <w:top w:val="single" w:sz="4" w:space="0" w:color="808080"/>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49</w:t>
            </w:r>
          </w:p>
        </w:tc>
        <w:tc>
          <w:tcPr>
            <w:tcW w:w="1030" w:type="dxa"/>
            <w:tcBorders>
              <w:top w:val="single" w:sz="4" w:space="0" w:color="808080"/>
              <w:left w:val="nil"/>
              <w:bottom w:val="single" w:sz="4" w:space="0" w:color="808080"/>
              <w:right w:val="single" w:sz="4" w:space="0" w:color="808080"/>
            </w:tcBorders>
            <w:shd w:val="clear" w:color="000000" w:fill="C5D9F1"/>
            <w:vAlign w:val="center"/>
            <w:hideMark/>
          </w:tcPr>
          <w:p w:rsidR="007B0E88" w:rsidRPr="007B0E88" w:rsidRDefault="007B0E88" w:rsidP="007B0E88">
            <w:pPr>
              <w:spacing w:after="0" w:line="240" w:lineRule="auto"/>
              <w:jc w:val="center"/>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27,22%</w:t>
            </w:r>
            <w:r w:rsidRPr="007B0E88">
              <w:rPr>
                <w:rFonts w:ascii="Lato" w:hAnsi="Lato" w:cs="Calibri"/>
                <w:bCs/>
                <w:sz w:val="18"/>
                <w:szCs w:val="18"/>
                <w:vertAlign w:val="superscript"/>
              </w:rPr>
              <w:footnoteReference w:id="9"/>
            </w:r>
          </w:p>
        </w:tc>
      </w:tr>
      <w:tr w:rsidR="007B0E88" w:rsidRPr="007B0E88" w:rsidTr="00731DF0">
        <w:trPr>
          <w:gridAfter w:val="1"/>
          <w:wAfter w:w="6" w:type="dxa"/>
          <w:trHeight w:val="794"/>
        </w:trPr>
        <w:tc>
          <w:tcPr>
            <w:tcW w:w="983" w:type="dxa"/>
            <w:tcBorders>
              <w:top w:val="nil"/>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RB_7</w:t>
            </w:r>
          </w:p>
        </w:tc>
        <w:tc>
          <w:tcPr>
            <w:tcW w:w="1134" w:type="dxa"/>
            <w:tcBorders>
              <w:top w:val="nil"/>
              <w:left w:val="nil"/>
              <w:bottom w:val="single" w:sz="4" w:space="0" w:color="808080"/>
              <w:right w:val="single" w:sz="4" w:space="0" w:color="808080"/>
            </w:tcBorders>
            <w:shd w:val="clear" w:color="000000" w:fill="FFFFFF"/>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K.I. 4.1.</w:t>
            </w:r>
          </w:p>
        </w:tc>
        <w:tc>
          <w:tcPr>
            <w:tcW w:w="992"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rezultat bezpośredni</w:t>
            </w:r>
          </w:p>
        </w:tc>
        <w:tc>
          <w:tcPr>
            <w:tcW w:w="3260"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zrealizowanych projektów edukacyjno-animacyjnych w ramach partnerstw</w:t>
            </w:r>
          </w:p>
        </w:tc>
        <w:tc>
          <w:tcPr>
            <w:tcW w:w="992" w:type="dxa"/>
            <w:tcBorders>
              <w:top w:val="nil"/>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405    </w:t>
            </w:r>
          </w:p>
        </w:tc>
        <w:tc>
          <w:tcPr>
            <w:tcW w:w="993" w:type="dxa"/>
            <w:tcBorders>
              <w:top w:val="nil"/>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537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rsidR="007B0E88" w:rsidRPr="007B0E88" w:rsidRDefault="007B0E88" w:rsidP="007B0E88">
            <w:pPr>
              <w:spacing w:after="0" w:line="240" w:lineRule="auto"/>
              <w:jc w:val="center"/>
              <w:rPr>
                <w:rFonts w:ascii="Lato" w:eastAsia="Times New Roman" w:hAnsi="Lato" w:cs="Times New Roman"/>
                <w:color w:val="C00000"/>
                <w:sz w:val="18"/>
                <w:szCs w:val="18"/>
                <w:lang w:eastAsia="pl-PL"/>
              </w:rPr>
            </w:pPr>
            <w:r w:rsidRPr="007B0E88">
              <w:rPr>
                <w:rFonts w:ascii="Lato" w:hAnsi="Lato" w:cs="Calibri"/>
                <w:color w:val="C00000"/>
                <w:sz w:val="18"/>
                <w:szCs w:val="18"/>
              </w:rPr>
              <w:t>132,6%</w:t>
            </w:r>
          </w:p>
        </w:tc>
        <w:tc>
          <w:tcPr>
            <w:tcW w:w="1096" w:type="dxa"/>
            <w:gridSpan w:val="2"/>
            <w:tcBorders>
              <w:top w:val="nil"/>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1 395    </w:t>
            </w:r>
          </w:p>
        </w:tc>
        <w:tc>
          <w:tcPr>
            <w:tcW w:w="1280" w:type="dxa"/>
            <w:tcBorders>
              <w:top w:val="nil"/>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617    </w:t>
            </w:r>
          </w:p>
        </w:tc>
        <w:tc>
          <w:tcPr>
            <w:tcW w:w="1130" w:type="dxa"/>
            <w:tcBorders>
              <w:top w:val="nil"/>
              <w:left w:val="nil"/>
              <w:bottom w:val="single" w:sz="4" w:space="0" w:color="808080"/>
              <w:right w:val="single" w:sz="4" w:space="0" w:color="808080"/>
            </w:tcBorders>
            <w:shd w:val="clear" w:color="auto" w:fill="FFFFFF" w:themeFill="background1"/>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                 982    </w:t>
            </w:r>
          </w:p>
        </w:tc>
        <w:tc>
          <w:tcPr>
            <w:tcW w:w="1030" w:type="dxa"/>
            <w:tcBorders>
              <w:top w:val="nil"/>
              <w:left w:val="nil"/>
              <w:bottom w:val="single" w:sz="4" w:space="0" w:color="808080"/>
              <w:right w:val="single" w:sz="4" w:space="0" w:color="808080"/>
            </w:tcBorders>
            <w:shd w:val="clear" w:color="000000" w:fill="C5D9F1"/>
            <w:vAlign w:val="center"/>
            <w:hideMark/>
          </w:tcPr>
          <w:p w:rsidR="007B0E88" w:rsidRPr="007B0E88" w:rsidRDefault="007B0E88" w:rsidP="007B0E88">
            <w:pPr>
              <w:spacing w:after="0" w:line="240" w:lineRule="auto"/>
              <w:jc w:val="center"/>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70,39%</w:t>
            </w:r>
          </w:p>
        </w:tc>
      </w:tr>
      <w:tr w:rsidR="007B0E88" w:rsidRPr="007B0E88" w:rsidTr="00731DF0">
        <w:trPr>
          <w:gridAfter w:val="1"/>
          <w:wAfter w:w="6" w:type="dxa"/>
          <w:trHeight w:val="1200"/>
        </w:trPr>
        <w:tc>
          <w:tcPr>
            <w:tcW w:w="983" w:type="dxa"/>
            <w:tcBorders>
              <w:top w:val="nil"/>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lastRenderedPageBreak/>
              <w:t>P_9</w:t>
            </w:r>
          </w:p>
        </w:tc>
        <w:tc>
          <w:tcPr>
            <w:tcW w:w="1134" w:type="dxa"/>
            <w:tcBorders>
              <w:top w:val="nil"/>
              <w:left w:val="nil"/>
              <w:bottom w:val="single" w:sz="4" w:space="0" w:color="808080"/>
              <w:right w:val="single" w:sz="4" w:space="0" w:color="808080"/>
            </w:tcBorders>
            <w:shd w:val="clear" w:color="000000" w:fill="FFFFFF"/>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K.I. 4.2.</w:t>
            </w:r>
          </w:p>
        </w:tc>
        <w:tc>
          <w:tcPr>
            <w:tcW w:w="992" w:type="dxa"/>
            <w:tcBorders>
              <w:top w:val="nil"/>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 xml:space="preserve">Zasięg kampanii, rozumiany jako liczba osób, które zetknęły się z komunikatami informacyjnymi NPRCz 2.0. przynajmniej jeden raz </w:t>
            </w:r>
            <w:r w:rsidRPr="007B0E88">
              <w:rPr>
                <w:rFonts w:ascii="Lato" w:hAnsi="Lato" w:cs="Calibri"/>
                <w:color w:val="000000"/>
                <w:sz w:val="18"/>
                <w:szCs w:val="18"/>
              </w:rPr>
              <w:br/>
              <w:t>w trakcie trwania kampanii</w:t>
            </w:r>
          </w:p>
        </w:tc>
        <w:tc>
          <w:tcPr>
            <w:tcW w:w="992"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29,00 mln</w:t>
            </w:r>
          </w:p>
        </w:tc>
        <w:tc>
          <w:tcPr>
            <w:tcW w:w="993"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28,80</w:t>
            </w:r>
            <w:r w:rsidRPr="007B0E88">
              <w:rPr>
                <w:rFonts w:ascii="Lato" w:hAnsi="Lato" w:cs="Calibri"/>
                <w:color w:val="000000"/>
                <w:sz w:val="18"/>
                <w:szCs w:val="18"/>
                <w:vertAlign w:val="superscript"/>
              </w:rPr>
              <w:footnoteReference w:id="10"/>
            </w:r>
            <w:r w:rsidRPr="007B0E88">
              <w:rPr>
                <w:rFonts w:ascii="Lato" w:hAnsi="Lato" w:cs="Calibri"/>
                <w:color w:val="000000"/>
                <w:sz w:val="18"/>
                <w:szCs w:val="18"/>
              </w:rPr>
              <w:t xml:space="preserve"> mln</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C00000"/>
                <w:sz w:val="18"/>
                <w:szCs w:val="18"/>
                <w:lang w:eastAsia="pl-PL"/>
              </w:rPr>
            </w:pPr>
            <w:r w:rsidRPr="007B0E88">
              <w:rPr>
                <w:rFonts w:ascii="Lato" w:hAnsi="Lato" w:cs="Calibri"/>
                <w:color w:val="C00000"/>
                <w:sz w:val="18"/>
                <w:szCs w:val="18"/>
              </w:rPr>
              <w:t>99,32%</w:t>
            </w:r>
          </w:p>
        </w:tc>
        <w:tc>
          <w:tcPr>
            <w:tcW w:w="1096"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96,80 mln</w:t>
            </w:r>
          </w:p>
        </w:tc>
        <w:tc>
          <w:tcPr>
            <w:tcW w:w="1280"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nie dotyczy</w:t>
            </w:r>
          </w:p>
        </w:tc>
        <w:tc>
          <w:tcPr>
            <w:tcW w:w="1130"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46,00 mln</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center"/>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47,52%</w:t>
            </w:r>
          </w:p>
        </w:tc>
      </w:tr>
      <w:tr w:rsidR="007B0E88" w:rsidRPr="007B0E88" w:rsidTr="00731DF0">
        <w:trPr>
          <w:gridAfter w:val="1"/>
          <w:wAfter w:w="6" w:type="dxa"/>
          <w:trHeight w:val="624"/>
        </w:trPr>
        <w:tc>
          <w:tcPr>
            <w:tcW w:w="983" w:type="dxa"/>
            <w:tcBorders>
              <w:top w:val="nil"/>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P_10</w:t>
            </w:r>
          </w:p>
        </w:tc>
        <w:tc>
          <w:tcPr>
            <w:tcW w:w="1134" w:type="dxa"/>
            <w:tcBorders>
              <w:top w:val="nil"/>
              <w:left w:val="nil"/>
              <w:bottom w:val="single" w:sz="4" w:space="0" w:color="808080"/>
              <w:right w:val="single" w:sz="4" w:space="0" w:color="808080"/>
            </w:tcBorders>
            <w:shd w:val="clear" w:color="000000" w:fill="FFFFFF"/>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K.I. 4.2.</w:t>
            </w:r>
          </w:p>
        </w:tc>
        <w:tc>
          <w:tcPr>
            <w:tcW w:w="992" w:type="dxa"/>
            <w:tcBorders>
              <w:top w:val="nil"/>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produkt</w:t>
            </w:r>
          </w:p>
        </w:tc>
        <w:tc>
          <w:tcPr>
            <w:tcW w:w="3260" w:type="dxa"/>
            <w:tcBorders>
              <w:top w:val="nil"/>
              <w:left w:val="nil"/>
              <w:bottom w:val="single" w:sz="4" w:space="0" w:color="808080"/>
              <w:right w:val="single" w:sz="4" w:space="0" w:color="808080"/>
            </w:tcBorders>
            <w:shd w:val="clear" w:color="auto" w:fill="auto"/>
            <w:vAlign w:val="center"/>
            <w:hideMark/>
          </w:tcPr>
          <w:p w:rsidR="007B0E88" w:rsidRPr="007B0E88" w:rsidRDefault="007B0E88" w:rsidP="007B0E88">
            <w:pPr>
              <w:spacing w:after="0" w:line="240" w:lineRule="auto"/>
              <w:rPr>
                <w:rFonts w:ascii="Lato" w:eastAsia="Times New Roman" w:hAnsi="Lato" w:cs="Times New Roman"/>
                <w:color w:val="000000"/>
                <w:sz w:val="18"/>
                <w:szCs w:val="18"/>
                <w:lang w:eastAsia="pl-PL"/>
              </w:rPr>
            </w:pPr>
            <w:r w:rsidRPr="007B0E88">
              <w:rPr>
                <w:rFonts w:ascii="Lato" w:hAnsi="Lato" w:cs="Calibri"/>
                <w:color w:val="000000"/>
                <w:sz w:val="18"/>
                <w:szCs w:val="18"/>
              </w:rPr>
              <w:t>Liczba wejść na stronę www NPRCz 2.0</w:t>
            </w:r>
          </w:p>
        </w:tc>
        <w:tc>
          <w:tcPr>
            <w:tcW w:w="992"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70,00 tys.</w:t>
            </w:r>
          </w:p>
        </w:tc>
        <w:tc>
          <w:tcPr>
            <w:tcW w:w="993"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127,58 tys.</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C00000"/>
                <w:sz w:val="18"/>
                <w:szCs w:val="18"/>
                <w:lang w:eastAsia="pl-PL"/>
              </w:rPr>
            </w:pPr>
            <w:r w:rsidRPr="007B0E88">
              <w:rPr>
                <w:rFonts w:ascii="Lato" w:hAnsi="Lato" w:cs="Calibri"/>
                <w:color w:val="C00000"/>
                <w:sz w:val="18"/>
                <w:szCs w:val="18"/>
              </w:rPr>
              <w:t>114,00%</w:t>
            </w:r>
          </w:p>
        </w:tc>
        <w:tc>
          <w:tcPr>
            <w:tcW w:w="1096"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280,00 tys.</w:t>
            </w:r>
          </w:p>
        </w:tc>
        <w:tc>
          <w:tcPr>
            <w:tcW w:w="1280"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nie dotyczy</w:t>
            </w:r>
          </w:p>
        </w:tc>
        <w:tc>
          <w:tcPr>
            <w:tcW w:w="1130" w:type="dxa"/>
            <w:tcBorders>
              <w:top w:val="single" w:sz="4" w:space="0" w:color="808080"/>
              <w:left w:val="nil"/>
              <w:bottom w:val="single" w:sz="4" w:space="0" w:color="808080"/>
              <w:right w:val="single" w:sz="4" w:space="0" w:color="808080"/>
            </w:tcBorders>
            <w:shd w:val="clear" w:color="auto" w:fill="auto"/>
            <w:noWrap/>
            <w:vAlign w:val="center"/>
            <w:hideMark/>
          </w:tcPr>
          <w:p w:rsidR="007B0E88" w:rsidRPr="007B0E88" w:rsidRDefault="007B0E88" w:rsidP="007B0E88">
            <w:pPr>
              <w:spacing w:after="0" w:line="240" w:lineRule="auto"/>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167,58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rsidR="007B0E88" w:rsidRPr="007B0E88" w:rsidRDefault="007B0E88" w:rsidP="007B0E88">
            <w:pPr>
              <w:spacing w:after="0" w:line="240" w:lineRule="auto"/>
              <w:jc w:val="center"/>
              <w:rPr>
                <w:rFonts w:ascii="Lato" w:eastAsia="Times New Roman" w:hAnsi="Lato" w:cs="Times New Roman"/>
                <w:bCs/>
                <w:color w:val="FF0000"/>
                <w:sz w:val="18"/>
                <w:szCs w:val="18"/>
                <w:lang w:eastAsia="pl-PL"/>
              </w:rPr>
            </w:pPr>
            <w:r w:rsidRPr="007B0E88">
              <w:rPr>
                <w:rFonts w:ascii="Lato" w:hAnsi="Lato" w:cs="Calibri"/>
                <w:b/>
                <w:bCs/>
                <w:color w:val="FF0000"/>
                <w:sz w:val="18"/>
                <w:szCs w:val="18"/>
              </w:rPr>
              <w:t>59,85%</w:t>
            </w:r>
          </w:p>
        </w:tc>
      </w:tr>
    </w:tbl>
    <w:p w:rsidR="00731DF0" w:rsidRDefault="00731DF0" w:rsidP="007B0E88">
      <w:pPr>
        <w:spacing w:after="120"/>
        <w:contextualSpacing/>
        <w:jc w:val="both"/>
        <w:rPr>
          <w:rFonts w:ascii="Calibri" w:eastAsia="Times New Roman" w:hAnsi="Calibri" w:cs="Times New Roman"/>
          <w:bCs/>
        </w:rPr>
      </w:pPr>
    </w:p>
    <w:p w:rsidR="007B0E88" w:rsidRPr="007B0E88" w:rsidRDefault="007B0E88" w:rsidP="007B0E88">
      <w:pPr>
        <w:spacing w:after="120"/>
        <w:contextualSpacing/>
        <w:jc w:val="both"/>
        <w:rPr>
          <w:rFonts w:ascii="Calibri" w:eastAsia="Times New Roman" w:hAnsi="Calibri" w:cs="Times New Roman"/>
          <w:bCs/>
        </w:rPr>
      </w:pPr>
      <w:r w:rsidRPr="007B0E88">
        <w:rPr>
          <w:rFonts w:ascii="Calibri" w:eastAsia="Times New Roman" w:hAnsi="Calibri" w:cs="Times New Roman"/>
          <w:bCs/>
        </w:rPr>
        <w:t>Wyjaśnienie oznaczeń ID przyjętych dla wskaźników NPRCz 2.0.:</w:t>
      </w:r>
    </w:p>
    <w:p w:rsidR="007B0E88" w:rsidRPr="007B0E88" w:rsidRDefault="007B0E88" w:rsidP="007B0E88">
      <w:pPr>
        <w:spacing w:after="120"/>
        <w:contextualSpacing/>
        <w:jc w:val="both"/>
        <w:rPr>
          <w:rFonts w:ascii="Calibri" w:eastAsia="Times New Roman" w:hAnsi="Calibri" w:cs="Times New Roman"/>
          <w:bCs/>
        </w:rPr>
      </w:pPr>
      <w:r w:rsidRPr="007B0E88">
        <w:rPr>
          <w:rFonts w:ascii="Calibri" w:eastAsia="Times New Roman" w:hAnsi="Calibri" w:cs="Times New Roman"/>
          <w:bCs/>
        </w:rPr>
        <w:t>CG_R – wskaźnik rezultatu przyjęty dla celu głównego NPRCz 2.0., CG_P – wskaźnik produktu przyjęty dla celu głównego NPRCz 2.0. (monitorowany na poziomie każdego z Priorytetów), P – wskaźnik produktu, przyjęty dla danego Kierunku interwencji (ten sam wskaźnik, oznaczony tym samym numerem, może mieć zastosowanie w odniesieniu do kilku Kierunków interwencji NPRCz 2.0.), RB – wskaźnik rezultatu bezpośredniego, przyjęty dla danego Kierunku interwencji.</w:t>
      </w:r>
    </w:p>
    <w:p w:rsidR="007B0E88" w:rsidRPr="007B0E88" w:rsidRDefault="007B0E88" w:rsidP="007B0E88">
      <w:pPr>
        <w:spacing w:after="120"/>
        <w:ind w:left="284"/>
        <w:contextualSpacing/>
        <w:jc w:val="both"/>
        <w:rPr>
          <w:rFonts w:ascii="Calibri" w:eastAsia="Times New Roman" w:hAnsi="Calibri" w:cs="Times New Roman"/>
          <w:bCs/>
        </w:rPr>
      </w:pPr>
    </w:p>
    <w:p w:rsidR="007B0E88" w:rsidRPr="007B0E88" w:rsidRDefault="007B0E88" w:rsidP="007B0E88">
      <w:pPr>
        <w:spacing w:after="120"/>
        <w:ind w:left="284"/>
        <w:contextualSpacing/>
        <w:jc w:val="both"/>
        <w:rPr>
          <w:rFonts w:ascii="Calibri" w:eastAsia="Times New Roman" w:hAnsi="Calibri" w:cs="Times New Roman"/>
          <w:bCs/>
        </w:rPr>
      </w:pPr>
    </w:p>
    <w:p w:rsidR="007B0E88" w:rsidRPr="007B0E88" w:rsidRDefault="007B0E88" w:rsidP="007B0E88">
      <w:pPr>
        <w:spacing w:after="120"/>
        <w:ind w:left="284"/>
        <w:contextualSpacing/>
        <w:jc w:val="both"/>
        <w:rPr>
          <w:rFonts w:ascii="Calibri" w:eastAsia="Times New Roman" w:hAnsi="Calibri" w:cs="Times New Roman"/>
          <w:bCs/>
        </w:rPr>
      </w:pPr>
    </w:p>
    <w:p w:rsidR="007B0E88" w:rsidRPr="007B0E88" w:rsidRDefault="007B0E88" w:rsidP="007B0E88">
      <w:pPr>
        <w:spacing w:after="120"/>
        <w:ind w:left="284"/>
        <w:contextualSpacing/>
        <w:jc w:val="both"/>
        <w:rPr>
          <w:rFonts w:ascii="Calibri" w:eastAsia="Times New Roman" w:hAnsi="Calibri" w:cs="Times New Roman"/>
          <w:bCs/>
        </w:rPr>
        <w:sectPr w:rsidR="007B0E88" w:rsidRPr="007B0E88" w:rsidSect="007B0E88">
          <w:pgSz w:w="16838" w:h="11906" w:orient="landscape"/>
          <w:pgMar w:top="1417" w:right="1417" w:bottom="1417" w:left="1417" w:header="708" w:footer="708" w:gutter="0"/>
          <w:cols w:space="708"/>
          <w:docGrid w:linePitch="360"/>
        </w:sectPr>
      </w:pPr>
    </w:p>
    <w:p w:rsidR="007B0E88" w:rsidRPr="00731DF0" w:rsidRDefault="007B0E88" w:rsidP="00731DF0">
      <w:pPr>
        <w:spacing w:after="120"/>
        <w:jc w:val="both"/>
        <w:rPr>
          <w:rFonts w:ascii="Calibri" w:eastAsia="Times New Roman" w:hAnsi="Calibri" w:cs="Times New Roman"/>
          <w:bCs/>
          <w:u w:val="single"/>
        </w:rPr>
      </w:pPr>
      <w:r w:rsidRPr="00731DF0">
        <w:rPr>
          <w:rFonts w:ascii="Calibri" w:eastAsia="Times New Roman" w:hAnsi="Calibri" w:cs="Times New Roman"/>
          <w:bCs/>
          <w:u w:val="single"/>
        </w:rPr>
        <w:lastRenderedPageBreak/>
        <w:t>Tabela Szczegółowe zestawienie wskaźników monitorowanych NPRCz 2.0 za 2022 r.</w:t>
      </w:r>
    </w:p>
    <w:p w:rsidR="007B0E88" w:rsidRPr="007B0E88" w:rsidRDefault="007B0E88" w:rsidP="007B0E88">
      <w:pPr>
        <w:spacing w:after="120"/>
        <w:ind w:left="284"/>
        <w:contextualSpacing/>
        <w:jc w:val="both"/>
        <w:rPr>
          <w:rFonts w:ascii="Calibri" w:eastAsia="Times New Roman" w:hAnsi="Calibri" w:cs="Times New Roman"/>
          <w:bCs/>
        </w:rPr>
      </w:pPr>
    </w:p>
    <w:tbl>
      <w:tblPr>
        <w:tblW w:w="9005" w:type="dxa"/>
        <w:jc w:val="right"/>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200"/>
        <w:gridCol w:w="1417"/>
        <w:gridCol w:w="1110"/>
        <w:gridCol w:w="1781"/>
        <w:gridCol w:w="1405"/>
        <w:gridCol w:w="942"/>
        <w:gridCol w:w="1150"/>
      </w:tblGrid>
      <w:tr w:rsidR="007B0E88" w:rsidRPr="007B0E88" w:rsidTr="007B0E88">
        <w:trPr>
          <w:trHeight w:val="564"/>
          <w:tblHeader/>
          <w:jc w:val="right"/>
        </w:trPr>
        <w:tc>
          <w:tcPr>
            <w:tcW w:w="1200" w:type="dxa"/>
            <w:shd w:val="clear" w:color="000000" w:fill="D9D9D9"/>
            <w:vAlign w:val="center"/>
            <w:hideMark/>
          </w:tcPr>
          <w:p w:rsidR="007B0E88" w:rsidRPr="007B0E88" w:rsidRDefault="007B0E88" w:rsidP="007B0E88">
            <w:pPr>
              <w:spacing w:after="120"/>
              <w:jc w:val="center"/>
              <w:rPr>
                <w:rFonts w:ascii="Lato" w:eastAsia="Times New Roman" w:hAnsi="Lato" w:cs="Times New Roman"/>
                <w:bCs/>
                <w:color w:val="000000"/>
                <w:sz w:val="18"/>
                <w:szCs w:val="18"/>
                <w:lang w:eastAsia="pl-PL"/>
              </w:rPr>
            </w:pPr>
            <w:r w:rsidRPr="007B0E88">
              <w:rPr>
                <w:rFonts w:ascii="Lato" w:eastAsia="Times New Roman" w:hAnsi="Lato" w:cs="Times New Roman"/>
                <w:bCs/>
                <w:color w:val="000000"/>
                <w:sz w:val="18"/>
                <w:szCs w:val="18"/>
                <w:lang w:eastAsia="pl-PL"/>
              </w:rPr>
              <w:t>ID wskaźnika</w:t>
            </w:r>
          </w:p>
        </w:tc>
        <w:tc>
          <w:tcPr>
            <w:tcW w:w="1417" w:type="dxa"/>
            <w:shd w:val="clear" w:color="000000" w:fill="D9D9D9"/>
            <w:vAlign w:val="center"/>
            <w:hideMark/>
          </w:tcPr>
          <w:p w:rsidR="007B0E88" w:rsidRPr="007B0E88" w:rsidRDefault="007B0E88" w:rsidP="007B0E88">
            <w:pPr>
              <w:spacing w:after="120"/>
              <w:jc w:val="center"/>
              <w:rPr>
                <w:rFonts w:ascii="Lato" w:eastAsia="Times New Roman" w:hAnsi="Lato" w:cs="Times New Roman"/>
                <w:bCs/>
                <w:color w:val="000000"/>
                <w:sz w:val="18"/>
                <w:szCs w:val="18"/>
                <w:lang w:eastAsia="pl-PL"/>
              </w:rPr>
            </w:pPr>
            <w:r w:rsidRPr="007B0E88">
              <w:rPr>
                <w:rFonts w:ascii="Lato" w:eastAsia="Times New Roman" w:hAnsi="Lato" w:cs="Times New Roman"/>
                <w:bCs/>
                <w:color w:val="000000"/>
                <w:sz w:val="18"/>
                <w:szCs w:val="18"/>
                <w:lang w:eastAsia="pl-PL"/>
              </w:rPr>
              <w:t>Kierunek Interwencji</w:t>
            </w:r>
          </w:p>
        </w:tc>
        <w:tc>
          <w:tcPr>
            <w:tcW w:w="1110" w:type="dxa"/>
            <w:shd w:val="clear" w:color="000000" w:fill="D9D9D9"/>
            <w:vAlign w:val="center"/>
            <w:hideMark/>
          </w:tcPr>
          <w:p w:rsidR="007B0E88" w:rsidRPr="007B0E88" w:rsidRDefault="007B0E88" w:rsidP="007B0E88">
            <w:pPr>
              <w:spacing w:after="120"/>
              <w:jc w:val="center"/>
              <w:rPr>
                <w:rFonts w:ascii="Lato" w:eastAsia="Times New Roman" w:hAnsi="Lato" w:cs="Times New Roman"/>
                <w:bCs/>
                <w:color w:val="000000"/>
                <w:sz w:val="18"/>
                <w:szCs w:val="18"/>
                <w:lang w:eastAsia="pl-PL"/>
              </w:rPr>
            </w:pPr>
            <w:r w:rsidRPr="007B0E88">
              <w:rPr>
                <w:rFonts w:ascii="Lato" w:eastAsia="Times New Roman" w:hAnsi="Lato" w:cs="Times New Roman"/>
                <w:bCs/>
                <w:color w:val="000000"/>
                <w:sz w:val="18"/>
                <w:szCs w:val="18"/>
                <w:lang w:eastAsia="pl-PL"/>
              </w:rPr>
              <w:t>Rodzaj wskaźnika</w:t>
            </w:r>
          </w:p>
        </w:tc>
        <w:tc>
          <w:tcPr>
            <w:tcW w:w="1781" w:type="dxa"/>
            <w:shd w:val="clear" w:color="000000" w:fill="D9D9D9"/>
            <w:vAlign w:val="center"/>
            <w:hideMark/>
          </w:tcPr>
          <w:p w:rsidR="007B0E88" w:rsidRPr="007B0E88" w:rsidRDefault="007B0E88" w:rsidP="007B0E88">
            <w:pPr>
              <w:spacing w:after="120"/>
              <w:jc w:val="center"/>
              <w:rPr>
                <w:rFonts w:ascii="Lato" w:eastAsia="Times New Roman" w:hAnsi="Lato" w:cs="Times New Roman"/>
                <w:bCs/>
                <w:color w:val="000000"/>
                <w:sz w:val="18"/>
                <w:szCs w:val="18"/>
                <w:lang w:eastAsia="pl-PL"/>
              </w:rPr>
            </w:pPr>
            <w:r w:rsidRPr="007B0E88">
              <w:rPr>
                <w:rFonts w:ascii="Lato" w:eastAsia="Times New Roman" w:hAnsi="Lato" w:cs="Times New Roman"/>
                <w:bCs/>
                <w:color w:val="000000"/>
                <w:sz w:val="18"/>
                <w:szCs w:val="18"/>
                <w:lang w:eastAsia="pl-PL"/>
              </w:rPr>
              <w:t>Nazwa wskaźnika</w:t>
            </w:r>
          </w:p>
        </w:tc>
        <w:tc>
          <w:tcPr>
            <w:tcW w:w="1405" w:type="dxa"/>
            <w:shd w:val="clear" w:color="000000" w:fill="D9D9D9"/>
            <w:vAlign w:val="center"/>
            <w:hideMark/>
          </w:tcPr>
          <w:p w:rsidR="007B0E88" w:rsidRPr="007B0E88" w:rsidRDefault="007B0E88" w:rsidP="007B0E88">
            <w:pPr>
              <w:spacing w:after="120"/>
              <w:jc w:val="center"/>
              <w:rPr>
                <w:rFonts w:ascii="Lato" w:eastAsia="Times New Roman" w:hAnsi="Lato" w:cs="Times New Roman"/>
                <w:bCs/>
                <w:color w:val="000000"/>
                <w:sz w:val="18"/>
                <w:szCs w:val="18"/>
                <w:lang w:eastAsia="pl-PL"/>
              </w:rPr>
            </w:pPr>
            <w:r w:rsidRPr="007B0E88">
              <w:rPr>
                <w:rFonts w:ascii="Lato" w:eastAsia="Times New Roman" w:hAnsi="Lato" w:cs="Times New Roman"/>
                <w:bCs/>
                <w:color w:val="000000"/>
                <w:sz w:val="18"/>
                <w:szCs w:val="18"/>
                <w:lang w:eastAsia="pl-PL"/>
              </w:rPr>
              <w:t>Źródło danych</w:t>
            </w:r>
          </w:p>
        </w:tc>
        <w:tc>
          <w:tcPr>
            <w:tcW w:w="2092" w:type="dxa"/>
            <w:gridSpan w:val="2"/>
            <w:shd w:val="clear" w:color="000000" w:fill="D9D9D9"/>
            <w:vAlign w:val="center"/>
            <w:hideMark/>
          </w:tcPr>
          <w:p w:rsidR="007B0E88" w:rsidRPr="007B0E88" w:rsidRDefault="007B0E88" w:rsidP="007B0E88">
            <w:pPr>
              <w:spacing w:after="120"/>
              <w:jc w:val="center"/>
              <w:rPr>
                <w:rFonts w:ascii="Lato" w:eastAsia="Times New Roman" w:hAnsi="Lato" w:cs="Times New Roman"/>
                <w:bCs/>
                <w:color w:val="000000"/>
                <w:sz w:val="18"/>
                <w:szCs w:val="18"/>
                <w:lang w:eastAsia="pl-PL"/>
              </w:rPr>
            </w:pPr>
            <w:r w:rsidRPr="007B0E88">
              <w:rPr>
                <w:rFonts w:ascii="Lato" w:eastAsia="Times New Roman" w:hAnsi="Lato" w:cs="Times New Roman"/>
                <w:bCs/>
                <w:color w:val="000000"/>
                <w:sz w:val="18"/>
                <w:szCs w:val="18"/>
                <w:lang w:eastAsia="pl-PL"/>
              </w:rPr>
              <w:t>WARTOŚĆ w 2022 r.</w:t>
            </w:r>
            <w:r w:rsidRPr="007B0E88">
              <w:rPr>
                <w:rFonts w:ascii="Lato" w:eastAsia="Times New Roman" w:hAnsi="Lato" w:cs="Times New Roman"/>
                <w:color w:val="000000"/>
                <w:sz w:val="18"/>
                <w:szCs w:val="18"/>
                <w:vertAlign w:val="superscript"/>
                <w:lang w:eastAsia="pl-PL"/>
              </w:rPr>
              <w:t xml:space="preserve"> </w:t>
            </w:r>
          </w:p>
        </w:tc>
      </w:tr>
      <w:tr w:rsidR="007B0E88" w:rsidRPr="007B0E88" w:rsidTr="007B0E88">
        <w:trPr>
          <w:trHeight w:val="476"/>
          <w:jc w:val="right"/>
        </w:trPr>
        <w:tc>
          <w:tcPr>
            <w:tcW w:w="9005" w:type="dxa"/>
            <w:gridSpan w:val="7"/>
            <w:shd w:val="clear" w:color="auto" w:fill="auto"/>
            <w:vAlign w:val="center"/>
            <w:hideMark/>
          </w:tcPr>
          <w:p w:rsidR="007B0E88" w:rsidRPr="007B0E88" w:rsidRDefault="007B0E88" w:rsidP="007B0E88">
            <w:pPr>
              <w:spacing w:after="120"/>
              <w:jc w:val="both"/>
              <w:rPr>
                <w:rFonts w:ascii="Lato" w:eastAsia="Times New Roman" w:hAnsi="Lato" w:cs="Times New Roman"/>
                <w:bCs/>
                <w:color w:val="C00000"/>
                <w:sz w:val="18"/>
                <w:szCs w:val="18"/>
                <w:lang w:eastAsia="pl-PL"/>
              </w:rPr>
            </w:pPr>
            <w:r w:rsidRPr="007B0E88">
              <w:rPr>
                <w:rFonts w:ascii="Lato" w:eastAsia="Times New Roman" w:hAnsi="Lato" w:cs="Times New Roman"/>
                <w:bCs/>
                <w:color w:val="C00000"/>
                <w:sz w:val="18"/>
                <w:szCs w:val="18"/>
                <w:lang w:eastAsia="pl-PL"/>
              </w:rPr>
              <w:t>Cel główny</w:t>
            </w:r>
          </w:p>
        </w:tc>
      </w:tr>
      <w:tr w:rsidR="007B0E88" w:rsidRPr="007B0E88" w:rsidTr="007B0E88">
        <w:trPr>
          <w:trHeight w:val="701"/>
          <w:jc w:val="right"/>
        </w:trPr>
        <w:tc>
          <w:tcPr>
            <w:tcW w:w="1200" w:type="dxa"/>
            <w:shd w:val="clear" w:color="000000" w:fill="D9D9D9"/>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CG_P_2</w:t>
            </w:r>
          </w:p>
        </w:tc>
        <w:tc>
          <w:tcPr>
            <w:tcW w:w="1417" w:type="dxa"/>
            <w:shd w:val="clear" w:color="000000" w:fill="D9D9D9"/>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 1.1. / K.I.1.2.)/ PII/ P III(K.I.3.1. / K.I.3.2)/ P IV (K.I. 4.1.)</w:t>
            </w:r>
          </w:p>
        </w:tc>
        <w:tc>
          <w:tcPr>
            <w:tcW w:w="1110" w:type="dxa"/>
            <w:shd w:val="clear" w:color="000000" w:fill="D9D9D9"/>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produkt</w:t>
            </w:r>
          </w:p>
        </w:tc>
        <w:tc>
          <w:tcPr>
            <w:tcW w:w="1781" w:type="dxa"/>
            <w:shd w:val="clear" w:color="000000" w:fill="D9D9D9"/>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unikalnych bibliotek (publicznych, szkolnych i pedagogicznych) oraz placówek wychowania przedszkolnego objętych wsparciem w ramach NPRCz 2.0.</w:t>
            </w:r>
          </w:p>
        </w:tc>
        <w:tc>
          <w:tcPr>
            <w:tcW w:w="1405" w:type="dxa"/>
            <w:shd w:val="clear" w:color="000000" w:fill="D9D9D9"/>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6,99 tys.</w:t>
            </w:r>
            <w:r w:rsidRPr="007B0E88">
              <w:rPr>
                <w:rFonts w:ascii="Lato" w:eastAsia="Times New Roman" w:hAnsi="Lato" w:cs="Times New Roman"/>
                <w:color w:val="000000"/>
                <w:sz w:val="18"/>
                <w:szCs w:val="18"/>
                <w:vertAlign w:val="superscript"/>
                <w:lang w:eastAsia="pl-PL"/>
              </w:rPr>
              <w:t xml:space="preserve"> </w:t>
            </w:r>
            <w:r w:rsidRPr="007B0E88">
              <w:rPr>
                <w:rFonts w:ascii="Lato" w:eastAsia="Times New Roman" w:hAnsi="Lato" w:cs="Times New Roman"/>
                <w:color w:val="000000"/>
                <w:sz w:val="18"/>
                <w:szCs w:val="18"/>
                <w:vertAlign w:val="superscript"/>
                <w:lang w:eastAsia="pl-PL"/>
              </w:rPr>
              <w:footnoteReference w:id="11"/>
            </w:r>
          </w:p>
        </w:tc>
      </w:tr>
      <w:tr w:rsidR="007B0E88" w:rsidRPr="007B0E88" w:rsidTr="007B0E88">
        <w:trPr>
          <w:trHeight w:val="1644"/>
          <w:jc w:val="right"/>
        </w:trPr>
        <w:tc>
          <w:tcPr>
            <w:tcW w:w="1200" w:type="dxa"/>
            <w:shd w:val="clear" w:color="000000" w:fill="FFFFFF"/>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RB_1</w:t>
            </w:r>
          </w:p>
        </w:tc>
        <w:tc>
          <w:tcPr>
            <w:tcW w:w="1417"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 1.1. / K.I.1.2.)/ PII/ P III(K.I.3.1. / K.I.3.2)/ P IV (K.I. 4.1.)</w:t>
            </w:r>
          </w:p>
        </w:tc>
        <w:tc>
          <w:tcPr>
            <w:tcW w:w="1110"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rezultat bezpośredni</w:t>
            </w:r>
          </w:p>
        </w:tc>
        <w:tc>
          <w:tcPr>
            <w:tcW w:w="1781" w:type="dxa"/>
            <w:shd w:val="clear" w:color="000000" w:fill="FFFFFF"/>
            <w:vAlign w:val="center"/>
            <w:hideMark/>
          </w:tcPr>
          <w:p w:rsidR="007B0E88" w:rsidRPr="007B0E88" w:rsidRDefault="007B0E88" w:rsidP="007B0E88">
            <w:pPr>
              <w:spacing w:after="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użytkowników zarejestrowanych w bibliotekach objętych wsparciem w ramach NPRCz 2.0.</w:t>
            </w:r>
          </w:p>
        </w:tc>
        <w:tc>
          <w:tcPr>
            <w:tcW w:w="1405"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6,66 mln</w:t>
            </w:r>
          </w:p>
        </w:tc>
      </w:tr>
      <w:tr w:rsidR="007B0E88" w:rsidRPr="007B0E88" w:rsidTr="007B0E88">
        <w:trPr>
          <w:trHeight w:val="1871"/>
          <w:jc w:val="right"/>
        </w:trPr>
        <w:tc>
          <w:tcPr>
            <w:tcW w:w="1200" w:type="dxa"/>
            <w:shd w:val="clear" w:color="000000" w:fill="FFFFFF"/>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RB_2</w:t>
            </w:r>
          </w:p>
        </w:tc>
        <w:tc>
          <w:tcPr>
            <w:tcW w:w="1417"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 1.1. / K.I.1.2.)/ PII/ P III(K.I.3.1. / K.I.3.2)/ P IV (K.I. 4.1.)</w:t>
            </w:r>
          </w:p>
        </w:tc>
        <w:tc>
          <w:tcPr>
            <w:tcW w:w="1110"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rezultat bezpośredni</w:t>
            </w:r>
          </w:p>
        </w:tc>
        <w:tc>
          <w:tcPr>
            <w:tcW w:w="1781" w:type="dxa"/>
            <w:shd w:val="clear" w:color="000000" w:fill="FFFFFF"/>
            <w:vAlign w:val="center"/>
            <w:hideMark/>
          </w:tcPr>
          <w:p w:rsidR="007B0E88" w:rsidRPr="007B0E88" w:rsidRDefault="007B0E88" w:rsidP="007B0E88">
            <w:pPr>
              <w:spacing w:after="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czytelników (użytkowników aktywnie wypożyczających) w bibliotekach objętych wsparciem w ramach NPRCz 2.0.</w:t>
            </w:r>
          </w:p>
        </w:tc>
        <w:tc>
          <w:tcPr>
            <w:tcW w:w="1405"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5,36 mln</w:t>
            </w:r>
          </w:p>
        </w:tc>
      </w:tr>
      <w:tr w:rsidR="007B0E88" w:rsidRPr="007B0E88" w:rsidTr="007B0E88">
        <w:trPr>
          <w:trHeight w:val="1474"/>
          <w:jc w:val="right"/>
        </w:trPr>
        <w:tc>
          <w:tcPr>
            <w:tcW w:w="1200" w:type="dxa"/>
            <w:shd w:val="clear" w:color="000000" w:fill="FFFFFF"/>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RB_3</w:t>
            </w:r>
          </w:p>
        </w:tc>
        <w:tc>
          <w:tcPr>
            <w:tcW w:w="1417"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 1.1. / K.I.1.2.)/ PII/ P III(K.I.3.1. / K.I.3.2)/ P IV (K.I. 4.1.)</w:t>
            </w:r>
          </w:p>
        </w:tc>
        <w:tc>
          <w:tcPr>
            <w:tcW w:w="1110"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rezultat bezpośredni</w:t>
            </w:r>
          </w:p>
        </w:tc>
        <w:tc>
          <w:tcPr>
            <w:tcW w:w="1781" w:type="dxa"/>
            <w:shd w:val="clear" w:color="000000" w:fill="FFFFFF"/>
            <w:vAlign w:val="center"/>
            <w:hideMark/>
          </w:tcPr>
          <w:p w:rsidR="007B0E88" w:rsidRPr="007B0E88" w:rsidRDefault="007B0E88" w:rsidP="007B0E88">
            <w:pPr>
              <w:spacing w:after="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wypożyczeń na zewnątrz w bibliotekach objętych wsparciem w ramach NPRCz 2.0.</w:t>
            </w:r>
          </w:p>
        </w:tc>
        <w:tc>
          <w:tcPr>
            <w:tcW w:w="1405"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88,22 mln</w:t>
            </w:r>
          </w:p>
        </w:tc>
      </w:tr>
      <w:tr w:rsidR="007B0E88" w:rsidRPr="007B0E88" w:rsidTr="007B0E88">
        <w:trPr>
          <w:trHeight w:val="2268"/>
          <w:jc w:val="right"/>
        </w:trPr>
        <w:tc>
          <w:tcPr>
            <w:tcW w:w="1200" w:type="dxa"/>
            <w:shd w:val="clear" w:color="000000" w:fill="FFFFFF"/>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RB_4</w:t>
            </w:r>
          </w:p>
        </w:tc>
        <w:tc>
          <w:tcPr>
            <w:tcW w:w="1417"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 1.1. / K.I.1.2.)/ PII/ P III(K.I.3.1. / K.I.3.2)/ P IV (K.I. 4.1.)</w:t>
            </w:r>
          </w:p>
        </w:tc>
        <w:tc>
          <w:tcPr>
            <w:tcW w:w="1110"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rezultat bezpośredni</w:t>
            </w:r>
          </w:p>
        </w:tc>
        <w:tc>
          <w:tcPr>
            <w:tcW w:w="1781" w:type="dxa"/>
            <w:shd w:val="clear" w:color="000000" w:fill="FFFFFF"/>
            <w:vAlign w:val="center"/>
            <w:hideMark/>
          </w:tcPr>
          <w:p w:rsidR="007B0E88" w:rsidRPr="007B0E88" w:rsidRDefault="007B0E88" w:rsidP="007B0E88">
            <w:pPr>
              <w:spacing w:after="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zorganizowanych konkursów, imprez, lekcji bibliotecznych itp. wydarzeń w bibliotekach objętych wsparciem w ramach NPRCz 2.0.</w:t>
            </w:r>
          </w:p>
        </w:tc>
        <w:tc>
          <w:tcPr>
            <w:tcW w:w="1405"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437,46 tys.</w:t>
            </w:r>
          </w:p>
        </w:tc>
      </w:tr>
      <w:tr w:rsidR="007B0E88" w:rsidRPr="007B0E88" w:rsidTr="007B0E88">
        <w:trPr>
          <w:trHeight w:val="2154"/>
          <w:jc w:val="right"/>
        </w:trPr>
        <w:tc>
          <w:tcPr>
            <w:tcW w:w="1200" w:type="dxa"/>
            <w:shd w:val="clear" w:color="000000" w:fill="FFFFFF"/>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lastRenderedPageBreak/>
              <w:t>RB_</w:t>
            </w:r>
            <w:r w:rsidRPr="007B0E88">
              <w:rPr>
                <w:rFonts w:ascii="Lato" w:eastAsia="Times New Roman" w:hAnsi="Lato" w:cs="Times New Roman"/>
                <w:color w:val="000000"/>
                <w:sz w:val="18"/>
                <w:szCs w:val="18"/>
                <w:lang w:eastAsia="pl-PL"/>
              </w:rPr>
              <w:br/>
              <w:t>dodatkowy_1</w:t>
            </w:r>
          </w:p>
        </w:tc>
        <w:tc>
          <w:tcPr>
            <w:tcW w:w="1417"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 1.1. / K.I.1.2.)/ PII/ P III(K.I.3.1. / K.I.3.2)/ P IV (K.I. 4.1.)</w:t>
            </w:r>
          </w:p>
        </w:tc>
        <w:tc>
          <w:tcPr>
            <w:tcW w:w="1110"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rezultat bezpośredni</w:t>
            </w:r>
          </w:p>
        </w:tc>
        <w:tc>
          <w:tcPr>
            <w:tcW w:w="1781" w:type="dxa"/>
            <w:shd w:val="clear" w:color="000000" w:fill="FFFFFF"/>
            <w:vAlign w:val="center"/>
            <w:hideMark/>
          </w:tcPr>
          <w:p w:rsidR="007B0E88" w:rsidRPr="007B0E88" w:rsidRDefault="007B0E88" w:rsidP="007B0E88">
            <w:pPr>
              <w:spacing w:after="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uczestników zorganizowanych konkursów, imprez, lekcji bibliotecznych itp. wydarzeń w bibliotekach objętych wsparciem w ramach NPRCz 2.0.</w:t>
            </w:r>
          </w:p>
        </w:tc>
        <w:tc>
          <w:tcPr>
            <w:tcW w:w="1405"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9,75 mln</w:t>
            </w:r>
          </w:p>
        </w:tc>
      </w:tr>
      <w:tr w:rsidR="007B0E88" w:rsidRPr="007B0E88" w:rsidTr="007B0E88">
        <w:trPr>
          <w:trHeight w:val="1587"/>
          <w:jc w:val="right"/>
        </w:trPr>
        <w:tc>
          <w:tcPr>
            <w:tcW w:w="1200" w:type="dxa"/>
            <w:shd w:val="clear" w:color="000000" w:fill="FFFFFF"/>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RB_</w:t>
            </w:r>
            <w:r w:rsidRPr="007B0E88">
              <w:rPr>
                <w:rFonts w:ascii="Lato" w:eastAsia="Times New Roman" w:hAnsi="Lato" w:cs="Times New Roman"/>
                <w:color w:val="000000"/>
                <w:sz w:val="18"/>
                <w:szCs w:val="18"/>
                <w:lang w:eastAsia="pl-PL"/>
              </w:rPr>
              <w:br/>
              <w:t>dodatkowy_2</w:t>
            </w:r>
          </w:p>
        </w:tc>
        <w:tc>
          <w:tcPr>
            <w:tcW w:w="1417"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 1.1. / K.I.1.2.)/ PII/ P III(K.I.3.1. / K.I.3.2)/ P IV (K.I. 4.1.)</w:t>
            </w:r>
          </w:p>
        </w:tc>
        <w:tc>
          <w:tcPr>
            <w:tcW w:w="1110"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rezultat bezpośredni</w:t>
            </w:r>
          </w:p>
        </w:tc>
        <w:tc>
          <w:tcPr>
            <w:tcW w:w="1781" w:type="dxa"/>
            <w:shd w:val="clear" w:color="000000" w:fill="FFFFFF"/>
            <w:vAlign w:val="center"/>
            <w:hideMark/>
          </w:tcPr>
          <w:p w:rsidR="007B0E88" w:rsidRPr="007B0E88" w:rsidRDefault="007B0E88" w:rsidP="007B0E88">
            <w:pPr>
              <w:spacing w:after="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bibliotek objętych wsparciem w ramach NPRCz 2.0., w których uruchomiono koła lub kluby czytelnicze</w:t>
            </w:r>
          </w:p>
        </w:tc>
        <w:tc>
          <w:tcPr>
            <w:tcW w:w="1405"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2,06 tys.</w:t>
            </w:r>
          </w:p>
        </w:tc>
      </w:tr>
      <w:tr w:rsidR="007B0E88" w:rsidRPr="007B0E88" w:rsidTr="007B0E88">
        <w:trPr>
          <w:trHeight w:val="513"/>
          <w:jc w:val="right"/>
        </w:trPr>
        <w:tc>
          <w:tcPr>
            <w:tcW w:w="1200" w:type="dxa"/>
            <w:shd w:val="clear" w:color="000000" w:fill="FFFFFF"/>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RB_</w:t>
            </w:r>
            <w:r w:rsidRPr="007B0E88">
              <w:rPr>
                <w:rFonts w:ascii="Lato" w:eastAsia="Times New Roman" w:hAnsi="Lato" w:cs="Times New Roman"/>
                <w:color w:val="000000"/>
                <w:sz w:val="18"/>
                <w:szCs w:val="18"/>
                <w:lang w:eastAsia="pl-PL"/>
              </w:rPr>
              <w:br/>
              <w:t>dodatkowy_3</w:t>
            </w:r>
          </w:p>
        </w:tc>
        <w:tc>
          <w:tcPr>
            <w:tcW w:w="1417"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 1.1. / K.I.1.2.)/ PII/ P III(K.I.3.1. / K.I.3.2)/ P IV (K.I. 4.1.)</w:t>
            </w:r>
          </w:p>
        </w:tc>
        <w:tc>
          <w:tcPr>
            <w:tcW w:w="1110"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rezultat bezpośredni</w:t>
            </w:r>
          </w:p>
        </w:tc>
        <w:tc>
          <w:tcPr>
            <w:tcW w:w="1781" w:type="dxa"/>
            <w:shd w:val="clear" w:color="000000" w:fill="FFFFFF"/>
            <w:vAlign w:val="center"/>
            <w:hideMark/>
          </w:tcPr>
          <w:p w:rsidR="007B0E88" w:rsidRPr="007B0E88" w:rsidRDefault="007B0E88" w:rsidP="007B0E88">
            <w:pPr>
              <w:spacing w:after="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bibliotek objętych wsparciem w ramach NPRCz 2.0., w których uruchomiono koła lub kluby inne niż czytelnicze</w:t>
            </w:r>
          </w:p>
        </w:tc>
        <w:tc>
          <w:tcPr>
            <w:tcW w:w="1405"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1,25 tys.</w:t>
            </w:r>
          </w:p>
        </w:tc>
      </w:tr>
      <w:tr w:rsidR="007B0E88" w:rsidRPr="007B0E88" w:rsidTr="007B0E88">
        <w:trPr>
          <w:trHeight w:val="1701"/>
          <w:jc w:val="right"/>
        </w:trPr>
        <w:tc>
          <w:tcPr>
            <w:tcW w:w="1200" w:type="dxa"/>
            <w:shd w:val="clear" w:color="000000" w:fill="FFFFFF"/>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RB_</w:t>
            </w:r>
            <w:r w:rsidRPr="007B0E88">
              <w:rPr>
                <w:rFonts w:ascii="Lato" w:eastAsia="Times New Roman" w:hAnsi="Lato" w:cs="Times New Roman"/>
                <w:color w:val="000000"/>
                <w:sz w:val="18"/>
                <w:szCs w:val="18"/>
                <w:lang w:eastAsia="pl-PL"/>
              </w:rPr>
              <w:br/>
              <w:t>dodatkowy_4</w:t>
            </w:r>
          </w:p>
        </w:tc>
        <w:tc>
          <w:tcPr>
            <w:tcW w:w="1417"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 1.1. / K.I.1.2.)/ PII/ P III(K.I.3.1. / K.I.3.2)/ P IV (K.I. 4.1.)</w:t>
            </w:r>
          </w:p>
        </w:tc>
        <w:tc>
          <w:tcPr>
            <w:tcW w:w="1110"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rezultat bezpośredni</w:t>
            </w:r>
          </w:p>
        </w:tc>
        <w:tc>
          <w:tcPr>
            <w:tcW w:w="1781" w:type="dxa"/>
            <w:shd w:val="clear" w:color="000000" w:fill="FFFFFF"/>
            <w:vAlign w:val="center"/>
            <w:hideMark/>
          </w:tcPr>
          <w:p w:rsidR="007B0E88" w:rsidRPr="007B0E88" w:rsidRDefault="007B0E88" w:rsidP="007B0E88">
            <w:pPr>
              <w:spacing w:after="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Udział biblioteki objętej wsparciem w innych (poza NPRCz 2.0.) programach wspierających czytelnictwo</w:t>
            </w:r>
          </w:p>
        </w:tc>
        <w:tc>
          <w:tcPr>
            <w:tcW w:w="1405"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2,66 tys.</w:t>
            </w:r>
          </w:p>
        </w:tc>
      </w:tr>
      <w:tr w:rsidR="007B0E88" w:rsidRPr="007B0E88" w:rsidTr="007B0E88">
        <w:trPr>
          <w:trHeight w:val="454"/>
          <w:jc w:val="right"/>
        </w:trPr>
        <w:tc>
          <w:tcPr>
            <w:tcW w:w="9005" w:type="dxa"/>
            <w:gridSpan w:val="7"/>
            <w:shd w:val="clear" w:color="auto" w:fill="auto"/>
            <w:vAlign w:val="center"/>
            <w:hideMark/>
          </w:tcPr>
          <w:p w:rsidR="007B0E88" w:rsidRPr="007B0E88" w:rsidRDefault="007B0E88" w:rsidP="007B0E88">
            <w:pPr>
              <w:spacing w:after="120"/>
              <w:rPr>
                <w:rFonts w:ascii="Lato" w:eastAsia="Times New Roman" w:hAnsi="Lato" w:cs="Times New Roman"/>
                <w:bCs/>
                <w:color w:val="C00000"/>
                <w:sz w:val="18"/>
                <w:szCs w:val="18"/>
                <w:lang w:eastAsia="pl-PL"/>
              </w:rPr>
            </w:pPr>
            <w:r w:rsidRPr="007B0E88">
              <w:rPr>
                <w:rFonts w:ascii="Lato" w:eastAsia="Times New Roman" w:hAnsi="Lato" w:cs="Times New Roman"/>
                <w:bCs/>
                <w:color w:val="C00000"/>
                <w:sz w:val="18"/>
                <w:szCs w:val="18"/>
                <w:lang w:eastAsia="pl-PL"/>
              </w:rPr>
              <w:t>Cel szczegółowy 1 / Priorytet 1</w:t>
            </w:r>
          </w:p>
        </w:tc>
      </w:tr>
      <w:tr w:rsidR="007B0E88" w:rsidRPr="007B0E88" w:rsidTr="007B0E88">
        <w:trPr>
          <w:trHeight w:val="1448"/>
          <w:jc w:val="right"/>
        </w:trPr>
        <w:tc>
          <w:tcPr>
            <w:tcW w:w="1200"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K_1</w:t>
            </w:r>
          </w:p>
        </w:tc>
        <w:tc>
          <w:tcPr>
            <w:tcW w:w="1417"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 1.1.)</w:t>
            </w:r>
          </w:p>
        </w:tc>
        <w:tc>
          <w:tcPr>
            <w:tcW w:w="1110"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kontekst</w:t>
            </w:r>
          </w:p>
        </w:tc>
        <w:tc>
          <w:tcPr>
            <w:tcW w:w="1781" w:type="dxa"/>
            <w:shd w:val="clear" w:color="000000" w:fill="FFFFFF"/>
            <w:vAlign w:val="center"/>
            <w:hideMark/>
          </w:tcPr>
          <w:p w:rsidR="007B0E88" w:rsidRPr="007B0E88" w:rsidRDefault="007B0E88" w:rsidP="007B0E88">
            <w:pPr>
              <w:spacing w:after="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Łączny wolumen publikacji w bibliotekach  objętych wsparciem w ramach NPRCz 2.0. (z wyłączeniem podręczników)</w:t>
            </w:r>
          </w:p>
        </w:tc>
        <w:tc>
          <w:tcPr>
            <w:tcW w:w="1405"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hideMark/>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122,32 mln</w:t>
            </w:r>
          </w:p>
        </w:tc>
      </w:tr>
      <w:tr w:rsidR="007B0E88" w:rsidRPr="007B0E88" w:rsidTr="007B0E88">
        <w:trPr>
          <w:trHeight w:val="794"/>
          <w:jc w:val="right"/>
        </w:trPr>
        <w:tc>
          <w:tcPr>
            <w:tcW w:w="1200"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P_2</w:t>
            </w:r>
          </w:p>
        </w:tc>
        <w:tc>
          <w:tcPr>
            <w:tcW w:w="1417"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(K.I.1.1.)</w:t>
            </w:r>
          </w:p>
        </w:tc>
        <w:tc>
          <w:tcPr>
            <w:tcW w:w="1110"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 xml:space="preserve">produkt </w:t>
            </w:r>
          </w:p>
        </w:tc>
        <w:tc>
          <w:tcPr>
            <w:tcW w:w="1781" w:type="dxa"/>
            <w:shd w:val="clear" w:color="000000" w:fill="FFFFFF"/>
            <w:vAlign w:val="center"/>
            <w:hideMark/>
          </w:tcPr>
          <w:p w:rsidR="007B0E88" w:rsidRPr="007B0E88" w:rsidRDefault="007B0E88" w:rsidP="007B0E88">
            <w:pPr>
              <w:spacing w:after="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ograniczonych czasowo (miesięcznych) kodów zdalnego dostępu do e-booków/ audiobooków/ synchrobooków z komercyjnych platform internetowych zakupionych przez biblioteki  w ramach  NPRCz 2.0.</w:t>
            </w:r>
          </w:p>
        </w:tc>
        <w:tc>
          <w:tcPr>
            <w:tcW w:w="1405"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hideMark/>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106,94 tys.</w:t>
            </w:r>
          </w:p>
        </w:tc>
      </w:tr>
      <w:tr w:rsidR="007B0E88" w:rsidRPr="007B0E88" w:rsidTr="007B0E88">
        <w:trPr>
          <w:trHeight w:val="1417"/>
          <w:jc w:val="right"/>
        </w:trPr>
        <w:tc>
          <w:tcPr>
            <w:tcW w:w="1200" w:type="dxa"/>
            <w:vMerge w:val="restart"/>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lastRenderedPageBreak/>
              <w:t>P_3</w:t>
            </w:r>
          </w:p>
        </w:tc>
        <w:tc>
          <w:tcPr>
            <w:tcW w:w="1417" w:type="dxa"/>
            <w:vMerge w:val="restart"/>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(K.I.1.1.)</w:t>
            </w:r>
          </w:p>
        </w:tc>
        <w:tc>
          <w:tcPr>
            <w:tcW w:w="1110" w:type="dxa"/>
            <w:vMerge w:val="restart"/>
            <w:shd w:val="clear" w:color="auto" w:fill="auto"/>
            <w:vAlign w:val="center"/>
            <w:hideMark/>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 xml:space="preserve">produkt </w:t>
            </w:r>
          </w:p>
        </w:tc>
        <w:tc>
          <w:tcPr>
            <w:tcW w:w="1781" w:type="dxa"/>
            <w:vMerge w:val="restart"/>
            <w:shd w:val="clear" w:color="000000" w:fill="FFFFFF"/>
            <w:vAlign w:val="center"/>
            <w:hideMark/>
          </w:tcPr>
          <w:p w:rsidR="007B0E88" w:rsidRPr="007B0E88" w:rsidRDefault="007B0E88" w:rsidP="007B0E88">
            <w:pPr>
              <w:spacing w:after="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e-booków, audiobooków lub synchrobooków udostępnianych z platform zdalnego dostępu zakupionych przez biblioteki  w ramach dotacji NPRCz 2.0. i wkładu własnego w innych modelach licencyjnych niż miesięczne kody zdalnego dostępu.</w:t>
            </w:r>
          </w:p>
        </w:tc>
        <w:tc>
          <w:tcPr>
            <w:tcW w:w="1405" w:type="dxa"/>
            <w:vMerge w:val="restart"/>
            <w:shd w:val="clear" w:color="000000" w:fill="FFFFFF"/>
            <w:vAlign w:val="center"/>
            <w:hideMark/>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942" w:type="dxa"/>
            <w:tcBorders>
              <w:top w:val="single" w:sz="6" w:space="0" w:color="A6A6A6" w:themeColor="background1" w:themeShade="A6"/>
            </w:tcBorders>
            <w:shd w:val="clear" w:color="auto" w:fill="auto"/>
            <w:noWrap/>
            <w:vAlign w:val="center"/>
            <w:hideMark/>
          </w:tcPr>
          <w:p w:rsidR="007B0E88" w:rsidRPr="007B0E88" w:rsidRDefault="007B0E88" w:rsidP="007B0E88">
            <w:pPr>
              <w:spacing w:after="120"/>
              <w:jc w:val="right"/>
              <w:rPr>
                <w:rFonts w:ascii="Lato" w:eastAsia="Times New Roman" w:hAnsi="Lato" w:cs="Times New Roman"/>
                <w:iCs/>
                <w:color w:val="000000"/>
                <w:sz w:val="18"/>
                <w:szCs w:val="18"/>
                <w:lang w:eastAsia="pl-PL"/>
              </w:rPr>
            </w:pPr>
            <w:r w:rsidRPr="007B0E88">
              <w:rPr>
                <w:rFonts w:ascii="Lato" w:eastAsia="Times New Roman" w:hAnsi="Lato" w:cs="Times New Roman"/>
                <w:iCs/>
                <w:color w:val="000000"/>
                <w:sz w:val="18"/>
                <w:szCs w:val="18"/>
                <w:lang w:eastAsia="pl-PL"/>
              </w:rPr>
              <w:t>kody</w:t>
            </w:r>
            <w:r w:rsidRPr="007B0E88">
              <w:rPr>
                <w:rFonts w:ascii="Lato" w:eastAsia="Times New Roman" w:hAnsi="Lato" w:cs="Times New Roman"/>
                <w:iCs/>
                <w:color w:val="000000"/>
                <w:sz w:val="18"/>
                <w:szCs w:val="18"/>
                <w:vertAlign w:val="superscript"/>
                <w:lang w:eastAsia="pl-PL"/>
              </w:rPr>
              <w:footnoteReference w:id="12"/>
            </w:r>
          </w:p>
        </w:tc>
        <w:tc>
          <w:tcPr>
            <w:tcW w:w="115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noWrap/>
            <w:vAlign w:val="center"/>
          </w:tcPr>
          <w:p w:rsidR="007B0E88" w:rsidRPr="007B0E88" w:rsidRDefault="007B0E88" w:rsidP="007B0E88">
            <w:pPr>
              <w:spacing w:after="120"/>
              <w:jc w:val="right"/>
              <w:rPr>
                <w:rFonts w:ascii="Lato" w:eastAsia="Times New Roman" w:hAnsi="Lato" w:cs="Times New Roman"/>
                <w:iCs/>
                <w:color w:val="000000"/>
                <w:sz w:val="18"/>
                <w:szCs w:val="18"/>
                <w:lang w:eastAsia="pl-PL"/>
              </w:rPr>
            </w:pPr>
            <w:r w:rsidRPr="007B0E88">
              <w:rPr>
                <w:rFonts w:ascii="Lato" w:hAnsi="Lato" w:cs="Calibri"/>
                <w:color w:val="000000"/>
                <w:sz w:val="18"/>
                <w:szCs w:val="18"/>
              </w:rPr>
              <w:t>695,06 tys.</w:t>
            </w:r>
          </w:p>
        </w:tc>
      </w:tr>
      <w:tr w:rsidR="007B0E88" w:rsidRPr="007B0E88" w:rsidTr="007B0E88">
        <w:trPr>
          <w:trHeight w:val="1137"/>
          <w:jc w:val="right"/>
        </w:trPr>
        <w:tc>
          <w:tcPr>
            <w:tcW w:w="1200" w:type="dxa"/>
            <w:vMerge/>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p>
        </w:tc>
        <w:tc>
          <w:tcPr>
            <w:tcW w:w="1417" w:type="dxa"/>
            <w:vMerge/>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p>
        </w:tc>
        <w:tc>
          <w:tcPr>
            <w:tcW w:w="1110" w:type="dxa"/>
            <w:vMerge/>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p>
        </w:tc>
        <w:tc>
          <w:tcPr>
            <w:tcW w:w="1781" w:type="dxa"/>
            <w:vMerge/>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p>
        </w:tc>
        <w:tc>
          <w:tcPr>
            <w:tcW w:w="1405" w:type="dxa"/>
            <w:vMerge/>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p>
        </w:tc>
        <w:tc>
          <w:tcPr>
            <w:tcW w:w="942" w:type="dxa"/>
            <w:shd w:val="clear" w:color="auto" w:fill="auto"/>
            <w:noWrap/>
            <w:vAlign w:val="center"/>
            <w:hideMark/>
          </w:tcPr>
          <w:p w:rsidR="007B0E88" w:rsidRPr="007B0E88" w:rsidRDefault="007B0E88" w:rsidP="007B0E88">
            <w:pPr>
              <w:spacing w:after="120"/>
              <w:jc w:val="right"/>
              <w:rPr>
                <w:rFonts w:ascii="Lato" w:eastAsia="Times New Roman" w:hAnsi="Lato" w:cs="Times New Roman"/>
                <w:iCs/>
                <w:color w:val="000000"/>
                <w:sz w:val="18"/>
                <w:szCs w:val="18"/>
                <w:lang w:eastAsia="pl-PL"/>
              </w:rPr>
            </w:pPr>
            <w:r w:rsidRPr="007B0E88">
              <w:rPr>
                <w:rFonts w:ascii="Lato" w:eastAsia="Times New Roman" w:hAnsi="Lato" w:cs="Times New Roman"/>
                <w:iCs/>
                <w:color w:val="000000"/>
                <w:sz w:val="18"/>
                <w:szCs w:val="18"/>
                <w:lang w:eastAsia="pl-PL"/>
              </w:rPr>
              <w:t>strony</w:t>
            </w:r>
          </w:p>
        </w:tc>
        <w:tc>
          <w:tcPr>
            <w:tcW w:w="115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noWrap/>
            <w:vAlign w:val="center"/>
          </w:tcPr>
          <w:p w:rsidR="007B0E88" w:rsidRPr="007B0E88" w:rsidRDefault="007B0E88" w:rsidP="007B0E88">
            <w:pPr>
              <w:spacing w:after="120"/>
              <w:jc w:val="right"/>
              <w:rPr>
                <w:rFonts w:ascii="Lato" w:eastAsia="Times New Roman" w:hAnsi="Lato" w:cs="Times New Roman"/>
                <w:iCs/>
                <w:color w:val="000000"/>
                <w:sz w:val="18"/>
                <w:szCs w:val="18"/>
                <w:lang w:eastAsia="pl-PL"/>
              </w:rPr>
            </w:pPr>
            <w:r w:rsidRPr="007B0E88">
              <w:rPr>
                <w:rFonts w:ascii="Lato" w:hAnsi="Lato" w:cs="Calibri"/>
                <w:color w:val="000000"/>
                <w:sz w:val="18"/>
                <w:szCs w:val="18"/>
              </w:rPr>
              <w:t>88,04 mln</w:t>
            </w:r>
          </w:p>
        </w:tc>
      </w:tr>
      <w:tr w:rsidR="007B0E88" w:rsidRPr="007B0E88" w:rsidTr="007B0E88">
        <w:trPr>
          <w:trHeight w:val="1137"/>
          <w:jc w:val="right"/>
        </w:trPr>
        <w:tc>
          <w:tcPr>
            <w:tcW w:w="1200" w:type="dxa"/>
            <w:vMerge/>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p>
        </w:tc>
        <w:tc>
          <w:tcPr>
            <w:tcW w:w="1417" w:type="dxa"/>
            <w:vMerge/>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p>
        </w:tc>
        <w:tc>
          <w:tcPr>
            <w:tcW w:w="1110" w:type="dxa"/>
            <w:vMerge/>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p>
        </w:tc>
        <w:tc>
          <w:tcPr>
            <w:tcW w:w="1781" w:type="dxa"/>
            <w:vMerge/>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p>
        </w:tc>
        <w:tc>
          <w:tcPr>
            <w:tcW w:w="1405" w:type="dxa"/>
            <w:vMerge/>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p>
        </w:tc>
        <w:tc>
          <w:tcPr>
            <w:tcW w:w="942" w:type="dxa"/>
            <w:shd w:val="clear" w:color="auto" w:fill="auto"/>
            <w:noWrap/>
            <w:vAlign w:val="center"/>
            <w:hideMark/>
          </w:tcPr>
          <w:p w:rsidR="007B0E88" w:rsidRPr="007B0E88" w:rsidRDefault="007B0E88" w:rsidP="007B0E88">
            <w:pPr>
              <w:spacing w:after="120"/>
              <w:jc w:val="right"/>
              <w:rPr>
                <w:rFonts w:ascii="Lato" w:eastAsia="Times New Roman" w:hAnsi="Lato" w:cs="Times New Roman"/>
                <w:iCs/>
                <w:color w:val="000000"/>
                <w:sz w:val="18"/>
                <w:szCs w:val="18"/>
                <w:lang w:eastAsia="pl-PL"/>
              </w:rPr>
            </w:pPr>
            <w:r w:rsidRPr="007B0E88">
              <w:rPr>
                <w:rFonts w:ascii="Lato" w:eastAsia="Times New Roman" w:hAnsi="Lato" w:cs="Times New Roman"/>
                <w:iCs/>
                <w:color w:val="000000"/>
                <w:sz w:val="18"/>
                <w:szCs w:val="18"/>
                <w:lang w:eastAsia="pl-PL"/>
              </w:rPr>
              <w:t>publikacje</w:t>
            </w:r>
          </w:p>
        </w:tc>
        <w:tc>
          <w:tcPr>
            <w:tcW w:w="115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noWrap/>
            <w:vAlign w:val="center"/>
          </w:tcPr>
          <w:p w:rsidR="007B0E88" w:rsidRPr="007B0E88" w:rsidRDefault="007B0E88" w:rsidP="007B0E88">
            <w:pPr>
              <w:spacing w:after="120"/>
              <w:jc w:val="right"/>
              <w:rPr>
                <w:rFonts w:ascii="Lato" w:eastAsia="Times New Roman" w:hAnsi="Lato" w:cs="Times New Roman"/>
                <w:iCs/>
                <w:color w:val="000000"/>
                <w:sz w:val="18"/>
                <w:szCs w:val="18"/>
                <w:lang w:eastAsia="pl-PL"/>
              </w:rPr>
            </w:pPr>
            <w:r w:rsidRPr="007B0E88">
              <w:rPr>
                <w:rFonts w:ascii="Lato" w:hAnsi="Lato" w:cs="Calibri"/>
                <w:color w:val="000000"/>
                <w:sz w:val="18"/>
                <w:szCs w:val="18"/>
              </w:rPr>
              <w:t>1,96 mln</w:t>
            </w:r>
          </w:p>
        </w:tc>
      </w:tr>
      <w:tr w:rsidR="007B0E88" w:rsidRPr="007B0E88" w:rsidTr="007B0E88">
        <w:trPr>
          <w:trHeight w:val="2498"/>
          <w:jc w:val="right"/>
        </w:trPr>
        <w:tc>
          <w:tcPr>
            <w:tcW w:w="1200"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RB_5</w:t>
            </w:r>
          </w:p>
        </w:tc>
        <w:tc>
          <w:tcPr>
            <w:tcW w:w="1417"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 (K.I.1.2.)</w:t>
            </w:r>
          </w:p>
        </w:tc>
        <w:tc>
          <w:tcPr>
            <w:tcW w:w="1110"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rezultat bezpośredni</w:t>
            </w:r>
          </w:p>
        </w:tc>
        <w:tc>
          <w:tcPr>
            <w:tcW w:w="1781"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 xml:space="preserve">Liczba operacji wykonanych w zintegrowanym systemie zarządzania zasobami bibliotek przez jego użytkowników. </w:t>
            </w:r>
          </w:p>
        </w:tc>
        <w:tc>
          <w:tcPr>
            <w:tcW w:w="1405"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shd w:val="clear" w:color="000000" w:fill="FFFFFF"/>
            <w:vAlign w:val="center"/>
            <w:hideMark/>
          </w:tcPr>
          <w:p w:rsidR="007B0E88" w:rsidRPr="007B0E88" w:rsidRDefault="007B0E88" w:rsidP="007B0E88">
            <w:pPr>
              <w:spacing w:after="120"/>
              <w:jc w:val="right"/>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1,93 mln</w:t>
            </w:r>
          </w:p>
        </w:tc>
      </w:tr>
      <w:tr w:rsidR="007B0E88" w:rsidRPr="007B0E88" w:rsidTr="007B0E88">
        <w:trPr>
          <w:trHeight w:val="567"/>
          <w:jc w:val="right"/>
        </w:trPr>
        <w:tc>
          <w:tcPr>
            <w:tcW w:w="9005" w:type="dxa"/>
            <w:gridSpan w:val="7"/>
            <w:shd w:val="clear" w:color="auto" w:fill="auto"/>
            <w:vAlign w:val="center"/>
            <w:hideMark/>
          </w:tcPr>
          <w:p w:rsidR="007B0E88" w:rsidRPr="007B0E88" w:rsidRDefault="007B0E88" w:rsidP="007B0E88">
            <w:pPr>
              <w:spacing w:after="120"/>
              <w:rPr>
                <w:rFonts w:ascii="Lato" w:eastAsia="Times New Roman" w:hAnsi="Lato" w:cs="Times New Roman"/>
                <w:bCs/>
                <w:color w:val="C00000"/>
                <w:sz w:val="18"/>
                <w:szCs w:val="18"/>
                <w:lang w:eastAsia="pl-PL"/>
              </w:rPr>
            </w:pPr>
            <w:r w:rsidRPr="007B0E88">
              <w:rPr>
                <w:rFonts w:ascii="Lato" w:eastAsia="Times New Roman" w:hAnsi="Lato" w:cs="Times New Roman"/>
                <w:bCs/>
                <w:color w:val="C00000"/>
                <w:sz w:val="18"/>
                <w:szCs w:val="18"/>
                <w:lang w:eastAsia="pl-PL"/>
              </w:rPr>
              <w:t>Cel szczegółowy 2 / Priorytet 2</w:t>
            </w:r>
          </w:p>
        </w:tc>
      </w:tr>
      <w:tr w:rsidR="007B0E88" w:rsidRPr="007B0E88" w:rsidTr="007B0E88">
        <w:trPr>
          <w:trHeight w:val="3232"/>
          <w:jc w:val="right"/>
        </w:trPr>
        <w:tc>
          <w:tcPr>
            <w:tcW w:w="1200"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P_6</w:t>
            </w:r>
          </w:p>
        </w:tc>
        <w:tc>
          <w:tcPr>
            <w:tcW w:w="1417"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II (K.I.2.1.)</w:t>
            </w:r>
          </w:p>
        </w:tc>
        <w:tc>
          <w:tcPr>
            <w:tcW w:w="1110"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 xml:space="preserve">produkt </w:t>
            </w:r>
          </w:p>
        </w:tc>
        <w:tc>
          <w:tcPr>
            <w:tcW w:w="1781"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energooszczędnych obiektów bibliotecznych (o wartości zapotrzebowania na nieodnawialną energię pierwotną EP=45 kWh/m2/rok) powstałych w ramach projektu.</w:t>
            </w:r>
          </w:p>
        </w:tc>
        <w:tc>
          <w:tcPr>
            <w:tcW w:w="1405"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shd w:val="clear" w:color="000000" w:fill="FFFFFF"/>
            <w:vAlign w:val="center"/>
          </w:tcPr>
          <w:p w:rsidR="007B0E88" w:rsidRPr="007B0E88" w:rsidRDefault="007B0E88" w:rsidP="007B0E88">
            <w:pPr>
              <w:spacing w:after="120"/>
              <w:jc w:val="right"/>
              <w:rPr>
                <w:rFonts w:ascii="Lato" w:eastAsia="Times New Roman" w:hAnsi="Lato" w:cs="Times New Roman"/>
                <w:color w:val="000000"/>
                <w:sz w:val="18"/>
                <w:szCs w:val="18"/>
                <w:lang w:eastAsia="pl-PL"/>
              </w:rPr>
            </w:pPr>
            <w:r w:rsidRPr="007B0E88">
              <w:rPr>
                <w:rFonts w:ascii="Lato" w:hAnsi="Lato"/>
                <w:sz w:val="18"/>
                <w:szCs w:val="18"/>
              </w:rPr>
              <w:t>4</w:t>
            </w:r>
          </w:p>
        </w:tc>
      </w:tr>
      <w:tr w:rsidR="007B0E88" w:rsidRPr="007B0E88" w:rsidTr="007B0E88">
        <w:trPr>
          <w:trHeight w:val="2108"/>
          <w:jc w:val="right"/>
        </w:trPr>
        <w:tc>
          <w:tcPr>
            <w:tcW w:w="1200"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P_7</w:t>
            </w:r>
          </w:p>
        </w:tc>
        <w:tc>
          <w:tcPr>
            <w:tcW w:w="1417"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II (K.I.2.1.)</w:t>
            </w:r>
          </w:p>
        </w:tc>
        <w:tc>
          <w:tcPr>
            <w:tcW w:w="1110"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produkt</w:t>
            </w:r>
          </w:p>
        </w:tc>
        <w:tc>
          <w:tcPr>
            <w:tcW w:w="1781"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bibliotek, które w wyniku projektu poprawiły poziom dostosowania obiektu do osób ze szczególnymi potrzebami.</w:t>
            </w:r>
          </w:p>
        </w:tc>
        <w:tc>
          <w:tcPr>
            <w:tcW w:w="1405"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shd w:val="clear" w:color="000000" w:fill="FFFFFF"/>
            <w:vAlign w:val="center"/>
          </w:tcPr>
          <w:p w:rsidR="007B0E88" w:rsidRPr="007B0E88" w:rsidRDefault="007B0E88" w:rsidP="007B0E88">
            <w:pPr>
              <w:spacing w:after="120"/>
              <w:jc w:val="right"/>
              <w:rPr>
                <w:rFonts w:ascii="Lato" w:eastAsia="Times New Roman" w:hAnsi="Lato" w:cs="Times New Roman"/>
                <w:color w:val="000000"/>
                <w:sz w:val="18"/>
                <w:szCs w:val="18"/>
                <w:lang w:eastAsia="pl-PL"/>
              </w:rPr>
            </w:pPr>
            <w:r w:rsidRPr="007B0E88">
              <w:rPr>
                <w:rFonts w:ascii="Lato" w:hAnsi="Lato"/>
                <w:sz w:val="18"/>
                <w:szCs w:val="18"/>
              </w:rPr>
              <w:t>1</w:t>
            </w:r>
          </w:p>
        </w:tc>
      </w:tr>
      <w:tr w:rsidR="007B0E88" w:rsidRPr="007B0E88" w:rsidTr="007B0E88">
        <w:trPr>
          <w:trHeight w:val="3900"/>
          <w:jc w:val="right"/>
        </w:trPr>
        <w:tc>
          <w:tcPr>
            <w:tcW w:w="1200"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lastRenderedPageBreak/>
              <w:t>P_8</w:t>
            </w:r>
          </w:p>
        </w:tc>
        <w:tc>
          <w:tcPr>
            <w:tcW w:w="1417"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II (K.I.2.1.)</w:t>
            </w:r>
          </w:p>
        </w:tc>
        <w:tc>
          <w:tcPr>
            <w:tcW w:w="1110"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produkt</w:t>
            </w:r>
          </w:p>
        </w:tc>
        <w:tc>
          <w:tcPr>
            <w:tcW w:w="1781"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bibliotek, które w wyniku projektu przystosowały wyraźnie oznakowane pomieszczenie przeznaczone do aktywnej pracy z seniorami (osobami starszymi), z wyposażeniem dostosowanym do tej grupy wiekowej.</w:t>
            </w:r>
          </w:p>
        </w:tc>
        <w:tc>
          <w:tcPr>
            <w:tcW w:w="1405"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shd w:val="clear" w:color="000000" w:fill="FFFFFF"/>
            <w:vAlign w:val="center"/>
          </w:tcPr>
          <w:p w:rsidR="007B0E88" w:rsidRPr="007B0E88" w:rsidRDefault="007B0E88" w:rsidP="007B0E88">
            <w:pPr>
              <w:spacing w:after="120"/>
              <w:jc w:val="right"/>
              <w:rPr>
                <w:rFonts w:ascii="Lato" w:eastAsia="Times New Roman" w:hAnsi="Lato" w:cs="Times New Roman"/>
                <w:color w:val="000000"/>
                <w:sz w:val="18"/>
                <w:szCs w:val="18"/>
                <w:lang w:eastAsia="pl-PL"/>
              </w:rPr>
            </w:pPr>
            <w:r w:rsidRPr="007B0E88">
              <w:rPr>
                <w:rFonts w:ascii="Lato" w:hAnsi="Lato"/>
                <w:sz w:val="18"/>
                <w:szCs w:val="18"/>
              </w:rPr>
              <w:t>7</w:t>
            </w:r>
          </w:p>
        </w:tc>
      </w:tr>
      <w:tr w:rsidR="007B0E88" w:rsidRPr="007B0E88" w:rsidTr="007B0E88">
        <w:trPr>
          <w:trHeight w:val="567"/>
          <w:jc w:val="right"/>
        </w:trPr>
        <w:tc>
          <w:tcPr>
            <w:tcW w:w="9005" w:type="dxa"/>
            <w:gridSpan w:val="7"/>
            <w:shd w:val="clear" w:color="auto" w:fill="auto"/>
            <w:vAlign w:val="center"/>
            <w:hideMark/>
          </w:tcPr>
          <w:p w:rsidR="007B0E88" w:rsidRPr="007B0E88" w:rsidRDefault="007B0E88" w:rsidP="007B0E88">
            <w:pPr>
              <w:spacing w:after="120"/>
              <w:rPr>
                <w:rFonts w:ascii="Lato" w:eastAsia="Times New Roman" w:hAnsi="Lato" w:cs="Times New Roman"/>
                <w:bCs/>
                <w:color w:val="C00000"/>
                <w:sz w:val="18"/>
                <w:szCs w:val="18"/>
                <w:lang w:eastAsia="pl-PL"/>
              </w:rPr>
            </w:pPr>
            <w:r w:rsidRPr="007B0E88">
              <w:rPr>
                <w:rFonts w:ascii="Lato" w:eastAsia="Times New Roman" w:hAnsi="Lato" w:cs="Times New Roman"/>
                <w:bCs/>
                <w:color w:val="C00000"/>
                <w:sz w:val="18"/>
                <w:szCs w:val="18"/>
                <w:lang w:eastAsia="pl-PL"/>
              </w:rPr>
              <w:t>Cel szczegółowy 3 / Priorytet 3</w:t>
            </w:r>
          </w:p>
        </w:tc>
      </w:tr>
      <w:tr w:rsidR="007B0E88" w:rsidRPr="007B0E88" w:rsidTr="007B0E88">
        <w:trPr>
          <w:trHeight w:val="2280"/>
          <w:jc w:val="right"/>
        </w:trPr>
        <w:tc>
          <w:tcPr>
            <w:tcW w:w="1200"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K_1</w:t>
            </w:r>
          </w:p>
        </w:tc>
        <w:tc>
          <w:tcPr>
            <w:tcW w:w="1417"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III (K.I.3.2)</w:t>
            </w:r>
          </w:p>
        </w:tc>
        <w:tc>
          <w:tcPr>
            <w:tcW w:w="1110"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kontekst</w:t>
            </w:r>
          </w:p>
        </w:tc>
        <w:tc>
          <w:tcPr>
            <w:tcW w:w="1781"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Łączny wolumen publikacji w bibliotekach szkolnych i pedagogicznych objętych wsparciem w ramach NPRCz 2.0. (z wyłączeniem podręczników).</w:t>
            </w:r>
          </w:p>
        </w:tc>
        <w:tc>
          <w:tcPr>
            <w:tcW w:w="1405" w:type="dxa"/>
            <w:shd w:val="clear" w:color="000000" w:fill="FFFFFF"/>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shd w:val="clear" w:color="000000" w:fill="FFFFFF"/>
            <w:vAlign w:val="center"/>
            <w:hideMark/>
          </w:tcPr>
          <w:p w:rsidR="007B0E88" w:rsidRPr="007B0E88" w:rsidRDefault="007B0E88" w:rsidP="007B0E88">
            <w:pPr>
              <w:spacing w:after="120"/>
              <w:jc w:val="right"/>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26,52 mln</w:t>
            </w:r>
          </w:p>
        </w:tc>
      </w:tr>
      <w:tr w:rsidR="007B0E88" w:rsidRPr="007B0E88" w:rsidTr="007B0E88">
        <w:trPr>
          <w:trHeight w:val="510"/>
          <w:jc w:val="right"/>
        </w:trPr>
        <w:tc>
          <w:tcPr>
            <w:tcW w:w="9005" w:type="dxa"/>
            <w:gridSpan w:val="7"/>
            <w:shd w:val="clear" w:color="auto" w:fill="auto"/>
            <w:vAlign w:val="center"/>
            <w:hideMark/>
          </w:tcPr>
          <w:p w:rsidR="007B0E88" w:rsidRPr="007B0E88" w:rsidRDefault="007B0E88" w:rsidP="007B0E88">
            <w:pPr>
              <w:spacing w:after="120"/>
              <w:rPr>
                <w:rFonts w:ascii="Lato" w:eastAsia="Times New Roman" w:hAnsi="Lato" w:cs="Times New Roman"/>
                <w:bCs/>
                <w:color w:val="C00000"/>
                <w:sz w:val="18"/>
                <w:szCs w:val="18"/>
                <w:lang w:eastAsia="pl-PL"/>
              </w:rPr>
            </w:pPr>
            <w:r w:rsidRPr="007B0E88">
              <w:rPr>
                <w:rFonts w:ascii="Lato" w:eastAsia="Times New Roman" w:hAnsi="Lato" w:cs="Times New Roman"/>
                <w:bCs/>
                <w:color w:val="C00000"/>
                <w:sz w:val="18"/>
                <w:szCs w:val="18"/>
                <w:lang w:eastAsia="pl-PL"/>
              </w:rPr>
              <w:t>Cel szczegółowy 4 / Priorytet 4</w:t>
            </w:r>
          </w:p>
        </w:tc>
      </w:tr>
      <w:tr w:rsidR="007B0E88" w:rsidRPr="007B0E88" w:rsidTr="007B0E88">
        <w:trPr>
          <w:trHeight w:val="552"/>
          <w:jc w:val="right"/>
        </w:trPr>
        <w:tc>
          <w:tcPr>
            <w:tcW w:w="1200"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RB_6</w:t>
            </w:r>
          </w:p>
        </w:tc>
        <w:tc>
          <w:tcPr>
            <w:tcW w:w="1417"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IV (K.I.4.2.)</w:t>
            </w:r>
          </w:p>
        </w:tc>
        <w:tc>
          <w:tcPr>
            <w:tcW w:w="1110"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rezultat bezpośredni</w:t>
            </w:r>
          </w:p>
        </w:tc>
        <w:tc>
          <w:tcPr>
            <w:tcW w:w="1781"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wskazań w mediach.</w:t>
            </w:r>
          </w:p>
        </w:tc>
        <w:tc>
          <w:tcPr>
            <w:tcW w:w="1405"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sprawozdanie operatora</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13,24 tys.</w:t>
            </w:r>
          </w:p>
        </w:tc>
      </w:tr>
      <w:tr w:rsidR="007B0E88" w:rsidRPr="007B0E88" w:rsidTr="007B0E88">
        <w:trPr>
          <w:trHeight w:val="1104"/>
          <w:jc w:val="right"/>
        </w:trPr>
        <w:tc>
          <w:tcPr>
            <w:tcW w:w="1200" w:type="dxa"/>
            <w:shd w:val="clear" w:color="auto" w:fill="auto"/>
            <w:noWrap/>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RB_8</w:t>
            </w:r>
          </w:p>
        </w:tc>
        <w:tc>
          <w:tcPr>
            <w:tcW w:w="1417"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P IV (K.I.4.1.)</w:t>
            </w:r>
          </w:p>
        </w:tc>
        <w:tc>
          <w:tcPr>
            <w:tcW w:w="1110"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rezultat bezpośredni</w:t>
            </w:r>
          </w:p>
        </w:tc>
        <w:tc>
          <w:tcPr>
            <w:tcW w:w="1781"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Liczba bezpośrednich odbiorców/ uczestników projektów edukacyjno-animacyjnych zrealizowanych w ramach partnerstw.</w:t>
            </w:r>
          </w:p>
        </w:tc>
        <w:tc>
          <w:tcPr>
            <w:tcW w:w="1405" w:type="dxa"/>
            <w:shd w:val="clear" w:color="auto" w:fill="auto"/>
            <w:vAlign w:val="center"/>
            <w:hideMark/>
          </w:tcPr>
          <w:p w:rsidR="007B0E88" w:rsidRPr="007B0E88" w:rsidRDefault="007B0E88" w:rsidP="007B0E88">
            <w:pPr>
              <w:spacing w:after="120"/>
              <w:rPr>
                <w:rFonts w:ascii="Lato" w:eastAsia="Times New Roman" w:hAnsi="Lato" w:cs="Times New Roman"/>
                <w:color w:val="000000"/>
                <w:sz w:val="18"/>
                <w:szCs w:val="18"/>
                <w:lang w:eastAsia="pl-PL"/>
              </w:rPr>
            </w:pPr>
            <w:r w:rsidRPr="007B0E88">
              <w:rPr>
                <w:rFonts w:ascii="Lato" w:eastAsia="Times New Roman" w:hAnsi="Lato"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rsidR="007B0E88" w:rsidRPr="007B0E88" w:rsidRDefault="007B0E88" w:rsidP="007B0E88">
            <w:pPr>
              <w:spacing w:after="120"/>
              <w:jc w:val="center"/>
              <w:rPr>
                <w:rFonts w:ascii="Lato" w:eastAsia="Times New Roman" w:hAnsi="Lato" w:cs="Times New Roman"/>
                <w:color w:val="000000"/>
                <w:sz w:val="18"/>
                <w:szCs w:val="18"/>
                <w:lang w:eastAsia="pl-PL"/>
              </w:rPr>
            </w:pPr>
            <w:r w:rsidRPr="007B0E88">
              <w:rPr>
                <w:rFonts w:ascii="Lato" w:hAnsi="Lato" w:cs="Calibri"/>
                <w:color w:val="000000"/>
                <w:sz w:val="18"/>
                <w:szCs w:val="18"/>
              </w:rPr>
              <w:t>48,53 tys.</w:t>
            </w:r>
          </w:p>
        </w:tc>
      </w:tr>
    </w:tbl>
    <w:p w:rsidR="007B0E88" w:rsidRPr="007B0E88" w:rsidRDefault="007B0E88" w:rsidP="007B0E88">
      <w:pPr>
        <w:rPr>
          <w:rFonts w:ascii="Lato" w:hAnsi="Lato"/>
          <w:sz w:val="24"/>
          <w:szCs w:val="16"/>
        </w:rPr>
      </w:pPr>
    </w:p>
    <w:p w:rsidR="007B0E88" w:rsidRPr="007B0E88" w:rsidRDefault="007B0E88" w:rsidP="007B0E88">
      <w:pPr>
        <w:spacing w:after="120"/>
        <w:ind w:left="284"/>
        <w:contextualSpacing/>
        <w:jc w:val="both"/>
        <w:rPr>
          <w:rFonts w:ascii="Calibri" w:eastAsia="Times New Roman" w:hAnsi="Calibri" w:cs="Times New Roman"/>
          <w:bCs/>
        </w:rPr>
        <w:sectPr w:rsidR="007B0E88" w:rsidRPr="007B0E88" w:rsidSect="007B0E88">
          <w:pgSz w:w="11906" w:h="16838"/>
          <w:pgMar w:top="1417" w:right="1417" w:bottom="1417" w:left="1417" w:header="708" w:footer="567" w:gutter="0"/>
          <w:cols w:space="708"/>
          <w:docGrid w:linePitch="360"/>
        </w:sectPr>
      </w:pPr>
    </w:p>
    <w:p w:rsidR="007B0E88" w:rsidRPr="007B0E88" w:rsidRDefault="007B0E88" w:rsidP="007B0E88">
      <w:pPr>
        <w:spacing w:after="120"/>
        <w:contextualSpacing/>
        <w:jc w:val="both"/>
        <w:rPr>
          <w:rFonts w:ascii="Lato" w:eastAsia="Times New Roman" w:hAnsi="Lato" w:cs="Times New Roman"/>
          <w:b/>
          <w:bCs/>
          <w:sz w:val="24"/>
          <w:szCs w:val="24"/>
        </w:rPr>
      </w:pPr>
      <w:r w:rsidRPr="007B0E88">
        <w:rPr>
          <w:rFonts w:ascii="Lato" w:eastAsia="Times New Roman" w:hAnsi="Lato" w:cs="Times New Roman"/>
          <w:b/>
          <w:bCs/>
          <w:sz w:val="24"/>
          <w:szCs w:val="24"/>
        </w:rPr>
        <w:lastRenderedPageBreak/>
        <w:t xml:space="preserve">Informacja o wykonaniu planu finansowego Programu w 2022 r. </w:t>
      </w:r>
    </w:p>
    <w:p w:rsidR="007B0E88" w:rsidRPr="007B0E88" w:rsidRDefault="007B0E88" w:rsidP="007B0E88">
      <w:pPr>
        <w:jc w:val="both"/>
        <w:rPr>
          <w:rFonts w:ascii="Lato" w:hAnsi="Lato"/>
          <w:sz w:val="24"/>
          <w:szCs w:val="16"/>
        </w:rPr>
      </w:pPr>
      <w:r w:rsidRPr="007B0E88">
        <w:rPr>
          <w:rFonts w:ascii="Lato" w:hAnsi="Lato"/>
          <w:sz w:val="24"/>
          <w:szCs w:val="16"/>
        </w:rPr>
        <w:t>Na realizację NPRCz 2.0 w 2022 r. zaplanowano kwotę 152.083 tyś zł, wydatkowano zaś 136.080 tyś zł. Stopień finasowania Programu wyniósł 89,5% planu. W roku 2022 z powodu niewydatkowania środków w budżetach Priorytetu 1 i 2 dokonano ich blokady w wysokości - 13. 681.950 zł. Szczegółowe zestawienie danych przestawia tabela poniżej:</w:t>
      </w:r>
      <w:r w:rsidRPr="007B0E88">
        <w:rPr>
          <w:rFonts w:ascii="Lato" w:hAnsi="Lato"/>
          <w:sz w:val="24"/>
          <w:szCs w:val="16"/>
        </w:rPr>
        <w:tab/>
      </w:r>
      <w:r w:rsidRPr="007B0E88">
        <w:rPr>
          <w:rFonts w:ascii="Lato" w:hAnsi="Lato"/>
          <w:sz w:val="24"/>
          <w:szCs w:val="16"/>
        </w:rPr>
        <w:tab/>
      </w:r>
    </w:p>
    <w:p w:rsidR="007B0E88" w:rsidRPr="00731DF0" w:rsidRDefault="007B0E88" w:rsidP="007B0E88">
      <w:pPr>
        <w:keepNext/>
        <w:spacing w:after="200" w:line="240" w:lineRule="auto"/>
        <w:rPr>
          <w:rFonts w:ascii="Lato" w:hAnsi="Lato"/>
          <w:iCs/>
          <w:sz w:val="20"/>
          <w:szCs w:val="20"/>
          <w:u w:val="single"/>
        </w:rPr>
      </w:pPr>
      <w:r w:rsidRPr="00731DF0">
        <w:rPr>
          <w:rFonts w:ascii="Lato" w:hAnsi="Lato"/>
          <w:iCs/>
          <w:sz w:val="20"/>
          <w:szCs w:val="20"/>
          <w:u w:val="single"/>
        </w:rPr>
        <w:t>Tabela: Informacja o wykonaniu planu finansowego NPRCz za 2022 r. - stan na dzień 31.12.2022 z uwzględnieniem okresu przejściowego</w:t>
      </w:r>
      <w:r w:rsidRPr="00731DF0" w:rsidDel="002038C0">
        <w:rPr>
          <w:rFonts w:ascii="Lato" w:hAnsi="Lato"/>
          <w:iCs/>
          <w:sz w:val="20"/>
          <w:szCs w:val="20"/>
          <w:u w:val="single"/>
        </w:rPr>
        <w:t xml:space="preserve"> </w:t>
      </w:r>
    </w:p>
    <w:tbl>
      <w:tblPr>
        <w:tblW w:w="13158" w:type="dxa"/>
        <w:tblInd w:w="70" w:type="dxa"/>
        <w:tblCellMar>
          <w:left w:w="70" w:type="dxa"/>
          <w:right w:w="70" w:type="dxa"/>
        </w:tblCellMar>
        <w:tblLook w:val="04A0" w:firstRow="1" w:lastRow="0" w:firstColumn="1" w:lastColumn="0" w:noHBand="0" w:noVBand="1"/>
      </w:tblPr>
      <w:tblGrid>
        <w:gridCol w:w="960"/>
        <w:gridCol w:w="3200"/>
        <w:gridCol w:w="1120"/>
        <w:gridCol w:w="1120"/>
        <w:gridCol w:w="1120"/>
        <w:gridCol w:w="1120"/>
        <w:gridCol w:w="1120"/>
        <w:gridCol w:w="1120"/>
        <w:gridCol w:w="1142"/>
        <w:gridCol w:w="1136"/>
      </w:tblGrid>
      <w:tr w:rsidR="007B0E88" w:rsidRPr="007B0E88" w:rsidTr="00731DF0">
        <w:trPr>
          <w:trHeight w:val="276"/>
          <w:tblHeader/>
        </w:trPr>
        <w:tc>
          <w:tcPr>
            <w:tcW w:w="960" w:type="dxa"/>
            <w:tcBorders>
              <w:bottom w:val="single" w:sz="4" w:space="0" w:color="auto"/>
            </w:tcBorders>
            <w:shd w:val="clear" w:color="auto" w:fill="auto"/>
            <w:noWrap/>
            <w:vAlign w:val="bottom"/>
            <w:hideMark/>
          </w:tcPr>
          <w:p w:rsidR="007B0E88" w:rsidRPr="007B0E88" w:rsidRDefault="007B0E88" w:rsidP="007B0E88">
            <w:pPr>
              <w:spacing w:after="120"/>
              <w:rPr>
                <w:rFonts w:ascii="Lato" w:eastAsia="Times New Roman" w:hAnsi="Lato" w:cs="Times New Roman"/>
                <w:sz w:val="20"/>
                <w:szCs w:val="20"/>
                <w:lang w:eastAsia="pl-PL"/>
              </w:rPr>
            </w:pPr>
          </w:p>
        </w:tc>
        <w:tc>
          <w:tcPr>
            <w:tcW w:w="3200" w:type="dxa"/>
            <w:tcBorders>
              <w:bottom w:val="single" w:sz="4" w:space="0" w:color="auto"/>
            </w:tcBorders>
            <w:shd w:val="clear" w:color="auto" w:fill="auto"/>
            <w:noWrap/>
            <w:vAlign w:val="bottom"/>
            <w:hideMark/>
          </w:tcPr>
          <w:p w:rsidR="007B0E88" w:rsidRPr="007B0E88" w:rsidRDefault="007B0E88" w:rsidP="007B0E88">
            <w:pPr>
              <w:spacing w:after="120"/>
              <w:rPr>
                <w:rFonts w:ascii="Lato" w:eastAsia="Times New Roman" w:hAnsi="Lato" w:cs="Times New Roman"/>
                <w:sz w:val="20"/>
                <w:szCs w:val="20"/>
                <w:lang w:eastAsia="pl-PL"/>
              </w:rPr>
            </w:pPr>
          </w:p>
        </w:tc>
        <w:tc>
          <w:tcPr>
            <w:tcW w:w="1120" w:type="dxa"/>
            <w:tcBorders>
              <w:bottom w:val="single" w:sz="4" w:space="0" w:color="auto"/>
            </w:tcBorders>
            <w:shd w:val="clear" w:color="auto" w:fill="auto"/>
            <w:noWrap/>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p>
        </w:tc>
        <w:tc>
          <w:tcPr>
            <w:tcW w:w="1120" w:type="dxa"/>
            <w:tcBorders>
              <w:bottom w:val="single" w:sz="4" w:space="0" w:color="auto"/>
            </w:tcBorders>
            <w:shd w:val="clear" w:color="auto" w:fill="auto"/>
            <w:noWrap/>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p>
        </w:tc>
        <w:tc>
          <w:tcPr>
            <w:tcW w:w="1120" w:type="dxa"/>
            <w:tcBorders>
              <w:bottom w:val="single" w:sz="4" w:space="0" w:color="auto"/>
            </w:tcBorders>
            <w:shd w:val="clear" w:color="auto" w:fill="auto"/>
            <w:noWrap/>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p>
        </w:tc>
        <w:tc>
          <w:tcPr>
            <w:tcW w:w="1120" w:type="dxa"/>
            <w:tcBorders>
              <w:bottom w:val="single" w:sz="4" w:space="0" w:color="auto"/>
            </w:tcBorders>
            <w:shd w:val="clear" w:color="auto" w:fill="auto"/>
            <w:noWrap/>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p>
        </w:tc>
        <w:tc>
          <w:tcPr>
            <w:tcW w:w="1120" w:type="dxa"/>
            <w:tcBorders>
              <w:bottom w:val="single" w:sz="4" w:space="0" w:color="auto"/>
            </w:tcBorders>
            <w:shd w:val="clear" w:color="auto" w:fill="auto"/>
            <w:noWrap/>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p>
        </w:tc>
        <w:tc>
          <w:tcPr>
            <w:tcW w:w="1120" w:type="dxa"/>
            <w:tcBorders>
              <w:bottom w:val="single" w:sz="4" w:space="0" w:color="auto"/>
            </w:tcBorders>
            <w:shd w:val="clear" w:color="auto" w:fill="auto"/>
            <w:noWrap/>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p>
        </w:tc>
        <w:tc>
          <w:tcPr>
            <w:tcW w:w="1142" w:type="dxa"/>
            <w:tcBorders>
              <w:bottom w:val="single" w:sz="4" w:space="0" w:color="auto"/>
            </w:tcBorders>
            <w:shd w:val="clear" w:color="auto" w:fill="auto"/>
            <w:noWrap/>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w tys. zł</w:t>
            </w:r>
          </w:p>
        </w:tc>
        <w:tc>
          <w:tcPr>
            <w:tcW w:w="1136" w:type="dxa"/>
            <w:tcBorders>
              <w:bottom w:val="single" w:sz="4" w:space="0" w:color="auto"/>
            </w:tcBorders>
            <w:shd w:val="clear" w:color="auto" w:fill="auto"/>
            <w:noWrap/>
            <w:vAlign w:val="center"/>
            <w:hideMark/>
          </w:tcPr>
          <w:p w:rsidR="007B0E88" w:rsidRPr="007B0E88" w:rsidRDefault="007B0E88" w:rsidP="007B0E88">
            <w:pPr>
              <w:spacing w:after="120"/>
              <w:jc w:val="center"/>
              <w:rPr>
                <w:rFonts w:ascii="Lato" w:eastAsia="Times New Roman" w:hAnsi="Lato" w:cs="Times New Roman"/>
                <w:b/>
                <w:sz w:val="20"/>
                <w:szCs w:val="20"/>
                <w:lang w:eastAsia="pl-PL"/>
              </w:rPr>
            </w:pPr>
          </w:p>
        </w:tc>
      </w:tr>
      <w:tr w:rsidR="007B0E88" w:rsidRPr="007B0E88" w:rsidTr="00731DF0">
        <w:trPr>
          <w:trHeight w:val="408"/>
          <w:tblHeader/>
        </w:trPr>
        <w:tc>
          <w:tcPr>
            <w:tcW w:w="4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jc w:val="center"/>
              <w:rPr>
                <w:rFonts w:ascii="Lato" w:eastAsia="Times New Roman" w:hAnsi="Lato" w:cs="Times New Roman"/>
                <w:bCs/>
                <w:sz w:val="20"/>
                <w:szCs w:val="20"/>
                <w:lang w:eastAsia="pl-PL"/>
              </w:rPr>
            </w:pPr>
            <w:r w:rsidRPr="007B0E88">
              <w:rPr>
                <w:rFonts w:ascii="Lato" w:eastAsia="Times New Roman" w:hAnsi="Lato" w:cs="Times New Roman"/>
                <w:bCs/>
                <w:sz w:val="20"/>
                <w:szCs w:val="20"/>
                <w:lang w:eastAsia="pl-PL"/>
              </w:rPr>
              <w:t>Wyszczególnienie</w:t>
            </w:r>
          </w:p>
        </w:tc>
        <w:tc>
          <w:tcPr>
            <w:tcW w:w="5600" w:type="dxa"/>
            <w:gridSpan w:val="5"/>
            <w:tcBorders>
              <w:top w:val="single" w:sz="4" w:space="0" w:color="auto"/>
              <w:left w:val="single" w:sz="4" w:space="0" w:color="auto"/>
              <w:bottom w:val="single" w:sz="4" w:space="0" w:color="auto"/>
              <w:right w:val="single" w:sz="4" w:space="0" w:color="auto"/>
            </w:tcBorders>
            <w:shd w:val="clear" w:color="000000" w:fill="E6B8B7"/>
            <w:vAlign w:val="center"/>
            <w:hideMark/>
          </w:tcPr>
          <w:p w:rsidR="007B0E88" w:rsidRPr="007B0E88" w:rsidRDefault="007B0E88" w:rsidP="007B0E88">
            <w:pPr>
              <w:spacing w:after="120"/>
              <w:jc w:val="center"/>
              <w:rPr>
                <w:rFonts w:ascii="Lato" w:eastAsia="Times New Roman" w:hAnsi="Lato" w:cs="Times New Roman"/>
                <w:bCs/>
                <w:sz w:val="20"/>
                <w:szCs w:val="20"/>
                <w:lang w:eastAsia="pl-PL"/>
              </w:rPr>
            </w:pPr>
            <w:r w:rsidRPr="007B0E88">
              <w:rPr>
                <w:rFonts w:ascii="Lato" w:eastAsia="Times New Roman" w:hAnsi="Lato" w:cs="Times New Roman"/>
                <w:bCs/>
                <w:sz w:val="20"/>
                <w:szCs w:val="20"/>
                <w:lang w:eastAsia="pl-PL"/>
              </w:rPr>
              <w:t>Środki budżetu państwa</w:t>
            </w:r>
          </w:p>
        </w:tc>
        <w:tc>
          <w:tcPr>
            <w:tcW w:w="2262" w:type="dxa"/>
            <w:gridSpan w:val="2"/>
            <w:vMerge w:val="restart"/>
            <w:tcBorders>
              <w:top w:val="single" w:sz="4" w:space="0" w:color="auto"/>
              <w:left w:val="single" w:sz="4" w:space="0" w:color="auto"/>
              <w:bottom w:val="single" w:sz="4" w:space="0" w:color="auto"/>
              <w:right w:val="single" w:sz="4" w:space="0" w:color="auto"/>
            </w:tcBorders>
            <w:shd w:val="clear" w:color="000000" w:fill="B7DEE8"/>
            <w:vAlign w:val="center"/>
            <w:hideMark/>
          </w:tcPr>
          <w:p w:rsidR="007B0E88" w:rsidRPr="007B0E88" w:rsidRDefault="007B0E88" w:rsidP="007B0E88">
            <w:pPr>
              <w:spacing w:after="120"/>
              <w:jc w:val="center"/>
              <w:rPr>
                <w:rFonts w:ascii="Lato" w:eastAsia="Times New Roman" w:hAnsi="Lato" w:cs="Times New Roman"/>
                <w:bCs/>
                <w:sz w:val="20"/>
                <w:szCs w:val="20"/>
                <w:lang w:eastAsia="pl-PL"/>
              </w:rPr>
            </w:pPr>
            <w:r w:rsidRPr="007B0E88">
              <w:rPr>
                <w:rFonts w:ascii="Lato" w:eastAsia="Times New Roman" w:hAnsi="Lato" w:cs="Times New Roman"/>
                <w:bCs/>
                <w:sz w:val="20"/>
                <w:szCs w:val="20"/>
                <w:lang w:eastAsia="pl-PL"/>
              </w:rPr>
              <w:t>Wkład własny</w:t>
            </w:r>
            <w:r w:rsidRPr="007B0E88">
              <w:rPr>
                <w:rFonts w:ascii="Lato" w:eastAsia="Times New Roman" w:hAnsi="Lato" w:cs="Times New Roman"/>
                <w:bCs/>
                <w:sz w:val="20"/>
                <w:szCs w:val="20"/>
                <w:lang w:eastAsia="pl-PL"/>
              </w:rPr>
              <w:br/>
              <w:t>beneficjentów</w:t>
            </w:r>
          </w:p>
        </w:tc>
        <w:tc>
          <w:tcPr>
            <w:tcW w:w="1136" w:type="dxa"/>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rsidR="007B0E88" w:rsidRPr="007B0E88" w:rsidRDefault="007B0E88" w:rsidP="007B0E88">
            <w:pPr>
              <w:spacing w:after="120"/>
              <w:jc w:val="center"/>
              <w:rPr>
                <w:rFonts w:ascii="Lato" w:eastAsia="Times New Roman" w:hAnsi="Lato" w:cs="Times New Roman"/>
                <w:bCs/>
                <w:sz w:val="20"/>
                <w:szCs w:val="20"/>
                <w:lang w:eastAsia="pl-PL"/>
              </w:rPr>
            </w:pPr>
            <w:r w:rsidRPr="007B0E88">
              <w:rPr>
                <w:rFonts w:ascii="Lato" w:eastAsia="Times New Roman" w:hAnsi="Lato" w:cs="Times New Roman"/>
                <w:bCs/>
                <w:sz w:val="20"/>
                <w:szCs w:val="20"/>
                <w:lang w:eastAsia="pl-PL"/>
              </w:rPr>
              <w:t xml:space="preserve">Stopień realizacji 4/3 (w%) </w:t>
            </w:r>
          </w:p>
        </w:tc>
      </w:tr>
      <w:tr w:rsidR="007B0E88" w:rsidRPr="007B0E88" w:rsidTr="00731DF0">
        <w:trPr>
          <w:trHeight w:val="360"/>
          <w:tblHeader/>
        </w:trPr>
        <w:tc>
          <w:tcPr>
            <w:tcW w:w="4160" w:type="dxa"/>
            <w:gridSpan w:val="2"/>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bCs/>
                <w:sz w:val="20"/>
                <w:szCs w:val="20"/>
                <w:lang w:eastAsia="pl-PL"/>
              </w:rPr>
            </w:pPr>
          </w:p>
        </w:tc>
        <w:tc>
          <w:tcPr>
            <w:tcW w:w="2240" w:type="dxa"/>
            <w:gridSpan w:val="2"/>
            <w:tcBorders>
              <w:top w:val="single" w:sz="4" w:space="0" w:color="auto"/>
              <w:left w:val="single" w:sz="4" w:space="0" w:color="auto"/>
              <w:bottom w:val="single" w:sz="4" w:space="0" w:color="auto"/>
              <w:right w:val="single" w:sz="4" w:space="0" w:color="auto"/>
            </w:tcBorders>
            <w:shd w:val="clear" w:color="000000" w:fill="DA9694"/>
            <w:vAlign w:val="center"/>
            <w:hideMark/>
          </w:tcPr>
          <w:p w:rsidR="007B0E88" w:rsidRPr="007B0E88" w:rsidRDefault="007B0E88" w:rsidP="007B0E88">
            <w:pPr>
              <w:spacing w:after="120"/>
              <w:jc w:val="center"/>
              <w:rPr>
                <w:rFonts w:ascii="Lato" w:eastAsia="Times New Roman" w:hAnsi="Lato" w:cs="Times New Roman"/>
                <w:bCs/>
                <w:sz w:val="20"/>
                <w:szCs w:val="20"/>
                <w:lang w:eastAsia="pl-PL"/>
              </w:rPr>
            </w:pPr>
            <w:r w:rsidRPr="007B0E88">
              <w:rPr>
                <w:rFonts w:ascii="Lato" w:eastAsia="Times New Roman" w:hAnsi="Lato" w:cs="Times New Roman"/>
                <w:bCs/>
                <w:sz w:val="20"/>
                <w:szCs w:val="20"/>
                <w:lang w:eastAsia="pl-PL"/>
              </w:rPr>
              <w:t xml:space="preserve">Plan </w:t>
            </w:r>
          </w:p>
        </w:tc>
        <w:tc>
          <w:tcPr>
            <w:tcW w:w="3360" w:type="dxa"/>
            <w:gridSpan w:val="3"/>
            <w:tcBorders>
              <w:top w:val="single" w:sz="4" w:space="0" w:color="auto"/>
              <w:left w:val="single" w:sz="4" w:space="0" w:color="auto"/>
              <w:bottom w:val="single" w:sz="4" w:space="0" w:color="auto"/>
              <w:right w:val="single" w:sz="4" w:space="0" w:color="auto"/>
            </w:tcBorders>
            <w:shd w:val="clear" w:color="000000" w:fill="CE7270"/>
            <w:vAlign w:val="center"/>
            <w:hideMark/>
          </w:tcPr>
          <w:p w:rsidR="007B0E88" w:rsidRPr="007B0E88" w:rsidRDefault="007B0E88" w:rsidP="007B0E88">
            <w:pPr>
              <w:spacing w:after="120"/>
              <w:jc w:val="center"/>
              <w:rPr>
                <w:rFonts w:ascii="Lato" w:eastAsia="Times New Roman" w:hAnsi="Lato" w:cs="Times New Roman"/>
                <w:bCs/>
                <w:sz w:val="20"/>
                <w:szCs w:val="20"/>
                <w:lang w:eastAsia="pl-PL"/>
              </w:rPr>
            </w:pPr>
            <w:r w:rsidRPr="007B0E88">
              <w:rPr>
                <w:rFonts w:ascii="Lato" w:eastAsia="Times New Roman" w:hAnsi="Lato" w:cs="Times New Roman"/>
                <w:bCs/>
                <w:sz w:val="20"/>
                <w:szCs w:val="20"/>
                <w:lang w:eastAsia="pl-PL"/>
              </w:rPr>
              <w:t>Wykonanie</w:t>
            </w:r>
          </w:p>
        </w:tc>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bCs/>
                <w:sz w:val="20"/>
                <w:szCs w:val="20"/>
                <w:lang w:eastAsia="pl-PL"/>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bCs/>
                <w:sz w:val="20"/>
                <w:szCs w:val="20"/>
                <w:lang w:eastAsia="pl-PL"/>
              </w:rPr>
            </w:pPr>
          </w:p>
        </w:tc>
      </w:tr>
      <w:tr w:rsidR="007B0E88" w:rsidRPr="007B0E88" w:rsidTr="00731DF0">
        <w:trPr>
          <w:trHeight w:val="336"/>
          <w:tblHeader/>
        </w:trPr>
        <w:tc>
          <w:tcPr>
            <w:tcW w:w="4160" w:type="dxa"/>
            <w:gridSpan w:val="2"/>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bCs/>
                <w:sz w:val="20"/>
                <w:szCs w:val="20"/>
                <w:lang w:eastAsia="pl-PL"/>
              </w:rPr>
            </w:pP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DA9694"/>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wg uchwały RM</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DA9694"/>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po zmianie</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CE7270"/>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ogółem</w:t>
            </w:r>
          </w:p>
        </w:tc>
        <w:tc>
          <w:tcPr>
            <w:tcW w:w="2240" w:type="dxa"/>
            <w:gridSpan w:val="2"/>
            <w:tcBorders>
              <w:top w:val="single" w:sz="4" w:space="0" w:color="auto"/>
              <w:left w:val="single" w:sz="4" w:space="0" w:color="auto"/>
              <w:bottom w:val="single" w:sz="4" w:space="0" w:color="auto"/>
              <w:right w:val="single" w:sz="4" w:space="0" w:color="auto"/>
            </w:tcBorders>
            <w:shd w:val="clear" w:color="000000" w:fill="CE7270"/>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z tego:</w:t>
            </w:r>
          </w:p>
        </w:tc>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bCs/>
                <w:sz w:val="20"/>
                <w:szCs w:val="20"/>
                <w:lang w:eastAsia="pl-PL"/>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bCs/>
                <w:sz w:val="20"/>
                <w:szCs w:val="20"/>
                <w:lang w:eastAsia="pl-PL"/>
              </w:rPr>
            </w:pPr>
          </w:p>
        </w:tc>
      </w:tr>
      <w:tr w:rsidR="007B0E88" w:rsidRPr="007B0E88" w:rsidTr="00731DF0">
        <w:trPr>
          <w:trHeight w:val="804"/>
          <w:tblHeader/>
        </w:trPr>
        <w:tc>
          <w:tcPr>
            <w:tcW w:w="4160" w:type="dxa"/>
            <w:gridSpan w:val="2"/>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bCs/>
                <w:sz w:val="20"/>
                <w:szCs w:val="20"/>
                <w:lang w:eastAsia="pl-PL"/>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sz w:val="20"/>
                <w:szCs w:val="20"/>
                <w:lang w:eastAsia="pl-PL"/>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sz w:val="20"/>
                <w:szCs w:val="20"/>
                <w:lang w:eastAsia="pl-PL"/>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sz w:val="20"/>
                <w:szCs w:val="20"/>
                <w:lang w:eastAsia="pl-PL"/>
              </w:rPr>
            </w:pPr>
          </w:p>
        </w:tc>
        <w:tc>
          <w:tcPr>
            <w:tcW w:w="1120" w:type="dxa"/>
            <w:tcBorders>
              <w:top w:val="single" w:sz="4" w:space="0" w:color="auto"/>
              <w:left w:val="single" w:sz="4" w:space="0" w:color="auto"/>
              <w:bottom w:val="single" w:sz="4" w:space="0" w:color="auto"/>
              <w:right w:val="single" w:sz="4" w:space="0" w:color="auto"/>
            </w:tcBorders>
            <w:shd w:val="clear" w:color="000000" w:fill="CE7270"/>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wydatki bieżące</w:t>
            </w:r>
          </w:p>
        </w:tc>
        <w:tc>
          <w:tcPr>
            <w:tcW w:w="1120" w:type="dxa"/>
            <w:tcBorders>
              <w:top w:val="single" w:sz="4" w:space="0" w:color="auto"/>
              <w:left w:val="single" w:sz="4" w:space="0" w:color="auto"/>
              <w:bottom w:val="single" w:sz="4" w:space="0" w:color="auto"/>
              <w:right w:val="single" w:sz="4" w:space="0" w:color="auto"/>
            </w:tcBorders>
            <w:shd w:val="clear" w:color="000000" w:fill="CE7270"/>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wydatki</w:t>
            </w:r>
            <w:r w:rsidRPr="007B0E88">
              <w:rPr>
                <w:rFonts w:ascii="Lato" w:eastAsia="Times New Roman" w:hAnsi="Lato" w:cs="Times New Roman"/>
                <w:sz w:val="20"/>
                <w:szCs w:val="20"/>
                <w:lang w:eastAsia="pl-PL"/>
              </w:rPr>
              <w:br/>
              <w:t>majątkowe</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Plan (wg</w:t>
            </w:r>
            <w:r w:rsidRPr="007B0E88">
              <w:rPr>
                <w:rFonts w:ascii="Lato" w:eastAsia="Times New Roman" w:hAnsi="Lato" w:cs="Times New Roman"/>
                <w:sz w:val="20"/>
                <w:szCs w:val="20"/>
                <w:lang w:eastAsia="pl-PL"/>
              </w:rPr>
              <w:br/>
              <w:t>uchwały RM)</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Wykonanie</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bCs/>
                <w:sz w:val="20"/>
                <w:szCs w:val="20"/>
                <w:lang w:eastAsia="pl-PL"/>
              </w:rPr>
            </w:pPr>
          </w:p>
        </w:tc>
      </w:tr>
      <w:tr w:rsidR="007B0E88" w:rsidRPr="007B0E88" w:rsidTr="00731DF0">
        <w:trPr>
          <w:trHeight w:val="276"/>
          <w:tblHeader/>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1</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7</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8</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9</w:t>
            </w:r>
          </w:p>
        </w:tc>
      </w:tr>
      <w:tr w:rsidR="007B0E88" w:rsidRPr="007B0E88" w:rsidTr="00731DF0">
        <w:trPr>
          <w:trHeight w:val="432"/>
        </w:trPr>
        <w:tc>
          <w:tcPr>
            <w:tcW w:w="4160" w:type="dxa"/>
            <w:gridSpan w:val="2"/>
            <w:tcBorders>
              <w:top w:val="single" w:sz="4" w:space="0" w:color="auto"/>
              <w:left w:val="single" w:sz="4" w:space="0" w:color="auto"/>
              <w:bottom w:val="single" w:sz="4" w:space="0" w:color="auto"/>
              <w:right w:val="single" w:sz="4" w:space="0" w:color="auto"/>
            </w:tcBorders>
            <w:shd w:val="clear" w:color="000000" w:fill="8DB4E2"/>
            <w:vAlign w:val="center"/>
            <w:hideMark/>
          </w:tcPr>
          <w:p w:rsidR="007B0E88" w:rsidRPr="007B0E88" w:rsidRDefault="007B0E88" w:rsidP="007B0E88">
            <w:pPr>
              <w:spacing w:after="120"/>
              <w:rPr>
                <w:rFonts w:ascii="Lato" w:eastAsia="Times New Roman" w:hAnsi="Lato" w:cs="Times New Roman"/>
                <w:bCs/>
                <w:sz w:val="24"/>
                <w:szCs w:val="16"/>
                <w:lang w:eastAsia="pl-PL"/>
              </w:rPr>
            </w:pPr>
            <w:r w:rsidRPr="007B0E88">
              <w:rPr>
                <w:rFonts w:ascii="Lato" w:eastAsia="Times New Roman" w:hAnsi="Lato" w:cs="Times New Roman"/>
                <w:bCs/>
                <w:sz w:val="24"/>
                <w:szCs w:val="16"/>
                <w:lang w:eastAsia="pl-PL"/>
              </w:rPr>
              <w:t>RAZEM</w:t>
            </w:r>
          </w:p>
        </w:tc>
        <w:tc>
          <w:tcPr>
            <w:tcW w:w="1120" w:type="dxa"/>
            <w:tcBorders>
              <w:top w:val="single" w:sz="4" w:space="0" w:color="auto"/>
              <w:left w:val="single" w:sz="4" w:space="0" w:color="auto"/>
              <w:bottom w:val="single" w:sz="4" w:space="0" w:color="auto"/>
              <w:right w:val="single" w:sz="4" w:space="0" w:color="auto"/>
            </w:tcBorders>
            <w:shd w:val="clear" w:color="000000" w:fill="8DB4E2"/>
            <w:noWrap/>
            <w:vAlign w:val="center"/>
          </w:tcPr>
          <w:p w:rsidR="007B0E88" w:rsidRPr="007B0E88" w:rsidRDefault="007B0E88" w:rsidP="007B0E88">
            <w:pPr>
              <w:spacing w:after="120"/>
              <w:jc w:val="right"/>
              <w:rPr>
                <w:rFonts w:ascii="Lato" w:eastAsia="Times New Roman" w:hAnsi="Lato" w:cs="Times New Roman"/>
                <w:bCs/>
                <w:sz w:val="24"/>
                <w:szCs w:val="16"/>
                <w:lang w:eastAsia="pl-PL"/>
              </w:rPr>
            </w:pPr>
            <w:r w:rsidRPr="007B0E88">
              <w:rPr>
                <w:rFonts w:ascii="Lato" w:eastAsia="Times New Roman" w:hAnsi="Lato" w:cs="Times New Roman"/>
                <w:bCs/>
                <w:sz w:val="24"/>
                <w:szCs w:val="16"/>
                <w:lang w:eastAsia="pl-PL"/>
              </w:rPr>
              <w:t>152 083</w:t>
            </w:r>
          </w:p>
        </w:tc>
        <w:tc>
          <w:tcPr>
            <w:tcW w:w="1120" w:type="dxa"/>
            <w:tcBorders>
              <w:top w:val="single" w:sz="4" w:space="0" w:color="auto"/>
              <w:left w:val="single" w:sz="4" w:space="0" w:color="auto"/>
              <w:bottom w:val="single" w:sz="4" w:space="0" w:color="auto"/>
              <w:right w:val="single" w:sz="4" w:space="0" w:color="auto"/>
            </w:tcBorders>
            <w:shd w:val="clear" w:color="000000" w:fill="8DB4E2"/>
            <w:noWrap/>
            <w:vAlign w:val="center"/>
          </w:tcPr>
          <w:p w:rsidR="007B0E88" w:rsidRPr="007B0E88" w:rsidRDefault="007B0E88" w:rsidP="007B0E88">
            <w:pPr>
              <w:spacing w:after="120"/>
              <w:jc w:val="right"/>
              <w:rPr>
                <w:rFonts w:ascii="Lato" w:eastAsia="Times New Roman" w:hAnsi="Lato" w:cs="Times New Roman"/>
                <w:bCs/>
                <w:sz w:val="24"/>
                <w:szCs w:val="16"/>
                <w:lang w:eastAsia="pl-PL"/>
              </w:rPr>
            </w:pPr>
            <w:r w:rsidRPr="007B0E88">
              <w:rPr>
                <w:rFonts w:ascii="Lato" w:eastAsia="Times New Roman" w:hAnsi="Lato" w:cs="Times New Roman"/>
                <w:bCs/>
                <w:sz w:val="24"/>
                <w:szCs w:val="16"/>
                <w:lang w:eastAsia="pl-PL"/>
              </w:rPr>
              <w:t>152 083</w:t>
            </w:r>
          </w:p>
        </w:tc>
        <w:tc>
          <w:tcPr>
            <w:tcW w:w="1120" w:type="dxa"/>
            <w:tcBorders>
              <w:top w:val="single" w:sz="4" w:space="0" w:color="auto"/>
              <w:left w:val="single" w:sz="4" w:space="0" w:color="auto"/>
              <w:bottom w:val="single" w:sz="4" w:space="0" w:color="auto"/>
              <w:right w:val="single" w:sz="4" w:space="0" w:color="auto"/>
            </w:tcBorders>
            <w:shd w:val="clear" w:color="000000" w:fill="8DB4E2"/>
            <w:noWrap/>
            <w:vAlign w:val="center"/>
          </w:tcPr>
          <w:p w:rsidR="007B0E88" w:rsidRPr="007B0E88" w:rsidRDefault="007B0E88" w:rsidP="007B0E88">
            <w:pPr>
              <w:spacing w:after="120"/>
              <w:jc w:val="right"/>
              <w:rPr>
                <w:rFonts w:ascii="Lato" w:eastAsia="Times New Roman" w:hAnsi="Lato" w:cs="Times New Roman"/>
                <w:bCs/>
                <w:sz w:val="24"/>
                <w:szCs w:val="16"/>
                <w:lang w:eastAsia="pl-PL"/>
              </w:rPr>
            </w:pPr>
            <w:r w:rsidRPr="007B0E88">
              <w:rPr>
                <w:rFonts w:ascii="Lato" w:eastAsia="Times New Roman" w:hAnsi="Lato" w:cs="Times New Roman"/>
                <w:bCs/>
                <w:sz w:val="24"/>
                <w:szCs w:val="16"/>
                <w:lang w:eastAsia="pl-PL"/>
              </w:rPr>
              <w:t>136 080</w:t>
            </w:r>
          </w:p>
        </w:tc>
        <w:tc>
          <w:tcPr>
            <w:tcW w:w="1120" w:type="dxa"/>
            <w:tcBorders>
              <w:top w:val="single" w:sz="4" w:space="0" w:color="auto"/>
              <w:left w:val="single" w:sz="4" w:space="0" w:color="auto"/>
              <w:bottom w:val="single" w:sz="4" w:space="0" w:color="auto"/>
              <w:right w:val="single" w:sz="4" w:space="0" w:color="auto"/>
            </w:tcBorders>
            <w:shd w:val="clear" w:color="000000" w:fill="8DB4E2"/>
            <w:noWrap/>
            <w:vAlign w:val="center"/>
          </w:tcPr>
          <w:p w:rsidR="007B0E88" w:rsidRPr="007B0E88" w:rsidRDefault="007B0E88" w:rsidP="007B0E88">
            <w:pPr>
              <w:spacing w:after="120"/>
              <w:jc w:val="right"/>
              <w:rPr>
                <w:rFonts w:ascii="Lato" w:eastAsia="Times New Roman" w:hAnsi="Lato" w:cs="Times New Roman"/>
                <w:bCs/>
                <w:sz w:val="24"/>
                <w:szCs w:val="16"/>
                <w:lang w:eastAsia="pl-PL"/>
              </w:rPr>
            </w:pPr>
            <w:r w:rsidRPr="007B0E88">
              <w:rPr>
                <w:rFonts w:ascii="Lato" w:eastAsia="Times New Roman" w:hAnsi="Lato" w:cs="Times New Roman"/>
                <w:bCs/>
                <w:sz w:val="24"/>
                <w:szCs w:val="16"/>
                <w:lang w:eastAsia="pl-PL"/>
              </w:rPr>
              <w:t>81 746</w:t>
            </w:r>
          </w:p>
        </w:tc>
        <w:tc>
          <w:tcPr>
            <w:tcW w:w="1120" w:type="dxa"/>
            <w:tcBorders>
              <w:top w:val="single" w:sz="4" w:space="0" w:color="auto"/>
              <w:left w:val="single" w:sz="4" w:space="0" w:color="auto"/>
              <w:bottom w:val="single" w:sz="4" w:space="0" w:color="auto"/>
              <w:right w:val="single" w:sz="4" w:space="0" w:color="auto"/>
            </w:tcBorders>
            <w:shd w:val="clear" w:color="000000" w:fill="8DB4E2"/>
            <w:noWrap/>
            <w:vAlign w:val="center"/>
          </w:tcPr>
          <w:p w:rsidR="007B0E88" w:rsidRPr="007B0E88" w:rsidRDefault="007B0E88" w:rsidP="007B0E88">
            <w:pPr>
              <w:spacing w:after="120"/>
              <w:jc w:val="right"/>
              <w:rPr>
                <w:rFonts w:ascii="Lato" w:eastAsia="Times New Roman" w:hAnsi="Lato" w:cs="Times New Roman"/>
                <w:bCs/>
                <w:sz w:val="24"/>
                <w:szCs w:val="16"/>
                <w:lang w:eastAsia="pl-PL"/>
              </w:rPr>
            </w:pPr>
            <w:r w:rsidRPr="007B0E88">
              <w:rPr>
                <w:rFonts w:ascii="Lato" w:eastAsia="Times New Roman" w:hAnsi="Lato" w:cs="Times New Roman"/>
                <w:bCs/>
                <w:sz w:val="24"/>
                <w:szCs w:val="16"/>
                <w:lang w:eastAsia="pl-PL"/>
              </w:rPr>
              <w:t>54 334</w:t>
            </w:r>
          </w:p>
        </w:tc>
        <w:tc>
          <w:tcPr>
            <w:tcW w:w="1120" w:type="dxa"/>
            <w:tcBorders>
              <w:top w:val="single" w:sz="4" w:space="0" w:color="auto"/>
              <w:left w:val="single" w:sz="4" w:space="0" w:color="auto"/>
              <w:bottom w:val="single" w:sz="4" w:space="0" w:color="auto"/>
              <w:right w:val="single" w:sz="4" w:space="0" w:color="auto"/>
            </w:tcBorders>
            <w:shd w:val="clear" w:color="000000" w:fill="8DB4E2"/>
            <w:noWrap/>
            <w:vAlign w:val="center"/>
          </w:tcPr>
          <w:p w:rsidR="007B0E88" w:rsidRPr="007B0E88" w:rsidRDefault="007B0E88" w:rsidP="007B0E88">
            <w:pPr>
              <w:spacing w:after="120"/>
              <w:jc w:val="right"/>
              <w:rPr>
                <w:rFonts w:ascii="Lato" w:eastAsia="Times New Roman" w:hAnsi="Lato" w:cs="Times New Roman"/>
                <w:bCs/>
                <w:sz w:val="24"/>
                <w:szCs w:val="16"/>
                <w:lang w:eastAsia="pl-PL"/>
              </w:rPr>
            </w:pPr>
            <w:r w:rsidRPr="007B0E88">
              <w:rPr>
                <w:rFonts w:ascii="Lato" w:eastAsia="Times New Roman" w:hAnsi="Lato" w:cs="Times New Roman"/>
                <w:bCs/>
                <w:sz w:val="24"/>
                <w:szCs w:val="16"/>
                <w:lang w:eastAsia="pl-PL"/>
              </w:rPr>
              <w:t>102 090</w:t>
            </w:r>
          </w:p>
        </w:tc>
        <w:tc>
          <w:tcPr>
            <w:tcW w:w="1142" w:type="dxa"/>
            <w:tcBorders>
              <w:top w:val="single" w:sz="4" w:space="0" w:color="auto"/>
              <w:left w:val="single" w:sz="4" w:space="0" w:color="auto"/>
              <w:bottom w:val="single" w:sz="4" w:space="0" w:color="auto"/>
              <w:right w:val="single" w:sz="4" w:space="0" w:color="auto"/>
            </w:tcBorders>
            <w:shd w:val="clear" w:color="000000" w:fill="8DB4E2"/>
            <w:noWrap/>
            <w:vAlign w:val="center"/>
          </w:tcPr>
          <w:p w:rsidR="007B0E88" w:rsidRPr="007B0E88" w:rsidRDefault="007B0E88" w:rsidP="007B0E88">
            <w:pPr>
              <w:spacing w:after="120"/>
              <w:jc w:val="right"/>
              <w:rPr>
                <w:rFonts w:ascii="Lato" w:eastAsia="Times New Roman" w:hAnsi="Lato" w:cs="Times New Roman"/>
                <w:bCs/>
                <w:sz w:val="24"/>
                <w:szCs w:val="16"/>
                <w:lang w:eastAsia="pl-PL"/>
              </w:rPr>
            </w:pPr>
            <w:r w:rsidRPr="007B0E88">
              <w:rPr>
                <w:rFonts w:ascii="Lato" w:eastAsia="Times New Roman" w:hAnsi="Lato" w:cs="Times New Roman"/>
                <w:bCs/>
                <w:sz w:val="24"/>
                <w:szCs w:val="16"/>
                <w:lang w:eastAsia="pl-PL"/>
              </w:rPr>
              <w:t>81 869</w:t>
            </w:r>
          </w:p>
        </w:tc>
        <w:tc>
          <w:tcPr>
            <w:tcW w:w="1136" w:type="dxa"/>
            <w:tcBorders>
              <w:top w:val="single" w:sz="4" w:space="0" w:color="auto"/>
              <w:left w:val="single" w:sz="4" w:space="0" w:color="auto"/>
              <w:bottom w:val="single" w:sz="4" w:space="0" w:color="auto"/>
              <w:right w:val="single" w:sz="4" w:space="0" w:color="auto"/>
            </w:tcBorders>
            <w:shd w:val="clear" w:color="000000" w:fill="8DB4E2"/>
            <w:noWrap/>
            <w:vAlign w:val="center"/>
          </w:tcPr>
          <w:p w:rsidR="007B0E88" w:rsidRPr="007B0E88" w:rsidRDefault="007B0E88" w:rsidP="007B0E88">
            <w:pPr>
              <w:spacing w:after="120"/>
              <w:jc w:val="right"/>
              <w:rPr>
                <w:rFonts w:ascii="Lato" w:eastAsia="Times New Roman" w:hAnsi="Lato" w:cs="Times New Roman"/>
                <w:bCs/>
                <w:sz w:val="24"/>
                <w:szCs w:val="16"/>
                <w:lang w:eastAsia="pl-PL"/>
              </w:rPr>
            </w:pPr>
            <w:r w:rsidRPr="007B0E88">
              <w:rPr>
                <w:rFonts w:ascii="Lato" w:eastAsia="Times New Roman" w:hAnsi="Lato" w:cs="Times New Roman"/>
                <w:bCs/>
                <w:sz w:val="24"/>
                <w:szCs w:val="16"/>
                <w:lang w:eastAsia="pl-PL"/>
              </w:rPr>
              <w:t>89,5</w:t>
            </w:r>
          </w:p>
        </w:tc>
      </w:tr>
      <w:tr w:rsidR="007B0E88" w:rsidRPr="007B0E88" w:rsidTr="00731DF0">
        <w:trPr>
          <w:trHeight w:val="672"/>
        </w:trPr>
        <w:tc>
          <w:tcPr>
            <w:tcW w:w="960" w:type="dxa"/>
            <w:vMerge w:val="restart"/>
            <w:tcBorders>
              <w:top w:val="single" w:sz="4" w:space="0" w:color="auto"/>
              <w:left w:val="single" w:sz="4" w:space="0" w:color="auto"/>
              <w:bottom w:val="single" w:sz="4" w:space="0" w:color="auto"/>
              <w:right w:val="single" w:sz="4" w:space="0" w:color="auto"/>
            </w:tcBorders>
            <w:shd w:val="clear" w:color="000000" w:fill="E4DFEC"/>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Priorytet 1</w:t>
            </w:r>
          </w:p>
        </w:tc>
        <w:tc>
          <w:tcPr>
            <w:tcW w:w="3200" w:type="dxa"/>
            <w:tcBorders>
              <w:top w:val="single" w:sz="4" w:space="0" w:color="auto"/>
              <w:left w:val="single" w:sz="4" w:space="0" w:color="auto"/>
              <w:bottom w:val="single" w:sz="4" w:space="0" w:color="auto"/>
              <w:right w:val="single" w:sz="4" w:space="0" w:color="auto"/>
            </w:tcBorders>
            <w:shd w:val="clear" w:color="000000" w:fill="E4DFEC"/>
            <w:vAlign w:val="center"/>
            <w:hideMark/>
          </w:tcPr>
          <w:p w:rsidR="007B0E88" w:rsidRPr="007B0E88" w:rsidRDefault="007B0E88" w:rsidP="007B0E88">
            <w:pPr>
              <w:spacing w:after="120"/>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K.I. 1.1. Zakup i zdalny dostęp do nowości wydawniczych</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34 900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34 900**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28 456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28 456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68 285</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60 939</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81,5</w:t>
            </w:r>
          </w:p>
        </w:tc>
      </w:tr>
      <w:tr w:rsidR="007B0E88" w:rsidRPr="007B0E88" w:rsidTr="00731DF0">
        <w:trPr>
          <w:trHeight w:val="1152"/>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sz w:val="20"/>
                <w:szCs w:val="20"/>
                <w:lang w:eastAsia="pl-PL"/>
              </w:rPr>
            </w:pPr>
          </w:p>
        </w:tc>
        <w:tc>
          <w:tcPr>
            <w:tcW w:w="3200" w:type="dxa"/>
            <w:tcBorders>
              <w:top w:val="single" w:sz="4" w:space="0" w:color="auto"/>
              <w:left w:val="single" w:sz="4" w:space="0" w:color="auto"/>
              <w:bottom w:val="single" w:sz="4" w:space="0" w:color="auto"/>
              <w:right w:val="single" w:sz="4" w:space="0" w:color="auto"/>
            </w:tcBorders>
            <w:shd w:val="clear" w:color="000000" w:fill="E4DFEC"/>
            <w:vAlign w:val="center"/>
            <w:hideMark/>
          </w:tcPr>
          <w:p w:rsidR="007B0E88" w:rsidRPr="007B0E88" w:rsidRDefault="007B0E88" w:rsidP="007B0E88">
            <w:pPr>
              <w:spacing w:after="120"/>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K.I. 1.2. Budowa ogólnokrajowej sieci bibliotecznej poprzez zintegrowany system zarządzania zasobami bibliotek</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8 200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8 200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8 192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8 192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99,9</w:t>
            </w:r>
          </w:p>
        </w:tc>
      </w:tr>
      <w:tr w:rsidR="007B0E88" w:rsidRPr="007B0E88" w:rsidTr="00731DF0">
        <w:trPr>
          <w:trHeight w:val="648"/>
        </w:trPr>
        <w:tc>
          <w:tcPr>
            <w:tcW w:w="9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Priorytet 2</w:t>
            </w:r>
          </w:p>
        </w:tc>
        <w:tc>
          <w:tcPr>
            <w:tcW w:w="320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7B0E88" w:rsidRPr="007B0E88" w:rsidRDefault="007B0E88" w:rsidP="007B0E88">
            <w:pPr>
              <w:spacing w:after="120"/>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 xml:space="preserve">K.I. 2.1. Infrastruktura bibliotek </w:t>
            </w:r>
            <w:r w:rsidRPr="007B0E88">
              <w:rPr>
                <w:rFonts w:ascii="Lato" w:eastAsia="Times New Roman" w:hAnsi="Lato" w:cs="Times New Roman"/>
                <w:sz w:val="20"/>
                <w:szCs w:val="20"/>
                <w:lang w:eastAsia="pl-PL"/>
              </w:rPr>
              <w:br/>
              <w:t>2021-2025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63 500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63 500**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54 334</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54 334</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25 844</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12 733</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85,6</w:t>
            </w:r>
          </w:p>
        </w:tc>
      </w:tr>
      <w:tr w:rsidR="007B0E88" w:rsidRPr="007B0E88" w:rsidTr="00731DF0">
        <w:trPr>
          <w:trHeight w:val="828"/>
        </w:trPr>
        <w:tc>
          <w:tcPr>
            <w:tcW w:w="960"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Priorytet 3</w:t>
            </w:r>
          </w:p>
        </w:tc>
        <w:tc>
          <w:tcPr>
            <w:tcW w:w="320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7B0E88" w:rsidRPr="007B0E88" w:rsidRDefault="007B0E88" w:rsidP="007B0E88">
            <w:pPr>
              <w:spacing w:after="120"/>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K.I. 3.1. Zakup nowości wydawniczych do placówek wychowania przedszkolnego</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8 800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7 588*</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7 431</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7431</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2 200</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1909</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97,9</w:t>
            </w:r>
          </w:p>
        </w:tc>
      </w:tr>
      <w:tr w:rsidR="007B0E88" w:rsidRPr="007B0E88" w:rsidTr="00731DF0">
        <w:trPr>
          <w:trHeight w:val="1119"/>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sz w:val="20"/>
                <w:szCs w:val="20"/>
                <w:lang w:eastAsia="pl-PL"/>
              </w:rPr>
            </w:pPr>
          </w:p>
        </w:tc>
        <w:tc>
          <w:tcPr>
            <w:tcW w:w="320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7B0E88" w:rsidRPr="007B0E88" w:rsidRDefault="007B0E88" w:rsidP="007B0E88">
            <w:pPr>
              <w:spacing w:after="120"/>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K.I. 3.2. Zakup nowości wydawniczych oraz elementów wyposażenia do bibliotek szkolnych i pedagogicznych</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20 600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21 812*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21 812</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21 812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5 150</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5 555</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100</w:t>
            </w:r>
          </w:p>
        </w:tc>
      </w:tr>
      <w:tr w:rsidR="007B0E88" w:rsidRPr="007B0E88" w:rsidTr="00731DF0">
        <w:trPr>
          <w:trHeight w:val="1092"/>
        </w:trPr>
        <w:tc>
          <w:tcPr>
            <w:tcW w:w="960" w:type="dxa"/>
            <w:vMerge w:val="restart"/>
            <w:tcBorders>
              <w:top w:val="single" w:sz="4" w:space="0" w:color="auto"/>
              <w:left w:val="single" w:sz="4" w:space="0" w:color="auto"/>
              <w:bottom w:val="single" w:sz="4" w:space="0" w:color="auto"/>
              <w:right w:val="single" w:sz="4" w:space="0" w:color="auto"/>
            </w:tcBorders>
            <w:shd w:val="clear" w:color="000000" w:fill="F2DCDB"/>
            <w:vAlign w:val="center"/>
            <w:hideMark/>
          </w:tcPr>
          <w:p w:rsidR="007B0E88" w:rsidRPr="007B0E88" w:rsidRDefault="007B0E88" w:rsidP="007B0E88">
            <w:pPr>
              <w:spacing w:after="120"/>
              <w:jc w:val="center"/>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Priorytet 4</w:t>
            </w:r>
          </w:p>
        </w:tc>
        <w:tc>
          <w:tcPr>
            <w:tcW w:w="3200" w:type="dxa"/>
            <w:tcBorders>
              <w:top w:val="single" w:sz="4" w:space="0" w:color="auto"/>
              <w:left w:val="single" w:sz="4" w:space="0" w:color="auto"/>
              <w:bottom w:val="single" w:sz="4" w:space="0" w:color="auto"/>
              <w:right w:val="single" w:sz="4" w:space="0" w:color="auto"/>
            </w:tcBorders>
            <w:shd w:val="clear" w:color="000000" w:fill="F2DCDB"/>
            <w:vAlign w:val="center"/>
            <w:hideMark/>
          </w:tcPr>
          <w:p w:rsidR="007B0E88" w:rsidRPr="007B0E88" w:rsidRDefault="007B0E88" w:rsidP="007B0E88">
            <w:pPr>
              <w:spacing w:after="120"/>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K.I. 4.1. BLISKO – Biblioteka | Lokalność | Inicjatywy | Społeczność | Kooperacja | Oddolność</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6 100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6 300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6 266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6 266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611</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733</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99,5</w:t>
            </w:r>
          </w:p>
        </w:tc>
      </w:tr>
      <w:tr w:rsidR="007B0E88" w:rsidRPr="007B0E88" w:rsidTr="00731DF0">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B0E88" w:rsidRPr="007B0E88" w:rsidRDefault="007B0E88" w:rsidP="007B0E88">
            <w:pPr>
              <w:spacing w:after="120"/>
              <w:rPr>
                <w:rFonts w:ascii="Lato" w:eastAsia="Times New Roman" w:hAnsi="Lato" w:cs="Times New Roman"/>
                <w:sz w:val="20"/>
                <w:szCs w:val="20"/>
                <w:lang w:eastAsia="pl-PL"/>
              </w:rPr>
            </w:pPr>
          </w:p>
        </w:tc>
        <w:tc>
          <w:tcPr>
            <w:tcW w:w="3200" w:type="dxa"/>
            <w:tcBorders>
              <w:top w:val="single" w:sz="4" w:space="0" w:color="auto"/>
              <w:left w:val="single" w:sz="4" w:space="0" w:color="auto"/>
              <w:bottom w:val="single" w:sz="4" w:space="0" w:color="auto"/>
              <w:right w:val="single" w:sz="4" w:space="0" w:color="auto"/>
            </w:tcBorders>
            <w:shd w:val="clear" w:color="000000" w:fill="F2DCDB"/>
            <w:vAlign w:val="center"/>
            <w:hideMark/>
          </w:tcPr>
          <w:p w:rsidR="007B0E88" w:rsidRPr="007B0E88" w:rsidRDefault="007B0E88" w:rsidP="007B0E88">
            <w:pPr>
              <w:spacing w:after="120"/>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K.I. 4.2.Kampania społeczno-informacyjna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7 500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7 300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7 170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7 170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98,2</w:t>
            </w:r>
          </w:p>
        </w:tc>
      </w:tr>
      <w:tr w:rsidR="007B0E88" w:rsidRPr="007B0E88" w:rsidTr="00731DF0">
        <w:trPr>
          <w:trHeight w:val="579"/>
        </w:trPr>
        <w:tc>
          <w:tcPr>
            <w:tcW w:w="4160"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7B0E88" w:rsidRPr="007B0E88" w:rsidRDefault="007B0E88" w:rsidP="007B0E88">
            <w:pPr>
              <w:spacing w:after="120"/>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Monitoring i ewaluacja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533</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546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517</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517</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94,7</w:t>
            </w:r>
          </w:p>
        </w:tc>
      </w:tr>
      <w:tr w:rsidR="007B0E88" w:rsidRPr="007B0E88" w:rsidTr="00731DF0">
        <w:trPr>
          <w:trHeight w:val="56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Koszty obsługi cz. 24 budżetu państwa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1 800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1 787</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1 771</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1 771</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99,1</w:t>
            </w:r>
          </w:p>
        </w:tc>
      </w:tr>
      <w:tr w:rsidR="007B0E88" w:rsidRPr="007B0E88" w:rsidTr="00731DF0">
        <w:trPr>
          <w:trHeight w:val="558"/>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0E88" w:rsidRPr="007B0E88" w:rsidRDefault="007B0E88" w:rsidP="007B0E88">
            <w:pPr>
              <w:spacing w:after="120"/>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Koszty obsługi Priorytetu 3</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150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 xml:space="preserve">150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131</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131</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 xml:space="preserve">0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0</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E88" w:rsidRPr="007B0E88" w:rsidRDefault="007B0E88" w:rsidP="007B0E88">
            <w:pPr>
              <w:spacing w:after="120"/>
              <w:jc w:val="right"/>
              <w:rPr>
                <w:rFonts w:ascii="Lato" w:eastAsia="Times New Roman" w:hAnsi="Lato" w:cs="Times New Roman"/>
                <w:sz w:val="20"/>
                <w:szCs w:val="20"/>
                <w:lang w:eastAsia="pl-PL"/>
              </w:rPr>
            </w:pPr>
            <w:r w:rsidRPr="007B0E88">
              <w:rPr>
                <w:rFonts w:ascii="Lato" w:eastAsia="Times New Roman" w:hAnsi="Lato" w:cs="Times New Roman"/>
                <w:sz w:val="20"/>
                <w:szCs w:val="20"/>
                <w:lang w:eastAsia="pl-PL"/>
              </w:rPr>
              <w:t>87,3</w:t>
            </w:r>
          </w:p>
        </w:tc>
      </w:tr>
    </w:tbl>
    <w:p w:rsidR="007B0E88" w:rsidRPr="007B0E88" w:rsidRDefault="007B0E88" w:rsidP="007B0E88">
      <w:pPr>
        <w:spacing w:after="120"/>
        <w:jc w:val="both"/>
        <w:rPr>
          <w:rFonts w:ascii="Lato" w:hAnsi="Lato"/>
        </w:rPr>
      </w:pPr>
    </w:p>
    <w:p w:rsidR="007B0E88" w:rsidRPr="007B0E88" w:rsidRDefault="007B0E88" w:rsidP="007B0E88">
      <w:pPr>
        <w:spacing w:after="120"/>
        <w:jc w:val="both"/>
        <w:rPr>
          <w:rFonts w:ascii="Lato" w:hAnsi="Lato"/>
        </w:rPr>
      </w:pPr>
      <w:r w:rsidRPr="007B0E88">
        <w:rPr>
          <w:rFonts w:ascii="Lato" w:hAnsi="Lato"/>
        </w:rPr>
        <w:t>W 2022 roku dokonano przesunięcia środków finansowych w wysokości:</w:t>
      </w:r>
    </w:p>
    <w:p w:rsidR="007B0E88" w:rsidRPr="007B0E88" w:rsidRDefault="007B0E88" w:rsidP="007B0E88">
      <w:pPr>
        <w:spacing w:after="120"/>
        <w:jc w:val="both"/>
        <w:rPr>
          <w:rFonts w:ascii="Lato" w:hAnsi="Lato"/>
        </w:rPr>
      </w:pPr>
      <w:r w:rsidRPr="007B0E88">
        <w:rPr>
          <w:rFonts w:ascii="Lato" w:hAnsi="Lato"/>
        </w:rPr>
        <w:t xml:space="preserve">- 200 000 zł pomiędzy realizowanymi w ramach NPRCz 2.0 Priorytet 4, kierunkami interwencji obejmującymi finansowanie kosztów obsługi Priorytetu 4 (umowa 250/DF-VII/2021) oraz koordynację i organizację działań kierunku interwencji 4.1 (umowa 251/DF-VII/2021). W 2022 roku </w:t>
      </w:r>
      <w:r w:rsidRPr="007B0E88">
        <w:rPr>
          <w:rFonts w:ascii="Lato" w:hAnsi="Lato"/>
        </w:rPr>
        <w:lastRenderedPageBreak/>
        <w:t>na realizację zadań w ramach każdej z tych umów przeznaczone zostały środki w wysokości po 600 000 zł., przesunięcie zaś dotyczy zmniejszenia dotacji zabezpieczonej na obsługę Priorytetu 4 z jednoczesnym zwiększeniem dotacji przewidzianej na realizację koordynacji i organizacji działań kierunku interwencji 4.1.: - umowa nr 250/DF-VII/2021 (zmniejszenie z 600 000 zł do 400 000 zł) oraz umowa nr 251/DF-VII/2021 (zwiększenie z 600 000 zł do 800 000 zł);</w:t>
      </w:r>
    </w:p>
    <w:p w:rsidR="007B0E88" w:rsidRPr="007B0E88" w:rsidRDefault="007B0E88" w:rsidP="007B0E88">
      <w:pPr>
        <w:spacing w:after="120"/>
        <w:jc w:val="both"/>
        <w:rPr>
          <w:rFonts w:ascii="Lato" w:hAnsi="Lato"/>
        </w:rPr>
      </w:pPr>
      <w:r w:rsidRPr="007B0E88">
        <w:rPr>
          <w:rFonts w:ascii="Lato" w:hAnsi="Lato"/>
        </w:rPr>
        <w:t xml:space="preserve">- 200 000 zł z umowy nr 259/DF-VII/2021 „Działania </w:t>
      </w:r>
      <w:proofErr w:type="spellStart"/>
      <w:r w:rsidRPr="007B0E88">
        <w:rPr>
          <w:rFonts w:ascii="Lato" w:hAnsi="Lato"/>
        </w:rPr>
        <w:t>promocyjno</w:t>
      </w:r>
      <w:proofErr w:type="spellEnd"/>
      <w:r w:rsidRPr="007B0E88">
        <w:rPr>
          <w:rFonts w:ascii="Lato" w:hAnsi="Lato"/>
        </w:rPr>
        <w:t xml:space="preserve"> – informacyjne, w ramach PW NPRCz. 2.0, Priorytet 4., Kierunek Interwencji 4.2.” wg następującego podziału: do umowy nr 250/DF-VII/2021 „finansowanie kosztów obsługi Priorytetu 4” - 187 000 zł (z 400 000 zł do 587 000 zł);oraz do umowy nr 98/DF-VII/2021 „Realizacja zadań realizowanych w ramach Planu Ewaluacji Monitoringu Narodowego Programu Rozwoju Czytelnictwa 2.0 na lata 2021-2025” – 13 000 zł (z 302 500 zł do 315 500 zł). Przesunięta do umowy nr 98/DF-VII/2022 kwota 13 000 zł została wykorzystana na badanie dotyczące efektywności kampanii promocyjnej NPRCz 2.0.</w:t>
      </w:r>
    </w:p>
    <w:p w:rsidR="007B0E88" w:rsidRPr="007B0E88" w:rsidRDefault="007B0E88" w:rsidP="007B0E88">
      <w:pPr>
        <w:spacing w:after="120"/>
        <w:jc w:val="both"/>
        <w:rPr>
          <w:rFonts w:ascii="Lato" w:hAnsi="Lato"/>
        </w:rPr>
      </w:pPr>
      <w:r w:rsidRPr="007B0E88">
        <w:rPr>
          <w:rFonts w:ascii="Lato" w:hAnsi="Lato"/>
        </w:rPr>
        <w:t xml:space="preserve">* Zgodnie z założeniami realizacyjnymi Priorytetu 3 - określonymi w Uchwale nr 69/2021 Rady Ministrów z dnia 21 maja 2021 r. w sprawie ustanowienia programu wieloletniego „Narodowy Program Rozwoju Czytelnictwa 2.0. na lata 2021-2025” - nie mniej niż 30% wnioskowanej kwoty wsparcia jest przeznaczona na potrzeby placówek wychowania przedszkolnego. Jeśli kwota wnioskowana przez organy prowadzące placówki wychowania przedszkolnego jest niższa od kwoty środków budżetu państwa przeznaczonej w danym roku budżetowym na wsparcie placówek wychowania przedszkolnego, zespół oceniający wnioski kwalifikuje do objęcia wsparciem szkoły lub biblioteki pedagogiczne wnioskujące o udział w programie. Jeśli kwota wnioskowana przez organy prowadzące szkoły lub biblioteki pedagogiczne jest niższa od kwoty środków budżetu państwa przeznaczonej w danym roku budżetowym na wsparcie szkół i bibliotek pedagogicznych, zespół oceniający wnioski kwalifikuje do objęcia wsparciem placówki wychowania przedszkolnego wnioskujące o udział w programie. </w:t>
      </w:r>
    </w:p>
    <w:p w:rsidR="007B0E88" w:rsidRPr="007B0E88" w:rsidRDefault="007B0E88" w:rsidP="007B0E88">
      <w:pPr>
        <w:spacing w:after="120"/>
        <w:jc w:val="both"/>
        <w:rPr>
          <w:rFonts w:ascii="Lato" w:hAnsi="Lato"/>
        </w:rPr>
      </w:pPr>
      <w:r w:rsidRPr="007B0E88">
        <w:rPr>
          <w:rFonts w:ascii="Lato" w:hAnsi="Lato"/>
        </w:rPr>
        <w:t>Dokonywanie przesunięć pomiędzy kierunkami działania z zachowaniem wysokości środków z budżetu państwa alokowanych w Priorytecie 3 na dany rok budżetowy - do wysokości 70% środków alokowanych na Kierunek interwencji 3.1. lub Kierunek interwencji 3.2. – jest możliwe po akceptacji ministra właściwego do spraw oświaty i wychowania, bez konieczności aktualizacji Programu.</w:t>
      </w:r>
    </w:p>
    <w:p w:rsidR="007B0E88" w:rsidRPr="007B0E88" w:rsidRDefault="007B0E88" w:rsidP="007B0E88">
      <w:pPr>
        <w:spacing w:after="120"/>
        <w:jc w:val="both"/>
        <w:rPr>
          <w:rFonts w:ascii="Lato" w:hAnsi="Lato"/>
        </w:rPr>
      </w:pPr>
      <w:r w:rsidRPr="007B0E88">
        <w:rPr>
          <w:rFonts w:ascii="Lato" w:hAnsi="Lato"/>
        </w:rPr>
        <w:t>Taka akceptacja została wyrażona (pismo sygn.nr DPNP-WPPiP.4087.65.2021.BS z dnia 29.03.2022 r. z informacją na ten temat zostało przekazane do koordynatorów wojewódzkich Priorytetu 3 NPRCz 2.0.). W związku z tym, przy podejmowaniu decyzji o udzieleniu wsparcia finansowego poszczególnym wnioskodawcom, możliwe było dokonywanie przesunięć finansowych w obrębie Priorytetu 3.</w:t>
      </w:r>
    </w:p>
    <w:p w:rsidR="007B0E88" w:rsidRPr="007B0E88" w:rsidRDefault="007B0E88" w:rsidP="007B0E88">
      <w:pPr>
        <w:spacing w:after="120"/>
        <w:jc w:val="both"/>
        <w:rPr>
          <w:rFonts w:ascii="Lato" w:hAnsi="Lato"/>
        </w:rPr>
      </w:pPr>
      <w:r w:rsidRPr="007B0E88">
        <w:rPr>
          <w:rFonts w:ascii="Lato" w:hAnsi="Lato"/>
          <w:b/>
        </w:rPr>
        <w:t>**</w:t>
      </w:r>
      <w:r w:rsidRPr="007B0E88">
        <w:rPr>
          <w:rFonts w:ascii="Lato" w:hAnsi="Lato"/>
        </w:rPr>
        <w:t xml:space="preserve"> W grudniu 2022 r. na wniosek resortu kultury na postawie art. 177 ust.1 ustawy z dnia 27 sierpnia 2009 r. o finansach publicznych (Dz. U. 2022 r. poz. 1634 z </w:t>
      </w:r>
      <w:proofErr w:type="spellStart"/>
      <w:r w:rsidRPr="007B0E88">
        <w:rPr>
          <w:rFonts w:ascii="Lato" w:hAnsi="Lato"/>
        </w:rPr>
        <w:t>poź</w:t>
      </w:r>
      <w:proofErr w:type="spellEnd"/>
      <w:r w:rsidRPr="007B0E88">
        <w:rPr>
          <w:rFonts w:ascii="Lato" w:hAnsi="Lato"/>
        </w:rPr>
        <w:t xml:space="preserve">. zm.)  Minister Finansów dokonał blokady środków niewykorzystanych w 2022 r. w Narodowym Programie Rozwoju Czytelnictwa 2.0 na lata 2021-2025. w wysokości : 6.391.623 zł – środki bieżące oraz 7.290.327 zł. – środki inwestycyjne, razem 13. 681.950 zł  przeznaczonego na realizację Priorytetu 1 – Kierunek Interwencji 1.1 Zakup i zdalny dostęp do nowości wydawniczych oraz Priorytetu 2– Kierunek Interwencji 2.1 Infrastruktura bibliotek 2021–2025 </w:t>
      </w:r>
    </w:p>
    <w:p w:rsidR="007B0E88" w:rsidRPr="007B0E88" w:rsidRDefault="007B0E88" w:rsidP="007B0E88">
      <w:pPr>
        <w:spacing w:after="120"/>
        <w:jc w:val="both"/>
        <w:rPr>
          <w:rFonts w:ascii="Lato" w:hAnsi="Lato"/>
        </w:rPr>
        <w:sectPr w:rsidR="007B0E88" w:rsidRPr="007B0E88" w:rsidSect="007B0E88">
          <w:pgSz w:w="16838" w:h="11906" w:orient="landscape"/>
          <w:pgMar w:top="1417" w:right="1417" w:bottom="1417" w:left="1417" w:header="708" w:footer="567" w:gutter="0"/>
          <w:cols w:space="708"/>
          <w:docGrid w:linePitch="360"/>
        </w:sectPr>
      </w:pPr>
    </w:p>
    <w:p w:rsidR="007B0E88" w:rsidRPr="007B0E88" w:rsidRDefault="007B0E88" w:rsidP="007B0E88">
      <w:pPr>
        <w:spacing w:after="120"/>
        <w:ind w:left="284"/>
        <w:contextualSpacing/>
        <w:jc w:val="both"/>
        <w:rPr>
          <w:rFonts w:ascii="Calibri" w:eastAsia="Times New Roman" w:hAnsi="Calibri" w:cs="Times New Roman"/>
          <w:bCs/>
        </w:rPr>
      </w:pPr>
    </w:p>
    <w:p w:rsidR="007B0E88" w:rsidRPr="007B0E88" w:rsidRDefault="007B0E88" w:rsidP="007B0E88">
      <w:pPr>
        <w:spacing w:after="120"/>
        <w:jc w:val="both"/>
        <w:rPr>
          <w:rFonts w:ascii="Lato" w:hAnsi="Lato"/>
          <w:b/>
          <w:sz w:val="24"/>
          <w:szCs w:val="16"/>
        </w:rPr>
      </w:pPr>
      <w:r w:rsidRPr="007B0E88">
        <w:rPr>
          <w:rFonts w:ascii="Lato" w:hAnsi="Lato"/>
          <w:b/>
          <w:sz w:val="24"/>
          <w:szCs w:val="16"/>
        </w:rPr>
        <w:t>Informacja o realizacji poszczególnych Priorytetów w 2022 roku</w:t>
      </w:r>
    </w:p>
    <w:p w:rsidR="007B0E88" w:rsidRPr="007B0E88" w:rsidRDefault="007B0E88" w:rsidP="007B0E88">
      <w:pPr>
        <w:spacing w:after="120"/>
        <w:jc w:val="both"/>
        <w:rPr>
          <w:rFonts w:ascii="Lato" w:hAnsi="Lato"/>
          <w:b/>
          <w:sz w:val="24"/>
          <w:szCs w:val="16"/>
          <w:u w:val="single"/>
        </w:rPr>
      </w:pPr>
    </w:p>
    <w:p w:rsidR="007B0E88" w:rsidRPr="007B0E88" w:rsidRDefault="007B0E88" w:rsidP="007B0E88">
      <w:pPr>
        <w:spacing w:after="120"/>
        <w:jc w:val="both"/>
        <w:rPr>
          <w:rFonts w:ascii="Lato" w:hAnsi="Lato"/>
          <w:sz w:val="24"/>
          <w:szCs w:val="16"/>
          <w:u w:val="single"/>
        </w:rPr>
      </w:pPr>
      <w:r w:rsidRPr="007B0E88">
        <w:rPr>
          <w:rFonts w:ascii="Lato" w:hAnsi="Lato"/>
          <w:sz w:val="24"/>
          <w:szCs w:val="16"/>
          <w:u w:val="single"/>
        </w:rPr>
        <w:t xml:space="preserve"> Priorytet 1: Poprawa oferty bibliotek publicznych  </w:t>
      </w:r>
    </w:p>
    <w:p w:rsidR="007B0E88" w:rsidRPr="007B0E88" w:rsidRDefault="007B0E88" w:rsidP="007B0E88">
      <w:pPr>
        <w:jc w:val="both"/>
        <w:rPr>
          <w:rFonts w:ascii="Lato" w:hAnsi="Lato"/>
          <w:sz w:val="24"/>
          <w:szCs w:val="24"/>
        </w:rPr>
      </w:pPr>
      <w:r w:rsidRPr="007B0E88">
        <w:rPr>
          <w:rFonts w:ascii="Lato" w:hAnsi="Lato"/>
          <w:sz w:val="24"/>
          <w:szCs w:val="24"/>
        </w:rPr>
        <w:t xml:space="preserve">W ramach Priorytetu 1 realizowane są następujące Kierunki interwencji: </w:t>
      </w:r>
    </w:p>
    <w:p w:rsidR="007B0E88" w:rsidRPr="007B0E88" w:rsidRDefault="007B0E88" w:rsidP="007B0E88">
      <w:pPr>
        <w:jc w:val="both"/>
        <w:rPr>
          <w:rFonts w:ascii="Lato" w:hAnsi="Lato"/>
          <w:sz w:val="24"/>
          <w:szCs w:val="24"/>
        </w:rPr>
      </w:pPr>
      <w:r w:rsidRPr="007B0E88">
        <w:rPr>
          <w:rFonts w:ascii="Lato" w:hAnsi="Lato"/>
          <w:sz w:val="24"/>
          <w:szCs w:val="24"/>
        </w:rPr>
        <w:t xml:space="preserve">1.1. Zakup i dostęp do nowości wydawniczych (zwany dalej K.I.1.1.), którego celem jest wzmocnienie potencjału bibliotek w środowiskach lokalnych poprzez wzrost atrakcyjności i dostępności ich zbiorów oraz </w:t>
      </w:r>
    </w:p>
    <w:p w:rsidR="007B0E88" w:rsidRPr="007B0E88" w:rsidRDefault="007B0E88" w:rsidP="007B0E88">
      <w:pPr>
        <w:jc w:val="both"/>
        <w:rPr>
          <w:rFonts w:ascii="Lato" w:hAnsi="Lato"/>
          <w:sz w:val="24"/>
          <w:szCs w:val="24"/>
        </w:rPr>
      </w:pPr>
      <w:r w:rsidRPr="007B0E88">
        <w:rPr>
          <w:rFonts w:ascii="Lato" w:hAnsi="Lato"/>
          <w:sz w:val="24"/>
          <w:szCs w:val="24"/>
        </w:rPr>
        <w:t>1.2. Budowa ogólnokrajowej sieci bibliotecznej poprzez zintegrowany system zarządzania zasobami bibliotek (zwany dalej K.I.1.2.), którego celem jest budowa ogólnopolskiej sieci bibliotecznej poprzez udostępnienie bibliotekom najnowocześniejszego systemu zarządzania zasobami bibliotek Alma i Primo.</w:t>
      </w:r>
    </w:p>
    <w:p w:rsidR="007B0E88" w:rsidRPr="007B0E88" w:rsidRDefault="007B0E88" w:rsidP="007B0E88">
      <w:pPr>
        <w:jc w:val="both"/>
        <w:rPr>
          <w:rFonts w:ascii="Lato" w:hAnsi="Lato"/>
          <w:sz w:val="24"/>
          <w:szCs w:val="24"/>
        </w:rPr>
      </w:pPr>
      <w:r w:rsidRPr="007B0E88">
        <w:rPr>
          <w:rFonts w:ascii="Lato" w:hAnsi="Lato"/>
          <w:sz w:val="24"/>
          <w:szCs w:val="24"/>
        </w:rPr>
        <w:t xml:space="preserve">Grupą odbiorców docelowych są czytelnicy i użytkownicy bibliotek publicznych, którzy w ramach wsparcia NPRCz 2.0 skorzystają z udoskonalonej i poszerzonej oferty bibliotek publicznych obejmującej zarówno aktualizowane w trybie ciągłym i systematycznie uzupełniane o nowości wydawnicze księgozbiory bibliotek, formy zdalnego dostępu, umożliwiające użytkownikom bibliotek dostęp do książek w formatach e-booków i/lub audiobooków i/lub synchrobooków także poza godzinami otwarcia placówek bibliotecznych, przez 24 godziny na dobę i 7 dni w tygodniu, jak </w:t>
      </w:r>
      <w:r w:rsidRPr="007B0E88">
        <w:rPr>
          <w:rFonts w:ascii="Lato" w:hAnsi="Lato"/>
          <w:sz w:val="24"/>
          <w:szCs w:val="24"/>
        </w:rPr>
        <w:br/>
        <w:t>i nowoczesne narzędzia przeszukiwania zbiorów bibliotecznych.</w:t>
      </w:r>
    </w:p>
    <w:p w:rsidR="007B0E88" w:rsidRPr="007B0E88" w:rsidRDefault="007B0E88" w:rsidP="007B0E88">
      <w:pPr>
        <w:jc w:val="both"/>
        <w:rPr>
          <w:rFonts w:ascii="Lato" w:hAnsi="Lato"/>
          <w:sz w:val="24"/>
          <w:szCs w:val="24"/>
        </w:rPr>
      </w:pPr>
      <w:r w:rsidRPr="007B0E88">
        <w:rPr>
          <w:rFonts w:ascii="Lato" w:hAnsi="Lato"/>
          <w:sz w:val="24"/>
          <w:szCs w:val="24"/>
        </w:rPr>
        <w:t xml:space="preserve">W Kierunku Interwencji 1.1 w celu otrzymania dofinansowania wnioskodawcy musieli wnieść wkład własny w wysokości 50%, 65% lub 80% w zależności od grupy zamożności, do ustalenia której zastosowano procentowe odniesienie wielkości dochodów podatkowych jednostki do średnich dochodów podatkowych obliczonych odpowiednio dla gmin, powiatów i województw podawanych przez Ministerstwo Finansów. </w:t>
      </w:r>
    </w:p>
    <w:p w:rsidR="007B0E88" w:rsidRPr="007B0E88" w:rsidRDefault="007B0E88" w:rsidP="007B0E88">
      <w:pPr>
        <w:jc w:val="both"/>
        <w:rPr>
          <w:rFonts w:ascii="Lato" w:hAnsi="Lato"/>
          <w:sz w:val="24"/>
          <w:szCs w:val="24"/>
        </w:rPr>
      </w:pPr>
      <w:r w:rsidRPr="007B0E88">
        <w:rPr>
          <w:rFonts w:ascii="Lato" w:hAnsi="Lato"/>
          <w:sz w:val="24"/>
          <w:szCs w:val="24"/>
        </w:rPr>
        <w:t xml:space="preserve">W 2022 roku na zakup i zdalny dostęp do nowości wydawniczych w ramach dofinansowania NPRCz 2.0 przeznaczono kwotę 34,9 mln zł. Na 2 524 uprawnione podmioty dofinansowanie otrzymało 90%, tj. 2 273 beneficjentów w kwocie 28 518 tys. zł, z czego wydatkowano 99,78% otrzymanego przez beneficjentów dofinansowania). </w:t>
      </w:r>
    </w:p>
    <w:p w:rsidR="007B0E88" w:rsidRPr="007B0E88" w:rsidRDefault="007B0E88" w:rsidP="007B0E88">
      <w:pPr>
        <w:jc w:val="both"/>
        <w:rPr>
          <w:rFonts w:ascii="Lato" w:hAnsi="Lato"/>
          <w:sz w:val="24"/>
          <w:szCs w:val="24"/>
        </w:rPr>
      </w:pPr>
      <w:r w:rsidRPr="007B0E88">
        <w:rPr>
          <w:rFonts w:ascii="Lato" w:hAnsi="Lato"/>
          <w:sz w:val="24"/>
          <w:szCs w:val="24"/>
        </w:rPr>
        <w:t xml:space="preserve">Środki w tej wysokości pozwoliły na poszerzenie oferty bibliotek o ponad 3,53 mln nowości wydawniczych w tym: ponad 3,4 mln książek drukowanych, ponad 120 tys. audiobooków i e-booków, prawie 800 zeszytów czasopism oraz 300 publikacji nutowych i kartograficznych. W ramach usługi zdalnego dostępu do książek w formacie e-booków i/lub audiobooków i/lub synchrobooków ofertę czytelniczą wzbogacono o 107 tys. kodów miesięcznych, 695 tys. kodów innych niż miesięczne oraz wykupiono dostęp do 88 mln stron oraz prawie 1,7 mln tytułów publikacji od dostawców takich jak: Legimi, EmpikGo, IBUK libra, PWN itp. </w:t>
      </w:r>
    </w:p>
    <w:p w:rsidR="007B0E88" w:rsidRPr="007B0E88" w:rsidRDefault="007B0E88" w:rsidP="007B0E88">
      <w:pPr>
        <w:jc w:val="both"/>
        <w:rPr>
          <w:rFonts w:ascii="Lato" w:hAnsi="Lato"/>
          <w:sz w:val="24"/>
          <w:szCs w:val="24"/>
        </w:rPr>
      </w:pPr>
    </w:p>
    <w:p w:rsidR="007B0E88" w:rsidRPr="007B0E88" w:rsidRDefault="007B0E88" w:rsidP="007B0E88">
      <w:pPr>
        <w:jc w:val="both"/>
        <w:rPr>
          <w:rFonts w:ascii="Lato" w:hAnsi="Lato"/>
          <w:sz w:val="24"/>
          <w:szCs w:val="24"/>
        </w:rPr>
      </w:pPr>
      <w:r w:rsidRPr="007B0E88">
        <w:rPr>
          <w:rFonts w:ascii="Lato" w:hAnsi="Lato"/>
          <w:sz w:val="24"/>
          <w:szCs w:val="24"/>
        </w:rPr>
        <w:lastRenderedPageBreak/>
        <w:t xml:space="preserve">Kierunek interwencji 1.2. obejmuje budowę platformy ogólnokrajowej sieci bibliotecznej poprzez włączanie kolejnych bibliotek do wspólnej platformy informatycznej – systemu Alma i wyszukiwarki Primo, których zaawansowane możliwości technologiczne umożliwiają realizację zadań bibliotek, w tym przede wszystkim gromadzenia, opracowania, przechowywania i udostępniania zbiorów, sporządzania i rozpowszechniania informacji bibliograficznych i dokumentacyjnych, wymiany oraz przekazywania materiałów bibliotecznych i informacji. Największą zaletą integracji bibliotek w ramach zintegrowanego systemu zarządzania zasobami bibliotek jest możliwość </w:t>
      </w:r>
      <w:proofErr w:type="spellStart"/>
      <w:r w:rsidRPr="007B0E88">
        <w:rPr>
          <w:rFonts w:ascii="Lato" w:hAnsi="Lato"/>
          <w:sz w:val="24"/>
          <w:szCs w:val="24"/>
        </w:rPr>
        <w:t>współkatalogowania</w:t>
      </w:r>
      <w:proofErr w:type="spellEnd"/>
      <w:r w:rsidRPr="007B0E88">
        <w:rPr>
          <w:rFonts w:ascii="Lato" w:hAnsi="Lato"/>
          <w:sz w:val="24"/>
          <w:szCs w:val="24"/>
        </w:rPr>
        <w:t xml:space="preserve"> w czasie rzeczywistym w jednym systemie informatycznym – co bezpośrednio wpływa na minimalizację kosztów ponoszonych przez biblioteki. Ponadto znacząco zwiększy się liczba bibliotek z dostępem do katalogu on-line, co wpłynie na zwiększenie dostępności zbiorów dla czytelników.</w:t>
      </w:r>
    </w:p>
    <w:p w:rsidR="007B0E88" w:rsidRPr="007B0E88" w:rsidRDefault="007B0E88" w:rsidP="007B0E88">
      <w:pPr>
        <w:jc w:val="both"/>
        <w:rPr>
          <w:rFonts w:ascii="Lato" w:hAnsi="Lato"/>
          <w:sz w:val="24"/>
          <w:szCs w:val="24"/>
        </w:rPr>
      </w:pPr>
      <w:r w:rsidRPr="007B0E88">
        <w:rPr>
          <w:rFonts w:ascii="Lato" w:hAnsi="Lato"/>
          <w:sz w:val="24"/>
          <w:szCs w:val="24"/>
        </w:rPr>
        <w:t xml:space="preserve">W 2022 roku 109 bibliotek dołączyło do ZSZZB i rozpoczęło współkatalogowanie z Biblioteką Narodową. Przyłączono 9 dużych bibliotek publicznych oraz innych zaliczonych przez ministra właściwego do spraw kultury i ochrony dziedzictwa narodowego do OSB o księgozbiorach liczących powyżej 50 tys. jednostek zbiorów. Przyłączono również 100 bibliotek publicznych z województw świętokrzyskiego, łódzkiego i lubelskiego. </w:t>
      </w:r>
    </w:p>
    <w:p w:rsidR="007B0E88" w:rsidRPr="007B0E88" w:rsidRDefault="007B0E88" w:rsidP="007B0E88">
      <w:pPr>
        <w:jc w:val="both"/>
        <w:rPr>
          <w:rFonts w:ascii="Lato" w:hAnsi="Lato"/>
          <w:sz w:val="24"/>
          <w:szCs w:val="24"/>
        </w:rPr>
      </w:pPr>
      <w:r w:rsidRPr="007B0E88">
        <w:rPr>
          <w:rFonts w:ascii="Lato" w:hAnsi="Lato"/>
          <w:sz w:val="24"/>
          <w:szCs w:val="24"/>
        </w:rPr>
        <w:t>Biblioteka Narodowa przeprowadziła dla pracowników wszystkich tych bibliotek kompleksowe szkolenia z obsługi systemu Alma. Przygotowano w tym celu materiały szkoleniowe z zakresu katalogowania publikacji z poszczególnych dyscyplin, zasad redakcji i doboru Deskryptorów BN oraz Uniwersalnej Klasyfikacji Dziesiętnej. Niezwykle przydatną pomocą w trakcie wdrożenia stały się codzienne konsultacje prowadzone przez pracowników Biblioteki Narodowej, której specjaliści zapewnili m.in. bieżące wsparcie i konfigurację systemu zgodnie z potrzebami danej jednostki. Warto zaznaczyć, że każda z przyłączanych bibliotek sama zdecydowała o stopniu wykorzystania u siebie poszczególnych funkcjonalności systemu.</w:t>
      </w:r>
    </w:p>
    <w:p w:rsidR="007B0E88" w:rsidRPr="007B0E88" w:rsidRDefault="007B0E88" w:rsidP="007B0E88">
      <w:pPr>
        <w:jc w:val="both"/>
        <w:rPr>
          <w:rFonts w:ascii="Lato" w:hAnsi="Lato"/>
          <w:sz w:val="24"/>
          <w:szCs w:val="24"/>
        </w:rPr>
      </w:pPr>
      <w:r w:rsidRPr="007B0E88">
        <w:rPr>
          <w:rFonts w:ascii="Lato" w:hAnsi="Lato"/>
          <w:sz w:val="24"/>
          <w:szCs w:val="24"/>
        </w:rPr>
        <w:t>Implementacja systemu w 109 bibliotek w 2022 roku była możliwa dzięki systemowi wdrożonemu i wykorzystywanemu z powodzeniem przez Bibliotekę Narodową, Bibliotekę Jagiellońską (drugą co do wielkości książnicę w Polsce i zarazem największą bibliotekę akademicką), dwie biblioteki wojewódzkie – Wojewódzką Bibliotekę Publiczną w Kielcach i Wojewódzką Bibliotekę Publiczną w Lublinie oraz biblioteki Uniwersytetu Mikołaja Kopernika w Toruniu i Katolickiego Uniwersytetu Lubelskiego. Z tych samych narzędzi korzystają najlepsze biblioteki na świecie, w tym Uniwersytetu Harvarda i Oksfordzkiego, a także sieci Bibliotek Narodowych Danii i Szwajcarii wraz z wybranymi bibliotekami uniwersyteckimi tych krajów.</w:t>
      </w:r>
    </w:p>
    <w:p w:rsidR="007B0E88" w:rsidRPr="007B0E88" w:rsidRDefault="007B0E88" w:rsidP="007B0E88">
      <w:pPr>
        <w:jc w:val="both"/>
        <w:rPr>
          <w:rFonts w:ascii="Lato" w:hAnsi="Lato"/>
          <w:sz w:val="24"/>
          <w:szCs w:val="24"/>
        </w:rPr>
      </w:pPr>
      <w:r w:rsidRPr="007B0E88">
        <w:rPr>
          <w:rFonts w:ascii="Lato" w:hAnsi="Lato"/>
          <w:sz w:val="24"/>
          <w:szCs w:val="24"/>
        </w:rPr>
        <w:t>Trwają prace nad przewidzianym na najbliższe lata podłączeniem do systemu kolejnych dużych książnic, w tym wojewódzkich bibliotek publicznych województw: mazowieckiego, łódzkiego, lubuskiego i małopolskiego, bibliotek miejskich w Łodzi i Gdyni, Biblioteki Uniwersyteckiej w Warszawie i Biblioteki Uniwersytetu Opolskiego oraz kolejnej grupy bibliotek publicznych z województw: lubelskiego, łódzkiego i świętokrzyskiego.</w:t>
      </w:r>
    </w:p>
    <w:p w:rsidR="007B0E88" w:rsidRPr="007B0E88" w:rsidRDefault="007B0E88" w:rsidP="007B0E88">
      <w:pPr>
        <w:rPr>
          <w:rFonts w:ascii="Lato" w:hAnsi="Lato"/>
          <w:sz w:val="24"/>
          <w:szCs w:val="24"/>
          <w:u w:val="single"/>
        </w:rPr>
      </w:pPr>
      <w:r w:rsidRPr="007B0E88">
        <w:rPr>
          <w:rFonts w:ascii="Lato" w:hAnsi="Lato"/>
          <w:sz w:val="24"/>
          <w:szCs w:val="24"/>
          <w:u w:val="single"/>
        </w:rPr>
        <w:lastRenderedPageBreak/>
        <w:t xml:space="preserve">Priorytet 2: Inwestycje w infrastrukturę bibliotek publicznych. </w:t>
      </w:r>
    </w:p>
    <w:p w:rsidR="007B0E88" w:rsidRPr="007B0E88" w:rsidRDefault="007B0E88" w:rsidP="007B0E88">
      <w:pPr>
        <w:jc w:val="both"/>
        <w:rPr>
          <w:rFonts w:ascii="Lato" w:hAnsi="Lato"/>
          <w:sz w:val="24"/>
          <w:szCs w:val="24"/>
        </w:rPr>
      </w:pPr>
      <w:r w:rsidRPr="007B0E88">
        <w:rPr>
          <w:rFonts w:ascii="Lato" w:hAnsi="Lato"/>
          <w:sz w:val="24"/>
          <w:szCs w:val="24"/>
        </w:rPr>
        <w:t xml:space="preserve">W ramach Priorytetu realizowany jest Kierunek interwencji 2.1. Infrastruktura bibliotek 2021-2025, który służy dostosowaniu bazy infrastrukturalnej gminnych bibliotek publicznych do współczesnych standardów obiektów użyteczności publicznej; stworzeniu warunków lokalowo-technicznych do rozwijania kompetencji społecznych i kulturowych mieszkańców, w tym służących podnoszeniu ich kompetencji czytelniczych; zwiększeniu poziomu atrakcyjności świadczonych usług bibliotecznych, w szczególności poprzez odpowiednią aranżację przestrzeni i wyposażenie bibliotek. </w:t>
      </w:r>
    </w:p>
    <w:p w:rsidR="007B0E88" w:rsidRPr="007B0E88" w:rsidRDefault="007B0E88" w:rsidP="007B0E88">
      <w:pPr>
        <w:jc w:val="both"/>
        <w:rPr>
          <w:rFonts w:ascii="Lato" w:hAnsi="Lato"/>
          <w:sz w:val="24"/>
          <w:szCs w:val="24"/>
        </w:rPr>
      </w:pPr>
      <w:r w:rsidRPr="007B0E88">
        <w:rPr>
          <w:rFonts w:ascii="Lato" w:hAnsi="Lato"/>
          <w:sz w:val="24"/>
          <w:szCs w:val="24"/>
        </w:rPr>
        <w:t xml:space="preserve">W Priorytecie 2, w ramach konkursów ogłaszanych dla Kierunku interwencji 2.1., można ubiegać się dofinansowanie projektów, czyli przedsięwzięć polegających na realizacji jednego z następujących zadań: budowa, przebudowa, rekonstrukcja, adaptacja lub modernizacja bibliotecznego obiektu budowlanego, wraz z jego wyposażeniem. Dofinansowanie w K.I. 2.1. wynosi od 500 000 zł do 2 250 000 zł. </w:t>
      </w:r>
    </w:p>
    <w:p w:rsidR="007B0E88" w:rsidRPr="007B0E88" w:rsidRDefault="007B0E88" w:rsidP="007B0E88">
      <w:pPr>
        <w:jc w:val="both"/>
        <w:rPr>
          <w:rFonts w:ascii="Lato" w:hAnsi="Lato"/>
          <w:sz w:val="24"/>
          <w:szCs w:val="24"/>
        </w:rPr>
      </w:pPr>
      <w:r w:rsidRPr="007B0E88">
        <w:rPr>
          <w:rFonts w:ascii="Lato" w:hAnsi="Lato"/>
          <w:sz w:val="24"/>
          <w:szCs w:val="24"/>
        </w:rPr>
        <w:t xml:space="preserve">W 2022 roku ogłoszono i rozstrzygnięto II nabór wniosków do konkursu w ramach NPRCz 2.0, Priorytet 2 Kierunek interwencji 2.1. „Infrastruktura bibliotek 2021-2025”. Nabór wniosków dotyczył zadań rozpoczynających się (także dofinansowaniem) w 2022 r. Uprawnieni wnioskodawcy, zgodnie z zapisami </w:t>
      </w:r>
      <w:r w:rsidRPr="007B0E88">
        <w:rPr>
          <w:rFonts w:ascii="Arial Narrow" w:hAnsi="Arial Narrow"/>
          <w:sz w:val="24"/>
          <w:szCs w:val="24"/>
        </w:rPr>
        <w:t>§</w:t>
      </w:r>
      <w:r w:rsidRPr="007B0E88">
        <w:rPr>
          <w:rFonts w:ascii="Lato" w:hAnsi="Lato"/>
          <w:sz w:val="24"/>
          <w:szCs w:val="24"/>
        </w:rPr>
        <w:t xml:space="preserve"> 2 regulaminu konkursu to:</w:t>
      </w:r>
    </w:p>
    <w:p w:rsidR="007B0E88" w:rsidRPr="007B0E88" w:rsidRDefault="007B0E88" w:rsidP="00EB16D2">
      <w:pPr>
        <w:numPr>
          <w:ilvl w:val="0"/>
          <w:numId w:val="11"/>
        </w:numPr>
        <w:contextualSpacing/>
        <w:jc w:val="both"/>
        <w:rPr>
          <w:rFonts w:ascii="Lato" w:hAnsi="Lato"/>
          <w:sz w:val="24"/>
          <w:szCs w:val="24"/>
        </w:rPr>
      </w:pPr>
      <w:r w:rsidRPr="007B0E88">
        <w:rPr>
          <w:rFonts w:ascii="Lato" w:hAnsi="Lato"/>
          <w:sz w:val="24"/>
          <w:szCs w:val="24"/>
        </w:rPr>
        <w:t xml:space="preserve">samorządowe instytucje kultury </w:t>
      </w:r>
    </w:p>
    <w:p w:rsidR="007B0E88" w:rsidRPr="007B0E88" w:rsidRDefault="007B0E88" w:rsidP="00EB16D2">
      <w:pPr>
        <w:numPr>
          <w:ilvl w:val="0"/>
          <w:numId w:val="11"/>
        </w:numPr>
        <w:contextualSpacing/>
        <w:jc w:val="both"/>
        <w:rPr>
          <w:rFonts w:ascii="Lato" w:hAnsi="Lato"/>
          <w:sz w:val="24"/>
          <w:szCs w:val="24"/>
        </w:rPr>
      </w:pPr>
      <w:r w:rsidRPr="007B0E88">
        <w:rPr>
          <w:rFonts w:ascii="Lato" w:hAnsi="Lato"/>
          <w:sz w:val="24"/>
          <w:szCs w:val="24"/>
        </w:rPr>
        <w:t>gminne biblioteki publiczne będące samodzielnymi instytucjami kultury oraz</w:t>
      </w:r>
    </w:p>
    <w:p w:rsidR="007B0E88" w:rsidRPr="007B0E88" w:rsidRDefault="007B0E88" w:rsidP="00EB16D2">
      <w:pPr>
        <w:numPr>
          <w:ilvl w:val="0"/>
          <w:numId w:val="11"/>
        </w:numPr>
        <w:contextualSpacing/>
        <w:jc w:val="both"/>
        <w:rPr>
          <w:rFonts w:ascii="Lato" w:hAnsi="Lato"/>
          <w:sz w:val="24"/>
          <w:szCs w:val="24"/>
        </w:rPr>
      </w:pPr>
      <w:r w:rsidRPr="007B0E88">
        <w:rPr>
          <w:rFonts w:ascii="Lato" w:hAnsi="Lato"/>
          <w:sz w:val="24"/>
          <w:szCs w:val="24"/>
        </w:rPr>
        <w:t xml:space="preserve">gminne instytucje kultury, w skład których wchodzą wyodrębnione organizacyjnie biblioteki publiczne, dla których organem założycielskim jest odpowiednio: gmina wiejska i gmina miejsko-wiejska bez ograniczenia liczby mieszkańców oraz gmina miejska do 100 tys. mieszkańców. </w:t>
      </w:r>
    </w:p>
    <w:p w:rsidR="007B0E88" w:rsidRPr="007B0E88" w:rsidRDefault="007B0E88" w:rsidP="007B0E88">
      <w:pPr>
        <w:jc w:val="both"/>
        <w:rPr>
          <w:rFonts w:ascii="Lato" w:hAnsi="Lato"/>
          <w:sz w:val="24"/>
          <w:szCs w:val="24"/>
        </w:rPr>
      </w:pPr>
    </w:p>
    <w:p w:rsidR="007B0E88" w:rsidRPr="007B0E88" w:rsidRDefault="007B0E88" w:rsidP="007B0E88">
      <w:pPr>
        <w:jc w:val="both"/>
        <w:rPr>
          <w:rFonts w:ascii="Lato" w:hAnsi="Lato"/>
          <w:sz w:val="24"/>
          <w:szCs w:val="24"/>
        </w:rPr>
      </w:pPr>
      <w:r w:rsidRPr="007B0E88">
        <w:rPr>
          <w:rFonts w:ascii="Lato" w:hAnsi="Lato"/>
          <w:sz w:val="24"/>
          <w:szCs w:val="24"/>
        </w:rPr>
        <w:t>W II naborze wniosków przeprowadzonej w ramach Kierunku interwencji: 2.1.: Infrastruktura bibliotek 2021–2025 złożono 110 wniosków, w tym 103 wnioski poprawne formalne na łączną kwotę dofinansowania 148 792 tys. zł oraz 7 wniosków błędnych formalnie.</w:t>
      </w:r>
    </w:p>
    <w:p w:rsidR="007B0E88" w:rsidRPr="007B0E88" w:rsidRDefault="007B0E88" w:rsidP="007B0E88">
      <w:pPr>
        <w:jc w:val="both"/>
        <w:rPr>
          <w:rFonts w:ascii="Lato" w:hAnsi="Lato"/>
          <w:sz w:val="24"/>
          <w:szCs w:val="24"/>
        </w:rPr>
      </w:pPr>
      <w:r w:rsidRPr="007B0E88">
        <w:rPr>
          <w:rFonts w:ascii="Lato" w:hAnsi="Lato"/>
          <w:sz w:val="24"/>
          <w:szCs w:val="24"/>
        </w:rPr>
        <w:t xml:space="preserve">Poprawne formalnie wnioski złożyli wnioskodawcy ze wszystkich województw w kraju, najwięcej wnioskodawców pochodziło z Mazowsza (19), Śląska (12) i Dolnego Śląska (10). </w:t>
      </w:r>
    </w:p>
    <w:p w:rsidR="007B0E88" w:rsidRPr="007B0E88" w:rsidRDefault="007B0E88" w:rsidP="007B0E88">
      <w:pPr>
        <w:jc w:val="both"/>
        <w:rPr>
          <w:rFonts w:ascii="Lato" w:hAnsi="Lato"/>
          <w:sz w:val="24"/>
          <w:szCs w:val="24"/>
        </w:rPr>
      </w:pPr>
      <w:r w:rsidRPr="007B0E88">
        <w:rPr>
          <w:rFonts w:ascii="Lato" w:hAnsi="Lato"/>
          <w:sz w:val="24"/>
          <w:szCs w:val="24"/>
        </w:rPr>
        <w:t xml:space="preserve">W ramach II naboru spośród poprawnych formalnie wniosków w procedurze konkursowej dofinansowanie otrzymało 47 wniosków o najwyższej liczbie punktów uzyskanych w ocenie merytorycznej i strategicznej łącznie, na łączną kwotę dofinansowania 78 711 tys. zł. Dodatkowo dofinansowanie w procedurze odwoławczej otrzymało 16 bibliotek. Do września 2022 r. z realizacji zadań zrezygnowało łącznie 6 beneficjentów II naboru wniosków. Dzięki wdrożeniu zapisów </w:t>
      </w:r>
      <w:r w:rsidRPr="007B0E88">
        <w:rPr>
          <w:rFonts w:ascii="Arial Narrow" w:hAnsi="Arial Narrow"/>
          <w:sz w:val="24"/>
          <w:szCs w:val="24"/>
        </w:rPr>
        <w:t>§</w:t>
      </w:r>
      <w:r w:rsidRPr="007B0E88">
        <w:rPr>
          <w:rFonts w:ascii="Lato" w:hAnsi="Lato"/>
          <w:sz w:val="24"/>
          <w:szCs w:val="24"/>
        </w:rPr>
        <w:t xml:space="preserve"> 4 ust. 8 regulaminu konkursu i po akceptacji przez Ministra KiDN zaktualizowanych list rankingowych, po rezygnacjach ww. beneficjentów, dofinansowanie otrzymało 7 dodatkowych bibliotek. Dodatkowo w IV kwartale 2022 r. z realizacji zadań zrezygnowały kolejne podmioty – do końca 2022 r. realizowane są 83 zadania, wśród których znajduje się: 16 adaptacji, 19 </w:t>
      </w:r>
      <w:r w:rsidRPr="007B0E88">
        <w:rPr>
          <w:rFonts w:ascii="Lato" w:hAnsi="Lato"/>
          <w:sz w:val="24"/>
          <w:szCs w:val="24"/>
        </w:rPr>
        <w:lastRenderedPageBreak/>
        <w:t xml:space="preserve">budów, 28 modernizacji, 18 przebudów i 2 rekonstrukcje obiektów bibliotecznych i obejmujące dofinansowania udzielone w ramach I naboru i II naboru, łącznie w procedurach odwoławczych i konkursowych. Łączna wartość zawartych i realizowanych umów przekracza 198 mln zł, z tego ponad 130 mln zł z budżetu państwa. </w:t>
      </w:r>
    </w:p>
    <w:p w:rsidR="007B0E88" w:rsidRPr="007B0E88" w:rsidRDefault="007B0E88" w:rsidP="007B0E88">
      <w:pPr>
        <w:jc w:val="both"/>
        <w:rPr>
          <w:rFonts w:ascii="Lato" w:hAnsi="Lato"/>
          <w:sz w:val="24"/>
          <w:szCs w:val="24"/>
        </w:rPr>
      </w:pPr>
      <w:r w:rsidRPr="007B0E88">
        <w:rPr>
          <w:rFonts w:ascii="Lato" w:hAnsi="Lato"/>
          <w:sz w:val="24"/>
          <w:szCs w:val="24"/>
        </w:rPr>
        <w:t xml:space="preserve">Średnie udzielone dofinansowanie – na podstawie wszystkich umów realizowanych w 2022 r. – wynosi 1 571 683,00 zł, ponad 40% beneficjentów realizujących zadania otrzymało dofinansowanie w kwocie równej lub wyższej niż 2 mln zł. </w:t>
      </w:r>
    </w:p>
    <w:p w:rsidR="007B0E88" w:rsidRPr="007B0E88" w:rsidRDefault="007B0E88" w:rsidP="007B0E88">
      <w:pPr>
        <w:jc w:val="both"/>
        <w:rPr>
          <w:rFonts w:ascii="Lato" w:hAnsi="Lato"/>
          <w:sz w:val="24"/>
          <w:szCs w:val="24"/>
        </w:rPr>
      </w:pPr>
      <w:r w:rsidRPr="007B0E88">
        <w:rPr>
          <w:rFonts w:ascii="Lato" w:hAnsi="Lato"/>
          <w:sz w:val="24"/>
          <w:szCs w:val="24"/>
        </w:rPr>
        <w:t>Największą trudnością dla realizujących zadania w 2022 r. okazał się czynnik zewnętrzny, jakim jest wysoki wskaźnik inflacji. Miało to niekorzystny wpływ na płynność prowadzonych inwestycji, wymuszało niejednokrotnie konieczność pozyskania dodatkowego finansowania zadania, uniemożliwiało sprawne wyłonienie wykonawców w prowadzonych procedurach przetargowych. Jako przyczyny odstąpienia od realizacji zadań (14 przypadków w 2022 r.) wskazywano m.in.: dofinansowanie uzyskane przez gminę w ramach innych programów dotacyjnych, znaczący wzrost kosztów realizacji przedsięwzięcia uniemożliwiający realizację zadania w założonej perspektywie czasowej, niemożność wyłonienia wykonawcy mimo przeprowadzenia procedury przetargowej.</w:t>
      </w:r>
    </w:p>
    <w:p w:rsidR="007B0E88" w:rsidRPr="007B0E88" w:rsidRDefault="007B0E88" w:rsidP="007B0E88">
      <w:pPr>
        <w:jc w:val="both"/>
        <w:rPr>
          <w:rFonts w:ascii="Lato" w:hAnsi="Lato"/>
          <w:sz w:val="24"/>
          <w:szCs w:val="24"/>
        </w:rPr>
      </w:pPr>
      <w:r w:rsidRPr="007B0E88">
        <w:rPr>
          <w:rFonts w:ascii="Lato" w:hAnsi="Lato"/>
          <w:sz w:val="24"/>
          <w:szCs w:val="24"/>
        </w:rPr>
        <w:t>W ramach działań informacyjnych i upowszechniających Instytut Książki jako Operator Priorytetu 2 podjął działania polegające na:</w:t>
      </w:r>
    </w:p>
    <w:p w:rsidR="007B0E88" w:rsidRPr="007B0E88" w:rsidRDefault="007B0E88" w:rsidP="00EB16D2">
      <w:pPr>
        <w:numPr>
          <w:ilvl w:val="0"/>
          <w:numId w:val="12"/>
        </w:numPr>
        <w:contextualSpacing/>
        <w:jc w:val="both"/>
        <w:rPr>
          <w:rFonts w:ascii="Lato" w:hAnsi="Lato"/>
          <w:sz w:val="24"/>
          <w:szCs w:val="24"/>
        </w:rPr>
      </w:pPr>
      <w:r w:rsidRPr="007B0E88">
        <w:rPr>
          <w:rFonts w:ascii="Lato" w:hAnsi="Lato"/>
          <w:sz w:val="24"/>
          <w:szCs w:val="24"/>
        </w:rPr>
        <w:t xml:space="preserve">zorganizowaniu konferencji eksperckiej pt. „Infrastruktura bibliotek: pomysły, realizacje, doświadczenia”. Dwudniowe wydarzenie odbyło się w obiekcie beneficjenta „Infrastruktury bibliotek 2021-2025”, czyli w Miejskiej Bibliotece Publicznej im. Adama Próchnika w Piotrkowie Trybunalskim (obiekt Mediateki 800-lecia). Celem konferencji było podzielenie się doświadczeniami z planowania i przeprowadzania inwestycji przez specjalistów zaangażowanych przy ich realizacji, dyrektorek i dyrektorów bibliotek oraz przedstawicieli władz samorządowych. </w:t>
      </w:r>
    </w:p>
    <w:p w:rsidR="007B0E88" w:rsidRPr="007B0E88" w:rsidRDefault="007B0E88" w:rsidP="00EB16D2">
      <w:pPr>
        <w:numPr>
          <w:ilvl w:val="0"/>
          <w:numId w:val="12"/>
        </w:numPr>
        <w:contextualSpacing/>
        <w:jc w:val="both"/>
        <w:rPr>
          <w:rFonts w:ascii="Lato" w:hAnsi="Lato"/>
          <w:sz w:val="24"/>
          <w:szCs w:val="24"/>
        </w:rPr>
      </w:pPr>
      <w:r w:rsidRPr="007B0E88">
        <w:rPr>
          <w:rFonts w:ascii="Lato" w:hAnsi="Lato"/>
          <w:sz w:val="24"/>
          <w:szCs w:val="24"/>
        </w:rPr>
        <w:t xml:space="preserve">przeprowadzeniu cyklu 15 szkoleń online dla wnioskodawców Kierunku interwencji 2.1. Szkolenia były prowadzone na żywo, a materiały z nich zostały udostępnione na stronie internetowej Instytutu Książki. </w:t>
      </w:r>
    </w:p>
    <w:p w:rsidR="007B0E88" w:rsidRPr="007B0E88" w:rsidRDefault="007B0E88" w:rsidP="00EB16D2">
      <w:pPr>
        <w:numPr>
          <w:ilvl w:val="0"/>
          <w:numId w:val="12"/>
        </w:numPr>
        <w:contextualSpacing/>
        <w:jc w:val="both"/>
        <w:rPr>
          <w:rFonts w:ascii="Lato" w:hAnsi="Lato"/>
          <w:sz w:val="24"/>
          <w:szCs w:val="24"/>
        </w:rPr>
      </w:pPr>
      <w:r w:rsidRPr="007B0E88">
        <w:rPr>
          <w:rFonts w:ascii="Lato" w:hAnsi="Lato"/>
          <w:sz w:val="24"/>
          <w:szCs w:val="24"/>
        </w:rPr>
        <w:t xml:space="preserve">wydaniu publikacji „Dobre miejsca. Reporterska podróż po bibliotekach”: 7 tekstów przygotowanych przez reportażystów poświęconych 7 różnym bibliotekom-beneficjentom oraz materiał fotograficzny przygotowany specjalnie na cele publikacji. </w:t>
      </w:r>
      <w:proofErr w:type="spellStart"/>
      <w:r w:rsidRPr="007B0E88">
        <w:rPr>
          <w:rFonts w:ascii="Lato" w:hAnsi="Lato"/>
          <w:sz w:val="24"/>
          <w:szCs w:val="24"/>
        </w:rPr>
        <w:t>Wieloautorska</w:t>
      </w:r>
      <w:proofErr w:type="spellEnd"/>
      <w:r w:rsidRPr="007B0E88">
        <w:rPr>
          <w:rFonts w:ascii="Lato" w:hAnsi="Lato"/>
          <w:sz w:val="24"/>
          <w:szCs w:val="24"/>
        </w:rPr>
        <w:t xml:space="preserve"> publikacja powstała w formacie pdf, jest dostępna bezpłatnie stronie Instytutu Książki . Odbiorcami publikacji są przede wszystkim potencjalni wnioskodawcy „Infrastruktury bibliotek”, w tym  także przedstawiciele samorządów, </w:t>
      </w:r>
    </w:p>
    <w:p w:rsidR="007B0E88" w:rsidRPr="007B0E88" w:rsidRDefault="007B0E88" w:rsidP="00EB16D2">
      <w:pPr>
        <w:numPr>
          <w:ilvl w:val="0"/>
          <w:numId w:val="12"/>
        </w:numPr>
        <w:contextualSpacing/>
        <w:jc w:val="both"/>
        <w:rPr>
          <w:rFonts w:ascii="Lato" w:hAnsi="Lato"/>
          <w:sz w:val="24"/>
          <w:szCs w:val="24"/>
        </w:rPr>
      </w:pPr>
      <w:r w:rsidRPr="007B0E88">
        <w:rPr>
          <w:rFonts w:ascii="Lato" w:hAnsi="Lato"/>
          <w:sz w:val="24"/>
          <w:szCs w:val="24"/>
        </w:rPr>
        <w:t xml:space="preserve">Opracowaniu materiałów filmowych o charakterze instruktażowo-informacyjnym, poświęcone „Infrastrukturze bibliotek”. Powstało 6 kilkuminowych filmów, w których wypowiadają się przedstawiciele i przedstawicielki bibliotek-beneficjentów, a także społeczność lokalna – czytelnicy, użytkownicy, przedstawiciele władzy samorządowej. Filmy </w:t>
      </w:r>
      <w:r w:rsidRPr="007B0E88">
        <w:rPr>
          <w:rFonts w:ascii="Lato" w:hAnsi="Lato"/>
          <w:sz w:val="24"/>
          <w:szCs w:val="24"/>
        </w:rPr>
        <w:lastRenderedPageBreak/>
        <w:t>skierowane są w głównej mierze do potencjalnych wnioskodawców. Materiał jest dostępny m.in. na kanale YouTube Instytutu Książki.</w:t>
      </w:r>
    </w:p>
    <w:p w:rsidR="007B0E88" w:rsidRPr="007B0E88" w:rsidRDefault="007B0E88" w:rsidP="007B0E88">
      <w:pPr>
        <w:ind w:left="720"/>
        <w:contextualSpacing/>
        <w:jc w:val="both"/>
        <w:rPr>
          <w:rFonts w:ascii="Lato" w:hAnsi="Lato"/>
          <w:sz w:val="24"/>
          <w:szCs w:val="24"/>
        </w:rPr>
      </w:pPr>
    </w:p>
    <w:p w:rsidR="00995421" w:rsidRDefault="007B0E88" w:rsidP="00995421">
      <w:pPr>
        <w:contextualSpacing/>
        <w:jc w:val="both"/>
        <w:rPr>
          <w:rFonts w:ascii="Lato" w:hAnsi="Lato"/>
          <w:sz w:val="24"/>
          <w:szCs w:val="24"/>
          <w:u w:val="single"/>
        </w:rPr>
      </w:pPr>
      <w:r w:rsidRPr="007B0E88">
        <w:rPr>
          <w:rFonts w:ascii="Lato" w:hAnsi="Lato"/>
          <w:sz w:val="24"/>
          <w:szCs w:val="24"/>
          <w:u w:val="single"/>
        </w:rPr>
        <w:t>Priorytet 3 Zakup nowości wydawniczych do placówek wychowania przedszkolnego, bibliotek szkolnych i pedagogicznych</w:t>
      </w:r>
    </w:p>
    <w:p w:rsidR="00995421" w:rsidRDefault="00995421" w:rsidP="00995421">
      <w:pPr>
        <w:contextualSpacing/>
        <w:jc w:val="both"/>
        <w:rPr>
          <w:rFonts w:ascii="Lato" w:hAnsi="Lato"/>
          <w:sz w:val="24"/>
          <w:szCs w:val="24"/>
          <w:u w:val="single"/>
        </w:rPr>
      </w:pPr>
    </w:p>
    <w:p w:rsidR="007B0E88" w:rsidRPr="00995421" w:rsidRDefault="007B0E88" w:rsidP="00995421">
      <w:pPr>
        <w:contextualSpacing/>
        <w:jc w:val="both"/>
        <w:rPr>
          <w:rFonts w:ascii="Lato" w:hAnsi="Lato"/>
          <w:sz w:val="24"/>
          <w:szCs w:val="24"/>
          <w:u w:val="single"/>
        </w:rPr>
      </w:pPr>
      <w:r w:rsidRPr="007B0E88">
        <w:rPr>
          <w:rFonts w:ascii="Lato" w:hAnsi="Lato"/>
          <w:sz w:val="24"/>
          <w:szCs w:val="16"/>
        </w:rPr>
        <w:t>Kolejną częścią Narodowego Programu Rozwoju Czytelnictwa 2.0 jest Priorytet 3 i</w:t>
      </w:r>
      <w:r w:rsidR="00995421">
        <w:rPr>
          <w:rFonts w:ascii="Lato" w:hAnsi="Lato"/>
          <w:sz w:val="24"/>
          <w:szCs w:val="16"/>
        </w:rPr>
        <w:t> </w:t>
      </w:r>
      <w:r w:rsidRPr="007B0E88">
        <w:rPr>
          <w:rFonts w:ascii="Lato" w:hAnsi="Lato"/>
          <w:sz w:val="24"/>
          <w:szCs w:val="16"/>
        </w:rPr>
        <w:t>realizowane w jego ramach Kierunek interwencji 3.1. Zakup nowości wydawniczych do placówek wychowania przedszkolnego oraz Kierunek interwencji 3.2. Zakup nowości wydawniczych oraz elementów wyposażenia do bibliotek szkolnych i pedagogicznych.</w:t>
      </w:r>
    </w:p>
    <w:p w:rsidR="007B0E88" w:rsidRPr="007B0E88" w:rsidRDefault="007B0E88" w:rsidP="00995421">
      <w:pPr>
        <w:jc w:val="both"/>
        <w:rPr>
          <w:rFonts w:ascii="Lato" w:hAnsi="Lato"/>
          <w:sz w:val="24"/>
          <w:szCs w:val="24"/>
        </w:rPr>
      </w:pPr>
      <w:r w:rsidRPr="007B0E88">
        <w:rPr>
          <w:rFonts w:ascii="Lato" w:hAnsi="Lato"/>
          <w:sz w:val="24"/>
          <w:szCs w:val="24"/>
        </w:rPr>
        <w:t>W 2022 r. w ramach Priorytetu 3 wsparcie mogły otrzymać:</w:t>
      </w:r>
    </w:p>
    <w:p w:rsidR="007B0E88" w:rsidRPr="007B0E88" w:rsidRDefault="007B0E88" w:rsidP="00EB16D2">
      <w:pPr>
        <w:numPr>
          <w:ilvl w:val="0"/>
          <w:numId w:val="13"/>
        </w:numPr>
        <w:contextualSpacing/>
        <w:jc w:val="both"/>
        <w:rPr>
          <w:rFonts w:ascii="Lato" w:hAnsi="Lato"/>
          <w:sz w:val="24"/>
          <w:szCs w:val="24"/>
        </w:rPr>
      </w:pPr>
      <w:r w:rsidRPr="007B0E88">
        <w:rPr>
          <w:rFonts w:ascii="Lato" w:hAnsi="Lato"/>
          <w:sz w:val="24"/>
          <w:szCs w:val="24"/>
        </w:rPr>
        <w:t>w ramach Kierunku interwencji 3.1. - placówki wychowania przedszkolnego – na zakup książek dla dzieci oraz działania promujące czytelnictwo,</w:t>
      </w:r>
    </w:p>
    <w:p w:rsidR="007B0E88" w:rsidRPr="007B0E88" w:rsidRDefault="007B0E88" w:rsidP="00EB16D2">
      <w:pPr>
        <w:numPr>
          <w:ilvl w:val="0"/>
          <w:numId w:val="13"/>
        </w:numPr>
        <w:contextualSpacing/>
        <w:jc w:val="both"/>
        <w:rPr>
          <w:rFonts w:ascii="Lato" w:hAnsi="Lato"/>
          <w:sz w:val="24"/>
          <w:szCs w:val="24"/>
        </w:rPr>
      </w:pPr>
      <w:r w:rsidRPr="007B0E88">
        <w:rPr>
          <w:rFonts w:ascii="Lato" w:hAnsi="Lato"/>
          <w:sz w:val="24"/>
          <w:szCs w:val="24"/>
        </w:rPr>
        <w:t>w ramach Kierunku interwencji 3.2. - szkoły i biblioteki pedagogiczne - na zakup książek oraz elementów wyposażenia do bibliotek dzieci oraz działania promujące czytelnictwo.</w:t>
      </w:r>
    </w:p>
    <w:p w:rsidR="007B0E88" w:rsidRPr="007B0E88" w:rsidRDefault="007B0E88" w:rsidP="007B0E88">
      <w:pPr>
        <w:ind w:left="1146"/>
        <w:contextualSpacing/>
        <w:jc w:val="both"/>
        <w:rPr>
          <w:rFonts w:ascii="Lato" w:hAnsi="Lato"/>
          <w:sz w:val="24"/>
          <w:szCs w:val="24"/>
        </w:rPr>
      </w:pPr>
    </w:p>
    <w:p w:rsidR="007B0E88" w:rsidRPr="007B0E88" w:rsidRDefault="007B0E88" w:rsidP="00995421">
      <w:pPr>
        <w:jc w:val="both"/>
        <w:rPr>
          <w:rFonts w:ascii="Lato" w:hAnsi="Lato"/>
          <w:sz w:val="24"/>
          <w:szCs w:val="24"/>
        </w:rPr>
      </w:pPr>
      <w:r w:rsidRPr="007B0E88">
        <w:rPr>
          <w:rFonts w:ascii="Lato" w:hAnsi="Lato"/>
          <w:sz w:val="24"/>
          <w:szCs w:val="24"/>
        </w:rPr>
        <w:t xml:space="preserve">O prawie półtora miliona książek wzbogaciły się placówki wychowania przedszkolnego, szkoły podstawowe i ponadpodstawowe oraz biblioteki pedagogiczne, które w 2022 roku wzięły udział w Priorytecie 3 Narodowego Programu Rozwoju Czytelnictwa 2.0. </w:t>
      </w:r>
    </w:p>
    <w:p w:rsidR="007B0E88" w:rsidRPr="007B0E88" w:rsidRDefault="007B0E88" w:rsidP="00995421">
      <w:pPr>
        <w:jc w:val="both"/>
        <w:rPr>
          <w:rFonts w:ascii="Lato" w:hAnsi="Lato"/>
          <w:sz w:val="24"/>
          <w:szCs w:val="24"/>
        </w:rPr>
      </w:pPr>
      <w:r w:rsidRPr="007B0E88">
        <w:rPr>
          <w:rFonts w:ascii="Lato" w:hAnsi="Lato"/>
          <w:sz w:val="24"/>
          <w:szCs w:val="24"/>
        </w:rPr>
        <w:t xml:space="preserve">Ogółem na realizacje Priorytetu 3 została przeznaczona z budżetu państwa kwota 29 538 </w:t>
      </w:r>
      <w:proofErr w:type="spellStart"/>
      <w:r w:rsidRPr="007B0E88">
        <w:rPr>
          <w:rFonts w:ascii="Lato" w:hAnsi="Lato"/>
          <w:sz w:val="24"/>
          <w:szCs w:val="24"/>
        </w:rPr>
        <w:t>tys</w:t>
      </w:r>
      <w:proofErr w:type="spellEnd"/>
      <w:r w:rsidRPr="007B0E88">
        <w:rPr>
          <w:rFonts w:ascii="Lato" w:hAnsi="Lato"/>
          <w:sz w:val="24"/>
          <w:szCs w:val="24"/>
        </w:rPr>
        <w:t xml:space="preserve"> zł, a wykorzystano 29 375 tys. zł (99,4% zaplanowanych środków). </w:t>
      </w:r>
    </w:p>
    <w:p w:rsidR="007B0E88" w:rsidRPr="007B0E88" w:rsidRDefault="007B0E88" w:rsidP="00995421">
      <w:pPr>
        <w:jc w:val="both"/>
        <w:rPr>
          <w:rFonts w:ascii="Lato" w:hAnsi="Lato"/>
          <w:sz w:val="24"/>
          <w:szCs w:val="24"/>
        </w:rPr>
      </w:pPr>
      <w:r w:rsidRPr="007B0E88">
        <w:rPr>
          <w:rFonts w:ascii="Lato" w:hAnsi="Lato"/>
          <w:sz w:val="24"/>
          <w:szCs w:val="24"/>
        </w:rPr>
        <w:t>W ramach Kierunku interwencji 3.1. ze wsparcia skorzystały 2 943 placówki wychowania przedszkolnego, w tym oddziały przedszkolne w szkołach i przedszkola zarówno publiczne, jak i niepubliczne. Do placówek wychowania przedszkolnego zostały zakupione 538 982 książki (w tym 533 805 papierowych, 4 588 audiobooków i 589 książek elektronicznych).</w:t>
      </w:r>
    </w:p>
    <w:p w:rsidR="007B0E88" w:rsidRPr="007B0E88" w:rsidRDefault="007B0E88" w:rsidP="00995421">
      <w:pPr>
        <w:jc w:val="both"/>
        <w:rPr>
          <w:rFonts w:ascii="Lato" w:hAnsi="Lato"/>
          <w:sz w:val="24"/>
          <w:szCs w:val="24"/>
        </w:rPr>
      </w:pPr>
      <w:r w:rsidRPr="007B0E88">
        <w:rPr>
          <w:rFonts w:ascii="Lato" w:hAnsi="Lato"/>
          <w:sz w:val="24"/>
          <w:szCs w:val="24"/>
        </w:rPr>
        <w:t>W ramach Kierunku interwencji 3.2. o wsparcie z budżetu państwa ubiegały się organy prowadzące szkoły podstawowe i ponadpodstawowe oraz szkoły artystyczne realizujące kształcenie ogólne w zakresie szkoły podstawowej lub liceum ogólnokształcące: jednostki samorządu terytorialnego, osoby prawne inne niż jednostki samorządu terytorialnego, osoby fizyczne oraz ministrowie: właściwy do spraw kultury i ochrony dziedzictwa narodowego, właściwy do spraw rolnictwa, właściwy do spraw gospodarki klimatu oraz dyrektor Ośrodka Rozwoju Polskiej Edukacji za Granicą), a także biblioteki pedagogiczne.</w:t>
      </w:r>
    </w:p>
    <w:p w:rsidR="007B0E88" w:rsidRPr="007B0E88" w:rsidRDefault="007B0E88" w:rsidP="00995421">
      <w:pPr>
        <w:jc w:val="both"/>
        <w:rPr>
          <w:rFonts w:ascii="Lato" w:hAnsi="Lato"/>
          <w:sz w:val="24"/>
          <w:szCs w:val="24"/>
        </w:rPr>
      </w:pPr>
      <w:r w:rsidRPr="007B0E88">
        <w:rPr>
          <w:rFonts w:ascii="Lato" w:hAnsi="Lato"/>
          <w:sz w:val="24"/>
          <w:szCs w:val="24"/>
        </w:rPr>
        <w:t>W 2022 r. w programie wzięły udział 2801 szkół  (w tym 2 076 podstawowych i 725 ponadpodstawowe). Zgodnie z założeniami Priorytetu 3, organ prowadzący, który otrzymał wsparcie finansowe, był zobowiązany przeznaczyć nie mniej niż 50% kwoty wsparcia otrzymanego w odniesieniu do danej szkoły lub biblioteki pedagogicznej na zakup książek. Ogółem do bibliotek szkolnych i pedagogicznych zostało zakupionych 935 961 nowości wydawniczych. Odsetek lektur szkolnych sięga 41 %.</w:t>
      </w:r>
    </w:p>
    <w:p w:rsidR="007B0E88" w:rsidRPr="007B0E88" w:rsidRDefault="007B0E88" w:rsidP="00995421">
      <w:pPr>
        <w:jc w:val="both"/>
        <w:rPr>
          <w:rFonts w:ascii="Lato" w:hAnsi="Lato"/>
          <w:sz w:val="24"/>
          <w:szCs w:val="24"/>
        </w:rPr>
      </w:pPr>
      <w:r w:rsidRPr="007B0E88">
        <w:rPr>
          <w:rFonts w:ascii="Lato" w:hAnsi="Lato"/>
          <w:sz w:val="24"/>
          <w:szCs w:val="24"/>
        </w:rPr>
        <w:lastRenderedPageBreak/>
        <w:t>Do wszystkich szkół objętych wsparciem uczęszcza 769 340 uczniów. 393 697 z nich korzystało z nowości wydawniczych zakupionych w ramach Priorytetu 3 NPRCz 2.0. w 2022 roku.</w:t>
      </w:r>
    </w:p>
    <w:p w:rsidR="007B0E88" w:rsidRPr="007B0E88" w:rsidRDefault="007B0E88" w:rsidP="00995421">
      <w:pPr>
        <w:jc w:val="both"/>
        <w:rPr>
          <w:rFonts w:ascii="Lato" w:hAnsi="Lato"/>
          <w:sz w:val="24"/>
          <w:szCs w:val="24"/>
        </w:rPr>
      </w:pPr>
      <w:r w:rsidRPr="007B0E88">
        <w:rPr>
          <w:rFonts w:ascii="Lato" w:hAnsi="Lato"/>
          <w:sz w:val="24"/>
          <w:szCs w:val="24"/>
        </w:rPr>
        <w:t>Biblioteki szkolne i pedagogiczne, które przystąpiły do programu, miały też możliwość przeznaczyć środki na zakup elementów wyposażenia, aby zmienić organizację przestrzenną i odmienić postrzeganie wizerunku biblioteki jako miejsca przyjaznego uczniom. Jak wynika ze sprawozdań, pomieszczenia biblioteczne zostały wyposażone m.in. w: regały biblioteczne, stojaki na książki, pojemniki na karty biblioteczne, stoliki, krzesła, lampki biurkowe, rolety, żaluzje, przekładki alfabetyczne, podpórki do książek, wózek biblioteczny, tablice informacyjne, kanapy, szafki na dokumenty.</w:t>
      </w:r>
    </w:p>
    <w:p w:rsidR="007B0E88" w:rsidRPr="007B0E88" w:rsidRDefault="007B0E88" w:rsidP="00995421">
      <w:pPr>
        <w:jc w:val="both"/>
        <w:rPr>
          <w:rFonts w:ascii="Lato" w:hAnsi="Lato"/>
          <w:sz w:val="24"/>
          <w:szCs w:val="24"/>
        </w:rPr>
      </w:pPr>
      <w:r w:rsidRPr="007B0E88">
        <w:rPr>
          <w:rFonts w:ascii="Lato" w:hAnsi="Lato"/>
          <w:sz w:val="24"/>
          <w:szCs w:val="24"/>
        </w:rPr>
        <w:t xml:space="preserve">Dokonano również zakupu sprzętu, aby stworzyć lub unowocześnić stanowisko pracy nauczyciela bibliotekarza. Zakupione zostały m.in.: lada biblioteczna sprzęt komputerowy, czytniki kodów kreskowych, biblioteczne programy komputerowe, czytniki ebooków. </w:t>
      </w:r>
    </w:p>
    <w:p w:rsidR="007B0E88" w:rsidRPr="007B0E88" w:rsidRDefault="007B0E88" w:rsidP="00995421">
      <w:pPr>
        <w:jc w:val="both"/>
        <w:rPr>
          <w:rFonts w:ascii="Lato" w:hAnsi="Lato"/>
          <w:sz w:val="24"/>
          <w:szCs w:val="24"/>
        </w:rPr>
      </w:pPr>
      <w:r w:rsidRPr="007B0E88">
        <w:rPr>
          <w:rFonts w:ascii="Lato" w:hAnsi="Lato"/>
          <w:sz w:val="24"/>
          <w:szCs w:val="24"/>
        </w:rPr>
        <w:t>W ramach Kierunku interwencji 3.1. i Kierunku interwencji 3.2. placówki wychowania przedszkolnego, szkoły i biblioteki pedagogiczne przeznaczały część środków na prowadzenie działań promujących czytelnictwo. W placówkach wychowania przedszkolnego, szkołach i bibliotekach pedagogicznych były organizowane konkursy, akcje czytelnicze, spotkania z twórcami, warsztaty, zajęcia teatralne, kiermasze książek, wystawy, wieczorki poetycko-literackie. Nawiązana została także współpraca między placówkami wychowania przedszkolnego i szkołami a bibliotekami publicznymi i pedagogicznymi.</w:t>
      </w:r>
    </w:p>
    <w:p w:rsidR="007B0E88" w:rsidRPr="007B0E88" w:rsidRDefault="007B0E88" w:rsidP="00995421">
      <w:pPr>
        <w:contextualSpacing/>
        <w:jc w:val="both"/>
        <w:rPr>
          <w:rFonts w:ascii="Lato" w:hAnsi="Lato"/>
          <w:sz w:val="24"/>
          <w:szCs w:val="24"/>
          <w:u w:val="single"/>
        </w:rPr>
      </w:pPr>
      <w:r w:rsidRPr="007B0E88">
        <w:rPr>
          <w:rFonts w:ascii="Lato" w:hAnsi="Lato"/>
          <w:sz w:val="24"/>
          <w:szCs w:val="24"/>
          <w:u w:val="single"/>
        </w:rPr>
        <w:t>Priorytet 4 Program dotacyjny dla bibliotek oraz promocja czytelnictwa</w:t>
      </w:r>
    </w:p>
    <w:p w:rsidR="007B0E88" w:rsidRPr="007B0E88" w:rsidRDefault="007B0E88" w:rsidP="00995421">
      <w:pPr>
        <w:jc w:val="both"/>
        <w:rPr>
          <w:rFonts w:ascii="Lato" w:hAnsi="Lato"/>
          <w:sz w:val="24"/>
          <w:szCs w:val="24"/>
        </w:rPr>
      </w:pPr>
      <w:r w:rsidRPr="007B0E88">
        <w:rPr>
          <w:rFonts w:ascii="Lato" w:hAnsi="Lato"/>
          <w:sz w:val="24"/>
          <w:szCs w:val="24"/>
        </w:rPr>
        <w:t>Integralną częścią Narodowego Programu Rozwoju Czytelnictwa 2.0 jest także Priorytet 4 i realizowane w jego ramach Kierunek interwencji 4.1. BLISKO – Biblioteka | Lokalność | Inicjatywy | Społeczność | Kooperacja | Oddolność, oraz Kierunek interwencji 4.2. Kampania społeczno-informacyjna.</w:t>
      </w:r>
    </w:p>
    <w:p w:rsidR="007B0E88" w:rsidRPr="007B0E88" w:rsidRDefault="007B0E88" w:rsidP="00995421">
      <w:pPr>
        <w:jc w:val="both"/>
        <w:rPr>
          <w:rFonts w:ascii="Lato" w:hAnsi="Lato"/>
          <w:sz w:val="24"/>
          <w:szCs w:val="24"/>
        </w:rPr>
      </w:pPr>
      <w:r w:rsidRPr="007B0E88">
        <w:rPr>
          <w:rFonts w:ascii="Lato" w:hAnsi="Lato"/>
          <w:sz w:val="24"/>
          <w:szCs w:val="24"/>
        </w:rPr>
        <w:t xml:space="preserve">W drugim naborze BLISKO (2022-2023) ogłoszonym w 2022 r. kwotę blisko 5,5 mln zł Narodowe Centrum Kultury przekazało 46 bibliotekom publicznym w 14 województwach na działania polegające na </w:t>
      </w:r>
      <w:r w:rsidRPr="007B0E88">
        <w:rPr>
          <w:rFonts w:ascii="Lato" w:hAnsi="Lato"/>
          <w:sz w:val="24"/>
          <w:szCs w:val="16"/>
        </w:rPr>
        <w:t>podnoszeniu kompetencji pracowników bibliotek, budowaniu i wzmacnianiu lokalnych partnerstw na rzecz rozwoju czytelnictwa, realizację w partnerstwie projektów edukacyjno-animacyjnych.</w:t>
      </w:r>
      <w:r w:rsidRPr="007B0E88">
        <w:rPr>
          <w:rFonts w:ascii="Lato" w:hAnsi="Lato"/>
          <w:sz w:val="24"/>
          <w:szCs w:val="24"/>
        </w:rPr>
        <w:t xml:space="preserve"> </w:t>
      </w:r>
    </w:p>
    <w:p w:rsidR="007B0E88" w:rsidRPr="007B0E88" w:rsidRDefault="007B0E88" w:rsidP="00995421">
      <w:pPr>
        <w:jc w:val="both"/>
        <w:rPr>
          <w:rFonts w:ascii="Lato" w:hAnsi="Lato"/>
          <w:sz w:val="24"/>
          <w:szCs w:val="24"/>
        </w:rPr>
      </w:pPr>
      <w:r w:rsidRPr="007B0E88">
        <w:rPr>
          <w:rFonts w:ascii="Lato" w:hAnsi="Lato"/>
          <w:sz w:val="24"/>
          <w:szCs w:val="24"/>
        </w:rPr>
        <w:t xml:space="preserve">Dotacje w wysokości od 100 000 zł do 140 000 zł wsparły działania beneficjentów, realizowane w cyklu dwuletnim, w terminie od 28 marca 2022 r. do 15 listopada 2023 r. </w:t>
      </w:r>
    </w:p>
    <w:p w:rsidR="007B0E88" w:rsidRPr="007B0E88" w:rsidRDefault="007B0E88" w:rsidP="00995421">
      <w:pPr>
        <w:jc w:val="both"/>
        <w:rPr>
          <w:rFonts w:ascii="Lato" w:hAnsi="Lato"/>
          <w:sz w:val="24"/>
          <w:szCs w:val="24"/>
        </w:rPr>
      </w:pPr>
      <w:r w:rsidRPr="007B0E88">
        <w:rPr>
          <w:rFonts w:ascii="Lato" w:hAnsi="Lato"/>
          <w:sz w:val="24"/>
          <w:szCs w:val="24"/>
        </w:rPr>
        <w:t xml:space="preserve">Ponadto 49 bibliotek publicznych - beneficjentów pierwszego naboru BLISKO (2021-2022) do 15 listopada 2022 r. realizowało działania w ramach pierwszego naboru. </w:t>
      </w:r>
    </w:p>
    <w:p w:rsidR="00995421" w:rsidRDefault="007B0E88" w:rsidP="00995421">
      <w:pPr>
        <w:jc w:val="both"/>
        <w:rPr>
          <w:rFonts w:ascii="Lato" w:hAnsi="Lato"/>
          <w:sz w:val="24"/>
          <w:szCs w:val="24"/>
        </w:rPr>
      </w:pPr>
      <w:r w:rsidRPr="007B0E88">
        <w:rPr>
          <w:rFonts w:ascii="Lato" w:hAnsi="Lato"/>
          <w:sz w:val="24"/>
          <w:szCs w:val="24"/>
        </w:rPr>
        <w:t xml:space="preserve">W okresie sprawozdawczym w ramach Kierunku interwencji 4.2 realizowano kampanię społeczno-informacyjną z podziałem na kampanię promocyjno-informacyjną oraz społeczno-wizerunkową. </w:t>
      </w:r>
    </w:p>
    <w:p w:rsidR="00995421" w:rsidRDefault="007B0E88" w:rsidP="00995421">
      <w:pPr>
        <w:jc w:val="both"/>
        <w:rPr>
          <w:rFonts w:ascii="Lato" w:hAnsi="Lato"/>
          <w:sz w:val="24"/>
          <w:szCs w:val="24"/>
        </w:rPr>
      </w:pPr>
      <w:r w:rsidRPr="007B0E88">
        <w:rPr>
          <w:rFonts w:ascii="Lato" w:hAnsi="Lato"/>
          <w:sz w:val="24"/>
          <w:szCs w:val="24"/>
        </w:rPr>
        <w:lastRenderedPageBreak/>
        <w:t xml:space="preserve">Kampania informacyjno-promocyjna mająca na celu promocję głównych założeń NPRCz 2.0, promocję działań realizowanych przez poszczególnych Operatorów, zwiększenie wiedzy opinii publicznej o osiągniętych rezultatach oraz promowanie podejmowanych przez biblioteki aktywności dla czytelników była w 2022 r. realizowana poprzez następujące działania: kampanię promocyjną w Internecie, rozbudowę strony internetowej, płatną reklamę na Facebooku, produkcję gadżetów i brandingu, kampanię telewizyjną, kampanię radiową, kampanię w prasie, zapewnienie foto- i </w:t>
      </w:r>
      <w:proofErr w:type="spellStart"/>
      <w:r w:rsidRPr="007B0E88">
        <w:rPr>
          <w:rFonts w:ascii="Lato" w:hAnsi="Lato"/>
          <w:sz w:val="24"/>
          <w:szCs w:val="24"/>
        </w:rPr>
        <w:t>wideorelacji</w:t>
      </w:r>
      <w:proofErr w:type="spellEnd"/>
      <w:r w:rsidRPr="007B0E88">
        <w:rPr>
          <w:rFonts w:ascii="Lato" w:hAnsi="Lato"/>
          <w:sz w:val="24"/>
          <w:szCs w:val="24"/>
        </w:rPr>
        <w:t>, przygotowanie i dystrybucję promocyjnych materiałów graficznych, współprace redakcyjne, stworzenie promocyjnych materiałów w</w:t>
      </w:r>
      <w:r w:rsidR="00995421">
        <w:rPr>
          <w:rFonts w:ascii="Lato" w:hAnsi="Lato"/>
          <w:sz w:val="24"/>
          <w:szCs w:val="24"/>
        </w:rPr>
        <w:t xml:space="preserve">ideo oraz kampanię outdoorową. </w:t>
      </w:r>
      <w:r w:rsidRPr="007B0E88">
        <w:rPr>
          <w:rFonts w:ascii="Lato" w:hAnsi="Lato"/>
          <w:sz w:val="24"/>
          <w:szCs w:val="24"/>
        </w:rPr>
        <w:t>Kampania promocyjna w Internecie służyła przede wszystkim generowaniu ruchu na stronę internetową nprcz.pl i budowaniu zainteresowania wokół 30-sekundowych spotów dla dzieci i seniorów, opartych na przekazie: „nieważne gdzie czytasz, ile, kiedy ani dlacze</w:t>
      </w:r>
      <w:r w:rsidR="00995421">
        <w:rPr>
          <w:rFonts w:ascii="Lato" w:hAnsi="Lato"/>
          <w:sz w:val="24"/>
          <w:szCs w:val="24"/>
        </w:rPr>
        <w:t>go. Czy czytasz? Czytam! A Ty?”</w:t>
      </w:r>
    </w:p>
    <w:p w:rsidR="00995421" w:rsidRDefault="007B0E88" w:rsidP="00995421">
      <w:pPr>
        <w:jc w:val="both"/>
        <w:rPr>
          <w:rFonts w:ascii="Lato" w:hAnsi="Lato"/>
          <w:sz w:val="24"/>
          <w:szCs w:val="24"/>
        </w:rPr>
      </w:pPr>
      <w:r w:rsidRPr="007B0E88">
        <w:rPr>
          <w:rFonts w:ascii="Lato" w:hAnsi="Lato"/>
          <w:sz w:val="24"/>
          <w:szCs w:val="24"/>
        </w:rPr>
        <w:t xml:space="preserve">Rozbudowano stronę internetowa Programu, dostępnej pod nazwą </w:t>
      </w:r>
      <w:hyperlink r:id="rId7" w:history="1">
        <w:r w:rsidRPr="007B0E88">
          <w:rPr>
            <w:rFonts w:ascii="Lato" w:hAnsi="Lato"/>
            <w:color w:val="0563C1" w:themeColor="hyperlink"/>
            <w:sz w:val="24"/>
            <w:szCs w:val="24"/>
            <w:u w:val="single"/>
          </w:rPr>
          <w:t>www.nprcz.pl</w:t>
        </w:r>
      </w:hyperlink>
      <w:r w:rsidRPr="007B0E88">
        <w:rPr>
          <w:rFonts w:ascii="Lato" w:hAnsi="Lato"/>
          <w:sz w:val="24"/>
          <w:szCs w:val="24"/>
        </w:rPr>
        <w:t>, równolegle do strony internetowej prowadzone są profile NPRCz 2.0 w mediach społecznościowych – na Facebooku oraz na Instagram</w:t>
      </w:r>
      <w:r w:rsidR="00995421">
        <w:rPr>
          <w:rFonts w:ascii="Lato" w:hAnsi="Lato"/>
          <w:sz w:val="24"/>
          <w:szCs w:val="24"/>
        </w:rPr>
        <w:t xml:space="preserve">ie, a także kanał na </w:t>
      </w:r>
      <w:proofErr w:type="spellStart"/>
      <w:r w:rsidR="00995421">
        <w:rPr>
          <w:rFonts w:ascii="Lato" w:hAnsi="Lato"/>
          <w:sz w:val="24"/>
          <w:szCs w:val="24"/>
        </w:rPr>
        <w:t>YouTubie</w:t>
      </w:r>
      <w:proofErr w:type="spellEnd"/>
      <w:r w:rsidR="00995421">
        <w:rPr>
          <w:rFonts w:ascii="Lato" w:hAnsi="Lato"/>
          <w:sz w:val="24"/>
          <w:szCs w:val="24"/>
        </w:rPr>
        <w:t xml:space="preserve">. </w:t>
      </w:r>
    </w:p>
    <w:p w:rsidR="00995421" w:rsidRDefault="007B0E88" w:rsidP="00995421">
      <w:pPr>
        <w:jc w:val="both"/>
        <w:rPr>
          <w:rFonts w:ascii="Lato" w:hAnsi="Lato"/>
          <w:sz w:val="24"/>
          <w:szCs w:val="24"/>
        </w:rPr>
      </w:pPr>
      <w:r w:rsidRPr="007B0E88">
        <w:rPr>
          <w:rFonts w:ascii="Lato" w:hAnsi="Lato"/>
          <w:sz w:val="24"/>
          <w:szCs w:val="24"/>
        </w:rPr>
        <w:t xml:space="preserve">W ramach działań dla Operatorów i Beneficjentów –zamówiono pakiety </w:t>
      </w:r>
      <w:proofErr w:type="spellStart"/>
      <w:r w:rsidRPr="007B0E88">
        <w:rPr>
          <w:rFonts w:ascii="Lato" w:hAnsi="Lato"/>
          <w:sz w:val="24"/>
          <w:szCs w:val="24"/>
        </w:rPr>
        <w:t>brandingowe</w:t>
      </w:r>
      <w:proofErr w:type="spellEnd"/>
      <w:r w:rsidRPr="007B0E88">
        <w:rPr>
          <w:rFonts w:ascii="Lato" w:hAnsi="Lato"/>
          <w:sz w:val="24"/>
          <w:szCs w:val="24"/>
        </w:rPr>
        <w:t xml:space="preserve">  NPRCz 2.0 dla wszystkich czterech operatorów Programu, a także dla Ministerstwa Kultury i Dziedzictwa Narodowego jak również zostały opracowane prototypy nowych gadżetów – </w:t>
      </w:r>
      <w:proofErr w:type="spellStart"/>
      <w:r w:rsidRPr="007B0E88">
        <w:rPr>
          <w:rFonts w:ascii="Lato" w:hAnsi="Lato"/>
          <w:sz w:val="24"/>
          <w:szCs w:val="24"/>
        </w:rPr>
        <w:t>worko</w:t>
      </w:r>
      <w:proofErr w:type="spellEnd"/>
      <w:r w:rsidRPr="007B0E88">
        <w:rPr>
          <w:rFonts w:ascii="Lato" w:hAnsi="Lato"/>
          <w:sz w:val="24"/>
          <w:szCs w:val="24"/>
        </w:rPr>
        <w:t>-plecaków oraz etui na książki, których produk</w:t>
      </w:r>
      <w:r w:rsidR="00995421">
        <w:rPr>
          <w:rFonts w:ascii="Lato" w:hAnsi="Lato"/>
          <w:sz w:val="24"/>
          <w:szCs w:val="24"/>
        </w:rPr>
        <w:t xml:space="preserve">cja odbędzie się w 2023 r. </w:t>
      </w:r>
    </w:p>
    <w:p w:rsidR="00995421" w:rsidRDefault="007B0E88" w:rsidP="00995421">
      <w:pPr>
        <w:jc w:val="both"/>
        <w:rPr>
          <w:rFonts w:ascii="Lato" w:hAnsi="Lato"/>
          <w:sz w:val="24"/>
          <w:szCs w:val="24"/>
        </w:rPr>
      </w:pPr>
      <w:r w:rsidRPr="007B0E88">
        <w:rPr>
          <w:rFonts w:ascii="Lato" w:hAnsi="Lato"/>
          <w:sz w:val="24"/>
          <w:szCs w:val="24"/>
        </w:rPr>
        <w:t xml:space="preserve">Kampanie telewizyjne w 2022 r. obejmowały zarówno emisję spotów dla dzieci i seniorów, spoty świąteczne, jak i koprodukcję serii reportaży z bibliotek „Eureka Biblioteka!” prowadzone były również </w:t>
      </w:r>
      <w:r w:rsidR="00995421">
        <w:rPr>
          <w:rFonts w:ascii="Lato" w:hAnsi="Lato"/>
          <w:sz w:val="24"/>
          <w:szCs w:val="24"/>
        </w:rPr>
        <w:t xml:space="preserve">kampanie radiowe oraz w prasie. </w:t>
      </w:r>
    </w:p>
    <w:p w:rsidR="007B0E88" w:rsidRPr="007B0E88" w:rsidRDefault="007B0E88" w:rsidP="00995421">
      <w:pPr>
        <w:jc w:val="both"/>
        <w:rPr>
          <w:rFonts w:ascii="Lato" w:hAnsi="Lato"/>
          <w:sz w:val="24"/>
          <w:szCs w:val="24"/>
        </w:rPr>
      </w:pPr>
      <w:r w:rsidRPr="007B0E88">
        <w:rPr>
          <w:rFonts w:ascii="Lato" w:hAnsi="Lato"/>
          <w:sz w:val="24"/>
          <w:szCs w:val="24"/>
        </w:rPr>
        <w:t xml:space="preserve">W 2022 roku powstały również 4 odcinki animacji z „Molami Książkowymi” – bohaterami marki, do których głosów użyczyli m.in. Małgorzata Kożuchowska, Cezary Żak, Ewa Szykulska, Natalia Kukulska, Reni </w:t>
      </w:r>
      <w:proofErr w:type="spellStart"/>
      <w:r w:rsidRPr="007B0E88">
        <w:rPr>
          <w:rFonts w:ascii="Lato" w:hAnsi="Lato"/>
          <w:sz w:val="24"/>
          <w:szCs w:val="24"/>
        </w:rPr>
        <w:t>Jusis</w:t>
      </w:r>
      <w:proofErr w:type="spellEnd"/>
      <w:r w:rsidRPr="007B0E88">
        <w:rPr>
          <w:rFonts w:ascii="Lato" w:hAnsi="Lato"/>
          <w:sz w:val="24"/>
          <w:szCs w:val="24"/>
        </w:rPr>
        <w:t xml:space="preserve">, Karol Kłos. </w:t>
      </w:r>
    </w:p>
    <w:p w:rsidR="007B0E88" w:rsidRPr="007B0E88" w:rsidRDefault="007B0E88" w:rsidP="00995421">
      <w:pPr>
        <w:jc w:val="both"/>
        <w:rPr>
          <w:rFonts w:ascii="Lato" w:hAnsi="Lato"/>
          <w:sz w:val="24"/>
          <w:szCs w:val="24"/>
        </w:rPr>
      </w:pPr>
      <w:r w:rsidRPr="007B0E88">
        <w:rPr>
          <w:rFonts w:ascii="Lato" w:hAnsi="Lato"/>
          <w:sz w:val="24"/>
          <w:szCs w:val="24"/>
        </w:rPr>
        <w:t xml:space="preserve">Działania ambientowe w 2022 r. objęły organizację dwóch wydarzeń z serii „Czytanie na trawie” w Warszawie. Pierwszemu wydarzeniu, które odbyło się 11 czerwca 2022 r. w Parku Królikarnia, oprócz przygotowanych stref literackich aktywności towarzyszyło wydarzenie specjalne – </w:t>
      </w:r>
      <w:proofErr w:type="spellStart"/>
      <w:r w:rsidRPr="007B0E88">
        <w:rPr>
          <w:rFonts w:ascii="Lato" w:hAnsi="Lato"/>
          <w:sz w:val="24"/>
          <w:szCs w:val="24"/>
        </w:rPr>
        <w:t>mapping</w:t>
      </w:r>
      <w:proofErr w:type="spellEnd"/>
      <w:r w:rsidRPr="007B0E88">
        <w:rPr>
          <w:rFonts w:ascii="Lato" w:hAnsi="Lato"/>
          <w:sz w:val="24"/>
          <w:szCs w:val="24"/>
        </w:rPr>
        <w:t xml:space="preserve"> czyli spektakl dźwięku i światła. </w:t>
      </w:r>
    </w:p>
    <w:p w:rsidR="007B0E88" w:rsidRPr="007B0E88" w:rsidRDefault="007B0E88" w:rsidP="00995421">
      <w:pPr>
        <w:jc w:val="both"/>
        <w:rPr>
          <w:rFonts w:ascii="Lato" w:hAnsi="Lato"/>
          <w:sz w:val="24"/>
          <w:szCs w:val="24"/>
        </w:rPr>
      </w:pPr>
      <w:r w:rsidRPr="007B0E88">
        <w:rPr>
          <w:rFonts w:ascii="Lato" w:hAnsi="Lato"/>
          <w:sz w:val="24"/>
          <w:szCs w:val="24"/>
        </w:rPr>
        <w:t xml:space="preserve">Drugie wydarzenie odbyło się 24 września 2022 r. w Ogrodach BUW w podobnej formule jednak </w:t>
      </w:r>
      <w:proofErr w:type="spellStart"/>
      <w:r w:rsidRPr="007B0E88">
        <w:rPr>
          <w:rFonts w:ascii="Lato" w:hAnsi="Lato"/>
          <w:sz w:val="24"/>
          <w:szCs w:val="24"/>
        </w:rPr>
        <w:t>mapping</w:t>
      </w:r>
      <w:proofErr w:type="spellEnd"/>
      <w:r w:rsidRPr="007B0E88">
        <w:rPr>
          <w:rFonts w:ascii="Lato" w:hAnsi="Lato"/>
          <w:sz w:val="24"/>
          <w:szCs w:val="24"/>
        </w:rPr>
        <w:t xml:space="preserve"> został zastąpiony poszerzoną strefą warsztatowo-animacyjną. </w:t>
      </w:r>
    </w:p>
    <w:p w:rsidR="007B0E88" w:rsidRPr="007B0E88" w:rsidRDefault="007B0E88" w:rsidP="00995421">
      <w:pPr>
        <w:contextualSpacing/>
        <w:jc w:val="both"/>
        <w:rPr>
          <w:rFonts w:ascii="Lato" w:hAnsi="Lato"/>
          <w:sz w:val="24"/>
          <w:szCs w:val="24"/>
          <w:u w:val="single"/>
        </w:rPr>
      </w:pPr>
      <w:r w:rsidRPr="007B0E88">
        <w:rPr>
          <w:rFonts w:ascii="Lato" w:hAnsi="Lato"/>
          <w:sz w:val="24"/>
          <w:szCs w:val="24"/>
          <w:u w:val="single"/>
        </w:rPr>
        <w:t>Zadania zrealizowane w 2022 r. zgodnie z założeniami Planu Ewaluacji i Monitoringu NPRCz 2.0</w:t>
      </w:r>
    </w:p>
    <w:p w:rsidR="007B0E88" w:rsidRPr="007B0E88" w:rsidRDefault="007B0E88" w:rsidP="00995421">
      <w:pPr>
        <w:jc w:val="both"/>
        <w:rPr>
          <w:rFonts w:ascii="Lato" w:hAnsi="Lato"/>
          <w:sz w:val="24"/>
          <w:szCs w:val="24"/>
        </w:rPr>
      </w:pPr>
      <w:r w:rsidRPr="007B0E88">
        <w:rPr>
          <w:rFonts w:ascii="Lato" w:hAnsi="Lato"/>
          <w:sz w:val="24"/>
          <w:szCs w:val="24"/>
        </w:rPr>
        <w:t>Zgodnie z założeniami Planu Ewaluacji i Monitoringu w roku sprawozdawczym NCK zrealizowało dwa badania:</w:t>
      </w:r>
    </w:p>
    <w:p w:rsidR="00995421" w:rsidRDefault="007B0E88" w:rsidP="00EB16D2">
      <w:pPr>
        <w:numPr>
          <w:ilvl w:val="1"/>
          <w:numId w:val="14"/>
        </w:numPr>
        <w:ind w:left="426" w:hanging="426"/>
        <w:contextualSpacing/>
        <w:jc w:val="both"/>
        <w:rPr>
          <w:rFonts w:ascii="Lato" w:hAnsi="Lato"/>
          <w:sz w:val="24"/>
          <w:szCs w:val="24"/>
        </w:rPr>
      </w:pPr>
      <w:r w:rsidRPr="007B0E88">
        <w:rPr>
          <w:rFonts w:ascii="Lato" w:hAnsi="Lato"/>
          <w:sz w:val="24"/>
          <w:szCs w:val="24"/>
        </w:rPr>
        <w:t xml:space="preserve">Ewaluacja systemu wdrażania, obciążeń oraz barier po stronie Operatorów i beneficjentów (NCK). Celem ewaluacji była wczesna identyfikacja wąskich gardeł, </w:t>
      </w:r>
      <w:r w:rsidRPr="007B0E88">
        <w:rPr>
          <w:rFonts w:ascii="Lato" w:hAnsi="Lato"/>
          <w:sz w:val="24"/>
          <w:szCs w:val="24"/>
        </w:rPr>
        <w:lastRenderedPageBreak/>
        <w:t>barier i trudności po stronie Operatorów i beneficjentów wsparcia umożliwiająca szybką korektę systemu wdrażania Programu.</w:t>
      </w:r>
    </w:p>
    <w:p w:rsidR="007B0E88" w:rsidRPr="00995421" w:rsidRDefault="007B0E88" w:rsidP="00EB16D2">
      <w:pPr>
        <w:numPr>
          <w:ilvl w:val="1"/>
          <w:numId w:val="14"/>
        </w:numPr>
        <w:ind w:left="426" w:hanging="426"/>
        <w:contextualSpacing/>
        <w:jc w:val="both"/>
        <w:rPr>
          <w:rFonts w:ascii="Lato" w:hAnsi="Lato"/>
          <w:sz w:val="24"/>
          <w:szCs w:val="24"/>
        </w:rPr>
      </w:pPr>
      <w:r w:rsidRPr="00995421">
        <w:rPr>
          <w:rFonts w:ascii="Lato" w:hAnsi="Lato"/>
          <w:sz w:val="24"/>
          <w:szCs w:val="24"/>
        </w:rPr>
        <w:t>Badanie dotyczące kampanii promocyjnej (NCK) – cykliczne badanie dostarczające bieżącej wiedzy na temat efektywności prowadzonej kampanii, umożliwiające wprowadzanie niezbędnych korekt.</w:t>
      </w:r>
    </w:p>
    <w:p w:rsidR="007B0E88" w:rsidRPr="007B0E88" w:rsidRDefault="007B0E88" w:rsidP="007B0E88">
      <w:pPr>
        <w:ind w:left="426"/>
        <w:contextualSpacing/>
        <w:jc w:val="both"/>
        <w:rPr>
          <w:rFonts w:ascii="Lato" w:hAnsi="Lato"/>
          <w:sz w:val="24"/>
          <w:szCs w:val="24"/>
        </w:rPr>
      </w:pPr>
      <w:r w:rsidRPr="007B0E88">
        <w:rPr>
          <w:rFonts w:ascii="Lato" w:hAnsi="Lato"/>
          <w:sz w:val="24"/>
          <w:szCs w:val="24"/>
        </w:rPr>
        <w:t>Raport ewaluacyjny zwieńczony został listą wniosków i 15 rekomendacji dotyczących działań podejmowanych w ramach Parytetów 1,2,3 i 4. Wśród rekomendacji znalazły się m.in. sugestie dotyczące opracowanie materiału wskazującego przykłady najczęstszych bądź najbardziej prawdopodobnych błędów popełnianych przez beneficjentów na etapie rozliczeń, przeanalizowanie dotychczasowych narzędzi pod kątem ich skuteczności wobec tych potencjalnych wnioskodawców, którzy mają najniższy potencjał pozyskiwania środków zewnętrznych czy opracowanie otwartego katalogu wydatków, które mogą, lub nie mogą być sfinansowane z dotacji, z podaniem przykładów pozytywnych i negatywnych.</w:t>
      </w:r>
    </w:p>
    <w:p w:rsidR="007B0E88" w:rsidRPr="007B0E88" w:rsidRDefault="007B0E88" w:rsidP="007B0E88">
      <w:pPr>
        <w:ind w:left="426"/>
        <w:jc w:val="both"/>
        <w:rPr>
          <w:rFonts w:ascii="Lato" w:hAnsi="Lato"/>
          <w:sz w:val="24"/>
          <w:szCs w:val="24"/>
        </w:rPr>
      </w:pPr>
      <w:r w:rsidRPr="007B0E88">
        <w:rPr>
          <w:rFonts w:ascii="Lato" w:hAnsi="Lato"/>
          <w:sz w:val="24"/>
          <w:szCs w:val="24"/>
        </w:rPr>
        <w:t>W 2022 r. badania ewaluacyjne - realizowane na potrzeby NPRCz 2.0, prowadzone były również przez Bibliotekę Narodową - Operatora Priorytetu 1</w:t>
      </w:r>
    </w:p>
    <w:p w:rsidR="00731DF0" w:rsidRDefault="007B0E88" w:rsidP="00EB16D2">
      <w:pPr>
        <w:numPr>
          <w:ilvl w:val="0"/>
          <w:numId w:val="15"/>
        </w:numPr>
        <w:ind w:left="426" w:hanging="284"/>
        <w:contextualSpacing/>
        <w:jc w:val="both"/>
        <w:rPr>
          <w:rFonts w:ascii="Lato" w:hAnsi="Lato"/>
          <w:sz w:val="24"/>
          <w:szCs w:val="24"/>
        </w:rPr>
      </w:pPr>
      <w:r w:rsidRPr="007B0E88">
        <w:rPr>
          <w:rFonts w:ascii="Lato" w:hAnsi="Lato"/>
          <w:sz w:val="24"/>
          <w:szCs w:val="24"/>
        </w:rPr>
        <w:t xml:space="preserve">Badanie poziomu czytelnictwa w 2022 roku </w:t>
      </w:r>
    </w:p>
    <w:p w:rsidR="00731DF0" w:rsidRDefault="007B0E88" w:rsidP="00731DF0">
      <w:pPr>
        <w:ind w:left="426"/>
        <w:contextualSpacing/>
        <w:jc w:val="both"/>
        <w:rPr>
          <w:rFonts w:ascii="Lato" w:hAnsi="Lato"/>
          <w:sz w:val="24"/>
          <w:szCs w:val="24"/>
        </w:rPr>
      </w:pPr>
      <w:r w:rsidRPr="00731DF0">
        <w:rPr>
          <w:rFonts w:ascii="Lato" w:hAnsi="Lato"/>
          <w:sz w:val="24"/>
          <w:szCs w:val="24"/>
        </w:rPr>
        <w:t xml:space="preserve">W związku z dynamicznie zmieniającymi się preferencjami czytelniczymi oraz rozwojem nowych mediów (w szczególności elektronicznych) sytuacja czytelnictwa wymaga nieustannego monitorowania. Celem badania poziomu czytelnictwa (badania naukowego Biblioteki Narodowej) było zbadanie i analiza stanu czytelnictwa w 2022 r. </w:t>
      </w:r>
    </w:p>
    <w:p w:rsidR="00731DF0" w:rsidRDefault="007B0E88" w:rsidP="00731DF0">
      <w:pPr>
        <w:ind w:left="426"/>
        <w:contextualSpacing/>
        <w:jc w:val="both"/>
        <w:rPr>
          <w:rFonts w:ascii="Lato" w:hAnsi="Lato"/>
          <w:sz w:val="24"/>
          <w:szCs w:val="24"/>
        </w:rPr>
      </w:pPr>
      <w:r w:rsidRPr="007B0E88">
        <w:rPr>
          <w:rFonts w:ascii="Lato" w:hAnsi="Lato"/>
          <w:sz w:val="24"/>
          <w:szCs w:val="24"/>
        </w:rPr>
        <w:t>W ramach zadania przeprowadzone zostało ilościowe badanie czytelnictwa książek metodą CAPI (</w:t>
      </w:r>
      <w:proofErr w:type="spellStart"/>
      <w:r w:rsidRPr="007B0E88">
        <w:rPr>
          <w:rFonts w:ascii="Lato" w:hAnsi="Lato"/>
          <w:sz w:val="24"/>
          <w:szCs w:val="24"/>
        </w:rPr>
        <w:t>Computer</w:t>
      </w:r>
      <w:proofErr w:type="spellEnd"/>
      <w:r w:rsidRPr="007B0E88">
        <w:rPr>
          <w:rFonts w:ascii="Lato" w:hAnsi="Lato"/>
          <w:sz w:val="24"/>
          <w:szCs w:val="24"/>
        </w:rPr>
        <w:t xml:space="preserve"> </w:t>
      </w:r>
      <w:proofErr w:type="spellStart"/>
      <w:r w:rsidRPr="007B0E88">
        <w:rPr>
          <w:rFonts w:ascii="Lato" w:hAnsi="Lato"/>
          <w:sz w:val="24"/>
          <w:szCs w:val="24"/>
        </w:rPr>
        <w:t>Assisted</w:t>
      </w:r>
      <w:proofErr w:type="spellEnd"/>
      <w:r w:rsidRPr="007B0E88">
        <w:rPr>
          <w:rFonts w:ascii="Lato" w:hAnsi="Lato"/>
          <w:sz w:val="24"/>
          <w:szCs w:val="24"/>
        </w:rPr>
        <w:t xml:space="preserve"> Personal Interview) na ogólnopolskiej próbie reprezentatywnej obywateli Polski w wieku 15 lat i więcej o liczebności minimum 2000 respondentów i na próbie celowej studentów II i III roku studiów I stopnia lub jednolitych studiów magisterskich o liczebności </w:t>
      </w:r>
      <w:r w:rsidR="00731DF0">
        <w:rPr>
          <w:rFonts w:ascii="Lato" w:hAnsi="Lato"/>
          <w:sz w:val="24"/>
          <w:szCs w:val="24"/>
        </w:rPr>
        <w:t xml:space="preserve">co najmniej 1000 respondentów. </w:t>
      </w:r>
      <w:r w:rsidRPr="007B0E88">
        <w:rPr>
          <w:rFonts w:ascii="Lato" w:hAnsi="Lato"/>
          <w:sz w:val="24"/>
          <w:szCs w:val="24"/>
        </w:rPr>
        <w:t>Wskaźniki czytania książek są bardzo wrażliwe na oddziaływanie różnych czynników (inflacja, wybuch wojny na Ukrainie) z tego powodu w 2022 roku przeczytanie co najmniej jednej książki w ciągu roku zadeklarowało 34% badanych. Oznaczać to może, że rok 2022, tak, jak lata 2020-2021, był rokiem nietypowym. Ze względu na czynniki zewnętrzne, na które nie można mieć wpływu, kolejny poziom czytelnictwa w kraju utrzymał się na poziomie z jesieni 2021 roku. Dodatkowo należy zauważyć, że duży wzrost czytelnictwa odnotowano u osób w wieku 15-18 lat, z 60% w 2021 roku do 72% w 2022 roku. Należy zaznaczyć, że jest to grupa najlepiej odbierająca akcje promujące czytelnictwo w mediach cyfrowych, co sugeruje ich sukces. Jeszcze lepiej sytuacja wygląda wśród osób w wieku 15-18 lat czytających intensywnie, czyli 7 i więcej książek rocznie, k</w:t>
      </w:r>
      <w:r w:rsidR="00731DF0">
        <w:rPr>
          <w:rFonts w:ascii="Lato" w:hAnsi="Lato"/>
          <w:sz w:val="24"/>
          <w:szCs w:val="24"/>
        </w:rPr>
        <w:t>tóra grupa wzrosła z 5 do 19 %.</w:t>
      </w:r>
    </w:p>
    <w:p w:rsidR="007B0E88" w:rsidRDefault="007B0E88" w:rsidP="00731DF0">
      <w:pPr>
        <w:ind w:left="426"/>
        <w:contextualSpacing/>
        <w:jc w:val="both"/>
        <w:rPr>
          <w:rFonts w:ascii="Lato" w:hAnsi="Lato"/>
          <w:sz w:val="24"/>
          <w:szCs w:val="24"/>
        </w:rPr>
      </w:pPr>
      <w:r w:rsidRPr="007B0E88">
        <w:rPr>
          <w:rFonts w:ascii="Lato" w:hAnsi="Lato"/>
          <w:sz w:val="24"/>
          <w:szCs w:val="24"/>
        </w:rPr>
        <w:t>Pełne wyniki i szczegółowa analiza badania zostaną zaprezentowane na przełomie kwietnia i maja 2023 roku.</w:t>
      </w:r>
    </w:p>
    <w:p w:rsidR="00995421" w:rsidRPr="007B0E88" w:rsidRDefault="00995421" w:rsidP="00731DF0">
      <w:pPr>
        <w:ind w:left="426"/>
        <w:contextualSpacing/>
        <w:jc w:val="both"/>
        <w:rPr>
          <w:rFonts w:ascii="Lato" w:hAnsi="Lato"/>
          <w:sz w:val="24"/>
          <w:szCs w:val="24"/>
        </w:rPr>
      </w:pPr>
    </w:p>
    <w:p w:rsidR="007B0E88" w:rsidRPr="007B0E88" w:rsidRDefault="007B0E88" w:rsidP="007B0E88">
      <w:pPr>
        <w:ind w:left="720"/>
        <w:contextualSpacing/>
        <w:jc w:val="both"/>
        <w:rPr>
          <w:rFonts w:ascii="Lato" w:hAnsi="Lato"/>
          <w:sz w:val="24"/>
          <w:szCs w:val="24"/>
        </w:rPr>
      </w:pPr>
    </w:p>
    <w:p w:rsidR="00731DF0" w:rsidRDefault="007B0E88" w:rsidP="00EB16D2">
      <w:pPr>
        <w:numPr>
          <w:ilvl w:val="0"/>
          <w:numId w:val="15"/>
        </w:numPr>
        <w:ind w:left="426" w:hanging="426"/>
        <w:contextualSpacing/>
        <w:jc w:val="both"/>
        <w:rPr>
          <w:rFonts w:ascii="Lato" w:hAnsi="Lato"/>
          <w:sz w:val="24"/>
          <w:szCs w:val="24"/>
        </w:rPr>
      </w:pPr>
      <w:r w:rsidRPr="007B0E88">
        <w:rPr>
          <w:rFonts w:ascii="Lato" w:hAnsi="Lato"/>
          <w:sz w:val="24"/>
          <w:szCs w:val="24"/>
        </w:rPr>
        <w:lastRenderedPageBreak/>
        <w:t>Badanie efektywności modelu biblioteki medialnej.</w:t>
      </w:r>
    </w:p>
    <w:p w:rsidR="00731DF0" w:rsidRDefault="00731DF0" w:rsidP="00731DF0">
      <w:pPr>
        <w:ind w:left="426"/>
        <w:contextualSpacing/>
        <w:jc w:val="both"/>
        <w:rPr>
          <w:rFonts w:ascii="Lato" w:hAnsi="Lato"/>
          <w:sz w:val="24"/>
          <w:szCs w:val="24"/>
        </w:rPr>
      </w:pPr>
    </w:p>
    <w:p w:rsidR="007B0E88" w:rsidRPr="007B0E88" w:rsidRDefault="007B0E88" w:rsidP="00731DF0">
      <w:pPr>
        <w:ind w:left="426"/>
        <w:contextualSpacing/>
        <w:jc w:val="both"/>
        <w:rPr>
          <w:rFonts w:ascii="Lato" w:hAnsi="Lato"/>
          <w:sz w:val="24"/>
          <w:szCs w:val="24"/>
        </w:rPr>
      </w:pPr>
      <w:r w:rsidRPr="00731DF0">
        <w:rPr>
          <w:rFonts w:ascii="Lato" w:hAnsi="Lato"/>
          <w:sz w:val="24"/>
          <w:szCs w:val="24"/>
        </w:rPr>
        <w:t>Badanie to służy ocenie potencjału bibliotek medialnych w przyciąganiu do bibliotek nowych grup użytkowników, którzy nie odnajdują się w ofercie tradycyjnych placówek bibliotecznych. W tym celu prowadzone jest pogłębione rozpoznanie praktyk czytelniczych w grupach czytelników korzystających z gier komputerowych i VR (</w:t>
      </w:r>
      <w:proofErr w:type="spellStart"/>
      <w:r w:rsidRPr="00731DF0">
        <w:rPr>
          <w:rFonts w:ascii="Lato" w:hAnsi="Lato"/>
          <w:sz w:val="24"/>
          <w:szCs w:val="24"/>
        </w:rPr>
        <w:t>virtual</w:t>
      </w:r>
      <w:proofErr w:type="spellEnd"/>
      <w:r w:rsidRPr="00731DF0">
        <w:rPr>
          <w:rFonts w:ascii="Lato" w:hAnsi="Lato"/>
          <w:sz w:val="24"/>
          <w:szCs w:val="24"/>
        </w:rPr>
        <w:t xml:space="preserve"> </w:t>
      </w:r>
      <w:proofErr w:type="spellStart"/>
      <w:r w:rsidRPr="00731DF0">
        <w:rPr>
          <w:rFonts w:ascii="Lato" w:hAnsi="Lato"/>
          <w:sz w:val="24"/>
          <w:szCs w:val="24"/>
        </w:rPr>
        <w:t>reality</w:t>
      </w:r>
      <w:proofErr w:type="spellEnd"/>
      <w:r w:rsidRPr="00731DF0">
        <w:rPr>
          <w:rFonts w:ascii="Lato" w:hAnsi="Lato"/>
          <w:sz w:val="24"/>
          <w:szCs w:val="24"/>
        </w:rPr>
        <w:t xml:space="preserve">), identyfikacja mechanizmów związanych z zaprzestaniem czytania, a także czynników motywujących do ponownego podjęcia lektury.                                                                                                                                                   </w:t>
      </w:r>
      <w:r w:rsidRPr="007B0E88">
        <w:rPr>
          <w:rFonts w:ascii="Lato" w:hAnsi="Lato"/>
          <w:sz w:val="24"/>
          <w:szCs w:val="24"/>
        </w:rPr>
        <w:t>W 2021 roku wykonano pierwszą część badania , która objęła przeprowadzenie badania eksploracyjnego bibliotek medialnych, na podstawie którego przygotowano założenia do dalszych działań w ramach zadania</w:t>
      </w:r>
      <w:r w:rsidRPr="007B0E88">
        <w:rPr>
          <w:rFonts w:ascii="Lato" w:hAnsi="Lato"/>
          <w:sz w:val="24"/>
          <w:szCs w:val="24"/>
          <w:vertAlign w:val="superscript"/>
        </w:rPr>
        <w:footnoteReference w:id="13"/>
      </w:r>
      <w:r w:rsidRPr="007B0E88">
        <w:rPr>
          <w:rFonts w:ascii="Lato" w:hAnsi="Lato"/>
          <w:sz w:val="24"/>
          <w:szCs w:val="24"/>
        </w:rPr>
        <w:t xml:space="preserve">. </w:t>
      </w:r>
    </w:p>
    <w:p w:rsidR="007B0E88" w:rsidRPr="007B0E88" w:rsidRDefault="007B0E88" w:rsidP="00731DF0">
      <w:pPr>
        <w:ind w:left="426"/>
        <w:contextualSpacing/>
        <w:jc w:val="both"/>
        <w:rPr>
          <w:rFonts w:ascii="Lato" w:hAnsi="Lato"/>
          <w:sz w:val="24"/>
          <w:szCs w:val="24"/>
        </w:rPr>
      </w:pPr>
      <w:r w:rsidRPr="007B0E88">
        <w:rPr>
          <w:rFonts w:ascii="Lato" w:hAnsi="Lato"/>
          <w:sz w:val="24"/>
          <w:szCs w:val="24"/>
        </w:rPr>
        <w:t>Realizację „Badania efektywności modelu biblioteki medialnej” rozpoczęto w sierpniu i zakończono w październiku 2022 roku. W ramach badania zrealizowano: badanie kwestionariuszowe CAWI na grupie 100 bibliotek używających w nazwie określenia „biblioteka medialna”/„</w:t>
      </w:r>
      <w:proofErr w:type="spellStart"/>
      <w:r w:rsidRPr="007B0E88">
        <w:rPr>
          <w:rFonts w:ascii="Lato" w:hAnsi="Lato"/>
          <w:sz w:val="24"/>
          <w:szCs w:val="24"/>
        </w:rPr>
        <w:t>mediateka</w:t>
      </w:r>
      <w:proofErr w:type="spellEnd"/>
      <w:r w:rsidRPr="007B0E88">
        <w:rPr>
          <w:rFonts w:ascii="Lato" w:hAnsi="Lato"/>
          <w:sz w:val="24"/>
          <w:szCs w:val="24"/>
        </w:rPr>
        <w:t xml:space="preserve">”, badanie kwestionariuszowe CAWI na panelu internetowym na próbie celowej użytkowników bibliotek obejmującej grupę aktywnych użytkowników bibliotek, osób, które w ostatnim czasie przestały korzystać z bibliotek publicznych oraz tych którzy z nich nie korzystają, studia przypadków obejmujące wywiad pogłębiony on-line z pracownikami 20 bibliotek medialnych wytypowanych do udziału w badaniu uzupełnione w każdej z lokalizacji audytem potencjalnego użytkownika biblioteki medialnej oraz 11 </w:t>
      </w:r>
      <w:proofErr w:type="spellStart"/>
      <w:r w:rsidRPr="007B0E88">
        <w:rPr>
          <w:rFonts w:ascii="Lato" w:hAnsi="Lato"/>
          <w:sz w:val="24"/>
          <w:szCs w:val="24"/>
        </w:rPr>
        <w:t>diad</w:t>
      </w:r>
      <w:proofErr w:type="spellEnd"/>
      <w:r w:rsidRPr="007B0E88">
        <w:rPr>
          <w:rFonts w:ascii="Lato" w:hAnsi="Lato"/>
          <w:sz w:val="24"/>
          <w:szCs w:val="24"/>
        </w:rPr>
        <w:t xml:space="preserve"> on-line z przedstawicielami wybranych grup użytkowników bibliotek medialnych, zidentyfikowanych w trakcie badania jako prospektywni użytkownicy bibliotek medialnych: młodzież; seniorzy; rodzicie z dziećmi; mężczyźni czytający komiksy, czytelnicy ze specjalnymi potrzebami – osoby niedosłyszące; użytkownicy ebooków i</w:t>
      </w:r>
      <w:r w:rsidR="00731DF0">
        <w:rPr>
          <w:rFonts w:ascii="Lato" w:hAnsi="Lato"/>
          <w:sz w:val="24"/>
          <w:szCs w:val="24"/>
        </w:rPr>
        <w:t> </w:t>
      </w:r>
      <w:r w:rsidRPr="007B0E88">
        <w:rPr>
          <w:rFonts w:ascii="Lato" w:hAnsi="Lato"/>
          <w:sz w:val="24"/>
          <w:szCs w:val="24"/>
        </w:rPr>
        <w:t>audiobooków.</w:t>
      </w:r>
    </w:p>
    <w:p w:rsidR="00731DF0" w:rsidRDefault="00731DF0" w:rsidP="007B0E88">
      <w:pPr>
        <w:jc w:val="both"/>
        <w:rPr>
          <w:rFonts w:ascii="Lato" w:hAnsi="Lato"/>
          <w:b/>
          <w:sz w:val="24"/>
          <w:szCs w:val="24"/>
        </w:rPr>
      </w:pPr>
    </w:p>
    <w:p w:rsidR="00995421" w:rsidRDefault="007B0E88" w:rsidP="00995421">
      <w:pPr>
        <w:jc w:val="both"/>
        <w:rPr>
          <w:rFonts w:ascii="Lato" w:hAnsi="Lato"/>
          <w:b/>
          <w:sz w:val="24"/>
          <w:szCs w:val="24"/>
        </w:rPr>
      </w:pPr>
      <w:r w:rsidRPr="007B0E88">
        <w:rPr>
          <w:rFonts w:ascii="Lato" w:hAnsi="Lato"/>
          <w:b/>
          <w:sz w:val="24"/>
          <w:szCs w:val="24"/>
        </w:rPr>
        <w:t xml:space="preserve">Wnioski z realizacji NPRCz 2.0 </w:t>
      </w:r>
    </w:p>
    <w:p w:rsidR="00731DF0" w:rsidRPr="00995421" w:rsidRDefault="007B0E88" w:rsidP="00995421">
      <w:pPr>
        <w:jc w:val="both"/>
        <w:rPr>
          <w:rFonts w:ascii="Lato" w:hAnsi="Lato"/>
          <w:b/>
          <w:sz w:val="24"/>
          <w:szCs w:val="24"/>
        </w:rPr>
      </w:pPr>
      <w:r w:rsidRPr="007B0E88">
        <w:rPr>
          <w:rFonts w:ascii="Lato" w:hAnsi="Lato"/>
          <w:sz w:val="24"/>
          <w:szCs w:val="16"/>
        </w:rPr>
        <w:t xml:space="preserve">W 2022 r. zasadnicze założenia, przyjęte w Narodowym Programie Rozwoju Czytelnictwa 2.0. na lata 2021–2025, zostały zrealizowane. </w:t>
      </w:r>
    </w:p>
    <w:p w:rsidR="00731DF0" w:rsidRDefault="007B0E88" w:rsidP="00995421">
      <w:pPr>
        <w:jc w:val="both"/>
        <w:rPr>
          <w:rFonts w:ascii="Lato" w:hAnsi="Lato"/>
          <w:sz w:val="24"/>
          <w:szCs w:val="16"/>
        </w:rPr>
      </w:pPr>
      <w:r w:rsidRPr="007B0E88">
        <w:rPr>
          <w:rFonts w:ascii="Lato" w:hAnsi="Lato"/>
          <w:sz w:val="24"/>
          <w:szCs w:val="16"/>
        </w:rPr>
        <w:t>W 2022 roku na zakup i zdalny dostęp do nowości wydawniczych w ramach dofinansowania NPRCz 2.0 przeznaczono z budżetu państwa kwotę w wysokości 34,9 mln zł, łącznie z wkładem własnym budżet K.I. 1.1. wyniósł ponad 89 mln zł, skorzystało z niego 2 273 bibliotek. Zakupiono  ponad 3,53 mln nowości wydawniczych w tym: książki drukowane, audiobooki i e-booki, czasopisma oraz publikacje nutowe i</w:t>
      </w:r>
      <w:r w:rsidR="00731DF0">
        <w:rPr>
          <w:rFonts w:ascii="Lato" w:hAnsi="Lato"/>
          <w:sz w:val="24"/>
          <w:szCs w:val="16"/>
        </w:rPr>
        <w:t xml:space="preserve"> kartograficzne. </w:t>
      </w:r>
    </w:p>
    <w:p w:rsidR="00731DF0" w:rsidRDefault="007B0E88" w:rsidP="00995421">
      <w:pPr>
        <w:jc w:val="both"/>
        <w:rPr>
          <w:rFonts w:ascii="Lato" w:hAnsi="Lato"/>
          <w:sz w:val="24"/>
          <w:szCs w:val="16"/>
        </w:rPr>
      </w:pPr>
      <w:r w:rsidRPr="007B0E88">
        <w:rPr>
          <w:rFonts w:ascii="Lato" w:hAnsi="Lato"/>
          <w:sz w:val="24"/>
          <w:szCs w:val="16"/>
        </w:rPr>
        <w:t xml:space="preserve">W ramach usługi zdalnego dostępu do książek w formacie e-booków i/lub audiobooków i/lub synchrobooków ofertę czytelniczą wzbogacono o 107 tys. kodów miesięcznych, </w:t>
      </w:r>
      <w:r w:rsidRPr="007B0E88">
        <w:rPr>
          <w:rFonts w:ascii="Lato" w:hAnsi="Lato"/>
          <w:sz w:val="24"/>
          <w:szCs w:val="16"/>
        </w:rPr>
        <w:lastRenderedPageBreak/>
        <w:t>695 tys. kodów innych niż miesięczne oraz wykupiono dostęp do 88 mln stron oraz prawie 1,7 mln tytułów publikacji od dostawców takich jak: Legimi,</w:t>
      </w:r>
      <w:r w:rsidR="00731DF0">
        <w:rPr>
          <w:rFonts w:ascii="Lato" w:hAnsi="Lato"/>
          <w:sz w:val="24"/>
          <w:szCs w:val="16"/>
        </w:rPr>
        <w:t xml:space="preserve"> EmpikGo, IBUK libra, PWN itp. </w:t>
      </w:r>
    </w:p>
    <w:p w:rsidR="00731DF0" w:rsidRDefault="007B0E88" w:rsidP="00995421">
      <w:pPr>
        <w:jc w:val="both"/>
        <w:rPr>
          <w:rFonts w:ascii="Lato" w:hAnsi="Lato"/>
          <w:sz w:val="24"/>
          <w:szCs w:val="16"/>
        </w:rPr>
      </w:pPr>
      <w:r w:rsidRPr="007B0E88">
        <w:rPr>
          <w:rFonts w:ascii="Lato" w:hAnsi="Lato"/>
          <w:sz w:val="24"/>
          <w:szCs w:val="16"/>
        </w:rPr>
        <w:t>W 2022 roku w ramach Kierunki interwencji 1.2. 109 bibliotek dołączyło do ZSZZB i rozpoczęło współkatalogowanie z Biblioteką Narodową. Przyłączono 9 dużych bibliotek publicznych oraz innych zaliczonych przez ministra właściwego do spraw kultury i ochrony dziedzictwa narodowego do OSB o księgozbiorach liczących powyżej 50 tys. jednostek zbiorów jak również 100 bibliotek publicznych z województw świętokrzysk</w:t>
      </w:r>
      <w:r w:rsidR="00731DF0">
        <w:rPr>
          <w:rFonts w:ascii="Lato" w:hAnsi="Lato"/>
          <w:sz w:val="24"/>
          <w:szCs w:val="16"/>
        </w:rPr>
        <w:t xml:space="preserve">iego, łódzkiego i lubelskiego, </w:t>
      </w:r>
    </w:p>
    <w:p w:rsidR="00731DF0" w:rsidRDefault="007B0E88" w:rsidP="00995421">
      <w:pPr>
        <w:jc w:val="both"/>
        <w:rPr>
          <w:rFonts w:ascii="Lato" w:hAnsi="Lato"/>
          <w:sz w:val="24"/>
          <w:szCs w:val="16"/>
        </w:rPr>
      </w:pPr>
      <w:r w:rsidRPr="007B0E88">
        <w:rPr>
          <w:rFonts w:ascii="Lato" w:hAnsi="Lato"/>
          <w:sz w:val="24"/>
          <w:szCs w:val="16"/>
        </w:rPr>
        <w:t>Budżet Kierunku interwencji 1.2 w ro</w:t>
      </w:r>
      <w:r w:rsidR="00731DF0">
        <w:rPr>
          <w:rFonts w:ascii="Lato" w:hAnsi="Lato"/>
          <w:sz w:val="24"/>
          <w:szCs w:val="16"/>
        </w:rPr>
        <w:t>ku 2022 wyniósł ponad 8 mln. Zł</w:t>
      </w:r>
    </w:p>
    <w:p w:rsidR="00731DF0" w:rsidRDefault="007B0E88" w:rsidP="00995421">
      <w:pPr>
        <w:jc w:val="both"/>
        <w:rPr>
          <w:rFonts w:ascii="Lato" w:hAnsi="Lato"/>
          <w:sz w:val="24"/>
          <w:szCs w:val="16"/>
        </w:rPr>
      </w:pPr>
      <w:r w:rsidRPr="007B0E88">
        <w:rPr>
          <w:rFonts w:ascii="Lato" w:hAnsi="Lato"/>
          <w:sz w:val="24"/>
          <w:szCs w:val="16"/>
        </w:rPr>
        <w:t xml:space="preserve">W ramach Kierunku interwencji 2.1 realizowane są 83 zadania, wśród których znajduje się: 16 adaptacji budynków, 19 budów, 28 modernizacji, 18 przebudów i 2 rekonstrukcje obiektów bibliotecznych i obejmujące dofinansowania udzielone </w:t>
      </w:r>
      <w:r w:rsidR="00731DF0">
        <w:rPr>
          <w:rFonts w:ascii="Lato" w:hAnsi="Lato"/>
          <w:sz w:val="24"/>
          <w:szCs w:val="16"/>
        </w:rPr>
        <w:t xml:space="preserve">w ramach I naboru i II naboru. </w:t>
      </w:r>
    </w:p>
    <w:p w:rsidR="00731DF0" w:rsidRDefault="007B0E88" w:rsidP="00995421">
      <w:pPr>
        <w:jc w:val="both"/>
        <w:rPr>
          <w:rFonts w:ascii="Lato" w:hAnsi="Lato"/>
          <w:sz w:val="24"/>
          <w:szCs w:val="16"/>
        </w:rPr>
      </w:pPr>
      <w:r w:rsidRPr="007B0E88">
        <w:rPr>
          <w:rFonts w:ascii="Lato" w:hAnsi="Lato"/>
          <w:sz w:val="24"/>
          <w:szCs w:val="16"/>
        </w:rPr>
        <w:t>Budżet priorytetu przeznczony na realizację zadań w</w:t>
      </w:r>
      <w:r w:rsidR="00731DF0">
        <w:rPr>
          <w:rFonts w:ascii="Lato" w:hAnsi="Lato"/>
          <w:sz w:val="24"/>
          <w:szCs w:val="16"/>
        </w:rPr>
        <w:t xml:space="preserve"> roku 2022 wyniósł ponad 89 mln </w:t>
      </w:r>
      <w:r w:rsidRPr="007B0E88">
        <w:rPr>
          <w:rFonts w:ascii="Lato" w:hAnsi="Lato"/>
          <w:sz w:val="24"/>
          <w:szCs w:val="16"/>
        </w:rPr>
        <w:t>zł ( w tym bu</w:t>
      </w:r>
      <w:r w:rsidR="00731DF0">
        <w:rPr>
          <w:rFonts w:ascii="Lato" w:hAnsi="Lato"/>
          <w:sz w:val="24"/>
          <w:szCs w:val="16"/>
        </w:rPr>
        <w:t xml:space="preserve">dżet państwa i wkład własny ). </w:t>
      </w:r>
    </w:p>
    <w:p w:rsidR="00731DF0" w:rsidRDefault="007B0E88" w:rsidP="00995421">
      <w:pPr>
        <w:jc w:val="both"/>
        <w:rPr>
          <w:rFonts w:ascii="Lato" w:hAnsi="Lato"/>
          <w:sz w:val="24"/>
          <w:szCs w:val="16"/>
        </w:rPr>
      </w:pPr>
      <w:r w:rsidRPr="007B0E88">
        <w:rPr>
          <w:rFonts w:ascii="Lato" w:hAnsi="Lato"/>
          <w:sz w:val="24"/>
          <w:szCs w:val="16"/>
        </w:rPr>
        <w:t>O prawie półtora miliona książek wzbogaciły się placówki wychowania przedszkolnego, szkoły podstawowe i ponadpodstawowe oraz biblioteki pedagogiczne, które w 2022 roku wzięły ud</w:t>
      </w:r>
      <w:r w:rsidR="00731DF0">
        <w:rPr>
          <w:rFonts w:ascii="Lato" w:hAnsi="Lato"/>
          <w:sz w:val="24"/>
          <w:szCs w:val="16"/>
        </w:rPr>
        <w:t xml:space="preserve">ział w Priorytecie 3 NPRCz 2.0 </w:t>
      </w:r>
    </w:p>
    <w:p w:rsidR="00731DF0" w:rsidRDefault="007B0E88" w:rsidP="00995421">
      <w:pPr>
        <w:jc w:val="both"/>
        <w:rPr>
          <w:rFonts w:ascii="Lato" w:hAnsi="Lato"/>
          <w:sz w:val="24"/>
          <w:szCs w:val="16"/>
        </w:rPr>
      </w:pPr>
      <w:r w:rsidRPr="007B0E88">
        <w:rPr>
          <w:rFonts w:ascii="Lato" w:hAnsi="Lato"/>
          <w:sz w:val="24"/>
          <w:szCs w:val="16"/>
        </w:rPr>
        <w:t>W ramach Kierunku interwencji 3.1. ze wsparcia skorzystały 2 943 placówki wychowania przedszkolnego, do których zakupiono ponad 530 tyś książek (papierowych, audiobooków książek elektronicznych). Natomiast w Kierunku interwencji 3.2. udział wzięły 2801 szkoły  (podstawowe i ponadpodstawowe)oraz biblioteki pedagogiczne. Ogółem do bibliotek szkolnych i pedagogicznych zostało zakupionych ponad 930 tys. nowości wydawniczych. Budżet Priorytetu 3 w 2022 r. (wkład własny i środki z budżetu państ</w:t>
      </w:r>
      <w:r w:rsidR="00731DF0">
        <w:rPr>
          <w:rFonts w:ascii="Lato" w:hAnsi="Lato"/>
          <w:sz w:val="24"/>
          <w:szCs w:val="16"/>
        </w:rPr>
        <w:t xml:space="preserve">wa ) wyniósł ponad 36,7 mln zł </w:t>
      </w:r>
    </w:p>
    <w:p w:rsidR="00995421" w:rsidRDefault="007B0E88" w:rsidP="00995421">
      <w:pPr>
        <w:jc w:val="both"/>
        <w:rPr>
          <w:rFonts w:ascii="Lato" w:hAnsi="Lato"/>
          <w:sz w:val="24"/>
          <w:szCs w:val="16"/>
        </w:rPr>
      </w:pPr>
      <w:r w:rsidRPr="007B0E88">
        <w:rPr>
          <w:rFonts w:ascii="Lato" w:hAnsi="Lato"/>
          <w:sz w:val="24"/>
          <w:szCs w:val="16"/>
        </w:rPr>
        <w:t>W wyniku realizacji Kierunku interwencji 4.1. ogłoszonym w 2022 r. dofinansowanie otrzymało 46 bibliotek. Z uwagi na dwuletni charakter realizowanych zdań 49</w:t>
      </w:r>
      <w:r w:rsidR="00995421">
        <w:rPr>
          <w:rFonts w:ascii="Lato" w:hAnsi="Lato"/>
          <w:sz w:val="24"/>
          <w:szCs w:val="16"/>
        </w:rPr>
        <w:t> </w:t>
      </w:r>
      <w:r w:rsidRPr="007B0E88">
        <w:rPr>
          <w:rFonts w:ascii="Lato" w:hAnsi="Lato"/>
          <w:sz w:val="24"/>
          <w:szCs w:val="16"/>
        </w:rPr>
        <w:t>beneficjentów którzy otrzymali dofinasowanie w pierwszym roku realizacji NPRCz 2.0 (2021r. ) kontynuowali swoje działania. Budżet Kierunku intencji 4.1 (</w:t>
      </w:r>
      <w:r w:rsidR="00995421">
        <w:rPr>
          <w:rFonts w:ascii="Lato" w:hAnsi="Lato"/>
          <w:sz w:val="24"/>
          <w:szCs w:val="16"/>
        </w:rPr>
        <w:t> </w:t>
      </w:r>
      <w:r w:rsidRPr="007B0E88">
        <w:rPr>
          <w:rFonts w:ascii="Lato" w:hAnsi="Lato"/>
          <w:sz w:val="24"/>
          <w:szCs w:val="16"/>
        </w:rPr>
        <w:t>w</w:t>
      </w:r>
      <w:r w:rsidR="00995421">
        <w:rPr>
          <w:rFonts w:ascii="Lato" w:hAnsi="Lato"/>
          <w:sz w:val="24"/>
          <w:szCs w:val="16"/>
        </w:rPr>
        <w:t> </w:t>
      </w:r>
      <w:r w:rsidRPr="007B0E88">
        <w:rPr>
          <w:rFonts w:ascii="Lato" w:hAnsi="Lato"/>
          <w:sz w:val="24"/>
          <w:szCs w:val="16"/>
        </w:rPr>
        <w:t>tym środki na koordynację zdań i wkład własny beneficjentów ) wyniósł ponad</w:t>
      </w:r>
      <w:r w:rsidR="00995421">
        <w:rPr>
          <w:rFonts w:ascii="Lato" w:hAnsi="Lato"/>
          <w:sz w:val="24"/>
          <w:szCs w:val="16"/>
        </w:rPr>
        <w:t> 6,7 mln zł.</w:t>
      </w:r>
    </w:p>
    <w:p w:rsidR="00995421" w:rsidRDefault="007B0E88" w:rsidP="00995421">
      <w:pPr>
        <w:jc w:val="both"/>
        <w:rPr>
          <w:rFonts w:ascii="Lato" w:hAnsi="Lato"/>
          <w:sz w:val="24"/>
          <w:szCs w:val="16"/>
        </w:rPr>
      </w:pPr>
      <w:r w:rsidRPr="007B0E88">
        <w:rPr>
          <w:rFonts w:ascii="Lato" w:hAnsi="Lato"/>
          <w:sz w:val="24"/>
          <w:szCs w:val="16"/>
        </w:rPr>
        <w:t xml:space="preserve">Ubiegły rok przyniósł wiele nieoczekiwanych okoliczności, w lutym rozpoczęła się inwazja Rosjan na Ukrainę, następnie rosnąca inflacja skutkująca m.in. podwyżką cen energii elektrycznej i ogrzewania, które spowodowały, że beneficjenci NPRCz 2.0 podczas realizacji swoich zadań </w:t>
      </w:r>
      <w:r w:rsidR="00995421">
        <w:rPr>
          <w:rFonts w:ascii="Lato" w:hAnsi="Lato"/>
          <w:sz w:val="24"/>
          <w:szCs w:val="16"/>
        </w:rPr>
        <w:t xml:space="preserve">napotykali na liczne problemy. </w:t>
      </w:r>
    </w:p>
    <w:p w:rsidR="00995421" w:rsidRDefault="007B0E88" w:rsidP="00995421">
      <w:pPr>
        <w:jc w:val="both"/>
        <w:rPr>
          <w:rFonts w:ascii="Lato" w:hAnsi="Lato"/>
          <w:sz w:val="24"/>
          <w:szCs w:val="16"/>
        </w:rPr>
      </w:pPr>
      <w:r w:rsidRPr="007B0E88">
        <w:rPr>
          <w:rFonts w:ascii="Lato" w:hAnsi="Lato"/>
          <w:sz w:val="24"/>
          <w:szCs w:val="16"/>
        </w:rPr>
        <w:t>W Priorytecie 1, z powodu nieprzystąpienia wystarczającej liczby bibliotek do ubiegania się o środki (ze względu na brak zabezpieczonych środków na wkład własny) skutkującym nierozdysponowaniem budżetu w K.I.1.1., mimo zorganizowania drugiego naboru wniosków do Programu, nie udało się  ostatecznie wykorzystać przewidzianego na 2022 rok budżetu K.I 1</w:t>
      </w:r>
      <w:r w:rsidR="00995421">
        <w:rPr>
          <w:rFonts w:ascii="Lato" w:hAnsi="Lato"/>
          <w:sz w:val="24"/>
          <w:szCs w:val="16"/>
        </w:rPr>
        <w:t xml:space="preserve">.1. </w:t>
      </w:r>
    </w:p>
    <w:p w:rsidR="00995421" w:rsidRDefault="007B0E88" w:rsidP="00995421">
      <w:pPr>
        <w:jc w:val="both"/>
        <w:rPr>
          <w:rFonts w:ascii="Lato" w:hAnsi="Lato"/>
          <w:sz w:val="24"/>
          <w:szCs w:val="16"/>
        </w:rPr>
      </w:pPr>
      <w:r w:rsidRPr="007B0E88">
        <w:rPr>
          <w:rFonts w:ascii="Lato" w:hAnsi="Lato"/>
          <w:sz w:val="24"/>
          <w:szCs w:val="16"/>
        </w:rPr>
        <w:lastRenderedPageBreak/>
        <w:t>W podobnej  niekorzystnej sytuacji znaleźli się beneficjenci Priorytetu 2. Rok 2022 przyniósł wiele trudności w płynnej realizacji zadań, a przyczyniły się do tego m.in: możliwość uzyskania korzystniejszego względem NPRCz dofinansowania przez gminę w ramach Polskiego Ładu, znaczący wzrost kosztów realizacji przedsięwzięcia uniemożliwiający realizację zadania w założonej perspektywie czasowej (wzrost cen na rynkach budowlanym czy energetycznym) niemożność wyłonienia wykonawcy mimo przeprowadzenia procedury przetargowej, kwestie organizacyjne, spowodowały problemy w terminowej realizacji zamierzonych celów, konieczność przedłużania zadań, w końcu – w kilkunastu przypadkach – konieczność rezygnacji z realizacji zadań. W trakcie 2022 r. aż 14 beneficjentów zrezygnowało z realizacji zadań: 2 z nich to beneficjenci dofinansowani w ramach I naboru wniosków, pozostałych 12 – beneficjenci z II naboru. Do września 2022 z realizacji zadań zrezygnowało łącznie 6 beneficjentów z drugiego naboru wniosków. Dzięki wdrożeniu zapisów (par. 4 ust. 8 regulaminu konkursu) i po akceptacji przez Ministra KiDN zaktualizowanych list rankingowych, po rezygnacjach ww. beneficjentów dofinansowanie otrzymało 7 dodatkowych bibliotek, co pozwoliło zminimalizować negatywne oddziaływanie</w:t>
      </w:r>
      <w:r w:rsidR="00995421">
        <w:rPr>
          <w:rFonts w:ascii="Lato" w:hAnsi="Lato"/>
          <w:sz w:val="24"/>
          <w:szCs w:val="16"/>
        </w:rPr>
        <w:t xml:space="preserve"> rezygnacji.</w:t>
      </w:r>
    </w:p>
    <w:p w:rsidR="00995421" w:rsidRDefault="007B0E88" w:rsidP="00995421">
      <w:pPr>
        <w:jc w:val="both"/>
        <w:rPr>
          <w:rFonts w:ascii="Lato" w:hAnsi="Lato"/>
          <w:sz w:val="24"/>
          <w:szCs w:val="16"/>
        </w:rPr>
      </w:pPr>
      <w:r w:rsidRPr="007B0E88">
        <w:rPr>
          <w:rFonts w:ascii="Lato" w:hAnsi="Lato"/>
          <w:sz w:val="24"/>
          <w:szCs w:val="16"/>
        </w:rPr>
        <w:t>Należy również odnotować fakt, że wzrost inflacji utrudnił realizację zaplanowanych w Planie Ewaluacji i Monitoringu badan. Ceny usług badawczych i ewaluacyjnych znacząco wzrosły w porównaniu do roku, w którym planowane były wydatki na Program. O ile w 2021 roku nie było to tak odczuwalne, to w 2022 r. miało to już znacznie dotkliwszy wpływ na prowadzone działania. W roku 2022 roku w postępowaniu prowadzonym w trybie podstawowym nie wpłynęła żadna oferta na ewaluację systemu wdrażania, ponieważ szacunki firm przewyższały kwotę, jaką przeznaczono w budżecie na ten cel. Podjęto negocjacje z jednym wykonawcą, jednocześnie ograniczając zaplanowane narzędzia badawczych, tak, by możliwe było uzyskanie odpowiedzi na kluczowe pytania badawcze przy zapla</w:t>
      </w:r>
      <w:r w:rsidR="00995421">
        <w:rPr>
          <w:rFonts w:ascii="Lato" w:hAnsi="Lato"/>
          <w:sz w:val="24"/>
          <w:szCs w:val="16"/>
        </w:rPr>
        <w:t>nowanym budżecie.</w:t>
      </w:r>
    </w:p>
    <w:p w:rsidR="00995421" w:rsidRDefault="007B0E88" w:rsidP="00995421">
      <w:pPr>
        <w:jc w:val="both"/>
        <w:rPr>
          <w:rFonts w:ascii="Lato" w:hAnsi="Lato"/>
          <w:sz w:val="24"/>
          <w:szCs w:val="16"/>
        </w:rPr>
      </w:pPr>
      <w:r w:rsidRPr="007B0E88">
        <w:rPr>
          <w:rFonts w:ascii="Lato" w:hAnsi="Lato"/>
          <w:sz w:val="24"/>
          <w:szCs w:val="16"/>
        </w:rPr>
        <w:t>Na realizację NPRCz 2.0 w 2022 r. zaplanowano kwotę 152.083 tyś zł, wydatkowano zaś 136.080 tyś zł. Stopień finasowania Programu wyniósł 89,5% planu. W roku 2022 z</w:t>
      </w:r>
      <w:r w:rsidR="00731DF0">
        <w:rPr>
          <w:rFonts w:ascii="Lato" w:hAnsi="Lato"/>
          <w:sz w:val="24"/>
          <w:szCs w:val="16"/>
        </w:rPr>
        <w:t> </w:t>
      </w:r>
      <w:r w:rsidRPr="007B0E88">
        <w:rPr>
          <w:rFonts w:ascii="Lato" w:hAnsi="Lato"/>
          <w:sz w:val="24"/>
          <w:szCs w:val="16"/>
        </w:rPr>
        <w:t>powodu niewydatkowania środków w budżetach Priorytetu 1 i 2 dokonano ich blokad</w:t>
      </w:r>
      <w:r w:rsidR="00995421">
        <w:rPr>
          <w:rFonts w:ascii="Lato" w:hAnsi="Lato"/>
          <w:sz w:val="24"/>
          <w:szCs w:val="16"/>
        </w:rPr>
        <w:t>y w wysokości 13. 681.950 zł.</w:t>
      </w:r>
      <w:r w:rsidR="00995421">
        <w:rPr>
          <w:rFonts w:ascii="Lato" w:hAnsi="Lato"/>
          <w:sz w:val="24"/>
          <w:szCs w:val="16"/>
        </w:rPr>
        <w:tab/>
      </w:r>
      <w:r w:rsidR="00995421">
        <w:rPr>
          <w:rFonts w:ascii="Lato" w:hAnsi="Lato"/>
          <w:sz w:val="24"/>
          <w:szCs w:val="16"/>
        </w:rPr>
        <w:tab/>
      </w:r>
    </w:p>
    <w:p w:rsidR="007B0E88" w:rsidRPr="00995421" w:rsidRDefault="007B0E88" w:rsidP="00995421">
      <w:pPr>
        <w:jc w:val="both"/>
        <w:rPr>
          <w:rFonts w:ascii="Lato" w:hAnsi="Lato"/>
          <w:sz w:val="24"/>
          <w:szCs w:val="16"/>
        </w:rPr>
      </w:pPr>
      <w:r w:rsidRPr="007B0E88">
        <w:rPr>
          <w:rFonts w:ascii="Lato" w:hAnsi="Lato"/>
          <w:sz w:val="24"/>
          <w:szCs w:val="16"/>
        </w:rPr>
        <w:t xml:space="preserve">W 2022 r. rozpoczęto aktualizację zapisów Programu NPRCz 2.0 bowiem w wyniku dotychczasowych doświadczeń i analizy funkcjonowania przepisów, w pierwszym roku realizacji programu, okazało się konieczne dokonanie niezbędnych zmian w dokumencie polegających na usprawnieniu procedur i uaktualnieniu harmonogramów, ujednoliceniu terminologii oraz wyeliminowaniu niejasności interpretacyjnych, które pojawiły się w trakcie stosowania przepisów uchwały. Dokument został przyjęty przez Radę Ministrów Uchwała nr 23/2023 z dnia 14 lutego 2023 r. Równocześnie do procedowanej Uchwały NPRCz 2.0 resort edukacji prowadził prace legislacyjne związane ze zmianą zapisów Rozporządzenia Rady Ministrów z dnia 10 września 2021 r. w sprawie szczegółowych warunków, form i trybu realizacji Priorytetu 3 "Narodowego Programu Rozwoju Czytelnictwa 2.0. na lata 2021-2025" (Dz.U. poz. 1675). Dokument został przyjęty przez Radę Ministrów 28 lutego 2023 r. </w:t>
      </w:r>
    </w:p>
    <w:p w:rsidR="000275E3" w:rsidRDefault="000275E3">
      <w:bookmarkStart w:id="1" w:name="_GoBack"/>
      <w:bookmarkEnd w:id="1"/>
    </w:p>
    <w:sectPr w:rsidR="000275E3" w:rsidSect="007B0E88">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6D2" w:rsidRDefault="00EB16D2" w:rsidP="007B0E88">
      <w:pPr>
        <w:spacing w:after="0" w:line="240" w:lineRule="auto"/>
      </w:pPr>
      <w:r>
        <w:separator/>
      </w:r>
    </w:p>
  </w:endnote>
  <w:endnote w:type="continuationSeparator" w:id="0">
    <w:p w:rsidR="00EB16D2" w:rsidRDefault="00EB16D2" w:rsidP="007B0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6D2" w:rsidRDefault="00EB16D2" w:rsidP="007B0E88">
      <w:pPr>
        <w:spacing w:after="0" w:line="240" w:lineRule="auto"/>
      </w:pPr>
      <w:r>
        <w:separator/>
      </w:r>
    </w:p>
  </w:footnote>
  <w:footnote w:type="continuationSeparator" w:id="0">
    <w:p w:rsidR="00EB16D2" w:rsidRDefault="00EB16D2" w:rsidP="007B0E88">
      <w:pPr>
        <w:spacing w:after="0" w:line="240" w:lineRule="auto"/>
      </w:pPr>
      <w:r>
        <w:continuationSeparator/>
      </w:r>
    </w:p>
  </w:footnote>
  <w:footnote w:id="1">
    <w:p w:rsidR="007B0E88" w:rsidRPr="00326901" w:rsidRDefault="007B0E88" w:rsidP="007B0E88">
      <w:pPr>
        <w:pStyle w:val="Tekstprzypisudolnego"/>
        <w:jc w:val="both"/>
        <w:rPr>
          <w:sz w:val="18"/>
          <w:szCs w:val="18"/>
        </w:rPr>
      </w:pPr>
      <w:r w:rsidRPr="00326901">
        <w:rPr>
          <w:rStyle w:val="Odwoanieprzypisudolnego"/>
        </w:rPr>
        <w:footnoteRef/>
      </w:r>
      <w:r w:rsidRPr="00326901">
        <w:rPr>
          <w:sz w:val="18"/>
          <w:szCs w:val="18"/>
        </w:rPr>
        <w:t xml:space="preserve"> </w:t>
      </w:r>
      <w:r>
        <w:rPr>
          <w:sz w:val="18"/>
          <w:szCs w:val="18"/>
        </w:rPr>
        <w:t xml:space="preserve">Uchwała RM oraz załącznik </w:t>
      </w:r>
      <w:proofErr w:type="spellStart"/>
      <w:r>
        <w:rPr>
          <w:sz w:val="18"/>
          <w:szCs w:val="18"/>
        </w:rPr>
        <w:t>sa</w:t>
      </w:r>
      <w:proofErr w:type="spellEnd"/>
      <w:r>
        <w:rPr>
          <w:sz w:val="18"/>
          <w:szCs w:val="18"/>
        </w:rPr>
        <w:t xml:space="preserve"> dostępne na stronie internetowej MKiDN, pod adresem: </w:t>
      </w:r>
      <w:hyperlink r:id="rId1" w:history="1">
        <w:r w:rsidRPr="00DE2094">
          <w:rPr>
            <w:rStyle w:val="Hipercze"/>
            <w:sz w:val="18"/>
            <w:szCs w:val="18"/>
          </w:rPr>
          <w:t>https://bip.mkidn.gov.pl/pages/legislacja/programy-wieloletnie/narodowy-program-rozwoju-czytelnictwa-2-0-na-lata-2021-2025.php</w:t>
        </w:r>
      </w:hyperlink>
      <w:r>
        <w:rPr>
          <w:sz w:val="18"/>
          <w:szCs w:val="18"/>
        </w:rPr>
        <w:t xml:space="preserve"> (dostęp z dnia 21.04.2022 r.)</w:t>
      </w:r>
    </w:p>
  </w:footnote>
  <w:footnote w:id="2">
    <w:p w:rsidR="007B0E88" w:rsidRPr="0018367A" w:rsidRDefault="007B0E88" w:rsidP="007B0E88">
      <w:pPr>
        <w:pStyle w:val="Tekstprzypisudolnego"/>
        <w:rPr>
          <w:sz w:val="16"/>
          <w:szCs w:val="16"/>
        </w:rPr>
      </w:pPr>
      <w:r w:rsidRPr="0018367A">
        <w:rPr>
          <w:rStyle w:val="Odwoanieprzypisudolnego"/>
          <w:sz w:val="16"/>
          <w:szCs w:val="16"/>
        </w:rPr>
        <w:footnoteRef/>
      </w:r>
      <w:r w:rsidRPr="0018367A">
        <w:rPr>
          <w:sz w:val="16"/>
          <w:szCs w:val="16"/>
        </w:rPr>
        <w:t xml:space="preserve"> Wartość przedstawia wyniki obliczeń z zachowaniem dokładności do danych jednostkowych i może nieznacznie różnić się od wartości otrzymanej po dokonaniu obliczeń danych po zaokrągleniu. </w:t>
      </w:r>
    </w:p>
  </w:footnote>
  <w:footnote w:id="3">
    <w:p w:rsidR="007B0E88" w:rsidRPr="00951679" w:rsidRDefault="007B0E88" w:rsidP="007B0E88">
      <w:pPr>
        <w:pStyle w:val="Tekstprzypisudolnego"/>
        <w:rPr>
          <w:sz w:val="18"/>
          <w:szCs w:val="18"/>
        </w:rPr>
      </w:pPr>
      <w:r w:rsidRPr="0018367A">
        <w:rPr>
          <w:rStyle w:val="Odwoanieprzypisudolnego"/>
          <w:sz w:val="16"/>
          <w:szCs w:val="16"/>
        </w:rPr>
        <w:footnoteRef/>
      </w:r>
      <w:r w:rsidRPr="0018367A">
        <w:rPr>
          <w:sz w:val="16"/>
          <w:szCs w:val="16"/>
        </w:rPr>
        <w:t xml:space="preserve"> Wartość przedstawia wyniki obliczeń z zachowaniem dokładności do danych jednostkowych i może nieznacznie różnić się od wartości otrzymanej po dokonaniu obliczeń danych po zaokrągleniu.</w:t>
      </w:r>
    </w:p>
  </w:footnote>
  <w:footnote w:id="4">
    <w:p w:rsidR="007B0E88" w:rsidRPr="00951679" w:rsidRDefault="007B0E88" w:rsidP="007B0E88">
      <w:pPr>
        <w:pStyle w:val="Tekstprzypisudolnego"/>
        <w:jc w:val="both"/>
        <w:rPr>
          <w:sz w:val="18"/>
          <w:szCs w:val="18"/>
        </w:rPr>
      </w:pPr>
      <w:r w:rsidRPr="00951679">
        <w:rPr>
          <w:rStyle w:val="Odwoanieprzypisudolnego"/>
          <w:sz w:val="18"/>
          <w:szCs w:val="18"/>
        </w:rPr>
        <w:footnoteRef/>
      </w:r>
      <w:r>
        <w:rPr>
          <w:sz w:val="18"/>
          <w:szCs w:val="18"/>
        </w:rPr>
        <w:t xml:space="preserve"> Dla wskaźnika </w:t>
      </w:r>
      <w:r w:rsidRPr="00951679">
        <w:rPr>
          <w:sz w:val="18"/>
          <w:szCs w:val="18"/>
        </w:rPr>
        <w:t>CG_P_1</w:t>
      </w:r>
      <w:r>
        <w:rPr>
          <w:sz w:val="18"/>
          <w:szCs w:val="18"/>
        </w:rPr>
        <w:t xml:space="preserve"> p</w:t>
      </w:r>
      <w:r w:rsidRPr="00951679">
        <w:rPr>
          <w:sz w:val="18"/>
          <w:szCs w:val="18"/>
        </w:rPr>
        <w:t xml:space="preserve">ozycja „% realizacji wartości docelowej dla 2025 r.” została wyznaczona na podstawie zrealizowanych umów z beneficjentami w </w:t>
      </w:r>
      <w:r>
        <w:rPr>
          <w:sz w:val="18"/>
          <w:szCs w:val="18"/>
        </w:rPr>
        <w:t xml:space="preserve">2021 r.  i </w:t>
      </w:r>
      <w:r w:rsidRPr="00951679">
        <w:rPr>
          <w:sz w:val="18"/>
          <w:szCs w:val="18"/>
        </w:rPr>
        <w:t>2022 r. Mając na uwadze fakt, iż dla wybranych Kierunków interwencji NPRCz 2.0 zadania są realizowane w okresie wykraczając</w:t>
      </w:r>
      <w:r>
        <w:rPr>
          <w:sz w:val="18"/>
          <w:szCs w:val="18"/>
        </w:rPr>
        <w:t>ym poza jeden rok kalendarzowy (</w:t>
      </w:r>
      <w:r w:rsidRPr="00951679">
        <w:rPr>
          <w:sz w:val="18"/>
          <w:szCs w:val="18"/>
        </w:rPr>
        <w:t>przy założeniu, iż wszystkie podpisane i nadal realizowane umowy zostaną pomyślnie zakończone</w:t>
      </w:r>
      <w:r>
        <w:rPr>
          <w:sz w:val="18"/>
          <w:szCs w:val="18"/>
        </w:rPr>
        <w:t>)</w:t>
      </w:r>
      <w:r w:rsidRPr="00951679">
        <w:rPr>
          <w:sz w:val="18"/>
          <w:szCs w:val="18"/>
        </w:rPr>
        <w:t xml:space="preserve"> </w:t>
      </w:r>
      <w:r w:rsidRPr="00063EF0">
        <w:rPr>
          <w:sz w:val="18"/>
          <w:szCs w:val="18"/>
        </w:rPr>
        <w:t>„% realizacji wartości docelowej dla 2025 r</w:t>
      </w:r>
      <w:r>
        <w:rPr>
          <w:sz w:val="18"/>
          <w:szCs w:val="18"/>
        </w:rPr>
        <w:t>.” wyniósłby: 38,49</w:t>
      </w:r>
      <w:r w:rsidRPr="00951679">
        <w:rPr>
          <w:sz w:val="18"/>
          <w:szCs w:val="18"/>
        </w:rPr>
        <w:t>%. W odniesie</w:t>
      </w:r>
      <w:r>
        <w:rPr>
          <w:sz w:val="18"/>
          <w:szCs w:val="18"/>
        </w:rPr>
        <w:t>niu do Kierunków interwencji, w </w:t>
      </w:r>
      <w:r w:rsidRPr="00951679">
        <w:rPr>
          <w:sz w:val="18"/>
          <w:szCs w:val="18"/>
        </w:rPr>
        <w:t>których projekty są realizowane przez minimum dwa lata,</w:t>
      </w:r>
      <w:r>
        <w:rPr>
          <w:sz w:val="18"/>
          <w:szCs w:val="18"/>
        </w:rPr>
        <w:t xml:space="preserve"> w </w:t>
      </w:r>
      <w:r w:rsidRPr="00951679">
        <w:rPr>
          <w:sz w:val="18"/>
          <w:szCs w:val="18"/>
        </w:rPr>
        <w:t>odniesieniu do wskaźnika CG_P_1, wykazano w pozycji „% realizacji wartości docelowej dla 2025 r.” wartość odnoszącą się do już zrealizowanych umów, jednak w przypisie dla każdej z nich wskazano zakładaną wartość, wynikającą z liczby nadal realizowanych umów.</w:t>
      </w:r>
    </w:p>
  </w:footnote>
  <w:footnote w:id="5">
    <w:p w:rsidR="007B0E88" w:rsidRPr="00951C5E" w:rsidRDefault="007B0E88" w:rsidP="007B0E88">
      <w:pPr>
        <w:pStyle w:val="Tekstprzypisudolnego"/>
        <w:jc w:val="both"/>
        <w:rPr>
          <w:sz w:val="18"/>
          <w:szCs w:val="18"/>
        </w:rPr>
      </w:pPr>
      <w:r w:rsidRPr="00951C5E">
        <w:rPr>
          <w:rStyle w:val="Odwoanieprzypisudolnego"/>
          <w:sz w:val="18"/>
          <w:szCs w:val="18"/>
        </w:rPr>
        <w:footnoteRef/>
      </w:r>
      <w:r w:rsidRPr="00951C5E">
        <w:rPr>
          <w:sz w:val="18"/>
          <w:szCs w:val="18"/>
        </w:rPr>
        <w:t xml:space="preserve"> Wartość </w:t>
      </w:r>
      <w:r w:rsidRPr="009E2A93">
        <w:rPr>
          <w:sz w:val="18"/>
          <w:szCs w:val="18"/>
        </w:rPr>
        <w:t>21,98</w:t>
      </w:r>
      <w:r w:rsidRPr="00951C5E">
        <w:rPr>
          <w:sz w:val="18"/>
          <w:szCs w:val="18"/>
        </w:rPr>
        <w:t>% dla Kierunku interwencji 1.2. za 2022 r. (jako % realizacji wartości docelowej dla 2025 r.) została wyznaczona na podstawie zrealizowanych umów w tym Kierunku interwencji. Przy założeniu, że wszystkie podpisane i nadal realizowane umowy zostaną z sukcesem zakończone, wartość wskaźnika dla Kierunku interwencji 1.2 wyniosłaby: 26,2</w:t>
      </w:r>
      <w:r>
        <w:rPr>
          <w:sz w:val="18"/>
          <w:szCs w:val="18"/>
        </w:rPr>
        <w:t>1</w:t>
      </w:r>
      <w:r w:rsidRPr="00951C5E">
        <w:rPr>
          <w:sz w:val="18"/>
          <w:szCs w:val="18"/>
        </w:rPr>
        <w:t>%.</w:t>
      </w:r>
    </w:p>
  </w:footnote>
  <w:footnote w:id="6">
    <w:p w:rsidR="007B0E88" w:rsidRPr="00951C5E" w:rsidRDefault="007B0E88" w:rsidP="007B0E88">
      <w:pPr>
        <w:pStyle w:val="Tekstprzypisudolnego"/>
        <w:jc w:val="both"/>
        <w:rPr>
          <w:sz w:val="18"/>
          <w:szCs w:val="18"/>
        </w:rPr>
      </w:pPr>
      <w:r w:rsidRPr="00951C5E">
        <w:rPr>
          <w:rStyle w:val="Odwoanieprzypisudolnego"/>
          <w:sz w:val="18"/>
          <w:szCs w:val="18"/>
        </w:rPr>
        <w:footnoteRef/>
      </w:r>
      <w:r w:rsidRPr="00951C5E">
        <w:rPr>
          <w:sz w:val="18"/>
          <w:szCs w:val="18"/>
        </w:rPr>
        <w:t xml:space="preserve"> </w:t>
      </w:r>
      <w:r w:rsidRPr="003A3C63">
        <w:rPr>
          <w:sz w:val="18"/>
          <w:szCs w:val="18"/>
        </w:rPr>
        <w:t>W 2022 r., w Kierunku interwencji 2.1., realizowanych było 8 dodatkowych zadań (8 bibliotek objętych wsparciem) objętych umowami, które w trakcie roku sprawozdawczego zostały rozwiązane na mocy porozumienia stron (i tym samym nie są one wykazywane w sprawozdawczości wskaźnika CG_P_1 dla Kierunku interwencji 2.1. za 2022 r.). Część z tych rozwiązanych umów dotyczyła zadań przed pobraniem pierwszej transzy dofinansowania. Ponadto 2 z omawianych umów dotyczyło zadań rozpo</w:t>
      </w:r>
      <w:r>
        <w:rPr>
          <w:sz w:val="18"/>
          <w:szCs w:val="18"/>
        </w:rPr>
        <w:t>czętych w 2021 r., wykazanych w </w:t>
      </w:r>
      <w:r w:rsidRPr="003A3C63">
        <w:rPr>
          <w:sz w:val="18"/>
          <w:szCs w:val="18"/>
        </w:rPr>
        <w:t xml:space="preserve">sprawozdawczości za tamten okres (ponieważ były realizowane wg. stanu </w:t>
      </w:r>
      <w:r>
        <w:rPr>
          <w:sz w:val="18"/>
          <w:szCs w:val="18"/>
        </w:rPr>
        <w:t xml:space="preserve">na dzień 31.12.2021 </w:t>
      </w:r>
      <w:r w:rsidRPr="00395448">
        <w:rPr>
          <w:sz w:val="18"/>
          <w:szCs w:val="18"/>
        </w:rPr>
        <w:t>r.).</w:t>
      </w:r>
    </w:p>
  </w:footnote>
  <w:footnote w:id="7">
    <w:p w:rsidR="007B0E88" w:rsidRPr="00DC4FDD" w:rsidRDefault="007B0E88" w:rsidP="007B0E88">
      <w:pPr>
        <w:pStyle w:val="Tekstprzypisudolnego"/>
        <w:jc w:val="both"/>
        <w:rPr>
          <w:sz w:val="18"/>
          <w:szCs w:val="18"/>
        </w:rPr>
      </w:pPr>
      <w:r w:rsidRPr="00951C5E">
        <w:rPr>
          <w:rStyle w:val="Odwoanieprzypisudolnego"/>
          <w:sz w:val="18"/>
          <w:szCs w:val="18"/>
        </w:rPr>
        <w:footnoteRef/>
      </w:r>
      <w:r w:rsidRPr="00951C5E">
        <w:rPr>
          <w:sz w:val="18"/>
          <w:szCs w:val="18"/>
        </w:rPr>
        <w:t xml:space="preserve"> Wartość 4,</w:t>
      </w:r>
      <w:r>
        <w:rPr>
          <w:sz w:val="18"/>
          <w:szCs w:val="18"/>
        </w:rPr>
        <w:t>27</w:t>
      </w:r>
      <w:r w:rsidRPr="00951C5E">
        <w:rPr>
          <w:sz w:val="18"/>
          <w:szCs w:val="18"/>
        </w:rPr>
        <w:t>% dla Kierunku interwencji 2.1. za 2022 r. (jako % realizacji wartości docelowej dla 2025 r.) została wyznaczona na podstawie zrealizowanych umów w tym Kierunku interwencji. Przy założeniu, że wszystkie podpisane i nadal realizowane umowy (dotyczące projektów inwestycyjnych) zostaną z sukcesem zakończone, wartość wskaźnika dla Kierunku interwencji 2.1. wyniosłaby: 50,6</w:t>
      </w:r>
      <w:r>
        <w:rPr>
          <w:sz w:val="18"/>
          <w:szCs w:val="18"/>
        </w:rPr>
        <w:t>1</w:t>
      </w:r>
      <w:r w:rsidRPr="00951C5E">
        <w:rPr>
          <w:sz w:val="18"/>
          <w:szCs w:val="18"/>
        </w:rPr>
        <w:t>%.</w:t>
      </w:r>
    </w:p>
  </w:footnote>
  <w:footnote w:id="8">
    <w:p w:rsidR="007B0E88" w:rsidRPr="007F75D6" w:rsidRDefault="007B0E88" w:rsidP="007B0E88">
      <w:pPr>
        <w:pStyle w:val="Tekstprzypisudolnego"/>
        <w:jc w:val="both"/>
        <w:rPr>
          <w:sz w:val="18"/>
          <w:szCs w:val="18"/>
        </w:rPr>
      </w:pPr>
      <w:r w:rsidRPr="007F75D6">
        <w:rPr>
          <w:rStyle w:val="Odwoanieprzypisudolnego"/>
          <w:sz w:val="18"/>
          <w:szCs w:val="18"/>
        </w:rPr>
        <w:footnoteRef/>
      </w:r>
      <w:r w:rsidRPr="007F75D6">
        <w:rPr>
          <w:sz w:val="18"/>
          <w:szCs w:val="18"/>
        </w:rPr>
        <w:t xml:space="preserve"> </w:t>
      </w:r>
      <w:r w:rsidRPr="00FA300F">
        <w:rPr>
          <w:sz w:val="18"/>
          <w:szCs w:val="18"/>
        </w:rPr>
        <w:t>Wartość 5,</w:t>
      </w:r>
      <w:r>
        <w:rPr>
          <w:sz w:val="18"/>
          <w:szCs w:val="18"/>
        </w:rPr>
        <w:t>38</w:t>
      </w:r>
      <w:r w:rsidRPr="00FA300F">
        <w:rPr>
          <w:sz w:val="18"/>
          <w:szCs w:val="18"/>
        </w:rPr>
        <w:t>%</w:t>
      </w:r>
      <w:r>
        <w:rPr>
          <w:sz w:val="18"/>
          <w:szCs w:val="18"/>
        </w:rPr>
        <w:t xml:space="preserve"> dla wskaźnika P_4 w</w:t>
      </w:r>
      <w:r w:rsidRPr="00FA300F">
        <w:rPr>
          <w:sz w:val="18"/>
          <w:szCs w:val="18"/>
        </w:rPr>
        <w:t xml:space="preserve"> Kierunku interwencji 2.1. za 2022 r.</w:t>
      </w:r>
      <w:r>
        <w:rPr>
          <w:sz w:val="18"/>
          <w:szCs w:val="18"/>
        </w:rPr>
        <w:t xml:space="preserve"> </w:t>
      </w:r>
      <w:r w:rsidRPr="00FA300F">
        <w:rPr>
          <w:sz w:val="18"/>
          <w:szCs w:val="18"/>
        </w:rPr>
        <w:t>(jako % realizacji wartości docelowej dla 2025 r.) została wyznaczona na podstawie zrealizowanych umów w tym Kierunku interwencji. Przy założeniu, że wszystkie podpisane i nadal realizowane umowy (dotyczące projektów inwestycyjnych) zostaną z sukcesem zakończone</w:t>
      </w:r>
      <w:r>
        <w:rPr>
          <w:sz w:val="18"/>
          <w:szCs w:val="18"/>
        </w:rPr>
        <w:t xml:space="preserve"> oraz że w </w:t>
      </w:r>
      <w:r w:rsidRPr="00CA43F2">
        <w:rPr>
          <w:sz w:val="18"/>
          <w:szCs w:val="18"/>
        </w:rPr>
        <w:t xml:space="preserve">wyniku </w:t>
      </w:r>
      <w:r>
        <w:rPr>
          <w:sz w:val="18"/>
          <w:szCs w:val="18"/>
        </w:rPr>
        <w:t>realizacji tych projektów</w:t>
      </w:r>
      <w:r w:rsidRPr="00CA43F2">
        <w:rPr>
          <w:sz w:val="18"/>
          <w:szCs w:val="18"/>
        </w:rPr>
        <w:t xml:space="preserve"> </w:t>
      </w:r>
      <w:r>
        <w:rPr>
          <w:sz w:val="18"/>
          <w:szCs w:val="18"/>
        </w:rPr>
        <w:t xml:space="preserve">objęte nimi obiekty zostaną </w:t>
      </w:r>
      <w:r w:rsidRPr="00CA43F2">
        <w:rPr>
          <w:sz w:val="18"/>
          <w:szCs w:val="18"/>
        </w:rPr>
        <w:t>dostosowan</w:t>
      </w:r>
      <w:r>
        <w:rPr>
          <w:sz w:val="18"/>
          <w:szCs w:val="18"/>
        </w:rPr>
        <w:t>e</w:t>
      </w:r>
      <w:r w:rsidRPr="00CA43F2">
        <w:rPr>
          <w:sz w:val="18"/>
          <w:szCs w:val="18"/>
        </w:rPr>
        <w:t xml:space="preserve"> do potrzeb osób ze szczególnymi potrzebami </w:t>
      </w:r>
      <w:r w:rsidRPr="00FA300F">
        <w:rPr>
          <w:sz w:val="18"/>
          <w:szCs w:val="18"/>
        </w:rPr>
        <w:t xml:space="preserve">wartość wskaźnika </w:t>
      </w:r>
      <w:r w:rsidRPr="00CA43F2">
        <w:rPr>
          <w:sz w:val="18"/>
          <w:szCs w:val="18"/>
        </w:rPr>
        <w:t>P_4</w:t>
      </w:r>
      <w:r>
        <w:rPr>
          <w:sz w:val="18"/>
          <w:szCs w:val="18"/>
        </w:rPr>
        <w:t xml:space="preserve"> </w:t>
      </w:r>
      <w:r w:rsidRPr="00FA300F">
        <w:rPr>
          <w:sz w:val="18"/>
          <w:szCs w:val="18"/>
        </w:rPr>
        <w:t xml:space="preserve">dla Kierunku interwencji 2.1. wyniosłaby: </w:t>
      </w:r>
      <w:r>
        <w:rPr>
          <w:sz w:val="18"/>
          <w:szCs w:val="18"/>
        </w:rPr>
        <w:t>86,02</w:t>
      </w:r>
      <w:r w:rsidRPr="00FA300F">
        <w:rPr>
          <w:sz w:val="18"/>
          <w:szCs w:val="18"/>
        </w:rPr>
        <w:t>%.</w:t>
      </w:r>
    </w:p>
  </w:footnote>
  <w:footnote w:id="9">
    <w:p w:rsidR="007B0E88" w:rsidRPr="007F75D6" w:rsidRDefault="007B0E88" w:rsidP="007B0E88">
      <w:pPr>
        <w:pStyle w:val="Tekstprzypisudolnego"/>
        <w:jc w:val="both"/>
        <w:rPr>
          <w:sz w:val="18"/>
          <w:szCs w:val="18"/>
        </w:rPr>
      </w:pPr>
      <w:r w:rsidRPr="007F75D6">
        <w:rPr>
          <w:rStyle w:val="Odwoanieprzypisudolnego"/>
          <w:sz w:val="18"/>
          <w:szCs w:val="18"/>
        </w:rPr>
        <w:footnoteRef/>
      </w:r>
      <w:r w:rsidRPr="007F75D6">
        <w:rPr>
          <w:sz w:val="18"/>
          <w:szCs w:val="18"/>
        </w:rPr>
        <w:t xml:space="preserve"> </w:t>
      </w:r>
      <w:r w:rsidRPr="008C3BD3">
        <w:rPr>
          <w:sz w:val="18"/>
          <w:szCs w:val="18"/>
        </w:rPr>
        <w:t>Wartość 27,2</w:t>
      </w:r>
      <w:r>
        <w:rPr>
          <w:sz w:val="18"/>
          <w:szCs w:val="18"/>
        </w:rPr>
        <w:t>2</w:t>
      </w:r>
      <w:r w:rsidRPr="008C3BD3">
        <w:rPr>
          <w:sz w:val="18"/>
          <w:szCs w:val="18"/>
        </w:rPr>
        <w:t xml:space="preserve">% dla Kierunku interwencji </w:t>
      </w:r>
      <w:r>
        <w:rPr>
          <w:sz w:val="18"/>
          <w:szCs w:val="18"/>
        </w:rPr>
        <w:t>4</w:t>
      </w:r>
      <w:r w:rsidRPr="008C3BD3">
        <w:rPr>
          <w:sz w:val="18"/>
          <w:szCs w:val="18"/>
        </w:rPr>
        <w:t>.</w:t>
      </w:r>
      <w:r>
        <w:rPr>
          <w:sz w:val="18"/>
          <w:szCs w:val="18"/>
        </w:rPr>
        <w:t>1.</w:t>
      </w:r>
      <w:r w:rsidRPr="008C3BD3">
        <w:rPr>
          <w:sz w:val="18"/>
          <w:szCs w:val="18"/>
        </w:rPr>
        <w:t xml:space="preserve"> za 2022 r.</w:t>
      </w:r>
      <w:r>
        <w:rPr>
          <w:sz w:val="18"/>
          <w:szCs w:val="18"/>
        </w:rPr>
        <w:t xml:space="preserve"> </w:t>
      </w:r>
      <w:r w:rsidRPr="008C3BD3">
        <w:rPr>
          <w:sz w:val="18"/>
          <w:szCs w:val="18"/>
        </w:rPr>
        <w:t>(jako % realizacji wartości docelowej dla 2025 r.) została wyznaczona na podstawie zrealizowanych umów w tym Kierunku interwencji. Przy założeniu, że wszystkie podpisane i nadal realizowane umowy zostaną z sukcesem zakończone wartość wska</w:t>
      </w:r>
      <w:r>
        <w:rPr>
          <w:sz w:val="18"/>
          <w:szCs w:val="18"/>
        </w:rPr>
        <w:t>źnika dla Kierunku interwencji 4</w:t>
      </w:r>
      <w:r w:rsidRPr="008C3BD3">
        <w:rPr>
          <w:sz w:val="18"/>
          <w:szCs w:val="18"/>
        </w:rPr>
        <w:t xml:space="preserve">.1. wyniosłaby: </w:t>
      </w:r>
      <w:r>
        <w:rPr>
          <w:sz w:val="18"/>
          <w:szCs w:val="18"/>
        </w:rPr>
        <w:t>52,78</w:t>
      </w:r>
      <w:r w:rsidRPr="008C3BD3">
        <w:rPr>
          <w:sz w:val="18"/>
          <w:szCs w:val="18"/>
        </w:rPr>
        <w:t>%.</w:t>
      </w:r>
    </w:p>
  </w:footnote>
  <w:footnote w:id="10">
    <w:p w:rsidR="007B0E88" w:rsidRPr="005F2DB1" w:rsidRDefault="007B0E88" w:rsidP="007B0E88">
      <w:pPr>
        <w:pStyle w:val="Tekstprzypisudolnego"/>
        <w:jc w:val="both"/>
        <w:rPr>
          <w:sz w:val="18"/>
          <w:szCs w:val="18"/>
        </w:rPr>
      </w:pPr>
      <w:r w:rsidRPr="005F2DB1">
        <w:rPr>
          <w:rStyle w:val="Odwoanieprzypisudolnego"/>
          <w:sz w:val="18"/>
          <w:szCs w:val="18"/>
        </w:rPr>
        <w:footnoteRef/>
      </w:r>
      <w:r w:rsidRPr="005F2DB1">
        <w:rPr>
          <w:sz w:val="18"/>
          <w:szCs w:val="18"/>
        </w:rPr>
        <w:t xml:space="preserve"> </w:t>
      </w:r>
      <w:r>
        <w:rPr>
          <w:sz w:val="18"/>
          <w:szCs w:val="18"/>
        </w:rPr>
        <w:t>Zgodnie z wynikami, przeprowadzonego przez Operatora Priorytetu 4 NPRCz 2.0, B</w:t>
      </w:r>
      <w:r w:rsidRPr="00B230FC">
        <w:rPr>
          <w:sz w:val="18"/>
          <w:szCs w:val="18"/>
        </w:rPr>
        <w:t>adani</w:t>
      </w:r>
      <w:r>
        <w:rPr>
          <w:sz w:val="18"/>
          <w:szCs w:val="18"/>
        </w:rPr>
        <w:t>a</w:t>
      </w:r>
      <w:r w:rsidRPr="00B230FC">
        <w:rPr>
          <w:sz w:val="18"/>
          <w:szCs w:val="18"/>
        </w:rPr>
        <w:t xml:space="preserve"> kampanii promocyjnej w 2022 </w:t>
      </w:r>
      <w:r>
        <w:rPr>
          <w:sz w:val="18"/>
          <w:szCs w:val="18"/>
        </w:rPr>
        <w:t>r. c</w:t>
      </w:r>
      <w:r w:rsidRPr="00B230FC">
        <w:rPr>
          <w:sz w:val="18"/>
          <w:szCs w:val="18"/>
        </w:rPr>
        <w:t>ałkowita rozpoznawalność kampanii to 28% wśród ogółu oraz 29% wśród młodych</w:t>
      </w:r>
      <w:r>
        <w:rPr>
          <w:sz w:val="18"/>
          <w:szCs w:val="18"/>
        </w:rPr>
        <w:t xml:space="preserve"> (w</w:t>
      </w:r>
      <w:r w:rsidRPr="00B230FC">
        <w:rPr>
          <w:sz w:val="18"/>
          <w:szCs w:val="18"/>
        </w:rPr>
        <w:t>skaźnik wyliczany w oparciu o deklarowaną znajomość wszystkich analizowanych elementów kampanii: filmu, reklam rad</w:t>
      </w:r>
      <w:r>
        <w:rPr>
          <w:sz w:val="18"/>
          <w:szCs w:val="18"/>
        </w:rPr>
        <w:t xml:space="preserve">iowych oraz </w:t>
      </w:r>
      <w:proofErr w:type="spellStart"/>
      <w:r>
        <w:rPr>
          <w:sz w:val="18"/>
          <w:szCs w:val="18"/>
        </w:rPr>
        <w:t>screeenów</w:t>
      </w:r>
      <w:proofErr w:type="spellEnd"/>
      <w:r>
        <w:rPr>
          <w:sz w:val="18"/>
          <w:szCs w:val="18"/>
        </w:rPr>
        <w:t xml:space="preserve"> ze spotów). </w:t>
      </w:r>
      <w:r w:rsidRPr="0066013D">
        <w:rPr>
          <w:sz w:val="18"/>
          <w:szCs w:val="18"/>
        </w:rPr>
        <w:t xml:space="preserve">Na tej podstawie </w:t>
      </w:r>
      <w:r>
        <w:rPr>
          <w:sz w:val="18"/>
          <w:szCs w:val="18"/>
        </w:rPr>
        <w:t xml:space="preserve">została obliczona wartość wskaźnika P_9 za 2022 r., tj. został </w:t>
      </w:r>
      <w:r w:rsidRPr="003034EE">
        <w:rPr>
          <w:sz w:val="18"/>
          <w:szCs w:val="18"/>
        </w:rPr>
        <w:t>wyliczony procent osób</w:t>
      </w:r>
      <w:r w:rsidRPr="0066013D">
        <w:rPr>
          <w:sz w:val="18"/>
          <w:szCs w:val="18"/>
        </w:rPr>
        <w:t>, które zetknęły się z kamp</w:t>
      </w:r>
      <w:r>
        <w:rPr>
          <w:sz w:val="18"/>
          <w:szCs w:val="18"/>
        </w:rPr>
        <w:t>anią telewizyjną i internetową: 28% z 64 </w:t>
      </w:r>
      <w:r w:rsidRPr="0066013D">
        <w:rPr>
          <w:sz w:val="18"/>
          <w:szCs w:val="18"/>
        </w:rPr>
        <w:t xml:space="preserve">650 949 mln zasięgu (20 263 758 + 42 687 191 + 1 700 000) = 18 102 265,72. Dodając do tego 10 700 000 mln zasięgu kampanii outdoorowej </w:t>
      </w:r>
      <w:r>
        <w:rPr>
          <w:sz w:val="18"/>
          <w:szCs w:val="18"/>
        </w:rPr>
        <w:t xml:space="preserve">otrzymano </w:t>
      </w:r>
      <w:r w:rsidRPr="0066013D">
        <w:rPr>
          <w:sz w:val="18"/>
          <w:szCs w:val="18"/>
        </w:rPr>
        <w:t xml:space="preserve">wartość </w:t>
      </w:r>
      <w:r>
        <w:rPr>
          <w:sz w:val="18"/>
          <w:szCs w:val="18"/>
        </w:rPr>
        <w:br/>
      </w:r>
      <w:r w:rsidRPr="0066013D">
        <w:rPr>
          <w:sz w:val="18"/>
          <w:szCs w:val="18"/>
        </w:rPr>
        <w:t>28 802 265,72 mln</w:t>
      </w:r>
      <w:r>
        <w:rPr>
          <w:sz w:val="18"/>
          <w:szCs w:val="18"/>
        </w:rPr>
        <w:t>.</w:t>
      </w:r>
    </w:p>
  </w:footnote>
  <w:footnote w:id="11">
    <w:p w:rsidR="007B0E88" w:rsidRDefault="007B0E88" w:rsidP="007B0E88">
      <w:pPr>
        <w:pStyle w:val="Tekstprzypisudolnego"/>
        <w:jc w:val="both"/>
      </w:pPr>
      <w:r w:rsidRPr="00A8040C">
        <w:rPr>
          <w:rStyle w:val="Odwoanieprzypisudolnego"/>
          <w:sz w:val="18"/>
          <w:szCs w:val="18"/>
        </w:rPr>
        <w:footnoteRef/>
      </w:r>
      <w:r w:rsidRPr="00A8040C">
        <w:rPr>
          <w:sz w:val="18"/>
          <w:szCs w:val="18"/>
        </w:rPr>
        <w:t xml:space="preserve"> </w:t>
      </w:r>
      <w:r w:rsidRPr="001F16C7">
        <w:rPr>
          <w:sz w:val="18"/>
          <w:szCs w:val="18"/>
        </w:rPr>
        <w:t>Liczba unikalnych bibliotek (publicznych, szkolnych i pedagogicznych) oraz placówek wychowania przedszkolnego objętych wsparciem w ramach NPRCz 2.0 podana z dokładnością do jednostek wynosi 6992, co obejmuje: 2394 niepowtarzające się biblioteki publiczne</w:t>
      </w:r>
      <w:r w:rsidRPr="00A8040C">
        <w:t xml:space="preserve"> </w:t>
      </w:r>
      <w:r w:rsidRPr="00A8040C">
        <w:rPr>
          <w:sz w:val="18"/>
          <w:szCs w:val="18"/>
        </w:rPr>
        <w:t xml:space="preserve">i </w:t>
      </w:r>
      <w:r>
        <w:rPr>
          <w:sz w:val="18"/>
          <w:szCs w:val="18"/>
        </w:rPr>
        <w:t>4</w:t>
      </w:r>
      <w:r w:rsidRPr="00A8040C">
        <w:rPr>
          <w:sz w:val="18"/>
          <w:szCs w:val="18"/>
        </w:rPr>
        <w:t>598 placówek wychowania przedszkol</w:t>
      </w:r>
      <w:r>
        <w:rPr>
          <w:sz w:val="18"/>
          <w:szCs w:val="18"/>
        </w:rPr>
        <w:t>nego oraz bibliotek szkolnych i </w:t>
      </w:r>
      <w:r w:rsidRPr="00A8040C">
        <w:rPr>
          <w:sz w:val="18"/>
          <w:szCs w:val="18"/>
        </w:rPr>
        <w:t>pedagogicznych</w:t>
      </w:r>
      <w:r w:rsidRPr="001F16C7">
        <w:rPr>
          <w:sz w:val="18"/>
          <w:szCs w:val="18"/>
        </w:rPr>
        <w:t>.</w:t>
      </w:r>
    </w:p>
  </w:footnote>
  <w:footnote w:id="12">
    <w:p w:rsidR="007B0E88" w:rsidRPr="005A3A1B" w:rsidRDefault="007B0E88" w:rsidP="007B0E88">
      <w:pPr>
        <w:pStyle w:val="Tekstprzypisudolnego"/>
        <w:jc w:val="both"/>
        <w:rPr>
          <w:sz w:val="18"/>
          <w:szCs w:val="18"/>
        </w:rPr>
      </w:pPr>
      <w:r w:rsidRPr="005A3A1B">
        <w:rPr>
          <w:rStyle w:val="Odwoanieprzypisudolnego"/>
          <w:sz w:val="18"/>
          <w:szCs w:val="18"/>
        </w:rPr>
        <w:footnoteRef/>
      </w:r>
      <w:r w:rsidRPr="005A3A1B">
        <w:rPr>
          <w:sz w:val="18"/>
          <w:szCs w:val="18"/>
        </w:rPr>
        <w:t xml:space="preserve"> We wskaźniku P_2 wykazano wyłącznie liczbę zakupionych miesięcznych kodów zdalnego dostępu. We wskaźniku P_3 wskazano liczbę pozostałych typów zakupionych kodów, tj. dwu- i trzymiesięcznych.</w:t>
      </w:r>
    </w:p>
  </w:footnote>
  <w:footnote w:id="13">
    <w:p w:rsidR="007B0E88" w:rsidRPr="00965127" w:rsidRDefault="007B0E88" w:rsidP="007B0E88">
      <w:pPr>
        <w:pStyle w:val="Akapitzlist"/>
        <w:jc w:val="both"/>
        <w:rPr>
          <w:sz w:val="18"/>
          <w:szCs w:val="18"/>
        </w:rPr>
      </w:pPr>
      <w:r>
        <w:rPr>
          <w:rStyle w:val="Odwoanieprzypisudolnego"/>
        </w:rPr>
        <w:footnoteRef/>
      </w:r>
      <w:r>
        <w:t xml:space="preserve"> </w:t>
      </w:r>
      <w:r w:rsidRPr="00965127">
        <w:rPr>
          <w:sz w:val="18"/>
          <w:szCs w:val="18"/>
        </w:rPr>
        <w:t>Zgodnie z Rozporządzeniem Rady Ministrów z dnia 21 grudnia 2021 roku w sprawie wydatków budżetu państwa, które w roku 2021 nie wygasają z upływem roku budżetowego , realizacja głównego badania została przesunięta na 2022 rok.</w:t>
      </w:r>
      <w:r>
        <w:rPr>
          <w:sz w:val="18"/>
          <w:szCs w:val="18"/>
        </w:rPr>
        <w:t xml:space="preserve"> </w:t>
      </w:r>
    </w:p>
    <w:p w:rsidR="007B0E88" w:rsidRDefault="007B0E88" w:rsidP="007B0E8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4D4E"/>
    <w:multiLevelType w:val="multilevel"/>
    <w:tmpl w:val="05C0ED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8E3DB8"/>
    <w:multiLevelType w:val="hybridMultilevel"/>
    <w:tmpl w:val="DB1690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805750"/>
    <w:multiLevelType w:val="multilevel"/>
    <w:tmpl w:val="0415001F"/>
    <w:styleLink w:val="Sty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6D5AD8"/>
    <w:multiLevelType w:val="hybridMultilevel"/>
    <w:tmpl w:val="9670CBC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E25337A"/>
    <w:multiLevelType w:val="multilevel"/>
    <w:tmpl w:val="6D828936"/>
    <w:styleLink w:val="Styl7"/>
    <w:lvl w:ilvl="0">
      <w:start w:val="3"/>
      <w:numFmt w:val="decimal"/>
      <w:lvlText w:val="%1."/>
      <w:lvlJc w:val="left"/>
      <w:pPr>
        <w:ind w:left="360" w:hanging="360"/>
      </w:pPr>
      <w:rPr>
        <w:rFonts w:hint="default"/>
        <w:b w:val="0"/>
        <w:i w:val="0"/>
        <w:color w:val="000000" w:themeColor="text1"/>
        <w:sz w:val="22"/>
      </w:rPr>
    </w:lvl>
    <w:lvl w:ilvl="1">
      <w:start w:val="1"/>
      <w:numFmt w:val="decimal"/>
      <w:lvlText w:val="%1.%2."/>
      <w:lvlJc w:val="left"/>
      <w:pPr>
        <w:ind w:left="792" w:hanging="432"/>
      </w:pPr>
      <w:rPr>
        <w:rFonts w:hint="default"/>
        <w:sz w:val="22"/>
      </w:rPr>
    </w:lvl>
    <w:lvl w:ilvl="2">
      <w:start w:val="3"/>
      <w:numFmt w:val="decimal"/>
      <w:lvlText w:val="%3"/>
      <w:lvlJc w:val="left"/>
      <w:pPr>
        <w:ind w:left="1224" w:hanging="504"/>
      </w:pPr>
      <w:rPr>
        <w:rFonts w:asciiTheme="minorHAnsi" w:hAnsiTheme="minorHAnsi" w:cs="Times New Roman"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AA20CC"/>
    <w:multiLevelType w:val="hybridMultilevel"/>
    <w:tmpl w:val="2C90E4F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647055E"/>
    <w:multiLevelType w:val="multilevel"/>
    <w:tmpl w:val="3ECEC3AA"/>
    <w:styleLink w:val="Styl4"/>
    <w:lvl w:ilvl="0">
      <w:start w:val="3"/>
      <w:numFmt w:val="decimal"/>
      <w:lvlText w:val="%1."/>
      <w:lvlJc w:val="left"/>
      <w:pPr>
        <w:ind w:left="360" w:hanging="360"/>
      </w:pPr>
      <w:rPr>
        <w:rFonts w:hint="default"/>
        <w:b w:val="0"/>
        <w:i w:val="0"/>
        <w:color w:val="000000" w:themeColor="text1"/>
        <w:sz w:val="22"/>
      </w:rPr>
    </w:lvl>
    <w:lvl w:ilvl="1">
      <w:start w:val="1"/>
      <w:numFmt w:val="decimal"/>
      <w:lvlText w:val="%1.%2."/>
      <w:lvlJc w:val="left"/>
      <w:pPr>
        <w:ind w:left="792" w:hanging="432"/>
      </w:pPr>
      <w:rPr>
        <w:rFonts w:hint="default"/>
        <w:sz w:val="22"/>
      </w:rPr>
    </w:lvl>
    <w:lvl w:ilvl="2">
      <w:start w:val="1"/>
      <w:numFmt w:val="decimal"/>
      <w:lvlText w:val="1.1.%3"/>
      <w:lvlJc w:val="left"/>
      <w:pPr>
        <w:ind w:left="1224" w:hanging="504"/>
      </w:pPr>
      <w:rPr>
        <w:rFonts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643F4E"/>
    <w:multiLevelType w:val="hybridMultilevel"/>
    <w:tmpl w:val="A8A07DD6"/>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8" w15:restartNumberingAfterBreak="0">
    <w:nsid w:val="593D3119"/>
    <w:multiLevelType w:val="multilevel"/>
    <w:tmpl w:val="0415001D"/>
    <w:styleLink w:val="Styl5"/>
    <w:lvl w:ilvl="0">
      <w:start w:val="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73E13C2"/>
    <w:multiLevelType w:val="multilevel"/>
    <w:tmpl w:val="0415001D"/>
    <w:styleLink w:val="Styl6"/>
    <w:lvl w:ilvl="0">
      <w:start w:val="3"/>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432009"/>
    <w:multiLevelType w:val="hybridMultilevel"/>
    <w:tmpl w:val="E834BF2E"/>
    <w:lvl w:ilvl="0" w:tplc="CB84FE44">
      <w:start w:val="1"/>
      <w:numFmt w:val="decimal"/>
      <w:lvlText w:val="3.%1"/>
      <w:lvlJc w:val="left"/>
      <w:pPr>
        <w:ind w:left="720" w:hanging="360"/>
      </w:pPr>
      <w:rPr>
        <w:rFonts w:hint="default"/>
      </w:rPr>
    </w:lvl>
    <w:lvl w:ilvl="1" w:tplc="B84000C0">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3E7BE7"/>
    <w:multiLevelType w:val="hybridMultilevel"/>
    <w:tmpl w:val="35AA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49E2257"/>
    <w:multiLevelType w:val="multilevel"/>
    <w:tmpl w:val="0415001D"/>
    <w:styleLink w:val="Styl11"/>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A544C1"/>
    <w:multiLevelType w:val="multilevel"/>
    <w:tmpl w:val="E05EF498"/>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AA49BC"/>
    <w:multiLevelType w:val="multilevel"/>
    <w:tmpl w:val="11380B36"/>
    <w:styleLink w:val="Styl3"/>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3"/>
  </w:num>
  <w:num w:numId="3">
    <w:abstractNumId w:val="14"/>
  </w:num>
  <w:num w:numId="4">
    <w:abstractNumId w:val="12"/>
  </w:num>
  <w:num w:numId="5">
    <w:abstractNumId w:val="6"/>
  </w:num>
  <w:num w:numId="6">
    <w:abstractNumId w:val="8"/>
  </w:num>
  <w:num w:numId="7">
    <w:abstractNumId w:val="9"/>
  </w:num>
  <w:num w:numId="8">
    <w:abstractNumId w:val="4"/>
  </w:num>
  <w:num w:numId="9">
    <w:abstractNumId w:val="0"/>
  </w:num>
  <w:num w:numId="10">
    <w:abstractNumId w:val="10"/>
  </w:num>
  <w:num w:numId="11">
    <w:abstractNumId w:val="7"/>
  </w:num>
  <w:num w:numId="12">
    <w:abstractNumId w:val="1"/>
  </w:num>
  <w:num w:numId="13">
    <w:abstractNumId w:val="3"/>
  </w:num>
  <w:num w:numId="14">
    <w:abstractNumId w:val="5"/>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88"/>
    <w:rsid w:val="000275E3"/>
    <w:rsid w:val="002D332F"/>
    <w:rsid w:val="00731DF0"/>
    <w:rsid w:val="007B0E88"/>
    <w:rsid w:val="00995421"/>
    <w:rsid w:val="00EB16D2"/>
    <w:rsid w:val="00F874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860E"/>
  <w15:chartTrackingRefBased/>
  <w15:docId w15:val="{C5B478B2-F237-4719-81F7-A1DB2B59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7B0E88"/>
    <w:pPr>
      <w:keepNext/>
      <w:keepLines/>
      <w:spacing w:before="480" w:after="0"/>
      <w:outlineLvl w:val="0"/>
    </w:pPr>
    <w:rPr>
      <w:rFonts w:ascii="Lato" w:eastAsiaTheme="majorEastAsia" w:hAnsi="Lato" w:cstheme="majorBidi"/>
      <w:b/>
      <w:bCs/>
      <w:color w:val="FF0000"/>
      <w:sz w:val="28"/>
      <w:szCs w:val="28"/>
    </w:rPr>
  </w:style>
  <w:style w:type="paragraph" w:styleId="Nagwek2">
    <w:name w:val="heading 2"/>
    <w:basedOn w:val="Normalny"/>
    <w:next w:val="Normalny"/>
    <w:link w:val="Nagwek2Znak"/>
    <w:uiPriority w:val="9"/>
    <w:unhideWhenUsed/>
    <w:qFormat/>
    <w:rsid w:val="007B0E88"/>
    <w:pPr>
      <w:keepNext/>
      <w:keepLines/>
      <w:spacing w:before="200" w:after="0"/>
      <w:outlineLvl w:val="1"/>
    </w:pPr>
    <w:rPr>
      <w:rFonts w:ascii="Lato" w:eastAsiaTheme="majorEastAsia" w:hAnsi="Lato" w:cstheme="majorBidi"/>
      <w:b/>
      <w:bCs/>
      <w:sz w:val="24"/>
      <w:szCs w:val="26"/>
    </w:rPr>
  </w:style>
  <w:style w:type="paragraph" w:styleId="Nagwek3">
    <w:name w:val="heading 3"/>
    <w:basedOn w:val="Normalny"/>
    <w:next w:val="Normalny"/>
    <w:link w:val="Nagwek3Znak"/>
    <w:uiPriority w:val="9"/>
    <w:semiHidden/>
    <w:unhideWhenUsed/>
    <w:qFormat/>
    <w:rsid w:val="007B0E88"/>
    <w:pPr>
      <w:keepNext/>
      <w:keepLines/>
      <w:spacing w:before="200" w:after="0"/>
      <w:outlineLvl w:val="2"/>
    </w:pPr>
    <w:rPr>
      <w:rFonts w:ascii="Lato" w:eastAsiaTheme="majorEastAsia" w:hAnsi="Lato" w:cstheme="majorBidi"/>
      <w:bCs/>
      <w:sz w:val="24"/>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0E88"/>
    <w:rPr>
      <w:rFonts w:ascii="Lato" w:eastAsiaTheme="majorEastAsia" w:hAnsi="Lato" w:cstheme="majorBidi"/>
      <w:b/>
      <w:bCs/>
      <w:color w:val="FF0000"/>
      <w:sz w:val="28"/>
      <w:szCs w:val="28"/>
    </w:rPr>
  </w:style>
  <w:style w:type="character" w:customStyle="1" w:styleId="Nagwek2Znak">
    <w:name w:val="Nagłówek 2 Znak"/>
    <w:basedOn w:val="Domylnaczcionkaakapitu"/>
    <w:link w:val="Nagwek2"/>
    <w:uiPriority w:val="9"/>
    <w:rsid w:val="007B0E88"/>
    <w:rPr>
      <w:rFonts w:ascii="Lato" w:eastAsiaTheme="majorEastAsia" w:hAnsi="Lato" w:cstheme="majorBidi"/>
      <w:b/>
      <w:bCs/>
      <w:sz w:val="24"/>
      <w:szCs w:val="26"/>
    </w:rPr>
  </w:style>
  <w:style w:type="character" w:customStyle="1" w:styleId="Nagwek3Znak">
    <w:name w:val="Nagłówek 3 Znak"/>
    <w:basedOn w:val="Domylnaczcionkaakapitu"/>
    <w:link w:val="Nagwek3"/>
    <w:uiPriority w:val="9"/>
    <w:semiHidden/>
    <w:rsid w:val="007B0E88"/>
    <w:rPr>
      <w:rFonts w:ascii="Lato" w:eastAsiaTheme="majorEastAsia" w:hAnsi="Lato" w:cstheme="majorBidi"/>
      <w:bCs/>
      <w:sz w:val="24"/>
      <w:szCs w:val="16"/>
    </w:rPr>
  </w:style>
  <w:style w:type="numbering" w:customStyle="1" w:styleId="Bezlisty1">
    <w:name w:val="Bez listy1"/>
    <w:next w:val="Bezlisty"/>
    <w:uiPriority w:val="99"/>
    <w:semiHidden/>
    <w:unhideWhenUsed/>
    <w:rsid w:val="007B0E88"/>
  </w:style>
  <w:style w:type="paragraph" w:styleId="Akapitzlist">
    <w:name w:val="List Paragraph"/>
    <w:basedOn w:val="Normalny"/>
    <w:uiPriority w:val="34"/>
    <w:qFormat/>
    <w:rsid w:val="007B0E88"/>
    <w:pPr>
      <w:ind w:left="720"/>
      <w:contextualSpacing/>
    </w:pPr>
    <w:rPr>
      <w:rFonts w:ascii="Lato" w:hAnsi="Lato"/>
      <w:sz w:val="24"/>
      <w:szCs w:val="16"/>
    </w:rPr>
  </w:style>
  <w:style w:type="character" w:styleId="Odwoaniedokomentarza">
    <w:name w:val="annotation reference"/>
    <w:basedOn w:val="Domylnaczcionkaakapitu"/>
    <w:uiPriority w:val="99"/>
    <w:semiHidden/>
    <w:unhideWhenUsed/>
    <w:rsid w:val="007B0E88"/>
    <w:rPr>
      <w:sz w:val="16"/>
      <w:szCs w:val="16"/>
    </w:rPr>
  </w:style>
  <w:style w:type="paragraph" w:styleId="Tekstkomentarza">
    <w:name w:val="annotation text"/>
    <w:basedOn w:val="Normalny"/>
    <w:link w:val="TekstkomentarzaZnak"/>
    <w:uiPriority w:val="99"/>
    <w:semiHidden/>
    <w:unhideWhenUsed/>
    <w:rsid w:val="007B0E88"/>
    <w:pPr>
      <w:spacing w:line="240" w:lineRule="auto"/>
    </w:pPr>
    <w:rPr>
      <w:rFonts w:ascii="Lato" w:hAnsi="Lato"/>
      <w:sz w:val="20"/>
      <w:szCs w:val="20"/>
    </w:rPr>
  </w:style>
  <w:style w:type="character" w:customStyle="1" w:styleId="TekstkomentarzaZnak">
    <w:name w:val="Tekst komentarza Znak"/>
    <w:basedOn w:val="Domylnaczcionkaakapitu"/>
    <w:link w:val="Tekstkomentarza"/>
    <w:uiPriority w:val="99"/>
    <w:semiHidden/>
    <w:rsid w:val="007B0E88"/>
    <w:rPr>
      <w:rFonts w:ascii="Lato" w:hAnsi="Lato"/>
      <w:sz w:val="20"/>
      <w:szCs w:val="20"/>
    </w:rPr>
  </w:style>
  <w:style w:type="paragraph" w:styleId="Tematkomentarza">
    <w:name w:val="annotation subject"/>
    <w:basedOn w:val="Tekstkomentarza"/>
    <w:next w:val="Tekstkomentarza"/>
    <w:link w:val="TematkomentarzaZnak"/>
    <w:uiPriority w:val="99"/>
    <w:semiHidden/>
    <w:unhideWhenUsed/>
    <w:rsid w:val="007B0E88"/>
    <w:rPr>
      <w:b/>
      <w:bCs/>
    </w:rPr>
  </w:style>
  <w:style w:type="character" w:customStyle="1" w:styleId="TematkomentarzaZnak">
    <w:name w:val="Temat komentarza Znak"/>
    <w:basedOn w:val="TekstkomentarzaZnak"/>
    <w:link w:val="Tematkomentarza"/>
    <w:uiPriority w:val="99"/>
    <w:semiHidden/>
    <w:rsid w:val="007B0E88"/>
    <w:rPr>
      <w:rFonts w:ascii="Lato" w:hAnsi="Lato"/>
      <w:b/>
      <w:bCs/>
      <w:sz w:val="20"/>
      <w:szCs w:val="20"/>
    </w:rPr>
  </w:style>
  <w:style w:type="paragraph" w:styleId="Tekstdymka">
    <w:name w:val="Balloon Text"/>
    <w:basedOn w:val="Normalny"/>
    <w:link w:val="TekstdymkaZnak"/>
    <w:uiPriority w:val="99"/>
    <w:semiHidden/>
    <w:unhideWhenUsed/>
    <w:rsid w:val="007B0E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0E88"/>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 OCR,Przypis,Fußnot"/>
    <w:basedOn w:val="Normalny"/>
    <w:link w:val="TekstprzypisudolnegoZnak"/>
    <w:uiPriority w:val="99"/>
    <w:unhideWhenUsed/>
    <w:rsid w:val="007B0E88"/>
    <w:pPr>
      <w:spacing w:after="0" w:line="240" w:lineRule="auto"/>
    </w:pPr>
    <w:rPr>
      <w:rFonts w:ascii="Lato" w:hAnsi="Lato"/>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Przypis Znak"/>
    <w:basedOn w:val="Domylnaczcionkaakapitu"/>
    <w:link w:val="Tekstprzypisudolnego"/>
    <w:uiPriority w:val="99"/>
    <w:rsid w:val="007B0E88"/>
    <w:rPr>
      <w:rFonts w:ascii="Lato" w:hAnsi="Lato"/>
      <w:sz w:val="20"/>
      <w:szCs w:val="20"/>
    </w:rPr>
  </w:style>
  <w:style w:type="character" w:styleId="Odwoanieprzypisudolnego">
    <w:name w:val="footnote reference"/>
    <w:aliases w:val="Footnote Reference Number,Footnote symbol,Footnote reference number,note TESI,Footnote Reference Superscript,SUPERS,EN Footnote Reference,Footnote number,FZ,(Voetnootmarkering),Appel note de bas de p,Nota"/>
    <w:basedOn w:val="Domylnaczcionkaakapitu"/>
    <w:uiPriority w:val="99"/>
    <w:unhideWhenUsed/>
    <w:rsid w:val="007B0E88"/>
    <w:rPr>
      <w:vertAlign w:val="superscript"/>
    </w:rPr>
  </w:style>
  <w:style w:type="paragraph" w:styleId="Tekstprzypisukocowego">
    <w:name w:val="endnote text"/>
    <w:basedOn w:val="Normalny"/>
    <w:link w:val="TekstprzypisukocowegoZnak"/>
    <w:uiPriority w:val="99"/>
    <w:semiHidden/>
    <w:unhideWhenUsed/>
    <w:rsid w:val="007B0E88"/>
    <w:pPr>
      <w:spacing w:after="0" w:line="240" w:lineRule="auto"/>
    </w:pPr>
    <w:rPr>
      <w:rFonts w:ascii="Lato" w:hAnsi="Lato"/>
      <w:sz w:val="20"/>
      <w:szCs w:val="20"/>
    </w:rPr>
  </w:style>
  <w:style w:type="character" w:customStyle="1" w:styleId="TekstprzypisukocowegoZnak">
    <w:name w:val="Tekst przypisu końcowego Znak"/>
    <w:basedOn w:val="Domylnaczcionkaakapitu"/>
    <w:link w:val="Tekstprzypisukocowego"/>
    <w:uiPriority w:val="99"/>
    <w:semiHidden/>
    <w:rsid w:val="007B0E88"/>
    <w:rPr>
      <w:rFonts w:ascii="Lato" w:hAnsi="Lato"/>
      <w:sz w:val="20"/>
      <w:szCs w:val="20"/>
    </w:rPr>
  </w:style>
  <w:style w:type="character" w:styleId="Odwoanieprzypisukocowego">
    <w:name w:val="endnote reference"/>
    <w:basedOn w:val="Domylnaczcionkaakapitu"/>
    <w:uiPriority w:val="99"/>
    <w:semiHidden/>
    <w:unhideWhenUsed/>
    <w:rsid w:val="007B0E88"/>
    <w:rPr>
      <w:vertAlign w:val="superscript"/>
    </w:rPr>
  </w:style>
  <w:style w:type="paragraph" w:styleId="Nagwekspisutreci">
    <w:name w:val="TOC Heading"/>
    <w:basedOn w:val="Nagwek1"/>
    <w:next w:val="Normalny"/>
    <w:uiPriority w:val="39"/>
    <w:unhideWhenUsed/>
    <w:qFormat/>
    <w:rsid w:val="007B0E88"/>
    <w:pPr>
      <w:spacing w:line="276" w:lineRule="auto"/>
      <w:outlineLvl w:val="9"/>
    </w:pPr>
    <w:rPr>
      <w:lang w:eastAsia="pl-PL"/>
    </w:rPr>
  </w:style>
  <w:style w:type="paragraph" w:styleId="Spistreci1">
    <w:name w:val="toc 1"/>
    <w:basedOn w:val="Normalny"/>
    <w:next w:val="Normalny"/>
    <w:autoRedefine/>
    <w:uiPriority w:val="39"/>
    <w:unhideWhenUsed/>
    <w:rsid w:val="007B0E88"/>
    <w:pPr>
      <w:tabs>
        <w:tab w:val="left" w:pos="426"/>
        <w:tab w:val="left" w:pos="851"/>
        <w:tab w:val="right" w:leader="dot" w:pos="9062"/>
      </w:tabs>
      <w:spacing w:after="100"/>
      <w:ind w:left="426"/>
    </w:pPr>
    <w:rPr>
      <w:rFonts w:ascii="Lato" w:hAnsi="Lato"/>
      <w:sz w:val="24"/>
      <w:szCs w:val="16"/>
    </w:rPr>
  </w:style>
  <w:style w:type="paragraph" w:styleId="Spistreci2">
    <w:name w:val="toc 2"/>
    <w:basedOn w:val="Normalny"/>
    <w:next w:val="Normalny"/>
    <w:autoRedefine/>
    <w:uiPriority w:val="39"/>
    <w:unhideWhenUsed/>
    <w:rsid w:val="007B0E88"/>
    <w:pPr>
      <w:tabs>
        <w:tab w:val="left" w:pos="851"/>
        <w:tab w:val="right" w:leader="dot" w:pos="9062"/>
      </w:tabs>
      <w:spacing w:after="100"/>
      <w:ind w:left="851" w:hanging="425"/>
    </w:pPr>
    <w:rPr>
      <w:rFonts w:ascii="Calibri" w:eastAsia="Calibri" w:hAnsi="Calibri" w:cs="Times New Roman"/>
      <w:noProof/>
      <w:sz w:val="24"/>
      <w:szCs w:val="16"/>
    </w:rPr>
  </w:style>
  <w:style w:type="paragraph" w:styleId="Spistreci3">
    <w:name w:val="toc 3"/>
    <w:basedOn w:val="Normalny"/>
    <w:next w:val="Normalny"/>
    <w:autoRedefine/>
    <w:uiPriority w:val="39"/>
    <w:unhideWhenUsed/>
    <w:rsid w:val="007B0E88"/>
    <w:pPr>
      <w:tabs>
        <w:tab w:val="left" w:pos="709"/>
        <w:tab w:val="left" w:pos="1100"/>
        <w:tab w:val="right" w:leader="dot" w:pos="9062"/>
      </w:tabs>
      <w:spacing w:after="100"/>
      <w:ind w:left="851" w:hanging="425"/>
    </w:pPr>
    <w:rPr>
      <w:rFonts w:ascii="Lato" w:hAnsi="Lato"/>
      <w:b/>
      <w:noProof/>
      <w:sz w:val="24"/>
      <w:szCs w:val="16"/>
    </w:rPr>
  </w:style>
  <w:style w:type="character" w:styleId="Hipercze">
    <w:name w:val="Hyperlink"/>
    <w:basedOn w:val="Domylnaczcionkaakapitu"/>
    <w:uiPriority w:val="99"/>
    <w:unhideWhenUsed/>
    <w:rsid w:val="007B0E88"/>
    <w:rPr>
      <w:color w:val="0563C1" w:themeColor="hyperlink"/>
      <w:u w:val="single"/>
    </w:rPr>
  </w:style>
  <w:style w:type="paragraph" w:styleId="Nagwek">
    <w:name w:val="header"/>
    <w:basedOn w:val="Normalny"/>
    <w:link w:val="NagwekZnak"/>
    <w:uiPriority w:val="99"/>
    <w:unhideWhenUsed/>
    <w:rsid w:val="007B0E88"/>
    <w:pPr>
      <w:tabs>
        <w:tab w:val="center" w:pos="4536"/>
        <w:tab w:val="right" w:pos="9072"/>
      </w:tabs>
      <w:spacing w:after="0" w:line="240" w:lineRule="auto"/>
    </w:pPr>
    <w:rPr>
      <w:rFonts w:ascii="Lato" w:hAnsi="Lato"/>
      <w:sz w:val="24"/>
      <w:szCs w:val="16"/>
    </w:rPr>
  </w:style>
  <w:style w:type="character" w:customStyle="1" w:styleId="NagwekZnak">
    <w:name w:val="Nagłówek Znak"/>
    <w:basedOn w:val="Domylnaczcionkaakapitu"/>
    <w:link w:val="Nagwek"/>
    <w:uiPriority w:val="99"/>
    <w:rsid w:val="007B0E88"/>
    <w:rPr>
      <w:rFonts w:ascii="Lato" w:hAnsi="Lato"/>
      <w:sz w:val="24"/>
      <w:szCs w:val="16"/>
    </w:rPr>
  </w:style>
  <w:style w:type="paragraph" w:styleId="Stopka">
    <w:name w:val="footer"/>
    <w:basedOn w:val="Normalny"/>
    <w:link w:val="StopkaZnak"/>
    <w:uiPriority w:val="99"/>
    <w:unhideWhenUsed/>
    <w:rsid w:val="007B0E88"/>
    <w:pPr>
      <w:tabs>
        <w:tab w:val="center" w:pos="4536"/>
        <w:tab w:val="right" w:pos="9072"/>
      </w:tabs>
      <w:spacing w:after="0" w:line="240" w:lineRule="auto"/>
    </w:pPr>
    <w:rPr>
      <w:rFonts w:ascii="Lato" w:hAnsi="Lato"/>
      <w:sz w:val="24"/>
      <w:szCs w:val="16"/>
    </w:rPr>
  </w:style>
  <w:style w:type="character" w:customStyle="1" w:styleId="StopkaZnak">
    <w:name w:val="Stopka Znak"/>
    <w:basedOn w:val="Domylnaczcionkaakapitu"/>
    <w:link w:val="Stopka"/>
    <w:uiPriority w:val="99"/>
    <w:rsid w:val="007B0E88"/>
    <w:rPr>
      <w:rFonts w:ascii="Lato" w:hAnsi="Lato"/>
      <w:sz w:val="24"/>
      <w:szCs w:val="16"/>
    </w:rPr>
  </w:style>
  <w:style w:type="numbering" w:customStyle="1" w:styleId="Styl1">
    <w:name w:val="Styl1"/>
    <w:uiPriority w:val="99"/>
    <w:rsid w:val="007B0E88"/>
    <w:pPr>
      <w:numPr>
        <w:numId w:val="1"/>
      </w:numPr>
    </w:pPr>
  </w:style>
  <w:style w:type="paragraph" w:styleId="Poprawka">
    <w:name w:val="Revision"/>
    <w:hidden/>
    <w:uiPriority w:val="99"/>
    <w:semiHidden/>
    <w:rsid w:val="007B0E88"/>
    <w:pPr>
      <w:spacing w:after="0" w:line="240" w:lineRule="auto"/>
    </w:pPr>
    <w:rPr>
      <w:rFonts w:ascii="Lato" w:hAnsi="Lato"/>
      <w:sz w:val="24"/>
      <w:szCs w:val="16"/>
    </w:rPr>
  </w:style>
  <w:style w:type="paragraph" w:customStyle="1" w:styleId="Default">
    <w:name w:val="Default"/>
    <w:rsid w:val="007B0E88"/>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2">
    <w:name w:val="Styl2"/>
    <w:uiPriority w:val="99"/>
    <w:rsid w:val="007B0E88"/>
    <w:pPr>
      <w:numPr>
        <w:numId w:val="2"/>
      </w:numPr>
    </w:pPr>
  </w:style>
  <w:style w:type="table" w:styleId="Tabela-Siatka">
    <w:name w:val="Table Grid"/>
    <w:basedOn w:val="Standardowy"/>
    <w:uiPriority w:val="39"/>
    <w:rsid w:val="007B0E88"/>
    <w:pPr>
      <w:spacing w:after="0" w:line="240" w:lineRule="auto"/>
    </w:pPr>
    <w:rPr>
      <w:rFonts w:ascii="Lato" w:hAnsi="Lato"/>
      <w:sz w:val="24"/>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
    <w:name w:val="Styl3"/>
    <w:uiPriority w:val="99"/>
    <w:rsid w:val="007B0E88"/>
    <w:pPr>
      <w:numPr>
        <w:numId w:val="3"/>
      </w:numPr>
    </w:pPr>
  </w:style>
  <w:style w:type="paragraph" w:customStyle="1" w:styleId="Legenda1">
    <w:name w:val="Legenda1"/>
    <w:basedOn w:val="Normalny"/>
    <w:next w:val="Normalny"/>
    <w:uiPriority w:val="35"/>
    <w:unhideWhenUsed/>
    <w:qFormat/>
    <w:rsid w:val="007B0E88"/>
    <w:pPr>
      <w:spacing w:after="200" w:line="240" w:lineRule="auto"/>
    </w:pPr>
    <w:rPr>
      <w:rFonts w:ascii="Lato" w:hAnsi="Lato"/>
      <w:i/>
      <w:iCs/>
      <w:color w:val="44546A"/>
      <w:sz w:val="18"/>
      <w:szCs w:val="18"/>
    </w:rPr>
  </w:style>
  <w:style w:type="character" w:customStyle="1" w:styleId="markedcontent">
    <w:name w:val="markedcontent"/>
    <w:basedOn w:val="Domylnaczcionkaakapitu"/>
    <w:rsid w:val="007B0E88"/>
  </w:style>
  <w:style w:type="numbering" w:customStyle="1" w:styleId="Styl11">
    <w:name w:val="Styl11"/>
    <w:uiPriority w:val="99"/>
    <w:rsid w:val="007B0E88"/>
    <w:pPr>
      <w:numPr>
        <w:numId w:val="4"/>
      </w:numPr>
    </w:pPr>
  </w:style>
  <w:style w:type="table" w:customStyle="1" w:styleId="Tabelasiatki1jasnaakcent51">
    <w:name w:val="Tabela siatki 1 — jasna — akcent 51"/>
    <w:basedOn w:val="Standardowy"/>
    <w:uiPriority w:val="46"/>
    <w:rsid w:val="007B0E88"/>
    <w:pPr>
      <w:spacing w:after="0" w:line="240" w:lineRule="auto"/>
    </w:pPr>
    <w:rPr>
      <w:rFonts w:ascii="Lato" w:hAnsi="Lato"/>
      <w:sz w:val="24"/>
      <w:szCs w:val="16"/>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7B0E88"/>
    <w:pPr>
      <w:spacing w:after="0" w:line="240" w:lineRule="auto"/>
    </w:pPr>
    <w:rPr>
      <w:rFonts w:ascii="Lato" w:hAnsi="Lato"/>
      <w:sz w:val="24"/>
      <w:szCs w:val="16"/>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Zwykatabela41">
    <w:name w:val="Zwykła tabela 41"/>
    <w:basedOn w:val="Standardowy"/>
    <w:uiPriority w:val="44"/>
    <w:rsid w:val="007B0E88"/>
    <w:pPr>
      <w:spacing w:after="0" w:line="240" w:lineRule="auto"/>
    </w:pPr>
    <w:rPr>
      <w:rFonts w:ascii="Lato" w:hAnsi="Lato"/>
      <w:sz w:val="24"/>
      <w:szCs w:val="16"/>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4">
    <w:name w:val="Styl4"/>
    <w:uiPriority w:val="99"/>
    <w:rsid w:val="007B0E88"/>
    <w:pPr>
      <w:numPr>
        <w:numId w:val="5"/>
      </w:numPr>
    </w:pPr>
  </w:style>
  <w:style w:type="numbering" w:customStyle="1" w:styleId="Styl5">
    <w:name w:val="Styl5"/>
    <w:uiPriority w:val="99"/>
    <w:rsid w:val="007B0E88"/>
    <w:pPr>
      <w:numPr>
        <w:numId w:val="6"/>
      </w:numPr>
    </w:pPr>
  </w:style>
  <w:style w:type="numbering" w:customStyle="1" w:styleId="Styl6">
    <w:name w:val="Styl6"/>
    <w:uiPriority w:val="99"/>
    <w:rsid w:val="007B0E88"/>
    <w:pPr>
      <w:numPr>
        <w:numId w:val="7"/>
      </w:numPr>
    </w:pPr>
  </w:style>
  <w:style w:type="numbering" w:customStyle="1" w:styleId="Styl7">
    <w:name w:val="Styl7"/>
    <w:uiPriority w:val="99"/>
    <w:rsid w:val="007B0E88"/>
    <w:pPr>
      <w:numPr>
        <w:numId w:val="8"/>
      </w:numPr>
    </w:pPr>
  </w:style>
  <w:style w:type="numbering" w:customStyle="1" w:styleId="Bezlisty11">
    <w:name w:val="Bez listy11"/>
    <w:next w:val="Bezlisty"/>
    <w:uiPriority w:val="99"/>
    <w:semiHidden/>
    <w:unhideWhenUsed/>
    <w:rsid w:val="007B0E88"/>
  </w:style>
  <w:style w:type="table" w:customStyle="1" w:styleId="Tabela-Siatka1">
    <w:name w:val="Tabela - Siatka1"/>
    <w:basedOn w:val="Standardowy"/>
    <w:next w:val="Tabela-Siatka"/>
    <w:uiPriority w:val="39"/>
    <w:rsid w:val="007B0E88"/>
    <w:pPr>
      <w:spacing w:after="0" w:line="240" w:lineRule="auto"/>
    </w:pPr>
    <w:rPr>
      <w:rFonts w:ascii="Lato" w:hAnsi="Lato"/>
      <w:sz w:val="24"/>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a2">
    <w:name w:val="Legenda2"/>
    <w:basedOn w:val="Normalny"/>
    <w:next w:val="Normalny"/>
    <w:uiPriority w:val="35"/>
    <w:unhideWhenUsed/>
    <w:qFormat/>
    <w:rsid w:val="007B0E88"/>
    <w:pPr>
      <w:spacing w:after="200" w:line="240" w:lineRule="auto"/>
    </w:pPr>
    <w:rPr>
      <w:rFonts w:ascii="Lato" w:hAnsi="Lato"/>
      <w:i/>
      <w:iCs/>
      <w:color w:val="44546A"/>
      <w:sz w:val="18"/>
      <w:szCs w:val="18"/>
    </w:rPr>
  </w:style>
  <w:style w:type="paragraph" w:styleId="Legenda">
    <w:name w:val="caption"/>
    <w:basedOn w:val="Normalny"/>
    <w:next w:val="Normalny"/>
    <w:uiPriority w:val="35"/>
    <w:unhideWhenUsed/>
    <w:qFormat/>
    <w:rsid w:val="007B0E88"/>
    <w:pPr>
      <w:spacing w:after="200" w:line="240" w:lineRule="auto"/>
    </w:pPr>
    <w:rPr>
      <w:rFonts w:ascii="Lato" w:hAnsi="Lato"/>
      <w:i/>
      <w:iCs/>
      <w:color w:val="44546A" w:themeColor="text2"/>
      <w:sz w:val="18"/>
      <w:szCs w:val="18"/>
    </w:rPr>
  </w:style>
  <w:style w:type="paragraph" w:styleId="Spisilustracji">
    <w:name w:val="table of figures"/>
    <w:aliases w:val="Spis wykresów"/>
    <w:basedOn w:val="Normalny"/>
    <w:next w:val="Normalny"/>
    <w:uiPriority w:val="99"/>
    <w:unhideWhenUsed/>
    <w:rsid w:val="007B0E88"/>
    <w:pPr>
      <w:spacing w:after="0"/>
    </w:pPr>
    <w:rPr>
      <w:rFonts w:ascii="Lato" w:hAnsi="Lato"/>
      <w:sz w:val="24"/>
      <w:szCs w:val="16"/>
    </w:rPr>
  </w:style>
  <w:style w:type="table" w:styleId="Tabelasiatki3akcent1">
    <w:name w:val="Grid Table 3 Accent 1"/>
    <w:basedOn w:val="Standardowy"/>
    <w:uiPriority w:val="48"/>
    <w:rsid w:val="007B0E88"/>
    <w:pPr>
      <w:spacing w:after="0" w:line="240" w:lineRule="auto"/>
    </w:pPr>
    <w:rPr>
      <w:rFonts w:ascii="Lato" w:hAnsi="Lato"/>
      <w:sz w:val="24"/>
      <w:szCs w:val="16"/>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asiatki6kolorowaakcent1">
    <w:name w:val="Grid Table 6 Colorful Accent 1"/>
    <w:basedOn w:val="Standardowy"/>
    <w:uiPriority w:val="51"/>
    <w:rsid w:val="007B0E88"/>
    <w:pPr>
      <w:spacing w:after="0" w:line="240" w:lineRule="auto"/>
    </w:pPr>
    <w:rPr>
      <w:rFonts w:ascii="Lato" w:hAnsi="Lato"/>
      <w:color w:val="2E74B5" w:themeColor="accent1" w:themeShade="BF"/>
      <w:sz w:val="24"/>
      <w:szCs w:val="16"/>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4akcent1">
    <w:name w:val="Grid Table 4 Accent 1"/>
    <w:basedOn w:val="Standardowy"/>
    <w:uiPriority w:val="49"/>
    <w:rsid w:val="007B0E88"/>
    <w:pPr>
      <w:spacing w:after="0" w:line="240" w:lineRule="auto"/>
    </w:pPr>
    <w:rPr>
      <w:rFonts w:ascii="Lato" w:hAnsi="Lato"/>
      <w:sz w:val="24"/>
      <w:szCs w:val="16"/>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6kolorowaakcent5">
    <w:name w:val="Grid Table 6 Colorful Accent 5"/>
    <w:basedOn w:val="Standardowy"/>
    <w:uiPriority w:val="51"/>
    <w:rsid w:val="007B0E88"/>
    <w:pPr>
      <w:spacing w:after="0" w:line="240" w:lineRule="auto"/>
    </w:pPr>
    <w:rPr>
      <w:rFonts w:ascii="Lato" w:hAnsi="Lato"/>
      <w:color w:val="2F5496" w:themeColor="accent5" w:themeShade="BF"/>
      <w:sz w:val="24"/>
      <w:szCs w:val="16"/>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iatki2akcent1">
    <w:name w:val="Grid Table 2 Accent 1"/>
    <w:basedOn w:val="Standardowy"/>
    <w:uiPriority w:val="47"/>
    <w:rsid w:val="007B0E88"/>
    <w:pPr>
      <w:spacing w:after="0" w:line="240" w:lineRule="auto"/>
    </w:pPr>
    <w:rPr>
      <w:rFonts w:ascii="Lato" w:hAnsi="Lato"/>
      <w:sz w:val="24"/>
      <w:szCs w:val="16"/>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2">
    <w:name w:val="Tabela - Siatka2"/>
    <w:basedOn w:val="Standardowy"/>
    <w:next w:val="Tabela-Siatka"/>
    <w:uiPriority w:val="39"/>
    <w:rsid w:val="007B0E88"/>
    <w:pPr>
      <w:spacing w:after="0" w:line="240" w:lineRule="auto"/>
    </w:pPr>
    <w:rPr>
      <w:rFonts w:ascii="Lato" w:hAnsi="Lato"/>
      <w:sz w:val="24"/>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7B0E88"/>
    <w:rPr>
      <w:color w:val="954F72" w:themeColor="followedHyperlink"/>
      <w:u w:val="single"/>
    </w:rPr>
  </w:style>
  <w:style w:type="table" w:customStyle="1" w:styleId="Tabelasiatki1jasna1">
    <w:name w:val="Tabela siatki 1 — jasna1"/>
    <w:basedOn w:val="Standardowy"/>
    <w:uiPriority w:val="46"/>
    <w:rsid w:val="007B0E8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nyWeb">
    <w:name w:val="Normal (Web)"/>
    <w:basedOn w:val="Normalny"/>
    <w:uiPriority w:val="99"/>
    <w:semiHidden/>
    <w:unhideWhenUsed/>
    <w:rsid w:val="007B0E88"/>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rc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ip.mkidn.gov.pl/pages/legislacja/programy-wieloletnie/narodowy-program-rozwoju-czytelnictwa-2-0-na-lata-2021-2025.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26</Pages>
  <Words>7584</Words>
  <Characters>45508</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
    </vt:vector>
  </TitlesOfParts>
  <Company>MKiDN</Company>
  <LinksUpToDate>false</LinksUpToDate>
  <CharactersWithSpaces>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DMP</dc:creator>
  <cp:keywords/>
  <dc:description/>
  <cp:lastModifiedBy>DMP</cp:lastModifiedBy>
  <cp:revision>1</cp:revision>
  <dcterms:created xsi:type="dcterms:W3CDTF">2023-05-18T09:12:00Z</dcterms:created>
  <dcterms:modified xsi:type="dcterms:W3CDTF">2023-05-18T10:01:00Z</dcterms:modified>
</cp:coreProperties>
</file>