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D59AA" w:rsidRDefault="00E75D5A">
      <w:pPr>
        <w:spacing w:line="240" w:lineRule="auto"/>
        <w:jc w:val="center"/>
      </w:pPr>
      <w:r>
        <w:rPr>
          <w:b/>
          <w:bCs/>
        </w:rPr>
        <w:t>BİLGİLENDİRME</w:t>
      </w:r>
    </w:p>
    <w:p w14:paraId="00000002" w14:textId="77777777" w:rsidR="00BD59AA" w:rsidRDefault="00E75D5A">
      <w:pPr>
        <w:spacing w:line="240" w:lineRule="auto"/>
        <w:jc w:val="center"/>
      </w:pPr>
      <w:r>
        <w:rPr>
          <w:b/>
          <w:bCs/>
        </w:rPr>
        <w:t>Gıyabi hükmün davalı tarafa tebliği</w:t>
      </w:r>
    </w:p>
    <w:p w14:paraId="00000003" w14:textId="77777777" w:rsidR="00BD59AA" w:rsidRDefault="00E75D5A">
      <w:pPr>
        <w:spacing w:line="240" w:lineRule="auto"/>
        <w:jc w:val="both"/>
      </w:pPr>
      <w:r>
        <w:rPr>
          <w:b/>
          <w:bCs/>
        </w:rPr>
        <w:t>I.</w:t>
      </w:r>
      <w:r>
        <w:t> Davalı, Gıyabi hükme karşı </w:t>
      </w:r>
      <w:r>
        <w:rPr>
          <w:b/>
          <w:bCs/>
        </w:rPr>
        <w:t xml:space="preserve">itiraz </w:t>
      </w:r>
      <w:r>
        <w:t>hakkına sahiptir. İtiraz, kararın tamamına veya bir kısmına karşı yapılabilir; eğer bir kısma karşı yapılıyorsa, itirazın kapsamı kesin olarak belirtilmelidir.</w:t>
      </w:r>
    </w:p>
    <w:p w14:paraId="00000004" w14:textId="77777777" w:rsidR="00BD59AA" w:rsidRDefault="00E75D5A">
      <w:pPr>
        <w:spacing w:line="240" w:lineRule="auto"/>
        <w:jc w:val="both"/>
      </w:pPr>
      <w:r>
        <w:t>İtiraz dilekçesi, Gıyabi hükmü veren mahkemeye, </w:t>
      </w:r>
      <w:r>
        <w:rPr>
          <w:b/>
          <w:bCs/>
        </w:rPr>
        <w:t>kararın tebliğ tarihinden itibaren iki haftalık süre içinde</w:t>
      </w:r>
      <w:r>
        <w:t> sunulur (17 Kasım 1964 tarihli Hukuk Muhakemeleri Kanunu'nun (Birleşik metin: Dz.U.2024.1568) -- bundan sonra k.p.c.( Polonya Medeni Usul Kanunu) olarak anılacaktır. (344 § 1 maddesi).</w:t>
      </w:r>
    </w:p>
    <w:p w14:paraId="00000005" w14:textId="77777777" w:rsidR="00BD59AA" w:rsidRDefault="00E75D5A">
      <w:pPr>
        <w:spacing w:line="240" w:lineRule="auto"/>
        <w:jc w:val="both"/>
      </w:pPr>
      <w:r>
        <w:t>İtiraz dilekçesinde davalı, aksi takdirde hakkını kaybedeceği </w:t>
      </w:r>
      <w:r>
        <w:rPr>
          <w:b/>
          <w:bCs/>
        </w:rPr>
        <w:t>itiraz sebepleri</w:t>
      </w:r>
      <w:r>
        <w:t> (ki bunlar esasa girilmeden önce bildirilmelidir) ile </w:t>
      </w:r>
      <w:r>
        <w:rPr>
          <w:b/>
          <w:bCs/>
        </w:rPr>
        <w:t>iddia ve delillerini</w:t>
      </w:r>
      <w:r>
        <w:t> sunmalıdır. İtirazdan sonra sunulan iddia ve deliller, tarafın bunları daha önce sunmasının mümkün olmadığını veya sunma ihtiyacının sonradan ortaya çıktığını inandırıcı kılmadıkça </w:t>
      </w:r>
      <w:r>
        <w:rPr>
          <w:b/>
          <w:bCs/>
        </w:rPr>
        <w:t>dikkate alınmaz</w:t>
      </w:r>
      <w:r>
        <w:t> (k.p.c. md. 344 § 2 cümle 1, k.p.c. md. 205^12^ § 1 cümle 2 ile bağlantılı olarak). Davalı, itiraz dilekçesinde ayrıca karşı tarafın iddia ve delilleri hakkında beyanda bulunmalı, inkar ettiği vakıaları ayrı ayrı belirtmeli</w:t>
      </w:r>
      <w:r>
        <w:t>dir; ayrıca taleplerinin veya beyanlarının hukuki dayanaklarını da gösterebilir.</w:t>
      </w:r>
    </w:p>
    <w:p w14:paraId="00000006" w14:textId="77777777" w:rsidR="00BD59AA" w:rsidRDefault="00E75D5A">
      <w:pPr>
        <w:spacing w:line="240" w:lineRule="auto"/>
        <w:jc w:val="both"/>
      </w:pPr>
      <w:r>
        <w:t>Gıyabi hükme karşı itiraz dilekçesi, dilekçenin ve eklerinin, davacı sayısı kadar örneği ile birlikte sunulmalıdır.</w:t>
      </w:r>
    </w:p>
    <w:p w14:paraId="00000007" w14:textId="77777777" w:rsidR="00BD59AA" w:rsidRDefault="00E75D5A">
      <w:pPr>
        <w:spacing w:line="240" w:lineRule="auto"/>
        <w:jc w:val="both"/>
      </w:pPr>
      <w:r>
        <w:t>Gıyabi hükme karşı itiraz, </w:t>
      </w:r>
      <w:r>
        <w:rPr>
          <w:b/>
          <w:bCs/>
        </w:rPr>
        <w:t>yargı harcına</w:t>
      </w:r>
      <w:r>
        <w:t> tabidir. İtiraz harcı, tam yargı harcının yarısı kadardır. Harcın küsüratı bir üst tam złotye yuvarlanır (28 Temmuz 2005 tarihli Hukuk Davalarındaki Yargı Harçları Kanunu'nun (Birleşik metin: Dz.U.2025.1228) -- bundan sonra u.k.s.c. olarak anılacaktır) 21 maddesi). Bu harcı ödeme yükümlülüğü davalıya aittir.</w:t>
      </w:r>
    </w:p>
    <w:p w14:paraId="00000008" w14:textId="77777777" w:rsidR="00BD59AA" w:rsidRDefault="00E75D5A">
      <w:pPr>
        <w:spacing w:line="240" w:lineRule="auto"/>
        <w:jc w:val="both"/>
      </w:pPr>
      <w:r>
        <w:rPr>
          <w:b/>
          <w:bCs/>
        </w:rPr>
        <w:t>Mahkeme</w:t>
      </w:r>
      <w:r>
        <w:t>, kabul edilemez, süresi geçmiş, harcı yatırılmamış veya ihtara rağmen giderilmemiş eksiklikleri olan itirazı </w:t>
      </w:r>
      <w:r>
        <w:rPr>
          <w:b/>
          <w:bCs/>
        </w:rPr>
        <w:t>reddeder</w:t>
      </w:r>
      <w:r>
        <w:t> (k.p.c. md. 344 § 3).</w:t>
      </w:r>
    </w:p>
    <w:p w14:paraId="00000009" w14:textId="77777777" w:rsidR="00BD59AA" w:rsidRDefault="00E75D5A">
      <w:pPr>
        <w:spacing w:line="240" w:lineRule="auto"/>
        <w:jc w:val="both"/>
      </w:pPr>
      <w:r>
        <w:rPr>
          <w:b/>
          <w:bCs/>
        </w:rPr>
        <w:t>Tamamına veya bir kısmına karşı usulüne uygun şekilde itiraz edilmeyen gıyabi hüküm, kesinleşmiş mahkeme ilamı hükmündedir.</w:t>
      </w:r>
    </w:p>
    <w:p w14:paraId="0000000A" w14:textId="77777777" w:rsidR="00BD59AA" w:rsidRDefault="00E75D5A">
      <w:pPr>
        <w:spacing w:line="240" w:lineRule="auto"/>
        <w:jc w:val="both"/>
      </w:pPr>
      <w:r>
        <w:rPr>
          <w:b/>
          <w:bCs/>
        </w:rPr>
        <w:t>II.</w:t>
      </w:r>
      <w:r>
        <w:t> Kararda yer alan </w:t>
      </w:r>
      <w:r>
        <w:rPr>
          <w:b/>
          <w:bCs/>
        </w:rPr>
        <w:t>yargılama giderlerine</w:t>
      </w:r>
      <w:r>
        <w:t> veya o derece mahkemesindeki yargılamayı sona erdiren diğer kararlara ilişkin hükümler için, </w:t>
      </w:r>
      <w:r>
        <w:rPr>
          <w:b/>
          <w:bCs/>
        </w:rPr>
        <w:t xml:space="preserve">ikinci derece mahkemesine şikayet </w:t>
      </w:r>
      <w:r>
        <w:t> başvurusu yolu açıktır.</w:t>
      </w:r>
    </w:p>
    <w:p w14:paraId="0000000B" w14:textId="77777777" w:rsidR="00BD59AA" w:rsidRDefault="00E75D5A">
      <w:pPr>
        <w:spacing w:line="240" w:lineRule="auto"/>
        <w:jc w:val="both"/>
      </w:pPr>
      <w:r>
        <w:t>Kararda yer alan </w:t>
      </w:r>
      <w:r>
        <w:rPr>
          <w:b/>
          <w:bCs/>
        </w:rPr>
        <w:t>derhal icra edilebilirlik şartına</w:t>
      </w:r>
      <w:r>
        <w:t> ilişkin hüküm için </w:t>
      </w:r>
      <w:r>
        <w:rPr>
          <w:b/>
          <w:bCs/>
        </w:rPr>
        <w:t>ilk derece mahkemesinin farklı bir heyetine şikayet</w:t>
      </w:r>
      <w:r>
        <w:t> başvurusu yolu açıktır.</w:t>
      </w:r>
    </w:p>
    <w:p w14:paraId="0000000C" w14:textId="77777777" w:rsidR="00BD59AA" w:rsidRDefault="00E75D5A">
      <w:pPr>
        <w:spacing w:line="240" w:lineRule="auto"/>
        <w:jc w:val="both"/>
      </w:pPr>
      <w:r>
        <w:rPr>
          <w:b/>
          <w:bCs/>
        </w:rPr>
        <w:t>Şikayet başvurusu hakkı</w:t>
      </w:r>
      <w:r>
        <w:t>, </w:t>
      </w:r>
      <w:r>
        <w:rPr>
          <w:b/>
          <w:bCs/>
        </w:rPr>
        <w:t>daha önce</w:t>
      </w:r>
      <w:r>
        <w:t> bu hükmün gerekçesinin yazılması </w:t>
      </w:r>
      <w:r>
        <w:rPr>
          <w:b/>
          <w:bCs/>
        </w:rPr>
        <w:t>için talepte bulunmuş olan tarafa</w:t>
      </w:r>
      <w:r>
        <w:t> aittir.</w:t>
      </w:r>
    </w:p>
    <w:p w14:paraId="0000000D" w14:textId="77777777" w:rsidR="00BD59AA" w:rsidRDefault="00E75D5A">
      <w:pPr>
        <w:spacing w:line="240" w:lineRule="auto"/>
        <w:jc w:val="both"/>
      </w:pPr>
      <w:r>
        <w:t xml:space="preserve">Gıyabi hükümde yer alan ve itiraza tabi olan ara kararlar; tarafın, gıyabi hüküm suretinin tebliğinden itibaren bir hafta içinde </w:t>
      </w:r>
      <w:r>
        <w:rPr>
          <w:b/>
          <w:bCs/>
        </w:rPr>
        <w:t>talepte bulunması halinde mahkemece gerekçelendirilir</w:t>
      </w:r>
      <w:r>
        <w:t xml:space="preserve"> (k.p.c. md. 357 § 2¹ cümle 1). Dilekçede, hükmün hangi kısmının gerekçelendirilmesinin istendiği kesin olarak belirtilmelidir (k.p.c. md. 328 § 3).</w:t>
      </w:r>
    </w:p>
    <w:p w14:paraId="0000000E" w14:textId="77777777" w:rsidR="00BD59AA" w:rsidRDefault="00E75D5A">
      <w:pPr>
        <w:spacing w:line="240" w:lineRule="auto"/>
        <w:jc w:val="both"/>
      </w:pPr>
      <w:r>
        <w:t>Gerekçeli karar talebi, </w:t>
      </w:r>
      <w:r>
        <w:rPr>
          <w:b/>
          <w:bCs/>
        </w:rPr>
        <w:t>30 PLN tutarında sabit bir yargı harcına</w:t>
      </w:r>
      <w:r>
        <w:t> tabidir (u.k.s.c. md. 25b fıkra 2).</w:t>
      </w:r>
    </w:p>
    <w:p w14:paraId="0000000F" w14:textId="77777777" w:rsidR="00BD59AA" w:rsidRDefault="00E75D5A">
      <w:pPr>
        <w:spacing w:line="240" w:lineRule="auto"/>
        <w:jc w:val="both"/>
      </w:pPr>
      <w:r>
        <w:rPr>
          <w:b/>
          <w:bCs/>
        </w:rPr>
        <w:t>Mahkeme</w:t>
      </w:r>
      <w:r>
        <w:t xml:space="preserve">; usulen kabul edilemez, süresi geçmiş, harcı ödenmemiş veya ihtara rağmen giderilmeyen eksiklikleri bulunan gerekçe talebini </w:t>
      </w:r>
      <w:r>
        <w:rPr>
          <w:b/>
          <w:bCs/>
        </w:rPr>
        <w:t>reddeder</w:t>
      </w:r>
      <w:r>
        <w:t> (k.p.c. md. 328 § 4).</w:t>
      </w:r>
    </w:p>
    <w:p w14:paraId="00000010" w14:textId="77777777" w:rsidR="00BD59AA" w:rsidRDefault="00E75D5A">
      <w:pPr>
        <w:spacing w:line="240" w:lineRule="auto"/>
        <w:jc w:val="both"/>
      </w:pPr>
      <w:r>
        <w:rPr>
          <w:b/>
          <w:bCs/>
        </w:rPr>
        <w:t xml:space="preserve">Kararda yer alan hükme karşı şikayet </w:t>
      </w:r>
      <w:r>
        <w:t>, hükmün gerekçesiyle birlikte karar örneğinin tebliğ tarihinden itibaren bir haftalık süre içinde, kararı veren mahkemeye sunulur (k.p.c. md. 394 § 2).</w:t>
      </w:r>
    </w:p>
    <w:p w14:paraId="00000011" w14:textId="77777777" w:rsidR="00BD59AA" w:rsidRDefault="00E75D5A">
      <w:pPr>
        <w:spacing w:line="240" w:lineRule="auto"/>
        <w:jc w:val="both"/>
      </w:pPr>
      <w:r>
        <w:t>Şikayet dilekçesi, dilekçenin ve eklerinin, davada yer alan diğer kişilerin sayısı kadar örneği ile birlikte sunulmalıdır.</w:t>
      </w:r>
    </w:p>
    <w:p w14:paraId="00000012" w14:textId="77777777" w:rsidR="00BD59AA" w:rsidRDefault="00E75D5A">
      <w:pPr>
        <w:spacing w:line="240" w:lineRule="auto"/>
        <w:jc w:val="both"/>
      </w:pPr>
      <w:r>
        <w:lastRenderedPageBreak/>
        <w:t>Şikayet </w:t>
      </w:r>
      <w:r>
        <w:rPr>
          <w:b/>
          <w:bCs/>
        </w:rPr>
        <w:t>yargı harcına</w:t>
      </w:r>
      <w:r>
        <w:t> tabidir. Şikayet harcı, tam yargı harcının beşte biri kadardır. Harcın küsüratı bir üst tam złotye yuvarlanır (u.k.s.c. md. 21). Bu harcı ödeme yükümlülüğü şikayet eden tarafa aittir. Şikayet yoluna başvurulması halinde, hükmün gerekçeli olarak tebliği talebi için daha önce yatırılmış olan harç, şikayet harcına mahsup edilir.</w:t>
      </w:r>
    </w:p>
    <w:p w14:paraId="00000013" w14:textId="77777777" w:rsidR="00BD59AA" w:rsidRDefault="00E75D5A">
      <w:pPr>
        <w:spacing w:line="240" w:lineRule="auto"/>
        <w:jc w:val="both"/>
        <w:rPr>
          <w:b/>
          <w:bCs/>
        </w:rPr>
      </w:pPr>
      <w:r>
        <w:rPr>
          <w:b/>
          <w:bCs/>
        </w:rPr>
        <w:t>Mahkeme</w:t>
      </w:r>
      <w:r>
        <w:t xml:space="preserve">; süresi geçmiş, harcı ödenmemiş veya diğer nedenlerle (usulen) kabul edilemez nitelikteki şikayetlerin yanı sıra,  süresi içinde sunan tarafın eksikliklerini gidermediği şikayet dilekçelerini de </w:t>
      </w:r>
      <w:r>
        <w:rPr>
          <w:b/>
          <w:bCs/>
        </w:rPr>
        <w:t>reddeder</w:t>
      </w:r>
    </w:p>
    <w:p w14:paraId="00000014" w14:textId="77777777" w:rsidR="00BD59AA" w:rsidRDefault="00E75D5A">
      <w:pPr>
        <w:spacing w:line="240" w:lineRule="auto"/>
        <w:jc w:val="both"/>
      </w:pPr>
      <w:r>
        <w:rPr>
          <w:b/>
          <w:bCs/>
        </w:rPr>
        <w:t>III.</w:t>
      </w:r>
      <w:r>
        <w:t> Gıyabi hükme karşı yapılan itirazın geçerli olması halinde, </w:t>
      </w:r>
      <w:r>
        <w:rPr>
          <w:b/>
          <w:bCs/>
        </w:rPr>
        <w:t>davanın yeniden görülmesi sonucunda mahkeme bir karar verir</w:t>
      </w:r>
      <w:r>
        <w:t>; bu kararla gıyabi hükmü tamamen veya kısmen onaylayabilir ya da kaldırarak dava talebi hakkında hüküm kurabilir veya davayı reddedebilir ya da davayı düşürebilir. Gıyabi duruşma ve itiraz masrafları, davalının duruşmaya gelmemesi kusuruna dayanmadıkça veya davalının duruşmadan önce mahkemeye gönderdiği açıklamaları dosyaya eklenmemiş olmadıkça, gıyabi hüküm daha sonra kaldırılmış olsa bi</w:t>
      </w:r>
      <w:r>
        <w:t xml:space="preserve">le davalıya aittir. </w:t>
      </w:r>
    </w:p>
    <w:p w14:paraId="00000015" w14:textId="77777777" w:rsidR="00BD59AA" w:rsidRDefault="00E75D5A">
      <w:pPr>
        <w:spacing w:line="240" w:lineRule="auto"/>
        <w:jc w:val="both"/>
      </w:pPr>
      <w:r>
        <w:rPr>
          <w:b/>
          <w:bCs/>
        </w:rPr>
        <w:t>IV.</w:t>
      </w:r>
      <w:r>
        <w:t> Taraflar arasındaki uyuşmazlık, </w:t>
      </w:r>
      <w:r>
        <w:rPr>
          <w:b/>
          <w:bCs/>
        </w:rPr>
        <w:t>mahkeme veya arabulucu önünde yapılan sulh yoluyla sona erdirilebilir</w:t>
      </w:r>
      <w:r>
        <w:t>.</w:t>
      </w:r>
    </w:p>
    <w:p w14:paraId="00000016" w14:textId="77777777" w:rsidR="00BD59AA" w:rsidRDefault="00E75D5A">
      <w:pPr>
        <w:jc w:val="both"/>
      </w:pPr>
      <w:r>
        <w:t>Sulh, uyuşmazlığın hızlı çözüm yollarından biridir; mahkeme yargılamanın her aşamasında, özellikle tarafları arabuluculuğa teşvik ederek, uyuşmazlığın sulh yoluyla sona ermesine çalışır (k.p.c. md. 10). Sulh ile sonuçlanan sulh görüşmeleri, uyuşmazlığı daha hızlı çözme imkanı verir ve aynı zamanda taraflar arasındaki ilişkilerin korunmasını sağlar. Mahkeme veya arabulucu önünde yapılıp icra edilebilirlik şerhi verilen sulh, mahkeme kararına eşdeğer bir icra belgesi niteliği taşır.</w:t>
      </w:r>
    </w:p>
    <w:p w14:paraId="00000017" w14:textId="77777777" w:rsidR="00BD59AA" w:rsidRDefault="00E75D5A">
      <w:pPr>
        <w:jc w:val="both"/>
      </w:pPr>
      <w:r>
        <w:t>Arabuluculuk , uyuşmazlığın dostane yollarla çözülmesi yöntemlerinden biri olup, tarafsız bir arabulucu eşliğinde, tarafsız bir zeminde yürütülür, gizlidir ve gönüllülük esasına dayanır. Ayrıca mahkeme yargılamasına göre çok daha ucuz bir uyuşmazlık çözüm yoludur.</w:t>
      </w:r>
    </w:p>
    <w:p w14:paraId="00000018" w14:textId="77777777" w:rsidR="00BD59AA" w:rsidRDefault="00E75D5A">
      <w:pPr>
        <w:jc w:val="both"/>
      </w:pPr>
      <w:r>
        <w:t>Arabuluculuk sulh sözleşmesi, sadece dava konusu talepleri değil, dava dışı talepleri ve farklı davaların konusu olan talepleri de kapsayabilir.</w:t>
      </w:r>
    </w:p>
    <w:p w14:paraId="00000019" w14:textId="77777777" w:rsidR="00BD59AA" w:rsidRDefault="00E75D5A">
      <w:pPr>
        <w:jc w:val="both"/>
      </w:pPr>
      <w:r>
        <w:t>Taraflar mahkeme önünde sulh olmuşsa veya arabulucu önünde yapılan sulh mahkeme tarafından onaylanmışsa, mahkeme davayı düşürür. (k.p.c. md. 355).</w:t>
      </w:r>
    </w:p>
    <w:p w14:paraId="0000001A" w14:textId="77777777" w:rsidR="00BD59AA" w:rsidRDefault="00E75D5A">
      <w:pPr>
        <w:jc w:val="both"/>
      </w:pPr>
      <w:r>
        <w:t>Tarafların duruşma başlamadan önce sulh olmaları halinde, Mahkeme, dava dilekçesi ve ödeme emrine itiraz için yatırılan harcın tamamını, asgari harç (30 PLN) düşüldükten sonra resen iade eder; duruşma başladıktan sonra arabulucu önünde sulh olunması halinde -- dava dilekçesi ve ödeme emrine itirazdan alınan harcın ¾'ü, asgari harç düşüldükten sonra iade edilir; duruşma başladıktan sonra mahkeme önünde sulh olunması halinde ise -- dava dilekçesi veya ödeme emrine itirazdan alınan harcın ½'si, asgari harç düş</w:t>
      </w:r>
      <w:r>
        <w:t>üldükten sonra iade edilir.</w:t>
      </w:r>
    </w:p>
    <w:p w14:paraId="0000001B" w14:textId="77777777" w:rsidR="00BD59AA" w:rsidRDefault="00E75D5A">
      <w:pPr>
        <w:spacing w:line="240" w:lineRule="auto"/>
        <w:jc w:val="both"/>
      </w:pPr>
      <w:r>
        <w:rPr>
          <w:b/>
          <w:bCs/>
        </w:rPr>
        <w:t>V.</w:t>
      </w:r>
      <w:r>
        <w:t>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1C" w14:textId="77777777" w:rsidR="00BD59AA" w:rsidRDefault="00E75D5A">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1D" w14:textId="77777777" w:rsidR="00BD59AA" w:rsidRDefault="00E75D5A">
      <w:pPr>
        <w:jc w:val="both"/>
      </w:pPr>
      <w:r>
        <w:t xml:space="preserve">Tüzel kişi veya tüzel kişiliği olmayan bir işletmenin vekili, bu birimin veya bağlı bulunduğu üst organın çalışanı da olabilir. Ayrı düzenlemeler uyarınca bir işletmenin veya tüzel kişinin hukuki işlerini yürüten </w:t>
      </w:r>
      <w:r>
        <w:lastRenderedPageBreak/>
        <w:t>bir tüzel kişi, eğer yetkilendirilmişse, bu kuruluş adına bir avukat veya hukuk müşavirine vekalet verebilir  (k.p.c. md. 87 § 2).</w:t>
      </w:r>
    </w:p>
    <w:p w14:paraId="0000001E" w14:textId="77777777" w:rsidR="00BD59AA" w:rsidRDefault="00E75D5A">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1F" w14:textId="77777777" w:rsidR="00BD59AA" w:rsidRDefault="00E75D5A">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20" w14:textId="77777777" w:rsidR="00BD59AA" w:rsidRDefault="00BD59AA">
      <w:pPr>
        <w:spacing w:line="240" w:lineRule="auto"/>
        <w:jc w:val="both"/>
      </w:pPr>
    </w:p>
    <w:p w14:paraId="00000021" w14:textId="77777777" w:rsidR="00BD59AA" w:rsidRDefault="00E75D5A">
      <w:pPr>
        <w:spacing w:line="240" w:lineRule="auto"/>
        <w:jc w:val="both"/>
      </w:pPr>
      <w:r>
        <w:rPr>
          <w:b/>
          <w:bCs/>
        </w:rPr>
        <w:t>VI.</w:t>
      </w:r>
      <w:r>
        <w:t>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22" w14:textId="77777777" w:rsidR="00BD59AA" w:rsidRDefault="00E75D5A">
      <w:pPr>
        <w:jc w:val="both"/>
      </w:pPr>
      <w:r>
        <w:t>Tebligatların belirli bir </w:t>
      </w:r>
      <w:r>
        <w:rPr>
          <w:b/>
          <w:bCs/>
        </w:rPr>
        <w:t>posta kutusu</w:t>
      </w:r>
      <w:r>
        <w:t> adresine yapılması yönünde talepte bulunmuş olan taraf, bu adresteki her değişikliği mahkemeye bildirmekle yükümlüdür.</w:t>
      </w:r>
    </w:p>
    <w:p w14:paraId="00000023" w14:textId="77777777" w:rsidR="00BD59AA" w:rsidRDefault="00E75D5A">
      <w:pPr>
        <w:jc w:val="both"/>
      </w:pPr>
      <w:r>
        <w:t>Yukarıdaki yükümlülüklerin ihmal edilmesi halinde, mahkeme yazısı, yeni adres mahkemece bilinmiyorsa, tebligat yapılmış sayılarak dava dosyasında bırakılır (k.p.c. md. 136 § 2).</w:t>
      </w:r>
    </w:p>
    <w:p w14:paraId="00000024" w14:textId="77777777" w:rsidR="00BD59AA" w:rsidRDefault="00E75D5A">
      <w:pPr>
        <w:spacing w:line="240" w:lineRule="auto"/>
        <w:jc w:val="both"/>
      </w:pPr>
      <w:r>
        <w:rPr>
          <w:b/>
          <w:bCs/>
        </w:rPr>
        <w:t>VII.</w:t>
      </w:r>
      <w:r>
        <w:t> </w:t>
      </w:r>
      <w:r>
        <w:rPr>
          <w:b/>
          <w:bCs/>
        </w:rPr>
        <w:t>Yerleşim yeri, mutad meskeni veya merkezi Polonya Cumhuriyeti'nde ya da diğer bir Avrupa Birliği üye devletinde bulunmayan taraf</w:t>
      </w:r>
      <w:r>
        <w:t>, Polonya Cumhuriyeti'nde ikamet eden bir vekil tayin etmemişse, Polonya Cumhuriyeti'nde bir tebligat vekili göstermek zorundadır.</w:t>
      </w:r>
    </w:p>
    <w:p w14:paraId="00000025" w14:textId="77777777" w:rsidR="00BD59AA" w:rsidRDefault="00E75D5A">
      <w:pPr>
        <w:jc w:val="both"/>
      </w:pPr>
      <w:r>
        <w:t>Tebligat vekilinin gösterilmemesi halinde, bu tarafa yönelik mahkeme yazıları tebligat yapılmış sayılarak dava dosyasında bırakılır (k.p.c. md. 1135^5^ § 1).</w:t>
      </w:r>
    </w:p>
    <w:p w14:paraId="00000026" w14:textId="77777777" w:rsidR="00BD59AA" w:rsidRDefault="00E75D5A">
      <w:pPr>
        <w:jc w:val="both"/>
      </w:pPr>
      <w:r>
        <w:t>Tebligat vekili olarak gösterilen kişinin yetkisi yalnızca usuli belgelerin (mahkeme evraklarının) teslim alınmasıyla sınırlıdır.</w:t>
      </w:r>
    </w:p>
    <w:p w14:paraId="00000027" w14:textId="77777777" w:rsidR="00BD59AA" w:rsidRDefault="00E75D5A">
      <w:pPr>
        <w:spacing w:line="240" w:lineRule="auto"/>
        <w:jc w:val="both"/>
      </w:pPr>
      <w:r>
        <w:rPr>
          <w:b/>
          <w:bCs/>
        </w:rPr>
        <w:t>VIII.</w:t>
      </w:r>
      <w:r>
        <w:t> Tüm dilekçeler </w:t>
      </w:r>
      <w:r>
        <w:rPr>
          <w:b/>
          <w:bCs/>
        </w:rPr>
        <w:t>Lehçe</w:t>
      </w:r>
      <w:r>
        <w:t> hazırlanmalıdır.</w:t>
      </w:r>
    </w:p>
    <w:p w14:paraId="00000028" w14:textId="77777777" w:rsidR="00BD59AA" w:rsidRDefault="00E75D5A">
      <w:pPr>
        <w:spacing w:line="240" w:lineRule="auto"/>
        <w:jc w:val="both"/>
      </w:pPr>
      <w:r>
        <w:rPr>
          <w:b/>
          <w:bCs/>
        </w:rPr>
        <w:t>IX.</w:t>
      </w:r>
      <w:r>
        <w:t xml:space="preserve"> Mahkemeye dilekçe sunarken, işbu yazıda belirtilen </w:t>
      </w:r>
      <w:r>
        <w:rPr>
          <w:b/>
          <w:bCs/>
        </w:rPr>
        <w:t>dosya numarası</w:t>
      </w:r>
      <w:r>
        <w:t xml:space="preserve"> mutlaka belirtilmelidir. </w:t>
      </w:r>
    </w:p>
    <w:p w14:paraId="00000029" w14:textId="77777777" w:rsidR="00BD59AA" w:rsidRDefault="00E75D5A">
      <w:pPr>
        <w:spacing w:line="240" w:lineRule="auto"/>
        <w:jc w:val="both"/>
      </w:pPr>
      <w:r>
        <w:rPr>
          <w:b/>
          <w:bCs/>
        </w:rPr>
        <w:t>X.</w:t>
      </w:r>
      <w:r>
        <w:t> Dilekçeye, davaya katılan kişilere tebliğ edilmek üzere dilekçenin ve eklerinin örnekleri ve ayrıca, eklerin asılları mahkemeye sunulmamışsa, mahkeme dosyası için her bir ekin birer örneği daha eklenmelidir (k.p.c. md. 128 § 1).</w:t>
      </w:r>
    </w:p>
    <w:p w14:paraId="0000002A" w14:textId="77777777" w:rsidR="00BD59AA" w:rsidRDefault="00E75D5A">
      <w:pPr>
        <w:spacing w:line="240" w:lineRule="auto"/>
        <w:jc w:val="both"/>
      </w:pPr>
      <w:r>
        <w:rPr>
          <w:b/>
          <w:bCs/>
        </w:rPr>
        <w:t>XI.</w:t>
      </w:r>
      <w:r>
        <w:t>  </w:t>
      </w:r>
      <w:r>
        <w:rPr>
          <w:b/>
          <w:bCs/>
        </w:rPr>
        <w:t>Bir dilekçenin</w:t>
      </w:r>
      <w:r>
        <w:t> Polonya Cumhuriyeti topraklarında yetkili posta idaresine veya başka bir Avrupa Birliği üye devletinin topraklarında yetkili posta idaresine teslim edilmesi </w:t>
      </w:r>
      <w:r>
        <w:rPr>
          <w:b/>
          <w:bCs/>
        </w:rPr>
        <w:t>, mahkemeye verilmesiyle eşdeğerdir</w:t>
      </w:r>
      <w:r>
        <w:t xml:space="preserve"> (k.p.c. md. 165 § 2). Aynı kural, bir askerin dilekçesini askeri birlik komutanlığına vermesi, hürriyeti bağlayıcı ceza infaz kurumundaki bir kişinin dilekçesini cezaevi idaresine vermesi veya bir Polonya gemisi mürettebatının dilekçesini gemi kaptanına vermesi halinde de geçerlidir (k.p.c. md. 165 § </w:t>
      </w:r>
      <w:r>
        <w:t>3).</w:t>
      </w:r>
    </w:p>
    <w:p w14:paraId="00000032" w14:textId="7CD41E8A" w:rsidR="00BD59AA" w:rsidRDefault="00BD59AA">
      <w:pPr>
        <w:spacing w:after="0" w:line="240" w:lineRule="auto"/>
        <w:jc w:val="right"/>
      </w:pPr>
    </w:p>
    <w:sectPr w:rsidR="00BD59A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83F5" w14:textId="77777777" w:rsidR="00E75D5A" w:rsidRDefault="00E75D5A">
      <w:pPr>
        <w:spacing w:after="0" w:line="240" w:lineRule="auto"/>
      </w:pPr>
      <w:r>
        <w:separator/>
      </w:r>
    </w:p>
  </w:endnote>
  <w:endnote w:type="continuationSeparator" w:id="0">
    <w:p w14:paraId="33E00E01" w14:textId="77777777" w:rsidR="00E75D5A" w:rsidRDefault="00E75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5B8592C3-586D-428C-9029-3E9DCAED5CE5}"/>
    <w:embedBold r:id="rId2" w:fontKey="{7DD310F1-335E-42B6-81C2-53328ECFEDCD}"/>
    <w:embedItalic r:id="rId3" w:fontKey="{D6F86FE6-A0A5-4E17-A428-9EC9C645635B}"/>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FF86771D-5245-4191-827B-B87C8D06D7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7" w14:textId="21ABAD8F" w:rsidR="00BD59AA" w:rsidRDefault="00E75D5A">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61959">
      <w:rPr>
        <w:noProof/>
        <w:color w:val="000000"/>
      </w:rPr>
      <w:t>1</w:t>
    </w:r>
    <w:r>
      <w:rPr>
        <w:color w:val="000000"/>
      </w:rPr>
      <w:fldChar w:fldCharType="end"/>
    </w:r>
  </w:p>
  <w:p w14:paraId="00000038"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9"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2C4F" w14:textId="77777777" w:rsidR="00E75D5A" w:rsidRDefault="00E75D5A">
      <w:pPr>
        <w:spacing w:after="0" w:line="240" w:lineRule="auto"/>
      </w:pPr>
      <w:r>
        <w:separator/>
      </w:r>
    </w:p>
  </w:footnote>
  <w:footnote w:type="continuationSeparator" w:id="0">
    <w:p w14:paraId="614A9A0E" w14:textId="77777777" w:rsidR="00E75D5A" w:rsidRDefault="00E75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BD59AA" w:rsidRDefault="00BD59AA">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D59AA"/>
    <w:rsid w:val="00161959"/>
    <w:rsid w:val="00582AA4"/>
    <w:rsid w:val="00984A8B"/>
    <w:rsid w:val="00BD59AA"/>
    <w:rsid w:val="00E75D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2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gwek9">
    <w:name w:val="heading 9"/>
    <w:basedOn w:val="Normalny"/>
    <w:next w:val="Normalny"/>
    <w:link w:val="Nagwek9Znak"/>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Balk1Char">
    <w:name w:val="Başlık 1 Char"/>
    <w:basedOn w:val="Domylnaczcionkaakapitu"/>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qFormat/>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qFormat/>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Pr>
      <w:rFonts w:eastAsiaTheme="majorEastAsia" w:cstheme="majorBidi"/>
      <w:i/>
      <w:iCs/>
      <w:color w:val="2F5496" w:themeColor="accent1" w:themeShade="BF"/>
    </w:rPr>
  </w:style>
  <w:style w:type="character" w:customStyle="1" w:styleId="Balk5Char">
    <w:name w:val="Başlık 5 Char"/>
    <w:basedOn w:val="Domylnaczcionkaakapitu"/>
    <w:uiPriority w:val="9"/>
    <w:semiHidden/>
    <w:rPr>
      <w:rFonts w:eastAsiaTheme="majorEastAsia" w:cstheme="majorBidi"/>
      <w:color w:val="2F5496" w:themeColor="accent1" w:themeShade="BF"/>
    </w:rPr>
  </w:style>
  <w:style w:type="character" w:customStyle="1" w:styleId="Balk6Char">
    <w:name w:val="Başlık 6 Char"/>
    <w:basedOn w:val="Domylnaczcionkaakapitu"/>
    <w:uiPriority w:val="9"/>
    <w:semiHidden/>
    <w:qFormat/>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Pr>
      <w:rFonts w:eastAsiaTheme="majorEastAsia" w:cstheme="majorBidi"/>
      <w:i/>
      <w:iCs/>
      <w:color w:val="262626" w:themeColor="text1" w:themeTint="D9"/>
    </w:rPr>
  </w:style>
  <w:style w:type="character" w:customStyle="1" w:styleId="Nagwek9Znak">
    <w:name w:val="Nagłówek 9 Znak"/>
    <w:basedOn w:val="Domylnaczcionkaakapitu"/>
    <w:link w:val="Nagwek9"/>
    <w:uiPriority w:val="9"/>
    <w:semiHidden/>
    <w:qFormat/>
    <w:rPr>
      <w:rFonts w:eastAsiaTheme="majorEastAsia" w:cstheme="majorBidi"/>
      <w:color w:val="262626" w:themeColor="text1" w:themeTint="D9"/>
    </w:rPr>
  </w:style>
  <w:style w:type="character" w:customStyle="1" w:styleId="KonuBalChar">
    <w:name w:val="Konu Başlığı Char"/>
    <w:basedOn w:val="Domylnaczcionkaakapitu"/>
    <w:uiPriority w:val="10"/>
    <w:qFormat/>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character" w:customStyle="1" w:styleId="CytatZnak">
    <w:name w:val="Cytat Znak"/>
    <w:basedOn w:val="Domylnaczcionkaakapitu"/>
    <w:link w:val="Cytat"/>
    <w:uiPriority w:val="29"/>
    <w:rPr>
      <w:i/>
      <w:iCs/>
      <w:color w:val="404040" w:themeColor="text1" w:themeTint="BF"/>
    </w:rPr>
  </w:style>
  <w:style w:type="paragraph" w:styleId="Akapitzlist">
    <w:name w:val="List Paragraph"/>
    <w:basedOn w:val="Normalny"/>
    <w:uiPriority w:val="34"/>
    <w:qFormat/>
    <w:pPr>
      <w:ind w:left="720"/>
      <w:contextualSpacing/>
    </w:pPr>
  </w:style>
  <w:style w:type="character" w:customStyle="1" w:styleId="GlVurgulama1">
    <w:name w:val="Güçlü Vurgulama1"/>
    <w:basedOn w:val="Domylnaczcionkaakapitu"/>
    <w:uiPriority w:val="21"/>
    <w:qFormat/>
    <w:rPr>
      <w:i/>
      <w:iCs/>
      <w:color w:val="2F5496" w:themeColor="accent1" w:themeShade="BF"/>
    </w:rPr>
  </w:style>
  <w:style w:type="paragraph" w:styleId="Cytatintensywny">
    <w:name w:val="Intense Quote"/>
    <w:basedOn w:val="Normalny"/>
    <w:next w:val="Normalny"/>
    <w:link w:val="CytatintensywnyZnak"/>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qFormat/>
    <w:rPr>
      <w:i/>
      <w:iCs/>
      <w:color w:val="2F5496" w:themeColor="accent1" w:themeShade="BF"/>
    </w:rPr>
  </w:style>
  <w:style w:type="character" w:customStyle="1" w:styleId="GlBavuru1">
    <w:name w:val="Güçlü Başvuru1"/>
    <w:basedOn w:val="Domylnaczcionkaakapitu"/>
    <w:uiPriority w:val="32"/>
    <w:qFormat/>
    <w:rPr>
      <w:b/>
      <w:bCs/>
      <w:smallCaps/>
      <w:color w:val="2F5496" w:themeColor="accent1" w:themeShade="BF"/>
      <w:spacing w:val="5"/>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x4lKPOtaVRHdE4Z7l2HzVro8jQ==">CgMxLjA4AHIhMU5UMlRyRE1UckhCT2pfdzFiUXVLZ0ZPNW1EOXY5WHdB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1286</Words>
  <Characters>8420</Characters>
  <Application>Microsoft Office Word</Application>
  <DocSecurity>0</DocSecurity>
  <Lines>119</Lines>
  <Paragraphs>41</Paragraphs>
  <ScaleCrop>false</ScaleCrop>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2026-03-20T11:16:00Z</dcterms:created>
  <dcterms:modified xsi:type="dcterms:W3CDTF">2026-03-20T11:17:00Z</dcterms:modified>
</cp:coreProperties>
</file>