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43851" w14:textId="5C6381A2" w:rsidR="00021A18" w:rsidRPr="004C497D" w:rsidRDefault="00DF4527" w:rsidP="009A05B3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4C497D">
        <w:rPr>
          <w:rFonts w:ascii="Times New Roman" w:hAnsi="Times New Roman" w:cs="Times New Roman"/>
          <w:b/>
          <w:bCs/>
        </w:rPr>
        <w:t>Tabela uwag z</w:t>
      </w:r>
      <w:r w:rsidR="00110686" w:rsidRPr="004C497D">
        <w:rPr>
          <w:rFonts w:ascii="Times New Roman" w:hAnsi="Times New Roman" w:cs="Times New Roman"/>
          <w:b/>
          <w:bCs/>
        </w:rPr>
        <w:t>głoszonych w ramach</w:t>
      </w:r>
      <w:r w:rsidRPr="004C497D">
        <w:rPr>
          <w:rFonts w:ascii="Times New Roman" w:hAnsi="Times New Roman" w:cs="Times New Roman"/>
          <w:b/>
          <w:bCs/>
        </w:rPr>
        <w:t xml:space="preserve"> </w:t>
      </w:r>
      <w:r w:rsidR="004C497D">
        <w:rPr>
          <w:rFonts w:ascii="Times New Roman" w:hAnsi="Times New Roman" w:cs="Times New Roman"/>
          <w:b/>
          <w:bCs/>
        </w:rPr>
        <w:t>ponownego</w:t>
      </w:r>
      <w:r w:rsidR="00D43C7C" w:rsidRPr="004C497D">
        <w:rPr>
          <w:rFonts w:ascii="Times New Roman" w:hAnsi="Times New Roman" w:cs="Times New Roman"/>
          <w:b/>
          <w:bCs/>
        </w:rPr>
        <w:t xml:space="preserve"> </w:t>
      </w:r>
      <w:r w:rsidR="009D0595" w:rsidRPr="004C497D">
        <w:rPr>
          <w:rFonts w:ascii="Times New Roman" w:hAnsi="Times New Roman" w:cs="Times New Roman"/>
          <w:b/>
          <w:bCs/>
        </w:rPr>
        <w:t>opiniowania</w:t>
      </w:r>
      <w:r w:rsidR="00396DAE" w:rsidRPr="004C497D">
        <w:rPr>
          <w:rFonts w:ascii="Times New Roman" w:hAnsi="Times New Roman" w:cs="Times New Roman"/>
          <w:b/>
          <w:bCs/>
        </w:rPr>
        <w:t xml:space="preserve"> </w:t>
      </w:r>
      <w:r w:rsidRPr="004C497D">
        <w:rPr>
          <w:rFonts w:ascii="Times New Roman" w:hAnsi="Times New Roman" w:cs="Times New Roman"/>
          <w:b/>
          <w:bCs/>
        </w:rPr>
        <w:t xml:space="preserve">projektu rozporządzenia </w:t>
      </w:r>
      <w:bookmarkStart w:id="0" w:name="bookmark1"/>
      <w:r w:rsidR="00FC0280" w:rsidRPr="004C497D">
        <w:rPr>
          <w:rFonts w:ascii="Times New Roman" w:hAnsi="Times New Roman" w:cs="Times New Roman"/>
          <w:b/>
          <w:bCs/>
        </w:rPr>
        <w:t xml:space="preserve">Rady Ministrów sprawie </w:t>
      </w:r>
      <w:bookmarkEnd w:id="0"/>
      <w:r w:rsidR="00FC0280" w:rsidRPr="004C497D">
        <w:rPr>
          <w:rFonts w:ascii="Times New Roman" w:hAnsi="Times New Roman" w:cs="Times New Roman"/>
          <w:b/>
          <w:bCs/>
        </w:rPr>
        <w:t>zapewnienia przez przedsiębiorcę telekomunikacyjnego warunków dostępu i utrwalania oraz przygotowania technicznych i organizacyjnych warunków udostępniania danych (RD217)</w:t>
      </w:r>
    </w:p>
    <w:p w14:paraId="4B2CD379" w14:textId="77777777" w:rsidR="00DF4527" w:rsidRPr="004C497D" w:rsidRDefault="00DF4527" w:rsidP="00DF4527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Tabela-Siatka"/>
        <w:tblW w:w="15163" w:type="dxa"/>
        <w:tblLayout w:type="fixed"/>
        <w:tblLook w:val="04A0" w:firstRow="1" w:lastRow="0" w:firstColumn="1" w:lastColumn="0" w:noHBand="0" w:noVBand="1"/>
      </w:tblPr>
      <w:tblGrid>
        <w:gridCol w:w="597"/>
        <w:gridCol w:w="1525"/>
        <w:gridCol w:w="1417"/>
        <w:gridCol w:w="5812"/>
        <w:gridCol w:w="5812"/>
      </w:tblGrid>
      <w:tr w:rsidR="006F492C" w:rsidRPr="004C497D" w14:paraId="35087CD2" w14:textId="77777777" w:rsidTr="00060072">
        <w:trPr>
          <w:trHeight w:val="840"/>
        </w:trPr>
        <w:tc>
          <w:tcPr>
            <w:tcW w:w="59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DC3DC8" w14:textId="2B1BE22F" w:rsidR="00DF4527" w:rsidRPr="004C497D" w:rsidRDefault="009753A3" w:rsidP="0057644A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4C497D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152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3AEFCE" w14:textId="246D43B8" w:rsidR="00DF4527" w:rsidRPr="004C497D" w:rsidRDefault="009753A3" w:rsidP="00822E68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4C497D">
              <w:rPr>
                <w:rFonts w:ascii="Times New Roman" w:hAnsi="Times New Roman" w:cs="Times New Roman"/>
                <w:b/>
              </w:rPr>
              <w:t>Jednostka redakcyjna projektu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0E9CFB" w14:textId="5C366DE0" w:rsidR="00DF4527" w:rsidRPr="004C497D" w:rsidRDefault="00110686" w:rsidP="00822E68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4C497D">
              <w:rPr>
                <w:rFonts w:ascii="Times New Roman" w:hAnsi="Times New Roman" w:cs="Times New Roman"/>
                <w:b/>
              </w:rPr>
              <w:t>Podmiot z</w:t>
            </w:r>
            <w:r w:rsidR="009753A3" w:rsidRPr="004C497D">
              <w:rPr>
                <w:rFonts w:ascii="Times New Roman" w:hAnsi="Times New Roman" w:cs="Times New Roman"/>
                <w:b/>
              </w:rPr>
              <w:t>głaszający</w:t>
            </w:r>
            <w:r w:rsidR="00A01734">
              <w:rPr>
                <w:rFonts w:ascii="Times New Roman" w:hAnsi="Times New Roman" w:cs="Times New Roman"/>
                <w:b/>
              </w:rPr>
              <w:t xml:space="preserve"> uwagę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A93FA5" w14:textId="0EBA8F04" w:rsidR="00DF4527" w:rsidRPr="004C497D" w:rsidRDefault="009753A3" w:rsidP="00822E68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4C497D">
              <w:rPr>
                <w:rFonts w:ascii="Times New Roman" w:hAnsi="Times New Roman" w:cs="Times New Roman"/>
                <w:b/>
              </w:rPr>
              <w:t>Treść uwagi</w:t>
            </w:r>
          </w:p>
        </w:tc>
        <w:tc>
          <w:tcPr>
            <w:tcW w:w="581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FB7D72" w14:textId="243C8A95" w:rsidR="00DF4527" w:rsidRPr="004C497D" w:rsidRDefault="009753A3" w:rsidP="00822E68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4C497D">
              <w:rPr>
                <w:rFonts w:ascii="Times New Roman" w:hAnsi="Times New Roman" w:cs="Times New Roman"/>
                <w:b/>
              </w:rPr>
              <w:t>Stanowisko M</w:t>
            </w:r>
            <w:r w:rsidR="00110686" w:rsidRPr="004C497D">
              <w:rPr>
                <w:rFonts w:ascii="Times New Roman" w:hAnsi="Times New Roman" w:cs="Times New Roman"/>
                <w:b/>
              </w:rPr>
              <w:t>inistra Cyfryzacji</w:t>
            </w:r>
          </w:p>
        </w:tc>
      </w:tr>
      <w:tr w:rsidR="00D43C7C" w:rsidRPr="004C497D" w14:paraId="75DD65E0" w14:textId="77777777" w:rsidTr="00C33E06">
        <w:tc>
          <w:tcPr>
            <w:tcW w:w="597" w:type="dxa"/>
            <w:tcBorders>
              <w:bottom w:val="single" w:sz="4" w:space="0" w:color="auto"/>
            </w:tcBorders>
          </w:tcPr>
          <w:p w14:paraId="1DCD8826" w14:textId="77777777" w:rsidR="00D43C7C" w:rsidRPr="004C497D" w:rsidRDefault="00D43C7C" w:rsidP="00C33E06">
            <w:pPr>
              <w:pStyle w:val="Bezodstpw"/>
              <w:numPr>
                <w:ilvl w:val="0"/>
                <w:numId w:val="2"/>
              </w:numPr>
              <w:ind w:left="171" w:hanging="17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70ECDA2A" w14:textId="1FB03BA6" w:rsidR="00D43C7C" w:rsidRPr="004C497D" w:rsidRDefault="00F03FE6" w:rsidP="0088443B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4C497D">
              <w:rPr>
                <w:rFonts w:ascii="Times New Roman" w:hAnsi="Times New Roman" w:cs="Times New Roman"/>
              </w:rPr>
              <w:t>§ 4 ust. 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97A7E95" w14:textId="4EC68268" w:rsidR="00D43C7C" w:rsidRPr="00A01734" w:rsidRDefault="00A01734" w:rsidP="0088443B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01734">
              <w:rPr>
                <w:rFonts w:ascii="Times New Roman" w:hAnsi="Times New Roman" w:cs="Times New Roman"/>
                <w:b/>
                <w:bCs/>
              </w:rPr>
              <w:t xml:space="preserve">Prezes </w:t>
            </w:r>
            <w:r w:rsidR="00F03FE6" w:rsidRPr="00A01734">
              <w:rPr>
                <w:rFonts w:ascii="Times New Roman" w:hAnsi="Times New Roman" w:cs="Times New Roman"/>
                <w:b/>
                <w:bCs/>
              </w:rPr>
              <w:t>Urz</w:t>
            </w:r>
            <w:r w:rsidRPr="00A01734">
              <w:rPr>
                <w:rFonts w:ascii="Times New Roman" w:hAnsi="Times New Roman" w:cs="Times New Roman"/>
                <w:b/>
                <w:bCs/>
              </w:rPr>
              <w:t>ę</w:t>
            </w:r>
            <w:r w:rsidR="00F03FE6" w:rsidRPr="00A01734">
              <w:rPr>
                <w:rFonts w:ascii="Times New Roman" w:hAnsi="Times New Roman" w:cs="Times New Roman"/>
                <w:b/>
                <w:bCs/>
              </w:rPr>
              <w:t>d</w:t>
            </w:r>
            <w:r w:rsidRPr="00A01734">
              <w:rPr>
                <w:rFonts w:ascii="Times New Roman" w:hAnsi="Times New Roman" w:cs="Times New Roman"/>
                <w:b/>
                <w:bCs/>
              </w:rPr>
              <w:t>u</w:t>
            </w:r>
            <w:r w:rsidR="00F03FE6" w:rsidRPr="00A01734">
              <w:rPr>
                <w:rFonts w:ascii="Times New Roman" w:hAnsi="Times New Roman" w:cs="Times New Roman"/>
                <w:b/>
                <w:bCs/>
              </w:rPr>
              <w:t xml:space="preserve"> Ochrony Danych Osobowych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14:paraId="7B5707BF" w14:textId="00B488B5" w:rsidR="00D43C7C" w:rsidRPr="004C497D" w:rsidRDefault="00F30BF2" w:rsidP="00C105BD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4C497D">
              <w:rPr>
                <w:rFonts w:ascii="Times New Roman" w:hAnsi="Times New Roman" w:cs="Times New Roman"/>
              </w:rPr>
              <w:t xml:space="preserve">Prezes Urzędu Ochrony Danych Osobowych </w:t>
            </w:r>
            <w:r w:rsidRPr="004C497D">
              <w:rPr>
                <w:rFonts w:ascii="Times New Roman" w:hAnsi="Times New Roman" w:cs="Times New Roman"/>
                <w:b/>
                <w:bCs/>
              </w:rPr>
              <w:t xml:space="preserve">podtrzymuje swoją uwagę </w:t>
            </w:r>
            <w:r w:rsidRPr="004C497D">
              <w:rPr>
                <w:rFonts w:ascii="Times New Roman" w:hAnsi="Times New Roman" w:cs="Times New Roman"/>
              </w:rPr>
              <w:t>odnośnie</w:t>
            </w:r>
            <w:r w:rsidR="00C105BD" w:rsidRPr="004C497D">
              <w:rPr>
                <w:rFonts w:ascii="Times New Roman" w:hAnsi="Times New Roman" w:cs="Times New Roman"/>
              </w:rPr>
              <w:t xml:space="preserve"> </w:t>
            </w:r>
            <w:r w:rsidRPr="004C497D">
              <w:rPr>
                <w:rFonts w:ascii="Times New Roman" w:hAnsi="Times New Roman" w:cs="Times New Roman"/>
              </w:rPr>
              <w:t>do zawartego w § 4 ust. 1 projektu sformułowania „zapewnia warunki dostępu i</w:t>
            </w:r>
            <w:r w:rsidR="00C105BD" w:rsidRPr="004C497D">
              <w:rPr>
                <w:rFonts w:ascii="Times New Roman" w:hAnsi="Times New Roman" w:cs="Times New Roman"/>
              </w:rPr>
              <w:t xml:space="preserve"> </w:t>
            </w:r>
            <w:r w:rsidRPr="004C497D">
              <w:rPr>
                <w:rFonts w:ascii="Times New Roman" w:hAnsi="Times New Roman" w:cs="Times New Roman"/>
              </w:rPr>
              <w:t>utrwalania”, które to sformułowanie pomimo, że – jak wskazuje projektodawca – jest także</w:t>
            </w:r>
            <w:r w:rsidR="00C105BD" w:rsidRPr="004C497D">
              <w:rPr>
                <w:rFonts w:ascii="Times New Roman" w:hAnsi="Times New Roman" w:cs="Times New Roman"/>
              </w:rPr>
              <w:t xml:space="preserve"> </w:t>
            </w:r>
            <w:r w:rsidRPr="004C497D">
              <w:rPr>
                <w:rFonts w:ascii="Times New Roman" w:hAnsi="Times New Roman" w:cs="Times New Roman"/>
              </w:rPr>
              <w:t>stosowane w przepisach Prawa komunikacji elektronicznej, to jednak jego</w:t>
            </w:r>
            <w:r w:rsidR="00C105BD" w:rsidRPr="004C497D">
              <w:rPr>
                <w:rFonts w:ascii="Times New Roman" w:hAnsi="Times New Roman" w:cs="Times New Roman"/>
              </w:rPr>
              <w:t xml:space="preserve"> </w:t>
            </w:r>
            <w:r w:rsidRPr="004C497D">
              <w:rPr>
                <w:rFonts w:ascii="Times New Roman" w:hAnsi="Times New Roman" w:cs="Times New Roman"/>
              </w:rPr>
              <w:t>doprecyzowanie w projekcie w kontekście zapobiegania ryzykom związanym z</w:t>
            </w:r>
            <w:r w:rsidR="00C105BD" w:rsidRPr="004C497D">
              <w:rPr>
                <w:rFonts w:ascii="Times New Roman" w:hAnsi="Times New Roman" w:cs="Times New Roman"/>
              </w:rPr>
              <w:t xml:space="preserve"> </w:t>
            </w:r>
            <w:r w:rsidRPr="004C497D">
              <w:rPr>
                <w:rFonts w:ascii="Times New Roman" w:hAnsi="Times New Roman" w:cs="Times New Roman"/>
              </w:rPr>
              <w:t>rozszerzeniem interpretacji tego pojęcia wydaje się istotne z punktu widzenia zapewnienia</w:t>
            </w:r>
            <w:r w:rsidR="00C105BD" w:rsidRPr="004C497D">
              <w:rPr>
                <w:rFonts w:ascii="Times New Roman" w:hAnsi="Times New Roman" w:cs="Times New Roman"/>
              </w:rPr>
              <w:t xml:space="preserve"> </w:t>
            </w:r>
            <w:r w:rsidRPr="004C497D">
              <w:rPr>
                <w:rFonts w:ascii="Times New Roman" w:hAnsi="Times New Roman" w:cs="Times New Roman"/>
              </w:rPr>
              <w:t>przestrzegania zasady przejrzystości (art. 5 ust. 1 lit. a), a także zgodne z zasadą</w:t>
            </w:r>
            <w:r w:rsidR="00C105BD" w:rsidRPr="004C497D">
              <w:rPr>
                <w:rFonts w:ascii="Times New Roman" w:hAnsi="Times New Roman" w:cs="Times New Roman"/>
              </w:rPr>
              <w:t xml:space="preserve"> </w:t>
            </w:r>
            <w:r w:rsidRPr="004C497D">
              <w:rPr>
                <w:rFonts w:ascii="Times New Roman" w:hAnsi="Times New Roman" w:cs="Times New Roman"/>
              </w:rPr>
              <w:t>minimalizacji danych (art. 5 ust. 1 lit. c), zasadą ograniczenia celu (art. 5 ust. 1 lit. b) oraz</w:t>
            </w:r>
            <w:r w:rsidR="00C105BD" w:rsidRPr="004C497D">
              <w:rPr>
                <w:rFonts w:ascii="Times New Roman" w:hAnsi="Times New Roman" w:cs="Times New Roman"/>
              </w:rPr>
              <w:t xml:space="preserve"> </w:t>
            </w:r>
            <w:r w:rsidRPr="004C497D">
              <w:rPr>
                <w:rFonts w:ascii="Times New Roman" w:hAnsi="Times New Roman" w:cs="Times New Roman"/>
              </w:rPr>
              <w:t>zasadą integralności i poufności (art. 5 ust. 1 lit. f) rozporządzenia 2016/679.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14:paraId="161A7E1B" w14:textId="77777777" w:rsidR="00D43C7C" w:rsidRPr="004C497D" w:rsidRDefault="0091419D" w:rsidP="0073707A">
            <w:pPr>
              <w:pStyle w:val="Bezodstpw"/>
              <w:spacing w:after="12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C497D">
              <w:rPr>
                <w:rFonts w:ascii="Times New Roman" w:hAnsi="Times New Roman" w:cs="Times New Roman"/>
                <w:b/>
                <w:bCs/>
              </w:rPr>
              <w:t>Uwaga nieuwzględniona</w:t>
            </w:r>
          </w:p>
          <w:p w14:paraId="0A02AE71" w14:textId="3895867C" w:rsidR="0091419D" w:rsidRPr="004C497D" w:rsidRDefault="0091419D" w:rsidP="004C497D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4C497D">
              <w:rPr>
                <w:rFonts w:ascii="Times New Roman" w:hAnsi="Times New Roman" w:cs="Times New Roman"/>
              </w:rPr>
              <w:t>Zgodnie z § 149 </w:t>
            </w:r>
            <w:r w:rsidR="004C497D">
              <w:rPr>
                <w:rFonts w:ascii="Times New Roman" w:hAnsi="Times New Roman" w:cs="Times New Roman"/>
              </w:rPr>
              <w:t>załącznika do r</w:t>
            </w:r>
            <w:r w:rsidR="0062294E" w:rsidRPr="004C497D">
              <w:rPr>
                <w:rFonts w:ascii="Times New Roman" w:hAnsi="Times New Roman" w:cs="Times New Roman"/>
              </w:rPr>
              <w:t>ozporządzeni</w:t>
            </w:r>
            <w:r w:rsidR="004C497D">
              <w:rPr>
                <w:rFonts w:ascii="Times New Roman" w:hAnsi="Times New Roman" w:cs="Times New Roman"/>
              </w:rPr>
              <w:t>a</w:t>
            </w:r>
            <w:r w:rsidR="0062294E" w:rsidRPr="004C497D">
              <w:rPr>
                <w:rFonts w:ascii="Times New Roman" w:hAnsi="Times New Roman" w:cs="Times New Roman"/>
              </w:rPr>
              <w:t xml:space="preserve"> Prezesa Rady Ministrów z dnia 20</w:t>
            </w:r>
            <w:r w:rsidR="004C497D">
              <w:rPr>
                <w:rFonts w:ascii="Times New Roman" w:hAnsi="Times New Roman" w:cs="Times New Roman"/>
              </w:rPr>
              <w:t xml:space="preserve"> czerwca </w:t>
            </w:r>
            <w:r w:rsidR="0062294E" w:rsidRPr="004C497D">
              <w:rPr>
                <w:rFonts w:ascii="Times New Roman" w:hAnsi="Times New Roman" w:cs="Times New Roman"/>
              </w:rPr>
              <w:t xml:space="preserve">2002 r. w sprawie „Zasad techniki prawodawczej” </w:t>
            </w:r>
            <w:r w:rsidR="004C497D">
              <w:rPr>
                <w:rFonts w:ascii="Times New Roman" w:hAnsi="Times New Roman" w:cs="Times New Roman"/>
              </w:rPr>
              <w:t>(</w:t>
            </w:r>
            <w:r w:rsidR="0062294E" w:rsidRPr="004C497D">
              <w:rPr>
                <w:rFonts w:ascii="Times New Roman" w:hAnsi="Times New Roman" w:cs="Times New Roman"/>
              </w:rPr>
              <w:t>Dz. U. z 2026 r. poz. 300) w</w:t>
            </w:r>
            <w:r w:rsidRPr="004C497D">
              <w:rPr>
                <w:rFonts w:ascii="Times New Roman" w:hAnsi="Times New Roman" w:cs="Times New Roman"/>
              </w:rPr>
              <w:t xml:space="preserve"> akcie normatywnym niższym rangą niż ustawa bez upoważnienia ustawowego nie formułuje się definicji ustalających znaczenia określeń ustawowych; w szczególności w akcie wykonawczym nie formułuje się definicji, które ustalałyby znaczenia określeń zawartych w ustawie upoważniającej.</w:t>
            </w:r>
          </w:p>
          <w:p w14:paraId="3F254FCA" w14:textId="7C377F8E" w:rsidR="0062294E" w:rsidRPr="004C497D" w:rsidRDefault="0073707A" w:rsidP="004C497D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4C497D">
              <w:rPr>
                <w:rFonts w:ascii="Times New Roman" w:hAnsi="Times New Roman" w:cs="Times New Roman"/>
              </w:rPr>
              <w:t>A</w:t>
            </w:r>
            <w:r w:rsidR="0062294E" w:rsidRPr="004C497D">
              <w:rPr>
                <w:rFonts w:ascii="Times New Roman" w:hAnsi="Times New Roman" w:cs="Times New Roman"/>
              </w:rPr>
              <w:t xml:space="preserve">rt. 43 ust. 1 pkt 1 </w:t>
            </w:r>
            <w:r w:rsidRPr="004C497D">
              <w:rPr>
                <w:rFonts w:ascii="Times New Roman" w:hAnsi="Times New Roman" w:cs="Times New Roman"/>
              </w:rPr>
              <w:t>ustawy</w:t>
            </w:r>
            <w:r w:rsidR="004C497D">
              <w:rPr>
                <w:rFonts w:ascii="Times New Roman" w:hAnsi="Times New Roman" w:cs="Times New Roman"/>
              </w:rPr>
              <w:t xml:space="preserve"> z dnia </w:t>
            </w:r>
            <w:r w:rsidR="004C497D" w:rsidRPr="004C497D">
              <w:rPr>
                <w:rFonts w:ascii="Times New Roman" w:hAnsi="Times New Roman" w:cs="Times New Roman"/>
              </w:rPr>
              <w:t>z dnia 12 lipca 2024 r.</w:t>
            </w:r>
            <w:r w:rsidRPr="004C497D">
              <w:rPr>
                <w:rFonts w:ascii="Times New Roman" w:hAnsi="Times New Roman" w:cs="Times New Roman"/>
              </w:rPr>
              <w:t xml:space="preserve"> </w:t>
            </w:r>
            <w:r w:rsidR="004C497D">
              <w:rPr>
                <w:rFonts w:ascii="Times New Roman" w:hAnsi="Times New Roman" w:cs="Times New Roman"/>
              </w:rPr>
              <w:sym w:font="Symbol" w:char="F02D"/>
            </w:r>
            <w:r w:rsidRPr="004C497D">
              <w:rPr>
                <w:rFonts w:ascii="Times New Roman" w:hAnsi="Times New Roman" w:cs="Times New Roman"/>
              </w:rPr>
              <w:t xml:space="preserve"> Prawo komunikacji elektronicznej </w:t>
            </w:r>
            <w:r w:rsidR="004C497D" w:rsidRPr="004C497D">
              <w:rPr>
                <w:rFonts w:ascii="Times New Roman" w:hAnsi="Times New Roman" w:cs="Times New Roman"/>
              </w:rPr>
              <w:t>(Dz. U. poz. 1221, z 2025 r. poz. 637 i 820 oraz z 2026 r. poz. 252</w:t>
            </w:r>
            <w:r w:rsidR="004C497D">
              <w:rPr>
                <w:rFonts w:ascii="Times New Roman" w:hAnsi="Times New Roman" w:cs="Times New Roman"/>
              </w:rPr>
              <w:t xml:space="preserve"> i 815</w:t>
            </w:r>
            <w:r w:rsidR="004C497D" w:rsidRPr="004C497D">
              <w:rPr>
                <w:rFonts w:ascii="Times New Roman" w:hAnsi="Times New Roman" w:cs="Times New Roman"/>
              </w:rPr>
              <w:t>)</w:t>
            </w:r>
            <w:r w:rsidR="00BF5B87">
              <w:rPr>
                <w:rFonts w:ascii="Times New Roman" w:hAnsi="Times New Roman" w:cs="Times New Roman"/>
              </w:rPr>
              <w:t>, zwanej dalej „</w:t>
            </w:r>
            <w:r w:rsidR="00FB6F7E">
              <w:rPr>
                <w:rFonts w:ascii="Times New Roman" w:hAnsi="Times New Roman" w:cs="Times New Roman"/>
              </w:rPr>
              <w:t>PKE</w:t>
            </w:r>
            <w:r w:rsidR="00BF5B87">
              <w:rPr>
                <w:rFonts w:ascii="Times New Roman" w:hAnsi="Times New Roman" w:cs="Times New Roman"/>
              </w:rPr>
              <w:t>”,</w:t>
            </w:r>
            <w:r w:rsidR="004C497D">
              <w:rPr>
                <w:rFonts w:ascii="Times New Roman" w:hAnsi="Times New Roman" w:cs="Times New Roman"/>
              </w:rPr>
              <w:t xml:space="preserve"> </w:t>
            </w:r>
            <w:r w:rsidR="0062294E" w:rsidRPr="004C497D">
              <w:rPr>
                <w:rFonts w:ascii="Times New Roman" w:hAnsi="Times New Roman" w:cs="Times New Roman"/>
              </w:rPr>
              <w:t>jednoznacznie definiuje czym są warunki dostępu i utrwalania</w:t>
            </w:r>
            <w:r w:rsidRPr="004C497D">
              <w:rPr>
                <w:rFonts w:ascii="Times New Roman" w:hAnsi="Times New Roman" w:cs="Times New Roman"/>
              </w:rPr>
              <w:t>, zgodnie z którym p</w:t>
            </w:r>
            <w:r w:rsidR="0062294E" w:rsidRPr="004C497D">
              <w:rPr>
                <w:rFonts w:ascii="Times New Roman" w:eastAsia="Helvetica" w:hAnsi="Times New Roman" w:cs="Times New Roman"/>
              </w:rPr>
              <w:t>rzedsiębiorca telekomunikacyjny, jest obowiązany do zapewnienia warunków technicznych i organizacyjnych dostępu i utrwalania, zwanych dalej „warunkami dostępu i utrwalania”, umożliwiających jednoczesne i wzajemnie niezależne uzyskiwanie przez Policję, Biuro Nadzoru Wewnętrznego, Straż Graniczną, Służbę Ochrony Państwa, Agencję Bezpieczeństwa Wewnętrznego, Służbę Kontrwywiadu Wojskowego, Żandarmerię Wojskową, Centralne Biuro Antykorupcyjne i Krajową Administrację Skarbową, zwane dalej „uprawnionymi podmiotami”, w sposób określony w ust. 8, dostępu do informacji przesyłanych lub powstałych w ramach świadczonej publicznie dostępnej usługi telekomunikacyjnej:</w:t>
            </w:r>
          </w:p>
          <w:p w14:paraId="1572D1B3" w14:textId="77777777" w:rsidR="0062294E" w:rsidRPr="004C497D" w:rsidRDefault="0062294E" w:rsidP="004C497D">
            <w:pPr>
              <w:ind w:left="41"/>
              <w:jc w:val="both"/>
              <w:rPr>
                <w:sz w:val="22"/>
                <w:szCs w:val="22"/>
              </w:rPr>
            </w:pPr>
            <w:r w:rsidRPr="004C497D">
              <w:rPr>
                <w:rFonts w:eastAsia="Helvetica"/>
                <w:sz w:val="22"/>
                <w:szCs w:val="22"/>
              </w:rPr>
              <w:t>- komunikatów elektronicznych przesyłanych w ramach świadczonej publicznie dostępnej usługi telekomunikacyjnej, nadawanych lub odbieranych przez użytkownika końcowego lub telekomunikacyjne urządzenie końcowe,</w:t>
            </w:r>
          </w:p>
          <w:p w14:paraId="70E38748" w14:textId="77777777" w:rsidR="0062294E" w:rsidRPr="004C497D" w:rsidRDefault="0062294E" w:rsidP="004C497D">
            <w:pPr>
              <w:ind w:left="41"/>
              <w:jc w:val="both"/>
              <w:rPr>
                <w:sz w:val="22"/>
                <w:szCs w:val="22"/>
              </w:rPr>
            </w:pPr>
            <w:r w:rsidRPr="004C497D">
              <w:rPr>
                <w:rFonts w:eastAsia="Helvetica"/>
                <w:sz w:val="22"/>
                <w:szCs w:val="22"/>
              </w:rPr>
              <w:t>- danych abonentów związanych z komunikatami elektronicznymi przesyłanymi w ramach świadczonej publicznie dostępnej usługi telekomunikacyjnej, obejmujących:</w:t>
            </w:r>
          </w:p>
          <w:p w14:paraId="63C9CB64" w14:textId="77777777" w:rsidR="0062294E" w:rsidRPr="004C497D" w:rsidRDefault="0062294E" w:rsidP="004C497D">
            <w:pPr>
              <w:ind w:left="41"/>
              <w:jc w:val="both"/>
              <w:rPr>
                <w:sz w:val="22"/>
                <w:szCs w:val="22"/>
              </w:rPr>
            </w:pPr>
            <w:r w:rsidRPr="004C497D">
              <w:rPr>
                <w:rFonts w:eastAsia="Helvetica"/>
                <w:sz w:val="22"/>
                <w:szCs w:val="22"/>
              </w:rPr>
              <w:t>- - dane, o których mowa w art. 296 ust. 1,</w:t>
            </w:r>
          </w:p>
          <w:p w14:paraId="4F8CAD71" w14:textId="5E20D016" w:rsidR="0062294E" w:rsidRPr="004C497D" w:rsidRDefault="0062294E" w:rsidP="004C497D">
            <w:pPr>
              <w:ind w:left="41"/>
              <w:jc w:val="both"/>
              <w:rPr>
                <w:sz w:val="22"/>
                <w:szCs w:val="22"/>
              </w:rPr>
            </w:pPr>
            <w:r w:rsidRPr="004C497D">
              <w:rPr>
                <w:rFonts w:eastAsia="Helvetica"/>
                <w:sz w:val="22"/>
                <w:szCs w:val="22"/>
              </w:rPr>
              <w:lastRenderedPageBreak/>
              <w:t>-- przydzielony numer, o ile został przydzielony, a w przypadku przyłączenia do stacjonarnej sieci telekomunikacyjnej także adres zakończenia sieci,</w:t>
            </w:r>
          </w:p>
          <w:p w14:paraId="62E6BA64" w14:textId="2BDBBE27" w:rsidR="0062294E" w:rsidRPr="004C497D" w:rsidRDefault="0062294E" w:rsidP="004C497D">
            <w:pPr>
              <w:ind w:left="41"/>
              <w:jc w:val="both"/>
              <w:rPr>
                <w:sz w:val="22"/>
                <w:szCs w:val="22"/>
              </w:rPr>
            </w:pPr>
            <w:r w:rsidRPr="004C497D">
              <w:rPr>
                <w:rFonts w:eastAsia="Helvetica"/>
                <w:sz w:val="22"/>
                <w:szCs w:val="22"/>
              </w:rPr>
              <w:t>-- adres korespondencyjny oraz adres wskazany na potrzeby komunikacji elektronicznej, o ile zostały przez abonenta podane,</w:t>
            </w:r>
          </w:p>
          <w:p w14:paraId="48896F36" w14:textId="77777777" w:rsidR="0062294E" w:rsidRPr="004C497D" w:rsidRDefault="0062294E" w:rsidP="004C497D">
            <w:pPr>
              <w:ind w:left="41"/>
              <w:jc w:val="both"/>
              <w:rPr>
                <w:sz w:val="22"/>
                <w:szCs w:val="22"/>
              </w:rPr>
            </w:pPr>
            <w:r w:rsidRPr="004C497D">
              <w:rPr>
                <w:rFonts w:eastAsia="Helvetica"/>
                <w:sz w:val="22"/>
                <w:szCs w:val="22"/>
              </w:rPr>
              <w:t>- danych, o których mowa w art. 386 ust. 1 pkt 1 i 3-5, związanych z komunikatami elektronicznymi przesyłanymi w ramach świadczonej publicznie dostępnej usługi telekomunikacyjnej,</w:t>
            </w:r>
          </w:p>
          <w:p w14:paraId="5B7C3F23" w14:textId="77777777" w:rsidR="0062294E" w:rsidRPr="004C497D" w:rsidRDefault="0062294E" w:rsidP="004C497D">
            <w:pPr>
              <w:ind w:left="41"/>
              <w:jc w:val="both"/>
              <w:rPr>
                <w:sz w:val="22"/>
                <w:szCs w:val="22"/>
              </w:rPr>
            </w:pPr>
            <w:r w:rsidRPr="004C497D">
              <w:rPr>
                <w:rFonts w:eastAsia="Helvetica"/>
                <w:sz w:val="22"/>
                <w:szCs w:val="22"/>
              </w:rPr>
              <w:t xml:space="preserve">- danych lokalizacyjnych, o których mowa w art. 386 ust. 1 pkt 3, powstających lub transmitowanych w publicznej sieci telekomunikacyjnej innego przedsiębiorcy telekomunikacyjnego w ramach </w:t>
            </w:r>
            <w:proofErr w:type="spellStart"/>
            <w:r w:rsidRPr="004C497D">
              <w:rPr>
                <w:rFonts w:eastAsia="Helvetica"/>
                <w:sz w:val="22"/>
                <w:szCs w:val="22"/>
              </w:rPr>
              <w:t>roamingu</w:t>
            </w:r>
            <w:proofErr w:type="spellEnd"/>
            <w:r w:rsidRPr="004C497D">
              <w:rPr>
                <w:rFonts w:eastAsia="Helvetica"/>
                <w:sz w:val="22"/>
                <w:szCs w:val="22"/>
              </w:rPr>
              <w:t xml:space="preserve"> krajowego, powstałych w związku ze świadczoną publicznie dostępną usługą telekomunikacyjną,</w:t>
            </w:r>
          </w:p>
          <w:p w14:paraId="13E26D32" w14:textId="00191AAB" w:rsidR="0062294E" w:rsidRPr="004C497D" w:rsidRDefault="0062294E" w:rsidP="004C497D">
            <w:pPr>
              <w:pStyle w:val="Bezodstpw"/>
              <w:jc w:val="both"/>
              <w:rPr>
                <w:rFonts w:ascii="Times New Roman" w:eastAsia="Helvetica" w:hAnsi="Times New Roman" w:cs="Times New Roman"/>
              </w:rPr>
            </w:pPr>
            <w:r w:rsidRPr="004C497D">
              <w:rPr>
                <w:rFonts w:ascii="Times New Roman" w:eastAsia="Helvetica" w:hAnsi="Times New Roman" w:cs="Times New Roman"/>
              </w:rPr>
              <w:t>- danych o lokalizacji, o których mowa w art. 386 ust. 1 pkt 4, w sposób zapewniający aktualną lokalizację urządzenia na terytorium Rzeczypospolitej Polskiej, bez względu na technologię świadczonej usługi, powstałych w związku ze świadczoną publicznie dostępną usługą telekomunikacyjną, niezwłocznie po otrzymaniu żądania uprawnionych podmiotów, przez okres wskazany w żądaniu następujący nie wcześniej niż po otrzymaniu żądania przez przedsiębiorcę telekomunikacyjnego.</w:t>
            </w:r>
          </w:p>
          <w:p w14:paraId="54D1209F" w14:textId="1F834BE2" w:rsidR="0062294E" w:rsidRPr="004C497D" w:rsidRDefault="0062294E" w:rsidP="004C497D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4C497D">
              <w:rPr>
                <w:rFonts w:ascii="Times New Roman" w:eastAsia="Helvetica" w:hAnsi="Times New Roman" w:cs="Times New Roman"/>
              </w:rPr>
              <w:t>Zapewnienie „warunków dostępu i utrwalania” odbywa się zgodnie z przepisami projektowanego rozporządzenia, np. poprzez stosowanie urządzeń przedsiębiorcy, o których mowa w § 4 ust. 1 projektu rozporządzenia.</w:t>
            </w:r>
          </w:p>
        </w:tc>
      </w:tr>
      <w:tr w:rsidR="00F30BF2" w:rsidRPr="004C497D" w14:paraId="082B0CF2" w14:textId="77777777" w:rsidTr="00C33E06">
        <w:tc>
          <w:tcPr>
            <w:tcW w:w="597" w:type="dxa"/>
            <w:tcBorders>
              <w:bottom w:val="single" w:sz="4" w:space="0" w:color="auto"/>
            </w:tcBorders>
          </w:tcPr>
          <w:p w14:paraId="6E734E4C" w14:textId="77777777" w:rsidR="00F30BF2" w:rsidRPr="004C497D" w:rsidRDefault="00F30BF2" w:rsidP="00C33E06">
            <w:pPr>
              <w:pStyle w:val="Bezodstpw"/>
              <w:numPr>
                <w:ilvl w:val="0"/>
                <w:numId w:val="2"/>
              </w:numPr>
              <w:ind w:left="171" w:hanging="17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14:paraId="588FA761" w14:textId="40F29E11" w:rsidR="00F30BF2" w:rsidRPr="004C497D" w:rsidRDefault="00F03FE6" w:rsidP="0088443B">
            <w:pPr>
              <w:pStyle w:val="Bezodstpw"/>
              <w:jc w:val="center"/>
              <w:rPr>
                <w:rFonts w:ascii="Times New Roman" w:hAnsi="Times New Roman" w:cs="Times New Roman"/>
              </w:rPr>
            </w:pPr>
            <w:r w:rsidRPr="004C497D">
              <w:rPr>
                <w:rFonts w:ascii="Times New Roman" w:hAnsi="Times New Roman" w:cs="Times New Roman"/>
              </w:rPr>
              <w:t>§ 11 ust. 5 pkt 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A151220" w14:textId="5CE3F895" w:rsidR="00F30BF2" w:rsidRPr="00A01734" w:rsidRDefault="00A01734" w:rsidP="0088443B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Prezes </w:t>
            </w:r>
            <w:r w:rsidR="00F03FE6" w:rsidRPr="00A01734">
              <w:rPr>
                <w:rFonts w:ascii="Times New Roman" w:hAnsi="Times New Roman" w:cs="Times New Roman"/>
                <w:b/>
                <w:bCs/>
              </w:rPr>
              <w:t>Urz</w:t>
            </w:r>
            <w:r>
              <w:rPr>
                <w:rFonts w:ascii="Times New Roman" w:hAnsi="Times New Roman" w:cs="Times New Roman"/>
                <w:b/>
                <w:bCs/>
              </w:rPr>
              <w:t>ę</w:t>
            </w:r>
            <w:r w:rsidR="00F03FE6" w:rsidRPr="00A01734">
              <w:rPr>
                <w:rFonts w:ascii="Times New Roman" w:hAnsi="Times New Roman" w:cs="Times New Roman"/>
                <w:b/>
                <w:bCs/>
              </w:rPr>
              <w:t>d</w:t>
            </w:r>
            <w:r>
              <w:rPr>
                <w:rFonts w:ascii="Times New Roman" w:hAnsi="Times New Roman" w:cs="Times New Roman"/>
                <w:b/>
                <w:bCs/>
              </w:rPr>
              <w:t>u</w:t>
            </w:r>
            <w:r w:rsidR="00F03FE6" w:rsidRPr="00A01734">
              <w:rPr>
                <w:rFonts w:ascii="Times New Roman" w:hAnsi="Times New Roman" w:cs="Times New Roman"/>
                <w:b/>
                <w:bCs/>
              </w:rPr>
              <w:t xml:space="preserve"> Ochrony Danych Osobowych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14:paraId="5AFF713F" w14:textId="2F307217" w:rsidR="00F30BF2" w:rsidRPr="004C497D" w:rsidRDefault="00F30BF2" w:rsidP="00227F6F">
            <w:pPr>
              <w:pStyle w:val="Bezodstpw"/>
              <w:spacing w:after="120"/>
              <w:jc w:val="both"/>
              <w:rPr>
                <w:rFonts w:ascii="Times New Roman" w:hAnsi="Times New Roman" w:cs="Times New Roman"/>
              </w:rPr>
            </w:pPr>
            <w:r w:rsidRPr="004C497D">
              <w:rPr>
                <w:rFonts w:ascii="Times New Roman" w:hAnsi="Times New Roman" w:cs="Times New Roman"/>
              </w:rPr>
              <w:t>Podobnie Prezes Urzędu Ochrony Danych Osobowych uznaje za istotne</w:t>
            </w:r>
            <w:r w:rsidR="00C105BD" w:rsidRPr="004C497D">
              <w:rPr>
                <w:rFonts w:ascii="Times New Roman" w:hAnsi="Times New Roman" w:cs="Times New Roman"/>
              </w:rPr>
              <w:t xml:space="preserve"> </w:t>
            </w:r>
            <w:r w:rsidRPr="004C497D">
              <w:rPr>
                <w:rFonts w:ascii="Times New Roman" w:hAnsi="Times New Roman" w:cs="Times New Roman"/>
                <w:b/>
                <w:bCs/>
              </w:rPr>
              <w:t xml:space="preserve">podtrzymać uwagę </w:t>
            </w:r>
            <w:r w:rsidRPr="004C497D">
              <w:rPr>
                <w:rFonts w:ascii="Times New Roman" w:hAnsi="Times New Roman" w:cs="Times New Roman"/>
              </w:rPr>
              <w:t>do projektowanego § 11 ust. 5 pkt 1 (w poprzedniej wersji projektu §</w:t>
            </w:r>
            <w:r w:rsidR="00C105BD" w:rsidRPr="004C497D">
              <w:rPr>
                <w:rFonts w:ascii="Times New Roman" w:hAnsi="Times New Roman" w:cs="Times New Roman"/>
              </w:rPr>
              <w:t xml:space="preserve"> </w:t>
            </w:r>
            <w:r w:rsidRPr="004C497D">
              <w:rPr>
                <w:rFonts w:ascii="Times New Roman" w:hAnsi="Times New Roman" w:cs="Times New Roman"/>
              </w:rPr>
              <w:t>11 ust. 4), dotyczącą uszczegółowienia wskazanego przepisu w zakresie sposobu</w:t>
            </w:r>
            <w:r w:rsidR="00C105BD" w:rsidRPr="004C497D">
              <w:rPr>
                <w:rFonts w:ascii="Times New Roman" w:hAnsi="Times New Roman" w:cs="Times New Roman"/>
              </w:rPr>
              <w:t xml:space="preserve"> </w:t>
            </w:r>
            <w:r w:rsidRPr="004C497D">
              <w:rPr>
                <w:rFonts w:ascii="Times New Roman" w:hAnsi="Times New Roman" w:cs="Times New Roman"/>
              </w:rPr>
              <w:t>odnotowania faktu udostępnienia upoważnionemu przedstawicielowi uprawnionego</w:t>
            </w:r>
            <w:r w:rsidR="00C105BD" w:rsidRPr="004C497D">
              <w:rPr>
                <w:rFonts w:ascii="Times New Roman" w:hAnsi="Times New Roman" w:cs="Times New Roman"/>
              </w:rPr>
              <w:t xml:space="preserve"> </w:t>
            </w:r>
            <w:r w:rsidRPr="004C497D">
              <w:rPr>
                <w:rFonts w:ascii="Times New Roman" w:hAnsi="Times New Roman" w:cs="Times New Roman"/>
              </w:rPr>
              <w:t>podmiotu, sądu lub prokuratora uzyskującego dane, rodzaju danych oraz czasu, w którym</w:t>
            </w:r>
            <w:r w:rsidR="00C105BD" w:rsidRPr="004C497D">
              <w:rPr>
                <w:rFonts w:ascii="Times New Roman" w:hAnsi="Times New Roman" w:cs="Times New Roman"/>
              </w:rPr>
              <w:t xml:space="preserve"> </w:t>
            </w:r>
            <w:r w:rsidRPr="004C497D">
              <w:rPr>
                <w:rFonts w:ascii="Times New Roman" w:hAnsi="Times New Roman" w:cs="Times New Roman"/>
              </w:rPr>
              <w:t>zostały uzyskane.</w:t>
            </w:r>
          </w:p>
          <w:p w14:paraId="73432F25" w14:textId="3990697C" w:rsidR="00F30BF2" w:rsidRPr="004C497D" w:rsidRDefault="00F30BF2" w:rsidP="00227F6F">
            <w:pPr>
              <w:pStyle w:val="Bezodstpw"/>
              <w:spacing w:after="120"/>
              <w:jc w:val="both"/>
              <w:rPr>
                <w:rFonts w:ascii="Times New Roman" w:hAnsi="Times New Roman" w:cs="Times New Roman"/>
              </w:rPr>
            </w:pPr>
            <w:r w:rsidRPr="004C497D">
              <w:rPr>
                <w:rFonts w:ascii="Times New Roman" w:hAnsi="Times New Roman" w:cs="Times New Roman"/>
              </w:rPr>
              <w:t>W związku z powyższą uwagą projektodawca wyjaśnił, że brak jest potrzeby</w:t>
            </w:r>
            <w:r w:rsidR="00C105BD" w:rsidRPr="004C497D">
              <w:rPr>
                <w:rFonts w:ascii="Times New Roman" w:hAnsi="Times New Roman" w:cs="Times New Roman"/>
              </w:rPr>
              <w:t xml:space="preserve"> </w:t>
            </w:r>
            <w:r w:rsidRPr="004C497D">
              <w:rPr>
                <w:rFonts w:ascii="Times New Roman" w:hAnsi="Times New Roman" w:cs="Times New Roman"/>
              </w:rPr>
              <w:t>uwzględnienia stanowiska organu nadzorczego, gdyż przepis ten kierowany jest nie do</w:t>
            </w:r>
            <w:r w:rsidR="00C105BD" w:rsidRPr="004C497D">
              <w:rPr>
                <w:rFonts w:ascii="Times New Roman" w:hAnsi="Times New Roman" w:cs="Times New Roman"/>
              </w:rPr>
              <w:t xml:space="preserve"> </w:t>
            </w:r>
            <w:r w:rsidRPr="004C497D">
              <w:rPr>
                <w:rFonts w:ascii="Times New Roman" w:hAnsi="Times New Roman" w:cs="Times New Roman"/>
              </w:rPr>
              <w:t>osoby dokonującej utrwalenia przekazów informacji, lecz do przedsiębiorców</w:t>
            </w:r>
            <w:r w:rsidR="00C105BD" w:rsidRPr="004C497D">
              <w:rPr>
                <w:rFonts w:ascii="Times New Roman" w:hAnsi="Times New Roman" w:cs="Times New Roman"/>
              </w:rPr>
              <w:t xml:space="preserve"> </w:t>
            </w:r>
            <w:r w:rsidRPr="004C497D">
              <w:rPr>
                <w:rFonts w:ascii="Times New Roman" w:hAnsi="Times New Roman" w:cs="Times New Roman"/>
              </w:rPr>
              <w:lastRenderedPageBreak/>
              <w:t>telekomunikacyjnych w celu przygotowania technicznych i organizacyjnych warunków</w:t>
            </w:r>
            <w:r w:rsidR="00C105BD" w:rsidRPr="004C497D">
              <w:rPr>
                <w:rFonts w:ascii="Times New Roman" w:hAnsi="Times New Roman" w:cs="Times New Roman"/>
              </w:rPr>
              <w:t xml:space="preserve"> </w:t>
            </w:r>
            <w:r w:rsidRPr="004C497D">
              <w:rPr>
                <w:rFonts w:ascii="Times New Roman" w:hAnsi="Times New Roman" w:cs="Times New Roman"/>
              </w:rPr>
              <w:t>udostępniania danych. W ocenie organu nadzorczego należy jednak zwrócić uwagę, że</w:t>
            </w:r>
            <w:r w:rsidR="00227F6F" w:rsidRPr="004C497D">
              <w:rPr>
                <w:rFonts w:ascii="Times New Roman" w:hAnsi="Times New Roman" w:cs="Times New Roman"/>
              </w:rPr>
              <w:t xml:space="preserve"> </w:t>
            </w:r>
            <w:r w:rsidRPr="004C497D">
              <w:rPr>
                <w:rFonts w:ascii="Times New Roman" w:hAnsi="Times New Roman" w:cs="Times New Roman"/>
              </w:rPr>
              <w:t>aby możliwe było spełnienie warunku, o którym mowa w § 11 ust. 4 projektu (w obecnej</w:t>
            </w:r>
            <w:r w:rsidR="00227F6F" w:rsidRPr="004C497D">
              <w:rPr>
                <w:rFonts w:ascii="Times New Roman" w:hAnsi="Times New Roman" w:cs="Times New Roman"/>
              </w:rPr>
              <w:t xml:space="preserve"> </w:t>
            </w:r>
            <w:r w:rsidRPr="004C497D">
              <w:rPr>
                <w:rFonts w:ascii="Times New Roman" w:hAnsi="Times New Roman" w:cs="Times New Roman"/>
              </w:rPr>
              <w:t>wersji projektu § 11 ust. 5 pkt 1), tj. ustalenie upoważnionego przedstawiciela</w:t>
            </w:r>
            <w:r w:rsidR="00227F6F" w:rsidRPr="004C497D">
              <w:rPr>
                <w:rFonts w:ascii="Times New Roman" w:hAnsi="Times New Roman" w:cs="Times New Roman"/>
              </w:rPr>
              <w:t xml:space="preserve"> </w:t>
            </w:r>
            <w:r w:rsidRPr="004C497D">
              <w:rPr>
                <w:rFonts w:ascii="Times New Roman" w:hAnsi="Times New Roman" w:cs="Times New Roman"/>
              </w:rPr>
              <w:t>uprawnionego podmiotu, sądu lub prokuratora uzyskującego dane, informacje o rodzaju</w:t>
            </w:r>
            <w:r w:rsidR="00227F6F" w:rsidRPr="004C497D">
              <w:rPr>
                <w:rFonts w:ascii="Times New Roman" w:hAnsi="Times New Roman" w:cs="Times New Roman"/>
              </w:rPr>
              <w:t xml:space="preserve"> </w:t>
            </w:r>
            <w:r w:rsidRPr="004C497D">
              <w:rPr>
                <w:rFonts w:ascii="Times New Roman" w:hAnsi="Times New Roman" w:cs="Times New Roman"/>
              </w:rPr>
              <w:t>danych oraz czasu, w którym zostały uzyskane, system teleinformatyczny, który ma</w:t>
            </w:r>
            <w:r w:rsidR="00227F6F" w:rsidRPr="004C497D">
              <w:rPr>
                <w:rFonts w:ascii="Times New Roman" w:hAnsi="Times New Roman" w:cs="Times New Roman"/>
              </w:rPr>
              <w:t xml:space="preserve"> </w:t>
            </w:r>
            <w:r w:rsidRPr="004C497D">
              <w:rPr>
                <w:rFonts w:ascii="Times New Roman" w:hAnsi="Times New Roman" w:cs="Times New Roman"/>
              </w:rPr>
              <w:t xml:space="preserve">przygotować przedsiębiorca powinien umożliwiać i </w:t>
            </w:r>
            <w:r w:rsidRPr="004C497D">
              <w:rPr>
                <w:rFonts w:ascii="Times New Roman" w:hAnsi="Times New Roman" w:cs="Times New Roman"/>
                <w:b/>
                <w:bCs/>
              </w:rPr>
              <w:t xml:space="preserve">niejako wymuszać </w:t>
            </w:r>
            <w:r w:rsidRPr="004C497D">
              <w:rPr>
                <w:rFonts w:ascii="Times New Roman" w:hAnsi="Times New Roman" w:cs="Times New Roman"/>
              </w:rPr>
              <w:t>od upoważnionego</w:t>
            </w:r>
            <w:r w:rsidR="00227F6F" w:rsidRPr="004C497D">
              <w:rPr>
                <w:rFonts w:ascii="Times New Roman" w:hAnsi="Times New Roman" w:cs="Times New Roman"/>
              </w:rPr>
              <w:t xml:space="preserve"> </w:t>
            </w:r>
            <w:r w:rsidRPr="004C497D">
              <w:rPr>
                <w:rFonts w:ascii="Times New Roman" w:hAnsi="Times New Roman" w:cs="Times New Roman"/>
              </w:rPr>
              <w:t>przedstawiciele uprawnionego podmiotu, sądu lub prokuratury wprowadzenia informacji,</w:t>
            </w:r>
            <w:r w:rsidR="00227F6F" w:rsidRPr="004C497D">
              <w:rPr>
                <w:rFonts w:ascii="Times New Roman" w:hAnsi="Times New Roman" w:cs="Times New Roman"/>
              </w:rPr>
              <w:t xml:space="preserve"> </w:t>
            </w:r>
            <w:r w:rsidRPr="004C497D">
              <w:rPr>
                <w:rFonts w:ascii="Times New Roman" w:hAnsi="Times New Roman" w:cs="Times New Roman"/>
              </w:rPr>
              <w:t>które posłużą do ustalenia danych, o których mowa w § 11 ust. 4 projektu (w obecnej</w:t>
            </w:r>
            <w:r w:rsidR="00227F6F" w:rsidRPr="004C497D">
              <w:rPr>
                <w:rFonts w:ascii="Times New Roman" w:hAnsi="Times New Roman" w:cs="Times New Roman"/>
              </w:rPr>
              <w:t xml:space="preserve"> </w:t>
            </w:r>
            <w:r w:rsidRPr="004C497D">
              <w:rPr>
                <w:rFonts w:ascii="Times New Roman" w:hAnsi="Times New Roman" w:cs="Times New Roman"/>
              </w:rPr>
              <w:t>wersji projektu § 11 ust. 5 pkt 1), przed ich udostępnieniem przez system. Ponadto,</w:t>
            </w:r>
            <w:r w:rsidR="00227F6F" w:rsidRPr="004C497D">
              <w:rPr>
                <w:rFonts w:ascii="Times New Roman" w:hAnsi="Times New Roman" w:cs="Times New Roman"/>
              </w:rPr>
              <w:t xml:space="preserve"> </w:t>
            </w:r>
            <w:r w:rsidRPr="004C497D">
              <w:rPr>
                <w:rFonts w:ascii="Times New Roman" w:hAnsi="Times New Roman" w:cs="Times New Roman"/>
              </w:rPr>
              <w:t>przedsiębiorca telekomunikacyjny na swój sposób może zinterpretować i zaprogramować</w:t>
            </w:r>
            <w:r w:rsidR="00227F6F" w:rsidRPr="004C497D">
              <w:rPr>
                <w:rFonts w:ascii="Times New Roman" w:hAnsi="Times New Roman" w:cs="Times New Roman"/>
              </w:rPr>
              <w:t xml:space="preserve"> </w:t>
            </w:r>
            <w:r w:rsidRPr="004C497D">
              <w:rPr>
                <w:rFonts w:ascii="Times New Roman" w:hAnsi="Times New Roman" w:cs="Times New Roman"/>
              </w:rPr>
              <w:t>warunki jakie powinny być spełnione, aby możliwe było ustalenie upoważnionego</w:t>
            </w:r>
            <w:r w:rsidR="00227F6F" w:rsidRPr="004C497D">
              <w:rPr>
                <w:rFonts w:ascii="Times New Roman" w:hAnsi="Times New Roman" w:cs="Times New Roman"/>
              </w:rPr>
              <w:t xml:space="preserve"> </w:t>
            </w:r>
            <w:r w:rsidRPr="004C497D">
              <w:rPr>
                <w:rFonts w:ascii="Times New Roman" w:hAnsi="Times New Roman" w:cs="Times New Roman"/>
              </w:rPr>
              <w:t>przedstawiciela rodzaj, zakres oraz czas pozyskania danych. Przy obecnym brzmieniu rozporządzenia brak jest jednoznacznych informacji dla przedsiębiorcy</w:t>
            </w:r>
            <w:r w:rsidR="00227F6F" w:rsidRPr="004C497D">
              <w:rPr>
                <w:rFonts w:ascii="Times New Roman" w:hAnsi="Times New Roman" w:cs="Times New Roman"/>
              </w:rPr>
              <w:t xml:space="preserve"> </w:t>
            </w:r>
            <w:r w:rsidRPr="004C497D">
              <w:rPr>
                <w:rFonts w:ascii="Times New Roman" w:hAnsi="Times New Roman" w:cs="Times New Roman"/>
              </w:rPr>
              <w:t>telekomunikacyjnego dotyczących zakresu danych, które powinien odnotować o</w:t>
            </w:r>
            <w:r w:rsidR="00227F6F" w:rsidRPr="004C497D">
              <w:rPr>
                <w:rFonts w:ascii="Times New Roman" w:hAnsi="Times New Roman" w:cs="Times New Roman"/>
              </w:rPr>
              <w:t xml:space="preserve"> </w:t>
            </w:r>
            <w:r w:rsidRPr="004C497D">
              <w:rPr>
                <w:rFonts w:ascii="Times New Roman" w:hAnsi="Times New Roman" w:cs="Times New Roman"/>
              </w:rPr>
              <w:t>upoważnionym przedstawicielu, któremu ma udostępnić dane i w jakim zakresie, aby</w:t>
            </w:r>
            <w:r w:rsidR="00227F6F" w:rsidRPr="004C497D">
              <w:rPr>
                <w:rFonts w:ascii="Times New Roman" w:hAnsi="Times New Roman" w:cs="Times New Roman"/>
              </w:rPr>
              <w:t xml:space="preserve"> </w:t>
            </w:r>
            <w:r w:rsidRPr="004C497D">
              <w:rPr>
                <w:rFonts w:ascii="Times New Roman" w:hAnsi="Times New Roman" w:cs="Times New Roman"/>
              </w:rPr>
              <w:t>warunek możliwości ustalenia danych, o których mowa w § 11 ust. 4 projektu (w obecnej</w:t>
            </w:r>
            <w:r w:rsidR="00227F6F" w:rsidRPr="004C497D">
              <w:rPr>
                <w:rFonts w:ascii="Times New Roman" w:hAnsi="Times New Roman" w:cs="Times New Roman"/>
              </w:rPr>
              <w:t xml:space="preserve"> </w:t>
            </w:r>
            <w:r w:rsidRPr="004C497D">
              <w:rPr>
                <w:rFonts w:ascii="Times New Roman" w:hAnsi="Times New Roman" w:cs="Times New Roman"/>
              </w:rPr>
              <w:t>wersji projektu § 11 ust. 5 pkt 1), był możliwy do realizacji w przygotowanym przez</w:t>
            </w:r>
            <w:r w:rsidR="00227F6F" w:rsidRPr="004C497D">
              <w:rPr>
                <w:rFonts w:ascii="Times New Roman" w:hAnsi="Times New Roman" w:cs="Times New Roman"/>
              </w:rPr>
              <w:t xml:space="preserve"> </w:t>
            </w:r>
            <w:r w:rsidRPr="004C497D">
              <w:rPr>
                <w:rFonts w:ascii="Times New Roman" w:hAnsi="Times New Roman" w:cs="Times New Roman"/>
              </w:rPr>
              <w:t>przedsiębiorcę systemie i tym samym spełniony był warunek zapewnienia pełnej</w:t>
            </w:r>
            <w:r w:rsidR="00227F6F" w:rsidRPr="004C497D">
              <w:rPr>
                <w:rFonts w:ascii="Times New Roman" w:hAnsi="Times New Roman" w:cs="Times New Roman"/>
              </w:rPr>
              <w:t xml:space="preserve"> </w:t>
            </w:r>
            <w:r w:rsidRPr="004C497D">
              <w:rPr>
                <w:rFonts w:ascii="Times New Roman" w:hAnsi="Times New Roman" w:cs="Times New Roman"/>
              </w:rPr>
              <w:t>rozliczalności (art. 5 ust. 2 rozporządzeniu 2016/679).</w:t>
            </w:r>
          </w:p>
          <w:p w14:paraId="0CF461D0" w14:textId="3064ACCB" w:rsidR="00F30BF2" w:rsidRPr="004C497D" w:rsidRDefault="00F30BF2" w:rsidP="00227F6F">
            <w:pPr>
              <w:pStyle w:val="Bezodstpw"/>
              <w:spacing w:after="120"/>
              <w:jc w:val="both"/>
              <w:rPr>
                <w:rFonts w:ascii="Times New Roman" w:hAnsi="Times New Roman" w:cs="Times New Roman"/>
              </w:rPr>
            </w:pPr>
            <w:r w:rsidRPr="004C497D">
              <w:rPr>
                <w:rFonts w:ascii="Times New Roman" w:hAnsi="Times New Roman" w:cs="Times New Roman"/>
              </w:rPr>
              <w:t>Przepis § 11 ust. 4 projektu (w obecnej wersji projektu § 11 ust. 5 pkt 1), jak</w:t>
            </w:r>
            <w:r w:rsidR="00227F6F" w:rsidRPr="004C497D">
              <w:rPr>
                <w:rFonts w:ascii="Times New Roman" w:hAnsi="Times New Roman" w:cs="Times New Roman"/>
              </w:rPr>
              <w:t xml:space="preserve"> </w:t>
            </w:r>
            <w:r w:rsidRPr="004C497D">
              <w:rPr>
                <w:rFonts w:ascii="Times New Roman" w:hAnsi="Times New Roman" w:cs="Times New Roman"/>
              </w:rPr>
              <w:t>słusznie zauważono w wyjaśnieniu do przedstawionej uwagi, nie jest skierowany do</w:t>
            </w:r>
            <w:r w:rsidR="00227F6F" w:rsidRPr="004C497D">
              <w:rPr>
                <w:rFonts w:ascii="Times New Roman" w:hAnsi="Times New Roman" w:cs="Times New Roman"/>
              </w:rPr>
              <w:t xml:space="preserve"> </w:t>
            </w:r>
            <w:r w:rsidRPr="004C497D">
              <w:rPr>
                <w:rFonts w:ascii="Times New Roman" w:hAnsi="Times New Roman" w:cs="Times New Roman"/>
              </w:rPr>
              <w:t>przedstawiciela uprawnionego podmiotu, który będzie pozyskiwał dane, ale do</w:t>
            </w:r>
            <w:r w:rsidR="00227F6F" w:rsidRPr="004C497D">
              <w:rPr>
                <w:rFonts w:ascii="Times New Roman" w:hAnsi="Times New Roman" w:cs="Times New Roman"/>
              </w:rPr>
              <w:t xml:space="preserve"> </w:t>
            </w:r>
            <w:r w:rsidRPr="004C497D">
              <w:rPr>
                <w:rFonts w:ascii="Times New Roman" w:hAnsi="Times New Roman" w:cs="Times New Roman"/>
              </w:rPr>
              <w:t>przedsiębiorcy telekomunikacyjnego, który powinien zapewnić, aby przed uzyskaniem</w:t>
            </w:r>
            <w:r w:rsidR="00227F6F" w:rsidRPr="004C497D">
              <w:rPr>
                <w:rFonts w:ascii="Times New Roman" w:hAnsi="Times New Roman" w:cs="Times New Roman"/>
              </w:rPr>
              <w:t xml:space="preserve"> </w:t>
            </w:r>
            <w:r w:rsidRPr="004C497D">
              <w:rPr>
                <w:rFonts w:ascii="Times New Roman" w:hAnsi="Times New Roman" w:cs="Times New Roman"/>
              </w:rPr>
              <w:t>właściwych informacji upoważniony przedstawiciel zobowiązany był do wprowadzenia</w:t>
            </w:r>
            <w:r w:rsidR="00227F6F" w:rsidRPr="004C497D">
              <w:rPr>
                <w:rFonts w:ascii="Times New Roman" w:hAnsi="Times New Roman" w:cs="Times New Roman"/>
              </w:rPr>
              <w:t xml:space="preserve"> </w:t>
            </w:r>
            <w:r w:rsidRPr="004C497D">
              <w:rPr>
                <w:rFonts w:ascii="Times New Roman" w:hAnsi="Times New Roman" w:cs="Times New Roman"/>
              </w:rPr>
              <w:t>danych, które zapewnią, że warunek, o którym mowa w § 11 ust. 4 projektu (w obecnej</w:t>
            </w:r>
            <w:r w:rsidR="00227F6F" w:rsidRPr="004C497D">
              <w:rPr>
                <w:rFonts w:ascii="Times New Roman" w:hAnsi="Times New Roman" w:cs="Times New Roman"/>
              </w:rPr>
              <w:t xml:space="preserve"> </w:t>
            </w:r>
            <w:r w:rsidRPr="004C497D">
              <w:rPr>
                <w:rFonts w:ascii="Times New Roman" w:hAnsi="Times New Roman" w:cs="Times New Roman"/>
              </w:rPr>
              <w:t>wersji projektu § 11 ust. 5 pkt 1), będzie spełniony. Przedmiotowe rozporządzenie</w:t>
            </w:r>
            <w:r w:rsidR="00227F6F" w:rsidRPr="004C497D">
              <w:rPr>
                <w:rFonts w:ascii="Times New Roman" w:hAnsi="Times New Roman" w:cs="Times New Roman"/>
              </w:rPr>
              <w:t xml:space="preserve"> </w:t>
            </w:r>
            <w:r w:rsidRPr="004C497D">
              <w:rPr>
                <w:rFonts w:ascii="Times New Roman" w:hAnsi="Times New Roman" w:cs="Times New Roman"/>
              </w:rPr>
              <w:t>powinno zatem wskazywać wprost jakie dane powinny być możliwe do odnotowania w</w:t>
            </w:r>
            <w:r w:rsidR="00227F6F" w:rsidRPr="004C497D">
              <w:rPr>
                <w:rFonts w:ascii="Times New Roman" w:hAnsi="Times New Roman" w:cs="Times New Roman"/>
              </w:rPr>
              <w:t xml:space="preserve"> </w:t>
            </w:r>
            <w:r w:rsidRPr="004C497D">
              <w:rPr>
                <w:rFonts w:ascii="Times New Roman" w:hAnsi="Times New Roman" w:cs="Times New Roman"/>
              </w:rPr>
              <w:t xml:space="preserve">systemie i wymagane od upoważnionego </w:t>
            </w:r>
            <w:r w:rsidRPr="004C497D">
              <w:rPr>
                <w:rFonts w:ascii="Times New Roman" w:hAnsi="Times New Roman" w:cs="Times New Roman"/>
              </w:rPr>
              <w:lastRenderedPageBreak/>
              <w:t>przedstawiciela do wprowadzenia, aby ten mógł</w:t>
            </w:r>
            <w:r w:rsidR="00227F6F" w:rsidRPr="004C497D">
              <w:rPr>
                <w:rFonts w:ascii="Times New Roman" w:hAnsi="Times New Roman" w:cs="Times New Roman"/>
              </w:rPr>
              <w:t xml:space="preserve"> </w:t>
            </w:r>
            <w:r w:rsidRPr="004C497D">
              <w:rPr>
                <w:rFonts w:ascii="Times New Roman" w:hAnsi="Times New Roman" w:cs="Times New Roman"/>
              </w:rPr>
              <w:t>udostępnić wymagane dane.</w:t>
            </w:r>
          </w:p>
          <w:p w14:paraId="35651FF4" w14:textId="438C29AF" w:rsidR="00F30BF2" w:rsidRPr="004C497D" w:rsidRDefault="00F30BF2" w:rsidP="00227F6F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4C497D">
              <w:rPr>
                <w:rFonts w:ascii="Times New Roman" w:hAnsi="Times New Roman" w:cs="Times New Roman"/>
              </w:rPr>
              <w:t>W ocenie organu nadzorczego uzupełnienie projektu rozporządzenia w</w:t>
            </w:r>
            <w:r w:rsidR="00227F6F" w:rsidRPr="004C497D">
              <w:rPr>
                <w:rFonts w:ascii="Times New Roman" w:hAnsi="Times New Roman" w:cs="Times New Roman"/>
              </w:rPr>
              <w:t xml:space="preserve"> </w:t>
            </w:r>
            <w:r w:rsidRPr="004C497D">
              <w:rPr>
                <w:rFonts w:ascii="Times New Roman" w:hAnsi="Times New Roman" w:cs="Times New Roman"/>
              </w:rPr>
              <w:t>powyższym zakresie jest istotne ze względu na potrzebę zapewnienia realizacji</w:t>
            </w:r>
            <w:r w:rsidR="00227F6F" w:rsidRPr="004C497D">
              <w:rPr>
                <w:rFonts w:ascii="Times New Roman" w:hAnsi="Times New Roman" w:cs="Times New Roman"/>
              </w:rPr>
              <w:t xml:space="preserve"> </w:t>
            </w:r>
            <w:r w:rsidRPr="004C497D">
              <w:rPr>
                <w:rFonts w:ascii="Times New Roman" w:hAnsi="Times New Roman" w:cs="Times New Roman"/>
              </w:rPr>
              <w:t>zasady przejrzystości oraz zasady rozliczalności zawartych w rozporządzeniu</w:t>
            </w:r>
            <w:r w:rsidR="00227F6F" w:rsidRPr="004C497D">
              <w:rPr>
                <w:rFonts w:ascii="Times New Roman" w:hAnsi="Times New Roman" w:cs="Times New Roman"/>
              </w:rPr>
              <w:t xml:space="preserve"> </w:t>
            </w:r>
            <w:r w:rsidRPr="004C497D">
              <w:rPr>
                <w:rFonts w:ascii="Times New Roman" w:hAnsi="Times New Roman" w:cs="Times New Roman"/>
              </w:rPr>
              <w:t>2016/679.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14:paraId="73FBE541" w14:textId="77777777" w:rsidR="00F30BF2" w:rsidRPr="004C497D" w:rsidRDefault="00595DE1" w:rsidP="00595DE1">
            <w:pPr>
              <w:pStyle w:val="Bezodstpw"/>
              <w:spacing w:after="120"/>
              <w:rPr>
                <w:rFonts w:ascii="Times New Roman" w:hAnsi="Times New Roman" w:cs="Times New Roman"/>
                <w:b/>
                <w:bCs/>
              </w:rPr>
            </w:pPr>
            <w:r w:rsidRPr="004C497D">
              <w:rPr>
                <w:rFonts w:ascii="Times New Roman" w:hAnsi="Times New Roman" w:cs="Times New Roman"/>
                <w:b/>
                <w:bCs/>
              </w:rPr>
              <w:lastRenderedPageBreak/>
              <w:t>Uwaga nieuwzględniona</w:t>
            </w:r>
          </w:p>
          <w:p w14:paraId="2196DE42" w14:textId="3B37FE42" w:rsidR="00595DE1" w:rsidRPr="004C497D" w:rsidRDefault="00595DE1" w:rsidP="004C497D">
            <w:pPr>
              <w:ind w:left="-15"/>
              <w:jc w:val="both"/>
              <w:rPr>
                <w:sz w:val="22"/>
                <w:szCs w:val="22"/>
              </w:rPr>
            </w:pPr>
            <w:r w:rsidRPr="004C497D">
              <w:rPr>
                <w:rFonts w:eastAsia="Calibri"/>
                <w:sz w:val="22"/>
                <w:szCs w:val="22"/>
              </w:rPr>
              <w:t>Obowiązek</w:t>
            </w:r>
            <w:r w:rsidRPr="004C497D">
              <w:rPr>
                <w:sz w:val="22"/>
                <w:szCs w:val="22"/>
              </w:rPr>
              <w:t xml:space="preserve"> </w:t>
            </w:r>
            <w:r w:rsidRPr="004C497D">
              <w:rPr>
                <w:rFonts w:eastAsia="Calibri"/>
                <w:sz w:val="22"/>
                <w:szCs w:val="22"/>
              </w:rPr>
              <w:t>określony</w:t>
            </w:r>
            <w:r w:rsidRPr="004C497D">
              <w:rPr>
                <w:sz w:val="22"/>
                <w:szCs w:val="22"/>
              </w:rPr>
              <w:t xml:space="preserve"> w § 11 ust. 5 pkt 1 projektowanego </w:t>
            </w:r>
            <w:r w:rsidRPr="004C497D">
              <w:rPr>
                <w:rFonts w:eastAsia="Calibri"/>
                <w:sz w:val="22"/>
                <w:szCs w:val="22"/>
              </w:rPr>
              <w:t>rozporządzenia</w:t>
            </w:r>
            <w:r w:rsidRPr="004C497D">
              <w:rPr>
                <w:sz w:val="22"/>
                <w:szCs w:val="22"/>
              </w:rPr>
              <w:t xml:space="preserve"> w swojej </w:t>
            </w:r>
            <w:r w:rsidRPr="004C497D">
              <w:rPr>
                <w:rFonts w:eastAsia="Calibri"/>
                <w:sz w:val="22"/>
                <w:szCs w:val="22"/>
              </w:rPr>
              <w:t>treści</w:t>
            </w:r>
            <w:r w:rsidRPr="004C497D">
              <w:rPr>
                <w:sz w:val="22"/>
                <w:szCs w:val="22"/>
              </w:rPr>
              <w:t xml:space="preserve"> </w:t>
            </w:r>
            <w:r w:rsidRPr="004C497D">
              <w:rPr>
                <w:rFonts w:eastAsia="Calibri"/>
                <w:sz w:val="22"/>
                <w:szCs w:val="22"/>
              </w:rPr>
              <w:t>odsyła</w:t>
            </w:r>
            <w:r w:rsidRPr="004C497D">
              <w:rPr>
                <w:sz w:val="22"/>
                <w:szCs w:val="22"/>
              </w:rPr>
              <w:t xml:space="preserve"> do ust. 1</w:t>
            </w:r>
            <w:r w:rsidR="004C497D">
              <w:rPr>
                <w:sz w:val="22"/>
                <w:szCs w:val="22"/>
              </w:rPr>
              <w:t>,</w:t>
            </w:r>
            <w:r w:rsidRPr="004C497D">
              <w:rPr>
                <w:sz w:val="22"/>
                <w:szCs w:val="22"/>
              </w:rPr>
              <w:t xml:space="preserve"> który stanowi, </w:t>
            </w:r>
            <w:r w:rsidRPr="004C497D">
              <w:rPr>
                <w:rFonts w:eastAsia="Calibri"/>
                <w:sz w:val="22"/>
                <w:szCs w:val="22"/>
              </w:rPr>
              <w:t>że:</w:t>
            </w:r>
          </w:p>
          <w:p w14:paraId="33D95654" w14:textId="2E5CAB40" w:rsidR="00595DE1" w:rsidRPr="004C497D" w:rsidRDefault="00595DE1" w:rsidP="004C497D">
            <w:pPr>
              <w:ind w:left="-15"/>
              <w:jc w:val="both"/>
              <w:rPr>
                <w:sz w:val="22"/>
                <w:szCs w:val="22"/>
              </w:rPr>
            </w:pPr>
            <w:r w:rsidRPr="004C497D">
              <w:rPr>
                <w:rFonts w:eastAsia="Calibri"/>
                <w:i/>
                <w:sz w:val="22"/>
                <w:szCs w:val="22"/>
              </w:rPr>
              <w:t>„§ 11. 1. Przedsiębiorca telekomunikacyjny przygotowuje techniczne i organizacyjne warunki udostępniania danych, o</w:t>
            </w:r>
            <w:r w:rsidR="00D84AD7">
              <w:rPr>
                <w:rFonts w:eastAsia="Calibri"/>
                <w:i/>
                <w:sz w:val="22"/>
                <w:szCs w:val="22"/>
              </w:rPr>
              <w:t> </w:t>
            </w:r>
            <w:r w:rsidRPr="004C497D">
              <w:rPr>
                <w:rFonts w:eastAsia="Calibri"/>
                <w:i/>
                <w:sz w:val="22"/>
                <w:szCs w:val="22"/>
              </w:rPr>
              <w:t>których mowa w art. 45 ust. 1 ustawy, oraz udostępnia te dane w uzgodniony sposób:</w:t>
            </w:r>
          </w:p>
          <w:p w14:paraId="33D1B1E1" w14:textId="77777777" w:rsidR="00595DE1" w:rsidRPr="004C497D" w:rsidRDefault="00595DE1" w:rsidP="004C497D">
            <w:pPr>
              <w:numPr>
                <w:ilvl w:val="0"/>
                <w:numId w:val="6"/>
              </w:numPr>
              <w:ind w:left="459" w:hanging="284"/>
              <w:jc w:val="both"/>
              <w:rPr>
                <w:sz w:val="22"/>
                <w:szCs w:val="22"/>
              </w:rPr>
            </w:pPr>
            <w:r w:rsidRPr="004C497D">
              <w:rPr>
                <w:rFonts w:eastAsia="Calibri"/>
                <w:i/>
                <w:sz w:val="22"/>
                <w:szCs w:val="22"/>
              </w:rPr>
              <w:t>za pomocą interfejsu III A-B albo</w:t>
            </w:r>
          </w:p>
          <w:p w14:paraId="0EA1C4A8" w14:textId="77777777" w:rsidR="00595DE1" w:rsidRPr="004C497D" w:rsidRDefault="00595DE1" w:rsidP="004C497D">
            <w:pPr>
              <w:numPr>
                <w:ilvl w:val="0"/>
                <w:numId w:val="6"/>
              </w:numPr>
              <w:ind w:left="459" w:hanging="284"/>
              <w:jc w:val="both"/>
              <w:rPr>
                <w:sz w:val="22"/>
                <w:szCs w:val="22"/>
              </w:rPr>
            </w:pPr>
            <w:r w:rsidRPr="004C497D">
              <w:rPr>
                <w:rFonts w:eastAsia="Calibri"/>
                <w:i/>
                <w:sz w:val="22"/>
                <w:szCs w:val="22"/>
              </w:rPr>
              <w:t>za pomocy sieci telekomunikacyjnej albo</w:t>
            </w:r>
          </w:p>
          <w:p w14:paraId="6F02122F" w14:textId="77777777" w:rsidR="00595DE1" w:rsidRPr="004C497D" w:rsidRDefault="00595DE1" w:rsidP="004C497D">
            <w:pPr>
              <w:numPr>
                <w:ilvl w:val="0"/>
                <w:numId w:val="6"/>
              </w:numPr>
              <w:ind w:left="459" w:hanging="284"/>
              <w:jc w:val="both"/>
              <w:rPr>
                <w:sz w:val="22"/>
                <w:szCs w:val="22"/>
              </w:rPr>
            </w:pPr>
            <w:r w:rsidRPr="004C497D">
              <w:rPr>
                <w:rFonts w:eastAsia="Calibri"/>
                <w:i/>
                <w:sz w:val="22"/>
                <w:szCs w:val="22"/>
              </w:rPr>
              <w:t>korespondencyjnie albo</w:t>
            </w:r>
          </w:p>
          <w:p w14:paraId="3D8074E8" w14:textId="342270E2" w:rsidR="00595DE1" w:rsidRPr="004C497D" w:rsidRDefault="00595DE1" w:rsidP="004C497D">
            <w:pPr>
              <w:numPr>
                <w:ilvl w:val="0"/>
                <w:numId w:val="6"/>
              </w:numPr>
              <w:ind w:left="459" w:hanging="284"/>
              <w:jc w:val="both"/>
              <w:rPr>
                <w:sz w:val="22"/>
                <w:szCs w:val="22"/>
              </w:rPr>
            </w:pPr>
            <w:r w:rsidRPr="004C497D">
              <w:rPr>
                <w:rFonts w:eastAsia="Calibri"/>
                <w:i/>
                <w:sz w:val="22"/>
                <w:szCs w:val="22"/>
              </w:rPr>
              <w:lastRenderedPageBreak/>
              <w:t>przez osobisty odbiór danych u przedsiębiorcy telekomunikacyjnego przez pisemnie upoważnionego przedstawiciela uprawnionego podmiotu, sądu lub prokuratora.”</w:t>
            </w:r>
            <w:r w:rsidR="00D84AD7">
              <w:rPr>
                <w:rFonts w:eastAsia="Calibri"/>
                <w:i/>
                <w:sz w:val="22"/>
                <w:szCs w:val="22"/>
              </w:rPr>
              <w:t>.</w:t>
            </w:r>
            <w:r w:rsidRPr="004C497D">
              <w:rPr>
                <w:rFonts w:eastAsia="Calibri"/>
                <w:i/>
                <w:sz w:val="22"/>
                <w:szCs w:val="22"/>
              </w:rPr>
              <w:t xml:space="preserve"> </w:t>
            </w:r>
          </w:p>
          <w:p w14:paraId="0411CE6A" w14:textId="079CEB98" w:rsidR="00595DE1" w:rsidRPr="004C497D" w:rsidRDefault="00496680" w:rsidP="004C497D">
            <w:pPr>
              <w:ind w:left="-15"/>
              <w:jc w:val="both"/>
              <w:rPr>
                <w:sz w:val="22"/>
                <w:szCs w:val="22"/>
              </w:rPr>
            </w:pPr>
            <w:r w:rsidRPr="004C497D">
              <w:rPr>
                <w:sz w:val="22"/>
                <w:szCs w:val="22"/>
              </w:rPr>
              <w:t>W powyższym</w:t>
            </w:r>
            <w:r w:rsidR="00595DE1" w:rsidRPr="004C497D">
              <w:rPr>
                <w:sz w:val="22"/>
                <w:szCs w:val="22"/>
              </w:rPr>
              <w:t xml:space="preserve"> przepisie </w:t>
            </w:r>
            <w:r w:rsidR="00595DE1" w:rsidRPr="004C497D">
              <w:rPr>
                <w:rFonts w:eastAsia="Calibri"/>
                <w:sz w:val="22"/>
                <w:szCs w:val="22"/>
              </w:rPr>
              <w:t>określono</w:t>
            </w:r>
            <w:r w:rsidR="00595DE1" w:rsidRPr="004C497D">
              <w:rPr>
                <w:sz w:val="22"/>
                <w:szCs w:val="22"/>
              </w:rPr>
              <w:t xml:space="preserve"> cztery alternatywne sposoby przekazywania danych, o których mowa w art. 45 ust. 1 </w:t>
            </w:r>
            <w:r w:rsidR="00FB6F7E">
              <w:rPr>
                <w:sz w:val="22"/>
                <w:szCs w:val="22"/>
              </w:rPr>
              <w:t>PKE</w:t>
            </w:r>
            <w:r w:rsidR="00595DE1" w:rsidRPr="004C497D">
              <w:rPr>
                <w:sz w:val="22"/>
                <w:szCs w:val="22"/>
              </w:rPr>
              <w:t>.</w:t>
            </w:r>
          </w:p>
          <w:p w14:paraId="3A285BBA" w14:textId="11D2F538" w:rsidR="00595DE1" w:rsidRPr="004C497D" w:rsidRDefault="00496680" w:rsidP="004C497D">
            <w:pPr>
              <w:ind w:left="-15"/>
              <w:jc w:val="both"/>
              <w:rPr>
                <w:sz w:val="22"/>
                <w:szCs w:val="22"/>
              </w:rPr>
            </w:pPr>
            <w:r w:rsidRPr="004C497D">
              <w:rPr>
                <w:sz w:val="22"/>
                <w:szCs w:val="22"/>
              </w:rPr>
              <w:t>W uwadze</w:t>
            </w:r>
            <w:r w:rsidR="00595DE1" w:rsidRPr="004C497D">
              <w:rPr>
                <w:sz w:val="22"/>
                <w:szCs w:val="22"/>
              </w:rPr>
              <w:t xml:space="preserve"> Prezes </w:t>
            </w:r>
            <w:r w:rsidR="00595DE1" w:rsidRPr="004C497D">
              <w:rPr>
                <w:rFonts w:eastAsia="Calibri"/>
                <w:sz w:val="22"/>
                <w:szCs w:val="22"/>
              </w:rPr>
              <w:t>Urzędu</w:t>
            </w:r>
            <w:r w:rsidR="00595DE1" w:rsidRPr="004C497D">
              <w:rPr>
                <w:sz w:val="22"/>
                <w:szCs w:val="22"/>
              </w:rPr>
              <w:t xml:space="preserve"> Ochrony Danych Osobowych </w:t>
            </w:r>
            <w:r w:rsidR="00595DE1" w:rsidRPr="004C497D">
              <w:rPr>
                <w:rFonts w:eastAsia="Calibri"/>
                <w:sz w:val="22"/>
                <w:szCs w:val="22"/>
              </w:rPr>
              <w:t>stwierdził,</w:t>
            </w:r>
            <w:r w:rsidR="00595DE1" w:rsidRPr="004C497D">
              <w:rPr>
                <w:sz w:val="22"/>
                <w:szCs w:val="22"/>
              </w:rPr>
              <w:t xml:space="preserve"> </w:t>
            </w:r>
            <w:r w:rsidR="00595DE1" w:rsidRPr="004C497D">
              <w:rPr>
                <w:rFonts w:eastAsia="Calibri"/>
                <w:sz w:val="22"/>
                <w:szCs w:val="22"/>
              </w:rPr>
              <w:t>że</w:t>
            </w:r>
            <w:r w:rsidR="00595DE1" w:rsidRPr="004C497D">
              <w:rPr>
                <w:sz w:val="22"/>
                <w:szCs w:val="22"/>
              </w:rPr>
              <w:t xml:space="preserve"> </w:t>
            </w:r>
            <w:r w:rsidR="00595DE1" w:rsidRPr="004C497D">
              <w:rPr>
                <w:rFonts w:eastAsia="Calibri"/>
                <w:i/>
                <w:sz w:val="22"/>
                <w:szCs w:val="22"/>
              </w:rPr>
              <w:t>,,W ocenie organu nadzorczego należy jednak zwrócić uwagę, że aby możliwe było spełnienie warunku, o</w:t>
            </w:r>
            <w:r w:rsidR="00D84AD7">
              <w:rPr>
                <w:rFonts w:eastAsia="Calibri"/>
                <w:i/>
                <w:sz w:val="22"/>
                <w:szCs w:val="22"/>
              </w:rPr>
              <w:t> </w:t>
            </w:r>
            <w:r w:rsidR="00595DE1" w:rsidRPr="004C497D">
              <w:rPr>
                <w:rFonts w:eastAsia="Calibri"/>
                <w:i/>
                <w:sz w:val="22"/>
                <w:szCs w:val="22"/>
              </w:rPr>
              <w:t xml:space="preserve">którym mowa w § 11 ust. 4 projektu (w obecnej wersji projektu § 11 ust. 5 pkt 1, tj. ustalenie upoważnionego przedstawiciela uprawnionego podmiotu, sądu lub prokuratora uzyskującego dane, informacje o rodzaju danych oraz czasu, w którym zostały uzyskane, </w:t>
            </w:r>
            <w:r w:rsidR="00595DE1" w:rsidRPr="004C497D">
              <w:rPr>
                <w:rFonts w:eastAsia="Calibri"/>
                <w:i/>
                <w:sz w:val="22"/>
                <w:szCs w:val="22"/>
                <w:u w:val="single" w:color="000000"/>
              </w:rPr>
              <w:t>system</w:t>
            </w:r>
            <w:r w:rsidR="00595DE1" w:rsidRPr="004C497D">
              <w:rPr>
                <w:rFonts w:eastAsia="Calibri"/>
                <w:i/>
                <w:sz w:val="22"/>
                <w:szCs w:val="22"/>
              </w:rPr>
              <w:t xml:space="preserve"> </w:t>
            </w:r>
            <w:r w:rsidR="00595DE1" w:rsidRPr="004C497D">
              <w:rPr>
                <w:rFonts w:eastAsia="Calibri"/>
                <w:i/>
                <w:sz w:val="22"/>
                <w:szCs w:val="22"/>
                <w:u w:val="single" w:color="000000"/>
              </w:rPr>
              <w:t>teleinformatyczny, który ma przygotować przedsiębiorca powinien umożliwiać i niejako wymuszać</w:t>
            </w:r>
            <w:r w:rsidR="00595DE1" w:rsidRPr="004C497D">
              <w:rPr>
                <w:i/>
                <w:sz w:val="22"/>
                <w:szCs w:val="22"/>
              </w:rPr>
              <w:t xml:space="preserve"> </w:t>
            </w:r>
            <w:r w:rsidR="00595DE1" w:rsidRPr="004C497D">
              <w:rPr>
                <w:rFonts w:eastAsia="Calibri"/>
                <w:i/>
                <w:sz w:val="22"/>
                <w:szCs w:val="22"/>
                <w:u w:val="single" w:color="000000"/>
              </w:rPr>
              <w:t>od upoważnionego przedstawiciela uprawnionego podmiotu, sądu lub prokuratury wprowadzenia</w:t>
            </w:r>
            <w:r w:rsidR="00595DE1" w:rsidRPr="004C497D">
              <w:rPr>
                <w:rFonts w:eastAsia="Calibri"/>
                <w:i/>
                <w:sz w:val="22"/>
                <w:szCs w:val="22"/>
              </w:rPr>
              <w:t xml:space="preserve"> </w:t>
            </w:r>
            <w:r w:rsidR="00595DE1" w:rsidRPr="004C497D">
              <w:rPr>
                <w:rFonts w:eastAsia="Calibri"/>
                <w:i/>
                <w:sz w:val="22"/>
                <w:szCs w:val="22"/>
                <w:u w:val="single" w:color="000000"/>
              </w:rPr>
              <w:t>informacji</w:t>
            </w:r>
            <w:r w:rsidR="00595DE1" w:rsidRPr="004C497D">
              <w:rPr>
                <w:rFonts w:eastAsia="Calibri"/>
                <w:i/>
                <w:sz w:val="22"/>
                <w:szCs w:val="22"/>
              </w:rPr>
              <w:t>, które posłużą do ustalenia danych, o których mowa w § 11 ust. 4 projektu (w</w:t>
            </w:r>
            <w:r w:rsidR="00D84AD7">
              <w:rPr>
                <w:rFonts w:eastAsia="Calibri"/>
                <w:i/>
                <w:sz w:val="22"/>
                <w:szCs w:val="22"/>
              </w:rPr>
              <w:t> </w:t>
            </w:r>
            <w:r w:rsidR="00595DE1" w:rsidRPr="004C497D">
              <w:rPr>
                <w:rFonts w:eastAsia="Calibri"/>
                <w:i/>
                <w:sz w:val="22"/>
                <w:szCs w:val="22"/>
              </w:rPr>
              <w:t>obecnej wersji projektu § 11 ust. 5 pkt 1) przed ich udostępnieniem przez system.”</w:t>
            </w:r>
            <w:r w:rsidR="00B8016C" w:rsidRPr="004C497D">
              <w:rPr>
                <w:rFonts w:eastAsia="Calibri"/>
                <w:i/>
                <w:sz w:val="22"/>
                <w:szCs w:val="22"/>
              </w:rPr>
              <w:t xml:space="preserve">. </w:t>
            </w:r>
            <w:r w:rsidR="00595DE1" w:rsidRPr="004C497D">
              <w:rPr>
                <w:rFonts w:eastAsia="Calibri"/>
                <w:i/>
                <w:sz w:val="22"/>
                <w:szCs w:val="22"/>
              </w:rPr>
              <w:t xml:space="preserve"> </w:t>
            </w:r>
            <w:r w:rsidR="00B8016C" w:rsidRPr="004C497D">
              <w:rPr>
                <w:sz w:val="22"/>
                <w:szCs w:val="22"/>
              </w:rPr>
              <w:t>Powyższe</w:t>
            </w:r>
            <w:r w:rsidR="00595DE1" w:rsidRPr="004C497D">
              <w:rPr>
                <w:rFonts w:eastAsia="Calibri"/>
                <w:i/>
                <w:sz w:val="22"/>
                <w:szCs w:val="22"/>
              </w:rPr>
              <w:t xml:space="preserve"> s</w:t>
            </w:r>
            <w:r w:rsidR="00595DE1" w:rsidRPr="004C497D">
              <w:rPr>
                <w:sz w:val="22"/>
                <w:szCs w:val="22"/>
              </w:rPr>
              <w:t>twierdzeni</w:t>
            </w:r>
            <w:r w:rsidR="00B8016C" w:rsidRPr="004C497D">
              <w:rPr>
                <w:sz w:val="22"/>
                <w:szCs w:val="22"/>
              </w:rPr>
              <w:t>e</w:t>
            </w:r>
            <w:r w:rsidR="00595DE1" w:rsidRPr="004C497D">
              <w:rPr>
                <w:sz w:val="22"/>
                <w:szCs w:val="22"/>
              </w:rPr>
              <w:t xml:space="preserve"> </w:t>
            </w:r>
            <w:r w:rsidR="00595DE1" w:rsidRPr="004C497D">
              <w:rPr>
                <w:rFonts w:eastAsia="Calibri"/>
                <w:sz w:val="22"/>
                <w:szCs w:val="22"/>
              </w:rPr>
              <w:t>budzi</w:t>
            </w:r>
            <w:r w:rsidR="00595DE1" w:rsidRPr="004C497D">
              <w:rPr>
                <w:sz w:val="22"/>
                <w:szCs w:val="22"/>
              </w:rPr>
              <w:t xml:space="preserve"> </w:t>
            </w:r>
            <w:r w:rsidR="00595DE1" w:rsidRPr="004C497D">
              <w:rPr>
                <w:rFonts w:eastAsia="Calibri"/>
                <w:sz w:val="22"/>
                <w:szCs w:val="22"/>
              </w:rPr>
              <w:t>wątpliwości,</w:t>
            </w:r>
            <w:r w:rsidR="00595DE1" w:rsidRPr="004C497D">
              <w:rPr>
                <w:sz w:val="22"/>
                <w:szCs w:val="22"/>
              </w:rPr>
              <w:t xml:space="preserve"> </w:t>
            </w:r>
            <w:r w:rsidR="00595DE1" w:rsidRPr="004C497D">
              <w:rPr>
                <w:rFonts w:eastAsia="Calibri"/>
                <w:sz w:val="22"/>
                <w:szCs w:val="22"/>
              </w:rPr>
              <w:t>gdyż</w:t>
            </w:r>
            <w:r w:rsidR="00595DE1" w:rsidRPr="004C497D">
              <w:rPr>
                <w:sz w:val="22"/>
                <w:szCs w:val="22"/>
              </w:rPr>
              <w:t xml:space="preserve"> nie jest jasne, o jakim systemie teleinformatycznym jest mowa, w którym </w:t>
            </w:r>
            <w:r w:rsidR="00595DE1" w:rsidRPr="004C497D">
              <w:rPr>
                <w:rFonts w:eastAsia="Calibri"/>
                <w:sz w:val="22"/>
                <w:szCs w:val="22"/>
              </w:rPr>
              <w:t>upoważniony</w:t>
            </w:r>
            <w:r w:rsidR="00595DE1" w:rsidRPr="004C497D">
              <w:rPr>
                <w:sz w:val="22"/>
                <w:szCs w:val="22"/>
              </w:rPr>
              <w:t xml:space="preserve"> przedstawiciel uprawnionego podmiotu </w:t>
            </w:r>
            <w:r w:rsidR="00595DE1" w:rsidRPr="004C497D">
              <w:rPr>
                <w:rFonts w:eastAsia="Calibri"/>
                <w:sz w:val="22"/>
                <w:szCs w:val="22"/>
              </w:rPr>
              <w:t>miałby</w:t>
            </w:r>
            <w:r w:rsidR="00595DE1" w:rsidRPr="004C497D">
              <w:rPr>
                <w:sz w:val="22"/>
                <w:szCs w:val="22"/>
              </w:rPr>
              <w:t xml:space="preserve"> </w:t>
            </w:r>
            <w:r w:rsidR="00595DE1" w:rsidRPr="004C497D">
              <w:rPr>
                <w:rFonts w:eastAsia="Calibri"/>
                <w:sz w:val="22"/>
                <w:szCs w:val="22"/>
              </w:rPr>
              <w:t>wprowadzać</w:t>
            </w:r>
            <w:r w:rsidR="00595DE1" w:rsidRPr="004C497D">
              <w:rPr>
                <w:sz w:val="22"/>
                <w:szCs w:val="22"/>
              </w:rPr>
              <w:t xml:space="preserve"> wskazane informacje. </w:t>
            </w:r>
          </w:p>
          <w:p w14:paraId="3953B048" w14:textId="61655289" w:rsidR="00595DE1" w:rsidRPr="004C497D" w:rsidRDefault="00595DE1" w:rsidP="004C497D">
            <w:pPr>
              <w:ind w:left="-15"/>
              <w:jc w:val="both"/>
              <w:rPr>
                <w:sz w:val="22"/>
                <w:szCs w:val="22"/>
              </w:rPr>
            </w:pPr>
            <w:r w:rsidRPr="004C497D">
              <w:rPr>
                <w:sz w:val="22"/>
                <w:szCs w:val="22"/>
              </w:rPr>
              <w:t xml:space="preserve">W tym miejscu </w:t>
            </w:r>
            <w:r w:rsidRPr="004C497D">
              <w:rPr>
                <w:rFonts w:eastAsia="Calibri"/>
                <w:sz w:val="22"/>
                <w:szCs w:val="22"/>
              </w:rPr>
              <w:t>należy</w:t>
            </w:r>
            <w:r w:rsidRPr="004C497D">
              <w:rPr>
                <w:sz w:val="22"/>
                <w:szCs w:val="22"/>
              </w:rPr>
              <w:t xml:space="preserve"> </w:t>
            </w:r>
            <w:r w:rsidRPr="004C497D">
              <w:rPr>
                <w:rFonts w:eastAsia="Calibri"/>
                <w:sz w:val="22"/>
                <w:szCs w:val="22"/>
              </w:rPr>
              <w:t>podkreślić,</w:t>
            </w:r>
            <w:r w:rsidRPr="004C497D">
              <w:rPr>
                <w:sz w:val="22"/>
                <w:szCs w:val="22"/>
              </w:rPr>
              <w:t xml:space="preserve"> </w:t>
            </w:r>
            <w:r w:rsidRPr="004C497D">
              <w:rPr>
                <w:rFonts w:eastAsia="Calibri"/>
                <w:sz w:val="22"/>
                <w:szCs w:val="22"/>
              </w:rPr>
              <w:t>że</w:t>
            </w:r>
            <w:r w:rsidRPr="004C497D">
              <w:rPr>
                <w:sz w:val="22"/>
                <w:szCs w:val="22"/>
              </w:rPr>
              <w:t xml:space="preserve"> </w:t>
            </w:r>
            <w:r w:rsidRPr="004C497D">
              <w:rPr>
                <w:rFonts w:eastAsia="Calibri"/>
                <w:sz w:val="22"/>
                <w:szCs w:val="22"/>
              </w:rPr>
              <w:t>każdy</w:t>
            </w:r>
            <w:r w:rsidRPr="004C497D">
              <w:rPr>
                <w:sz w:val="22"/>
                <w:szCs w:val="22"/>
              </w:rPr>
              <w:t xml:space="preserve"> z wymienionych sposobów przekazywania danych jest </w:t>
            </w:r>
            <w:r w:rsidRPr="004C497D">
              <w:rPr>
                <w:rFonts w:eastAsia="Calibri"/>
                <w:sz w:val="22"/>
                <w:szCs w:val="22"/>
              </w:rPr>
              <w:t>niezależny</w:t>
            </w:r>
            <w:r w:rsidRPr="004C497D">
              <w:rPr>
                <w:sz w:val="22"/>
                <w:szCs w:val="22"/>
              </w:rPr>
              <w:t xml:space="preserve"> i </w:t>
            </w:r>
            <w:r w:rsidRPr="004C497D">
              <w:rPr>
                <w:rFonts w:eastAsia="Calibri"/>
                <w:sz w:val="22"/>
                <w:szCs w:val="22"/>
              </w:rPr>
              <w:t>równoważny,</w:t>
            </w:r>
            <w:r w:rsidRPr="004C497D">
              <w:rPr>
                <w:sz w:val="22"/>
                <w:szCs w:val="22"/>
              </w:rPr>
              <w:t xml:space="preserve"> a wybór konkretnego sposobu uzyskania danych przez </w:t>
            </w:r>
            <w:r w:rsidR="00B8016C" w:rsidRPr="004C497D">
              <w:rPr>
                <w:sz w:val="22"/>
                <w:szCs w:val="22"/>
              </w:rPr>
              <w:t xml:space="preserve">uprawniony </w:t>
            </w:r>
            <w:r w:rsidRPr="004C497D">
              <w:rPr>
                <w:sz w:val="22"/>
                <w:szCs w:val="22"/>
              </w:rPr>
              <w:t xml:space="preserve">podmiot </w:t>
            </w:r>
            <w:r w:rsidRPr="004C497D">
              <w:rPr>
                <w:rFonts w:eastAsia="Calibri"/>
                <w:sz w:val="22"/>
                <w:szCs w:val="22"/>
              </w:rPr>
              <w:t>zależy</w:t>
            </w:r>
            <w:r w:rsidRPr="004C497D">
              <w:rPr>
                <w:sz w:val="22"/>
                <w:szCs w:val="22"/>
              </w:rPr>
              <w:t xml:space="preserve"> od wielu czynników, np. od rodzaju </w:t>
            </w:r>
            <w:r w:rsidRPr="004C497D">
              <w:rPr>
                <w:rFonts w:eastAsia="Calibri"/>
                <w:sz w:val="22"/>
                <w:szCs w:val="22"/>
              </w:rPr>
              <w:t>przedsiębiorcy</w:t>
            </w:r>
            <w:r w:rsidRPr="004C497D">
              <w:rPr>
                <w:sz w:val="22"/>
                <w:szCs w:val="22"/>
              </w:rPr>
              <w:t xml:space="preserve"> telekomunikacyjnego, lub technologii, w której </w:t>
            </w:r>
            <w:r w:rsidRPr="004C497D">
              <w:rPr>
                <w:rFonts w:eastAsia="Calibri"/>
                <w:sz w:val="22"/>
                <w:szCs w:val="22"/>
              </w:rPr>
              <w:t>świadczona</w:t>
            </w:r>
            <w:r w:rsidRPr="004C497D">
              <w:rPr>
                <w:sz w:val="22"/>
                <w:szCs w:val="22"/>
              </w:rPr>
              <w:t xml:space="preserve"> jest konkretna </w:t>
            </w:r>
            <w:r w:rsidRPr="004C497D">
              <w:rPr>
                <w:rFonts w:eastAsia="Calibri"/>
                <w:sz w:val="22"/>
                <w:szCs w:val="22"/>
              </w:rPr>
              <w:t>usługa</w:t>
            </w:r>
            <w:r w:rsidRPr="004C497D">
              <w:rPr>
                <w:sz w:val="22"/>
                <w:szCs w:val="22"/>
              </w:rPr>
              <w:t xml:space="preserve"> telekomunikacyjna.</w:t>
            </w:r>
          </w:p>
          <w:p w14:paraId="5A9E9F75" w14:textId="1BCCD0F7" w:rsidR="00595DE1" w:rsidRPr="004C497D" w:rsidRDefault="00595DE1" w:rsidP="004C497D">
            <w:pPr>
              <w:ind w:left="-15"/>
              <w:jc w:val="both"/>
              <w:rPr>
                <w:sz w:val="22"/>
                <w:szCs w:val="22"/>
              </w:rPr>
            </w:pPr>
            <w:r w:rsidRPr="004C497D">
              <w:rPr>
                <w:sz w:val="22"/>
                <w:szCs w:val="22"/>
              </w:rPr>
              <w:t xml:space="preserve">Dane, o których mowa w art. 45 ust. 1 </w:t>
            </w:r>
            <w:r w:rsidR="00FB6F7E">
              <w:rPr>
                <w:sz w:val="22"/>
                <w:szCs w:val="22"/>
              </w:rPr>
              <w:t>PKE</w:t>
            </w:r>
            <w:r w:rsidRPr="004C497D">
              <w:rPr>
                <w:rFonts w:eastAsia="Calibri"/>
                <w:i/>
                <w:sz w:val="22"/>
                <w:szCs w:val="22"/>
              </w:rPr>
              <w:t>,</w:t>
            </w:r>
            <w:r w:rsidRPr="004C497D">
              <w:rPr>
                <w:sz w:val="22"/>
                <w:szCs w:val="22"/>
              </w:rPr>
              <w:t xml:space="preserve"> nie </w:t>
            </w:r>
            <w:r w:rsidRPr="004C497D">
              <w:rPr>
                <w:rFonts w:eastAsia="Calibri"/>
                <w:sz w:val="22"/>
                <w:szCs w:val="22"/>
              </w:rPr>
              <w:t>obejmują</w:t>
            </w:r>
            <w:r w:rsidRPr="004C497D">
              <w:rPr>
                <w:sz w:val="22"/>
                <w:szCs w:val="22"/>
              </w:rPr>
              <w:t xml:space="preserve"> </w:t>
            </w:r>
            <w:r w:rsidRPr="004C497D">
              <w:rPr>
                <w:rFonts w:eastAsia="Calibri"/>
                <w:sz w:val="22"/>
                <w:szCs w:val="22"/>
              </w:rPr>
              <w:t>treści</w:t>
            </w:r>
            <w:r w:rsidRPr="004C497D">
              <w:rPr>
                <w:sz w:val="22"/>
                <w:szCs w:val="22"/>
              </w:rPr>
              <w:t xml:space="preserve"> </w:t>
            </w:r>
            <w:r w:rsidR="00B8016C" w:rsidRPr="004C497D">
              <w:rPr>
                <w:sz w:val="22"/>
                <w:szCs w:val="22"/>
              </w:rPr>
              <w:t>komunikatu elektronicznego</w:t>
            </w:r>
            <w:r w:rsidRPr="004C497D">
              <w:rPr>
                <w:sz w:val="22"/>
                <w:szCs w:val="22"/>
              </w:rPr>
              <w:t xml:space="preserve">, jednak </w:t>
            </w:r>
            <w:r w:rsidRPr="004C497D">
              <w:rPr>
                <w:rFonts w:eastAsia="Calibri"/>
                <w:sz w:val="22"/>
                <w:szCs w:val="22"/>
              </w:rPr>
              <w:t>objęte</w:t>
            </w:r>
            <w:r w:rsidRPr="004C497D">
              <w:rPr>
                <w:sz w:val="22"/>
                <w:szCs w:val="22"/>
              </w:rPr>
              <w:t xml:space="preserve"> </w:t>
            </w:r>
            <w:r w:rsidRPr="004C497D">
              <w:rPr>
                <w:rFonts w:eastAsia="Calibri"/>
                <w:sz w:val="22"/>
                <w:szCs w:val="22"/>
              </w:rPr>
              <w:t>są</w:t>
            </w:r>
            <w:r w:rsidRPr="004C497D">
              <w:rPr>
                <w:sz w:val="22"/>
                <w:szCs w:val="22"/>
              </w:rPr>
              <w:t xml:space="preserve"> </w:t>
            </w:r>
            <w:r w:rsidRPr="004C497D">
              <w:rPr>
                <w:rFonts w:eastAsia="Calibri"/>
                <w:sz w:val="22"/>
                <w:szCs w:val="22"/>
              </w:rPr>
              <w:t>tajemnicą</w:t>
            </w:r>
            <w:r w:rsidRPr="004C497D">
              <w:rPr>
                <w:sz w:val="22"/>
                <w:szCs w:val="22"/>
              </w:rPr>
              <w:t xml:space="preserve"> </w:t>
            </w:r>
            <w:r w:rsidRPr="004C497D">
              <w:rPr>
                <w:rFonts w:eastAsia="Calibri"/>
                <w:sz w:val="22"/>
                <w:szCs w:val="22"/>
              </w:rPr>
              <w:t>telekomunikacyjną,</w:t>
            </w:r>
            <w:r w:rsidRPr="004C497D">
              <w:rPr>
                <w:sz w:val="22"/>
                <w:szCs w:val="22"/>
              </w:rPr>
              <w:t xml:space="preserve"> przy czym ustawa ta</w:t>
            </w:r>
            <w:r w:rsidRPr="004C497D">
              <w:rPr>
                <w:rFonts w:eastAsia="Calibri"/>
                <w:i/>
                <w:sz w:val="22"/>
                <w:szCs w:val="22"/>
              </w:rPr>
              <w:t xml:space="preserve"> </w:t>
            </w:r>
            <w:r w:rsidRPr="004C497D">
              <w:rPr>
                <w:rFonts w:eastAsia="Calibri"/>
                <w:sz w:val="22"/>
                <w:szCs w:val="22"/>
              </w:rPr>
              <w:t>nakłada</w:t>
            </w:r>
            <w:r w:rsidRPr="004C497D">
              <w:rPr>
                <w:sz w:val="22"/>
                <w:szCs w:val="22"/>
              </w:rPr>
              <w:t xml:space="preserve"> na </w:t>
            </w:r>
            <w:r w:rsidRPr="004C497D">
              <w:rPr>
                <w:rFonts w:eastAsia="Calibri"/>
                <w:sz w:val="22"/>
                <w:szCs w:val="22"/>
              </w:rPr>
              <w:t>przedsiębiorców</w:t>
            </w:r>
            <w:r w:rsidRPr="004C497D">
              <w:rPr>
                <w:sz w:val="22"/>
                <w:szCs w:val="22"/>
              </w:rPr>
              <w:t xml:space="preserve"> telekomunikacyjnych </w:t>
            </w:r>
            <w:r w:rsidRPr="004C497D">
              <w:rPr>
                <w:rFonts w:eastAsia="Calibri"/>
                <w:sz w:val="22"/>
                <w:szCs w:val="22"/>
              </w:rPr>
              <w:t>obowiązek</w:t>
            </w:r>
            <w:r w:rsidRPr="004C497D">
              <w:rPr>
                <w:sz w:val="22"/>
                <w:szCs w:val="22"/>
              </w:rPr>
              <w:t xml:space="preserve"> ich ochrony przed nieuprawnionym </w:t>
            </w:r>
            <w:r w:rsidRPr="004C497D">
              <w:rPr>
                <w:rFonts w:eastAsia="Calibri"/>
                <w:sz w:val="22"/>
                <w:szCs w:val="22"/>
              </w:rPr>
              <w:t>udostępnieniem.</w:t>
            </w:r>
          </w:p>
          <w:p w14:paraId="12583B86" w14:textId="1BE58069" w:rsidR="00595DE1" w:rsidRPr="004C497D" w:rsidRDefault="00595DE1" w:rsidP="004C497D">
            <w:pPr>
              <w:ind w:left="-15"/>
              <w:jc w:val="both"/>
              <w:rPr>
                <w:sz w:val="22"/>
                <w:szCs w:val="22"/>
              </w:rPr>
            </w:pPr>
            <w:r w:rsidRPr="004C497D">
              <w:rPr>
                <w:rFonts w:eastAsia="Calibri"/>
                <w:sz w:val="22"/>
                <w:szCs w:val="22"/>
              </w:rPr>
              <w:t>Kolejną</w:t>
            </w:r>
            <w:r w:rsidRPr="004C497D">
              <w:rPr>
                <w:sz w:val="22"/>
                <w:szCs w:val="22"/>
              </w:rPr>
              <w:t xml:space="preserve"> </w:t>
            </w:r>
            <w:r w:rsidRPr="004C497D">
              <w:rPr>
                <w:rFonts w:eastAsia="Calibri"/>
                <w:sz w:val="22"/>
                <w:szCs w:val="22"/>
              </w:rPr>
              <w:t>kwestią,</w:t>
            </w:r>
            <w:r w:rsidRPr="004C497D">
              <w:rPr>
                <w:sz w:val="22"/>
                <w:szCs w:val="22"/>
              </w:rPr>
              <w:t xml:space="preserve"> </w:t>
            </w:r>
            <w:r w:rsidRPr="004C497D">
              <w:rPr>
                <w:rFonts w:eastAsia="Calibri"/>
                <w:sz w:val="22"/>
                <w:szCs w:val="22"/>
              </w:rPr>
              <w:t>którą</w:t>
            </w:r>
            <w:r w:rsidRPr="004C497D">
              <w:rPr>
                <w:sz w:val="22"/>
                <w:szCs w:val="22"/>
              </w:rPr>
              <w:t xml:space="preserve"> </w:t>
            </w:r>
            <w:r w:rsidRPr="004C497D">
              <w:rPr>
                <w:rFonts w:eastAsia="Calibri"/>
                <w:sz w:val="22"/>
                <w:szCs w:val="22"/>
              </w:rPr>
              <w:t>należy</w:t>
            </w:r>
            <w:r w:rsidRPr="004C497D">
              <w:rPr>
                <w:sz w:val="22"/>
                <w:szCs w:val="22"/>
              </w:rPr>
              <w:t xml:space="preserve"> </w:t>
            </w:r>
            <w:r w:rsidRPr="004C497D">
              <w:rPr>
                <w:rFonts w:eastAsia="Calibri"/>
                <w:sz w:val="22"/>
                <w:szCs w:val="22"/>
              </w:rPr>
              <w:t>mieć</w:t>
            </w:r>
            <w:r w:rsidRPr="004C497D">
              <w:rPr>
                <w:sz w:val="22"/>
                <w:szCs w:val="22"/>
              </w:rPr>
              <w:t xml:space="preserve"> na uwadze w </w:t>
            </w:r>
            <w:r w:rsidRPr="004C497D">
              <w:rPr>
                <w:rFonts w:eastAsia="Calibri"/>
                <w:sz w:val="22"/>
                <w:szCs w:val="22"/>
              </w:rPr>
              <w:t>kontekście</w:t>
            </w:r>
            <w:r w:rsidRPr="004C497D">
              <w:rPr>
                <w:sz w:val="22"/>
                <w:szCs w:val="22"/>
              </w:rPr>
              <w:t xml:space="preserve"> </w:t>
            </w:r>
            <w:r w:rsidRPr="004C497D">
              <w:rPr>
                <w:rFonts w:eastAsia="Calibri"/>
                <w:sz w:val="22"/>
                <w:szCs w:val="22"/>
              </w:rPr>
              <w:t>udostępniania</w:t>
            </w:r>
            <w:r w:rsidRPr="004C497D">
              <w:rPr>
                <w:sz w:val="22"/>
                <w:szCs w:val="22"/>
              </w:rPr>
              <w:t xml:space="preserve"> danych, o których mowa w art. 45 ust. 1 </w:t>
            </w:r>
            <w:r w:rsidR="00FB6F7E">
              <w:rPr>
                <w:sz w:val="22"/>
                <w:szCs w:val="22"/>
              </w:rPr>
              <w:t>PKE</w:t>
            </w:r>
            <w:r w:rsidRPr="004C497D">
              <w:rPr>
                <w:sz w:val="22"/>
                <w:szCs w:val="22"/>
              </w:rPr>
              <w:t xml:space="preserve"> jest fakt, </w:t>
            </w:r>
            <w:r w:rsidRPr="004C497D">
              <w:rPr>
                <w:rFonts w:eastAsia="Calibri"/>
                <w:sz w:val="22"/>
                <w:szCs w:val="22"/>
              </w:rPr>
              <w:t>że</w:t>
            </w:r>
            <w:r w:rsidRPr="004C497D">
              <w:rPr>
                <w:sz w:val="22"/>
                <w:szCs w:val="22"/>
              </w:rPr>
              <w:t xml:space="preserve"> </w:t>
            </w:r>
            <w:r w:rsidRPr="004C497D">
              <w:rPr>
                <w:rFonts w:eastAsia="Calibri"/>
                <w:sz w:val="22"/>
                <w:szCs w:val="22"/>
              </w:rPr>
              <w:t>najwięksi</w:t>
            </w:r>
            <w:r w:rsidRPr="004C497D">
              <w:rPr>
                <w:sz w:val="22"/>
                <w:szCs w:val="22"/>
              </w:rPr>
              <w:t xml:space="preserve"> </w:t>
            </w:r>
            <w:r w:rsidRPr="004C497D">
              <w:rPr>
                <w:rFonts w:eastAsia="Calibri"/>
                <w:sz w:val="22"/>
                <w:szCs w:val="22"/>
              </w:rPr>
              <w:t>przedsiębiorcy</w:t>
            </w:r>
            <w:r w:rsidRPr="004C497D">
              <w:rPr>
                <w:sz w:val="22"/>
                <w:szCs w:val="22"/>
              </w:rPr>
              <w:t xml:space="preserve"> telekomunikacyjni </w:t>
            </w:r>
            <w:r w:rsidRPr="004C497D">
              <w:rPr>
                <w:rFonts w:eastAsia="Calibri"/>
                <w:sz w:val="22"/>
                <w:szCs w:val="22"/>
              </w:rPr>
              <w:t>udostępniający</w:t>
            </w:r>
            <w:r w:rsidRPr="004C497D">
              <w:rPr>
                <w:sz w:val="22"/>
                <w:szCs w:val="22"/>
              </w:rPr>
              <w:t xml:space="preserve"> te dane podmiotom uprawnionym za </w:t>
            </w:r>
            <w:r w:rsidRPr="004C497D">
              <w:rPr>
                <w:rFonts w:eastAsia="Calibri"/>
                <w:sz w:val="22"/>
                <w:szCs w:val="22"/>
              </w:rPr>
              <w:t>pomocą</w:t>
            </w:r>
            <w:r w:rsidRPr="004C497D">
              <w:rPr>
                <w:sz w:val="22"/>
                <w:szCs w:val="22"/>
              </w:rPr>
              <w:t xml:space="preserve"> sieci telekomunikacyjnej </w:t>
            </w:r>
            <w:r w:rsidRPr="004C497D">
              <w:rPr>
                <w:rFonts w:eastAsia="Calibri"/>
                <w:sz w:val="22"/>
                <w:szCs w:val="22"/>
              </w:rPr>
              <w:t>posiadają</w:t>
            </w:r>
            <w:r w:rsidRPr="004C497D">
              <w:rPr>
                <w:sz w:val="22"/>
                <w:szCs w:val="22"/>
              </w:rPr>
              <w:t xml:space="preserve"> </w:t>
            </w:r>
            <w:r w:rsidRPr="004C497D">
              <w:rPr>
                <w:rFonts w:eastAsia="Calibri"/>
                <w:sz w:val="22"/>
                <w:szCs w:val="22"/>
              </w:rPr>
              <w:t>własne</w:t>
            </w:r>
            <w:r w:rsidRPr="004C497D">
              <w:rPr>
                <w:sz w:val="22"/>
                <w:szCs w:val="22"/>
              </w:rPr>
              <w:t xml:space="preserve"> </w:t>
            </w:r>
            <w:r w:rsidRPr="004C497D">
              <w:rPr>
                <w:rFonts w:eastAsia="Calibri"/>
                <w:sz w:val="22"/>
                <w:szCs w:val="22"/>
              </w:rPr>
              <w:t>rozwiązania</w:t>
            </w:r>
            <w:r w:rsidRPr="004C497D">
              <w:rPr>
                <w:sz w:val="22"/>
                <w:szCs w:val="22"/>
              </w:rPr>
              <w:t xml:space="preserve"> teleinformatyczne, które </w:t>
            </w:r>
            <w:r w:rsidRPr="004C497D">
              <w:rPr>
                <w:rFonts w:eastAsia="Calibri"/>
                <w:sz w:val="22"/>
                <w:szCs w:val="22"/>
              </w:rPr>
              <w:t>zapewniają</w:t>
            </w:r>
            <w:r w:rsidRPr="004C497D">
              <w:rPr>
                <w:sz w:val="22"/>
                <w:szCs w:val="22"/>
              </w:rPr>
              <w:t xml:space="preserve"> </w:t>
            </w:r>
            <w:r w:rsidRPr="004C497D">
              <w:rPr>
                <w:rFonts w:eastAsia="Calibri"/>
                <w:sz w:val="22"/>
                <w:szCs w:val="22"/>
              </w:rPr>
              <w:t>rozliczalność</w:t>
            </w:r>
            <w:r w:rsidRPr="004C497D">
              <w:rPr>
                <w:sz w:val="22"/>
                <w:szCs w:val="22"/>
              </w:rPr>
              <w:t xml:space="preserve"> </w:t>
            </w:r>
            <w:r w:rsidRPr="004C497D">
              <w:rPr>
                <w:rFonts w:eastAsia="Calibri"/>
                <w:sz w:val="22"/>
                <w:szCs w:val="22"/>
              </w:rPr>
              <w:t>udostępniania</w:t>
            </w:r>
            <w:r w:rsidRPr="004C497D">
              <w:rPr>
                <w:sz w:val="22"/>
                <w:szCs w:val="22"/>
              </w:rPr>
              <w:t xml:space="preserve"> danych. Natomiast w przypadku </w:t>
            </w:r>
            <w:r w:rsidRPr="004C497D">
              <w:rPr>
                <w:rFonts w:eastAsia="Calibri"/>
                <w:sz w:val="22"/>
                <w:szCs w:val="22"/>
              </w:rPr>
              <w:t>małych</w:t>
            </w:r>
            <w:r w:rsidRPr="004C497D">
              <w:rPr>
                <w:sz w:val="22"/>
                <w:szCs w:val="22"/>
              </w:rPr>
              <w:t xml:space="preserve"> i mikro- </w:t>
            </w:r>
            <w:r w:rsidRPr="004C497D">
              <w:rPr>
                <w:rFonts w:eastAsia="Calibri"/>
                <w:sz w:val="22"/>
                <w:szCs w:val="22"/>
              </w:rPr>
              <w:lastRenderedPageBreak/>
              <w:t>przedsiębiorców</w:t>
            </w:r>
            <w:r w:rsidRPr="004C497D">
              <w:rPr>
                <w:sz w:val="22"/>
                <w:szCs w:val="22"/>
              </w:rPr>
              <w:t xml:space="preserve"> </w:t>
            </w:r>
            <w:r w:rsidRPr="004C497D">
              <w:rPr>
                <w:rFonts w:eastAsia="Calibri"/>
                <w:sz w:val="22"/>
                <w:szCs w:val="22"/>
              </w:rPr>
              <w:t>udostępnienie</w:t>
            </w:r>
            <w:r w:rsidRPr="004C497D">
              <w:rPr>
                <w:sz w:val="22"/>
                <w:szCs w:val="22"/>
              </w:rPr>
              <w:t xml:space="preserve"> danych </w:t>
            </w:r>
            <w:r w:rsidRPr="004C497D">
              <w:rPr>
                <w:rFonts w:eastAsia="Calibri"/>
                <w:sz w:val="22"/>
                <w:szCs w:val="22"/>
              </w:rPr>
              <w:t>może</w:t>
            </w:r>
            <w:r w:rsidRPr="004C497D">
              <w:rPr>
                <w:sz w:val="22"/>
                <w:szCs w:val="22"/>
              </w:rPr>
              <w:t xml:space="preserve"> </w:t>
            </w:r>
            <w:r w:rsidRPr="004C497D">
              <w:rPr>
                <w:rFonts w:eastAsia="Calibri"/>
                <w:sz w:val="22"/>
                <w:szCs w:val="22"/>
              </w:rPr>
              <w:t>odbywać</w:t>
            </w:r>
            <w:r w:rsidRPr="004C497D">
              <w:rPr>
                <w:sz w:val="22"/>
                <w:szCs w:val="22"/>
              </w:rPr>
              <w:t xml:space="preserve"> </w:t>
            </w:r>
            <w:r w:rsidRPr="004C497D">
              <w:rPr>
                <w:rFonts w:eastAsia="Calibri"/>
                <w:sz w:val="22"/>
                <w:szCs w:val="22"/>
              </w:rPr>
              <w:t>się</w:t>
            </w:r>
            <w:r w:rsidRPr="004C497D">
              <w:rPr>
                <w:sz w:val="22"/>
                <w:szCs w:val="22"/>
              </w:rPr>
              <w:t xml:space="preserve"> korespondencyjnie albo przez osobisty odbiór danych u</w:t>
            </w:r>
            <w:r w:rsidR="00D84AD7">
              <w:rPr>
                <w:sz w:val="22"/>
                <w:szCs w:val="22"/>
              </w:rPr>
              <w:t> </w:t>
            </w:r>
            <w:r w:rsidRPr="004C497D">
              <w:rPr>
                <w:rFonts w:eastAsia="Calibri"/>
                <w:sz w:val="22"/>
                <w:szCs w:val="22"/>
              </w:rPr>
              <w:t>przedsiębiorcy</w:t>
            </w:r>
            <w:r w:rsidRPr="004C497D">
              <w:rPr>
                <w:sz w:val="22"/>
                <w:szCs w:val="22"/>
              </w:rPr>
              <w:t xml:space="preserve"> telekomunikacyjnego przez pisemnie </w:t>
            </w:r>
            <w:r w:rsidRPr="004C497D">
              <w:rPr>
                <w:rFonts w:eastAsia="Calibri"/>
                <w:sz w:val="22"/>
                <w:szCs w:val="22"/>
              </w:rPr>
              <w:t>upoważnionego</w:t>
            </w:r>
            <w:r w:rsidRPr="004C497D">
              <w:rPr>
                <w:sz w:val="22"/>
                <w:szCs w:val="22"/>
              </w:rPr>
              <w:t xml:space="preserve"> przedstawiciela uprawnionego podmiotu, </w:t>
            </w:r>
            <w:r w:rsidRPr="004C497D">
              <w:rPr>
                <w:rFonts w:eastAsia="Calibri"/>
                <w:sz w:val="22"/>
                <w:szCs w:val="22"/>
              </w:rPr>
              <w:t>sądu</w:t>
            </w:r>
            <w:r w:rsidRPr="004C497D">
              <w:rPr>
                <w:sz w:val="22"/>
                <w:szCs w:val="22"/>
              </w:rPr>
              <w:t xml:space="preserve"> lub prokuratora, </w:t>
            </w:r>
            <w:r w:rsidRPr="004C497D">
              <w:rPr>
                <w:rFonts w:eastAsia="Calibri"/>
                <w:sz w:val="22"/>
                <w:szCs w:val="22"/>
              </w:rPr>
              <w:t>gdyż</w:t>
            </w:r>
            <w:r w:rsidRPr="004C497D">
              <w:rPr>
                <w:sz w:val="22"/>
                <w:szCs w:val="22"/>
              </w:rPr>
              <w:t xml:space="preserve"> </w:t>
            </w:r>
            <w:r w:rsidRPr="004C497D">
              <w:rPr>
                <w:rFonts w:eastAsia="Calibri"/>
                <w:sz w:val="22"/>
                <w:szCs w:val="22"/>
              </w:rPr>
              <w:t>przedsiębiorca</w:t>
            </w:r>
            <w:r w:rsidRPr="004C497D">
              <w:rPr>
                <w:sz w:val="22"/>
                <w:szCs w:val="22"/>
              </w:rPr>
              <w:t xml:space="preserve"> taki nie posiada dedykowanych </w:t>
            </w:r>
            <w:r w:rsidRPr="004C497D">
              <w:rPr>
                <w:rFonts w:eastAsia="Calibri"/>
                <w:sz w:val="22"/>
                <w:szCs w:val="22"/>
              </w:rPr>
              <w:t>rozwiązań</w:t>
            </w:r>
            <w:r w:rsidRPr="004C497D">
              <w:rPr>
                <w:sz w:val="22"/>
                <w:szCs w:val="22"/>
              </w:rPr>
              <w:t xml:space="preserve"> teleinformatycznych </w:t>
            </w:r>
            <w:r w:rsidRPr="004C497D">
              <w:rPr>
                <w:rFonts w:eastAsia="Calibri"/>
                <w:sz w:val="22"/>
                <w:szCs w:val="22"/>
              </w:rPr>
              <w:t>służących</w:t>
            </w:r>
            <w:r w:rsidRPr="004C497D">
              <w:rPr>
                <w:sz w:val="22"/>
                <w:szCs w:val="22"/>
              </w:rPr>
              <w:t xml:space="preserve"> </w:t>
            </w:r>
            <w:r w:rsidRPr="004C497D">
              <w:rPr>
                <w:rFonts w:eastAsia="Calibri"/>
                <w:sz w:val="22"/>
                <w:szCs w:val="22"/>
              </w:rPr>
              <w:t>udostępnianiu</w:t>
            </w:r>
            <w:r w:rsidRPr="004C497D">
              <w:rPr>
                <w:sz w:val="22"/>
                <w:szCs w:val="22"/>
              </w:rPr>
              <w:t xml:space="preserve"> tego rodzaju danych.</w:t>
            </w:r>
          </w:p>
          <w:p w14:paraId="5DF04C5C" w14:textId="2A7BABB0" w:rsidR="00595DE1" w:rsidRPr="004C497D" w:rsidRDefault="00595DE1" w:rsidP="004C497D">
            <w:pPr>
              <w:ind w:left="-15"/>
              <w:jc w:val="both"/>
              <w:rPr>
                <w:sz w:val="22"/>
                <w:szCs w:val="22"/>
              </w:rPr>
            </w:pPr>
            <w:r w:rsidRPr="004C497D">
              <w:rPr>
                <w:sz w:val="22"/>
                <w:szCs w:val="22"/>
              </w:rPr>
              <w:t xml:space="preserve">Dodatkowo przepisy </w:t>
            </w:r>
            <w:r w:rsidRPr="004C497D">
              <w:rPr>
                <w:rFonts w:eastAsia="Calibri"/>
                <w:sz w:val="22"/>
                <w:szCs w:val="22"/>
              </w:rPr>
              <w:t>regulujące</w:t>
            </w:r>
            <w:r w:rsidRPr="004C497D">
              <w:rPr>
                <w:sz w:val="22"/>
                <w:szCs w:val="22"/>
              </w:rPr>
              <w:t xml:space="preserve"> </w:t>
            </w:r>
            <w:r w:rsidRPr="004C497D">
              <w:rPr>
                <w:rFonts w:eastAsia="Calibri"/>
                <w:sz w:val="22"/>
                <w:szCs w:val="22"/>
              </w:rPr>
              <w:t>kwestię</w:t>
            </w:r>
            <w:r w:rsidRPr="004C497D">
              <w:rPr>
                <w:sz w:val="22"/>
                <w:szCs w:val="22"/>
              </w:rPr>
              <w:t xml:space="preserve"> uzyskiwania przez podmioty uprawnione danych, o których mowa w art. 45 ust. 1 </w:t>
            </w:r>
            <w:r w:rsidR="00FB6F7E">
              <w:rPr>
                <w:sz w:val="22"/>
                <w:szCs w:val="22"/>
              </w:rPr>
              <w:t>PKE</w:t>
            </w:r>
            <w:r w:rsidRPr="004C497D">
              <w:rPr>
                <w:rFonts w:eastAsia="Calibri"/>
                <w:i/>
                <w:sz w:val="22"/>
                <w:szCs w:val="22"/>
              </w:rPr>
              <w:t>,</w:t>
            </w:r>
            <w:r w:rsidRPr="004C497D">
              <w:rPr>
                <w:sz w:val="22"/>
                <w:szCs w:val="22"/>
              </w:rPr>
              <w:t xml:space="preserve"> </w:t>
            </w:r>
            <w:r w:rsidRPr="004C497D">
              <w:rPr>
                <w:rFonts w:eastAsia="Calibri"/>
                <w:sz w:val="22"/>
                <w:szCs w:val="22"/>
              </w:rPr>
              <w:t>przewidują</w:t>
            </w:r>
            <w:r w:rsidRPr="004C497D">
              <w:rPr>
                <w:sz w:val="22"/>
                <w:szCs w:val="22"/>
              </w:rPr>
              <w:t xml:space="preserve"> </w:t>
            </w:r>
            <w:r w:rsidRPr="004C497D">
              <w:rPr>
                <w:rFonts w:eastAsia="Calibri"/>
                <w:sz w:val="22"/>
                <w:szCs w:val="22"/>
              </w:rPr>
              <w:t>obowiązek</w:t>
            </w:r>
            <w:r w:rsidRPr="004C497D">
              <w:rPr>
                <w:sz w:val="22"/>
                <w:szCs w:val="22"/>
              </w:rPr>
              <w:t xml:space="preserve"> zachowania </w:t>
            </w:r>
            <w:r w:rsidRPr="004C497D">
              <w:rPr>
                <w:rFonts w:eastAsia="Calibri"/>
                <w:sz w:val="22"/>
                <w:szCs w:val="22"/>
              </w:rPr>
              <w:t>pełnej</w:t>
            </w:r>
            <w:r w:rsidRPr="004C497D">
              <w:rPr>
                <w:sz w:val="22"/>
                <w:szCs w:val="22"/>
              </w:rPr>
              <w:t xml:space="preserve"> </w:t>
            </w:r>
            <w:r w:rsidRPr="004C497D">
              <w:rPr>
                <w:rFonts w:eastAsia="Calibri"/>
                <w:sz w:val="22"/>
                <w:szCs w:val="22"/>
              </w:rPr>
              <w:t>rozliczalności,</w:t>
            </w:r>
            <w:r w:rsidRPr="004C497D">
              <w:rPr>
                <w:sz w:val="22"/>
                <w:szCs w:val="22"/>
              </w:rPr>
              <w:t xml:space="preserve"> a ponadto przepisy ustaw </w:t>
            </w:r>
            <w:r w:rsidR="00B8016C" w:rsidRPr="004C497D">
              <w:rPr>
                <w:sz w:val="22"/>
                <w:szCs w:val="22"/>
              </w:rPr>
              <w:t>kompetencyjnych</w:t>
            </w:r>
            <w:r w:rsidRPr="004C497D">
              <w:rPr>
                <w:sz w:val="22"/>
                <w:szCs w:val="22"/>
              </w:rPr>
              <w:t xml:space="preserve"> </w:t>
            </w:r>
            <w:r w:rsidRPr="004C497D">
              <w:rPr>
                <w:rFonts w:eastAsia="Calibri"/>
                <w:sz w:val="22"/>
                <w:szCs w:val="22"/>
              </w:rPr>
              <w:t>nakładają</w:t>
            </w:r>
            <w:r w:rsidRPr="004C497D">
              <w:rPr>
                <w:sz w:val="22"/>
                <w:szCs w:val="22"/>
              </w:rPr>
              <w:t xml:space="preserve"> na szefów </w:t>
            </w:r>
            <w:r w:rsidRPr="004C497D">
              <w:rPr>
                <w:rFonts w:eastAsia="Calibri"/>
                <w:sz w:val="22"/>
                <w:szCs w:val="22"/>
              </w:rPr>
              <w:t>służb</w:t>
            </w:r>
            <w:r w:rsidRPr="004C497D">
              <w:rPr>
                <w:sz w:val="22"/>
                <w:szCs w:val="22"/>
              </w:rPr>
              <w:t xml:space="preserve"> </w:t>
            </w:r>
            <w:r w:rsidRPr="004C497D">
              <w:rPr>
                <w:rFonts w:eastAsia="Calibri"/>
                <w:sz w:val="22"/>
                <w:szCs w:val="22"/>
              </w:rPr>
              <w:t>obowiązek</w:t>
            </w:r>
            <w:r w:rsidRPr="004C497D">
              <w:rPr>
                <w:sz w:val="22"/>
                <w:szCs w:val="22"/>
              </w:rPr>
              <w:t xml:space="preserve"> prowadzenia odpowiedniego rejestru </w:t>
            </w:r>
            <w:r w:rsidRPr="004C497D">
              <w:rPr>
                <w:rFonts w:eastAsia="Calibri"/>
                <w:sz w:val="22"/>
                <w:szCs w:val="22"/>
              </w:rPr>
              <w:t>obejmującego</w:t>
            </w:r>
            <w:r w:rsidRPr="004C497D">
              <w:rPr>
                <w:sz w:val="22"/>
                <w:szCs w:val="22"/>
              </w:rPr>
              <w:t xml:space="preserve"> informacje </w:t>
            </w:r>
            <w:r w:rsidRPr="004C497D">
              <w:rPr>
                <w:rFonts w:eastAsia="Calibri"/>
                <w:sz w:val="22"/>
                <w:szCs w:val="22"/>
              </w:rPr>
              <w:t>identyfikujące</w:t>
            </w:r>
            <w:r w:rsidRPr="004C497D">
              <w:rPr>
                <w:sz w:val="22"/>
                <w:szCs w:val="22"/>
              </w:rPr>
              <w:t xml:space="preserve"> </w:t>
            </w:r>
            <w:r w:rsidRPr="004C497D">
              <w:rPr>
                <w:rFonts w:eastAsia="Calibri"/>
                <w:sz w:val="22"/>
                <w:szCs w:val="22"/>
              </w:rPr>
              <w:t>jednostkę</w:t>
            </w:r>
            <w:r w:rsidRPr="004C497D">
              <w:rPr>
                <w:sz w:val="22"/>
                <w:szCs w:val="22"/>
              </w:rPr>
              <w:t xml:space="preserve"> </w:t>
            </w:r>
            <w:r w:rsidRPr="004C497D">
              <w:rPr>
                <w:rFonts w:eastAsia="Calibri"/>
                <w:sz w:val="22"/>
                <w:szCs w:val="22"/>
              </w:rPr>
              <w:t>organizacyjną</w:t>
            </w:r>
            <w:r w:rsidRPr="004C497D">
              <w:rPr>
                <w:sz w:val="22"/>
                <w:szCs w:val="22"/>
              </w:rPr>
              <w:t xml:space="preserve"> i funkcjonariusza </w:t>
            </w:r>
            <w:r w:rsidRPr="004C497D">
              <w:rPr>
                <w:rFonts w:eastAsia="Calibri"/>
                <w:sz w:val="22"/>
                <w:szCs w:val="22"/>
              </w:rPr>
              <w:t>uzyskującego</w:t>
            </w:r>
            <w:r w:rsidRPr="004C497D">
              <w:rPr>
                <w:sz w:val="22"/>
                <w:szCs w:val="22"/>
              </w:rPr>
              <w:t xml:space="preserve"> te dane, ich rodzaj, cel uzyskania oraz czas, w którym </w:t>
            </w:r>
            <w:r w:rsidRPr="004C497D">
              <w:rPr>
                <w:rFonts w:eastAsia="Calibri"/>
                <w:sz w:val="22"/>
                <w:szCs w:val="22"/>
              </w:rPr>
              <w:t>zostały</w:t>
            </w:r>
            <w:r w:rsidRPr="004C497D">
              <w:rPr>
                <w:sz w:val="22"/>
                <w:szCs w:val="22"/>
              </w:rPr>
              <w:t xml:space="preserve"> uzyskane.</w:t>
            </w:r>
          </w:p>
          <w:p w14:paraId="0387B4AD" w14:textId="42924A4C" w:rsidR="00595DE1" w:rsidRPr="004C497D" w:rsidRDefault="00595DE1" w:rsidP="004C497D">
            <w:pPr>
              <w:pStyle w:val="Bezodstpw"/>
              <w:jc w:val="both"/>
              <w:rPr>
                <w:rFonts w:ascii="Times New Roman" w:hAnsi="Times New Roman" w:cs="Times New Roman"/>
              </w:rPr>
            </w:pPr>
            <w:r w:rsidRPr="004C497D">
              <w:rPr>
                <w:rFonts w:ascii="Times New Roman" w:hAnsi="Times New Roman" w:cs="Times New Roman"/>
              </w:rPr>
              <w:t xml:space="preserve">Ponadto, </w:t>
            </w:r>
            <w:r w:rsidRPr="004C497D">
              <w:rPr>
                <w:rFonts w:ascii="Times New Roman" w:eastAsia="Calibri" w:hAnsi="Times New Roman" w:cs="Times New Roman"/>
              </w:rPr>
              <w:t>należy</w:t>
            </w:r>
            <w:r w:rsidRPr="004C497D">
              <w:rPr>
                <w:rFonts w:ascii="Times New Roman" w:hAnsi="Times New Roman" w:cs="Times New Roman"/>
              </w:rPr>
              <w:t xml:space="preserve"> </w:t>
            </w:r>
            <w:r w:rsidRPr="004C497D">
              <w:rPr>
                <w:rFonts w:ascii="Times New Roman" w:eastAsia="Calibri" w:hAnsi="Times New Roman" w:cs="Times New Roman"/>
              </w:rPr>
              <w:t>mieć</w:t>
            </w:r>
            <w:r w:rsidRPr="004C497D">
              <w:rPr>
                <w:rFonts w:ascii="Times New Roman" w:hAnsi="Times New Roman" w:cs="Times New Roman"/>
              </w:rPr>
              <w:t xml:space="preserve"> na uwadze, </w:t>
            </w:r>
            <w:r w:rsidRPr="004C497D">
              <w:rPr>
                <w:rFonts w:ascii="Times New Roman" w:eastAsia="Calibri" w:hAnsi="Times New Roman" w:cs="Times New Roman"/>
              </w:rPr>
              <w:t>że</w:t>
            </w:r>
            <w:r w:rsidRPr="004C497D">
              <w:rPr>
                <w:rFonts w:ascii="Times New Roman" w:hAnsi="Times New Roman" w:cs="Times New Roman"/>
              </w:rPr>
              <w:t xml:space="preserve"> wprowadzenie jednolitego sposobu odnotowywania i przechowywania informacji </w:t>
            </w:r>
            <w:r w:rsidRPr="004C497D">
              <w:rPr>
                <w:rFonts w:ascii="Times New Roman" w:eastAsia="Calibri" w:hAnsi="Times New Roman" w:cs="Times New Roman"/>
              </w:rPr>
              <w:t>dotyczących</w:t>
            </w:r>
            <w:r w:rsidRPr="004C497D">
              <w:rPr>
                <w:rFonts w:ascii="Times New Roman" w:hAnsi="Times New Roman" w:cs="Times New Roman"/>
              </w:rPr>
              <w:t xml:space="preserve"> faktu </w:t>
            </w:r>
            <w:r w:rsidRPr="004C497D">
              <w:rPr>
                <w:rFonts w:ascii="Times New Roman" w:eastAsia="Calibri" w:hAnsi="Times New Roman" w:cs="Times New Roman"/>
              </w:rPr>
              <w:t>udostępnienia</w:t>
            </w:r>
            <w:r w:rsidRPr="004C497D">
              <w:rPr>
                <w:rFonts w:ascii="Times New Roman" w:hAnsi="Times New Roman" w:cs="Times New Roman"/>
              </w:rPr>
              <w:t xml:space="preserve"> </w:t>
            </w:r>
            <w:r w:rsidRPr="004C497D">
              <w:rPr>
                <w:rFonts w:ascii="Times New Roman" w:eastAsia="Calibri" w:hAnsi="Times New Roman" w:cs="Times New Roman"/>
              </w:rPr>
              <w:t>upoważnionemu</w:t>
            </w:r>
            <w:r w:rsidRPr="004C497D">
              <w:rPr>
                <w:rFonts w:ascii="Times New Roman" w:hAnsi="Times New Roman" w:cs="Times New Roman"/>
              </w:rPr>
              <w:t xml:space="preserve"> przedstawicielowi uprawnionego podmiotu, </w:t>
            </w:r>
            <w:r w:rsidRPr="004C497D">
              <w:rPr>
                <w:rFonts w:ascii="Times New Roman" w:eastAsia="Calibri" w:hAnsi="Times New Roman" w:cs="Times New Roman"/>
              </w:rPr>
              <w:t>sądu</w:t>
            </w:r>
            <w:r w:rsidRPr="004C497D">
              <w:rPr>
                <w:rFonts w:ascii="Times New Roman" w:hAnsi="Times New Roman" w:cs="Times New Roman"/>
              </w:rPr>
              <w:t xml:space="preserve"> lub prokuratora </w:t>
            </w:r>
            <w:r w:rsidRPr="004C497D">
              <w:rPr>
                <w:rFonts w:ascii="Times New Roman" w:eastAsia="Calibri" w:hAnsi="Times New Roman" w:cs="Times New Roman"/>
              </w:rPr>
              <w:t>uzyskującego</w:t>
            </w:r>
            <w:r w:rsidRPr="004C497D">
              <w:rPr>
                <w:rFonts w:ascii="Times New Roman" w:hAnsi="Times New Roman" w:cs="Times New Roman"/>
              </w:rPr>
              <w:t xml:space="preserve"> dane, rodzaju danych oraz czasu, w</w:t>
            </w:r>
            <w:r w:rsidR="00D84AD7">
              <w:rPr>
                <w:rFonts w:ascii="Times New Roman" w:hAnsi="Times New Roman" w:cs="Times New Roman"/>
              </w:rPr>
              <w:t> </w:t>
            </w:r>
            <w:r w:rsidRPr="004C497D">
              <w:rPr>
                <w:rFonts w:ascii="Times New Roman" w:hAnsi="Times New Roman" w:cs="Times New Roman"/>
              </w:rPr>
              <w:t xml:space="preserve">którym </w:t>
            </w:r>
            <w:r w:rsidRPr="004C497D">
              <w:rPr>
                <w:rFonts w:ascii="Times New Roman" w:eastAsia="Calibri" w:hAnsi="Times New Roman" w:cs="Times New Roman"/>
              </w:rPr>
              <w:t>zostały</w:t>
            </w:r>
            <w:r w:rsidRPr="004C497D">
              <w:rPr>
                <w:rFonts w:ascii="Times New Roman" w:hAnsi="Times New Roman" w:cs="Times New Roman"/>
              </w:rPr>
              <w:t xml:space="preserve"> uzyskane spowoduje </w:t>
            </w:r>
            <w:r w:rsidRPr="004C497D">
              <w:rPr>
                <w:rFonts w:ascii="Times New Roman" w:eastAsia="Calibri" w:hAnsi="Times New Roman" w:cs="Times New Roman"/>
              </w:rPr>
              <w:t>nałożenie</w:t>
            </w:r>
            <w:r w:rsidRPr="004C497D">
              <w:rPr>
                <w:rFonts w:ascii="Times New Roman" w:hAnsi="Times New Roman" w:cs="Times New Roman"/>
              </w:rPr>
              <w:t xml:space="preserve"> na </w:t>
            </w:r>
            <w:r w:rsidRPr="004C497D">
              <w:rPr>
                <w:rFonts w:ascii="Times New Roman" w:eastAsia="Calibri" w:hAnsi="Times New Roman" w:cs="Times New Roman"/>
              </w:rPr>
              <w:t>przedsiębiorców</w:t>
            </w:r>
            <w:r w:rsidRPr="004C497D">
              <w:rPr>
                <w:rFonts w:ascii="Times New Roman" w:hAnsi="Times New Roman" w:cs="Times New Roman"/>
              </w:rPr>
              <w:t xml:space="preserve"> telekomunikacyjnych dodatkowych </w:t>
            </w:r>
            <w:r w:rsidRPr="004C497D">
              <w:rPr>
                <w:rFonts w:ascii="Times New Roman" w:eastAsia="Calibri" w:hAnsi="Times New Roman" w:cs="Times New Roman"/>
              </w:rPr>
              <w:t>obowiązków</w:t>
            </w:r>
            <w:r w:rsidRPr="004C497D">
              <w:rPr>
                <w:rFonts w:ascii="Times New Roman" w:hAnsi="Times New Roman" w:cs="Times New Roman"/>
              </w:rPr>
              <w:t xml:space="preserve"> i </w:t>
            </w:r>
            <w:r w:rsidRPr="004C497D">
              <w:rPr>
                <w:rFonts w:ascii="Times New Roman" w:eastAsia="Calibri" w:hAnsi="Times New Roman" w:cs="Times New Roman"/>
              </w:rPr>
              <w:t>skutkować</w:t>
            </w:r>
            <w:r w:rsidRPr="004C497D">
              <w:rPr>
                <w:rFonts w:ascii="Times New Roman" w:hAnsi="Times New Roman" w:cs="Times New Roman"/>
              </w:rPr>
              <w:t xml:space="preserve"> </w:t>
            </w:r>
            <w:r w:rsidRPr="004C497D">
              <w:rPr>
                <w:rFonts w:ascii="Times New Roman" w:eastAsia="Calibri" w:hAnsi="Times New Roman" w:cs="Times New Roman"/>
              </w:rPr>
              <w:t>będzie</w:t>
            </w:r>
            <w:r w:rsidRPr="004C497D">
              <w:rPr>
                <w:rFonts w:ascii="Times New Roman" w:hAnsi="Times New Roman" w:cs="Times New Roman"/>
              </w:rPr>
              <w:t xml:space="preserve"> </w:t>
            </w:r>
            <w:r w:rsidRPr="004C497D">
              <w:rPr>
                <w:rFonts w:ascii="Times New Roman" w:eastAsia="Calibri" w:hAnsi="Times New Roman" w:cs="Times New Roman"/>
              </w:rPr>
              <w:t>koniecznością</w:t>
            </w:r>
            <w:r w:rsidRPr="004C497D">
              <w:rPr>
                <w:rFonts w:ascii="Times New Roman" w:hAnsi="Times New Roman" w:cs="Times New Roman"/>
              </w:rPr>
              <w:t xml:space="preserve"> poniesienia </w:t>
            </w:r>
            <w:r w:rsidRPr="004C497D">
              <w:rPr>
                <w:rFonts w:ascii="Times New Roman" w:eastAsia="Calibri" w:hAnsi="Times New Roman" w:cs="Times New Roman"/>
              </w:rPr>
              <w:t>nakładów</w:t>
            </w:r>
            <w:r w:rsidRPr="004C497D">
              <w:rPr>
                <w:rFonts w:ascii="Times New Roman" w:hAnsi="Times New Roman" w:cs="Times New Roman"/>
              </w:rPr>
              <w:t xml:space="preserve"> finansowych w celu dostosowania posiadanych </w:t>
            </w:r>
            <w:r w:rsidRPr="004C497D">
              <w:rPr>
                <w:rFonts w:ascii="Times New Roman" w:eastAsia="Calibri" w:hAnsi="Times New Roman" w:cs="Times New Roman"/>
              </w:rPr>
              <w:t>rozwiązań</w:t>
            </w:r>
            <w:r w:rsidRPr="004C497D">
              <w:rPr>
                <w:rFonts w:ascii="Times New Roman" w:hAnsi="Times New Roman" w:cs="Times New Roman"/>
              </w:rPr>
              <w:t xml:space="preserve"> do postulatów, które </w:t>
            </w:r>
            <w:r w:rsidRPr="004C497D">
              <w:rPr>
                <w:rFonts w:ascii="Times New Roman" w:eastAsia="Calibri" w:hAnsi="Times New Roman" w:cs="Times New Roman"/>
              </w:rPr>
              <w:t>zostałyby</w:t>
            </w:r>
            <w:r w:rsidRPr="004C497D">
              <w:rPr>
                <w:rFonts w:ascii="Times New Roman" w:hAnsi="Times New Roman" w:cs="Times New Roman"/>
              </w:rPr>
              <w:t xml:space="preserve"> </w:t>
            </w:r>
            <w:r w:rsidRPr="004C497D">
              <w:rPr>
                <w:rFonts w:ascii="Times New Roman" w:eastAsia="Calibri" w:hAnsi="Times New Roman" w:cs="Times New Roman"/>
              </w:rPr>
              <w:t>określone</w:t>
            </w:r>
            <w:r w:rsidRPr="004C497D">
              <w:rPr>
                <w:rFonts w:ascii="Times New Roman" w:hAnsi="Times New Roman" w:cs="Times New Roman"/>
              </w:rPr>
              <w:t xml:space="preserve"> w</w:t>
            </w:r>
            <w:r w:rsidR="00D84AD7">
              <w:rPr>
                <w:rFonts w:ascii="Times New Roman" w:hAnsi="Times New Roman" w:cs="Times New Roman"/>
              </w:rPr>
              <w:t> </w:t>
            </w:r>
            <w:r w:rsidRPr="004C497D">
              <w:rPr>
                <w:rFonts w:ascii="Times New Roman" w:hAnsi="Times New Roman" w:cs="Times New Roman"/>
              </w:rPr>
              <w:t xml:space="preserve">przepisach </w:t>
            </w:r>
            <w:r w:rsidR="00BF5B87">
              <w:rPr>
                <w:rFonts w:ascii="Times New Roman" w:hAnsi="Times New Roman" w:cs="Times New Roman"/>
              </w:rPr>
              <w:t xml:space="preserve">projektowanego </w:t>
            </w:r>
            <w:r w:rsidRPr="004C497D">
              <w:rPr>
                <w:rFonts w:ascii="Times New Roman" w:eastAsia="Calibri" w:hAnsi="Times New Roman" w:cs="Times New Roman"/>
              </w:rPr>
              <w:t>rozporządzenia.</w:t>
            </w:r>
          </w:p>
        </w:tc>
      </w:tr>
    </w:tbl>
    <w:p w14:paraId="190C04C4" w14:textId="77777777" w:rsidR="00DF4527" w:rsidRPr="004C497D" w:rsidRDefault="00DF4527" w:rsidP="00D841A6">
      <w:pPr>
        <w:pStyle w:val="Bezodstpw"/>
        <w:spacing w:line="276" w:lineRule="auto"/>
        <w:rPr>
          <w:rFonts w:ascii="Times New Roman" w:hAnsi="Times New Roman" w:cs="Times New Roman"/>
          <w:b/>
          <w:bCs/>
        </w:rPr>
      </w:pPr>
    </w:p>
    <w:sectPr w:rsidR="00DF4527" w:rsidRPr="004C497D" w:rsidSect="00D841A6">
      <w:pgSz w:w="16838" w:h="11906" w:orient="landscape"/>
      <w:pgMar w:top="537" w:right="720" w:bottom="720" w:left="720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B40E8F" w14:textId="77777777" w:rsidR="001A13FC" w:rsidRDefault="001A13FC" w:rsidP="00D841A6">
      <w:r>
        <w:separator/>
      </w:r>
    </w:p>
  </w:endnote>
  <w:endnote w:type="continuationSeparator" w:id="0">
    <w:p w14:paraId="76CCF7D9" w14:textId="77777777" w:rsidR="001A13FC" w:rsidRDefault="001A13FC" w:rsidP="00D84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5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B9494E" w14:textId="77777777" w:rsidR="001A13FC" w:rsidRDefault="001A13FC" w:rsidP="00D841A6">
      <w:r>
        <w:separator/>
      </w:r>
    </w:p>
  </w:footnote>
  <w:footnote w:type="continuationSeparator" w:id="0">
    <w:p w14:paraId="5EB09952" w14:textId="77777777" w:rsidR="001A13FC" w:rsidRDefault="001A13FC" w:rsidP="00D84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C3C92"/>
    <w:multiLevelType w:val="hybridMultilevel"/>
    <w:tmpl w:val="367695EA"/>
    <w:lvl w:ilvl="0" w:tplc="9E16207A">
      <w:start w:val="1"/>
      <w:numFmt w:val="decimal"/>
      <w:lvlText w:val="%1)"/>
      <w:lvlJc w:val="left"/>
      <w:pPr>
        <w:ind w:left="3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064BC7E">
      <w:start w:val="1"/>
      <w:numFmt w:val="lowerLetter"/>
      <w:lvlText w:val="%2"/>
      <w:lvlJc w:val="left"/>
      <w:pPr>
        <w:ind w:left="143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5E25830">
      <w:start w:val="1"/>
      <w:numFmt w:val="lowerRoman"/>
      <w:lvlText w:val="%3"/>
      <w:lvlJc w:val="left"/>
      <w:pPr>
        <w:ind w:left="215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DB8804E">
      <w:start w:val="1"/>
      <w:numFmt w:val="decimal"/>
      <w:lvlText w:val="%4"/>
      <w:lvlJc w:val="left"/>
      <w:pPr>
        <w:ind w:left="287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2F2BDD2">
      <w:start w:val="1"/>
      <w:numFmt w:val="lowerLetter"/>
      <w:lvlText w:val="%5"/>
      <w:lvlJc w:val="left"/>
      <w:pPr>
        <w:ind w:left="359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C6E63C0">
      <w:start w:val="1"/>
      <w:numFmt w:val="lowerRoman"/>
      <w:lvlText w:val="%6"/>
      <w:lvlJc w:val="left"/>
      <w:pPr>
        <w:ind w:left="431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E86546E">
      <w:start w:val="1"/>
      <w:numFmt w:val="decimal"/>
      <w:lvlText w:val="%7"/>
      <w:lvlJc w:val="left"/>
      <w:pPr>
        <w:ind w:left="503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D49486">
      <w:start w:val="1"/>
      <w:numFmt w:val="lowerLetter"/>
      <w:lvlText w:val="%8"/>
      <w:lvlJc w:val="left"/>
      <w:pPr>
        <w:ind w:left="575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63AC3B2">
      <w:start w:val="1"/>
      <w:numFmt w:val="lowerRoman"/>
      <w:lvlText w:val="%9"/>
      <w:lvlJc w:val="left"/>
      <w:pPr>
        <w:ind w:left="647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F67F91"/>
    <w:multiLevelType w:val="hybridMultilevel"/>
    <w:tmpl w:val="46BAE420"/>
    <w:lvl w:ilvl="0" w:tplc="7DD4A444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2D3939"/>
    <w:multiLevelType w:val="hybridMultilevel"/>
    <w:tmpl w:val="212E3882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C95904"/>
    <w:multiLevelType w:val="hybridMultilevel"/>
    <w:tmpl w:val="58EA8596"/>
    <w:lvl w:ilvl="0" w:tplc="D40EA03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5510F2"/>
    <w:multiLevelType w:val="hybridMultilevel"/>
    <w:tmpl w:val="E612FEB6"/>
    <w:lvl w:ilvl="0" w:tplc="D40EA03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536BFB"/>
    <w:multiLevelType w:val="hybridMultilevel"/>
    <w:tmpl w:val="804ED034"/>
    <w:lvl w:ilvl="0" w:tplc="0415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num w:numId="1" w16cid:durableId="1486359420">
    <w:abstractNumId w:val="1"/>
  </w:num>
  <w:num w:numId="2" w16cid:durableId="408967821">
    <w:abstractNumId w:val="2"/>
  </w:num>
  <w:num w:numId="3" w16cid:durableId="589582081">
    <w:abstractNumId w:val="3"/>
  </w:num>
  <w:num w:numId="4" w16cid:durableId="1833519782">
    <w:abstractNumId w:val="5"/>
  </w:num>
  <w:num w:numId="5" w16cid:durableId="1174032451">
    <w:abstractNumId w:val="4"/>
  </w:num>
  <w:num w:numId="6" w16cid:durableId="4674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B75"/>
    <w:rsid w:val="00021A18"/>
    <w:rsid w:val="00050B75"/>
    <w:rsid w:val="00060072"/>
    <w:rsid w:val="00075328"/>
    <w:rsid w:val="00087092"/>
    <w:rsid w:val="000A2410"/>
    <w:rsid w:val="000B394D"/>
    <w:rsid w:val="000E3924"/>
    <w:rsid w:val="000E5E81"/>
    <w:rsid w:val="000F693C"/>
    <w:rsid w:val="00105E79"/>
    <w:rsid w:val="00110686"/>
    <w:rsid w:val="00111205"/>
    <w:rsid w:val="0012268F"/>
    <w:rsid w:val="00151142"/>
    <w:rsid w:val="00175898"/>
    <w:rsid w:val="001A13FC"/>
    <w:rsid w:val="001C2111"/>
    <w:rsid w:val="001D14B4"/>
    <w:rsid w:val="001E7CC5"/>
    <w:rsid w:val="00214AF9"/>
    <w:rsid w:val="00227F6F"/>
    <w:rsid w:val="002730BB"/>
    <w:rsid w:val="00282E5D"/>
    <w:rsid w:val="0029361D"/>
    <w:rsid w:val="002B7F97"/>
    <w:rsid w:val="002D523F"/>
    <w:rsid w:val="002E67DA"/>
    <w:rsid w:val="0031626A"/>
    <w:rsid w:val="003252B9"/>
    <w:rsid w:val="00334844"/>
    <w:rsid w:val="003559AF"/>
    <w:rsid w:val="003912B1"/>
    <w:rsid w:val="00396DAE"/>
    <w:rsid w:val="00397CC1"/>
    <w:rsid w:val="003E0F79"/>
    <w:rsid w:val="003E72AA"/>
    <w:rsid w:val="003E7744"/>
    <w:rsid w:val="003F34F9"/>
    <w:rsid w:val="0041459A"/>
    <w:rsid w:val="00417CEA"/>
    <w:rsid w:val="00423B83"/>
    <w:rsid w:val="0043165B"/>
    <w:rsid w:val="00431D75"/>
    <w:rsid w:val="00436EBB"/>
    <w:rsid w:val="00446B60"/>
    <w:rsid w:val="00462D98"/>
    <w:rsid w:val="00471299"/>
    <w:rsid w:val="00496680"/>
    <w:rsid w:val="004A44A3"/>
    <w:rsid w:val="004C0B30"/>
    <w:rsid w:val="004C497D"/>
    <w:rsid w:val="004C4A93"/>
    <w:rsid w:val="004D06A1"/>
    <w:rsid w:val="004F4084"/>
    <w:rsid w:val="004F669B"/>
    <w:rsid w:val="0051425A"/>
    <w:rsid w:val="0051514D"/>
    <w:rsid w:val="00525C4F"/>
    <w:rsid w:val="005272CC"/>
    <w:rsid w:val="00530DC5"/>
    <w:rsid w:val="00533B14"/>
    <w:rsid w:val="005347E4"/>
    <w:rsid w:val="00552AE5"/>
    <w:rsid w:val="00554AA1"/>
    <w:rsid w:val="00566ACF"/>
    <w:rsid w:val="00574C11"/>
    <w:rsid w:val="0057644A"/>
    <w:rsid w:val="00591560"/>
    <w:rsid w:val="00595DE1"/>
    <w:rsid w:val="005A645A"/>
    <w:rsid w:val="005B123B"/>
    <w:rsid w:val="005E4AEA"/>
    <w:rsid w:val="0062103A"/>
    <w:rsid w:val="0062294E"/>
    <w:rsid w:val="0064569A"/>
    <w:rsid w:val="00654828"/>
    <w:rsid w:val="00662CE9"/>
    <w:rsid w:val="006972BE"/>
    <w:rsid w:val="006B2DFB"/>
    <w:rsid w:val="006C234B"/>
    <w:rsid w:val="006E5787"/>
    <w:rsid w:val="006E7782"/>
    <w:rsid w:val="006F492C"/>
    <w:rsid w:val="00705AAB"/>
    <w:rsid w:val="00724868"/>
    <w:rsid w:val="00726567"/>
    <w:rsid w:val="0073707A"/>
    <w:rsid w:val="0074115F"/>
    <w:rsid w:val="0074319A"/>
    <w:rsid w:val="007575A6"/>
    <w:rsid w:val="00767CD4"/>
    <w:rsid w:val="00777F8A"/>
    <w:rsid w:val="007B5746"/>
    <w:rsid w:val="007C2209"/>
    <w:rsid w:val="007C53D0"/>
    <w:rsid w:val="007C6FA0"/>
    <w:rsid w:val="007F1E4C"/>
    <w:rsid w:val="007F66E5"/>
    <w:rsid w:val="008152E1"/>
    <w:rsid w:val="00822E68"/>
    <w:rsid w:val="008430F4"/>
    <w:rsid w:val="008459C8"/>
    <w:rsid w:val="00881BBD"/>
    <w:rsid w:val="0088443B"/>
    <w:rsid w:val="0088536F"/>
    <w:rsid w:val="00887243"/>
    <w:rsid w:val="008D09F7"/>
    <w:rsid w:val="008D560C"/>
    <w:rsid w:val="008D6C95"/>
    <w:rsid w:val="008F4AF2"/>
    <w:rsid w:val="008F585C"/>
    <w:rsid w:val="0091419D"/>
    <w:rsid w:val="00921CF2"/>
    <w:rsid w:val="009253FE"/>
    <w:rsid w:val="00972FE6"/>
    <w:rsid w:val="009753A3"/>
    <w:rsid w:val="0099273F"/>
    <w:rsid w:val="009936E2"/>
    <w:rsid w:val="009A05B3"/>
    <w:rsid w:val="009A2493"/>
    <w:rsid w:val="009A5D25"/>
    <w:rsid w:val="009A6E0D"/>
    <w:rsid w:val="009B0D83"/>
    <w:rsid w:val="009D0595"/>
    <w:rsid w:val="00A01734"/>
    <w:rsid w:val="00A37947"/>
    <w:rsid w:val="00A40918"/>
    <w:rsid w:val="00A410EF"/>
    <w:rsid w:val="00A620EC"/>
    <w:rsid w:val="00A63814"/>
    <w:rsid w:val="00A675BC"/>
    <w:rsid w:val="00A90E9F"/>
    <w:rsid w:val="00A9454E"/>
    <w:rsid w:val="00AF0257"/>
    <w:rsid w:val="00B0199B"/>
    <w:rsid w:val="00B0728D"/>
    <w:rsid w:val="00B135DF"/>
    <w:rsid w:val="00B142E2"/>
    <w:rsid w:val="00B20DFA"/>
    <w:rsid w:val="00B23985"/>
    <w:rsid w:val="00B37681"/>
    <w:rsid w:val="00B54C55"/>
    <w:rsid w:val="00B66B8E"/>
    <w:rsid w:val="00B66BB2"/>
    <w:rsid w:val="00B8016C"/>
    <w:rsid w:val="00B82022"/>
    <w:rsid w:val="00BC2179"/>
    <w:rsid w:val="00BD2374"/>
    <w:rsid w:val="00BD2BBF"/>
    <w:rsid w:val="00BF0B52"/>
    <w:rsid w:val="00BF5B87"/>
    <w:rsid w:val="00C0320C"/>
    <w:rsid w:val="00C105BD"/>
    <w:rsid w:val="00C249FE"/>
    <w:rsid w:val="00C33E06"/>
    <w:rsid w:val="00C35730"/>
    <w:rsid w:val="00C61D85"/>
    <w:rsid w:val="00C660AD"/>
    <w:rsid w:val="00CB5944"/>
    <w:rsid w:val="00CB72F9"/>
    <w:rsid w:val="00CE21F8"/>
    <w:rsid w:val="00CF6ED4"/>
    <w:rsid w:val="00CF7A97"/>
    <w:rsid w:val="00D06704"/>
    <w:rsid w:val="00D17F79"/>
    <w:rsid w:val="00D25575"/>
    <w:rsid w:val="00D33B90"/>
    <w:rsid w:val="00D34D82"/>
    <w:rsid w:val="00D43C7C"/>
    <w:rsid w:val="00D80C9C"/>
    <w:rsid w:val="00D841A6"/>
    <w:rsid w:val="00D84AD7"/>
    <w:rsid w:val="00DA6AF0"/>
    <w:rsid w:val="00DF2ECD"/>
    <w:rsid w:val="00DF4527"/>
    <w:rsid w:val="00DF58E7"/>
    <w:rsid w:val="00E337F5"/>
    <w:rsid w:val="00E65C89"/>
    <w:rsid w:val="00EB0B5D"/>
    <w:rsid w:val="00EE7E41"/>
    <w:rsid w:val="00EF5063"/>
    <w:rsid w:val="00EF664D"/>
    <w:rsid w:val="00F03FE6"/>
    <w:rsid w:val="00F15832"/>
    <w:rsid w:val="00F26242"/>
    <w:rsid w:val="00F26B11"/>
    <w:rsid w:val="00F3088A"/>
    <w:rsid w:val="00F30BF2"/>
    <w:rsid w:val="00F40A4F"/>
    <w:rsid w:val="00F42A24"/>
    <w:rsid w:val="00F54180"/>
    <w:rsid w:val="00F65B1A"/>
    <w:rsid w:val="00F75D43"/>
    <w:rsid w:val="00F8587B"/>
    <w:rsid w:val="00FB6F7E"/>
    <w:rsid w:val="00FC0280"/>
    <w:rsid w:val="00FC34E8"/>
    <w:rsid w:val="00FD4283"/>
    <w:rsid w:val="00FF3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9F39F7"/>
  <w15:chartTrackingRefBased/>
  <w15:docId w15:val="{93B21FEE-3A9F-44A9-A3D0-188F83634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1A18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50B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50B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50B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50B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50B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50B7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50B7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50B7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50B7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50B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50B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50B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50B7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50B7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50B7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50B7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50B7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50B7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50B7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50B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50B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50B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50B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50B7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50B7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50B7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50B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50B7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50B75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DF4527"/>
    <w:pPr>
      <w:spacing w:after="0" w:line="240" w:lineRule="auto"/>
    </w:pPr>
  </w:style>
  <w:style w:type="table" w:styleId="Tabela-Siatka">
    <w:name w:val="Table Grid"/>
    <w:basedOn w:val="Standardowy"/>
    <w:uiPriority w:val="39"/>
    <w:rsid w:val="00DF45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uiPriority w:val="99"/>
    <w:unhideWhenUsed/>
    <w:rsid w:val="00021A18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21A18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rsid w:val="00021A1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021A18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paragraph" w:styleId="Poprawka">
    <w:name w:val="Revision"/>
    <w:hidden/>
    <w:uiPriority w:val="99"/>
    <w:semiHidden/>
    <w:rsid w:val="00A9454E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559AF"/>
    <w:rPr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841A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841A6"/>
    <w:rPr>
      <w:rFonts w:ascii="Times New Roman" w:eastAsia="Times New Roman" w:hAnsi="Times New Roman" w:cs="Times New Roman"/>
      <w:kern w:val="0"/>
      <w:sz w:val="28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841A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841A6"/>
    <w:rPr>
      <w:rFonts w:ascii="Times New Roman" w:eastAsia="Times New Roman" w:hAnsi="Times New Roman" w:cs="Times New Roman"/>
      <w:kern w:val="0"/>
      <w:sz w:val="28"/>
      <w:szCs w:val="2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74C11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74C11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74C1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080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279E0C-216C-4DB3-B615-09A73CE3C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1681</Words>
  <Characters>10091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Muszyński Marcin</dc:creator>
  <cp:keywords/>
  <dc:description/>
  <cp:lastModifiedBy>Markowska Anna</cp:lastModifiedBy>
  <cp:revision>9</cp:revision>
  <dcterms:created xsi:type="dcterms:W3CDTF">2026-08-13T10:41:00Z</dcterms:created>
  <dcterms:modified xsi:type="dcterms:W3CDTF">2026-08-26T16:46:00Z</dcterms:modified>
</cp:coreProperties>
</file>