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0BE" w:rsidRDefault="00D870BE">
      <w:pPr>
        <w:spacing w:line="276" w:lineRule="auto"/>
        <w:jc w:val="both"/>
        <w:rPr>
          <w:rFonts w:ascii="Montserrat" w:hAnsi="Montserrat"/>
        </w:rPr>
      </w:pPr>
      <w:bookmarkStart w:id="0" w:name="_GoBack"/>
      <w:bookmarkEnd w:id="0"/>
    </w:p>
    <w:p w:rsidR="00D870BE" w:rsidRDefault="00073751">
      <w:pPr>
        <w:spacing w:line="276" w:lineRule="auto"/>
        <w:jc w:val="center"/>
      </w:pPr>
      <w:r>
        <w:rPr>
          <w:rFonts w:ascii="Montserrat" w:hAnsi="Montserrat" w:cs="Calibri"/>
          <w:b/>
          <w:bCs/>
          <w:sz w:val="22"/>
          <w:szCs w:val="22"/>
        </w:rPr>
        <w:t>Harmonogram spotkań konsultacyjnych dotyczących</w:t>
      </w:r>
    </w:p>
    <w:p w:rsidR="00D870BE" w:rsidRDefault="00073751">
      <w:pPr>
        <w:spacing w:line="276" w:lineRule="auto"/>
        <w:jc w:val="center"/>
      </w:pPr>
      <w:r>
        <w:rPr>
          <w:rFonts w:ascii="Montserrat" w:hAnsi="Montserrat" w:cs="Calibri"/>
          <w:b/>
          <w:bCs/>
          <w:sz w:val="22"/>
          <w:szCs w:val="22"/>
        </w:rPr>
        <w:t xml:space="preserve">projektów jedenastu Planów utrzymania wód w regionach wodnych, </w:t>
      </w:r>
    </w:p>
    <w:p w:rsidR="00D870BE" w:rsidRDefault="00073751">
      <w:pPr>
        <w:spacing w:line="276" w:lineRule="auto"/>
        <w:jc w:val="center"/>
      </w:pPr>
      <w:r>
        <w:rPr>
          <w:rFonts w:ascii="Montserrat" w:hAnsi="Montserrat" w:cs="Calibri"/>
          <w:b/>
          <w:bCs/>
          <w:sz w:val="22"/>
          <w:szCs w:val="22"/>
        </w:rPr>
        <w:t xml:space="preserve">na obszarach działania PGW Wody Polskie Regionalnych Zarządów Gospodarki Wodnej oraz sporządzonych dla tych dokumentów Prognoz oddziaływania na środowisko. </w:t>
      </w:r>
    </w:p>
    <w:p w:rsidR="00D870BE" w:rsidRDefault="00D870BE">
      <w:pPr>
        <w:spacing w:line="276" w:lineRule="auto"/>
        <w:jc w:val="center"/>
        <w:rPr>
          <w:rFonts w:ascii="Montserrat" w:hAnsi="Montserrat" w:cs="Calibri"/>
          <w:b/>
          <w:bCs/>
          <w:sz w:val="22"/>
          <w:szCs w:val="22"/>
        </w:rPr>
      </w:pPr>
    </w:p>
    <w:tbl>
      <w:tblPr>
        <w:tblpPr w:leftFromText="180" w:rightFromText="180" w:topFromText="180" w:bottomFromText="180" w:vertAnchor="text" w:tblpX="-434"/>
        <w:tblW w:w="9915" w:type="dxa"/>
        <w:tblLayout w:type="fixed"/>
        <w:tblLook w:val="0600" w:firstRow="0" w:lastRow="0" w:firstColumn="0" w:lastColumn="0" w:noHBand="1" w:noVBand="1"/>
      </w:tblPr>
      <w:tblGrid>
        <w:gridCol w:w="736"/>
        <w:gridCol w:w="2550"/>
        <w:gridCol w:w="1980"/>
        <w:gridCol w:w="4649"/>
      </w:tblGrid>
      <w:tr w:rsidR="00D870BE">
        <w:trPr>
          <w:cantSplit/>
          <w:tblHeader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b/>
                <w:highlight w:val="white"/>
              </w:rPr>
              <w:lastRenderedPageBreak/>
              <w:t>L.p.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b/>
              </w:rPr>
              <w:t>Data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b/>
              </w:rPr>
              <w:t>Nazwa RZGW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b/>
              </w:rPr>
              <w:t>Miejsce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7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Warszawie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PGW WP RZGW w Warszawie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Adres:</w:t>
            </w:r>
            <w:r>
              <w:t xml:space="preserve"> Zarzecze 13B, </w:t>
            </w:r>
            <w:r>
              <w:br/>
              <w:t>03-194 Warszawa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7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Białymstoku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Centrum Konferencyjne Stadion Miejski w Białymstoku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ul. Słoneczna 1, </w:t>
            </w:r>
            <w:r>
              <w:br/>
              <w:t>15-323 Białystok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8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Warszawie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Miejski Ośrodek Kultury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Parkowa 1, </w:t>
            </w:r>
            <w:r>
              <w:br/>
              <w:t xml:space="preserve">26-600 </w:t>
            </w:r>
            <w:r>
              <w:t>Radom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4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8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highlight w:val="white"/>
              </w:rPr>
              <w:t>RZGW w Białymstoku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Miejski Ośrodek Kultury w Olsztynie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Dąbrowszczaków 3, </w:t>
            </w:r>
            <w:r>
              <w:br/>
              <w:t>10-538 Olsztyn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5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9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Gliwicach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Centrum Konferencyjne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Jordana 18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Jordana 18, </w:t>
            </w:r>
            <w:r>
              <w:br/>
              <w:t>40-043 Katowice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9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highlight w:val="white"/>
              </w:rPr>
              <w:t>RZGW w Gdańsku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Centrum Dolna Brama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ul. Dolna Brama 8, </w:t>
            </w:r>
            <w:r>
              <w:br/>
              <w:t>80-821 Gdańsk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7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14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highlight w:val="white"/>
              </w:rPr>
              <w:t>RZGW w Krakowie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Sandomierskie Centrum Kultury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Rynek 20, </w:t>
            </w:r>
            <w:r>
              <w:br/>
              <w:t>27-610 Sandomierz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8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14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Gdańsku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Hotel FILMAR </w:t>
            </w:r>
            <w:r>
              <w:br/>
            </w:r>
            <w:r>
              <w:t xml:space="preserve">Adres: ul. Grudziądzka 45 </w:t>
            </w:r>
            <w:r>
              <w:br/>
              <w:t>87-100 Toruń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9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15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highlight w:val="white"/>
              </w:rPr>
              <w:t>RZGW w Lublinie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Wyższa Szkoła Przedsiębiorczości</w:t>
            </w:r>
            <w:r>
              <w:br/>
              <w:t xml:space="preserve">i Administracji w Lublinie </w:t>
            </w:r>
            <w:r>
              <w:br/>
              <w:t xml:space="preserve">Adres: ul. Bursaki 12, </w:t>
            </w:r>
            <w:r>
              <w:br/>
              <w:t>20-150 Lublin</w:t>
            </w:r>
          </w:p>
        </w:tc>
      </w:tr>
      <w:tr w:rsidR="00D870BE">
        <w:trPr>
          <w:cantSplit/>
          <w:trHeight w:val="848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10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15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Bydgoszczy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pStyle w:val="Tekstpodstawowy"/>
              <w:spacing w:after="142" w:line="240" w:lineRule="auto"/>
            </w:pPr>
            <w:r>
              <w:rPr>
                <w:sz w:val="24"/>
                <w:szCs w:val="24"/>
              </w:rPr>
              <w:t>Centrum Nauki i Kultury Młyny Rother</w:t>
            </w:r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br/>
              <w:t>ul. Mennica 10</w:t>
            </w:r>
            <w:r>
              <w:rPr>
                <w:sz w:val="24"/>
                <w:szCs w:val="24"/>
              </w:rPr>
              <w:br/>
              <w:t>85-112 Bydgoszcz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16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highlight w:val="white"/>
              </w:rPr>
              <w:t>RZGW w Lublinie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Akademia Bialska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ul. Sidorska 95/97, </w:t>
            </w:r>
            <w:r>
              <w:br/>
              <w:t>21-500 Biała Podlaska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16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Bydgoszczy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Pilskie TBS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Władysława Sikorskiego 82A, </w:t>
            </w:r>
            <w:r>
              <w:br/>
              <w:t>64-920 Piła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21 </w:t>
            </w:r>
            <w:r>
              <w:t>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Krakowie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Krakowie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Adres: Marszałka Józefa Piłsudskiego 22, 31-</w:t>
            </w:r>
            <w:r>
              <w:lastRenderedPageBreak/>
              <w:t>109 Kraków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lastRenderedPageBreak/>
              <w:t>14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21 stycznia 2025 r.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Szczecinie</w:t>
            </w:r>
          </w:p>
        </w:tc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Biblioteka Miejska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pl. Polonii 1, </w:t>
            </w:r>
            <w:r>
              <w:br/>
              <w:t>75-415 Koszalin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15</w:t>
            </w: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22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Rzeszowie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Rzeszowski </w:t>
            </w:r>
            <w:r>
              <w:t>Dom Kultury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ul. Staromiejska 43a, </w:t>
            </w:r>
            <w:r>
              <w:br/>
              <w:t>35-231 Rzeszów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16</w:t>
            </w: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22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Szczecinie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Towarzystwo Wiedzy Powszechnej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Potulicka 16, </w:t>
            </w:r>
            <w:r>
              <w:br/>
              <w:t>70-234 Szczecin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17</w:t>
            </w: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23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highlight w:val="white"/>
              </w:rPr>
              <w:t>RZGW w Rzeszowie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Generator Nauki GEN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Bednarska 2, </w:t>
            </w:r>
            <w:r>
              <w:br/>
              <w:t>38-200 Jasło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18</w:t>
            </w: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23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we Wrocławiu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RCAK - Regionalne Centrum Animacji Kultury w Zielonej Górze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11 Sienkiewicza, </w:t>
            </w:r>
            <w:r>
              <w:br/>
              <w:t>65-431 Zielona Góra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19</w:t>
            </w: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28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Gliwicach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Studenckie Centrum Kultury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Katowicka 95, </w:t>
            </w:r>
            <w:r>
              <w:br/>
              <w:t>45-061 Opole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20</w:t>
            </w: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28</w:t>
            </w:r>
            <w:r>
              <w:t xml:space="preserve">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we Wrocławiu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Centrum Aktywności Lokalnej na Przedmieściu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Prądzyńskiego 39a, </w:t>
            </w:r>
            <w:r>
              <w:br/>
              <w:t>50-433 Wrocław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21</w:t>
            </w: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29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Poznaniu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RZGW w Poznaniu</w:t>
            </w:r>
          </w:p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 xml:space="preserve">Adres: Chlebowa 4/8, </w:t>
            </w:r>
            <w:r>
              <w:br/>
              <w:t>61-003 Poznań</w:t>
            </w:r>
          </w:p>
        </w:tc>
      </w:tr>
      <w:tr w:rsidR="00D870BE">
        <w:trPr>
          <w:cantSplit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22</w:t>
            </w: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30 stycznia 2025 r.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rPr>
                <w:highlight w:val="white"/>
              </w:rPr>
              <w:t>RZGW w Poznaniu</w:t>
            </w:r>
          </w:p>
        </w:tc>
        <w:tc>
          <w:tcPr>
            <w:tcW w:w="4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0BE" w:rsidRDefault="00073751">
            <w:pPr>
              <w:widowControl w:val="0"/>
              <w:rPr>
                <w:rFonts w:ascii="Montserrat" w:hAnsi="Montserrat"/>
              </w:rPr>
            </w:pPr>
            <w:r>
              <w:t>Hotel Gorzów</w:t>
            </w:r>
            <w:r>
              <w:br/>
              <w:t>Adres: Walczaka 22</w:t>
            </w:r>
            <w:r>
              <w:br/>
              <w:t xml:space="preserve">66-400 Gorzów Wielkopolski </w:t>
            </w:r>
          </w:p>
        </w:tc>
      </w:tr>
    </w:tbl>
    <w:p w:rsidR="00D870BE" w:rsidRDefault="00D870BE">
      <w:pPr>
        <w:spacing w:after="120" w:line="276" w:lineRule="auto"/>
        <w:ind w:right="856"/>
        <w:jc w:val="both"/>
        <w:rPr>
          <w:rFonts w:ascii="Montserrat" w:hAnsi="Montserrat" w:cs="Calibri"/>
          <w:b/>
          <w:bCs/>
          <w:sz w:val="22"/>
          <w:szCs w:val="22"/>
        </w:rPr>
      </w:pPr>
    </w:p>
    <w:p w:rsidR="00D870BE" w:rsidRDefault="00073751">
      <w:pPr>
        <w:spacing w:after="120" w:line="276" w:lineRule="auto"/>
        <w:ind w:right="856"/>
        <w:jc w:val="both"/>
      </w:pPr>
      <w:r>
        <w:rPr>
          <w:rFonts w:ascii="Montserrat" w:hAnsi="Montserrat" w:cs="Calibri"/>
          <w:b/>
          <w:bCs/>
          <w:sz w:val="22"/>
          <w:szCs w:val="22"/>
        </w:rPr>
        <w:t xml:space="preserve">W przypadku pytań organizacyjnych prosimy o kontakt e-mail: </w:t>
      </w:r>
      <w:hyperlink r:id="rId8" w:tgtFrame="_top">
        <w:r>
          <w:rPr>
            <w:rStyle w:val="czeinternetowe"/>
            <w:rFonts w:ascii="Montserrat" w:hAnsi="Montserrat" w:cs="Calibri"/>
            <w:b/>
            <w:bCs/>
            <w:color w:val="000000"/>
            <w:sz w:val="22"/>
            <w:szCs w:val="22"/>
            <w:u w:val="none"/>
          </w:rPr>
          <w:t>konsultacje-puw@feps.pl</w:t>
        </w:r>
      </w:hyperlink>
      <w:r>
        <w:rPr>
          <w:rFonts w:ascii="Montserrat" w:hAnsi="Montserrat" w:cs="Calibri"/>
          <w:b/>
          <w:bCs/>
          <w:sz w:val="22"/>
          <w:szCs w:val="22"/>
        </w:rPr>
        <w:t xml:space="preserve"> </w:t>
      </w:r>
      <w:r>
        <w:rPr>
          <w:rFonts w:ascii="Montserrat" w:hAnsi="Montserrat" w:cs="Calibri"/>
          <w:b/>
          <w:bCs/>
          <w:sz w:val="22"/>
          <w:szCs w:val="22"/>
        </w:rPr>
        <w:t xml:space="preserve">lub telefoniczny: </w:t>
      </w:r>
      <w:hyperlink r:id="rId9" w:tgtFrame="_blank">
        <w:r>
          <w:rPr>
            <w:rStyle w:val="czeinternetowe"/>
            <w:rFonts w:ascii="Montserrat" w:hAnsi="Montserrat" w:cs="Calibri"/>
            <w:b/>
            <w:bCs/>
            <w:color w:val="000000"/>
            <w:sz w:val="22"/>
            <w:szCs w:val="22"/>
            <w:u w:val="none"/>
          </w:rPr>
          <w:t>695 626 034.</w:t>
        </w:r>
      </w:hyperlink>
    </w:p>
    <w:sectPr w:rsidR="00D870BE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983" w:right="1133" w:bottom="566" w:left="1133" w:header="850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751" w:rsidRDefault="00073751">
      <w:r>
        <w:separator/>
      </w:r>
    </w:p>
  </w:endnote>
  <w:endnote w:type="continuationSeparator" w:id="0">
    <w:p w:rsidR="00073751" w:rsidRDefault="0007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tserrat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ontserrat SemiBold"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0BE" w:rsidRDefault="00073751">
    <w:pPr>
      <w:pStyle w:val="Stopka"/>
    </w:pPr>
    <w:r>
      <w:rPr>
        <w:noProof/>
        <w:lang w:eastAsia="pl-PL" w:bidi="ar-SA"/>
      </w:rPr>
      <w:drawing>
        <wp:inline distT="0" distB="0" distL="0" distR="0">
          <wp:extent cx="6118860" cy="739140"/>
          <wp:effectExtent l="0" t="0" r="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751" w:rsidRDefault="00073751">
      <w:r>
        <w:separator/>
      </w:r>
    </w:p>
  </w:footnote>
  <w:footnote w:type="continuationSeparator" w:id="0">
    <w:p w:rsidR="00073751" w:rsidRDefault="00073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0BE" w:rsidRDefault="00073751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0BE" w:rsidRDefault="00073751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5680" behindDoc="1" locked="0" layoutInCell="0" allowOverlap="1">
          <wp:simplePos x="0" y="0"/>
          <wp:positionH relativeFrom="column">
            <wp:posOffset>-671830</wp:posOffset>
          </wp:positionH>
          <wp:positionV relativeFrom="paragraph">
            <wp:posOffset>-523240</wp:posOffset>
          </wp:positionV>
          <wp:extent cx="7466965" cy="891540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0BE" w:rsidRDefault="00073751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6704" behindDoc="1" locked="0" layoutInCell="0" allowOverlap="1">
          <wp:simplePos x="0" y="0"/>
          <wp:positionH relativeFrom="column">
            <wp:posOffset>-671830</wp:posOffset>
          </wp:positionH>
          <wp:positionV relativeFrom="paragraph">
            <wp:posOffset>-523240</wp:posOffset>
          </wp:positionV>
          <wp:extent cx="7466965" cy="891540"/>
          <wp:effectExtent l="0" t="0" r="0" b="0"/>
          <wp:wrapNone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BE"/>
    <w:rsid w:val="00073751"/>
    <w:rsid w:val="006403A4"/>
    <w:rsid w:val="00D8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82F6AF7-5905-4B73-B87C-9D7DC728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</w:pPr>
    <w:rPr>
      <w:rFonts w:ascii="Liberation Serif" w:eastAsia="Noto Serif CJK SC" w:hAnsi="Liberation Serif" w:cs="Lohit Devanagari"/>
      <w:color w:val="000000"/>
      <w:kern w:val="2"/>
      <w:sz w:val="24"/>
      <w:szCs w:val="24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LO-normal1"/>
    <w:next w:val="Tekstpodstawowy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LO-normal1"/>
    <w:qFormat/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paragraph" w:styleId="Akapitzlist">
    <w:name w:val="List Paragraph"/>
    <w:basedOn w:val="Normalny"/>
    <w:qFormat/>
    <w:pPr>
      <w:ind w:left="720"/>
      <w:contextualSpacing/>
    </w:pPr>
    <w:rPr>
      <w:rFonts w:cs="Mangal"/>
      <w:szCs w:val="21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_puw@feps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tel:+4869562603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F52FB0-A2A4-487E-8694-C3B96291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Agnieszka Gondek</cp:lastModifiedBy>
  <cp:revision>2</cp:revision>
  <dcterms:created xsi:type="dcterms:W3CDTF">2024-12-18T06:46:00Z</dcterms:created>
  <dcterms:modified xsi:type="dcterms:W3CDTF">2024-12-18T06:46:00Z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