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B1301" w14:textId="717EACEA" w:rsidR="00156FBE" w:rsidRDefault="006621F3" w:rsidP="00B37961">
      <w:pPr>
        <w:spacing w:before="200" w:after="200" w:line="280" w:lineRule="exact"/>
        <w:jc w:val="both"/>
        <w:rPr>
          <w:rFonts w:ascii="Arial" w:hAnsi="Arial" w:cs="Arial"/>
          <w:b/>
          <w:sz w:val="20"/>
          <w:szCs w:val="20"/>
        </w:rPr>
      </w:pPr>
      <w:r w:rsidRPr="006621F3">
        <w:rPr>
          <w:rFonts w:ascii="Arial" w:hAnsi="Arial" w:cs="Arial"/>
          <w:b/>
          <w:sz w:val="20"/>
          <w:szCs w:val="20"/>
        </w:rPr>
        <w:t>Uwagi, komentarze, wątpliwości i rekomendacje w ramach konsultacji podatkowych w sprawie formularza interaktywnego informacji o cenach transferowych</w:t>
      </w:r>
      <w:r>
        <w:rPr>
          <w:rFonts w:ascii="Arial" w:hAnsi="Arial" w:cs="Arial"/>
          <w:b/>
          <w:sz w:val="20"/>
          <w:szCs w:val="20"/>
        </w:rPr>
        <w:t>.</w:t>
      </w:r>
    </w:p>
    <w:p w14:paraId="2345B580" w14:textId="5A149397" w:rsidR="006621F3" w:rsidRDefault="006621F3" w:rsidP="00B37961">
      <w:pPr>
        <w:pStyle w:val="Akapitzlist"/>
        <w:numPr>
          <w:ilvl w:val="0"/>
          <w:numId w:val="11"/>
        </w:numPr>
        <w:spacing w:before="200" w:after="200" w:line="280" w:lineRule="exact"/>
        <w:jc w:val="both"/>
        <w:rPr>
          <w:rFonts w:ascii="Arial" w:hAnsi="Arial" w:cs="Arial"/>
          <w:b/>
          <w:bCs/>
          <w:sz w:val="20"/>
          <w:szCs w:val="20"/>
        </w:rPr>
      </w:pPr>
      <w:r w:rsidRPr="00C55991">
        <w:rPr>
          <w:rFonts w:ascii="Arial" w:hAnsi="Arial" w:cs="Arial"/>
          <w:b/>
          <w:bCs/>
          <w:sz w:val="20"/>
          <w:szCs w:val="20"/>
        </w:rPr>
        <w:t>Błędy techniczne formularza TPR-C:</w:t>
      </w:r>
    </w:p>
    <w:p w14:paraId="67F21F51" w14:textId="77777777" w:rsidR="006621F3" w:rsidRPr="006621F3" w:rsidRDefault="006621F3" w:rsidP="00B37961">
      <w:pPr>
        <w:pStyle w:val="Akapitzlist"/>
        <w:numPr>
          <w:ilvl w:val="0"/>
          <w:numId w:val="12"/>
        </w:numPr>
        <w:spacing w:before="200" w:after="200" w:line="280" w:lineRule="exact"/>
        <w:jc w:val="both"/>
        <w:rPr>
          <w:rFonts w:ascii="Arial" w:hAnsi="Arial" w:cs="Arial"/>
          <w:bCs/>
          <w:sz w:val="20"/>
          <w:szCs w:val="20"/>
        </w:rPr>
      </w:pPr>
      <w:r w:rsidRPr="006621F3">
        <w:rPr>
          <w:rFonts w:ascii="Arial" w:hAnsi="Arial" w:cs="Arial"/>
          <w:bCs/>
          <w:sz w:val="20"/>
          <w:szCs w:val="20"/>
        </w:rPr>
        <w:t>Pole „Metoda weryfikacji ceny i wskaźniki rentowności dla transakcji”</w:t>
      </w:r>
    </w:p>
    <w:p w14:paraId="4EA85BB0" w14:textId="66F2088B" w:rsidR="006621F3" w:rsidRDefault="006621F3" w:rsidP="00B37961">
      <w:pPr>
        <w:pStyle w:val="Akapitzlist"/>
        <w:spacing w:before="200" w:after="200" w:line="280" w:lineRule="exact"/>
        <w:ind w:left="720"/>
        <w:jc w:val="both"/>
        <w:rPr>
          <w:rFonts w:ascii="Arial" w:hAnsi="Arial" w:cs="Arial"/>
          <w:bCs/>
          <w:sz w:val="20"/>
          <w:szCs w:val="20"/>
        </w:rPr>
      </w:pPr>
      <w:r w:rsidRPr="006621F3">
        <w:rPr>
          <w:rFonts w:ascii="Arial" w:hAnsi="Arial" w:cs="Arial"/>
          <w:bCs/>
          <w:sz w:val="20"/>
          <w:szCs w:val="20"/>
        </w:rPr>
        <w:t xml:space="preserve">W udostępnionym przez Ministerstwo Finansów interaktywnym formularzu TPR zidentyfikowaliśmy techniczny błąd związany z zapisywaniem pliku. </w:t>
      </w:r>
      <w:r w:rsidR="002E56B6">
        <w:rPr>
          <w:rFonts w:ascii="Arial" w:hAnsi="Arial" w:cs="Arial"/>
          <w:bCs/>
          <w:sz w:val="20"/>
          <w:szCs w:val="20"/>
        </w:rPr>
        <w:t>W przypadku wyboru niektórych metod weryfikacji ceny z listy (np. metody marży transakcyjnej netto), po</w:t>
      </w:r>
      <w:r w:rsidRPr="006621F3">
        <w:rPr>
          <w:rFonts w:ascii="Arial" w:hAnsi="Arial" w:cs="Arial"/>
          <w:bCs/>
          <w:sz w:val="20"/>
          <w:szCs w:val="20"/>
        </w:rPr>
        <w:t xml:space="preserve"> zapisaniu</w:t>
      </w:r>
      <w:r w:rsidR="002E56B6">
        <w:rPr>
          <w:rFonts w:ascii="Arial" w:hAnsi="Arial" w:cs="Arial"/>
          <w:bCs/>
          <w:sz w:val="20"/>
          <w:szCs w:val="20"/>
        </w:rPr>
        <w:t xml:space="preserve"> formularza</w:t>
      </w:r>
      <w:r w:rsidRPr="006621F3">
        <w:rPr>
          <w:rFonts w:ascii="Arial" w:hAnsi="Arial" w:cs="Arial"/>
          <w:bCs/>
          <w:sz w:val="20"/>
          <w:szCs w:val="20"/>
        </w:rPr>
        <w:t xml:space="preserve"> komórki „Metoda weryfikacji ceny” i „Wskaźnik finansowy” dla określonych typów transakcji pozostają puste. W</w:t>
      </w:r>
      <w:r w:rsidR="002E56B6">
        <w:rPr>
          <w:rFonts w:ascii="Arial" w:hAnsi="Arial" w:cs="Arial"/>
          <w:bCs/>
          <w:sz w:val="20"/>
          <w:szCs w:val="20"/>
        </w:rPr>
        <w:t xml:space="preserve"> przypadku próby ponownego wypełnienia, w</w:t>
      </w:r>
      <w:r w:rsidRPr="006621F3">
        <w:rPr>
          <w:rFonts w:ascii="Arial" w:hAnsi="Arial" w:cs="Arial"/>
          <w:bCs/>
          <w:sz w:val="20"/>
          <w:szCs w:val="20"/>
        </w:rPr>
        <w:t xml:space="preserve">ybór jakichkolwiek wartości w tych komórkach powoduje utratę zapisanych danych w kolejnych polach. </w:t>
      </w:r>
    </w:p>
    <w:p w14:paraId="2BD2530B" w14:textId="5835BC27" w:rsidR="006621F3" w:rsidRDefault="006621F3" w:rsidP="00B37961">
      <w:pPr>
        <w:pStyle w:val="Akapitzlist"/>
        <w:numPr>
          <w:ilvl w:val="0"/>
          <w:numId w:val="12"/>
        </w:numPr>
        <w:spacing w:before="200" w:after="200" w:line="280" w:lineRule="exact"/>
        <w:jc w:val="both"/>
        <w:rPr>
          <w:rFonts w:ascii="Arial" w:hAnsi="Arial" w:cs="Arial"/>
          <w:bCs/>
          <w:sz w:val="20"/>
          <w:szCs w:val="20"/>
        </w:rPr>
      </w:pPr>
      <w:r w:rsidRPr="006621F3">
        <w:rPr>
          <w:rFonts w:ascii="Arial" w:hAnsi="Arial" w:cs="Arial"/>
          <w:bCs/>
          <w:sz w:val="20"/>
          <w:szCs w:val="20"/>
        </w:rPr>
        <w:t>Pole „Analiza cen transferowych”</w:t>
      </w:r>
    </w:p>
    <w:p w14:paraId="3EC89A3F" w14:textId="77777777" w:rsidR="006621F3" w:rsidRPr="006621F3" w:rsidRDefault="006621F3" w:rsidP="00B37961">
      <w:pPr>
        <w:pStyle w:val="Akapitzlist"/>
        <w:spacing w:before="200" w:after="200" w:line="280" w:lineRule="exact"/>
        <w:ind w:left="720"/>
        <w:jc w:val="both"/>
        <w:rPr>
          <w:rFonts w:ascii="Arial" w:hAnsi="Arial" w:cs="Arial"/>
          <w:bCs/>
          <w:sz w:val="20"/>
          <w:szCs w:val="20"/>
        </w:rPr>
      </w:pPr>
      <w:r w:rsidRPr="006621F3">
        <w:rPr>
          <w:rFonts w:ascii="Arial" w:hAnsi="Arial" w:cs="Arial"/>
          <w:bCs/>
          <w:sz w:val="20"/>
          <w:szCs w:val="20"/>
        </w:rPr>
        <w:t>Po zapisaniu formularza testowego pole „Analiza cen transferowych” zostaje automatycznie zdublowane i przy każdej raportowanej transakcji pojawia się dwa razy – pierwszy raz prawidłowo, kolejny raz nieprawidłowo z zaznaczeniem obu opcji wyboru – „wynik” i „przedział”.</w:t>
      </w:r>
    </w:p>
    <w:p w14:paraId="2C3369C7" w14:textId="39E43744" w:rsidR="00C55991" w:rsidRDefault="00C55991" w:rsidP="00B37961">
      <w:pPr>
        <w:spacing w:before="200" w:after="200" w:line="280" w:lineRule="exact"/>
        <w:rPr>
          <w:rFonts w:ascii="Arial" w:hAnsi="Arial" w:cs="Arial"/>
          <w:bCs/>
          <w:sz w:val="20"/>
          <w:szCs w:val="20"/>
        </w:rPr>
      </w:pPr>
      <w:r>
        <w:rPr>
          <w:rFonts w:ascii="Arial" w:hAnsi="Arial" w:cs="Arial"/>
          <w:bCs/>
          <w:sz w:val="20"/>
          <w:szCs w:val="20"/>
        </w:rPr>
        <w:br w:type="page"/>
      </w:r>
    </w:p>
    <w:p w14:paraId="626EF1A7" w14:textId="6E34EE7C" w:rsidR="006621F3" w:rsidRPr="006621F3" w:rsidRDefault="006621F3" w:rsidP="00B37961">
      <w:pPr>
        <w:pStyle w:val="Akapitzlist"/>
        <w:spacing w:before="200" w:after="200" w:line="280" w:lineRule="exact"/>
        <w:ind w:left="720"/>
        <w:jc w:val="both"/>
        <w:rPr>
          <w:rFonts w:ascii="Arial" w:hAnsi="Arial" w:cs="Arial"/>
          <w:bCs/>
          <w:sz w:val="20"/>
          <w:szCs w:val="20"/>
        </w:rPr>
      </w:pPr>
      <w:r w:rsidRPr="006621F3">
        <w:rPr>
          <w:rFonts w:ascii="Arial" w:hAnsi="Arial" w:cs="Arial"/>
          <w:bCs/>
          <w:sz w:val="20"/>
          <w:szCs w:val="20"/>
        </w:rPr>
        <w:t>Oba błędy ilustruje poniższy print screen:</w:t>
      </w:r>
    </w:p>
    <w:p w14:paraId="3B6499BF" w14:textId="7349E7D9" w:rsidR="00C55991" w:rsidRDefault="00C55991" w:rsidP="00B37961">
      <w:pPr>
        <w:spacing w:before="200" w:after="200" w:line="280" w:lineRule="exact"/>
        <w:jc w:val="both"/>
        <w:rPr>
          <w:rFonts w:ascii="Arial" w:hAnsi="Arial" w:cs="Arial"/>
          <w:i/>
          <w:sz w:val="20"/>
          <w:szCs w:val="20"/>
          <w:u w:val="single"/>
        </w:rPr>
      </w:pPr>
      <w:r>
        <w:rPr>
          <w:rFonts w:ascii="Arial" w:hAnsi="Arial" w:cs="Arial"/>
          <w:i/>
          <w:noProof/>
          <w:sz w:val="20"/>
          <w:szCs w:val="20"/>
          <w:u w:val="single"/>
        </w:rPr>
        <w:lastRenderedPageBreak/>
        <w:drawing>
          <wp:anchor distT="0" distB="0" distL="114300" distR="114300" simplePos="0" relativeHeight="251658240" behindDoc="1" locked="0" layoutInCell="1" allowOverlap="0" wp14:anchorId="393034FD" wp14:editId="391BCC08">
            <wp:simplePos x="0" y="0"/>
            <wp:positionH relativeFrom="column">
              <wp:posOffset>145415</wp:posOffset>
            </wp:positionH>
            <wp:positionV relativeFrom="page">
              <wp:posOffset>1518285</wp:posOffset>
            </wp:positionV>
            <wp:extent cx="5759450" cy="3308350"/>
            <wp:effectExtent l="0" t="0" r="0" b="6350"/>
            <wp:wrapTight wrapText="bothSides">
              <wp:wrapPolygon edited="0">
                <wp:start x="0" y="0"/>
                <wp:lineTo x="0" y="21517"/>
                <wp:lineTo x="21505" y="21517"/>
                <wp:lineTo x="21505"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png"/>
                    <pic:cNvPicPr/>
                  </pic:nvPicPr>
                  <pic:blipFill>
                    <a:blip r:embed="rId8">
                      <a:extLst>
                        <a:ext uri="{28A0092B-C50C-407E-A947-70E740481C1C}">
                          <a14:useLocalDpi xmlns:a14="http://schemas.microsoft.com/office/drawing/2010/main" val="0"/>
                        </a:ext>
                      </a:extLst>
                    </a:blip>
                    <a:stretch>
                      <a:fillRect/>
                    </a:stretch>
                  </pic:blipFill>
                  <pic:spPr>
                    <a:xfrm>
                      <a:off x="0" y="0"/>
                      <a:ext cx="5759450" cy="3308350"/>
                    </a:xfrm>
                    <a:prstGeom prst="rect">
                      <a:avLst/>
                    </a:prstGeom>
                  </pic:spPr>
                </pic:pic>
              </a:graphicData>
            </a:graphic>
            <wp14:sizeRelH relativeFrom="page">
              <wp14:pctWidth>0</wp14:pctWidth>
            </wp14:sizeRelH>
            <wp14:sizeRelV relativeFrom="page">
              <wp14:pctHeight>0</wp14:pctHeight>
            </wp14:sizeRelV>
          </wp:anchor>
        </w:drawing>
      </w:r>
    </w:p>
    <w:p w14:paraId="07383159" w14:textId="15051E5D" w:rsidR="00494DB7" w:rsidRPr="00AF716B" w:rsidRDefault="0057208B" w:rsidP="00B37961">
      <w:pPr>
        <w:pStyle w:val="Akapitzlist"/>
        <w:numPr>
          <w:ilvl w:val="0"/>
          <w:numId w:val="11"/>
        </w:numPr>
        <w:spacing w:before="200" w:after="200" w:line="280" w:lineRule="exact"/>
        <w:jc w:val="both"/>
        <w:rPr>
          <w:rFonts w:ascii="Arial" w:hAnsi="Arial" w:cs="Arial"/>
          <w:b/>
          <w:sz w:val="20"/>
          <w:szCs w:val="20"/>
        </w:rPr>
      </w:pPr>
      <w:r w:rsidRPr="00AF716B">
        <w:rPr>
          <w:rFonts w:ascii="Arial" w:hAnsi="Arial" w:cs="Arial"/>
          <w:b/>
          <w:sz w:val="20"/>
          <w:szCs w:val="20"/>
        </w:rPr>
        <w:t xml:space="preserve">Pole „Pełna nazwa” </w:t>
      </w:r>
    </w:p>
    <w:p w14:paraId="23750279" w14:textId="4F1C3756" w:rsidR="0057208B" w:rsidRDefault="00494DB7" w:rsidP="00B37961">
      <w:pPr>
        <w:pStyle w:val="Akapitzlist"/>
        <w:spacing w:before="200" w:after="200" w:line="280" w:lineRule="exact"/>
        <w:ind w:left="720"/>
        <w:jc w:val="both"/>
        <w:rPr>
          <w:rFonts w:ascii="Arial" w:hAnsi="Arial" w:cs="Arial"/>
          <w:sz w:val="20"/>
          <w:szCs w:val="20"/>
        </w:rPr>
      </w:pPr>
      <w:r>
        <w:rPr>
          <w:rFonts w:ascii="Arial" w:hAnsi="Arial" w:cs="Arial"/>
          <w:sz w:val="20"/>
          <w:szCs w:val="20"/>
        </w:rPr>
        <w:t>P</w:t>
      </w:r>
      <w:r w:rsidR="0057208B">
        <w:rPr>
          <w:rFonts w:ascii="Arial" w:hAnsi="Arial" w:cs="Arial"/>
          <w:sz w:val="20"/>
          <w:szCs w:val="20"/>
        </w:rPr>
        <w:t>rosimy o doprecyzowanie</w:t>
      </w:r>
      <w:r w:rsidR="000A043E">
        <w:rPr>
          <w:rFonts w:ascii="Arial" w:hAnsi="Arial" w:cs="Arial"/>
          <w:sz w:val="20"/>
          <w:szCs w:val="20"/>
        </w:rPr>
        <w:t xml:space="preserve"> w Objaśnieniach co do sposobu sporządzenia informacji o cenach transferowych stanowiących Załącznik odpowiednio do </w:t>
      </w:r>
      <w:r w:rsidR="000A043E" w:rsidRPr="00494DB7">
        <w:rPr>
          <w:rFonts w:ascii="Arial" w:hAnsi="Arial" w:cs="Arial"/>
          <w:sz w:val="20"/>
          <w:szCs w:val="20"/>
        </w:rPr>
        <w:t>Rozporządzeni</w:t>
      </w:r>
      <w:r w:rsidR="000A043E">
        <w:rPr>
          <w:rFonts w:ascii="Arial" w:hAnsi="Arial" w:cs="Arial"/>
          <w:sz w:val="20"/>
          <w:szCs w:val="20"/>
        </w:rPr>
        <w:t>a</w:t>
      </w:r>
      <w:r w:rsidR="000A043E" w:rsidRPr="00494DB7">
        <w:rPr>
          <w:rFonts w:ascii="Arial" w:hAnsi="Arial" w:cs="Arial"/>
          <w:sz w:val="20"/>
          <w:szCs w:val="20"/>
        </w:rPr>
        <w:t xml:space="preserve"> Ministra Finansów z dnia 21 grudnia 2018</w:t>
      </w:r>
      <w:r w:rsidR="000A043E">
        <w:rPr>
          <w:rFonts w:ascii="Arial" w:hAnsi="Arial" w:cs="Arial"/>
          <w:sz w:val="20"/>
          <w:szCs w:val="20"/>
        </w:rPr>
        <w:t xml:space="preserve"> </w:t>
      </w:r>
      <w:r w:rsidR="000A043E" w:rsidRPr="00494DB7">
        <w:rPr>
          <w:rFonts w:ascii="Arial" w:hAnsi="Arial" w:cs="Arial"/>
          <w:sz w:val="20"/>
          <w:szCs w:val="20"/>
        </w:rPr>
        <w:t>r. w sprawie informacji o cenach transferowych w zakresie podatku dochodowego od osób prawnych (Dz.</w:t>
      </w:r>
      <w:r w:rsidR="000A043E">
        <w:rPr>
          <w:rFonts w:ascii="Arial" w:hAnsi="Arial" w:cs="Arial"/>
          <w:sz w:val="20"/>
          <w:szCs w:val="20"/>
        </w:rPr>
        <w:t xml:space="preserve"> </w:t>
      </w:r>
      <w:r w:rsidR="000A043E" w:rsidRPr="00494DB7">
        <w:rPr>
          <w:rFonts w:ascii="Arial" w:hAnsi="Arial" w:cs="Arial"/>
          <w:sz w:val="20"/>
          <w:szCs w:val="20"/>
        </w:rPr>
        <w:t>U. z 2018, poz. 2487)</w:t>
      </w:r>
      <w:r w:rsidR="000A043E">
        <w:rPr>
          <w:rFonts w:ascii="Arial" w:hAnsi="Arial" w:cs="Arial"/>
          <w:sz w:val="20"/>
          <w:szCs w:val="20"/>
        </w:rPr>
        <w:t xml:space="preserve">, dalej: „Objaśnienia” </w:t>
      </w:r>
      <w:r w:rsidR="0057208B">
        <w:rPr>
          <w:rFonts w:ascii="Arial" w:hAnsi="Arial" w:cs="Arial"/>
          <w:sz w:val="20"/>
          <w:szCs w:val="20"/>
        </w:rPr>
        <w:t>czy dopuszczalne jest stosowanie skrótów</w:t>
      </w:r>
      <w:r w:rsidR="009D05E4">
        <w:rPr>
          <w:rFonts w:ascii="Arial" w:hAnsi="Arial" w:cs="Arial"/>
          <w:sz w:val="20"/>
          <w:szCs w:val="20"/>
        </w:rPr>
        <w:t xml:space="preserve"> formy prawnej (np. Sp. z o.o.)</w:t>
      </w:r>
    </w:p>
    <w:p w14:paraId="28ABE0B9" w14:textId="77777777" w:rsidR="009D05E4" w:rsidRPr="00AF716B" w:rsidRDefault="009D05E4" w:rsidP="00B37961">
      <w:pPr>
        <w:pStyle w:val="Akapitzlist"/>
        <w:numPr>
          <w:ilvl w:val="0"/>
          <w:numId w:val="11"/>
        </w:numPr>
        <w:spacing w:before="200" w:after="200" w:line="280" w:lineRule="exact"/>
        <w:jc w:val="both"/>
        <w:rPr>
          <w:rFonts w:ascii="Arial" w:hAnsi="Arial" w:cs="Arial"/>
          <w:b/>
          <w:sz w:val="20"/>
          <w:szCs w:val="20"/>
        </w:rPr>
      </w:pPr>
      <w:r w:rsidRPr="00AF716B">
        <w:rPr>
          <w:rFonts w:ascii="Arial" w:hAnsi="Arial" w:cs="Arial"/>
          <w:b/>
          <w:sz w:val="20"/>
          <w:szCs w:val="20"/>
        </w:rPr>
        <w:t>Kategoria transakcji kontrolowanej – ujednolicenie listy wyboru z objaśnieniami – Załącznikiem do rozporządzenia</w:t>
      </w:r>
    </w:p>
    <w:p w14:paraId="6D8737DB" w14:textId="7A1ED0A9" w:rsidR="009D05E4" w:rsidRDefault="009D05E4" w:rsidP="00B37961">
      <w:pPr>
        <w:pStyle w:val="Akapitzlist"/>
        <w:spacing w:before="200" w:after="200" w:line="280" w:lineRule="exact"/>
        <w:ind w:left="720"/>
        <w:jc w:val="both"/>
        <w:rPr>
          <w:rFonts w:ascii="Arial" w:hAnsi="Arial" w:cs="Arial"/>
          <w:sz w:val="20"/>
          <w:szCs w:val="20"/>
        </w:rPr>
      </w:pPr>
      <w:r>
        <w:rPr>
          <w:rFonts w:ascii="Arial" w:hAnsi="Arial" w:cs="Arial"/>
          <w:sz w:val="20"/>
          <w:szCs w:val="20"/>
        </w:rPr>
        <w:t xml:space="preserve">Niniejszym rekomendujemy </w:t>
      </w:r>
      <w:r w:rsidRPr="001C1927">
        <w:rPr>
          <w:rFonts w:ascii="Arial" w:hAnsi="Arial" w:cs="Arial"/>
          <w:sz w:val="20"/>
          <w:szCs w:val="20"/>
        </w:rPr>
        <w:t xml:space="preserve">dostosowanie listy wyboru formularza do tabel „Kategorii transakcji kontrolowanych” z załącznika do rozporządzenia (str. 6-8). Zaprezentowana w formularzu testowym lista wyboru jest niespójna z </w:t>
      </w:r>
      <w:r w:rsidR="000A043E">
        <w:rPr>
          <w:rFonts w:ascii="Arial" w:hAnsi="Arial" w:cs="Arial"/>
          <w:sz w:val="20"/>
          <w:szCs w:val="20"/>
        </w:rPr>
        <w:t>Objaśnieniami</w:t>
      </w:r>
      <w:r w:rsidRPr="001C1927">
        <w:rPr>
          <w:rFonts w:ascii="Arial" w:hAnsi="Arial" w:cs="Arial"/>
          <w:sz w:val="20"/>
          <w:szCs w:val="20"/>
        </w:rPr>
        <w:t xml:space="preserve">, nieprzyjazna w użytkowaniu, a kolejność transakcji na liście przypadkowa (brak możliwości sortowania wg kategorii głównych wymienionych w objaśnieniach do rozporządzenia lub choćby wg alfabetu). </w:t>
      </w:r>
    </w:p>
    <w:p w14:paraId="1F083B26" w14:textId="77777777" w:rsidR="009D05E4" w:rsidRDefault="009D05E4" w:rsidP="00B37961">
      <w:pPr>
        <w:pStyle w:val="Akapitzlist"/>
        <w:spacing w:before="200" w:after="200" w:line="280" w:lineRule="exact"/>
        <w:ind w:left="720"/>
        <w:jc w:val="both"/>
        <w:rPr>
          <w:rFonts w:ascii="Arial" w:hAnsi="Arial" w:cs="Arial"/>
          <w:sz w:val="20"/>
          <w:szCs w:val="20"/>
        </w:rPr>
      </w:pPr>
      <w:r w:rsidRPr="001C1927">
        <w:rPr>
          <w:rFonts w:ascii="Arial" w:hAnsi="Arial" w:cs="Arial"/>
          <w:sz w:val="20"/>
          <w:szCs w:val="20"/>
        </w:rPr>
        <w:t>Nasza propozycja to wybór dwustopniowy – najpierw kategorii głównej z listy, a następnie transakcji szczegółowej wraz z przypisanym kodem, co ułatwi wybór i prezentację danych oraz pozwoli uniknąć błędów w klasyfikacji transakcji.</w:t>
      </w:r>
    </w:p>
    <w:p w14:paraId="6E6425C2" w14:textId="2AA8BCD5" w:rsidR="00E862F9" w:rsidRPr="00AF716B" w:rsidRDefault="00E862F9" w:rsidP="00E862F9">
      <w:pPr>
        <w:pStyle w:val="Akapitzlist"/>
        <w:numPr>
          <w:ilvl w:val="0"/>
          <w:numId w:val="11"/>
        </w:numPr>
        <w:spacing w:before="200" w:after="200" w:line="280" w:lineRule="exact"/>
        <w:jc w:val="both"/>
        <w:rPr>
          <w:rFonts w:ascii="Arial" w:hAnsi="Arial" w:cs="Arial"/>
          <w:b/>
          <w:sz w:val="20"/>
          <w:szCs w:val="20"/>
        </w:rPr>
      </w:pPr>
      <w:r>
        <w:rPr>
          <w:rFonts w:ascii="Arial" w:hAnsi="Arial" w:cs="Arial"/>
          <w:b/>
          <w:sz w:val="20"/>
          <w:szCs w:val="20"/>
        </w:rPr>
        <w:t>Błędna terminologia</w:t>
      </w:r>
    </w:p>
    <w:p w14:paraId="3BFC081D" w14:textId="1CFE1831" w:rsidR="00E862F9" w:rsidRDefault="00E862F9" w:rsidP="00B37961">
      <w:pPr>
        <w:pStyle w:val="Akapitzlist"/>
        <w:spacing w:before="200" w:after="200" w:line="280" w:lineRule="exact"/>
        <w:ind w:left="720"/>
        <w:jc w:val="both"/>
        <w:rPr>
          <w:rFonts w:ascii="Arial" w:hAnsi="Arial" w:cs="Arial"/>
          <w:sz w:val="20"/>
          <w:szCs w:val="20"/>
        </w:rPr>
      </w:pPr>
      <w:r>
        <w:rPr>
          <w:rFonts w:ascii="Arial" w:hAnsi="Arial" w:cs="Arial"/>
          <w:sz w:val="20"/>
          <w:szCs w:val="20"/>
        </w:rPr>
        <w:t xml:space="preserve">Zwracamy uwagę, ze kategorie transakcji kontrolowanych 2005 i 2006 powinny nazywać się odpowiednio: „Zakup towarów handlowych </w:t>
      </w:r>
      <w:r w:rsidRPr="00E862F9">
        <w:rPr>
          <w:rFonts w:ascii="Arial" w:hAnsi="Arial" w:cs="Arial"/>
          <w:sz w:val="20"/>
          <w:szCs w:val="20"/>
          <w:u w:val="single"/>
        </w:rPr>
        <w:t>przez</w:t>
      </w:r>
      <w:r>
        <w:rPr>
          <w:rFonts w:ascii="Arial" w:hAnsi="Arial" w:cs="Arial"/>
          <w:sz w:val="20"/>
          <w:szCs w:val="20"/>
        </w:rPr>
        <w:t xml:space="preserve"> dystrybutora o rozbudowanych funkcjach i ryzykach” oraz : „Zakup towarów handlowych </w:t>
      </w:r>
      <w:r w:rsidRPr="00E862F9">
        <w:rPr>
          <w:rFonts w:ascii="Arial" w:hAnsi="Arial" w:cs="Arial"/>
          <w:sz w:val="20"/>
          <w:szCs w:val="20"/>
          <w:u w:val="single"/>
        </w:rPr>
        <w:t>przez</w:t>
      </w:r>
      <w:r>
        <w:rPr>
          <w:rFonts w:ascii="Arial" w:hAnsi="Arial" w:cs="Arial"/>
          <w:sz w:val="20"/>
          <w:szCs w:val="20"/>
        </w:rPr>
        <w:t xml:space="preserve"> dystrybutora o ograniczonych funkcjach i ryzykach”. </w:t>
      </w:r>
    </w:p>
    <w:p w14:paraId="5AF2C4D9" w14:textId="4CA8F769" w:rsidR="00E862F9" w:rsidRDefault="00E862F9" w:rsidP="00E862F9">
      <w:pPr>
        <w:pStyle w:val="Akapitzlist"/>
        <w:numPr>
          <w:ilvl w:val="0"/>
          <w:numId w:val="11"/>
        </w:numPr>
        <w:spacing w:before="200" w:after="200" w:line="280" w:lineRule="exact"/>
        <w:jc w:val="both"/>
        <w:rPr>
          <w:rFonts w:ascii="Arial" w:hAnsi="Arial" w:cs="Arial"/>
          <w:b/>
          <w:sz w:val="20"/>
          <w:szCs w:val="20"/>
        </w:rPr>
      </w:pPr>
      <w:r>
        <w:rPr>
          <w:rFonts w:ascii="Arial" w:hAnsi="Arial" w:cs="Arial"/>
          <w:b/>
          <w:sz w:val="20"/>
          <w:szCs w:val="20"/>
        </w:rPr>
        <w:t>Restrukturyzacja</w:t>
      </w:r>
    </w:p>
    <w:p w14:paraId="3EFEC97E" w14:textId="77777777" w:rsidR="00BC72B9" w:rsidRDefault="00E862F9" w:rsidP="00E862F9">
      <w:pPr>
        <w:pStyle w:val="Akapitzlist"/>
        <w:spacing w:before="200" w:after="200" w:line="280" w:lineRule="exact"/>
        <w:ind w:left="720"/>
        <w:jc w:val="both"/>
        <w:rPr>
          <w:rFonts w:ascii="Arial" w:hAnsi="Arial" w:cs="Arial"/>
          <w:sz w:val="20"/>
          <w:szCs w:val="20"/>
        </w:rPr>
      </w:pPr>
      <w:r w:rsidRPr="00E862F9">
        <w:rPr>
          <w:rFonts w:ascii="Arial" w:hAnsi="Arial" w:cs="Arial"/>
          <w:sz w:val="20"/>
          <w:szCs w:val="20"/>
        </w:rPr>
        <w:t xml:space="preserve">Postulujemy doprecyzowanie w objaśnieniach, że </w:t>
      </w:r>
      <w:r>
        <w:rPr>
          <w:rFonts w:ascii="Arial" w:hAnsi="Arial" w:cs="Arial"/>
          <w:sz w:val="20"/>
          <w:szCs w:val="20"/>
        </w:rPr>
        <w:t xml:space="preserve">w przypadku transakcji 1501 oraz 2501 </w:t>
      </w:r>
      <w:r w:rsidR="00BC72B9">
        <w:rPr>
          <w:rFonts w:ascii="Arial" w:hAnsi="Arial" w:cs="Arial"/>
          <w:sz w:val="20"/>
          <w:szCs w:val="20"/>
        </w:rPr>
        <w:t xml:space="preserve">podatnik wykazuje wynagrodzenie (otrzymane lub zapłacone) z tytułu przeniesienia potencjału do generowania zysku, które nie wiąże się ze sprzedaż aktywów trwałych, wartości niematerialnych, ZCP lub udziałów/ akcje w przedsiębiorstwie. </w:t>
      </w:r>
    </w:p>
    <w:p w14:paraId="333249D2" w14:textId="3654E52D" w:rsidR="00BC72B9" w:rsidRDefault="00BC72B9" w:rsidP="00E862F9">
      <w:pPr>
        <w:pStyle w:val="Akapitzlist"/>
        <w:spacing w:before="200" w:after="200" w:line="280" w:lineRule="exact"/>
        <w:ind w:left="720"/>
        <w:jc w:val="both"/>
        <w:rPr>
          <w:rFonts w:ascii="Arial" w:hAnsi="Arial" w:cs="Arial"/>
          <w:sz w:val="20"/>
          <w:szCs w:val="20"/>
        </w:rPr>
      </w:pPr>
      <w:r>
        <w:rPr>
          <w:rFonts w:ascii="Arial" w:hAnsi="Arial" w:cs="Arial"/>
          <w:sz w:val="20"/>
          <w:szCs w:val="20"/>
        </w:rPr>
        <w:t xml:space="preserve">W przypadku wyboru innej metody – wyceny niezależnego specjalisty, rozwija się formularz właściwy dla metody PCN. Rekomendujemy zmianę i ograniczenie wskazywanych danych jedynie do faktu posiadania wyceny ewentualnie wprowadzenie pola opisowego, które umożliwi wskazanie zastosowanej techniki wyceny. </w:t>
      </w:r>
    </w:p>
    <w:p w14:paraId="5242183F" w14:textId="1403185A" w:rsidR="00E862F9" w:rsidRPr="00E862F9" w:rsidRDefault="00BC72B9" w:rsidP="00E862F9">
      <w:pPr>
        <w:pStyle w:val="Akapitzlist"/>
        <w:spacing w:before="200" w:after="200" w:line="280" w:lineRule="exact"/>
        <w:ind w:left="720"/>
        <w:jc w:val="both"/>
        <w:rPr>
          <w:rFonts w:ascii="Arial" w:hAnsi="Arial" w:cs="Arial"/>
          <w:sz w:val="20"/>
          <w:szCs w:val="20"/>
        </w:rPr>
      </w:pPr>
      <w:r>
        <w:rPr>
          <w:rFonts w:ascii="Arial" w:hAnsi="Arial" w:cs="Arial"/>
          <w:sz w:val="20"/>
          <w:szCs w:val="20"/>
        </w:rPr>
        <w:t xml:space="preserve">Analogicznie w polach </w:t>
      </w:r>
      <w:r w:rsidR="00E862F9">
        <w:rPr>
          <w:rFonts w:ascii="Arial" w:hAnsi="Arial" w:cs="Arial"/>
          <w:sz w:val="20"/>
          <w:szCs w:val="20"/>
        </w:rPr>
        <w:t>1502</w:t>
      </w:r>
      <w:r>
        <w:rPr>
          <w:rFonts w:ascii="Arial" w:hAnsi="Arial" w:cs="Arial"/>
          <w:sz w:val="20"/>
          <w:szCs w:val="20"/>
        </w:rPr>
        <w:t xml:space="preserve"> oraz 2502 podatnik powinien mieć możliwość wpisania uzasadnienia dlaczego nie jest należne wynagrodzenie (nie doszło do transferu wartości niosącej potencjał do generowania zysku) lub wskazania innych transakcji poprzez które doszło do rozliczenia wynagrodzenia np. sprzedaż aktywów. </w:t>
      </w:r>
      <w:bookmarkStart w:id="0" w:name="_GoBack"/>
      <w:bookmarkEnd w:id="0"/>
    </w:p>
    <w:p w14:paraId="25DFF0C1" w14:textId="168321DA" w:rsidR="009D05E4" w:rsidRPr="00AF716B" w:rsidRDefault="009D05E4" w:rsidP="00B37961">
      <w:pPr>
        <w:pStyle w:val="Akapitzlist"/>
        <w:numPr>
          <w:ilvl w:val="0"/>
          <w:numId w:val="11"/>
        </w:numPr>
        <w:spacing w:before="200" w:after="200" w:line="280" w:lineRule="exact"/>
        <w:jc w:val="both"/>
        <w:rPr>
          <w:rFonts w:ascii="Arial" w:hAnsi="Arial" w:cs="Arial"/>
          <w:b/>
          <w:sz w:val="20"/>
          <w:szCs w:val="20"/>
        </w:rPr>
      </w:pPr>
      <w:r>
        <w:rPr>
          <w:rFonts w:ascii="Arial" w:hAnsi="Arial" w:cs="Arial"/>
          <w:b/>
          <w:sz w:val="20"/>
          <w:szCs w:val="20"/>
        </w:rPr>
        <w:t xml:space="preserve">Ujednolicenie sposobu prezentacji danych </w:t>
      </w:r>
      <w:r w:rsidR="00B37961">
        <w:rPr>
          <w:rFonts w:ascii="Arial" w:hAnsi="Arial" w:cs="Arial"/>
          <w:b/>
          <w:sz w:val="20"/>
          <w:szCs w:val="20"/>
        </w:rPr>
        <w:t>liczbowych</w:t>
      </w:r>
    </w:p>
    <w:p w14:paraId="4CF8AAD0" w14:textId="3FB668B5" w:rsidR="009D05E4" w:rsidRDefault="009D05E4" w:rsidP="00B37961">
      <w:pPr>
        <w:pStyle w:val="Akapitzlist"/>
        <w:spacing w:before="200" w:after="200" w:line="280" w:lineRule="exact"/>
        <w:ind w:left="720"/>
        <w:jc w:val="both"/>
        <w:rPr>
          <w:rFonts w:ascii="Arial" w:hAnsi="Arial" w:cs="Arial"/>
          <w:sz w:val="20"/>
          <w:szCs w:val="20"/>
        </w:rPr>
      </w:pPr>
      <w:r w:rsidRPr="00C070FD">
        <w:rPr>
          <w:rFonts w:ascii="Arial" w:hAnsi="Arial" w:cs="Arial"/>
          <w:sz w:val="20"/>
          <w:szCs w:val="20"/>
        </w:rPr>
        <w:t>Postulujemy stosowanie jednolit</w:t>
      </w:r>
      <w:r>
        <w:rPr>
          <w:rFonts w:ascii="Arial" w:hAnsi="Arial" w:cs="Arial"/>
          <w:sz w:val="20"/>
          <w:szCs w:val="20"/>
        </w:rPr>
        <w:t>ej prezentacji danych</w:t>
      </w:r>
      <w:r w:rsidR="00B37961">
        <w:rPr>
          <w:rFonts w:ascii="Arial" w:hAnsi="Arial" w:cs="Arial"/>
          <w:sz w:val="20"/>
          <w:szCs w:val="20"/>
        </w:rPr>
        <w:t xml:space="preserve"> liczbowych</w:t>
      </w:r>
      <w:r>
        <w:rPr>
          <w:rFonts w:ascii="Arial" w:hAnsi="Arial" w:cs="Arial"/>
          <w:sz w:val="20"/>
          <w:szCs w:val="20"/>
        </w:rPr>
        <w:t xml:space="preserve">. </w:t>
      </w:r>
      <w:r w:rsidRPr="008319EC">
        <w:rPr>
          <w:rFonts w:ascii="Arial" w:hAnsi="Arial" w:cs="Arial"/>
          <w:sz w:val="20"/>
          <w:szCs w:val="20"/>
        </w:rPr>
        <w:t xml:space="preserve">W testowej wersji formularza w polu „Wartość transakcji” należy wpisać wartość w milionach złotych, natomiast w polu „Wartość korekty” w tysiącach złotych. </w:t>
      </w:r>
    </w:p>
    <w:p w14:paraId="5ED97D9B" w14:textId="77777777" w:rsidR="009D05E4" w:rsidRDefault="009D05E4" w:rsidP="00B37961">
      <w:pPr>
        <w:spacing w:before="200" w:after="200" w:line="280" w:lineRule="exact"/>
        <w:ind w:left="709" w:hanging="1"/>
        <w:jc w:val="both"/>
        <w:rPr>
          <w:rFonts w:ascii="Arial" w:hAnsi="Arial" w:cs="Arial"/>
          <w:sz w:val="20"/>
          <w:szCs w:val="20"/>
        </w:rPr>
      </w:pPr>
      <w:r>
        <w:rPr>
          <w:rFonts w:ascii="Arial" w:hAnsi="Arial" w:cs="Arial"/>
          <w:sz w:val="20"/>
          <w:szCs w:val="20"/>
        </w:rPr>
        <w:t>Podobna sytuacja ma miejsce w przypadku „</w:t>
      </w:r>
      <w:r w:rsidRPr="008319EC">
        <w:rPr>
          <w:rFonts w:ascii="Arial" w:hAnsi="Arial" w:cs="Arial"/>
          <w:sz w:val="20"/>
          <w:szCs w:val="20"/>
        </w:rPr>
        <w:t>Transakcj</w:t>
      </w:r>
      <w:r>
        <w:rPr>
          <w:rFonts w:ascii="Arial" w:hAnsi="Arial" w:cs="Arial"/>
          <w:sz w:val="20"/>
          <w:szCs w:val="20"/>
        </w:rPr>
        <w:t>i</w:t>
      </w:r>
      <w:r w:rsidRPr="008319EC">
        <w:rPr>
          <w:rFonts w:ascii="Arial" w:hAnsi="Arial" w:cs="Arial"/>
          <w:sz w:val="20"/>
          <w:szCs w:val="20"/>
        </w:rPr>
        <w:t xml:space="preserve"> związan</w:t>
      </w:r>
      <w:r>
        <w:rPr>
          <w:rFonts w:ascii="Arial" w:hAnsi="Arial" w:cs="Arial"/>
          <w:sz w:val="20"/>
          <w:szCs w:val="20"/>
        </w:rPr>
        <w:t>ych</w:t>
      </w:r>
      <w:r w:rsidRPr="008319EC">
        <w:rPr>
          <w:rFonts w:ascii="Arial" w:hAnsi="Arial" w:cs="Arial"/>
          <w:sz w:val="20"/>
          <w:szCs w:val="20"/>
        </w:rPr>
        <w:t xml:space="preserve"> z udzieleniem/otrzymaniem finansowania</w:t>
      </w:r>
      <w:r>
        <w:rPr>
          <w:rFonts w:ascii="Arial" w:hAnsi="Arial" w:cs="Arial"/>
          <w:sz w:val="20"/>
          <w:szCs w:val="20"/>
        </w:rPr>
        <w:t xml:space="preserve">”. </w:t>
      </w:r>
      <w:r w:rsidRPr="008319EC">
        <w:rPr>
          <w:rFonts w:ascii="Arial" w:hAnsi="Arial" w:cs="Arial"/>
          <w:sz w:val="20"/>
          <w:szCs w:val="20"/>
        </w:rPr>
        <w:t xml:space="preserve">„Wartość </w:t>
      </w:r>
      <w:r>
        <w:rPr>
          <w:rFonts w:ascii="Arial" w:hAnsi="Arial" w:cs="Arial"/>
          <w:sz w:val="20"/>
          <w:szCs w:val="20"/>
        </w:rPr>
        <w:t>transakcji</w:t>
      </w:r>
      <w:r w:rsidRPr="008319EC">
        <w:rPr>
          <w:rFonts w:ascii="Arial" w:hAnsi="Arial" w:cs="Arial"/>
          <w:sz w:val="20"/>
          <w:szCs w:val="20"/>
        </w:rPr>
        <w:t xml:space="preserve">” </w:t>
      </w:r>
      <w:r>
        <w:rPr>
          <w:rFonts w:ascii="Arial" w:hAnsi="Arial" w:cs="Arial"/>
          <w:sz w:val="20"/>
          <w:szCs w:val="20"/>
        </w:rPr>
        <w:t xml:space="preserve">powinna być wskazana w milionach złotych </w:t>
      </w:r>
      <w:r w:rsidRPr="008319EC">
        <w:rPr>
          <w:rFonts w:ascii="Arial" w:hAnsi="Arial" w:cs="Arial"/>
          <w:sz w:val="20"/>
          <w:szCs w:val="20"/>
        </w:rPr>
        <w:t xml:space="preserve">a w pozycjach „Kwota kapitału”, „Kwota odsetek”, „Wartość zadłużenia” nie podano </w:t>
      </w:r>
      <w:r>
        <w:rPr>
          <w:rFonts w:ascii="Arial" w:hAnsi="Arial" w:cs="Arial"/>
          <w:sz w:val="20"/>
          <w:szCs w:val="20"/>
        </w:rPr>
        <w:t>w jakim formacie należy zaprezentować dane</w:t>
      </w:r>
      <w:r w:rsidRPr="008319EC">
        <w:rPr>
          <w:rFonts w:ascii="Arial" w:hAnsi="Arial" w:cs="Arial"/>
          <w:sz w:val="20"/>
          <w:szCs w:val="20"/>
        </w:rPr>
        <w:t xml:space="preserve"> (</w:t>
      </w:r>
      <w:r>
        <w:rPr>
          <w:rFonts w:ascii="Arial" w:hAnsi="Arial" w:cs="Arial"/>
          <w:sz w:val="20"/>
          <w:szCs w:val="20"/>
        </w:rPr>
        <w:t xml:space="preserve">zgodnie z </w:t>
      </w:r>
      <w:r w:rsidRPr="008319EC">
        <w:rPr>
          <w:rFonts w:ascii="Arial" w:hAnsi="Arial" w:cs="Arial"/>
          <w:sz w:val="20"/>
          <w:szCs w:val="20"/>
        </w:rPr>
        <w:t>Załącznik</w:t>
      </w:r>
      <w:r>
        <w:rPr>
          <w:rFonts w:ascii="Arial" w:hAnsi="Arial" w:cs="Arial"/>
          <w:sz w:val="20"/>
          <w:szCs w:val="20"/>
        </w:rPr>
        <w:t>iem</w:t>
      </w:r>
      <w:r w:rsidRPr="008319EC">
        <w:rPr>
          <w:rFonts w:ascii="Arial" w:hAnsi="Arial" w:cs="Arial"/>
          <w:sz w:val="20"/>
          <w:szCs w:val="20"/>
        </w:rPr>
        <w:t xml:space="preserve"> do rozporządzenia, pozycja „powinna być zaokrąglona do pełnych jednostek”</w:t>
      </w:r>
      <w:r>
        <w:rPr>
          <w:rFonts w:ascii="Arial" w:hAnsi="Arial" w:cs="Arial"/>
          <w:sz w:val="20"/>
          <w:szCs w:val="20"/>
        </w:rPr>
        <w:t xml:space="preserve"> co sugeruje, że powinna być podana w złotych</w:t>
      </w:r>
      <w:r w:rsidRPr="008319EC">
        <w:rPr>
          <w:rFonts w:ascii="Arial" w:hAnsi="Arial" w:cs="Arial"/>
          <w:sz w:val="20"/>
          <w:szCs w:val="20"/>
        </w:rPr>
        <w:t>)</w:t>
      </w:r>
      <w:r>
        <w:rPr>
          <w:rFonts w:ascii="Arial" w:hAnsi="Arial" w:cs="Arial"/>
          <w:sz w:val="20"/>
          <w:szCs w:val="20"/>
        </w:rPr>
        <w:t>.</w:t>
      </w:r>
    </w:p>
    <w:p w14:paraId="1EF86F11" w14:textId="77777777" w:rsidR="009D05E4" w:rsidRDefault="009D05E4" w:rsidP="00B37961">
      <w:pPr>
        <w:spacing w:before="200" w:after="200" w:line="280" w:lineRule="exact"/>
        <w:ind w:left="709" w:hanging="1"/>
        <w:jc w:val="both"/>
        <w:rPr>
          <w:rFonts w:ascii="Arial" w:hAnsi="Arial" w:cs="Arial"/>
          <w:sz w:val="20"/>
          <w:szCs w:val="20"/>
        </w:rPr>
      </w:pPr>
      <w:r w:rsidRPr="008319EC">
        <w:rPr>
          <w:rFonts w:ascii="Arial" w:hAnsi="Arial" w:cs="Arial"/>
          <w:sz w:val="20"/>
          <w:szCs w:val="20"/>
        </w:rPr>
        <w:t>Konsekwentne stosowanie jednolit</w:t>
      </w:r>
      <w:r>
        <w:rPr>
          <w:rFonts w:ascii="Arial" w:hAnsi="Arial" w:cs="Arial"/>
          <w:sz w:val="20"/>
          <w:szCs w:val="20"/>
        </w:rPr>
        <w:t xml:space="preserve">ej prezentacji danych liczbowych </w:t>
      </w:r>
      <w:r w:rsidRPr="008319EC">
        <w:rPr>
          <w:rFonts w:ascii="Arial" w:hAnsi="Arial" w:cs="Arial"/>
          <w:sz w:val="20"/>
          <w:szCs w:val="20"/>
        </w:rPr>
        <w:t xml:space="preserve">rekomendujemy również w przypadku </w:t>
      </w:r>
      <w:r>
        <w:rPr>
          <w:rFonts w:ascii="Arial" w:hAnsi="Arial" w:cs="Arial"/>
          <w:sz w:val="20"/>
          <w:szCs w:val="20"/>
        </w:rPr>
        <w:t xml:space="preserve">analizy cen transferowych dla </w:t>
      </w:r>
      <w:r w:rsidRPr="008319EC">
        <w:rPr>
          <w:rFonts w:ascii="Arial" w:hAnsi="Arial" w:cs="Arial"/>
          <w:sz w:val="20"/>
          <w:szCs w:val="20"/>
        </w:rPr>
        <w:t>transakcji otrzymania/udzielenia finansowania</w:t>
      </w:r>
      <w:r>
        <w:rPr>
          <w:rFonts w:ascii="Arial" w:hAnsi="Arial" w:cs="Arial"/>
          <w:sz w:val="20"/>
          <w:szCs w:val="20"/>
        </w:rPr>
        <w:t xml:space="preserve"> w przypadku wyboru opcji „Oprocentowanie zmienne” jako sposobu kalkulacji oprocentowania:</w:t>
      </w:r>
      <w:r w:rsidRPr="008319EC">
        <w:rPr>
          <w:rFonts w:ascii="Arial" w:hAnsi="Arial" w:cs="Arial"/>
          <w:sz w:val="20"/>
          <w:szCs w:val="20"/>
        </w:rPr>
        <w:t xml:space="preserve"> w pozycjach „Wynik analizy - dolna granica” i „Wynika analizy – górna granica”, </w:t>
      </w:r>
      <w:r>
        <w:rPr>
          <w:rFonts w:ascii="Arial" w:hAnsi="Arial" w:cs="Arial"/>
          <w:sz w:val="20"/>
          <w:szCs w:val="20"/>
        </w:rPr>
        <w:t xml:space="preserve">podaje się wartości w procentach a marże powyżej stopy bazowej podaje się </w:t>
      </w:r>
      <w:r w:rsidRPr="008319EC">
        <w:rPr>
          <w:rFonts w:ascii="Arial" w:hAnsi="Arial" w:cs="Arial"/>
          <w:sz w:val="20"/>
          <w:szCs w:val="20"/>
        </w:rPr>
        <w:t>w punktach bazowych</w:t>
      </w:r>
      <w:r>
        <w:rPr>
          <w:rFonts w:ascii="Arial" w:hAnsi="Arial" w:cs="Arial"/>
          <w:sz w:val="20"/>
          <w:szCs w:val="20"/>
        </w:rPr>
        <w:t>.</w:t>
      </w:r>
    </w:p>
    <w:p w14:paraId="3FD5194A" w14:textId="77777777" w:rsidR="009D05E4" w:rsidRDefault="009D05E4" w:rsidP="00B37961">
      <w:pPr>
        <w:pStyle w:val="Akapitzlist"/>
        <w:spacing w:before="200" w:after="200" w:line="280" w:lineRule="exact"/>
        <w:ind w:left="720"/>
        <w:jc w:val="both"/>
        <w:rPr>
          <w:rFonts w:ascii="Arial" w:hAnsi="Arial" w:cs="Arial"/>
          <w:sz w:val="20"/>
          <w:szCs w:val="20"/>
        </w:rPr>
      </w:pPr>
      <w:r>
        <w:rPr>
          <w:rFonts w:ascii="Arial" w:hAnsi="Arial" w:cs="Arial"/>
          <w:sz w:val="20"/>
          <w:szCs w:val="20"/>
        </w:rPr>
        <w:t xml:space="preserve">Podawanie danych finansowych/ danych o oprocentowaniu w różnych wartościach może powodować błędy przy wypełnianiu formularza. </w:t>
      </w:r>
    </w:p>
    <w:p w14:paraId="222441FC" w14:textId="2A6BFF9E" w:rsidR="000D7CB0" w:rsidRPr="00AF716B" w:rsidRDefault="00707B70" w:rsidP="00B37961">
      <w:pPr>
        <w:pStyle w:val="Akapitzlist"/>
        <w:numPr>
          <w:ilvl w:val="0"/>
          <w:numId w:val="11"/>
        </w:numPr>
        <w:spacing w:before="200" w:after="200" w:line="280" w:lineRule="exact"/>
        <w:jc w:val="both"/>
        <w:rPr>
          <w:rFonts w:ascii="Arial" w:hAnsi="Arial" w:cs="Arial"/>
          <w:b/>
          <w:sz w:val="20"/>
          <w:szCs w:val="20"/>
        </w:rPr>
      </w:pPr>
      <w:r w:rsidRPr="00AF716B">
        <w:rPr>
          <w:rFonts w:ascii="Arial" w:hAnsi="Arial" w:cs="Arial"/>
          <w:b/>
          <w:sz w:val="20"/>
          <w:szCs w:val="20"/>
        </w:rPr>
        <w:t xml:space="preserve">Sposób raportowania transakcji jednorodnych w sekcji </w:t>
      </w:r>
      <w:r w:rsidR="00AF716B" w:rsidRPr="00AF716B">
        <w:rPr>
          <w:rFonts w:ascii="Arial" w:hAnsi="Arial" w:cs="Arial"/>
          <w:b/>
          <w:sz w:val="20"/>
          <w:szCs w:val="20"/>
        </w:rPr>
        <w:t>„</w:t>
      </w:r>
      <w:r w:rsidRPr="00AF716B">
        <w:rPr>
          <w:rFonts w:ascii="Arial" w:hAnsi="Arial" w:cs="Arial"/>
          <w:b/>
          <w:sz w:val="20"/>
          <w:szCs w:val="20"/>
        </w:rPr>
        <w:t>Dane transakcji</w:t>
      </w:r>
      <w:r w:rsidR="00AF716B" w:rsidRPr="00AF716B">
        <w:rPr>
          <w:rFonts w:ascii="Arial" w:hAnsi="Arial" w:cs="Arial"/>
          <w:b/>
          <w:sz w:val="20"/>
          <w:szCs w:val="20"/>
        </w:rPr>
        <w:t>”</w:t>
      </w:r>
    </w:p>
    <w:p w14:paraId="35FA36B3" w14:textId="0CC32194" w:rsidR="00707B70" w:rsidRPr="00707B70" w:rsidRDefault="000A043E" w:rsidP="00B37961">
      <w:pPr>
        <w:pStyle w:val="Akapitzlist"/>
        <w:spacing w:before="200" w:after="200" w:line="280" w:lineRule="exact"/>
        <w:ind w:left="720"/>
        <w:jc w:val="both"/>
        <w:rPr>
          <w:rFonts w:ascii="Arial" w:hAnsi="Arial" w:cs="Arial"/>
          <w:sz w:val="20"/>
          <w:szCs w:val="20"/>
        </w:rPr>
      </w:pPr>
      <w:r>
        <w:rPr>
          <w:rFonts w:ascii="Arial" w:hAnsi="Arial" w:cs="Arial"/>
          <w:sz w:val="20"/>
          <w:szCs w:val="20"/>
        </w:rPr>
        <w:t xml:space="preserve">Objaśnienia </w:t>
      </w:r>
      <w:r w:rsidR="00707B70" w:rsidRPr="00707B70">
        <w:rPr>
          <w:rFonts w:ascii="Arial" w:hAnsi="Arial" w:cs="Arial"/>
          <w:sz w:val="20"/>
          <w:szCs w:val="20"/>
        </w:rPr>
        <w:t>wskazuj</w:t>
      </w:r>
      <w:r>
        <w:rPr>
          <w:rFonts w:ascii="Arial" w:hAnsi="Arial" w:cs="Arial"/>
          <w:sz w:val="20"/>
          <w:szCs w:val="20"/>
        </w:rPr>
        <w:t>ą</w:t>
      </w:r>
      <w:r w:rsidR="00707B70" w:rsidRPr="00707B70">
        <w:rPr>
          <w:rFonts w:ascii="Arial" w:hAnsi="Arial" w:cs="Arial"/>
          <w:sz w:val="20"/>
          <w:szCs w:val="20"/>
        </w:rPr>
        <w:t>, że intencją ustawodawcy było raportowanie transakcji kontrolowanych jako transakcji jednorodnych w rozumieniu art. 11k ust. 4 i 5 ustawy. W myśl objaśnień: „Podmiot składający informację o cenach transferowych może wybrać tę samą pozycję (kategorię transakcji kontrolowanej) w tabeli kilkukrotnie – jeżeli transakcje takie nie są traktowane przez niego jako transakcje o charakterze jednorodnym (…)”.</w:t>
      </w:r>
    </w:p>
    <w:p w14:paraId="404448BB" w14:textId="4EAA3560" w:rsidR="00707B70" w:rsidRDefault="00707B70" w:rsidP="00B37961">
      <w:pPr>
        <w:pStyle w:val="Akapitzlist"/>
        <w:spacing w:before="200" w:after="200" w:line="280" w:lineRule="exact"/>
        <w:ind w:left="720"/>
        <w:jc w:val="both"/>
        <w:rPr>
          <w:rFonts w:ascii="Arial" w:hAnsi="Arial" w:cs="Arial"/>
          <w:sz w:val="20"/>
          <w:szCs w:val="20"/>
        </w:rPr>
      </w:pPr>
      <w:r w:rsidRPr="00707B70">
        <w:rPr>
          <w:rFonts w:ascii="Arial" w:hAnsi="Arial" w:cs="Arial"/>
          <w:sz w:val="20"/>
          <w:szCs w:val="20"/>
        </w:rPr>
        <w:lastRenderedPageBreak/>
        <w:t xml:space="preserve">W naszej opinii należy dostosować formularz do raportowania transakcji jednorodnej zawartej w ramach tej samej umowy z </w:t>
      </w:r>
      <w:r w:rsidR="00AF716B">
        <w:rPr>
          <w:rFonts w:ascii="Arial" w:hAnsi="Arial" w:cs="Arial"/>
          <w:sz w:val="20"/>
          <w:szCs w:val="20"/>
        </w:rPr>
        <w:t>więcej ni</w:t>
      </w:r>
      <w:r w:rsidR="00571379">
        <w:rPr>
          <w:rFonts w:ascii="Arial" w:hAnsi="Arial" w:cs="Arial"/>
          <w:sz w:val="20"/>
          <w:szCs w:val="20"/>
        </w:rPr>
        <w:t>ż</w:t>
      </w:r>
      <w:r w:rsidR="00AF716B">
        <w:rPr>
          <w:rFonts w:ascii="Arial" w:hAnsi="Arial" w:cs="Arial"/>
          <w:sz w:val="20"/>
          <w:szCs w:val="20"/>
        </w:rPr>
        <w:t xml:space="preserve"> jednym kontrahentem powiązanym. </w:t>
      </w:r>
      <w:r w:rsidRPr="00707B70">
        <w:rPr>
          <w:rFonts w:ascii="Arial" w:hAnsi="Arial" w:cs="Arial"/>
          <w:sz w:val="20"/>
          <w:szCs w:val="20"/>
        </w:rPr>
        <w:t xml:space="preserve">Obecny </w:t>
      </w:r>
      <w:r w:rsidR="00571379">
        <w:rPr>
          <w:rFonts w:ascii="Arial" w:hAnsi="Arial" w:cs="Arial"/>
          <w:sz w:val="20"/>
          <w:szCs w:val="20"/>
        </w:rPr>
        <w:t xml:space="preserve">kształt formularza wymaga wielokrotnego wypełnienia danych dotyczących transakcji jednorodnej w podziale na poszczególnych kontrahentów. </w:t>
      </w:r>
      <w:r w:rsidR="004736F8" w:rsidRPr="00707B70">
        <w:rPr>
          <w:rFonts w:ascii="Arial" w:hAnsi="Arial" w:cs="Arial"/>
          <w:sz w:val="20"/>
          <w:szCs w:val="20"/>
        </w:rPr>
        <w:t xml:space="preserve">Jednakże może to skutkować wykazaniem transakcji o </w:t>
      </w:r>
      <w:r w:rsidR="004736F8">
        <w:rPr>
          <w:rFonts w:ascii="Arial" w:hAnsi="Arial" w:cs="Arial"/>
          <w:sz w:val="20"/>
          <w:szCs w:val="20"/>
        </w:rPr>
        <w:t>wartości poniżej 10 000 PLN (formularz w polu wartość transakcji jako najmniejszą wartość 0,01 mln PLN) jak również implikować praktyczne problemy przy raportowaniu korekt cen transferowych (patrz pkt 7 poniżej)</w:t>
      </w:r>
      <w:r w:rsidR="004736F8" w:rsidRPr="00707B70">
        <w:rPr>
          <w:rFonts w:ascii="Arial" w:hAnsi="Arial" w:cs="Arial"/>
          <w:sz w:val="20"/>
          <w:szCs w:val="20"/>
        </w:rPr>
        <w:t>.</w:t>
      </w:r>
      <w:r w:rsidRPr="00707B70">
        <w:rPr>
          <w:rFonts w:ascii="Arial" w:hAnsi="Arial" w:cs="Arial"/>
          <w:sz w:val="20"/>
          <w:szCs w:val="20"/>
        </w:rPr>
        <w:t xml:space="preserve">Jeżeli nie jest możliwe dokonanie takiej zmiany w formularzu postulujemy </w:t>
      </w:r>
      <w:r w:rsidR="00AF716B">
        <w:rPr>
          <w:rFonts w:ascii="Arial" w:hAnsi="Arial" w:cs="Arial"/>
          <w:sz w:val="20"/>
          <w:szCs w:val="20"/>
        </w:rPr>
        <w:t xml:space="preserve">wydanie </w:t>
      </w:r>
      <w:r w:rsidRPr="00707B70">
        <w:rPr>
          <w:rFonts w:ascii="Arial" w:hAnsi="Arial" w:cs="Arial"/>
          <w:sz w:val="20"/>
          <w:szCs w:val="20"/>
        </w:rPr>
        <w:t>objaśnień dla podatników</w:t>
      </w:r>
      <w:r w:rsidR="00AF716B">
        <w:rPr>
          <w:rFonts w:ascii="Arial" w:hAnsi="Arial" w:cs="Arial"/>
          <w:sz w:val="20"/>
          <w:szCs w:val="20"/>
        </w:rPr>
        <w:t>,</w:t>
      </w:r>
      <w:r w:rsidRPr="00707B70">
        <w:rPr>
          <w:rFonts w:ascii="Arial" w:hAnsi="Arial" w:cs="Arial"/>
          <w:sz w:val="20"/>
          <w:szCs w:val="20"/>
        </w:rPr>
        <w:t xml:space="preserve"> w których zostanie wskazane, że transakcje taką wypełniamy odrębnie dla każdego kontrahenta. </w:t>
      </w:r>
      <w:r w:rsidR="004736F8">
        <w:rPr>
          <w:rFonts w:ascii="Arial" w:hAnsi="Arial" w:cs="Arial"/>
          <w:sz w:val="20"/>
          <w:szCs w:val="20"/>
        </w:rPr>
        <w:t>Może okazać konieczne ustalenia progu materialności (np. 10 000 PLN = 0,01 PLN).</w:t>
      </w:r>
    </w:p>
    <w:p w14:paraId="104F05BE" w14:textId="6A2D69B3" w:rsidR="00707B70" w:rsidRPr="00AF716B" w:rsidRDefault="00707B70" w:rsidP="00B37961">
      <w:pPr>
        <w:pStyle w:val="Akapitzlist"/>
        <w:numPr>
          <w:ilvl w:val="0"/>
          <w:numId w:val="11"/>
        </w:numPr>
        <w:spacing w:before="200" w:after="200" w:line="280" w:lineRule="exact"/>
        <w:jc w:val="both"/>
        <w:rPr>
          <w:rFonts w:ascii="Arial" w:hAnsi="Arial" w:cs="Arial"/>
          <w:b/>
          <w:sz w:val="20"/>
          <w:szCs w:val="20"/>
        </w:rPr>
      </w:pPr>
      <w:r w:rsidRPr="00AF716B">
        <w:rPr>
          <w:rFonts w:ascii="Arial" w:hAnsi="Arial" w:cs="Arial"/>
          <w:b/>
          <w:sz w:val="20"/>
          <w:szCs w:val="20"/>
        </w:rPr>
        <w:t>Raportowanie transakcji zwolnionych na podstawie art. 11n ustawy o CIT</w:t>
      </w:r>
    </w:p>
    <w:p w14:paraId="0D1FBEE7" w14:textId="5AE0CD12" w:rsidR="00707B70" w:rsidRDefault="00707B70" w:rsidP="00B37961">
      <w:pPr>
        <w:pStyle w:val="Akapitzlist"/>
        <w:spacing w:before="200" w:after="200" w:line="280" w:lineRule="exact"/>
        <w:ind w:left="720"/>
        <w:jc w:val="both"/>
        <w:rPr>
          <w:rFonts w:ascii="Arial" w:hAnsi="Arial" w:cs="Arial"/>
          <w:sz w:val="20"/>
          <w:szCs w:val="20"/>
        </w:rPr>
      </w:pPr>
      <w:r w:rsidRPr="00707B70">
        <w:rPr>
          <w:rFonts w:ascii="Arial" w:hAnsi="Arial" w:cs="Arial"/>
          <w:sz w:val="20"/>
          <w:szCs w:val="20"/>
        </w:rPr>
        <w:t xml:space="preserve">Zgłaszamy wątpliwości i potrzebę doprecyzowania w drodze objaśnień, jak należy raportować transakcję zwolnioną (art. 11n </w:t>
      </w:r>
      <w:r w:rsidR="00AF716B">
        <w:rPr>
          <w:rFonts w:ascii="Arial" w:hAnsi="Arial" w:cs="Arial"/>
          <w:sz w:val="20"/>
          <w:szCs w:val="20"/>
        </w:rPr>
        <w:t>pkt 1) u</w:t>
      </w:r>
      <w:r w:rsidRPr="00707B70">
        <w:rPr>
          <w:rFonts w:ascii="Arial" w:hAnsi="Arial" w:cs="Arial"/>
          <w:sz w:val="20"/>
          <w:szCs w:val="20"/>
        </w:rPr>
        <w:t>stawy o CIT), której wartość jednostkowa nie przekracza progu, ale stanowi ona część transakcji jednorodnej z wieloma podmiotami powiązanymi</w:t>
      </w:r>
      <w:r w:rsidR="00AF716B">
        <w:rPr>
          <w:rFonts w:ascii="Arial" w:hAnsi="Arial" w:cs="Arial"/>
          <w:sz w:val="20"/>
          <w:szCs w:val="20"/>
        </w:rPr>
        <w:t xml:space="preserve"> (zagranicznymi),</w:t>
      </w:r>
      <w:r w:rsidRPr="00707B70">
        <w:rPr>
          <w:rFonts w:ascii="Arial" w:hAnsi="Arial" w:cs="Arial"/>
          <w:sz w:val="20"/>
          <w:szCs w:val="20"/>
        </w:rPr>
        <w:t xml:space="preserve"> której całkowita wartość przekracza progi dokumentacyjne.</w:t>
      </w:r>
      <w:r w:rsidR="009D05E4">
        <w:rPr>
          <w:rFonts w:ascii="Arial" w:hAnsi="Arial" w:cs="Arial"/>
          <w:sz w:val="20"/>
          <w:szCs w:val="20"/>
        </w:rPr>
        <w:t xml:space="preserve"> </w:t>
      </w:r>
    </w:p>
    <w:p w14:paraId="799E7B6A" w14:textId="050F78A5" w:rsidR="009D05E4" w:rsidRPr="009D05E4" w:rsidRDefault="009D05E4" w:rsidP="00B37961">
      <w:pPr>
        <w:pStyle w:val="Akapitzlist"/>
        <w:numPr>
          <w:ilvl w:val="0"/>
          <w:numId w:val="11"/>
        </w:numPr>
        <w:spacing w:before="200" w:after="200" w:line="280" w:lineRule="exact"/>
        <w:jc w:val="both"/>
        <w:rPr>
          <w:rFonts w:ascii="Arial" w:hAnsi="Arial" w:cs="Arial"/>
          <w:b/>
          <w:sz w:val="20"/>
          <w:szCs w:val="20"/>
        </w:rPr>
      </w:pPr>
      <w:r w:rsidRPr="009D05E4">
        <w:rPr>
          <w:rFonts w:ascii="Arial" w:hAnsi="Arial" w:cs="Arial"/>
          <w:b/>
          <w:sz w:val="20"/>
          <w:szCs w:val="20"/>
        </w:rPr>
        <w:t>Sposób prezentacji korekt</w:t>
      </w:r>
      <w:r>
        <w:rPr>
          <w:rFonts w:ascii="Arial" w:hAnsi="Arial" w:cs="Arial"/>
          <w:b/>
          <w:sz w:val="20"/>
          <w:szCs w:val="20"/>
        </w:rPr>
        <w:t xml:space="preserve"> cen transferowych </w:t>
      </w:r>
    </w:p>
    <w:p w14:paraId="01E59F7E" w14:textId="7C9C6F4C" w:rsidR="009D05E4" w:rsidRDefault="009D05E4" w:rsidP="00B37961">
      <w:pPr>
        <w:pStyle w:val="Akapitzlist"/>
        <w:spacing w:before="200" w:after="200" w:line="280" w:lineRule="exact"/>
        <w:ind w:left="720"/>
        <w:jc w:val="both"/>
        <w:rPr>
          <w:rFonts w:ascii="Arial" w:hAnsi="Arial" w:cs="Arial"/>
          <w:sz w:val="20"/>
          <w:szCs w:val="20"/>
        </w:rPr>
      </w:pPr>
      <w:r w:rsidRPr="00444D42">
        <w:rPr>
          <w:rFonts w:ascii="Arial" w:hAnsi="Arial" w:cs="Arial"/>
          <w:sz w:val="20"/>
          <w:szCs w:val="20"/>
        </w:rPr>
        <w:t xml:space="preserve">W naszej opinii istnieje potrzeba </w:t>
      </w:r>
      <w:r w:rsidR="000A043E">
        <w:rPr>
          <w:rFonts w:ascii="Arial" w:hAnsi="Arial" w:cs="Arial"/>
          <w:sz w:val="20"/>
          <w:szCs w:val="20"/>
        </w:rPr>
        <w:t>doprecyzowania O</w:t>
      </w:r>
      <w:r w:rsidRPr="00444D42">
        <w:rPr>
          <w:rFonts w:ascii="Arial" w:hAnsi="Arial" w:cs="Arial"/>
          <w:sz w:val="20"/>
          <w:szCs w:val="20"/>
        </w:rPr>
        <w:t xml:space="preserve">bjaśnień </w:t>
      </w:r>
      <w:r w:rsidR="000A043E">
        <w:rPr>
          <w:rFonts w:ascii="Arial" w:hAnsi="Arial" w:cs="Arial"/>
          <w:sz w:val="20"/>
          <w:szCs w:val="20"/>
        </w:rPr>
        <w:t xml:space="preserve">w zakresie </w:t>
      </w:r>
      <w:r w:rsidRPr="00444D42">
        <w:rPr>
          <w:rFonts w:ascii="Arial" w:hAnsi="Arial" w:cs="Arial"/>
          <w:sz w:val="20"/>
          <w:szCs w:val="20"/>
        </w:rPr>
        <w:t>sposobu prezentacji korekt</w:t>
      </w:r>
      <w:r>
        <w:rPr>
          <w:rFonts w:ascii="Arial" w:hAnsi="Arial" w:cs="Arial"/>
          <w:sz w:val="20"/>
          <w:szCs w:val="20"/>
        </w:rPr>
        <w:t xml:space="preserve"> cen transferowych</w:t>
      </w:r>
      <w:r w:rsidR="00B37961">
        <w:rPr>
          <w:rFonts w:ascii="Arial" w:hAnsi="Arial" w:cs="Arial"/>
          <w:sz w:val="20"/>
          <w:szCs w:val="20"/>
        </w:rPr>
        <w:t>. Poniżej zidentyfikowaliśmy potencjalne wątpliwości</w:t>
      </w:r>
      <w:r>
        <w:rPr>
          <w:rFonts w:ascii="Arial" w:hAnsi="Arial" w:cs="Arial"/>
          <w:sz w:val="20"/>
          <w:szCs w:val="20"/>
        </w:rPr>
        <w:t>:</w:t>
      </w:r>
    </w:p>
    <w:p w14:paraId="26730391" w14:textId="74C363ED" w:rsidR="009D05E4" w:rsidRDefault="009D05E4" w:rsidP="00B37961">
      <w:pPr>
        <w:pStyle w:val="Akapitzlist"/>
        <w:numPr>
          <w:ilvl w:val="0"/>
          <w:numId w:val="13"/>
        </w:numPr>
        <w:spacing w:before="200" w:after="200" w:line="280" w:lineRule="exact"/>
        <w:jc w:val="both"/>
        <w:rPr>
          <w:rFonts w:ascii="Arial" w:hAnsi="Arial" w:cs="Arial"/>
          <w:sz w:val="20"/>
          <w:szCs w:val="20"/>
        </w:rPr>
      </w:pPr>
      <w:r>
        <w:rPr>
          <w:rFonts w:ascii="Arial" w:hAnsi="Arial" w:cs="Arial"/>
          <w:sz w:val="20"/>
          <w:szCs w:val="20"/>
        </w:rPr>
        <w:t>Prosimy o potwierdzenie czy w przypadku</w:t>
      </w:r>
      <w:r w:rsidRPr="00444D42">
        <w:rPr>
          <w:rFonts w:ascii="Arial" w:hAnsi="Arial" w:cs="Arial"/>
          <w:sz w:val="20"/>
          <w:szCs w:val="20"/>
        </w:rPr>
        <w:t xml:space="preserve">, gdy </w:t>
      </w:r>
      <w:r>
        <w:rPr>
          <w:rFonts w:ascii="Arial" w:hAnsi="Arial" w:cs="Arial"/>
          <w:sz w:val="20"/>
          <w:szCs w:val="20"/>
        </w:rPr>
        <w:t>korekta cen transferowych zostanie dokonana po zamknięciu ksiąg podatkowych roku, którego dotyczy, podatnik będzie zobowiązany do złożenia korekty uprzednio złożonej Informacji o cenach transferowych TPR.</w:t>
      </w:r>
    </w:p>
    <w:p w14:paraId="6124484A" w14:textId="6C30FCFE" w:rsidR="009D05E4" w:rsidRDefault="009D05E4" w:rsidP="00B37961">
      <w:pPr>
        <w:pStyle w:val="Akapitzlist"/>
        <w:numPr>
          <w:ilvl w:val="0"/>
          <w:numId w:val="13"/>
        </w:numPr>
        <w:spacing w:before="200" w:after="200" w:line="280" w:lineRule="exact"/>
        <w:jc w:val="both"/>
        <w:rPr>
          <w:rFonts w:ascii="Arial" w:hAnsi="Arial" w:cs="Arial"/>
          <w:sz w:val="20"/>
          <w:szCs w:val="20"/>
        </w:rPr>
      </w:pPr>
      <w:r>
        <w:rPr>
          <w:rFonts w:ascii="Arial" w:hAnsi="Arial" w:cs="Arial"/>
          <w:sz w:val="20"/>
          <w:szCs w:val="20"/>
        </w:rPr>
        <w:t xml:space="preserve">Analogicznie, prosimy o potwierdzenie w objaśnieniach, że w sytuacji gdy </w:t>
      </w:r>
      <w:r w:rsidRPr="00444D42">
        <w:rPr>
          <w:rFonts w:ascii="Arial" w:hAnsi="Arial" w:cs="Arial"/>
          <w:sz w:val="20"/>
          <w:szCs w:val="20"/>
        </w:rPr>
        <w:t>umowa przewiduje periodyczną weryfikację ceny i jej ewentualną korektę za okresy dłuższe niż jeden rok (np. weryfikacja co 3 lata)</w:t>
      </w:r>
      <w:r>
        <w:rPr>
          <w:rFonts w:ascii="Arial" w:hAnsi="Arial" w:cs="Arial"/>
          <w:sz w:val="20"/>
          <w:szCs w:val="20"/>
        </w:rPr>
        <w:t xml:space="preserve">, dokonanie korekty będzie skutkowało </w:t>
      </w:r>
      <w:r w:rsidRPr="00444D42">
        <w:rPr>
          <w:rFonts w:ascii="Arial" w:hAnsi="Arial" w:cs="Arial"/>
          <w:sz w:val="20"/>
          <w:szCs w:val="20"/>
        </w:rPr>
        <w:t>koniecznoś</w:t>
      </w:r>
      <w:r>
        <w:rPr>
          <w:rFonts w:ascii="Arial" w:hAnsi="Arial" w:cs="Arial"/>
          <w:sz w:val="20"/>
          <w:szCs w:val="20"/>
        </w:rPr>
        <w:t xml:space="preserve">cią </w:t>
      </w:r>
      <w:r w:rsidRPr="00444D42">
        <w:rPr>
          <w:rFonts w:ascii="Arial" w:hAnsi="Arial" w:cs="Arial"/>
          <w:sz w:val="20"/>
          <w:szCs w:val="20"/>
        </w:rPr>
        <w:t xml:space="preserve">złożenia korekty </w:t>
      </w:r>
      <w:r>
        <w:rPr>
          <w:rFonts w:ascii="Arial" w:hAnsi="Arial" w:cs="Arial"/>
          <w:sz w:val="20"/>
          <w:szCs w:val="20"/>
        </w:rPr>
        <w:t xml:space="preserve">informacji </w:t>
      </w:r>
      <w:r w:rsidRPr="00444D42">
        <w:rPr>
          <w:rFonts w:ascii="Arial" w:hAnsi="Arial" w:cs="Arial"/>
          <w:sz w:val="20"/>
          <w:szCs w:val="20"/>
        </w:rPr>
        <w:t>TPR za poprzednie okresy</w:t>
      </w:r>
      <w:r w:rsidR="00B37961">
        <w:rPr>
          <w:rFonts w:ascii="Arial" w:hAnsi="Arial" w:cs="Arial"/>
          <w:sz w:val="20"/>
          <w:szCs w:val="20"/>
        </w:rPr>
        <w:t>.</w:t>
      </w:r>
    </w:p>
    <w:p w14:paraId="0C6218A0" w14:textId="10CF759D" w:rsidR="00B37961" w:rsidRDefault="009D05E4" w:rsidP="00B37961">
      <w:pPr>
        <w:pStyle w:val="Akapitzlist"/>
        <w:numPr>
          <w:ilvl w:val="0"/>
          <w:numId w:val="13"/>
        </w:numPr>
        <w:spacing w:before="200" w:after="200" w:line="280" w:lineRule="exact"/>
        <w:jc w:val="both"/>
        <w:rPr>
          <w:rFonts w:ascii="Arial" w:hAnsi="Arial" w:cs="Arial"/>
          <w:sz w:val="20"/>
          <w:szCs w:val="20"/>
        </w:rPr>
      </w:pPr>
      <w:r w:rsidRPr="00444D42">
        <w:rPr>
          <w:rFonts w:ascii="Arial" w:hAnsi="Arial" w:cs="Arial"/>
          <w:sz w:val="20"/>
          <w:szCs w:val="20"/>
        </w:rPr>
        <w:t xml:space="preserve">Zwracamy uwagę, że w przypadku transakcji </w:t>
      </w:r>
      <w:r w:rsidR="00B37961">
        <w:rPr>
          <w:rFonts w:ascii="Arial" w:hAnsi="Arial" w:cs="Arial"/>
          <w:sz w:val="20"/>
          <w:szCs w:val="20"/>
        </w:rPr>
        <w:t xml:space="preserve">zawieranych przez producenta lub dystrybutora o ograniczonym ryzyku, </w:t>
      </w:r>
      <w:r w:rsidRPr="00444D42">
        <w:rPr>
          <w:rFonts w:ascii="Arial" w:hAnsi="Arial" w:cs="Arial"/>
          <w:sz w:val="20"/>
          <w:szCs w:val="20"/>
        </w:rPr>
        <w:t xml:space="preserve">ewentualna korekta </w:t>
      </w:r>
      <w:r w:rsidR="00B37961">
        <w:rPr>
          <w:rFonts w:ascii="Arial" w:hAnsi="Arial" w:cs="Arial"/>
          <w:sz w:val="20"/>
          <w:szCs w:val="20"/>
        </w:rPr>
        <w:t xml:space="preserve">cen transferowych (jeżeli przyjmuje formę korekty </w:t>
      </w:r>
      <w:r w:rsidRPr="00444D42">
        <w:rPr>
          <w:rFonts w:ascii="Arial" w:hAnsi="Arial" w:cs="Arial"/>
          <w:sz w:val="20"/>
          <w:szCs w:val="20"/>
        </w:rPr>
        <w:t>rentowności</w:t>
      </w:r>
      <w:r w:rsidR="00B37961">
        <w:rPr>
          <w:rFonts w:ascii="Arial" w:hAnsi="Arial" w:cs="Arial"/>
          <w:sz w:val="20"/>
          <w:szCs w:val="20"/>
        </w:rPr>
        <w:t>)</w:t>
      </w:r>
      <w:r w:rsidRPr="00444D42">
        <w:rPr>
          <w:rFonts w:ascii="Arial" w:hAnsi="Arial" w:cs="Arial"/>
          <w:sz w:val="20"/>
          <w:szCs w:val="20"/>
        </w:rPr>
        <w:t xml:space="preserve"> może być dokonywana przez ten podmiot </w:t>
      </w:r>
      <w:r w:rsidR="00B37961">
        <w:rPr>
          <w:rFonts w:ascii="Arial" w:hAnsi="Arial" w:cs="Arial"/>
          <w:sz w:val="20"/>
          <w:szCs w:val="20"/>
        </w:rPr>
        <w:t xml:space="preserve">z jednym podmiotem tzw. </w:t>
      </w:r>
      <w:r w:rsidRPr="00444D42">
        <w:rPr>
          <w:rFonts w:ascii="Arial" w:hAnsi="Arial" w:cs="Arial"/>
          <w:sz w:val="20"/>
          <w:szCs w:val="20"/>
        </w:rPr>
        <w:t>pryncypałem</w:t>
      </w:r>
      <w:r w:rsidR="00B37961">
        <w:rPr>
          <w:rFonts w:ascii="Arial" w:hAnsi="Arial" w:cs="Arial"/>
          <w:sz w:val="20"/>
          <w:szCs w:val="20"/>
        </w:rPr>
        <w:t xml:space="preserve"> podczas gdy dostawy produktów lub zakupy towarów następują z rożnymi podmiotami i nie ma możliwości przypisania </w:t>
      </w:r>
      <w:r w:rsidR="005110FF">
        <w:rPr>
          <w:rFonts w:ascii="Arial" w:hAnsi="Arial" w:cs="Arial"/>
          <w:sz w:val="20"/>
          <w:szCs w:val="20"/>
        </w:rPr>
        <w:t xml:space="preserve">wartości korekty </w:t>
      </w:r>
      <w:r w:rsidR="00B37961">
        <w:rPr>
          <w:rFonts w:ascii="Arial" w:hAnsi="Arial" w:cs="Arial"/>
          <w:sz w:val="20"/>
          <w:szCs w:val="20"/>
        </w:rPr>
        <w:t>do poszczególnych p</w:t>
      </w:r>
      <w:r w:rsidR="005110FF">
        <w:rPr>
          <w:rFonts w:ascii="Arial" w:hAnsi="Arial" w:cs="Arial"/>
          <w:sz w:val="20"/>
          <w:szCs w:val="20"/>
        </w:rPr>
        <w:t>rzepływów</w:t>
      </w:r>
      <w:r w:rsidR="00B37961">
        <w:rPr>
          <w:rFonts w:ascii="Arial" w:hAnsi="Arial" w:cs="Arial"/>
          <w:sz w:val="20"/>
          <w:szCs w:val="20"/>
        </w:rPr>
        <w:t xml:space="preserve">. </w:t>
      </w:r>
      <w:r w:rsidRPr="00444D42">
        <w:rPr>
          <w:rFonts w:ascii="Arial" w:hAnsi="Arial" w:cs="Arial"/>
          <w:sz w:val="20"/>
          <w:szCs w:val="20"/>
        </w:rPr>
        <w:t xml:space="preserve">W następstwie pojawiają się wątpliwości </w:t>
      </w:r>
      <w:r w:rsidR="00B37961">
        <w:rPr>
          <w:rFonts w:ascii="Arial" w:hAnsi="Arial" w:cs="Arial"/>
          <w:sz w:val="20"/>
          <w:szCs w:val="20"/>
        </w:rPr>
        <w:t xml:space="preserve">odnośnie </w:t>
      </w:r>
      <w:r w:rsidRPr="00444D42">
        <w:rPr>
          <w:rFonts w:ascii="Arial" w:hAnsi="Arial" w:cs="Arial"/>
          <w:sz w:val="20"/>
          <w:szCs w:val="20"/>
        </w:rPr>
        <w:t>sposob</w:t>
      </w:r>
      <w:r w:rsidR="00B37961">
        <w:rPr>
          <w:rFonts w:ascii="Arial" w:hAnsi="Arial" w:cs="Arial"/>
          <w:sz w:val="20"/>
          <w:szCs w:val="20"/>
        </w:rPr>
        <w:t xml:space="preserve">u wykazania </w:t>
      </w:r>
      <w:r w:rsidRPr="00444D42">
        <w:rPr>
          <w:rFonts w:ascii="Arial" w:hAnsi="Arial" w:cs="Arial"/>
          <w:sz w:val="20"/>
          <w:szCs w:val="20"/>
        </w:rPr>
        <w:t xml:space="preserve">korekty </w:t>
      </w:r>
      <w:r w:rsidR="00B37961">
        <w:rPr>
          <w:rFonts w:ascii="Arial" w:hAnsi="Arial" w:cs="Arial"/>
          <w:sz w:val="20"/>
          <w:szCs w:val="20"/>
        </w:rPr>
        <w:t xml:space="preserve">cen transferowych, które wynikają ze sposobu prezentacji transakcji jednorodnych (patrz komentarz 5 powyżej). </w:t>
      </w:r>
    </w:p>
    <w:p w14:paraId="47F61C78" w14:textId="10E37AC3" w:rsidR="009D05E4" w:rsidRPr="00444D42" w:rsidRDefault="009D05E4" w:rsidP="00B37961">
      <w:pPr>
        <w:pStyle w:val="Akapitzlist"/>
        <w:spacing w:before="200" w:after="200" w:line="280" w:lineRule="exact"/>
        <w:ind w:left="1140"/>
        <w:jc w:val="both"/>
        <w:rPr>
          <w:rFonts w:ascii="Arial" w:hAnsi="Arial" w:cs="Arial"/>
          <w:sz w:val="20"/>
          <w:szCs w:val="20"/>
        </w:rPr>
      </w:pPr>
      <w:r w:rsidRPr="00444D42">
        <w:rPr>
          <w:rFonts w:ascii="Arial" w:hAnsi="Arial" w:cs="Arial"/>
          <w:sz w:val="20"/>
          <w:szCs w:val="20"/>
        </w:rPr>
        <w:t xml:space="preserve">W naszej ocenie istnieją </w:t>
      </w:r>
      <w:r w:rsidR="005110FF">
        <w:rPr>
          <w:rFonts w:ascii="Arial" w:hAnsi="Arial" w:cs="Arial"/>
          <w:sz w:val="20"/>
          <w:szCs w:val="20"/>
        </w:rPr>
        <w:t>następujące</w:t>
      </w:r>
      <w:r w:rsidRPr="00444D42">
        <w:rPr>
          <w:rFonts w:ascii="Arial" w:hAnsi="Arial" w:cs="Arial"/>
          <w:sz w:val="20"/>
          <w:szCs w:val="20"/>
        </w:rPr>
        <w:t xml:space="preserve"> rozwiązania: </w:t>
      </w:r>
    </w:p>
    <w:p w14:paraId="47AF136A" w14:textId="64DEDBEE" w:rsidR="009D05E4" w:rsidRPr="00444D42" w:rsidRDefault="009D05E4" w:rsidP="005110FF">
      <w:pPr>
        <w:pStyle w:val="Akapitzlist"/>
        <w:numPr>
          <w:ilvl w:val="0"/>
          <w:numId w:val="26"/>
        </w:numPr>
        <w:spacing w:before="200" w:after="200" w:line="280" w:lineRule="exact"/>
        <w:jc w:val="both"/>
        <w:rPr>
          <w:rFonts w:ascii="Arial" w:hAnsi="Arial" w:cs="Arial"/>
          <w:sz w:val="20"/>
          <w:szCs w:val="20"/>
        </w:rPr>
      </w:pPr>
      <w:r w:rsidRPr="00444D42">
        <w:rPr>
          <w:rFonts w:ascii="Arial" w:hAnsi="Arial" w:cs="Arial"/>
          <w:sz w:val="20"/>
          <w:szCs w:val="20"/>
        </w:rPr>
        <w:t xml:space="preserve">Umożliwienie ujęcia w części E </w:t>
      </w:r>
      <w:r w:rsidR="005110FF">
        <w:rPr>
          <w:rFonts w:ascii="Arial" w:hAnsi="Arial" w:cs="Arial"/>
          <w:sz w:val="20"/>
          <w:szCs w:val="20"/>
        </w:rPr>
        <w:t>danej</w:t>
      </w:r>
      <w:r w:rsidRPr="00444D42">
        <w:rPr>
          <w:rFonts w:ascii="Arial" w:hAnsi="Arial" w:cs="Arial"/>
          <w:sz w:val="20"/>
          <w:szCs w:val="20"/>
        </w:rPr>
        <w:t xml:space="preserve"> transakcji </w:t>
      </w:r>
      <w:r w:rsidR="005110FF">
        <w:rPr>
          <w:rFonts w:ascii="Arial" w:hAnsi="Arial" w:cs="Arial"/>
          <w:sz w:val="20"/>
          <w:szCs w:val="20"/>
        </w:rPr>
        <w:t xml:space="preserve">dostaw dokonywanych do/ zakupów dokonywanych od wszystkich kontrahentów </w:t>
      </w:r>
      <w:r w:rsidRPr="00444D42">
        <w:rPr>
          <w:rFonts w:ascii="Arial" w:hAnsi="Arial" w:cs="Arial"/>
          <w:sz w:val="20"/>
          <w:szCs w:val="20"/>
        </w:rPr>
        <w:t xml:space="preserve">np. poprzez możliwość </w:t>
      </w:r>
      <w:r w:rsidR="005110FF">
        <w:rPr>
          <w:rFonts w:ascii="Arial" w:hAnsi="Arial" w:cs="Arial"/>
          <w:sz w:val="20"/>
          <w:szCs w:val="20"/>
        </w:rPr>
        <w:t xml:space="preserve">wyboru opcji „Wielu kontrahentów” </w:t>
      </w:r>
      <w:r w:rsidRPr="00444D42">
        <w:rPr>
          <w:rFonts w:ascii="Arial" w:hAnsi="Arial" w:cs="Arial"/>
          <w:sz w:val="20"/>
          <w:szCs w:val="20"/>
        </w:rPr>
        <w:t>(opcja przez nas rekomendowana) lub</w:t>
      </w:r>
    </w:p>
    <w:p w14:paraId="6CF66D29" w14:textId="3B4A871F" w:rsidR="005110FF" w:rsidRDefault="009D05E4" w:rsidP="005110FF">
      <w:pPr>
        <w:pStyle w:val="Akapitzlist"/>
        <w:numPr>
          <w:ilvl w:val="0"/>
          <w:numId w:val="26"/>
        </w:numPr>
        <w:spacing w:before="200" w:after="200" w:line="280" w:lineRule="exact"/>
        <w:jc w:val="both"/>
        <w:rPr>
          <w:rFonts w:ascii="Arial" w:hAnsi="Arial" w:cs="Arial"/>
          <w:sz w:val="20"/>
          <w:szCs w:val="20"/>
        </w:rPr>
      </w:pPr>
      <w:r w:rsidRPr="00444D42">
        <w:rPr>
          <w:rFonts w:ascii="Arial" w:hAnsi="Arial" w:cs="Arial"/>
          <w:sz w:val="20"/>
          <w:szCs w:val="20"/>
        </w:rPr>
        <w:t xml:space="preserve">Ujęcie przedmiotowej transakcji odrębnie dla każdego kontrahenta z każdorazowym uwzględnieniem tej samej kwoty korekty w komórce „Wartość korekty w tys. zł”. </w:t>
      </w:r>
      <w:r w:rsidR="005110FF">
        <w:rPr>
          <w:rFonts w:ascii="Arial" w:hAnsi="Arial" w:cs="Arial"/>
          <w:sz w:val="20"/>
          <w:szCs w:val="20"/>
        </w:rPr>
        <w:t>P</w:t>
      </w:r>
      <w:r w:rsidRPr="00444D42">
        <w:rPr>
          <w:rFonts w:ascii="Arial" w:hAnsi="Arial" w:cs="Arial"/>
          <w:sz w:val="20"/>
          <w:szCs w:val="20"/>
        </w:rPr>
        <w:t xml:space="preserve">ostulujemy o dodanie pola </w:t>
      </w:r>
      <w:r w:rsidR="005110FF">
        <w:rPr>
          <w:rFonts w:ascii="Arial" w:hAnsi="Arial" w:cs="Arial"/>
          <w:sz w:val="20"/>
          <w:szCs w:val="20"/>
        </w:rPr>
        <w:t>umożliwiającego sporządzenie stosownej adnotacji lub alternatywnie</w:t>
      </w:r>
    </w:p>
    <w:p w14:paraId="2288B1F6" w14:textId="368FA573" w:rsidR="009D05E4" w:rsidRDefault="005110FF" w:rsidP="005110FF">
      <w:pPr>
        <w:pStyle w:val="Akapitzlist"/>
        <w:numPr>
          <w:ilvl w:val="0"/>
          <w:numId w:val="26"/>
        </w:numPr>
        <w:spacing w:before="200" w:after="200" w:line="280" w:lineRule="exact"/>
        <w:jc w:val="both"/>
        <w:rPr>
          <w:rFonts w:ascii="Arial" w:hAnsi="Arial" w:cs="Arial"/>
          <w:sz w:val="20"/>
          <w:szCs w:val="20"/>
        </w:rPr>
      </w:pPr>
      <w:r w:rsidRPr="00444D42">
        <w:rPr>
          <w:rFonts w:ascii="Arial" w:hAnsi="Arial" w:cs="Arial"/>
          <w:sz w:val="20"/>
          <w:szCs w:val="20"/>
        </w:rPr>
        <w:t>Ujęcie przedmiotowej transakcji odrębnie dla każdego kontrahenta</w:t>
      </w:r>
      <w:r>
        <w:rPr>
          <w:rFonts w:ascii="Arial" w:hAnsi="Arial" w:cs="Arial"/>
          <w:sz w:val="20"/>
          <w:szCs w:val="20"/>
        </w:rPr>
        <w:t xml:space="preserve">, wartość korekty wypełnia się tylko w odniesieniu do podmiotu z którym jest ona dokonywana, w pozostałych przypadkach pole </w:t>
      </w:r>
      <w:r w:rsidRPr="00444D42">
        <w:rPr>
          <w:rFonts w:ascii="Arial" w:hAnsi="Arial" w:cs="Arial"/>
          <w:sz w:val="20"/>
          <w:szCs w:val="20"/>
        </w:rPr>
        <w:t>„Wartość korekty w tys. zł”</w:t>
      </w:r>
      <w:r>
        <w:rPr>
          <w:rFonts w:ascii="Arial" w:hAnsi="Arial" w:cs="Arial"/>
          <w:sz w:val="20"/>
          <w:szCs w:val="20"/>
        </w:rPr>
        <w:t xml:space="preserve"> pozostawia się puste</w:t>
      </w:r>
      <w:r w:rsidRPr="00444D42">
        <w:rPr>
          <w:rFonts w:ascii="Arial" w:hAnsi="Arial" w:cs="Arial"/>
          <w:sz w:val="20"/>
          <w:szCs w:val="20"/>
        </w:rPr>
        <w:t xml:space="preserve">. </w:t>
      </w:r>
      <w:r>
        <w:rPr>
          <w:rFonts w:ascii="Arial" w:hAnsi="Arial" w:cs="Arial"/>
          <w:sz w:val="20"/>
          <w:szCs w:val="20"/>
        </w:rPr>
        <w:t xml:space="preserve">Przy takim rozwiązaniu konieczne jest </w:t>
      </w:r>
      <w:r w:rsidRPr="00444D42">
        <w:rPr>
          <w:rFonts w:ascii="Arial" w:hAnsi="Arial" w:cs="Arial"/>
          <w:sz w:val="20"/>
          <w:szCs w:val="20"/>
        </w:rPr>
        <w:t xml:space="preserve">dodanie pola </w:t>
      </w:r>
      <w:r>
        <w:rPr>
          <w:rFonts w:ascii="Arial" w:hAnsi="Arial" w:cs="Arial"/>
          <w:sz w:val="20"/>
          <w:szCs w:val="20"/>
        </w:rPr>
        <w:t>umożliwiającego sporządzenie stosownej adnotacji.</w:t>
      </w:r>
    </w:p>
    <w:p w14:paraId="711FE5C8" w14:textId="760A4F0A" w:rsidR="009D05E4" w:rsidRDefault="005110FF" w:rsidP="005110FF">
      <w:pPr>
        <w:pStyle w:val="Akapitzlist"/>
        <w:numPr>
          <w:ilvl w:val="0"/>
          <w:numId w:val="13"/>
        </w:numPr>
        <w:spacing w:before="200" w:after="200" w:line="280" w:lineRule="exact"/>
        <w:jc w:val="both"/>
        <w:rPr>
          <w:rFonts w:ascii="Arial" w:hAnsi="Arial" w:cs="Arial"/>
          <w:sz w:val="20"/>
          <w:szCs w:val="20"/>
        </w:rPr>
      </w:pPr>
      <w:r>
        <w:rPr>
          <w:rFonts w:ascii="Arial" w:hAnsi="Arial" w:cs="Arial"/>
          <w:sz w:val="20"/>
          <w:szCs w:val="20"/>
        </w:rPr>
        <w:t xml:space="preserve">W praktyce funkcjonują model cen transferowych, w których producent kontraktowy dokonuje zakupu towarów </w:t>
      </w:r>
      <w:r w:rsidR="00571379">
        <w:rPr>
          <w:rFonts w:ascii="Arial" w:hAnsi="Arial" w:cs="Arial"/>
          <w:sz w:val="20"/>
          <w:szCs w:val="20"/>
        </w:rPr>
        <w:t xml:space="preserve">komplementarnych do swojego wyrobu lub akcesoriów </w:t>
      </w:r>
      <w:r>
        <w:rPr>
          <w:rFonts w:ascii="Arial" w:hAnsi="Arial" w:cs="Arial"/>
          <w:sz w:val="20"/>
          <w:szCs w:val="20"/>
        </w:rPr>
        <w:t>od innych podmiotów powiązanych</w:t>
      </w:r>
      <w:r w:rsidR="00571379">
        <w:rPr>
          <w:rFonts w:ascii="Arial" w:hAnsi="Arial" w:cs="Arial"/>
          <w:sz w:val="20"/>
          <w:szCs w:val="20"/>
        </w:rPr>
        <w:t xml:space="preserve"> lub podmiotów </w:t>
      </w:r>
      <w:r>
        <w:rPr>
          <w:rFonts w:ascii="Arial" w:hAnsi="Arial" w:cs="Arial"/>
          <w:sz w:val="20"/>
          <w:szCs w:val="20"/>
        </w:rPr>
        <w:t xml:space="preserve">niepowiązanych w celu </w:t>
      </w:r>
      <w:r w:rsidR="00571379">
        <w:rPr>
          <w:rFonts w:ascii="Arial" w:hAnsi="Arial" w:cs="Arial"/>
          <w:sz w:val="20"/>
          <w:szCs w:val="20"/>
        </w:rPr>
        <w:t xml:space="preserve">skompletowania ostatecznego wyrobu gotowego zaś korekta cen transferowych ma na celu zapewnienie właściwego poziomu rentowności. W rezultacie korekta cen transferowych dotyczy licznych transakcji zakupu i transakcji sprzedaży, które mogą kwalifikować się na wykazanie w Informacji o cenach transferowych TPR. </w:t>
      </w:r>
      <w:r w:rsidR="004736F8">
        <w:rPr>
          <w:rFonts w:ascii="Arial" w:hAnsi="Arial" w:cs="Arial"/>
          <w:sz w:val="20"/>
          <w:szCs w:val="20"/>
        </w:rPr>
        <w:t>Ł</w:t>
      </w:r>
      <w:r w:rsidR="00571379">
        <w:rPr>
          <w:rFonts w:ascii="Arial" w:hAnsi="Arial" w:cs="Arial"/>
          <w:sz w:val="20"/>
          <w:szCs w:val="20"/>
        </w:rPr>
        <w:t xml:space="preserve">ączne zastosowanie rozwiązania zaprezentowanego w pkt i oraz iii powyżej umożliwiłoby wykazanie takich transakcji w dwóch pozycjach. </w:t>
      </w:r>
    </w:p>
    <w:p w14:paraId="5637A0CA" w14:textId="77777777" w:rsidR="00FB462B" w:rsidRPr="00FB462B" w:rsidRDefault="00FB462B" w:rsidP="00FB462B">
      <w:pPr>
        <w:pStyle w:val="Akapitzlist"/>
        <w:numPr>
          <w:ilvl w:val="0"/>
          <w:numId w:val="11"/>
        </w:numPr>
        <w:spacing w:before="200" w:after="200" w:line="280" w:lineRule="exact"/>
        <w:jc w:val="both"/>
        <w:rPr>
          <w:rFonts w:ascii="Arial" w:hAnsi="Arial" w:cs="Arial"/>
          <w:b/>
          <w:sz w:val="20"/>
          <w:szCs w:val="20"/>
        </w:rPr>
      </w:pPr>
      <w:r w:rsidRPr="00FB462B">
        <w:rPr>
          <w:rFonts w:ascii="Arial" w:hAnsi="Arial" w:cs="Arial"/>
          <w:b/>
          <w:sz w:val="20"/>
          <w:szCs w:val="20"/>
        </w:rPr>
        <w:t>Pozycja „Wynik na transakcji”.</w:t>
      </w:r>
    </w:p>
    <w:p w14:paraId="2F2056FA" w14:textId="36502109" w:rsidR="00FB462B" w:rsidRPr="00365633" w:rsidRDefault="00FB462B" w:rsidP="00FB462B">
      <w:pPr>
        <w:pStyle w:val="Akapitzlist"/>
        <w:spacing w:before="200" w:after="200" w:line="280" w:lineRule="exact"/>
        <w:ind w:left="720"/>
        <w:jc w:val="both"/>
        <w:rPr>
          <w:rFonts w:ascii="Arial" w:hAnsi="Arial" w:cs="Arial"/>
          <w:bCs/>
          <w:sz w:val="20"/>
          <w:szCs w:val="20"/>
        </w:rPr>
      </w:pPr>
      <w:r>
        <w:rPr>
          <w:rFonts w:ascii="Arial" w:hAnsi="Arial" w:cs="Arial"/>
          <w:bCs/>
          <w:sz w:val="20"/>
          <w:szCs w:val="20"/>
        </w:rPr>
        <w:t>W celu uniknięcia wątpliwości podatników p</w:t>
      </w:r>
      <w:r w:rsidRPr="00365633">
        <w:rPr>
          <w:rFonts w:ascii="Arial" w:hAnsi="Arial" w:cs="Arial"/>
          <w:bCs/>
          <w:sz w:val="20"/>
          <w:szCs w:val="20"/>
        </w:rPr>
        <w:t xml:space="preserve">ostulujemy doprecyzowanie w </w:t>
      </w:r>
      <w:r>
        <w:rPr>
          <w:rFonts w:ascii="Arial" w:hAnsi="Arial" w:cs="Arial"/>
          <w:bCs/>
          <w:sz w:val="20"/>
          <w:szCs w:val="20"/>
        </w:rPr>
        <w:t>O</w:t>
      </w:r>
      <w:r w:rsidRPr="00365633">
        <w:rPr>
          <w:rFonts w:ascii="Arial" w:hAnsi="Arial" w:cs="Arial"/>
          <w:bCs/>
          <w:sz w:val="20"/>
          <w:szCs w:val="20"/>
        </w:rPr>
        <w:t xml:space="preserve">bjaśnieniach, że w komórce </w:t>
      </w:r>
      <w:r>
        <w:rPr>
          <w:rFonts w:ascii="Arial" w:hAnsi="Arial" w:cs="Arial"/>
          <w:bCs/>
          <w:sz w:val="20"/>
          <w:szCs w:val="20"/>
        </w:rPr>
        <w:t>„</w:t>
      </w:r>
      <w:r w:rsidRPr="00365633">
        <w:rPr>
          <w:rFonts w:ascii="Arial" w:hAnsi="Arial" w:cs="Arial"/>
          <w:bCs/>
          <w:sz w:val="20"/>
          <w:szCs w:val="20"/>
        </w:rPr>
        <w:t>Wynik na transakcji</w:t>
      </w:r>
      <w:r>
        <w:rPr>
          <w:rFonts w:ascii="Arial" w:hAnsi="Arial" w:cs="Arial"/>
          <w:bCs/>
          <w:sz w:val="20"/>
          <w:szCs w:val="20"/>
        </w:rPr>
        <w:t>”</w:t>
      </w:r>
      <w:r w:rsidRPr="00365633">
        <w:rPr>
          <w:rFonts w:ascii="Arial" w:hAnsi="Arial" w:cs="Arial"/>
          <w:bCs/>
          <w:sz w:val="20"/>
          <w:szCs w:val="20"/>
        </w:rPr>
        <w:t xml:space="preserve"> należy wpisać wynik po dokonaniu korekty cen transferowych.</w:t>
      </w:r>
    </w:p>
    <w:p w14:paraId="7D1353C4" w14:textId="48D59F7E" w:rsidR="00FD0A90" w:rsidRPr="004736F8" w:rsidRDefault="004736F8" w:rsidP="004736F8">
      <w:pPr>
        <w:pStyle w:val="Akapitzlist"/>
        <w:numPr>
          <w:ilvl w:val="0"/>
          <w:numId w:val="11"/>
        </w:numPr>
        <w:spacing w:before="200" w:after="200" w:line="280" w:lineRule="exact"/>
        <w:jc w:val="both"/>
        <w:rPr>
          <w:rFonts w:ascii="Arial" w:hAnsi="Arial" w:cs="Arial"/>
          <w:b/>
          <w:sz w:val="20"/>
          <w:szCs w:val="20"/>
        </w:rPr>
      </w:pPr>
      <w:r>
        <w:rPr>
          <w:rFonts w:ascii="Arial" w:hAnsi="Arial" w:cs="Arial"/>
          <w:b/>
          <w:sz w:val="20"/>
          <w:szCs w:val="20"/>
        </w:rPr>
        <w:t xml:space="preserve">Transakcja główna a transakcje </w:t>
      </w:r>
      <w:r w:rsidR="00F96494">
        <w:rPr>
          <w:rFonts w:ascii="Arial" w:hAnsi="Arial" w:cs="Arial"/>
          <w:b/>
          <w:sz w:val="20"/>
          <w:szCs w:val="20"/>
        </w:rPr>
        <w:t xml:space="preserve">poboczne (refaktury) </w:t>
      </w:r>
    </w:p>
    <w:p w14:paraId="35FD6B99" w14:textId="079EDE85" w:rsidR="00FB462B" w:rsidRDefault="004736F8" w:rsidP="00B37961">
      <w:pPr>
        <w:pStyle w:val="Akapitzlist"/>
        <w:spacing w:before="200" w:after="200" w:line="280" w:lineRule="exact"/>
        <w:ind w:left="720"/>
        <w:jc w:val="both"/>
        <w:rPr>
          <w:rFonts w:ascii="Arial" w:hAnsi="Arial" w:cs="Arial"/>
          <w:bCs/>
          <w:sz w:val="20"/>
          <w:szCs w:val="20"/>
        </w:rPr>
      </w:pPr>
      <w:r>
        <w:rPr>
          <w:rFonts w:ascii="Arial" w:hAnsi="Arial" w:cs="Arial"/>
          <w:bCs/>
          <w:sz w:val="20"/>
          <w:szCs w:val="20"/>
        </w:rPr>
        <w:t xml:space="preserve">W praktyce gospodarczej </w:t>
      </w:r>
      <w:r w:rsidR="00F96494">
        <w:rPr>
          <w:rFonts w:ascii="Arial" w:hAnsi="Arial" w:cs="Arial"/>
          <w:bCs/>
          <w:sz w:val="20"/>
          <w:szCs w:val="20"/>
        </w:rPr>
        <w:t xml:space="preserve">powszechne są sytuacje, w których umowa zawarta pomiędzy podmiotami powiązanymi np. umowa produkcji kontraktowej, umowa sprzedaży w komisie, umowa dystrybucyjna, umowa świadczenia usług określa sytuacje w których producent, komisant, dystrybutor czy usługodawca otrzyma zwrot określonych kosztów poprzez dokonanie ich refaktury lub ich przeniesienie </w:t>
      </w:r>
      <w:r w:rsidR="00FD0A90" w:rsidRPr="00FD0A90">
        <w:rPr>
          <w:rFonts w:ascii="Arial" w:hAnsi="Arial" w:cs="Arial"/>
          <w:bCs/>
          <w:sz w:val="20"/>
          <w:szCs w:val="20"/>
        </w:rPr>
        <w:t xml:space="preserve">(np. kosztów opakowań, </w:t>
      </w:r>
      <w:r w:rsidR="00F96494">
        <w:rPr>
          <w:rFonts w:ascii="Arial" w:hAnsi="Arial" w:cs="Arial"/>
          <w:bCs/>
          <w:sz w:val="20"/>
          <w:szCs w:val="20"/>
        </w:rPr>
        <w:t xml:space="preserve">koszty </w:t>
      </w:r>
      <w:r w:rsidR="00FD0A90" w:rsidRPr="00FD0A90">
        <w:rPr>
          <w:rFonts w:ascii="Arial" w:hAnsi="Arial" w:cs="Arial"/>
          <w:bCs/>
          <w:sz w:val="20"/>
          <w:szCs w:val="20"/>
        </w:rPr>
        <w:t>złomowanych produktów</w:t>
      </w:r>
      <w:r w:rsidR="00F96494">
        <w:rPr>
          <w:rFonts w:ascii="Arial" w:hAnsi="Arial" w:cs="Arial"/>
          <w:bCs/>
          <w:sz w:val="20"/>
          <w:szCs w:val="20"/>
        </w:rPr>
        <w:t xml:space="preserve">, </w:t>
      </w:r>
      <w:r w:rsidR="006944AD">
        <w:rPr>
          <w:rFonts w:ascii="Arial" w:hAnsi="Arial" w:cs="Arial"/>
          <w:bCs/>
          <w:sz w:val="20"/>
          <w:szCs w:val="20"/>
        </w:rPr>
        <w:t xml:space="preserve">dodatkowe świadczenia posprzedażowe – np. </w:t>
      </w:r>
      <w:r w:rsidR="00F96494">
        <w:rPr>
          <w:rFonts w:ascii="Arial" w:hAnsi="Arial" w:cs="Arial"/>
          <w:bCs/>
          <w:sz w:val="20"/>
          <w:szCs w:val="20"/>
        </w:rPr>
        <w:t>serwis gwarancyjny, zakup usługi od podmiotu trzeciego)</w:t>
      </w:r>
      <w:r w:rsidR="00FD0A90" w:rsidRPr="00FD0A90">
        <w:rPr>
          <w:rFonts w:ascii="Arial" w:hAnsi="Arial" w:cs="Arial"/>
          <w:bCs/>
          <w:sz w:val="20"/>
          <w:szCs w:val="20"/>
        </w:rPr>
        <w:t>. Prosimy o potwierdzenie</w:t>
      </w:r>
      <w:r w:rsidR="00F96494">
        <w:rPr>
          <w:rFonts w:ascii="Arial" w:hAnsi="Arial" w:cs="Arial"/>
          <w:bCs/>
          <w:sz w:val="20"/>
          <w:szCs w:val="20"/>
        </w:rPr>
        <w:t xml:space="preserve"> w objaśnienia, że rozliczenia poboczne będące konsekwencją zawarcia transakcji głównej powinny być ujmowane łącznie jako transakcja jednego rodzaju.</w:t>
      </w:r>
    </w:p>
    <w:p w14:paraId="74CB411F" w14:textId="77777777" w:rsidR="00FB462B" w:rsidRDefault="00FB462B">
      <w:pPr>
        <w:spacing w:after="200" w:line="276" w:lineRule="auto"/>
        <w:rPr>
          <w:rFonts w:ascii="Arial" w:hAnsi="Arial" w:cs="Arial"/>
          <w:bCs/>
          <w:sz w:val="20"/>
          <w:szCs w:val="20"/>
        </w:rPr>
      </w:pPr>
      <w:r>
        <w:rPr>
          <w:rFonts w:ascii="Arial" w:hAnsi="Arial" w:cs="Arial"/>
          <w:bCs/>
          <w:sz w:val="20"/>
          <w:szCs w:val="20"/>
        </w:rPr>
        <w:br w:type="page"/>
      </w:r>
    </w:p>
    <w:p w14:paraId="205C2315" w14:textId="77777777" w:rsidR="00FB462B" w:rsidRPr="00FB462B" w:rsidRDefault="00FB462B" w:rsidP="00FB462B">
      <w:pPr>
        <w:pStyle w:val="Akapitzlist"/>
        <w:numPr>
          <w:ilvl w:val="0"/>
          <w:numId w:val="11"/>
        </w:numPr>
        <w:spacing w:before="200" w:after="200" w:line="280" w:lineRule="exact"/>
        <w:jc w:val="both"/>
        <w:rPr>
          <w:rFonts w:ascii="Arial" w:hAnsi="Arial" w:cs="Arial"/>
          <w:b/>
          <w:sz w:val="20"/>
          <w:szCs w:val="20"/>
        </w:rPr>
      </w:pPr>
      <w:r w:rsidRPr="00FB462B">
        <w:rPr>
          <w:rFonts w:ascii="Arial" w:hAnsi="Arial" w:cs="Arial"/>
          <w:b/>
          <w:sz w:val="20"/>
          <w:szCs w:val="20"/>
        </w:rPr>
        <w:t>Metoda PCN (porównywalnej ceny niekontrolowanej) – kryteria porównywalności.</w:t>
      </w:r>
    </w:p>
    <w:p w14:paraId="57BDF062" w14:textId="0B619D21" w:rsidR="00FB462B" w:rsidRDefault="00FB462B" w:rsidP="00FB462B">
      <w:pPr>
        <w:pStyle w:val="Akapitzlist"/>
        <w:spacing w:before="200" w:after="200" w:line="280" w:lineRule="exact"/>
        <w:ind w:left="720"/>
        <w:jc w:val="both"/>
        <w:rPr>
          <w:rFonts w:ascii="Arial" w:hAnsi="Arial" w:cs="Arial"/>
          <w:bCs/>
          <w:sz w:val="20"/>
          <w:szCs w:val="20"/>
        </w:rPr>
      </w:pPr>
      <w:r>
        <w:rPr>
          <w:rFonts w:ascii="Arial" w:hAnsi="Arial" w:cs="Arial"/>
          <w:bCs/>
          <w:sz w:val="20"/>
          <w:szCs w:val="20"/>
        </w:rPr>
        <w:t>Wnosimy</w:t>
      </w:r>
      <w:r w:rsidRPr="001813BD">
        <w:rPr>
          <w:rFonts w:ascii="Arial" w:hAnsi="Arial" w:cs="Arial"/>
          <w:bCs/>
          <w:sz w:val="20"/>
          <w:szCs w:val="20"/>
        </w:rPr>
        <w:t xml:space="preserve"> o zmodyfikowanie formularza </w:t>
      </w:r>
      <w:r w:rsidR="00881994">
        <w:rPr>
          <w:rFonts w:ascii="Arial" w:hAnsi="Arial" w:cs="Arial"/>
          <w:bCs/>
          <w:sz w:val="20"/>
          <w:szCs w:val="20"/>
        </w:rPr>
        <w:t xml:space="preserve">dla transakcji z kategorii A </w:t>
      </w:r>
      <w:r w:rsidRPr="001813BD">
        <w:rPr>
          <w:rFonts w:ascii="Arial" w:hAnsi="Arial" w:cs="Arial"/>
          <w:bCs/>
          <w:sz w:val="20"/>
          <w:szCs w:val="20"/>
        </w:rPr>
        <w:t xml:space="preserve">w taki sposób, aby </w:t>
      </w:r>
      <w:r>
        <w:rPr>
          <w:rFonts w:ascii="Arial" w:hAnsi="Arial" w:cs="Arial"/>
          <w:bCs/>
          <w:sz w:val="20"/>
          <w:szCs w:val="20"/>
        </w:rPr>
        <w:t>przy wyborze</w:t>
      </w:r>
      <w:r w:rsidRPr="001813BD">
        <w:rPr>
          <w:rFonts w:ascii="Arial" w:hAnsi="Arial" w:cs="Arial"/>
          <w:bCs/>
          <w:sz w:val="20"/>
          <w:szCs w:val="20"/>
        </w:rPr>
        <w:t xml:space="preserve"> metod</w:t>
      </w:r>
      <w:r>
        <w:rPr>
          <w:rFonts w:ascii="Arial" w:hAnsi="Arial" w:cs="Arial"/>
          <w:bCs/>
          <w:sz w:val="20"/>
          <w:szCs w:val="20"/>
        </w:rPr>
        <w:t>y</w:t>
      </w:r>
      <w:r w:rsidRPr="001813BD">
        <w:rPr>
          <w:rFonts w:ascii="Arial" w:hAnsi="Arial" w:cs="Arial"/>
          <w:bCs/>
          <w:sz w:val="20"/>
          <w:szCs w:val="20"/>
        </w:rPr>
        <w:t xml:space="preserve"> porównywalnej ceny niekontrolowanej</w:t>
      </w:r>
      <w:r>
        <w:rPr>
          <w:rFonts w:ascii="Arial" w:hAnsi="Arial" w:cs="Arial"/>
          <w:bCs/>
          <w:sz w:val="20"/>
          <w:szCs w:val="20"/>
        </w:rPr>
        <w:t>,</w:t>
      </w:r>
      <w:r w:rsidRPr="001813BD">
        <w:rPr>
          <w:rFonts w:ascii="Arial" w:hAnsi="Arial" w:cs="Arial"/>
          <w:bCs/>
          <w:sz w:val="20"/>
          <w:szCs w:val="20"/>
        </w:rPr>
        <w:t xml:space="preserve"> można było </w:t>
      </w:r>
      <w:r w:rsidR="00881994">
        <w:rPr>
          <w:rFonts w:ascii="Arial" w:hAnsi="Arial" w:cs="Arial"/>
          <w:bCs/>
          <w:sz w:val="20"/>
          <w:szCs w:val="20"/>
        </w:rPr>
        <w:t xml:space="preserve">wskazać inne wskaźniki podlegające porównaniu niż tylko </w:t>
      </w:r>
      <w:r w:rsidRPr="001813BD">
        <w:rPr>
          <w:rFonts w:ascii="Arial" w:hAnsi="Arial" w:cs="Arial"/>
          <w:bCs/>
          <w:sz w:val="20"/>
          <w:szCs w:val="20"/>
        </w:rPr>
        <w:t xml:space="preserve">cenę towaru lub usługi. Powyższe może mieć zastosowanie do umów agencyjnych, gdzie wysokość wynagrodzenia </w:t>
      </w:r>
      <w:r w:rsidR="00881994">
        <w:rPr>
          <w:rFonts w:ascii="Arial" w:hAnsi="Arial" w:cs="Arial"/>
          <w:bCs/>
          <w:sz w:val="20"/>
          <w:szCs w:val="20"/>
        </w:rPr>
        <w:t xml:space="preserve">prowizyjnego agenta </w:t>
      </w:r>
      <w:r w:rsidRPr="001813BD">
        <w:rPr>
          <w:rFonts w:ascii="Arial" w:hAnsi="Arial" w:cs="Arial"/>
          <w:bCs/>
          <w:sz w:val="20"/>
          <w:szCs w:val="20"/>
        </w:rPr>
        <w:t xml:space="preserve">jest </w:t>
      </w:r>
      <w:r w:rsidR="00881994">
        <w:rPr>
          <w:rFonts w:ascii="Arial" w:hAnsi="Arial" w:cs="Arial"/>
          <w:bCs/>
          <w:sz w:val="20"/>
          <w:szCs w:val="20"/>
        </w:rPr>
        <w:t xml:space="preserve">zazwyczaj </w:t>
      </w:r>
      <w:r w:rsidRPr="001813BD">
        <w:rPr>
          <w:rFonts w:ascii="Arial" w:hAnsi="Arial" w:cs="Arial"/>
          <w:bCs/>
          <w:sz w:val="20"/>
          <w:szCs w:val="20"/>
        </w:rPr>
        <w:t>ustalana jako</w:t>
      </w:r>
      <w:r>
        <w:rPr>
          <w:rFonts w:ascii="Arial" w:hAnsi="Arial" w:cs="Arial"/>
          <w:bCs/>
          <w:sz w:val="20"/>
          <w:szCs w:val="20"/>
        </w:rPr>
        <w:t xml:space="preserve"> procent</w:t>
      </w:r>
      <w:r w:rsidRPr="001813BD">
        <w:rPr>
          <w:rFonts w:ascii="Arial" w:hAnsi="Arial" w:cs="Arial"/>
          <w:bCs/>
          <w:sz w:val="20"/>
          <w:szCs w:val="20"/>
        </w:rPr>
        <w:t xml:space="preserve"> przychodów ze sprzedaży (ustalonych w oparciu o zewnętrzne lub wewnętrzne dane porównawcze)</w:t>
      </w:r>
      <w:r>
        <w:rPr>
          <w:rFonts w:ascii="Arial" w:hAnsi="Arial" w:cs="Arial"/>
          <w:bCs/>
          <w:sz w:val="20"/>
          <w:szCs w:val="20"/>
        </w:rPr>
        <w:t>,</w:t>
      </w:r>
      <w:r w:rsidRPr="001813BD">
        <w:rPr>
          <w:rFonts w:ascii="Arial" w:hAnsi="Arial" w:cs="Arial"/>
          <w:bCs/>
          <w:sz w:val="20"/>
          <w:szCs w:val="20"/>
        </w:rPr>
        <w:t xml:space="preserve"> jak również innych usług, gdzie wynagrodzenie może mieć charakter prowizyjny np. usług w zakresie organizacji zaopatrzenia.</w:t>
      </w:r>
      <w:r w:rsidR="00881994">
        <w:rPr>
          <w:rFonts w:ascii="Arial" w:hAnsi="Arial" w:cs="Arial"/>
          <w:bCs/>
          <w:sz w:val="20"/>
          <w:szCs w:val="20"/>
        </w:rPr>
        <w:t xml:space="preserve"> To samo może dotyczyć transakcji związanych z zakupem usług reklamowych, w których wartością badaną jest poziom udzielonego rabatu. </w:t>
      </w:r>
    </w:p>
    <w:p w14:paraId="0A1AD174" w14:textId="77777777" w:rsidR="00A35CFB" w:rsidRDefault="00881994" w:rsidP="00FB462B">
      <w:pPr>
        <w:pStyle w:val="Akapitzlist"/>
        <w:spacing w:before="200" w:after="200" w:line="280" w:lineRule="exact"/>
        <w:ind w:left="720"/>
        <w:jc w:val="both"/>
        <w:rPr>
          <w:rFonts w:ascii="Arial" w:hAnsi="Arial" w:cs="Arial"/>
          <w:bCs/>
          <w:sz w:val="20"/>
          <w:szCs w:val="20"/>
        </w:rPr>
      </w:pPr>
      <w:r>
        <w:rPr>
          <w:rFonts w:ascii="Arial" w:hAnsi="Arial" w:cs="Arial"/>
          <w:bCs/>
          <w:sz w:val="20"/>
          <w:szCs w:val="20"/>
        </w:rPr>
        <w:t xml:space="preserve">W przypadku braku możliwości zmiany formularza postulujemy wskazanie w Objaśnieniach, że podatnik może wskazać odpowiednio </w:t>
      </w:r>
      <w:r w:rsidR="00A35CFB">
        <w:rPr>
          <w:rFonts w:ascii="Arial" w:hAnsi="Arial" w:cs="Arial"/>
          <w:bCs/>
          <w:sz w:val="20"/>
          <w:szCs w:val="20"/>
        </w:rPr>
        <w:t xml:space="preserve">porównywaną wielkość w polu „Rodzaj jednostki miar” a przedział porównywalnych wartości wskazuje wypełniając pozycje „porównywalna cena min” oraz „porównywalna cena maks.” </w:t>
      </w:r>
    </w:p>
    <w:p w14:paraId="3AD5A0FA" w14:textId="09C0E0F4" w:rsidR="00881994" w:rsidRDefault="00A35CFB" w:rsidP="00FB462B">
      <w:pPr>
        <w:pStyle w:val="Akapitzlist"/>
        <w:spacing w:before="200" w:after="200" w:line="280" w:lineRule="exact"/>
        <w:ind w:left="720"/>
        <w:jc w:val="both"/>
        <w:rPr>
          <w:rFonts w:ascii="Arial" w:hAnsi="Arial" w:cs="Arial"/>
          <w:bCs/>
          <w:sz w:val="20"/>
          <w:szCs w:val="20"/>
        </w:rPr>
      </w:pPr>
      <w:r>
        <w:rPr>
          <w:rFonts w:ascii="Arial" w:hAnsi="Arial" w:cs="Arial"/>
          <w:bCs/>
          <w:sz w:val="20"/>
          <w:szCs w:val="20"/>
        </w:rPr>
        <w:t xml:space="preserve">Ponadto rekomendujemy dodanie w polu „sposób weryfikacji rynkowego poziomu cen” dodatkowej opcji tj.: „Notowania rynkowe” (giełdowe, branżowe). </w:t>
      </w:r>
    </w:p>
    <w:p w14:paraId="1B14FEB5" w14:textId="50492965" w:rsidR="00FB462B" w:rsidRPr="00A35CFB" w:rsidRDefault="00FB462B" w:rsidP="00A35CFB">
      <w:pPr>
        <w:pStyle w:val="Akapitzlist"/>
        <w:numPr>
          <w:ilvl w:val="0"/>
          <w:numId w:val="11"/>
        </w:numPr>
        <w:spacing w:before="200" w:after="200" w:line="280" w:lineRule="exact"/>
        <w:jc w:val="both"/>
        <w:rPr>
          <w:rFonts w:ascii="Arial" w:hAnsi="Arial" w:cs="Arial"/>
          <w:b/>
          <w:sz w:val="20"/>
          <w:szCs w:val="20"/>
        </w:rPr>
      </w:pPr>
      <w:r w:rsidRPr="00A35CFB">
        <w:rPr>
          <w:rFonts w:ascii="Arial" w:hAnsi="Arial" w:cs="Arial"/>
          <w:b/>
          <w:sz w:val="20"/>
          <w:szCs w:val="20"/>
        </w:rPr>
        <w:t>Analiza cen transferowych</w:t>
      </w:r>
      <w:r w:rsidR="00A35CFB">
        <w:rPr>
          <w:rFonts w:ascii="Arial" w:hAnsi="Arial" w:cs="Arial"/>
          <w:b/>
          <w:sz w:val="20"/>
          <w:szCs w:val="20"/>
        </w:rPr>
        <w:t xml:space="preserve"> - przedział</w:t>
      </w:r>
    </w:p>
    <w:p w14:paraId="28D7C77A" w14:textId="341642A0" w:rsidR="00FB462B" w:rsidRPr="00A35CFB" w:rsidRDefault="00FB462B" w:rsidP="00A35CFB">
      <w:pPr>
        <w:spacing w:before="200" w:after="200" w:line="280" w:lineRule="exact"/>
        <w:ind w:left="360"/>
        <w:jc w:val="both"/>
        <w:rPr>
          <w:rFonts w:ascii="Arial" w:hAnsi="Arial" w:cs="Arial"/>
          <w:bCs/>
          <w:sz w:val="20"/>
          <w:szCs w:val="20"/>
        </w:rPr>
      </w:pPr>
      <w:r w:rsidRPr="00A35CFB">
        <w:rPr>
          <w:rFonts w:ascii="Arial" w:hAnsi="Arial" w:cs="Arial"/>
          <w:sz w:val="20"/>
          <w:szCs w:val="20"/>
        </w:rPr>
        <w:t>Z uwagi na fakt, że przedziały międzykwartylowe</w:t>
      </w:r>
      <w:r w:rsidRPr="00A35CFB">
        <w:rPr>
          <w:rFonts w:ascii="Arial" w:hAnsi="Arial" w:cs="Arial"/>
          <w:bCs/>
          <w:sz w:val="20"/>
          <w:szCs w:val="20"/>
        </w:rPr>
        <w:t xml:space="preserve"> mogą charakteryzować się niesymetrycznym rozkładem wyników postulujemy dodanie pozycji „Mediana przedziału”</w:t>
      </w:r>
      <w:r w:rsidR="00A35CFB">
        <w:rPr>
          <w:rFonts w:ascii="Arial" w:hAnsi="Arial" w:cs="Arial"/>
          <w:bCs/>
          <w:sz w:val="20"/>
          <w:szCs w:val="20"/>
        </w:rPr>
        <w:t xml:space="preserve"> lub pola pozwalającego dokona</w:t>
      </w:r>
      <w:r w:rsidR="000A043E">
        <w:rPr>
          <w:rFonts w:ascii="Arial" w:hAnsi="Arial" w:cs="Arial"/>
          <w:bCs/>
          <w:sz w:val="20"/>
          <w:szCs w:val="20"/>
        </w:rPr>
        <w:t>ć</w:t>
      </w:r>
      <w:r w:rsidR="00A35CFB">
        <w:rPr>
          <w:rFonts w:ascii="Arial" w:hAnsi="Arial" w:cs="Arial"/>
          <w:bCs/>
          <w:sz w:val="20"/>
          <w:szCs w:val="20"/>
        </w:rPr>
        <w:t xml:space="preserve"> stosownej adnotacji</w:t>
      </w:r>
      <w:r w:rsidRPr="00A35CFB">
        <w:rPr>
          <w:rFonts w:ascii="Arial" w:hAnsi="Arial" w:cs="Arial"/>
          <w:bCs/>
          <w:sz w:val="20"/>
          <w:szCs w:val="20"/>
        </w:rPr>
        <w:t>.</w:t>
      </w:r>
      <w:r w:rsidR="000A043E">
        <w:rPr>
          <w:rFonts w:ascii="Arial" w:hAnsi="Arial" w:cs="Arial"/>
          <w:bCs/>
          <w:sz w:val="20"/>
          <w:szCs w:val="20"/>
        </w:rPr>
        <w:t xml:space="preserve"> </w:t>
      </w:r>
    </w:p>
    <w:p w14:paraId="7D1CD81D" w14:textId="214AE9B4" w:rsidR="00AE7C05" w:rsidRPr="00A35CFB" w:rsidRDefault="00A35CFB" w:rsidP="00A35CFB">
      <w:pPr>
        <w:pStyle w:val="Akapitzlist"/>
        <w:numPr>
          <w:ilvl w:val="0"/>
          <w:numId w:val="11"/>
        </w:numPr>
        <w:spacing w:before="200" w:after="200" w:line="280" w:lineRule="exact"/>
        <w:jc w:val="both"/>
        <w:rPr>
          <w:rFonts w:ascii="Arial" w:hAnsi="Arial" w:cs="Arial"/>
          <w:b/>
          <w:sz w:val="20"/>
          <w:szCs w:val="20"/>
        </w:rPr>
      </w:pPr>
      <w:r>
        <w:rPr>
          <w:rFonts w:ascii="Arial" w:hAnsi="Arial" w:cs="Arial"/>
          <w:b/>
          <w:sz w:val="20"/>
          <w:szCs w:val="20"/>
        </w:rPr>
        <w:t xml:space="preserve">Refaktury </w:t>
      </w:r>
    </w:p>
    <w:p w14:paraId="6DF5E33A" w14:textId="1AE8EA51" w:rsidR="00AE7C05" w:rsidRPr="00A35CFB" w:rsidRDefault="00AE7C05" w:rsidP="00A35CFB">
      <w:pPr>
        <w:spacing w:before="200" w:after="200" w:line="280" w:lineRule="exact"/>
        <w:ind w:left="426"/>
        <w:jc w:val="both"/>
        <w:rPr>
          <w:rFonts w:ascii="Arial" w:hAnsi="Arial" w:cs="Arial"/>
          <w:bCs/>
          <w:sz w:val="20"/>
          <w:szCs w:val="20"/>
        </w:rPr>
      </w:pPr>
      <w:r w:rsidRPr="00A35CFB">
        <w:rPr>
          <w:rFonts w:ascii="Arial" w:hAnsi="Arial" w:cs="Arial"/>
          <w:bCs/>
          <w:sz w:val="20"/>
          <w:szCs w:val="20"/>
        </w:rPr>
        <w:t>Prosimy o wyjaśnienie, w jaki sposób należy uzupełnić część E formularza w odniesieniu do transakcji opisanych odpowiednio jako Przychód z tytułu refaktur (odprzedaż przedmiotu transakcji w cenie nabycia od podmiotu niepowiązanego) / Koszty z tytułu refaktur (nabycie przedmiotu transakcji w cenie pierwotnego nabycia od podmiotu niepowiązanego). W szczególności prosimy o doprecyzowanie sposobu prezentacji danych w następujących polach:</w:t>
      </w:r>
    </w:p>
    <w:p w14:paraId="63673303" w14:textId="77777777" w:rsidR="00AE7C05" w:rsidRPr="00A35CFB" w:rsidRDefault="00AE7C05" w:rsidP="00A35CFB">
      <w:pPr>
        <w:pStyle w:val="Akapitzlist"/>
        <w:numPr>
          <w:ilvl w:val="0"/>
          <w:numId w:val="28"/>
        </w:numPr>
        <w:spacing w:before="200" w:after="200" w:line="280" w:lineRule="exact"/>
        <w:ind w:left="851" w:hanging="425"/>
        <w:jc w:val="both"/>
        <w:rPr>
          <w:rFonts w:ascii="Arial" w:hAnsi="Arial" w:cs="Arial"/>
          <w:bCs/>
          <w:sz w:val="20"/>
          <w:szCs w:val="20"/>
        </w:rPr>
      </w:pPr>
      <w:r w:rsidRPr="00A35CFB">
        <w:rPr>
          <w:rFonts w:ascii="Arial" w:hAnsi="Arial" w:cs="Arial"/>
          <w:bCs/>
          <w:sz w:val="20"/>
          <w:szCs w:val="20"/>
        </w:rPr>
        <w:t>„Metoda weryfikacji ceny”</w:t>
      </w:r>
    </w:p>
    <w:p w14:paraId="4FA316EF" w14:textId="77777777" w:rsidR="00AE7C05" w:rsidRPr="00A35CFB" w:rsidRDefault="00AE7C05" w:rsidP="00A35CFB">
      <w:pPr>
        <w:pStyle w:val="Akapitzlist"/>
        <w:numPr>
          <w:ilvl w:val="0"/>
          <w:numId w:val="28"/>
        </w:numPr>
        <w:spacing w:before="200" w:after="200" w:line="280" w:lineRule="exact"/>
        <w:ind w:left="851" w:hanging="425"/>
        <w:jc w:val="both"/>
        <w:rPr>
          <w:rFonts w:ascii="Arial" w:hAnsi="Arial" w:cs="Arial"/>
          <w:bCs/>
          <w:sz w:val="20"/>
          <w:szCs w:val="20"/>
        </w:rPr>
      </w:pPr>
      <w:r w:rsidRPr="00A35CFB">
        <w:rPr>
          <w:rFonts w:ascii="Arial" w:hAnsi="Arial" w:cs="Arial"/>
          <w:bCs/>
          <w:sz w:val="20"/>
          <w:szCs w:val="20"/>
        </w:rPr>
        <w:t>„Rodzaj jednostki miary”</w:t>
      </w:r>
    </w:p>
    <w:p w14:paraId="67C71F8B" w14:textId="77777777" w:rsidR="00AE7C05" w:rsidRPr="00A35CFB" w:rsidRDefault="00AE7C05" w:rsidP="00A35CFB">
      <w:pPr>
        <w:pStyle w:val="Akapitzlist"/>
        <w:numPr>
          <w:ilvl w:val="0"/>
          <w:numId w:val="28"/>
        </w:numPr>
        <w:spacing w:before="200" w:after="200" w:line="280" w:lineRule="exact"/>
        <w:ind w:left="851" w:hanging="425"/>
        <w:jc w:val="both"/>
        <w:rPr>
          <w:rFonts w:ascii="Arial" w:hAnsi="Arial" w:cs="Arial"/>
          <w:bCs/>
          <w:sz w:val="20"/>
          <w:szCs w:val="20"/>
        </w:rPr>
      </w:pPr>
      <w:r w:rsidRPr="00A35CFB">
        <w:rPr>
          <w:rFonts w:ascii="Arial" w:hAnsi="Arial" w:cs="Arial"/>
          <w:bCs/>
          <w:sz w:val="20"/>
          <w:szCs w:val="20"/>
        </w:rPr>
        <w:t>„Cena minimalna” i „Cena maksymalna”</w:t>
      </w:r>
    </w:p>
    <w:p w14:paraId="489D10E4" w14:textId="77777777" w:rsidR="00AE7C05" w:rsidRPr="00A35CFB" w:rsidRDefault="00AE7C05" w:rsidP="00A35CFB">
      <w:pPr>
        <w:pStyle w:val="Akapitzlist"/>
        <w:numPr>
          <w:ilvl w:val="0"/>
          <w:numId w:val="28"/>
        </w:numPr>
        <w:spacing w:before="200" w:after="200" w:line="280" w:lineRule="exact"/>
        <w:ind w:left="851" w:hanging="425"/>
        <w:jc w:val="both"/>
        <w:rPr>
          <w:rFonts w:ascii="Arial" w:hAnsi="Arial" w:cs="Arial"/>
          <w:bCs/>
          <w:sz w:val="20"/>
          <w:szCs w:val="20"/>
        </w:rPr>
      </w:pPr>
      <w:r w:rsidRPr="00A35CFB">
        <w:rPr>
          <w:rFonts w:ascii="Arial" w:hAnsi="Arial" w:cs="Arial"/>
          <w:bCs/>
          <w:sz w:val="20"/>
          <w:szCs w:val="20"/>
        </w:rPr>
        <w:t>„Sposób weryfikacji rynkowego poziomu ceny”</w:t>
      </w:r>
    </w:p>
    <w:p w14:paraId="79C75E78" w14:textId="5EB0BD5C" w:rsidR="00AE7C05" w:rsidRDefault="00AE7C05" w:rsidP="00A1679A">
      <w:pPr>
        <w:pStyle w:val="Akapitzlist"/>
        <w:numPr>
          <w:ilvl w:val="0"/>
          <w:numId w:val="29"/>
        </w:numPr>
        <w:spacing w:before="200" w:after="200" w:line="280" w:lineRule="exact"/>
        <w:ind w:left="851" w:hanging="425"/>
        <w:jc w:val="both"/>
        <w:rPr>
          <w:rFonts w:ascii="Arial" w:hAnsi="Arial" w:cs="Arial"/>
          <w:bCs/>
          <w:sz w:val="20"/>
          <w:szCs w:val="20"/>
        </w:rPr>
      </w:pPr>
      <w:r w:rsidRPr="00AE7C05">
        <w:rPr>
          <w:rFonts w:ascii="Arial" w:hAnsi="Arial" w:cs="Arial"/>
          <w:bCs/>
          <w:sz w:val="20"/>
          <w:szCs w:val="20"/>
        </w:rPr>
        <w:t xml:space="preserve">„Cena porównywalna min” i „Cena porównywalna maks.” </w:t>
      </w:r>
    </w:p>
    <w:p w14:paraId="79CAD599" w14:textId="4B8E2AFA" w:rsidR="00AE7C05" w:rsidRPr="00A35CFB" w:rsidRDefault="00AE7C05" w:rsidP="00A35CFB">
      <w:pPr>
        <w:spacing w:before="200" w:after="200" w:line="280" w:lineRule="exact"/>
        <w:jc w:val="both"/>
        <w:rPr>
          <w:rFonts w:ascii="Arial" w:hAnsi="Arial" w:cs="Arial"/>
          <w:bCs/>
          <w:sz w:val="20"/>
          <w:szCs w:val="20"/>
        </w:rPr>
      </w:pPr>
      <w:r w:rsidRPr="00A35CFB">
        <w:rPr>
          <w:rFonts w:ascii="Arial" w:hAnsi="Arial" w:cs="Arial"/>
          <w:bCs/>
          <w:sz w:val="20"/>
          <w:szCs w:val="20"/>
        </w:rPr>
        <w:t>W naszym przekonaniu formularz błędnie zaciąga dane dla metody porównywalnej cen niekontrolowanej</w:t>
      </w:r>
      <w:r w:rsidR="00A35CFB">
        <w:rPr>
          <w:rFonts w:ascii="Arial" w:hAnsi="Arial" w:cs="Arial"/>
          <w:bCs/>
          <w:sz w:val="20"/>
          <w:szCs w:val="20"/>
        </w:rPr>
        <w:t xml:space="preserve">. W tym przypadku formularz powinien umożliwić wpisane tylko informacji, że nastąpiło przeniesienie kosztu wynikającego z transakcji z podmiotem trzecim. </w:t>
      </w:r>
    </w:p>
    <w:p w14:paraId="564019C8" w14:textId="6C85C30A" w:rsidR="00FD0A90" w:rsidRPr="00A1679A" w:rsidRDefault="006242B7" w:rsidP="00A1679A">
      <w:pPr>
        <w:pStyle w:val="Akapitzlist"/>
        <w:numPr>
          <w:ilvl w:val="0"/>
          <w:numId w:val="11"/>
        </w:numPr>
        <w:spacing w:before="200" w:after="200" w:line="280" w:lineRule="exact"/>
        <w:jc w:val="both"/>
        <w:rPr>
          <w:rFonts w:ascii="Arial" w:hAnsi="Arial" w:cs="Arial"/>
          <w:b/>
          <w:sz w:val="20"/>
          <w:szCs w:val="20"/>
        </w:rPr>
      </w:pPr>
      <w:r w:rsidRPr="00A1679A">
        <w:rPr>
          <w:rFonts w:ascii="Arial" w:hAnsi="Arial" w:cs="Arial"/>
          <w:b/>
          <w:sz w:val="20"/>
          <w:szCs w:val="20"/>
        </w:rPr>
        <w:t>Transakcje związane z udzieleniem/uzyskaniem finansowania.</w:t>
      </w:r>
    </w:p>
    <w:p w14:paraId="63B5B277" w14:textId="7DA8CD1D" w:rsidR="006242B7" w:rsidRDefault="006242B7" w:rsidP="00A1679A">
      <w:pPr>
        <w:pStyle w:val="Akapitzlist"/>
        <w:numPr>
          <w:ilvl w:val="0"/>
          <w:numId w:val="19"/>
        </w:numPr>
        <w:spacing w:before="200" w:after="200" w:line="280" w:lineRule="exact"/>
        <w:ind w:left="567" w:hanging="425"/>
        <w:jc w:val="both"/>
        <w:rPr>
          <w:rFonts w:ascii="Arial" w:hAnsi="Arial" w:cs="Arial"/>
          <w:bCs/>
          <w:sz w:val="20"/>
          <w:szCs w:val="20"/>
        </w:rPr>
      </w:pPr>
      <w:r w:rsidRPr="006242B7">
        <w:rPr>
          <w:rFonts w:ascii="Arial" w:hAnsi="Arial" w:cs="Arial"/>
          <w:bCs/>
          <w:sz w:val="20"/>
          <w:szCs w:val="20"/>
        </w:rPr>
        <w:t xml:space="preserve">W przypadku pożyczki </w:t>
      </w:r>
      <w:r>
        <w:rPr>
          <w:rFonts w:ascii="Arial" w:hAnsi="Arial" w:cs="Arial"/>
          <w:bCs/>
          <w:sz w:val="20"/>
          <w:szCs w:val="20"/>
        </w:rPr>
        <w:t xml:space="preserve">oraz cash poolingu proponujemy </w:t>
      </w:r>
      <w:r w:rsidRPr="006242B7">
        <w:rPr>
          <w:rFonts w:ascii="Arial" w:hAnsi="Arial" w:cs="Arial"/>
          <w:bCs/>
          <w:sz w:val="20"/>
          <w:szCs w:val="20"/>
        </w:rPr>
        <w:t xml:space="preserve">usunięcie z formularza pozycji „Wartość transakcji”. Aktualnie pozycja nie została odrębnie zdefiniowana dla </w:t>
      </w:r>
      <w:r>
        <w:rPr>
          <w:rFonts w:ascii="Arial" w:hAnsi="Arial" w:cs="Arial"/>
          <w:bCs/>
          <w:sz w:val="20"/>
          <w:szCs w:val="20"/>
        </w:rPr>
        <w:t xml:space="preserve">transakcji </w:t>
      </w:r>
      <w:r w:rsidRPr="006242B7">
        <w:rPr>
          <w:rFonts w:ascii="Arial" w:hAnsi="Arial" w:cs="Arial"/>
          <w:bCs/>
          <w:sz w:val="20"/>
          <w:szCs w:val="20"/>
        </w:rPr>
        <w:t>finansowania, a wszystkie istotne dane i wartości transakcyjne zawierają już pozycje: „Kwota kapitału”, „Kwota odsetek”, „Wartość zadłużenia”</w:t>
      </w:r>
    </w:p>
    <w:p w14:paraId="4FD1C18D" w14:textId="513E05FA" w:rsidR="004161F2" w:rsidRPr="004161F2" w:rsidRDefault="004161F2" w:rsidP="00A1679A">
      <w:pPr>
        <w:pStyle w:val="Akapitzlist"/>
        <w:numPr>
          <w:ilvl w:val="0"/>
          <w:numId w:val="19"/>
        </w:numPr>
        <w:spacing w:before="200" w:after="200" w:line="280" w:lineRule="exact"/>
        <w:ind w:left="567" w:hanging="425"/>
        <w:jc w:val="both"/>
        <w:rPr>
          <w:rFonts w:ascii="Arial" w:hAnsi="Arial" w:cs="Arial"/>
          <w:bCs/>
          <w:sz w:val="20"/>
          <w:szCs w:val="20"/>
        </w:rPr>
      </w:pPr>
      <w:r w:rsidRPr="004161F2">
        <w:rPr>
          <w:rFonts w:ascii="Arial" w:hAnsi="Arial" w:cs="Arial"/>
          <w:bCs/>
          <w:sz w:val="20"/>
          <w:szCs w:val="20"/>
        </w:rPr>
        <w:t xml:space="preserve">Widzimy również potrzebę aby Ministerstwo Finansów doprecyzowało jak należy kwalifikować i raportować pożyczki długoterminowe, gdzie nominalna wartość zadłużenia z umowy przekracza próg wartościowy, ale wartość zadłużenia w raportowanym okresie jest poniżej aktualnych progów (przyjmować nieaktualną już na dzień wypełnienia formularza wartość z umowy, czy faktyczną wartość zadłużenia za raportowany okres).  </w:t>
      </w:r>
    </w:p>
    <w:p w14:paraId="4BBACF98" w14:textId="28131A0C" w:rsidR="006242B7" w:rsidRDefault="006242B7" w:rsidP="00A1679A">
      <w:pPr>
        <w:pStyle w:val="Akapitzlist"/>
        <w:numPr>
          <w:ilvl w:val="0"/>
          <w:numId w:val="19"/>
        </w:numPr>
        <w:spacing w:before="200" w:after="200" w:line="280" w:lineRule="exact"/>
        <w:ind w:left="567" w:hanging="425"/>
        <w:jc w:val="both"/>
        <w:rPr>
          <w:rFonts w:ascii="Arial" w:hAnsi="Arial" w:cs="Arial"/>
          <w:bCs/>
          <w:sz w:val="20"/>
          <w:szCs w:val="20"/>
        </w:rPr>
      </w:pPr>
      <w:r w:rsidRPr="006242B7">
        <w:rPr>
          <w:rFonts w:ascii="Arial" w:hAnsi="Arial" w:cs="Arial"/>
          <w:bCs/>
          <w:sz w:val="20"/>
          <w:szCs w:val="20"/>
        </w:rPr>
        <w:t xml:space="preserve">Ponadto aktualny kształt formularza uniemożliwia prezentację </w:t>
      </w:r>
      <w:r w:rsidR="00A1679A">
        <w:rPr>
          <w:rFonts w:ascii="Arial" w:hAnsi="Arial" w:cs="Arial"/>
          <w:bCs/>
          <w:sz w:val="20"/>
          <w:szCs w:val="20"/>
        </w:rPr>
        <w:t xml:space="preserve">danych </w:t>
      </w:r>
      <w:r w:rsidRPr="006242B7">
        <w:rPr>
          <w:rFonts w:ascii="Arial" w:hAnsi="Arial" w:cs="Arial"/>
          <w:bCs/>
          <w:sz w:val="20"/>
          <w:szCs w:val="20"/>
        </w:rPr>
        <w:t>w przypadku transakcji związanych z udzieleniem/uzyskaniem finansowania</w:t>
      </w:r>
      <w:r w:rsidR="00A1679A">
        <w:rPr>
          <w:rFonts w:ascii="Arial" w:hAnsi="Arial" w:cs="Arial"/>
          <w:bCs/>
          <w:sz w:val="20"/>
          <w:szCs w:val="20"/>
        </w:rPr>
        <w:t>,</w:t>
      </w:r>
      <w:r w:rsidRPr="006242B7">
        <w:rPr>
          <w:rFonts w:ascii="Arial" w:hAnsi="Arial" w:cs="Arial"/>
          <w:bCs/>
          <w:sz w:val="20"/>
          <w:szCs w:val="20"/>
        </w:rPr>
        <w:t xml:space="preserve"> </w:t>
      </w:r>
      <w:r w:rsidR="00A1679A">
        <w:rPr>
          <w:rFonts w:ascii="Arial" w:hAnsi="Arial" w:cs="Arial"/>
          <w:bCs/>
          <w:sz w:val="20"/>
          <w:szCs w:val="20"/>
        </w:rPr>
        <w:t xml:space="preserve">w których zastosowano analizę </w:t>
      </w:r>
      <w:r w:rsidRPr="006242B7">
        <w:rPr>
          <w:rFonts w:ascii="Arial" w:hAnsi="Arial" w:cs="Arial"/>
          <w:bCs/>
          <w:sz w:val="20"/>
          <w:szCs w:val="20"/>
        </w:rPr>
        <w:t xml:space="preserve">zgodności </w:t>
      </w:r>
      <w:r w:rsidR="00A1679A">
        <w:rPr>
          <w:rFonts w:ascii="Arial" w:hAnsi="Arial" w:cs="Arial"/>
          <w:bCs/>
          <w:sz w:val="20"/>
          <w:szCs w:val="20"/>
        </w:rPr>
        <w:t xml:space="preserve">np. </w:t>
      </w:r>
      <w:r w:rsidRPr="006242B7">
        <w:rPr>
          <w:rFonts w:ascii="Arial" w:hAnsi="Arial" w:cs="Arial"/>
          <w:bCs/>
          <w:sz w:val="20"/>
          <w:szCs w:val="20"/>
        </w:rPr>
        <w:t>podmiot udziela finansowania z posiadanych własnych nadwyżek finansowych</w:t>
      </w:r>
      <w:r w:rsidR="00A1679A">
        <w:rPr>
          <w:rFonts w:ascii="Arial" w:hAnsi="Arial" w:cs="Arial"/>
          <w:bCs/>
          <w:sz w:val="20"/>
          <w:szCs w:val="20"/>
        </w:rPr>
        <w:t xml:space="preserve">, określa oprocentowanie jako stopa bazowa plus marż ale punktem odniesienia są dane dotyczące zwrotu na </w:t>
      </w:r>
      <w:r w:rsidRPr="006242B7">
        <w:rPr>
          <w:rFonts w:ascii="Arial" w:hAnsi="Arial" w:cs="Arial"/>
          <w:bCs/>
          <w:sz w:val="20"/>
          <w:szCs w:val="20"/>
        </w:rPr>
        <w:t>alternatywn</w:t>
      </w:r>
      <w:r w:rsidR="00A1679A">
        <w:rPr>
          <w:rFonts w:ascii="Arial" w:hAnsi="Arial" w:cs="Arial"/>
          <w:bCs/>
          <w:sz w:val="20"/>
          <w:szCs w:val="20"/>
        </w:rPr>
        <w:t>ej</w:t>
      </w:r>
      <w:r w:rsidRPr="006242B7">
        <w:rPr>
          <w:rFonts w:ascii="Arial" w:hAnsi="Arial" w:cs="Arial"/>
          <w:bCs/>
          <w:sz w:val="20"/>
          <w:szCs w:val="20"/>
        </w:rPr>
        <w:t xml:space="preserve"> inwestycji. (np.: dane NBP dotyczące średniego oprocentowania depozytów, dane dotyczące oprocentowania obligacji skarbowych, otrzymane oferty banków dotyczące lokat i depozytów)</w:t>
      </w:r>
      <w:r w:rsidR="00A1679A">
        <w:rPr>
          <w:rFonts w:ascii="Arial" w:hAnsi="Arial" w:cs="Arial"/>
          <w:bCs/>
          <w:sz w:val="20"/>
          <w:szCs w:val="20"/>
        </w:rPr>
        <w:t xml:space="preserve">. Rekomendujemy dodanie w pozycji analiza cen transferowych pola „Analiza zgodności” oraz pola, które umożliwi dokonanie stosownej adnotacji. </w:t>
      </w:r>
    </w:p>
    <w:sectPr w:rsidR="006242B7" w:rsidSect="00912A8B">
      <w:headerReference w:type="even" r:id="rId9"/>
      <w:headerReference w:type="default" r:id="rId10"/>
      <w:footerReference w:type="even" r:id="rId11"/>
      <w:footerReference w:type="default" r:id="rId12"/>
      <w:headerReference w:type="first" r:id="rId13"/>
      <w:footerReference w:type="first" r:id="rId14"/>
      <w:pgSz w:w="11906" w:h="16838"/>
      <w:pgMar w:top="1843" w:right="1417" w:bottom="1985" w:left="1417" w:header="708" w:footer="1564"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13A668" w16cid:durableId="21584B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0FCC7" w14:textId="77777777" w:rsidR="00BC72B9" w:rsidRDefault="00BC72B9" w:rsidP="00F46A4D">
      <w:r>
        <w:separator/>
      </w:r>
    </w:p>
  </w:endnote>
  <w:endnote w:type="continuationSeparator" w:id="0">
    <w:p w14:paraId="756E2F49" w14:textId="77777777" w:rsidR="00BC72B9" w:rsidRDefault="00BC72B9" w:rsidP="00F46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14163" w14:textId="77777777" w:rsidR="00BC72B9" w:rsidRDefault="00BC72B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3CF89" w14:textId="77777777" w:rsidR="00BC72B9" w:rsidRDefault="00BC72B9"/>
  <w:tbl>
    <w:tblPr>
      <w:tblpPr w:leftFromText="142" w:rightFromText="142" w:horzAnchor="margin" w:tblpXSpec="center" w:tblpY="14460"/>
      <w:tblOverlap w:val="never"/>
      <w:tblW w:w="9129" w:type="dxa"/>
      <w:tblLayout w:type="fixed"/>
      <w:tblCellMar>
        <w:left w:w="57" w:type="dxa"/>
        <w:right w:w="0" w:type="dxa"/>
      </w:tblCellMar>
      <w:tblLook w:val="04A0" w:firstRow="1" w:lastRow="0" w:firstColumn="1" w:lastColumn="0" w:noHBand="0" w:noVBand="1"/>
    </w:tblPr>
    <w:tblGrid>
      <w:gridCol w:w="2892"/>
      <w:gridCol w:w="1418"/>
      <w:gridCol w:w="1785"/>
      <w:gridCol w:w="3034"/>
    </w:tblGrid>
    <w:tr w:rsidR="00BC72B9" w:rsidRPr="00AF3490" w14:paraId="77876835" w14:textId="77777777" w:rsidTr="007905B8">
      <w:trPr>
        <w:trHeight w:val="714"/>
      </w:trPr>
      <w:tc>
        <w:tcPr>
          <w:tcW w:w="2892" w:type="dxa"/>
          <w:tcBorders>
            <w:top w:val="single" w:sz="4" w:space="0" w:color="auto"/>
          </w:tcBorders>
        </w:tcPr>
        <w:p w14:paraId="34CD7118" w14:textId="77777777" w:rsidR="00BC72B9" w:rsidRPr="00F46A4D" w:rsidRDefault="00BC72B9" w:rsidP="00576881">
          <w:pPr>
            <w:autoSpaceDE w:val="0"/>
            <w:autoSpaceDN w:val="0"/>
            <w:adjustRightInd w:val="0"/>
            <w:spacing w:before="120" w:line="190" w:lineRule="exact"/>
            <w:rPr>
              <w:rFonts w:ascii="Arial" w:hAnsi="Arial" w:cs="Arial"/>
              <w:sz w:val="14"/>
              <w:szCs w:val="14"/>
            </w:rPr>
          </w:pPr>
          <w:r w:rsidRPr="00F46A4D">
            <w:rPr>
              <w:rFonts w:ascii="Arial" w:hAnsi="Arial" w:cs="Arial"/>
              <w:sz w:val="14"/>
              <w:szCs w:val="14"/>
            </w:rPr>
            <w:t>Doradztwo Podatkowe WTS&amp;SAJA Sp. z o.o.</w:t>
          </w:r>
        </w:p>
        <w:p w14:paraId="487873A5" w14:textId="77777777" w:rsidR="00BC72B9" w:rsidRPr="00F46A4D" w:rsidRDefault="00BC72B9" w:rsidP="00F46A4D">
          <w:pPr>
            <w:autoSpaceDE w:val="0"/>
            <w:autoSpaceDN w:val="0"/>
            <w:adjustRightInd w:val="0"/>
            <w:spacing w:line="190" w:lineRule="exact"/>
            <w:rPr>
              <w:rFonts w:ascii="Arial" w:hAnsi="Arial" w:cs="Arial"/>
              <w:sz w:val="14"/>
              <w:szCs w:val="14"/>
            </w:rPr>
          </w:pPr>
          <w:r w:rsidRPr="00F46A4D">
            <w:rPr>
              <w:rFonts w:ascii="Arial" w:hAnsi="Arial" w:cs="Arial"/>
              <w:sz w:val="14"/>
              <w:szCs w:val="14"/>
            </w:rPr>
            <w:t xml:space="preserve">Budynek </w:t>
          </w:r>
          <w:r>
            <w:rPr>
              <w:rFonts w:ascii="Arial" w:hAnsi="Arial" w:cs="Arial"/>
              <w:sz w:val="14"/>
              <w:szCs w:val="14"/>
            </w:rPr>
            <w:t xml:space="preserve">Bałtyk XIII </w:t>
          </w:r>
          <w:r w:rsidRPr="00F46A4D">
            <w:rPr>
              <w:rFonts w:ascii="Arial" w:hAnsi="Arial" w:cs="Arial"/>
              <w:sz w:val="14"/>
              <w:szCs w:val="14"/>
            </w:rPr>
            <w:t>p.</w:t>
          </w:r>
        </w:p>
        <w:p w14:paraId="4FF9572F" w14:textId="77777777" w:rsidR="00BC72B9" w:rsidRPr="00F46A4D" w:rsidRDefault="00BC72B9" w:rsidP="00F46A4D">
          <w:pPr>
            <w:autoSpaceDE w:val="0"/>
            <w:autoSpaceDN w:val="0"/>
            <w:adjustRightInd w:val="0"/>
            <w:spacing w:line="190" w:lineRule="exact"/>
            <w:rPr>
              <w:rFonts w:ascii="Arial" w:hAnsi="Arial" w:cs="Arial"/>
              <w:sz w:val="14"/>
              <w:szCs w:val="14"/>
            </w:rPr>
          </w:pPr>
          <w:r>
            <w:rPr>
              <w:rFonts w:ascii="Arial" w:hAnsi="Arial" w:cs="Arial"/>
              <w:sz w:val="14"/>
              <w:szCs w:val="14"/>
            </w:rPr>
            <w:t>ul. Roosevelta 22</w:t>
          </w:r>
        </w:p>
        <w:p w14:paraId="2B92828A" w14:textId="77777777" w:rsidR="00BC72B9" w:rsidRPr="0049638B" w:rsidRDefault="00BC72B9" w:rsidP="00F46A4D">
          <w:pPr>
            <w:autoSpaceDE w:val="0"/>
            <w:autoSpaceDN w:val="0"/>
            <w:adjustRightInd w:val="0"/>
            <w:spacing w:line="190" w:lineRule="exact"/>
            <w:rPr>
              <w:rFonts w:ascii="Arial" w:hAnsi="Arial" w:cs="Arial"/>
              <w:sz w:val="14"/>
              <w:szCs w:val="14"/>
            </w:rPr>
          </w:pPr>
          <w:r>
            <w:rPr>
              <w:rFonts w:ascii="Arial" w:hAnsi="Arial" w:cs="Arial"/>
              <w:sz w:val="14"/>
              <w:szCs w:val="14"/>
            </w:rPr>
            <w:t>60-829</w:t>
          </w:r>
          <w:r w:rsidRPr="00F46A4D">
            <w:rPr>
              <w:rFonts w:ascii="Arial" w:hAnsi="Arial" w:cs="Arial"/>
              <w:sz w:val="14"/>
              <w:szCs w:val="14"/>
            </w:rPr>
            <w:t xml:space="preserve"> Poznań</w:t>
          </w:r>
        </w:p>
      </w:tc>
      <w:tc>
        <w:tcPr>
          <w:tcW w:w="1418" w:type="dxa"/>
          <w:tcBorders>
            <w:top w:val="single" w:sz="4" w:space="0" w:color="auto"/>
          </w:tcBorders>
        </w:tcPr>
        <w:p w14:paraId="2EA6A128" w14:textId="77777777" w:rsidR="00BC72B9" w:rsidRPr="00F46A4D" w:rsidRDefault="00BC72B9" w:rsidP="00576881">
          <w:pPr>
            <w:autoSpaceDE w:val="0"/>
            <w:autoSpaceDN w:val="0"/>
            <w:adjustRightInd w:val="0"/>
            <w:spacing w:before="120" w:line="190" w:lineRule="exact"/>
            <w:rPr>
              <w:rFonts w:ascii="Arial" w:hAnsi="Arial" w:cs="Arial"/>
              <w:sz w:val="14"/>
              <w:szCs w:val="14"/>
              <w:lang w:val="en-US"/>
            </w:rPr>
          </w:pPr>
          <w:r>
            <w:rPr>
              <w:rFonts w:ascii="Arial" w:hAnsi="Arial" w:cs="Arial"/>
              <w:sz w:val="14"/>
              <w:szCs w:val="14"/>
              <w:lang w:val="en-US"/>
            </w:rPr>
            <w:t>T</w:t>
          </w:r>
          <w:r w:rsidRPr="00F46A4D">
            <w:rPr>
              <w:rFonts w:ascii="Arial" w:hAnsi="Arial" w:cs="Arial"/>
              <w:sz w:val="14"/>
              <w:szCs w:val="14"/>
              <w:lang w:val="en-US"/>
            </w:rPr>
            <w:t xml:space="preserve"> +48 61 643 45 50</w:t>
          </w:r>
        </w:p>
        <w:p w14:paraId="498137C6" w14:textId="77777777" w:rsidR="00BC72B9" w:rsidRPr="00F46A4D" w:rsidRDefault="00BC72B9" w:rsidP="00F46A4D">
          <w:pPr>
            <w:autoSpaceDE w:val="0"/>
            <w:autoSpaceDN w:val="0"/>
            <w:adjustRightInd w:val="0"/>
            <w:spacing w:line="190" w:lineRule="exact"/>
            <w:ind w:left="-20" w:firstLine="20"/>
            <w:rPr>
              <w:rFonts w:ascii="Arial" w:hAnsi="Arial" w:cs="Arial"/>
              <w:sz w:val="14"/>
              <w:szCs w:val="14"/>
              <w:lang w:val="en-US"/>
            </w:rPr>
          </w:pPr>
          <w:r w:rsidRPr="00F46A4D">
            <w:rPr>
              <w:rFonts w:ascii="Arial" w:hAnsi="Arial" w:cs="Arial"/>
              <w:sz w:val="14"/>
              <w:szCs w:val="14"/>
              <w:lang w:val="en-US"/>
            </w:rPr>
            <w:t>office@wtssaja.pl</w:t>
          </w:r>
        </w:p>
        <w:p w14:paraId="7D458244" w14:textId="77777777" w:rsidR="00BC72B9" w:rsidRPr="00F46A4D" w:rsidRDefault="00BC72B9" w:rsidP="00F46A4D">
          <w:pPr>
            <w:autoSpaceDE w:val="0"/>
            <w:autoSpaceDN w:val="0"/>
            <w:adjustRightInd w:val="0"/>
            <w:spacing w:line="190" w:lineRule="exact"/>
            <w:ind w:left="-20" w:firstLine="20"/>
            <w:rPr>
              <w:rFonts w:ascii="Arial" w:hAnsi="Arial" w:cs="Arial"/>
              <w:sz w:val="14"/>
              <w:szCs w:val="14"/>
              <w:lang w:val="en-US"/>
            </w:rPr>
          </w:pPr>
          <w:r w:rsidRPr="00F46A4D">
            <w:rPr>
              <w:rFonts w:ascii="Arial" w:hAnsi="Arial" w:cs="Arial"/>
              <w:sz w:val="14"/>
              <w:szCs w:val="14"/>
              <w:lang w:val="en-US"/>
            </w:rPr>
            <w:t>www.wtssaja.pl</w:t>
          </w:r>
        </w:p>
      </w:tc>
      <w:tc>
        <w:tcPr>
          <w:tcW w:w="1785" w:type="dxa"/>
          <w:tcBorders>
            <w:top w:val="single" w:sz="4" w:space="0" w:color="auto"/>
          </w:tcBorders>
        </w:tcPr>
        <w:p w14:paraId="6EA354A6" w14:textId="77777777" w:rsidR="00BC72B9" w:rsidRPr="00511E7D" w:rsidRDefault="00BC72B9" w:rsidP="00576881">
          <w:pPr>
            <w:tabs>
              <w:tab w:val="left" w:pos="2268"/>
            </w:tabs>
            <w:autoSpaceDE w:val="0"/>
            <w:autoSpaceDN w:val="0"/>
            <w:adjustRightInd w:val="0"/>
            <w:spacing w:before="120" w:line="190" w:lineRule="exact"/>
            <w:ind w:left="-34"/>
            <w:rPr>
              <w:rFonts w:ascii="Arial" w:hAnsi="Arial" w:cs="Arial"/>
              <w:bCs/>
              <w:sz w:val="14"/>
              <w:szCs w:val="14"/>
            </w:rPr>
          </w:pPr>
          <w:r w:rsidRPr="00511E7D">
            <w:rPr>
              <w:rFonts w:ascii="Arial" w:hAnsi="Arial" w:cs="Arial"/>
              <w:bCs/>
              <w:sz w:val="14"/>
              <w:szCs w:val="14"/>
            </w:rPr>
            <w:t>Zarząd:</w:t>
          </w:r>
        </w:p>
        <w:p w14:paraId="0AF35E84" w14:textId="77777777" w:rsidR="00BC72B9" w:rsidRPr="00511E7D" w:rsidRDefault="00BC72B9" w:rsidP="00F46A4D">
          <w:pPr>
            <w:tabs>
              <w:tab w:val="left" w:pos="2268"/>
            </w:tabs>
            <w:autoSpaceDE w:val="0"/>
            <w:autoSpaceDN w:val="0"/>
            <w:adjustRightInd w:val="0"/>
            <w:spacing w:line="190" w:lineRule="exact"/>
            <w:ind w:left="-34"/>
            <w:rPr>
              <w:rFonts w:ascii="Arial" w:hAnsi="Arial" w:cs="Arial"/>
              <w:bCs/>
              <w:sz w:val="14"/>
              <w:szCs w:val="14"/>
            </w:rPr>
          </w:pPr>
          <w:r w:rsidRPr="00511E7D">
            <w:rPr>
              <w:rFonts w:ascii="Arial" w:hAnsi="Arial" w:cs="Arial"/>
              <w:bCs/>
              <w:sz w:val="14"/>
              <w:szCs w:val="14"/>
            </w:rPr>
            <w:t>Magdalena Saja</w:t>
          </w:r>
        </w:p>
        <w:p w14:paraId="357DAB52" w14:textId="77777777" w:rsidR="00BC72B9" w:rsidRPr="00511E7D" w:rsidRDefault="00BC72B9" w:rsidP="00F46A4D">
          <w:pPr>
            <w:tabs>
              <w:tab w:val="left" w:pos="2268"/>
            </w:tabs>
            <w:autoSpaceDE w:val="0"/>
            <w:autoSpaceDN w:val="0"/>
            <w:adjustRightInd w:val="0"/>
            <w:spacing w:line="190" w:lineRule="exact"/>
            <w:ind w:left="-34"/>
            <w:rPr>
              <w:rFonts w:ascii="Arial" w:hAnsi="Arial" w:cs="Arial"/>
              <w:bCs/>
              <w:sz w:val="14"/>
              <w:szCs w:val="14"/>
            </w:rPr>
          </w:pPr>
          <w:r w:rsidRPr="00511E7D">
            <w:rPr>
              <w:rFonts w:ascii="Arial" w:hAnsi="Arial" w:cs="Arial"/>
              <w:bCs/>
              <w:sz w:val="14"/>
              <w:szCs w:val="14"/>
            </w:rPr>
            <w:t>Maja Karolina Seliga-Kret</w:t>
          </w:r>
        </w:p>
        <w:p w14:paraId="28884D5E" w14:textId="77777777" w:rsidR="00BC72B9" w:rsidRPr="00B1679B" w:rsidRDefault="00BC72B9" w:rsidP="007B136E">
          <w:pPr>
            <w:tabs>
              <w:tab w:val="left" w:pos="2268"/>
            </w:tabs>
            <w:autoSpaceDE w:val="0"/>
            <w:autoSpaceDN w:val="0"/>
            <w:adjustRightInd w:val="0"/>
            <w:spacing w:line="190" w:lineRule="exact"/>
            <w:ind w:left="-34"/>
            <w:rPr>
              <w:rFonts w:ascii="Arial" w:hAnsi="Arial" w:cs="Arial"/>
              <w:bCs/>
              <w:sz w:val="14"/>
              <w:szCs w:val="14"/>
            </w:rPr>
          </w:pPr>
          <w:r w:rsidRPr="00B1679B">
            <w:rPr>
              <w:rFonts w:ascii="Arial" w:hAnsi="Arial" w:cs="Arial"/>
              <w:bCs/>
              <w:sz w:val="14"/>
              <w:szCs w:val="14"/>
            </w:rPr>
            <w:t>Lidia Adamek-Baczyńska</w:t>
          </w:r>
        </w:p>
        <w:p w14:paraId="31223990" w14:textId="100CCD6B" w:rsidR="00BC72B9" w:rsidRPr="00B1679B" w:rsidRDefault="00BC72B9" w:rsidP="007B136E">
          <w:pPr>
            <w:tabs>
              <w:tab w:val="left" w:pos="2268"/>
            </w:tabs>
            <w:autoSpaceDE w:val="0"/>
            <w:autoSpaceDN w:val="0"/>
            <w:adjustRightInd w:val="0"/>
            <w:spacing w:line="190" w:lineRule="exact"/>
            <w:ind w:left="-34"/>
            <w:rPr>
              <w:rFonts w:ascii="Arial" w:hAnsi="Arial" w:cs="Arial"/>
              <w:bCs/>
              <w:sz w:val="14"/>
              <w:szCs w:val="14"/>
            </w:rPr>
          </w:pPr>
          <w:r w:rsidRPr="00B1679B">
            <w:rPr>
              <w:rFonts w:ascii="Arial" w:hAnsi="Arial" w:cs="Arial"/>
              <w:bCs/>
              <w:sz w:val="14"/>
              <w:szCs w:val="14"/>
            </w:rPr>
            <w:t>Janusz Wachowski</w:t>
          </w:r>
        </w:p>
      </w:tc>
      <w:tc>
        <w:tcPr>
          <w:tcW w:w="3034" w:type="dxa"/>
          <w:tcBorders>
            <w:top w:val="single" w:sz="4" w:space="0" w:color="auto"/>
          </w:tcBorders>
        </w:tcPr>
        <w:p w14:paraId="09071BD0" w14:textId="77777777" w:rsidR="00BC72B9" w:rsidRPr="00F46A4D" w:rsidRDefault="00BC72B9" w:rsidP="00576881">
          <w:pPr>
            <w:autoSpaceDE w:val="0"/>
            <w:autoSpaceDN w:val="0"/>
            <w:adjustRightInd w:val="0"/>
            <w:spacing w:before="120" w:line="190" w:lineRule="exact"/>
            <w:rPr>
              <w:rFonts w:ascii="Arial" w:hAnsi="Arial" w:cs="Arial"/>
              <w:sz w:val="14"/>
              <w:szCs w:val="14"/>
            </w:rPr>
          </w:pPr>
          <w:r w:rsidRPr="00F46A4D">
            <w:rPr>
              <w:rFonts w:ascii="Arial" w:hAnsi="Arial" w:cs="Arial"/>
              <w:sz w:val="14"/>
              <w:szCs w:val="14"/>
            </w:rPr>
            <w:t>NIP: 778-141-77-66</w:t>
          </w:r>
          <w:r w:rsidRPr="00F46A4D">
            <w:rPr>
              <w:rFonts w:ascii="Arial" w:hAnsi="Arial" w:cs="Arial"/>
              <w:sz w:val="14"/>
              <w:szCs w:val="14"/>
            </w:rPr>
            <w:br/>
            <w:t xml:space="preserve">Sąd Rejonowy Poznań – Nowe Miasto </w:t>
          </w:r>
          <w:r>
            <w:rPr>
              <w:rFonts w:ascii="Arial" w:hAnsi="Arial" w:cs="Arial"/>
              <w:sz w:val="14"/>
              <w:szCs w:val="14"/>
            </w:rPr>
            <w:br/>
          </w:r>
          <w:r w:rsidRPr="00F46A4D">
            <w:rPr>
              <w:rFonts w:ascii="Arial" w:hAnsi="Arial" w:cs="Arial"/>
              <w:sz w:val="14"/>
              <w:szCs w:val="14"/>
            </w:rPr>
            <w:t xml:space="preserve">i Wilda w Poznaniu, VIII Wydział Gospodarczy </w:t>
          </w:r>
          <w:r w:rsidRPr="00F46A4D">
            <w:rPr>
              <w:rFonts w:ascii="Arial" w:hAnsi="Arial" w:cs="Arial"/>
              <w:sz w:val="14"/>
              <w:szCs w:val="14"/>
            </w:rPr>
            <w:br/>
            <w:t>KRS 0000206176</w:t>
          </w:r>
          <w:r>
            <w:rPr>
              <w:rFonts w:ascii="Arial" w:hAnsi="Arial" w:cs="Arial"/>
              <w:sz w:val="14"/>
              <w:szCs w:val="14"/>
            </w:rPr>
            <w:t xml:space="preserve"> </w:t>
          </w:r>
        </w:p>
        <w:p w14:paraId="70C2AD83" w14:textId="77777777" w:rsidR="00BC72B9" w:rsidRPr="003C2539" w:rsidRDefault="00BC72B9" w:rsidP="00F46A4D">
          <w:pPr>
            <w:autoSpaceDE w:val="0"/>
            <w:autoSpaceDN w:val="0"/>
            <w:adjustRightInd w:val="0"/>
            <w:spacing w:line="190" w:lineRule="exact"/>
            <w:rPr>
              <w:rFonts w:ascii="Arial" w:hAnsi="Arial" w:cs="Arial"/>
              <w:bCs/>
              <w:sz w:val="14"/>
              <w:szCs w:val="14"/>
            </w:rPr>
          </w:pPr>
          <w:r>
            <w:rPr>
              <w:rFonts w:ascii="Arial" w:hAnsi="Arial" w:cs="Arial"/>
              <w:sz w:val="14"/>
              <w:szCs w:val="14"/>
            </w:rPr>
            <w:t xml:space="preserve">Kapitał zakładowy: 200.000 </w:t>
          </w:r>
          <w:r w:rsidRPr="003C2539">
            <w:rPr>
              <w:rFonts w:ascii="Arial" w:hAnsi="Arial" w:cs="Arial"/>
              <w:sz w:val="14"/>
              <w:szCs w:val="14"/>
            </w:rPr>
            <w:t>PLN</w:t>
          </w:r>
        </w:p>
      </w:tc>
    </w:tr>
    <w:tr w:rsidR="00BC72B9" w:rsidRPr="00AF3490" w14:paraId="6C26D410" w14:textId="77777777" w:rsidTr="007905B8">
      <w:trPr>
        <w:trHeight w:val="284"/>
      </w:trPr>
      <w:tc>
        <w:tcPr>
          <w:tcW w:w="2892" w:type="dxa"/>
        </w:tcPr>
        <w:p w14:paraId="20B5AF91" w14:textId="77777777" w:rsidR="00BC72B9" w:rsidRDefault="00BC72B9" w:rsidP="00F46A4D">
          <w:pPr>
            <w:autoSpaceDE w:val="0"/>
            <w:autoSpaceDN w:val="0"/>
            <w:adjustRightInd w:val="0"/>
            <w:spacing w:line="190" w:lineRule="exact"/>
            <w:rPr>
              <w:rFonts w:ascii="Arial" w:hAnsi="Arial" w:cs="Arial"/>
              <w:sz w:val="14"/>
              <w:szCs w:val="14"/>
            </w:rPr>
          </w:pPr>
        </w:p>
        <w:p w14:paraId="751D2052" w14:textId="77777777" w:rsidR="00BC72B9" w:rsidRDefault="00BC72B9" w:rsidP="00F46A4D">
          <w:pPr>
            <w:autoSpaceDE w:val="0"/>
            <w:autoSpaceDN w:val="0"/>
            <w:adjustRightInd w:val="0"/>
            <w:spacing w:line="190" w:lineRule="exact"/>
            <w:rPr>
              <w:rFonts w:ascii="Arial" w:hAnsi="Arial" w:cs="Arial"/>
              <w:sz w:val="14"/>
              <w:szCs w:val="14"/>
            </w:rPr>
          </w:pPr>
        </w:p>
        <w:p w14:paraId="796DD109" w14:textId="77777777" w:rsidR="00BC72B9" w:rsidRDefault="00BC72B9" w:rsidP="00F46A4D">
          <w:pPr>
            <w:autoSpaceDE w:val="0"/>
            <w:autoSpaceDN w:val="0"/>
            <w:adjustRightInd w:val="0"/>
            <w:spacing w:line="190" w:lineRule="exact"/>
            <w:rPr>
              <w:rFonts w:ascii="Arial" w:hAnsi="Arial" w:cs="Arial"/>
              <w:sz w:val="14"/>
              <w:szCs w:val="14"/>
            </w:rPr>
          </w:pPr>
        </w:p>
        <w:p w14:paraId="04F9522A" w14:textId="77777777" w:rsidR="00BC72B9" w:rsidRPr="00F46A4D" w:rsidRDefault="00BC72B9" w:rsidP="00F46A4D">
          <w:pPr>
            <w:autoSpaceDE w:val="0"/>
            <w:autoSpaceDN w:val="0"/>
            <w:adjustRightInd w:val="0"/>
            <w:spacing w:line="190" w:lineRule="exact"/>
            <w:rPr>
              <w:rFonts w:ascii="Arial" w:hAnsi="Arial" w:cs="Arial"/>
              <w:sz w:val="14"/>
              <w:szCs w:val="14"/>
            </w:rPr>
          </w:pPr>
        </w:p>
      </w:tc>
      <w:tc>
        <w:tcPr>
          <w:tcW w:w="1418" w:type="dxa"/>
        </w:tcPr>
        <w:p w14:paraId="6BD1CD87" w14:textId="77777777" w:rsidR="00BC72B9" w:rsidRPr="003C2539" w:rsidRDefault="00BC72B9" w:rsidP="00F46A4D">
          <w:pPr>
            <w:autoSpaceDE w:val="0"/>
            <w:autoSpaceDN w:val="0"/>
            <w:adjustRightInd w:val="0"/>
            <w:spacing w:line="190" w:lineRule="exact"/>
            <w:rPr>
              <w:rFonts w:ascii="Arial" w:hAnsi="Arial" w:cs="Arial"/>
              <w:sz w:val="14"/>
              <w:szCs w:val="14"/>
            </w:rPr>
          </w:pPr>
        </w:p>
      </w:tc>
      <w:tc>
        <w:tcPr>
          <w:tcW w:w="1785" w:type="dxa"/>
        </w:tcPr>
        <w:p w14:paraId="6AC69DB1" w14:textId="77777777" w:rsidR="00BC72B9" w:rsidRPr="003C2539" w:rsidRDefault="00BC72B9" w:rsidP="00F46A4D">
          <w:pPr>
            <w:tabs>
              <w:tab w:val="left" w:pos="2268"/>
            </w:tabs>
            <w:autoSpaceDE w:val="0"/>
            <w:autoSpaceDN w:val="0"/>
            <w:adjustRightInd w:val="0"/>
            <w:spacing w:line="190" w:lineRule="exact"/>
            <w:ind w:left="-34"/>
            <w:rPr>
              <w:rFonts w:ascii="Arial" w:hAnsi="Arial" w:cs="Arial"/>
              <w:bCs/>
              <w:sz w:val="14"/>
              <w:szCs w:val="14"/>
            </w:rPr>
          </w:pPr>
        </w:p>
      </w:tc>
      <w:tc>
        <w:tcPr>
          <w:tcW w:w="3034" w:type="dxa"/>
        </w:tcPr>
        <w:p w14:paraId="609C6DA2" w14:textId="77777777" w:rsidR="00BC72B9" w:rsidRPr="00727E9B" w:rsidRDefault="00BC72B9" w:rsidP="00576881">
          <w:pPr>
            <w:autoSpaceDE w:val="0"/>
            <w:autoSpaceDN w:val="0"/>
            <w:adjustRightInd w:val="0"/>
            <w:spacing w:line="190" w:lineRule="exact"/>
            <w:jc w:val="right"/>
            <w:rPr>
              <w:rFonts w:ascii="Arial" w:hAnsi="Arial" w:cs="Arial"/>
              <w:sz w:val="20"/>
              <w:szCs w:val="20"/>
            </w:rPr>
          </w:pPr>
          <w:r w:rsidRPr="00727E9B">
            <w:rPr>
              <w:rFonts w:ascii="Arial" w:hAnsi="Arial" w:cs="Arial"/>
              <w:sz w:val="20"/>
              <w:szCs w:val="20"/>
            </w:rPr>
            <w:fldChar w:fldCharType="begin"/>
          </w:r>
          <w:r w:rsidRPr="00727E9B">
            <w:rPr>
              <w:rFonts w:ascii="Arial" w:hAnsi="Arial" w:cs="Arial"/>
              <w:sz w:val="20"/>
              <w:szCs w:val="20"/>
            </w:rPr>
            <w:instrText>PAGE   \* MERGEFORMAT</w:instrText>
          </w:r>
          <w:r w:rsidRPr="00727E9B">
            <w:rPr>
              <w:rFonts w:ascii="Arial" w:hAnsi="Arial" w:cs="Arial"/>
              <w:sz w:val="20"/>
              <w:szCs w:val="20"/>
            </w:rPr>
            <w:fldChar w:fldCharType="separate"/>
          </w:r>
          <w:r w:rsidR="00C9415F">
            <w:rPr>
              <w:rFonts w:ascii="Arial" w:hAnsi="Arial" w:cs="Arial"/>
              <w:noProof/>
              <w:sz w:val="20"/>
              <w:szCs w:val="20"/>
            </w:rPr>
            <w:t>3</w:t>
          </w:r>
          <w:r w:rsidRPr="00727E9B">
            <w:rPr>
              <w:rFonts w:ascii="Arial" w:hAnsi="Arial" w:cs="Arial"/>
              <w:sz w:val="20"/>
              <w:szCs w:val="20"/>
            </w:rPr>
            <w:fldChar w:fldCharType="end"/>
          </w:r>
        </w:p>
      </w:tc>
    </w:tr>
  </w:tbl>
  <w:p w14:paraId="28A25F74" w14:textId="77777777" w:rsidR="00BC72B9" w:rsidRDefault="00BC72B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ED973" w14:textId="77777777" w:rsidR="00BC72B9" w:rsidRDefault="00BC72B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A142A" w14:textId="77777777" w:rsidR="00BC72B9" w:rsidRDefault="00BC72B9" w:rsidP="00F46A4D">
      <w:r>
        <w:separator/>
      </w:r>
    </w:p>
  </w:footnote>
  <w:footnote w:type="continuationSeparator" w:id="0">
    <w:p w14:paraId="413B171F" w14:textId="77777777" w:rsidR="00BC72B9" w:rsidRDefault="00BC72B9" w:rsidP="00F46A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37DEB" w14:textId="77777777" w:rsidR="00BC72B9" w:rsidRDefault="00BC72B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3C485" w14:textId="77777777" w:rsidR="00BC72B9" w:rsidRDefault="00BC72B9">
    <w:pPr>
      <w:pStyle w:val="Nagwek"/>
    </w:pPr>
    <w:r w:rsidRPr="007174C6">
      <w:rPr>
        <w:noProof/>
        <w:lang w:eastAsia="pl-PL"/>
      </w:rPr>
      <w:drawing>
        <wp:anchor distT="0" distB="0" distL="114300" distR="114300" simplePos="0" relativeHeight="251657728" behindDoc="0" locked="0" layoutInCell="1" allowOverlap="1" wp14:anchorId="20FD1506" wp14:editId="281C3915">
          <wp:simplePos x="0" y="0"/>
          <wp:positionH relativeFrom="column">
            <wp:posOffset>4047490</wp:posOffset>
          </wp:positionH>
          <wp:positionV relativeFrom="paragraph">
            <wp:posOffset>53340</wp:posOffset>
          </wp:positionV>
          <wp:extent cx="1767840" cy="514935"/>
          <wp:effectExtent l="0" t="0" r="3810" b="0"/>
          <wp:wrapSquare wrapText="bothSides"/>
          <wp:docPr id="3" name="Obraz 3" descr="S:\wzory\Logo\WTS&amp;SAJA_logo2017\logo-wts-sa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zory\Logo\WTS&amp;SAJA_logo2017\logo-wts-saj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7840" cy="514935"/>
                  </a:xfrm>
                  <a:prstGeom prst="rect">
                    <a:avLst/>
                  </a:prstGeom>
                  <a:noFill/>
                  <a:ln>
                    <a:noFill/>
                  </a:ln>
                </pic:spPr>
              </pic:pic>
            </a:graphicData>
          </a:graphic>
        </wp:anchor>
      </w:drawing>
    </w:r>
  </w:p>
  <w:p w14:paraId="1037078C" w14:textId="77777777" w:rsidR="00BC72B9" w:rsidRDefault="00BC72B9">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400C2" w14:textId="77777777" w:rsidR="00BC72B9" w:rsidRDefault="00BC72B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31CD"/>
    <w:multiLevelType w:val="hybridMultilevel"/>
    <w:tmpl w:val="6B7A7DBC"/>
    <w:lvl w:ilvl="0" w:tplc="0415000D">
      <w:start w:val="1"/>
      <w:numFmt w:val="bullet"/>
      <w:lvlText w:val=""/>
      <w:lvlJc w:val="left"/>
      <w:pPr>
        <w:ind w:left="1860" w:hanging="360"/>
      </w:pPr>
      <w:rPr>
        <w:rFonts w:ascii="Wingdings" w:hAnsi="Wingdings"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 w15:restartNumberingAfterBreak="0">
    <w:nsid w:val="0993076A"/>
    <w:multiLevelType w:val="hybridMultilevel"/>
    <w:tmpl w:val="621434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01B09CB"/>
    <w:multiLevelType w:val="hybridMultilevel"/>
    <w:tmpl w:val="E98658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0E7FC3"/>
    <w:multiLevelType w:val="hybridMultilevel"/>
    <w:tmpl w:val="40509C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8708FA"/>
    <w:multiLevelType w:val="hybridMultilevel"/>
    <w:tmpl w:val="0526BF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3B128F"/>
    <w:multiLevelType w:val="hybridMultilevel"/>
    <w:tmpl w:val="48C63A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300875"/>
    <w:multiLevelType w:val="hybridMultilevel"/>
    <w:tmpl w:val="4E28BB02"/>
    <w:lvl w:ilvl="0" w:tplc="0415000D">
      <w:start w:val="1"/>
      <w:numFmt w:val="bullet"/>
      <w:lvlText w:val=""/>
      <w:lvlJc w:val="left"/>
      <w:pPr>
        <w:tabs>
          <w:tab w:val="num" w:pos="360"/>
        </w:tabs>
        <w:ind w:left="36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C9D5B5C"/>
    <w:multiLevelType w:val="hybridMultilevel"/>
    <w:tmpl w:val="2BE8B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AE146C"/>
    <w:multiLevelType w:val="hybridMultilevel"/>
    <w:tmpl w:val="65E8F0B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25E44DDD"/>
    <w:multiLevelType w:val="hybridMultilevel"/>
    <w:tmpl w:val="A2E6C772"/>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0" w15:restartNumberingAfterBreak="0">
    <w:nsid w:val="26887A87"/>
    <w:multiLevelType w:val="hybridMultilevel"/>
    <w:tmpl w:val="B96E3F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D43FEB"/>
    <w:multiLevelType w:val="hybridMultilevel"/>
    <w:tmpl w:val="EDC415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367466"/>
    <w:multiLevelType w:val="hybridMultilevel"/>
    <w:tmpl w:val="61428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4034C7"/>
    <w:multiLevelType w:val="hybridMultilevel"/>
    <w:tmpl w:val="D4D81748"/>
    <w:lvl w:ilvl="0" w:tplc="0415000D">
      <w:start w:val="1"/>
      <w:numFmt w:val="bullet"/>
      <w:lvlText w:val=""/>
      <w:lvlJc w:val="left"/>
      <w:pPr>
        <w:tabs>
          <w:tab w:val="num" w:pos="360"/>
        </w:tabs>
        <w:ind w:left="36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42224A42"/>
    <w:multiLevelType w:val="hybridMultilevel"/>
    <w:tmpl w:val="0360E434"/>
    <w:lvl w:ilvl="0" w:tplc="6BD4105A">
      <w:start w:val="1"/>
      <w:numFmt w:val="bullet"/>
      <w:lvlText w:val=""/>
      <w:lvlJc w:val="left"/>
      <w:pPr>
        <w:tabs>
          <w:tab w:val="num" w:pos="1080"/>
        </w:tabs>
        <w:ind w:left="108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5" w15:restartNumberingAfterBreak="0">
    <w:nsid w:val="43747714"/>
    <w:multiLevelType w:val="hybridMultilevel"/>
    <w:tmpl w:val="7E2269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3B37048"/>
    <w:multiLevelType w:val="hybridMultilevel"/>
    <w:tmpl w:val="AA063CF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4450681A"/>
    <w:multiLevelType w:val="hybridMultilevel"/>
    <w:tmpl w:val="EEE69F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AFE4224"/>
    <w:multiLevelType w:val="hybridMultilevel"/>
    <w:tmpl w:val="2EC2540C"/>
    <w:lvl w:ilvl="0" w:tplc="0415001B">
      <w:start w:val="1"/>
      <w:numFmt w:val="lowerRoman"/>
      <w:lvlText w:val="%1."/>
      <w:lvlJc w:val="right"/>
      <w:pPr>
        <w:ind w:left="1860" w:hanging="360"/>
      </w:pPr>
      <w:rPr>
        <w:rFonts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9" w15:restartNumberingAfterBreak="0">
    <w:nsid w:val="4DEA5D6B"/>
    <w:multiLevelType w:val="hybridMultilevel"/>
    <w:tmpl w:val="5582B29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50AD4681"/>
    <w:multiLevelType w:val="hybridMultilevel"/>
    <w:tmpl w:val="48D44ECE"/>
    <w:lvl w:ilvl="0" w:tplc="8828F7E4">
      <w:start w:val="1"/>
      <w:numFmt w:val="bullet"/>
      <w:lvlText w:val=""/>
      <w:lvlJc w:val="left"/>
      <w:pPr>
        <w:ind w:left="765" w:hanging="360"/>
      </w:pPr>
      <w:rPr>
        <w:rFonts w:ascii="Symbol" w:hAnsi="Symbol" w:hint="default"/>
        <w:lang w:val="de-DE"/>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1" w15:restartNumberingAfterBreak="0">
    <w:nsid w:val="5A97246F"/>
    <w:multiLevelType w:val="hybridMultilevel"/>
    <w:tmpl w:val="8AAA085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5C8657E2"/>
    <w:multiLevelType w:val="hybridMultilevel"/>
    <w:tmpl w:val="60983338"/>
    <w:lvl w:ilvl="0" w:tplc="0415000D">
      <w:start w:val="1"/>
      <w:numFmt w:val="bullet"/>
      <w:lvlText w:val=""/>
      <w:lvlJc w:val="left"/>
      <w:pPr>
        <w:ind w:left="1800" w:hanging="360"/>
      </w:pPr>
      <w:rPr>
        <w:rFonts w:ascii="Wingdings" w:hAnsi="Wingding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3" w15:restartNumberingAfterBreak="0">
    <w:nsid w:val="61F428C6"/>
    <w:multiLevelType w:val="hybridMultilevel"/>
    <w:tmpl w:val="E83E2C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73F00264"/>
    <w:multiLevelType w:val="hybridMultilevel"/>
    <w:tmpl w:val="C818D9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E124965"/>
    <w:multiLevelType w:val="hybridMultilevel"/>
    <w:tmpl w:val="755A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AC3DCE"/>
    <w:multiLevelType w:val="hybridMultilevel"/>
    <w:tmpl w:val="A08457F0"/>
    <w:lvl w:ilvl="0" w:tplc="A212251A">
      <w:start w:val="1"/>
      <w:numFmt w:val="bullet"/>
      <w:lvlText w:val=""/>
      <w:lvlJc w:val="left"/>
      <w:pPr>
        <w:tabs>
          <w:tab w:val="num" w:pos="360"/>
        </w:tabs>
        <w:ind w:left="360" w:hanging="360"/>
      </w:pPr>
      <w:rPr>
        <w:rFonts w:ascii="Wingdings" w:hAnsi="Wingdings" w:hint="default"/>
      </w:rPr>
    </w:lvl>
    <w:lvl w:ilvl="1" w:tplc="DD024EEC">
      <w:start w:val="1"/>
      <w:numFmt w:val="decimal"/>
      <w:lvlText w:val="%2."/>
      <w:lvlJc w:val="left"/>
      <w:pPr>
        <w:tabs>
          <w:tab w:val="num" w:pos="1440"/>
        </w:tabs>
        <w:ind w:left="1440" w:hanging="360"/>
      </w:pPr>
    </w:lvl>
    <w:lvl w:ilvl="2" w:tplc="079C2AB8">
      <w:start w:val="1"/>
      <w:numFmt w:val="decimal"/>
      <w:lvlText w:val="%3."/>
      <w:lvlJc w:val="left"/>
      <w:pPr>
        <w:tabs>
          <w:tab w:val="num" w:pos="2160"/>
        </w:tabs>
        <w:ind w:left="2160" w:hanging="360"/>
      </w:pPr>
    </w:lvl>
    <w:lvl w:ilvl="3" w:tplc="62AA7036">
      <w:start w:val="1"/>
      <w:numFmt w:val="decimal"/>
      <w:lvlText w:val="%4."/>
      <w:lvlJc w:val="left"/>
      <w:pPr>
        <w:tabs>
          <w:tab w:val="num" w:pos="2880"/>
        </w:tabs>
        <w:ind w:left="2880" w:hanging="360"/>
      </w:pPr>
    </w:lvl>
    <w:lvl w:ilvl="4" w:tplc="25F804B4">
      <w:start w:val="1"/>
      <w:numFmt w:val="decimal"/>
      <w:lvlText w:val="%5."/>
      <w:lvlJc w:val="left"/>
      <w:pPr>
        <w:tabs>
          <w:tab w:val="num" w:pos="3600"/>
        </w:tabs>
        <w:ind w:left="3600" w:hanging="360"/>
      </w:pPr>
    </w:lvl>
    <w:lvl w:ilvl="5" w:tplc="AD2C1CB0">
      <w:start w:val="1"/>
      <w:numFmt w:val="decimal"/>
      <w:lvlText w:val="%6."/>
      <w:lvlJc w:val="left"/>
      <w:pPr>
        <w:tabs>
          <w:tab w:val="num" w:pos="4320"/>
        </w:tabs>
        <w:ind w:left="4320" w:hanging="360"/>
      </w:pPr>
    </w:lvl>
    <w:lvl w:ilvl="6" w:tplc="D214E3D0">
      <w:start w:val="1"/>
      <w:numFmt w:val="decimal"/>
      <w:lvlText w:val="%7."/>
      <w:lvlJc w:val="left"/>
      <w:pPr>
        <w:tabs>
          <w:tab w:val="num" w:pos="5040"/>
        </w:tabs>
        <w:ind w:left="5040" w:hanging="360"/>
      </w:pPr>
    </w:lvl>
    <w:lvl w:ilvl="7" w:tplc="2622690A">
      <w:start w:val="1"/>
      <w:numFmt w:val="decimal"/>
      <w:lvlText w:val="%8."/>
      <w:lvlJc w:val="left"/>
      <w:pPr>
        <w:tabs>
          <w:tab w:val="num" w:pos="5760"/>
        </w:tabs>
        <w:ind w:left="5760" w:hanging="360"/>
      </w:pPr>
    </w:lvl>
    <w:lvl w:ilvl="8" w:tplc="17C2BB34">
      <w:start w:val="1"/>
      <w:numFmt w:val="decimal"/>
      <w:lvlText w:val="%9."/>
      <w:lvlJc w:val="left"/>
      <w:pPr>
        <w:tabs>
          <w:tab w:val="num" w:pos="6480"/>
        </w:tabs>
        <w:ind w:left="6480" w:hanging="360"/>
      </w:p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6"/>
  </w:num>
  <w:num w:numId="9">
    <w:abstractNumId w:val="17"/>
  </w:num>
  <w:num w:numId="10">
    <w:abstractNumId w:val="12"/>
  </w:num>
  <w:num w:numId="11">
    <w:abstractNumId w:val="3"/>
  </w:num>
  <w:num w:numId="12">
    <w:abstractNumId w:val="21"/>
  </w:num>
  <w:num w:numId="13">
    <w:abstractNumId w:val="9"/>
  </w:num>
  <w:num w:numId="14">
    <w:abstractNumId w:val="0"/>
  </w:num>
  <w:num w:numId="15">
    <w:abstractNumId w:val="2"/>
  </w:num>
  <w:num w:numId="16">
    <w:abstractNumId w:val="10"/>
  </w:num>
  <w:num w:numId="17">
    <w:abstractNumId w:val="7"/>
  </w:num>
  <w:num w:numId="18">
    <w:abstractNumId w:val="4"/>
  </w:num>
  <w:num w:numId="19">
    <w:abstractNumId w:val="23"/>
  </w:num>
  <w:num w:numId="20">
    <w:abstractNumId w:val="25"/>
  </w:num>
  <w:num w:numId="21">
    <w:abstractNumId w:val="24"/>
  </w:num>
  <w:num w:numId="22">
    <w:abstractNumId w:val="19"/>
  </w:num>
  <w:num w:numId="23">
    <w:abstractNumId w:val="5"/>
  </w:num>
  <w:num w:numId="24">
    <w:abstractNumId w:val="15"/>
  </w:num>
  <w:num w:numId="25">
    <w:abstractNumId w:val="8"/>
  </w:num>
  <w:num w:numId="26">
    <w:abstractNumId w:val="18"/>
  </w:num>
  <w:num w:numId="27">
    <w:abstractNumId w:val="22"/>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removePersonalInformation/>
  <w:removeDateAndTime/>
  <w:documentProtection w:edit="readOnly"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A4D"/>
    <w:rsid w:val="00003913"/>
    <w:rsid w:val="00005F27"/>
    <w:rsid w:val="000178AC"/>
    <w:rsid w:val="00036091"/>
    <w:rsid w:val="000740A9"/>
    <w:rsid w:val="00090145"/>
    <w:rsid w:val="0009208F"/>
    <w:rsid w:val="000A043E"/>
    <w:rsid w:val="000D7CB0"/>
    <w:rsid w:val="00156FBE"/>
    <w:rsid w:val="001813BD"/>
    <w:rsid w:val="001C1927"/>
    <w:rsid w:val="001E43AA"/>
    <w:rsid w:val="001F5FDD"/>
    <w:rsid w:val="0022696A"/>
    <w:rsid w:val="002778E2"/>
    <w:rsid w:val="002E2466"/>
    <w:rsid w:val="002E56B6"/>
    <w:rsid w:val="00330B63"/>
    <w:rsid w:val="003472F3"/>
    <w:rsid w:val="00365633"/>
    <w:rsid w:val="003A6164"/>
    <w:rsid w:val="003C2539"/>
    <w:rsid w:val="003D1166"/>
    <w:rsid w:val="004161F2"/>
    <w:rsid w:val="00416D58"/>
    <w:rsid w:val="0044236B"/>
    <w:rsid w:val="00444D42"/>
    <w:rsid w:val="00453FB2"/>
    <w:rsid w:val="004736F8"/>
    <w:rsid w:val="00475DDB"/>
    <w:rsid w:val="00481B4F"/>
    <w:rsid w:val="00494DB7"/>
    <w:rsid w:val="0049638B"/>
    <w:rsid w:val="005110FF"/>
    <w:rsid w:val="00511225"/>
    <w:rsid w:val="00511E7D"/>
    <w:rsid w:val="0054584C"/>
    <w:rsid w:val="00571379"/>
    <w:rsid w:val="0057208B"/>
    <w:rsid w:val="00576881"/>
    <w:rsid w:val="00594BD8"/>
    <w:rsid w:val="00600C85"/>
    <w:rsid w:val="006104AA"/>
    <w:rsid w:val="006242B7"/>
    <w:rsid w:val="0065032A"/>
    <w:rsid w:val="006567BF"/>
    <w:rsid w:val="006621F3"/>
    <w:rsid w:val="006944AD"/>
    <w:rsid w:val="006B146C"/>
    <w:rsid w:val="006B5CFD"/>
    <w:rsid w:val="00707B70"/>
    <w:rsid w:val="00710D61"/>
    <w:rsid w:val="00721EB6"/>
    <w:rsid w:val="00727E9B"/>
    <w:rsid w:val="007905B8"/>
    <w:rsid w:val="00794603"/>
    <w:rsid w:val="007B136E"/>
    <w:rsid w:val="008319EC"/>
    <w:rsid w:val="00875A61"/>
    <w:rsid w:val="00881994"/>
    <w:rsid w:val="008A6DE9"/>
    <w:rsid w:val="008F47D1"/>
    <w:rsid w:val="0090175A"/>
    <w:rsid w:val="00912A8B"/>
    <w:rsid w:val="00942314"/>
    <w:rsid w:val="009D05E4"/>
    <w:rsid w:val="00A1679A"/>
    <w:rsid w:val="00A26085"/>
    <w:rsid w:val="00A35CFB"/>
    <w:rsid w:val="00A65C37"/>
    <w:rsid w:val="00A92965"/>
    <w:rsid w:val="00AE7C05"/>
    <w:rsid w:val="00AF716B"/>
    <w:rsid w:val="00B03F67"/>
    <w:rsid w:val="00B1679B"/>
    <w:rsid w:val="00B24402"/>
    <w:rsid w:val="00B37961"/>
    <w:rsid w:val="00B51C65"/>
    <w:rsid w:val="00B53454"/>
    <w:rsid w:val="00B97F26"/>
    <w:rsid w:val="00BC72B9"/>
    <w:rsid w:val="00C070FD"/>
    <w:rsid w:val="00C324EC"/>
    <w:rsid w:val="00C32DB5"/>
    <w:rsid w:val="00C47E69"/>
    <w:rsid w:val="00C55991"/>
    <w:rsid w:val="00C9415F"/>
    <w:rsid w:val="00CF29AC"/>
    <w:rsid w:val="00D767C3"/>
    <w:rsid w:val="00DA2980"/>
    <w:rsid w:val="00E52302"/>
    <w:rsid w:val="00E862F9"/>
    <w:rsid w:val="00E919AC"/>
    <w:rsid w:val="00EF570C"/>
    <w:rsid w:val="00F46A4D"/>
    <w:rsid w:val="00F81238"/>
    <w:rsid w:val="00F96494"/>
    <w:rsid w:val="00FB462B"/>
    <w:rsid w:val="00FD0A90"/>
    <w:rsid w:val="00FF0E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DF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C2539"/>
    <w:pPr>
      <w:spacing w:after="0" w:line="240" w:lineRule="auto"/>
    </w:pPr>
    <w:rPr>
      <w:rFonts w:ascii="Calibri" w:eastAsia="Calibri" w:hAnsi="Calibri" w:cs="Calibri"/>
      <w:lang w:eastAsia="pl-PL"/>
    </w:rPr>
  </w:style>
  <w:style w:type="paragraph" w:styleId="Nagwek1">
    <w:name w:val="heading 1"/>
    <w:basedOn w:val="Normalny"/>
    <w:next w:val="Normalny"/>
    <w:link w:val="Nagwek1Znak"/>
    <w:qFormat/>
    <w:rsid w:val="000D7CB0"/>
    <w:pPr>
      <w:keepNext/>
      <w:ind w:left="4800"/>
      <w:outlineLvl w:val="0"/>
    </w:pPr>
    <w:rPr>
      <w:rFonts w:ascii="Times New Roman" w:eastAsia="Times New Roman" w:hAnsi="Times New Roman" w:cs="Times New Roman"/>
      <w:b/>
      <w:bCs/>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46A4D"/>
    <w:pPr>
      <w:tabs>
        <w:tab w:val="center" w:pos="4536"/>
        <w:tab w:val="right" w:pos="9072"/>
      </w:tabs>
    </w:pPr>
    <w:rPr>
      <w:rFonts w:asciiTheme="minorHAnsi" w:eastAsiaTheme="minorHAnsi" w:hAnsiTheme="minorHAnsi" w:cstheme="minorBidi"/>
      <w:lang w:eastAsia="en-US"/>
    </w:rPr>
  </w:style>
  <w:style w:type="character" w:customStyle="1" w:styleId="NagwekZnak">
    <w:name w:val="Nagłówek Znak"/>
    <w:basedOn w:val="Domylnaczcionkaakapitu"/>
    <w:link w:val="Nagwek"/>
    <w:uiPriority w:val="99"/>
    <w:rsid w:val="00F46A4D"/>
  </w:style>
  <w:style w:type="paragraph" w:styleId="Stopka">
    <w:name w:val="footer"/>
    <w:basedOn w:val="Normalny"/>
    <w:link w:val="StopkaZnak"/>
    <w:uiPriority w:val="99"/>
    <w:unhideWhenUsed/>
    <w:rsid w:val="00F46A4D"/>
    <w:pPr>
      <w:tabs>
        <w:tab w:val="center" w:pos="4536"/>
        <w:tab w:val="right" w:pos="9072"/>
      </w:tabs>
    </w:pPr>
    <w:rPr>
      <w:rFonts w:asciiTheme="minorHAnsi" w:eastAsiaTheme="minorHAnsi" w:hAnsiTheme="minorHAnsi" w:cstheme="minorBidi"/>
      <w:lang w:eastAsia="en-US"/>
    </w:rPr>
  </w:style>
  <w:style w:type="character" w:customStyle="1" w:styleId="StopkaZnak">
    <w:name w:val="Stopka Znak"/>
    <w:basedOn w:val="Domylnaczcionkaakapitu"/>
    <w:link w:val="Stopka"/>
    <w:uiPriority w:val="99"/>
    <w:rsid w:val="00F46A4D"/>
  </w:style>
  <w:style w:type="paragraph" w:styleId="Tekstdymka">
    <w:name w:val="Balloon Text"/>
    <w:basedOn w:val="Normalny"/>
    <w:link w:val="TekstdymkaZnak"/>
    <w:uiPriority w:val="99"/>
    <w:semiHidden/>
    <w:unhideWhenUsed/>
    <w:rsid w:val="00F46A4D"/>
    <w:rPr>
      <w:rFonts w:ascii="Tahoma" w:hAnsi="Tahoma" w:cs="Tahoma"/>
      <w:sz w:val="16"/>
      <w:szCs w:val="16"/>
    </w:rPr>
  </w:style>
  <w:style w:type="character" w:customStyle="1" w:styleId="TekstdymkaZnak">
    <w:name w:val="Tekst dymka Znak"/>
    <w:basedOn w:val="Domylnaczcionkaakapitu"/>
    <w:link w:val="Tekstdymka"/>
    <w:uiPriority w:val="99"/>
    <w:semiHidden/>
    <w:rsid w:val="00F46A4D"/>
    <w:rPr>
      <w:rFonts w:ascii="Tahoma" w:hAnsi="Tahoma" w:cs="Tahoma"/>
      <w:sz w:val="16"/>
      <w:szCs w:val="16"/>
    </w:rPr>
  </w:style>
  <w:style w:type="paragraph" w:styleId="Akapitzlist">
    <w:name w:val="List Paragraph"/>
    <w:basedOn w:val="Normalny"/>
    <w:uiPriority w:val="34"/>
    <w:qFormat/>
    <w:rsid w:val="00F46A4D"/>
    <w:pPr>
      <w:ind w:left="708"/>
    </w:pPr>
  </w:style>
  <w:style w:type="character" w:customStyle="1" w:styleId="Nagwek1Znak">
    <w:name w:val="Nagłówek 1 Znak"/>
    <w:basedOn w:val="Domylnaczcionkaakapitu"/>
    <w:link w:val="Nagwek1"/>
    <w:rsid w:val="000D7CB0"/>
    <w:rPr>
      <w:rFonts w:ascii="Times New Roman" w:eastAsia="Times New Roman" w:hAnsi="Times New Roman" w:cs="Times New Roman"/>
      <w:b/>
      <w:bCs/>
      <w:szCs w:val="24"/>
    </w:rPr>
  </w:style>
  <w:style w:type="character" w:styleId="Odwoaniedokomentarza">
    <w:name w:val="annotation reference"/>
    <w:basedOn w:val="Domylnaczcionkaakapitu"/>
    <w:uiPriority w:val="99"/>
    <w:semiHidden/>
    <w:unhideWhenUsed/>
    <w:rsid w:val="00494DB7"/>
    <w:rPr>
      <w:sz w:val="16"/>
      <w:szCs w:val="16"/>
    </w:rPr>
  </w:style>
  <w:style w:type="paragraph" w:styleId="Tekstkomentarza">
    <w:name w:val="annotation text"/>
    <w:basedOn w:val="Normalny"/>
    <w:link w:val="TekstkomentarzaZnak"/>
    <w:uiPriority w:val="99"/>
    <w:semiHidden/>
    <w:unhideWhenUsed/>
    <w:rsid w:val="00494DB7"/>
    <w:rPr>
      <w:sz w:val="20"/>
      <w:szCs w:val="20"/>
    </w:rPr>
  </w:style>
  <w:style w:type="character" w:customStyle="1" w:styleId="TekstkomentarzaZnak">
    <w:name w:val="Tekst komentarza Znak"/>
    <w:basedOn w:val="Domylnaczcionkaakapitu"/>
    <w:link w:val="Tekstkomentarza"/>
    <w:uiPriority w:val="99"/>
    <w:semiHidden/>
    <w:rsid w:val="00494DB7"/>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494DB7"/>
    <w:rPr>
      <w:b/>
      <w:bCs/>
    </w:rPr>
  </w:style>
  <w:style w:type="character" w:customStyle="1" w:styleId="TematkomentarzaZnak">
    <w:name w:val="Temat komentarza Znak"/>
    <w:basedOn w:val="TekstkomentarzaZnak"/>
    <w:link w:val="Tematkomentarza"/>
    <w:uiPriority w:val="99"/>
    <w:semiHidden/>
    <w:rsid w:val="00494DB7"/>
    <w:rPr>
      <w:rFonts w:ascii="Calibri" w:eastAsia="Calibri" w:hAnsi="Calibri" w:cs="Calibri"/>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96736-1F45-439E-B67E-B5F069186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2047</Words>
  <Characters>12282</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2019-10-21T16:41:00Z</dcterms:created>
  <dcterms:modified xsi:type="dcterms:W3CDTF">2019-10-21T17:04:00Z</dcterms:modified>
</cp:coreProperties>
</file>