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0A37" w14:textId="365FD1DF" w:rsidR="00967BCC" w:rsidRDefault="0051088A" w:rsidP="00014F9E">
      <w:pPr>
        <w:spacing w:after="120"/>
        <w:jc w:val="both"/>
      </w:pPr>
      <w:r w:rsidRPr="00F730B1">
        <w:tab/>
      </w:r>
    </w:p>
    <w:p w14:paraId="11FEE795" w14:textId="1745DD49" w:rsidR="0051088A" w:rsidRPr="00F730B1" w:rsidRDefault="0051088A" w:rsidP="00014F9E">
      <w:pPr>
        <w:spacing w:after="120"/>
        <w:jc w:val="center"/>
        <w:rPr>
          <w:b/>
        </w:rPr>
      </w:pPr>
      <w:r w:rsidRPr="00F730B1">
        <w:rPr>
          <w:b/>
        </w:rPr>
        <w:t>OPIS PRZEDMIOTU ZAMÓWIENIA</w:t>
      </w:r>
    </w:p>
    <w:p w14:paraId="77C67B0F" w14:textId="77777777" w:rsidR="0051088A" w:rsidRPr="00F730B1" w:rsidRDefault="0051088A" w:rsidP="00014F9E">
      <w:pPr>
        <w:spacing w:after="120"/>
        <w:jc w:val="both"/>
        <w:rPr>
          <w:b/>
        </w:rPr>
      </w:pPr>
    </w:p>
    <w:p w14:paraId="0998A679" w14:textId="77777777" w:rsidR="0051088A" w:rsidRDefault="0051088A" w:rsidP="00014F9E">
      <w:pPr>
        <w:spacing w:after="120"/>
        <w:jc w:val="both"/>
        <w:rPr>
          <w:b/>
        </w:rPr>
      </w:pPr>
    </w:p>
    <w:p w14:paraId="772D7801" w14:textId="49529CFA" w:rsidR="0041153F" w:rsidRPr="00CB1E3D" w:rsidRDefault="0041153F" w:rsidP="00014F9E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</w:rPr>
      </w:pPr>
      <w:r w:rsidRPr="00CB1E3D">
        <w:rPr>
          <w:b/>
        </w:rPr>
        <w:t>PRZEDMIOT ZAMÓWIENIA</w:t>
      </w:r>
    </w:p>
    <w:p w14:paraId="485AACBB" w14:textId="72C8E140" w:rsidR="0051088A" w:rsidRPr="0041153F" w:rsidRDefault="0051088A" w:rsidP="00014F9E">
      <w:pPr>
        <w:spacing w:before="240" w:after="120"/>
        <w:jc w:val="both"/>
        <w:rPr>
          <w:rFonts w:eastAsia="Calibri"/>
          <w:lang w:eastAsia="en-US"/>
        </w:rPr>
      </w:pPr>
      <w:r w:rsidRPr="0041153F">
        <w:rPr>
          <w:rFonts w:eastAsia="Calibri"/>
          <w:lang w:eastAsia="en-US"/>
        </w:rPr>
        <w:t xml:space="preserve">Przedmiotem zamówienia jest dostawa oraz wdrożenie sprzętu bezpieczeństwa sieciowego typu </w:t>
      </w:r>
      <w:proofErr w:type="spellStart"/>
      <w:r w:rsidRPr="0041153F">
        <w:rPr>
          <w:rFonts w:eastAsia="Calibri"/>
          <w:lang w:eastAsia="en-US"/>
        </w:rPr>
        <w:t>next</w:t>
      </w:r>
      <w:proofErr w:type="spellEnd"/>
      <w:r w:rsidRPr="0041153F">
        <w:rPr>
          <w:rFonts w:eastAsia="Calibri"/>
          <w:lang w:eastAsia="en-US"/>
        </w:rPr>
        <w:t xml:space="preserve"> </w:t>
      </w:r>
      <w:proofErr w:type="spellStart"/>
      <w:r w:rsidRPr="0041153F">
        <w:rPr>
          <w:rFonts w:eastAsia="Calibri"/>
          <w:lang w:eastAsia="en-US"/>
        </w:rPr>
        <w:t>generation</w:t>
      </w:r>
      <w:proofErr w:type="spellEnd"/>
      <w:r w:rsidRPr="0041153F">
        <w:rPr>
          <w:rFonts w:eastAsia="Calibri"/>
          <w:lang w:eastAsia="en-US"/>
        </w:rPr>
        <w:t xml:space="preserve"> firewall, wraz z systemem zarządzania, a także udzielenie gwarancji jakości </w:t>
      </w:r>
      <w:r w:rsidR="00B30404">
        <w:rPr>
          <w:rFonts w:eastAsia="Calibri"/>
          <w:lang w:eastAsia="en-US"/>
        </w:rPr>
        <w:br/>
      </w:r>
      <w:r w:rsidRPr="0041153F">
        <w:rPr>
          <w:rFonts w:eastAsia="Calibri"/>
          <w:lang w:eastAsia="en-US"/>
        </w:rPr>
        <w:t>i wsparcia technicznego na oferowane rozwiązanie.</w:t>
      </w:r>
    </w:p>
    <w:p w14:paraId="2B0F471B" w14:textId="77777777" w:rsidR="00417977" w:rsidRPr="00F730B1" w:rsidRDefault="00417977" w:rsidP="00014F9E">
      <w:pPr>
        <w:spacing w:after="120"/>
        <w:jc w:val="both"/>
      </w:pPr>
    </w:p>
    <w:p w14:paraId="576A1B45" w14:textId="757B305F" w:rsidR="00417977" w:rsidRPr="00CB1E3D" w:rsidRDefault="00CB1E3D" w:rsidP="00014F9E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</w:rPr>
      </w:pPr>
      <w:r w:rsidRPr="00CB1E3D">
        <w:rPr>
          <w:b/>
        </w:rPr>
        <w:t>WYMAGANIA SPRZĘTOWE</w:t>
      </w:r>
    </w:p>
    <w:p w14:paraId="7062FCF2" w14:textId="15E3E24F" w:rsidR="00417977" w:rsidRDefault="00CB1E3D" w:rsidP="00014F9E">
      <w:pPr>
        <w:spacing w:after="120"/>
        <w:jc w:val="both"/>
      </w:pPr>
      <w:r w:rsidRPr="00CB1E3D">
        <w:t xml:space="preserve">W ramach postępowania należy dostarczyć dwa identyczne urządzenia działające w klastrze wysokiej dostępności oraz system centralnego zarządzania dostarczonymi urządzeniami. Wszystkie wyspecyfikowane wymagania wydajnościowe muszą być spełnione dla każdego </w:t>
      </w:r>
      <w:r w:rsidR="00B30404">
        <w:br/>
      </w:r>
      <w:r w:rsidRPr="00CB1E3D">
        <w:t xml:space="preserve">z dostarczanych urządzeń. Zamawiający wymaga, aby dostarczony system do zarządzania umożliwiał utworzenie klastra wysokiej dostępności (High </w:t>
      </w:r>
      <w:proofErr w:type="spellStart"/>
      <w:r w:rsidRPr="00CB1E3D">
        <w:t>Availability</w:t>
      </w:r>
      <w:proofErr w:type="spellEnd"/>
      <w:r w:rsidRPr="00CB1E3D">
        <w:t xml:space="preserve"> – HA) z posiadanym przez Zamawiającego systemem zarządzania Panorama firmy </w:t>
      </w:r>
      <w:proofErr w:type="spellStart"/>
      <w:r w:rsidRPr="00CB1E3D">
        <w:t>Palo</w:t>
      </w:r>
      <w:proofErr w:type="spellEnd"/>
      <w:r w:rsidRPr="00CB1E3D">
        <w:t xml:space="preserve"> </w:t>
      </w:r>
      <w:proofErr w:type="spellStart"/>
      <w:r w:rsidRPr="00CB1E3D">
        <w:t>Alto</w:t>
      </w:r>
      <w:proofErr w:type="spellEnd"/>
      <w:r w:rsidRPr="00CB1E3D">
        <w:t xml:space="preserve"> Networks. System ten musi zapewniać pełną kompatybilność z istniejącą infrastrukturą Panorama, umożliwiając synchronizację konfiguracji oraz zapewnienie ciągłości działania w przypadku awarii jednego </w:t>
      </w:r>
      <w:r w:rsidR="00B30404">
        <w:br/>
      </w:r>
      <w:r w:rsidRPr="00CB1E3D">
        <w:t>z elementów klastra.</w:t>
      </w:r>
    </w:p>
    <w:p w14:paraId="25932940" w14:textId="77777777" w:rsidR="00B30404" w:rsidRDefault="00B30404" w:rsidP="00014F9E">
      <w:pPr>
        <w:spacing w:after="120"/>
        <w:jc w:val="both"/>
      </w:pPr>
    </w:p>
    <w:p w14:paraId="2D98D828" w14:textId="76B15867" w:rsidR="00CB1E3D" w:rsidRPr="00CB1E3D" w:rsidRDefault="00CB1E3D" w:rsidP="00014F9E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 w:rsidRPr="00CB1E3D">
        <w:rPr>
          <w:b/>
          <w:bCs/>
        </w:rPr>
        <w:t>SPECYFIKACJA TECHNICZNA PRZEDMIOTU ZAMÓWIENIA</w:t>
      </w:r>
    </w:p>
    <w:p w14:paraId="22D18A27" w14:textId="77777777" w:rsidR="00B30404" w:rsidRDefault="00B30404" w:rsidP="00014F9E">
      <w:pPr>
        <w:spacing w:after="120"/>
        <w:jc w:val="both"/>
      </w:pPr>
    </w:p>
    <w:p w14:paraId="149EC23C" w14:textId="04A00539" w:rsidR="00CB1E3D" w:rsidRPr="00B30404" w:rsidRDefault="00F277F1" w:rsidP="00014F9E">
      <w:pPr>
        <w:pStyle w:val="Akapitzlist"/>
        <w:numPr>
          <w:ilvl w:val="0"/>
          <w:numId w:val="22"/>
        </w:numPr>
        <w:spacing w:after="120"/>
        <w:contextualSpacing w:val="0"/>
        <w:jc w:val="both"/>
        <w:rPr>
          <w:b/>
          <w:bCs/>
        </w:rPr>
      </w:pPr>
      <w:r w:rsidRPr="00B30404">
        <w:rPr>
          <w:b/>
          <w:bCs/>
        </w:rPr>
        <w:t>MINIMALNE WYMAGANIA URZĄDZENIA TYPU FIREWALL.</w:t>
      </w:r>
      <w:r w:rsidR="00CB1E3D" w:rsidRPr="00B30404">
        <w:rPr>
          <w:b/>
          <w:bCs/>
        </w:rPr>
        <w:t xml:space="preserve"> </w:t>
      </w:r>
    </w:p>
    <w:p w14:paraId="287DB30C" w14:textId="6400B3E3" w:rsidR="00417977" w:rsidRPr="00F730B1" w:rsidRDefault="00417977" w:rsidP="00014F9E">
      <w:pPr>
        <w:spacing w:after="120"/>
        <w:ind w:left="360"/>
        <w:jc w:val="both"/>
      </w:pPr>
      <w:r w:rsidRPr="00F730B1">
        <w:t xml:space="preserve">W ramach zamówienia podstawowego należy dostarczyć dwie sztuki urządzeń typu Firewall. Firewalle muszą być dostarczone w postaci dedykowanych urządzeń. </w:t>
      </w:r>
    </w:p>
    <w:p w14:paraId="21D2CE33" w14:textId="77777777" w:rsidR="00B30404" w:rsidRDefault="00B30404" w:rsidP="00014F9E">
      <w:pPr>
        <w:pStyle w:val="Akapitzlist"/>
        <w:spacing w:after="120"/>
        <w:contextualSpacing w:val="0"/>
        <w:jc w:val="both"/>
      </w:pPr>
    </w:p>
    <w:p w14:paraId="794AAC5F" w14:textId="4F664786" w:rsidR="00417977" w:rsidRPr="00F277F1" w:rsidRDefault="00417977" w:rsidP="00014F9E">
      <w:pPr>
        <w:pStyle w:val="Akapitzlist"/>
        <w:numPr>
          <w:ilvl w:val="0"/>
          <w:numId w:val="23"/>
        </w:numPr>
        <w:spacing w:after="120"/>
        <w:contextualSpacing w:val="0"/>
        <w:jc w:val="both"/>
        <w:rPr>
          <w:b/>
          <w:bCs/>
        </w:rPr>
      </w:pPr>
      <w:r w:rsidRPr="00F277F1">
        <w:rPr>
          <w:b/>
          <w:bCs/>
        </w:rPr>
        <w:t xml:space="preserve">Obsługa: </w:t>
      </w:r>
    </w:p>
    <w:p w14:paraId="40C3B09F" w14:textId="77777777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t xml:space="preserve">9 </w:t>
      </w:r>
      <w:proofErr w:type="spellStart"/>
      <w:r w:rsidRPr="00632B40">
        <w:t>Gbps</w:t>
      </w:r>
      <w:proofErr w:type="spellEnd"/>
      <w:r w:rsidRPr="00632B40">
        <w:t xml:space="preserve"> przepustowości Firewall/kontroli aplikacji;</w:t>
      </w:r>
    </w:p>
    <w:p w14:paraId="2E5BA432" w14:textId="30EA6B22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t>6</w:t>
      </w:r>
      <w:r w:rsidR="00014F9E" w:rsidRPr="00632B40">
        <w:t xml:space="preserve"> </w:t>
      </w:r>
      <w:proofErr w:type="spellStart"/>
      <w:r w:rsidRPr="00632B40">
        <w:t>Gbps</w:t>
      </w:r>
      <w:proofErr w:type="spellEnd"/>
      <w:r w:rsidRPr="00632B40">
        <w:t xml:space="preserve"> przepustowości Firewall/</w:t>
      </w:r>
      <w:proofErr w:type="spellStart"/>
      <w:r w:rsidRPr="00632B40">
        <w:t>kontroli</w:t>
      </w:r>
      <w:r w:rsidR="00014F9E" w:rsidRPr="00632B40">
        <w:t>a</w:t>
      </w:r>
      <w:r w:rsidRPr="00632B40">
        <w:t>plikacji</w:t>
      </w:r>
      <w:proofErr w:type="spellEnd"/>
      <w:r w:rsidRPr="00632B40">
        <w:t>/IPS/Antywirus/</w:t>
      </w:r>
      <w:proofErr w:type="spellStart"/>
      <w:r w:rsidRPr="00632B40">
        <w:t>Antymalware</w:t>
      </w:r>
      <w:proofErr w:type="spellEnd"/>
      <w:r w:rsidRPr="00632B40">
        <w:t>/</w:t>
      </w:r>
      <w:r w:rsidR="00014F9E" w:rsidRPr="00632B40">
        <w:br/>
      </w:r>
      <w:proofErr w:type="spellStart"/>
      <w:r w:rsidRPr="00632B40">
        <w:t>Sandbox</w:t>
      </w:r>
      <w:proofErr w:type="spellEnd"/>
      <w:r w:rsidRPr="00632B40">
        <w:t>/ochrony DNS z włączonym logowaniem;</w:t>
      </w:r>
    </w:p>
    <w:p w14:paraId="0CB6E33D" w14:textId="77777777" w:rsidR="00417977" w:rsidRPr="00F730B1" w:rsidRDefault="00417977" w:rsidP="00632B40">
      <w:pPr>
        <w:numPr>
          <w:ilvl w:val="1"/>
          <w:numId w:val="18"/>
        </w:numPr>
        <w:spacing w:after="120"/>
        <w:ind w:left="1276"/>
        <w:jc w:val="both"/>
        <w:rPr>
          <w:highlight w:val="white"/>
        </w:rPr>
      </w:pPr>
      <w:r w:rsidRPr="00632B40">
        <w:t xml:space="preserve">5 </w:t>
      </w:r>
      <w:proofErr w:type="spellStart"/>
      <w:r w:rsidRPr="00632B40">
        <w:t>Gbps</w:t>
      </w:r>
      <w:proofErr w:type="spellEnd"/>
      <w:r w:rsidRPr="00F730B1">
        <w:rPr>
          <w:highlight w:val="white"/>
        </w:rPr>
        <w:t xml:space="preserve"> dla </w:t>
      </w:r>
      <w:proofErr w:type="spellStart"/>
      <w:r w:rsidRPr="00F730B1">
        <w:rPr>
          <w:highlight w:val="white"/>
        </w:rPr>
        <w:t>IPsec</w:t>
      </w:r>
      <w:proofErr w:type="spellEnd"/>
      <w:r w:rsidRPr="00F730B1">
        <w:rPr>
          <w:highlight w:val="white"/>
        </w:rPr>
        <w:t xml:space="preserve"> VPN;</w:t>
      </w:r>
    </w:p>
    <w:p w14:paraId="5F38632A" w14:textId="77777777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t>1 200 000 jednoczesnych sesji;</w:t>
      </w:r>
    </w:p>
    <w:p w14:paraId="11413174" w14:textId="77777777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lastRenderedPageBreak/>
        <w:t>120 000 nowych połączeń na sekundę;</w:t>
      </w:r>
    </w:p>
    <w:p w14:paraId="0D12F7E6" w14:textId="77777777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t>1 000 tuneli SSL VPN Remote Access z wykorzystaniem klienta VPN;</w:t>
      </w:r>
    </w:p>
    <w:p w14:paraId="2BBCF458" w14:textId="77777777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t>10 wirtualnych routerów posiadających odrębne tabele routingu;</w:t>
      </w:r>
    </w:p>
    <w:p w14:paraId="0AF699E1" w14:textId="77777777" w:rsidR="00417977" w:rsidRPr="00632B40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632B40">
        <w:t>150 stref bezpieczeństwa;</w:t>
      </w:r>
    </w:p>
    <w:p w14:paraId="317A1246" w14:textId="77777777" w:rsidR="00417977" w:rsidRPr="00F730B1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F730B1">
        <w:t>Protokołów routingu: OSPFv2 i OSPFv3, BGP4;</w:t>
      </w:r>
    </w:p>
    <w:p w14:paraId="4934D8EE" w14:textId="62DF4820" w:rsidR="00B30404" w:rsidRDefault="00417977" w:rsidP="00632B40">
      <w:pPr>
        <w:numPr>
          <w:ilvl w:val="1"/>
          <w:numId w:val="18"/>
        </w:numPr>
        <w:spacing w:after="120"/>
        <w:ind w:left="1276"/>
        <w:jc w:val="both"/>
      </w:pPr>
      <w:r w:rsidRPr="00F730B1">
        <w:t>Lokalnej przestrzeni na system operacyjny i logi co najmniej o pojemności 200GB</w:t>
      </w:r>
      <w:r w:rsidR="00B30404">
        <w:t>.</w:t>
      </w:r>
    </w:p>
    <w:p w14:paraId="1D4E016E" w14:textId="77777777" w:rsidR="00B30404" w:rsidRDefault="00B30404" w:rsidP="00014F9E">
      <w:pPr>
        <w:pStyle w:val="Akapitzlist"/>
        <w:spacing w:after="120"/>
        <w:contextualSpacing w:val="0"/>
        <w:jc w:val="both"/>
      </w:pPr>
    </w:p>
    <w:p w14:paraId="4D1A02B5" w14:textId="1BC630E2" w:rsidR="00417977" w:rsidRPr="00F277F1" w:rsidRDefault="00417977" w:rsidP="00014F9E">
      <w:pPr>
        <w:pStyle w:val="Akapitzlist"/>
        <w:numPr>
          <w:ilvl w:val="0"/>
          <w:numId w:val="23"/>
        </w:numPr>
        <w:spacing w:after="120"/>
        <w:contextualSpacing w:val="0"/>
        <w:jc w:val="both"/>
        <w:rPr>
          <w:b/>
          <w:bCs/>
        </w:rPr>
      </w:pPr>
      <w:r w:rsidRPr="00F277F1">
        <w:rPr>
          <w:b/>
          <w:bCs/>
        </w:rPr>
        <w:t>Cechy urządzenia:</w:t>
      </w:r>
    </w:p>
    <w:p w14:paraId="79E6B58A" w14:textId="77777777" w:rsidR="00417977" w:rsidRPr="00B30404" w:rsidRDefault="00417977" w:rsidP="00632B40">
      <w:pPr>
        <w:pStyle w:val="Akapitzlist"/>
        <w:numPr>
          <w:ilvl w:val="0"/>
          <w:numId w:val="24"/>
        </w:numPr>
        <w:spacing w:after="120"/>
        <w:ind w:left="1276"/>
        <w:contextualSpacing w:val="0"/>
        <w:jc w:val="both"/>
        <w:rPr>
          <w:highlight w:val="white"/>
        </w:rPr>
      </w:pPr>
      <w:r w:rsidRPr="00B30404">
        <w:rPr>
          <w:highlight w:val="white"/>
        </w:rPr>
        <w:t>Wysokość maksymalnie 1RU wraz z zestawem montażowym do szafy RACK 19”;</w:t>
      </w:r>
    </w:p>
    <w:p w14:paraId="22CF5C88" w14:textId="77777777" w:rsidR="00417977" w:rsidRPr="00F730B1" w:rsidRDefault="00417977" w:rsidP="00632B40">
      <w:pPr>
        <w:pStyle w:val="Akapitzlist"/>
        <w:numPr>
          <w:ilvl w:val="0"/>
          <w:numId w:val="24"/>
        </w:numPr>
        <w:spacing w:after="120"/>
        <w:ind w:left="1276"/>
        <w:contextualSpacing w:val="0"/>
        <w:jc w:val="both"/>
        <w:rPr>
          <w:highlight w:val="white"/>
        </w:rPr>
      </w:pPr>
      <w:r w:rsidRPr="00F730B1">
        <w:rPr>
          <w:highlight w:val="white"/>
        </w:rPr>
        <w:t>dwa redundantne zasilacze AC 230V Hot-</w:t>
      </w:r>
      <w:proofErr w:type="spellStart"/>
      <w:r w:rsidRPr="00F730B1">
        <w:rPr>
          <w:highlight w:val="white"/>
        </w:rPr>
        <w:t>Swap</w:t>
      </w:r>
      <w:proofErr w:type="spellEnd"/>
      <w:r w:rsidRPr="00F730B1">
        <w:rPr>
          <w:highlight w:val="white"/>
        </w:rPr>
        <w:t xml:space="preserve"> z kompletami kabli;</w:t>
      </w:r>
    </w:p>
    <w:p w14:paraId="081D8861" w14:textId="2ADEEFEF" w:rsidR="00417977" w:rsidRPr="00F730B1" w:rsidRDefault="00417977" w:rsidP="00632B40">
      <w:pPr>
        <w:pStyle w:val="Akapitzlist"/>
        <w:numPr>
          <w:ilvl w:val="0"/>
          <w:numId w:val="24"/>
        </w:numPr>
        <w:spacing w:after="120"/>
        <w:ind w:left="1276"/>
        <w:contextualSpacing w:val="0"/>
        <w:jc w:val="both"/>
        <w:rPr>
          <w:highlight w:val="white"/>
        </w:rPr>
      </w:pPr>
      <w:r w:rsidRPr="00F730B1">
        <w:rPr>
          <w:highlight w:val="white"/>
        </w:rPr>
        <w:t>12 portów 1-GigabitEthernet RJ45</w:t>
      </w:r>
      <w:r w:rsidR="00B30404">
        <w:rPr>
          <w:highlight w:val="white"/>
        </w:rPr>
        <w:t>;</w:t>
      </w:r>
    </w:p>
    <w:p w14:paraId="7005A2D7" w14:textId="45A7646A" w:rsidR="00417977" w:rsidRPr="00F730B1" w:rsidRDefault="00417977" w:rsidP="00632B40">
      <w:pPr>
        <w:pStyle w:val="Akapitzlist"/>
        <w:numPr>
          <w:ilvl w:val="0"/>
          <w:numId w:val="24"/>
        </w:numPr>
        <w:spacing w:after="120"/>
        <w:ind w:left="1276"/>
        <w:contextualSpacing w:val="0"/>
        <w:jc w:val="both"/>
        <w:rPr>
          <w:highlight w:val="white"/>
        </w:rPr>
      </w:pPr>
      <w:r w:rsidRPr="00F730B1">
        <w:rPr>
          <w:highlight w:val="white"/>
        </w:rPr>
        <w:t xml:space="preserve">2 porty 1 </w:t>
      </w:r>
      <w:proofErr w:type="spellStart"/>
      <w:r w:rsidRPr="00F730B1">
        <w:rPr>
          <w:highlight w:val="white"/>
        </w:rPr>
        <w:t>GigabitEthernet</w:t>
      </w:r>
      <w:proofErr w:type="spellEnd"/>
      <w:r w:rsidRPr="00F730B1">
        <w:rPr>
          <w:highlight w:val="white"/>
        </w:rPr>
        <w:t xml:space="preserve"> SFP oraz 8 portów 1/10  </w:t>
      </w:r>
      <w:proofErr w:type="spellStart"/>
      <w:r w:rsidRPr="00F730B1">
        <w:rPr>
          <w:highlight w:val="white"/>
        </w:rPr>
        <w:t>GigabitEthernet</w:t>
      </w:r>
      <w:proofErr w:type="spellEnd"/>
      <w:r w:rsidRPr="00F730B1">
        <w:rPr>
          <w:highlight w:val="white"/>
        </w:rPr>
        <w:t xml:space="preserve"> SFP/SFP+ obsługujące moduły optyczne SR oraz LR lub 10 portów 1/10  </w:t>
      </w:r>
      <w:proofErr w:type="spellStart"/>
      <w:r w:rsidRPr="00F730B1">
        <w:rPr>
          <w:highlight w:val="white"/>
        </w:rPr>
        <w:t>GigabitEthernet</w:t>
      </w:r>
      <w:proofErr w:type="spellEnd"/>
      <w:r w:rsidRPr="00F730B1">
        <w:rPr>
          <w:highlight w:val="white"/>
        </w:rPr>
        <w:t xml:space="preserve"> SFP/SFP+ obsługujące moduły optyczne SR oraz LR</w:t>
      </w:r>
      <w:r w:rsidR="00B30404">
        <w:rPr>
          <w:highlight w:val="white"/>
        </w:rPr>
        <w:t>;</w:t>
      </w:r>
    </w:p>
    <w:p w14:paraId="2344F563" w14:textId="17415433" w:rsidR="00417977" w:rsidRPr="00B30404" w:rsidRDefault="00417977" w:rsidP="00632B40">
      <w:pPr>
        <w:pStyle w:val="Akapitzlist"/>
        <w:numPr>
          <w:ilvl w:val="0"/>
          <w:numId w:val="24"/>
        </w:numPr>
        <w:spacing w:after="120"/>
        <w:ind w:left="1276"/>
        <w:contextualSpacing w:val="0"/>
        <w:jc w:val="both"/>
        <w:rPr>
          <w:highlight w:val="white"/>
        </w:rPr>
      </w:pPr>
      <w:r w:rsidRPr="00B30404">
        <w:rPr>
          <w:highlight w:val="white"/>
        </w:rPr>
        <w:t xml:space="preserve">1 </w:t>
      </w:r>
      <w:r w:rsidRPr="00F730B1">
        <w:rPr>
          <w:highlight w:val="white"/>
        </w:rPr>
        <w:t xml:space="preserve">port 1-GigabitEthernet RJ45 wyłącznie do celów zarządzania; dopuszcza się realizację tego poprzez port 1/10 </w:t>
      </w:r>
      <w:proofErr w:type="spellStart"/>
      <w:r w:rsidRPr="00F730B1">
        <w:rPr>
          <w:highlight w:val="white"/>
        </w:rPr>
        <w:t>GigabitEthernet</w:t>
      </w:r>
      <w:proofErr w:type="spellEnd"/>
      <w:r w:rsidRPr="00F730B1">
        <w:rPr>
          <w:highlight w:val="white"/>
        </w:rPr>
        <w:t xml:space="preserve"> SFP+ z użyciem modułu SFP RJ45 lub </w:t>
      </w:r>
      <w:proofErr w:type="spellStart"/>
      <w:r w:rsidRPr="00F730B1">
        <w:rPr>
          <w:highlight w:val="white"/>
        </w:rPr>
        <w:t>lub</w:t>
      </w:r>
      <w:proofErr w:type="spellEnd"/>
      <w:r w:rsidRPr="00F730B1">
        <w:rPr>
          <w:highlight w:val="white"/>
        </w:rPr>
        <w:t xml:space="preserve"> SFP SR</w:t>
      </w:r>
      <w:r w:rsidR="00B30404">
        <w:rPr>
          <w:highlight w:val="white"/>
        </w:rPr>
        <w:t>;</w:t>
      </w:r>
    </w:p>
    <w:p w14:paraId="2786A45E" w14:textId="77777777" w:rsidR="00417977" w:rsidRPr="00F730B1" w:rsidRDefault="00417977" w:rsidP="00632B40">
      <w:pPr>
        <w:pStyle w:val="Akapitzlist"/>
        <w:numPr>
          <w:ilvl w:val="0"/>
          <w:numId w:val="24"/>
        </w:numPr>
        <w:spacing w:after="120"/>
        <w:ind w:left="1276"/>
        <w:contextualSpacing w:val="0"/>
        <w:jc w:val="both"/>
      </w:pPr>
      <w:r w:rsidRPr="00B30404">
        <w:rPr>
          <w:highlight w:val="white"/>
        </w:rPr>
        <w:t xml:space="preserve">Urządzenie musi posiadać port (10GE lub szybszy) dla celów połączenia urządzeń w klaster (high </w:t>
      </w:r>
      <w:proofErr w:type="spellStart"/>
      <w:r w:rsidRPr="00B30404">
        <w:rPr>
          <w:highlight w:val="white"/>
        </w:rPr>
        <w:t>availability</w:t>
      </w:r>
      <w:proofErr w:type="spellEnd"/>
      <w:r w:rsidRPr="00B30404">
        <w:rPr>
          <w:highlight w:val="white"/>
        </w:rPr>
        <w:t xml:space="preserve">). Porty te muszą być traktowane jako dodatkowe względem wymaganych przez Zamawiającego. Nie dopuszcza się wykorzystania do celu </w:t>
      </w:r>
      <w:proofErr w:type="spellStart"/>
      <w:r w:rsidRPr="00B30404">
        <w:rPr>
          <w:highlight w:val="white"/>
        </w:rPr>
        <w:t>klastrowania</w:t>
      </w:r>
      <w:proofErr w:type="spellEnd"/>
      <w:r w:rsidRPr="00B30404">
        <w:rPr>
          <w:highlight w:val="white"/>
        </w:rPr>
        <w:t xml:space="preserve"> portów opisanych w podstawowych wymaganiach</w:t>
      </w:r>
      <w:r w:rsidRPr="00F730B1">
        <w:t>.</w:t>
      </w:r>
    </w:p>
    <w:p w14:paraId="077AE8C3" w14:textId="77777777" w:rsidR="00DF558A" w:rsidRDefault="00DF558A" w:rsidP="00014F9E">
      <w:pPr>
        <w:spacing w:after="120"/>
        <w:jc w:val="both"/>
        <w:rPr>
          <w:b/>
          <w:bCs/>
        </w:rPr>
      </w:pPr>
    </w:p>
    <w:p w14:paraId="735C75F9" w14:textId="5AA1AD1C" w:rsidR="00417977" w:rsidRPr="00F730B1" w:rsidRDefault="00417977" w:rsidP="00014F9E">
      <w:pPr>
        <w:spacing w:after="120"/>
        <w:jc w:val="both"/>
        <w:rPr>
          <w:b/>
          <w:bCs/>
        </w:rPr>
      </w:pPr>
      <w:r w:rsidRPr="00F730B1">
        <w:rPr>
          <w:b/>
          <w:bCs/>
        </w:rPr>
        <w:t>Zamawiający dodatkowo wymaga dostarczenia dla</w:t>
      </w:r>
      <w:r w:rsidR="006774B6" w:rsidRPr="00F730B1">
        <w:rPr>
          <w:b/>
          <w:bCs/>
        </w:rPr>
        <w:t xml:space="preserve"> każdej</w:t>
      </w:r>
      <w:r w:rsidRPr="00F730B1">
        <w:rPr>
          <w:b/>
          <w:bCs/>
        </w:rPr>
        <w:t xml:space="preserve"> dostarczonej sztuki urządzenia typu firewall</w:t>
      </w:r>
      <w:r w:rsidR="006774B6" w:rsidRPr="00F730B1">
        <w:rPr>
          <w:b/>
          <w:bCs/>
        </w:rPr>
        <w:t>, 5 szt</w:t>
      </w:r>
      <w:r w:rsidR="00967BCC">
        <w:rPr>
          <w:b/>
          <w:bCs/>
        </w:rPr>
        <w:t>.</w:t>
      </w:r>
      <w:r w:rsidR="006774B6" w:rsidRPr="00F730B1">
        <w:rPr>
          <w:b/>
          <w:bCs/>
        </w:rPr>
        <w:t xml:space="preserve"> modułów optycznych (w sumie 10szt) kompatybilnych z oferowanymi urządzeniami (SFP+ 10G SR 850nm MMF 300m LC).</w:t>
      </w:r>
    </w:p>
    <w:p w14:paraId="3DA526CC" w14:textId="77777777" w:rsidR="003D7537" w:rsidRPr="00F730B1" w:rsidRDefault="003D7537" w:rsidP="00014F9E">
      <w:pPr>
        <w:spacing w:after="120"/>
        <w:ind w:left="1440"/>
        <w:jc w:val="both"/>
      </w:pPr>
    </w:p>
    <w:p w14:paraId="7062CE91" w14:textId="25F709CC" w:rsidR="003D7537" w:rsidRPr="00F277F1" w:rsidRDefault="003D7537" w:rsidP="00F277F1">
      <w:pPr>
        <w:pStyle w:val="Akapitzlist"/>
        <w:numPr>
          <w:ilvl w:val="0"/>
          <w:numId w:val="23"/>
        </w:numPr>
        <w:spacing w:after="120"/>
        <w:contextualSpacing w:val="0"/>
        <w:jc w:val="both"/>
        <w:rPr>
          <w:b/>
          <w:bCs/>
        </w:rPr>
      </w:pPr>
      <w:r w:rsidRPr="00F277F1">
        <w:rPr>
          <w:b/>
          <w:bCs/>
        </w:rPr>
        <w:t>Wymagania funkcjonalne dla urządzeń</w:t>
      </w:r>
    </w:p>
    <w:p w14:paraId="143D9E0B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Założenia podstawowe dla rozwiązań NGFW </w:t>
      </w:r>
    </w:p>
    <w:p w14:paraId="1AE4C17F" w14:textId="51362E42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Rozpoznawanie aplikacji bez względu na numery portów, protokoły tunelowania </w:t>
      </w:r>
      <w:r w:rsidR="00014F9E">
        <w:br/>
      </w:r>
      <w:r w:rsidRPr="00F730B1">
        <w:t xml:space="preserve">i szyfrowania (włącznie z P2P i IM). Identyfikacja aplikacji nie może wymagać podania w konfiguracji NGFW numeru lub zakresu portów, na których jest ona dokonywana. Należy założyć, że wszystkie aplikacje mogą występować na </w:t>
      </w:r>
      <w:r w:rsidRPr="00F730B1">
        <w:lastRenderedPageBreak/>
        <w:t>wszystkich 65 535 dostępnych portach. NFGW musi wykrywać co najmniej 4000 aplikacji predefiniowanych przez Producenta.</w:t>
      </w:r>
    </w:p>
    <w:p w14:paraId="54DFF323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>Realizowanie funkcjonalności na bazie profili przypisywanych na poziomie reguł bezpieczeństwa:</w:t>
      </w:r>
    </w:p>
    <w:p w14:paraId="2E7F62ED" w14:textId="6B4D86DB" w:rsidR="00417977" w:rsidRPr="00F730B1" w:rsidRDefault="00417977" w:rsidP="00014F9E">
      <w:pPr>
        <w:numPr>
          <w:ilvl w:val="2"/>
          <w:numId w:val="25"/>
        </w:numPr>
        <w:spacing w:after="120"/>
        <w:jc w:val="both"/>
      </w:pPr>
      <w:proofErr w:type="spellStart"/>
      <w:r w:rsidRPr="00F730B1">
        <w:t>Intrusion</w:t>
      </w:r>
      <w:proofErr w:type="spellEnd"/>
      <w:r w:rsidRPr="00F730B1">
        <w:t xml:space="preserve"> </w:t>
      </w:r>
      <w:proofErr w:type="spellStart"/>
      <w:r w:rsidRPr="00F730B1">
        <w:t>Prevention</w:t>
      </w:r>
      <w:proofErr w:type="spellEnd"/>
      <w:r w:rsidRPr="00F730B1">
        <w:t xml:space="preserve"> System (IPS)</w:t>
      </w:r>
      <w:r w:rsidR="00014F9E">
        <w:t>;</w:t>
      </w:r>
    </w:p>
    <w:p w14:paraId="6802F670" w14:textId="38F28397" w:rsidR="00417977" w:rsidRPr="00F730B1" w:rsidRDefault="00417977" w:rsidP="00014F9E">
      <w:pPr>
        <w:numPr>
          <w:ilvl w:val="2"/>
          <w:numId w:val="25"/>
        </w:numPr>
        <w:spacing w:after="120"/>
        <w:jc w:val="both"/>
      </w:pPr>
      <w:r w:rsidRPr="00F730B1">
        <w:t>Antywirus (AV)</w:t>
      </w:r>
      <w:r w:rsidR="00014F9E">
        <w:t>;</w:t>
      </w:r>
    </w:p>
    <w:p w14:paraId="54B50672" w14:textId="3A1E41A3" w:rsidR="00417977" w:rsidRPr="00F730B1" w:rsidRDefault="00417977" w:rsidP="00014F9E">
      <w:pPr>
        <w:numPr>
          <w:ilvl w:val="2"/>
          <w:numId w:val="25"/>
        </w:numPr>
        <w:spacing w:after="120"/>
        <w:jc w:val="both"/>
      </w:pPr>
      <w:r w:rsidRPr="00F730B1">
        <w:t>Anty-Spyware / Anty-</w:t>
      </w:r>
      <w:proofErr w:type="spellStart"/>
      <w:r w:rsidRPr="00F730B1">
        <w:t>Malware</w:t>
      </w:r>
      <w:proofErr w:type="spellEnd"/>
      <w:r w:rsidR="00014F9E">
        <w:t>;</w:t>
      </w:r>
    </w:p>
    <w:p w14:paraId="3FC52280" w14:textId="767D2348" w:rsidR="00417977" w:rsidRPr="00F730B1" w:rsidRDefault="00417977" w:rsidP="00014F9E">
      <w:pPr>
        <w:numPr>
          <w:ilvl w:val="2"/>
          <w:numId w:val="25"/>
        </w:numPr>
        <w:spacing w:after="120"/>
        <w:jc w:val="both"/>
      </w:pPr>
      <w:r w:rsidRPr="00F730B1">
        <w:t>Sygnatur DNS</w:t>
      </w:r>
      <w:r w:rsidR="00014F9E">
        <w:t>.</w:t>
      </w:r>
    </w:p>
    <w:p w14:paraId="08C94F3C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>Dopuszcza się realizację powyższych funkcji w grupach tzn. przykładowo funkcja obsługi</w:t>
      </w:r>
      <w:r w:rsidRPr="00632B40">
        <w:t xml:space="preserve"> sygnatur DNS </w:t>
      </w:r>
      <w:r w:rsidRPr="00F730B1">
        <w:t>będzie realizowana przez moduł Anty-</w:t>
      </w:r>
      <w:proofErr w:type="spellStart"/>
      <w:r w:rsidRPr="00F730B1">
        <w:t>Malware</w:t>
      </w:r>
      <w:proofErr w:type="spellEnd"/>
      <w:r w:rsidRPr="00F730B1">
        <w:t xml:space="preserve">, jednakże nie może to powodować utraty możliwości </w:t>
      </w:r>
      <w:proofErr w:type="spellStart"/>
      <w:r w:rsidRPr="00F730B1">
        <w:t>granularnego</w:t>
      </w:r>
      <w:proofErr w:type="spellEnd"/>
      <w:r w:rsidRPr="00F730B1">
        <w:t xml:space="preserve"> uruchomienia poszczególnych funkcji dla wskazanej aplikacji i/lub użytkownika.</w:t>
      </w:r>
    </w:p>
    <w:p w14:paraId="2DF17642" w14:textId="11402F4C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>Bazy sygnatur IPS, AV, Anty-Spyware (lub Anty-</w:t>
      </w:r>
      <w:proofErr w:type="spellStart"/>
      <w:r w:rsidRPr="00F730B1">
        <w:t>Malware</w:t>
      </w:r>
      <w:proofErr w:type="spellEnd"/>
      <w:r w:rsidRPr="00F730B1">
        <w:t xml:space="preserve"> jeżeli obejmuje on ochronę przed Spyware) muszą być przechowywane na NGFW, regularnie aktualizowane </w:t>
      </w:r>
      <w:r w:rsidR="00DF558A">
        <w:br/>
      </w:r>
      <w:r w:rsidRPr="00F730B1">
        <w:t>w sposób automatyczny.</w:t>
      </w:r>
    </w:p>
    <w:p w14:paraId="23528411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Aktualizacje sygnatur AV muszą odbywać się nie rzadziej niż raz na 24 godziny. </w:t>
      </w:r>
    </w:p>
    <w:p w14:paraId="2FA13B98" w14:textId="4E414972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Musi być zapewniona możliwość tworzenia własnych sygnatur IPS bez wykorzystania zewnętrznych narzędzi (dopuszcza się tworzenie sygnatur </w:t>
      </w:r>
      <w:r w:rsidR="00014F9E">
        <w:br/>
      </w:r>
      <w:r w:rsidRPr="00F730B1">
        <w:t xml:space="preserve">z wykorzystaniem dostarczanego systemu zarządzania) czy wsparcia producenta. </w:t>
      </w:r>
    </w:p>
    <w:p w14:paraId="577811A1" w14:textId="0260EA3D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Urządzenie NGFW musi umożliwiać elastyczną konfigurację AV i IPS </w:t>
      </w:r>
      <w:r w:rsidR="00014F9E">
        <w:br/>
      </w:r>
      <w:r w:rsidRPr="00F730B1">
        <w:t xml:space="preserve">w szczególności wyłączenia części sygnatur dla określonych grup użytkowników i/lub aplikacji. Urządzenie musi umożliwiać uruchomienie funkcji IPS i AV </w:t>
      </w:r>
      <w:r w:rsidR="00014F9E">
        <w:br/>
      </w:r>
      <w:r w:rsidRPr="00F730B1">
        <w:t xml:space="preserve">z dokładnością do reguły bezpieczeństwa – nie dopuszcza się by IPS /lub AV był uruchamiany dla całego urządzenia lub dla interfejsu fizycznego albo logicznego. </w:t>
      </w:r>
    </w:p>
    <w:p w14:paraId="34493E68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Wykrywanie aktywności sieci typu </w:t>
      </w:r>
      <w:proofErr w:type="spellStart"/>
      <w:r w:rsidRPr="00F730B1">
        <w:t>Botnet</w:t>
      </w:r>
      <w:proofErr w:type="spellEnd"/>
      <w:r w:rsidRPr="00F730B1">
        <w:t>.</w:t>
      </w:r>
    </w:p>
    <w:p w14:paraId="78EBEB5A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Możliwość blokowania transmisji plików, co najmniej następujących typów: bat, </w:t>
      </w:r>
      <w:proofErr w:type="spellStart"/>
      <w:r w:rsidRPr="00F730B1">
        <w:t>cab</w:t>
      </w:r>
      <w:proofErr w:type="spellEnd"/>
      <w:r w:rsidRPr="00F730B1">
        <w:t xml:space="preserve">, pliki MS Office, </w:t>
      </w:r>
      <w:proofErr w:type="spellStart"/>
      <w:r w:rsidRPr="00F730B1">
        <w:t>rar</w:t>
      </w:r>
      <w:proofErr w:type="spellEnd"/>
      <w:r w:rsidRPr="00F730B1">
        <w:t xml:space="preserve">, zip, exe, </w:t>
      </w:r>
      <w:proofErr w:type="spellStart"/>
      <w:r w:rsidRPr="00F730B1">
        <w:t>gzip</w:t>
      </w:r>
      <w:proofErr w:type="spellEnd"/>
      <w:r w:rsidRPr="00F730B1">
        <w:t xml:space="preserve">, </w:t>
      </w:r>
      <w:proofErr w:type="spellStart"/>
      <w:r w:rsidRPr="00F730B1">
        <w:t>hta</w:t>
      </w:r>
      <w:proofErr w:type="spellEnd"/>
      <w:r w:rsidRPr="00F730B1">
        <w:t xml:space="preserve">, pdf, tar, </w:t>
      </w:r>
      <w:proofErr w:type="spellStart"/>
      <w:r w:rsidRPr="00F730B1">
        <w:t>tif</w:t>
      </w:r>
      <w:proofErr w:type="spellEnd"/>
      <w:r w:rsidRPr="00F730B1">
        <w:t xml:space="preserve">. Rozpoznawanie pliku na podstawie nagłówka i typu MIME. </w:t>
      </w:r>
    </w:p>
    <w:p w14:paraId="0DB0D828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  <w:rPr>
          <w:highlight w:val="white"/>
        </w:rPr>
      </w:pPr>
      <w:r w:rsidRPr="00632B40">
        <w:t>Funkcja</w:t>
      </w:r>
      <w:r w:rsidRPr="00F730B1">
        <w:rPr>
          <w:highlight w:val="white"/>
        </w:rPr>
        <w:t xml:space="preserve"> filtrowania ruchu URL w oparciu o automatycznie aktualizowaną bazę kategorii stron WWW i bazę reputacji tych stron. </w:t>
      </w:r>
    </w:p>
    <w:p w14:paraId="54611EC4" w14:textId="77777777" w:rsidR="00417977" w:rsidRPr="00F730B1" w:rsidRDefault="00417977" w:rsidP="00014F9E">
      <w:pPr>
        <w:numPr>
          <w:ilvl w:val="2"/>
          <w:numId w:val="26"/>
        </w:numPr>
        <w:spacing w:after="120"/>
        <w:jc w:val="both"/>
        <w:rPr>
          <w:highlight w:val="white"/>
        </w:rPr>
      </w:pPr>
      <w:r w:rsidRPr="00F730B1">
        <w:rPr>
          <w:highlight w:val="white"/>
        </w:rPr>
        <w:t xml:space="preserve">Ocena strony musi obejmować określenie jej kategorii (np. finanse, zakupy, sport, </w:t>
      </w:r>
      <w:proofErr w:type="spellStart"/>
      <w:r w:rsidRPr="00F730B1">
        <w:rPr>
          <w:highlight w:val="white"/>
        </w:rPr>
        <w:t>itp</w:t>
      </w:r>
      <w:proofErr w:type="spellEnd"/>
      <w:r w:rsidRPr="00F730B1">
        <w:rPr>
          <w:highlight w:val="white"/>
        </w:rPr>
        <w:t xml:space="preserve">) </w:t>
      </w:r>
    </w:p>
    <w:p w14:paraId="2CE633CC" w14:textId="77777777" w:rsidR="00417977" w:rsidRPr="00F730B1" w:rsidRDefault="00417977" w:rsidP="00014F9E">
      <w:pPr>
        <w:numPr>
          <w:ilvl w:val="2"/>
          <w:numId w:val="26"/>
        </w:numPr>
        <w:spacing w:after="120"/>
        <w:jc w:val="both"/>
        <w:rPr>
          <w:highlight w:val="white"/>
        </w:rPr>
      </w:pPr>
      <w:r w:rsidRPr="00F730B1">
        <w:rPr>
          <w:highlight w:val="white"/>
        </w:rPr>
        <w:lastRenderedPageBreak/>
        <w:t xml:space="preserve">Ocena strony musi obejmować określenie ryzyka do niej przypisanego (co najmniej </w:t>
      </w:r>
      <w:proofErr w:type="spellStart"/>
      <w:r w:rsidRPr="00F730B1">
        <w:rPr>
          <w:highlight w:val="white"/>
        </w:rPr>
        <w:t>wysokie-średnie-niskie</w:t>
      </w:r>
      <w:proofErr w:type="spellEnd"/>
      <w:r w:rsidRPr="00F730B1">
        <w:rPr>
          <w:highlight w:val="white"/>
        </w:rPr>
        <w:t xml:space="preserve">). </w:t>
      </w:r>
    </w:p>
    <w:p w14:paraId="165DF6D9" w14:textId="77777777" w:rsidR="00417977" w:rsidRPr="00F730B1" w:rsidRDefault="00417977" w:rsidP="00014F9E">
      <w:pPr>
        <w:numPr>
          <w:ilvl w:val="2"/>
          <w:numId w:val="26"/>
        </w:numPr>
        <w:spacing w:after="120"/>
        <w:jc w:val="both"/>
        <w:rPr>
          <w:highlight w:val="white"/>
        </w:rPr>
      </w:pPr>
      <w:r w:rsidRPr="00F730B1">
        <w:rPr>
          <w:highlight w:val="white"/>
        </w:rPr>
        <w:t>Musi być zapewniona możliwość tworzenia własnych list stron (</w:t>
      </w:r>
      <w:proofErr w:type="spellStart"/>
      <w:r w:rsidRPr="00F730B1">
        <w:rPr>
          <w:highlight w:val="white"/>
        </w:rPr>
        <w:t>whitelist</w:t>
      </w:r>
      <w:proofErr w:type="spellEnd"/>
      <w:r w:rsidRPr="00F730B1">
        <w:rPr>
          <w:highlight w:val="white"/>
        </w:rPr>
        <w:t xml:space="preserve"> oraz </w:t>
      </w:r>
      <w:proofErr w:type="spellStart"/>
      <w:r w:rsidRPr="00F730B1">
        <w:rPr>
          <w:highlight w:val="white"/>
        </w:rPr>
        <w:t>blacklist</w:t>
      </w:r>
      <w:proofErr w:type="spellEnd"/>
      <w:r w:rsidRPr="00F730B1">
        <w:rPr>
          <w:highlight w:val="white"/>
        </w:rPr>
        <w:t>) bez wykorzystania zewnętrznych narzędzi czy wsparcia producenta z możliwością konfiguracji, gdzie własne listy będą miały wyższy priorytet niż klasyfikacja na bazie kategorii dostarczanych przez producenta.</w:t>
      </w:r>
    </w:p>
    <w:p w14:paraId="2DD39F3A" w14:textId="0EABB805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Funkcja ochrony przed zagrożeniami Zero Day oraz zapewnienie współpracy </w:t>
      </w:r>
      <w:r w:rsidR="00014F9E">
        <w:br/>
      </w:r>
      <w:r w:rsidRPr="00F730B1">
        <w:t xml:space="preserve">z </w:t>
      </w:r>
      <w:proofErr w:type="spellStart"/>
      <w:r w:rsidRPr="00F730B1">
        <w:t>sandboxem</w:t>
      </w:r>
      <w:proofErr w:type="spellEnd"/>
      <w:r w:rsidR="00EF203B">
        <w:t>.</w:t>
      </w:r>
    </w:p>
    <w:p w14:paraId="2A9036FC" w14:textId="3B2AF8E4" w:rsidR="00417977" w:rsidRPr="00F730B1" w:rsidRDefault="00417977" w:rsidP="00014F9E">
      <w:pPr>
        <w:numPr>
          <w:ilvl w:val="2"/>
          <w:numId w:val="27"/>
        </w:numPr>
        <w:spacing w:after="120"/>
        <w:jc w:val="both"/>
      </w:pPr>
      <w:r w:rsidRPr="00F730B1">
        <w:t xml:space="preserve">możliwość przesyłania do systemu </w:t>
      </w:r>
      <w:proofErr w:type="spellStart"/>
      <w:r w:rsidRPr="00F730B1">
        <w:t>sandbox</w:t>
      </w:r>
      <w:proofErr w:type="spellEnd"/>
      <w:r w:rsidRPr="00F730B1">
        <w:t xml:space="preserve"> (tego samego producenta co firewall) plików zdefiniowanych przez administratora (co najmniej exe, </w:t>
      </w:r>
      <w:proofErr w:type="spellStart"/>
      <w:r w:rsidRPr="00F730B1">
        <w:t>dll</w:t>
      </w:r>
      <w:proofErr w:type="spellEnd"/>
      <w:r w:rsidRPr="00F730B1">
        <w:t xml:space="preserve">, </w:t>
      </w:r>
      <w:proofErr w:type="spellStart"/>
      <w:r w:rsidRPr="00F730B1">
        <w:t>java</w:t>
      </w:r>
      <w:proofErr w:type="spellEnd"/>
      <w:r w:rsidRPr="00F730B1">
        <w:t xml:space="preserve">, MS Office, pdf). Zamawiający dopuszcza by odbywało się̨ to poprzez dedykowany mechanizm wbudowany w urządzenie lub przez jeden </w:t>
      </w:r>
      <w:r w:rsidR="00014F9E">
        <w:br/>
      </w:r>
      <w:r w:rsidRPr="00F730B1">
        <w:t>z wymaganych silników detekcyjnych przy czym funkcja ta musi mieć możliwość wskazania/wykluczania z filtrowania specyficznego ruchu sieciowego na podstawie zarówno kierunku transmisji (ruch wchodzący/wychodzący ze wskazanej strefy bezpieczeństwa), adresu źródłowego IP jak i adresu docelowego IP jak i rozpoznania aplikacji lub zdefiniowanych serwisów, np. poprzez numer portu, protokół transportowy</w:t>
      </w:r>
    </w:p>
    <w:p w14:paraId="799A1CE3" w14:textId="77777777" w:rsidR="00417977" w:rsidRPr="00F730B1" w:rsidRDefault="00417977" w:rsidP="00014F9E">
      <w:pPr>
        <w:numPr>
          <w:ilvl w:val="2"/>
          <w:numId w:val="27"/>
        </w:numPr>
        <w:spacing w:after="120"/>
        <w:jc w:val="both"/>
      </w:pPr>
      <w:r w:rsidRPr="00F730B1">
        <w:t xml:space="preserve">możliwość aktualizacji systemu firewall o nowo wykryte (w </w:t>
      </w:r>
      <w:proofErr w:type="spellStart"/>
      <w:r w:rsidRPr="00F730B1">
        <w:t>Sandbox</w:t>
      </w:r>
      <w:proofErr w:type="spellEnd"/>
      <w:r w:rsidRPr="00F730B1">
        <w:t xml:space="preserve">) zagrożenia.  </w:t>
      </w:r>
    </w:p>
    <w:p w14:paraId="28532B46" w14:textId="77777777" w:rsidR="00417977" w:rsidRPr="00F730B1" w:rsidRDefault="00417977" w:rsidP="00014F9E">
      <w:pPr>
        <w:numPr>
          <w:ilvl w:val="2"/>
          <w:numId w:val="27"/>
        </w:numPr>
        <w:spacing w:after="120"/>
        <w:jc w:val="both"/>
      </w:pPr>
      <w:r w:rsidRPr="00F730B1">
        <w:t xml:space="preserve">administrator musi posiadać dostęp do raportów z </w:t>
      </w:r>
      <w:proofErr w:type="spellStart"/>
      <w:r w:rsidRPr="00F730B1">
        <w:t>sandboxa</w:t>
      </w:r>
      <w:proofErr w:type="spellEnd"/>
      <w:r w:rsidRPr="00F730B1">
        <w:t xml:space="preserve"> dotyczących plików wysyłanych przez urządzenia, jak również posiadać możliwość manualnego wysłania pliku (np. poprzez </w:t>
      </w:r>
      <w:proofErr w:type="spellStart"/>
      <w:r w:rsidRPr="00F730B1">
        <w:t>upload</w:t>
      </w:r>
      <w:proofErr w:type="spellEnd"/>
      <w:r w:rsidRPr="00F730B1">
        <w:t xml:space="preserve"> przez stronę www) do </w:t>
      </w:r>
      <w:proofErr w:type="spellStart"/>
      <w:r w:rsidRPr="00F730B1">
        <w:t>sandboxa</w:t>
      </w:r>
      <w:proofErr w:type="spellEnd"/>
      <w:r w:rsidRPr="00F730B1">
        <w:t xml:space="preserve">. </w:t>
      </w:r>
    </w:p>
    <w:p w14:paraId="19AFEB2F" w14:textId="77777777" w:rsidR="00417977" w:rsidRPr="00F730B1" w:rsidRDefault="00417977" w:rsidP="00014F9E">
      <w:pPr>
        <w:numPr>
          <w:ilvl w:val="2"/>
          <w:numId w:val="27"/>
        </w:numPr>
        <w:spacing w:after="120"/>
        <w:jc w:val="both"/>
      </w:pPr>
      <w:r w:rsidRPr="00F730B1">
        <w:t xml:space="preserve">dopuszcza się zarówno realizację </w:t>
      </w:r>
      <w:proofErr w:type="spellStart"/>
      <w:r w:rsidRPr="00F730B1">
        <w:t>sandboxa</w:t>
      </w:r>
      <w:proofErr w:type="spellEnd"/>
      <w:r w:rsidRPr="00F730B1">
        <w:t xml:space="preserve"> w postaci chmury producenta jak i rozwiązania lokalnego. W tym drugim przypadku wymagane jest dostarczenie opisu współpracy proponowanej integracji z dostarczanym firewallem</w:t>
      </w:r>
    </w:p>
    <w:p w14:paraId="0CDE19E2" w14:textId="77777777" w:rsidR="00417977" w:rsidRPr="00F730B1" w:rsidRDefault="00417977" w:rsidP="00014F9E">
      <w:pPr>
        <w:numPr>
          <w:ilvl w:val="2"/>
          <w:numId w:val="27"/>
        </w:numPr>
        <w:spacing w:after="120"/>
        <w:jc w:val="both"/>
      </w:pPr>
      <w:r w:rsidRPr="00F730B1">
        <w:t xml:space="preserve">Bez względu na użyte rozwiązanie, wymaga się wydajności zapewniającej jednoczesną analizę minimum 20 plików/próbek w tzw. VM </w:t>
      </w:r>
      <w:proofErr w:type="spellStart"/>
      <w:r w:rsidRPr="00F730B1">
        <w:t>Sandboxing</w:t>
      </w:r>
      <w:proofErr w:type="spellEnd"/>
      <w:r w:rsidRPr="00F730B1">
        <w:t xml:space="preserve"> (rozumiana jako realizacja funkcjonalności </w:t>
      </w:r>
      <w:proofErr w:type="spellStart"/>
      <w:r w:rsidRPr="00F730B1">
        <w:t>sandbox</w:t>
      </w:r>
      <w:proofErr w:type="spellEnd"/>
      <w:r w:rsidRPr="00F730B1">
        <w:t xml:space="preserve"> polegająca na wykorzystaniu instancji maszyn wirtualnych z określonymi systemami operacyjnymi i zestawem zainstalowanych aplikacji do zdetonowania/uruchomienia, a następnie analizy podejrzanego pliku pod kątem jego potencjalnie negatywnego wpływu na komputery klienckie lub serwery).</w:t>
      </w:r>
    </w:p>
    <w:p w14:paraId="3F93A23B" w14:textId="77777777" w:rsidR="00417977" w:rsidRPr="00F730B1" w:rsidRDefault="00417977" w:rsidP="00014F9E">
      <w:pPr>
        <w:numPr>
          <w:ilvl w:val="2"/>
          <w:numId w:val="27"/>
        </w:numPr>
        <w:spacing w:after="120"/>
        <w:jc w:val="both"/>
      </w:pPr>
      <w:r w:rsidRPr="00F730B1">
        <w:lastRenderedPageBreak/>
        <w:t xml:space="preserve">Jednoczesna analiza 20 próbek/plików musi być zapewniona bez względu na to czy pliki te będą wysyłane automatycznie przez firewall czy manualnie przez administratora czy też będzie to mieszana grupa plików pochodząca zarówno bezpośrednio z </w:t>
      </w:r>
      <w:proofErr w:type="spellStart"/>
      <w:r w:rsidRPr="00F730B1">
        <w:t>firewalla</w:t>
      </w:r>
      <w:proofErr w:type="spellEnd"/>
      <w:r w:rsidRPr="00F730B1">
        <w:t>, jak też od administratorów.</w:t>
      </w:r>
    </w:p>
    <w:p w14:paraId="1DC394F1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Rozwiązanie musi posiadać funkcjonalność deszyfracji wychodzących połączeń SSL/TLS na wszystkich portach, wskazanych w polityce deszyfracji oraz deszyfracji wychodzących połączeń typu STARTTLS (Wymagane wsparcie co najmniej dla TLSv1.1, TLSv1.2 i TLSv1.3). </w:t>
      </w:r>
    </w:p>
    <w:p w14:paraId="73359D6A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Możliwość blokowania transmisji plików, co najmniej następujących typów: bat, </w:t>
      </w:r>
      <w:proofErr w:type="spellStart"/>
      <w:r w:rsidRPr="00F730B1">
        <w:t>cab</w:t>
      </w:r>
      <w:proofErr w:type="spellEnd"/>
      <w:r w:rsidRPr="00F730B1">
        <w:t xml:space="preserve">, pliki MS Office, </w:t>
      </w:r>
      <w:proofErr w:type="spellStart"/>
      <w:r w:rsidRPr="00F730B1">
        <w:t>rar</w:t>
      </w:r>
      <w:proofErr w:type="spellEnd"/>
      <w:r w:rsidRPr="00F730B1">
        <w:t xml:space="preserve">, zip, exe, </w:t>
      </w:r>
      <w:proofErr w:type="spellStart"/>
      <w:r w:rsidRPr="00F730B1">
        <w:t>gzip</w:t>
      </w:r>
      <w:proofErr w:type="spellEnd"/>
      <w:r w:rsidRPr="00F730B1">
        <w:t xml:space="preserve">, </w:t>
      </w:r>
      <w:proofErr w:type="spellStart"/>
      <w:r w:rsidRPr="00F730B1">
        <w:t>hta</w:t>
      </w:r>
      <w:proofErr w:type="spellEnd"/>
      <w:r w:rsidRPr="00F730B1">
        <w:t xml:space="preserve">, pdf, tar, </w:t>
      </w:r>
      <w:proofErr w:type="spellStart"/>
      <w:r w:rsidRPr="00F730B1">
        <w:t>tif</w:t>
      </w:r>
      <w:proofErr w:type="spellEnd"/>
      <w:r w:rsidRPr="00F730B1">
        <w:t>. Rozpoznawanie pliku na podstawie nagłówka i typu MIME.</w:t>
      </w:r>
    </w:p>
    <w:p w14:paraId="6AE4F0BA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 xml:space="preserve">Musi być dostarczone z potrzebnymi licencjami i gwarancją zgodną z długością wsparcia </w:t>
      </w:r>
      <w:proofErr w:type="spellStart"/>
      <w:r w:rsidRPr="00F730B1">
        <w:t>firewalla</w:t>
      </w:r>
      <w:proofErr w:type="spellEnd"/>
      <w:r w:rsidRPr="00F730B1">
        <w:t>.</w:t>
      </w:r>
    </w:p>
    <w:p w14:paraId="6BF40E46" w14:textId="77777777" w:rsidR="00417977" w:rsidRPr="00F730B1" w:rsidRDefault="00417977" w:rsidP="00632B40">
      <w:pPr>
        <w:numPr>
          <w:ilvl w:val="1"/>
          <w:numId w:val="19"/>
        </w:numPr>
        <w:spacing w:after="120"/>
        <w:ind w:left="1276"/>
        <w:jc w:val="both"/>
      </w:pPr>
      <w:r w:rsidRPr="00F730B1">
        <w:t>Dla systemu firewall należy dostarczyć usługi abonamentowe (subskrypcje) – jeżeli są one wymagane przez producenta oferowanego rozwiązania – obejmujące aktualizacje sygnatur dla następujących funkcji:</w:t>
      </w:r>
    </w:p>
    <w:p w14:paraId="0CD47344" w14:textId="77777777" w:rsidR="00417977" w:rsidRPr="00F730B1" w:rsidRDefault="00417977" w:rsidP="00632B40">
      <w:pPr>
        <w:numPr>
          <w:ilvl w:val="2"/>
          <w:numId w:val="28"/>
        </w:numPr>
        <w:spacing w:after="120"/>
        <w:jc w:val="both"/>
      </w:pPr>
      <w:r w:rsidRPr="00F730B1">
        <w:t>Aktualizacje bazy aplikacji;</w:t>
      </w:r>
    </w:p>
    <w:p w14:paraId="4D56B777" w14:textId="77777777" w:rsidR="00417977" w:rsidRPr="00F730B1" w:rsidRDefault="00417977" w:rsidP="00632B40">
      <w:pPr>
        <w:numPr>
          <w:ilvl w:val="2"/>
          <w:numId w:val="28"/>
        </w:numPr>
        <w:spacing w:after="120"/>
        <w:jc w:val="both"/>
      </w:pPr>
      <w:r w:rsidRPr="00F730B1">
        <w:t>Aktualizacje baz sygnatur IPS;</w:t>
      </w:r>
    </w:p>
    <w:p w14:paraId="12C9402D" w14:textId="77777777" w:rsidR="00417977" w:rsidRPr="00F730B1" w:rsidRDefault="00417977" w:rsidP="00632B40">
      <w:pPr>
        <w:numPr>
          <w:ilvl w:val="2"/>
          <w:numId w:val="28"/>
        </w:numPr>
        <w:spacing w:after="120"/>
        <w:jc w:val="both"/>
      </w:pPr>
      <w:r w:rsidRPr="00F730B1">
        <w:t>Aktualizacje baz sygnatur AV;</w:t>
      </w:r>
    </w:p>
    <w:p w14:paraId="4DAFC00F" w14:textId="77777777" w:rsidR="00417977" w:rsidRPr="00F730B1" w:rsidRDefault="00417977" w:rsidP="00632B40">
      <w:pPr>
        <w:numPr>
          <w:ilvl w:val="2"/>
          <w:numId w:val="28"/>
        </w:numPr>
        <w:spacing w:after="120"/>
        <w:jc w:val="both"/>
      </w:pPr>
      <w:r w:rsidRPr="00F730B1">
        <w:t>Aktualizacje baz sygnatur DNS;</w:t>
      </w:r>
    </w:p>
    <w:p w14:paraId="6A67E4C0" w14:textId="0AA0DDCD" w:rsidR="00417977" w:rsidRPr="00F730B1" w:rsidRDefault="00417977" w:rsidP="00632B40">
      <w:pPr>
        <w:numPr>
          <w:ilvl w:val="2"/>
          <w:numId w:val="28"/>
        </w:numPr>
        <w:spacing w:after="120"/>
        <w:jc w:val="both"/>
      </w:pPr>
      <w:r w:rsidRPr="00F730B1">
        <w:t>Kategoryzacja URL i filtracja URL</w:t>
      </w:r>
      <w:r w:rsidR="00632B40">
        <w:t>;</w:t>
      </w:r>
    </w:p>
    <w:p w14:paraId="2EBF89C5" w14:textId="5869CA3A" w:rsidR="00417977" w:rsidRPr="00F730B1" w:rsidRDefault="00417977" w:rsidP="00632B40">
      <w:pPr>
        <w:numPr>
          <w:ilvl w:val="2"/>
          <w:numId w:val="28"/>
        </w:numPr>
        <w:spacing w:after="120"/>
        <w:jc w:val="both"/>
      </w:pPr>
      <w:proofErr w:type="spellStart"/>
      <w:r w:rsidRPr="00F730B1">
        <w:t>sandbox</w:t>
      </w:r>
      <w:proofErr w:type="spellEnd"/>
      <w:r w:rsidRPr="00F730B1">
        <w:t xml:space="preserve"> lokalny lub chmurowy tego samego producenta</w:t>
      </w:r>
      <w:r w:rsidR="00632B40">
        <w:t>.</w:t>
      </w:r>
    </w:p>
    <w:p w14:paraId="05151340" w14:textId="77777777" w:rsidR="00417977" w:rsidRPr="00F730B1" w:rsidRDefault="00417977" w:rsidP="00014F9E">
      <w:pPr>
        <w:spacing w:after="120"/>
        <w:jc w:val="both"/>
      </w:pPr>
    </w:p>
    <w:p w14:paraId="14903912" w14:textId="77777777" w:rsidR="00417977" w:rsidRPr="00632B40" w:rsidRDefault="00417977" w:rsidP="00F277F1">
      <w:pPr>
        <w:pStyle w:val="Akapitzlist"/>
        <w:numPr>
          <w:ilvl w:val="0"/>
          <w:numId w:val="23"/>
        </w:numPr>
        <w:spacing w:after="120"/>
        <w:contextualSpacing w:val="0"/>
        <w:jc w:val="both"/>
        <w:rPr>
          <w:b/>
          <w:bCs/>
        </w:rPr>
      </w:pPr>
      <w:r w:rsidRPr="00632B40">
        <w:rPr>
          <w:b/>
          <w:bCs/>
        </w:rPr>
        <w:t>Dodatkowe wymagania dla rozwiązań NGFW</w:t>
      </w:r>
    </w:p>
    <w:p w14:paraId="7BEA3191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Zestawianie tuneli VPN w oparciu o standardy </w:t>
      </w:r>
      <w:proofErr w:type="spellStart"/>
      <w:r w:rsidRPr="00F730B1">
        <w:t>IPSec</w:t>
      </w:r>
      <w:proofErr w:type="spellEnd"/>
      <w:r w:rsidRPr="00F730B1">
        <w:t xml:space="preserve"> i IKE w konfiguracji </w:t>
      </w:r>
      <w:proofErr w:type="spellStart"/>
      <w:r w:rsidRPr="00F730B1">
        <w:t>site</w:t>
      </w:r>
      <w:proofErr w:type="spellEnd"/>
      <w:r w:rsidRPr="00F730B1">
        <w:t>-to-</w:t>
      </w:r>
      <w:proofErr w:type="spellStart"/>
      <w:r w:rsidRPr="00F730B1">
        <w:t>site</w:t>
      </w:r>
      <w:proofErr w:type="spellEnd"/>
      <w:r w:rsidRPr="00F730B1">
        <w:t xml:space="preserve">. </w:t>
      </w:r>
    </w:p>
    <w:p w14:paraId="627C7332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Zestawianie tuneli SSL VPN w konfiguracji </w:t>
      </w:r>
      <w:proofErr w:type="spellStart"/>
      <w:r w:rsidRPr="00F730B1">
        <w:t>remote</w:t>
      </w:r>
      <w:proofErr w:type="spellEnd"/>
      <w:r w:rsidRPr="00F730B1">
        <w:t>-</w:t>
      </w:r>
      <w:proofErr w:type="spellStart"/>
      <w:r w:rsidRPr="00F730B1">
        <w:t>access</w:t>
      </w:r>
      <w:proofErr w:type="spellEnd"/>
      <w:r w:rsidRPr="00F730B1">
        <w:t>-VPN.</w:t>
      </w:r>
    </w:p>
    <w:p w14:paraId="5B5C382D" w14:textId="77777777" w:rsidR="00417977" w:rsidRPr="00F730B1" w:rsidRDefault="00417977" w:rsidP="00632B40">
      <w:pPr>
        <w:numPr>
          <w:ilvl w:val="2"/>
          <w:numId w:val="29"/>
        </w:numPr>
        <w:spacing w:after="120"/>
        <w:jc w:val="both"/>
      </w:pPr>
      <w:r w:rsidRPr="00F730B1">
        <w:t>Wymagane jest zestawienie tuneli z wykorzystaniem klienta VPN dostarczanego przez producenta urządzenia NGFW obsługa co najmniej 2000 tuneli, możliwość instalacji klienta VPN dla 2000 urządzeń/użytkowników.</w:t>
      </w:r>
    </w:p>
    <w:p w14:paraId="7BE40F94" w14:textId="77777777" w:rsidR="00417977" w:rsidRPr="00F730B1" w:rsidRDefault="00417977" w:rsidP="00632B40">
      <w:pPr>
        <w:numPr>
          <w:ilvl w:val="2"/>
          <w:numId w:val="29"/>
        </w:numPr>
        <w:spacing w:after="120"/>
        <w:jc w:val="both"/>
      </w:pPr>
      <w:r w:rsidRPr="00F730B1">
        <w:t xml:space="preserve">Oprogramowanie klienta VPN musi być dostępne co najmniej dla Windows i </w:t>
      </w:r>
      <w:proofErr w:type="spellStart"/>
      <w:r w:rsidRPr="00F730B1">
        <w:t>MacOS</w:t>
      </w:r>
      <w:proofErr w:type="spellEnd"/>
      <w:r w:rsidRPr="00F730B1">
        <w:t>, Linux, Android i iOS.</w:t>
      </w:r>
    </w:p>
    <w:p w14:paraId="77369CEB" w14:textId="77777777" w:rsidR="00417977" w:rsidRPr="00F730B1" w:rsidRDefault="00417977" w:rsidP="00632B40">
      <w:pPr>
        <w:numPr>
          <w:ilvl w:val="2"/>
          <w:numId w:val="29"/>
        </w:numPr>
        <w:spacing w:after="120"/>
        <w:jc w:val="both"/>
      </w:pPr>
      <w:r w:rsidRPr="00F730B1">
        <w:lastRenderedPageBreak/>
        <w:t xml:space="preserve">Oprogramowanie klienta VPN dla Windows i </w:t>
      </w:r>
      <w:proofErr w:type="spellStart"/>
      <w:r w:rsidRPr="00F730B1">
        <w:t>MacOS</w:t>
      </w:r>
      <w:proofErr w:type="spellEnd"/>
      <w:r w:rsidRPr="00F730B1">
        <w:t xml:space="preserve"> musi posiadać możliwość weryfikacji kondycji bezpieczeństwa stacji końcowej co najmniej w zakresie sprawdzenia:</w:t>
      </w:r>
    </w:p>
    <w:p w14:paraId="052EE2D4" w14:textId="77777777" w:rsidR="00417977" w:rsidRPr="00F730B1" w:rsidRDefault="00417977" w:rsidP="00632B40">
      <w:pPr>
        <w:numPr>
          <w:ilvl w:val="2"/>
          <w:numId w:val="29"/>
        </w:numPr>
        <w:spacing w:after="120"/>
        <w:jc w:val="both"/>
      </w:pPr>
      <w:r w:rsidRPr="00F730B1">
        <w:t>czy zainstalowano oprogramowanie antywirusowe i czy posiada ono aktualne sygnatury,</w:t>
      </w:r>
    </w:p>
    <w:p w14:paraId="72C09171" w14:textId="77777777" w:rsidR="00417977" w:rsidRPr="00F730B1" w:rsidRDefault="00417977" w:rsidP="00632B40">
      <w:pPr>
        <w:numPr>
          <w:ilvl w:val="2"/>
          <w:numId w:val="29"/>
        </w:numPr>
        <w:spacing w:after="120"/>
        <w:jc w:val="both"/>
      </w:pPr>
      <w:r w:rsidRPr="00F730B1">
        <w:t>czy włączony jest osobisty firewall,</w:t>
      </w:r>
    </w:p>
    <w:p w14:paraId="60987F41" w14:textId="77777777" w:rsidR="00417977" w:rsidRPr="00F730B1" w:rsidRDefault="00417977" w:rsidP="00632B40">
      <w:pPr>
        <w:numPr>
          <w:ilvl w:val="2"/>
          <w:numId w:val="29"/>
        </w:numPr>
        <w:spacing w:after="120"/>
        <w:jc w:val="both"/>
      </w:pPr>
      <w:r w:rsidRPr="00F730B1">
        <w:t>czy włączone jest szyfrowanie dysku.</w:t>
      </w:r>
    </w:p>
    <w:p w14:paraId="5556CD55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Monitorowanie oraz podstawowe zarządzanie muszą być możliwe z linii poleceń (CLI) oraz przez Interfejs graficzny (GUI) realizowany przez przeglądarkę lub dedykowanego klienta instalowanego na stacji roboczej administratora – bez konieczności korzystania z centralnych narzędzi zarządzania.</w:t>
      </w:r>
    </w:p>
    <w:p w14:paraId="7E102538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Eksportowanie logów do zewnętrznych serwerów zgodnych z protokołem </w:t>
      </w:r>
      <w:proofErr w:type="spellStart"/>
      <w:r w:rsidRPr="00F730B1">
        <w:t>Syslog</w:t>
      </w:r>
      <w:proofErr w:type="spellEnd"/>
      <w:r w:rsidRPr="00F730B1">
        <w:t xml:space="preserve">. </w:t>
      </w:r>
    </w:p>
    <w:p w14:paraId="4C70D266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Obsługa 4094 VLAN zgodnych z 802.1q.</w:t>
      </w:r>
    </w:p>
    <w:p w14:paraId="1F44730A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Obsługa tworzenia </w:t>
      </w:r>
      <w:proofErr w:type="spellStart"/>
      <w:r w:rsidRPr="00F730B1">
        <w:t>subinterfejsów</w:t>
      </w:r>
      <w:proofErr w:type="spellEnd"/>
      <w:r w:rsidRPr="00F730B1">
        <w:t xml:space="preserve"> na interfejsach pracujących w L2 i L3.</w:t>
      </w:r>
    </w:p>
    <w:p w14:paraId="1FFE1443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Obsługa stref bezpieczeństwa symbolizujących np. WAN, LAN, DMZ, interfejsy fizyczne, </w:t>
      </w:r>
      <w:proofErr w:type="spellStart"/>
      <w:r w:rsidRPr="00F730B1">
        <w:t>subinterfejsy</w:t>
      </w:r>
      <w:proofErr w:type="spellEnd"/>
      <w:r w:rsidRPr="00F730B1">
        <w:t xml:space="preserve"> L2 i L3 – jako nazwane strefy, na bazie których można budować polityki bezpieczeństwa przy regulacji ruchu pomiędzy strefami.</w:t>
      </w:r>
    </w:p>
    <w:p w14:paraId="715C08B5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Translacja adresów IP (NAT) zarówno statyczna jak i dynamiczna. Reguły dotyczące NAT muszą być odrębne od reguł definiujących polityki bezpieczeństwa tak, aby reguły dotyczące translacji nie powodowały w żaden sposób zależności od konfiguracji tych polityk.</w:t>
      </w:r>
    </w:p>
    <w:p w14:paraId="72C6F4B2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Transparentne ustalenie tożsamości w oparciu o:</w:t>
      </w:r>
    </w:p>
    <w:p w14:paraId="55A65510" w14:textId="77777777" w:rsidR="00417977" w:rsidRPr="00F730B1" w:rsidRDefault="00417977" w:rsidP="00632B40">
      <w:pPr>
        <w:numPr>
          <w:ilvl w:val="2"/>
          <w:numId w:val="30"/>
        </w:numPr>
        <w:spacing w:after="120"/>
        <w:jc w:val="both"/>
      </w:pPr>
      <w:r w:rsidRPr="00F730B1">
        <w:t>integrację z kontrolerem domeny Active Directory;</w:t>
      </w:r>
    </w:p>
    <w:p w14:paraId="691A1F27" w14:textId="77777777" w:rsidR="00417977" w:rsidRPr="00F730B1" w:rsidRDefault="00417977" w:rsidP="00632B40">
      <w:pPr>
        <w:numPr>
          <w:ilvl w:val="2"/>
          <w:numId w:val="30"/>
        </w:numPr>
        <w:spacing w:after="120"/>
        <w:jc w:val="both"/>
      </w:pPr>
      <w:r w:rsidRPr="00F730B1">
        <w:t>integracji z serwerami Microsoft Exchange;</w:t>
      </w:r>
    </w:p>
    <w:p w14:paraId="2A29FAEE" w14:textId="77777777" w:rsidR="00417977" w:rsidRPr="00F730B1" w:rsidRDefault="00417977" w:rsidP="00632B40">
      <w:pPr>
        <w:numPr>
          <w:ilvl w:val="2"/>
          <w:numId w:val="30"/>
        </w:numPr>
        <w:spacing w:after="120"/>
        <w:jc w:val="both"/>
      </w:pPr>
      <w:r w:rsidRPr="00F730B1">
        <w:t>integracji z serwerami terminalowymi;</w:t>
      </w:r>
    </w:p>
    <w:p w14:paraId="278C352F" w14:textId="77777777" w:rsidR="00417977" w:rsidRPr="00F730B1" w:rsidRDefault="00417977" w:rsidP="00632B40">
      <w:pPr>
        <w:numPr>
          <w:ilvl w:val="2"/>
          <w:numId w:val="30"/>
        </w:numPr>
        <w:spacing w:after="120"/>
        <w:jc w:val="both"/>
      </w:pPr>
      <w:r w:rsidRPr="00F730B1">
        <w:t>integracji z serwerami Cisco ISE;</w:t>
      </w:r>
    </w:p>
    <w:p w14:paraId="48E112CE" w14:textId="03FDDE6B" w:rsidR="00417977" w:rsidRPr="00F730B1" w:rsidRDefault="00417977" w:rsidP="00632B40">
      <w:pPr>
        <w:numPr>
          <w:ilvl w:val="2"/>
          <w:numId w:val="30"/>
        </w:numPr>
        <w:spacing w:after="120"/>
        <w:jc w:val="both"/>
      </w:pPr>
      <w:r w:rsidRPr="00F730B1">
        <w:t xml:space="preserve">integracji bazującej na informacji z logów SYSLOG lub RADIUS pozwalającej na uwierzytelnienie użytkowników korzystających </w:t>
      </w:r>
      <w:r w:rsidR="00632B40">
        <w:br/>
      </w:r>
      <w:r w:rsidRPr="00F730B1">
        <w:t xml:space="preserve">z systemów UNIX; </w:t>
      </w:r>
    </w:p>
    <w:p w14:paraId="7D9B54A8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Firewall musi posiadać możliwość wymuszenia w procesie uwierzytelniania użytkownika podania przez niego drugiego czynnika uwierzytelniającego (tzw. MFA) w celu ochrony kluczowych systemów przed kradzieżą poświadczeń.</w:t>
      </w:r>
    </w:p>
    <w:p w14:paraId="4B0B997B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lastRenderedPageBreak/>
        <w:t>Uwierzytelnianie administratorów NGFW za pomocą:</w:t>
      </w:r>
    </w:p>
    <w:p w14:paraId="170BE59E" w14:textId="77777777" w:rsidR="00417977" w:rsidRPr="00F730B1" w:rsidRDefault="00417977" w:rsidP="00632B40">
      <w:pPr>
        <w:numPr>
          <w:ilvl w:val="2"/>
          <w:numId w:val="31"/>
        </w:numPr>
        <w:spacing w:after="120"/>
        <w:jc w:val="both"/>
      </w:pPr>
      <w:r w:rsidRPr="00F730B1">
        <w:t xml:space="preserve">bazy lokalnej; </w:t>
      </w:r>
    </w:p>
    <w:p w14:paraId="3E74A162" w14:textId="77777777" w:rsidR="00417977" w:rsidRPr="00F730B1" w:rsidRDefault="00417977" w:rsidP="00632B40">
      <w:pPr>
        <w:numPr>
          <w:ilvl w:val="2"/>
          <w:numId w:val="31"/>
        </w:numPr>
        <w:spacing w:after="120"/>
        <w:jc w:val="both"/>
      </w:pPr>
      <w:r w:rsidRPr="00F730B1">
        <w:t>zewnętrznej usługi katalogowej dostępnej po LDAPS;</w:t>
      </w:r>
    </w:p>
    <w:p w14:paraId="1B601547" w14:textId="77777777" w:rsidR="00417977" w:rsidRPr="00F730B1" w:rsidRDefault="00417977" w:rsidP="00632B40">
      <w:pPr>
        <w:numPr>
          <w:ilvl w:val="2"/>
          <w:numId w:val="31"/>
        </w:numPr>
        <w:spacing w:after="120"/>
        <w:jc w:val="both"/>
      </w:pPr>
      <w:r w:rsidRPr="00F730B1">
        <w:t>RADIUS lub TACACS+.</w:t>
      </w:r>
    </w:p>
    <w:p w14:paraId="501D151E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Budowanie reguł bezpieczeństwa opierające się na podstawowych selektorach takich jak: strefy bezpieczeństwa źródłowe/docelowe, adresy IP źródłowe/docelowe, aplikacje (w warstwie L7 OSI), użytkownicy/grupy z Active Directory.</w:t>
      </w:r>
    </w:p>
    <w:p w14:paraId="06BFEEF4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Zarządzanie pasmem sieci (</w:t>
      </w:r>
      <w:proofErr w:type="spellStart"/>
      <w:r w:rsidRPr="00F730B1">
        <w:t>QoS</w:t>
      </w:r>
      <w:proofErr w:type="spellEnd"/>
      <w:r w:rsidRPr="00F730B1">
        <w:t xml:space="preserve">) w zakresie ustawiania dla dowolnych aplikacji priorytetu, pasma maksymalnego i gwarantowanego. Przydzielanie takiej samej klasy </w:t>
      </w:r>
      <w:proofErr w:type="spellStart"/>
      <w:r w:rsidRPr="00F730B1">
        <w:t>QoS</w:t>
      </w:r>
      <w:proofErr w:type="spellEnd"/>
      <w:r w:rsidRPr="00F730B1">
        <w:t xml:space="preserve"> dla ruchu wychodzącego i przychodzącego.</w:t>
      </w:r>
    </w:p>
    <w:p w14:paraId="0C3EABF5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Inspekcja szyfrowanej komunikacji SSH (</w:t>
      </w:r>
      <w:proofErr w:type="spellStart"/>
      <w:r w:rsidRPr="00F730B1">
        <w:t>Secure</w:t>
      </w:r>
      <w:proofErr w:type="spellEnd"/>
      <w:r w:rsidRPr="00F730B1">
        <w:t xml:space="preserve"> Shell) w celu wykrywania tunelowania innych protokołów w ramach usługi SSH.</w:t>
      </w:r>
    </w:p>
    <w:p w14:paraId="5B579B03" w14:textId="4BED90B8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Praca na NGFW odbywa się na konfiguracji kandydackiej, a nie aktywnej. Zmiany w całości konfiguracji aktywnej odbywają się poprzez zatwierdzanie zmian (ang. </w:t>
      </w:r>
      <w:proofErr w:type="spellStart"/>
      <w:r w:rsidRPr="00F730B1">
        <w:t>Commit</w:t>
      </w:r>
      <w:proofErr w:type="spellEnd"/>
      <w:r w:rsidRPr="00F730B1">
        <w:t xml:space="preserve">). Przed zatwierdzaniem zmian musi być możliwość przejrzenia zmian, które zostały wykonane na konfiguracji kandydackiej. Musi istnieć możliwość porównania zmian (np. polityk, konfiguracji interfejsów, routingu np.), </w:t>
      </w:r>
      <w:r w:rsidR="00632B40">
        <w:br/>
      </w:r>
      <w:r w:rsidRPr="00F730B1">
        <w:t xml:space="preserve">ze wcześniejszymi wersjami konfiguracji. Funkcja ta musi być dostępna z CLI </w:t>
      </w:r>
      <w:r w:rsidR="00632B40">
        <w:br/>
      </w:r>
      <w:r w:rsidRPr="00F730B1">
        <w:t>i z GUI.</w:t>
      </w:r>
    </w:p>
    <w:p w14:paraId="4AE2A718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Urządzenie musi zapewniać możliwość zapisania min.</w:t>
      </w:r>
      <w:r w:rsidRPr="00632B40">
        <w:t xml:space="preserve"> 10</w:t>
      </w:r>
      <w:r w:rsidRPr="00F730B1">
        <w:t xml:space="preserve"> poprzednich wersji konfiguracji na dysku twardym urządzenia.</w:t>
      </w:r>
    </w:p>
    <w:p w14:paraId="743117DC" w14:textId="6A247233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Urządzenie musi mieć możliwość przywrócenia konfiguracji z określnego dnia, </w:t>
      </w:r>
      <w:r w:rsidR="00632B40">
        <w:br/>
      </w:r>
      <w:r w:rsidRPr="00F730B1">
        <w:t xml:space="preserve">w którym były dokonywane zmiany, tzn. po każdym zapisie konfiguracji na urządzeniu powinna być automatycznie zapisywana kompletna konfiguracja, </w:t>
      </w:r>
      <w:r w:rsidR="00632B40">
        <w:br/>
      </w:r>
      <w:r w:rsidRPr="00F730B1">
        <w:t>a podczas wyboru konfiguracji musi być widoczna data zapisania konfiguracji.</w:t>
      </w:r>
    </w:p>
    <w:p w14:paraId="1A6D5274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Urządzenie musi umożliwiać eksportowanie logów do zewnętrznych serwerów SYSLOG. Musi istnieć możliwość przekierowania logowania różnych polityk bezpieczeństwa do różnych serwerów SYSLOG.</w:t>
      </w:r>
    </w:p>
    <w:p w14:paraId="6F00E59C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Urządzenie musi obsługiwać funkcjonalność typu </w:t>
      </w:r>
      <w:proofErr w:type="spellStart"/>
      <w:r w:rsidRPr="00F730B1">
        <w:t>Netflow</w:t>
      </w:r>
      <w:proofErr w:type="spellEnd"/>
      <w:r w:rsidRPr="00F730B1">
        <w:t xml:space="preserve">, </w:t>
      </w:r>
      <w:proofErr w:type="spellStart"/>
      <w:r w:rsidRPr="00F730B1">
        <w:t>sFlow</w:t>
      </w:r>
      <w:proofErr w:type="spellEnd"/>
      <w:r w:rsidRPr="00F730B1">
        <w:t xml:space="preserve">, </w:t>
      </w:r>
      <w:proofErr w:type="spellStart"/>
      <w:r w:rsidRPr="00F730B1">
        <w:t>jFlow</w:t>
      </w:r>
      <w:proofErr w:type="spellEnd"/>
      <w:r w:rsidRPr="00F730B1">
        <w:t xml:space="preserve"> np. Musi istnieć możliwość skonfigurowania różnych serwerów </w:t>
      </w:r>
      <w:proofErr w:type="spellStart"/>
      <w:r w:rsidRPr="00F730B1">
        <w:t>Netflow</w:t>
      </w:r>
      <w:proofErr w:type="spellEnd"/>
      <w:r w:rsidRPr="00F730B1">
        <w:t xml:space="preserve"> dla różnych interfejsów per pojedynczy system/firewall/kontekst wirtualny.</w:t>
      </w:r>
    </w:p>
    <w:p w14:paraId="107577BA" w14:textId="133E071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 xml:space="preserve">Urządzenie musi wspierać mechanizm PBR (policy </w:t>
      </w:r>
      <w:proofErr w:type="spellStart"/>
      <w:r w:rsidRPr="00F730B1">
        <w:t>base</w:t>
      </w:r>
      <w:proofErr w:type="spellEnd"/>
      <w:r w:rsidRPr="00F730B1">
        <w:t xml:space="preserve"> routing) dla wybranych aplikacji i wskazanych użytkowników – mechanizm przekierowania ruchu </w:t>
      </w:r>
      <w:r w:rsidR="00632B40">
        <w:br/>
      </w:r>
      <w:r w:rsidRPr="00F730B1">
        <w:t>z pominięciem tablicy routingu.</w:t>
      </w:r>
    </w:p>
    <w:p w14:paraId="057EDD56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lastRenderedPageBreak/>
        <w:t>Interpretacja parametrów wydajnościowych dla Firewall/kontroli aplikacji – rozwiązanie pozwoli na:</w:t>
      </w:r>
    </w:p>
    <w:p w14:paraId="6EFDD9A5" w14:textId="77777777" w:rsidR="00417977" w:rsidRPr="00F730B1" w:rsidRDefault="00417977" w:rsidP="00632B40">
      <w:pPr>
        <w:numPr>
          <w:ilvl w:val="2"/>
          <w:numId w:val="32"/>
        </w:numPr>
        <w:spacing w:after="120"/>
        <w:jc w:val="both"/>
      </w:pPr>
      <w:r w:rsidRPr="00F730B1">
        <w:t>wykrycie aplikacji,</w:t>
      </w:r>
    </w:p>
    <w:p w14:paraId="1B9391FE" w14:textId="77777777" w:rsidR="00417977" w:rsidRPr="00F730B1" w:rsidRDefault="00417977" w:rsidP="00632B40">
      <w:pPr>
        <w:numPr>
          <w:ilvl w:val="2"/>
          <w:numId w:val="32"/>
        </w:numPr>
        <w:spacing w:after="120"/>
        <w:jc w:val="both"/>
      </w:pPr>
      <w:r w:rsidRPr="00F730B1">
        <w:t>przydzielenie do niej polityki bezpieczeństwa w tym przypisanie uprawnień użytkownikom do korzystania z określonych aplikacji sieciowych.</w:t>
      </w:r>
    </w:p>
    <w:p w14:paraId="07548B47" w14:textId="77777777" w:rsidR="00417977" w:rsidRPr="00F730B1" w:rsidRDefault="00417977" w:rsidP="00D774FA">
      <w:pPr>
        <w:numPr>
          <w:ilvl w:val="1"/>
          <w:numId w:val="41"/>
        </w:numPr>
        <w:spacing w:after="120"/>
        <w:ind w:left="1276"/>
        <w:jc w:val="both"/>
      </w:pPr>
      <w:r w:rsidRPr="00F730B1">
        <w:t>Interpretacja parametrów wydajnościowych dla Firewall/kontroli aplikacji/IPS/Antywirus/</w:t>
      </w:r>
      <w:proofErr w:type="spellStart"/>
      <w:r w:rsidRPr="00F730B1">
        <w:t>Antymalware</w:t>
      </w:r>
      <w:proofErr w:type="spellEnd"/>
      <w:r w:rsidRPr="00F730B1">
        <w:t xml:space="preserve"> – rozwiązanie pozwoli na: </w:t>
      </w:r>
    </w:p>
    <w:p w14:paraId="516FD9A4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>wykrycie aplikacji,</w:t>
      </w:r>
    </w:p>
    <w:p w14:paraId="4AFD40EB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>przydzielenie do niej polityki bezpieczeństwa obejmującej przypisanie uprawnień użytkownikom do korzystania z określonych aplikacji sieciowych,</w:t>
      </w:r>
    </w:p>
    <w:p w14:paraId="70B05720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>inspekcje IPS całego ruchu,</w:t>
      </w:r>
    </w:p>
    <w:p w14:paraId="380B6C13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>inspekcję antywirusową całego ruchu,</w:t>
      </w:r>
    </w:p>
    <w:p w14:paraId="293DDBB6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 xml:space="preserve">inspekcję </w:t>
      </w:r>
      <w:proofErr w:type="spellStart"/>
      <w:r w:rsidRPr="00F730B1">
        <w:t>antymalware</w:t>
      </w:r>
      <w:proofErr w:type="spellEnd"/>
      <w:r w:rsidRPr="00F730B1">
        <w:t>/</w:t>
      </w:r>
      <w:proofErr w:type="spellStart"/>
      <w:r w:rsidRPr="00F730B1">
        <w:t>AntySpyware</w:t>
      </w:r>
      <w:proofErr w:type="spellEnd"/>
      <w:r w:rsidRPr="00F730B1">
        <w:t xml:space="preserve"> całego ruchu,</w:t>
      </w:r>
    </w:p>
    <w:p w14:paraId="4522A18B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 xml:space="preserve">przesyłanie plików do </w:t>
      </w:r>
      <w:proofErr w:type="spellStart"/>
      <w:r w:rsidRPr="00F730B1">
        <w:t>sandboxa</w:t>
      </w:r>
      <w:proofErr w:type="spellEnd"/>
      <w:r w:rsidRPr="00F730B1">
        <w:t xml:space="preserve"> lokalnego i/lub chmurowego plików wykonywalnych,</w:t>
      </w:r>
    </w:p>
    <w:p w14:paraId="5C9C35D3" w14:textId="77777777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>przechwytywanie i blokowanie plików określonego typu.</w:t>
      </w:r>
    </w:p>
    <w:p w14:paraId="6FC9C1CE" w14:textId="754EBC83" w:rsidR="00417977" w:rsidRPr="00F730B1" w:rsidRDefault="00417977" w:rsidP="00632B40">
      <w:pPr>
        <w:numPr>
          <w:ilvl w:val="2"/>
          <w:numId w:val="33"/>
        </w:numPr>
        <w:spacing w:after="120"/>
        <w:jc w:val="both"/>
      </w:pPr>
      <w:r w:rsidRPr="00F730B1">
        <w:t xml:space="preserve">Scenariusz ten musi być realizowany z włączonym pełnym zakresem ochrony tj. z włączonymi wszystkimi dostępnymi dla rozwiązania sygnaturami IPS oraz z wszystkimi funkcjami dostępnymi w urządzeniu dla silników antywirus i </w:t>
      </w:r>
      <w:proofErr w:type="spellStart"/>
      <w:r w:rsidRPr="00F730B1">
        <w:t>antyspyware</w:t>
      </w:r>
      <w:proofErr w:type="spellEnd"/>
      <w:r w:rsidRPr="00F730B1">
        <w:t>/</w:t>
      </w:r>
      <w:proofErr w:type="spellStart"/>
      <w:r w:rsidRPr="00F730B1">
        <w:t>antymalware</w:t>
      </w:r>
      <w:proofErr w:type="spellEnd"/>
      <w:r w:rsidRPr="00F730B1">
        <w:t xml:space="preserve">. Inspekcjom bezpieczeństwa musi podlegać cały ruch – sprawdzeniu musi podlegać każdy bajt danych przesyłany przez urządzenie. Zamawiający wymaga, aby podana została przepustowość urządzenia dla pełnego zakresu ochrony oferowanego przez urządzenie – jeżeli urządzenie pozwala na pracę w wielu trybach, to należy podać przepustowość dla trybu </w:t>
      </w:r>
      <w:r w:rsidR="00632B40">
        <w:br/>
      </w:r>
      <w:r w:rsidRPr="00F730B1">
        <w:t xml:space="preserve">z największą liczbą dostępnych inspekcji dla silników IPS, antywirus, </w:t>
      </w:r>
      <w:proofErr w:type="spellStart"/>
      <w:r w:rsidRPr="00F730B1">
        <w:t>antymalware</w:t>
      </w:r>
      <w:proofErr w:type="spellEnd"/>
      <w:r w:rsidRPr="00F730B1">
        <w:t>/</w:t>
      </w:r>
      <w:proofErr w:type="spellStart"/>
      <w:r w:rsidRPr="00F730B1">
        <w:t>antyspyware</w:t>
      </w:r>
      <w:proofErr w:type="spellEnd"/>
      <w:r w:rsidRPr="00F730B1">
        <w:t>.</w:t>
      </w:r>
    </w:p>
    <w:p w14:paraId="66B8427B" w14:textId="77777777" w:rsidR="00632B40" w:rsidRDefault="00632B40" w:rsidP="00632B40">
      <w:pPr>
        <w:spacing w:after="120"/>
        <w:ind w:left="720"/>
        <w:jc w:val="both"/>
        <w:rPr>
          <w:b/>
          <w:bCs/>
        </w:rPr>
      </w:pPr>
    </w:p>
    <w:p w14:paraId="2A1CFA17" w14:textId="583E3D08" w:rsidR="00417977" w:rsidRPr="00632B40" w:rsidRDefault="00417977" w:rsidP="00F277F1">
      <w:pPr>
        <w:pStyle w:val="Akapitzlist"/>
        <w:numPr>
          <w:ilvl w:val="0"/>
          <w:numId w:val="23"/>
        </w:numPr>
        <w:spacing w:after="120"/>
        <w:contextualSpacing w:val="0"/>
        <w:jc w:val="both"/>
        <w:rPr>
          <w:b/>
          <w:bCs/>
        </w:rPr>
      </w:pPr>
      <w:r w:rsidRPr="00632B40">
        <w:rPr>
          <w:b/>
          <w:bCs/>
        </w:rPr>
        <w:t>Pozostałe wymagania</w:t>
      </w:r>
    </w:p>
    <w:p w14:paraId="34B320BE" w14:textId="77777777" w:rsidR="00417977" w:rsidRPr="00F730B1" w:rsidRDefault="00417977" w:rsidP="00D774FA">
      <w:pPr>
        <w:numPr>
          <w:ilvl w:val="1"/>
          <w:numId w:val="40"/>
        </w:numPr>
        <w:spacing w:after="120"/>
        <w:ind w:left="1276"/>
        <w:jc w:val="both"/>
      </w:pPr>
      <w:r w:rsidRPr="00F730B1">
        <w:t>Dostarczony w ramach zamówienia Sprzęt musi być legalny, fabrycznie nowy, nigdy wcześniej nie używany, pochodzący z legalnego kanału dystrybucyjnego, dopuszczony do obrotu i użytkowania na terenie Unii Europejskiej, spełniający normy CE.</w:t>
      </w:r>
    </w:p>
    <w:p w14:paraId="56FBF170" w14:textId="5DCE8E97" w:rsidR="00417977" w:rsidRPr="00F730B1" w:rsidRDefault="00417977" w:rsidP="00D774FA">
      <w:pPr>
        <w:numPr>
          <w:ilvl w:val="1"/>
          <w:numId w:val="40"/>
        </w:numPr>
        <w:spacing w:after="120"/>
        <w:ind w:left="1276"/>
        <w:jc w:val="both"/>
      </w:pPr>
      <w:r w:rsidRPr="00F730B1">
        <w:lastRenderedPageBreak/>
        <w:t xml:space="preserve">Zamawiający wymaga, aby dostarczany Sprzęt wraz z Oprogramowaniem Standardowym był sprawdzony w praktyce rynkowej. Oznacza to, </w:t>
      </w:r>
      <w:r w:rsidR="00632B40">
        <w:br/>
      </w:r>
      <w:r w:rsidRPr="00F730B1">
        <w:t>iż Oprogramowanie Standardowe (</w:t>
      </w:r>
      <w:proofErr w:type="spellStart"/>
      <w:r w:rsidRPr="00F730B1">
        <w:t>firmware</w:t>
      </w:r>
      <w:proofErr w:type="spellEnd"/>
      <w:r w:rsidRPr="00F730B1">
        <w:t xml:space="preserve"> urządzeń) realizujące wszystkie wymagane funkcje jak też samo urządzenie musiało być dostępne na rynku co najmniej 6 miesięcy przed upływem terminu składania ofert.</w:t>
      </w:r>
    </w:p>
    <w:p w14:paraId="1A6A3C6B" w14:textId="5841187C" w:rsidR="00417977" w:rsidRPr="00F730B1" w:rsidRDefault="00417977" w:rsidP="00D774FA">
      <w:pPr>
        <w:numPr>
          <w:ilvl w:val="1"/>
          <w:numId w:val="40"/>
        </w:numPr>
        <w:spacing w:after="120"/>
        <w:ind w:left="1276"/>
        <w:jc w:val="both"/>
      </w:pPr>
      <w:r w:rsidRPr="00F730B1">
        <w:t xml:space="preserve">Sprzęt wraz z Oprogramowaniem Standardowym musi być objęty pełnym serwisem producenta (niedopuszczalne jest proponowanie oprogramowania np. w wersji Beta) w chwili, i co najmniej w okresie 6 miesięcy przed upływem terminu składania ofert. Za datę jego dostępności Zamawiający przyjmuje publikację konkretnej oferowanej wersji oprogramowania (wersji z pełnym wsparciem) na stronie producenta rozwiązania. Wykonawca może zaoferować tylko oprogramowanie </w:t>
      </w:r>
      <w:r w:rsidR="00632B40">
        <w:br/>
      </w:r>
      <w:r w:rsidRPr="00F730B1">
        <w:t>w wersji najnowszej lub w wersji „rekomendowanej przez producenta”.</w:t>
      </w:r>
    </w:p>
    <w:p w14:paraId="789C8978" w14:textId="77777777" w:rsidR="00417977" w:rsidRPr="00F730B1" w:rsidRDefault="00417977" w:rsidP="00D774FA">
      <w:pPr>
        <w:numPr>
          <w:ilvl w:val="1"/>
          <w:numId w:val="40"/>
        </w:numPr>
        <w:spacing w:after="120"/>
        <w:ind w:left="1276"/>
        <w:jc w:val="both"/>
      </w:pPr>
      <w:r w:rsidRPr="00F730B1">
        <w:t>Uszkodzone dyski zostają u Zamawiającego.</w:t>
      </w:r>
    </w:p>
    <w:p w14:paraId="2852AE11" w14:textId="77777777" w:rsidR="00417977" w:rsidRPr="00F730B1" w:rsidRDefault="00417977" w:rsidP="00D774FA">
      <w:pPr>
        <w:numPr>
          <w:ilvl w:val="1"/>
          <w:numId w:val="40"/>
        </w:numPr>
        <w:spacing w:after="120"/>
        <w:ind w:left="1276"/>
        <w:jc w:val="both"/>
      </w:pPr>
      <w:r w:rsidRPr="00F730B1">
        <w:t>Zamawiający wymaga, aby zaoferowane urządzenia były dostępne i serwisowane przez producenta oraz nie będą przez niego przewidziane do wycofania ze sprzedaży i wsparcia (ogłoszone tzw. Dokumenty End-of-Sale lub End-of-Life lub równoważne) – na dzień składania oferty.</w:t>
      </w:r>
    </w:p>
    <w:p w14:paraId="3A980040" w14:textId="77777777" w:rsidR="00417977" w:rsidRPr="00F730B1" w:rsidRDefault="00417977" w:rsidP="00014F9E">
      <w:pPr>
        <w:spacing w:after="120"/>
        <w:jc w:val="both"/>
      </w:pPr>
    </w:p>
    <w:p w14:paraId="744E76C8" w14:textId="2D62600D" w:rsidR="00417977" w:rsidRPr="00F730B1" w:rsidRDefault="00F277F1" w:rsidP="00632B40">
      <w:pPr>
        <w:pStyle w:val="Akapitzlist"/>
        <w:numPr>
          <w:ilvl w:val="0"/>
          <w:numId w:val="22"/>
        </w:numPr>
        <w:spacing w:after="120"/>
        <w:contextualSpacing w:val="0"/>
        <w:jc w:val="both"/>
      </w:pPr>
      <w:r w:rsidRPr="00F730B1">
        <w:rPr>
          <w:b/>
        </w:rPr>
        <w:t>SYSTEM CENTRALNEGO ZARZĄDZANIA NG FIREWALL</w:t>
      </w:r>
    </w:p>
    <w:p w14:paraId="012FC734" w14:textId="14AB3ACB" w:rsidR="00417977" w:rsidRPr="00F730B1" w:rsidRDefault="00417977" w:rsidP="00EF203B">
      <w:pPr>
        <w:spacing w:after="120"/>
        <w:ind w:left="360"/>
        <w:jc w:val="both"/>
      </w:pPr>
      <w:r w:rsidRPr="00F730B1">
        <w:t xml:space="preserve">Zamawiający wymaga dostarczenia systemu do </w:t>
      </w:r>
      <w:r w:rsidR="00D34B16" w:rsidRPr="00F730B1">
        <w:t>c</w:t>
      </w:r>
      <w:r w:rsidRPr="00F730B1">
        <w:t xml:space="preserve">entralnego </w:t>
      </w:r>
      <w:r w:rsidR="00D34B16" w:rsidRPr="00F730B1">
        <w:t>z</w:t>
      </w:r>
      <w:r w:rsidRPr="00F730B1">
        <w:t>arządzania</w:t>
      </w:r>
      <w:r w:rsidR="0051088A" w:rsidRPr="00F730B1">
        <w:t xml:space="preserve"> dostarczonymi </w:t>
      </w:r>
      <w:r w:rsidRPr="00F730B1">
        <w:t xml:space="preserve"> firewallami.</w:t>
      </w:r>
    </w:p>
    <w:p w14:paraId="39826677" w14:textId="77777777" w:rsidR="00DF558A" w:rsidRDefault="00DF558A" w:rsidP="00DF558A">
      <w:pPr>
        <w:spacing w:after="120"/>
        <w:jc w:val="both"/>
        <w:rPr>
          <w:b/>
          <w:bCs/>
        </w:rPr>
      </w:pPr>
    </w:p>
    <w:p w14:paraId="20F9C2C6" w14:textId="507BD40A" w:rsidR="00417977" w:rsidRPr="00EF203B" w:rsidRDefault="00417977" w:rsidP="00014F9E">
      <w:pPr>
        <w:numPr>
          <w:ilvl w:val="0"/>
          <w:numId w:val="3"/>
        </w:numPr>
        <w:spacing w:after="120"/>
        <w:jc w:val="both"/>
        <w:rPr>
          <w:b/>
          <w:bCs/>
        </w:rPr>
      </w:pPr>
      <w:r w:rsidRPr="00EF203B">
        <w:rPr>
          <w:b/>
          <w:bCs/>
        </w:rPr>
        <w:t>System Centralnego Zarządzania – Wymagania funkcjonalne:</w:t>
      </w:r>
    </w:p>
    <w:p w14:paraId="28B1F834" w14:textId="6B7A1E55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Pozwala na centralne monitorowanie funkcjonowania wszystkich oferowanych NGFW.</w:t>
      </w:r>
    </w:p>
    <w:p w14:paraId="4E8BB2CD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Pozwala na zarządzanie:</w:t>
      </w:r>
    </w:p>
    <w:p w14:paraId="605744BD" w14:textId="77777777" w:rsidR="00417977" w:rsidRPr="00F730B1" w:rsidRDefault="00417977" w:rsidP="00EF203B">
      <w:pPr>
        <w:numPr>
          <w:ilvl w:val="1"/>
          <w:numId w:val="35"/>
        </w:numPr>
        <w:spacing w:after="120"/>
        <w:jc w:val="both"/>
      </w:pPr>
      <w:r w:rsidRPr="00F730B1">
        <w:t xml:space="preserve">nie mniej niż 20 firewallami rozumianymi jako firewalle fizyczne, </w:t>
      </w:r>
    </w:p>
    <w:p w14:paraId="0EF4FC27" w14:textId="77777777" w:rsidR="00417977" w:rsidRPr="00F730B1" w:rsidRDefault="00417977" w:rsidP="00EF203B">
      <w:pPr>
        <w:numPr>
          <w:ilvl w:val="1"/>
          <w:numId w:val="35"/>
        </w:numPr>
        <w:spacing w:after="120"/>
        <w:jc w:val="both"/>
      </w:pPr>
      <w:r w:rsidRPr="00F730B1">
        <w:t>Zarządza obiektami używanymi przez wszystkie firewalle w jednym, centralnym repozytorium.</w:t>
      </w:r>
    </w:p>
    <w:p w14:paraId="677A1073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Pozwala na dystrybucję i zdalną instalację nowych sygnatur oraz wersji oprogramowania.</w:t>
      </w:r>
    </w:p>
    <w:p w14:paraId="50D5F307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Przechowuje różne wersje konfiguracji zarządzanych NGFW.</w:t>
      </w:r>
    </w:p>
    <w:p w14:paraId="3AD938EC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Zbiera logi zdarzeń z oferowanych NGFW co najmniej o ruchu sieciowym, użytkownikach, aplikacjach, zagrożeniach i filtrowanych stronach WWW.</w:t>
      </w:r>
    </w:p>
    <w:p w14:paraId="3A69865C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Umożliwia korelację logów zdarzeń z zarządzanych firewalli.</w:t>
      </w:r>
    </w:p>
    <w:p w14:paraId="7D543BFA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lastRenderedPageBreak/>
        <w:t>Umożliwia tworzenie, zapisywanie i ponowne wykorzystywanie filtrów służących do wyszukiwania informacji w logach zebranych z zarządzanych NGFW.</w:t>
      </w:r>
    </w:p>
    <w:p w14:paraId="238DEDBE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Pozwala na tworzenie raportów na podstawie gromadzonych w logach informacji.</w:t>
      </w:r>
    </w:p>
    <w:p w14:paraId="16E658AF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Pozwala na tworzenie raportów na podstawie zbudowanych kontenerów/grup NGFW.</w:t>
      </w:r>
    </w:p>
    <w:p w14:paraId="1DE4F011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Pozwala na zapisywanie stworzonych raportów, uruchamianie ich w sposób manualny lub automatyczny w określonych przedziałach czasu oraz eksport do formatu tekstowego.</w:t>
      </w:r>
    </w:p>
    <w:p w14:paraId="72DA8261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>Graficzny interfejs SCZ (Web GUI) musi być dostępny z wykorzystaniem protokołu HTTPS przez przeglądarkę WWW w HTML5, bez wykorzystania technologii Java czy Flash.</w:t>
      </w:r>
    </w:p>
    <w:p w14:paraId="43C8CB02" w14:textId="77777777" w:rsidR="00417977" w:rsidRPr="00F730B1" w:rsidRDefault="00417977" w:rsidP="00EF203B">
      <w:pPr>
        <w:pStyle w:val="Akapitzlist"/>
        <w:numPr>
          <w:ilvl w:val="0"/>
          <w:numId w:val="34"/>
        </w:numPr>
        <w:spacing w:after="120"/>
        <w:ind w:left="1276"/>
        <w:jc w:val="both"/>
      </w:pPr>
      <w:r w:rsidRPr="00F730B1">
        <w:t xml:space="preserve">Umożliwia tworzenie i używanie ról administracyjnych różniących się poziomem dostępu tzw. RBAC - Role </w:t>
      </w:r>
      <w:proofErr w:type="spellStart"/>
      <w:r w:rsidRPr="00F730B1">
        <w:t>Based</w:t>
      </w:r>
      <w:proofErr w:type="spellEnd"/>
      <w:r w:rsidRPr="00F730B1">
        <w:t xml:space="preserve"> Access Control.</w:t>
      </w:r>
    </w:p>
    <w:p w14:paraId="74F7DCA6" w14:textId="77777777" w:rsidR="00EF203B" w:rsidRDefault="00EF203B" w:rsidP="00EF203B">
      <w:pPr>
        <w:spacing w:after="120"/>
        <w:ind w:left="720"/>
        <w:jc w:val="both"/>
        <w:rPr>
          <w:b/>
          <w:bCs/>
        </w:rPr>
      </w:pPr>
    </w:p>
    <w:p w14:paraId="0920EAAA" w14:textId="79DED755" w:rsidR="00417977" w:rsidRPr="00EF203B" w:rsidRDefault="00417977" w:rsidP="00EF203B">
      <w:pPr>
        <w:numPr>
          <w:ilvl w:val="0"/>
          <w:numId w:val="3"/>
        </w:numPr>
        <w:spacing w:after="120"/>
        <w:jc w:val="both"/>
        <w:rPr>
          <w:b/>
          <w:bCs/>
        </w:rPr>
      </w:pPr>
      <w:r w:rsidRPr="00EF203B">
        <w:rPr>
          <w:b/>
          <w:bCs/>
        </w:rPr>
        <w:t>System Centralnego Zarządzania – sposób realizacji:</w:t>
      </w:r>
    </w:p>
    <w:p w14:paraId="4ED7348E" w14:textId="77777777" w:rsidR="00417977" w:rsidRPr="00F730B1" w:rsidRDefault="00417977" w:rsidP="00EF203B">
      <w:pPr>
        <w:numPr>
          <w:ilvl w:val="1"/>
          <w:numId w:val="6"/>
        </w:numPr>
        <w:spacing w:after="120"/>
        <w:ind w:left="1276" w:hanging="357"/>
        <w:jc w:val="both"/>
      </w:pPr>
      <w:r w:rsidRPr="00F730B1">
        <w:t xml:space="preserve">SCZ może być dostarczony jako maszyna wirtualna dla środowiska </w:t>
      </w:r>
      <w:proofErr w:type="spellStart"/>
      <w:r w:rsidRPr="00F730B1">
        <w:t>VMware</w:t>
      </w:r>
      <w:proofErr w:type="spellEnd"/>
      <w:r w:rsidRPr="00F730B1">
        <w:t xml:space="preserve"> </w:t>
      </w:r>
      <w:proofErr w:type="spellStart"/>
      <w:r w:rsidRPr="00F730B1">
        <w:t>ESXi</w:t>
      </w:r>
      <w:proofErr w:type="spellEnd"/>
      <w:r w:rsidRPr="00F730B1">
        <w:t>.</w:t>
      </w:r>
    </w:p>
    <w:p w14:paraId="3107F94A" w14:textId="77777777" w:rsidR="00417977" w:rsidRPr="00F730B1" w:rsidRDefault="00417977" w:rsidP="00EF203B">
      <w:pPr>
        <w:numPr>
          <w:ilvl w:val="1"/>
          <w:numId w:val="6"/>
        </w:numPr>
        <w:spacing w:after="120"/>
        <w:ind w:left="1276" w:hanging="357"/>
        <w:jc w:val="both"/>
      </w:pPr>
      <w:r w:rsidRPr="00F730B1">
        <w:t>Zamawiający dedykuje dla celu instalacji systemu SCZ następujące zasoby:</w:t>
      </w:r>
    </w:p>
    <w:p w14:paraId="19F34D39" w14:textId="77777777" w:rsidR="00417977" w:rsidRPr="00F730B1" w:rsidRDefault="00417977" w:rsidP="00EF203B">
      <w:pPr>
        <w:numPr>
          <w:ilvl w:val="2"/>
          <w:numId w:val="37"/>
        </w:numPr>
        <w:spacing w:after="120"/>
        <w:ind w:left="2127"/>
        <w:jc w:val="both"/>
      </w:pPr>
      <w:r w:rsidRPr="00F730B1">
        <w:t xml:space="preserve">16 </w:t>
      </w:r>
      <w:proofErr w:type="spellStart"/>
      <w:r w:rsidRPr="00F730B1">
        <w:t>vCPU</w:t>
      </w:r>
      <w:proofErr w:type="spellEnd"/>
      <w:r w:rsidRPr="00F730B1">
        <w:t>,</w:t>
      </w:r>
    </w:p>
    <w:p w14:paraId="25E6462C" w14:textId="77777777" w:rsidR="00417977" w:rsidRPr="00F730B1" w:rsidRDefault="00417977" w:rsidP="00EF203B">
      <w:pPr>
        <w:numPr>
          <w:ilvl w:val="2"/>
          <w:numId w:val="37"/>
        </w:numPr>
        <w:spacing w:after="120"/>
        <w:ind w:left="2127"/>
        <w:jc w:val="both"/>
      </w:pPr>
      <w:r w:rsidRPr="00F730B1">
        <w:t>64 GB pamięci RAM,</w:t>
      </w:r>
    </w:p>
    <w:p w14:paraId="0E1EBDE2" w14:textId="77777777" w:rsidR="00417977" w:rsidRPr="00F730B1" w:rsidRDefault="00417977" w:rsidP="00EF203B">
      <w:pPr>
        <w:numPr>
          <w:ilvl w:val="2"/>
          <w:numId w:val="37"/>
        </w:numPr>
        <w:spacing w:after="120"/>
        <w:ind w:left="2127"/>
        <w:jc w:val="both"/>
      </w:pPr>
      <w:r w:rsidRPr="00F730B1">
        <w:t>1TB przestrzeni dyskowej (bez uwzględnienia przestrzeni na logi)).</w:t>
      </w:r>
    </w:p>
    <w:p w14:paraId="4C674DE9" w14:textId="77777777" w:rsidR="00417977" w:rsidRPr="00F730B1" w:rsidRDefault="00417977" w:rsidP="00EF203B">
      <w:pPr>
        <w:numPr>
          <w:ilvl w:val="1"/>
          <w:numId w:val="6"/>
        </w:numPr>
        <w:spacing w:after="120"/>
        <w:ind w:left="1276" w:hanging="357"/>
        <w:jc w:val="both"/>
      </w:pPr>
      <w:r w:rsidRPr="00F730B1">
        <w:t>W zakresie logów inspekcyjnych obsługuje co najmniej:</w:t>
      </w:r>
    </w:p>
    <w:p w14:paraId="3224B013" w14:textId="77777777" w:rsidR="00417977" w:rsidRPr="00F730B1" w:rsidRDefault="00417977" w:rsidP="00EF203B">
      <w:pPr>
        <w:numPr>
          <w:ilvl w:val="2"/>
          <w:numId w:val="38"/>
        </w:numPr>
        <w:spacing w:after="120"/>
        <w:jc w:val="both"/>
      </w:pPr>
      <w:r w:rsidRPr="00F730B1">
        <w:t>15 TB użytecznej przestrzeni dyskowej na logi inspekcyjne,</w:t>
      </w:r>
    </w:p>
    <w:p w14:paraId="448386DE" w14:textId="77777777" w:rsidR="00417977" w:rsidRPr="00F730B1" w:rsidRDefault="00417977" w:rsidP="00EF203B">
      <w:pPr>
        <w:numPr>
          <w:ilvl w:val="2"/>
          <w:numId w:val="38"/>
        </w:numPr>
        <w:spacing w:after="120"/>
        <w:jc w:val="both"/>
      </w:pPr>
      <w:r w:rsidRPr="00F730B1">
        <w:t>Pozwala na obsługę do 150GB logów inspekcyjnych dziennie,</w:t>
      </w:r>
    </w:p>
    <w:p w14:paraId="04D9D4CF" w14:textId="77777777" w:rsidR="00417977" w:rsidRPr="00F730B1" w:rsidRDefault="00417977" w:rsidP="00EF203B">
      <w:pPr>
        <w:numPr>
          <w:ilvl w:val="2"/>
          <w:numId w:val="38"/>
        </w:numPr>
        <w:spacing w:after="120"/>
        <w:jc w:val="both"/>
      </w:pPr>
      <w:r w:rsidRPr="00F730B1">
        <w:t>10000 logów na sekundę.</w:t>
      </w:r>
    </w:p>
    <w:p w14:paraId="33C5BABA" w14:textId="77777777" w:rsidR="00417977" w:rsidRPr="00F730B1" w:rsidRDefault="00417977" w:rsidP="00EF203B">
      <w:pPr>
        <w:numPr>
          <w:ilvl w:val="1"/>
          <w:numId w:val="6"/>
        </w:numPr>
        <w:spacing w:after="120"/>
        <w:ind w:left="1276" w:hanging="357"/>
        <w:jc w:val="both"/>
      </w:pPr>
      <w:r w:rsidRPr="00F730B1">
        <w:t>W zakresie logów administracyjnych obsługuje co najmniej:</w:t>
      </w:r>
    </w:p>
    <w:p w14:paraId="43994DE2" w14:textId="77777777" w:rsidR="00417977" w:rsidRPr="00F730B1" w:rsidRDefault="00417977" w:rsidP="00EF203B">
      <w:pPr>
        <w:numPr>
          <w:ilvl w:val="2"/>
          <w:numId w:val="39"/>
        </w:numPr>
        <w:spacing w:after="120"/>
        <w:jc w:val="both"/>
      </w:pPr>
      <w:r w:rsidRPr="00F730B1">
        <w:t xml:space="preserve">4 TB użytecznej przestrzeni dyskowej na logi administracyjne (management </w:t>
      </w:r>
      <w:proofErr w:type="spellStart"/>
      <w:r w:rsidRPr="00F730B1">
        <w:t>logs</w:t>
      </w:r>
      <w:proofErr w:type="spellEnd"/>
      <w:r w:rsidRPr="00F730B1">
        <w:t>) z możliwością jej rozszerzenia do 6TB w ramach dostarczanej licencji,</w:t>
      </w:r>
    </w:p>
    <w:p w14:paraId="6B4DA88C" w14:textId="77777777" w:rsidR="00417977" w:rsidRPr="00F730B1" w:rsidRDefault="00417977" w:rsidP="00EF203B">
      <w:pPr>
        <w:numPr>
          <w:ilvl w:val="2"/>
          <w:numId w:val="39"/>
        </w:numPr>
        <w:spacing w:after="120"/>
        <w:jc w:val="both"/>
      </w:pPr>
      <w:r w:rsidRPr="00F730B1">
        <w:t xml:space="preserve">Pozwala na obsługę do 5 GB logów administracyjnych (management </w:t>
      </w:r>
      <w:proofErr w:type="spellStart"/>
      <w:r w:rsidRPr="00F730B1">
        <w:t>logs</w:t>
      </w:r>
      <w:proofErr w:type="spellEnd"/>
      <w:r w:rsidRPr="00F730B1">
        <w:t>) dziennie,</w:t>
      </w:r>
    </w:p>
    <w:p w14:paraId="1D47EDB6" w14:textId="77777777" w:rsidR="00417977" w:rsidRPr="00F730B1" w:rsidRDefault="00417977" w:rsidP="00EF203B">
      <w:pPr>
        <w:numPr>
          <w:ilvl w:val="2"/>
          <w:numId w:val="39"/>
        </w:numPr>
        <w:spacing w:after="120"/>
        <w:jc w:val="both"/>
      </w:pPr>
      <w:r w:rsidRPr="00F730B1">
        <w:t>100 logów na sekundę.</w:t>
      </w:r>
    </w:p>
    <w:p w14:paraId="400A2D2D" w14:textId="77777777" w:rsidR="00D77BF3" w:rsidRDefault="00D77BF3" w:rsidP="00D77BF3">
      <w:pPr>
        <w:spacing w:after="120"/>
        <w:jc w:val="both"/>
      </w:pPr>
    </w:p>
    <w:p w14:paraId="6173F588" w14:textId="16DA3128" w:rsidR="00D77BF3" w:rsidRPr="00D66C7A" w:rsidRDefault="00B5389F" w:rsidP="00D77BF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 w:rsidRPr="00D66C7A">
        <w:rPr>
          <w:b/>
          <w:bCs/>
        </w:rPr>
        <w:lastRenderedPageBreak/>
        <w:t>WYMAGANIA DLA USŁUG WDROŻENIOWYCH</w:t>
      </w:r>
    </w:p>
    <w:p w14:paraId="2ECDC008" w14:textId="77777777" w:rsidR="00D77BF3" w:rsidRPr="00D66C7A" w:rsidRDefault="00D77BF3" w:rsidP="00D77BF3">
      <w:pPr>
        <w:widowControl w:val="0"/>
        <w:autoSpaceDE w:val="0"/>
        <w:autoSpaceDN w:val="0"/>
        <w:adjustRightInd w:val="0"/>
        <w:spacing w:after="160" w:line="252" w:lineRule="atLeast"/>
        <w:ind w:firstLine="426"/>
        <w:jc w:val="both"/>
        <w:rPr>
          <w:lang w:val="pl"/>
        </w:rPr>
      </w:pPr>
      <w:r w:rsidRPr="00D66C7A">
        <w:rPr>
          <w:lang w:val="pl"/>
        </w:rPr>
        <w:t>W ramach realizacji przedmiotu zamówienia Wykonawca:</w:t>
      </w:r>
    </w:p>
    <w:p w14:paraId="264CCE2C" w14:textId="63A878FC" w:rsidR="00D77BF3" w:rsidRPr="00D66C7A" w:rsidRDefault="00D77BF3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wykona plan instalacji urządzeń w porozumieniu z Zamawiającym, zgodnie z przedstawioną przez Zamawiającego koncepcj</w:t>
      </w:r>
      <w:r w:rsidR="00B5389F" w:rsidRPr="00D66C7A">
        <w:rPr>
          <w:lang w:val="pl"/>
        </w:rPr>
        <w:t>ą</w:t>
      </w:r>
      <w:r w:rsidRPr="00D66C7A">
        <w:rPr>
          <w:lang w:val="pl"/>
        </w:rPr>
        <w:t xml:space="preserve"> z uwzględnieniem wymagań środowiskowych (analiza przedwdrożeniowa); przedmiotowy plan będzie podlegać akceptacji Zamawiającego, </w:t>
      </w:r>
    </w:p>
    <w:p w14:paraId="6B8E2A99" w14:textId="77777777" w:rsidR="00D77BF3" w:rsidRPr="00D66C7A" w:rsidRDefault="00D77BF3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 xml:space="preserve">zainstaluje zaoferowany i dostarczony sprzęt, tzn. wykona montaż urządzeń w szafach </w:t>
      </w:r>
      <w:proofErr w:type="spellStart"/>
      <w:r w:rsidRPr="00D66C7A">
        <w:rPr>
          <w:lang w:val="pl"/>
        </w:rPr>
        <w:t>rack</w:t>
      </w:r>
      <w:proofErr w:type="spellEnd"/>
    </w:p>
    <w:p w14:paraId="48052DC3" w14:textId="77777777" w:rsidR="00D77BF3" w:rsidRPr="00D66C7A" w:rsidRDefault="00D77BF3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 xml:space="preserve">wykona połączenia do sieci LAN, WAN Zamawiającego na poziomie fizycznym i logicznym na podstawie zdefiniowanych wymagań środowiskowych. </w:t>
      </w:r>
    </w:p>
    <w:p w14:paraId="09B96730" w14:textId="34173365" w:rsidR="00D77BF3" w:rsidRPr="00D66C7A" w:rsidRDefault="00D77BF3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 xml:space="preserve">Wykona </w:t>
      </w:r>
      <w:r w:rsidR="000E4769">
        <w:rPr>
          <w:lang w:val="pl"/>
        </w:rPr>
        <w:t>aktualizacji</w:t>
      </w:r>
      <w:bookmarkStart w:id="0" w:name="_GoBack"/>
      <w:bookmarkEnd w:id="0"/>
      <w:r w:rsidRPr="00D66C7A">
        <w:rPr>
          <w:lang w:val="pl"/>
        </w:rPr>
        <w:t xml:space="preserve"> </w:t>
      </w:r>
      <w:proofErr w:type="spellStart"/>
      <w:r w:rsidRPr="00D66C7A">
        <w:rPr>
          <w:lang w:val="pl"/>
        </w:rPr>
        <w:t>firmaware’u</w:t>
      </w:r>
      <w:proofErr w:type="spellEnd"/>
      <w:r w:rsidRPr="00D66C7A">
        <w:rPr>
          <w:lang w:val="pl"/>
        </w:rPr>
        <w:t xml:space="preserve"> poszczególnych urządzeń,</w:t>
      </w:r>
    </w:p>
    <w:p w14:paraId="28B84BA5" w14:textId="23A633B1" w:rsidR="00D77BF3" w:rsidRPr="00D66C7A" w:rsidRDefault="00B5389F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Z</w:t>
      </w:r>
      <w:r w:rsidR="00C02AA1" w:rsidRPr="00D66C7A">
        <w:rPr>
          <w:lang w:val="pl"/>
        </w:rPr>
        <w:t>godnie z najlepszymi praktykami</w:t>
      </w:r>
      <w:r w:rsidRPr="00D66C7A">
        <w:rPr>
          <w:lang w:val="pl"/>
        </w:rPr>
        <w:t>,</w:t>
      </w:r>
      <w:r w:rsidR="00C02AA1" w:rsidRPr="00D66C7A">
        <w:rPr>
          <w:lang w:val="pl"/>
        </w:rPr>
        <w:t xml:space="preserve"> wykona konfigurację umożliwiającą produkcyjne działanie przedmiotu zamówienia</w:t>
      </w:r>
      <w:r w:rsidRPr="00D66C7A">
        <w:rPr>
          <w:lang w:val="pl"/>
        </w:rPr>
        <w:t xml:space="preserve"> (konfiguracja zarządzania i systemu, architektura sieciowa, polityki bezpieczeństwa itp.)</w:t>
      </w:r>
      <w:r w:rsidR="00C02AA1" w:rsidRPr="00D66C7A">
        <w:rPr>
          <w:lang w:val="pl"/>
        </w:rPr>
        <w:t xml:space="preserve"> oraz </w:t>
      </w:r>
      <w:r w:rsidR="00C02AA1" w:rsidRPr="00D66C7A">
        <w:t xml:space="preserve"> wykona konfigurację klastra wysokiej dostępności (High </w:t>
      </w:r>
      <w:proofErr w:type="spellStart"/>
      <w:r w:rsidR="00C02AA1" w:rsidRPr="00D66C7A">
        <w:t>Availability</w:t>
      </w:r>
      <w:proofErr w:type="spellEnd"/>
      <w:r w:rsidR="00C02AA1" w:rsidRPr="00D66C7A">
        <w:t xml:space="preserve"> – HA) z posiadanym przez Zamawiającego systemem zarządzania Panorama firmy </w:t>
      </w:r>
      <w:proofErr w:type="spellStart"/>
      <w:r w:rsidR="00C02AA1" w:rsidRPr="00D66C7A">
        <w:t>Palo</w:t>
      </w:r>
      <w:proofErr w:type="spellEnd"/>
      <w:r w:rsidR="00C02AA1" w:rsidRPr="00D66C7A">
        <w:t xml:space="preserve"> </w:t>
      </w:r>
      <w:proofErr w:type="spellStart"/>
      <w:r w:rsidR="00C02AA1" w:rsidRPr="00D66C7A">
        <w:t>Alto</w:t>
      </w:r>
      <w:proofErr w:type="spellEnd"/>
      <w:r w:rsidR="00C02AA1" w:rsidRPr="00D66C7A">
        <w:t xml:space="preserve"> Networks. </w:t>
      </w:r>
    </w:p>
    <w:p w14:paraId="413ABD0D" w14:textId="77777777" w:rsidR="00D77BF3" w:rsidRPr="00D66C7A" w:rsidRDefault="00D77BF3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Wykona i dostarczy dokumentację techniczną powykonawczą (przygotowana w języku polskim w wersji elektronicznej w edytowalnym pliku doc. oraz w pliku pdf.) zawierającą w szczególności:</w:t>
      </w:r>
    </w:p>
    <w:p w14:paraId="057379D6" w14:textId="77777777" w:rsidR="00D77BF3" w:rsidRPr="00D66C7A" w:rsidRDefault="00D77BF3" w:rsidP="00D77BF3">
      <w:pPr>
        <w:pStyle w:val="Akapitzlist"/>
        <w:widowControl w:val="0"/>
        <w:numPr>
          <w:ilvl w:val="1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parametry techniczne dostarczanego rozwiązania – sprzętowe, sieciowe i oprogramowania podstawowego,</w:t>
      </w:r>
    </w:p>
    <w:p w14:paraId="3A15BF9D" w14:textId="77777777" w:rsidR="00D77BF3" w:rsidRPr="00D66C7A" w:rsidRDefault="00D77BF3" w:rsidP="00D77BF3">
      <w:pPr>
        <w:pStyle w:val="Akapitzlist"/>
        <w:widowControl w:val="0"/>
        <w:numPr>
          <w:ilvl w:val="1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topologię logiczną i fizyczną podłączeń sieciowych rozwiązania,</w:t>
      </w:r>
    </w:p>
    <w:p w14:paraId="6F64BEB4" w14:textId="77777777" w:rsidR="00D77BF3" w:rsidRPr="00D66C7A" w:rsidRDefault="00D77BF3" w:rsidP="00D77BF3">
      <w:pPr>
        <w:pStyle w:val="Akapitzlist"/>
        <w:widowControl w:val="0"/>
        <w:numPr>
          <w:ilvl w:val="1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Zestawienie i opisanie funkcjonalności wykorzystywanych w rozwiązaniu objętym wdrożeniem</w:t>
      </w:r>
    </w:p>
    <w:p w14:paraId="06F4E2F9" w14:textId="77777777" w:rsidR="00D77BF3" w:rsidRPr="00D66C7A" w:rsidRDefault="00D77BF3" w:rsidP="00D77BF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160" w:line="252" w:lineRule="atLeast"/>
        <w:jc w:val="both"/>
        <w:rPr>
          <w:lang w:val="pl"/>
        </w:rPr>
      </w:pPr>
      <w:r w:rsidRPr="00D66C7A">
        <w:rPr>
          <w:lang w:val="pl"/>
        </w:rPr>
        <w:t>Wykonawca na swój koszt zobowiązuje się do właściwego opakowania i załadowania Sprzętu oraz  zabezpieczenia go w czasie transportu do siedziby Zamawiającego. Odpowiedzialność za wszelkie szkody powstałe w trakcie transportu ponosi Wykonawca.</w:t>
      </w:r>
    </w:p>
    <w:p w14:paraId="375E1162" w14:textId="77777777" w:rsidR="00D77BF3" w:rsidRPr="00D77BF3" w:rsidRDefault="00D77BF3" w:rsidP="00D77BF3">
      <w:pPr>
        <w:pStyle w:val="Akapitzlist"/>
        <w:spacing w:after="120"/>
        <w:ind w:left="786"/>
        <w:contextualSpacing w:val="0"/>
        <w:jc w:val="both"/>
        <w:rPr>
          <w:b/>
          <w:bCs/>
        </w:rPr>
      </w:pPr>
    </w:p>
    <w:p w14:paraId="3475E5E3" w14:textId="77777777" w:rsidR="00D77BF3" w:rsidRDefault="00D77BF3" w:rsidP="00D77BF3">
      <w:pPr>
        <w:spacing w:after="120"/>
        <w:ind w:left="360"/>
        <w:jc w:val="both"/>
      </w:pPr>
    </w:p>
    <w:p w14:paraId="27DA98B7" w14:textId="6C92A872" w:rsidR="007A21F5" w:rsidRDefault="007A21F5" w:rsidP="00D77BF3">
      <w:pPr>
        <w:pStyle w:val="Akapitzlist"/>
        <w:numPr>
          <w:ilvl w:val="0"/>
          <w:numId w:val="13"/>
        </w:numPr>
        <w:spacing w:after="120"/>
        <w:jc w:val="both"/>
        <w:rPr>
          <w:b/>
        </w:rPr>
      </w:pPr>
      <w:r w:rsidRPr="00D77BF3">
        <w:rPr>
          <w:b/>
        </w:rPr>
        <w:t>I</w:t>
      </w:r>
      <w:r w:rsidR="00B5389F">
        <w:rPr>
          <w:b/>
        </w:rPr>
        <w:t>NFORMACJE DODATKOWE</w:t>
      </w:r>
    </w:p>
    <w:p w14:paraId="53E3FDF6" w14:textId="77777777" w:rsidR="00B5389F" w:rsidRPr="00D77BF3" w:rsidRDefault="00B5389F" w:rsidP="00B5389F">
      <w:pPr>
        <w:pStyle w:val="Akapitzlist"/>
        <w:spacing w:after="120"/>
        <w:ind w:left="786"/>
        <w:jc w:val="both"/>
        <w:rPr>
          <w:b/>
        </w:rPr>
      </w:pPr>
    </w:p>
    <w:p w14:paraId="28871859" w14:textId="4287520B" w:rsidR="007A21F5" w:rsidRPr="00F730B1" w:rsidRDefault="007A21F5" w:rsidP="00014F9E">
      <w:pPr>
        <w:pStyle w:val="Akapitzlist"/>
        <w:numPr>
          <w:ilvl w:val="0"/>
          <w:numId w:val="12"/>
        </w:numPr>
        <w:spacing w:after="120"/>
        <w:contextualSpacing w:val="0"/>
        <w:jc w:val="both"/>
      </w:pPr>
      <w:r w:rsidRPr="00F730B1">
        <w:t>Wymagane jest, aby oferowane rozwiązanie spełniało wszystkie określone przez Zamawiającego wymagania minimalne, bez konieczności dokupowania dodatkowych elementów (np. urządzeń, modułów, licencji, itp.) nie będących przedmiotem zamówienia i nie dopuszczonych przez Zamawiającego. Zamawiający nie dopuszcza zaoferowania dodatkowych urządzeń, w celu spełnienia wymagań minimalnych określonych przez Zamawiającego.</w:t>
      </w:r>
    </w:p>
    <w:p w14:paraId="6659BC54" w14:textId="216ECBB2" w:rsidR="007A21F5" w:rsidRPr="00D66C7A" w:rsidRDefault="00CC250C" w:rsidP="00014F9E">
      <w:pPr>
        <w:pStyle w:val="Akapitzlist"/>
        <w:numPr>
          <w:ilvl w:val="0"/>
          <w:numId w:val="12"/>
        </w:numPr>
        <w:spacing w:after="120"/>
        <w:contextualSpacing w:val="0"/>
        <w:jc w:val="both"/>
      </w:pPr>
      <w:r w:rsidRPr="00D66C7A">
        <w:t>W ramach wdrożenia</w:t>
      </w:r>
      <w:r w:rsidR="007A21F5" w:rsidRPr="00D66C7A">
        <w:t xml:space="preserve">, </w:t>
      </w:r>
      <w:r w:rsidR="006102BA" w:rsidRPr="00D66C7A">
        <w:t>Z</w:t>
      </w:r>
      <w:r w:rsidRPr="00D66C7A">
        <w:t>amawiający wymaga przeprowadzenia</w:t>
      </w:r>
      <w:r w:rsidR="007A21F5" w:rsidRPr="00D66C7A">
        <w:t xml:space="preserve"> dwudniowe</w:t>
      </w:r>
      <w:r w:rsidR="006102BA" w:rsidRPr="00D66C7A">
        <w:t>go</w:t>
      </w:r>
      <w:r w:rsidR="007A21F5" w:rsidRPr="00D66C7A">
        <w:t xml:space="preserve"> </w:t>
      </w:r>
      <w:r w:rsidRPr="00D66C7A">
        <w:t>instruktaż</w:t>
      </w:r>
      <w:r w:rsidR="006102BA" w:rsidRPr="00D66C7A">
        <w:t>u</w:t>
      </w:r>
      <w:r w:rsidR="007A21F5" w:rsidRPr="00D66C7A">
        <w:t xml:space="preserve"> z administrowania </w:t>
      </w:r>
      <w:proofErr w:type="spellStart"/>
      <w:r w:rsidR="007A21F5" w:rsidRPr="00D66C7A">
        <w:t>Next-Generation</w:t>
      </w:r>
      <w:proofErr w:type="spellEnd"/>
      <w:r w:rsidR="007A21F5" w:rsidRPr="00D66C7A">
        <w:t xml:space="preserve"> </w:t>
      </w:r>
      <w:proofErr w:type="spellStart"/>
      <w:r w:rsidR="007A21F5" w:rsidRPr="00D66C7A">
        <w:t>Firewalls</w:t>
      </w:r>
      <w:proofErr w:type="spellEnd"/>
      <w:r w:rsidR="007A21F5" w:rsidRPr="00D66C7A">
        <w:t xml:space="preserve"> oraz obsługi problemów, w pełni dostosowane do bieżących potrzeb i wymagań Zamawiającego dla 5 osób.</w:t>
      </w:r>
    </w:p>
    <w:p w14:paraId="4441AC93" w14:textId="77777777" w:rsidR="001E16C8" w:rsidRDefault="001E16C8" w:rsidP="00014F9E">
      <w:pPr>
        <w:spacing w:after="120"/>
        <w:jc w:val="both"/>
      </w:pPr>
    </w:p>
    <w:p w14:paraId="1E1E82AB" w14:textId="77777777" w:rsidR="00D77BF3" w:rsidRDefault="00D77BF3" w:rsidP="00D77BF3">
      <w:pPr>
        <w:pStyle w:val="Akapitzlist"/>
        <w:spacing w:after="120"/>
        <w:ind w:left="786"/>
        <w:contextualSpacing w:val="0"/>
        <w:jc w:val="both"/>
        <w:rPr>
          <w:b/>
          <w:bCs/>
        </w:rPr>
      </w:pPr>
    </w:p>
    <w:p w14:paraId="4AADD409" w14:textId="0AFCC502" w:rsidR="00421D68" w:rsidRPr="00EF203B" w:rsidRDefault="00421D68" w:rsidP="00EF203B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 w:rsidRPr="00421D68">
        <w:rPr>
          <w:b/>
          <w:bCs/>
        </w:rPr>
        <w:t>TERMIN REALIZACJI ZAMÓWIENIA</w:t>
      </w:r>
    </w:p>
    <w:p w14:paraId="3678DA22" w14:textId="6C2682ED" w:rsidR="00421D68" w:rsidRDefault="00421D68" w:rsidP="00014F9E">
      <w:pPr>
        <w:spacing w:after="120"/>
        <w:jc w:val="both"/>
      </w:pPr>
      <w:r>
        <w:t xml:space="preserve">Termin realizacji do </w:t>
      </w:r>
      <w:r w:rsidR="00EF203B">
        <w:t>3</w:t>
      </w:r>
      <w:r>
        <w:t>0 dni kalendarzowych od podpisania Umowy.</w:t>
      </w:r>
    </w:p>
    <w:p w14:paraId="55551FD8" w14:textId="77777777" w:rsidR="00421D68" w:rsidRDefault="00421D68" w:rsidP="00014F9E">
      <w:pPr>
        <w:spacing w:after="120"/>
        <w:jc w:val="both"/>
      </w:pPr>
    </w:p>
    <w:p w14:paraId="4C96475E" w14:textId="5E02C868" w:rsidR="00421D68" w:rsidRPr="00EF203B" w:rsidRDefault="00421D68" w:rsidP="00EF203B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 w:rsidRPr="00421D68">
        <w:rPr>
          <w:b/>
          <w:bCs/>
        </w:rPr>
        <w:t>PŁATNOŚCI</w:t>
      </w:r>
    </w:p>
    <w:p w14:paraId="6583697B" w14:textId="2B0126B1" w:rsidR="00421D68" w:rsidRPr="00F730B1" w:rsidRDefault="00421D68" w:rsidP="00014F9E">
      <w:pPr>
        <w:spacing w:after="120"/>
        <w:jc w:val="both"/>
      </w:pPr>
      <w:r>
        <w:t>Termin płatności 21 dni kalendarzowych od daty dostarczenia prawidłowo wystawionej faktury VAT.</w:t>
      </w:r>
    </w:p>
    <w:sectPr w:rsidR="00421D68" w:rsidRPr="00F730B1" w:rsidSect="0041797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297BB" w14:textId="77777777" w:rsidR="0004360C" w:rsidRDefault="0004360C" w:rsidP="0041153F">
      <w:pPr>
        <w:spacing w:line="240" w:lineRule="auto"/>
      </w:pPr>
      <w:r>
        <w:separator/>
      </w:r>
    </w:p>
  </w:endnote>
  <w:endnote w:type="continuationSeparator" w:id="0">
    <w:p w14:paraId="159953F2" w14:textId="77777777" w:rsidR="0004360C" w:rsidRDefault="0004360C" w:rsidP="004115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EE34F" w14:textId="77777777" w:rsidR="0004360C" w:rsidRDefault="0004360C" w:rsidP="0041153F">
      <w:pPr>
        <w:spacing w:line="240" w:lineRule="auto"/>
      </w:pPr>
      <w:r>
        <w:separator/>
      </w:r>
    </w:p>
  </w:footnote>
  <w:footnote w:type="continuationSeparator" w:id="0">
    <w:p w14:paraId="38236551" w14:textId="77777777" w:rsidR="0004360C" w:rsidRDefault="0004360C" w:rsidP="004115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8DC" w14:textId="242DA9FC" w:rsidR="0041153F" w:rsidRDefault="0041153F" w:rsidP="0041153F">
    <w:pPr>
      <w:pStyle w:val="Nagwek"/>
      <w:jc w:val="right"/>
    </w:pPr>
    <w:r w:rsidRPr="0041153F">
      <w:t>Załącznik nr 2 do Szacowania wartości zamówienia</w:t>
    </w:r>
  </w:p>
  <w:p w14:paraId="3D2D2722" w14:textId="77777777" w:rsidR="0041153F" w:rsidRDefault="0041153F" w:rsidP="0041153F">
    <w:pPr>
      <w:pStyle w:val="Nagwek"/>
    </w:pPr>
  </w:p>
  <w:p w14:paraId="50DF05BC" w14:textId="475B8EB3" w:rsidR="0041153F" w:rsidRDefault="0041153F" w:rsidP="0041153F">
    <w:pPr>
      <w:pStyle w:val="Nagwek"/>
      <w:jc w:val="right"/>
    </w:pPr>
    <w:r>
      <w:rPr>
        <w:noProof/>
      </w:rPr>
      <w:drawing>
        <wp:inline distT="0" distB="0" distL="0" distR="0" wp14:anchorId="46AC22A5" wp14:editId="4E1CC1C1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18EF52" w14:textId="77777777" w:rsidR="0041153F" w:rsidRDefault="0041153F" w:rsidP="004115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752"/>
    <w:multiLevelType w:val="hybridMultilevel"/>
    <w:tmpl w:val="5BC02A1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943DDA"/>
    <w:multiLevelType w:val="hybridMultilevel"/>
    <w:tmpl w:val="104A5B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AB7AD5"/>
    <w:multiLevelType w:val="hybridMultilevel"/>
    <w:tmpl w:val="301C2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6C2F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0D8E1FDC"/>
    <w:multiLevelType w:val="multilevel"/>
    <w:tmpl w:val="6B56416A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5C55A2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138B7435"/>
    <w:multiLevelType w:val="multilevel"/>
    <w:tmpl w:val="AE8247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F81F9B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16072E0B"/>
    <w:multiLevelType w:val="multilevel"/>
    <w:tmpl w:val="EB5A60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6741E53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1BF83325"/>
    <w:multiLevelType w:val="multilevel"/>
    <w:tmpl w:val="E8B2A5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1CC43976"/>
    <w:multiLevelType w:val="hybridMultilevel"/>
    <w:tmpl w:val="BC70BDA4"/>
    <w:lvl w:ilvl="0" w:tplc="7F0EAF8C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1F52"/>
    <w:multiLevelType w:val="hybridMultilevel"/>
    <w:tmpl w:val="AB6CCA5A"/>
    <w:lvl w:ilvl="0" w:tplc="73EEC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5E85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222A5992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231053AB"/>
    <w:multiLevelType w:val="multilevel"/>
    <w:tmpl w:val="F40ABB0A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7663C99"/>
    <w:multiLevelType w:val="hybridMultilevel"/>
    <w:tmpl w:val="BF080F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F46C1"/>
    <w:multiLevelType w:val="hybridMultilevel"/>
    <w:tmpl w:val="5C7A245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AB606D"/>
    <w:multiLevelType w:val="hybridMultilevel"/>
    <w:tmpl w:val="DF6608F4"/>
    <w:lvl w:ilvl="0" w:tplc="2DE618E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555DD"/>
    <w:multiLevelType w:val="hybridMultilevel"/>
    <w:tmpl w:val="AC8AA5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D671C"/>
    <w:multiLevelType w:val="multilevel"/>
    <w:tmpl w:val="CB923E0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3FE56591"/>
    <w:multiLevelType w:val="multilevel"/>
    <w:tmpl w:val="AEB60E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41150AC9"/>
    <w:multiLevelType w:val="multilevel"/>
    <w:tmpl w:val="AEB60E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3C05E91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46F14AA4"/>
    <w:multiLevelType w:val="multilevel"/>
    <w:tmpl w:val="893EA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ADE76E4"/>
    <w:multiLevelType w:val="multilevel"/>
    <w:tmpl w:val="06147F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6" w15:restartNumberingAfterBreak="0">
    <w:nsid w:val="4BD912E5"/>
    <w:multiLevelType w:val="hybridMultilevel"/>
    <w:tmpl w:val="9EF00884"/>
    <w:lvl w:ilvl="0" w:tplc="B8EE0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6535D"/>
    <w:multiLevelType w:val="hybridMultilevel"/>
    <w:tmpl w:val="287A42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B7912"/>
    <w:multiLevelType w:val="hybridMultilevel"/>
    <w:tmpl w:val="34FE804E"/>
    <w:lvl w:ilvl="0" w:tplc="722ED8AA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20F52"/>
    <w:multiLevelType w:val="multilevel"/>
    <w:tmpl w:val="D71020F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535D640B"/>
    <w:multiLevelType w:val="hybridMultilevel"/>
    <w:tmpl w:val="A7D879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6605D9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2" w15:restartNumberingAfterBreak="0">
    <w:nsid w:val="57812861"/>
    <w:multiLevelType w:val="multilevel"/>
    <w:tmpl w:val="6A3E2C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3" w15:restartNumberingAfterBreak="0">
    <w:nsid w:val="57CA3322"/>
    <w:multiLevelType w:val="multilevel"/>
    <w:tmpl w:val="DD9C38FE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BF3545E"/>
    <w:multiLevelType w:val="multilevel"/>
    <w:tmpl w:val="698236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5DC87CA8"/>
    <w:multiLevelType w:val="hybridMultilevel"/>
    <w:tmpl w:val="240641CC"/>
    <w:lvl w:ilvl="0" w:tplc="877289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D6128"/>
    <w:multiLevelType w:val="hybridMultilevel"/>
    <w:tmpl w:val="FE7EC6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3E7CA9"/>
    <w:multiLevelType w:val="hybridMultilevel"/>
    <w:tmpl w:val="10AE41AE"/>
    <w:lvl w:ilvl="0" w:tplc="B00AE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B779B"/>
    <w:multiLevelType w:val="hybridMultilevel"/>
    <w:tmpl w:val="960E428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92ABE"/>
    <w:multiLevelType w:val="hybridMultilevel"/>
    <w:tmpl w:val="C7409C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8288A"/>
    <w:multiLevelType w:val="multilevel"/>
    <w:tmpl w:val="4C78F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EE753DC"/>
    <w:multiLevelType w:val="multilevel"/>
    <w:tmpl w:val="69FC826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73E32939"/>
    <w:multiLevelType w:val="hybridMultilevel"/>
    <w:tmpl w:val="72627B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C4E49"/>
    <w:multiLevelType w:val="hybridMultilevel"/>
    <w:tmpl w:val="21DEA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26B0A"/>
    <w:multiLevelType w:val="multilevel"/>
    <w:tmpl w:val="3EFE15F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A0E4DCE"/>
    <w:multiLevelType w:val="multilevel"/>
    <w:tmpl w:val="6A3E2C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6" w15:restartNumberingAfterBreak="0">
    <w:nsid w:val="7C936012"/>
    <w:multiLevelType w:val="hybridMultilevel"/>
    <w:tmpl w:val="D8863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6"/>
  </w:num>
  <w:num w:numId="4">
    <w:abstractNumId w:val="20"/>
  </w:num>
  <w:num w:numId="5">
    <w:abstractNumId w:val="40"/>
  </w:num>
  <w:num w:numId="6">
    <w:abstractNumId w:val="33"/>
  </w:num>
  <w:num w:numId="7">
    <w:abstractNumId w:val="24"/>
  </w:num>
  <w:num w:numId="8">
    <w:abstractNumId w:val="27"/>
  </w:num>
  <w:num w:numId="9">
    <w:abstractNumId w:val="12"/>
  </w:num>
  <w:num w:numId="10">
    <w:abstractNumId w:val="38"/>
  </w:num>
  <w:num w:numId="11">
    <w:abstractNumId w:val="11"/>
  </w:num>
  <w:num w:numId="12">
    <w:abstractNumId w:val="30"/>
  </w:num>
  <w:num w:numId="13">
    <w:abstractNumId w:val="28"/>
  </w:num>
  <w:num w:numId="14">
    <w:abstractNumId w:val="37"/>
  </w:num>
  <w:num w:numId="15">
    <w:abstractNumId w:val="16"/>
  </w:num>
  <w:num w:numId="16">
    <w:abstractNumId w:val="26"/>
  </w:num>
  <w:num w:numId="17">
    <w:abstractNumId w:val="19"/>
  </w:num>
  <w:num w:numId="18">
    <w:abstractNumId w:val="8"/>
  </w:num>
  <w:num w:numId="19">
    <w:abstractNumId w:val="45"/>
  </w:num>
  <w:num w:numId="20">
    <w:abstractNumId w:val="10"/>
  </w:num>
  <w:num w:numId="21">
    <w:abstractNumId w:val="43"/>
  </w:num>
  <w:num w:numId="22">
    <w:abstractNumId w:val="35"/>
  </w:num>
  <w:num w:numId="23">
    <w:abstractNumId w:val="2"/>
  </w:num>
  <w:num w:numId="24">
    <w:abstractNumId w:val="36"/>
  </w:num>
  <w:num w:numId="25">
    <w:abstractNumId w:val="7"/>
  </w:num>
  <w:num w:numId="26">
    <w:abstractNumId w:val="9"/>
  </w:num>
  <w:num w:numId="27">
    <w:abstractNumId w:val="3"/>
  </w:num>
  <w:num w:numId="28">
    <w:abstractNumId w:val="13"/>
  </w:num>
  <w:num w:numId="29">
    <w:abstractNumId w:val="14"/>
  </w:num>
  <w:num w:numId="30">
    <w:abstractNumId w:val="31"/>
  </w:num>
  <w:num w:numId="31">
    <w:abstractNumId w:val="34"/>
  </w:num>
  <w:num w:numId="32">
    <w:abstractNumId w:val="23"/>
  </w:num>
  <w:num w:numId="33">
    <w:abstractNumId w:val="5"/>
  </w:num>
  <w:num w:numId="34">
    <w:abstractNumId w:val="1"/>
  </w:num>
  <w:num w:numId="35">
    <w:abstractNumId w:val="21"/>
  </w:num>
  <w:num w:numId="36">
    <w:abstractNumId w:val="22"/>
  </w:num>
  <w:num w:numId="37">
    <w:abstractNumId w:val="41"/>
  </w:num>
  <w:num w:numId="38">
    <w:abstractNumId w:val="4"/>
  </w:num>
  <w:num w:numId="39">
    <w:abstractNumId w:val="15"/>
  </w:num>
  <w:num w:numId="40">
    <w:abstractNumId w:val="32"/>
  </w:num>
  <w:num w:numId="41">
    <w:abstractNumId w:val="25"/>
  </w:num>
  <w:num w:numId="42">
    <w:abstractNumId w:val="42"/>
  </w:num>
  <w:num w:numId="43">
    <w:abstractNumId w:val="46"/>
  </w:num>
  <w:num w:numId="44">
    <w:abstractNumId w:val="18"/>
  </w:num>
  <w:num w:numId="45">
    <w:abstractNumId w:val="17"/>
  </w:num>
  <w:num w:numId="46">
    <w:abstractNumId w:val="39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26"/>
    <w:rsid w:val="00014F9E"/>
    <w:rsid w:val="0004360C"/>
    <w:rsid w:val="000E4769"/>
    <w:rsid w:val="001036B5"/>
    <w:rsid w:val="00140F9C"/>
    <w:rsid w:val="001E16C8"/>
    <w:rsid w:val="00377627"/>
    <w:rsid w:val="003868B4"/>
    <w:rsid w:val="003A48CA"/>
    <w:rsid w:val="003D7537"/>
    <w:rsid w:val="0041153F"/>
    <w:rsid w:val="00417977"/>
    <w:rsid w:val="00421D68"/>
    <w:rsid w:val="0051088A"/>
    <w:rsid w:val="005945AE"/>
    <w:rsid w:val="006102BA"/>
    <w:rsid w:val="00632B40"/>
    <w:rsid w:val="006774B6"/>
    <w:rsid w:val="006B6F25"/>
    <w:rsid w:val="007A21F5"/>
    <w:rsid w:val="00860E26"/>
    <w:rsid w:val="008D0BAE"/>
    <w:rsid w:val="00967BCC"/>
    <w:rsid w:val="009D1BAA"/>
    <w:rsid w:val="00AA35FA"/>
    <w:rsid w:val="00B23967"/>
    <w:rsid w:val="00B30404"/>
    <w:rsid w:val="00B5389F"/>
    <w:rsid w:val="00BA238B"/>
    <w:rsid w:val="00C02AA1"/>
    <w:rsid w:val="00CB1E3D"/>
    <w:rsid w:val="00CC250C"/>
    <w:rsid w:val="00CE35B0"/>
    <w:rsid w:val="00D34B16"/>
    <w:rsid w:val="00D66C7A"/>
    <w:rsid w:val="00D774FA"/>
    <w:rsid w:val="00D77BF3"/>
    <w:rsid w:val="00DA644A"/>
    <w:rsid w:val="00DF558A"/>
    <w:rsid w:val="00EF203B"/>
    <w:rsid w:val="00F277F1"/>
    <w:rsid w:val="00F37D94"/>
    <w:rsid w:val="00F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5AC11"/>
  <w15:chartTrackingRefBased/>
  <w15:docId w15:val="{0C8B888E-44B7-437F-89A1-D11BC0F6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7977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E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E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E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E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E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E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E26"/>
    <w:rPr>
      <w:i/>
      <w:iCs/>
      <w:color w:val="404040" w:themeColor="text1" w:themeTint="BF"/>
    </w:rPr>
  </w:style>
  <w:style w:type="paragraph" w:styleId="Akapitzlist">
    <w:name w:val="List Paragraph"/>
    <w:aliases w:val="Wypunktowanie,Akapit z listą BS"/>
    <w:basedOn w:val="Normalny"/>
    <w:link w:val="AkapitzlistZnak"/>
    <w:uiPriority w:val="34"/>
    <w:qFormat/>
    <w:rsid w:val="00860E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E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E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E2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Wypunktowanie Znak,Akapit z listą BS Znak"/>
    <w:link w:val="Akapitzlist"/>
    <w:uiPriority w:val="34"/>
    <w:qFormat/>
    <w:locked/>
    <w:rsid w:val="007A21F5"/>
    <w:rPr>
      <w:rFonts w:ascii="Arial" w:eastAsia="Arial" w:hAnsi="Arial" w:cs="Arial"/>
      <w:kern w:val="0"/>
      <w:lang w:val="en" w:eastAsia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15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53F"/>
    <w:rPr>
      <w:rFonts w:ascii="Arial" w:eastAsia="Arial" w:hAnsi="Arial" w:cs="Arial"/>
      <w:kern w:val="0"/>
      <w:lang w:eastAsia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15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53F"/>
    <w:rPr>
      <w:rFonts w:ascii="Arial" w:eastAsia="Arial" w:hAnsi="Arial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CA69-7069-4DBF-8D13-A65B6D00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2973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Kozłowski Adam</cp:lastModifiedBy>
  <cp:revision>11</cp:revision>
  <dcterms:created xsi:type="dcterms:W3CDTF">2025-10-17T06:17:00Z</dcterms:created>
  <dcterms:modified xsi:type="dcterms:W3CDTF">2025-12-31T12:37:00Z</dcterms:modified>
</cp:coreProperties>
</file>