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75DE" w14:textId="3ED1CC4D" w:rsidR="005C09BD" w:rsidRPr="00221FA2" w:rsidRDefault="005C09BD" w:rsidP="005C09BD">
      <w:pPr>
        <w:rPr>
          <w:b/>
          <w:sz w:val="22"/>
          <w:szCs w:val="22"/>
        </w:rPr>
      </w:pPr>
      <w:bookmarkStart w:id="0" w:name="_GoBack"/>
      <w:r w:rsidRPr="00221FA2">
        <w:rPr>
          <w:b/>
          <w:sz w:val="22"/>
          <w:szCs w:val="22"/>
        </w:rPr>
        <w:t>Prof. Adam GLAPIŃSKI</w:t>
      </w:r>
    </w:p>
    <w:bookmarkEnd w:id="0"/>
    <w:p w14:paraId="0D66ADE1" w14:textId="275E5B10" w:rsidR="005C09BD" w:rsidRPr="00221FA2" w:rsidRDefault="005C09BD" w:rsidP="005C09BD">
      <w:pPr>
        <w:rPr>
          <w:rFonts w:eastAsia="Times New Roman"/>
          <w:b/>
          <w:i/>
          <w:iCs/>
          <w:sz w:val="22"/>
          <w:szCs w:val="22"/>
        </w:rPr>
      </w:pPr>
      <w:r w:rsidRPr="00221FA2">
        <w:rPr>
          <w:b/>
          <w:i/>
          <w:iCs/>
          <w:sz w:val="22"/>
          <w:szCs w:val="22"/>
        </w:rPr>
        <w:t>Profesor nauk ekonomicznych, prezes Narodowego Banku Polskiego.</w:t>
      </w:r>
    </w:p>
    <w:p w14:paraId="32570194" w14:textId="77777777" w:rsidR="00693E43" w:rsidRDefault="00693E43" w:rsidP="005C09BD">
      <w:pPr>
        <w:rPr>
          <w:b/>
          <w:i/>
          <w:sz w:val="22"/>
          <w:szCs w:val="22"/>
        </w:rPr>
      </w:pPr>
    </w:p>
    <w:p w14:paraId="37293754" w14:textId="08154078" w:rsidR="005C09BD" w:rsidRPr="00693E43" w:rsidRDefault="005C09BD" w:rsidP="005C09BD">
      <w:pPr>
        <w:rPr>
          <w:b/>
          <w:i/>
          <w:sz w:val="22"/>
          <w:szCs w:val="22"/>
        </w:rPr>
      </w:pPr>
      <w:r w:rsidRPr="00693E43">
        <w:rPr>
          <w:b/>
          <w:i/>
          <w:sz w:val="22"/>
          <w:szCs w:val="22"/>
        </w:rPr>
        <w:t>Stabilizacja i wyzwania po pandemii</w:t>
      </w:r>
    </w:p>
    <w:p w14:paraId="4F7A7BC0" w14:textId="11977C4B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Starożytni Grecy mieli rację w większości kwestii, ale nie znali niestety pojęcia przyspieszenia, a przynajmniej nie mieli narzędzia matematycznego, aby je formalnie opisać. Musiały minąć wieki, zanim dzięki Galileuszowi, a właściwie dopiero dzięki Newtonowi zrozumieliśmy, że przyspieszenie – czyli zmiana prędkości w czasie – jest nieodmiennie związane z przyłożeniem siły. Ostatnie miesiące uczą, że druga zasada dynamiki jest przydatna nie tylko wtedy, gdy chcemy umieścić satelitę na orbicie, ale także gdy próbujemy zrozumieć wydarzenia gospodarcze w Polsce i na świecie w okresie pandemii, dla których kluczem interpretacyjnym jest właśnie zjawisko przyspieszenia.</w:t>
      </w:r>
    </w:p>
    <w:p w14:paraId="28EA5AE1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 xml:space="preserve">Oto bowiem w ciągu zaledwie kilku tygodni za sprawą siły zewnętrznej pandemicznych ograniczeń i paniki wywołanej </w:t>
      </w:r>
      <w:proofErr w:type="spellStart"/>
      <w:r w:rsidRPr="00221FA2">
        <w:rPr>
          <w:sz w:val="22"/>
          <w:szCs w:val="22"/>
        </w:rPr>
        <w:t>koronawirusem</w:t>
      </w:r>
      <w:proofErr w:type="spellEnd"/>
      <w:r w:rsidRPr="00221FA2">
        <w:rPr>
          <w:sz w:val="22"/>
          <w:szCs w:val="22"/>
        </w:rPr>
        <w:t xml:space="preserve"> gospodarki wielu krajów przeszły raptownie od ugruntowanej ekspansji gospodarczej do dramatycznego załamania. </w:t>
      </w:r>
      <w:r w:rsidRPr="00221FA2">
        <w:rPr>
          <w:rStyle w:val="has-inline-color"/>
          <w:sz w:val="22"/>
          <w:szCs w:val="22"/>
        </w:rPr>
        <w:t>Wysyp złych danych bezlitośnie przyspieszał, a w tle toczyła się często dramatyczna walka o zdrowie i życie obywateli.</w:t>
      </w:r>
    </w:p>
    <w:p w14:paraId="41AD3351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Sytuacja wymagała równie szybkich i zdecydowanych działań – nakierowanych nie tylko na ograniczenie transmisji wirusa, ale także negatywnego wpływu szoku pandemicznego na gospodarkę. NBP zareagował jako jeden z pierwszych banków centralnych, dokonując silnego złagodzenia polityki pieniężnej. Dzięki temu, że przez ostatnie lata prowadziliśmy tradycyjną, konserwatywną politykę pieniężną, mieliśmy niezbędną przestrzeń do działania i nie zawahaliśmy się przed obniżeniem stóp procentowych niemal do zera oraz przed rozpoczęciem skupu obligacji emitowanych i gwarantowanych przez Skarb Państwa.</w:t>
      </w:r>
    </w:p>
    <w:p w14:paraId="2C969281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Mimo że decyzje podejmowaliśmy bardzo szybko i w warunkach ogromnej niepewności, dziś możemy już stwierdzić, że bez wątpienia zapewniły one skuteczne wsparcie dla polskiej gospodarki. Ten sukces znalazł odzwierciedlenie przede wszystkim w danych o PKB, zgodnie z którymi spadek produktu krajowego był w Polsce ponad dwukrotnie mniejszy niż średnio w Europie. Udało się też uniknąć pogorszenia sytuacji na rynku pracy, na co wskazuje m.in. najniższa w całej Unii Europejskiej stopa bezrobocia.</w:t>
      </w:r>
    </w:p>
    <w:p w14:paraId="277F1DCE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Lecz tak jak siła pandemicznych restrykcji wymusiła nagłe zatrzymanie całych sektorów gospodarki, powodując w wielu regionach świata największą recesję w ich współczesnej historii, tak wyraźna poprawa sytuacji epidemicznej i stopniowe uwalnianie restrykcji przekładają się na istotne ożywienie koniunktury, zauważalne także w Polsce. I choć kierunek zmian jest – na szczęście – przeciwny niż przed rokiem, tempo wydaje się równie zawrotne.</w:t>
      </w:r>
    </w:p>
    <w:p w14:paraId="52A7317D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Dobrą tego ilustracją są dane z gospodarki amerykańskiej. Ekonomiści szacują, że w ciągu ostatnich 70 lat pokonanie dystansu od dna recesji do pełni potencjału zajmowało tam średnio prawie 14 kwartałów. Tym razem może to zająć zaledwie pół roku – i to mimo że skala spadku PKB spowodowanego pandemią była w Stanach Zjednoczonych najwyższa w powojennej historii tego kraju.</w:t>
      </w:r>
    </w:p>
    <w:p w14:paraId="73227773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 xml:space="preserve">Ta przyspieszona odbudowa gospodarki, widoczna w wielu obszarach także w Polsce, napawa zrozumiałą radością, ale – podobnie jak gwałtowne spowolnienie sprzed roku – stwarza również pewne wyzwania. Pojawiają się na przykład obawy o to, czy banki centralne nie spóźnią się z reakcją na poprawiające się dane i prognozy makroekonomiczne, </w:t>
      </w:r>
      <w:r w:rsidRPr="00221FA2">
        <w:rPr>
          <w:rStyle w:val="has-inline-color"/>
          <w:sz w:val="22"/>
          <w:szCs w:val="22"/>
        </w:rPr>
        <w:t>co stwarzałoby zagrożenia dla zrównoważonego wzrostu gospodarczego.</w:t>
      </w:r>
    </w:p>
    <w:p w14:paraId="0C4D7E53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 xml:space="preserve">Nawet jeśli kontekst tych wypowiedzi jest współczesny, nie są one niczym nowym w historii polityki pieniężnej. Wszak już William </w:t>
      </w:r>
      <w:proofErr w:type="spellStart"/>
      <w:r w:rsidRPr="00221FA2">
        <w:rPr>
          <w:sz w:val="22"/>
          <w:szCs w:val="22"/>
        </w:rPr>
        <w:t>McChesney</w:t>
      </w:r>
      <w:proofErr w:type="spellEnd"/>
      <w:r w:rsidRPr="00221FA2">
        <w:rPr>
          <w:sz w:val="22"/>
          <w:szCs w:val="22"/>
        </w:rPr>
        <w:t xml:space="preserve"> Martin, prezes </w:t>
      </w:r>
      <w:proofErr w:type="spellStart"/>
      <w:r w:rsidRPr="00221FA2">
        <w:rPr>
          <w:sz w:val="22"/>
          <w:szCs w:val="22"/>
        </w:rPr>
        <w:t>Fed</w:t>
      </w:r>
      <w:proofErr w:type="spellEnd"/>
      <w:r w:rsidRPr="00221FA2">
        <w:rPr>
          <w:sz w:val="22"/>
          <w:szCs w:val="22"/>
        </w:rPr>
        <w:t xml:space="preserve"> czuwający nad powojenną odbudową w latach 1951–1970, zauważył trafnie, że prawdziwym zadaniem banku centralnego jest „umieć odstawić wazę z ponczem właśnie wtedy, gdy zabawa się rozkręca”. Oczywiście określenie optymalnej strategii </w:t>
      </w:r>
      <w:r w:rsidRPr="00221FA2">
        <w:rPr>
          <w:sz w:val="22"/>
          <w:szCs w:val="22"/>
        </w:rPr>
        <w:lastRenderedPageBreak/>
        <w:t>wyjścia z działań niekonwencjonalnych w polityce pieniężnej jest nie lada wyzwaniem. Można jednak z całą pewnością powiedzieć, że proces ten – zarówno na świecie, jak i w Polsce – powinien być mądrze rozłożony w czasie i postrzegany jako element ciągłości polityki banku centralnego, która z jednej strony nie może naruszyć fundamentów pokryzysowego wzrostu, a z drugiej – dopuścić do narastania nierównowag makroekonomicznych i finansowych.</w:t>
      </w:r>
    </w:p>
    <w:p w14:paraId="13F40042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Doświadczenia zdobyte przez NBP, szczególnie w ostatnim roku, wypracowane narzędzia analityczne i kanały komunikacji z rynkiem sprawiają, że jesteśmy gotowi na to wyzwanie. Bank centralny dowiódł swojej skuteczności w ograniczaniu skutków ekonomicznych pandemii i dowiedzie jej ponownie, prowadząc roztropną politykę przywracania gospodarki na ścieżkę szybkiego wzrostu przy zachowaniu stabilności cen i równowagi makroekonomicznej. Nie możemy jednak pozwolić, by ewentualne gwałtowne zmiany kursu walutowego lub rentowności obligacji ograniczyły nasze perspektywy wzrostu, bo chodzi o potencjał wzrostu polskiej gospodarki w okresie wielu kolejnych lat. Właśnie po to mamy własną walutę, polskiego złotego, by mieć możliwość prowadzenia niezależnej i autonomicznej polityki pieniężnej, która jest dla nas ważnym amortyzatorem szoków.</w:t>
      </w:r>
    </w:p>
    <w:p w14:paraId="12BAB01B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 xml:space="preserve">A co, gdy już na dobre uporamy się z pandemią i jej gospodarczymi konsekwencjami? Mamy ambitne plany na przyszłość, których wspólnym mianownikiem jest doganianie krajów o najwyższym poziomie zamożności. W dążeniu do tego celu musimy nie tylko prowadzić roztropną politykę pieniężną, </w:t>
      </w:r>
      <w:r w:rsidRPr="00221FA2">
        <w:rPr>
          <w:rStyle w:val="has-inline-color"/>
          <w:sz w:val="22"/>
          <w:szCs w:val="22"/>
        </w:rPr>
        <w:t>ale także w pełni wykorzystać możliwości, jakie stwarza nam wzrost naszych rezerw dewizowych.</w:t>
      </w:r>
    </w:p>
    <w:p w14:paraId="1F02C444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Jako bank centralny NBP jest kustoszem ogromnego majątku narodowego w postaci aktywów rezerwowych, których wartość sięga 130 mld euro. Dzięki mądremu zarządzaniu rezerwami dewizowymi NBP wypracował w latach 2016–2020 zyski, z których łączna wpłata do budżetu państwa przekroczyła 32 mld złotych, co odpowiada blisko 5 proc. sumy bilansowej NBP z końca 2020 r. Dążąc do zapewniania wysokiego bezpieczeństwa inwestowanych środków, ich płynności oraz dochodowości w długim terminie, Zarząd NBP przyjął w 2020 r. nową strategię zarządzania rezerwami, co jest szczególnie istotne w świecie niskich lub ujemnych stóp procentowych w głównych gospodarkach. Jednym z filarów naszej strategii inwestycyjnej jest sukcesywne zwiększanie zasobów złota banku centralnego, które skutecznie dywersyfikuje ryzyko związane z pozostałymi inwestycjami. W latach 2018–2019 NBP zakupił już 125,7 ton złota, zwiększając swój zasób kruszcu do 228,7 ton, czyli ok. 8 proc. oficjalnych aktywów rezerwowych. Skala i tempo dalszych zakupów złota będą uzależnione od dynamiki wzrostu rezerw dewizowych NBP, a także od przyszłych uwarunkowań makroekonomicznych i rynkowych.</w:t>
      </w:r>
    </w:p>
    <w:p w14:paraId="483030FB" w14:textId="7B88064F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sz w:val="22"/>
          <w:szCs w:val="22"/>
        </w:rPr>
        <w:t>Wiele osiągnęliśmy, ale wiele jeszcze przed nami. Dlatego nie możemy spocząć na laurach – musimy roztropnie wyprowadzić Polskę na ścieżkę zrównoważonego wzrostu i konwergencji oraz mądrze inwestować rosnące aktywa rezerwowe. Stawką jest bezpieczna przyszłość i dalsza poprawa materialnych warunków życia milionów Polek i Polaków.</w:t>
      </w:r>
    </w:p>
    <w:p w14:paraId="7BD3E393" w14:textId="77777777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rStyle w:val="Pogrubienie"/>
          <w:sz w:val="22"/>
          <w:szCs w:val="22"/>
        </w:rPr>
        <w:t>Prof. Adam Glapiński</w:t>
      </w:r>
    </w:p>
    <w:p w14:paraId="2975EF7C" w14:textId="2B97579E" w:rsidR="00C366A8" w:rsidRPr="00221FA2" w:rsidRDefault="00C366A8" w:rsidP="00933FDB">
      <w:pPr>
        <w:pStyle w:val="NormalnyWeb"/>
        <w:jc w:val="both"/>
        <w:rPr>
          <w:sz w:val="22"/>
          <w:szCs w:val="22"/>
        </w:rPr>
      </w:pPr>
      <w:r w:rsidRPr="00221FA2">
        <w:rPr>
          <w:rStyle w:val="Uwydatnienie"/>
          <w:sz w:val="22"/>
          <w:szCs w:val="22"/>
        </w:rPr>
        <w:t>Tekst publikowany równocześnie w polskim miesięczniku opinii „Wszystko co Najważniejsze” w ramach projektu realizowanego z Instytutem Pamięci Narodowej oraz Narodowym Bankiem Polskim.</w:t>
      </w:r>
    </w:p>
    <w:sectPr w:rsidR="00C366A8" w:rsidRPr="00221FA2" w:rsidSect="006126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A8"/>
    <w:rsid w:val="000C53F5"/>
    <w:rsid w:val="00221FA2"/>
    <w:rsid w:val="005C09BD"/>
    <w:rsid w:val="0061269D"/>
    <w:rsid w:val="00693E43"/>
    <w:rsid w:val="006E7F3F"/>
    <w:rsid w:val="008E4174"/>
    <w:rsid w:val="00933FDB"/>
    <w:rsid w:val="00C3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969B"/>
  <w15:chartTrackingRefBased/>
  <w15:docId w15:val="{93DC7095-5B4C-E54D-A2A5-549586F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0" w:beforeAutospacing="0" w:after="0" w:afterAutospacing="0"/>
      <w:jc w:val="left"/>
    </w:pPr>
  </w:style>
  <w:style w:type="paragraph" w:styleId="Nagwek4">
    <w:name w:val="heading 4"/>
    <w:basedOn w:val="Normalny"/>
    <w:link w:val="Nagwek4Znak"/>
    <w:uiPriority w:val="9"/>
    <w:qFormat/>
    <w:rsid w:val="00C366A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366A8"/>
    <w:rPr>
      <w:rFonts w:ascii="Times New Roman" w:eastAsia="Times New Roman" w:hAnsi="Times New Roman" w:cs="Times New Roman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366A8"/>
    <w:rPr>
      <w:b/>
      <w:bCs/>
    </w:rPr>
  </w:style>
  <w:style w:type="paragraph" w:styleId="NormalnyWeb">
    <w:name w:val="Normal (Web)"/>
    <w:basedOn w:val="Normalny"/>
    <w:uiPriority w:val="99"/>
    <w:unhideWhenUsed/>
    <w:rsid w:val="00C366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has-inline-color">
    <w:name w:val="has-inline-color"/>
    <w:basedOn w:val="Domylnaczcionkaakapitu"/>
    <w:rsid w:val="00C366A8"/>
  </w:style>
  <w:style w:type="character" w:styleId="Uwydatnienie">
    <w:name w:val="Emphasis"/>
    <w:basedOn w:val="Domylnaczcionkaakapitu"/>
    <w:uiPriority w:val="20"/>
    <w:qFormat/>
    <w:rsid w:val="00C366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Krawczyk</dc:creator>
  <cp:keywords/>
  <dc:description/>
  <cp:lastModifiedBy>Drozd Katarzyna</cp:lastModifiedBy>
  <cp:revision>4</cp:revision>
  <dcterms:created xsi:type="dcterms:W3CDTF">2021-07-01T06:32:00Z</dcterms:created>
  <dcterms:modified xsi:type="dcterms:W3CDTF">2021-07-01T06:38:00Z</dcterms:modified>
</cp:coreProperties>
</file>