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1B6C4" w14:textId="77777777" w:rsidR="000548F4" w:rsidRPr="000548F4" w:rsidRDefault="000548F4" w:rsidP="000548F4">
      <w:pPr>
        <w:spacing w:after="0" w:line="360" w:lineRule="auto"/>
        <w:rPr>
          <w:rFonts w:ascii="Bookman Old Style" w:hAnsi="Bookman Old Style"/>
          <w:sz w:val="24"/>
          <w:szCs w:val="24"/>
        </w:rPr>
      </w:pPr>
    </w:p>
    <w:p w14:paraId="4CDD2750" w14:textId="52AB23E1" w:rsidR="000548F4" w:rsidRDefault="000548F4" w:rsidP="000548F4">
      <w:pPr>
        <w:spacing w:after="0" w:line="360" w:lineRule="auto"/>
        <w:jc w:val="center"/>
        <w:rPr>
          <w:rFonts w:ascii="Bookman Old Style" w:hAnsi="Bookman Old Style"/>
          <w:b/>
          <w:bCs/>
          <w:sz w:val="24"/>
          <w:szCs w:val="24"/>
        </w:rPr>
      </w:pPr>
      <w:r w:rsidRPr="000548F4">
        <w:rPr>
          <w:rFonts w:ascii="Bookman Old Style" w:hAnsi="Bookman Old Style"/>
          <w:b/>
          <w:bCs/>
          <w:sz w:val="24"/>
          <w:szCs w:val="24"/>
        </w:rPr>
        <w:t xml:space="preserve">Opinia </w:t>
      </w:r>
      <w:r w:rsidR="006A5323">
        <w:rPr>
          <w:rFonts w:ascii="Bookman Old Style" w:hAnsi="Bookman Old Style"/>
          <w:b/>
          <w:bCs/>
          <w:sz w:val="24"/>
          <w:szCs w:val="24"/>
        </w:rPr>
        <w:t xml:space="preserve">Komisji Kodyfikacyjnej Prawa Karnego </w:t>
      </w:r>
      <w:r w:rsidRPr="000548F4">
        <w:rPr>
          <w:rFonts w:ascii="Bookman Old Style" w:hAnsi="Bookman Old Style"/>
          <w:b/>
          <w:bCs/>
          <w:sz w:val="24"/>
          <w:szCs w:val="24"/>
        </w:rPr>
        <w:t>w sprawie potrzeby penalizacji</w:t>
      </w:r>
      <w:r w:rsidR="00D87492">
        <w:rPr>
          <w:rFonts w:ascii="Bookman Old Style" w:hAnsi="Bookman Old Style"/>
          <w:b/>
          <w:bCs/>
          <w:sz w:val="24"/>
          <w:szCs w:val="24"/>
        </w:rPr>
        <w:t xml:space="preserve"> </w:t>
      </w:r>
      <w:r w:rsidRPr="000548F4">
        <w:rPr>
          <w:rFonts w:ascii="Bookman Old Style" w:hAnsi="Bookman Old Style"/>
          <w:b/>
          <w:bCs/>
          <w:sz w:val="24"/>
          <w:szCs w:val="24"/>
        </w:rPr>
        <w:t>graf</w:t>
      </w:r>
      <w:r w:rsidR="004C1CAA">
        <w:rPr>
          <w:rFonts w:ascii="Bookman Old Style" w:hAnsi="Bookman Old Style"/>
          <w:b/>
          <w:bCs/>
          <w:sz w:val="24"/>
          <w:szCs w:val="24"/>
        </w:rPr>
        <w:t>f</w:t>
      </w:r>
      <w:r w:rsidRPr="000548F4">
        <w:rPr>
          <w:rFonts w:ascii="Bookman Old Style" w:hAnsi="Bookman Old Style"/>
          <w:b/>
          <w:bCs/>
          <w:sz w:val="24"/>
          <w:szCs w:val="24"/>
        </w:rPr>
        <w:t>iti</w:t>
      </w:r>
    </w:p>
    <w:p w14:paraId="42BDA7F4" w14:textId="77777777" w:rsidR="006A5323" w:rsidRDefault="006A5323" w:rsidP="000548F4">
      <w:pPr>
        <w:spacing w:after="0" w:line="360" w:lineRule="auto"/>
        <w:jc w:val="center"/>
        <w:rPr>
          <w:rFonts w:ascii="Bookman Old Style" w:hAnsi="Bookman Old Style"/>
          <w:b/>
          <w:bCs/>
          <w:sz w:val="24"/>
          <w:szCs w:val="24"/>
        </w:rPr>
      </w:pPr>
    </w:p>
    <w:p w14:paraId="5B3A050C" w14:textId="77777777" w:rsidR="000548F4" w:rsidRDefault="000548F4" w:rsidP="00B76B3B">
      <w:pPr>
        <w:spacing w:after="0" w:line="360" w:lineRule="auto"/>
        <w:jc w:val="both"/>
        <w:rPr>
          <w:rFonts w:ascii="Bookman Old Style" w:hAnsi="Bookman Old Style"/>
          <w:b/>
          <w:bCs/>
          <w:sz w:val="24"/>
          <w:szCs w:val="24"/>
        </w:rPr>
      </w:pPr>
    </w:p>
    <w:p w14:paraId="45D62C27" w14:textId="50F7CA20" w:rsidR="007217DD" w:rsidRDefault="00B76B3B" w:rsidP="00A614E0">
      <w:pPr>
        <w:spacing w:after="0" w:line="360" w:lineRule="auto"/>
        <w:jc w:val="both"/>
        <w:rPr>
          <w:rFonts w:ascii="Bookman Old Style" w:hAnsi="Bookman Old Style"/>
          <w:sz w:val="24"/>
          <w:szCs w:val="24"/>
        </w:rPr>
      </w:pPr>
      <w:r>
        <w:rPr>
          <w:rFonts w:ascii="Bookman Old Style" w:hAnsi="Bookman Old Style"/>
          <w:b/>
          <w:bCs/>
          <w:sz w:val="24"/>
          <w:szCs w:val="24"/>
        </w:rPr>
        <w:tab/>
      </w:r>
      <w:r w:rsidR="007A64DD">
        <w:rPr>
          <w:rFonts w:ascii="Bookman Old Style" w:hAnsi="Bookman Old Style"/>
          <w:sz w:val="24"/>
          <w:szCs w:val="24"/>
        </w:rPr>
        <w:t xml:space="preserve">Pismem z dnia </w:t>
      </w:r>
      <w:r w:rsidR="0040302F">
        <w:rPr>
          <w:rFonts w:ascii="Bookman Old Style" w:hAnsi="Bookman Old Style"/>
          <w:sz w:val="24"/>
          <w:szCs w:val="24"/>
        </w:rPr>
        <w:t xml:space="preserve">26 marca 2024r. Przewodniczący </w:t>
      </w:r>
      <w:r w:rsidR="004D1B9D">
        <w:rPr>
          <w:rFonts w:ascii="Bookman Old Style" w:hAnsi="Bookman Old Style"/>
          <w:sz w:val="24"/>
          <w:szCs w:val="24"/>
        </w:rPr>
        <w:t>Centralnego Zespołu ds. Bezpieczeństwa</w:t>
      </w:r>
      <w:r w:rsidR="00977E8B">
        <w:rPr>
          <w:rFonts w:ascii="Bookman Old Style" w:hAnsi="Bookman Old Style"/>
          <w:sz w:val="24"/>
          <w:szCs w:val="24"/>
        </w:rPr>
        <w:t xml:space="preserve"> na obszarach kolejowych i w pociągach-PKP SA zwrócił się do Dyrektora Departamentu Legislacyjnego Prawa Karnego </w:t>
      </w:r>
      <w:r w:rsidR="00C505E9">
        <w:rPr>
          <w:rFonts w:ascii="Bookman Old Style" w:hAnsi="Bookman Old Style"/>
          <w:sz w:val="24"/>
          <w:szCs w:val="24"/>
        </w:rPr>
        <w:t xml:space="preserve">o wskazanie przybliżonych ram czasowych </w:t>
      </w:r>
      <w:r w:rsidR="00584A46">
        <w:rPr>
          <w:rFonts w:ascii="Bookman Old Style" w:hAnsi="Bookman Old Style"/>
          <w:sz w:val="24"/>
          <w:szCs w:val="24"/>
        </w:rPr>
        <w:t xml:space="preserve">planowanych prac legislacyjnych związanych z nowelizacją ustawy z dnia 6 czerwca 1997r.- Kodeks karny </w:t>
      </w:r>
      <w:r w:rsidR="00437CCE">
        <w:rPr>
          <w:rFonts w:ascii="Bookman Old Style" w:hAnsi="Bookman Old Style"/>
          <w:sz w:val="24"/>
          <w:szCs w:val="24"/>
        </w:rPr>
        <w:t>w zakresie dotyczącym wprowadzenia odpowiedzialności karnej za dokonanie czynu chuligańskiego w postaci nanoszenia farby w a</w:t>
      </w:r>
      <w:r w:rsidR="00DD0D01">
        <w:rPr>
          <w:rFonts w:ascii="Bookman Old Style" w:hAnsi="Bookman Old Style"/>
          <w:sz w:val="24"/>
          <w:szCs w:val="24"/>
        </w:rPr>
        <w:t>e</w:t>
      </w:r>
      <w:r w:rsidR="00437CCE">
        <w:rPr>
          <w:rFonts w:ascii="Bookman Old Style" w:hAnsi="Bookman Old Style"/>
          <w:sz w:val="24"/>
          <w:szCs w:val="24"/>
        </w:rPr>
        <w:t xml:space="preserve">rozolu </w:t>
      </w:r>
      <w:r w:rsidR="00823032">
        <w:rPr>
          <w:rFonts w:ascii="Bookman Old Style" w:hAnsi="Bookman Old Style"/>
          <w:sz w:val="24"/>
          <w:szCs w:val="24"/>
        </w:rPr>
        <w:t xml:space="preserve">oraz innych substancji malujących na pojazdy kolejowe. Jak dodał, </w:t>
      </w:r>
      <w:r w:rsidR="00320737">
        <w:rPr>
          <w:rFonts w:ascii="Bookman Old Style" w:hAnsi="Bookman Old Style"/>
          <w:sz w:val="24"/>
          <w:szCs w:val="24"/>
        </w:rPr>
        <w:t xml:space="preserve">od 2019r. zwiększyła się skala występowania tego zjawiska. Występowanie tego typu </w:t>
      </w:r>
      <w:r w:rsidR="007D4791">
        <w:rPr>
          <w:rFonts w:ascii="Bookman Old Style" w:hAnsi="Bookman Old Style"/>
          <w:sz w:val="24"/>
          <w:szCs w:val="24"/>
        </w:rPr>
        <w:t xml:space="preserve">czynów nie tylko powoduje oszpecenie pojazdu kolejowego ale także często niszczy </w:t>
      </w:r>
      <w:r w:rsidR="00160011">
        <w:rPr>
          <w:rFonts w:ascii="Bookman Old Style" w:hAnsi="Bookman Old Style"/>
          <w:sz w:val="24"/>
          <w:szCs w:val="24"/>
        </w:rPr>
        <w:t xml:space="preserve">jego malaturę w stopniu uniemożliwiającym dalsze użytkowanie- zamalowaniu ulegają </w:t>
      </w:r>
      <w:r w:rsidR="00BC110C">
        <w:rPr>
          <w:rFonts w:ascii="Bookman Old Style" w:hAnsi="Bookman Old Style"/>
          <w:sz w:val="24"/>
          <w:szCs w:val="24"/>
        </w:rPr>
        <w:t>napisy eksploatacyjne, mające wpływ na bezpieczeństwo tj. określające masy hamujące rzeczywiste i masy ogólne pojazdów</w:t>
      </w:r>
      <w:r w:rsidR="00275D37">
        <w:rPr>
          <w:rFonts w:ascii="Bookman Old Style" w:hAnsi="Bookman Old Style"/>
          <w:sz w:val="24"/>
          <w:szCs w:val="24"/>
        </w:rPr>
        <w:t xml:space="preserve">, co może doprowadzić do </w:t>
      </w:r>
      <w:r w:rsidR="00CB07C8">
        <w:rPr>
          <w:rFonts w:ascii="Bookman Old Style" w:hAnsi="Bookman Old Style"/>
          <w:sz w:val="24"/>
          <w:szCs w:val="24"/>
        </w:rPr>
        <w:t xml:space="preserve">błędnego sporządzania </w:t>
      </w:r>
      <w:r w:rsidR="00275D37">
        <w:rPr>
          <w:rFonts w:ascii="Bookman Old Style" w:hAnsi="Bookman Old Style"/>
          <w:sz w:val="24"/>
          <w:szCs w:val="24"/>
        </w:rPr>
        <w:t xml:space="preserve">karty próby hamulca. Autor pisma podkreślił nadto, że nieczytelne oznaczenia </w:t>
      </w:r>
      <w:r w:rsidR="00610CE3">
        <w:rPr>
          <w:rFonts w:ascii="Bookman Old Style" w:hAnsi="Bookman Old Style"/>
          <w:sz w:val="24"/>
          <w:szCs w:val="24"/>
        </w:rPr>
        <w:t xml:space="preserve">pojazdu kolejowego powodują, że ten nie spełnia warunków dopuszczenia do eksploatacji , gdyż jest oznakowany niezgodnie z warunkami określonymi w odrębnych przepisach. </w:t>
      </w:r>
      <w:r w:rsidR="004C0A68">
        <w:rPr>
          <w:rFonts w:ascii="Bookman Old Style" w:hAnsi="Bookman Old Style"/>
          <w:sz w:val="24"/>
          <w:szCs w:val="24"/>
        </w:rPr>
        <w:t>Powoduje to całkowite wyłączenie pojazdu z eksploatacji. Dodał, że w latach 2019-2023r. ujawniono 9.926 przypadków graf</w:t>
      </w:r>
      <w:r w:rsidR="004C1CAA">
        <w:rPr>
          <w:rFonts w:ascii="Bookman Old Style" w:hAnsi="Bookman Old Style"/>
          <w:sz w:val="24"/>
          <w:szCs w:val="24"/>
        </w:rPr>
        <w:t>f</w:t>
      </w:r>
      <w:r w:rsidR="004C0A68">
        <w:rPr>
          <w:rFonts w:ascii="Bookman Old Style" w:hAnsi="Bookman Old Style"/>
          <w:sz w:val="24"/>
          <w:szCs w:val="24"/>
        </w:rPr>
        <w:t>iti</w:t>
      </w:r>
      <w:r w:rsidR="005E5692">
        <w:rPr>
          <w:rFonts w:ascii="Bookman Old Style" w:hAnsi="Bookman Old Style"/>
          <w:sz w:val="24"/>
          <w:szCs w:val="24"/>
        </w:rPr>
        <w:t xml:space="preserve">, a powierzchnia zamalowanego obszaru to około 362.472 metry kwadratowe. </w:t>
      </w:r>
      <w:r w:rsidR="00A456E4">
        <w:rPr>
          <w:rFonts w:ascii="Bookman Old Style" w:hAnsi="Bookman Old Style"/>
          <w:sz w:val="24"/>
          <w:szCs w:val="24"/>
        </w:rPr>
        <w:t>Podkreślił, że spółki kolejowe z tytułu niszczenia mienia ogółem poniosły straty na łączną kwotę około 61. 125.907zł.</w:t>
      </w:r>
      <w:r w:rsidR="00C6506B">
        <w:rPr>
          <w:rFonts w:ascii="Bookman Old Style" w:hAnsi="Bookman Old Style"/>
          <w:sz w:val="24"/>
          <w:szCs w:val="24"/>
        </w:rPr>
        <w:t xml:space="preserve"> </w:t>
      </w:r>
      <w:r w:rsidR="00DB348B">
        <w:rPr>
          <w:rFonts w:ascii="Bookman Old Style" w:hAnsi="Bookman Old Style"/>
          <w:sz w:val="24"/>
          <w:szCs w:val="24"/>
        </w:rPr>
        <w:t xml:space="preserve">W piśmie dodano, że określając koszty związane z przywróceniem pojazdu do stanu sprzed pomalowania, spółki kolejowe każdorazowo </w:t>
      </w:r>
      <w:r w:rsidR="00BE787C">
        <w:rPr>
          <w:rFonts w:ascii="Bookman Old Style" w:hAnsi="Bookman Old Style"/>
          <w:sz w:val="24"/>
          <w:szCs w:val="24"/>
        </w:rPr>
        <w:t>uwzględniają koszty związane z usuwaniem graf</w:t>
      </w:r>
      <w:r w:rsidR="004C1CAA">
        <w:rPr>
          <w:rFonts w:ascii="Bookman Old Style" w:hAnsi="Bookman Old Style"/>
          <w:sz w:val="24"/>
          <w:szCs w:val="24"/>
        </w:rPr>
        <w:t>f</w:t>
      </w:r>
      <w:r w:rsidR="00BE787C">
        <w:rPr>
          <w:rFonts w:ascii="Bookman Old Style" w:hAnsi="Bookman Old Style"/>
          <w:sz w:val="24"/>
          <w:szCs w:val="24"/>
        </w:rPr>
        <w:t>iti z powierzchni poszycia pojazdu, koszty naprawy malatury</w:t>
      </w:r>
      <w:r w:rsidR="00146661">
        <w:rPr>
          <w:rFonts w:ascii="Bookman Old Style" w:hAnsi="Bookman Old Style"/>
          <w:sz w:val="24"/>
          <w:szCs w:val="24"/>
        </w:rPr>
        <w:t xml:space="preserve"> (z uwagi na trwałość powłoki </w:t>
      </w:r>
      <w:proofErr w:type="spellStart"/>
      <w:r w:rsidR="00146661">
        <w:rPr>
          <w:rFonts w:ascii="Bookman Old Style" w:hAnsi="Bookman Old Style"/>
          <w:sz w:val="24"/>
          <w:szCs w:val="24"/>
        </w:rPr>
        <w:t>antygraf</w:t>
      </w:r>
      <w:r w:rsidR="004C1CAA">
        <w:rPr>
          <w:rFonts w:ascii="Bookman Old Style" w:hAnsi="Bookman Old Style"/>
          <w:sz w:val="24"/>
          <w:szCs w:val="24"/>
        </w:rPr>
        <w:t>f</w:t>
      </w:r>
      <w:r w:rsidR="00146661">
        <w:rPr>
          <w:rFonts w:ascii="Bookman Old Style" w:hAnsi="Bookman Old Style"/>
          <w:sz w:val="24"/>
          <w:szCs w:val="24"/>
        </w:rPr>
        <w:t>iti</w:t>
      </w:r>
      <w:proofErr w:type="spellEnd"/>
      <w:r w:rsidR="00146661">
        <w:rPr>
          <w:rFonts w:ascii="Bookman Old Style" w:hAnsi="Bookman Old Style"/>
          <w:sz w:val="24"/>
          <w:szCs w:val="24"/>
        </w:rPr>
        <w:t xml:space="preserve"> po trzykrotnym zmyciu graf</w:t>
      </w:r>
      <w:r w:rsidR="004C1CAA">
        <w:rPr>
          <w:rFonts w:ascii="Bookman Old Style" w:hAnsi="Bookman Old Style"/>
          <w:sz w:val="24"/>
          <w:szCs w:val="24"/>
        </w:rPr>
        <w:t>f</w:t>
      </w:r>
      <w:r w:rsidR="00146661">
        <w:rPr>
          <w:rFonts w:ascii="Bookman Old Style" w:hAnsi="Bookman Old Style"/>
          <w:sz w:val="24"/>
          <w:szCs w:val="24"/>
        </w:rPr>
        <w:t xml:space="preserve">iti specjalistycznymi </w:t>
      </w:r>
      <w:r w:rsidR="004A48ED">
        <w:rPr>
          <w:rFonts w:ascii="Bookman Old Style" w:hAnsi="Bookman Old Style"/>
          <w:sz w:val="24"/>
          <w:szCs w:val="24"/>
        </w:rPr>
        <w:t xml:space="preserve">preparatami </w:t>
      </w:r>
      <w:r w:rsidR="004A48ED">
        <w:rPr>
          <w:rFonts w:ascii="Bookman Old Style" w:hAnsi="Bookman Old Style"/>
          <w:sz w:val="24"/>
          <w:szCs w:val="24"/>
        </w:rPr>
        <w:lastRenderedPageBreak/>
        <w:t xml:space="preserve">konieczna jest naprawa malatury, w tym powłoki lakieru </w:t>
      </w:r>
      <w:proofErr w:type="spellStart"/>
      <w:r w:rsidR="004A48ED">
        <w:rPr>
          <w:rFonts w:ascii="Bookman Old Style" w:hAnsi="Bookman Old Style"/>
          <w:sz w:val="24"/>
          <w:szCs w:val="24"/>
        </w:rPr>
        <w:t>antygraf</w:t>
      </w:r>
      <w:r w:rsidR="004C1CAA">
        <w:rPr>
          <w:rFonts w:ascii="Bookman Old Style" w:hAnsi="Bookman Old Style"/>
          <w:sz w:val="24"/>
          <w:szCs w:val="24"/>
        </w:rPr>
        <w:t>f</w:t>
      </w:r>
      <w:r w:rsidR="004A48ED">
        <w:rPr>
          <w:rFonts w:ascii="Bookman Old Style" w:hAnsi="Bookman Old Style"/>
          <w:sz w:val="24"/>
          <w:szCs w:val="24"/>
        </w:rPr>
        <w:t>iti</w:t>
      </w:r>
      <w:proofErr w:type="spellEnd"/>
      <w:r w:rsidR="004A48ED">
        <w:rPr>
          <w:rFonts w:ascii="Bookman Old Style" w:hAnsi="Bookman Old Style"/>
          <w:sz w:val="24"/>
          <w:szCs w:val="24"/>
        </w:rPr>
        <w:t>), koszty transportu pojazdu.</w:t>
      </w:r>
      <w:r w:rsidR="00083935">
        <w:rPr>
          <w:rStyle w:val="Odwoanieprzypisudolnego"/>
          <w:rFonts w:ascii="Bookman Old Style" w:hAnsi="Bookman Old Style"/>
          <w:sz w:val="24"/>
          <w:szCs w:val="24"/>
        </w:rPr>
        <w:footnoteReference w:id="1"/>
      </w:r>
    </w:p>
    <w:p w14:paraId="6DA88A0F" w14:textId="5D71729B" w:rsidR="00331393" w:rsidRDefault="00331393" w:rsidP="00331393">
      <w:pPr>
        <w:spacing w:after="0" w:line="360" w:lineRule="auto"/>
        <w:ind w:firstLine="708"/>
        <w:jc w:val="both"/>
        <w:rPr>
          <w:rFonts w:ascii="Bookman Old Style" w:hAnsi="Bookman Old Style"/>
          <w:sz w:val="24"/>
          <w:szCs w:val="24"/>
        </w:rPr>
      </w:pPr>
      <w:r>
        <w:rPr>
          <w:rFonts w:ascii="Bookman Old Style" w:hAnsi="Bookman Old Style"/>
          <w:sz w:val="24"/>
          <w:szCs w:val="24"/>
        </w:rPr>
        <w:t>W związku ze wskazanym wyżej zjawiskiem pojawi</w:t>
      </w:r>
      <w:r w:rsidR="008238F0">
        <w:rPr>
          <w:rFonts w:ascii="Bookman Old Style" w:hAnsi="Bookman Old Style"/>
          <w:sz w:val="24"/>
          <w:szCs w:val="24"/>
        </w:rPr>
        <w:t>ła</w:t>
      </w:r>
      <w:r>
        <w:rPr>
          <w:rFonts w:ascii="Bookman Old Style" w:hAnsi="Bookman Old Style"/>
          <w:sz w:val="24"/>
          <w:szCs w:val="24"/>
        </w:rPr>
        <w:t xml:space="preserve"> się inicjatyw</w:t>
      </w:r>
      <w:r w:rsidR="008238F0">
        <w:rPr>
          <w:rFonts w:ascii="Bookman Old Style" w:hAnsi="Bookman Old Style"/>
          <w:sz w:val="24"/>
          <w:szCs w:val="24"/>
        </w:rPr>
        <w:t>a</w:t>
      </w:r>
      <w:r>
        <w:rPr>
          <w:rFonts w:ascii="Bookman Old Style" w:hAnsi="Bookman Old Style"/>
          <w:sz w:val="24"/>
          <w:szCs w:val="24"/>
        </w:rPr>
        <w:t xml:space="preserve"> ustawodawcz</w:t>
      </w:r>
      <w:r w:rsidR="008238F0">
        <w:rPr>
          <w:rFonts w:ascii="Bookman Old Style" w:hAnsi="Bookman Old Style"/>
          <w:sz w:val="24"/>
          <w:szCs w:val="24"/>
        </w:rPr>
        <w:t>a</w:t>
      </w:r>
      <w:r>
        <w:rPr>
          <w:rFonts w:ascii="Bookman Old Style" w:hAnsi="Bookman Old Style"/>
          <w:sz w:val="24"/>
          <w:szCs w:val="24"/>
        </w:rPr>
        <w:t>. W dniu 27 marca 2018r. do Ministerstwa Sprawiedliwości wpłynęła petycja w sprawie zamiany Kodeksu karnego</w:t>
      </w:r>
      <w:r w:rsidR="00AA7399">
        <w:rPr>
          <w:rFonts w:ascii="Bookman Old Style" w:hAnsi="Bookman Old Style"/>
          <w:sz w:val="24"/>
          <w:szCs w:val="24"/>
        </w:rPr>
        <w:t xml:space="preserve"> z 1997r.</w:t>
      </w:r>
      <w:r>
        <w:rPr>
          <w:rFonts w:ascii="Bookman Old Style" w:hAnsi="Bookman Old Style"/>
          <w:sz w:val="24"/>
          <w:szCs w:val="24"/>
        </w:rPr>
        <w:t xml:space="preserve"> zawierająca propozycję dodania przepisu art. 288a w następującym brzemieniu:</w:t>
      </w:r>
    </w:p>
    <w:p w14:paraId="00E99213" w14:textId="77777777" w:rsidR="00BB5B4C" w:rsidRDefault="00331393" w:rsidP="00F40751">
      <w:pPr>
        <w:spacing w:after="0" w:line="360" w:lineRule="auto"/>
        <w:jc w:val="both"/>
        <w:rPr>
          <w:rFonts w:ascii="Bookman Old Style" w:hAnsi="Bookman Old Style"/>
          <w:sz w:val="24"/>
          <w:szCs w:val="24"/>
        </w:rPr>
      </w:pPr>
      <w:r>
        <w:rPr>
          <w:rFonts w:ascii="Bookman Old Style" w:hAnsi="Bookman Old Style"/>
          <w:sz w:val="24"/>
          <w:szCs w:val="24"/>
        </w:rPr>
        <w:t>„</w:t>
      </w:r>
      <w:r w:rsidRPr="00781A21">
        <w:rPr>
          <w:rFonts w:ascii="Bookman Old Style" w:hAnsi="Bookman Old Style"/>
          <w:sz w:val="24"/>
          <w:szCs w:val="24"/>
        </w:rPr>
        <w:t>§ 1. Kto umieszcza w miejscu publicznym do tego nieprzeznaczonym podpis, rysunek lub napis bez zgody zarządzającego tym miejscem, podlega grzywnie, karze ograniczenia wolności albo pozbawienia wolności</w:t>
      </w:r>
      <w:r>
        <w:rPr>
          <w:rFonts w:ascii="Bookman Old Style" w:hAnsi="Bookman Old Style"/>
          <w:sz w:val="24"/>
          <w:szCs w:val="24"/>
        </w:rPr>
        <w:t xml:space="preserve"> od 3 miesięcy</w:t>
      </w:r>
      <w:r w:rsidRPr="00781A21">
        <w:rPr>
          <w:rFonts w:ascii="Bookman Old Style" w:hAnsi="Bookman Old Style"/>
          <w:sz w:val="24"/>
          <w:szCs w:val="24"/>
        </w:rPr>
        <w:t xml:space="preserve"> do lat 5. § 2. W razie skazania za przestępstwo określone w § 1 sąd orzeka przepadek przedmiotów, służących lub przeznaczonych do popełnienia przestępstwa, choćby nie stanowiły własności sprawcy oraz nawiązkę. </w:t>
      </w:r>
    </w:p>
    <w:p w14:paraId="554C522F" w14:textId="77777777" w:rsidR="00BB5B4C" w:rsidRDefault="00331393" w:rsidP="00F40751">
      <w:pPr>
        <w:spacing w:after="0" w:line="360" w:lineRule="auto"/>
        <w:jc w:val="both"/>
        <w:rPr>
          <w:rFonts w:ascii="Bookman Old Style" w:hAnsi="Bookman Old Style"/>
          <w:sz w:val="24"/>
          <w:szCs w:val="24"/>
        </w:rPr>
      </w:pPr>
      <w:r w:rsidRPr="00781A21">
        <w:rPr>
          <w:rFonts w:ascii="Bookman Old Style" w:hAnsi="Bookman Old Style"/>
          <w:sz w:val="24"/>
          <w:szCs w:val="24"/>
        </w:rPr>
        <w:t>§ 3. W razie popełnienia czynu określonego w § 1, jeżeli istnieje taka możliwość orzeka się obowiązek przywrócenia do stanu poprzedniego</w:t>
      </w:r>
      <w:r>
        <w:rPr>
          <w:rFonts w:ascii="Bookman Old Style" w:hAnsi="Bookman Old Style"/>
          <w:sz w:val="24"/>
          <w:szCs w:val="24"/>
        </w:rPr>
        <w:t>”</w:t>
      </w:r>
      <w:r w:rsidRPr="00781A21">
        <w:rPr>
          <w:rFonts w:ascii="Bookman Old Style" w:hAnsi="Bookman Old Style"/>
          <w:sz w:val="24"/>
          <w:szCs w:val="24"/>
        </w:rPr>
        <w:t>.</w:t>
      </w:r>
      <w:r>
        <w:rPr>
          <w:rFonts w:ascii="Bookman Old Style" w:hAnsi="Bookman Old Style"/>
          <w:sz w:val="24"/>
          <w:szCs w:val="24"/>
        </w:rPr>
        <w:t xml:space="preserve"> </w:t>
      </w:r>
    </w:p>
    <w:p w14:paraId="3B8B64D8" w14:textId="0489630C" w:rsidR="00331393" w:rsidRDefault="00331393" w:rsidP="00BB5B4C">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Do tego projektu krytycznie odniosła się W. </w:t>
      </w:r>
      <w:proofErr w:type="spellStart"/>
      <w:r>
        <w:rPr>
          <w:rFonts w:ascii="Bookman Old Style" w:hAnsi="Bookman Old Style"/>
          <w:sz w:val="24"/>
          <w:szCs w:val="24"/>
        </w:rPr>
        <w:t>Wasil</w:t>
      </w:r>
      <w:proofErr w:type="spellEnd"/>
      <w:r>
        <w:rPr>
          <w:rFonts w:ascii="Bookman Old Style" w:hAnsi="Bookman Old Style"/>
          <w:sz w:val="24"/>
          <w:szCs w:val="24"/>
        </w:rPr>
        <w:t xml:space="preserve">, która stwierdziła, że nie jest potrzebne wprowadzanie odrębnego przepisu penalizującego rzeczone zjawisko. Co najwyżej należy poszerzyć ustawowe </w:t>
      </w:r>
      <w:r w:rsidR="0076108A">
        <w:rPr>
          <w:rFonts w:ascii="Bookman Old Style" w:hAnsi="Bookman Old Style"/>
          <w:sz w:val="24"/>
          <w:szCs w:val="24"/>
        </w:rPr>
        <w:t>granice kryminalizacji</w:t>
      </w:r>
      <w:r>
        <w:rPr>
          <w:rFonts w:ascii="Bookman Old Style" w:hAnsi="Bookman Old Style"/>
          <w:sz w:val="24"/>
          <w:szCs w:val="24"/>
        </w:rPr>
        <w:t xml:space="preserve"> w art. 288kk. poprzez dodanie nowych znamion oraz zaostrzenie sankcji w art. 63a kw.</w:t>
      </w:r>
      <w:r>
        <w:rPr>
          <w:rStyle w:val="Odwoanieprzypisudolnego"/>
          <w:rFonts w:ascii="Bookman Old Style" w:hAnsi="Bookman Old Style"/>
          <w:sz w:val="24"/>
          <w:szCs w:val="24"/>
        </w:rPr>
        <w:footnoteReference w:id="2"/>
      </w:r>
    </w:p>
    <w:p w14:paraId="7C75B097" w14:textId="2FED3EB5" w:rsidR="007217DD" w:rsidRDefault="0071232E" w:rsidP="007217D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Problematyka prawnokarnej oceny rzeczonego zjawiska nie jest nowa. Można wszak odnotować </w:t>
      </w:r>
      <w:r w:rsidR="00CC20DA">
        <w:rPr>
          <w:rFonts w:ascii="Bookman Old Style" w:hAnsi="Bookman Old Style"/>
          <w:sz w:val="24"/>
          <w:szCs w:val="24"/>
        </w:rPr>
        <w:t>wypowiedzi zarówno judykatury, jak i doktryny, w których podejmowano próbę zaproponowania kwalifikacji prawnej takich czynów.</w:t>
      </w:r>
    </w:p>
    <w:p w14:paraId="606656ED" w14:textId="72911AEB" w:rsidR="00CC20DA" w:rsidRDefault="00B13048" w:rsidP="007217D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Prezentację wypowiedzi judykatury należy rozpocząć </w:t>
      </w:r>
      <w:r w:rsidR="00341E53">
        <w:rPr>
          <w:rFonts w:ascii="Bookman Old Style" w:hAnsi="Bookman Old Style"/>
          <w:sz w:val="24"/>
          <w:szCs w:val="24"/>
        </w:rPr>
        <w:t xml:space="preserve">od uchwały SN z dnia 13 marca 1984r. (VI KZP 48/83, </w:t>
      </w:r>
      <w:proofErr w:type="spellStart"/>
      <w:r w:rsidR="00341E53">
        <w:rPr>
          <w:rFonts w:ascii="Bookman Old Style" w:hAnsi="Bookman Old Style"/>
          <w:sz w:val="24"/>
          <w:szCs w:val="24"/>
        </w:rPr>
        <w:t>Legalis</w:t>
      </w:r>
      <w:proofErr w:type="spellEnd"/>
      <w:r w:rsidR="00341E53">
        <w:rPr>
          <w:rFonts w:ascii="Bookman Old Style" w:hAnsi="Bookman Old Style"/>
          <w:sz w:val="24"/>
          <w:szCs w:val="24"/>
        </w:rPr>
        <w:t>)</w:t>
      </w:r>
      <w:r w:rsidR="00424DDE">
        <w:rPr>
          <w:rFonts w:ascii="Bookman Old Style" w:hAnsi="Bookman Old Style"/>
          <w:sz w:val="24"/>
          <w:szCs w:val="24"/>
        </w:rPr>
        <w:t>, w której przyjęto, że umieszczenie napisu lub rysunku w miejscu do tego nieprzeznaczonym może stanowić „uszkodzenie mienia” w rozumieniu art. 212 KK69</w:t>
      </w:r>
      <w:r w:rsidR="00224EE7">
        <w:rPr>
          <w:rFonts w:ascii="Bookman Old Style" w:hAnsi="Bookman Old Style"/>
          <w:sz w:val="24"/>
          <w:szCs w:val="24"/>
        </w:rPr>
        <w:t xml:space="preserve"> (albo w zależności </w:t>
      </w:r>
      <w:r w:rsidR="00224EE7">
        <w:rPr>
          <w:rFonts w:ascii="Bookman Old Style" w:hAnsi="Bookman Old Style"/>
          <w:sz w:val="24"/>
          <w:szCs w:val="24"/>
        </w:rPr>
        <w:lastRenderedPageBreak/>
        <w:t xml:space="preserve">od szkody – wykroczenie przewidziane w art. 124KW) </w:t>
      </w:r>
      <w:r w:rsidR="00224EE7" w:rsidRPr="009C3911">
        <w:rPr>
          <w:rFonts w:ascii="Bookman Old Style" w:hAnsi="Bookman Old Style"/>
          <w:b/>
          <w:bCs/>
          <w:sz w:val="24"/>
          <w:szCs w:val="24"/>
        </w:rPr>
        <w:t>tylko wówczas</w:t>
      </w:r>
      <w:r w:rsidR="00224EE7">
        <w:rPr>
          <w:rFonts w:ascii="Bookman Old Style" w:hAnsi="Bookman Old Style"/>
          <w:sz w:val="24"/>
          <w:szCs w:val="24"/>
        </w:rPr>
        <w:t xml:space="preserve">, gdy w wyniku tego działania nastąpiło </w:t>
      </w:r>
      <w:r w:rsidR="00825E97">
        <w:rPr>
          <w:rFonts w:ascii="Bookman Old Style" w:hAnsi="Bookman Old Style"/>
          <w:sz w:val="24"/>
          <w:szCs w:val="24"/>
        </w:rPr>
        <w:t xml:space="preserve">pomniejszenie wartości materialnej lub użytkowej budynku, obiektu lub innej rzeczy w takim stopniu, że do usunięcia tego </w:t>
      </w:r>
      <w:r w:rsidR="002E4E14">
        <w:rPr>
          <w:rFonts w:ascii="Bookman Old Style" w:hAnsi="Bookman Old Style"/>
          <w:sz w:val="24"/>
          <w:szCs w:val="24"/>
        </w:rPr>
        <w:t>uszkodzenia konieczne jest naruszenie ich substancji. W innym wypadku takie działanie może stanowić wykroczenie</w:t>
      </w:r>
      <w:r w:rsidR="00D04E5C">
        <w:rPr>
          <w:rFonts w:ascii="Bookman Old Style" w:hAnsi="Bookman Old Style"/>
          <w:sz w:val="24"/>
          <w:szCs w:val="24"/>
        </w:rPr>
        <w:t xml:space="preserve"> określone w art. 63a KW.</w:t>
      </w:r>
      <w:r w:rsidR="008077B8">
        <w:rPr>
          <w:rFonts w:ascii="Bookman Old Style" w:hAnsi="Bookman Old Style"/>
          <w:sz w:val="24"/>
          <w:szCs w:val="24"/>
        </w:rPr>
        <w:t xml:space="preserve"> W uzasadnieniu tej uchwały podano, iż „</w:t>
      </w:r>
      <w:r w:rsidR="008077B8" w:rsidRPr="008077B8">
        <w:rPr>
          <w:rFonts w:ascii="Bookman Old Style" w:hAnsi="Bookman Old Style" w:cs="Noto Serif"/>
          <w:color w:val="333333"/>
          <w:sz w:val="24"/>
          <w:szCs w:val="24"/>
          <w:shd w:val="clear" w:color="auto" w:fill="FFFFFF"/>
        </w:rPr>
        <w:t xml:space="preserve">Tak rozumiane „uszkodzenie” polegać może między innymi na umieszczeniu napisu lub rysunku na budynku, obiekcie lub innej rzeczy, w okolicznościach podanych w pytaniu, jeżeli następstwem tego będzie pomniejszenie wartości materialnej lub użytkowej przedmiotu działania sprawcy. Sytuacja taka może wystąpić np. wtedy, gdy wykonany napis lub rysunek naruszy formę zewnętrzną budynku, obiektu lub innej rzeczy, a przywrócenie uszkodzonego mienia do stanu poprzedniego wymagać będzie (np. ze względu na rodzaj użytego środka) choćby częściowego naruszenia jego substancji. Jeżeli jednak wysokość szkody nie przekracza 2000 zł - czyny takie stanowią wykroczenie określone </w:t>
      </w:r>
      <w:r w:rsidR="008077B8" w:rsidRPr="0003025C">
        <w:rPr>
          <w:rFonts w:ascii="Bookman Old Style" w:hAnsi="Bookman Old Style" w:cs="Noto Serif"/>
          <w:sz w:val="24"/>
          <w:szCs w:val="24"/>
          <w:shd w:val="clear" w:color="auto" w:fill="FFFFFF"/>
        </w:rPr>
        <w:t>w </w:t>
      </w:r>
      <w:hyperlink r:id="rId7" w:history="1">
        <w:r w:rsidR="008077B8" w:rsidRPr="0003025C">
          <w:rPr>
            <w:rStyle w:val="Hipercze"/>
            <w:rFonts w:ascii="Bookman Old Style" w:hAnsi="Bookman Old Style" w:cs="Noto Serif"/>
            <w:color w:val="auto"/>
            <w:sz w:val="24"/>
            <w:szCs w:val="24"/>
            <w:u w:val="none"/>
            <w:shd w:val="clear" w:color="auto" w:fill="FFFFFF"/>
          </w:rPr>
          <w:t>art. 124 § 1</w:t>
        </w:r>
      </w:hyperlink>
      <w:r w:rsidR="008077B8" w:rsidRPr="0003025C">
        <w:rPr>
          <w:rFonts w:ascii="Bookman Old Style" w:hAnsi="Bookman Old Style" w:cs="Noto Serif"/>
          <w:sz w:val="24"/>
          <w:szCs w:val="24"/>
          <w:shd w:val="clear" w:color="auto" w:fill="FFFFFF"/>
        </w:rPr>
        <w:t> KW. W wypadku natomiast, gdy przywrócenie uszkodzonego mienia do stanu poprzedniego nie będzie związane choćby</w:t>
      </w:r>
      <w:r w:rsidR="006B59FD">
        <w:rPr>
          <w:rFonts w:ascii="Bookman Old Style" w:hAnsi="Bookman Old Style" w:cs="Noto Serif"/>
          <w:sz w:val="24"/>
          <w:szCs w:val="24"/>
          <w:shd w:val="clear" w:color="auto" w:fill="FFFFFF"/>
        </w:rPr>
        <w:t xml:space="preserve"> z</w:t>
      </w:r>
      <w:r w:rsidR="008077B8" w:rsidRPr="0003025C">
        <w:rPr>
          <w:rFonts w:ascii="Bookman Old Style" w:hAnsi="Bookman Old Style" w:cs="Noto Serif"/>
          <w:sz w:val="24"/>
          <w:szCs w:val="24"/>
          <w:shd w:val="clear" w:color="auto" w:fill="FFFFFF"/>
        </w:rPr>
        <w:t xml:space="preserve"> częściowym naruszeniem jego substancji, działanie sprawcy może wyczerpywać znamiona wykroczenia określonego w </w:t>
      </w:r>
      <w:hyperlink r:id="rId8" w:history="1">
        <w:r w:rsidR="008077B8" w:rsidRPr="0003025C">
          <w:rPr>
            <w:rStyle w:val="Hipercze"/>
            <w:rFonts w:ascii="Bookman Old Style" w:hAnsi="Bookman Old Style" w:cs="Noto Serif"/>
            <w:color w:val="auto"/>
            <w:sz w:val="24"/>
            <w:szCs w:val="24"/>
            <w:u w:val="none"/>
            <w:shd w:val="clear" w:color="auto" w:fill="FFFFFF"/>
          </w:rPr>
          <w:t>art. 63a</w:t>
        </w:r>
      </w:hyperlink>
      <w:r w:rsidR="008077B8" w:rsidRPr="0003025C">
        <w:rPr>
          <w:rFonts w:ascii="Bookman Old Style" w:hAnsi="Bookman Old Style" w:cs="Noto Serif"/>
          <w:sz w:val="24"/>
          <w:szCs w:val="24"/>
          <w:shd w:val="clear" w:color="auto" w:fill="FFFFFF"/>
        </w:rPr>
        <w:t> KW</w:t>
      </w:r>
      <w:r w:rsidR="0003025C">
        <w:rPr>
          <w:rFonts w:ascii="Bookman Old Style" w:hAnsi="Bookman Old Style" w:cs="Noto Serif"/>
          <w:sz w:val="24"/>
          <w:szCs w:val="24"/>
          <w:shd w:val="clear" w:color="auto" w:fill="FFFFFF"/>
        </w:rPr>
        <w:t>.</w:t>
      </w:r>
      <w:r w:rsidR="00E04B29">
        <w:rPr>
          <w:rFonts w:ascii="Bookman Old Style" w:hAnsi="Bookman Old Style" w:cs="Noto Serif"/>
          <w:sz w:val="24"/>
          <w:szCs w:val="24"/>
          <w:shd w:val="clear" w:color="auto" w:fill="FFFFFF"/>
        </w:rPr>
        <w:t>”</w:t>
      </w:r>
      <w:r w:rsidR="00DF0660" w:rsidRPr="0003025C">
        <w:rPr>
          <w:rFonts w:ascii="Bookman Old Style" w:hAnsi="Bookman Old Style"/>
          <w:sz w:val="24"/>
          <w:szCs w:val="24"/>
        </w:rPr>
        <w:t xml:space="preserve"> Pogląd ten całkowicie powielił SN w wyroku z 22 sierpnia 2002r. (V KKN 362</w:t>
      </w:r>
      <w:r w:rsidR="005530CA" w:rsidRPr="0003025C">
        <w:rPr>
          <w:rFonts w:ascii="Bookman Old Style" w:hAnsi="Bookman Old Style"/>
          <w:sz w:val="24"/>
          <w:szCs w:val="24"/>
        </w:rPr>
        <w:t xml:space="preserve">/01, </w:t>
      </w:r>
      <w:proofErr w:type="spellStart"/>
      <w:r w:rsidR="005530CA" w:rsidRPr="0003025C">
        <w:rPr>
          <w:rFonts w:ascii="Bookman Old Style" w:hAnsi="Bookman Old Style"/>
          <w:sz w:val="24"/>
          <w:szCs w:val="24"/>
        </w:rPr>
        <w:t>Legalis</w:t>
      </w:r>
      <w:proofErr w:type="spellEnd"/>
      <w:r w:rsidR="005530CA" w:rsidRPr="0003025C">
        <w:rPr>
          <w:rFonts w:ascii="Bookman Old Style" w:hAnsi="Bookman Old Style"/>
          <w:sz w:val="24"/>
          <w:szCs w:val="24"/>
        </w:rPr>
        <w:t xml:space="preserve">), </w:t>
      </w:r>
      <w:r w:rsidR="005530CA">
        <w:rPr>
          <w:rFonts w:ascii="Bookman Old Style" w:hAnsi="Bookman Old Style"/>
          <w:sz w:val="24"/>
          <w:szCs w:val="24"/>
        </w:rPr>
        <w:t>w którym wręcz odwołano się wprost do wyżej wskazanej uchwały.</w:t>
      </w:r>
    </w:p>
    <w:p w14:paraId="4A46965F" w14:textId="77777777" w:rsidR="00FF62A7" w:rsidRDefault="005530CA" w:rsidP="0020613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Również w doktrynie można wskazać wypowiedzi, które </w:t>
      </w:r>
      <w:r w:rsidR="00DC2F59">
        <w:rPr>
          <w:rFonts w:ascii="Bookman Old Style" w:hAnsi="Bookman Old Style"/>
          <w:sz w:val="24"/>
          <w:szCs w:val="24"/>
        </w:rPr>
        <w:t>stanowią próbę prawnokarnej oceny tego zjawiska.</w:t>
      </w:r>
      <w:r w:rsidR="00C97DF1">
        <w:rPr>
          <w:rFonts w:ascii="Bookman Old Style" w:hAnsi="Bookman Old Style"/>
          <w:sz w:val="24"/>
          <w:szCs w:val="24"/>
        </w:rPr>
        <w:t xml:space="preserve"> </w:t>
      </w:r>
    </w:p>
    <w:p w14:paraId="1B9F95ED" w14:textId="5F2DF4F1" w:rsidR="001C0313" w:rsidRDefault="00C97DF1" w:rsidP="0020613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Najszersze </w:t>
      </w:r>
      <w:r w:rsidR="000A3246">
        <w:rPr>
          <w:rFonts w:ascii="Bookman Old Style" w:hAnsi="Bookman Old Style"/>
          <w:sz w:val="24"/>
          <w:szCs w:val="24"/>
        </w:rPr>
        <w:t xml:space="preserve">i najbardziej pogłębione opracowanie przygotował M. Kulik, który w konkluzji stwierdza, że </w:t>
      </w:r>
      <w:r w:rsidR="00974ADC">
        <w:rPr>
          <w:rFonts w:ascii="Bookman Old Style" w:hAnsi="Bookman Old Style"/>
          <w:sz w:val="24"/>
          <w:szCs w:val="24"/>
        </w:rPr>
        <w:t>kwalifikacja z art. 124§1kw lub art. 288§1kk będzie należała do rzadkości.</w:t>
      </w:r>
      <w:r w:rsidR="0036409E">
        <w:rPr>
          <w:rStyle w:val="Odwoanieprzypisudolnego"/>
          <w:rFonts w:ascii="Bookman Old Style" w:hAnsi="Bookman Old Style"/>
          <w:sz w:val="24"/>
          <w:szCs w:val="24"/>
        </w:rPr>
        <w:footnoteReference w:id="3"/>
      </w:r>
      <w:r w:rsidR="00332548">
        <w:rPr>
          <w:rFonts w:ascii="Bookman Old Style" w:hAnsi="Bookman Old Style"/>
          <w:sz w:val="24"/>
          <w:szCs w:val="24"/>
        </w:rPr>
        <w:t xml:space="preserve"> Zdaniem Autora będzie miała miejsce tylko wówczas, gdy wskutek </w:t>
      </w:r>
      <w:r w:rsidR="00515635">
        <w:rPr>
          <w:rFonts w:ascii="Bookman Old Style" w:hAnsi="Bookman Old Style"/>
          <w:sz w:val="24"/>
          <w:szCs w:val="24"/>
        </w:rPr>
        <w:t>namalowania graf</w:t>
      </w:r>
      <w:r w:rsidR="004C1CAA">
        <w:rPr>
          <w:rFonts w:ascii="Bookman Old Style" w:hAnsi="Bookman Old Style"/>
          <w:sz w:val="24"/>
          <w:szCs w:val="24"/>
        </w:rPr>
        <w:t>f</w:t>
      </w:r>
      <w:r w:rsidR="00515635">
        <w:rPr>
          <w:rFonts w:ascii="Bookman Old Style" w:hAnsi="Bookman Old Style"/>
          <w:sz w:val="24"/>
          <w:szCs w:val="24"/>
        </w:rPr>
        <w:t>iti dojdzie jednocześnie do uszczuplenia substancji rzeczy bądź zmniejszenia jej użyteczności.</w:t>
      </w:r>
      <w:r w:rsidR="002701AF">
        <w:rPr>
          <w:rStyle w:val="Odwoanieprzypisudolnego"/>
          <w:rFonts w:ascii="Bookman Old Style" w:hAnsi="Bookman Old Style"/>
          <w:sz w:val="24"/>
          <w:szCs w:val="24"/>
        </w:rPr>
        <w:footnoteReference w:id="4"/>
      </w:r>
      <w:r w:rsidR="00515635">
        <w:rPr>
          <w:rFonts w:ascii="Bookman Old Style" w:hAnsi="Bookman Old Style"/>
          <w:sz w:val="24"/>
          <w:szCs w:val="24"/>
        </w:rPr>
        <w:t xml:space="preserve"> </w:t>
      </w:r>
      <w:r w:rsidR="00F21126">
        <w:rPr>
          <w:rFonts w:ascii="Bookman Old Style" w:hAnsi="Bookman Old Style"/>
          <w:sz w:val="24"/>
          <w:szCs w:val="24"/>
        </w:rPr>
        <w:t xml:space="preserve">Zdaniem M. Kulika </w:t>
      </w:r>
      <w:r w:rsidR="008A261A">
        <w:rPr>
          <w:rFonts w:ascii="Bookman Old Style" w:hAnsi="Bookman Old Style"/>
          <w:sz w:val="24"/>
          <w:szCs w:val="24"/>
        </w:rPr>
        <w:t>wykonanie napisu, rysunku lub zabrudzenie rzeczy</w:t>
      </w:r>
      <w:r w:rsidR="00882780">
        <w:rPr>
          <w:rFonts w:ascii="Bookman Old Style" w:hAnsi="Bookman Old Style"/>
          <w:sz w:val="24"/>
          <w:szCs w:val="24"/>
        </w:rPr>
        <w:t xml:space="preserve"> z reguły</w:t>
      </w:r>
      <w:r w:rsidR="008A261A">
        <w:rPr>
          <w:rFonts w:ascii="Bookman Old Style" w:hAnsi="Bookman Old Style"/>
          <w:sz w:val="24"/>
          <w:szCs w:val="24"/>
        </w:rPr>
        <w:t xml:space="preserve"> nie prowadzi do naruszenia jej substancji</w:t>
      </w:r>
      <w:r w:rsidR="001003AF">
        <w:rPr>
          <w:rFonts w:ascii="Bookman Old Style" w:hAnsi="Bookman Old Style"/>
          <w:sz w:val="24"/>
          <w:szCs w:val="24"/>
        </w:rPr>
        <w:t xml:space="preserve">, a zatem nie będzie ani jej zniszczeniem </w:t>
      </w:r>
      <w:r w:rsidR="001003AF">
        <w:rPr>
          <w:rFonts w:ascii="Bookman Old Style" w:hAnsi="Bookman Old Style"/>
          <w:sz w:val="24"/>
          <w:szCs w:val="24"/>
        </w:rPr>
        <w:lastRenderedPageBreak/>
        <w:t>ani jej uszkodzeniem.</w:t>
      </w:r>
      <w:r w:rsidR="0074799E">
        <w:rPr>
          <w:rFonts w:ascii="Bookman Old Style" w:hAnsi="Bookman Old Style"/>
          <w:sz w:val="24"/>
          <w:szCs w:val="24"/>
        </w:rPr>
        <w:t xml:space="preserve"> Jest to bowiem tylko naniesienie określonej substancji na rzecz.</w:t>
      </w:r>
      <w:r w:rsidR="001003AF">
        <w:rPr>
          <w:rStyle w:val="Odwoanieprzypisudolnego"/>
          <w:rFonts w:ascii="Bookman Old Style" w:hAnsi="Bookman Old Style"/>
          <w:sz w:val="24"/>
          <w:szCs w:val="24"/>
        </w:rPr>
        <w:footnoteReference w:id="5"/>
      </w:r>
      <w:r w:rsidR="004C0EC8">
        <w:rPr>
          <w:rFonts w:ascii="Bookman Old Style" w:hAnsi="Bookman Old Style"/>
          <w:sz w:val="24"/>
          <w:szCs w:val="24"/>
        </w:rPr>
        <w:t xml:space="preserve"> </w:t>
      </w:r>
      <w:r w:rsidR="00AD2AAF">
        <w:rPr>
          <w:rFonts w:ascii="Bookman Old Style" w:hAnsi="Bookman Old Style"/>
          <w:sz w:val="24"/>
          <w:szCs w:val="24"/>
        </w:rPr>
        <w:t>Jednakże w</w:t>
      </w:r>
      <w:r w:rsidR="004C0EC8">
        <w:rPr>
          <w:rFonts w:ascii="Bookman Old Style" w:hAnsi="Bookman Old Style"/>
          <w:sz w:val="24"/>
          <w:szCs w:val="24"/>
        </w:rPr>
        <w:t xml:space="preserve"> wyjątkowych sytuacjach, według M. Kulika „zniszczenie lub uszkodzenie rzeczy przez </w:t>
      </w:r>
      <w:r w:rsidR="008D5734">
        <w:rPr>
          <w:rFonts w:ascii="Bookman Old Style" w:hAnsi="Bookman Old Style"/>
          <w:sz w:val="24"/>
          <w:szCs w:val="24"/>
        </w:rPr>
        <w:t xml:space="preserve">namalowanie lub narysowanie na niej czegoś pojęciowo jest możliwe. </w:t>
      </w:r>
      <w:r w:rsidR="00B97724">
        <w:rPr>
          <w:rFonts w:ascii="Bookman Old Style" w:hAnsi="Bookman Old Style"/>
          <w:sz w:val="24"/>
          <w:szCs w:val="24"/>
        </w:rPr>
        <w:t>Możliwość popełniani</w:t>
      </w:r>
      <w:r w:rsidR="00CA3722">
        <w:rPr>
          <w:rFonts w:ascii="Bookman Old Style" w:hAnsi="Bookman Old Style"/>
          <w:sz w:val="24"/>
          <w:szCs w:val="24"/>
        </w:rPr>
        <w:t>a</w:t>
      </w:r>
      <w:r w:rsidR="00B97724">
        <w:rPr>
          <w:rFonts w:ascii="Bookman Old Style" w:hAnsi="Bookman Old Style"/>
          <w:sz w:val="24"/>
          <w:szCs w:val="24"/>
        </w:rPr>
        <w:t xml:space="preserve"> takiego czynu zależy od fizycznych i chemicznych właściwości rzeczy oraz substancji użytej </w:t>
      </w:r>
      <w:r w:rsidR="00034A99">
        <w:rPr>
          <w:rFonts w:ascii="Bookman Old Style" w:hAnsi="Bookman Old Style"/>
          <w:sz w:val="24"/>
          <w:szCs w:val="24"/>
        </w:rPr>
        <w:t>do wykonania napisu lub rysunku ale wypadki</w:t>
      </w:r>
      <w:r w:rsidR="00A9735E">
        <w:rPr>
          <w:rFonts w:ascii="Bookman Old Style" w:hAnsi="Bookman Old Style"/>
          <w:sz w:val="24"/>
          <w:szCs w:val="24"/>
        </w:rPr>
        <w:t xml:space="preserve"> te</w:t>
      </w:r>
      <w:r w:rsidR="00034A99">
        <w:rPr>
          <w:rFonts w:ascii="Bookman Old Style" w:hAnsi="Bookman Old Style"/>
          <w:sz w:val="24"/>
          <w:szCs w:val="24"/>
        </w:rPr>
        <w:t>- zdaniem Autora- będą raczej rzadkie.</w:t>
      </w:r>
      <w:r w:rsidR="00034A99">
        <w:rPr>
          <w:rStyle w:val="Odwoanieprzypisudolnego"/>
          <w:rFonts w:ascii="Bookman Old Style" w:hAnsi="Bookman Old Style"/>
          <w:sz w:val="24"/>
          <w:szCs w:val="24"/>
        </w:rPr>
        <w:footnoteReference w:id="6"/>
      </w:r>
      <w:r w:rsidR="00034A99">
        <w:rPr>
          <w:rFonts w:ascii="Bookman Old Style" w:hAnsi="Bookman Old Style"/>
          <w:sz w:val="24"/>
          <w:szCs w:val="24"/>
        </w:rPr>
        <w:t xml:space="preserve"> </w:t>
      </w:r>
      <w:r w:rsidR="00E110BB">
        <w:rPr>
          <w:rFonts w:ascii="Bookman Old Style" w:hAnsi="Bookman Old Style"/>
          <w:sz w:val="24"/>
          <w:szCs w:val="24"/>
        </w:rPr>
        <w:t>M. Kulik</w:t>
      </w:r>
      <w:r w:rsidR="00B0440C">
        <w:rPr>
          <w:rFonts w:ascii="Bookman Old Style" w:hAnsi="Bookman Old Style"/>
          <w:sz w:val="24"/>
          <w:szCs w:val="24"/>
        </w:rPr>
        <w:t xml:space="preserve"> przyznaje, że takie zachowanie wywołuje zawsze jakieś skutki w strukturze rzeczy ale kwalifikowanie takich sytuacji z art. 288</w:t>
      </w:r>
      <w:r w:rsidR="00C9720E">
        <w:rPr>
          <w:rFonts w:ascii="Bookman Old Style" w:hAnsi="Bookman Old Style"/>
          <w:sz w:val="24"/>
          <w:szCs w:val="24"/>
        </w:rPr>
        <w:t>§1kk wydaje się zbyt daleko idące.</w:t>
      </w:r>
      <w:r w:rsidR="00C9720E">
        <w:rPr>
          <w:rStyle w:val="Odwoanieprzypisudolnego"/>
          <w:rFonts w:ascii="Bookman Old Style" w:hAnsi="Bookman Old Style"/>
          <w:sz w:val="24"/>
          <w:szCs w:val="24"/>
        </w:rPr>
        <w:footnoteReference w:id="7"/>
      </w:r>
      <w:r w:rsidR="00DC7184">
        <w:rPr>
          <w:rFonts w:ascii="Bookman Old Style" w:hAnsi="Bookman Old Style"/>
          <w:sz w:val="24"/>
          <w:szCs w:val="24"/>
        </w:rPr>
        <w:t xml:space="preserve"> </w:t>
      </w:r>
      <w:r w:rsidR="00AD484E">
        <w:rPr>
          <w:rFonts w:ascii="Bookman Old Style" w:hAnsi="Bookman Old Style"/>
          <w:sz w:val="24"/>
          <w:szCs w:val="24"/>
        </w:rPr>
        <w:t xml:space="preserve">Nie będzie to jednak wykluczone- jak pisze dalej- </w:t>
      </w:r>
      <w:r w:rsidR="00370B3F">
        <w:rPr>
          <w:rFonts w:ascii="Bookman Old Style" w:hAnsi="Bookman Old Style"/>
          <w:sz w:val="24"/>
          <w:szCs w:val="24"/>
        </w:rPr>
        <w:t xml:space="preserve">jeżeli fizyczne i chemiczne właściwości farby są tego rodzaju, że będzie ona się wiązała z podłożem </w:t>
      </w:r>
      <w:r w:rsidR="002B4E6B">
        <w:rPr>
          <w:rFonts w:ascii="Bookman Old Style" w:hAnsi="Bookman Old Style"/>
          <w:sz w:val="24"/>
          <w:szCs w:val="24"/>
        </w:rPr>
        <w:t xml:space="preserve">naruszając jego strukturę. </w:t>
      </w:r>
      <w:r w:rsidR="002B4E6B">
        <w:rPr>
          <w:rStyle w:val="Odwoanieprzypisudolnego"/>
          <w:rFonts w:ascii="Bookman Old Style" w:hAnsi="Bookman Old Style"/>
          <w:sz w:val="24"/>
          <w:szCs w:val="24"/>
        </w:rPr>
        <w:footnoteReference w:id="8"/>
      </w:r>
      <w:r w:rsidR="000D2B63">
        <w:rPr>
          <w:rFonts w:ascii="Bookman Old Style" w:hAnsi="Bookman Old Style"/>
          <w:sz w:val="24"/>
          <w:szCs w:val="24"/>
        </w:rPr>
        <w:t xml:space="preserve">Jednocześnie </w:t>
      </w:r>
      <w:r w:rsidR="00563DD6">
        <w:rPr>
          <w:rFonts w:ascii="Bookman Old Style" w:hAnsi="Bookman Old Style"/>
          <w:sz w:val="24"/>
          <w:szCs w:val="24"/>
        </w:rPr>
        <w:t>Autor</w:t>
      </w:r>
      <w:r w:rsidR="000D2B63">
        <w:rPr>
          <w:rFonts w:ascii="Bookman Old Style" w:hAnsi="Bookman Old Style"/>
          <w:sz w:val="24"/>
          <w:szCs w:val="24"/>
        </w:rPr>
        <w:t xml:space="preserve"> podnosi, że</w:t>
      </w:r>
      <w:r w:rsidR="00563DD6">
        <w:rPr>
          <w:rFonts w:ascii="Bookman Old Style" w:hAnsi="Bookman Old Style"/>
          <w:sz w:val="24"/>
          <w:szCs w:val="24"/>
        </w:rPr>
        <w:t xml:space="preserve"> w przypadku, gdy dojdzie w takich sytuacjach do naruszenia substancji rzeczy, to</w:t>
      </w:r>
      <w:r w:rsidR="000D2B63">
        <w:rPr>
          <w:rFonts w:ascii="Bookman Old Style" w:hAnsi="Bookman Old Style"/>
          <w:sz w:val="24"/>
          <w:szCs w:val="24"/>
        </w:rPr>
        <w:t xml:space="preserve"> </w:t>
      </w:r>
      <w:r w:rsidR="000828E2">
        <w:rPr>
          <w:rFonts w:ascii="Bookman Old Style" w:hAnsi="Bookman Old Style"/>
          <w:sz w:val="24"/>
          <w:szCs w:val="24"/>
        </w:rPr>
        <w:t xml:space="preserve">odpowiedzialność nie powinna zależeć od poniesienia przez uprawnionego </w:t>
      </w:r>
      <w:r w:rsidR="00AF0ECC">
        <w:rPr>
          <w:rFonts w:ascii="Bookman Old Style" w:hAnsi="Bookman Old Style"/>
          <w:sz w:val="24"/>
          <w:szCs w:val="24"/>
        </w:rPr>
        <w:t>do rzeczy nakładu kosztów lub pracy w celu przywrócenia rzeczy do stanu poprzedniego. Jak dodaje</w:t>
      </w:r>
      <w:r w:rsidR="00C80FB3">
        <w:rPr>
          <w:rFonts w:ascii="Bookman Old Style" w:hAnsi="Bookman Old Style"/>
          <w:sz w:val="24"/>
          <w:szCs w:val="24"/>
        </w:rPr>
        <w:t xml:space="preserve"> Autor</w:t>
      </w:r>
      <w:r w:rsidR="00AF0ECC">
        <w:rPr>
          <w:rFonts w:ascii="Bookman Old Style" w:hAnsi="Bookman Old Style"/>
          <w:sz w:val="24"/>
          <w:szCs w:val="24"/>
        </w:rPr>
        <w:t xml:space="preserve">, właściwsze byłoby w tym przypadku </w:t>
      </w:r>
      <w:r w:rsidR="00C240EF">
        <w:rPr>
          <w:rFonts w:ascii="Bookman Old Style" w:hAnsi="Bookman Old Style"/>
          <w:sz w:val="24"/>
          <w:szCs w:val="24"/>
        </w:rPr>
        <w:t>uzależnienie odpowiedzialności od faktu zmniejszenia jej użyteczności i wystąpienia szkody majątkowej.</w:t>
      </w:r>
      <w:r w:rsidR="00567635">
        <w:rPr>
          <w:rFonts w:ascii="Bookman Old Style" w:hAnsi="Bookman Old Style"/>
          <w:sz w:val="24"/>
          <w:szCs w:val="24"/>
        </w:rPr>
        <w:t xml:space="preserve"> Kryterium naruszenia substancji rzeczy </w:t>
      </w:r>
      <w:r w:rsidR="00124A3F">
        <w:rPr>
          <w:rFonts w:ascii="Bookman Old Style" w:hAnsi="Bookman Old Style"/>
          <w:sz w:val="24"/>
          <w:szCs w:val="24"/>
        </w:rPr>
        <w:t xml:space="preserve">podkreśla stopień </w:t>
      </w:r>
      <w:r w:rsidR="00D005E6">
        <w:rPr>
          <w:rFonts w:ascii="Bookman Old Style" w:hAnsi="Bookman Old Style"/>
          <w:sz w:val="24"/>
          <w:szCs w:val="24"/>
        </w:rPr>
        <w:t>ingerencji spowodowanej umieszczeniem napisu lub rysunku. Jeśli taki rysunek będzie można z łatwością usunąć</w:t>
      </w:r>
      <w:r w:rsidR="00450170">
        <w:rPr>
          <w:rFonts w:ascii="Bookman Old Style" w:hAnsi="Bookman Old Style"/>
          <w:sz w:val="24"/>
          <w:szCs w:val="24"/>
        </w:rPr>
        <w:t xml:space="preserve"> poprzez choćby wytarcie, to nie można mówić o naruszeniu substancji rzeczy, a tym samym o jej uszkodzeniu.</w:t>
      </w:r>
      <w:r w:rsidR="00AD2BEE">
        <w:rPr>
          <w:rStyle w:val="Odwoanieprzypisudolnego"/>
          <w:rFonts w:ascii="Bookman Old Style" w:hAnsi="Bookman Old Style"/>
          <w:sz w:val="24"/>
          <w:szCs w:val="24"/>
        </w:rPr>
        <w:footnoteReference w:id="9"/>
      </w:r>
      <w:r w:rsidR="0089456D">
        <w:rPr>
          <w:rFonts w:ascii="Bookman Old Style" w:hAnsi="Bookman Old Style"/>
          <w:sz w:val="24"/>
          <w:szCs w:val="24"/>
        </w:rPr>
        <w:t xml:space="preserve"> </w:t>
      </w:r>
      <w:r w:rsidR="007E17CB">
        <w:rPr>
          <w:rFonts w:ascii="Bookman Old Style" w:hAnsi="Bookman Old Style"/>
          <w:sz w:val="24"/>
          <w:szCs w:val="24"/>
        </w:rPr>
        <w:t xml:space="preserve">M. Kulik przywołuje również stanowisko szwajcarskiej doktryny prawa </w:t>
      </w:r>
      <w:r w:rsidR="003E10C5">
        <w:rPr>
          <w:rFonts w:ascii="Bookman Old Style" w:hAnsi="Bookman Old Style"/>
          <w:sz w:val="24"/>
          <w:szCs w:val="24"/>
        </w:rPr>
        <w:t xml:space="preserve">karnego, która co do zasady wychodzi z założenia, że </w:t>
      </w:r>
      <w:r w:rsidR="003E10C5" w:rsidRPr="00E720A0">
        <w:rPr>
          <w:rFonts w:ascii="Bookman Old Style" w:hAnsi="Bookman Old Style"/>
          <w:b/>
          <w:bCs/>
          <w:sz w:val="24"/>
          <w:szCs w:val="24"/>
        </w:rPr>
        <w:t>zeszpecenie</w:t>
      </w:r>
      <w:r w:rsidR="003E10C5">
        <w:rPr>
          <w:rFonts w:ascii="Bookman Old Style" w:hAnsi="Bookman Old Style"/>
          <w:sz w:val="24"/>
          <w:szCs w:val="24"/>
        </w:rPr>
        <w:t xml:space="preserve"> rzeczy powinno być traktowane w kategoriach jej uszkodzenia.</w:t>
      </w:r>
      <w:r w:rsidR="00C149AF">
        <w:rPr>
          <w:rFonts w:ascii="Bookman Old Style" w:hAnsi="Bookman Old Style"/>
          <w:sz w:val="24"/>
          <w:szCs w:val="24"/>
        </w:rPr>
        <w:t xml:space="preserve"> Jak podaje , w </w:t>
      </w:r>
      <w:r w:rsidR="00A313CC">
        <w:rPr>
          <w:rFonts w:ascii="Bookman Old Style" w:hAnsi="Bookman Old Style"/>
          <w:sz w:val="24"/>
          <w:szCs w:val="24"/>
        </w:rPr>
        <w:t>kodeksie karnym austriackim z w §</w:t>
      </w:r>
      <w:r w:rsidR="001609B0">
        <w:rPr>
          <w:rFonts w:ascii="Bookman Old Style" w:hAnsi="Bookman Old Style"/>
          <w:sz w:val="24"/>
          <w:szCs w:val="24"/>
        </w:rPr>
        <w:t xml:space="preserve">125 pkt 1 występuje znamię </w:t>
      </w:r>
      <w:r w:rsidR="000F041A">
        <w:rPr>
          <w:rFonts w:ascii="Bookman Old Style" w:hAnsi="Bookman Old Style"/>
          <w:sz w:val="24"/>
          <w:szCs w:val="24"/>
        </w:rPr>
        <w:t>„</w:t>
      </w:r>
      <w:r w:rsidR="001609B0">
        <w:rPr>
          <w:rFonts w:ascii="Bookman Old Style" w:hAnsi="Bookman Old Style"/>
          <w:sz w:val="24"/>
          <w:szCs w:val="24"/>
        </w:rPr>
        <w:t>zeszpecenia</w:t>
      </w:r>
      <w:r w:rsidR="000F041A">
        <w:rPr>
          <w:rFonts w:ascii="Bookman Old Style" w:hAnsi="Bookman Old Style"/>
          <w:sz w:val="24"/>
          <w:szCs w:val="24"/>
        </w:rPr>
        <w:t>”</w:t>
      </w:r>
      <w:r w:rsidR="000A6B4F">
        <w:rPr>
          <w:rFonts w:ascii="Bookman Old Style" w:hAnsi="Bookman Old Style"/>
          <w:sz w:val="24"/>
          <w:szCs w:val="24"/>
        </w:rPr>
        <w:t xml:space="preserve"> (a właściwie zniekształcenia)</w:t>
      </w:r>
      <w:r w:rsidR="001609B0">
        <w:rPr>
          <w:rFonts w:ascii="Bookman Old Style" w:hAnsi="Bookman Old Style"/>
          <w:sz w:val="24"/>
          <w:szCs w:val="24"/>
        </w:rPr>
        <w:t xml:space="preserve"> rzeczy, znane są także projekty wprowadzenia tego znamienia do §303 </w:t>
      </w:r>
      <w:proofErr w:type="spellStart"/>
      <w:r w:rsidR="001609B0">
        <w:rPr>
          <w:rFonts w:ascii="Bookman Old Style" w:hAnsi="Bookman Old Style"/>
          <w:sz w:val="24"/>
          <w:szCs w:val="24"/>
        </w:rPr>
        <w:t>StGB</w:t>
      </w:r>
      <w:proofErr w:type="spellEnd"/>
      <w:r w:rsidR="001609B0">
        <w:rPr>
          <w:rFonts w:ascii="Bookman Old Style" w:hAnsi="Bookman Old Style"/>
          <w:sz w:val="24"/>
          <w:szCs w:val="24"/>
        </w:rPr>
        <w:t>.</w:t>
      </w:r>
      <w:r w:rsidR="003E10C5">
        <w:rPr>
          <w:rStyle w:val="Odwoanieprzypisudolnego"/>
          <w:rFonts w:ascii="Bookman Old Style" w:hAnsi="Bookman Old Style"/>
          <w:sz w:val="24"/>
          <w:szCs w:val="24"/>
        </w:rPr>
        <w:footnoteReference w:id="10"/>
      </w:r>
      <w:r w:rsidR="0089456D" w:rsidRPr="0089456D">
        <w:rPr>
          <w:rFonts w:ascii="Bookman Old Style" w:hAnsi="Bookman Old Style"/>
          <w:sz w:val="24"/>
          <w:szCs w:val="24"/>
        </w:rPr>
        <w:t xml:space="preserve"> </w:t>
      </w:r>
      <w:r w:rsidR="0089456D">
        <w:rPr>
          <w:rFonts w:ascii="Bookman Old Style" w:hAnsi="Bookman Old Style"/>
          <w:sz w:val="24"/>
          <w:szCs w:val="24"/>
        </w:rPr>
        <w:t xml:space="preserve">Ponadto Autor dodaje, że naniesienie graffiti na powierzchnię rzeczy może zmniejszać jej wartość użytkową, a to już jest wystarczające do przyjęcia, że został popełniony </w:t>
      </w:r>
      <w:r w:rsidR="0089456D">
        <w:rPr>
          <w:rFonts w:ascii="Bookman Old Style" w:hAnsi="Bookman Old Style"/>
          <w:sz w:val="24"/>
          <w:szCs w:val="24"/>
        </w:rPr>
        <w:lastRenderedPageBreak/>
        <w:t>czyn z art. 288§1kk lub art. 124§1kw w postaci uczynienia jej niezdatn</w:t>
      </w:r>
      <w:r w:rsidR="00834BCE">
        <w:rPr>
          <w:rFonts w:ascii="Bookman Old Style" w:hAnsi="Bookman Old Style"/>
          <w:sz w:val="24"/>
          <w:szCs w:val="24"/>
        </w:rPr>
        <w:t>ą</w:t>
      </w:r>
      <w:r w:rsidR="0089456D">
        <w:rPr>
          <w:rFonts w:ascii="Bookman Old Style" w:hAnsi="Bookman Old Style"/>
          <w:sz w:val="24"/>
          <w:szCs w:val="24"/>
        </w:rPr>
        <w:t xml:space="preserve"> do użytku. </w:t>
      </w:r>
      <w:r w:rsidR="0089456D">
        <w:rPr>
          <w:rStyle w:val="Odwoanieprzypisudolnego"/>
          <w:rFonts w:ascii="Bookman Old Style" w:hAnsi="Bookman Old Style"/>
          <w:sz w:val="24"/>
          <w:szCs w:val="24"/>
        </w:rPr>
        <w:footnoteReference w:id="11"/>
      </w:r>
    </w:p>
    <w:p w14:paraId="03BA97DC" w14:textId="75955067" w:rsidR="00C2790C" w:rsidRDefault="00C2790C" w:rsidP="00015DC7">
      <w:pPr>
        <w:spacing w:after="0" w:line="360" w:lineRule="auto"/>
        <w:ind w:firstLine="708"/>
        <w:jc w:val="both"/>
        <w:rPr>
          <w:rFonts w:ascii="Bookman Old Style" w:hAnsi="Bookman Old Style"/>
          <w:sz w:val="24"/>
          <w:szCs w:val="24"/>
        </w:rPr>
      </w:pPr>
      <w:r>
        <w:rPr>
          <w:rFonts w:ascii="Bookman Old Style" w:hAnsi="Bookman Old Style"/>
          <w:sz w:val="24"/>
          <w:szCs w:val="24"/>
        </w:rPr>
        <w:t>Również P. Kardas oraz M. Dąbrowska-Kardas są zdania, że zamieszczenie na rzeczy rysunków, napisów lub innych treści albo jej zabrudzenie co do zasady nie będzie stanowiło uszkodzenia rzeczy wszak nie prowadzi do naruszenia jej substancji , a zatem do zmiany jej właściwości. Zdaniem tych autorów kwalifikacja z art. 288kk może wchodzić w takim przypadku w grę, jeżeli samo naniesienie takich napisów, rysunków lub zabrudzenia będą naruszały substancję rzeczy albo gdy ich usunięcie będzie naruszało taką substancję.</w:t>
      </w:r>
      <w:r>
        <w:rPr>
          <w:rStyle w:val="Odwoanieprzypisudolnego"/>
          <w:rFonts w:ascii="Bookman Old Style" w:hAnsi="Bookman Old Style"/>
          <w:sz w:val="24"/>
          <w:szCs w:val="24"/>
        </w:rPr>
        <w:footnoteReference w:id="12"/>
      </w:r>
      <w:r w:rsidR="00015DC7">
        <w:rPr>
          <w:rFonts w:ascii="Bookman Old Style" w:hAnsi="Bookman Old Style"/>
          <w:sz w:val="24"/>
          <w:szCs w:val="24"/>
        </w:rPr>
        <w:t xml:space="preserve"> Tym samym wypowiedź ta nawiązuje wyraźnie do cytowanego wyżej stanowiska SN wyrażonego w uchwale z 1984r.</w:t>
      </w:r>
    </w:p>
    <w:p w14:paraId="70BD8176" w14:textId="3CF08133" w:rsidR="00006521" w:rsidRDefault="00006521" w:rsidP="00006521">
      <w:pPr>
        <w:spacing w:after="0" w:line="360" w:lineRule="auto"/>
        <w:ind w:firstLine="708"/>
        <w:jc w:val="both"/>
        <w:rPr>
          <w:rFonts w:ascii="Bookman Old Style" w:hAnsi="Bookman Old Style"/>
          <w:sz w:val="24"/>
          <w:szCs w:val="24"/>
        </w:rPr>
      </w:pPr>
      <w:r>
        <w:rPr>
          <w:rFonts w:ascii="Bookman Old Style" w:hAnsi="Bookman Old Style"/>
          <w:sz w:val="24"/>
          <w:szCs w:val="24"/>
        </w:rPr>
        <w:t>Podobne stanowisko zajmuje G. Łabuda, który uważa, że „</w:t>
      </w:r>
      <w:r w:rsidRPr="009352B9">
        <w:rPr>
          <w:rFonts w:ascii="Bookman Old Style" w:hAnsi="Bookman Old Style" w:cs="Open Sans"/>
          <w:color w:val="333333"/>
          <w:sz w:val="24"/>
          <w:szCs w:val="24"/>
          <w:shd w:val="clear" w:color="auto" w:fill="FFFFFF"/>
        </w:rPr>
        <w:t>Uszkodzeniem rzeczy może być pod pewnymi warunkami również umieszczenie rysunków, napisów, zabrudzenie. Chodzi o sytuacje, gdy przywrócenie rzeczy do stanu poprzedniego przez usunięcie naniesionych rysunków czy napisów (np. graffiti) będzie związane z koniecznością uszkodzenia rzeczy</w:t>
      </w:r>
      <w:r>
        <w:rPr>
          <w:rFonts w:ascii="Bookman Old Style" w:hAnsi="Bookman Old Style" w:cs="Open Sans"/>
          <w:color w:val="333333"/>
          <w:sz w:val="24"/>
          <w:szCs w:val="24"/>
          <w:shd w:val="clear" w:color="auto" w:fill="FFFFFF"/>
        </w:rPr>
        <w:t>”</w:t>
      </w:r>
      <w:r>
        <w:rPr>
          <w:rFonts w:ascii="Open Sans" w:hAnsi="Open Sans" w:cs="Open Sans"/>
          <w:color w:val="333333"/>
          <w:shd w:val="clear" w:color="auto" w:fill="FFFFFF"/>
        </w:rPr>
        <w:t>.</w:t>
      </w:r>
      <w:r>
        <w:rPr>
          <w:rStyle w:val="Odwoanieprzypisudolnego"/>
          <w:rFonts w:ascii="Open Sans" w:hAnsi="Open Sans" w:cs="Open Sans"/>
          <w:color w:val="333333"/>
          <w:shd w:val="clear" w:color="auto" w:fill="FFFFFF"/>
        </w:rPr>
        <w:footnoteReference w:id="13"/>
      </w:r>
    </w:p>
    <w:p w14:paraId="366A8C48" w14:textId="13AE041A" w:rsidR="00F60ADB" w:rsidRDefault="00A90EA7" w:rsidP="0020613D">
      <w:pPr>
        <w:spacing w:after="0" w:line="360" w:lineRule="auto"/>
        <w:ind w:firstLine="708"/>
        <w:jc w:val="both"/>
        <w:rPr>
          <w:rFonts w:ascii="Bookman Old Style" w:hAnsi="Bookman Old Style"/>
          <w:sz w:val="24"/>
          <w:szCs w:val="24"/>
        </w:rPr>
      </w:pPr>
      <w:r>
        <w:rPr>
          <w:rFonts w:ascii="Bookman Old Style" w:hAnsi="Bookman Old Style"/>
          <w:sz w:val="24"/>
          <w:szCs w:val="24"/>
        </w:rPr>
        <w:t>Natomiast z</w:t>
      </w:r>
      <w:r w:rsidR="001C0313">
        <w:rPr>
          <w:rFonts w:ascii="Bookman Old Style" w:hAnsi="Bookman Old Style"/>
          <w:sz w:val="24"/>
          <w:szCs w:val="24"/>
        </w:rPr>
        <w:t>daniem T. Oczkowskiego</w:t>
      </w:r>
      <w:r w:rsidR="00FE5439">
        <w:rPr>
          <w:rFonts w:ascii="Bookman Old Style" w:hAnsi="Bookman Old Style"/>
          <w:sz w:val="24"/>
          <w:szCs w:val="24"/>
        </w:rPr>
        <w:t xml:space="preserve">, jeżeli doszło do naniesienia na </w:t>
      </w:r>
      <w:r w:rsidR="00FE2DEE">
        <w:rPr>
          <w:rFonts w:ascii="Bookman Old Style" w:hAnsi="Bookman Old Style"/>
          <w:sz w:val="24"/>
          <w:szCs w:val="24"/>
        </w:rPr>
        <w:t>jakiś przedmiot napisów, rysunków obrazów, tablic czy plakatów bez zgody właściciela lub zarządcy</w:t>
      </w:r>
      <w:r w:rsidR="00E50606">
        <w:rPr>
          <w:rFonts w:ascii="Bookman Old Style" w:hAnsi="Bookman Old Style"/>
          <w:sz w:val="24"/>
          <w:szCs w:val="24"/>
        </w:rPr>
        <w:t xml:space="preserve">, a przywrócenie stanu poprzedniego wiązałoby się z </w:t>
      </w:r>
      <w:r w:rsidR="00E50606" w:rsidRPr="000961D8">
        <w:rPr>
          <w:rFonts w:ascii="Bookman Old Style" w:hAnsi="Bookman Old Style"/>
          <w:b/>
          <w:bCs/>
          <w:sz w:val="24"/>
          <w:szCs w:val="24"/>
        </w:rPr>
        <w:t>nakładami finansowymi</w:t>
      </w:r>
      <w:r w:rsidR="00E50606">
        <w:rPr>
          <w:rFonts w:ascii="Bookman Old Style" w:hAnsi="Bookman Old Style"/>
          <w:sz w:val="24"/>
          <w:szCs w:val="24"/>
        </w:rPr>
        <w:t>, to takie zachowanie należy traktować jako uszkodzenie rzeczy w rozumieniu art. 288.</w:t>
      </w:r>
      <w:r w:rsidR="00D21DBE">
        <w:rPr>
          <w:rFonts w:ascii="Bookman Old Style" w:hAnsi="Bookman Old Style"/>
          <w:sz w:val="24"/>
          <w:szCs w:val="24"/>
        </w:rPr>
        <w:t xml:space="preserve"> Autor pomija kryterium naruszenia  substancji lub materii rzeczy przy ustalaniu tego, czy doszło do jej uszkodzenia.</w:t>
      </w:r>
      <w:r w:rsidR="00E50606">
        <w:rPr>
          <w:rStyle w:val="Odwoanieprzypisudolnego"/>
          <w:rFonts w:ascii="Bookman Old Style" w:hAnsi="Bookman Old Style"/>
          <w:sz w:val="24"/>
          <w:szCs w:val="24"/>
        </w:rPr>
        <w:footnoteReference w:id="14"/>
      </w:r>
    </w:p>
    <w:p w14:paraId="689ABDB2" w14:textId="1CF69FA6" w:rsidR="006D043E" w:rsidRDefault="00B055A2" w:rsidP="007217DD">
      <w:pPr>
        <w:spacing w:after="0" w:line="360" w:lineRule="auto"/>
        <w:ind w:firstLine="708"/>
        <w:jc w:val="both"/>
        <w:rPr>
          <w:rFonts w:ascii="Bookman Old Style" w:hAnsi="Bookman Old Style"/>
          <w:sz w:val="24"/>
          <w:szCs w:val="24"/>
        </w:rPr>
      </w:pPr>
      <w:r>
        <w:rPr>
          <w:rFonts w:ascii="Bookman Old Style" w:hAnsi="Bookman Old Style"/>
          <w:sz w:val="24"/>
          <w:szCs w:val="24"/>
        </w:rPr>
        <w:t>Prawnokarna ocena rzeczonego zjawiska winna odbywać się przez pryzmat art. 288§1 i 2kk, art. 124§1kw, ewentualnie art. 63akw.</w:t>
      </w:r>
    </w:p>
    <w:p w14:paraId="3151450F" w14:textId="15E00847" w:rsidR="000D2144" w:rsidRDefault="00A614E0" w:rsidP="007217D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Zgodnie z przepisem art. 288§1kk, odpowiedzialności karnej podlega ten, kto cudzą rzecz niszczy, uszkadza lub czyni niezdatną do użytku. </w:t>
      </w:r>
      <w:r w:rsidR="006B1AFC">
        <w:rPr>
          <w:rFonts w:ascii="Bookman Old Style" w:hAnsi="Bookman Old Style"/>
          <w:sz w:val="24"/>
          <w:szCs w:val="24"/>
        </w:rPr>
        <w:t xml:space="preserve">Analogiczny typ czynu zabronionego przewidziano w art. 124§1kw, z tym, że </w:t>
      </w:r>
      <w:r w:rsidR="006B1AFC">
        <w:rPr>
          <w:rFonts w:ascii="Bookman Old Style" w:hAnsi="Bookman Old Style"/>
          <w:sz w:val="24"/>
          <w:szCs w:val="24"/>
        </w:rPr>
        <w:lastRenderedPageBreak/>
        <w:t xml:space="preserve">tutaj szkoda nie może przekroczyć </w:t>
      </w:r>
      <w:r w:rsidR="007217DD">
        <w:rPr>
          <w:rFonts w:ascii="Bookman Old Style" w:hAnsi="Bookman Old Style"/>
          <w:sz w:val="24"/>
          <w:szCs w:val="24"/>
        </w:rPr>
        <w:t>800zł.</w:t>
      </w:r>
      <w:r w:rsidR="007868D5">
        <w:rPr>
          <w:rFonts w:ascii="Bookman Old Style" w:hAnsi="Bookman Old Style"/>
          <w:sz w:val="24"/>
          <w:szCs w:val="24"/>
        </w:rPr>
        <w:t xml:space="preserve"> Kluczowe znaczenie dla odpowiedzi na pytanie, czy rzeczone zjawisko podpada pod wskazane przypisy jest interpretacja czynności czasownikowej wskazanej w obu regulacjach tj. niszczy, uszkadza, czyni niezdatną do użytku.</w:t>
      </w:r>
      <w:r w:rsidR="00246732">
        <w:rPr>
          <w:rFonts w:ascii="Bookman Old Style" w:hAnsi="Bookman Old Style"/>
          <w:sz w:val="24"/>
          <w:szCs w:val="24"/>
        </w:rPr>
        <w:t xml:space="preserve"> </w:t>
      </w:r>
    </w:p>
    <w:p w14:paraId="7852B157" w14:textId="3769D538" w:rsidR="007868D5" w:rsidRDefault="004109B1" w:rsidP="007217DD">
      <w:pPr>
        <w:spacing w:after="0" w:line="360" w:lineRule="auto"/>
        <w:ind w:firstLine="708"/>
        <w:jc w:val="both"/>
        <w:rPr>
          <w:rFonts w:ascii="Bookman Old Style" w:hAnsi="Bookman Old Style"/>
          <w:sz w:val="24"/>
          <w:szCs w:val="24"/>
        </w:rPr>
      </w:pPr>
      <w:r>
        <w:rPr>
          <w:rFonts w:ascii="Bookman Old Style" w:hAnsi="Bookman Old Style"/>
          <w:sz w:val="24"/>
          <w:szCs w:val="24"/>
        </w:rPr>
        <w:t>W języku potocznym p</w:t>
      </w:r>
      <w:r w:rsidR="003F64D0">
        <w:rPr>
          <w:rFonts w:ascii="Bookman Old Style" w:hAnsi="Bookman Old Style"/>
          <w:sz w:val="24"/>
          <w:szCs w:val="24"/>
        </w:rPr>
        <w:t>od pojęciem „niszczenia”</w:t>
      </w:r>
      <w:r w:rsidR="00551E89">
        <w:rPr>
          <w:rFonts w:ascii="Bookman Old Style" w:hAnsi="Bookman Old Style"/>
          <w:sz w:val="24"/>
          <w:szCs w:val="24"/>
        </w:rPr>
        <w:t xml:space="preserve"> </w:t>
      </w:r>
      <w:r w:rsidR="00F03F9F">
        <w:rPr>
          <w:rFonts w:ascii="Bookman Old Style" w:hAnsi="Bookman Old Style"/>
          <w:sz w:val="24"/>
          <w:szCs w:val="24"/>
        </w:rPr>
        <w:t>rozumieć należy „powodowanie dużych strat materialnych, powodow</w:t>
      </w:r>
      <w:r w:rsidR="00E360F2">
        <w:rPr>
          <w:rFonts w:ascii="Bookman Old Style" w:hAnsi="Bookman Old Style"/>
          <w:sz w:val="24"/>
          <w:szCs w:val="24"/>
        </w:rPr>
        <w:t>anie</w:t>
      </w:r>
      <w:r w:rsidR="00F03F9F">
        <w:rPr>
          <w:rFonts w:ascii="Bookman Old Style" w:hAnsi="Bookman Old Style"/>
          <w:sz w:val="24"/>
          <w:szCs w:val="24"/>
        </w:rPr>
        <w:t xml:space="preserve"> zużywani</w:t>
      </w:r>
      <w:r w:rsidR="00E360F2">
        <w:rPr>
          <w:rFonts w:ascii="Bookman Old Style" w:hAnsi="Bookman Old Style"/>
          <w:sz w:val="24"/>
          <w:szCs w:val="24"/>
        </w:rPr>
        <w:t>a</w:t>
      </w:r>
      <w:r w:rsidR="00F03F9F">
        <w:rPr>
          <w:rFonts w:ascii="Bookman Old Style" w:hAnsi="Bookman Old Style"/>
          <w:sz w:val="24"/>
          <w:szCs w:val="24"/>
        </w:rPr>
        <w:t xml:space="preserve"> lub psuci</w:t>
      </w:r>
      <w:r w:rsidR="00E360F2">
        <w:rPr>
          <w:rFonts w:ascii="Bookman Old Style" w:hAnsi="Bookman Old Style"/>
          <w:sz w:val="24"/>
          <w:szCs w:val="24"/>
        </w:rPr>
        <w:t>a</w:t>
      </w:r>
      <w:r w:rsidR="00F03F9F">
        <w:rPr>
          <w:rFonts w:ascii="Bookman Old Style" w:hAnsi="Bookman Old Style"/>
          <w:sz w:val="24"/>
          <w:szCs w:val="24"/>
        </w:rPr>
        <w:t xml:space="preserve"> się</w:t>
      </w:r>
      <w:r w:rsidR="007A23CD">
        <w:rPr>
          <w:rFonts w:ascii="Bookman Old Style" w:hAnsi="Bookman Old Style"/>
          <w:sz w:val="24"/>
          <w:szCs w:val="24"/>
        </w:rPr>
        <w:t>”</w:t>
      </w:r>
      <w:r w:rsidR="003F64D0">
        <w:rPr>
          <w:rFonts w:ascii="Bookman Old Style" w:hAnsi="Bookman Old Style"/>
          <w:sz w:val="24"/>
          <w:szCs w:val="24"/>
        </w:rPr>
        <w:t>.</w:t>
      </w:r>
      <w:r w:rsidR="00391DEF">
        <w:rPr>
          <w:rFonts w:ascii="Bookman Old Style" w:hAnsi="Bookman Old Style"/>
          <w:sz w:val="24"/>
          <w:szCs w:val="24"/>
        </w:rPr>
        <w:t xml:space="preserve"> </w:t>
      </w:r>
      <w:r w:rsidR="00627E7F">
        <w:rPr>
          <w:rFonts w:ascii="Bookman Old Style" w:hAnsi="Bookman Old Style"/>
          <w:sz w:val="24"/>
          <w:szCs w:val="24"/>
        </w:rPr>
        <w:t>Przyjmuje się, że obejmuje ono</w:t>
      </w:r>
      <w:r w:rsidR="00391DEF">
        <w:rPr>
          <w:rFonts w:ascii="Bookman Old Style" w:hAnsi="Bookman Old Style"/>
          <w:sz w:val="24"/>
          <w:szCs w:val="24"/>
        </w:rPr>
        <w:t xml:space="preserve"> również </w:t>
      </w:r>
      <w:r w:rsidR="005D51FD">
        <w:rPr>
          <w:rFonts w:ascii="Bookman Old Style" w:hAnsi="Bookman Old Style"/>
          <w:sz w:val="24"/>
          <w:szCs w:val="24"/>
        </w:rPr>
        <w:t>tak istotne naruszenie substancji rzeczy, że traci ona swoje dotychczasowe właściwości</w:t>
      </w:r>
      <w:r w:rsidR="00ED6244">
        <w:rPr>
          <w:rFonts w:ascii="Bookman Old Style" w:hAnsi="Bookman Old Style"/>
          <w:sz w:val="24"/>
          <w:szCs w:val="24"/>
        </w:rPr>
        <w:t>, burzeni</w:t>
      </w:r>
      <w:r w:rsidR="00996D9C">
        <w:rPr>
          <w:rFonts w:ascii="Bookman Old Style" w:hAnsi="Bookman Old Style"/>
          <w:sz w:val="24"/>
          <w:szCs w:val="24"/>
        </w:rPr>
        <w:t>e</w:t>
      </w:r>
      <w:r w:rsidR="00ED6244">
        <w:rPr>
          <w:rFonts w:ascii="Bookman Old Style" w:hAnsi="Bookman Old Style"/>
          <w:sz w:val="24"/>
          <w:szCs w:val="24"/>
        </w:rPr>
        <w:t>, pustoszeni</w:t>
      </w:r>
      <w:r w:rsidR="00996D9C">
        <w:rPr>
          <w:rFonts w:ascii="Bookman Old Style" w:hAnsi="Bookman Old Style"/>
          <w:sz w:val="24"/>
          <w:szCs w:val="24"/>
        </w:rPr>
        <w:t>e</w:t>
      </w:r>
      <w:r w:rsidR="00ED6244">
        <w:rPr>
          <w:rFonts w:ascii="Bookman Old Style" w:hAnsi="Bookman Old Style"/>
          <w:sz w:val="24"/>
          <w:szCs w:val="24"/>
        </w:rPr>
        <w:t>, tępieni</w:t>
      </w:r>
      <w:r w:rsidR="00996D9C">
        <w:rPr>
          <w:rFonts w:ascii="Bookman Old Style" w:hAnsi="Bookman Old Style"/>
          <w:sz w:val="24"/>
          <w:szCs w:val="24"/>
        </w:rPr>
        <w:t>e</w:t>
      </w:r>
      <w:r w:rsidR="00ED6244">
        <w:rPr>
          <w:rFonts w:ascii="Bookman Old Style" w:hAnsi="Bookman Old Style"/>
          <w:sz w:val="24"/>
          <w:szCs w:val="24"/>
        </w:rPr>
        <w:t>, wypalani</w:t>
      </w:r>
      <w:r w:rsidR="00996D9C">
        <w:rPr>
          <w:rFonts w:ascii="Bookman Old Style" w:hAnsi="Bookman Old Style"/>
          <w:sz w:val="24"/>
          <w:szCs w:val="24"/>
        </w:rPr>
        <w:t>e</w:t>
      </w:r>
      <w:r w:rsidR="00ED6244">
        <w:rPr>
          <w:rFonts w:ascii="Bookman Old Style" w:hAnsi="Bookman Old Style"/>
          <w:sz w:val="24"/>
          <w:szCs w:val="24"/>
        </w:rPr>
        <w:t>, powodowani</w:t>
      </w:r>
      <w:r w:rsidR="00996D9C">
        <w:rPr>
          <w:rFonts w:ascii="Bookman Old Style" w:hAnsi="Bookman Old Style"/>
          <w:sz w:val="24"/>
          <w:szCs w:val="24"/>
        </w:rPr>
        <w:t>e</w:t>
      </w:r>
      <w:r w:rsidR="00ED6244">
        <w:rPr>
          <w:rFonts w:ascii="Bookman Old Style" w:hAnsi="Bookman Old Style"/>
          <w:sz w:val="24"/>
          <w:szCs w:val="24"/>
        </w:rPr>
        <w:t xml:space="preserve"> zużycia, psucia, marnowania, a nawet uszkodzenia</w:t>
      </w:r>
      <w:r w:rsidR="00711B72">
        <w:rPr>
          <w:rFonts w:ascii="Bookman Old Style" w:hAnsi="Bookman Old Style"/>
          <w:sz w:val="24"/>
          <w:szCs w:val="24"/>
        </w:rPr>
        <w:t>.</w:t>
      </w:r>
      <w:r w:rsidR="00711B72">
        <w:rPr>
          <w:rStyle w:val="Odwoanieprzypisudolnego"/>
          <w:rFonts w:ascii="Bookman Old Style" w:hAnsi="Bookman Old Style"/>
          <w:sz w:val="24"/>
          <w:szCs w:val="24"/>
        </w:rPr>
        <w:footnoteReference w:id="15"/>
      </w:r>
      <w:r w:rsidR="007A23CD">
        <w:rPr>
          <w:rFonts w:ascii="Bookman Old Style" w:hAnsi="Bookman Old Style"/>
          <w:sz w:val="24"/>
          <w:szCs w:val="24"/>
        </w:rPr>
        <w:t xml:space="preserve"> Natomiast </w:t>
      </w:r>
      <w:r w:rsidR="00AF12DC">
        <w:rPr>
          <w:rFonts w:ascii="Bookman Old Style" w:hAnsi="Bookman Old Style"/>
          <w:sz w:val="24"/>
          <w:szCs w:val="24"/>
        </w:rPr>
        <w:t>słowo „uszkodzić” rozumie się jako powstanie w czymś niewielkiego defektu</w:t>
      </w:r>
      <w:r w:rsidR="008E3111">
        <w:rPr>
          <w:rFonts w:ascii="Bookman Old Style" w:hAnsi="Bookman Old Style"/>
          <w:sz w:val="24"/>
          <w:szCs w:val="24"/>
        </w:rPr>
        <w:t xml:space="preserve">, </w:t>
      </w:r>
      <w:r w:rsidR="002C7C92">
        <w:rPr>
          <w:rFonts w:ascii="Bookman Old Style" w:hAnsi="Bookman Old Style"/>
          <w:sz w:val="24"/>
          <w:szCs w:val="24"/>
        </w:rPr>
        <w:t>zachowanie polegające na zepsuciu czegoś, naruszeniu substancji rzeczy, które nie prowadzi do jej unicestwienia</w:t>
      </w:r>
      <w:r w:rsidR="001B2C4C">
        <w:rPr>
          <w:rFonts w:ascii="Bookman Old Style" w:hAnsi="Bookman Old Style"/>
          <w:sz w:val="24"/>
          <w:szCs w:val="24"/>
        </w:rPr>
        <w:t>, nadwyrężenie, naruszenie</w:t>
      </w:r>
      <w:r w:rsidR="002C7C92">
        <w:rPr>
          <w:rFonts w:ascii="Bookman Old Style" w:hAnsi="Bookman Old Style"/>
          <w:sz w:val="24"/>
          <w:szCs w:val="24"/>
        </w:rPr>
        <w:t>.</w:t>
      </w:r>
      <w:r w:rsidR="002C7C92">
        <w:rPr>
          <w:rStyle w:val="Odwoanieprzypisudolnego"/>
          <w:rFonts w:ascii="Bookman Old Style" w:hAnsi="Bookman Old Style"/>
          <w:sz w:val="24"/>
          <w:szCs w:val="24"/>
        </w:rPr>
        <w:footnoteReference w:id="16"/>
      </w:r>
      <w:r w:rsidR="00751836">
        <w:rPr>
          <w:rFonts w:ascii="Bookman Old Style" w:hAnsi="Bookman Old Style"/>
          <w:sz w:val="24"/>
          <w:szCs w:val="24"/>
        </w:rPr>
        <w:t xml:space="preserve"> </w:t>
      </w:r>
      <w:r w:rsidR="00236475">
        <w:rPr>
          <w:rFonts w:ascii="Bookman Old Style" w:hAnsi="Bookman Old Style"/>
          <w:sz w:val="24"/>
          <w:szCs w:val="24"/>
        </w:rPr>
        <w:t xml:space="preserve">Czynienie rzeczy niezdatną do użytku oznacza doprowadzenie jej do takiego stanu, w którym nie można zrobić z niej użytku zgodnego z przeznaczeniem ale bez jednoczesnego </w:t>
      </w:r>
      <w:r w:rsidR="004868C5">
        <w:rPr>
          <w:rFonts w:ascii="Bookman Old Style" w:hAnsi="Bookman Old Style"/>
          <w:sz w:val="24"/>
          <w:szCs w:val="24"/>
        </w:rPr>
        <w:t>unicestwienia lub uszkodzenia, bez naruszenia substancji.</w:t>
      </w:r>
      <w:r w:rsidR="00091487">
        <w:rPr>
          <w:rStyle w:val="Odwoanieprzypisudolnego"/>
          <w:rFonts w:ascii="Bookman Old Style" w:hAnsi="Bookman Old Style"/>
          <w:sz w:val="24"/>
          <w:szCs w:val="24"/>
        </w:rPr>
        <w:footnoteReference w:id="17"/>
      </w:r>
      <w:r w:rsidR="00E87686">
        <w:rPr>
          <w:rFonts w:ascii="Bookman Old Style" w:hAnsi="Bookman Old Style"/>
          <w:sz w:val="24"/>
          <w:szCs w:val="24"/>
        </w:rPr>
        <w:t>Odwoływanie się wyłącznie do słownikowego znaczenia użytych w przepisach art. 288§1kk i art. 124§1kw czasowników (niszczy, uszkadza, czyni niezdatną do użytku) nie może</w:t>
      </w:r>
      <w:r w:rsidR="00A15547">
        <w:rPr>
          <w:rFonts w:ascii="Bookman Old Style" w:hAnsi="Bookman Old Style"/>
          <w:sz w:val="24"/>
          <w:szCs w:val="24"/>
        </w:rPr>
        <w:t xml:space="preserve"> jednak</w:t>
      </w:r>
      <w:r w:rsidR="00E87686">
        <w:rPr>
          <w:rFonts w:ascii="Bookman Old Style" w:hAnsi="Bookman Old Style"/>
          <w:sz w:val="24"/>
          <w:szCs w:val="24"/>
        </w:rPr>
        <w:t xml:space="preserve"> satysfakcjonować. </w:t>
      </w:r>
      <w:r w:rsidR="00D1010B">
        <w:rPr>
          <w:rFonts w:ascii="Bookman Old Style" w:hAnsi="Bookman Old Style"/>
          <w:sz w:val="24"/>
          <w:szCs w:val="24"/>
        </w:rPr>
        <w:t xml:space="preserve">Wynika to z faktu, że w języku potocznym niszczenie rzeczy nierzadko utożsamiane jest z uszkodzeniem, co wynika z faktu, że ze słownikowego punktu widzenia obydwie czynności traktuje się jako </w:t>
      </w:r>
      <w:r w:rsidR="00C8574B">
        <w:rPr>
          <w:rFonts w:ascii="Bookman Old Style" w:hAnsi="Bookman Old Style"/>
          <w:sz w:val="24"/>
          <w:szCs w:val="24"/>
        </w:rPr>
        <w:t xml:space="preserve">naruszenie substancji rzeczy, </w:t>
      </w:r>
      <w:r w:rsidR="00F7774A">
        <w:rPr>
          <w:rFonts w:ascii="Bookman Old Style" w:hAnsi="Bookman Old Style"/>
          <w:sz w:val="24"/>
          <w:szCs w:val="24"/>
        </w:rPr>
        <w:t>psucie.</w:t>
      </w:r>
    </w:p>
    <w:p w14:paraId="7D136A97" w14:textId="753C6AD3" w:rsidR="00483E3D" w:rsidRDefault="00677B24" w:rsidP="00DE0E02">
      <w:pPr>
        <w:spacing w:after="0" w:line="360" w:lineRule="auto"/>
        <w:ind w:firstLine="708"/>
        <w:jc w:val="both"/>
        <w:rPr>
          <w:rFonts w:ascii="Bookman Old Style" w:hAnsi="Bookman Old Style"/>
          <w:sz w:val="24"/>
          <w:szCs w:val="24"/>
        </w:rPr>
      </w:pPr>
      <w:r>
        <w:rPr>
          <w:rFonts w:ascii="Bookman Old Style" w:hAnsi="Bookman Old Style"/>
          <w:sz w:val="24"/>
          <w:szCs w:val="24"/>
        </w:rPr>
        <w:t>W literaturze</w:t>
      </w:r>
      <w:r w:rsidR="00E81E4D">
        <w:rPr>
          <w:rFonts w:ascii="Bookman Old Style" w:hAnsi="Bookman Old Style"/>
          <w:sz w:val="24"/>
          <w:szCs w:val="24"/>
        </w:rPr>
        <w:t xml:space="preserve"> prawa karnego</w:t>
      </w:r>
      <w:r>
        <w:rPr>
          <w:rFonts w:ascii="Bookman Old Style" w:hAnsi="Bookman Old Style"/>
          <w:sz w:val="24"/>
          <w:szCs w:val="24"/>
        </w:rPr>
        <w:t>, pod pojęciem niszczenia rzeczy rozumie się jej unicestwienie</w:t>
      </w:r>
      <w:r w:rsidR="003D5E29">
        <w:rPr>
          <w:rFonts w:ascii="Bookman Old Style" w:hAnsi="Bookman Old Style"/>
          <w:sz w:val="24"/>
          <w:szCs w:val="24"/>
        </w:rPr>
        <w:t>, jest to najintensywniejszy sposób wpływu na rzecz.</w:t>
      </w:r>
      <w:r w:rsidR="00B94FA1">
        <w:rPr>
          <w:rFonts w:ascii="Bookman Old Style" w:hAnsi="Bookman Old Style"/>
          <w:sz w:val="24"/>
          <w:szCs w:val="24"/>
        </w:rPr>
        <w:t xml:space="preserve"> </w:t>
      </w:r>
      <w:r w:rsidR="00CE4772">
        <w:rPr>
          <w:rFonts w:ascii="Bookman Old Style" w:hAnsi="Bookman Old Style"/>
          <w:sz w:val="24"/>
          <w:szCs w:val="24"/>
        </w:rPr>
        <w:t>Oznacza ono</w:t>
      </w:r>
      <w:r w:rsidR="00B94FA1">
        <w:rPr>
          <w:rFonts w:ascii="Bookman Old Style" w:hAnsi="Bookman Old Style"/>
          <w:sz w:val="24"/>
          <w:szCs w:val="24"/>
        </w:rPr>
        <w:t xml:space="preserve"> również taką sytuację, w której</w:t>
      </w:r>
      <w:r w:rsidR="00366E8E">
        <w:rPr>
          <w:rFonts w:ascii="Bookman Old Style" w:hAnsi="Bookman Old Style"/>
          <w:sz w:val="24"/>
          <w:szCs w:val="24"/>
        </w:rPr>
        <w:t xml:space="preserve"> na skutek zachowania sprawcy traci ona dotychczasowe właściwości do takiego stopnia, iż staje się rzeczą innego rodzaju.</w:t>
      </w:r>
      <w:r w:rsidR="00D57117">
        <w:rPr>
          <w:rFonts w:ascii="Bookman Old Style" w:hAnsi="Bookman Old Style"/>
          <w:sz w:val="24"/>
          <w:szCs w:val="24"/>
        </w:rPr>
        <w:t xml:space="preserve"> Chodzi zatem o pozbawienie rzeczy </w:t>
      </w:r>
      <w:r w:rsidR="007D5EB1">
        <w:rPr>
          <w:rFonts w:ascii="Bookman Old Style" w:hAnsi="Bookman Old Style"/>
          <w:sz w:val="24"/>
          <w:szCs w:val="24"/>
        </w:rPr>
        <w:t xml:space="preserve">właściwości </w:t>
      </w:r>
      <w:r w:rsidR="004021C3">
        <w:rPr>
          <w:rFonts w:ascii="Bookman Old Style" w:hAnsi="Bookman Old Style"/>
          <w:sz w:val="24"/>
          <w:szCs w:val="24"/>
        </w:rPr>
        <w:t xml:space="preserve">określonego rodzaju </w:t>
      </w:r>
      <w:r w:rsidR="004021C3">
        <w:rPr>
          <w:rFonts w:ascii="Bookman Old Style" w:hAnsi="Bookman Old Style"/>
          <w:sz w:val="24"/>
          <w:szCs w:val="24"/>
        </w:rPr>
        <w:lastRenderedPageBreak/>
        <w:t>do takiego stopnia, że przestaje ona należeć do tego właśnie rodzaju</w:t>
      </w:r>
      <w:r w:rsidR="008A1D65">
        <w:rPr>
          <w:rFonts w:ascii="Bookman Old Style" w:hAnsi="Bookman Old Style"/>
          <w:sz w:val="24"/>
          <w:szCs w:val="24"/>
        </w:rPr>
        <w:t xml:space="preserve"> przedmiotów</w:t>
      </w:r>
      <w:r w:rsidR="004021C3">
        <w:rPr>
          <w:rFonts w:ascii="Bookman Old Style" w:hAnsi="Bookman Old Style"/>
          <w:sz w:val="24"/>
          <w:szCs w:val="24"/>
        </w:rPr>
        <w:t>.</w:t>
      </w:r>
      <w:r w:rsidR="00985256">
        <w:rPr>
          <w:rFonts w:ascii="Bookman Old Style" w:hAnsi="Bookman Old Style"/>
          <w:sz w:val="24"/>
          <w:szCs w:val="24"/>
        </w:rPr>
        <w:t xml:space="preserve"> Zniszczenie rzeczy prowadzi do pozbawienia jej właściwości użytkowych</w:t>
      </w:r>
      <w:r w:rsidR="00521B8D">
        <w:rPr>
          <w:rFonts w:ascii="Bookman Old Style" w:hAnsi="Bookman Old Style"/>
          <w:sz w:val="24"/>
          <w:szCs w:val="24"/>
        </w:rPr>
        <w:t>.</w:t>
      </w:r>
      <w:r w:rsidR="003D5E29">
        <w:rPr>
          <w:rStyle w:val="Odwoanieprzypisudolnego"/>
          <w:rFonts w:ascii="Bookman Old Style" w:hAnsi="Bookman Old Style"/>
          <w:sz w:val="24"/>
          <w:szCs w:val="24"/>
        </w:rPr>
        <w:footnoteReference w:id="18"/>
      </w:r>
      <w:r w:rsidR="00521B8D">
        <w:rPr>
          <w:rFonts w:ascii="Bookman Old Style" w:hAnsi="Bookman Old Style"/>
          <w:sz w:val="24"/>
          <w:szCs w:val="24"/>
        </w:rPr>
        <w:t>W tym sensie, zniszczenie rzeczy będzie zawsze prowadziło do czynienia jej niezdatną do uż</w:t>
      </w:r>
      <w:r w:rsidR="008720EF">
        <w:rPr>
          <w:rFonts w:ascii="Bookman Old Style" w:hAnsi="Bookman Old Style"/>
          <w:sz w:val="24"/>
          <w:szCs w:val="24"/>
        </w:rPr>
        <w:t xml:space="preserve">ytku. Natomiast odwrotna sytuacja nie zawsze będzie miała miejsce. </w:t>
      </w:r>
      <w:r w:rsidR="007217DD">
        <w:rPr>
          <w:rFonts w:ascii="Bookman Old Style" w:hAnsi="Bookman Old Style"/>
          <w:sz w:val="24"/>
          <w:szCs w:val="24"/>
        </w:rPr>
        <w:tab/>
      </w:r>
    </w:p>
    <w:p w14:paraId="48D9BFEA" w14:textId="77777777" w:rsidR="00E71493" w:rsidRDefault="00B02BD3" w:rsidP="00483E3D">
      <w:pPr>
        <w:spacing w:after="0" w:line="360" w:lineRule="auto"/>
        <w:ind w:firstLine="708"/>
        <w:jc w:val="both"/>
        <w:rPr>
          <w:rFonts w:ascii="Bookman Old Style" w:hAnsi="Bookman Old Style"/>
          <w:sz w:val="24"/>
          <w:szCs w:val="24"/>
        </w:rPr>
      </w:pPr>
      <w:r>
        <w:rPr>
          <w:rFonts w:ascii="Bookman Old Style" w:hAnsi="Bookman Old Style"/>
          <w:sz w:val="24"/>
          <w:szCs w:val="24"/>
        </w:rPr>
        <w:t>W doktrynie prawa karnego</w:t>
      </w:r>
      <w:r w:rsidR="009135DB">
        <w:rPr>
          <w:rFonts w:ascii="Bookman Old Style" w:hAnsi="Bookman Old Style"/>
          <w:sz w:val="24"/>
          <w:szCs w:val="24"/>
        </w:rPr>
        <w:t xml:space="preserve"> na gruncie przepisu art. 288§1kk wyróżnia się tzw. niszczenie bezwzględne p</w:t>
      </w:r>
      <w:r w:rsidR="00D9156C">
        <w:rPr>
          <w:rFonts w:ascii="Bookman Old Style" w:hAnsi="Bookman Old Style"/>
          <w:sz w:val="24"/>
          <w:szCs w:val="24"/>
        </w:rPr>
        <w:t>olegające na tym, że rzecz jest całkowicie unicestwiona</w:t>
      </w:r>
      <w:r w:rsidR="00B90F5D">
        <w:rPr>
          <w:rFonts w:ascii="Bookman Old Style" w:hAnsi="Bookman Old Style"/>
          <w:sz w:val="24"/>
          <w:szCs w:val="24"/>
        </w:rPr>
        <w:t xml:space="preserve"> (rzecz w ogóle przestaje istnieć)</w:t>
      </w:r>
      <w:r w:rsidR="00956861">
        <w:rPr>
          <w:rFonts w:ascii="Bookman Old Style" w:hAnsi="Bookman Old Style"/>
          <w:sz w:val="24"/>
          <w:szCs w:val="24"/>
        </w:rPr>
        <w:t xml:space="preserve">, a także zniszczenie względne, które sprowadza się do tego, że rzecz pozbawiona zostaje </w:t>
      </w:r>
      <w:r w:rsidR="00394750">
        <w:rPr>
          <w:rFonts w:ascii="Bookman Old Style" w:hAnsi="Bookman Old Style"/>
          <w:sz w:val="24"/>
          <w:szCs w:val="24"/>
        </w:rPr>
        <w:t>właściwości takiego rodzaju</w:t>
      </w:r>
      <w:r w:rsidR="00C007BA">
        <w:rPr>
          <w:rFonts w:ascii="Bookman Old Style" w:hAnsi="Bookman Old Style"/>
          <w:sz w:val="24"/>
          <w:szCs w:val="24"/>
        </w:rPr>
        <w:t xml:space="preserve"> i przestaje należeć do tego </w:t>
      </w:r>
      <w:r w:rsidR="00D56044">
        <w:rPr>
          <w:rFonts w:ascii="Bookman Old Style" w:hAnsi="Bookman Old Style"/>
          <w:sz w:val="24"/>
          <w:szCs w:val="24"/>
        </w:rPr>
        <w:t>rodzaju</w:t>
      </w:r>
      <w:r w:rsidR="00C007BA">
        <w:rPr>
          <w:rFonts w:ascii="Bookman Old Style" w:hAnsi="Bookman Old Style"/>
          <w:sz w:val="24"/>
          <w:szCs w:val="24"/>
        </w:rPr>
        <w:t xml:space="preserve"> rzeczy</w:t>
      </w:r>
      <w:r w:rsidR="00D56044">
        <w:rPr>
          <w:rFonts w:ascii="Bookman Old Style" w:hAnsi="Bookman Old Style"/>
          <w:sz w:val="24"/>
          <w:szCs w:val="24"/>
        </w:rPr>
        <w:t>.</w:t>
      </w:r>
      <w:r w:rsidR="00232C69">
        <w:rPr>
          <w:rFonts w:ascii="Bookman Old Style" w:hAnsi="Bookman Old Style"/>
          <w:sz w:val="24"/>
          <w:szCs w:val="24"/>
        </w:rPr>
        <w:t xml:space="preserve"> Zniszczenie ma charakter nieodwracalny, sprawia ono, że nie ma możliwości przywrócenia stanu poprzedniego.</w:t>
      </w:r>
      <w:r w:rsidR="00D56044">
        <w:rPr>
          <w:rStyle w:val="Odwoanieprzypisudolnego"/>
          <w:rFonts w:ascii="Bookman Old Style" w:hAnsi="Bookman Old Style"/>
          <w:sz w:val="24"/>
          <w:szCs w:val="24"/>
        </w:rPr>
        <w:footnoteReference w:id="19"/>
      </w:r>
    </w:p>
    <w:p w14:paraId="67D28BCF" w14:textId="51C02788" w:rsidR="007217DD" w:rsidRDefault="00E71493" w:rsidP="00483E3D">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Podsumowując, </w:t>
      </w:r>
      <w:r w:rsidR="00F809A0">
        <w:rPr>
          <w:rFonts w:ascii="Bookman Old Style" w:hAnsi="Bookman Old Style"/>
          <w:sz w:val="24"/>
          <w:szCs w:val="24"/>
        </w:rPr>
        <w:t xml:space="preserve">zniszczeniem rzeczy będzie </w:t>
      </w:r>
      <w:r w:rsidR="00692CA2">
        <w:rPr>
          <w:rFonts w:ascii="Bookman Old Style" w:hAnsi="Bookman Old Style"/>
          <w:sz w:val="24"/>
          <w:szCs w:val="24"/>
        </w:rPr>
        <w:t>takie zachowanie, które</w:t>
      </w:r>
      <w:r>
        <w:rPr>
          <w:rFonts w:ascii="Bookman Old Style" w:hAnsi="Bookman Old Style"/>
          <w:sz w:val="24"/>
          <w:szCs w:val="24"/>
        </w:rPr>
        <w:t xml:space="preserve"> unicestwia </w:t>
      </w:r>
      <w:r w:rsidR="004511B6">
        <w:rPr>
          <w:rFonts w:ascii="Bookman Old Style" w:hAnsi="Bookman Old Style"/>
          <w:sz w:val="24"/>
          <w:szCs w:val="24"/>
        </w:rPr>
        <w:t>ją lub</w:t>
      </w:r>
      <w:r w:rsidR="00692CA2">
        <w:rPr>
          <w:rFonts w:ascii="Bookman Old Style" w:hAnsi="Bookman Old Style"/>
          <w:sz w:val="24"/>
          <w:szCs w:val="24"/>
        </w:rPr>
        <w:t xml:space="preserve"> co prawda nie powoduje całkowitego unicestwienia rzeczy, jednak skutkuje </w:t>
      </w:r>
      <w:r w:rsidR="00934C80">
        <w:rPr>
          <w:rFonts w:ascii="Bookman Old Style" w:hAnsi="Bookman Old Style"/>
          <w:sz w:val="24"/>
          <w:szCs w:val="24"/>
        </w:rPr>
        <w:t>utratą przez rzecz jej dotychczasowych właściwości, co prowadzi w konsekwencji do tego, iż rzecz staje się rzeczą innego rodzaju</w:t>
      </w:r>
      <w:r w:rsidR="00BB19ED">
        <w:rPr>
          <w:rFonts w:ascii="Bookman Old Style" w:hAnsi="Bookman Old Style"/>
          <w:sz w:val="24"/>
          <w:szCs w:val="24"/>
        </w:rPr>
        <w:t xml:space="preserve">, </w:t>
      </w:r>
      <w:r w:rsidR="00150FE5">
        <w:rPr>
          <w:rFonts w:ascii="Bookman Old Style" w:hAnsi="Bookman Old Style"/>
          <w:sz w:val="24"/>
          <w:szCs w:val="24"/>
        </w:rPr>
        <w:t>i nie jest możliwe przywrócenie stanu poprzedniego</w:t>
      </w:r>
      <w:r w:rsidR="00934C80">
        <w:rPr>
          <w:rFonts w:ascii="Bookman Old Style" w:hAnsi="Bookman Old Style"/>
          <w:sz w:val="24"/>
          <w:szCs w:val="24"/>
        </w:rPr>
        <w:t>.</w:t>
      </w:r>
    </w:p>
    <w:p w14:paraId="08F68EFB" w14:textId="678E4BB9" w:rsidR="00DF43DE" w:rsidRDefault="00DF43DE" w:rsidP="00A614E0">
      <w:pPr>
        <w:spacing w:after="0" w:line="360" w:lineRule="auto"/>
        <w:jc w:val="both"/>
        <w:rPr>
          <w:rFonts w:ascii="Bookman Old Style" w:hAnsi="Bookman Old Style"/>
          <w:sz w:val="24"/>
          <w:szCs w:val="24"/>
        </w:rPr>
      </w:pPr>
      <w:r>
        <w:rPr>
          <w:rFonts w:ascii="Bookman Old Style" w:hAnsi="Bookman Old Style"/>
          <w:sz w:val="24"/>
          <w:szCs w:val="24"/>
        </w:rPr>
        <w:tab/>
        <w:t>Z kolei uszkodzenie rzeczy w literaturze postrzegane jest</w:t>
      </w:r>
      <w:r w:rsidR="00492041">
        <w:rPr>
          <w:rFonts w:ascii="Bookman Old Style" w:hAnsi="Bookman Old Style"/>
          <w:sz w:val="24"/>
          <w:szCs w:val="24"/>
        </w:rPr>
        <w:t xml:space="preserve"> jako</w:t>
      </w:r>
      <w:r>
        <w:rPr>
          <w:rFonts w:ascii="Bookman Old Style" w:hAnsi="Bookman Old Style"/>
          <w:sz w:val="24"/>
          <w:szCs w:val="24"/>
        </w:rPr>
        <w:t xml:space="preserve"> </w:t>
      </w:r>
      <w:r w:rsidR="009067E9">
        <w:rPr>
          <w:rFonts w:ascii="Bookman Old Style" w:hAnsi="Bookman Old Style"/>
          <w:sz w:val="24"/>
          <w:szCs w:val="24"/>
        </w:rPr>
        <w:t xml:space="preserve">oddziaływanie </w:t>
      </w:r>
      <w:r w:rsidR="00B605C6">
        <w:rPr>
          <w:rFonts w:ascii="Bookman Old Style" w:hAnsi="Bookman Old Style"/>
          <w:sz w:val="24"/>
          <w:szCs w:val="24"/>
        </w:rPr>
        <w:t>w większym lub mniejszym stopniu na całość rzeczy, co prowadzi do naruszenia jej substancji</w:t>
      </w:r>
      <w:r w:rsidR="007515C1">
        <w:rPr>
          <w:rFonts w:ascii="Bookman Old Style" w:hAnsi="Bookman Old Style"/>
          <w:sz w:val="24"/>
          <w:szCs w:val="24"/>
        </w:rPr>
        <w:t xml:space="preserve">, istotnych właściwości </w:t>
      </w:r>
      <w:r w:rsidR="00EC3DC6">
        <w:rPr>
          <w:rFonts w:ascii="Bookman Old Style" w:hAnsi="Bookman Old Style"/>
          <w:sz w:val="24"/>
          <w:szCs w:val="24"/>
        </w:rPr>
        <w:t>decydujących o jej przeznaczeniu i możliwościach wykorzystania.</w:t>
      </w:r>
      <w:r w:rsidR="00EC3DC6">
        <w:rPr>
          <w:rStyle w:val="Odwoanieprzypisudolnego"/>
          <w:rFonts w:ascii="Bookman Old Style" w:hAnsi="Bookman Old Style"/>
          <w:sz w:val="24"/>
          <w:szCs w:val="24"/>
        </w:rPr>
        <w:footnoteReference w:id="20"/>
      </w:r>
      <w:r w:rsidR="00FB0D76">
        <w:rPr>
          <w:rFonts w:ascii="Bookman Old Style" w:hAnsi="Bookman Old Style"/>
          <w:sz w:val="24"/>
          <w:szCs w:val="24"/>
        </w:rPr>
        <w:t xml:space="preserve"> Niektórzy nieco węziej ujmują to znamię, twierdząc, że </w:t>
      </w:r>
      <w:r w:rsidR="00FD3E46">
        <w:rPr>
          <w:rFonts w:ascii="Bookman Old Style" w:hAnsi="Bookman Old Style"/>
          <w:sz w:val="24"/>
          <w:szCs w:val="24"/>
        </w:rPr>
        <w:t xml:space="preserve">polega  </w:t>
      </w:r>
      <w:r w:rsidR="00693C4C">
        <w:rPr>
          <w:rFonts w:ascii="Bookman Old Style" w:hAnsi="Bookman Old Style"/>
          <w:sz w:val="24"/>
          <w:szCs w:val="24"/>
        </w:rPr>
        <w:t>ono</w:t>
      </w:r>
      <w:r w:rsidR="00FD3E46">
        <w:rPr>
          <w:rFonts w:ascii="Bookman Old Style" w:hAnsi="Bookman Old Style"/>
          <w:sz w:val="24"/>
          <w:szCs w:val="24"/>
        </w:rPr>
        <w:t xml:space="preserve"> na zmianie materii rzeczy, po powstaniu której nie można wykorzystywać tej rzeczy dla celów, dla których była ona pierwotnie przeznaczona.</w:t>
      </w:r>
      <w:r w:rsidR="00FD3E46">
        <w:rPr>
          <w:rStyle w:val="Odwoanieprzypisudolnego"/>
          <w:rFonts w:ascii="Bookman Old Style" w:hAnsi="Bookman Old Style"/>
          <w:sz w:val="24"/>
          <w:szCs w:val="24"/>
        </w:rPr>
        <w:footnoteReference w:id="21"/>
      </w:r>
      <w:r w:rsidR="00935A5A">
        <w:rPr>
          <w:rFonts w:ascii="Bookman Old Style" w:hAnsi="Bookman Old Style"/>
          <w:sz w:val="24"/>
          <w:szCs w:val="24"/>
        </w:rPr>
        <w:t xml:space="preserve">Jednakże takie ujęcie wydaje się nietrafne albowiem zdaje się utożsamiać uszkodzenie rzeczy z czynieniem jej niezdatną do użytku. Poza tym można sobie wyobrazić sytuację, w której rzecz </w:t>
      </w:r>
      <w:r w:rsidR="00F73F1D">
        <w:rPr>
          <w:rFonts w:ascii="Bookman Old Style" w:hAnsi="Bookman Old Style"/>
          <w:sz w:val="24"/>
          <w:szCs w:val="24"/>
        </w:rPr>
        <w:lastRenderedPageBreak/>
        <w:t>uszkodzona</w:t>
      </w:r>
      <w:r w:rsidR="00935A5A">
        <w:rPr>
          <w:rFonts w:ascii="Bookman Old Style" w:hAnsi="Bookman Old Style"/>
          <w:sz w:val="24"/>
          <w:szCs w:val="24"/>
        </w:rPr>
        <w:t xml:space="preserve"> będzie dalej wykorzystywana dla celów</w:t>
      </w:r>
      <w:r w:rsidR="001F3A0B">
        <w:rPr>
          <w:rFonts w:ascii="Bookman Old Style" w:hAnsi="Bookman Old Style"/>
          <w:sz w:val="24"/>
          <w:szCs w:val="24"/>
        </w:rPr>
        <w:t xml:space="preserve">, dla których była przeznaczona. Możliwość takiego wykorzystania będzie zależała od skali </w:t>
      </w:r>
      <w:r w:rsidR="001700C8">
        <w:rPr>
          <w:rFonts w:ascii="Bookman Old Style" w:hAnsi="Bookman Old Style"/>
          <w:sz w:val="24"/>
          <w:szCs w:val="24"/>
        </w:rPr>
        <w:t>uszkodzenia</w:t>
      </w:r>
      <w:r w:rsidR="001F3A0B">
        <w:rPr>
          <w:rFonts w:ascii="Bookman Old Style" w:hAnsi="Bookman Old Style"/>
          <w:sz w:val="24"/>
          <w:szCs w:val="24"/>
        </w:rPr>
        <w:t xml:space="preserve">. Wydaje się zatem, że do istoty uszkodzenia rzeczy będzie należało obniżenie </w:t>
      </w:r>
      <w:r w:rsidR="00677D11">
        <w:rPr>
          <w:rFonts w:ascii="Bookman Old Style" w:hAnsi="Bookman Old Style"/>
          <w:sz w:val="24"/>
          <w:szCs w:val="24"/>
        </w:rPr>
        <w:t xml:space="preserve">jej </w:t>
      </w:r>
      <w:r w:rsidR="001F3A0B">
        <w:rPr>
          <w:rFonts w:ascii="Bookman Old Style" w:hAnsi="Bookman Old Style"/>
          <w:sz w:val="24"/>
          <w:szCs w:val="24"/>
        </w:rPr>
        <w:t>wartości w stosunku do stanu poprzedniego, konieczność poniesienia koszów celem przywrócenia jej do stanu poprzedniego</w:t>
      </w:r>
      <w:r w:rsidR="00FC2FAE">
        <w:rPr>
          <w:rFonts w:ascii="Bookman Old Style" w:hAnsi="Bookman Old Style"/>
          <w:sz w:val="24"/>
          <w:szCs w:val="24"/>
        </w:rPr>
        <w:t>, o ile to będzie możliwe</w:t>
      </w:r>
      <w:r w:rsidR="001F3A0B">
        <w:rPr>
          <w:rFonts w:ascii="Bookman Old Style" w:hAnsi="Bookman Old Style"/>
          <w:sz w:val="24"/>
          <w:szCs w:val="24"/>
        </w:rPr>
        <w:t>.</w:t>
      </w:r>
      <w:r w:rsidR="00603416">
        <w:rPr>
          <w:rFonts w:ascii="Bookman Old Style" w:hAnsi="Bookman Old Style"/>
          <w:sz w:val="24"/>
          <w:szCs w:val="24"/>
        </w:rPr>
        <w:t xml:space="preserve"> </w:t>
      </w:r>
      <w:r w:rsidR="00425FAE">
        <w:rPr>
          <w:rFonts w:ascii="Bookman Old Style" w:hAnsi="Bookman Old Style"/>
          <w:sz w:val="24"/>
          <w:szCs w:val="24"/>
        </w:rPr>
        <w:t xml:space="preserve">Trafnie podkreśla się w doktrynie prawa karnego, że uszkodzenie rzeczy może nastąpić również wskutek </w:t>
      </w:r>
      <w:r w:rsidR="000931CF">
        <w:rPr>
          <w:rFonts w:ascii="Bookman Old Style" w:hAnsi="Bookman Old Style"/>
          <w:sz w:val="24"/>
          <w:szCs w:val="24"/>
        </w:rPr>
        <w:t>oddziaływania chemicznego na rzecz.</w:t>
      </w:r>
      <w:r w:rsidR="000931CF">
        <w:rPr>
          <w:rStyle w:val="Odwoanieprzypisudolnego"/>
          <w:rFonts w:ascii="Bookman Old Style" w:hAnsi="Bookman Old Style"/>
          <w:sz w:val="24"/>
          <w:szCs w:val="24"/>
        </w:rPr>
        <w:footnoteReference w:id="22"/>
      </w:r>
      <w:r w:rsidR="00034341">
        <w:rPr>
          <w:rFonts w:ascii="Bookman Old Style" w:hAnsi="Bookman Old Style"/>
          <w:sz w:val="24"/>
          <w:szCs w:val="24"/>
        </w:rPr>
        <w:t xml:space="preserve">Warto odnotować również pogląd </w:t>
      </w:r>
      <w:r w:rsidR="00034341" w:rsidRPr="008F1080">
        <w:rPr>
          <w:rFonts w:ascii="Bookman Old Style" w:hAnsi="Bookman Old Style"/>
          <w:sz w:val="24"/>
          <w:szCs w:val="24"/>
        </w:rPr>
        <w:t xml:space="preserve">L. Peipera, zgodnie z którym </w:t>
      </w:r>
      <w:r w:rsidR="00FA5ADB" w:rsidRPr="008F1080">
        <w:rPr>
          <w:rFonts w:ascii="Bookman Old Style" w:hAnsi="Bookman Old Style"/>
          <w:sz w:val="24"/>
          <w:szCs w:val="24"/>
        </w:rPr>
        <w:t>uszkodzenie rzeczy zachodzi w każdym przypadku zmniejszenia wartości rzeczy nawet, gdyby nie doszło do naruszenia jej substancji.</w:t>
      </w:r>
      <w:r w:rsidR="00FA5ADB" w:rsidRPr="008F1080">
        <w:rPr>
          <w:rStyle w:val="Odwoanieprzypisudolnego"/>
          <w:rFonts w:ascii="Bookman Old Style" w:hAnsi="Bookman Old Style"/>
          <w:sz w:val="24"/>
          <w:szCs w:val="24"/>
        </w:rPr>
        <w:footnoteReference w:id="23"/>
      </w:r>
      <w:r w:rsidR="00611B95">
        <w:rPr>
          <w:rFonts w:ascii="Bookman Old Style" w:hAnsi="Bookman Old Style"/>
          <w:sz w:val="24"/>
          <w:szCs w:val="24"/>
        </w:rPr>
        <w:t xml:space="preserve"> Do poglądu tego krytycznie odniósł się M. Kulik, który uznał, że </w:t>
      </w:r>
      <w:r w:rsidR="004B55E7">
        <w:rPr>
          <w:rFonts w:ascii="Bookman Old Style" w:hAnsi="Bookman Old Style"/>
          <w:sz w:val="24"/>
          <w:szCs w:val="24"/>
        </w:rPr>
        <w:t xml:space="preserve">rozróżnić należy </w:t>
      </w:r>
      <w:r w:rsidR="004B55E7" w:rsidRPr="001B13BC">
        <w:rPr>
          <w:rFonts w:ascii="Bookman Old Style" w:hAnsi="Bookman Old Style"/>
          <w:b/>
          <w:bCs/>
          <w:sz w:val="24"/>
          <w:szCs w:val="24"/>
        </w:rPr>
        <w:t>naruszenie integralności rzeczy</w:t>
      </w:r>
      <w:r w:rsidR="004B55E7">
        <w:rPr>
          <w:rFonts w:ascii="Bookman Old Style" w:hAnsi="Bookman Old Style"/>
          <w:sz w:val="24"/>
          <w:szCs w:val="24"/>
        </w:rPr>
        <w:t xml:space="preserve">, które sprowadza się do każdego oddziaływania na rzecz od </w:t>
      </w:r>
      <w:r w:rsidR="004B55E7" w:rsidRPr="001B13BC">
        <w:rPr>
          <w:rFonts w:ascii="Bookman Old Style" w:hAnsi="Bookman Old Style"/>
          <w:b/>
          <w:bCs/>
          <w:sz w:val="24"/>
          <w:szCs w:val="24"/>
        </w:rPr>
        <w:t>naruszenia substancji rzeczy</w:t>
      </w:r>
      <w:r w:rsidR="004B55E7">
        <w:rPr>
          <w:rFonts w:ascii="Bookman Old Style" w:hAnsi="Bookman Old Style"/>
          <w:sz w:val="24"/>
          <w:szCs w:val="24"/>
        </w:rPr>
        <w:t xml:space="preserve"> </w:t>
      </w:r>
      <w:r w:rsidR="00EE6C95">
        <w:rPr>
          <w:rFonts w:ascii="Bookman Old Style" w:hAnsi="Bookman Old Style"/>
          <w:sz w:val="24"/>
          <w:szCs w:val="24"/>
        </w:rPr>
        <w:t>, które sprowadza się do ingerencji w strukturę (materię) rzeczy.</w:t>
      </w:r>
      <w:r w:rsidR="00EE6C95">
        <w:rPr>
          <w:rStyle w:val="Odwoanieprzypisudolnego"/>
          <w:rFonts w:ascii="Bookman Old Style" w:hAnsi="Bookman Old Style"/>
          <w:sz w:val="24"/>
          <w:szCs w:val="24"/>
        </w:rPr>
        <w:footnoteReference w:id="24"/>
      </w:r>
      <w:r w:rsidR="00763376">
        <w:rPr>
          <w:rFonts w:ascii="Bookman Old Style" w:hAnsi="Bookman Old Style"/>
          <w:sz w:val="24"/>
          <w:szCs w:val="24"/>
        </w:rPr>
        <w:t xml:space="preserve"> Uszkodzenie rzeczy musi zatem prowadzić do naruszenia jej struktury.</w:t>
      </w:r>
      <w:r w:rsidR="008F10E8">
        <w:rPr>
          <w:rStyle w:val="Odwoanieprzypisudolnego"/>
          <w:rFonts w:ascii="Bookman Old Style" w:hAnsi="Bookman Old Style"/>
          <w:sz w:val="24"/>
          <w:szCs w:val="24"/>
        </w:rPr>
        <w:footnoteReference w:id="25"/>
      </w:r>
      <w:r w:rsidR="00591D54">
        <w:rPr>
          <w:rFonts w:ascii="Bookman Old Style" w:hAnsi="Bookman Old Style"/>
          <w:sz w:val="24"/>
          <w:szCs w:val="24"/>
        </w:rPr>
        <w:t xml:space="preserve">Warto wspomnieć, że w doktrynie niemieckiej jako uszkodzenie rzeczy traktuje się </w:t>
      </w:r>
      <w:r w:rsidR="00F87D9F">
        <w:rPr>
          <w:rFonts w:ascii="Bookman Old Style" w:hAnsi="Bookman Old Style"/>
          <w:sz w:val="24"/>
          <w:szCs w:val="24"/>
        </w:rPr>
        <w:t>nawet</w:t>
      </w:r>
      <w:r w:rsidR="00591D54">
        <w:rPr>
          <w:rFonts w:ascii="Bookman Old Style" w:hAnsi="Bookman Old Style"/>
          <w:sz w:val="24"/>
          <w:szCs w:val="24"/>
        </w:rPr>
        <w:t xml:space="preserve"> spuszczenie powietrza z opon roweru lub auta</w:t>
      </w:r>
      <w:r w:rsidR="0017543D">
        <w:rPr>
          <w:rFonts w:ascii="Bookman Old Style" w:hAnsi="Bookman Old Style"/>
          <w:sz w:val="24"/>
          <w:szCs w:val="24"/>
        </w:rPr>
        <w:t xml:space="preserve">. Pogląd taki jest uzasadniony tym, że w prawie niemieckim brak znamienia „czyni rzecz niezdatną do użytku”, a nadto nieco szerzej postrzega się przedmiot ochrony przy przestępstwie niszczenia i uszkodzenia rzeczy rozumiejąc pod tym pojęciem również pewien </w:t>
      </w:r>
      <w:r w:rsidR="0017543D" w:rsidRPr="00974D20">
        <w:rPr>
          <w:rFonts w:ascii="Bookman Old Style" w:hAnsi="Bookman Old Style"/>
          <w:b/>
          <w:bCs/>
          <w:sz w:val="24"/>
          <w:szCs w:val="24"/>
        </w:rPr>
        <w:t xml:space="preserve">stan </w:t>
      </w:r>
      <w:r w:rsidR="004528E7" w:rsidRPr="00974D20">
        <w:rPr>
          <w:rFonts w:ascii="Bookman Old Style" w:hAnsi="Bookman Old Style"/>
          <w:b/>
          <w:bCs/>
          <w:sz w:val="24"/>
          <w:szCs w:val="24"/>
        </w:rPr>
        <w:t>mienia, którego istnieniem zainteresowany jest uprawniony.</w:t>
      </w:r>
      <w:r w:rsidR="0060511D">
        <w:rPr>
          <w:rStyle w:val="Odwoanieprzypisudolnego"/>
          <w:rFonts w:ascii="Bookman Old Style" w:hAnsi="Bookman Old Style"/>
          <w:sz w:val="24"/>
          <w:szCs w:val="24"/>
        </w:rPr>
        <w:footnoteReference w:id="26"/>
      </w:r>
    </w:p>
    <w:p w14:paraId="2EDC4073" w14:textId="7F3315EC" w:rsidR="000B2B39" w:rsidRDefault="000B2B39" w:rsidP="00A614E0">
      <w:pPr>
        <w:spacing w:after="0" w:line="360" w:lineRule="auto"/>
        <w:jc w:val="both"/>
        <w:rPr>
          <w:rFonts w:ascii="Bookman Old Style" w:hAnsi="Bookman Old Style"/>
          <w:sz w:val="24"/>
          <w:szCs w:val="24"/>
        </w:rPr>
      </w:pPr>
      <w:r>
        <w:rPr>
          <w:rFonts w:ascii="Bookman Old Style" w:hAnsi="Bookman Old Style"/>
          <w:sz w:val="24"/>
          <w:szCs w:val="24"/>
        </w:rPr>
        <w:tab/>
        <w:t>Uczynienie rzeczy niezdatną do użytku</w:t>
      </w:r>
      <w:r w:rsidR="003A44FB">
        <w:rPr>
          <w:rFonts w:ascii="Bookman Old Style" w:hAnsi="Bookman Old Style"/>
          <w:sz w:val="24"/>
          <w:szCs w:val="24"/>
        </w:rPr>
        <w:t xml:space="preserve"> oznacza takie zachowanie sprawcy, które nie jest ani zniszczeniem, ani uszkodzeniem rzeczy, ale uniemożliwia jej wykorzystanie w sposób zgodny z jej przeznaczeniem</w:t>
      </w:r>
      <w:r w:rsidR="00BE4775">
        <w:rPr>
          <w:rFonts w:ascii="Bookman Old Style" w:hAnsi="Bookman Old Style"/>
          <w:sz w:val="24"/>
          <w:szCs w:val="24"/>
        </w:rPr>
        <w:t xml:space="preserve">. Chodzi o sytuację, w której nie zachodzą żadne zmiany w </w:t>
      </w:r>
      <w:r w:rsidR="00D43000">
        <w:rPr>
          <w:rFonts w:ascii="Bookman Old Style" w:hAnsi="Bookman Old Style"/>
          <w:sz w:val="24"/>
          <w:szCs w:val="24"/>
        </w:rPr>
        <w:t>rzeczy na skutek działania sprawcy, ale wyłączona jest możliwość korzystania z niej</w:t>
      </w:r>
      <w:r w:rsidR="001C3B65">
        <w:rPr>
          <w:rFonts w:ascii="Bookman Old Style" w:hAnsi="Bookman Old Style"/>
          <w:sz w:val="24"/>
          <w:szCs w:val="24"/>
        </w:rPr>
        <w:t xml:space="preserve"> zgodnie z przeznaczeniem.</w:t>
      </w:r>
      <w:r w:rsidR="001C3B65">
        <w:rPr>
          <w:rStyle w:val="Odwoanieprzypisudolnego"/>
          <w:rFonts w:ascii="Bookman Old Style" w:hAnsi="Bookman Old Style"/>
          <w:sz w:val="24"/>
          <w:szCs w:val="24"/>
        </w:rPr>
        <w:footnoteReference w:id="27"/>
      </w:r>
      <w:r w:rsidR="00533711">
        <w:rPr>
          <w:rFonts w:ascii="Bookman Old Style" w:hAnsi="Bookman Old Style"/>
          <w:sz w:val="24"/>
          <w:szCs w:val="24"/>
        </w:rPr>
        <w:t xml:space="preserve">W literaturze przedmiotu podkreśla się, że </w:t>
      </w:r>
      <w:r w:rsidR="009C5620">
        <w:rPr>
          <w:rFonts w:ascii="Bookman Old Style" w:hAnsi="Bookman Old Style"/>
          <w:sz w:val="24"/>
          <w:szCs w:val="24"/>
        </w:rPr>
        <w:t>nie realizuje</w:t>
      </w:r>
      <w:r w:rsidR="000F7CA4">
        <w:rPr>
          <w:rFonts w:ascii="Bookman Old Style" w:hAnsi="Bookman Old Style"/>
          <w:sz w:val="24"/>
          <w:szCs w:val="24"/>
        </w:rPr>
        <w:t xml:space="preserve"> znamion czynu z art. 124§1kw lub art. 288§1kk ten, kto czyni co prawda rzecz </w:t>
      </w:r>
      <w:r w:rsidR="000F7CA4">
        <w:rPr>
          <w:rFonts w:ascii="Bookman Old Style" w:hAnsi="Bookman Old Style"/>
          <w:sz w:val="24"/>
          <w:szCs w:val="24"/>
        </w:rPr>
        <w:lastRenderedPageBreak/>
        <w:t xml:space="preserve">niezdatną do użytku ale do </w:t>
      </w:r>
      <w:r w:rsidR="00101237">
        <w:rPr>
          <w:rFonts w:ascii="Bookman Old Style" w:hAnsi="Bookman Old Style"/>
          <w:sz w:val="24"/>
          <w:szCs w:val="24"/>
        </w:rPr>
        <w:t>przywrócenia stanu poprzedniego nie jest potrzebny nakład środków czy pracy.</w:t>
      </w:r>
      <w:r w:rsidR="00101237">
        <w:rPr>
          <w:rStyle w:val="Odwoanieprzypisudolnego"/>
          <w:rFonts w:ascii="Bookman Old Style" w:hAnsi="Bookman Old Style"/>
          <w:sz w:val="24"/>
          <w:szCs w:val="24"/>
        </w:rPr>
        <w:footnoteReference w:id="28"/>
      </w:r>
      <w:r w:rsidR="00214F79">
        <w:rPr>
          <w:rFonts w:ascii="Bookman Old Style" w:hAnsi="Bookman Old Style"/>
          <w:sz w:val="24"/>
          <w:szCs w:val="24"/>
        </w:rPr>
        <w:t xml:space="preserve">Wydaje się jednak, że pogląd ten nie jest trafny, wszak dochodzi w tym przypadku do naruszenia dobra chronionego na gruncie rzeczonych przepisów- rzecz staje się niezdatna do użytku </w:t>
      </w:r>
      <w:r w:rsidR="00605F37">
        <w:rPr>
          <w:rFonts w:ascii="Bookman Old Style" w:hAnsi="Bookman Old Style"/>
          <w:sz w:val="24"/>
          <w:szCs w:val="24"/>
        </w:rPr>
        <w:t>wskutek zachowania sprawcy.</w:t>
      </w:r>
      <w:r w:rsidR="00822B58">
        <w:rPr>
          <w:rStyle w:val="Odwoanieprzypisudolnego"/>
          <w:rFonts w:ascii="Bookman Old Style" w:hAnsi="Bookman Old Style"/>
          <w:sz w:val="24"/>
          <w:szCs w:val="24"/>
        </w:rPr>
        <w:footnoteReference w:id="29"/>
      </w:r>
      <w:r w:rsidR="00605F37">
        <w:rPr>
          <w:rFonts w:ascii="Bookman Old Style" w:hAnsi="Bookman Old Style"/>
          <w:sz w:val="24"/>
          <w:szCs w:val="24"/>
        </w:rPr>
        <w:t xml:space="preserve"> Brak konieczności zaangażowania środków czy pracy w to, aby przywrócić stan poprzedni może </w:t>
      </w:r>
      <w:r w:rsidR="00FC6F28">
        <w:rPr>
          <w:rFonts w:ascii="Bookman Old Style" w:hAnsi="Bookman Old Style"/>
          <w:sz w:val="24"/>
          <w:szCs w:val="24"/>
        </w:rPr>
        <w:t>mieć wpływ na ocenę stopnia społecznej szkodliwości czynu. Jest to bowiem okoliczność związana z czynem (art. 115</w:t>
      </w:r>
      <w:r w:rsidR="000D3A55">
        <w:rPr>
          <w:rFonts w:ascii="Bookman Old Style" w:hAnsi="Bookman Old Style"/>
          <w:sz w:val="24"/>
          <w:szCs w:val="24"/>
        </w:rPr>
        <w:t>§2kk).</w:t>
      </w:r>
    </w:p>
    <w:p w14:paraId="27AB67B6" w14:textId="0E8192DB" w:rsidR="00263B78" w:rsidRDefault="00396F7F" w:rsidP="00872C17">
      <w:pPr>
        <w:spacing w:after="0" w:line="360" w:lineRule="auto"/>
        <w:jc w:val="both"/>
        <w:rPr>
          <w:rFonts w:ascii="Bookman Old Style" w:hAnsi="Bookman Old Style"/>
          <w:sz w:val="24"/>
          <w:szCs w:val="24"/>
        </w:rPr>
      </w:pPr>
      <w:r>
        <w:rPr>
          <w:rFonts w:ascii="Bookman Old Style" w:hAnsi="Bookman Old Style"/>
          <w:sz w:val="24"/>
          <w:szCs w:val="24"/>
        </w:rPr>
        <w:tab/>
        <w:t xml:space="preserve">Zarówno w przypadku uszkodzenia rzeczy jak i uczynienia jej niezdaną </w:t>
      </w:r>
      <w:r w:rsidR="00756136">
        <w:rPr>
          <w:rFonts w:ascii="Bookman Old Style" w:hAnsi="Bookman Old Style"/>
          <w:sz w:val="24"/>
          <w:szCs w:val="24"/>
        </w:rPr>
        <w:t xml:space="preserve">nie ma znaczenia możliwość przywrócenia stanu poprzedniego. Może zatem zachodzić sytuacja, w której restytucja nie jest możliwa, ale nie można wykluczyć odpowiedzialności także wówczas, gdy jest ona możliwa </w:t>
      </w:r>
      <w:r w:rsidR="00FE7051">
        <w:rPr>
          <w:rFonts w:ascii="Bookman Old Style" w:hAnsi="Bookman Old Style"/>
          <w:sz w:val="24"/>
          <w:szCs w:val="24"/>
        </w:rPr>
        <w:t>przy pewnym wysiłku, w tym finansowym.</w:t>
      </w:r>
      <w:r w:rsidR="00FE7051">
        <w:rPr>
          <w:rStyle w:val="Odwoanieprzypisudolnego"/>
          <w:rFonts w:ascii="Bookman Old Style" w:hAnsi="Bookman Old Style"/>
          <w:sz w:val="24"/>
          <w:szCs w:val="24"/>
        </w:rPr>
        <w:footnoteReference w:id="30"/>
      </w:r>
      <w:r w:rsidR="00527170">
        <w:rPr>
          <w:rFonts w:ascii="Bookman Old Style" w:hAnsi="Bookman Old Style"/>
          <w:sz w:val="24"/>
          <w:szCs w:val="24"/>
        </w:rPr>
        <w:t xml:space="preserve"> Nie jest również istotne to, czy </w:t>
      </w:r>
      <w:r w:rsidR="00202173">
        <w:rPr>
          <w:rFonts w:ascii="Bookman Old Style" w:hAnsi="Bookman Old Style"/>
          <w:sz w:val="24"/>
          <w:szCs w:val="24"/>
        </w:rPr>
        <w:t>dla przywrócenia normalnej użyteczności rzeczy konieczny jest jakiś nakład pracy lub kosztów.</w:t>
      </w:r>
      <w:r w:rsidR="00202173">
        <w:rPr>
          <w:rStyle w:val="Odwoanieprzypisudolnego"/>
          <w:rFonts w:ascii="Bookman Old Style" w:hAnsi="Bookman Old Style"/>
          <w:sz w:val="24"/>
          <w:szCs w:val="24"/>
        </w:rPr>
        <w:footnoteReference w:id="31"/>
      </w:r>
    </w:p>
    <w:p w14:paraId="32F9366D" w14:textId="77777777" w:rsidR="008E05C3" w:rsidRDefault="00263B78"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Zdaniem K. Buchały</w:t>
      </w:r>
      <w:r w:rsidR="004925C9">
        <w:rPr>
          <w:rFonts w:ascii="Bookman Old Style" w:hAnsi="Bookman Old Style"/>
          <w:sz w:val="24"/>
          <w:szCs w:val="24"/>
        </w:rPr>
        <w:t xml:space="preserve">, pod pojęciem zniszczenia mienia lub uczynienia go niezdatnym do użytku rozumieć należy także taką sytuację, w której </w:t>
      </w:r>
      <w:r w:rsidR="00453D43">
        <w:rPr>
          <w:rFonts w:ascii="Bookman Old Style" w:hAnsi="Bookman Old Style"/>
          <w:sz w:val="24"/>
          <w:szCs w:val="24"/>
        </w:rPr>
        <w:t>dochodzi do pogorszenia walorów estetycznych, przez co przedmiot traci swoją wartość handlową lub też ją zmienia</w:t>
      </w:r>
      <w:r w:rsidR="005C2419">
        <w:rPr>
          <w:rFonts w:ascii="Bookman Old Style" w:hAnsi="Bookman Old Style"/>
          <w:sz w:val="24"/>
          <w:szCs w:val="24"/>
        </w:rPr>
        <w:t xml:space="preserve"> tzn. obniża.</w:t>
      </w:r>
      <w:r w:rsidR="005C2419">
        <w:rPr>
          <w:rStyle w:val="Odwoanieprzypisudolnego"/>
          <w:rFonts w:ascii="Bookman Old Style" w:hAnsi="Bookman Old Style"/>
          <w:sz w:val="24"/>
          <w:szCs w:val="24"/>
        </w:rPr>
        <w:footnoteReference w:id="32"/>
      </w:r>
    </w:p>
    <w:p w14:paraId="63471C1E" w14:textId="1A59DA51" w:rsidR="00092E38" w:rsidRDefault="004A6C29"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Nanoszenie gra</w:t>
      </w:r>
      <w:r w:rsidR="00412528">
        <w:rPr>
          <w:rFonts w:ascii="Bookman Old Style" w:hAnsi="Bookman Old Style"/>
          <w:sz w:val="24"/>
          <w:szCs w:val="24"/>
        </w:rPr>
        <w:t>f</w:t>
      </w:r>
      <w:r>
        <w:rPr>
          <w:rFonts w:ascii="Bookman Old Style" w:hAnsi="Bookman Old Style"/>
          <w:sz w:val="24"/>
          <w:szCs w:val="24"/>
        </w:rPr>
        <w:t>fiti na pojazdy kolejowe może być oceniane również z perspektywy art. 63a kw.</w:t>
      </w:r>
      <w:r w:rsidR="00B040FA">
        <w:rPr>
          <w:rFonts w:ascii="Bookman Old Style" w:hAnsi="Bookman Old Style"/>
          <w:sz w:val="24"/>
          <w:szCs w:val="24"/>
        </w:rPr>
        <w:t xml:space="preserve"> Zgodnie z treścią tego przepisu, kto umieszcza </w:t>
      </w:r>
      <w:r w:rsidR="007D5EAC">
        <w:rPr>
          <w:rFonts w:ascii="Bookman Old Style" w:hAnsi="Bookman Old Style"/>
          <w:sz w:val="24"/>
          <w:szCs w:val="24"/>
        </w:rPr>
        <w:t xml:space="preserve">w miejscu publicznym do tego nieprzeznaczonym ogłoszenie, plakat, afisz, apel, ulotkę lub rysunek </w:t>
      </w:r>
      <w:r w:rsidR="000A23C5">
        <w:rPr>
          <w:rFonts w:ascii="Bookman Old Style" w:hAnsi="Bookman Old Style"/>
          <w:sz w:val="24"/>
          <w:szCs w:val="24"/>
        </w:rPr>
        <w:t xml:space="preserve">albo wystawia je na widok publiczny w innym miejscu bez zgody zarządzającego tym miejscem, podlega karze ograniczenia wolności albo grzywny. </w:t>
      </w:r>
      <w:r w:rsidR="006867D7">
        <w:rPr>
          <w:rFonts w:ascii="Bookman Old Style" w:hAnsi="Bookman Old Style"/>
          <w:sz w:val="24"/>
          <w:szCs w:val="24"/>
        </w:rPr>
        <w:t xml:space="preserve">W przypadku tego wykroczenia, zarówno podżeganie, jak i pomocnictwo są karalne. W razie popełnienia </w:t>
      </w:r>
      <w:r w:rsidR="00FB2C3C">
        <w:rPr>
          <w:rFonts w:ascii="Bookman Old Style" w:hAnsi="Bookman Old Style"/>
          <w:sz w:val="24"/>
          <w:szCs w:val="24"/>
        </w:rPr>
        <w:t>tego czynu można orzec przepadek przedmiotów służących lub przeznaczonych do popełnienia wykroczenia, choćby nie stanowiły własności sprawcy</w:t>
      </w:r>
      <w:r w:rsidR="00093EBF">
        <w:rPr>
          <w:rFonts w:ascii="Bookman Old Style" w:hAnsi="Bookman Old Style"/>
          <w:sz w:val="24"/>
          <w:szCs w:val="24"/>
        </w:rPr>
        <w:t>, oraz nawiązkę w wysokości 1500zł. lub obowiązek przywrócenia stanu poprzedniego.</w:t>
      </w:r>
    </w:p>
    <w:p w14:paraId="6B7ECD3B" w14:textId="5B94C0CE" w:rsidR="00BC2CA4" w:rsidRDefault="00BC2CA4"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lastRenderedPageBreak/>
        <w:t xml:space="preserve">Wydaje się, że w świetle tego, co napisano wyżej, są dostateczne argumenty przemawiające przeciwko konieczności wprowadzania do kodeksu karnego odrębnego typu czynu zabronionego, który miałby penalizować zachowania, o których mowa w piśmie przesłanym do Ministerstwa Sprawiedliwości przez </w:t>
      </w:r>
      <w:r w:rsidR="00706435">
        <w:rPr>
          <w:rFonts w:ascii="Bookman Old Style" w:hAnsi="Bookman Old Style"/>
          <w:sz w:val="24"/>
          <w:szCs w:val="24"/>
        </w:rPr>
        <w:t>Przewodniczącego Centralnego Zespołu ds. Bezpieczeństwa na obszarach kolejowych i w pociągach-PKP SA</w:t>
      </w:r>
      <w:r w:rsidR="003049BC">
        <w:rPr>
          <w:rFonts w:ascii="Bookman Old Style" w:hAnsi="Bookman Old Style"/>
          <w:sz w:val="24"/>
          <w:szCs w:val="24"/>
        </w:rPr>
        <w:t>.</w:t>
      </w:r>
      <w:r w:rsidR="000355B8">
        <w:rPr>
          <w:rFonts w:ascii="Bookman Old Style" w:hAnsi="Bookman Old Style"/>
          <w:sz w:val="24"/>
          <w:szCs w:val="24"/>
        </w:rPr>
        <w:t xml:space="preserve"> </w:t>
      </w:r>
      <w:r w:rsidR="000C58A1">
        <w:rPr>
          <w:rFonts w:ascii="Bookman Old Style" w:hAnsi="Bookman Old Style"/>
          <w:sz w:val="24"/>
          <w:szCs w:val="24"/>
        </w:rPr>
        <w:t xml:space="preserve">Za taką tezą </w:t>
      </w:r>
      <w:r w:rsidR="003F57E3">
        <w:rPr>
          <w:rFonts w:ascii="Bookman Old Style" w:hAnsi="Bookman Old Style"/>
          <w:sz w:val="24"/>
          <w:szCs w:val="24"/>
        </w:rPr>
        <w:t>przemawiają następujące argumenty.</w:t>
      </w:r>
      <w:r w:rsidR="000355B8">
        <w:rPr>
          <w:rFonts w:ascii="Bookman Old Style" w:hAnsi="Bookman Old Style"/>
          <w:sz w:val="24"/>
          <w:szCs w:val="24"/>
        </w:rPr>
        <w:t xml:space="preserve"> </w:t>
      </w:r>
    </w:p>
    <w:p w14:paraId="334C9778" w14:textId="3F5B6083" w:rsidR="003049BC" w:rsidRDefault="003049BC"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pierwsze, </w:t>
      </w:r>
      <w:r w:rsidR="00345042">
        <w:rPr>
          <w:rFonts w:ascii="Bookman Old Style" w:hAnsi="Bookman Old Style"/>
          <w:sz w:val="24"/>
          <w:szCs w:val="24"/>
        </w:rPr>
        <w:t xml:space="preserve">rodzajowym </w:t>
      </w:r>
      <w:r>
        <w:rPr>
          <w:rFonts w:ascii="Bookman Old Style" w:hAnsi="Bookman Old Style"/>
          <w:sz w:val="24"/>
          <w:szCs w:val="24"/>
        </w:rPr>
        <w:t>przedmiotem ochrony na gruncie przepisu art. 288§1kk</w:t>
      </w:r>
      <w:r w:rsidR="00D2443F">
        <w:rPr>
          <w:rFonts w:ascii="Bookman Old Style" w:hAnsi="Bookman Old Style"/>
          <w:sz w:val="24"/>
          <w:szCs w:val="24"/>
        </w:rPr>
        <w:t xml:space="preserve"> i art. 124§1kw</w:t>
      </w:r>
      <w:r>
        <w:rPr>
          <w:rFonts w:ascii="Bookman Old Style" w:hAnsi="Bookman Old Style"/>
          <w:sz w:val="24"/>
          <w:szCs w:val="24"/>
        </w:rPr>
        <w:t xml:space="preserve"> jest mienie szeroko pojęte</w:t>
      </w:r>
      <w:r w:rsidR="00345042">
        <w:rPr>
          <w:rFonts w:ascii="Bookman Old Style" w:hAnsi="Bookman Old Style"/>
          <w:sz w:val="24"/>
          <w:szCs w:val="24"/>
        </w:rPr>
        <w:t>. Natomiast za indywidualny przedmiot ochrony uznaje się własność, posiadanie</w:t>
      </w:r>
      <w:r w:rsidR="00DD02FB">
        <w:rPr>
          <w:rFonts w:ascii="Bookman Old Style" w:hAnsi="Bookman Old Style"/>
          <w:sz w:val="24"/>
          <w:szCs w:val="24"/>
        </w:rPr>
        <w:t xml:space="preserve"> oraz inne prawa do rzeczy.</w:t>
      </w:r>
      <w:r w:rsidR="00DD02FB">
        <w:rPr>
          <w:rStyle w:val="Odwoanieprzypisudolnego"/>
          <w:rFonts w:ascii="Bookman Old Style" w:hAnsi="Bookman Old Style"/>
          <w:sz w:val="24"/>
          <w:szCs w:val="24"/>
        </w:rPr>
        <w:footnoteReference w:id="33"/>
      </w:r>
      <w:r w:rsidR="00C006B6">
        <w:rPr>
          <w:rFonts w:ascii="Bookman Old Style" w:hAnsi="Bookman Old Style"/>
          <w:sz w:val="24"/>
          <w:szCs w:val="24"/>
        </w:rPr>
        <w:t>W literaturze podkreśla się, że przedmiotem ochrony na gruncie przepisu art. 288§1kk jest integralność rzeczy, jej nienaruszalność</w:t>
      </w:r>
      <w:r w:rsidR="007E51CB">
        <w:rPr>
          <w:rFonts w:ascii="Bookman Old Style" w:hAnsi="Bookman Old Style"/>
          <w:sz w:val="24"/>
          <w:szCs w:val="24"/>
        </w:rPr>
        <w:t xml:space="preserve"> oraz zdolność do jej użytkowania zgodnie z przeznaczeniem.</w:t>
      </w:r>
      <w:r w:rsidR="007E51CB">
        <w:rPr>
          <w:rStyle w:val="Odwoanieprzypisudolnego"/>
          <w:rFonts w:ascii="Bookman Old Style" w:hAnsi="Bookman Old Style"/>
          <w:sz w:val="24"/>
          <w:szCs w:val="24"/>
        </w:rPr>
        <w:footnoteReference w:id="34"/>
      </w:r>
      <w:r w:rsidR="003B2F13">
        <w:rPr>
          <w:rFonts w:ascii="Bookman Old Style" w:hAnsi="Bookman Old Style"/>
          <w:sz w:val="24"/>
          <w:szCs w:val="24"/>
        </w:rPr>
        <w:t xml:space="preserve">Wydaje się, że przedmiot ochrony na gruncie tego przepisu należy postrzegać nieco szerzej, zgodnie z przywołanym wyżej </w:t>
      </w:r>
      <w:r w:rsidR="00CC2D15">
        <w:rPr>
          <w:rFonts w:ascii="Bookman Old Style" w:hAnsi="Bookman Old Style"/>
          <w:sz w:val="24"/>
          <w:szCs w:val="24"/>
        </w:rPr>
        <w:t xml:space="preserve">poglądem zaczerpniętym z doktryny niemieckiej. Otóż, skoro zachowanie sprawcy przestępstwa z art. 288§1kk (a tym samym również wykroczenia z art. 124§1 </w:t>
      </w:r>
      <w:proofErr w:type="spellStart"/>
      <w:r w:rsidR="00CC2D15">
        <w:rPr>
          <w:rFonts w:ascii="Bookman Old Style" w:hAnsi="Bookman Old Style"/>
          <w:sz w:val="24"/>
          <w:szCs w:val="24"/>
        </w:rPr>
        <w:t>kw</w:t>
      </w:r>
      <w:proofErr w:type="spellEnd"/>
      <w:r w:rsidR="00CC2D15">
        <w:rPr>
          <w:rFonts w:ascii="Bookman Old Style" w:hAnsi="Bookman Old Style"/>
          <w:sz w:val="24"/>
          <w:szCs w:val="24"/>
        </w:rPr>
        <w:t xml:space="preserve">) ma polegać na niszczeniu , uszkodzeniu lub czynieniu rzeczy niezdatną do użytku, to </w:t>
      </w:r>
      <w:r w:rsidR="005F4030">
        <w:rPr>
          <w:rFonts w:ascii="Bookman Old Style" w:hAnsi="Bookman Old Style"/>
          <w:sz w:val="24"/>
          <w:szCs w:val="24"/>
        </w:rPr>
        <w:t>na gruncie tych unormowań chronion</w:t>
      </w:r>
      <w:r w:rsidR="006E7EBA">
        <w:rPr>
          <w:rFonts w:ascii="Bookman Old Style" w:hAnsi="Bookman Old Style"/>
          <w:sz w:val="24"/>
          <w:szCs w:val="24"/>
        </w:rPr>
        <w:t>a</w:t>
      </w:r>
      <w:r w:rsidR="005F4030">
        <w:rPr>
          <w:rFonts w:ascii="Bookman Old Style" w:hAnsi="Bookman Old Style"/>
          <w:sz w:val="24"/>
          <w:szCs w:val="24"/>
        </w:rPr>
        <w:t xml:space="preserve"> jest</w:t>
      </w:r>
      <w:r w:rsidR="006E7EBA">
        <w:rPr>
          <w:rFonts w:ascii="Bookman Old Style" w:hAnsi="Bookman Old Style"/>
          <w:sz w:val="24"/>
          <w:szCs w:val="24"/>
        </w:rPr>
        <w:t xml:space="preserve"> nie tylko integralność, nienaruszalność przedmiotu, ale</w:t>
      </w:r>
      <w:r w:rsidR="00681894">
        <w:rPr>
          <w:rFonts w:ascii="Bookman Old Style" w:hAnsi="Bookman Old Style"/>
          <w:sz w:val="24"/>
          <w:szCs w:val="24"/>
        </w:rPr>
        <w:t xml:space="preserve"> także</w:t>
      </w:r>
      <w:r w:rsidR="005F4030">
        <w:rPr>
          <w:rFonts w:ascii="Bookman Old Style" w:hAnsi="Bookman Old Style"/>
          <w:sz w:val="24"/>
          <w:szCs w:val="24"/>
        </w:rPr>
        <w:t xml:space="preserve"> pewien stan rzeczy, którego ochroną zainteresowana jest osoba uprawniona </w:t>
      </w:r>
      <w:r w:rsidR="006E7EBA">
        <w:rPr>
          <w:rFonts w:ascii="Bookman Old Style" w:hAnsi="Bookman Old Style"/>
          <w:sz w:val="24"/>
          <w:szCs w:val="24"/>
        </w:rPr>
        <w:t>do niej</w:t>
      </w:r>
      <w:r w:rsidR="005F4030">
        <w:rPr>
          <w:rFonts w:ascii="Bookman Old Style" w:hAnsi="Bookman Old Style"/>
          <w:sz w:val="24"/>
          <w:szCs w:val="24"/>
        </w:rPr>
        <w:t xml:space="preserve">. </w:t>
      </w:r>
      <w:r w:rsidR="007308ED">
        <w:rPr>
          <w:rFonts w:ascii="Bookman Old Style" w:hAnsi="Bookman Old Style"/>
          <w:sz w:val="24"/>
          <w:szCs w:val="24"/>
        </w:rPr>
        <w:t xml:space="preserve">Przy takim ujęciu przedmiotu ochrony nie ma chyba wątpliwości, że nanoszenie </w:t>
      </w:r>
      <w:r w:rsidR="001749A9">
        <w:rPr>
          <w:rFonts w:ascii="Bookman Old Style" w:hAnsi="Bookman Old Style"/>
          <w:sz w:val="24"/>
          <w:szCs w:val="24"/>
        </w:rPr>
        <w:t>gra</w:t>
      </w:r>
      <w:r w:rsidR="00412528">
        <w:rPr>
          <w:rFonts w:ascii="Bookman Old Style" w:hAnsi="Bookman Old Style"/>
          <w:sz w:val="24"/>
          <w:szCs w:val="24"/>
        </w:rPr>
        <w:t>f</w:t>
      </w:r>
      <w:r w:rsidR="001749A9">
        <w:rPr>
          <w:rFonts w:ascii="Bookman Old Style" w:hAnsi="Bookman Old Style"/>
          <w:sz w:val="24"/>
          <w:szCs w:val="24"/>
        </w:rPr>
        <w:t>fit</w:t>
      </w:r>
      <w:r w:rsidR="006F2DBA">
        <w:rPr>
          <w:rFonts w:ascii="Bookman Old Style" w:hAnsi="Bookman Old Style"/>
          <w:sz w:val="24"/>
          <w:szCs w:val="24"/>
        </w:rPr>
        <w:t>i</w:t>
      </w:r>
      <w:r w:rsidR="001749A9">
        <w:rPr>
          <w:rFonts w:ascii="Bookman Old Style" w:hAnsi="Bookman Old Style"/>
          <w:sz w:val="24"/>
          <w:szCs w:val="24"/>
        </w:rPr>
        <w:t xml:space="preserve"> na pojazdy kolejowe stanowi naruszenie dobra prawnego, które chronione jest na gruncie przepisów art. 288§1 kk i art. 124§1kw. </w:t>
      </w:r>
      <w:r w:rsidR="0007781B">
        <w:rPr>
          <w:rFonts w:ascii="Bookman Old Style" w:hAnsi="Bookman Old Style"/>
          <w:sz w:val="24"/>
          <w:szCs w:val="24"/>
        </w:rPr>
        <w:t>T</w:t>
      </w:r>
      <w:r w:rsidR="000C396F">
        <w:rPr>
          <w:rFonts w:ascii="Bookman Old Style" w:hAnsi="Bookman Old Style"/>
          <w:sz w:val="24"/>
          <w:szCs w:val="24"/>
        </w:rPr>
        <w:t xml:space="preserve">akie zachowanie stanowi ingerencję w integralność rzeczy, jej nienaruszalność i na pewno stan spowodowany </w:t>
      </w:r>
      <w:r w:rsidR="001E4BB9">
        <w:rPr>
          <w:rFonts w:ascii="Bookman Old Style" w:hAnsi="Bookman Old Style"/>
          <w:sz w:val="24"/>
          <w:szCs w:val="24"/>
        </w:rPr>
        <w:t>naniesieniem gra</w:t>
      </w:r>
      <w:r w:rsidR="00412528">
        <w:rPr>
          <w:rFonts w:ascii="Bookman Old Style" w:hAnsi="Bookman Old Style"/>
          <w:sz w:val="24"/>
          <w:szCs w:val="24"/>
        </w:rPr>
        <w:t>f</w:t>
      </w:r>
      <w:r w:rsidR="001E4BB9">
        <w:rPr>
          <w:rFonts w:ascii="Bookman Old Style" w:hAnsi="Bookman Old Style"/>
          <w:sz w:val="24"/>
          <w:szCs w:val="24"/>
        </w:rPr>
        <w:t>fiti nie leży w interesie podmiotu zainteresowanego w należytym, estetycznym i bezpiecznym</w:t>
      </w:r>
      <w:r w:rsidR="002A008D">
        <w:rPr>
          <w:rFonts w:ascii="Bookman Old Style" w:hAnsi="Bookman Old Style"/>
          <w:sz w:val="24"/>
          <w:szCs w:val="24"/>
        </w:rPr>
        <w:t xml:space="preserve"> jej</w:t>
      </w:r>
      <w:r w:rsidR="001E4BB9">
        <w:rPr>
          <w:rFonts w:ascii="Bookman Old Style" w:hAnsi="Bookman Old Style"/>
          <w:sz w:val="24"/>
          <w:szCs w:val="24"/>
        </w:rPr>
        <w:t xml:space="preserve"> utrzymaniu.</w:t>
      </w:r>
      <w:r w:rsidR="00DD02FB">
        <w:rPr>
          <w:rFonts w:ascii="Bookman Old Style" w:hAnsi="Bookman Old Style"/>
          <w:sz w:val="24"/>
          <w:szCs w:val="24"/>
        </w:rPr>
        <w:t xml:space="preserve"> </w:t>
      </w:r>
    </w:p>
    <w:p w14:paraId="3063D339" w14:textId="5558F406" w:rsidR="00093C82" w:rsidRDefault="004B05FE"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D73559">
        <w:rPr>
          <w:rFonts w:ascii="Bookman Old Style" w:hAnsi="Bookman Old Style"/>
          <w:sz w:val="24"/>
          <w:szCs w:val="24"/>
        </w:rPr>
        <w:t>drugie</w:t>
      </w:r>
      <w:r>
        <w:rPr>
          <w:rFonts w:ascii="Bookman Old Style" w:hAnsi="Bookman Old Style"/>
          <w:sz w:val="24"/>
          <w:szCs w:val="24"/>
        </w:rPr>
        <w:t>,</w:t>
      </w:r>
      <w:r w:rsidR="00D73559">
        <w:rPr>
          <w:rFonts w:ascii="Bookman Old Style" w:hAnsi="Bookman Old Style"/>
          <w:sz w:val="24"/>
          <w:szCs w:val="24"/>
        </w:rPr>
        <w:t xml:space="preserve"> poprzez pomalowanie </w:t>
      </w:r>
      <w:r w:rsidR="00F32251">
        <w:rPr>
          <w:rFonts w:ascii="Bookman Old Style" w:hAnsi="Bookman Old Style"/>
          <w:sz w:val="24"/>
          <w:szCs w:val="24"/>
        </w:rPr>
        <w:t>taboru kolejowego farbą gra</w:t>
      </w:r>
      <w:r w:rsidR="00412528">
        <w:rPr>
          <w:rFonts w:ascii="Bookman Old Style" w:hAnsi="Bookman Old Style"/>
          <w:sz w:val="24"/>
          <w:szCs w:val="24"/>
        </w:rPr>
        <w:t>f</w:t>
      </w:r>
      <w:r w:rsidR="00F32251">
        <w:rPr>
          <w:rFonts w:ascii="Bookman Old Style" w:hAnsi="Bookman Old Style"/>
          <w:sz w:val="24"/>
          <w:szCs w:val="24"/>
        </w:rPr>
        <w:t>fiti</w:t>
      </w:r>
      <w:r w:rsidR="001F6DA5">
        <w:rPr>
          <w:rFonts w:ascii="Bookman Old Style" w:hAnsi="Bookman Old Style"/>
          <w:sz w:val="24"/>
          <w:szCs w:val="24"/>
        </w:rPr>
        <w:t>- wbrew przywołanemu wyżej stanowisku M. Kulika-</w:t>
      </w:r>
      <w:r>
        <w:rPr>
          <w:rFonts w:ascii="Bookman Old Style" w:hAnsi="Bookman Old Style"/>
          <w:sz w:val="24"/>
          <w:szCs w:val="24"/>
        </w:rPr>
        <w:t xml:space="preserve"> </w:t>
      </w:r>
      <w:r w:rsidR="00CC4159">
        <w:rPr>
          <w:rFonts w:ascii="Bookman Old Style" w:hAnsi="Bookman Old Style"/>
          <w:sz w:val="24"/>
          <w:szCs w:val="24"/>
        </w:rPr>
        <w:t xml:space="preserve">z reguły </w:t>
      </w:r>
      <w:r w:rsidR="002A008D">
        <w:rPr>
          <w:rFonts w:ascii="Bookman Old Style" w:hAnsi="Bookman Old Style"/>
          <w:sz w:val="24"/>
          <w:szCs w:val="24"/>
        </w:rPr>
        <w:t xml:space="preserve">dochodzi do </w:t>
      </w:r>
      <w:r>
        <w:rPr>
          <w:rFonts w:ascii="Bookman Old Style" w:hAnsi="Bookman Old Style"/>
          <w:sz w:val="24"/>
          <w:szCs w:val="24"/>
        </w:rPr>
        <w:t>naruszeni</w:t>
      </w:r>
      <w:r w:rsidR="002A008D">
        <w:rPr>
          <w:rFonts w:ascii="Bookman Old Style" w:hAnsi="Bookman Old Style"/>
          <w:sz w:val="24"/>
          <w:szCs w:val="24"/>
        </w:rPr>
        <w:t>a</w:t>
      </w:r>
      <w:r>
        <w:rPr>
          <w:rFonts w:ascii="Bookman Old Style" w:hAnsi="Bookman Old Style"/>
          <w:sz w:val="24"/>
          <w:szCs w:val="24"/>
        </w:rPr>
        <w:t xml:space="preserve"> substancji rzeczy</w:t>
      </w:r>
      <w:r w:rsidR="00E81D26">
        <w:rPr>
          <w:rFonts w:ascii="Bookman Old Style" w:hAnsi="Bookman Old Style"/>
          <w:sz w:val="24"/>
          <w:szCs w:val="24"/>
        </w:rPr>
        <w:t>, przez które</w:t>
      </w:r>
      <w:r>
        <w:rPr>
          <w:rFonts w:ascii="Bookman Old Style" w:hAnsi="Bookman Old Style"/>
          <w:sz w:val="24"/>
          <w:szCs w:val="24"/>
        </w:rPr>
        <w:t xml:space="preserve"> należy rozumieć  </w:t>
      </w:r>
      <w:r w:rsidR="00D11784">
        <w:rPr>
          <w:rFonts w:ascii="Bookman Old Style" w:hAnsi="Bookman Old Style"/>
          <w:sz w:val="24"/>
          <w:szCs w:val="24"/>
        </w:rPr>
        <w:t xml:space="preserve">położenie na niej nowej warstwy </w:t>
      </w:r>
      <w:r w:rsidR="0029523D">
        <w:rPr>
          <w:rFonts w:ascii="Bookman Old Style" w:hAnsi="Bookman Old Style"/>
          <w:sz w:val="24"/>
          <w:szCs w:val="24"/>
        </w:rPr>
        <w:t>trwałej</w:t>
      </w:r>
      <w:r w:rsidR="00E81D26">
        <w:rPr>
          <w:rFonts w:ascii="Bookman Old Style" w:hAnsi="Bookman Old Style"/>
          <w:sz w:val="24"/>
          <w:szCs w:val="24"/>
        </w:rPr>
        <w:t xml:space="preserve">. W takim przypadku </w:t>
      </w:r>
      <w:r w:rsidR="0073205D">
        <w:rPr>
          <w:rFonts w:ascii="Bookman Old Style" w:hAnsi="Bookman Old Style"/>
          <w:sz w:val="24"/>
          <w:szCs w:val="24"/>
        </w:rPr>
        <w:t xml:space="preserve">nowa warstwa wiąże się chemicznie z </w:t>
      </w:r>
      <w:r w:rsidR="0073205D">
        <w:rPr>
          <w:rFonts w:ascii="Bookman Old Style" w:hAnsi="Bookman Old Style"/>
          <w:sz w:val="24"/>
          <w:szCs w:val="24"/>
        </w:rPr>
        <w:lastRenderedPageBreak/>
        <w:t>pierwotną, utrwala się na pierwotnej powierzchni rzeczy</w:t>
      </w:r>
      <w:r w:rsidR="005059D4">
        <w:rPr>
          <w:rFonts w:ascii="Bookman Old Style" w:hAnsi="Bookman Old Style"/>
          <w:sz w:val="24"/>
          <w:szCs w:val="24"/>
        </w:rPr>
        <w:t xml:space="preserve">. Związanie farby z pierwotną powierzchnią </w:t>
      </w:r>
      <w:r w:rsidR="00FE04BD">
        <w:rPr>
          <w:rFonts w:ascii="Bookman Old Style" w:hAnsi="Bookman Old Style"/>
          <w:sz w:val="24"/>
          <w:szCs w:val="24"/>
        </w:rPr>
        <w:t xml:space="preserve">rzeczy </w:t>
      </w:r>
      <w:r w:rsidR="005059D4">
        <w:rPr>
          <w:rFonts w:ascii="Bookman Old Style" w:hAnsi="Bookman Old Style"/>
          <w:sz w:val="24"/>
          <w:szCs w:val="24"/>
        </w:rPr>
        <w:t>świadczy o ingerencj</w:t>
      </w:r>
      <w:r w:rsidR="0069550E">
        <w:rPr>
          <w:rFonts w:ascii="Bookman Old Style" w:hAnsi="Bookman Old Style"/>
          <w:sz w:val="24"/>
          <w:szCs w:val="24"/>
        </w:rPr>
        <w:t>i</w:t>
      </w:r>
      <w:r w:rsidR="005059D4">
        <w:rPr>
          <w:rFonts w:ascii="Bookman Old Style" w:hAnsi="Bookman Old Style"/>
          <w:sz w:val="24"/>
          <w:szCs w:val="24"/>
        </w:rPr>
        <w:t xml:space="preserve"> w jej powłokę, </w:t>
      </w:r>
      <w:r w:rsidR="00093C82">
        <w:rPr>
          <w:rFonts w:ascii="Bookman Old Style" w:hAnsi="Bookman Old Style"/>
          <w:sz w:val="24"/>
          <w:szCs w:val="24"/>
        </w:rPr>
        <w:t>a zatem jest to zachowanie, które ingeruje w materię przedmiotu, co przecież wyczerpuje znamię uszkodzenia rzeczy</w:t>
      </w:r>
      <w:r w:rsidR="0069550E">
        <w:rPr>
          <w:rFonts w:ascii="Bookman Old Style" w:hAnsi="Bookman Old Style"/>
          <w:sz w:val="24"/>
          <w:szCs w:val="24"/>
        </w:rPr>
        <w:t>, o którym mowa w art. 288§1 kk i art. 124§1kw</w:t>
      </w:r>
      <w:r w:rsidR="00093C82">
        <w:rPr>
          <w:rFonts w:ascii="Bookman Old Style" w:hAnsi="Bookman Old Style"/>
          <w:sz w:val="24"/>
          <w:szCs w:val="24"/>
        </w:rPr>
        <w:t>.</w:t>
      </w:r>
    </w:p>
    <w:p w14:paraId="56B43365" w14:textId="79AA2FFF" w:rsidR="004B05FE" w:rsidRDefault="00093C82"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F50FD3">
        <w:rPr>
          <w:rFonts w:ascii="Bookman Old Style" w:hAnsi="Bookman Old Style"/>
          <w:sz w:val="24"/>
          <w:szCs w:val="24"/>
        </w:rPr>
        <w:t>trzecie</w:t>
      </w:r>
      <w:r>
        <w:rPr>
          <w:rFonts w:ascii="Bookman Old Style" w:hAnsi="Bookman Old Style"/>
          <w:sz w:val="24"/>
          <w:szCs w:val="24"/>
        </w:rPr>
        <w:t>, nałożona warstwa gra</w:t>
      </w:r>
      <w:r w:rsidR="000E155B">
        <w:rPr>
          <w:rFonts w:ascii="Bookman Old Style" w:hAnsi="Bookman Old Style"/>
          <w:sz w:val="24"/>
          <w:szCs w:val="24"/>
        </w:rPr>
        <w:t>f</w:t>
      </w:r>
      <w:r>
        <w:rPr>
          <w:rFonts w:ascii="Bookman Old Style" w:hAnsi="Bookman Old Style"/>
          <w:sz w:val="24"/>
          <w:szCs w:val="24"/>
        </w:rPr>
        <w:t>fiti nie zniknie sama z powierzchni rzeczy. Jej usunięcie wymaga</w:t>
      </w:r>
      <w:r w:rsidR="00105EB0">
        <w:rPr>
          <w:rFonts w:ascii="Bookman Old Style" w:hAnsi="Bookman Old Style"/>
          <w:sz w:val="24"/>
          <w:szCs w:val="24"/>
        </w:rPr>
        <w:t xml:space="preserve"> niekiedy</w:t>
      </w:r>
      <w:r>
        <w:rPr>
          <w:rFonts w:ascii="Bookman Old Style" w:hAnsi="Bookman Old Style"/>
          <w:sz w:val="24"/>
          <w:szCs w:val="24"/>
        </w:rPr>
        <w:t xml:space="preserve"> użycia środków chemicznych, </w:t>
      </w:r>
      <w:r w:rsidR="0029523D">
        <w:rPr>
          <w:rFonts w:ascii="Bookman Old Style" w:hAnsi="Bookman Old Style"/>
          <w:sz w:val="24"/>
          <w:szCs w:val="24"/>
        </w:rPr>
        <w:t>ścierani</w:t>
      </w:r>
      <w:r>
        <w:rPr>
          <w:rFonts w:ascii="Bookman Old Style" w:hAnsi="Bookman Old Style"/>
          <w:sz w:val="24"/>
          <w:szCs w:val="24"/>
        </w:rPr>
        <w:t>a</w:t>
      </w:r>
      <w:r w:rsidR="0029523D">
        <w:rPr>
          <w:rFonts w:ascii="Bookman Old Style" w:hAnsi="Bookman Old Style"/>
          <w:sz w:val="24"/>
          <w:szCs w:val="24"/>
        </w:rPr>
        <w:t xml:space="preserve"> warstwy naniesionej</w:t>
      </w:r>
      <w:r>
        <w:rPr>
          <w:rFonts w:ascii="Bookman Old Style" w:hAnsi="Bookman Old Style"/>
          <w:sz w:val="24"/>
          <w:szCs w:val="24"/>
        </w:rPr>
        <w:t>, jej zmycia</w:t>
      </w:r>
      <w:r w:rsidR="00EF50C3">
        <w:rPr>
          <w:rFonts w:ascii="Bookman Old Style" w:hAnsi="Bookman Old Style"/>
          <w:sz w:val="24"/>
          <w:szCs w:val="24"/>
        </w:rPr>
        <w:t>.</w:t>
      </w:r>
      <w:r w:rsidR="00105EB0">
        <w:rPr>
          <w:rFonts w:ascii="Bookman Old Style" w:hAnsi="Bookman Old Style"/>
          <w:sz w:val="24"/>
          <w:szCs w:val="24"/>
        </w:rPr>
        <w:t xml:space="preserve"> Używanie środków chemicznych może powodować naruszenie warstwy znajdującej się bezpośrednio pod warstwą gra</w:t>
      </w:r>
      <w:r w:rsidR="000E155B">
        <w:rPr>
          <w:rFonts w:ascii="Bookman Old Style" w:hAnsi="Bookman Old Style"/>
          <w:sz w:val="24"/>
          <w:szCs w:val="24"/>
        </w:rPr>
        <w:t>f</w:t>
      </w:r>
      <w:r w:rsidR="00105EB0">
        <w:rPr>
          <w:rFonts w:ascii="Bookman Old Style" w:hAnsi="Bookman Old Style"/>
          <w:sz w:val="24"/>
          <w:szCs w:val="24"/>
        </w:rPr>
        <w:t>fiti</w:t>
      </w:r>
      <w:r w:rsidR="008644F6">
        <w:rPr>
          <w:rFonts w:ascii="Bookman Old Style" w:hAnsi="Bookman Old Style"/>
          <w:sz w:val="24"/>
          <w:szCs w:val="24"/>
        </w:rPr>
        <w:t>.</w:t>
      </w:r>
      <w:r w:rsidR="00370B75">
        <w:rPr>
          <w:rFonts w:ascii="Bookman Old Style" w:hAnsi="Bookman Old Style"/>
          <w:sz w:val="24"/>
          <w:szCs w:val="24"/>
        </w:rPr>
        <w:t xml:space="preserve"> </w:t>
      </w:r>
      <w:r w:rsidR="00D74F8D">
        <w:rPr>
          <w:rFonts w:ascii="Bookman Old Style" w:hAnsi="Bookman Old Style"/>
          <w:sz w:val="24"/>
          <w:szCs w:val="24"/>
        </w:rPr>
        <w:t>Substancje chemiczne</w:t>
      </w:r>
      <w:r w:rsidR="00370B75">
        <w:rPr>
          <w:rFonts w:ascii="Bookman Old Style" w:hAnsi="Bookman Old Style"/>
          <w:sz w:val="24"/>
          <w:szCs w:val="24"/>
        </w:rPr>
        <w:t xml:space="preserve">, które są wykorzystywane do </w:t>
      </w:r>
      <w:r w:rsidR="00184466">
        <w:rPr>
          <w:rFonts w:ascii="Bookman Old Style" w:hAnsi="Bookman Old Style"/>
          <w:sz w:val="24"/>
          <w:szCs w:val="24"/>
        </w:rPr>
        <w:t>usuwania gra</w:t>
      </w:r>
      <w:r w:rsidR="000E155B">
        <w:rPr>
          <w:rFonts w:ascii="Bookman Old Style" w:hAnsi="Bookman Old Style"/>
          <w:sz w:val="24"/>
          <w:szCs w:val="24"/>
        </w:rPr>
        <w:t>f</w:t>
      </w:r>
      <w:r w:rsidR="00184466">
        <w:rPr>
          <w:rFonts w:ascii="Bookman Old Style" w:hAnsi="Bookman Old Style"/>
          <w:sz w:val="24"/>
          <w:szCs w:val="24"/>
        </w:rPr>
        <w:t xml:space="preserve">fiti, to </w:t>
      </w:r>
      <w:r w:rsidR="00C64136">
        <w:rPr>
          <w:rFonts w:ascii="Bookman Old Style" w:hAnsi="Bookman Old Style"/>
          <w:sz w:val="24"/>
          <w:szCs w:val="24"/>
        </w:rPr>
        <w:t xml:space="preserve">zwykle </w:t>
      </w:r>
      <w:r w:rsidR="00D74F8D">
        <w:rPr>
          <w:rFonts w:ascii="Bookman Old Style" w:hAnsi="Bookman Old Style"/>
          <w:sz w:val="24"/>
          <w:szCs w:val="24"/>
        </w:rPr>
        <w:t>środki</w:t>
      </w:r>
      <w:r w:rsidR="00C64136">
        <w:rPr>
          <w:rFonts w:ascii="Bookman Old Style" w:hAnsi="Bookman Old Style"/>
          <w:sz w:val="24"/>
          <w:szCs w:val="24"/>
        </w:rPr>
        <w:t xml:space="preserve"> na bazie węglowodorów, estrów i octanów glikolowych, ewentualnie rozpuszczalników polarnych.</w:t>
      </w:r>
      <w:r w:rsidR="00241479">
        <w:rPr>
          <w:rFonts w:ascii="Bookman Old Style" w:hAnsi="Bookman Old Style"/>
          <w:sz w:val="24"/>
          <w:szCs w:val="24"/>
        </w:rPr>
        <w:t xml:space="preserve"> Ich nałożenie na gra</w:t>
      </w:r>
      <w:r w:rsidR="000E155B">
        <w:rPr>
          <w:rFonts w:ascii="Bookman Old Style" w:hAnsi="Bookman Old Style"/>
          <w:sz w:val="24"/>
          <w:szCs w:val="24"/>
        </w:rPr>
        <w:t>f</w:t>
      </w:r>
      <w:r w:rsidR="00241479">
        <w:rPr>
          <w:rFonts w:ascii="Bookman Old Style" w:hAnsi="Bookman Old Style"/>
          <w:sz w:val="24"/>
          <w:szCs w:val="24"/>
        </w:rPr>
        <w:t>fi</w:t>
      </w:r>
      <w:r w:rsidR="00464C02">
        <w:rPr>
          <w:rFonts w:ascii="Bookman Old Style" w:hAnsi="Bookman Old Style"/>
          <w:sz w:val="24"/>
          <w:szCs w:val="24"/>
        </w:rPr>
        <w:t>ti</w:t>
      </w:r>
      <w:r w:rsidR="00241479">
        <w:rPr>
          <w:rFonts w:ascii="Bookman Old Style" w:hAnsi="Bookman Old Style"/>
          <w:sz w:val="24"/>
          <w:szCs w:val="24"/>
        </w:rPr>
        <w:t xml:space="preserve"> oddziałuje również na powierzchnię znajdującą się bezpośrednio pod tą warstwą.</w:t>
      </w:r>
      <w:r w:rsidR="0017076E">
        <w:rPr>
          <w:rFonts w:ascii="Bookman Old Style" w:hAnsi="Bookman Old Style"/>
          <w:sz w:val="24"/>
          <w:szCs w:val="24"/>
        </w:rPr>
        <w:t xml:space="preserve"> Po nałożeniu tych substancji konieczne </w:t>
      </w:r>
      <w:r w:rsidR="004C6F18">
        <w:rPr>
          <w:rFonts w:ascii="Bookman Old Style" w:hAnsi="Bookman Old Style"/>
          <w:sz w:val="24"/>
          <w:szCs w:val="24"/>
        </w:rPr>
        <w:t xml:space="preserve">może być użycie drucianki lub papieru ściernego, a w przypadku delikatniejszych materiałów </w:t>
      </w:r>
      <w:r w:rsidR="009C3DB9">
        <w:rPr>
          <w:rFonts w:ascii="Bookman Old Style" w:hAnsi="Bookman Old Style"/>
          <w:sz w:val="24"/>
          <w:szCs w:val="24"/>
        </w:rPr>
        <w:t>przecieranie szmatką.</w:t>
      </w:r>
      <w:r w:rsidR="00EF50C3">
        <w:rPr>
          <w:rFonts w:ascii="Bookman Old Style" w:hAnsi="Bookman Old Style"/>
          <w:sz w:val="24"/>
          <w:szCs w:val="24"/>
        </w:rPr>
        <w:t xml:space="preserve"> Takie zachowanie również ingeruje w substancję/materię rzeczy stanowi bowiem bezpośrednie oddziaływanie na przedmiot w celu</w:t>
      </w:r>
      <w:r w:rsidR="000E2F5A">
        <w:rPr>
          <w:rFonts w:ascii="Bookman Old Style" w:hAnsi="Bookman Old Style"/>
          <w:sz w:val="24"/>
          <w:szCs w:val="24"/>
        </w:rPr>
        <w:t xml:space="preserve"> usunięcia z </w:t>
      </w:r>
      <w:r w:rsidR="00FB7F2E">
        <w:rPr>
          <w:rFonts w:ascii="Bookman Old Style" w:hAnsi="Bookman Old Style"/>
          <w:sz w:val="24"/>
          <w:szCs w:val="24"/>
        </w:rPr>
        <w:t>niego</w:t>
      </w:r>
      <w:r w:rsidR="000E2F5A">
        <w:rPr>
          <w:rFonts w:ascii="Bookman Old Style" w:hAnsi="Bookman Old Style"/>
          <w:sz w:val="24"/>
          <w:szCs w:val="24"/>
        </w:rPr>
        <w:t xml:space="preserve"> warstwy farby, co nieuchronnie będzie wiązało się z fizycznym oddziaływanie</w:t>
      </w:r>
      <w:r w:rsidR="001B095F">
        <w:rPr>
          <w:rFonts w:ascii="Bookman Old Style" w:hAnsi="Bookman Old Style"/>
          <w:sz w:val="24"/>
          <w:szCs w:val="24"/>
        </w:rPr>
        <w:t>m</w:t>
      </w:r>
      <w:r w:rsidR="000E2F5A">
        <w:rPr>
          <w:rFonts w:ascii="Bookman Old Style" w:hAnsi="Bookman Old Style"/>
          <w:sz w:val="24"/>
          <w:szCs w:val="24"/>
        </w:rPr>
        <w:t xml:space="preserve"> na warstwę pierwotną, która znajduje się bezpośrednio pod usuwaną warstwą.</w:t>
      </w:r>
      <w:r w:rsidR="00132DCA">
        <w:rPr>
          <w:rFonts w:ascii="Bookman Old Style" w:hAnsi="Bookman Old Style"/>
          <w:sz w:val="24"/>
          <w:szCs w:val="24"/>
        </w:rPr>
        <w:t xml:space="preserve"> </w:t>
      </w:r>
      <w:r w:rsidR="00B72C8C">
        <w:rPr>
          <w:rFonts w:ascii="Bookman Old Style" w:hAnsi="Bookman Old Style"/>
          <w:sz w:val="24"/>
          <w:szCs w:val="24"/>
        </w:rPr>
        <w:t>Podczas wskazanego wyżej sposobu usuwania gra</w:t>
      </w:r>
      <w:r w:rsidR="000E155B">
        <w:rPr>
          <w:rFonts w:ascii="Bookman Old Style" w:hAnsi="Bookman Old Style"/>
          <w:sz w:val="24"/>
          <w:szCs w:val="24"/>
        </w:rPr>
        <w:t>f</w:t>
      </w:r>
      <w:r w:rsidR="00B72C8C">
        <w:rPr>
          <w:rFonts w:ascii="Bookman Old Style" w:hAnsi="Bookman Old Style"/>
          <w:sz w:val="24"/>
          <w:szCs w:val="24"/>
        </w:rPr>
        <w:t>fiti mogą powstać na pierwotnej powierzchni</w:t>
      </w:r>
      <w:r w:rsidR="0029523D">
        <w:rPr>
          <w:rFonts w:ascii="Bookman Old Style" w:hAnsi="Bookman Old Style"/>
          <w:sz w:val="24"/>
          <w:szCs w:val="24"/>
        </w:rPr>
        <w:t xml:space="preserve"> zarysowani</w:t>
      </w:r>
      <w:r w:rsidR="00B72C8C">
        <w:rPr>
          <w:rFonts w:ascii="Bookman Old Style" w:hAnsi="Bookman Old Style"/>
          <w:sz w:val="24"/>
          <w:szCs w:val="24"/>
        </w:rPr>
        <w:t>a, a nawet wgniecenia, co jedynie potwierdza naruszanie substancji rzeczy. Usuwanie gra</w:t>
      </w:r>
      <w:r w:rsidR="000E155B">
        <w:rPr>
          <w:rFonts w:ascii="Bookman Old Style" w:hAnsi="Bookman Old Style"/>
          <w:sz w:val="24"/>
          <w:szCs w:val="24"/>
        </w:rPr>
        <w:t>f</w:t>
      </w:r>
      <w:r w:rsidR="00B72C8C">
        <w:rPr>
          <w:rFonts w:ascii="Bookman Old Style" w:hAnsi="Bookman Old Style"/>
          <w:sz w:val="24"/>
          <w:szCs w:val="24"/>
        </w:rPr>
        <w:t xml:space="preserve">fiti może odbywać się również </w:t>
      </w:r>
      <w:r w:rsidR="00084798">
        <w:rPr>
          <w:rFonts w:ascii="Bookman Old Style" w:hAnsi="Bookman Old Style"/>
          <w:sz w:val="24"/>
          <w:szCs w:val="24"/>
        </w:rPr>
        <w:t>w ten sposób, że czyści się powierzchnię</w:t>
      </w:r>
      <w:r w:rsidR="0081704B">
        <w:rPr>
          <w:rFonts w:ascii="Bookman Old Style" w:hAnsi="Bookman Old Style"/>
          <w:sz w:val="24"/>
          <w:szCs w:val="24"/>
        </w:rPr>
        <w:t xml:space="preserve"> wodą</w:t>
      </w:r>
      <w:r w:rsidR="00084798">
        <w:rPr>
          <w:rFonts w:ascii="Bookman Old Style" w:hAnsi="Bookman Old Style"/>
          <w:sz w:val="24"/>
          <w:szCs w:val="24"/>
        </w:rPr>
        <w:t xml:space="preserve"> pod ciśnieniem</w:t>
      </w:r>
      <w:r w:rsidR="00A90EEE">
        <w:rPr>
          <w:rFonts w:ascii="Bookman Old Style" w:hAnsi="Bookman Old Style"/>
          <w:sz w:val="24"/>
          <w:szCs w:val="24"/>
        </w:rPr>
        <w:t xml:space="preserve">, które musi być jednak na tyle wysokie, aby farba zeszła. </w:t>
      </w:r>
      <w:r w:rsidR="00940A16">
        <w:rPr>
          <w:rFonts w:ascii="Bookman Old Style" w:hAnsi="Bookman Old Style"/>
          <w:sz w:val="24"/>
          <w:szCs w:val="24"/>
        </w:rPr>
        <w:t>Zwłaszcza w przypadku zmywania gra</w:t>
      </w:r>
      <w:r w:rsidR="000E155B">
        <w:rPr>
          <w:rFonts w:ascii="Bookman Old Style" w:hAnsi="Bookman Old Style"/>
          <w:sz w:val="24"/>
          <w:szCs w:val="24"/>
        </w:rPr>
        <w:t>f</w:t>
      </w:r>
      <w:r w:rsidR="00940A16">
        <w:rPr>
          <w:rFonts w:ascii="Bookman Old Style" w:hAnsi="Bookman Old Style"/>
          <w:sz w:val="24"/>
          <w:szCs w:val="24"/>
        </w:rPr>
        <w:t xml:space="preserve">fiti z metalowej powierzchni, a z taką mamy do czynienia w przypadku pojazdów kolejowych, </w:t>
      </w:r>
      <w:r w:rsidR="00CA303D">
        <w:rPr>
          <w:rFonts w:ascii="Bookman Old Style" w:hAnsi="Bookman Old Style"/>
          <w:sz w:val="24"/>
          <w:szCs w:val="24"/>
        </w:rPr>
        <w:t xml:space="preserve">konieczne będzie </w:t>
      </w:r>
      <w:r w:rsidR="00602C78">
        <w:rPr>
          <w:rFonts w:ascii="Bookman Old Style" w:hAnsi="Bookman Old Style"/>
          <w:sz w:val="24"/>
          <w:szCs w:val="24"/>
        </w:rPr>
        <w:t>używanie podgrzanej</w:t>
      </w:r>
      <w:r w:rsidR="00CA303D">
        <w:rPr>
          <w:rFonts w:ascii="Bookman Old Style" w:hAnsi="Bookman Old Style"/>
          <w:sz w:val="24"/>
          <w:szCs w:val="24"/>
        </w:rPr>
        <w:t xml:space="preserve"> wody</w:t>
      </w:r>
      <w:r w:rsidR="00602C78">
        <w:rPr>
          <w:rFonts w:ascii="Bookman Old Style" w:hAnsi="Bookman Old Style"/>
          <w:sz w:val="24"/>
          <w:szCs w:val="24"/>
        </w:rPr>
        <w:t xml:space="preserve"> do wysokich </w:t>
      </w:r>
      <w:r w:rsidR="000E155B">
        <w:rPr>
          <w:rFonts w:ascii="Bookman Old Style" w:hAnsi="Bookman Old Style"/>
          <w:sz w:val="24"/>
          <w:szCs w:val="24"/>
        </w:rPr>
        <w:t>temperatur</w:t>
      </w:r>
      <w:r w:rsidR="00CA303D">
        <w:rPr>
          <w:rFonts w:ascii="Bookman Old Style" w:hAnsi="Bookman Old Style"/>
          <w:sz w:val="24"/>
          <w:szCs w:val="24"/>
        </w:rPr>
        <w:t>. Metal pod wpływem gorącej wody</w:t>
      </w:r>
      <w:r w:rsidR="00257414">
        <w:rPr>
          <w:rFonts w:ascii="Bookman Old Style" w:hAnsi="Bookman Old Style"/>
          <w:sz w:val="24"/>
          <w:szCs w:val="24"/>
        </w:rPr>
        <w:t xml:space="preserve"> rozszerza się, co sprzyja zrywaniu wiązania powierzchni z farbą. </w:t>
      </w:r>
      <w:r w:rsidR="00F42532">
        <w:rPr>
          <w:rFonts w:ascii="Bookman Old Style" w:hAnsi="Bookman Old Style"/>
          <w:sz w:val="24"/>
          <w:szCs w:val="24"/>
        </w:rPr>
        <w:t>Okoliczność, iż dochodzi w tej sytuacji do rozszerzenia metalu</w:t>
      </w:r>
      <w:r w:rsidR="00EF44F6">
        <w:rPr>
          <w:rFonts w:ascii="Bookman Old Style" w:hAnsi="Bookman Old Style"/>
          <w:sz w:val="24"/>
          <w:szCs w:val="24"/>
        </w:rPr>
        <w:t xml:space="preserve"> pod wpływem</w:t>
      </w:r>
      <w:r w:rsidR="00106DEB">
        <w:rPr>
          <w:rFonts w:ascii="Bookman Old Style" w:hAnsi="Bookman Old Style"/>
          <w:sz w:val="24"/>
          <w:szCs w:val="24"/>
        </w:rPr>
        <w:t xml:space="preserve"> gorącej wody</w:t>
      </w:r>
      <w:r w:rsidR="00EF44F6">
        <w:rPr>
          <w:rFonts w:ascii="Bookman Old Style" w:hAnsi="Bookman Old Style"/>
          <w:sz w:val="24"/>
          <w:szCs w:val="24"/>
        </w:rPr>
        <w:t xml:space="preserve"> dowodzi również naruszenia substancji rzeczy.</w:t>
      </w:r>
      <w:r w:rsidR="00F42532">
        <w:rPr>
          <w:rFonts w:ascii="Bookman Old Style" w:hAnsi="Bookman Old Style"/>
          <w:sz w:val="24"/>
          <w:szCs w:val="24"/>
        </w:rPr>
        <w:t xml:space="preserve"> </w:t>
      </w:r>
      <w:r w:rsidR="00A90EEE">
        <w:rPr>
          <w:rFonts w:ascii="Bookman Old Style" w:hAnsi="Bookman Old Style"/>
          <w:sz w:val="24"/>
          <w:szCs w:val="24"/>
        </w:rPr>
        <w:t>W takim przypadku istnieje</w:t>
      </w:r>
      <w:r w:rsidR="00EF44F6">
        <w:rPr>
          <w:rFonts w:ascii="Bookman Old Style" w:hAnsi="Bookman Old Style"/>
          <w:sz w:val="24"/>
          <w:szCs w:val="24"/>
        </w:rPr>
        <w:t xml:space="preserve"> </w:t>
      </w:r>
      <w:r w:rsidR="00E53B6E">
        <w:rPr>
          <w:rFonts w:ascii="Bookman Old Style" w:hAnsi="Bookman Old Style"/>
          <w:sz w:val="24"/>
          <w:szCs w:val="24"/>
        </w:rPr>
        <w:t xml:space="preserve">także </w:t>
      </w:r>
      <w:r w:rsidR="00A90EEE">
        <w:rPr>
          <w:rFonts w:ascii="Bookman Old Style" w:hAnsi="Bookman Old Style"/>
          <w:sz w:val="24"/>
          <w:szCs w:val="24"/>
        </w:rPr>
        <w:t xml:space="preserve">ryzyko uszkodzenia warstwy pierwotnej, a oddziaływanie wodą pod ciśnieniem na przedmiot, </w:t>
      </w:r>
      <w:r w:rsidR="00AD7406">
        <w:rPr>
          <w:rFonts w:ascii="Bookman Old Style" w:hAnsi="Bookman Old Style"/>
          <w:sz w:val="24"/>
          <w:szCs w:val="24"/>
        </w:rPr>
        <w:t>usuwanie warstwy gra</w:t>
      </w:r>
      <w:r w:rsidR="000E155B">
        <w:rPr>
          <w:rFonts w:ascii="Bookman Old Style" w:hAnsi="Bookman Old Style"/>
          <w:sz w:val="24"/>
          <w:szCs w:val="24"/>
        </w:rPr>
        <w:t>f</w:t>
      </w:r>
      <w:r w:rsidR="00AD7406">
        <w:rPr>
          <w:rFonts w:ascii="Bookman Old Style" w:hAnsi="Bookman Old Style"/>
          <w:sz w:val="24"/>
          <w:szCs w:val="24"/>
        </w:rPr>
        <w:t>fiti stanowi</w:t>
      </w:r>
      <w:r w:rsidR="004B1F95">
        <w:rPr>
          <w:rFonts w:ascii="Bookman Old Style" w:hAnsi="Bookman Old Style"/>
          <w:sz w:val="24"/>
          <w:szCs w:val="24"/>
        </w:rPr>
        <w:t xml:space="preserve"> </w:t>
      </w:r>
      <w:r w:rsidR="00AD7406">
        <w:rPr>
          <w:rFonts w:ascii="Bookman Old Style" w:hAnsi="Bookman Old Style"/>
          <w:sz w:val="24"/>
          <w:szCs w:val="24"/>
        </w:rPr>
        <w:t>bezpośrednie oddziaływanie</w:t>
      </w:r>
      <w:r w:rsidR="004B1F95">
        <w:rPr>
          <w:rFonts w:ascii="Bookman Old Style" w:hAnsi="Bookman Old Style"/>
          <w:sz w:val="24"/>
          <w:szCs w:val="24"/>
        </w:rPr>
        <w:t xml:space="preserve"> na</w:t>
      </w:r>
      <w:r w:rsidR="00AD7406">
        <w:rPr>
          <w:rFonts w:ascii="Bookman Old Style" w:hAnsi="Bookman Old Style"/>
          <w:sz w:val="24"/>
          <w:szCs w:val="24"/>
        </w:rPr>
        <w:t xml:space="preserve"> </w:t>
      </w:r>
      <w:r w:rsidR="00561307">
        <w:rPr>
          <w:rFonts w:ascii="Bookman Old Style" w:hAnsi="Bookman Old Style"/>
          <w:sz w:val="24"/>
          <w:szCs w:val="24"/>
        </w:rPr>
        <w:t>taką powierzchnię</w:t>
      </w:r>
      <w:r w:rsidR="00AD7406">
        <w:rPr>
          <w:rFonts w:ascii="Bookman Old Style" w:hAnsi="Bookman Old Style"/>
          <w:sz w:val="24"/>
          <w:szCs w:val="24"/>
        </w:rPr>
        <w:t xml:space="preserve">. </w:t>
      </w:r>
      <w:r w:rsidR="004B1F95">
        <w:rPr>
          <w:rFonts w:ascii="Bookman Old Style" w:hAnsi="Bookman Old Style"/>
          <w:sz w:val="24"/>
          <w:szCs w:val="24"/>
        </w:rPr>
        <w:t xml:space="preserve">Także </w:t>
      </w:r>
      <w:r w:rsidR="00AD7406">
        <w:rPr>
          <w:rFonts w:ascii="Bookman Old Style" w:hAnsi="Bookman Old Style"/>
          <w:sz w:val="24"/>
          <w:szCs w:val="24"/>
        </w:rPr>
        <w:t xml:space="preserve"> w tym przypadku mamy do czynienia z ingerencją </w:t>
      </w:r>
      <w:r w:rsidR="00AD7406">
        <w:rPr>
          <w:rFonts w:ascii="Bookman Old Style" w:hAnsi="Bookman Old Style"/>
          <w:sz w:val="24"/>
          <w:szCs w:val="24"/>
        </w:rPr>
        <w:lastRenderedPageBreak/>
        <w:t>w materię rzeczy</w:t>
      </w:r>
      <w:r w:rsidR="004B1F95">
        <w:rPr>
          <w:rFonts w:ascii="Bookman Old Style" w:hAnsi="Bookman Old Style"/>
          <w:sz w:val="24"/>
          <w:szCs w:val="24"/>
        </w:rPr>
        <w:t>, co</w:t>
      </w:r>
      <w:r w:rsidR="00EE1F74">
        <w:rPr>
          <w:rFonts w:ascii="Bookman Old Style" w:hAnsi="Bookman Old Style"/>
          <w:sz w:val="24"/>
          <w:szCs w:val="24"/>
        </w:rPr>
        <w:t xml:space="preserve"> oznacza, że uprzednie naniesieni</w:t>
      </w:r>
      <w:r w:rsidR="00E97D95">
        <w:rPr>
          <w:rFonts w:ascii="Bookman Old Style" w:hAnsi="Bookman Old Style"/>
          <w:sz w:val="24"/>
          <w:szCs w:val="24"/>
        </w:rPr>
        <w:t>e</w:t>
      </w:r>
      <w:r w:rsidR="00EE1F74">
        <w:rPr>
          <w:rFonts w:ascii="Bookman Old Style" w:hAnsi="Bookman Old Style"/>
          <w:sz w:val="24"/>
          <w:szCs w:val="24"/>
        </w:rPr>
        <w:t xml:space="preserve"> farby</w:t>
      </w:r>
      <w:r w:rsidR="004B1F95">
        <w:rPr>
          <w:rFonts w:ascii="Bookman Old Style" w:hAnsi="Bookman Old Style"/>
          <w:sz w:val="24"/>
          <w:szCs w:val="24"/>
        </w:rPr>
        <w:t xml:space="preserve"> wyczerpuje znamię uszkodzenia rzeczy. Wreszcie gra</w:t>
      </w:r>
      <w:r w:rsidR="000E155B">
        <w:rPr>
          <w:rFonts w:ascii="Bookman Old Style" w:hAnsi="Bookman Old Style"/>
          <w:sz w:val="24"/>
          <w:szCs w:val="24"/>
        </w:rPr>
        <w:t>f</w:t>
      </w:r>
      <w:r w:rsidR="004B1F95">
        <w:rPr>
          <w:rFonts w:ascii="Bookman Old Style" w:hAnsi="Bookman Old Style"/>
          <w:sz w:val="24"/>
          <w:szCs w:val="24"/>
        </w:rPr>
        <w:t xml:space="preserve">fiti można zamalować. W takim przypadku </w:t>
      </w:r>
      <w:r w:rsidR="00F0403B">
        <w:rPr>
          <w:rFonts w:ascii="Bookman Old Style" w:hAnsi="Bookman Old Style"/>
          <w:sz w:val="24"/>
          <w:szCs w:val="24"/>
        </w:rPr>
        <w:t>na przedmiocie powstaje kolejna</w:t>
      </w:r>
      <w:r w:rsidR="001968BA">
        <w:rPr>
          <w:rFonts w:ascii="Bookman Old Style" w:hAnsi="Bookman Old Style"/>
          <w:sz w:val="24"/>
          <w:szCs w:val="24"/>
        </w:rPr>
        <w:t xml:space="preserve"> trwała</w:t>
      </w:r>
      <w:r w:rsidR="00F0403B">
        <w:rPr>
          <w:rFonts w:ascii="Bookman Old Style" w:hAnsi="Bookman Old Style"/>
          <w:sz w:val="24"/>
          <w:szCs w:val="24"/>
        </w:rPr>
        <w:t xml:space="preserve"> warstwa farby, która kryje rysunek. Kładzenie nowej warstwy na rzeczy jest także ingerencją w jej substancję</w:t>
      </w:r>
      <w:r w:rsidR="009726D0">
        <w:rPr>
          <w:rFonts w:ascii="Bookman Old Style" w:hAnsi="Bookman Old Style"/>
          <w:sz w:val="24"/>
          <w:szCs w:val="24"/>
        </w:rPr>
        <w:t>- owa substancja rzeczy powiększa się o kolejną warstwę aby pokryć graf</w:t>
      </w:r>
      <w:r w:rsidR="000E155B">
        <w:rPr>
          <w:rFonts w:ascii="Bookman Old Style" w:hAnsi="Bookman Old Style"/>
          <w:sz w:val="24"/>
          <w:szCs w:val="24"/>
        </w:rPr>
        <w:t>f</w:t>
      </w:r>
      <w:r w:rsidR="009726D0">
        <w:rPr>
          <w:rFonts w:ascii="Bookman Old Style" w:hAnsi="Bookman Old Style"/>
          <w:sz w:val="24"/>
          <w:szCs w:val="24"/>
        </w:rPr>
        <w:t>iti.</w:t>
      </w:r>
      <w:r w:rsidR="00AD7406">
        <w:rPr>
          <w:rFonts w:ascii="Bookman Old Style" w:hAnsi="Bookman Old Style"/>
          <w:sz w:val="24"/>
          <w:szCs w:val="24"/>
        </w:rPr>
        <w:t xml:space="preserve"> </w:t>
      </w:r>
      <w:r w:rsidR="009C737A">
        <w:rPr>
          <w:rFonts w:ascii="Bookman Old Style" w:hAnsi="Bookman Old Style"/>
          <w:sz w:val="24"/>
          <w:szCs w:val="24"/>
        </w:rPr>
        <w:t xml:space="preserve"> </w:t>
      </w:r>
    </w:p>
    <w:p w14:paraId="39DD57EE" w14:textId="704554C5" w:rsidR="004B1F9B" w:rsidRDefault="008E05C3"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F50FD3">
        <w:rPr>
          <w:rFonts w:ascii="Bookman Old Style" w:hAnsi="Bookman Old Style"/>
          <w:sz w:val="24"/>
          <w:szCs w:val="24"/>
        </w:rPr>
        <w:t>czwarte</w:t>
      </w:r>
      <w:r>
        <w:rPr>
          <w:rFonts w:ascii="Bookman Old Style" w:hAnsi="Bookman Old Style"/>
          <w:sz w:val="24"/>
          <w:szCs w:val="24"/>
        </w:rPr>
        <w:t>, w przypadku nanoszenia gra</w:t>
      </w:r>
      <w:r w:rsidR="000E155B">
        <w:rPr>
          <w:rFonts w:ascii="Bookman Old Style" w:hAnsi="Bookman Old Style"/>
          <w:sz w:val="24"/>
          <w:szCs w:val="24"/>
        </w:rPr>
        <w:t>f</w:t>
      </w:r>
      <w:r>
        <w:rPr>
          <w:rFonts w:ascii="Bookman Old Style" w:hAnsi="Bookman Old Style"/>
          <w:sz w:val="24"/>
          <w:szCs w:val="24"/>
        </w:rPr>
        <w:t xml:space="preserve">fiti zmienia się </w:t>
      </w:r>
      <w:r w:rsidR="0043209D">
        <w:rPr>
          <w:rFonts w:ascii="Bookman Old Style" w:hAnsi="Bookman Old Style"/>
          <w:sz w:val="24"/>
          <w:szCs w:val="24"/>
        </w:rPr>
        <w:t xml:space="preserve">pierwotny </w:t>
      </w:r>
      <w:r>
        <w:rPr>
          <w:rFonts w:ascii="Bookman Old Style" w:hAnsi="Bookman Old Style"/>
          <w:sz w:val="24"/>
          <w:szCs w:val="24"/>
        </w:rPr>
        <w:t>wygląd estetyczny rzeczy</w:t>
      </w:r>
      <w:r w:rsidR="0043209D">
        <w:rPr>
          <w:rFonts w:ascii="Bookman Old Style" w:hAnsi="Bookman Old Style"/>
          <w:sz w:val="24"/>
          <w:szCs w:val="24"/>
        </w:rPr>
        <w:t>.</w:t>
      </w:r>
      <w:r w:rsidR="002A35D7">
        <w:rPr>
          <w:rFonts w:ascii="Bookman Old Style" w:hAnsi="Bookman Old Style"/>
          <w:sz w:val="24"/>
          <w:szCs w:val="24"/>
        </w:rPr>
        <w:t xml:space="preserve"> Jeśli osoba uprawniona do rzeczy nie jest zainteresowana taką zmianą, to dochodzi do zmiany stanu rzeczy wbrew woli uprawnionego, przez co ma miejsce </w:t>
      </w:r>
      <w:r w:rsidR="00B544BB">
        <w:rPr>
          <w:rFonts w:ascii="Bookman Old Style" w:hAnsi="Bookman Old Style"/>
          <w:sz w:val="24"/>
          <w:szCs w:val="24"/>
        </w:rPr>
        <w:t xml:space="preserve">również naruszenie przedmiotu ochrony , który leży u podstaw przepisu art. 288§1kk i art. 124§1kw. </w:t>
      </w:r>
      <w:r w:rsidR="00CE45B6">
        <w:rPr>
          <w:rFonts w:ascii="Bookman Old Style" w:hAnsi="Bookman Old Style"/>
          <w:sz w:val="24"/>
          <w:szCs w:val="24"/>
        </w:rPr>
        <w:t>Ponadto zmiana wyglądu estetycznego</w:t>
      </w:r>
      <w:r w:rsidR="004B1F9B">
        <w:rPr>
          <w:rFonts w:ascii="Bookman Old Style" w:hAnsi="Bookman Old Style"/>
          <w:sz w:val="24"/>
          <w:szCs w:val="24"/>
        </w:rPr>
        <w:t xml:space="preserve"> w sposób polegający na naniesieniu gra</w:t>
      </w:r>
      <w:r w:rsidR="000E155B">
        <w:rPr>
          <w:rFonts w:ascii="Bookman Old Style" w:hAnsi="Bookman Old Style"/>
          <w:sz w:val="24"/>
          <w:szCs w:val="24"/>
        </w:rPr>
        <w:t>f</w:t>
      </w:r>
      <w:r w:rsidR="004B1F9B">
        <w:rPr>
          <w:rFonts w:ascii="Bookman Old Style" w:hAnsi="Bookman Old Style"/>
          <w:sz w:val="24"/>
          <w:szCs w:val="24"/>
        </w:rPr>
        <w:t>fit</w:t>
      </w:r>
      <w:r w:rsidR="00B642B7">
        <w:rPr>
          <w:rFonts w:ascii="Bookman Old Style" w:hAnsi="Bookman Old Style"/>
          <w:sz w:val="24"/>
          <w:szCs w:val="24"/>
        </w:rPr>
        <w:t>i</w:t>
      </w:r>
      <w:r w:rsidR="00CE45B6">
        <w:rPr>
          <w:rFonts w:ascii="Bookman Old Style" w:hAnsi="Bookman Old Style"/>
          <w:sz w:val="24"/>
          <w:szCs w:val="24"/>
        </w:rPr>
        <w:t xml:space="preserve"> powoduje z reguły obniżenie wartości materialnej przedmiotu</w:t>
      </w:r>
      <w:r w:rsidR="004B1F9B">
        <w:rPr>
          <w:rFonts w:ascii="Bookman Old Style" w:hAnsi="Bookman Old Style"/>
          <w:sz w:val="24"/>
          <w:szCs w:val="24"/>
        </w:rPr>
        <w:t>, co stanowi dodatkowy argument uzasadniający przyjęcie w takim przypadku realizacji znamienia uszkodzenia przedmiotu, o czym mowa w art. 288§1 kk i art. 124§1kw.</w:t>
      </w:r>
    </w:p>
    <w:p w14:paraId="1AD39B12" w14:textId="2ED20354" w:rsidR="004F0D4F" w:rsidRDefault="004B1F9B"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F50FD3">
        <w:rPr>
          <w:rFonts w:ascii="Bookman Old Style" w:hAnsi="Bookman Old Style"/>
          <w:sz w:val="24"/>
          <w:szCs w:val="24"/>
        </w:rPr>
        <w:t>piąte</w:t>
      </w:r>
      <w:r>
        <w:rPr>
          <w:rFonts w:ascii="Bookman Old Style" w:hAnsi="Bookman Old Style"/>
          <w:sz w:val="24"/>
          <w:szCs w:val="24"/>
        </w:rPr>
        <w:t>, jak wynika z pisma</w:t>
      </w:r>
      <w:r w:rsidR="00B60F6B" w:rsidRPr="00B60F6B">
        <w:rPr>
          <w:rFonts w:ascii="Bookman Old Style" w:hAnsi="Bookman Old Style"/>
          <w:sz w:val="24"/>
          <w:szCs w:val="24"/>
        </w:rPr>
        <w:t xml:space="preserve"> </w:t>
      </w:r>
      <w:r w:rsidR="00B60F6B">
        <w:rPr>
          <w:rFonts w:ascii="Bookman Old Style" w:hAnsi="Bookman Old Style"/>
          <w:sz w:val="24"/>
          <w:szCs w:val="24"/>
        </w:rPr>
        <w:t>Przewodniczącego Centralnego Zespołu ds. Bezpieczeństwa na obszarach kolejowych i w pociągach-PKP SA, naniesienie gra</w:t>
      </w:r>
      <w:r w:rsidR="000E155B">
        <w:rPr>
          <w:rFonts w:ascii="Bookman Old Style" w:hAnsi="Bookman Old Style"/>
          <w:sz w:val="24"/>
          <w:szCs w:val="24"/>
        </w:rPr>
        <w:t>f</w:t>
      </w:r>
      <w:r w:rsidR="00B60F6B">
        <w:rPr>
          <w:rFonts w:ascii="Bookman Old Style" w:hAnsi="Bookman Old Style"/>
          <w:sz w:val="24"/>
          <w:szCs w:val="24"/>
        </w:rPr>
        <w:t>fiti</w:t>
      </w:r>
      <w:r>
        <w:rPr>
          <w:rFonts w:ascii="Bookman Old Style" w:hAnsi="Bookman Old Style"/>
          <w:sz w:val="24"/>
          <w:szCs w:val="24"/>
        </w:rPr>
        <w:t xml:space="preserve"> </w:t>
      </w:r>
      <w:r w:rsidR="00AE334E">
        <w:rPr>
          <w:rFonts w:ascii="Bookman Old Style" w:hAnsi="Bookman Old Style"/>
          <w:sz w:val="24"/>
          <w:szCs w:val="24"/>
        </w:rPr>
        <w:t>często niszczy jego malaturę w stopniu uniemożliwiającym dalsze użytkowanie- zamalowaniu ulegają napisy eksploatacyjne, mające wpływ na bezpieczeństwo tj. określające masy hamujące rzeczywiste i masy ogólne pojazdów, co może doprowadzić do</w:t>
      </w:r>
      <w:r w:rsidR="008D117E">
        <w:rPr>
          <w:rFonts w:ascii="Bookman Old Style" w:hAnsi="Bookman Old Style"/>
          <w:sz w:val="24"/>
          <w:szCs w:val="24"/>
        </w:rPr>
        <w:t xml:space="preserve"> błędnego sporządzenia</w:t>
      </w:r>
      <w:r w:rsidR="00AE334E">
        <w:rPr>
          <w:rFonts w:ascii="Bookman Old Style" w:hAnsi="Bookman Old Style"/>
          <w:sz w:val="24"/>
          <w:szCs w:val="24"/>
        </w:rPr>
        <w:t xml:space="preserve"> karty próby hamulca.</w:t>
      </w:r>
      <w:r w:rsidR="0043209D">
        <w:rPr>
          <w:rFonts w:ascii="Bookman Old Style" w:hAnsi="Bookman Old Style"/>
          <w:sz w:val="24"/>
          <w:szCs w:val="24"/>
        </w:rPr>
        <w:t xml:space="preserve"> </w:t>
      </w:r>
      <w:r w:rsidR="00D0086B">
        <w:rPr>
          <w:rFonts w:ascii="Bookman Old Style" w:hAnsi="Bookman Old Style"/>
          <w:sz w:val="24"/>
          <w:szCs w:val="24"/>
        </w:rPr>
        <w:t>Bez wątpienia w takim przypadku dochodzi do czynienia rzeczy niezdatną do użytku. Takie znamię występuje w przepisie art. 288§1kk i art. 124§1kw.</w:t>
      </w:r>
    </w:p>
    <w:p w14:paraId="45C4202F" w14:textId="24502C72" w:rsidR="003F4200" w:rsidRDefault="003F4200"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szóste, propozycja zawarta w petycji skierowanej do Ministerstwa Sprawiedliwości </w:t>
      </w:r>
      <w:r w:rsidR="003E50CE">
        <w:rPr>
          <w:rFonts w:ascii="Bookman Old Style" w:hAnsi="Bookman Old Style"/>
          <w:sz w:val="24"/>
          <w:szCs w:val="24"/>
        </w:rPr>
        <w:t>27 marca 2018r. powiela w części treść przepisu art. 63a§1kw. W takiej sytuacji dochodzi do dublowania regulacji prawnej</w:t>
      </w:r>
      <w:r w:rsidR="009E2F0F">
        <w:rPr>
          <w:rFonts w:ascii="Bookman Old Style" w:hAnsi="Bookman Old Style"/>
          <w:sz w:val="24"/>
          <w:szCs w:val="24"/>
        </w:rPr>
        <w:t>, powstaje pytanie, w jakich sytuacjach umieszczenie</w:t>
      </w:r>
      <w:r w:rsidR="00566C70">
        <w:rPr>
          <w:rFonts w:ascii="Bookman Old Style" w:hAnsi="Bookman Old Style"/>
          <w:sz w:val="24"/>
          <w:szCs w:val="24"/>
        </w:rPr>
        <w:t xml:space="preserve"> podpisu,</w:t>
      </w:r>
      <w:r w:rsidR="009E2F0F">
        <w:rPr>
          <w:rFonts w:ascii="Bookman Old Style" w:hAnsi="Bookman Old Style"/>
          <w:sz w:val="24"/>
          <w:szCs w:val="24"/>
        </w:rPr>
        <w:t xml:space="preserve"> napisu lub rysunku </w:t>
      </w:r>
      <w:r w:rsidR="002E267A">
        <w:rPr>
          <w:rFonts w:ascii="Bookman Old Style" w:hAnsi="Bookman Old Style"/>
          <w:sz w:val="24"/>
          <w:szCs w:val="24"/>
        </w:rPr>
        <w:t>w miejscu publicznym</w:t>
      </w:r>
      <w:r w:rsidR="00472CF1">
        <w:rPr>
          <w:rFonts w:ascii="Bookman Old Style" w:hAnsi="Bookman Old Style"/>
          <w:sz w:val="24"/>
          <w:szCs w:val="24"/>
        </w:rPr>
        <w:t xml:space="preserve"> do tego nieprzeznaczonym</w:t>
      </w:r>
      <w:r w:rsidR="002E267A">
        <w:rPr>
          <w:rFonts w:ascii="Bookman Old Style" w:hAnsi="Bookman Old Style"/>
          <w:sz w:val="24"/>
          <w:szCs w:val="24"/>
        </w:rPr>
        <w:t xml:space="preserve"> bez zgody zarządzającego tym miejscem </w:t>
      </w:r>
      <w:r w:rsidR="009E2F0F">
        <w:rPr>
          <w:rFonts w:ascii="Bookman Old Style" w:hAnsi="Bookman Old Style"/>
          <w:sz w:val="24"/>
          <w:szCs w:val="24"/>
        </w:rPr>
        <w:t>będzie przestępstwem, a kiedy wykroczeniem</w:t>
      </w:r>
      <w:r w:rsidR="002E267A">
        <w:rPr>
          <w:rFonts w:ascii="Bookman Old Style" w:hAnsi="Bookman Old Style"/>
          <w:sz w:val="24"/>
          <w:szCs w:val="24"/>
        </w:rPr>
        <w:t>. Przyjęci</w:t>
      </w:r>
      <w:r w:rsidR="000C5737">
        <w:rPr>
          <w:rFonts w:ascii="Bookman Old Style" w:hAnsi="Bookman Old Style"/>
          <w:sz w:val="24"/>
          <w:szCs w:val="24"/>
        </w:rPr>
        <w:t xml:space="preserve">e takiej regulacji powodowałoby niepewność prawa, a przede wszystkim niepewność </w:t>
      </w:r>
      <w:r w:rsidR="003728F5">
        <w:rPr>
          <w:rFonts w:ascii="Bookman Old Style" w:hAnsi="Bookman Old Style"/>
          <w:sz w:val="24"/>
          <w:szCs w:val="24"/>
        </w:rPr>
        <w:t xml:space="preserve">oceny prawnej takich stanów faktycznych, co może zagrażać zasadzie demokratycznego państwa prawa, o której mowa w art. 2 </w:t>
      </w:r>
      <w:r w:rsidR="003728F5">
        <w:rPr>
          <w:rFonts w:ascii="Bookman Old Style" w:hAnsi="Bookman Old Style"/>
          <w:sz w:val="24"/>
          <w:szCs w:val="24"/>
        </w:rPr>
        <w:lastRenderedPageBreak/>
        <w:t>Konstytucji RP.</w:t>
      </w:r>
      <w:r w:rsidR="003B4FFB">
        <w:rPr>
          <w:rFonts w:ascii="Bookman Old Style" w:hAnsi="Bookman Old Style"/>
          <w:sz w:val="24"/>
          <w:szCs w:val="24"/>
        </w:rPr>
        <w:t xml:space="preserve"> Ponadto w rzeczonym projekcie zupełnie zbędny jest przepis art. 288a§3, który przewiduje obowiązek przywrócenia stanu poprzedniego. W kodeksie karnym znajduje się ogólne unormowanie zawarte w art. 46§</w:t>
      </w:r>
      <w:r w:rsidR="00E0240A">
        <w:rPr>
          <w:rFonts w:ascii="Bookman Old Style" w:hAnsi="Bookman Old Style"/>
          <w:sz w:val="24"/>
          <w:szCs w:val="24"/>
        </w:rPr>
        <w:t>1kk, które pozwala na nałożenie takie</w:t>
      </w:r>
      <w:r w:rsidR="002472A4">
        <w:rPr>
          <w:rFonts w:ascii="Bookman Old Style" w:hAnsi="Bookman Old Style"/>
          <w:sz w:val="24"/>
          <w:szCs w:val="24"/>
        </w:rPr>
        <w:t>go</w:t>
      </w:r>
      <w:r w:rsidR="00E0240A">
        <w:rPr>
          <w:rFonts w:ascii="Bookman Old Style" w:hAnsi="Bookman Old Style"/>
          <w:sz w:val="24"/>
          <w:szCs w:val="24"/>
        </w:rPr>
        <w:t xml:space="preserve"> obowiązku w razie skazania za przestępstwo.</w:t>
      </w:r>
    </w:p>
    <w:p w14:paraId="2525C0D9" w14:textId="49D67E5D" w:rsidR="002F6EA2" w:rsidRDefault="002F6EA2"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F50FD3">
        <w:rPr>
          <w:rFonts w:ascii="Bookman Old Style" w:hAnsi="Bookman Old Style"/>
          <w:sz w:val="24"/>
          <w:szCs w:val="24"/>
        </w:rPr>
        <w:t>s</w:t>
      </w:r>
      <w:r w:rsidR="003728F5">
        <w:rPr>
          <w:rFonts w:ascii="Bookman Old Style" w:hAnsi="Bookman Old Style"/>
          <w:sz w:val="24"/>
          <w:szCs w:val="24"/>
        </w:rPr>
        <w:t>iódme</w:t>
      </w:r>
      <w:r>
        <w:rPr>
          <w:rFonts w:ascii="Bookman Old Style" w:hAnsi="Bookman Old Style"/>
          <w:sz w:val="24"/>
          <w:szCs w:val="24"/>
        </w:rPr>
        <w:t xml:space="preserve">, uwzględniając </w:t>
      </w:r>
      <w:r w:rsidR="005D6225">
        <w:rPr>
          <w:rFonts w:ascii="Bookman Old Style" w:hAnsi="Bookman Old Style"/>
          <w:sz w:val="24"/>
          <w:szCs w:val="24"/>
        </w:rPr>
        <w:t>powyższe uwagi istnieje możliwość kwalifikowania nanoszenia gra</w:t>
      </w:r>
      <w:r w:rsidR="000E155B">
        <w:rPr>
          <w:rFonts w:ascii="Bookman Old Style" w:hAnsi="Bookman Old Style"/>
          <w:sz w:val="24"/>
          <w:szCs w:val="24"/>
        </w:rPr>
        <w:t>f</w:t>
      </w:r>
      <w:r w:rsidR="005D6225">
        <w:rPr>
          <w:rFonts w:ascii="Bookman Old Style" w:hAnsi="Bookman Old Style"/>
          <w:sz w:val="24"/>
          <w:szCs w:val="24"/>
        </w:rPr>
        <w:t>fiti na pojazdy kolejowe z art. 288§1kk albo z art. 124§1kw</w:t>
      </w:r>
      <w:r w:rsidR="006B417C">
        <w:rPr>
          <w:rFonts w:ascii="Bookman Old Style" w:hAnsi="Bookman Old Style"/>
          <w:sz w:val="24"/>
          <w:szCs w:val="24"/>
        </w:rPr>
        <w:t xml:space="preserve"> w zależności od te</w:t>
      </w:r>
      <w:r w:rsidR="00AA306B">
        <w:rPr>
          <w:rFonts w:ascii="Bookman Old Style" w:hAnsi="Bookman Old Style"/>
          <w:sz w:val="24"/>
          <w:szCs w:val="24"/>
        </w:rPr>
        <w:t>go</w:t>
      </w:r>
      <w:r w:rsidR="006B417C">
        <w:rPr>
          <w:rFonts w:ascii="Bookman Old Style" w:hAnsi="Bookman Old Style"/>
          <w:sz w:val="24"/>
          <w:szCs w:val="24"/>
        </w:rPr>
        <w:t xml:space="preserve">, jak duża szkoda powstanie po stronie zarządcy takiego pojazdu. W skrajnych przypadkach </w:t>
      </w:r>
      <w:r w:rsidR="009B3E2A">
        <w:rPr>
          <w:rFonts w:ascii="Bookman Old Style" w:hAnsi="Bookman Old Style"/>
          <w:sz w:val="24"/>
          <w:szCs w:val="24"/>
        </w:rPr>
        <w:t>może dojść nawet do wyrządzenia szkody przekraczającej wartość mienia w znacznych rozmiarach (art. 115§</w:t>
      </w:r>
      <w:r w:rsidR="00394449">
        <w:rPr>
          <w:rFonts w:ascii="Bookman Old Style" w:hAnsi="Bookman Old Style"/>
          <w:sz w:val="24"/>
          <w:szCs w:val="24"/>
        </w:rPr>
        <w:t>5kk) tj. 200.000zł., co będzie oznaczało konieczność zakwalifikowania zachowania sprawcy z art. 294§1</w:t>
      </w:r>
      <w:r w:rsidR="002214CF">
        <w:rPr>
          <w:rFonts w:ascii="Bookman Old Style" w:hAnsi="Bookman Old Style"/>
          <w:sz w:val="24"/>
          <w:szCs w:val="24"/>
        </w:rPr>
        <w:t>kk w zw. z art. 288§1kk, a tutaj zagrożenie jest surowe i wynosi od 1 roku do 10 lat pozbawienia wolności. Niezależnie od tego, czy zachowanie sprawcy będzie traktowane jako przestępstwo czy też jako wykroczenie, będzie możliwe nałożenie obowiązku naprawienia szkody</w:t>
      </w:r>
      <w:r w:rsidR="00C66CAF">
        <w:rPr>
          <w:rFonts w:ascii="Bookman Old Style" w:hAnsi="Bookman Old Style"/>
          <w:sz w:val="24"/>
          <w:szCs w:val="24"/>
        </w:rPr>
        <w:t xml:space="preserve"> poprzez zapłatę równowartości wyrządzonej szkody</w:t>
      </w:r>
      <w:r w:rsidR="008261DA">
        <w:rPr>
          <w:rFonts w:ascii="Bookman Old Style" w:hAnsi="Bookman Old Style"/>
          <w:sz w:val="24"/>
          <w:szCs w:val="24"/>
        </w:rPr>
        <w:t xml:space="preserve"> (art. 46§1kk, art. </w:t>
      </w:r>
      <w:r w:rsidR="00C66CAF">
        <w:rPr>
          <w:rFonts w:ascii="Bookman Old Style" w:hAnsi="Bookman Old Style"/>
          <w:sz w:val="24"/>
          <w:szCs w:val="24"/>
        </w:rPr>
        <w:t>124§4kw).</w:t>
      </w:r>
    </w:p>
    <w:p w14:paraId="383DA175" w14:textId="56EEF706" w:rsidR="00472CF1" w:rsidRDefault="006A511C"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 xml:space="preserve">Po </w:t>
      </w:r>
      <w:r w:rsidR="00D10048">
        <w:rPr>
          <w:rFonts w:ascii="Bookman Old Style" w:hAnsi="Bookman Old Style"/>
          <w:sz w:val="24"/>
          <w:szCs w:val="24"/>
        </w:rPr>
        <w:t>ósme</w:t>
      </w:r>
      <w:r>
        <w:rPr>
          <w:rFonts w:ascii="Bookman Old Style" w:hAnsi="Bookman Old Style"/>
          <w:sz w:val="24"/>
          <w:szCs w:val="24"/>
        </w:rPr>
        <w:t xml:space="preserve">, </w:t>
      </w:r>
      <w:r w:rsidR="00906D1F">
        <w:rPr>
          <w:rFonts w:ascii="Bookman Old Style" w:hAnsi="Bookman Old Style"/>
          <w:sz w:val="24"/>
          <w:szCs w:val="24"/>
        </w:rPr>
        <w:t>w sytuacjach</w:t>
      </w:r>
      <w:r w:rsidR="00695AA0">
        <w:rPr>
          <w:rFonts w:ascii="Bookman Old Style" w:hAnsi="Bookman Old Style"/>
          <w:sz w:val="24"/>
          <w:szCs w:val="24"/>
        </w:rPr>
        <w:t>, w których dojdzie na naniesienia gra</w:t>
      </w:r>
      <w:r w:rsidR="009562E9">
        <w:rPr>
          <w:rFonts w:ascii="Bookman Old Style" w:hAnsi="Bookman Old Style"/>
          <w:sz w:val="24"/>
          <w:szCs w:val="24"/>
        </w:rPr>
        <w:t>f</w:t>
      </w:r>
      <w:r w:rsidR="00695AA0">
        <w:rPr>
          <w:rFonts w:ascii="Bookman Old Style" w:hAnsi="Bookman Old Style"/>
          <w:sz w:val="24"/>
          <w:szCs w:val="24"/>
        </w:rPr>
        <w:t>fiti na powierzchnię pojazdu kolejowego, oprócz wyczerpania znamion z art. 288§1</w:t>
      </w:r>
      <w:r w:rsidR="00C26328">
        <w:rPr>
          <w:rFonts w:ascii="Bookman Old Style" w:hAnsi="Bookman Old Style"/>
          <w:sz w:val="24"/>
          <w:szCs w:val="24"/>
        </w:rPr>
        <w:t xml:space="preserve">kk lub art. 124§1kw będzie w grę wchodziła kwalifikacja z art.63a§1kw wszak przepis ten stanowi o umieszczeniu w miejscu publicznym </w:t>
      </w:r>
      <w:r w:rsidR="00DD1E0B">
        <w:rPr>
          <w:rFonts w:ascii="Bookman Old Style" w:hAnsi="Bookman Old Style"/>
          <w:sz w:val="24"/>
          <w:szCs w:val="24"/>
        </w:rPr>
        <w:t>do tego nieprzeznaczonym napisu lub rysunku. Zbieg tych unormowań będzie miał charakter zbiegu rzeczywistego, co oznacza, że żaden z wymienionych przepisów nie będzie ulegał eliminacji.</w:t>
      </w:r>
    </w:p>
    <w:p w14:paraId="0F8C7E22" w14:textId="075CAEC3" w:rsidR="006A511C" w:rsidRDefault="00472CF1" w:rsidP="000D2144">
      <w:pPr>
        <w:spacing w:after="0" w:line="360" w:lineRule="auto"/>
        <w:ind w:firstLine="708"/>
        <w:jc w:val="both"/>
        <w:rPr>
          <w:rFonts w:ascii="Bookman Old Style" w:hAnsi="Bookman Old Style"/>
          <w:sz w:val="24"/>
          <w:szCs w:val="24"/>
        </w:rPr>
      </w:pPr>
      <w:r>
        <w:rPr>
          <w:rFonts w:ascii="Bookman Old Style" w:hAnsi="Bookman Old Style"/>
          <w:sz w:val="24"/>
          <w:szCs w:val="24"/>
        </w:rPr>
        <w:t>Po dziewiąte,</w:t>
      </w:r>
      <w:r w:rsidR="00BC0C4C">
        <w:rPr>
          <w:rFonts w:ascii="Bookman Old Style" w:hAnsi="Bookman Old Style"/>
          <w:sz w:val="24"/>
          <w:szCs w:val="24"/>
        </w:rPr>
        <w:t xml:space="preserve"> naniesienie graffiti na pojazdy kolejowe może wyczerpywać znamiona jeszcze innych czynów zabronionych. </w:t>
      </w:r>
      <w:r w:rsidR="00DC0FB0">
        <w:rPr>
          <w:rFonts w:ascii="Bookman Old Style" w:hAnsi="Bookman Old Style"/>
          <w:sz w:val="24"/>
          <w:szCs w:val="24"/>
        </w:rPr>
        <w:t>W doktrynie podkreśla się, że</w:t>
      </w:r>
      <w:r w:rsidR="00420352">
        <w:rPr>
          <w:rFonts w:ascii="Bookman Old Style" w:hAnsi="Bookman Old Style"/>
          <w:sz w:val="24"/>
          <w:szCs w:val="24"/>
        </w:rPr>
        <w:t xml:space="preserve"> w zależności od treści takiego rysunku czy napisu możliwa jest odpowiedzialność karna za: </w:t>
      </w:r>
      <w:r w:rsidR="001D3D8C">
        <w:rPr>
          <w:rFonts w:ascii="Bookman Old Style" w:hAnsi="Bookman Old Style"/>
          <w:sz w:val="24"/>
          <w:szCs w:val="24"/>
        </w:rPr>
        <w:t>nawoływanie do wojny napastniczej (art. 117§3kk)</w:t>
      </w:r>
      <w:r w:rsidR="00F9773A">
        <w:rPr>
          <w:rFonts w:ascii="Bookman Old Style" w:hAnsi="Bookman Old Style"/>
          <w:sz w:val="24"/>
          <w:szCs w:val="24"/>
        </w:rPr>
        <w:t>, zniewagi Narodu Polskiego lub Rzeczypospolitej Polskiej (art. 133 kk)</w:t>
      </w:r>
      <w:r w:rsidR="00AA0CA9">
        <w:rPr>
          <w:rFonts w:ascii="Bookman Old Style" w:hAnsi="Bookman Old Style"/>
          <w:sz w:val="24"/>
          <w:szCs w:val="24"/>
        </w:rPr>
        <w:t>, czy osoby prywatnej (art. 216kk), pomówienia (art. 212kk)</w:t>
      </w:r>
      <w:r w:rsidR="004E5748">
        <w:rPr>
          <w:rFonts w:ascii="Bookman Old Style" w:hAnsi="Bookman Old Style"/>
          <w:sz w:val="24"/>
          <w:szCs w:val="24"/>
        </w:rPr>
        <w:t>, groźby (art. 190kk) lub nawoływania do popełnienia przestępstwa (art. 255 kk).</w:t>
      </w:r>
      <w:r w:rsidR="004E5748">
        <w:rPr>
          <w:rStyle w:val="Odwoanieprzypisudolnego"/>
          <w:rFonts w:ascii="Bookman Old Style" w:hAnsi="Bookman Old Style"/>
          <w:sz w:val="24"/>
          <w:szCs w:val="24"/>
        </w:rPr>
        <w:footnoteReference w:id="35"/>
      </w:r>
      <w:r w:rsidR="0006554F">
        <w:rPr>
          <w:rFonts w:ascii="Bookman Old Style" w:hAnsi="Bookman Old Style"/>
          <w:sz w:val="24"/>
          <w:szCs w:val="24"/>
        </w:rPr>
        <w:t xml:space="preserve"> </w:t>
      </w:r>
      <w:r w:rsidR="0006554F">
        <w:rPr>
          <w:rFonts w:ascii="Bookman Old Style" w:hAnsi="Bookman Old Style"/>
          <w:sz w:val="24"/>
          <w:szCs w:val="24"/>
        </w:rPr>
        <w:lastRenderedPageBreak/>
        <w:t xml:space="preserve">Natomiast nie można również wykluczyć kwalifikacji takiego zachowania na podstawie innych niż art. 63a </w:t>
      </w:r>
      <w:proofErr w:type="spellStart"/>
      <w:r w:rsidR="0006554F">
        <w:rPr>
          <w:rFonts w:ascii="Bookman Old Style" w:hAnsi="Bookman Old Style"/>
          <w:sz w:val="24"/>
          <w:szCs w:val="24"/>
        </w:rPr>
        <w:t>kw</w:t>
      </w:r>
      <w:proofErr w:type="spellEnd"/>
      <w:r w:rsidR="00FD5D0A">
        <w:rPr>
          <w:rFonts w:ascii="Bookman Old Style" w:hAnsi="Bookman Old Style"/>
          <w:sz w:val="24"/>
          <w:szCs w:val="24"/>
        </w:rPr>
        <w:t xml:space="preserve"> i art. 124kw</w:t>
      </w:r>
      <w:r w:rsidR="0006554F">
        <w:rPr>
          <w:rFonts w:ascii="Bookman Old Style" w:hAnsi="Bookman Old Style"/>
          <w:sz w:val="24"/>
          <w:szCs w:val="24"/>
        </w:rPr>
        <w:t xml:space="preserve"> przepisów kodeksu wykroczeń</w:t>
      </w:r>
      <w:r w:rsidR="00590D2D">
        <w:rPr>
          <w:rFonts w:ascii="Bookman Old Style" w:hAnsi="Bookman Old Style"/>
          <w:sz w:val="24"/>
          <w:szCs w:val="24"/>
        </w:rPr>
        <w:t xml:space="preserve"> (</w:t>
      </w:r>
      <w:r w:rsidR="00FD5D0A">
        <w:rPr>
          <w:rFonts w:ascii="Bookman Old Style" w:hAnsi="Bookman Old Style"/>
          <w:sz w:val="24"/>
          <w:szCs w:val="24"/>
        </w:rPr>
        <w:t>art. 67§1 i 2kw, art. 74kw, art. 85kw</w:t>
      </w:r>
      <w:r w:rsidR="007D7A0B">
        <w:rPr>
          <w:rFonts w:ascii="Bookman Old Style" w:hAnsi="Bookman Old Style"/>
          <w:sz w:val="24"/>
          <w:szCs w:val="24"/>
        </w:rPr>
        <w:t>, art. 141kw</w:t>
      </w:r>
      <w:r w:rsidR="00590D2D">
        <w:rPr>
          <w:rFonts w:ascii="Bookman Old Style" w:hAnsi="Bookman Old Style"/>
          <w:sz w:val="24"/>
          <w:szCs w:val="24"/>
        </w:rPr>
        <w:t>)</w:t>
      </w:r>
      <w:r w:rsidR="0006554F">
        <w:rPr>
          <w:rFonts w:ascii="Bookman Old Style" w:hAnsi="Bookman Old Style"/>
          <w:sz w:val="24"/>
          <w:szCs w:val="24"/>
        </w:rPr>
        <w:t>.</w:t>
      </w:r>
      <w:r w:rsidR="00614370">
        <w:rPr>
          <w:rStyle w:val="Odwoanieprzypisudolnego"/>
          <w:rFonts w:ascii="Bookman Old Style" w:hAnsi="Bookman Old Style"/>
          <w:sz w:val="24"/>
          <w:szCs w:val="24"/>
        </w:rPr>
        <w:footnoteReference w:id="36"/>
      </w:r>
      <w:r w:rsidR="007A1DE1">
        <w:rPr>
          <w:rFonts w:ascii="Bookman Old Style" w:hAnsi="Bookman Old Style"/>
          <w:sz w:val="24"/>
          <w:szCs w:val="24"/>
        </w:rPr>
        <w:t xml:space="preserve">Unormowania przewidziane </w:t>
      </w:r>
      <w:r w:rsidR="0072400F">
        <w:rPr>
          <w:rFonts w:ascii="Bookman Old Style" w:hAnsi="Bookman Old Style"/>
          <w:sz w:val="24"/>
          <w:szCs w:val="24"/>
        </w:rPr>
        <w:t xml:space="preserve">zarówno w Kodeksie karnym, jak i w kodeksie wykroczeń uwzględniają różne sytuacje umieszczenia graffiti, w tym również na pojazdach kolejowych. Nie jest zatem potrzebne </w:t>
      </w:r>
      <w:r w:rsidR="00E35BC0">
        <w:rPr>
          <w:rFonts w:ascii="Bookman Old Style" w:hAnsi="Bookman Old Style"/>
          <w:sz w:val="24"/>
          <w:szCs w:val="24"/>
        </w:rPr>
        <w:t>wprowadzanie w tym zakresie odrębnej regulacji, która będzie stanowiła tylko przejaw zbędnej kazuistyki.</w:t>
      </w:r>
    </w:p>
    <w:p w14:paraId="232C2F7B" w14:textId="13604C5B" w:rsidR="00B76B3B" w:rsidRDefault="00B76B3B" w:rsidP="006A5323">
      <w:pPr>
        <w:spacing w:after="0" w:line="360" w:lineRule="auto"/>
        <w:jc w:val="both"/>
        <w:rPr>
          <w:rFonts w:ascii="Bookman Old Style" w:hAnsi="Bookman Old Style"/>
          <w:sz w:val="24"/>
          <w:szCs w:val="24"/>
        </w:rPr>
      </w:pPr>
    </w:p>
    <w:p w14:paraId="29D1E4FC" w14:textId="7E77E9B6" w:rsidR="00474F8E" w:rsidRPr="00474F8E" w:rsidRDefault="00F1129B" w:rsidP="00474F8E">
      <w:pPr>
        <w:spacing w:after="0" w:line="360" w:lineRule="auto"/>
        <w:jc w:val="both"/>
        <w:rPr>
          <w:rFonts w:ascii="Bookman Old Style" w:hAnsi="Bookman Old Style"/>
          <w:b/>
          <w:bCs/>
          <w:sz w:val="24"/>
          <w:szCs w:val="24"/>
        </w:rPr>
      </w:pPr>
      <w:r>
        <w:rPr>
          <w:rFonts w:ascii="Bookman Old Style" w:hAnsi="Bookman Old Style"/>
          <w:b/>
          <w:bCs/>
          <w:sz w:val="24"/>
          <w:szCs w:val="24"/>
        </w:rPr>
        <w:t xml:space="preserve">Sporządził: </w:t>
      </w:r>
      <w:r w:rsidR="00474F8E" w:rsidRPr="00474F8E">
        <w:rPr>
          <w:rFonts w:ascii="Bookman Old Style" w:hAnsi="Bookman Old Style"/>
          <w:b/>
          <w:bCs/>
          <w:sz w:val="24"/>
          <w:szCs w:val="24"/>
        </w:rPr>
        <w:t>Dr hab. Jerzy Lachowski, prof. ucz.</w:t>
      </w:r>
    </w:p>
    <w:p w14:paraId="744A67F1" w14:textId="77777777" w:rsidR="00474F8E" w:rsidRPr="00474F8E" w:rsidRDefault="00474F8E" w:rsidP="00474F8E">
      <w:pPr>
        <w:spacing w:after="0" w:line="360" w:lineRule="auto"/>
        <w:jc w:val="both"/>
        <w:rPr>
          <w:rFonts w:ascii="Bookman Old Style" w:hAnsi="Bookman Old Style"/>
          <w:b/>
          <w:bCs/>
          <w:sz w:val="24"/>
          <w:szCs w:val="24"/>
        </w:rPr>
      </w:pPr>
      <w:r w:rsidRPr="00474F8E">
        <w:rPr>
          <w:rFonts w:ascii="Bookman Old Style" w:hAnsi="Bookman Old Style"/>
          <w:b/>
          <w:bCs/>
          <w:sz w:val="24"/>
          <w:szCs w:val="24"/>
        </w:rPr>
        <w:t>Katedra Prawa Karnego UMK – członek KKPK</w:t>
      </w:r>
    </w:p>
    <w:p w14:paraId="38DE2BDE" w14:textId="77777777" w:rsidR="006A5323" w:rsidRDefault="006A5323" w:rsidP="006A5323">
      <w:pPr>
        <w:spacing w:after="0" w:line="360" w:lineRule="auto"/>
        <w:jc w:val="both"/>
        <w:rPr>
          <w:rFonts w:ascii="Bookman Old Style" w:hAnsi="Bookman Old Style"/>
          <w:sz w:val="24"/>
          <w:szCs w:val="24"/>
        </w:rPr>
      </w:pPr>
    </w:p>
    <w:p w14:paraId="10810441" w14:textId="77777777" w:rsidR="006A5323" w:rsidRDefault="006A5323" w:rsidP="006A5323">
      <w:pPr>
        <w:spacing w:after="0" w:line="360" w:lineRule="auto"/>
        <w:jc w:val="both"/>
        <w:rPr>
          <w:rFonts w:ascii="Bookman Old Style" w:hAnsi="Bookman Old Style"/>
          <w:sz w:val="24"/>
          <w:szCs w:val="24"/>
        </w:rPr>
      </w:pPr>
    </w:p>
    <w:p w14:paraId="7A2EBEA7" w14:textId="77777777" w:rsidR="006A5323" w:rsidRPr="007A64DD" w:rsidRDefault="006A5323" w:rsidP="006A5323">
      <w:pPr>
        <w:spacing w:after="0" w:line="360" w:lineRule="auto"/>
        <w:jc w:val="both"/>
        <w:rPr>
          <w:rFonts w:ascii="Bookman Old Style" w:hAnsi="Bookman Old Style"/>
          <w:sz w:val="24"/>
          <w:szCs w:val="24"/>
        </w:rPr>
      </w:pPr>
    </w:p>
    <w:sectPr w:rsidR="006A5323" w:rsidRPr="007A64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8A955" w14:textId="77777777" w:rsidR="00F01EE3" w:rsidRDefault="00F01EE3" w:rsidP="0069711A">
      <w:pPr>
        <w:spacing w:after="0" w:line="240" w:lineRule="auto"/>
      </w:pPr>
      <w:r>
        <w:separator/>
      </w:r>
    </w:p>
  </w:endnote>
  <w:endnote w:type="continuationSeparator" w:id="0">
    <w:p w14:paraId="6368B79D" w14:textId="77777777" w:rsidR="00F01EE3" w:rsidRDefault="00F01EE3" w:rsidP="0069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A535F" w14:textId="77777777" w:rsidR="00F01EE3" w:rsidRDefault="00F01EE3" w:rsidP="0069711A">
      <w:pPr>
        <w:spacing w:after="0" w:line="240" w:lineRule="auto"/>
      </w:pPr>
      <w:r>
        <w:separator/>
      </w:r>
    </w:p>
  </w:footnote>
  <w:footnote w:type="continuationSeparator" w:id="0">
    <w:p w14:paraId="704AC403" w14:textId="77777777" w:rsidR="00F01EE3" w:rsidRDefault="00F01EE3" w:rsidP="0069711A">
      <w:pPr>
        <w:spacing w:after="0" w:line="240" w:lineRule="auto"/>
      </w:pPr>
      <w:r>
        <w:continuationSeparator/>
      </w:r>
    </w:p>
  </w:footnote>
  <w:footnote w:id="1">
    <w:p w14:paraId="4780B1F0" w14:textId="3D2822C9" w:rsidR="00083935" w:rsidRDefault="00083935">
      <w:pPr>
        <w:pStyle w:val="Tekstprzypisudolnego"/>
      </w:pPr>
      <w:r>
        <w:rPr>
          <w:rStyle w:val="Odwoanieprzypisudolnego"/>
        </w:rPr>
        <w:footnoteRef/>
      </w:r>
      <w:r>
        <w:t xml:space="preserve"> W literaturze wskazuje się, że </w:t>
      </w:r>
      <w:r w:rsidR="0021368C">
        <w:t xml:space="preserve">zjawisko polegające na nanoszeniu graffiti na różne powierzchnie w przestrzeni publicznej jest poważnym problem również w </w:t>
      </w:r>
      <w:r w:rsidR="00FD4A83">
        <w:t>Europie Zachodniej oraz w Ameryce Północnej. Zob. M. Kulik, Z prawnokarnej problematyki graffiti, Prok. i Pr. 200</w:t>
      </w:r>
      <w:r w:rsidR="00E62657">
        <w:t>1, nr 2, s. 79.</w:t>
      </w:r>
    </w:p>
  </w:footnote>
  <w:footnote w:id="2">
    <w:p w14:paraId="2C71A12F" w14:textId="77777777" w:rsidR="00331393" w:rsidRDefault="00331393" w:rsidP="00331393">
      <w:pPr>
        <w:pStyle w:val="Tekstprzypisudolnego"/>
        <w:jc w:val="both"/>
      </w:pPr>
      <w:r>
        <w:rPr>
          <w:rStyle w:val="Odwoanieprzypisudolnego"/>
        </w:rPr>
        <w:footnoteRef/>
      </w:r>
      <w:r>
        <w:t xml:space="preserve"> W. </w:t>
      </w:r>
      <w:proofErr w:type="spellStart"/>
      <w:r>
        <w:t>Wasil</w:t>
      </w:r>
      <w:proofErr w:type="spellEnd"/>
      <w:r>
        <w:t xml:space="preserve">, Ocena propozycji zmiany ustawy-Kodeks karny w zakresie penalizacji czynów polegających na umieszczaniu w miejscu publicznym do tego nieprzeznaczonym podpisu, rysunku lub napisu bez zgody zarządzającego miejscem, Zeszyty Prawnicze Biura Analiz Sejmowych Kancelarii Sejmu 2018, nr 2, s. 214; w sprawie </w:t>
      </w:r>
      <w:proofErr w:type="spellStart"/>
      <w:r>
        <w:t>zachowań</w:t>
      </w:r>
      <w:proofErr w:type="spellEnd"/>
      <w:r>
        <w:t xml:space="preserve"> analizowanych w niniejszej opinii pojawiły się dwie odpowiedzi Ministerstwa Sprawiedliwości na interpelacje poselskie numer 4470 z 2012r. oraz 10802 z 2017r., w których krytycznie odniesiono się do potrzeby wprowadzania zmian w kk czy też </w:t>
      </w:r>
      <w:proofErr w:type="spellStart"/>
      <w:r>
        <w:t>kw</w:t>
      </w:r>
      <w:proofErr w:type="spellEnd"/>
      <w:r>
        <w:t xml:space="preserve"> uznając, że dotychczasowe rozwiązania prawne są wystarczające. </w:t>
      </w:r>
    </w:p>
  </w:footnote>
  <w:footnote w:id="3">
    <w:p w14:paraId="3E7DF758" w14:textId="5C0F9700" w:rsidR="0036409E" w:rsidRDefault="0036409E">
      <w:pPr>
        <w:pStyle w:val="Tekstprzypisudolnego"/>
      </w:pPr>
      <w:r>
        <w:rPr>
          <w:rStyle w:val="Odwoanieprzypisudolnego"/>
        </w:rPr>
        <w:footnoteRef/>
      </w:r>
      <w:r>
        <w:t xml:space="preserve"> M. Kulik, Z prawnokarnej</w:t>
      </w:r>
      <w:r w:rsidR="00D423C6">
        <w:t>…</w:t>
      </w:r>
      <w:r w:rsidR="003B1E6C">
        <w:t>, s.</w:t>
      </w:r>
      <w:r w:rsidR="000D2D05">
        <w:t>, 93,</w:t>
      </w:r>
      <w:r w:rsidR="003B1E6C">
        <w:t xml:space="preserve"> </w:t>
      </w:r>
      <w:r w:rsidR="00EE0779">
        <w:t>99.</w:t>
      </w:r>
    </w:p>
  </w:footnote>
  <w:footnote w:id="4">
    <w:p w14:paraId="33663640" w14:textId="55BD4B78" w:rsidR="002701AF" w:rsidRDefault="002701AF" w:rsidP="002701AF">
      <w:pPr>
        <w:pStyle w:val="Tekstprzypisudolnego"/>
      </w:pPr>
      <w:r>
        <w:rPr>
          <w:rStyle w:val="Odwoanieprzypisudolnego"/>
        </w:rPr>
        <w:footnoteRef/>
      </w:r>
      <w:r>
        <w:t xml:space="preserve"> </w:t>
      </w:r>
      <w:bookmarkStart w:id="0" w:name="_Hlk168774535"/>
      <w:r>
        <w:t>M. Kulik, Przestępstwo i wykroczenie uszkodzenia rzeczy, Lublina 2005, s.</w:t>
      </w:r>
      <w:bookmarkEnd w:id="0"/>
      <w:r>
        <w:t xml:space="preserve"> 75, 93</w:t>
      </w:r>
      <w:r w:rsidR="00D423C6">
        <w:t xml:space="preserve"> oraz tegoż, Z prawnokarnej problematyki…, s. </w:t>
      </w:r>
      <w:r w:rsidR="00DC1C4F">
        <w:t>80</w:t>
      </w:r>
      <w:r>
        <w:t>; zob. także D. Dajnowicz-</w:t>
      </w:r>
      <w:proofErr w:type="spellStart"/>
      <w:r>
        <w:t>Piesiecka</w:t>
      </w:r>
      <w:proofErr w:type="spellEnd"/>
      <w:r>
        <w:t xml:space="preserve">, Ekspresja tworzenia czy akt zniszczenia- problematyka </w:t>
      </w:r>
      <w:proofErr w:type="spellStart"/>
      <w:r>
        <w:t>graf</w:t>
      </w:r>
      <w:r w:rsidR="004C1CAA">
        <w:t>f</w:t>
      </w:r>
      <w:r>
        <w:t>itii</w:t>
      </w:r>
      <w:proofErr w:type="spellEnd"/>
      <w:r>
        <w:t xml:space="preserve"> w świetle wybranych aspektów prawnokarnych, Studia Prawnoustrojowe UWM 2019, nr 43, s. 54-55.</w:t>
      </w:r>
    </w:p>
  </w:footnote>
  <w:footnote w:id="5">
    <w:p w14:paraId="71E34528" w14:textId="7C5CED74" w:rsidR="001003AF" w:rsidRDefault="001003AF">
      <w:pPr>
        <w:pStyle w:val="Tekstprzypisudolnego"/>
      </w:pPr>
      <w:r>
        <w:rPr>
          <w:rStyle w:val="Odwoanieprzypisudolnego"/>
        </w:rPr>
        <w:footnoteRef/>
      </w:r>
      <w:r>
        <w:t xml:space="preserve"> M. Kulik, Przestępstwo </w:t>
      </w:r>
      <w:r w:rsidR="00553DE4">
        <w:t>…</w:t>
      </w:r>
      <w:r>
        <w:t>, s. 74</w:t>
      </w:r>
      <w:r w:rsidR="00937B19">
        <w:t xml:space="preserve">; </w:t>
      </w:r>
      <w:r w:rsidR="00002400">
        <w:t>tenże, Z prawnokarnej…., s. 84.</w:t>
      </w:r>
    </w:p>
  </w:footnote>
  <w:footnote w:id="6">
    <w:p w14:paraId="254E14CA" w14:textId="562A0500" w:rsidR="00034A99" w:rsidRDefault="00034A99">
      <w:pPr>
        <w:pStyle w:val="Tekstprzypisudolnego"/>
      </w:pPr>
      <w:r>
        <w:rPr>
          <w:rStyle w:val="Odwoanieprzypisudolnego"/>
        </w:rPr>
        <w:footnoteRef/>
      </w:r>
      <w:r>
        <w:t xml:space="preserve"> </w:t>
      </w:r>
      <w:r w:rsidR="00553DE4">
        <w:t>Ibidem.</w:t>
      </w:r>
    </w:p>
  </w:footnote>
  <w:footnote w:id="7">
    <w:p w14:paraId="5A1E0100" w14:textId="1FC858D3" w:rsidR="00C9720E" w:rsidRDefault="00C9720E">
      <w:pPr>
        <w:pStyle w:val="Tekstprzypisudolnego"/>
      </w:pPr>
      <w:r>
        <w:rPr>
          <w:rStyle w:val="Odwoanieprzypisudolnego"/>
        </w:rPr>
        <w:footnoteRef/>
      </w:r>
      <w:r>
        <w:t xml:space="preserve"> </w:t>
      </w:r>
      <w:r w:rsidR="00553DE4">
        <w:t>Ibidem</w:t>
      </w:r>
      <w:r>
        <w:t>, s. 75.</w:t>
      </w:r>
    </w:p>
  </w:footnote>
  <w:footnote w:id="8">
    <w:p w14:paraId="2C3DAA92" w14:textId="0A27B9C6" w:rsidR="002B4E6B" w:rsidRDefault="002B4E6B">
      <w:pPr>
        <w:pStyle w:val="Tekstprzypisudolnego"/>
      </w:pPr>
      <w:r>
        <w:rPr>
          <w:rStyle w:val="Odwoanieprzypisudolnego"/>
        </w:rPr>
        <w:footnoteRef/>
      </w:r>
      <w:r>
        <w:t xml:space="preserve"> </w:t>
      </w:r>
      <w:r w:rsidR="00F9070A">
        <w:t>Ibidem</w:t>
      </w:r>
      <w:r>
        <w:t>.</w:t>
      </w:r>
      <w:r w:rsidR="004D74EA">
        <w:t xml:space="preserve"> Autor przywołuję wyrażany w doktrynie niemieckiej pogląd , zgodnie z którym </w:t>
      </w:r>
      <w:r w:rsidR="00A0141F">
        <w:t>każde nałożenie farby na rzecz stanowi w istocie ingerencję w jej materię , dotyczy zatem materii rzeczy</w:t>
      </w:r>
      <w:r w:rsidR="00B729EC">
        <w:t xml:space="preserve"> (tamże)</w:t>
      </w:r>
      <w:r w:rsidR="00A0141F">
        <w:t>.</w:t>
      </w:r>
    </w:p>
  </w:footnote>
  <w:footnote w:id="9">
    <w:p w14:paraId="2F168503" w14:textId="403ADFC8" w:rsidR="00AD2BEE" w:rsidRDefault="00AD2BEE">
      <w:pPr>
        <w:pStyle w:val="Tekstprzypisudolnego"/>
      </w:pPr>
      <w:r>
        <w:rPr>
          <w:rStyle w:val="Odwoanieprzypisudolnego"/>
        </w:rPr>
        <w:footnoteRef/>
      </w:r>
      <w:r>
        <w:t xml:space="preserve"> M. Kulik, Przestępstwo </w:t>
      </w:r>
      <w:r w:rsidR="00F9070A">
        <w:t>…</w:t>
      </w:r>
      <w:r>
        <w:t xml:space="preserve">, s. </w:t>
      </w:r>
      <w:r w:rsidR="00E030EB">
        <w:t xml:space="preserve">75, </w:t>
      </w:r>
      <w:r w:rsidR="00F71909">
        <w:t>93</w:t>
      </w:r>
      <w:r w:rsidR="00890DF0">
        <w:t>; zob. także</w:t>
      </w:r>
      <w:r w:rsidR="00936680">
        <w:t xml:space="preserve"> D. Dajnowicz</w:t>
      </w:r>
      <w:r w:rsidR="00FF15EC">
        <w:t>-</w:t>
      </w:r>
      <w:proofErr w:type="spellStart"/>
      <w:r w:rsidR="00FF15EC">
        <w:t>Piesiecka</w:t>
      </w:r>
      <w:proofErr w:type="spellEnd"/>
      <w:r w:rsidR="00FF15EC">
        <w:t>, Ekspresja tworzenia</w:t>
      </w:r>
      <w:r w:rsidR="005B576C">
        <w:t>…</w:t>
      </w:r>
      <w:r w:rsidR="00FF15EC">
        <w:t>, s. 54-55.</w:t>
      </w:r>
    </w:p>
  </w:footnote>
  <w:footnote w:id="10">
    <w:p w14:paraId="2E5802A2" w14:textId="16A80DCF" w:rsidR="003E10C5" w:rsidRDefault="003E10C5">
      <w:pPr>
        <w:pStyle w:val="Tekstprzypisudolnego"/>
      </w:pPr>
      <w:r>
        <w:rPr>
          <w:rStyle w:val="Odwoanieprzypisudolnego"/>
        </w:rPr>
        <w:footnoteRef/>
      </w:r>
      <w:r>
        <w:t xml:space="preserve"> M. Kulik, Przestępstwo </w:t>
      </w:r>
      <w:r w:rsidR="00AA7471">
        <w:t>…</w:t>
      </w:r>
      <w:r>
        <w:t>, s. 77 i przywołana tam literatura szwajcarska.</w:t>
      </w:r>
    </w:p>
  </w:footnote>
  <w:footnote w:id="11">
    <w:p w14:paraId="4271CEF5" w14:textId="77777777" w:rsidR="0089456D" w:rsidRDefault="0089456D" w:rsidP="0089456D">
      <w:pPr>
        <w:pStyle w:val="Tekstprzypisudolnego"/>
      </w:pPr>
      <w:r>
        <w:rPr>
          <w:rStyle w:val="Odwoanieprzypisudolnego"/>
        </w:rPr>
        <w:footnoteRef/>
      </w:r>
      <w:r>
        <w:t xml:space="preserve"> Tak M. Kulik, Z prawnokarnej…, s. 83.</w:t>
      </w:r>
    </w:p>
  </w:footnote>
  <w:footnote w:id="12">
    <w:p w14:paraId="18367E11" w14:textId="77777777" w:rsidR="00C2790C" w:rsidRDefault="00C2790C" w:rsidP="00C2790C">
      <w:pPr>
        <w:pStyle w:val="Tekstprzypisudolnego"/>
      </w:pPr>
      <w:r>
        <w:rPr>
          <w:rStyle w:val="Odwoanieprzypisudolnego"/>
        </w:rPr>
        <w:footnoteRef/>
      </w:r>
      <w:r>
        <w:t xml:space="preserve"> P. Kardas, M. Dąbrowska-Kardas [w:] Kodeks karny. Część szczególna. Tom III. Komentarz do art. 278-363kk, red. W. Wróbel, A. Zoll, Warszawa 2022, Komentarz do art. 288, teza 36, Lex.</w:t>
      </w:r>
    </w:p>
  </w:footnote>
  <w:footnote w:id="13">
    <w:p w14:paraId="2DD4D01F" w14:textId="77777777" w:rsidR="00006521" w:rsidRDefault="00006521" w:rsidP="00006521">
      <w:pPr>
        <w:pStyle w:val="Tekstprzypisudolnego"/>
      </w:pPr>
      <w:r>
        <w:rPr>
          <w:rStyle w:val="Odwoanieprzypisudolnego"/>
        </w:rPr>
        <w:footnoteRef/>
      </w:r>
      <w:r>
        <w:t xml:space="preserve"> G. Łabuda [w:] Kodeks karny. Część szczególna. Komentarz, red. J. </w:t>
      </w:r>
      <w:proofErr w:type="spellStart"/>
      <w:r>
        <w:t>Giezek</w:t>
      </w:r>
      <w:proofErr w:type="spellEnd"/>
      <w:r>
        <w:t>, Warszawa 2021, Komentarz do art. 288, Teza 13, Lex.</w:t>
      </w:r>
    </w:p>
  </w:footnote>
  <w:footnote w:id="14">
    <w:p w14:paraId="30A6EF0C" w14:textId="5A2BFB5A" w:rsidR="00E50606" w:rsidRDefault="00E50606">
      <w:pPr>
        <w:pStyle w:val="Tekstprzypisudolnego"/>
      </w:pPr>
      <w:r>
        <w:rPr>
          <w:rStyle w:val="Odwoanieprzypisudolnego"/>
        </w:rPr>
        <w:footnoteRef/>
      </w:r>
      <w:r>
        <w:t xml:space="preserve"> T. Oczkowski [w:] Kodek karny. Komentarz, red. R. A. Stefański, Warszawa </w:t>
      </w:r>
      <w:r w:rsidR="00BB1703">
        <w:t xml:space="preserve">2023, Komentarz do art. 288kk, teza 6, </w:t>
      </w:r>
      <w:proofErr w:type="spellStart"/>
      <w:r w:rsidR="00BB1703">
        <w:t>Legalis</w:t>
      </w:r>
      <w:proofErr w:type="spellEnd"/>
      <w:r w:rsidR="00BB1703">
        <w:t>.</w:t>
      </w:r>
    </w:p>
  </w:footnote>
  <w:footnote w:id="15">
    <w:p w14:paraId="53A68C40" w14:textId="245846F1" w:rsidR="00711B72" w:rsidRDefault="00711B72">
      <w:pPr>
        <w:pStyle w:val="Tekstprzypisudolnego"/>
      </w:pPr>
      <w:r>
        <w:rPr>
          <w:rStyle w:val="Odwoanieprzypisudolnego"/>
        </w:rPr>
        <w:footnoteRef/>
      </w:r>
      <w:r>
        <w:t xml:space="preserve"> Por. W. Doroszewski </w:t>
      </w:r>
      <w:r w:rsidR="00886F6C">
        <w:t>(red.), Słownik języka polskiego. Tom X, Warszawa 1968, s. 1244; W. Niedźwiedzki [w:] J. Karłowicz, A. Kryński, W. Niedźwiedzki, Słownik języka polskiego</w:t>
      </w:r>
      <w:r w:rsidR="00CC08F0">
        <w:t>. Tom VIII, Warszawa 1919, s. 590; M. Szymczyk (red.), Słownik języka polskiego</w:t>
      </w:r>
      <w:r w:rsidR="002240FF">
        <w:t>. Tom 2</w:t>
      </w:r>
      <w:r w:rsidR="0019425F">
        <w:t>, Warszawa 1996, s. 363.</w:t>
      </w:r>
    </w:p>
  </w:footnote>
  <w:footnote w:id="16">
    <w:p w14:paraId="24FE72A8" w14:textId="4A34C43C" w:rsidR="002C7C92" w:rsidRDefault="002C7C92">
      <w:pPr>
        <w:pStyle w:val="Tekstprzypisudolnego"/>
      </w:pPr>
      <w:r>
        <w:rPr>
          <w:rStyle w:val="Odwoanieprzypisudolnego"/>
        </w:rPr>
        <w:footnoteRef/>
      </w:r>
      <w:r>
        <w:t xml:space="preserve"> Por. W. Doroszewski (red.), Słownik języka polskiego. Tom </w:t>
      </w:r>
      <w:r w:rsidR="005E040E">
        <w:t>I</w:t>
      </w:r>
      <w:r>
        <w:t xml:space="preserve">X, Warszawa 1968, s. </w:t>
      </w:r>
      <w:r w:rsidR="005E040E">
        <w:t>722</w:t>
      </w:r>
      <w:r>
        <w:t xml:space="preserve">; W. Niedźwiedzki [w:] J. Karłowicz, A. Kryński, W. Niedźwiedzki, Słownik języka polskiego. Tom VII, Warszawa 1919, s. </w:t>
      </w:r>
      <w:r w:rsidR="005E040E">
        <w:t>388</w:t>
      </w:r>
      <w:r>
        <w:t>; M. Szymczyk (red.), Słownik języka polskiego</w:t>
      </w:r>
      <w:r w:rsidR="0044448B">
        <w:t>. Tom 3</w:t>
      </w:r>
      <w:r>
        <w:t xml:space="preserve">, Warszawa 1996, s. </w:t>
      </w:r>
      <w:r w:rsidR="005E040E">
        <w:t>58</w:t>
      </w:r>
      <w:r w:rsidR="0044448B">
        <w:t>5</w:t>
      </w:r>
      <w:r>
        <w:t>.</w:t>
      </w:r>
    </w:p>
  </w:footnote>
  <w:footnote w:id="17">
    <w:p w14:paraId="0D723456" w14:textId="0222DE23" w:rsidR="00091487" w:rsidRDefault="00091487">
      <w:pPr>
        <w:pStyle w:val="Tekstprzypisudolnego"/>
      </w:pPr>
      <w:r>
        <w:rPr>
          <w:rStyle w:val="Odwoanieprzypisudolnego"/>
        </w:rPr>
        <w:footnoteRef/>
      </w:r>
      <w:r>
        <w:t xml:space="preserve"> Tak D. </w:t>
      </w:r>
      <w:proofErr w:type="spellStart"/>
      <w:r>
        <w:t>Pleńska</w:t>
      </w:r>
      <w:proofErr w:type="spellEnd"/>
      <w:r>
        <w:t xml:space="preserve">, O. </w:t>
      </w:r>
      <w:proofErr w:type="spellStart"/>
      <w:r>
        <w:t>Górniok</w:t>
      </w:r>
      <w:proofErr w:type="spellEnd"/>
      <w:r>
        <w:t xml:space="preserve"> [w:] </w:t>
      </w:r>
      <w:r w:rsidR="008008D9">
        <w:t>System prawa karnego</w:t>
      </w:r>
      <w:r w:rsidR="00DF39EC">
        <w:t xml:space="preserve">. Tom 4. Część 2, </w:t>
      </w:r>
      <w:r w:rsidR="00AB20E2">
        <w:t xml:space="preserve">red. I. Andrejew, L. Kubicki, J. </w:t>
      </w:r>
      <w:proofErr w:type="spellStart"/>
      <w:r w:rsidR="00AB20E2">
        <w:t>Waszczyńśki</w:t>
      </w:r>
      <w:proofErr w:type="spellEnd"/>
      <w:r w:rsidR="00AB20E2">
        <w:t xml:space="preserve">, Warszawa 1989, s. </w:t>
      </w:r>
      <w:r w:rsidR="003C7211">
        <w:t>441.</w:t>
      </w:r>
    </w:p>
  </w:footnote>
  <w:footnote w:id="18">
    <w:p w14:paraId="4512450E" w14:textId="55622F75" w:rsidR="003D5E29" w:rsidRDefault="003D5E29">
      <w:pPr>
        <w:pStyle w:val="Tekstprzypisudolnego"/>
      </w:pPr>
      <w:r>
        <w:rPr>
          <w:rStyle w:val="Odwoanieprzypisudolnego"/>
        </w:rPr>
        <w:footnoteRef/>
      </w:r>
      <w:r>
        <w:t xml:space="preserve"> M. Kulik, Przestępstwo </w:t>
      </w:r>
      <w:r w:rsidR="00AA7471">
        <w:t>…</w:t>
      </w:r>
      <w:r w:rsidR="00114AC0">
        <w:t>, s. 63 oraz przywołani tam autorzy.</w:t>
      </w:r>
    </w:p>
  </w:footnote>
  <w:footnote w:id="19">
    <w:p w14:paraId="740E825F" w14:textId="7973E8DB" w:rsidR="00D56044" w:rsidRDefault="00D56044" w:rsidP="003164B0">
      <w:pPr>
        <w:pStyle w:val="Tekstprzypisudolnego"/>
        <w:jc w:val="both"/>
      </w:pPr>
      <w:r>
        <w:rPr>
          <w:rStyle w:val="Odwoanieprzypisudolnego"/>
        </w:rPr>
        <w:footnoteRef/>
      </w:r>
      <w:r>
        <w:t xml:space="preserve"> Tak P. Kardas, M. Dąbrowska-Kardas [w:] Kodeks karny. Część szczególna. </w:t>
      </w:r>
      <w:r w:rsidR="00A44361">
        <w:t xml:space="preserve">Tom III. Komentarz do art. 278-363kk, red. W. Wróbel, A. Zoll, </w:t>
      </w:r>
      <w:r w:rsidR="004A7B85">
        <w:t>Warszawa 2016, s. 371</w:t>
      </w:r>
      <w:r w:rsidR="00D9324E">
        <w:t xml:space="preserve">; zob. też wyrok SN z 24 czerwca 1993r., </w:t>
      </w:r>
      <w:r w:rsidR="000E1F3E">
        <w:t>III KRN 98/93, OSNKW 1993, nr 9-10, poz. 64.</w:t>
      </w:r>
      <w:r w:rsidR="00C23E57">
        <w:t xml:space="preserve"> Do poglądu tego w sposób niejasny odnosi się M. Kulik (Przestępstwo </w:t>
      </w:r>
      <w:r w:rsidR="00AA7471">
        <w:t>…</w:t>
      </w:r>
      <w:r w:rsidR="00C23E57">
        <w:t>, s. 65), który najpierw pisze, że „</w:t>
      </w:r>
      <w:r w:rsidR="006E2C6A">
        <w:t>nie jest trafny pogląd, że zniszczenie polega na takim uszkodzeniu rzeczy, w którym przywrócenie stanu poprzedniego nie jest możliwe</w:t>
      </w:r>
      <w:r w:rsidR="004E140F">
        <w:t>”</w:t>
      </w:r>
      <w:r w:rsidR="006E2C6A">
        <w:t xml:space="preserve"> </w:t>
      </w:r>
      <w:r w:rsidR="004E140F">
        <w:t>, aby za chwilę napisać, że „</w:t>
      </w:r>
      <w:r w:rsidR="00D1599A">
        <w:t xml:space="preserve">charakterystyczna dla zniszczenia rzeczy jest niemożność przywrócenia stanu </w:t>
      </w:r>
      <w:proofErr w:type="spellStart"/>
      <w:r w:rsidR="00D1599A">
        <w:t>poprzendniego</w:t>
      </w:r>
      <w:proofErr w:type="spellEnd"/>
      <w:r w:rsidR="00D1599A">
        <w:t>”.</w:t>
      </w:r>
    </w:p>
  </w:footnote>
  <w:footnote w:id="20">
    <w:p w14:paraId="41BBDA9A" w14:textId="226A9EBF" w:rsidR="00EC3DC6" w:rsidRDefault="00EC3DC6" w:rsidP="003164B0">
      <w:pPr>
        <w:pStyle w:val="Tekstprzypisudolnego"/>
        <w:jc w:val="both"/>
      </w:pPr>
      <w:r>
        <w:rPr>
          <w:rStyle w:val="Odwoanieprzypisudolnego"/>
        </w:rPr>
        <w:footnoteRef/>
      </w:r>
      <w:r>
        <w:t xml:space="preserve"> </w:t>
      </w:r>
      <w:bookmarkStart w:id="1" w:name="_Hlk168236355"/>
      <w:r>
        <w:t>Zob. P. Kardas, M. Dąbrowska-Kardas [w:] Kodeks karny. Część szczególna. Tom III. Komentarz do art. 278-363kk, red. W. Wróbel, A. Zoll, Warszawa 20</w:t>
      </w:r>
      <w:r w:rsidR="00935A5A">
        <w:t>22</w:t>
      </w:r>
      <w:r>
        <w:t>,</w:t>
      </w:r>
      <w:r w:rsidR="00935A5A">
        <w:t xml:space="preserve"> Komentarz do art. 288, teza 34, Lex.</w:t>
      </w:r>
    </w:p>
    <w:bookmarkEnd w:id="1"/>
  </w:footnote>
  <w:footnote w:id="21">
    <w:p w14:paraId="4F1C67BA" w14:textId="27E25A54" w:rsidR="00FD3E46" w:rsidRDefault="00FD3E46" w:rsidP="003164B0">
      <w:pPr>
        <w:pStyle w:val="Tekstprzypisudolnego"/>
        <w:jc w:val="both"/>
      </w:pPr>
      <w:r>
        <w:rPr>
          <w:rStyle w:val="Odwoanieprzypisudolnego"/>
        </w:rPr>
        <w:footnoteRef/>
      </w:r>
      <w:r>
        <w:t xml:space="preserve"> Tak</w:t>
      </w:r>
      <w:r w:rsidR="00935A5A">
        <w:t xml:space="preserve"> P. Kardas, M. Dąbrowska-Kardas [w:] Kodeks karny. Część szczególna. Tom III. Komentarz do art. 278-363kk, red. W. Wróbel, A. Zoll, Warszawa 2016, s. 371.</w:t>
      </w:r>
    </w:p>
  </w:footnote>
  <w:footnote w:id="22">
    <w:p w14:paraId="4B3E7BE7" w14:textId="070A3FC3" w:rsidR="000931CF" w:rsidRDefault="000931CF">
      <w:pPr>
        <w:pStyle w:val="Tekstprzypisudolnego"/>
      </w:pPr>
      <w:r>
        <w:rPr>
          <w:rStyle w:val="Odwoanieprzypisudolnego"/>
        </w:rPr>
        <w:footnoteRef/>
      </w:r>
      <w:r>
        <w:t xml:space="preserve"> </w:t>
      </w:r>
      <w:r w:rsidR="00A3709D">
        <w:t xml:space="preserve">M. Kulik, Przestępstwo </w:t>
      </w:r>
      <w:r w:rsidR="00A20810">
        <w:t>…</w:t>
      </w:r>
      <w:r w:rsidR="00A3709D">
        <w:t>, s. 67 i powołani tam autorzy.</w:t>
      </w:r>
    </w:p>
  </w:footnote>
  <w:footnote w:id="23">
    <w:p w14:paraId="3294BDE5" w14:textId="266C72B3" w:rsidR="00FA5ADB" w:rsidRDefault="00FA5ADB">
      <w:pPr>
        <w:pStyle w:val="Tekstprzypisudolnego"/>
      </w:pPr>
      <w:r>
        <w:rPr>
          <w:rStyle w:val="Odwoanieprzypisudolnego"/>
        </w:rPr>
        <w:footnoteRef/>
      </w:r>
      <w:r>
        <w:t xml:space="preserve"> </w:t>
      </w:r>
      <w:r w:rsidR="008F1080">
        <w:t xml:space="preserve">Pogląd L. Peipera przywołany za M. Kulikiem, Przestępstwo </w:t>
      </w:r>
      <w:r w:rsidR="00A20810">
        <w:t>…</w:t>
      </w:r>
      <w:r w:rsidR="008F1080">
        <w:t xml:space="preserve">, s. </w:t>
      </w:r>
      <w:r w:rsidR="006916FB">
        <w:t>68.</w:t>
      </w:r>
    </w:p>
  </w:footnote>
  <w:footnote w:id="24">
    <w:p w14:paraId="265EF23C" w14:textId="4987150F" w:rsidR="00EE6C95" w:rsidRDefault="00EE6C95">
      <w:pPr>
        <w:pStyle w:val="Tekstprzypisudolnego"/>
      </w:pPr>
      <w:r>
        <w:rPr>
          <w:rStyle w:val="Odwoanieprzypisudolnego"/>
        </w:rPr>
        <w:footnoteRef/>
      </w:r>
      <w:r>
        <w:t xml:space="preserve"> M. Kulik, Przestępstwo </w:t>
      </w:r>
      <w:r w:rsidR="00A20810">
        <w:t>…</w:t>
      </w:r>
      <w:r>
        <w:t>, s. 69 i powołani tam autorzy</w:t>
      </w:r>
      <w:r w:rsidR="008F10E8">
        <w:t>.</w:t>
      </w:r>
    </w:p>
  </w:footnote>
  <w:footnote w:id="25">
    <w:p w14:paraId="5288FE38" w14:textId="01DC6DE6" w:rsidR="008F10E8" w:rsidRDefault="008F10E8">
      <w:pPr>
        <w:pStyle w:val="Tekstprzypisudolnego"/>
      </w:pPr>
      <w:r>
        <w:rPr>
          <w:rStyle w:val="Odwoanieprzypisudolnego"/>
        </w:rPr>
        <w:footnoteRef/>
      </w:r>
      <w:r>
        <w:t xml:space="preserve"> </w:t>
      </w:r>
      <w:r w:rsidR="00A20810">
        <w:t>Ibidem</w:t>
      </w:r>
      <w:r>
        <w:t>, s. 69 i powołani tam autorzy.</w:t>
      </w:r>
    </w:p>
  </w:footnote>
  <w:footnote w:id="26">
    <w:p w14:paraId="615E047F" w14:textId="2039FECC" w:rsidR="0060511D" w:rsidRDefault="0060511D">
      <w:pPr>
        <w:pStyle w:val="Tekstprzypisudolnego"/>
      </w:pPr>
      <w:r>
        <w:rPr>
          <w:rStyle w:val="Odwoanieprzypisudolnego"/>
        </w:rPr>
        <w:footnoteRef/>
      </w:r>
      <w:r>
        <w:t xml:space="preserve"> Pogląd przywołany za M. Kulikiem, Przestępstwo </w:t>
      </w:r>
      <w:r w:rsidR="004E63BC">
        <w:t>….</w:t>
      </w:r>
      <w:r>
        <w:t xml:space="preserve">, s. </w:t>
      </w:r>
      <w:r w:rsidR="000628FC">
        <w:t>84</w:t>
      </w:r>
      <w:r w:rsidR="003E4424">
        <w:t>; tenże, Z prawnokarnej</w:t>
      </w:r>
      <w:r w:rsidR="003D4177">
        <w:t>…., s. 90.</w:t>
      </w:r>
    </w:p>
  </w:footnote>
  <w:footnote w:id="27">
    <w:p w14:paraId="5E762570" w14:textId="6699B0D0" w:rsidR="001C3B65" w:rsidRDefault="001C3B65">
      <w:pPr>
        <w:pStyle w:val="Tekstprzypisudolnego"/>
      </w:pPr>
      <w:r>
        <w:rPr>
          <w:rStyle w:val="Odwoanieprzypisudolnego"/>
        </w:rPr>
        <w:footnoteRef/>
      </w:r>
      <w:r>
        <w:t xml:space="preserve"> Zob. P. Kardas, M. Dąbrowska-Kardas [w:] Kodeks karny. Część szczególna. Tom III. Komentarz do art. 278-363kk, red. W. Wróbel, A. Zoll, Warszawa 2016, s. 372 i przywołani tam autorzy.</w:t>
      </w:r>
    </w:p>
  </w:footnote>
  <w:footnote w:id="28">
    <w:p w14:paraId="47D1BC44" w14:textId="708A593F" w:rsidR="00101237" w:rsidRPr="003D32AF" w:rsidRDefault="00101237">
      <w:pPr>
        <w:pStyle w:val="Tekstprzypisudolnego"/>
        <w:rPr>
          <w:color w:val="FF0000"/>
        </w:rPr>
      </w:pPr>
      <w:r>
        <w:rPr>
          <w:rStyle w:val="Odwoanieprzypisudolnego"/>
        </w:rPr>
        <w:footnoteRef/>
      </w:r>
      <w:r>
        <w:t xml:space="preserve"> Tak np. </w:t>
      </w:r>
      <w:r w:rsidR="00A402E2">
        <w:t xml:space="preserve">I. Andrejew, Kodeks karny. Krótki komentarz, Warszawa </w:t>
      </w:r>
      <w:r w:rsidR="006A6D0D">
        <w:t>198</w:t>
      </w:r>
      <w:r w:rsidR="007057DD">
        <w:t>8</w:t>
      </w:r>
      <w:r w:rsidR="006A6D0D">
        <w:t>, s. 1</w:t>
      </w:r>
      <w:r w:rsidR="007057DD">
        <w:t>92</w:t>
      </w:r>
      <w:r w:rsidR="001D6837">
        <w:t>.</w:t>
      </w:r>
      <w:r w:rsidR="006A6D0D" w:rsidRPr="003D32AF">
        <w:rPr>
          <w:color w:val="FF0000"/>
        </w:rPr>
        <w:t xml:space="preserve"> </w:t>
      </w:r>
    </w:p>
  </w:footnote>
  <w:footnote w:id="29">
    <w:p w14:paraId="65DCFE56" w14:textId="48B379EA" w:rsidR="00822B58" w:rsidRDefault="00822B58">
      <w:pPr>
        <w:pStyle w:val="Tekstprzypisudolnego"/>
      </w:pPr>
      <w:r>
        <w:rPr>
          <w:rStyle w:val="Odwoanieprzypisudolnego"/>
        </w:rPr>
        <w:footnoteRef/>
      </w:r>
      <w:r>
        <w:t xml:space="preserve"> Podobnie M. Kulik, Z prawnokarnej…., s. 85</w:t>
      </w:r>
      <w:r w:rsidR="001743EF">
        <w:t>, 89.</w:t>
      </w:r>
    </w:p>
  </w:footnote>
  <w:footnote w:id="30">
    <w:p w14:paraId="57A044C6" w14:textId="03E4BAB2" w:rsidR="00FE7051" w:rsidRDefault="00FE7051">
      <w:pPr>
        <w:pStyle w:val="Tekstprzypisudolnego"/>
      </w:pPr>
      <w:r>
        <w:rPr>
          <w:rStyle w:val="Odwoanieprzypisudolnego"/>
        </w:rPr>
        <w:footnoteRef/>
      </w:r>
      <w:r>
        <w:t xml:space="preserve"> J. Makarewicz, Kodeks karny</w:t>
      </w:r>
      <w:r w:rsidR="00EA4AB3">
        <w:t>. Komentarz, Lwów 1935</w:t>
      </w:r>
      <w:r>
        <w:t xml:space="preserve">, s. </w:t>
      </w:r>
      <w:r w:rsidR="00EA4AB3">
        <w:t>459.</w:t>
      </w:r>
    </w:p>
  </w:footnote>
  <w:footnote w:id="31">
    <w:p w14:paraId="6AD7D699" w14:textId="4AEC82F8" w:rsidR="00202173" w:rsidRDefault="00202173">
      <w:pPr>
        <w:pStyle w:val="Tekstprzypisudolnego"/>
      </w:pPr>
      <w:r>
        <w:rPr>
          <w:rStyle w:val="Odwoanieprzypisudolnego"/>
        </w:rPr>
        <w:footnoteRef/>
      </w:r>
      <w:r>
        <w:t xml:space="preserve"> M. Kulik, Przestępstwo</w:t>
      </w:r>
      <w:r w:rsidR="004E63BC">
        <w:t>…</w:t>
      </w:r>
      <w:r>
        <w:t xml:space="preserve">, s. </w:t>
      </w:r>
      <w:r w:rsidR="00E14F15">
        <w:t>83.</w:t>
      </w:r>
    </w:p>
  </w:footnote>
  <w:footnote w:id="32">
    <w:p w14:paraId="5248FED1" w14:textId="3146C987" w:rsidR="005C2419" w:rsidRDefault="005C2419">
      <w:pPr>
        <w:pStyle w:val="Tekstprzypisudolnego"/>
      </w:pPr>
      <w:r>
        <w:rPr>
          <w:rStyle w:val="Odwoanieprzypisudolnego"/>
        </w:rPr>
        <w:footnoteRef/>
      </w:r>
      <w:r>
        <w:t xml:space="preserve"> K. Buchała, Przestępstwa przeciwko bezpieczeństwu w komunikacji drogowej, Warszawa 1973, s. 97.</w:t>
      </w:r>
    </w:p>
  </w:footnote>
  <w:footnote w:id="33">
    <w:p w14:paraId="02138551" w14:textId="1F478C30" w:rsidR="00DD02FB" w:rsidRPr="005A7DA5" w:rsidRDefault="00DD02FB">
      <w:pPr>
        <w:pStyle w:val="Tekstprzypisudolnego"/>
      </w:pPr>
      <w:r>
        <w:rPr>
          <w:rStyle w:val="Odwoanieprzypisudolnego"/>
        </w:rPr>
        <w:footnoteRef/>
      </w:r>
      <w:r>
        <w:t xml:space="preserve"> </w:t>
      </w:r>
      <w:r w:rsidRPr="005A7DA5">
        <w:t xml:space="preserve">Tak SN w wyroku z dnia 9 grudnia 2003r., III KK 165/03, </w:t>
      </w:r>
      <w:r w:rsidR="005A7DA5" w:rsidRPr="005A7DA5">
        <w:t>KZS 2004, nr 4, poz. 31, s. 16.</w:t>
      </w:r>
    </w:p>
  </w:footnote>
  <w:footnote w:id="34">
    <w:p w14:paraId="0904DD06" w14:textId="5A3ECAAC" w:rsidR="007E51CB" w:rsidRDefault="007E51CB">
      <w:pPr>
        <w:pStyle w:val="Tekstprzypisudolnego"/>
      </w:pPr>
      <w:r>
        <w:rPr>
          <w:rStyle w:val="Odwoanieprzypisudolnego"/>
        </w:rPr>
        <w:footnoteRef/>
      </w:r>
      <w:r>
        <w:t xml:space="preserve"> </w:t>
      </w:r>
      <w:r w:rsidR="00324933">
        <w:t xml:space="preserve">M. Dąbrowska-Kardas, P. Kardas [w:] Kodeks karny. Część szczególna. </w:t>
      </w:r>
      <w:r w:rsidR="00B81200">
        <w:t xml:space="preserve">Tom III. Komentarz do art. 278-363, Warszawa 2016, s. </w:t>
      </w:r>
      <w:r w:rsidR="003B2F13">
        <w:t>365.</w:t>
      </w:r>
    </w:p>
  </w:footnote>
  <w:footnote w:id="35">
    <w:p w14:paraId="4A3DCB00" w14:textId="03A33563" w:rsidR="004E5748" w:rsidRDefault="004E5748">
      <w:pPr>
        <w:pStyle w:val="Tekstprzypisudolnego"/>
      </w:pPr>
      <w:r>
        <w:rPr>
          <w:rStyle w:val="Odwoanieprzypisudolnego"/>
        </w:rPr>
        <w:footnoteRef/>
      </w:r>
      <w:r>
        <w:t xml:space="preserve"> Tak M. Kulik, Z prawnokarnej</w:t>
      </w:r>
      <w:r w:rsidR="0006554F">
        <w:t>…, s. 95.</w:t>
      </w:r>
    </w:p>
  </w:footnote>
  <w:footnote w:id="36">
    <w:p w14:paraId="158AE936" w14:textId="15033D2E" w:rsidR="00614370" w:rsidRDefault="00614370">
      <w:pPr>
        <w:pStyle w:val="Tekstprzypisudolnego"/>
      </w:pPr>
      <w:r>
        <w:rPr>
          <w:rStyle w:val="Odwoanieprzypisudolnego"/>
        </w:rPr>
        <w:footnoteRef/>
      </w:r>
      <w:r>
        <w:t xml:space="preserve"> Ibidem.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F4"/>
    <w:rsid w:val="00002400"/>
    <w:rsid w:val="00006521"/>
    <w:rsid w:val="00015DC7"/>
    <w:rsid w:val="00025540"/>
    <w:rsid w:val="0003025C"/>
    <w:rsid w:val="00034341"/>
    <w:rsid w:val="00034A99"/>
    <w:rsid w:val="000355B8"/>
    <w:rsid w:val="000548F4"/>
    <w:rsid w:val="000628FC"/>
    <w:rsid w:val="00064DCB"/>
    <w:rsid w:val="0006554F"/>
    <w:rsid w:val="000775A0"/>
    <w:rsid w:val="0007781B"/>
    <w:rsid w:val="000828E2"/>
    <w:rsid w:val="00083935"/>
    <w:rsid w:val="000840EC"/>
    <w:rsid w:val="00084798"/>
    <w:rsid w:val="00091487"/>
    <w:rsid w:val="00092E38"/>
    <w:rsid w:val="000931CF"/>
    <w:rsid w:val="00093C82"/>
    <w:rsid w:val="00093EBF"/>
    <w:rsid w:val="000961D8"/>
    <w:rsid w:val="000A23C5"/>
    <w:rsid w:val="000A3246"/>
    <w:rsid w:val="000A5DBD"/>
    <w:rsid w:val="000A6B4F"/>
    <w:rsid w:val="000B2B39"/>
    <w:rsid w:val="000B4267"/>
    <w:rsid w:val="000C0342"/>
    <w:rsid w:val="000C396F"/>
    <w:rsid w:val="000C4EFC"/>
    <w:rsid w:val="000C5737"/>
    <w:rsid w:val="000C58A1"/>
    <w:rsid w:val="000D2144"/>
    <w:rsid w:val="000D2B63"/>
    <w:rsid w:val="000D2D05"/>
    <w:rsid w:val="000D3A55"/>
    <w:rsid w:val="000E09F3"/>
    <w:rsid w:val="000E155B"/>
    <w:rsid w:val="000E1F3E"/>
    <w:rsid w:val="000E2F5A"/>
    <w:rsid w:val="000F041A"/>
    <w:rsid w:val="000F362B"/>
    <w:rsid w:val="000F5C86"/>
    <w:rsid w:val="000F7CA4"/>
    <w:rsid w:val="001003AF"/>
    <w:rsid w:val="00101237"/>
    <w:rsid w:val="001034C6"/>
    <w:rsid w:val="00105EB0"/>
    <w:rsid w:val="00106DEB"/>
    <w:rsid w:val="0010730A"/>
    <w:rsid w:val="00114AC0"/>
    <w:rsid w:val="00116A4A"/>
    <w:rsid w:val="001205B0"/>
    <w:rsid w:val="001237B3"/>
    <w:rsid w:val="00124A3F"/>
    <w:rsid w:val="00132DCA"/>
    <w:rsid w:val="0013464C"/>
    <w:rsid w:val="00146661"/>
    <w:rsid w:val="00150FE5"/>
    <w:rsid w:val="00160011"/>
    <w:rsid w:val="001609B0"/>
    <w:rsid w:val="001700C8"/>
    <w:rsid w:val="0017076E"/>
    <w:rsid w:val="00173817"/>
    <w:rsid w:val="001743EF"/>
    <w:rsid w:val="001749A9"/>
    <w:rsid w:val="0017543D"/>
    <w:rsid w:val="00184466"/>
    <w:rsid w:val="0019425F"/>
    <w:rsid w:val="001968BA"/>
    <w:rsid w:val="001A1BE6"/>
    <w:rsid w:val="001B095F"/>
    <w:rsid w:val="001B13BC"/>
    <w:rsid w:val="001B2C4C"/>
    <w:rsid w:val="001C0313"/>
    <w:rsid w:val="001C2AD5"/>
    <w:rsid w:val="001C3B65"/>
    <w:rsid w:val="001D3D8C"/>
    <w:rsid w:val="001D4518"/>
    <w:rsid w:val="001D4B15"/>
    <w:rsid w:val="001D6837"/>
    <w:rsid w:val="001E38FE"/>
    <w:rsid w:val="001E4BB9"/>
    <w:rsid w:val="001F3A0B"/>
    <w:rsid w:val="001F6DA5"/>
    <w:rsid w:val="00202173"/>
    <w:rsid w:val="0020613D"/>
    <w:rsid w:val="00211C96"/>
    <w:rsid w:val="0021368C"/>
    <w:rsid w:val="00214F79"/>
    <w:rsid w:val="002214CF"/>
    <w:rsid w:val="002240FF"/>
    <w:rsid w:val="00224EE7"/>
    <w:rsid w:val="00232C69"/>
    <w:rsid w:val="00236475"/>
    <w:rsid w:val="00241479"/>
    <w:rsid w:val="00246732"/>
    <w:rsid w:val="002472A4"/>
    <w:rsid w:val="00257414"/>
    <w:rsid w:val="00263B78"/>
    <w:rsid w:val="00265C1E"/>
    <w:rsid w:val="002701AF"/>
    <w:rsid w:val="00275D37"/>
    <w:rsid w:val="00280358"/>
    <w:rsid w:val="002918A9"/>
    <w:rsid w:val="0029523D"/>
    <w:rsid w:val="0029533B"/>
    <w:rsid w:val="002A008D"/>
    <w:rsid w:val="002A35D7"/>
    <w:rsid w:val="002A5906"/>
    <w:rsid w:val="002A6C83"/>
    <w:rsid w:val="002B4E6B"/>
    <w:rsid w:val="002C7C92"/>
    <w:rsid w:val="002E267A"/>
    <w:rsid w:val="002E4E14"/>
    <w:rsid w:val="002F6EA2"/>
    <w:rsid w:val="00300BE0"/>
    <w:rsid w:val="003049BC"/>
    <w:rsid w:val="00306FC5"/>
    <w:rsid w:val="003114A1"/>
    <w:rsid w:val="003164B0"/>
    <w:rsid w:val="00320737"/>
    <w:rsid w:val="003247C0"/>
    <w:rsid w:val="00324933"/>
    <w:rsid w:val="00331393"/>
    <w:rsid w:val="00332548"/>
    <w:rsid w:val="003334E5"/>
    <w:rsid w:val="00341E53"/>
    <w:rsid w:val="00345042"/>
    <w:rsid w:val="00345371"/>
    <w:rsid w:val="0036409E"/>
    <w:rsid w:val="00366E8E"/>
    <w:rsid w:val="00370B3F"/>
    <w:rsid w:val="00370B75"/>
    <w:rsid w:val="003728F5"/>
    <w:rsid w:val="00391DEF"/>
    <w:rsid w:val="0039323D"/>
    <w:rsid w:val="00394449"/>
    <w:rsid w:val="00394750"/>
    <w:rsid w:val="00396F7F"/>
    <w:rsid w:val="003A44FB"/>
    <w:rsid w:val="003B1E6C"/>
    <w:rsid w:val="003B2F13"/>
    <w:rsid w:val="003B4FFB"/>
    <w:rsid w:val="003C7211"/>
    <w:rsid w:val="003D32AF"/>
    <w:rsid w:val="003D4177"/>
    <w:rsid w:val="003D5E29"/>
    <w:rsid w:val="003E10C5"/>
    <w:rsid w:val="003E4424"/>
    <w:rsid w:val="003E502C"/>
    <w:rsid w:val="003E50CE"/>
    <w:rsid w:val="003F4200"/>
    <w:rsid w:val="003F57E3"/>
    <w:rsid w:val="003F64D0"/>
    <w:rsid w:val="004021C3"/>
    <w:rsid w:val="0040302F"/>
    <w:rsid w:val="004109B1"/>
    <w:rsid w:val="00412528"/>
    <w:rsid w:val="00420352"/>
    <w:rsid w:val="00424DDE"/>
    <w:rsid w:val="00425FAE"/>
    <w:rsid w:val="0043209D"/>
    <w:rsid w:val="004325BB"/>
    <w:rsid w:val="00437CCE"/>
    <w:rsid w:val="0044448B"/>
    <w:rsid w:val="00450170"/>
    <w:rsid w:val="004511B6"/>
    <w:rsid w:val="004528E7"/>
    <w:rsid w:val="00453D43"/>
    <w:rsid w:val="00464C02"/>
    <w:rsid w:val="00472CF1"/>
    <w:rsid w:val="00474F8E"/>
    <w:rsid w:val="00483E3D"/>
    <w:rsid w:val="004868C5"/>
    <w:rsid w:val="00492041"/>
    <w:rsid w:val="004925C9"/>
    <w:rsid w:val="004A48ED"/>
    <w:rsid w:val="004A6C29"/>
    <w:rsid w:val="004A7B85"/>
    <w:rsid w:val="004B05FE"/>
    <w:rsid w:val="004B1F95"/>
    <w:rsid w:val="004B1F9B"/>
    <w:rsid w:val="004B55E7"/>
    <w:rsid w:val="004C0A68"/>
    <w:rsid w:val="004C0EC8"/>
    <w:rsid w:val="004C1CAA"/>
    <w:rsid w:val="004C6F18"/>
    <w:rsid w:val="004D1486"/>
    <w:rsid w:val="004D1B9D"/>
    <w:rsid w:val="004D6789"/>
    <w:rsid w:val="004D74EA"/>
    <w:rsid w:val="004E140F"/>
    <w:rsid w:val="004E5748"/>
    <w:rsid w:val="004E63BC"/>
    <w:rsid w:val="004F0D4F"/>
    <w:rsid w:val="005059D4"/>
    <w:rsid w:val="00512F9F"/>
    <w:rsid w:val="00515635"/>
    <w:rsid w:val="00521B8D"/>
    <w:rsid w:val="00524B12"/>
    <w:rsid w:val="00527170"/>
    <w:rsid w:val="00533711"/>
    <w:rsid w:val="00551E89"/>
    <w:rsid w:val="005530CA"/>
    <w:rsid w:val="00553DE4"/>
    <w:rsid w:val="00561307"/>
    <w:rsid w:val="00563DD6"/>
    <w:rsid w:val="00566C70"/>
    <w:rsid w:val="00567635"/>
    <w:rsid w:val="005838FD"/>
    <w:rsid w:val="00584A46"/>
    <w:rsid w:val="00590C0C"/>
    <w:rsid w:val="00590D2D"/>
    <w:rsid w:val="00591D54"/>
    <w:rsid w:val="005A4752"/>
    <w:rsid w:val="005A7DA5"/>
    <w:rsid w:val="005B576C"/>
    <w:rsid w:val="005B6A21"/>
    <w:rsid w:val="005C2419"/>
    <w:rsid w:val="005D51FD"/>
    <w:rsid w:val="005D6225"/>
    <w:rsid w:val="005E040E"/>
    <w:rsid w:val="005E5692"/>
    <w:rsid w:val="005F3AD5"/>
    <w:rsid w:val="005F4030"/>
    <w:rsid w:val="00602C78"/>
    <w:rsid w:val="00603416"/>
    <w:rsid w:val="0060511D"/>
    <w:rsid w:val="006055E8"/>
    <w:rsid w:val="00605F37"/>
    <w:rsid w:val="00610CE3"/>
    <w:rsid w:val="00611B95"/>
    <w:rsid w:val="00612B9C"/>
    <w:rsid w:val="00614370"/>
    <w:rsid w:val="00627E7F"/>
    <w:rsid w:val="0064679E"/>
    <w:rsid w:val="00647FAC"/>
    <w:rsid w:val="006533B0"/>
    <w:rsid w:val="00677B24"/>
    <w:rsid w:val="00677D11"/>
    <w:rsid w:val="00680296"/>
    <w:rsid w:val="00681894"/>
    <w:rsid w:val="006867D7"/>
    <w:rsid w:val="006916FB"/>
    <w:rsid w:val="006929DD"/>
    <w:rsid w:val="00692CA2"/>
    <w:rsid w:val="00693C4C"/>
    <w:rsid w:val="0069550E"/>
    <w:rsid w:val="00695AA0"/>
    <w:rsid w:val="0069711A"/>
    <w:rsid w:val="006A511C"/>
    <w:rsid w:val="006A5323"/>
    <w:rsid w:val="006A6D0D"/>
    <w:rsid w:val="006B1AFC"/>
    <w:rsid w:val="006B417C"/>
    <w:rsid w:val="006B58F6"/>
    <w:rsid w:val="006B59FD"/>
    <w:rsid w:val="006D043E"/>
    <w:rsid w:val="006D7DCF"/>
    <w:rsid w:val="006E2C6A"/>
    <w:rsid w:val="006E7EBA"/>
    <w:rsid w:val="006F2DBA"/>
    <w:rsid w:val="006F46D7"/>
    <w:rsid w:val="007057DD"/>
    <w:rsid w:val="00706435"/>
    <w:rsid w:val="00711B72"/>
    <w:rsid w:val="0071232E"/>
    <w:rsid w:val="007217DD"/>
    <w:rsid w:val="0072400F"/>
    <w:rsid w:val="007308ED"/>
    <w:rsid w:val="0073205D"/>
    <w:rsid w:val="00737EC5"/>
    <w:rsid w:val="00746469"/>
    <w:rsid w:val="0074799E"/>
    <w:rsid w:val="007515C1"/>
    <w:rsid w:val="00751836"/>
    <w:rsid w:val="00756136"/>
    <w:rsid w:val="00757876"/>
    <w:rsid w:val="00757F5C"/>
    <w:rsid w:val="0076108A"/>
    <w:rsid w:val="00763376"/>
    <w:rsid w:val="00774D9B"/>
    <w:rsid w:val="00781A21"/>
    <w:rsid w:val="007868D5"/>
    <w:rsid w:val="007A1840"/>
    <w:rsid w:val="007A1DE1"/>
    <w:rsid w:val="007A23CD"/>
    <w:rsid w:val="007A475F"/>
    <w:rsid w:val="007A64DD"/>
    <w:rsid w:val="007B098A"/>
    <w:rsid w:val="007D4791"/>
    <w:rsid w:val="007D5EAC"/>
    <w:rsid w:val="007D5EB1"/>
    <w:rsid w:val="007D7A0B"/>
    <w:rsid w:val="007E17CB"/>
    <w:rsid w:val="007E51CB"/>
    <w:rsid w:val="008008D9"/>
    <w:rsid w:val="008077B8"/>
    <w:rsid w:val="0081704B"/>
    <w:rsid w:val="00822B58"/>
    <w:rsid w:val="00823032"/>
    <w:rsid w:val="008238F0"/>
    <w:rsid w:val="00825E97"/>
    <w:rsid w:val="008261DA"/>
    <w:rsid w:val="00834BCE"/>
    <w:rsid w:val="008644F6"/>
    <w:rsid w:val="008720EF"/>
    <w:rsid w:val="00872C17"/>
    <w:rsid w:val="00882780"/>
    <w:rsid w:val="008866D5"/>
    <w:rsid w:val="00886F6C"/>
    <w:rsid w:val="00890DF0"/>
    <w:rsid w:val="0089456D"/>
    <w:rsid w:val="008A1D65"/>
    <w:rsid w:val="008A261A"/>
    <w:rsid w:val="008B7924"/>
    <w:rsid w:val="008D117E"/>
    <w:rsid w:val="008D5734"/>
    <w:rsid w:val="008E05C3"/>
    <w:rsid w:val="008E3111"/>
    <w:rsid w:val="008F1080"/>
    <w:rsid w:val="008F10E8"/>
    <w:rsid w:val="008F4A60"/>
    <w:rsid w:val="00900C12"/>
    <w:rsid w:val="009067E9"/>
    <w:rsid w:val="00906D1F"/>
    <w:rsid w:val="009135DB"/>
    <w:rsid w:val="00934C80"/>
    <w:rsid w:val="009352B9"/>
    <w:rsid w:val="00935A5A"/>
    <w:rsid w:val="00936680"/>
    <w:rsid w:val="00937B19"/>
    <w:rsid w:val="00940A16"/>
    <w:rsid w:val="009562E9"/>
    <w:rsid w:val="00956861"/>
    <w:rsid w:val="00972676"/>
    <w:rsid w:val="009726D0"/>
    <w:rsid w:val="00974ADC"/>
    <w:rsid w:val="00974D20"/>
    <w:rsid w:val="00977E8B"/>
    <w:rsid w:val="00985256"/>
    <w:rsid w:val="009858CF"/>
    <w:rsid w:val="00996D9C"/>
    <w:rsid w:val="009B3E2A"/>
    <w:rsid w:val="009B5C1A"/>
    <w:rsid w:val="009C3911"/>
    <w:rsid w:val="009C3DB9"/>
    <w:rsid w:val="009C4388"/>
    <w:rsid w:val="009C5620"/>
    <w:rsid w:val="009C737A"/>
    <w:rsid w:val="009D312B"/>
    <w:rsid w:val="009D5D41"/>
    <w:rsid w:val="009D77A2"/>
    <w:rsid w:val="009E2F0F"/>
    <w:rsid w:val="009E3C6A"/>
    <w:rsid w:val="009F5586"/>
    <w:rsid w:val="00A0141F"/>
    <w:rsid w:val="00A15547"/>
    <w:rsid w:val="00A20810"/>
    <w:rsid w:val="00A25C28"/>
    <w:rsid w:val="00A313CC"/>
    <w:rsid w:val="00A3709D"/>
    <w:rsid w:val="00A402E2"/>
    <w:rsid w:val="00A44361"/>
    <w:rsid w:val="00A456E4"/>
    <w:rsid w:val="00A52678"/>
    <w:rsid w:val="00A614E0"/>
    <w:rsid w:val="00A64AFD"/>
    <w:rsid w:val="00A70E70"/>
    <w:rsid w:val="00A7180F"/>
    <w:rsid w:val="00A8302B"/>
    <w:rsid w:val="00A90EA7"/>
    <w:rsid w:val="00A90EEE"/>
    <w:rsid w:val="00A9735E"/>
    <w:rsid w:val="00AA0CA9"/>
    <w:rsid w:val="00AA306B"/>
    <w:rsid w:val="00AA4B01"/>
    <w:rsid w:val="00AA5A4E"/>
    <w:rsid w:val="00AA7399"/>
    <w:rsid w:val="00AA7471"/>
    <w:rsid w:val="00AB20E2"/>
    <w:rsid w:val="00AD2AAF"/>
    <w:rsid w:val="00AD2BEE"/>
    <w:rsid w:val="00AD484E"/>
    <w:rsid w:val="00AD50D8"/>
    <w:rsid w:val="00AD6D79"/>
    <w:rsid w:val="00AD7406"/>
    <w:rsid w:val="00AE334E"/>
    <w:rsid w:val="00AF0ECC"/>
    <w:rsid w:val="00AF12DC"/>
    <w:rsid w:val="00B02BD3"/>
    <w:rsid w:val="00B040FA"/>
    <w:rsid w:val="00B0440C"/>
    <w:rsid w:val="00B055A2"/>
    <w:rsid w:val="00B13048"/>
    <w:rsid w:val="00B2070C"/>
    <w:rsid w:val="00B544BB"/>
    <w:rsid w:val="00B605C6"/>
    <w:rsid w:val="00B60F6B"/>
    <w:rsid w:val="00B642B7"/>
    <w:rsid w:val="00B7060F"/>
    <w:rsid w:val="00B729EC"/>
    <w:rsid w:val="00B72C8C"/>
    <w:rsid w:val="00B76B3B"/>
    <w:rsid w:val="00B76BE5"/>
    <w:rsid w:val="00B81200"/>
    <w:rsid w:val="00B903C6"/>
    <w:rsid w:val="00B90F5D"/>
    <w:rsid w:val="00B94FA1"/>
    <w:rsid w:val="00B97724"/>
    <w:rsid w:val="00BB1703"/>
    <w:rsid w:val="00BB19ED"/>
    <w:rsid w:val="00BB5B4C"/>
    <w:rsid w:val="00BC0C4C"/>
    <w:rsid w:val="00BC110C"/>
    <w:rsid w:val="00BC2CA4"/>
    <w:rsid w:val="00BE4775"/>
    <w:rsid w:val="00BE787C"/>
    <w:rsid w:val="00C006B6"/>
    <w:rsid w:val="00C007BA"/>
    <w:rsid w:val="00C0769D"/>
    <w:rsid w:val="00C149AF"/>
    <w:rsid w:val="00C23E57"/>
    <w:rsid w:val="00C240EF"/>
    <w:rsid w:val="00C26328"/>
    <w:rsid w:val="00C2790C"/>
    <w:rsid w:val="00C47173"/>
    <w:rsid w:val="00C505E9"/>
    <w:rsid w:val="00C63CCB"/>
    <w:rsid w:val="00C64136"/>
    <w:rsid w:val="00C6506B"/>
    <w:rsid w:val="00C66CAF"/>
    <w:rsid w:val="00C708FA"/>
    <w:rsid w:val="00C80FB3"/>
    <w:rsid w:val="00C8574B"/>
    <w:rsid w:val="00C95F89"/>
    <w:rsid w:val="00C9720E"/>
    <w:rsid w:val="00C97DF1"/>
    <w:rsid w:val="00CA303D"/>
    <w:rsid w:val="00CA3722"/>
    <w:rsid w:val="00CB07C8"/>
    <w:rsid w:val="00CB31A0"/>
    <w:rsid w:val="00CB6233"/>
    <w:rsid w:val="00CC08F0"/>
    <w:rsid w:val="00CC20DA"/>
    <w:rsid w:val="00CC2D15"/>
    <w:rsid w:val="00CC4159"/>
    <w:rsid w:val="00CE45B6"/>
    <w:rsid w:val="00CE4772"/>
    <w:rsid w:val="00CF5DD2"/>
    <w:rsid w:val="00D005E6"/>
    <w:rsid w:val="00D0086B"/>
    <w:rsid w:val="00D04E5C"/>
    <w:rsid w:val="00D05816"/>
    <w:rsid w:val="00D10048"/>
    <w:rsid w:val="00D1010B"/>
    <w:rsid w:val="00D11784"/>
    <w:rsid w:val="00D1599A"/>
    <w:rsid w:val="00D21DBE"/>
    <w:rsid w:val="00D2443F"/>
    <w:rsid w:val="00D423C6"/>
    <w:rsid w:val="00D43000"/>
    <w:rsid w:val="00D56044"/>
    <w:rsid w:val="00D57117"/>
    <w:rsid w:val="00D62082"/>
    <w:rsid w:val="00D70A0A"/>
    <w:rsid w:val="00D73559"/>
    <w:rsid w:val="00D74F8D"/>
    <w:rsid w:val="00D84F33"/>
    <w:rsid w:val="00D85C8C"/>
    <w:rsid w:val="00D87492"/>
    <w:rsid w:val="00D9156C"/>
    <w:rsid w:val="00D9324E"/>
    <w:rsid w:val="00DB348B"/>
    <w:rsid w:val="00DC0FB0"/>
    <w:rsid w:val="00DC1C4F"/>
    <w:rsid w:val="00DC2F59"/>
    <w:rsid w:val="00DC7184"/>
    <w:rsid w:val="00DD02FB"/>
    <w:rsid w:val="00DD0D01"/>
    <w:rsid w:val="00DD1E0B"/>
    <w:rsid w:val="00DD79F2"/>
    <w:rsid w:val="00DE0E02"/>
    <w:rsid w:val="00DE370C"/>
    <w:rsid w:val="00DF0660"/>
    <w:rsid w:val="00DF39EC"/>
    <w:rsid w:val="00DF43DE"/>
    <w:rsid w:val="00E0240A"/>
    <w:rsid w:val="00E030EB"/>
    <w:rsid w:val="00E04B29"/>
    <w:rsid w:val="00E110BB"/>
    <w:rsid w:val="00E14F15"/>
    <w:rsid w:val="00E35BC0"/>
    <w:rsid w:val="00E360F2"/>
    <w:rsid w:val="00E50606"/>
    <w:rsid w:val="00E53B6E"/>
    <w:rsid w:val="00E61697"/>
    <w:rsid w:val="00E62657"/>
    <w:rsid w:val="00E64A58"/>
    <w:rsid w:val="00E71493"/>
    <w:rsid w:val="00E720A0"/>
    <w:rsid w:val="00E81D26"/>
    <w:rsid w:val="00E81E4D"/>
    <w:rsid w:val="00E87686"/>
    <w:rsid w:val="00E87C95"/>
    <w:rsid w:val="00E95B62"/>
    <w:rsid w:val="00E97D95"/>
    <w:rsid w:val="00EA4AB3"/>
    <w:rsid w:val="00EB4C8E"/>
    <w:rsid w:val="00EC3DC6"/>
    <w:rsid w:val="00EC5163"/>
    <w:rsid w:val="00ED6244"/>
    <w:rsid w:val="00EE0779"/>
    <w:rsid w:val="00EE1F74"/>
    <w:rsid w:val="00EE6C95"/>
    <w:rsid w:val="00EF44F6"/>
    <w:rsid w:val="00EF50C3"/>
    <w:rsid w:val="00EF7504"/>
    <w:rsid w:val="00F01EE3"/>
    <w:rsid w:val="00F03F9F"/>
    <w:rsid w:val="00F0403B"/>
    <w:rsid w:val="00F1129B"/>
    <w:rsid w:val="00F21126"/>
    <w:rsid w:val="00F22F28"/>
    <w:rsid w:val="00F32251"/>
    <w:rsid w:val="00F40751"/>
    <w:rsid w:val="00F42532"/>
    <w:rsid w:val="00F50FD3"/>
    <w:rsid w:val="00F60ADB"/>
    <w:rsid w:val="00F64E57"/>
    <w:rsid w:val="00F71909"/>
    <w:rsid w:val="00F73B17"/>
    <w:rsid w:val="00F73F1D"/>
    <w:rsid w:val="00F7774A"/>
    <w:rsid w:val="00F809A0"/>
    <w:rsid w:val="00F87D9F"/>
    <w:rsid w:val="00F9070A"/>
    <w:rsid w:val="00F931B6"/>
    <w:rsid w:val="00F9773A"/>
    <w:rsid w:val="00FA5ADB"/>
    <w:rsid w:val="00FA66CD"/>
    <w:rsid w:val="00FB0D76"/>
    <w:rsid w:val="00FB2C3C"/>
    <w:rsid w:val="00FB7F2E"/>
    <w:rsid w:val="00FC2FAE"/>
    <w:rsid w:val="00FC6F28"/>
    <w:rsid w:val="00FD3E46"/>
    <w:rsid w:val="00FD4A83"/>
    <w:rsid w:val="00FD5D0A"/>
    <w:rsid w:val="00FE04BD"/>
    <w:rsid w:val="00FE1B2D"/>
    <w:rsid w:val="00FE2DEE"/>
    <w:rsid w:val="00FE5439"/>
    <w:rsid w:val="00FE7051"/>
    <w:rsid w:val="00FF15EC"/>
    <w:rsid w:val="00FF27D8"/>
    <w:rsid w:val="00FF62A7"/>
    <w:rsid w:val="00FF6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611E"/>
  <w15:chartTrackingRefBased/>
  <w15:docId w15:val="{DB2F9C01-5138-416E-A429-BAAA5DE5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971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711A"/>
    <w:rPr>
      <w:sz w:val="20"/>
      <w:szCs w:val="20"/>
    </w:rPr>
  </w:style>
  <w:style w:type="character" w:styleId="Odwoanieprzypisudolnego">
    <w:name w:val="footnote reference"/>
    <w:basedOn w:val="Domylnaczcionkaakapitu"/>
    <w:uiPriority w:val="99"/>
    <w:semiHidden/>
    <w:unhideWhenUsed/>
    <w:rsid w:val="0069711A"/>
    <w:rPr>
      <w:vertAlign w:val="superscript"/>
    </w:rPr>
  </w:style>
  <w:style w:type="character" w:styleId="Hipercze">
    <w:name w:val="Hyperlink"/>
    <w:basedOn w:val="Domylnaczcionkaakapitu"/>
    <w:uiPriority w:val="99"/>
    <w:semiHidden/>
    <w:unhideWhenUsed/>
    <w:rsid w:val="00807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1legalis-1pl-100bd6b53288f.han3.uci.umk.pl/document-view.seam?documentId=mfrxilrsgm4tknboobqxalryheytk&amp;refSource=hypdec" TargetMode="External"/><Relationship Id="rId3" Type="http://schemas.openxmlformats.org/officeDocument/2006/relationships/settings" Target="settings.xml"/><Relationship Id="rId7" Type="http://schemas.openxmlformats.org/officeDocument/2006/relationships/hyperlink" Target="https://sip-1legalis-1pl-100bd6b53288f.han3.uci.umk.pl/document-view.seam?documentId=mfrxilrsgm4tknboobqxalrvgeztima&amp;refSource=hypde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BE1FC-FFAD-4CFB-8B24-30577512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1</Pages>
  <Words>3837</Words>
  <Characters>23023</Characters>
  <Application>Microsoft Office Word</Application>
  <DocSecurity>0</DocSecurity>
  <Lines>191</Lines>
  <Paragraphs>53</Paragraphs>
  <ScaleCrop>false</ScaleCrop>
  <Company/>
  <LinksUpToDate>false</LinksUpToDate>
  <CharactersWithSpaces>26807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Lachowski</dc:creator>
  <cp:keywords/>
  <dc:description/>
  <cp:lastModifiedBy>Wiraszka-Bereza Beata  (DLPK)</cp:lastModifiedBy>
  <cp:revision>570</cp:revision>
  <cp:lastPrinted>2024-06-16T10:05:00Z</cp:lastPrinted>
  <dcterms:created xsi:type="dcterms:W3CDTF">2024-06-02T10:14:00Z</dcterms:created>
  <dcterms:modified xsi:type="dcterms:W3CDTF">2024-07-03T13:30:00Z</dcterms:modified>
</cp:coreProperties>
</file>