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9"/>
      </w:tblGrid>
      <w:tr w:rsidR="003F6E40" w:rsidRPr="00174E6E" w14:paraId="780B4006" w14:textId="77777777" w:rsidTr="5F2D35BD">
        <w:trPr>
          <w:jc w:val="center"/>
        </w:trPr>
        <w:tc>
          <w:tcPr>
            <w:tcW w:w="6679" w:type="dxa"/>
          </w:tcPr>
          <w:p w14:paraId="062FEFB2" w14:textId="17403FAE" w:rsidR="003F6E40" w:rsidRPr="00DE7B49" w:rsidRDefault="003F6E40" w:rsidP="5F2D35BD">
            <w:pPr>
              <w:suppressAutoHyphens/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4"/>
                <w:szCs w:val="24"/>
                <w:lang w:val="en-US" w:eastAsia="ar-SA"/>
              </w:rPr>
            </w:pPr>
            <w:r w:rsidRPr="00DE7B49">
              <w:rPr>
                <w:rFonts w:ascii="Lato" w:eastAsia="Times New Roman" w:hAnsi="Lato" w:cs="Arial"/>
                <w:b/>
                <w:bCs/>
                <w:kern w:val="1"/>
                <w:sz w:val="24"/>
                <w:szCs w:val="24"/>
                <w:lang w:val="en-US" w:eastAsia="ar-SA"/>
              </w:rPr>
              <w:t>MINISTERSTWO  OBRONY  NARODOWEJ</w:t>
            </w:r>
          </w:p>
        </w:tc>
      </w:tr>
      <w:tr w:rsidR="003F6E40" w:rsidRPr="00174E6E" w14:paraId="4B0E51B8" w14:textId="77777777" w:rsidTr="5F2D35BD">
        <w:trPr>
          <w:jc w:val="center"/>
        </w:trPr>
        <w:tc>
          <w:tcPr>
            <w:tcW w:w="6679" w:type="dxa"/>
          </w:tcPr>
          <w:p w14:paraId="62A42781" w14:textId="2681312B" w:rsidR="003F6E40" w:rsidRPr="00DE7B49" w:rsidRDefault="5F2D35BD" w:rsidP="5F2D35BD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bookmarkStart w:id="0" w:name="_Toc92178256"/>
            <w:r w:rsidRPr="00DE7B49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Departament Innowacji</w:t>
            </w:r>
            <w:bookmarkEnd w:id="0"/>
          </w:p>
          <w:p w14:paraId="454807C0" w14:textId="77777777" w:rsidR="0053394E" w:rsidRPr="00DE7B49" w:rsidRDefault="0053394E" w:rsidP="00682B4A">
            <w:pPr>
              <w:jc w:val="center"/>
              <w:rPr>
                <w:rFonts w:ascii="Lato" w:hAnsi="Lato" w:cs="Arial"/>
                <w:b/>
                <w:sz w:val="24"/>
                <w:szCs w:val="24"/>
                <w:lang w:eastAsia="ar-SA"/>
              </w:rPr>
            </w:pPr>
          </w:p>
          <w:p w14:paraId="4E8C6D7C" w14:textId="77777777" w:rsidR="003F6E40" w:rsidRPr="00DE7B49" w:rsidRDefault="003F6E40" w:rsidP="003F6E40">
            <w:pPr>
              <w:keepNext/>
              <w:tabs>
                <w:tab w:val="num" w:pos="0"/>
              </w:tabs>
              <w:suppressAutoHyphens/>
              <w:spacing w:before="120" w:after="0" w:line="240" w:lineRule="auto"/>
              <w:jc w:val="center"/>
              <w:outlineLvl w:val="0"/>
              <w:rPr>
                <w:rFonts w:ascii="Lato" w:eastAsia="Times New Roman" w:hAnsi="Lato" w:cs="Arial"/>
                <w:b/>
                <w:kern w:val="1"/>
                <w:sz w:val="24"/>
                <w:szCs w:val="24"/>
                <w:lang w:val="en-US" w:eastAsia="ar-SA"/>
              </w:rPr>
            </w:pPr>
          </w:p>
          <w:p w14:paraId="7C50FDEB" w14:textId="77777777" w:rsidR="003F6E40" w:rsidRPr="00DE7B49" w:rsidRDefault="003F6E40" w:rsidP="003F6E40">
            <w:pPr>
              <w:keepNext/>
              <w:tabs>
                <w:tab w:val="num" w:pos="0"/>
              </w:tabs>
              <w:suppressAutoHyphens/>
              <w:spacing w:before="120" w:after="0" w:line="240" w:lineRule="auto"/>
              <w:jc w:val="center"/>
              <w:outlineLvl w:val="0"/>
              <w:rPr>
                <w:rFonts w:ascii="Lato" w:eastAsia="Times New Roman" w:hAnsi="Lato" w:cs="Arial"/>
                <w:b/>
                <w:kern w:val="1"/>
                <w:sz w:val="24"/>
                <w:szCs w:val="24"/>
                <w:lang w:val="en-US" w:eastAsia="ar-SA"/>
              </w:rPr>
            </w:pPr>
          </w:p>
          <w:p w14:paraId="4A2A1256" w14:textId="77777777" w:rsidR="003F6E40" w:rsidRPr="00DE7B49" w:rsidRDefault="003F6E40" w:rsidP="003F6E40">
            <w:pPr>
              <w:keepNext/>
              <w:tabs>
                <w:tab w:val="num" w:pos="0"/>
              </w:tabs>
              <w:suppressAutoHyphens/>
              <w:spacing w:before="120" w:after="0" w:line="240" w:lineRule="auto"/>
              <w:jc w:val="center"/>
              <w:outlineLvl w:val="0"/>
              <w:rPr>
                <w:rFonts w:ascii="Lato" w:eastAsia="Times New Roman" w:hAnsi="Lato" w:cs="Arial"/>
                <w:b/>
                <w:kern w:val="1"/>
                <w:sz w:val="24"/>
                <w:szCs w:val="24"/>
                <w:lang w:val="en-US" w:eastAsia="ar-SA"/>
              </w:rPr>
            </w:pPr>
          </w:p>
        </w:tc>
      </w:tr>
    </w:tbl>
    <w:p w14:paraId="6B3E99D5" w14:textId="284C43F0" w:rsidR="003F6E40" w:rsidRPr="00DE7B49" w:rsidRDefault="0006677C" w:rsidP="00F448CC">
      <w:pPr>
        <w:spacing w:after="0"/>
        <w:jc w:val="center"/>
        <w:rPr>
          <w:rFonts w:ascii="Lato" w:hAnsi="Lato" w:cs="Arial"/>
        </w:rPr>
      </w:pPr>
      <w:r w:rsidRPr="00DE7B49">
        <w:rPr>
          <w:rFonts w:ascii="Lato" w:hAnsi="Lato" w:cs="Arial"/>
        </w:rPr>
        <w:tab/>
      </w:r>
      <w:r w:rsidRPr="00DE7B49">
        <w:rPr>
          <w:rFonts w:ascii="Lato" w:hAnsi="Lato" w:cs="Arial"/>
        </w:rPr>
        <w:tab/>
      </w:r>
    </w:p>
    <w:p w14:paraId="5BA083E0" w14:textId="77777777" w:rsidR="003F6E40" w:rsidRPr="00DE7B49" w:rsidRDefault="003F6E40">
      <w:pPr>
        <w:rPr>
          <w:rFonts w:ascii="Lato" w:hAnsi="Lato" w:cs="Arial"/>
        </w:rPr>
      </w:pPr>
    </w:p>
    <w:p w14:paraId="31B69C1C" w14:textId="6C70871C" w:rsidR="000C2508" w:rsidRPr="00DE7B49" w:rsidRDefault="000C2508" w:rsidP="0010226B">
      <w:pPr>
        <w:jc w:val="center"/>
        <w:rPr>
          <w:rFonts w:ascii="Lato" w:hAnsi="Lato" w:cs="Arial"/>
          <w:b/>
          <w:bCs/>
          <w:sz w:val="32"/>
          <w:szCs w:val="32"/>
        </w:rPr>
      </w:pPr>
      <w:r w:rsidRPr="00DE7B49">
        <w:rPr>
          <w:rFonts w:ascii="Lato" w:hAnsi="Lato" w:cs="Arial"/>
          <w:b/>
          <w:bCs/>
          <w:sz w:val="32"/>
          <w:szCs w:val="32"/>
        </w:rPr>
        <w:t>Materiał informacyjny</w:t>
      </w:r>
      <w:r w:rsidR="0010226B" w:rsidRPr="00DE7B49">
        <w:rPr>
          <w:rFonts w:ascii="Lato" w:hAnsi="Lato" w:cs="Arial"/>
          <w:b/>
          <w:bCs/>
          <w:sz w:val="32"/>
          <w:szCs w:val="32"/>
        </w:rPr>
        <w:t xml:space="preserve"> </w:t>
      </w:r>
      <w:r w:rsidR="00F67A76" w:rsidRPr="00DE7B49">
        <w:rPr>
          <w:rFonts w:ascii="Lato" w:hAnsi="Lato" w:cs="Arial"/>
          <w:b/>
          <w:bCs/>
          <w:sz w:val="32"/>
          <w:szCs w:val="32"/>
        </w:rPr>
        <w:br/>
      </w:r>
      <w:r w:rsidRPr="00DE7B49">
        <w:rPr>
          <w:rFonts w:ascii="Lato" w:hAnsi="Lato" w:cs="Arial"/>
          <w:b/>
          <w:bCs/>
          <w:sz w:val="32"/>
          <w:szCs w:val="32"/>
        </w:rPr>
        <w:t xml:space="preserve">dla polskich podmiotów naukowo-badawczych </w:t>
      </w:r>
      <w:r w:rsidR="00F67A76" w:rsidRPr="00DE7B49">
        <w:rPr>
          <w:rFonts w:ascii="Lato" w:hAnsi="Lato" w:cs="Arial"/>
          <w:b/>
          <w:bCs/>
          <w:sz w:val="32"/>
          <w:szCs w:val="32"/>
        </w:rPr>
        <w:br/>
      </w:r>
      <w:r w:rsidRPr="00DE7B49">
        <w:rPr>
          <w:rFonts w:ascii="Lato" w:hAnsi="Lato" w:cs="Arial"/>
          <w:b/>
          <w:bCs/>
          <w:sz w:val="32"/>
          <w:szCs w:val="32"/>
        </w:rPr>
        <w:t>i przemysłowych</w:t>
      </w:r>
      <w:r w:rsidR="0010226B" w:rsidRPr="00DE7B49">
        <w:rPr>
          <w:rFonts w:ascii="Lato" w:hAnsi="Lato" w:cs="Arial"/>
          <w:b/>
          <w:bCs/>
          <w:sz w:val="32"/>
          <w:szCs w:val="32"/>
        </w:rPr>
        <w:t xml:space="preserve"> </w:t>
      </w:r>
      <w:r w:rsidR="004A18C7" w:rsidRPr="00DE7B49">
        <w:rPr>
          <w:rFonts w:ascii="Lato" w:hAnsi="Lato" w:cs="Arial"/>
          <w:b/>
          <w:bCs/>
          <w:sz w:val="32"/>
          <w:szCs w:val="32"/>
        </w:rPr>
        <w:t xml:space="preserve">na temat </w:t>
      </w:r>
      <w:r w:rsidR="00F67A76" w:rsidRPr="00DE7B49">
        <w:rPr>
          <w:rFonts w:ascii="Lato" w:hAnsi="Lato" w:cs="Arial"/>
          <w:b/>
          <w:bCs/>
          <w:sz w:val="32"/>
          <w:szCs w:val="32"/>
        </w:rPr>
        <w:br/>
      </w:r>
      <w:r w:rsidRPr="00DE7B49">
        <w:rPr>
          <w:rFonts w:ascii="Lato" w:hAnsi="Lato" w:cs="Arial"/>
          <w:b/>
          <w:bCs/>
          <w:sz w:val="32"/>
          <w:szCs w:val="32"/>
        </w:rPr>
        <w:t>Europejskiego Funduszu Obronnego</w:t>
      </w:r>
      <w:r w:rsidR="0010226B" w:rsidRPr="00DE7B49">
        <w:rPr>
          <w:rFonts w:ascii="Lato" w:hAnsi="Lato" w:cs="Arial"/>
          <w:b/>
          <w:bCs/>
          <w:sz w:val="32"/>
          <w:szCs w:val="32"/>
        </w:rPr>
        <w:t xml:space="preserve"> </w:t>
      </w:r>
      <w:r w:rsidRPr="00DE7B49">
        <w:rPr>
          <w:rFonts w:ascii="Lato" w:hAnsi="Lato" w:cs="Arial"/>
          <w:b/>
          <w:bCs/>
          <w:sz w:val="32"/>
          <w:szCs w:val="32"/>
        </w:rPr>
        <w:t xml:space="preserve">edycji </w:t>
      </w:r>
      <w:r w:rsidR="00EF5EA9" w:rsidRPr="00DE7B49">
        <w:rPr>
          <w:rFonts w:ascii="Lato" w:hAnsi="Lato" w:cs="Arial"/>
          <w:b/>
          <w:bCs/>
          <w:sz w:val="32"/>
          <w:szCs w:val="32"/>
        </w:rPr>
        <w:t>2026</w:t>
      </w:r>
    </w:p>
    <w:p w14:paraId="5927C35F" w14:textId="227DD33E" w:rsidR="005A0C87" w:rsidRPr="00DE7B49" w:rsidRDefault="005A0C87" w:rsidP="005A0C87">
      <w:pPr>
        <w:keepNext/>
        <w:numPr>
          <w:ilvl w:val="1"/>
          <w:numId w:val="0"/>
        </w:numPr>
        <w:suppressAutoHyphens/>
        <w:spacing w:after="0" w:line="276" w:lineRule="auto"/>
        <w:jc w:val="both"/>
        <w:outlineLvl w:val="1"/>
        <w:rPr>
          <w:rFonts w:ascii="Lato" w:hAnsi="Lato"/>
        </w:rPr>
      </w:pPr>
    </w:p>
    <w:p w14:paraId="501DB09C" w14:textId="77777777" w:rsidR="00F448CC" w:rsidRPr="00DE7B49" w:rsidRDefault="00F448CC" w:rsidP="005A0C87">
      <w:pPr>
        <w:keepNext/>
        <w:numPr>
          <w:ilvl w:val="1"/>
          <w:numId w:val="0"/>
        </w:numPr>
        <w:suppressAutoHyphens/>
        <w:spacing w:after="0" w:line="276" w:lineRule="auto"/>
        <w:jc w:val="both"/>
        <w:outlineLvl w:val="1"/>
        <w:rPr>
          <w:rFonts w:ascii="Lato" w:hAnsi="Lato"/>
        </w:rPr>
      </w:pPr>
    </w:p>
    <w:p w14:paraId="6D39A774" w14:textId="579455E9" w:rsidR="006D254C" w:rsidRPr="00DE7B49" w:rsidRDefault="006D254C">
      <w:pPr>
        <w:rPr>
          <w:rFonts w:ascii="Lato" w:hAnsi="Lato" w:cs="Arial"/>
        </w:rPr>
      </w:pPr>
    </w:p>
    <w:p w14:paraId="5504DD98" w14:textId="61EDE67B" w:rsidR="00C13BF1" w:rsidRPr="00DE7B49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36B5F539" w14:textId="77777777" w:rsidR="00C13BF1" w:rsidRPr="00DE7B49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7D8D5FD9" w14:textId="77777777" w:rsidR="00C13BF1" w:rsidRPr="00DE7B49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33A3075C" w14:textId="77777777" w:rsidR="00C13BF1" w:rsidRPr="00DE7B49" w:rsidRDefault="00C13BF1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105E3442" w14:textId="77777777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090787AB" w14:textId="794F18DE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00EC6DBD" w14:textId="77777777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093A8B22" w14:textId="77777777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25F855EB" w14:textId="55572058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0A80BB7F" w14:textId="07A59D5B" w:rsidR="005A0C87" w:rsidRPr="00DE7B49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77925198" w14:textId="4351347F" w:rsidR="005A0C87" w:rsidRPr="00DE7B49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1D57C4C8" w14:textId="4B24DB90" w:rsidR="005A0C87" w:rsidRPr="00DE7B49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6007F1E9" w14:textId="0358444F" w:rsidR="005A0C87" w:rsidRPr="00DE7B49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27D70FE6" w14:textId="77777777" w:rsidR="005A0C87" w:rsidRPr="00DE7B49" w:rsidRDefault="005A0C87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4304F10D" w14:textId="77777777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2FA0454B" w14:textId="34FE7FDF" w:rsidR="00F935AF" w:rsidRPr="00DE7B49" w:rsidRDefault="00F935AF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227C684D" w14:textId="19BA2718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157A8463" w14:textId="18357414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55B2D9E3" w14:textId="495DC343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2D18CD76" w14:textId="2B8F05D4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28DF6751" w14:textId="1D8B44FA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02E1E74B" w14:textId="2F72CBC3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61FFD56D" w14:textId="2EABA26C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0982CB53" w14:textId="77777777" w:rsidR="00D67716" w:rsidRPr="00DE7B49" w:rsidRDefault="00D67716" w:rsidP="006D254C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3"/>
        <w:rPr>
          <w:rFonts w:ascii="Lato" w:eastAsia="Times New Roman" w:hAnsi="Lato" w:cs="Arial"/>
          <w:i/>
          <w:kern w:val="1"/>
          <w:sz w:val="24"/>
          <w:szCs w:val="24"/>
          <w:lang w:eastAsia="ar-SA"/>
        </w:rPr>
      </w:pPr>
    </w:p>
    <w:p w14:paraId="5D131472" w14:textId="29F84A1C" w:rsidR="00682B4A" w:rsidRPr="00DE7B49" w:rsidRDefault="00EF5EA9" w:rsidP="006B7D4C">
      <w:pPr>
        <w:spacing w:after="0"/>
        <w:jc w:val="center"/>
        <w:rPr>
          <w:rFonts w:ascii="Lato" w:hAnsi="Lato" w:cs="Arial"/>
          <w:b/>
          <w:bCs/>
          <w:sz w:val="32"/>
          <w:szCs w:val="32"/>
        </w:rPr>
      </w:pPr>
      <w:r w:rsidRPr="00DE7B49">
        <w:rPr>
          <w:rFonts w:ascii="Lato" w:hAnsi="Lato" w:cs="Arial"/>
          <w:b/>
          <w:bCs/>
          <w:sz w:val="26"/>
          <w:szCs w:val="26"/>
        </w:rPr>
        <w:t>Styczeń 2026</w:t>
      </w:r>
      <w:r w:rsidR="29A246B9" w:rsidRPr="00DE7B49">
        <w:rPr>
          <w:rFonts w:ascii="Lato" w:hAnsi="Lato" w:cs="Arial"/>
          <w:b/>
          <w:bCs/>
          <w:sz w:val="32"/>
          <w:szCs w:val="32"/>
        </w:rPr>
        <w:br w:type="page"/>
      </w:r>
    </w:p>
    <w:p w14:paraId="42E50E0C" w14:textId="704F7513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  <w:b/>
          <w:bCs/>
        </w:rPr>
      </w:pPr>
      <w:r w:rsidRPr="00DE7B49">
        <w:rPr>
          <w:rFonts w:ascii="Lato" w:hAnsi="Lato" w:cs="Arial"/>
          <w:b/>
          <w:bCs/>
        </w:rPr>
        <w:lastRenderedPageBreak/>
        <w:t>Informacje podstawowe o EDF</w:t>
      </w:r>
    </w:p>
    <w:p w14:paraId="6858A93D" w14:textId="6112B3D0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W 2021 roku Unia Europejska uruchomiła Europejski Fundusz Obronny (ang. </w:t>
      </w:r>
      <w:r w:rsidRPr="00DE7B49">
        <w:rPr>
          <w:rFonts w:ascii="Lato" w:hAnsi="Lato" w:cs="Arial"/>
          <w:i/>
          <w:iCs/>
        </w:rPr>
        <w:t>European Defence Fund</w:t>
      </w:r>
      <w:r w:rsidR="00EA05E8" w:rsidRPr="00DE7B49">
        <w:rPr>
          <w:rFonts w:ascii="Lato" w:hAnsi="Lato" w:cs="Arial"/>
        </w:rPr>
        <w:t>, EDF), który służy</w:t>
      </w:r>
      <w:r w:rsidRPr="00DE7B49">
        <w:rPr>
          <w:rFonts w:ascii="Lato" w:hAnsi="Lato" w:cs="Arial"/>
        </w:rPr>
        <w:t xml:space="preserve"> finansowaniu wspólnych prac badawczych i rozwojowych w zakresie sprzętu wojskowego i technologii obronnych. W latach 2021-2027 budżet EDF wyniesie </w:t>
      </w:r>
      <w:r w:rsidR="000A63AE" w:rsidRPr="00DE7B49">
        <w:rPr>
          <w:rFonts w:ascii="Lato" w:hAnsi="Lato" w:cs="Arial"/>
        </w:rPr>
        <w:t>niemal 8 mld EUR (w tym 2,7</w:t>
      </w:r>
      <w:r w:rsidRPr="00DE7B49">
        <w:rPr>
          <w:rFonts w:ascii="Lato" w:hAnsi="Lato" w:cs="Arial"/>
        </w:rPr>
        <w:t xml:space="preserve"> mld </w:t>
      </w:r>
      <w:r w:rsidR="000A63AE" w:rsidRPr="00DE7B49">
        <w:rPr>
          <w:rFonts w:ascii="Lato" w:hAnsi="Lato" w:cs="Arial"/>
        </w:rPr>
        <w:t>EUR na badania naukowe oraz 5,3</w:t>
      </w:r>
      <w:r w:rsidRPr="00DE7B49">
        <w:rPr>
          <w:rFonts w:ascii="Lato" w:hAnsi="Lato" w:cs="Arial"/>
        </w:rPr>
        <w:t xml:space="preserve"> mld EUR </w:t>
      </w:r>
      <w:r w:rsidR="00CC56E7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na prace rozwojowe).</w:t>
      </w:r>
    </w:p>
    <w:p w14:paraId="2C6182EC" w14:textId="0B9B90E4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Europejski Fundusz Obronny, wraz z fazami pilotażowymi</w:t>
      </w:r>
      <w:r w:rsidRPr="00DE7B49">
        <w:rPr>
          <w:rStyle w:val="Odwoanieprzypisudolnego"/>
          <w:rFonts w:ascii="Lato" w:hAnsi="Lato" w:cs="Arial"/>
        </w:rPr>
        <w:footnoteReference w:id="1"/>
      </w:r>
      <w:r w:rsidRPr="00DE7B49">
        <w:rPr>
          <w:rFonts w:ascii="Lato" w:hAnsi="Lato" w:cs="Arial"/>
        </w:rPr>
        <w:t>, które są osobnymi programami, stanowią pierwszy przypadek w historii Unii Europejskiej przyznania wsparcia ze wspólnego budżetu UE na działania w zakresie prac badawczych i rozwojowych związanych z </w:t>
      </w:r>
      <w:r w:rsidR="00CC56E7" w:rsidRPr="00DE7B49">
        <w:rPr>
          <w:rFonts w:ascii="Lato" w:hAnsi="Lato" w:cs="Arial"/>
        </w:rPr>
        <w:t>obronnością.</w:t>
      </w:r>
    </w:p>
    <w:p w14:paraId="33E85195" w14:textId="3D736EAE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Głównym celem Europejskiego Funduszu Obronnego jest wzmacnianie konkurencyjności, efektywności i innowacyjności europejskiej bazy technologiczno-przemysłowej sektora obronnego w całej Unii, która przyczynia się do osiągnięcia autonomii strategicznej UE </w:t>
      </w:r>
      <w:r w:rsidR="00CC56E7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i jej technologicznej niezależności; wzmocnienie i poprawa sprawności łańcuchów dostaw oraz wykorzystanie potencjału przemysłowego w zakresie innowacji, badań i rozwoju technologicznego, na każdym etapie cyklu życia przemysłowego produktów i technologii obronnych. EDF pozwoli również wzmocnić interoperacyjność systemów obronnych państw europejskich. </w:t>
      </w:r>
    </w:p>
    <w:p w14:paraId="728E7D4B" w14:textId="04FB3683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Fundusz stanowi alternatywny, efektywny kosztowo i minimalizujący ryzyka mechanizm realizacji prac B+R w ramach współpracy europejskiej, jak również – w niektórych przypadkach – </w:t>
      </w:r>
      <w:r w:rsidR="009B0D15" w:rsidRPr="00DE7B49">
        <w:rPr>
          <w:rFonts w:ascii="Lato" w:hAnsi="Lato" w:cs="Arial"/>
        </w:rPr>
        <w:t xml:space="preserve">może posłużyć do </w:t>
      </w:r>
      <w:r w:rsidRPr="00DE7B49">
        <w:rPr>
          <w:rFonts w:ascii="Lato" w:hAnsi="Lato" w:cs="Arial"/>
        </w:rPr>
        <w:t>pozyskiwania sprzętu wojskowego w drodze europejskiej współpracy woj</w:t>
      </w:r>
      <w:r w:rsidR="000C2508" w:rsidRPr="00DE7B49">
        <w:rPr>
          <w:rFonts w:ascii="Lato" w:hAnsi="Lato" w:cs="Arial"/>
        </w:rPr>
        <w:t xml:space="preserve">skowo-technicznej. EDF stanowi </w:t>
      </w:r>
      <w:r w:rsidRPr="00DE7B49">
        <w:rPr>
          <w:rFonts w:ascii="Lato" w:hAnsi="Lato" w:cs="Arial"/>
        </w:rPr>
        <w:t xml:space="preserve">istotny instrument, wsparty znaczącym budżetem, który umożliwi zaspokajanie potrzeb sił zbrojnych państw członkowskich (w tym Sił Zbrojnych RP) oraz może stanowić ważne uzupełnienie krajowych badań naukowych </w:t>
      </w:r>
      <w:r w:rsidR="00CC56E7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i prac rozwojowych w dziedzinie obronności poprzez budowę kompetencji technologicznych i przemysłowych, służących rozwojowi zdolności sił zbrojnych. </w:t>
      </w:r>
    </w:p>
    <w:p w14:paraId="5F69A0FA" w14:textId="4167AD8B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EDF przyczyni się także eliminacj</w:t>
      </w:r>
      <w:r w:rsidR="001C580A" w:rsidRPr="00DE7B49">
        <w:rPr>
          <w:rFonts w:ascii="Lato" w:hAnsi="Lato" w:cs="Arial"/>
        </w:rPr>
        <w:t>i</w:t>
      </w:r>
      <w:r w:rsidRPr="00DE7B49">
        <w:rPr>
          <w:rFonts w:ascii="Lato" w:hAnsi="Lato" w:cs="Arial"/>
        </w:rPr>
        <w:t xml:space="preserve"> luk technologicznych oraz zapewnieni</w:t>
      </w:r>
      <w:r w:rsidR="000C2508" w:rsidRPr="00DE7B49">
        <w:rPr>
          <w:rFonts w:ascii="Lato" w:hAnsi="Lato" w:cs="Arial"/>
        </w:rPr>
        <w:t>a</w:t>
      </w:r>
      <w:r w:rsidRPr="00DE7B49">
        <w:rPr>
          <w:rFonts w:ascii="Lato" w:hAnsi="Lato" w:cs="Arial"/>
        </w:rPr>
        <w:t xml:space="preserve"> przyszłych zdolności wojskowych. Prowadzenie wspólnych prac badawczych i rozwojowych </w:t>
      </w:r>
      <w:r w:rsidR="00CC56E7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w </w:t>
      </w:r>
      <w:r w:rsidR="009B0D15" w:rsidRPr="00DE7B49">
        <w:rPr>
          <w:rFonts w:ascii="Lato" w:hAnsi="Lato" w:cs="Arial"/>
        </w:rPr>
        <w:t>dziedzinie</w:t>
      </w:r>
      <w:r w:rsidRPr="00DE7B49">
        <w:rPr>
          <w:rFonts w:ascii="Lato" w:hAnsi="Lato" w:cs="Arial"/>
        </w:rPr>
        <w:t xml:space="preserve"> obronności umożliwi koncentrację rozproszonego potencjału wiedzy i technologii na poziomie europejskim oraz unikanie dublowania wydatków i wysiłków </w:t>
      </w:r>
      <w:r w:rsidR="00CC56E7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w powyższym zakresie przez poszczególne państwa członkowskie UE, a także współdzielenie przez nie ryzyka technologicznego i ekonomicznego. Docelowo EDF może się też przyczynić do zmniejszenia fragmentacji i wielości różnych typów uzbrojenia w siłach zbrojnych państw członkowskich UE, zwiększenia kompatybilności sił zbrojnych (budowa interoperacyjności od poziomu architektury, harmonizacja wymagań, wprowadzenie ws</w:t>
      </w:r>
      <w:r w:rsidR="0096471C" w:rsidRPr="00DE7B49">
        <w:rPr>
          <w:rFonts w:ascii="Lato" w:hAnsi="Lato" w:cs="Arial"/>
        </w:rPr>
        <w:t xml:space="preserve">pólnych standardów sprzętowych). </w:t>
      </w:r>
    </w:p>
    <w:p w14:paraId="5883C222" w14:textId="182C57B9" w:rsidR="00CF69EE" w:rsidRPr="00DE7B49" w:rsidRDefault="00CF69EE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EDF poprzez rozwój wymiaru obronnego UE, komplementarnego wobec NATO, które jest filarem bezpieczeństwa transatlantyckiego, ma szansę wzmocnić bezpieczeństwo europejskie i Rzeczypospolitej Polskiej. </w:t>
      </w:r>
    </w:p>
    <w:p w14:paraId="72518509" w14:textId="5FEA859B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Z perspektywy krajowej EDF pozwoli także na zwiększanie innowacyjności polskiego potencjału technologicznego oraz udział</w:t>
      </w:r>
      <w:r w:rsidR="0096471C" w:rsidRPr="00DE7B49">
        <w:rPr>
          <w:rFonts w:ascii="Lato" w:hAnsi="Lato" w:cs="Arial"/>
        </w:rPr>
        <w:t>u</w:t>
      </w:r>
      <w:r w:rsidRPr="00DE7B49">
        <w:rPr>
          <w:rFonts w:ascii="Lato" w:hAnsi="Lato" w:cs="Arial"/>
        </w:rPr>
        <w:t xml:space="preserve"> podmiotów przemysłu obronnego (w tym małych </w:t>
      </w:r>
      <w:r w:rsidRPr="00DE7B49">
        <w:rPr>
          <w:rFonts w:ascii="Lato" w:hAnsi="Lato" w:cs="Arial"/>
        </w:rPr>
        <w:lastRenderedPageBreak/>
        <w:t>i średnich przedsiębiorstw) w europejskim rynku uzbrojenia oraz włączenie ich do łańcuchów dostaw, co również powinno wzmocnić pozycję krajowego sektora obronnego.</w:t>
      </w:r>
    </w:p>
    <w:p w14:paraId="618BC920" w14:textId="29832EA7" w:rsidR="00EF168B" w:rsidRPr="00DE7B49" w:rsidRDefault="00EF168B" w:rsidP="00EF168B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Ministerstwo Obrony Narodowej postrzega EDF jako program, który umożliwi rozwój kompetencji technologicznych i produkcyjnych polskiego przemysłu obronnego </w:t>
      </w:r>
      <w:r w:rsidR="00812E33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i ośrodków naukowo-badawczych, które służyć będą zaspokajaniu perspektywicznych potrzeb Sił Zbrojnych RP. </w:t>
      </w:r>
    </w:p>
    <w:p w14:paraId="28A28AB7" w14:textId="186FBB8C" w:rsidR="00EF168B" w:rsidRPr="00DE7B49" w:rsidRDefault="00EF168B" w:rsidP="006B7D4C">
      <w:pPr>
        <w:spacing w:before="120" w:after="120" w:line="240" w:lineRule="auto"/>
        <w:jc w:val="both"/>
        <w:rPr>
          <w:rFonts w:ascii="Lato" w:hAnsi="Lato" w:cs="Arial"/>
          <w:sz w:val="10"/>
        </w:rPr>
      </w:pPr>
    </w:p>
    <w:p w14:paraId="117A9B3E" w14:textId="391E4E56" w:rsidR="00EF168B" w:rsidRPr="00DE7B49" w:rsidRDefault="00EF168B" w:rsidP="006B7D4C">
      <w:pPr>
        <w:spacing w:before="120" w:after="120" w:line="240" w:lineRule="auto"/>
        <w:jc w:val="both"/>
        <w:rPr>
          <w:rFonts w:ascii="Lato" w:hAnsi="Lato" w:cs="Arial"/>
          <w:b/>
        </w:rPr>
      </w:pPr>
      <w:r w:rsidRPr="00DE7B49">
        <w:rPr>
          <w:rFonts w:ascii="Lato" w:hAnsi="Lato" w:cs="Arial"/>
          <w:b/>
        </w:rPr>
        <w:t>Podstawa prawna</w:t>
      </w:r>
    </w:p>
    <w:p w14:paraId="6236EFD1" w14:textId="40AFB48E" w:rsidR="006B7D4C" w:rsidRPr="00DE7B49" w:rsidRDefault="006B7D4C" w:rsidP="006B7D4C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Podstawą prawną dla funkcjonowania Funduszu jest </w:t>
      </w:r>
      <w:hyperlink r:id="rId10" w:history="1">
        <w:r w:rsidRPr="00DE7B49">
          <w:rPr>
            <w:rStyle w:val="Hipercze"/>
            <w:rFonts w:ascii="Lato" w:hAnsi="Lato" w:cs="Arial"/>
          </w:rPr>
          <w:t>rozporządzenie Parlamentu Europejskiego i Rady (UE) 2021/697 z dnia 29 kwietnia 2021 r. ustanawiające Europejski Fundusz Obronny i uchylające rozporządzenie (UE) 2018/1092</w:t>
        </w:r>
      </w:hyperlink>
      <w:r w:rsidR="00174E6E">
        <w:rPr>
          <w:rStyle w:val="Odwoanieprzypisudolnego"/>
          <w:rFonts w:ascii="Lato" w:hAnsi="Lato" w:cs="Arial"/>
          <w:color w:val="0563C1" w:themeColor="hyperlink"/>
          <w:u w:val="single"/>
        </w:rPr>
        <w:footnoteReference w:id="2"/>
      </w:r>
      <w:r w:rsidRPr="00DE7B49">
        <w:rPr>
          <w:rFonts w:ascii="Lato" w:hAnsi="Lato" w:cs="Arial"/>
        </w:rPr>
        <w:t xml:space="preserve">. </w:t>
      </w:r>
      <w:r w:rsidR="00EF168B" w:rsidRPr="00DE7B49">
        <w:rPr>
          <w:rFonts w:ascii="Lato" w:hAnsi="Lato" w:cs="Arial"/>
        </w:rPr>
        <w:t xml:space="preserve">Z perspektywy podmiotów przemysłowych i naukowo-badawczych, które będą aplikować w konkursach EDF i mogą być wykonawcami przyszłych projektów za szczególnie istotne należy uznać następujące przepisy rozporządzenia: </w:t>
      </w:r>
    </w:p>
    <w:p w14:paraId="6A19A3DF" w14:textId="40F23DB2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</w:rPr>
      </w:pPr>
      <w:r w:rsidRPr="00DE7B49">
        <w:rPr>
          <w:rFonts w:ascii="Lato" w:hAnsi="Lato" w:cs="Arial"/>
          <w:sz w:val="22"/>
          <w:szCs w:val="22"/>
        </w:rPr>
        <w:t xml:space="preserve">Art. 2 – </w:t>
      </w:r>
      <w:r w:rsidRPr="00DE7B49">
        <w:rPr>
          <w:rFonts w:ascii="Lato" w:hAnsi="Lato" w:cs="Arial"/>
          <w:sz w:val="22"/>
          <w:szCs w:val="22"/>
          <w:lang w:val="pl-PL"/>
        </w:rPr>
        <w:t>Definicje</w:t>
      </w:r>
      <w:r w:rsidR="008C677E" w:rsidRPr="00DE7B49">
        <w:rPr>
          <w:rFonts w:ascii="Lato" w:hAnsi="Lato" w:cs="Arial"/>
          <w:sz w:val="22"/>
          <w:szCs w:val="22"/>
        </w:rPr>
        <w:t xml:space="preserve"> </w:t>
      </w:r>
    </w:p>
    <w:p w14:paraId="242EBE7A" w14:textId="29994C08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3 – Cele</w:t>
      </w:r>
    </w:p>
    <w:p w14:paraId="1C2128E4" w14:textId="2C2E9B05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9 – Kwalifikujące się podmioty prawne</w:t>
      </w:r>
    </w:p>
    <w:p w14:paraId="12FDD5A0" w14:textId="6924C793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10 – Działania kwalifikowane</w:t>
      </w:r>
    </w:p>
    <w:p w14:paraId="43094FE8" w14:textId="1192ED16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12 – Kryteria wyboru</w:t>
      </w:r>
    </w:p>
    <w:p w14:paraId="4C9E30F8" w14:textId="473DED29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13 – Stopa współfinansowania</w:t>
      </w:r>
    </w:p>
    <w:p w14:paraId="2DC01470" w14:textId="16188059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20 – Własność wyników działań badawczych</w:t>
      </w:r>
    </w:p>
    <w:p w14:paraId="45009712" w14:textId="17601922" w:rsidR="00EF168B" w:rsidRPr="00DE7B49" w:rsidRDefault="00EF168B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 xml:space="preserve">Art. 21 – Dodatkowe kryteria kwalifikowalności </w:t>
      </w:r>
      <w:r w:rsidR="008C677E" w:rsidRPr="00DE7B49">
        <w:rPr>
          <w:rFonts w:ascii="Lato" w:hAnsi="Lato" w:cs="Arial"/>
          <w:sz w:val="22"/>
          <w:szCs w:val="22"/>
          <w:lang w:val="pl-PL"/>
        </w:rPr>
        <w:t>dotyczące</w:t>
      </w:r>
      <w:r w:rsidRPr="00DE7B49">
        <w:rPr>
          <w:rFonts w:ascii="Lato" w:hAnsi="Lato" w:cs="Arial"/>
          <w:sz w:val="22"/>
          <w:szCs w:val="22"/>
          <w:lang w:val="pl-PL"/>
        </w:rPr>
        <w:t xml:space="preserve"> działań rozwojowych</w:t>
      </w:r>
    </w:p>
    <w:p w14:paraId="055FB7BC" w14:textId="77777777" w:rsidR="008C677E" w:rsidRPr="00DE7B49" w:rsidRDefault="008C677E" w:rsidP="008C677E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Art. 22 – Dodatkowe kryteria wyboru dotyczące działań rozwojowych</w:t>
      </w:r>
    </w:p>
    <w:p w14:paraId="740683C8" w14:textId="0B55FEDF" w:rsidR="008C677E" w:rsidRPr="00DE7B49" w:rsidRDefault="008C677E" w:rsidP="008C677E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 xml:space="preserve">Art. 23 – Własność wyników działań rozwojowych </w:t>
      </w:r>
    </w:p>
    <w:p w14:paraId="107EB9A5" w14:textId="43A0C391" w:rsidR="00EF168B" w:rsidRPr="00DE7B49" w:rsidRDefault="008C677E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 xml:space="preserve">Art. 24 – Programy Prac </w:t>
      </w:r>
    </w:p>
    <w:p w14:paraId="097B6047" w14:textId="255A629D" w:rsidR="008C677E" w:rsidRPr="00DE7B49" w:rsidRDefault="008C677E" w:rsidP="00EF168B">
      <w:pPr>
        <w:pStyle w:val="Akapitzlist"/>
        <w:numPr>
          <w:ilvl w:val="0"/>
          <w:numId w:val="23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 xml:space="preserve">Art. 27 – Stosowanie przepisów dotyczących informacji niejawnych </w:t>
      </w:r>
    </w:p>
    <w:p w14:paraId="294F2D2F" w14:textId="4706F744" w:rsidR="00EF168B" w:rsidRPr="00DE7B49" w:rsidRDefault="00EF168B" w:rsidP="006B7D4C">
      <w:pPr>
        <w:spacing w:before="120" w:after="120" w:line="240" w:lineRule="auto"/>
        <w:jc w:val="both"/>
        <w:rPr>
          <w:rFonts w:ascii="Lato" w:hAnsi="Lato" w:cs="Arial"/>
          <w:sz w:val="10"/>
        </w:rPr>
      </w:pPr>
    </w:p>
    <w:p w14:paraId="7148B74E" w14:textId="69C350C6" w:rsidR="00EF168B" w:rsidRPr="00DE7B49" w:rsidRDefault="00EF168B" w:rsidP="006B7D4C">
      <w:pPr>
        <w:spacing w:before="120" w:after="120" w:line="240" w:lineRule="auto"/>
        <w:jc w:val="both"/>
        <w:rPr>
          <w:rFonts w:ascii="Lato" w:hAnsi="Lato" w:cs="Arial"/>
          <w:b/>
        </w:rPr>
      </w:pPr>
      <w:r w:rsidRPr="00DE7B49">
        <w:rPr>
          <w:rFonts w:ascii="Lato" w:hAnsi="Lato" w:cs="Arial"/>
          <w:b/>
        </w:rPr>
        <w:t>Definiowanie EDF</w:t>
      </w:r>
    </w:p>
    <w:p w14:paraId="11E29FB0" w14:textId="7101CE69" w:rsidR="00EF168B" w:rsidRPr="00DE7B49" w:rsidRDefault="00EF168B" w:rsidP="00EF168B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Zakres tematyczny konkursów EDF ustalany i wypracowywany jest wspólnie przez Komisję Europejską oraz rządy państw członkowskich na forum Komitetu Programowego EDF. Wsparcie eksperckie zapewnia też Europejska Agencja Obrony (EDA). Ministerstwo Obrony Narodowej bierze udział w programowaniu zakresu tematycznego EDF. </w:t>
      </w:r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Państwa członkowskie biorą udział w definiowaniu konkursów EDF, aby określić zakres </w:t>
      </w:r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dla przyszłych projektów wynikających z tych konkursów, w tym w zakresie wymagań ujętych w konkursach, aby ogłaszane konkursy możliwie w największym stopniu były zbieżne z wymaganiami i potrzebami jak największej liczby resortów obrony. </w:t>
      </w:r>
    </w:p>
    <w:p w14:paraId="3E14E21A" w14:textId="64E2B8F7" w:rsidR="00EF168B" w:rsidRPr="00DE7B49" w:rsidRDefault="00EF168B" w:rsidP="00EF168B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W procesie definiowania EDF państwa mogą wykorzystać propozycje opracowane </w:t>
      </w:r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w panelac</w:t>
      </w:r>
      <w:r w:rsidR="00520F16" w:rsidRPr="00DE7B49">
        <w:rPr>
          <w:rFonts w:ascii="Lato" w:hAnsi="Lato" w:cs="Arial"/>
        </w:rPr>
        <w:t>h technologicznych EDA (</w:t>
      </w:r>
      <w:hyperlink r:id="rId11" w:history="1">
        <w:r w:rsidR="00520F16" w:rsidRPr="00DE7B49">
          <w:rPr>
            <w:rStyle w:val="Hipercze"/>
            <w:rFonts w:ascii="Lato" w:hAnsi="Lato" w:cs="Arial"/>
          </w:rPr>
          <w:t>CapTech</w:t>
        </w:r>
      </w:hyperlink>
      <w:r w:rsidR="00520F16" w:rsidRPr="00DE7B49">
        <w:rPr>
          <w:rFonts w:ascii="Lato" w:hAnsi="Lato" w:cs="Arial"/>
        </w:rPr>
        <w:t>)</w:t>
      </w:r>
      <w:r w:rsidRPr="00DE7B49">
        <w:rPr>
          <w:rFonts w:ascii="Lato" w:hAnsi="Lato" w:cs="Arial"/>
        </w:rPr>
        <w:t xml:space="preserve">. </w:t>
      </w:r>
    </w:p>
    <w:p w14:paraId="4A3FF3F8" w14:textId="66B2247D" w:rsidR="00EF168B" w:rsidRPr="00DE7B49" w:rsidRDefault="00EF168B" w:rsidP="00EF168B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Działania MON w procesie kształtowania EDF skupiają się na tym, aby oddziaływać na EDF zgodnie z potrzebami i priorytetami Sił Zbrojnych RP, a także uwzględniając perspektywę przemysłową i naukową, aby efektywnie zapewnić budowę w kraju kompetencji </w:t>
      </w:r>
      <w:r w:rsidRPr="00DE7B49">
        <w:rPr>
          <w:rFonts w:ascii="Lato" w:hAnsi="Lato" w:cs="Arial"/>
        </w:rPr>
        <w:lastRenderedPageBreak/>
        <w:t xml:space="preserve">przemysłowych do zaspokajania potrzeb Sił Zbrojnych RP, bowiem to podmioty przemysłowe i naukowo-badawcze (w tym polskie) będą wykonawcami projektów, które przyczyniać się będą do rozwoju zdolności sił zbrojnych państw członkowskich UE </w:t>
      </w:r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(w tym SZ RP).</w:t>
      </w:r>
    </w:p>
    <w:p w14:paraId="171ABA20" w14:textId="77777777" w:rsidR="00A46FF0" w:rsidRPr="00DE7B49" w:rsidRDefault="00A46FF0" w:rsidP="006B7D4C">
      <w:pPr>
        <w:spacing w:before="120" w:after="120" w:line="240" w:lineRule="auto"/>
        <w:jc w:val="both"/>
        <w:rPr>
          <w:rFonts w:ascii="Lato" w:hAnsi="Lato" w:cs="Arial"/>
          <w:b/>
        </w:rPr>
      </w:pPr>
    </w:p>
    <w:p w14:paraId="1F937CD3" w14:textId="4A1808E9" w:rsidR="00520F16" w:rsidRPr="00DE7B49" w:rsidRDefault="00520F16" w:rsidP="006B7D4C">
      <w:pPr>
        <w:spacing w:before="120" w:after="120" w:line="240" w:lineRule="auto"/>
        <w:jc w:val="both"/>
        <w:rPr>
          <w:rFonts w:ascii="Lato" w:hAnsi="Lato" w:cs="Arial"/>
          <w:b/>
        </w:rPr>
      </w:pPr>
      <w:r w:rsidRPr="00DE7B49">
        <w:rPr>
          <w:rFonts w:ascii="Lato" w:hAnsi="Lato" w:cs="Arial"/>
          <w:b/>
        </w:rPr>
        <w:t>Konkursy i projekty EDF</w:t>
      </w:r>
    </w:p>
    <w:p w14:paraId="502E8C9D" w14:textId="01F9EC85" w:rsidR="00D11945" w:rsidRPr="00DE7B49" w:rsidRDefault="00D11945" w:rsidP="006B7D4C">
      <w:pPr>
        <w:tabs>
          <w:tab w:val="left" w:pos="567"/>
        </w:tabs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Style w:val="Hipercze"/>
          <w:rFonts w:ascii="Lato" w:hAnsi="Lato" w:cs="Arial"/>
          <w:color w:val="000000" w:themeColor="text1"/>
          <w:u w:val="none"/>
        </w:rPr>
        <w:t xml:space="preserve">EDF dzieli się na </w:t>
      </w:r>
      <w:r w:rsidR="000E7276" w:rsidRPr="00DE7B49">
        <w:rPr>
          <w:rStyle w:val="Hipercze"/>
          <w:rFonts w:ascii="Lato" w:hAnsi="Lato" w:cs="Arial"/>
          <w:color w:val="000000" w:themeColor="text1"/>
          <w:u w:val="none"/>
        </w:rPr>
        <w:t>część badawczą i rozwojową</w:t>
      </w:r>
      <w:r w:rsidRPr="00DE7B49">
        <w:rPr>
          <w:rStyle w:val="Hipercze"/>
          <w:rFonts w:ascii="Lato" w:hAnsi="Lato" w:cs="Arial"/>
          <w:color w:val="000000" w:themeColor="text1"/>
          <w:u w:val="none"/>
        </w:rPr>
        <w:t>, p</w:t>
      </w:r>
      <w:r w:rsidRPr="00DE7B49">
        <w:rPr>
          <w:rFonts w:ascii="Lato" w:hAnsi="Lato" w:cs="Arial"/>
        </w:rPr>
        <w:t xml:space="preserve">odział ten definiowany jest na poziomie </w:t>
      </w:r>
      <w:r w:rsidRPr="00DE7B49">
        <w:rPr>
          <w:rFonts w:ascii="Lato" w:hAnsi="Lato" w:cs="Arial"/>
          <w:i/>
          <w:iCs/>
        </w:rPr>
        <w:t>call for proposals</w:t>
      </w:r>
      <w:r w:rsidRPr="00DE7B49">
        <w:rPr>
          <w:rFonts w:ascii="Lato" w:hAnsi="Lato" w:cs="Arial"/>
        </w:rPr>
        <w:t xml:space="preserve">. W ramach badawczych </w:t>
      </w:r>
      <w:r w:rsidRPr="00DE7B49">
        <w:rPr>
          <w:rFonts w:ascii="Lato" w:hAnsi="Lato" w:cs="Arial"/>
          <w:i/>
          <w:iCs/>
        </w:rPr>
        <w:t>call for proposals</w:t>
      </w:r>
      <w:r w:rsidRPr="00DE7B49">
        <w:rPr>
          <w:rFonts w:ascii="Lato" w:hAnsi="Lato" w:cs="Arial"/>
        </w:rPr>
        <w:t xml:space="preserve"> można zgłaszać tylko projekty badawcze, a w ramach rozwojowych </w:t>
      </w:r>
      <w:r w:rsidRPr="00DE7B49">
        <w:rPr>
          <w:rFonts w:ascii="Lato" w:hAnsi="Lato" w:cs="Arial"/>
          <w:i/>
          <w:iCs/>
        </w:rPr>
        <w:t xml:space="preserve">call for proposals </w:t>
      </w:r>
      <w:r w:rsidRPr="00DE7B49">
        <w:rPr>
          <w:rFonts w:ascii="Lato" w:hAnsi="Lato" w:cs="Arial"/>
        </w:rPr>
        <w:t>można zgłaszać tylko projekty rozwojowe.</w:t>
      </w:r>
    </w:p>
    <w:p w14:paraId="709B147E" w14:textId="0CBC8CDC" w:rsidR="006B7D4C" w:rsidRPr="00DE7B49" w:rsidRDefault="00174E6E" w:rsidP="00E9067D">
      <w:pPr>
        <w:tabs>
          <w:tab w:val="left" w:pos="567"/>
        </w:tabs>
        <w:spacing w:before="120"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/>
          <w:bCs/>
          <w:color w:val="000000" w:themeColor="text1"/>
        </w:rPr>
        <w:t>Projekty badawcze EDF</w:t>
      </w:r>
      <w:r w:rsidR="006B7D4C" w:rsidRPr="00DE7B49">
        <w:rPr>
          <w:rFonts w:ascii="Lato" w:hAnsi="Lato" w:cs="Arial"/>
          <w:color w:val="000000" w:themeColor="text1"/>
        </w:rPr>
        <w:t xml:space="preserve"> </w:t>
      </w:r>
      <w:r w:rsidRPr="00DE7B49">
        <w:rPr>
          <w:rFonts w:ascii="Lato" w:hAnsi="Lato" w:cs="Arial"/>
          <w:color w:val="000000" w:themeColor="text1"/>
        </w:rPr>
        <w:t xml:space="preserve">są </w:t>
      </w:r>
      <w:r w:rsidR="006B7D4C" w:rsidRPr="00DE7B49">
        <w:rPr>
          <w:rFonts w:ascii="Lato" w:hAnsi="Lato" w:cs="Arial"/>
          <w:color w:val="000000" w:themeColor="text1"/>
        </w:rPr>
        <w:t>w całości finansowane przez Unię Europejską i nie wymagają oficjalnego wsparcia ministerstw obrony poszczególnych państw</w:t>
      </w:r>
      <w:r w:rsidR="0054243D" w:rsidRPr="00DE7B49">
        <w:rPr>
          <w:rFonts w:ascii="Lato" w:hAnsi="Lato" w:cs="Arial"/>
          <w:color w:val="000000" w:themeColor="text1"/>
        </w:rPr>
        <w:t>. K</w:t>
      </w:r>
      <w:r w:rsidR="006B7D4C" w:rsidRPr="00DE7B49">
        <w:rPr>
          <w:rFonts w:ascii="Lato" w:hAnsi="Lato" w:cs="Arial"/>
          <w:color w:val="000000" w:themeColor="text1"/>
        </w:rPr>
        <w:t xml:space="preserve">onsorcjum składa propozycję projektu w odpowiedzi na ogłoszone przez Komisję Europejską </w:t>
      </w:r>
      <w:r w:rsidR="006B7D4C" w:rsidRPr="00DE7B49">
        <w:rPr>
          <w:rFonts w:ascii="Lato" w:hAnsi="Lato" w:cs="Arial"/>
          <w:i/>
          <w:iCs/>
          <w:color w:val="000000" w:themeColor="text1"/>
        </w:rPr>
        <w:t>call for proposals</w:t>
      </w:r>
      <w:r w:rsidR="006B7D4C" w:rsidRPr="00DE7B49">
        <w:rPr>
          <w:rFonts w:ascii="Lato" w:hAnsi="Lato" w:cs="Arial"/>
          <w:color w:val="000000" w:themeColor="text1"/>
        </w:rPr>
        <w:t>.</w:t>
      </w:r>
      <w:r w:rsidR="000D3DD6" w:rsidRPr="00DE7B49">
        <w:rPr>
          <w:rFonts w:ascii="Lato" w:hAnsi="Lato" w:cs="Arial"/>
          <w:color w:val="000000" w:themeColor="text1"/>
        </w:rPr>
        <w:t xml:space="preserve"> </w:t>
      </w:r>
      <w:r w:rsidR="00021709" w:rsidRPr="00DE7B49">
        <w:rPr>
          <w:rFonts w:ascii="Lato" w:hAnsi="Lato" w:cs="Arial"/>
          <w:color w:val="000000" w:themeColor="text1"/>
        </w:rPr>
        <w:t xml:space="preserve">Polskie podmioty mogą wypełnić i przesłać do MON wniosek informacyjny (zał. nr </w:t>
      </w:r>
      <w:r w:rsidR="002204B0" w:rsidRPr="00DE7B49">
        <w:rPr>
          <w:rFonts w:ascii="Lato" w:hAnsi="Lato" w:cs="Arial"/>
          <w:color w:val="000000" w:themeColor="text1"/>
        </w:rPr>
        <w:t>3</w:t>
      </w:r>
      <w:r w:rsidR="00021709" w:rsidRPr="00DE7B49">
        <w:rPr>
          <w:rFonts w:ascii="Lato" w:hAnsi="Lato" w:cs="Arial"/>
          <w:color w:val="000000" w:themeColor="text1"/>
        </w:rPr>
        <w:t xml:space="preserve">) o swoim udziale w projekcie badawczym. Po otrzymaniu takiego wniosku MON może udzielać wsparcia </w:t>
      </w:r>
      <w:r>
        <w:rPr>
          <w:rFonts w:ascii="Lato" w:hAnsi="Lato" w:cs="Arial"/>
          <w:color w:val="000000" w:themeColor="text1"/>
        </w:rPr>
        <w:t>przy realizacji projektu</w:t>
      </w:r>
      <w:r w:rsidR="00021709" w:rsidRPr="00DE7B49">
        <w:rPr>
          <w:rFonts w:ascii="Lato" w:hAnsi="Lato" w:cs="Arial"/>
          <w:color w:val="000000" w:themeColor="text1"/>
        </w:rPr>
        <w:t xml:space="preserve"> poprzez ułatwienie dotarcia do ewentualnego użytkownika końcowego lub pozyskiwania informacji na temat preferowanej charakterystyki </w:t>
      </w:r>
      <w:r w:rsidR="004075A6" w:rsidRPr="00DE7B49">
        <w:rPr>
          <w:rFonts w:ascii="Lato" w:hAnsi="Lato" w:cs="Arial"/>
          <w:color w:val="000000" w:themeColor="text1"/>
        </w:rPr>
        <w:t>opracowywanej technologii</w:t>
      </w:r>
      <w:r w:rsidR="00021709" w:rsidRPr="00DE7B49">
        <w:rPr>
          <w:rFonts w:ascii="Lato" w:hAnsi="Lato" w:cs="Arial"/>
          <w:color w:val="000000" w:themeColor="text1"/>
        </w:rPr>
        <w:t xml:space="preserve">. </w:t>
      </w:r>
      <w:r>
        <w:rPr>
          <w:rFonts w:ascii="Lato" w:hAnsi="Lato" w:cs="Arial"/>
          <w:color w:val="000000" w:themeColor="text1"/>
        </w:rPr>
        <w:t>Umowa grantowa między konsorcjum a Komisją Europejską jest zawierana po wyborze projektu do realizacji.</w:t>
      </w:r>
      <w:r w:rsidR="000D3DD6" w:rsidRPr="00DE7B49">
        <w:rPr>
          <w:rFonts w:ascii="Lato" w:hAnsi="Lato" w:cs="Arial"/>
          <w:color w:val="000000" w:themeColor="text1"/>
        </w:rPr>
        <w:t xml:space="preserve"> </w:t>
      </w:r>
    </w:p>
    <w:p w14:paraId="1D00815C" w14:textId="5309FF6E" w:rsidR="0022210A" w:rsidRDefault="006B7D4C" w:rsidP="00E9067D">
      <w:pPr>
        <w:tabs>
          <w:tab w:val="left" w:pos="567"/>
        </w:tabs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W przypadku </w:t>
      </w:r>
      <w:r w:rsidRPr="00DE7B49">
        <w:rPr>
          <w:rFonts w:ascii="Lato" w:hAnsi="Lato" w:cs="Arial"/>
          <w:b/>
          <w:bCs/>
        </w:rPr>
        <w:t>projektów</w:t>
      </w:r>
      <w:r w:rsidRPr="00DE7B49">
        <w:rPr>
          <w:rFonts w:ascii="Lato" w:hAnsi="Lato" w:cs="Arial"/>
        </w:rPr>
        <w:t xml:space="preserve"> </w:t>
      </w:r>
      <w:r w:rsidRPr="00DE7B49">
        <w:rPr>
          <w:rFonts w:ascii="Lato" w:hAnsi="Lato" w:cs="Arial"/>
          <w:b/>
          <w:bCs/>
        </w:rPr>
        <w:t>rozwojowych</w:t>
      </w:r>
      <w:r w:rsidRPr="00DE7B49">
        <w:rPr>
          <w:rFonts w:ascii="Lato" w:hAnsi="Lato" w:cs="Arial"/>
        </w:rPr>
        <w:t xml:space="preserve"> EDF</w:t>
      </w:r>
      <w:r w:rsidR="00174E6E">
        <w:rPr>
          <w:rFonts w:ascii="Lato" w:hAnsi="Lato" w:cs="Arial"/>
        </w:rPr>
        <w:t xml:space="preserve">, </w:t>
      </w:r>
      <w:r w:rsidRPr="00DE7B49">
        <w:rPr>
          <w:rFonts w:ascii="Lato" w:hAnsi="Lato" w:cs="Arial"/>
        </w:rPr>
        <w:t>co najmniej dwa państwa muszą zobowiązać się</w:t>
      </w:r>
      <w:r w:rsidR="00174E6E">
        <w:rPr>
          <w:rFonts w:ascii="Lato" w:hAnsi="Lato" w:cs="Arial"/>
        </w:rPr>
        <w:t xml:space="preserve"> do zamówienia </w:t>
      </w:r>
      <w:r w:rsidRPr="00DE7B49">
        <w:rPr>
          <w:rFonts w:ascii="Lato" w:hAnsi="Lato" w:cs="Arial"/>
        </w:rPr>
        <w:t>produkt</w:t>
      </w:r>
      <w:r w:rsidR="00174E6E">
        <w:rPr>
          <w:rFonts w:ascii="Lato" w:hAnsi="Lato" w:cs="Arial"/>
        </w:rPr>
        <w:t>u końcowego</w:t>
      </w:r>
      <w:r w:rsidRPr="00DE7B49">
        <w:rPr>
          <w:rFonts w:ascii="Lato" w:hAnsi="Lato" w:cs="Arial"/>
        </w:rPr>
        <w:t xml:space="preserve"> lub </w:t>
      </w:r>
      <w:r w:rsidR="00174E6E" w:rsidRPr="00DE7B49">
        <w:rPr>
          <w:rFonts w:ascii="Lato" w:hAnsi="Lato" w:cs="Arial"/>
        </w:rPr>
        <w:t>wykorzysta</w:t>
      </w:r>
      <w:r w:rsidR="00174E6E">
        <w:rPr>
          <w:rFonts w:ascii="Lato" w:hAnsi="Lato" w:cs="Arial"/>
        </w:rPr>
        <w:t>nia</w:t>
      </w:r>
      <w:r w:rsidR="00174E6E" w:rsidRPr="00DE7B49">
        <w:rPr>
          <w:rFonts w:ascii="Lato" w:hAnsi="Lato" w:cs="Arial"/>
        </w:rPr>
        <w:t xml:space="preserve"> technologi</w:t>
      </w:r>
      <w:r w:rsidR="00174E6E">
        <w:rPr>
          <w:rFonts w:ascii="Lato" w:hAnsi="Lato" w:cs="Arial"/>
        </w:rPr>
        <w:t>i</w:t>
      </w:r>
      <w:r w:rsidR="00174E6E" w:rsidRPr="00DE7B49">
        <w:rPr>
          <w:rFonts w:ascii="Lato" w:hAnsi="Lato" w:cs="Arial"/>
        </w:rPr>
        <w:t xml:space="preserve"> </w:t>
      </w:r>
      <w:r w:rsidRPr="00DE7B49">
        <w:rPr>
          <w:rFonts w:ascii="Lato" w:hAnsi="Lato" w:cs="Arial"/>
        </w:rPr>
        <w:t xml:space="preserve">w skoordynowany sposób, </w:t>
      </w:r>
      <w:r w:rsidR="00174E6E">
        <w:rPr>
          <w:rFonts w:ascii="Lato" w:hAnsi="Lato" w:cs="Arial"/>
        </w:rPr>
        <w:t>m. in.</w:t>
      </w:r>
      <w:r w:rsidRPr="00DE7B49">
        <w:rPr>
          <w:rFonts w:ascii="Lato" w:hAnsi="Lato" w:cs="Arial"/>
        </w:rPr>
        <w:t xml:space="preserve"> poprzez wspólne zamówienia</w:t>
      </w:r>
      <w:r w:rsidR="00174E6E">
        <w:rPr>
          <w:rStyle w:val="Odwoanieprzypisudolnego"/>
          <w:rFonts w:ascii="Lato" w:hAnsi="Lato" w:cs="Arial"/>
        </w:rPr>
        <w:footnoteReference w:id="3"/>
      </w:r>
      <w:r w:rsidRPr="00DE7B49">
        <w:rPr>
          <w:rFonts w:ascii="Lato" w:hAnsi="Lato" w:cs="Arial"/>
        </w:rPr>
        <w:t xml:space="preserve">. </w:t>
      </w:r>
      <w:r w:rsidR="00174E6E">
        <w:rPr>
          <w:rFonts w:ascii="Lato" w:hAnsi="Lato" w:cs="Arial"/>
        </w:rPr>
        <w:t>Jest to deklaracja strony rządowej, równoczesn</w:t>
      </w:r>
      <w:r w:rsidR="0022210A">
        <w:rPr>
          <w:rFonts w:ascii="Lato" w:hAnsi="Lato" w:cs="Arial"/>
        </w:rPr>
        <w:t>a</w:t>
      </w:r>
      <w:r w:rsidR="00174E6E">
        <w:rPr>
          <w:rFonts w:ascii="Lato" w:hAnsi="Lato" w:cs="Arial"/>
        </w:rPr>
        <w:t xml:space="preserve"> ze składaniem aplikacji projektowej do Komisji Europejskiej. Również</w:t>
      </w:r>
      <w:r w:rsidR="000D3DD6" w:rsidRPr="00DE7B49">
        <w:rPr>
          <w:rFonts w:ascii="Lato" w:hAnsi="Lato" w:cs="Arial"/>
        </w:rPr>
        <w:t xml:space="preserve"> na tym etapie państwa popierające projekt </w:t>
      </w:r>
      <w:r w:rsidR="00174E6E">
        <w:rPr>
          <w:rFonts w:ascii="Lato" w:hAnsi="Lato" w:cs="Arial"/>
        </w:rPr>
        <w:t>uzgadniają</w:t>
      </w:r>
      <w:r w:rsidR="000D3DD6" w:rsidRPr="00DE7B49">
        <w:rPr>
          <w:rFonts w:ascii="Lato" w:hAnsi="Lato" w:cs="Arial"/>
        </w:rPr>
        <w:t xml:space="preserve"> wstępne wspólne wymagania</w:t>
      </w:r>
      <w:r w:rsidR="0022210A">
        <w:rPr>
          <w:rFonts w:ascii="Lato" w:hAnsi="Lato" w:cs="Arial"/>
        </w:rPr>
        <w:t xml:space="preserve"> techniczne</w:t>
      </w:r>
      <w:r w:rsidR="000D3DD6" w:rsidRPr="00DE7B49">
        <w:rPr>
          <w:rFonts w:ascii="Lato" w:hAnsi="Lato" w:cs="Arial"/>
        </w:rPr>
        <w:t xml:space="preserve"> (</w:t>
      </w:r>
      <w:r w:rsidR="000D3DD6" w:rsidRPr="00DE7B49">
        <w:rPr>
          <w:rFonts w:ascii="Lato" w:hAnsi="Lato" w:cs="Arial"/>
          <w:i/>
          <w:iCs/>
        </w:rPr>
        <w:t>Initial Common Requirements</w:t>
      </w:r>
      <w:r w:rsidR="000D3DD6" w:rsidRPr="00DE7B49">
        <w:rPr>
          <w:rFonts w:ascii="Lato" w:hAnsi="Lato" w:cs="Arial"/>
        </w:rPr>
        <w:t>, ICR).</w:t>
      </w:r>
      <w:r w:rsidRPr="00DE7B49">
        <w:rPr>
          <w:rFonts w:ascii="Lato" w:hAnsi="Lato" w:cs="Arial"/>
        </w:rPr>
        <w:t xml:space="preserve"> </w:t>
      </w:r>
      <w:r w:rsidR="0022210A">
        <w:rPr>
          <w:rFonts w:ascii="Lato" w:hAnsi="Lato" w:cs="Arial"/>
        </w:rPr>
        <w:t xml:space="preserve">Po wybraniu projektu do realizacji, konsorcjum podpisuje umowę grantową z Komisją Europejską, następnie państwa procedują zawarcie między sobą </w:t>
      </w:r>
      <w:r w:rsidR="0022210A" w:rsidRPr="00331688">
        <w:rPr>
          <w:rFonts w:ascii="Lato" w:hAnsi="Lato" w:cs="Arial"/>
          <w:i/>
          <w:iCs/>
        </w:rPr>
        <w:t>Memorandum of Understanding</w:t>
      </w:r>
      <w:r w:rsidR="0022210A" w:rsidRPr="00331688">
        <w:rPr>
          <w:rFonts w:ascii="Lato" w:hAnsi="Lato" w:cs="Arial"/>
        </w:rPr>
        <w:t xml:space="preserve"> (MoU), które </w:t>
      </w:r>
      <w:r w:rsidR="0022210A">
        <w:rPr>
          <w:rFonts w:ascii="Lato" w:hAnsi="Lato" w:cs="Arial"/>
        </w:rPr>
        <w:t xml:space="preserve">szczegółowo </w:t>
      </w:r>
      <w:r w:rsidR="0022210A" w:rsidRPr="00CD17D9">
        <w:rPr>
          <w:rFonts w:ascii="Lato" w:hAnsi="Lato" w:cs="Arial"/>
        </w:rPr>
        <w:t xml:space="preserve">określa </w:t>
      </w:r>
      <w:r w:rsidR="0022210A">
        <w:rPr>
          <w:rFonts w:ascii="Lato" w:hAnsi="Lato" w:cs="Arial"/>
        </w:rPr>
        <w:t>ich</w:t>
      </w:r>
      <w:r w:rsidR="0022210A" w:rsidRPr="00331688">
        <w:rPr>
          <w:rFonts w:ascii="Lato" w:hAnsi="Lato" w:cs="Arial"/>
        </w:rPr>
        <w:t xml:space="preserve"> zobowiązania</w:t>
      </w:r>
      <w:r w:rsidR="0022210A">
        <w:rPr>
          <w:rFonts w:ascii="Lato" w:hAnsi="Lato" w:cs="Arial"/>
        </w:rPr>
        <w:t xml:space="preserve"> i nabywane prawa</w:t>
      </w:r>
      <w:r w:rsidR="0022210A" w:rsidRPr="00331688">
        <w:rPr>
          <w:rFonts w:ascii="Lato" w:hAnsi="Lato" w:cs="Arial"/>
        </w:rPr>
        <w:t>.</w:t>
      </w:r>
    </w:p>
    <w:p w14:paraId="019D3D10" w14:textId="12131BC5" w:rsidR="006B7D4C" w:rsidRPr="00DE7B49" w:rsidRDefault="006B7D4C" w:rsidP="00E9067D">
      <w:pPr>
        <w:spacing w:before="120" w:after="120" w:line="240" w:lineRule="auto"/>
        <w:jc w:val="both"/>
        <w:rPr>
          <w:rFonts w:ascii="Lato" w:eastAsia="Times New Roman" w:hAnsi="Lato" w:cs="Arial"/>
        </w:rPr>
      </w:pPr>
      <w:r w:rsidRPr="00DE7B49">
        <w:rPr>
          <w:rFonts w:ascii="Lato" w:eastAsia="Times New Roman" w:hAnsi="Lato" w:cs="Arial"/>
        </w:rPr>
        <w:t>W przypadku zaangażowania MON w przygotowanie projektu</w:t>
      </w:r>
      <w:r w:rsidR="000D3DD6" w:rsidRPr="00DE7B49">
        <w:rPr>
          <w:rFonts w:ascii="Lato" w:eastAsia="Times New Roman" w:hAnsi="Lato" w:cs="Arial"/>
        </w:rPr>
        <w:t xml:space="preserve"> rozwojowego</w:t>
      </w:r>
      <w:r w:rsidRPr="00DE7B49">
        <w:rPr>
          <w:rFonts w:ascii="Lato" w:eastAsia="Times New Roman" w:hAnsi="Lato" w:cs="Arial"/>
        </w:rPr>
        <w:t xml:space="preserve"> eksperci resortowi biorą udział w uzgodnieniach wymagań z odpowiednikami z resortów z innych państw. </w:t>
      </w:r>
    </w:p>
    <w:p w14:paraId="021D148F" w14:textId="2CB1578C" w:rsidR="00D11945" w:rsidRPr="00DE7B49" w:rsidRDefault="00D11945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Ponadto większość projektów rozwojowych wymaga współfinansowania krajowego</w:t>
      </w:r>
      <w:r w:rsidRPr="00DE7B49">
        <w:rPr>
          <w:rStyle w:val="Odwoanieprzypisudolnego"/>
          <w:rFonts w:ascii="Lato" w:hAnsi="Lato" w:cs="Arial"/>
        </w:rPr>
        <w:footnoteReference w:id="4"/>
      </w:r>
      <w:r w:rsidRPr="00DE7B49">
        <w:rPr>
          <w:rFonts w:ascii="Lato" w:hAnsi="Lato" w:cs="Arial"/>
        </w:rPr>
        <w:t>. Może ono zostać zapewnione ze środków własnych konsorcjanta (</w:t>
      </w:r>
      <w:r w:rsidRPr="00DE7B49">
        <w:rPr>
          <w:rFonts w:ascii="Lato" w:hAnsi="Lato" w:cs="Arial"/>
          <w:i/>
          <w:iCs/>
        </w:rPr>
        <w:t>także</w:t>
      </w:r>
      <w:r w:rsidRPr="00DE7B49">
        <w:rPr>
          <w:rFonts w:ascii="Lato" w:hAnsi="Lato" w:cs="Arial"/>
        </w:rPr>
        <w:t xml:space="preserve"> w formie tzw. wkładu przemysłowego</w:t>
      </w:r>
      <w:r w:rsidR="00764416" w:rsidRPr="00DE7B49">
        <w:rPr>
          <w:rFonts w:ascii="Lato" w:hAnsi="Lato" w:cs="Arial"/>
        </w:rPr>
        <w:t>/rzeczowego</w:t>
      </w:r>
      <w:r w:rsidRPr="00DE7B49">
        <w:rPr>
          <w:rFonts w:ascii="Lato" w:hAnsi="Lato" w:cs="Arial"/>
        </w:rPr>
        <w:t>, czyli np. wykazania kosztów wykorzystania własnej infrastruktury badawczej) lub ze środków publicznych.</w:t>
      </w:r>
    </w:p>
    <w:p w14:paraId="29388F02" w14:textId="3653DEF4" w:rsidR="00D11945" w:rsidRPr="00DE7B49" w:rsidRDefault="006B7D4C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Na stronie MON udostępniono wzór wniosku o </w:t>
      </w:r>
      <w:r w:rsidR="000D3DD6" w:rsidRPr="00DE7B49">
        <w:rPr>
          <w:rFonts w:ascii="Lato" w:hAnsi="Lato" w:cs="Arial"/>
        </w:rPr>
        <w:t xml:space="preserve">udzielenie poparcia MON oraz </w:t>
      </w:r>
      <w:r w:rsidRPr="00DE7B49">
        <w:rPr>
          <w:rFonts w:ascii="Lato" w:hAnsi="Lato" w:cs="Arial"/>
        </w:rPr>
        <w:t>współfinansowanie z budżetu MON projektu rozwojowego w ramach EDF</w:t>
      </w:r>
      <w:r w:rsidR="00021709" w:rsidRPr="00DE7B49">
        <w:rPr>
          <w:rFonts w:ascii="Lato" w:hAnsi="Lato" w:cs="Arial"/>
        </w:rPr>
        <w:t xml:space="preserve"> (zał. nr </w:t>
      </w:r>
      <w:r w:rsidR="002204B0" w:rsidRPr="00DE7B49">
        <w:rPr>
          <w:rFonts w:ascii="Lato" w:hAnsi="Lato" w:cs="Arial"/>
        </w:rPr>
        <w:t>2</w:t>
      </w:r>
      <w:r w:rsidR="00021709" w:rsidRPr="00DE7B49">
        <w:rPr>
          <w:rFonts w:ascii="Lato" w:hAnsi="Lato" w:cs="Arial"/>
        </w:rPr>
        <w:t>)</w:t>
      </w:r>
      <w:r w:rsidR="008C6A77" w:rsidRPr="00DE7B49">
        <w:rPr>
          <w:rFonts w:ascii="Lato" w:hAnsi="Lato" w:cs="Arial"/>
        </w:rPr>
        <w:t>.</w:t>
      </w:r>
    </w:p>
    <w:p w14:paraId="66A225F4" w14:textId="191A985A" w:rsidR="006B7D4C" w:rsidRPr="00DE7B49" w:rsidRDefault="006B7D4C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Ministerstwo Obrony Narodowej indywidualnie ocenia propozycje projektów rozwojowych EDF pod kątem </w:t>
      </w:r>
      <w:r w:rsidR="00D11945" w:rsidRPr="00DE7B49">
        <w:rPr>
          <w:rFonts w:ascii="Lato" w:hAnsi="Lato" w:cs="Arial"/>
        </w:rPr>
        <w:t xml:space="preserve">perspektywicznych </w:t>
      </w:r>
      <w:r w:rsidRPr="00DE7B49">
        <w:rPr>
          <w:rFonts w:ascii="Lato" w:hAnsi="Lato" w:cs="Arial"/>
        </w:rPr>
        <w:t>potrzeb Sił Zbrojnych RP oraz budowy w polski</w:t>
      </w:r>
      <w:r w:rsidR="008C6A77" w:rsidRPr="00DE7B49">
        <w:rPr>
          <w:rFonts w:ascii="Lato" w:hAnsi="Lato" w:cs="Arial"/>
        </w:rPr>
        <w:t>m</w:t>
      </w:r>
      <w:r w:rsidRPr="00DE7B49">
        <w:rPr>
          <w:rFonts w:ascii="Lato" w:hAnsi="Lato" w:cs="Arial"/>
        </w:rPr>
        <w:t xml:space="preserve"> sektorze obronnym</w:t>
      </w:r>
      <w:r w:rsidR="0022210A">
        <w:rPr>
          <w:rFonts w:ascii="Lato" w:hAnsi="Lato" w:cs="Arial"/>
        </w:rPr>
        <w:t xml:space="preserve"> związanych z nimi</w:t>
      </w:r>
      <w:r w:rsidRPr="00DE7B49">
        <w:rPr>
          <w:rFonts w:ascii="Lato" w:hAnsi="Lato" w:cs="Arial"/>
        </w:rPr>
        <w:t xml:space="preserve"> kompetencji technologicznych i przemysłowych.</w:t>
      </w:r>
    </w:p>
    <w:p w14:paraId="6F4CA6FE" w14:textId="75C9C0BA" w:rsidR="0025472A" w:rsidRPr="00DE7B49" w:rsidRDefault="0025472A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Na potrzeby krajowe projekty rozwojowe EDF MON dzieli na dwa rodzaje:</w:t>
      </w:r>
    </w:p>
    <w:p w14:paraId="6AAF5316" w14:textId="5E308AEB" w:rsidR="0025472A" w:rsidRPr="00DE7B49" w:rsidRDefault="0025472A" w:rsidP="00E9067D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lastRenderedPageBreak/>
        <w:t>Projekty rozwojowe sprzętowe – mają służyć realizacji danego wymagania operacyjnego/sprzętowego, oraz związane są z pozyskaniem sprzętu wojskowego</w:t>
      </w:r>
      <w:r w:rsidR="0054243D" w:rsidRPr="00DE7B49">
        <w:rPr>
          <w:rFonts w:ascii="Lato" w:hAnsi="Lato" w:cs="Arial"/>
          <w:sz w:val="22"/>
          <w:szCs w:val="22"/>
          <w:lang w:val="pl-PL"/>
        </w:rPr>
        <w:t xml:space="preserve"> (SpW)</w:t>
      </w:r>
      <w:r w:rsidRPr="00DE7B49">
        <w:rPr>
          <w:rFonts w:ascii="Lato" w:hAnsi="Lato" w:cs="Arial"/>
          <w:sz w:val="22"/>
          <w:szCs w:val="22"/>
          <w:lang w:val="pl-PL"/>
        </w:rPr>
        <w:t xml:space="preserve">. Będzie to niewielka część projektów. </w:t>
      </w:r>
    </w:p>
    <w:p w14:paraId="631353B9" w14:textId="2C536746" w:rsidR="0025472A" w:rsidRPr="00DE7B49" w:rsidRDefault="0025472A" w:rsidP="00E9067D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Lato" w:hAnsi="Lato" w:cs="Arial"/>
          <w:sz w:val="22"/>
          <w:szCs w:val="22"/>
          <w:lang w:val="pl-PL"/>
        </w:rPr>
      </w:pPr>
      <w:r w:rsidRPr="00DE7B49">
        <w:rPr>
          <w:rFonts w:ascii="Lato" w:hAnsi="Lato" w:cs="Arial"/>
          <w:sz w:val="22"/>
          <w:szCs w:val="22"/>
          <w:lang w:val="pl-PL"/>
        </w:rPr>
        <w:t>Projekty rozwojowe technologiczne – rozwój systemów i podsystemów SpW oraz rozwoju technologii na wysokich poziomach gotowości technologicznej. Takie projekty nie są analizowane wyłącznie z perspektywy danego wymagania operacyjnego/sprzętowego, ale</w:t>
      </w:r>
      <w:r w:rsidR="0054243D" w:rsidRPr="00DE7B49">
        <w:rPr>
          <w:rFonts w:ascii="Lato" w:hAnsi="Lato" w:cs="Arial"/>
          <w:sz w:val="22"/>
          <w:szCs w:val="22"/>
          <w:lang w:val="pl-PL"/>
        </w:rPr>
        <w:t xml:space="preserve"> także</w:t>
      </w:r>
      <w:r w:rsidRPr="00DE7B49">
        <w:rPr>
          <w:rFonts w:ascii="Lato" w:hAnsi="Lato" w:cs="Arial"/>
          <w:sz w:val="22"/>
          <w:szCs w:val="22"/>
          <w:lang w:val="pl-PL"/>
        </w:rPr>
        <w:t xml:space="preserve"> pod kątem perspektywicznych potrzeb </w:t>
      </w:r>
      <w:r w:rsidR="00A46FF0" w:rsidRPr="00DE7B49">
        <w:rPr>
          <w:rFonts w:ascii="Lato" w:hAnsi="Lato" w:cs="Arial"/>
          <w:sz w:val="22"/>
          <w:szCs w:val="22"/>
          <w:lang w:val="pl-PL"/>
        </w:rPr>
        <w:br/>
      </w:r>
      <w:r w:rsidRPr="00DE7B49">
        <w:rPr>
          <w:rFonts w:ascii="Lato" w:hAnsi="Lato" w:cs="Arial"/>
          <w:sz w:val="22"/>
          <w:szCs w:val="22"/>
          <w:lang w:val="pl-PL"/>
        </w:rPr>
        <w:t xml:space="preserve">Sił Zbrojnych RP, które są zdefiniowane w szeregu dokumentach. Z jawnych dokumentów na poziomie strategicznym jest to </w:t>
      </w:r>
      <w:r w:rsidRPr="00DE7B49">
        <w:rPr>
          <w:rFonts w:ascii="Lato" w:hAnsi="Lato" w:cs="Arial"/>
          <w:i/>
          <w:sz w:val="22"/>
          <w:szCs w:val="22"/>
          <w:lang w:val="pl-PL"/>
        </w:rPr>
        <w:t>Strategia Bezpieczeństwa Narodowego RP,</w:t>
      </w:r>
      <w:r w:rsidRPr="00DE7B49">
        <w:rPr>
          <w:rFonts w:ascii="Lato" w:hAnsi="Lato" w:cs="Arial"/>
          <w:sz w:val="22"/>
          <w:szCs w:val="22"/>
          <w:lang w:val="pl-PL"/>
        </w:rPr>
        <w:t xml:space="preserve"> a na poziomie technologicznym </w:t>
      </w:r>
      <w:r w:rsidRPr="00DE7B49">
        <w:rPr>
          <w:rFonts w:ascii="Lato" w:hAnsi="Lato" w:cs="Arial"/>
          <w:i/>
          <w:sz w:val="22"/>
          <w:szCs w:val="22"/>
          <w:lang w:val="pl-PL"/>
        </w:rPr>
        <w:t xml:space="preserve">Priorytetowe Kierunki Badań </w:t>
      </w:r>
      <w:r w:rsidR="00A46FF0" w:rsidRPr="00DE7B49">
        <w:rPr>
          <w:rFonts w:ascii="Lato" w:hAnsi="Lato" w:cs="Arial"/>
          <w:i/>
          <w:sz w:val="22"/>
          <w:szCs w:val="22"/>
          <w:lang w:val="pl-PL"/>
        </w:rPr>
        <w:br/>
      </w:r>
      <w:r w:rsidRPr="00DE7B49">
        <w:rPr>
          <w:rFonts w:ascii="Lato" w:hAnsi="Lato" w:cs="Arial"/>
          <w:i/>
          <w:sz w:val="22"/>
          <w:szCs w:val="22"/>
          <w:lang w:val="pl-PL"/>
        </w:rPr>
        <w:t>w resorcie obrony narodowej</w:t>
      </w:r>
      <w:r w:rsidR="00A46FF0" w:rsidRPr="00DE7B49">
        <w:rPr>
          <w:rFonts w:ascii="Lato" w:hAnsi="Lato" w:cs="Arial"/>
          <w:i/>
          <w:sz w:val="22"/>
          <w:szCs w:val="22"/>
          <w:lang w:val="pl-PL"/>
        </w:rPr>
        <w:t xml:space="preserve"> w latach 2021-2035</w:t>
      </w:r>
      <w:r w:rsidRPr="00DE7B49">
        <w:rPr>
          <w:rFonts w:ascii="Lato" w:hAnsi="Lato" w:cs="Arial"/>
          <w:sz w:val="22"/>
          <w:szCs w:val="22"/>
          <w:lang w:val="pl-PL"/>
        </w:rPr>
        <w:t>, które są podstawowym dokumentem referencyjnym MON w zakresie priorytetowych technologii. Ponadto, potrzeby SZ RP są zdefiniowane, w szczególności pod kątem zdolno</w:t>
      </w:r>
      <w:r w:rsidR="0054243D" w:rsidRPr="00DE7B49">
        <w:rPr>
          <w:rFonts w:ascii="Lato" w:hAnsi="Lato" w:cs="Arial"/>
          <w:sz w:val="22"/>
          <w:szCs w:val="22"/>
          <w:lang w:val="pl-PL"/>
        </w:rPr>
        <w:t xml:space="preserve">ści, </w:t>
      </w:r>
      <w:r w:rsidR="00A46FF0" w:rsidRPr="00DE7B49">
        <w:rPr>
          <w:rFonts w:ascii="Lato" w:hAnsi="Lato" w:cs="Arial"/>
          <w:sz w:val="22"/>
          <w:szCs w:val="22"/>
          <w:lang w:val="pl-PL"/>
        </w:rPr>
        <w:br/>
      </w:r>
      <w:r w:rsidR="0054243D" w:rsidRPr="00DE7B49">
        <w:rPr>
          <w:rFonts w:ascii="Lato" w:hAnsi="Lato" w:cs="Arial"/>
          <w:sz w:val="22"/>
          <w:szCs w:val="22"/>
          <w:lang w:val="pl-PL"/>
        </w:rPr>
        <w:t>w</w:t>
      </w:r>
      <w:r w:rsidRPr="00DE7B49">
        <w:rPr>
          <w:rFonts w:ascii="Lato" w:hAnsi="Lato" w:cs="Arial"/>
          <w:sz w:val="22"/>
          <w:szCs w:val="22"/>
          <w:lang w:val="pl-PL"/>
        </w:rPr>
        <w:t xml:space="preserve"> innych dokumentach niejawnych. Projekty rozwojowe technologiczne to będzie zdecydowana większość projektów rozwojowych EDF.</w:t>
      </w:r>
    </w:p>
    <w:p w14:paraId="5D7C92FE" w14:textId="461F844B" w:rsidR="00764416" w:rsidRPr="00DE7B49" w:rsidRDefault="00764416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MON szczególną uwagę zwraca na projekty rozwojowe, w których polscy wykonawcy odpowiadają za opracowanie kompletnych rozwiązań sprzętowych i systemowych </w:t>
      </w:r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 xml:space="preserve">lub ich elementów czy podsystemów, które mogą zostać zastosowane do wytworzenia produktów na potrzeby wojska (np. poprzez </w:t>
      </w:r>
      <w:r w:rsidR="00A46FF0" w:rsidRPr="00DE7B49">
        <w:rPr>
          <w:rFonts w:ascii="Lato" w:hAnsi="Lato" w:cs="Arial"/>
        </w:rPr>
        <w:t xml:space="preserve">pełnienie funkcji lidera projektu lub </w:t>
      </w:r>
      <w:r w:rsidRPr="00DE7B49">
        <w:rPr>
          <w:rFonts w:ascii="Lato" w:hAnsi="Lato" w:cs="Arial"/>
        </w:rPr>
        <w:t xml:space="preserve">kierowanie całym danym pakietem roboczym w </w:t>
      </w:r>
      <w:r w:rsidR="00A46FF0" w:rsidRPr="00DE7B49">
        <w:rPr>
          <w:rFonts w:ascii="Lato" w:hAnsi="Lato" w:cs="Arial"/>
        </w:rPr>
        <w:t>ramach projektu</w:t>
      </w:r>
      <w:r w:rsidRPr="00DE7B49">
        <w:rPr>
          <w:rFonts w:ascii="Lato" w:hAnsi="Lato" w:cs="Arial"/>
        </w:rPr>
        <w:t xml:space="preserve">), aby zapewnić efektywną budowę </w:t>
      </w:r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w Polsce kompetencji technologicznych i przemysłowych, które pozwolą zaspokajać perspektywiczne potrzeby Sił Zbrojnych RP.</w:t>
      </w:r>
    </w:p>
    <w:p w14:paraId="5B5B7BD0" w14:textId="5CA25EDD" w:rsidR="00764416" w:rsidRPr="00DE7B49" w:rsidRDefault="00764416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Projekty rozwojowe przygotowywane w ramach następujących </w:t>
      </w:r>
      <w:r w:rsidR="00A46FF0" w:rsidRPr="00DE7B49">
        <w:rPr>
          <w:rFonts w:ascii="Lato" w:hAnsi="Lato" w:cs="Arial"/>
        </w:rPr>
        <w:t>kategorii konkursowych</w:t>
      </w:r>
      <w:r w:rsidRPr="00DE7B49">
        <w:rPr>
          <w:rFonts w:ascii="Lato" w:hAnsi="Lato" w:cs="Arial"/>
        </w:rPr>
        <w:t xml:space="preserve"> będą</w:t>
      </w:r>
      <w:r w:rsidR="00486034" w:rsidRPr="00DE7B49">
        <w:rPr>
          <w:rFonts w:ascii="Lato" w:hAnsi="Lato" w:cs="Arial"/>
        </w:rPr>
        <w:t xml:space="preserve"> traktowane przez MON</w:t>
      </w:r>
      <w:r w:rsidRPr="00DE7B49">
        <w:rPr>
          <w:rFonts w:ascii="Lato" w:hAnsi="Lato" w:cs="Arial"/>
        </w:rPr>
        <w:t xml:space="preserve"> jako priorytetowe:</w:t>
      </w:r>
    </w:p>
    <w:p w14:paraId="385B406D" w14:textId="05162B99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Information superiority</w:t>
      </w:r>
    </w:p>
    <w:p w14:paraId="1FC36DA4" w14:textId="77777777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Cyber</w:t>
      </w:r>
    </w:p>
    <w:p w14:paraId="2751F077" w14:textId="77777777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Space</w:t>
      </w:r>
    </w:p>
    <w:p w14:paraId="0D82CE70" w14:textId="77777777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Air combat</w:t>
      </w:r>
    </w:p>
    <w:p w14:paraId="6E3663EB" w14:textId="38F1276F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Air &amp; missile defence</w:t>
      </w:r>
    </w:p>
    <w:p w14:paraId="16829AF4" w14:textId="69407C7A" w:rsidR="001D3E19" w:rsidRPr="00DE7B49" w:rsidRDefault="001D3E19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Anti-drone systems</w:t>
      </w:r>
    </w:p>
    <w:p w14:paraId="37A42848" w14:textId="77777777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Ground combat</w:t>
      </w:r>
    </w:p>
    <w:p w14:paraId="2FAA1A04" w14:textId="77777777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Naval combat</w:t>
      </w:r>
    </w:p>
    <w:p w14:paraId="2BB4C659" w14:textId="77777777" w:rsidR="00A46FF0" w:rsidRPr="00DE7B49" w:rsidRDefault="00A46FF0" w:rsidP="00A46FF0">
      <w:pPr>
        <w:pStyle w:val="Akapitzlist"/>
        <w:numPr>
          <w:ilvl w:val="0"/>
          <w:numId w:val="31"/>
        </w:numPr>
        <w:suppressAutoHyphens w:val="0"/>
        <w:spacing w:before="120" w:after="120" w:line="276" w:lineRule="auto"/>
        <w:ind w:left="709" w:hanging="425"/>
        <w:contextualSpacing/>
        <w:jc w:val="both"/>
        <w:rPr>
          <w:rFonts w:ascii="Lato" w:eastAsiaTheme="minorHAnsi" w:hAnsi="Lato" w:cs="Arial"/>
          <w:kern w:val="0"/>
          <w:sz w:val="22"/>
          <w:szCs w:val="22"/>
          <w:lang w:val="pl-PL" w:eastAsia="en-US"/>
        </w:rPr>
      </w:pPr>
      <w:r w:rsidRPr="00DE7B49">
        <w:rPr>
          <w:rFonts w:ascii="Lato" w:eastAsiaTheme="minorHAnsi" w:hAnsi="Lato" w:cs="Arial"/>
          <w:kern w:val="0"/>
          <w:sz w:val="22"/>
          <w:szCs w:val="22"/>
          <w:lang w:val="pl-PL" w:eastAsia="en-US"/>
        </w:rPr>
        <w:t>Underwater warfare</w:t>
      </w:r>
    </w:p>
    <w:p w14:paraId="7BFEEF9A" w14:textId="4079188A" w:rsidR="00764416" w:rsidRPr="00DE7B49" w:rsidRDefault="00764416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Wskazanie priorytetów nie oznacza automatycznie wsparcia projektów w tych obszarach. Każdy projekt będzie oceniany indywidualnie zgodnie z </w:t>
      </w:r>
      <w:r w:rsidR="003F7522" w:rsidRPr="00DE7B49">
        <w:rPr>
          <w:rFonts w:ascii="Lato" w:hAnsi="Lato" w:cs="Arial"/>
        </w:rPr>
        <w:t>przewidzianymi procedurami</w:t>
      </w:r>
      <w:r w:rsidRPr="00DE7B49">
        <w:rPr>
          <w:rFonts w:ascii="Lato" w:hAnsi="Lato" w:cs="Arial"/>
        </w:rPr>
        <w:t>.</w:t>
      </w:r>
      <w:r w:rsidR="00A46FF0" w:rsidRPr="00DE7B49">
        <w:rPr>
          <w:rFonts w:ascii="Lato" w:hAnsi="Lato" w:cs="Arial"/>
        </w:rPr>
        <w:t xml:space="preserve"> </w:t>
      </w:r>
      <w:r w:rsidRPr="00DE7B49">
        <w:rPr>
          <w:rFonts w:ascii="Lato" w:hAnsi="Lato" w:cs="Arial"/>
        </w:rPr>
        <w:t>Jednocześnie nie wyklucza się poparcia innych projektów niż w ramach wskazanych priorytetów</w:t>
      </w:r>
      <w:r w:rsidR="003F7522" w:rsidRPr="00DE7B49">
        <w:rPr>
          <w:rFonts w:ascii="Lato" w:hAnsi="Lato" w:cs="Arial"/>
        </w:rPr>
        <w:t>.</w:t>
      </w:r>
    </w:p>
    <w:p w14:paraId="47A1980F" w14:textId="16ADB336" w:rsidR="001D3E19" w:rsidRPr="00DE7B49" w:rsidRDefault="001D3E19" w:rsidP="00521599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Projekty badawcze EDF </w:t>
      </w:r>
      <w:r w:rsidR="00CB5D1A" w:rsidRPr="00DE7B49">
        <w:rPr>
          <w:rFonts w:ascii="Lato" w:hAnsi="Lato" w:cs="Arial"/>
        </w:rPr>
        <w:t xml:space="preserve">2026 </w:t>
      </w:r>
      <w:r w:rsidRPr="00DE7B49">
        <w:rPr>
          <w:rFonts w:ascii="Lato" w:hAnsi="Lato" w:cs="Arial"/>
        </w:rPr>
        <w:t>są w pełni finansowane przez Komisję Europejską. Podmioty realizujące projekty badawcze i ubiegające się o finasowanie mogą wypełnić i złożyć wniosek informacyjny, co pozwoli MON na udzielanie wsparcia i pomocy w trakcie realizac</w:t>
      </w:r>
      <w:r w:rsidR="004075A6" w:rsidRPr="00DE7B49">
        <w:rPr>
          <w:rFonts w:ascii="Lato" w:hAnsi="Lato" w:cs="Arial"/>
        </w:rPr>
        <w:t>ji projektu, poprzez</w:t>
      </w:r>
      <w:r w:rsidR="004075A6" w:rsidRPr="00DE7B49">
        <w:rPr>
          <w:rFonts w:ascii="Lato" w:hAnsi="Lato"/>
        </w:rPr>
        <w:t xml:space="preserve"> </w:t>
      </w:r>
      <w:r w:rsidR="004075A6" w:rsidRPr="00DE7B49">
        <w:rPr>
          <w:rFonts w:ascii="Lato" w:hAnsi="Lato" w:cs="Arial"/>
        </w:rPr>
        <w:t>ułatwienie dotarcia do ewentualnego użytkownika końcowego lub pozyskiwania informacji na temat preferowanej charakterystyki opracowywanej technologii.</w:t>
      </w:r>
    </w:p>
    <w:p w14:paraId="72686B08" w14:textId="16139337" w:rsidR="00521599" w:rsidRPr="00DE7B49" w:rsidRDefault="00521599" w:rsidP="00E9067D">
      <w:pPr>
        <w:spacing w:before="120" w:after="120" w:line="240" w:lineRule="auto"/>
        <w:jc w:val="both"/>
        <w:rPr>
          <w:rFonts w:ascii="Lato" w:hAnsi="Lato" w:cs="Arial"/>
          <w:sz w:val="10"/>
        </w:rPr>
      </w:pPr>
    </w:p>
    <w:p w14:paraId="08036772" w14:textId="77777777" w:rsidR="001D3E19" w:rsidRPr="00DE7B49" w:rsidRDefault="001D3E19" w:rsidP="00E9067D">
      <w:pPr>
        <w:spacing w:before="120" w:after="120" w:line="240" w:lineRule="auto"/>
        <w:jc w:val="both"/>
        <w:rPr>
          <w:rFonts w:ascii="Lato" w:hAnsi="Lato" w:cs="Arial"/>
          <w:sz w:val="10"/>
        </w:rPr>
      </w:pPr>
    </w:p>
    <w:p w14:paraId="67C9B80A" w14:textId="77777777" w:rsidR="00A22733" w:rsidRPr="00DE7B49" w:rsidRDefault="00A22733" w:rsidP="00E9067D">
      <w:pPr>
        <w:spacing w:before="120" w:after="120" w:line="240" w:lineRule="auto"/>
        <w:jc w:val="both"/>
        <w:rPr>
          <w:rFonts w:ascii="Lato" w:hAnsi="Lato" w:cs="Arial"/>
          <w:b/>
        </w:rPr>
      </w:pPr>
      <w:r w:rsidRPr="00DE7B49">
        <w:rPr>
          <w:rFonts w:ascii="Lato" w:hAnsi="Lato" w:cs="Arial"/>
          <w:b/>
        </w:rPr>
        <w:t>Podmioty kwalifikujące się do wsparcia MON w zw. z udziałem w EDF 2026</w:t>
      </w:r>
    </w:p>
    <w:p w14:paraId="34943927" w14:textId="067A89B2" w:rsidR="00A22733" w:rsidRPr="00DE7B49" w:rsidRDefault="00A22733" w:rsidP="00E9067D">
      <w:pPr>
        <w:spacing w:before="120" w:after="120" w:line="240" w:lineRule="auto"/>
        <w:jc w:val="both"/>
        <w:rPr>
          <w:rFonts w:ascii="Lato" w:hAnsi="Lato" w:cs="Arial"/>
          <w:bCs/>
        </w:rPr>
      </w:pPr>
      <w:r w:rsidRPr="00DE7B49">
        <w:rPr>
          <w:rFonts w:ascii="Lato" w:hAnsi="Lato" w:cs="Arial"/>
          <w:bCs/>
        </w:rPr>
        <w:t xml:space="preserve">W związku z </w:t>
      </w:r>
      <w:r w:rsidR="004C4308" w:rsidRPr="00DE7B49">
        <w:rPr>
          <w:rFonts w:ascii="Lato" w:hAnsi="Lato" w:cs="Arial"/>
          <w:bCs/>
        </w:rPr>
        <w:t xml:space="preserve">przepisami wewnętrznymi MON oraz Wytycznymi Sekretarza Stanu, o wsparcie MON </w:t>
      </w:r>
      <w:r w:rsidR="00B13F7F">
        <w:rPr>
          <w:rFonts w:ascii="Lato" w:hAnsi="Lato" w:cs="Arial"/>
          <w:bCs/>
        </w:rPr>
        <w:t>dotyczące udziału</w:t>
      </w:r>
      <w:r w:rsidR="004C4308" w:rsidRPr="00DE7B49">
        <w:rPr>
          <w:rFonts w:ascii="Lato" w:hAnsi="Lato" w:cs="Arial"/>
          <w:bCs/>
        </w:rPr>
        <w:t xml:space="preserve"> w projektach EDF 2026 mogą ubiegać się </w:t>
      </w:r>
      <w:r w:rsidR="004C4308" w:rsidRPr="00DE7B49">
        <w:rPr>
          <w:rFonts w:ascii="Lato" w:hAnsi="Lato" w:cs="Arial"/>
          <w:b/>
        </w:rPr>
        <w:t xml:space="preserve">polskie </w:t>
      </w:r>
      <w:r w:rsidR="004C4308" w:rsidRPr="00DE7B49">
        <w:rPr>
          <w:rFonts w:ascii="Lato" w:hAnsi="Lato" w:cs="Arial"/>
          <w:b/>
        </w:rPr>
        <w:lastRenderedPageBreak/>
        <w:t>podmioty</w:t>
      </w:r>
      <w:r w:rsidR="004C4308" w:rsidRPr="00DE7B49">
        <w:rPr>
          <w:rFonts w:ascii="Lato" w:hAnsi="Lato" w:cs="Arial"/>
          <w:bCs/>
        </w:rPr>
        <w:t xml:space="preserve">, których siedziba, infrastruktura, obiekty, aktywa i zasoby przewidziane do wykorzystania przy realizacji projektu znajdują się na terytorium Polski oraz które </w:t>
      </w:r>
      <w:r w:rsidR="004C4308" w:rsidRPr="00DE7B49">
        <w:rPr>
          <w:rFonts w:ascii="Lato" w:hAnsi="Lato" w:cs="Arial"/>
          <w:b/>
        </w:rPr>
        <w:t>nie podlegają kontroli innego państwa lub podmiotowi z innego państwa</w:t>
      </w:r>
      <w:r w:rsidR="004C4308" w:rsidRPr="00DE7B49">
        <w:rPr>
          <w:rFonts w:ascii="Lato" w:hAnsi="Lato" w:cs="Arial"/>
          <w:bCs/>
        </w:rPr>
        <w:t xml:space="preserve">. Wymagane jest również uzupełnienie wniosku o </w:t>
      </w:r>
      <w:r w:rsidR="004C4308" w:rsidRPr="00DE7B49">
        <w:rPr>
          <w:rFonts w:ascii="Lato" w:hAnsi="Lato" w:cs="Arial"/>
          <w:b/>
        </w:rPr>
        <w:t>dodatkową dokumentację</w:t>
      </w:r>
      <w:r w:rsidR="004C4308" w:rsidRPr="00DE7B49">
        <w:rPr>
          <w:rFonts w:ascii="Lato" w:hAnsi="Lato" w:cs="Arial"/>
          <w:bCs/>
        </w:rPr>
        <w:t xml:space="preserve">: </w:t>
      </w:r>
      <w:hyperlink r:id="rId12" w:history="1">
        <w:r w:rsidR="004C4308" w:rsidRPr="00DE7B49">
          <w:rPr>
            <w:rStyle w:val="Hipercze"/>
            <w:rFonts w:ascii="Lato" w:hAnsi="Lato"/>
          </w:rPr>
          <w:t>wypis z Krajowego Rejestru Karnego</w:t>
        </w:r>
      </w:hyperlink>
      <w:r w:rsidR="004C4308" w:rsidRPr="00DE7B49">
        <w:rPr>
          <w:rFonts w:ascii="Lato" w:hAnsi="Lato" w:cs="Arial"/>
          <w:bCs/>
        </w:rPr>
        <w:t xml:space="preserve">, </w:t>
      </w:r>
      <w:hyperlink r:id="rId13" w:history="1">
        <w:r w:rsidR="004C4308" w:rsidRPr="00DE7B49">
          <w:rPr>
            <w:rStyle w:val="Hipercze"/>
            <w:rFonts w:ascii="Lato" w:hAnsi="Lato"/>
          </w:rPr>
          <w:t>wypis z Urzędu Skarbowego</w:t>
        </w:r>
      </w:hyperlink>
      <w:r w:rsidR="004C4308" w:rsidRPr="00DE7B49">
        <w:rPr>
          <w:rFonts w:ascii="Lato" w:hAnsi="Lato" w:cs="Arial"/>
          <w:bCs/>
        </w:rPr>
        <w:t xml:space="preserve">,  a także </w:t>
      </w:r>
      <w:hyperlink r:id="rId14" w:history="1">
        <w:r w:rsidR="004C4308" w:rsidRPr="00DE7B49">
          <w:rPr>
            <w:rStyle w:val="Hipercze"/>
            <w:rFonts w:ascii="Lato" w:hAnsi="Lato"/>
          </w:rPr>
          <w:t>zaświadczenie o niezaleganiu w opłacaniu składek ZUS</w:t>
        </w:r>
      </w:hyperlink>
      <w:r w:rsidR="004C4308" w:rsidRPr="00DE7B49">
        <w:rPr>
          <w:rFonts w:ascii="Lato" w:hAnsi="Lato" w:cs="Arial"/>
          <w:bCs/>
        </w:rPr>
        <w:t>.</w:t>
      </w:r>
    </w:p>
    <w:p w14:paraId="3E625792" w14:textId="605FB9E4" w:rsidR="004C4308" w:rsidRDefault="004C4308" w:rsidP="00E9067D">
      <w:pPr>
        <w:spacing w:before="120" w:after="120" w:line="240" w:lineRule="auto"/>
        <w:jc w:val="both"/>
        <w:rPr>
          <w:rFonts w:ascii="Lato" w:hAnsi="Lato" w:cs="Arial"/>
          <w:bCs/>
        </w:rPr>
      </w:pPr>
      <w:r w:rsidRPr="00DE7B49">
        <w:rPr>
          <w:rFonts w:ascii="Lato" w:hAnsi="Lato" w:cs="Arial"/>
          <w:bCs/>
        </w:rPr>
        <w:t xml:space="preserve">Wymogi te dotyczą zarówno </w:t>
      </w:r>
      <w:r w:rsidR="002D6FED" w:rsidRPr="00DE7B49">
        <w:rPr>
          <w:rFonts w:ascii="Lato" w:hAnsi="Lato" w:cs="Arial"/>
          <w:bCs/>
        </w:rPr>
        <w:t>projektów rozwojowych (wniosek o poparcie i współfinansowanie MON), jak również projektów badawczych (wniosek informacyjny).</w:t>
      </w:r>
    </w:p>
    <w:p w14:paraId="492467FB" w14:textId="0E98C6BB" w:rsidR="0022210A" w:rsidRPr="00DE7B49" w:rsidRDefault="0022210A" w:rsidP="00E9067D">
      <w:pPr>
        <w:spacing w:before="120" w:after="120" w:line="240" w:lineRule="auto"/>
        <w:jc w:val="both"/>
        <w:rPr>
          <w:rFonts w:ascii="Lato" w:hAnsi="Lato" w:cs="Arial"/>
          <w:bCs/>
        </w:rPr>
      </w:pPr>
      <w:r>
        <w:rPr>
          <w:rFonts w:ascii="Lato" w:hAnsi="Lato" w:cs="Arial"/>
          <w:bCs/>
        </w:rPr>
        <w:t>Ponadto w przypadku projektów rozwojowych</w:t>
      </w:r>
      <w:r w:rsidR="005911A1">
        <w:rPr>
          <w:rFonts w:ascii="Lato" w:hAnsi="Lato" w:cs="Arial"/>
          <w:bCs/>
        </w:rPr>
        <w:t xml:space="preserve"> wprowadzono </w:t>
      </w:r>
      <w:r w:rsidR="005911A1" w:rsidRPr="00DE7B49">
        <w:rPr>
          <w:rFonts w:ascii="Lato" w:hAnsi="Lato" w:cs="Arial"/>
          <w:b/>
        </w:rPr>
        <w:t xml:space="preserve">wymóg min. 3% wartości </w:t>
      </w:r>
      <w:r w:rsidR="00603207">
        <w:rPr>
          <w:rFonts w:ascii="Lato" w:hAnsi="Lato" w:cs="Arial"/>
          <w:b/>
        </w:rPr>
        <w:t xml:space="preserve">grantu Komisji Europejskiej </w:t>
      </w:r>
      <w:r w:rsidR="005911A1" w:rsidRPr="00DE7B49">
        <w:rPr>
          <w:rFonts w:ascii="Lato" w:hAnsi="Lato" w:cs="Arial"/>
          <w:b/>
        </w:rPr>
        <w:t>przypadających na podmiot ubiegający się o poparcie MON</w:t>
      </w:r>
      <w:r w:rsidR="005911A1">
        <w:rPr>
          <w:rFonts w:ascii="Lato" w:hAnsi="Lato" w:cs="Arial"/>
          <w:bCs/>
        </w:rPr>
        <w:t xml:space="preserve">. Co do zasady podmioty powinny również  </w:t>
      </w:r>
      <w:r w:rsidR="005911A1" w:rsidRPr="00DE7B49">
        <w:rPr>
          <w:rFonts w:ascii="Lato" w:hAnsi="Lato" w:cs="Arial"/>
          <w:b/>
        </w:rPr>
        <w:t xml:space="preserve">partycypować </w:t>
      </w:r>
      <w:r w:rsidR="00333807" w:rsidRPr="00DE7B49">
        <w:rPr>
          <w:rFonts w:ascii="Lato" w:hAnsi="Lato" w:cs="Arial"/>
          <w:b/>
        </w:rPr>
        <w:t xml:space="preserve">w kosztach </w:t>
      </w:r>
      <w:r w:rsidR="00FC69B1" w:rsidRPr="00DE7B49">
        <w:rPr>
          <w:rFonts w:ascii="Lato" w:hAnsi="Lato" w:cs="Arial"/>
          <w:b/>
        </w:rPr>
        <w:t>współfinansowania</w:t>
      </w:r>
      <w:r w:rsidR="00333807" w:rsidRPr="00DE7B49">
        <w:rPr>
          <w:rFonts w:ascii="Lato" w:hAnsi="Lato" w:cs="Arial"/>
          <w:b/>
        </w:rPr>
        <w:t xml:space="preserve"> krajowego</w:t>
      </w:r>
      <w:r w:rsidR="00333807">
        <w:rPr>
          <w:rFonts w:ascii="Lato" w:hAnsi="Lato" w:cs="Arial"/>
          <w:bCs/>
        </w:rPr>
        <w:t xml:space="preserve"> (wkład finansowy lub przemysłowy). </w:t>
      </w:r>
      <w:r w:rsidR="00FC69B1">
        <w:rPr>
          <w:rFonts w:ascii="Lato" w:hAnsi="Lato" w:cs="Arial"/>
          <w:bCs/>
        </w:rPr>
        <w:t>W uzasadnionych przypadkach i za uprzednim wnioskiem, MON może odejść od tego wymogu.</w:t>
      </w:r>
    </w:p>
    <w:p w14:paraId="79E3BB00" w14:textId="77777777" w:rsidR="00A22733" w:rsidRPr="00DE7B49" w:rsidRDefault="00A22733" w:rsidP="00E9067D">
      <w:pPr>
        <w:spacing w:before="120" w:after="120" w:line="240" w:lineRule="auto"/>
        <w:jc w:val="both"/>
        <w:rPr>
          <w:rFonts w:ascii="Lato" w:hAnsi="Lato" w:cs="Arial"/>
          <w:b/>
        </w:rPr>
      </w:pPr>
    </w:p>
    <w:p w14:paraId="5271F655" w14:textId="1555A286" w:rsidR="009B03A7" w:rsidRPr="00DE7B49" w:rsidRDefault="009B03A7" w:rsidP="00E9067D">
      <w:pPr>
        <w:spacing w:before="120" w:after="120" w:line="240" w:lineRule="auto"/>
        <w:jc w:val="both"/>
        <w:rPr>
          <w:rFonts w:ascii="Lato" w:hAnsi="Lato" w:cs="Arial"/>
          <w:b/>
        </w:rPr>
      </w:pPr>
      <w:r w:rsidRPr="00DE7B49">
        <w:rPr>
          <w:rFonts w:ascii="Lato" w:hAnsi="Lato" w:cs="Arial"/>
          <w:b/>
        </w:rPr>
        <w:t xml:space="preserve">EDF </w:t>
      </w:r>
      <w:r w:rsidR="002D6FED" w:rsidRPr="00DE7B49">
        <w:rPr>
          <w:rFonts w:ascii="Lato" w:hAnsi="Lato" w:cs="Arial"/>
          <w:b/>
        </w:rPr>
        <w:t>2026</w:t>
      </w:r>
    </w:p>
    <w:p w14:paraId="5430C21C" w14:textId="0700A4CB" w:rsidR="009B03A7" w:rsidRPr="00DE7B49" w:rsidRDefault="009B03A7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W </w:t>
      </w:r>
      <w:r w:rsidR="004E03DE" w:rsidRPr="00DE7B49">
        <w:rPr>
          <w:rFonts w:ascii="Lato" w:hAnsi="Lato" w:cs="Arial"/>
        </w:rPr>
        <w:t>dniu</w:t>
      </w:r>
      <w:r w:rsidR="00673B5F" w:rsidRPr="00DE7B49">
        <w:rPr>
          <w:rFonts w:ascii="Lato" w:hAnsi="Lato" w:cs="Arial"/>
        </w:rPr>
        <w:t xml:space="preserve"> </w:t>
      </w:r>
      <w:r w:rsidR="002D6FED" w:rsidRPr="00DE7B49">
        <w:rPr>
          <w:rFonts w:ascii="Lato" w:hAnsi="Lato" w:cs="Arial"/>
        </w:rPr>
        <w:t>17.12</w:t>
      </w:r>
      <w:r w:rsidR="00A46FF0" w:rsidRPr="00DE7B49">
        <w:rPr>
          <w:rFonts w:ascii="Lato" w:hAnsi="Lato" w:cs="Arial"/>
        </w:rPr>
        <w:t>.202</w:t>
      </w:r>
      <w:r w:rsidR="006C6D52" w:rsidRPr="00DE7B49">
        <w:rPr>
          <w:rFonts w:ascii="Lato" w:hAnsi="Lato" w:cs="Arial"/>
        </w:rPr>
        <w:t>5</w:t>
      </w:r>
      <w:r w:rsidR="0054243D" w:rsidRPr="00DE7B49">
        <w:rPr>
          <w:rFonts w:ascii="Lato" w:hAnsi="Lato" w:cs="Arial"/>
        </w:rPr>
        <w:t xml:space="preserve"> r.</w:t>
      </w:r>
      <w:r w:rsidRPr="00DE7B49">
        <w:rPr>
          <w:rFonts w:ascii="Lato" w:hAnsi="Lato" w:cs="Arial"/>
        </w:rPr>
        <w:t xml:space="preserve"> Komisja Europejska</w:t>
      </w:r>
      <w:r w:rsidR="006C6D52" w:rsidRPr="00DE7B49">
        <w:rPr>
          <w:rFonts w:ascii="Lato" w:hAnsi="Lato" w:cs="Arial"/>
        </w:rPr>
        <w:t xml:space="preserve"> </w:t>
      </w:r>
      <w:r w:rsidR="00707F74" w:rsidRPr="00DE7B49">
        <w:rPr>
          <w:rFonts w:ascii="Lato" w:hAnsi="Lato"/>
        </w:rPr>
        <w:t xml:space="preserve">opublikowała </w:t>
      </w:r>
      <w:hyperlink r:id="rId15" w:history="1">
        <w:r w:rsidR="00707F74" w:rsidRPr="00DE7B49">
          <w:rPr>
            <w:rStyle w:val="Hipercze"/>
            <w:rFonts w:ascii="Lato" w:hAnsi="Lato" w:cs="Arial"/>
          </w:rPr>
          <w:t>Program Prac EDF na 2026 r.</w:t>
        </w:r>
      </w:hyperlink>
      <w:r w:rsidR="00A46FF0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w którym ujęte zostały tegoroczne konkursy EDF (</w:t>
      </w:r>
      <w:r w:rsidRPr="00DE7B49">
        <w:rPr>
          <w:rFonts w:ascii="Lato" w:hAnsi="Lato" w:cs="Arial"/>
          <w:i/>
        </w:rPr>
        <w:t>call for proposals</w:t>
      </w:r>
      <w:r w:rsidRPr="00DE7B49">
        <w:rPr>
          <w:rFonts w:ascii="Lato" w:hAnsi="Lato" w:cs="Arial"/>
        </w:rPr>
        <w:t xml:space="preserve">). </w:t>
      </w:r>
    </w:p>
    <w:p w14:paraId="71F58D3C" w14:textId="1AA5FE26" w:rsidR="009B03A7" w:rsidRPr="00DE7B49" w:rsidRDefault="00B41AD0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  <w:i/>
        </w:rPr>
        <w:t>C</w:t>
      </w:r>
      <w:r w:rsidR="009B03A7" w:rsidRPr="00DE7B49">
        <w:rPr>
          <w:rFonts w:ascii="Lato" w:hAnsi="Lato" w:cs="Arial"/>
          <w:i/>
        </w:rPr>
        <w:t>all for proposals</w:t>
      </w:r>
      <w:r w:rsidR="009B03A7" w:rsidRPr="00DE7B49">
        <w:rPr>
          <w:rFonts w:ascii="Lato" w:hAnsi="Lato" w:cs="Arial"/>
        </w:rPr>
        <w:t xml:space="preserve"> zosta</w:t>
      </w:r>
      <w:r w:rsidR="00673B5F" w:rsidRPr="00DE7B49">
        <w:rPr>
          <w:rFonts w:ascii="Lato" w:hAnsi="Lato" w:cs="Arial"/>
        </w:rPr>
        <w:t>ną</w:t>
      </w:r>
      <w:r w:rsidR="009B03A7" w:rsidRPr="00DE7B49">
        <w:rPr>
          <w:rFonts w:ascii="Lato" w:hAnsi="Lato" w:cs="Arial"/>
        </w:rPr>
        <w:t xml:space="preserve"> także umieszczone na portalu Komisji Europejskiej „</w:t>
      </w:r>
      <w:r w:rsidR="009B03A7" w:rsidRPr="00DE7B49">
        <w:rPr>
          <w:rFonts w:ascii="Lato" w:hAnsi="Lato" w:cs="Arial"/>
          <w:u w:val="single"/>
        </w:rPr>
        <w:t>Funding &amp; tender</w:t>
      </w:r>
      <w:r w:rsidR="009B03A7" w:rsidRPr="00DE7B49">
        <w:rPr>
          <w:rFonts w:ascii="Lato" w:hAnsi="Lato" w:cs="Arial"/>
        </w:rPr>
        <w:t xml:space="preserve">”, który wykorzystywany jest </w:t>
      </w:r>
      <w:r w:rsidR="000E7276" w:rsidRPr="00DE7B49">
        <w:rPr>
          <w:rFonts w:ascii="Lato" w:hAnsi="Lato" w:cs="Arial"/>
        </w:rPr>
        <w:t>d</w:t>
      </w:r>
      <w:r w:rsidR="009B03A7" w:rsidRPr="00DE7B49">
        <w:rPr>
          <w:rFonts w:ascii="Lato" w:hAnsi="Lato" w:cs="Arial"/>
        </w:rPr>
        <w:t xml:space="preserve">o aplikowania przez konsorcja. </w:t>
      </w:r>
    </w:p>
    <w:p w14:paraId="28059232" w14:textId="582ECC8C" w:rsidR="009B03A7" w:rsidRPr="00DE7B49" w:rsidRDefault="009B03A7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Termin na składanie propozycji projektów upływa </w:t>
      </w:r>
      <w:r w:rsidR="002D6FED" w:rsidRPr="00DE7B49">
        <w:rPr>
          <w:rFonts w:ascii="Lato" w:hAnsi="Lato" w:cs="Arial"/>
          <w:b/>
        </w:rPr>
        <w:t>29 września 2026</w:t>
      </w:r>
      <w:r w:rsidR="002D6FED" w:rsidRPr="00DE7B49">
        <w:rPr>
          <w:rFonts w:ascii="Lato" w:hAnsi="Lato" w:cs="Arial"/>
        </w:rPr>
        <w:t xml:space="preserve"> </w:t>
      </w:r>
      <w:r w:rsidRPr="00DE7B49">
        <w:rPr>
          <w:rFonts w:ascii="Lato" w:hAnsi="Lato" w:cs="Arial"/>
        </w:rPr>
        <w:t>r.</w:t>
      </w:r>
      <w:r w:rsidR="002D6FED" w:rsidRPr="00DE7B49">
        <w:rPr>
          <w:rFonts w:ascii="Lato" w:hAnsi="Lato" w:cs="Arial"/>
        </w:rPr>
        <w:t>, natomiast wyniki konkursów będą znane w połowie 2027 r.</w:t>
      </w:r>
    </w:p>
    <w:p w14:paraId="699CE0B8" w14:textId="351B9CBF" w:rsidR="009B03A7" w:rsidRPr="00DE7B49" w:rsidRDefault="009B03A7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 xml:space="preserve">Uruchomienie projektów wybranych do realizacji nastąpi prawdopodobnie na </w:t>
      </w:r>
      <w:r w:rsidR="002D6FED" w:rsidRPr="00DE7B49">
        <w:rPr>
          <w:rFonts w:ascii="Lato" w:hAnsi="Lato" w:cs="Arial"/>
        </w:rPr>
        <w:t xml:space="preserve">przełomie 2027 r. oraz 2028 </w:t>
      </w:r>
      <w:r w:rsidRPr="00DE7B49">
        <w:rPr>
          <w:rFonts w:ascii="Lato" w:hAnsi="Lato" w:cs="Arial"/>
        </w:rPr>
        <w:t xml:space="preserve">r. (zależeć to będzie od zawarcia umowy grantowej pomiędzy KE a konsorcjum, a w przypadku projektów rozwojowych także od zawarcia </w:t>
      </w:r>
      <w:r w:rsidRPr="00DE7B49">
        <w:rPr>
          <w:rFonts w:ascii="Lato" w:hAnsi="Lato" w:cs="Arial"/>
          <w:i/>
        </w:rPr>
        <w:t>Memorandum of Understanding</w:t>
      </w:r>
      <w:r w:rsidRPr="00DE7B49">
        <w:rPr>
          <w:rFonts w:ascii="Lato" w:hAnsi="Lato" w:cs="Arial"/>
        </w:rPr>
        <w:t xml:space="preserve"> pomiędzy państwami wspierającymi projekt, jak również od spełnienia przez konsorcjantów wymogów w zakresie ochrony informacji niejawnych</w:t>
      </w:r>
      <w:r w:rsidR="0054243D" w:rsidRPr="00DE7B49">
        <w:rPr>
          <w:rFonts w:ascii="Lato" w:hAnsi="Lato" w:cs="Arial"/>
        </w:rPr>
        <w:t>)</w:t>
      </w:r>
      <w:r w:rsidRPr="00DE7B49">
        <w:rPr>
          <w:rFonts w:ascii="Lato" w:hAnsi="Lato" w:cs="Arial"/>
        </w:rPr>
        <w:t>.</w:t>
      </w:r>
    </w:p>
    <w:p w14:paraId="4265EA34" w14:textId="03F90950" w:rsidR="009B03A7" w:rsidRPr="00DE7B49" w:rsidRDefault="009B03A7" w:rsidP="00E9067D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Komisja Europejska w</w:t>
      </w:r>
      <w:r w:rsidR="00812E33" w:rsidRPr="00DE7B49">
        <w:rPr>
          <w:rFonts w:ascii="Lato" w:hAnsi="Lato" w:cs="Arial"/>
        </w:rPr>
        <w:t xml:space="preserve">raz z Programem Prac EDF na </w:t>
      </w:r>
      <w:r w:rsidR="002D6FED" w:rsidRPr="00DE7B49">
        <w:rPr>
          <w:rFonts w:ascii="Lato" w:hAnsi="Lato" w:cs="Arial"/>
        </w:rPr>
        <w:t xml:space="preserve">2026 </w:t>
      </w:r>
      <w:r w:rsidRPr="00DE7B49">
        <w:rPr>
          <w:rFonts w:ascii="Lato" w:hAnsi="Lato" w:cs="Arial"/>
        </w:rPr>
        <w:t>r. udostępniła także wyciąg (wersję publikowalną) z Perspektywy Wieloletniej EDF (</w:t>
      </w:r>
      <w:r w:rsidRPr="00DE7B49">
        <w:rPr>
          <w:rFonts w:ascii="Lato" w:hAnsi="Lato" w:cs="Arial"/>
          <w:i/>
        </w:rPr>
        <w:t>Multiannual Perspective</w:t>
      </w:r>
      <w:r w:rsidRPr="00DE7B49">
        <w:rPr>
          <w:rFonts w:ascii="Lato" w:hAnsi="Lato" w:cs="Arial"/>
        </w:rPr>
        <w:t xml:space="preserve">, MAP), która jest dokumentem pomocniczym przy planowaniu wieloletnim EDF przez KE i państwa członkowskie. Nie oznacza to, że zadanie ujęte w dokumencie będą przedmiotem konkursów w kolejnych latach. Zakres konkursów EDF co roku jest definiowany przez KE </w:t>
      </w:r>
      <w:r w:rsidR="00812E33" w:rsidRPr="00DE7B49">
        <w:rPr>
          <w:rFonts w:ascii="Lato" w:hAnsi="Lato" w:cs="Arial"/>
        </w:rPr>
        <w:br/>
      </w:r>
      <w:r w:rsidRPr="00DE7B49">
        <w:rPr>
          <w:rFonts w:ascii="Lato" w:hAnsi="Lato" w:cs="Arial"/>
        </w:rPr>
        <w:t>z udziałem ministerstw obrony i przy wsparciu EDA</w:t>
      </w:r>
      <w:r w:rsidR="003C5599" w:rsidRPr="00DE7B49">
        <w:rPr>
          <w:rFonts w:ascii="Lato" w:hAnsi="Lato" w:cs="Arial"/>
        </w:rPr>
        <w:t>.</w:t>
      </w:r>
      <w:r w:rsidR="0054243D" w:rsidRPr="00DE7B49">
        <w:rPr>
          <w:rFonts w:ascii="Lato" w:hAnsi="Lato" w:cs="Arial"/>
        </w:rPr>
        <w:t xml:space="preserve"> </w:t>
      </w:r>
    </w:p>
    <w:p w14:paraId="11735C4B" w14:textId="77777777" w:rsidR="00F448CC" w:rsidRPr="00DE7B49" w:rsidRDefault="00F448CC" w:rsidP="00E9067D">
      <w:pPr>
        <w:spacing w:before="120" w:after="120" w:line="240" w:lineRule="auto"/>
        <w:jc w:val="both"/>
        <w:rPr>
          <w:rStyle w:val="Hipercze"/>
          <w:rFonts w:ascii="Lato" w:hAnsi="Lato" w:cs="Arial"/>
          <w:color w:val="000000" w:themeColor="text1"/>
          <w:sz w:val="10"/>
          <w:u w:val="none"/>
        </w:rPr>
      </w:pPr>
    </w:p>
    <w:p w14:paraId="0609F170" w14:textId="3052BE47" w:rsidR="00D11945" w:rsidRPr="00DE7B49" w:rsidRDefault="00D11945" w:rsidP="00E9067D">
      <w:pPr>
        <w:spacing w:before="120" w:after="120" w:line="240" w:lineRule="auto"/>
        <w:jc w:val="both"/>
        <w:rPr>
          <w:rStyle w:val="Hipercze"/>
          <w:rFonts w:ascii="Lato" w:hAnsi="Lato" w:cs="Arial"/>
          <w:b/>
          <w:color w:val="000000" w:themeColor="text1"/>
          <w:u w:val="none"/>
        </w:rPr>
      </w:pPr>
      <w:r w:rsidRPr="00DE7B49">
        <w:rPr>
          <w:rStyle w:val="Hipercze"/>
          <w:rFonts w:ascii="Lato" w:hAnsi="Lato" w:cs="Arial"/>
          <w:b/>
          <w:color w:val="000000" w:themeColor="text1"/>
          <w:u w:val="none"/>
        </w:rPr>
        <w:t>Możliwości zwiększenia zaangażowania polskiego przemysłu i nauki</w:t>
      </w:r>
    </w:p>
    <w:p w14:paraId="5A2A3831" w14:textId="75965B52" w:rsidR="00F66F30" w:rsidRPr="00DE7B49" w:rsidRDefault="00BB11F4" w:rsidP="00E9067D">
      <w:pPr>
        <w:spacing w:before="120"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color w:val="000000" w:themeColor="text1"/>
        </w:rPr>
        <w:t xml:space="preserve">Ważnym czynnikiem wpływającym na sukcesy w EDF są nie tylko kompetencje i potencjał, ale również umiejętność znajdowania międzynarodowych konsorcjantów. </w:t>
      </w:r>
      <w:r w:rsidR="00520F16" w:rsidRPr="00DE7B49">
        <w:rPr>
          <w:rFonts w:ascii="Lato" w:hAnsi="Lato" w:cs="Arial"/>
          <w:color w:val="000000" w:themeColor="text1"/>
        </w:rPr>
        <w:t xml:space="preserve">Do najbardziej efektywnych sposobów zdobycia doświadczenia i rozpoznawalności </w:t>
      </w:r>
      <w:r w:rsidR="00F66F30" w:rsidRPr="00DE7B49">
        <w:rPr>
          <w:rFonts w:ascii="Lato" w:hAnsi="Lato" w:cs="Arial"/>
          <w:color w:val="000000" w:themeColor="text1"/>
        </w:rPr>
        <w:t>w europejskim środowisku R&amp;D sek</w:t>
      </w:r>
      <w:r w:rsidR="00520F16" w:rsidRPr="00DE7B49">
        <w:rPr>
          <w:rFonts w:ascii="Lato" w:hAnsi="Lato" w:cs="Arial"/>
          <w:color w:val="000000" w:themeColor="text1"/>
        </w:rPr>
        <w:t xml:space="preserve">tora obronnego </w:t>
      </w:r>
      <w:r w:rsidR="00F66F30" w:rsidRPr="00DE7B49">
        <w:rPr>
          <w:rFonts w:ascii="Lato" w:hAnsi="Lato" w:cs="Arial"/>
          <w:color w:val="000000" w:themeColor="text1"/>
        </w:rPr>
        <w:t>należy zaliczyć włączanie się w pr</w:t>
      </w:r>
      <w:r w:rsidR="00520F16" w:rsidRPr="00DE7B49">
        <w:rPr>
          <w:rFonts w:ascii="Lato" w:hAnsi="Lato" w:cs="Arial"/>
          <w:color w:val="000000" w:themeColor="text1"/>
        </w:rPr>
        <w:t xml:space="preserve">ace </w:t>
      </w:r>
      <w:hyperlink r:id="rId16" w:history="1">
        <w:r w:rsidR="008F13D2" w:rsidRPr="00DE7B49">
          <w:rPr>
            <w:rStyle w:val="Hipercze"/>
            <w:rFonts w:ascii="Lato" w:hAnsi="Lato" w:cs="Arial"/>
          </w:rPr>
          <w:t>paneli technologicznych (CapTech)</w:t>
        </w:r>
      </w:hyperlink>
      <w:r w:rsidR="008F13D2" w:rsidRPr="00DE7B49">
        <w:rPr>
          <w:rFonts w:ascii="Lato" w:hAnsi="Lato" w:cs="Arial"/>
          <w:color w:val="000000" w:themeColor="text1"/>
        </w:rPr>
        <w:t xml:space="preserve"> w ramach Europejskiej Agencji Obrony (EDA)</w:t>
      </w:r>
      <w:r w:rsidR="00F66F30" w:rsidRPr="00DE7B49">
        <w:rPr>
          <w:rFonts w:ascii="Lato" w:hAnsi="Lato" w:cs="Arial"/>
          <w:color w:val="000000" w:themeColor="text1"/>
        </w:rPr>
        <w:t>. Są to grupy robocze poświęcone rozwojowi technologii obronnych (R&amp;T) z udziałem ekspertów rządowych (CNC i CGE) oraz pozarządowych (CnGE – przemysł i nauka). W ramach CapTechów powstają mechanizmy planowania rozwoju technologii (OSRA), wypracowywane są projekty badawcze EDA, propozycj</w:t>
      </w:r>
      <w:r w:rsidR="008F13D2" w:rsidRPr="00DE7B49">
        <w:rPr>
          <w:rFonts w:ascii="Lato" w:hAnsi="Lato" w:cs="Arial"/>
          <w:color w:val="000000" w:themeColor="text1"/>
        </w:rPr>
        <w:t>e</w:t>
      </w:r>
      <w:r w:rsidR="00F66F30" w:rsidRPr="00DE7B49">
        <w:rPr>
          <w:rFonts w:ascii="Lato" w:hAnsi="Lato" w:cs="Arial"/>
          <w:color w:val="000000" w:themeColor="text1"/>
        </w:rPr>
        <w:t xml:space="preserve"> programowania części badawczej EDF. Udział w CapTechach to możliwość poznania </w:t>
      </w:r>
      <w:r w:rsidR="00520F16" w:rsidRPr="00DE7B49">
        <w:rPr>
          <w:rFonts w:ascii="Lato" w:hAnsi="Lato" w:cs="Arial"/>
          <w:color w:val="000000" w:themeColor="text1"/>
        </w:rPr>
        <w:t xml:space="preserve">potencjalnych </w:t>
      </w:r>
      <w:r w:rsidR="00F66F30" w:rsidRPr="00DE7B49">
        <w:rPr>
          <w:rFonts w:ascii="Lato" w:hAnsi="Lato" w:cs="Arial"/>
          <w:color w:val="000000" w:themeColor="text1"/>
        </w:rPr>
        <w:t xml:space="preserve">konsorcjantów. </w:t>
      </w:r>
    </w:p>
    <w:p w14:paraId="27C427C1" w14:textId="4D27CE8A" w:rsidR="00520F16" w:rsidRPr="00DE7B49" w:rsidRDefault="00520F16" w:rsidP="00F66F30">
      <w:pPr>
        <w:spacing w:before="120"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color w:val="000000" w:themeColor="text1"/>
        </w:rPr>
        <w:t>Spośród innych działań pozwalających na zwiększenie zaangażowani</w:t>
      </w:r>
      <w:r w:rsidR="003C5599" w:rsidRPr="00DE7B49">
        <w:rPr>
          <w:rFonts w:ascii="Lato" w:hAnsi="Lato" w:cs="Arial"/>
          <w:color w:val="000000" w:themeColor="text1"/>
        </w:rPr>
        <w:t>a</w:t>
      </w:r>
      <w:r w:rsidRPr="00DE7B49">
        <w:rPr>
          <w:rFonts w:ascii="Lato" w:hAnsi="Lato" w:cs="Arial"/>
          <w:color w:val="000000" w:themeColor="text1"/>
        </w:rPr>
        <w:t xml:space="preserve"> polskich podmiotów w EDF można zaliczyć:</w:t>
      </w:r>
    </w:p>
    <w:p w14:paraId="3495A2D6" w14:textId="414A5362" w:rsidR="006843B7" w:rsidRPr="00DE7B49" w:rsidRDefault="00520F16" w:rsidP="00D11945">
      <w:pPr>
        <w:numPr>
          <w:ilvl w:val="0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Cs/>
          <w:color w:val="000000" w:themeColor="text1"/>
        </w:rPr>
        <w:lastRenderedPageBreak/>
        <w:t>U</w:t>
      </w:r>
      <w:r w:rsidR="00220618" w:rsidRPr="00DE7B49">
        <w:rPr>
          <w:rFonts w:ascii="Lato" w:hAnsi="Lato" w:cs="Arial"/>
          <w:bCs/>
          <w:color w:val="000000" w:themeColor="text1"/>
        </w:rPr>
        <w:t xml:space="preserve">dział w spotkaniach informacyjnych i </w:t>
      </w:r>
      <w:r w:rsidR="00220618" w:rsidRPr="00DE7B49">
        <w:rPr>
          <w:rFonts w:ascii="Lato" w:hAnsi="Lato" w:cs="Arial"/>
          <w:bCs/>
          <w:i/>
          <w:iCs/>
          <w:color w:val="000000" w:themeColor="text1"/>
        </w:rPr>
        <w:t>matchmakingowych</w:t>
      </w:r>
    </w:p>
    <w:p w14:paraId="6B94B7DE" w14:textId="300758EC" w:rsidR="006843B7" w:rsidRPr="00DE7B49" w:rsidRDefault="00220618" w:rsidP="00DA4121">
      <w:pPr>
        <w:numPr>
          <w:ilvl w:val="1"/>
          <w:numId w:val="20"/>
        </w:numPr>
        <w:tabs>
          <w:tab w:val="clear" w:pos="1440"/>
        </w:tabs>
        <w:spacing w:after="120" w:line="240" w:lineRule="auto"/>
        <w:ind w:left="1134"/>
        <w:jc w:val="both"/>
        <w:rPr>
          <w:rFonts w:ascii="Lato" w:hAnsi="Lato" w:cs="Arial"/>
          <w:color w:val="000000" w:themeColor="text1"/>
          <w:lang w:val="en-GB"/>
        </w:rPr>
      </w:pPr>
      <w:r w:rsidRPr="00DE7B49">
        <w:rPr>
          <w:rFonts w:ascii="Lato" w:hAnsi="Lato" w:cs="Arial"/>
          <w:bCs/>
          <w:lang w:val="en-GB"/>
        </w:rPr>
        <w:t>EDF Info Day &amp; Networking Event</w:t>
      </w:r>
      <w:r w:rsidRPr="00DE7B49">
        <w:rPr>
          <w:rFonts w:ascii="Lato" w:hAnsi="Lato" w:cs="Arial"/>
          <w:bCs/>
          <w:color w:val="000000" w:themeColor="text1"/>
          <w:lang w:val="en-GB"/>
        </w:rPr>
        <w:t xml:space="preserve"> organizowany przez </w:t>
      </w:r>
      <w:r w:rsidRPr="00DE7B49">
        <w:rPr>
          <w:rFonts w:ascii="Lato" w:hAnsi="Lato" w:cs="Arial"/>
          <w:bCs/>
          <w:lang w:val="en-GB"/>
        </w:rPr>
        <w:t>KE</w:t>
      </w:r>
    </w:p>
    <w:p w14:paraId="2257FDF3" w14:textId="01AA847C" w:rsidR="006843B7" w:rsidRPr="00DE7B49" w:rsidRDefault="00000000" w:rsidP="00D11945">
      <w:pPr>
        <w:numPr>
          <w:ilvl w:val="0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hyperlink r:id="rId17" w:history="1">
        <w:r w:rsidR="00220618" w:rsidRPr="00DE7B49">
          <w:rPr>
            <w:rStyle w:val="Hipercze"/>
            <w:rFonts w:ascii="Lato" w:hAnsi="Lato" w:cs="Arial"/>
            <w:bCs/>
          </w:rPr>
          <w:t xml:space="preserve">Rejestracja jako </w:t>
        </w:r>
      </w:hyperlink>
      <w:hyperlink r:id="rId18" w:history="1">
        <w:r w:rsidR="004E03DE" w:rsidRPr="00DE7B49">
          <w:rPr>
            <w:rStyle w:val="Hipercze"/>
            <w:rFonts w:ascii="Lato" w:hAnsi="Lato" w:cs="Arial"/>
            <w:bCs/>
          </w:rPr>
          <w:t>niezależny</w:t>
        </w:r>
        <w:r w:rsidR="00220618" w:rsidRPr="00DE7B49">
          <w:rPr>
            <w:rStyle w:val="Hipercze"/>
            <w:rFonts w:ascii="Lato" w:hAnsi="Lato" w:cs="Arial"/>
            <w:bCs/>
          </w:rPr>
          <w:t xml:space="preserve"> ekspert </w:t>
        </w:r>
      </w:hyperlink>
      <w:r w:rsidR="00220618" w:rsidRPr="00DE7B49">
        <w:rPr>
          <w:rFonts w:ascii="Lato" w:hAnsi="Lato" w:cs="Arial"/>
          <w:bCs/>
          <w:color w:val="000000" w:themeColor="text1"/>
        </w:rPr>
        <w:t>do oceny propozycji projektów, które będą zgłaszane w ramach EDF</w:t>
      </w:r>
    </w:p>
    <w:p w14:paraId="24B60A47" w14:textId="77777777" w:rsidR="006843B7" w:rsidRPr="00DE7B49" w:rsidRDefault="00220618" w:rsidP="00D11945">
      <w:pPr>
        <w:numPr>
          <w:ilvl w:val="1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Cs/>
          <w:color w:val="000000" w:themeColor="text1"/>
        </w:rPr>
        <w:t>Nauka pisania wniosków, możliwość poznania potencjalnych konsorcjantów</w:t>
      </w:r>
    </w:p>
    <w:p w14:paraId="76B505B4" w14:textId="77777777" w:rsidR="006843B7" w:rsidRPr="00DE7B49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Cs/>
          <w:color w:val="000000" w:themeColor="text1"/>
        </w:rPr>
        <w:t xml:space="preserve">Udział w europejskich organizacjach zrzeszających przemysł obronny (np. ASD) oraz ośrodki naukowo-badawcze (np. EARTO, EDRIN). </w:t>
      </w:r>
    </w:p>
    <w:p w14:paraId="19A8C846" w14:textId="77777777" w:rsidR="006843B7" w:rsidRPr="00DE7B49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Cs/>
          <w:color w:val="000000" w:themeColor="text1"/>
        </w:rPr>
        <w:t>Udział w innych międzynarodowych projektach badawczych (np. Horyzont).</w:t>
      </w:r>
    </w:p>
    <w:p w14:paraId="7B17DEE5" w14:textId="243A4763" w:rsidR="006843B7" w:rsidRPr="00DE7B49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Cs/>
          <w:color w:val="000000" w:themeColor="text1"/>
        </w:rPr>
        <w:t>Udział w grupach konsultacyjnych EDF / DIn</w:t>
      </w:r>
      <w:r w:rsidR="00D11945" w:rsidRPr="00DE7B49">
        <w:rPr>
          <w:rFonts w:ascii="Lato" w:hAnsi="Lato" w:cs="Arial"/>
          <w:bCs/>
          <w:color w:val="000000" w:themeColor="text1"/>
        </w:rPr>
        <w:t xml:space="preserve"> (kontakt: </w:t>
      </w:r>
      <w:r w:rsidR="00D11945" w:rsidRPr="00DE7B49">
        <w:rPr>
          <w:rFonts w:ascii="Lato" w:hAnsi="Lato" w:cs="Arial"/>
          <w:bCs/>
          <w:color w:val="0070C0"/>
          <w:u w:val="single"/>
        </w:rPr>
        <w:t>edf (at) mon.gov.pl</w:t>
      </w:r>
    </w:p>
    <w:p w14:paraId="5DCF039B" w14:textId="64A4CDFC" w:rsidR="006843B7" w:rsidRPr="00DE7B49" w:rsidRDefault="00220618" w:rsidP="00D11945">
      <w:pPr>
        <w:numPr>
          <w:ilvl w:val="0"/>
          <w:numId w:val="20"/>
        </w:numPr>
        <w:spacing w:after="120" w:line="240" w:lineRule="auto"/>
        <w:jc w:val="both"/>
        <w:rPr>
          <w:rFonts w:ascii="Lato" w:hAnsi="Lato" w:cs="Arial"/>
          <w:color w:val="000000" w:themeColor="text1"/>
        </w:rPr>
      </w:pPr>
      <w:r w:rsidRPr="00DE7B49">
        <w:rPr>
          <w:rFonts w:ascii="Lato" w:hAnsi="Lato" w:cs="Arial"/>
          <w:bCs/>
          <w:color w:val="000000" w:themeColor="text1"/>
        </w:rPr>
        <w:t xml:space="preserve">Kontakt z MON: </w:t>
      </w:r>
      <w:r w:rsidR="00D11945" w:rsidRPr="00DE7B49">
        <w:rPr>
          <w:rFonts w:ascii="Lato" w:hAnsi="Lato" w:cs="Arial"/>
          <w:bCs/>
          <w:color w:val="0070C0"/>
          <w:u w:val="single"/>
        </w:rPr>
        <w:t xml:space="preserve">edf (at) mon.gov.pl   </w:t>
      </w:r>
      <w:r w:rsidRPr="00DE7B49">
        <w:rPr>
          <w:rFonts w:ascii="Lato" w:hAnsi="Lato" w:cs="Arial"/>
          <w:bCs/>
          <w:color w:val="0070C0"/>
          <w:u w:val="single"/>
        </w:rPr>
        <w:t xml:space="preserve"> </w:t>
      </w:r>
      <w:r w:rsidRPr="00DE7B49">
        <w:rPr>
          <w:rFonts w:ascii="Lato" w:hAnsi="Lato" w:cs="Arial"/>
          <w:bCs/>
          <w:color w:val="0070C0"/>
        </w:rPr>
        <w:t xml:space="preserve"> </w:t>
      </w:r>
    </w:p>
    <w:p w14:paraId="2246FB30" w14:textId="7C36BDFF" w:rsidR="002A572F" w:rsidRPr="00DE7B49" w:rsidRDefault="00BB11F4" w:rsidP="00812E33">
      <w:pPr>
        <w:spacing w:before="120" w:after="120" w:line="240" w:lineRule="auto"/>
        <w:jc w:val="both"/>
        <w:rPr>
          <w:rFonts w:ascii="Lato" w:hAnsi="Lato" w:cs="Arial"/>
        </w:rPr>
      </w:pPr>
      <w:r w:rsidRPr="00DE7B49">
        <w:rPr>
          <w:rFonts w:ascii="Lato" w:hAnsi="Lato" w:cs="Arial"/>
        </w:rPr>
        <w:t>Na przestrzeni kolejnych lat widzimy coraz większe zainteresowanie konkursami EDF, a tym samym – wzrost konkurencyjności</w:t>
      </w:r>
      <w:r w:rsidR="002A572F" w:rsidRPr="00DE7B49">
        <w:rPr>
          <w:rFonts w:ascii="Lato" w:hAnsi="Lato" w:cs="Arial"/>
        </w:rPr>
        <w:t>. Zatem aby zwiększyć szanse powodzenia  procedurze konkursowej, należy wziąć pod uwagę kilka czynników: ambitne i wartościowe rozwiązanie, zróżnicowanie geograficzne zaangażowanych podmiotów, reprezentowanych przez silne ośrodki przemysłowe i naukowe.</w:t>
      </w:r>
    </w:p>
    <w:p w14:paraId="3A58001D" w14:textId="4968AE1C" w:rsidR="00EF168B" w:rsidRPr="00DE7B49" w:rsidRDefault="00EF168B" w:rsidP="00775BDE">
      <w:pPr>
        <w:spacing w:before="120" w:after="120" w:line="240" w:lineRule="auto"/>
        <w:jc w:val="both"/>
        <w:rPr>
          <w:rFonts w:ascii="Lato" w:hAnsi="Lato" w:cs="Arial"/>
          <w:color w:val="000000" w:themeColor="text1"/>
          <w:sz w:val="10"/>
        </w:rPr>
      </w:pPr>
    </w:p>
    <w:p w14:paraId="2038B6CF" w14:textId="1A791FD5" w:rsidR="00743CD4" w:rsidRPr="00DE7B49" w:rsidRDefault="006B587D" w:rsidP="00743CD4">
      <w:pPr>
        <w:spacing w:before="120" w:after="120" w:line="240" w:lineRule="auto"/>
        <w:jc w:val="both"/>
        <w:rPr>
          <w:rFonts w:ascii="Lato" w:eastAsia="Times New Roman" w:hAnsi="Lato" w:cs="Arial"/>
          <w:b/>
        </w:rPr>
      </w:pPr>
      <w:r w:rsidRPr="00DE7B49">
        <w:rPr>
          <w:rFonts w:ascii="Lato" w:eastAsia="Times New Roman" w:hAnsi="Lato" w:cs="Arial"/>
          <w:b/>
        </w:rPr>
        <w:t>Ochrona informacji niejawnych</w:t>
      </w:r>
    </w:p>
    <w:p w14:paraId="59670B4F" w14:textId="416D394C" w:rsidR="006B587D" w:rsidRPr="00DE7B49" w:rsidRDefault="006B587D" w:rsidP="006B587D">
      <w:pPr>
        <w:spacing w:before="120" w:after="120" w:line="240" w:lineRule="auto"/>
        <w:jc w:val="both"/>
        <w:rPr>
          <w:rFonts w:ascii="Lato" w:eastAsia="Times New Roman" w:hAnsi="Lato" w:cs="Arial"/>
        </w:rPr>
      </w:pPr>
      <w:r w:rsidRPr="00DE7B49">
        <w:rPr>
          <w:rFonts w:ascii="Lato" w:eastAsia="Times New Roman" w:hAnsi="Lato" w:cs="Arial"/>
        </w:rPr>
        <w:t xml:space="preserve">Ważnym aspektem jest zapewnienie zdolności do przetwarzania informacji niejawnych. Poziom ochrony jest definiowany przez państwa </w:t>
      </w:r>
      <w:r w:rsidR="002A572F" w:rsidRPr="00DE7B49">
        <w:rPr>
          <w:rFonts w:ascii="Lato" w:eastAsia="Times New Roman" w:hAnsi="Lato" w:cs="Arial"/>
        </w:rPr>
        <w:t xml:space="preserve">między </w:t>
      </w:r>
      <w:r w:rsidRPr="00DE7B49">
        <w:rPr>
          <w:rFonts w:ascii="Lato" w:eastAsia="Times New Roman" w:hAnsi="Lato" w:cs="Arial"/>
        </w:rPr>
        <w:t xml:space="preserve">rozstrzygnięciu konkursu, a podpisaniem umowy grantowej. </w:t>
      </w:r>
      <w:r w:rsidR="00555EC0" w:rsidRPr="00DE7B49">
        <w:rPr>
          <w:rFonts w:ascii="Lato" w:eastAsia="Times New Roman" w:hAnsi="Lato" w:cs="Arial"/>
        </w:rPr>
        <w:t xml:space="preserve">W projektach badawczych część pakietów roboczych może mieć klauzulę co najmniej EU Restricted, przy projektach rozwojowych te klauzule mogą być wyższe. Z uwagi na długotrwałość procedur, </w:t>
      </w:r>
      <w:r w:rsidRPr="00DE7B49">
        <w:rPr>
          <w:rFonts w:ascii="Lato" w:eastAsia="Times New Roman" w:hAnsi="Lato" w:cs="Arial"/>
        </w:rPr>
        <w:t>podmioty, które planują uczestniczyć w realizacji projektów</w:t>
      </w:r>
      <w:r w:rsidR="00410F7A" w:rsidRPr="00DE7B49">
        <w:rPr>
          <w:rFonts w:ascii="Lato" w:eastAsia="Times New Roman" w:hAnsi="Lato" w:cs="Arial"/>
        </w:rPr>
        <w:t xml:space="preserve"> w</w:t>
      </w:r>
      <w:r w:rsidRPr="00DE7B49">
        <w:rPr>
          <w:rFonts w:ascii="Lato" w:eastAsia="Times New Roman" w:hAnsi="Lato" w:cs="Arial"/>
        </w:rPr>
        <w:t xml:space="preserve"> dziedzinie obronności powinny odpowiednio wcześniej zadbać o zdolność do przetwarzania informacji niejawnych.</w:t>
      </w:r>
    </w:p>
    <w:p w14:paraId="01CC3BA3" w14:textId="4FE8A3B1" w:rsidR="0025472A" w:rsidRPr="00DE7B49" w:rsidRDefault="0025472A" w:rsidP="00743CD4">
      <w:pPr>
        <w:spacing w:before="120" w:after="120" w:line="240" w:lineRule="auto"/>
        <w:jc w:val="both"/>
        <w:rPr>
          <w:rFonts w:ascii="Lato" w:eastAsia="Times New Roman" w:hAnsi="Lato" w:cs="Arial"/>
          <w:sz w:val="10"/>
        </w:rPr>
      </w:pPr>
    </w:p>
    <w:p w14:paraId="583C74BE" w14:textId="77777777" w:rsidR="00D67716" w:rsidRPr="00DE7B49" w:rsidRDefault="00D67716" w:rsidP="00D67716">
      <w:pPr>
        <w:spacing w:before="120" w:after="120" w:line="240" w:lineRule="auto"/>
        <w:jc w:val="both"/>
        <w:rPr>
          <w:rFonts w:ascii="Lato" w:eastAsia="Times New Roman" w:hAnsi="Lato" w:cs="Arial"/>
          <w:b/>
        </w:rPr>
      </w:pPr>
      <w:r w:rsidRPr="00DE7B49">
        <w:rPr>
          <w:rFonts w:ascii="Lato" w:eastAsia="Times New Roman" w:hAnsi="Lato" w:cs="Arial"/>
          <w:b/>
        </w:rPr>
        <w:t xml:space="preserve">Grupy konsultacyjne EDF </w:t>
      </w:r>
    </w:p>
    <w:p w14:paraId="0BBA3D41" w14:textId="12F98CA9" w:rsidR="005969C1" w:rsidRPr="00DE7B49" w:rsidRDefault="00D67716" w:rsidP="00D67716">
      <w:pPr>
        <w:spacing w:before="120" w:after="120" w:line="240" w:lineRule="auto"/>
        <w:jc w:val="both"/>
        <w:rPr>
          <w:rFonts w:ascii="Lato" w:eastAsia="Times New Roman" w:hAnsi="Lato" w:cs="Arial"/>
        </w:rPr>
      </w:pPr>
      <w:r w:rsidRPr="00DE7B49">
        <w:rPr>
          <w:rFonts w:ascii="Lato" w:eastAsia="Times New Roman" w:hAnsi="Lato" w:cs="Arial"/>
        </w:rPr>
        <w:t xml:space="preserve">Grupy konsultacyjne EDF to wewnątrzkrajowy mechanizm współpracy </w:t>
      </w:r>
      <w:r w:rsidR="005969C1" w:rsidRPr="00DE7B49">
        <w:rPr>
          <w:rFonts w:ascii="Lato" w:eastAsia="Times New Roman" w:hAnsi="Lato" w:cs="Arial"/>
        </w:rPr>
        <w:t xml:space="preserve">MON </w:t>
      </w:r>
      <w:r w:rsidRPr="00DE7B49">
        <w:rPr>
          <w:rFonts w:ascii="Lato" w:eastAsia="Times New Roman" w:hAnsi="Lato" w:cs="Arial"/>
        </w:rPr>
        <w:t>z ekspertami z przemysłu i nauki w zakresie oddziaływania na kształt EDF. Szczegółowe informacje, w tym o możliwości dołączenia</w:t>
      </w:r>
      <w:r w:rsidR="005969C1" w:rsidRPr="00DE7B49">
        <w:rPr>
          <w:rFonts w:ascii="Lato" w:eastAsia="Times New Roman" w:hAnsi="Lato" w:cs="Arial"/>
        </w:rPr>
        <w:t>,</w:t>
      </w:r>
      <w:r w:rsidRPr="00DE7B49">
        <w:rPr>
          <w:rFonts w:ascii="Lato" w:eastAsia="Times New Roman" w:hAnsi="Lato" w:cs="Arial"/>
        </w:rPr>
        <w:t xml:space="preserve"> można uzyskać pod adres</w:t>
      </w:r>
      <w:r w:rsidR="005969C1" w:rsidRPr="00DE7B49">
        <w:rPr>
          <w:rFonts w:ascii="Lato" w:eastAsia="Times New Roman" w:hAnsi="Lato" w:cs="Arial"/>
        </w:rPr>
        <w:t>em</w:t>
      </w:r>
      <w:r w:rsidRPr="00DE7B49">
        <w:rPr>
          <w:rFonts w:ascii="Lato" w:eastAsia="Times New Roman" w:hAnsi="Lato" w:cs="Arial"/>
        </w:rPr>
        <w:t xml:space="preserve"> </w:t>
      </w:r>
      <w:r w:rsidR="0025472A" w:rsidRPr="00DE7B49">
        <w:rPr>
          <w:rFonts w:ascii="Lato" w:hAnsi="Lato" w:cs="Arial"/>
          <w:bCs/>
          <w:color w:val="0070C0"/>
          <w:u w:val="single"/>
        </w:rPr>
        <w:t>edf (at) mon.gov.pl</w:t>
      </w:r>
      <w:r w:rsidRPr="00DE7B49">
        <w:rPr>
          <w:rFonts w:ascii="Lato" w:eastAsia="Times New Roman" w:hAnsi="Lato" w:cs="Arial"/>
        </w:rPr>
        <w:t xml:space="preserve">. </w:t>
      </w:r>
      <w:r w:rsidR="009E4A83" w:rsidRPr="00DE7B49">
        <w:rPr>
          <w:rFonts w:ascii="Lato" w:eastAsia="Times New Roman" w:hAnsi="Lato" w:cs="Arial"/>
        </w:rPr>
        <w:t>Eksperci, którzy chcieliby dołączyć do grupy, proszeni są o przesłanie formularza zgłoszeniowego oraz podpisanie zobowiązania do zachowania poufności.</w:t>
      </w:r>
    </w:p>
    <w:p w14:paraId="5063376E" w14:textId="77777777" w:rsidR="00D67716" w:rsidRPr="00DE7B49" w:rsidRDefault="00D67716" w:rsidP="00743CD4">
      <w:pPr>
        <w:spacing w:before="120" w:after="120" w:line="240" w:lineRule="auto"/>
        <w:jc w:val="both"/>
        <w:rPr>
          <w:rFonts w:ascii="Lato" w:eastAsia="Times New Roman" w:hAnsi="Lato" w:cs="Arial"/>
          <w:sz w:val="10"/>
        </w:rPr>
      </w:pPr>
    </w:p>
    <w:p w14:paraId="5E75C65E" w14:textId="7E978FA0" w:rsidR="009B03A7" w:rsidRPr="00DE7B49" w:rsidRDefault="009B03A7" w:rsidP="00743CD4">
      <w:pPr>
        <w:spacing w:before="120" w:after="120" w:line="240" w:lineRule="auto"/>
        <w:jc w:val="both"/>
        <w:rPr>
          <w:rFonts w:ascii="Lato" w:eastAsia="Times New Roman" w:hAnsi="Lato" w:cs="Arial"/>
          <w:b/>
        </w:rPr>
      </w:pPr>
      <w:r w:rsidRPr="00DE7B49">
        <w:rPr>
          <w:rFonts w:ascii="Lato" w:eastAsia="Times New Roman" w:hAnsi="Lato" w:cs="Arial"/>
          <w:b/>
        </w:rPr>
        <w:t>Krajowe punkty kontaktowe ds. EDF</w:t>
      </w:r>
    </w:p>
    <w:p w14:paraId="3F5213BA" w14:textId="4C1BAF13" w:rsidR="009B03A7" w:rsidRPr="00DE7B49" w:rsidRDefault="009B03A7" w:rsidP="00812E33">
      <w:pPr>
        <w:spacing w:before="120" w:after="120" w:line="240" w:lineRule="auto"/>
        <w:jc w:val="both"/>
        <w:rPr>
          <w:rFonts w:ascii="Lato" w:eastAsia="Times New Roman" w:hAnsi="Lato" w:cs="Arial"/>
        </w:rPr>
      </w:pPr>
      <w:r w:rsidRPr="00DE7B49">
        <w:rPr>
          <w:rFonts w:ascii="Lato" w:eastAsia="Times New Roman" w:hAnsi="Lato" w:cs="Arial"/>
        </w:rPr>
        <w:t xml:space="preserve">Ustanowiona została sieć krajowych punktów kontaktowych ds. </w:t>
      </w:r>
      <w:r w:rsidRPr="00DE7B49">
        <w:rPr>
          <w:rFonts w:ascii="Lato" w:eastAsia="Times New Roman" w:hAnsi="Lato" w:cs="Arial"/>
          <w:lang w:val="en-GB"/>
        </w:rPr>
        <w:t xml:space="preserve">EDF (EDF National Focal Point, NFP). </w:t>
      </w:r>
      <w:r w:rsidRPr="00DE7B49">
        <w:rPr>
          <w:rFonts w:ascii="Lato" w:eastAsia="Times New Roman" w:hAnsi="Lato" w:cs="Arial"/>
        </w:rPr>
        <w:t xml:space="preserve">Dane kontaktowe do NFP w poszczególnych krajach dostępne są na </w:t>
      </w:r>
      <w:hyperlink r:id="rId19" w:history="1">
        <w:r w:rsidRPr="00DE7B49">
          <w:rPr>
            <w:rStyle w:val="Hipercze"/>
            <w:rFonts w:ascii="Lato" w:eastAsia="Times New Roman" w:hAnsi="Lato" w:cs="Arial"/>
          </w:rPr>
          <w:t>stronie K</w:t>
        </w:r>
        <w:r w:rsidR="00D67716" w:rsidRPr="00DE7B49">
          <w:rPr>
            <w:rStyle w:val="Hipercze"/>
            <w:rFonts w:ascii="Lato" w:eastAsia="Times New Roman" w:hAnsi="Lato" w:cs="Arial"/>
          </w:rPr>
          <w:t>omisji Europejskiej</w:t>
        </w:r>
      </w:hyperlink>
      <w:r w:rsidR="00D67716" w:rsidRPr="00DE7B49">
        <w:rPr>
          <w:rFonts w:ascii="Lato" w:eastAsia="Times New Roman" w:hAnsi="Lato" w:cs="Arial"/>
        </w:rPr>
        <w:t>.</w:t>
      </w:r>
    </w:p>
    <w:p w14:paraId="27FBE081" w14:textId="184D1BCC" w:rsidR="009B03A7" w:rsidRPr="00DE7B49" w:rsidRDefault="009B03A7" w:rsidP="00812E33">
      <w:pPr>
        <w:spacing w:before="120" w:after="120" w:line="240" w:lineRule="auto"/>
        <w:jc w:val="both"/>
        <w:rPr>
          <w:rFonts w:ascii="Lato" w:eastAsia="Times New Roman" w:hAnsi="Lato" w:cs="Arial"/>
        </w:rPr>
      </w:pPr>
      <w:r w:rsidRPr="00DE7B49">
        <w:rPr>
          <w:rFonts w:ascii="Lato" w:eastAsia="Times New Roman" w:hAnsi="Lato" w:cs="Arial"/>
        </w:rPr>
        <w:t>W Polsce NFP zlokalizowany jest w Departamencie Innowacji MON, a funkcję zastępcy (</w:t>
      </w:r>
      <w:r w:rsidRPr="00DE7B49">
        <w:rPr>
          <w:rFonts w:ascii="Lato" w:eastAsia="Times New Roman" w:hAnsi="Lato" w:cs="Arial"/>
          <w:i/>
        </w:rPr>
        <w:t>alternate</w:t>
      </w:r>
      <w:r w:rsidRPr="00DE7B49">
        <w:rPr>
          <w:rFonts w:ascii="Lato" w:eastAsia="Times New Roman" w:hAnsi="Lato" w:cs="Arial"/>
        </w:rPr>
        <w:t>) NFP pełni przedstawiciel Ministerstwa Rozwoju i Technologii.</w:t>
      </w:r>
    </w:p>
    <w:p w14:paraId="0EF462B1" w14:textId="189864A7" w:rsidR="00D67716" w:rsidRPr="00DE7B49" w:rsidRDefault="009B03A7" w:rsidP="00812E33">
      <w:pPr>
        <w:spacing w:before="120" w:after="120" w:line="240" w:lineRule="auto"/>
        <w:jc w:val="both"/>
        <w:rPr>
          <w:rFonts w:ascii="Lato" w:hAnsi="Lato" w:cs="Arial"/>
          <w:bCs/>
          <w:color w:val="000000" w:themeColor="text1"/>
        </w:rPr>
      </w:pPr>
      <w:r w:rsidRPr="00DE7B49">
        <w:rPr>
          <w:rFonts w:ascii="Lato" w:eastAsia="Times New Roman" w:hAnsi="Lato" w:cs="Arial"/>
        </w:rPr>
        <w:t xml:space="preserve">W sprawach związanych z EDF należy kontaktować się na adres mailowy </w:t>
      </w:r>
      <w:r w:rsidRPr="00DE7B49">
        <w:rPr>
          <w:rFonts w:ascii="Lato" w:hAnsi="Lato" w:cs="Arial"/>
          <w:bCs/>
          <w:color w:val="0070C0"/>
          <w:u w:val="single"/>
        </w:rPr>
        <w:t>edf (at) mon.gov.pl</w:t>
      </w:r>
      <w:r w:rsidR="00D67716" w:rsidRPr="00DE7B49">
        <w:rPr>
          <w:rFonts w:ascii="Lato" w:hAnsi="Lato" w:cs="Arial"/>
          <w:bCs/>
          <w:color w:val="000000" w:themeColor="text1"/>
        </w:rPr>
        <w:t>.</w:t>
      </w:r>
    </w:p>
    <w:p w14:paraId="78DB2033" w14:textId="5DADF58E" w:rsidR="00D67716" w:rsidRPr="00DE7B49" w:rsidRDefault="00D67716" w:rsidP="00743CD4">
      <w:pPr>
        <w:spacing w:before="120" w:after="120" w:line="240" w:lineRule="auto"/>
        <w:jc w:val="both"/>
        <w:rPr>
          <w:rFonts w:ascii="Lato" w:hAnsi="Lato" w:cs="Arial"/>
          <w:bCs/>
          <w:color w:val="0070C0"/>
          <w:u w:val="single"/>
        </w:rPr>
      </w:pPr>
      <w:r w:rsidRPr="00DE7B49">
        <w:rPr>
          <w:rFonts w:ascii="Lato" w:eastAsia="Times New Roman" w:hAnsi="Lato" w:cs="Arial"/>
        </w:rPr>
        <w:t xml:space="preserve">W sprawach związanych bezpośrednio ze składaniem projektów do Komisji Europejskiej należy kontaktować się z Komisją Europejską na adres: </w:t>
      </w:r>
      <w:r w:rsidRPr="00DE7B49">
        <w:rPr>
          <w:rFonts w:ascii="Lato" w:eastAsia="Times New Roman" w:hAnsi="Lato" w:cs="Arial"/>
          <w:color w:val="0070C0"/>
          <w:u w:val="single"/>
        </w:rPr>
        <w:t>DEFIS-EDF-PROPOSALS (at) ec.europa.eu</w:t>
      </w:r>
      <w:r w:rsidR="00F67A76" w:rsidRPr="00DE7B49">
        <w:rPr>
          <w:rFonts w:ascii="Lato" w:eastAsia="Times New Roman" w:hAnsi="Lato" w:cs="Arial"/>
        </w:rPr>
        <w:t>.</w:t>
      </w:r>
    </w:p>
    <w:sectPr w:rsidR="00D67716" w:rsidRPr="00DE7B49" w:rsidSect="0037575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CCC8" w14:textId="77777777" w:rsidR="00162257" w:rsidRDefault="00162257" w:rsidP="003F6E40">
      <w:pPr>
        <w:spacing w:after="0" w:line="240" w:lineRule="auto"/>
      </w:pPr>
      <w:r>
        <w:separator/>
      </w:r>
    </w:p>
  </w:endnote>
  <w:endnote w:type="continuationSeparator" w:id="0">
    <w:p w14:paraId="12C11DFB" w14:textId="77777777" w:rsidR="00162257" w:rsidRDefault="00162257" w:rsidP="003F6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22F3" w14:textId="77777777" w:rsidR="003467F4" w:rsidRDefault="00346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1061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B76720" w14:textId="5EE160BC" w:rsidR="00C64212" w:rsidRDefault="00C642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D6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D6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D09FE" w14:textId="77777777" w:rsidR="00AE79FC" w:rsidRDefault="00AE79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6C2E" w14:textId="77777777" w:rsidR="003467F4" w:rsidRDefault="00346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5A9BF" w14:textId="77777777" w:rsidR="00162257" w:rsidRDefault="00162257" w:rsidP="003F6E40">
      <w:pPr>
        <w:spacing w:after="0" w:line="240" w:lineRule="auto"/>
      </w:pPr>
      <w:r>
        <w:separator/>
      </w:r>
    </w:p>
  </w:footnote>
  <w:footnote w:type="continuationSeparator" w:id="0">
    <w:p w14:paraId="44F3755C" w14:textId="77777777" w:rsidR="00162257" w:rsidRDefault="00162257" w:rsidP="003F6E40">
      <w:pPr>
        <w:spacing w:after="0" w:line="240" w:lineRule="auto"/>
      </w:pPr>
      <w:r>
        <w:continuationSeparator/>
      </w:r>
    </w:p>
  </w:footnote>
  <w:footnote w:id="1">
    <w:p w14:paraId="15041255" w14:textId="77777777" w:rsidR="006B7D4C" w:rsidRPr="000C2508" w:rsidRDefault="006B7D4C" w:rsidP="00310E94">
      <w:pPr>
        <w:pStyle w:val="Tekstprzypisudolnego"/>
        <w:spacing w:after="120"/>
        <w:jc w:val="both"/>
        <w:rPr>
          <w:rFonts w:ascii="Arial" w:hAnsi="Arial" w:cs="Arial"/>
        </w:rPr>
      </w:pPr>
      <w:r w:rsidRPr="000C2508">
        <w:rPr>
          <w:rStyle w:val="Odwoanieprzypisudolnego"/>
          <w:rFonts w:ascii="Arial" w:hAnsi="Arial" w:cs="Arial"/>
        </w:rPr>
        <w:footnoteRef/>
      </w:r>
      <w:r w:rsidRPr="000C2508">
        <w:rPr>
          <w:rFonts w:ascii="Arial" w:hAnsi="Arial" w:cs="Arial"/>
        </w:rPr>
        <w:t xml:space="preserve"> Badawcze programy pilotażowe: </w:t>
      </w:r>
      <w:r w:rsidRPr="000C2508">
        <w:rPr>
          <w:rFonts w:ascii="Arial" w:hAnsi="Arial" w:cs="Arial"/>
          <w:i/>
          <w:iCs/>
        </w:rPr>
        <w:t>Pilot Project</w:t>
      </w:r>
      <w:r w:rsidRPr="000C2508">
        <w:rPr>
          <w:rFonts w:ascii="Arial" w:hAnsi="Arial" w:cs="Arial"/>
        </w:rPr>
        <w:t xml:space="preserve"> z budżetem 1,4 mln EUR w latach 2016-2017 oraz </w:t>
      </w:r>
      <w:r w:rsidRPr="000C2508">
        <w:rPr>
          <w:rFonts w:ascii="Arial" w:hAnsi="Arial" w:cs="Arial"/>
          <w:i/>
          <w:iCs/>
        </w:rPr>
        <w:t>Preparatory Action on Defence Research</w:t>
      </w:r>
      <w:r w:rsidRPr="000C2508">
        <w:rPr>
          <w:rFonts w:ascii="Arial" w:hAnsi="Arial" w:cs="Arial"/>
        </w:rPr>
        <w:t xml:space="preserve"> (PADR) z budżetem 90 mln EUR w latach 2017-2019.</w:t>
      </w:r>
    </w:p>
    <w:p w14:paraId="583FF170" w14:textId="77777777" w:rsidR="006B7D4C" w:rsidRPr="004237CD" w:rsidRDefault="006B7D4C" w:rsidP="00310E94">
      <w:pPr>
        <w:pStyle w:val="Tekstprzypisudolnego"/>
        <w:spacing w:after="120"/>
        <w:jc w:val="both"/>
        <w:rPr>
          <w:rFonts w:ascii="Arial Narrow" w:hAnsi="Arial Narrow" w:cs="Times New Roman"/>
        </w:rPr>
      </w:pPr>
      <w:r w:rsidRPr="000C2508">
        <w:rPr>
          <w:rFonts w:ascii="Arial" w:hAnsi="Arial" w:cs="Arial"/>
        </w:rPr>
        <w:t xml:space="preserve">Rozwojowy program pilotażowy: </w:t>
      </w:r>
      <w:r w:rsidRPr="000C2508">
        <w:rPr>
          <w:rFonts w:ascii="Arial" w:hAnsi="Arial" w:cs="Arial"/>
          <w:i/>
          <w:iCs/>
        </w:rPr>
        <w:t>European Defence Industrial Development Programme</w:t>
      </w:r>
      <w:r w:rsidRPr="000C2508">
        <w:rPr>
          <w:rFonts w:ascii="Arial" w:hAnsi="Arial" w:cs="Arial"/>
        </w:rPr>
        <w:t xml:space="preserve"> (EDIDP) z budżetem 500 mln EUR w latach 2019-2020.</w:t>
      </w:r>
    </w:p>
  </w:footnote>
  <w:footnote w:id="2">
    <w:p w14:paraId="2FAE7192" w14:textId="1B98C205" w:rsidR="00174E6E" w:rsidRDefault="00174E6E">
      <w:pPr>
        <w:pStyle w:val="Tekstprzypisudolnego"/>
      </w:pPr>
      <w:r>
        <w:rPr>
          <w:rStyle w:val="Odwoanieprzypisudolnego"/>
        </w:rPr>
        <w:footnoteRef/>
      </w:r>
      <w:r>
        <w:t xml:space="preserve"> Dalej: </w:t>
      </w:r>
      <w:r w:rsidRPr="00DE7B49">
        <w:rPr>
          <w:i/>
          <w:iCs/>
        </w:rPr>
        <w:t>Rozporządzenie</w:t>
      </w:r>
      <w:r>
        <w:t>.</w:t>
      </w:r>
    </w:p>
  </w:footnote>
  <w:footnote w:id="3">
    <w:p w14:paraId="65EC3D8C" w14:textId="36318310" w:rsidR="00174E6E" w:rsidRDefault="00174E6E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21 Rozporządzenia EDF.</w:t>
      </w:r>
    </w:p>
  </w:footnote>
  <w:footnote w:id="4">
    <w:p w14:paraId="2BC92B1E" w14:textId="25467BCD" w:rsidR="00D11945" w:rsidRPr="00D11945" w:rsidRDefault="00D11945">
      <w:pPr>
        <w:pStyle w:val="Tekstprzypisudolnego"/>
        <w:rPr>
          <w:rFonts w:ascii="Arial" w:hAnsi="Arial" w:cs="Arial"/>
        </w:rPr>
      </w:pPr>
      <w:r w:rsidRPr="00D11945">
        <w:rPr>
          <w:rStyle w:val="Odwoanieprzypisudolnego"/>
          <w:rFonts w:ascii="Arial" w:hAnsi="Arial" w:cs="Arial"/>
        </w:rPr>
        <w:footnoteRef/>
      </w:r>
      <w:r w:rsidRPr="00D11945">
        <w:rPr>
          <w:rFonts w:ascii="Arial" w:hAnsi="Arial" w:cs="Arial"/>
        </w:rPr>
        <w:t xml:space="preserve"> Projekty rozwojowe mogą być finansowane z budżetu UE w wysokości od 20 do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4056" w14:textId="77777777" w:rsidR="003467F4" w:rsidRDefault="00346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7EC4" w14:textId="77777777" w:rsidR="003467F4" w:rsidRDefault="003467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C1D8" w14:textId="77777777" w:rsidR="003467F4" w:rsidRDefault="00346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2EB0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4D89"/>
    <w:multiLevelType w:val="hybridMultilevel"/>
    <w:tmpl w:val="ADAAE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C4696"/>
    <w:multiLevelType w:val="multilevel"/>
    <w:tmpl w:val="64D6E634"/>
    <w:lvl w:ilvl="0">
      <w:start w:val="1"/>
      <w:numFmt w:val="decimal"/>
      <w:pStyle w:val="Nagdospisutreci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704DDC"/>
    <w:multiLevelType w:val="hybridMultilevel"/>
    <w:tmpl w:val="6330A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C38B7"/>
    <w:multiLevelType w:val="hybridMultilevel"/>
    <w:tmpl w:val="74AEC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2C67"/>
    <w:multiLevelType w:val="hybridMultilevel"/>
    <w:tmpl w:val="5C2ED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507BF"/>
    <w:multiLevelType w:val="hybridMultilevel"/>
    <w:tmpl w:val="6B620A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08E380E">
      <w:start w:val="1"/>
      <w:numFmt w:val="decimal"/>
      <w:lvlText w:val="%2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AD14823"/>
    <w:multiLevelType w:val="hybridMultilevel"/>
    <w:tmpl w:val="7A00E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15E0E"/>
    <w:multiLevelType w:val="hybridMultilevel"/>
    <w:tmpl w:val="F2C28400"/>
    <w:styleLink w:val="Zaimportowanystyl20"/>
    <w:lvl w:ilvl="0" w:tplc="81FC3B5E">
      <w:start w:val="1"/>
      <w:numFmt w:val="bullet"/>
      <w:lvlText w:val="·"/>
      <w:lvlJc w:val="left"/>
      <w:pPr>
        <w:ind w:left="35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19E24B4">
      <w:start w:val="1"/>
      <w:numFmt w:val="bullet"/>
      <w:lvlText w:val="o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C28C8CA">
      <w:start w:val="1"/>
      <w:numFmt w:val="bullet"/>
      <w:lvlText w:val="▪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B4FE00">
      <w:start w:val="1"/>
      <w:numFmt w:val="bullet"/>
      <w:lvlText w:val="·"/>
      <w:lvlJc w:val="left"/>
      <w:pPr>
        <w:ind w:left="251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99C90EA">
      <w:start w:val="1"/>
      <w:numFmt w:val="bullet"/>
      <w:lvlText w:val="o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DCC6796">
      <w:start w:val="1"/>
      <w:numFmt w:val="bullet"/>
      <w:lvlText w:val="▪"/>
      <w:lvlJc w:val="left"/>
      <w:pPr>
        <w:ind w:left="39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43EB076">
      <w:start w:val="1"/>
      <w:numFmt w:val="bullet"/>
      <w:lvlText w:val="·"/>
      <w:lvlJc w:val="left"/>
      <w:pPr>
        <w:ind w:left="4677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C9A3E26">
      <w:start w:val="1"/>
      <w:numFmt w:val="bullet"/>
      <w:lvlText w:val="o"/>
      <w:lvlJc w:val="left"/>
      <w:pPr>
        <w:ind w:left="53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B1681BA">
      <w:start w:val="1"/>
      <w:numFmt w:val="bullet"/>
      <w:lvlText w:val="▪"/>
      <w:lvlJc w:val="left"/>
      <w:pPr>
        <w:ind w:left="61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31C05947"/>
    <w:multiLevelType w:val="hybridMultilevel"/>
    <w:tmpl w:val="A41C47EA"/>
    <w:lvl w:ilvl="0" w:tplc="52281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A0B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FA06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E5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45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EB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85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89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CF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C3490"/>
    <w:multiLevelType w:val="hybridMultilevel"/>
    <w:tmpl w:val="55B44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E3C42"/>
    <w:multiLevelType w:val="hybridMultilevel"/>
    <w:tmpl w:val="805228EC"/>
    <w:lvl w:ilvl="0" w:tplc="65B8B3BA">
      <w:start w:val="1"/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4C744128"/>
    <w:multiLevelType w:val="hybridMultilevel"/>
    <w:tmpl w:val="C25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C22D6"/>
    <w:multiLevelType w:val="hybridMultilevel"/>
    <w:tmpl w:val="4E9E7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30F07"/>
    <w:multiLevelType w:val="hybridMultilevel"/>
    <w:tmpl w:val="4B8230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542DA6">
      <w:start w:val="14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B87E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4BF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AEAEB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98B7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C813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25D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4A47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E262B"/>
    <w:multiLevelType w:val="hybridMultilevel"/>
    <w:tmpl w:val="E2DA805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46D7203"/>
    <w:multiLevelType w:val="hybridMultilevel"/>
    <w:tmpl w:val="70F29256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72260A9"/>
    <w:multiLevelType w:val="hybridMultilevel"/>
    <w:tmpl w:val="1834CF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68CE6A28"/>
    <w:multiLevelType w:val="hybridMultilevel"/>
    <w:tmpl w:val="9CF27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10C5A"/>
    <w:multiLevelType w:val="hybridMultilevel"/>
    <w:tmpl w:val="2A602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E3387"/>
    <w:multiLevelType w:val="hybridMultilevel"/>
    <w:tmpl w:val="1834CF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E3E0A8C"/>
    <w:multiLevelType w:val="hybridMultilevel"/>
    <w:tmpl w:val="7C9AA15E"/>
    <w:lvl w:ilvl="0" w:tplc="37BA44F8">
      <w:start w:val="1"/>
      <w:numFmt w:val="decimal"/>
      <w:lvlText w:val="%1."/>
      <w:lvlJc w:val="left"/>
      <w:pPr>
        <w:ind w:left="720" w:hanging="360"/>
      </w:pPr>
    </w:lvl>
    <w:lvl w:ilvl="1" w:tplc="6B643500">
      <w:start w:val="1"/>
      <w:numFmt w:val="lowerLetter"/>
      <w:lvlText w:val="%2."/>
      <w:lvlJc w:val="left"/>
      <w:pPr>
        <w:ind w:left="1440" w:hanging="360"/>
      </w:pPr>
    </w:lvl>
    <w:lvl w:ilvl="2" w:tplc="AF04C43C">
      <w:start w:val="1"/>
      <w:numFmt w:val="lowerRoman"/>
      <w:lvlText w:val="%3."/>
      <w:lvlJc w:val="right"/>
      <w:pPr>
        <w:ind w:left="2160" w:hanging="180"/>
      </w:pPr>
    </w:lvl>
    <w:lvl w:ilvl="3" w:tplc="B2142838">
      <w:start w:val="1"/>
      <w:numFmt w:val="decimal"/>
      <w:lvlText w:val="%4."/>
      <w:lvlJc w:val="left"/>
      <w:pPr>
        <w:ind w:left="2880" w:hanging="360"/>
      </w:pPr>
    </w:lvl>
    <w:lvl w:ilvl="4" w:tplc="675E065A">
      <w:start w:val="1"/>
      <w:numFmt w:val="lowerLetter"/>
      <w:lvlText w:val="%5."/>
      <w:lvlJc w:val="left"/>
      <w:pPr>
        <w:ind w:left="3600" w:hanging="360"/>
      </w:pPr>
    </w:lvl>
    <w:lvl w:ilvl="5" w:tplc="E8ACACC4">
      <w:start w:val="1"/>
      <w:numFmt w:val="lowerRoman"/>
      <w:lvlText w:val="%6."/>
      <w:lvlJc w:val="right"/>
      <w:pPr>
        <w:ind w:left="4320" w:hanging="180"/>
      </w:pPr>
    </w:lvl>
    <w:lvl w:ilvl="6" w:tplc="6E96E66A">
      <w:start w:val="1"/>
      <w:numFmt w:val="decimal"/>
      <w:lvlText w:val="%7."/>
      <w:lvlJc w:val="left"/>
      <w:pPr>
        <w:ind w:left="5040" w:hanging="360"/>
      </w:pPr>
    </w:lvl>
    <w:lvl w:ilvl="7" w:tplc="302A16C6">
      <w:start w:val="1"/>
      <w:numFmt w:val="lowerLetter"/>
      <w:lvlText w:val="%8."/>
      <w:lvlJc w:val="left"/>
      <w:pPr>
        <w:ind w:left="5760" w:hanging="360"/>
      </w:pPr>
    </w:lvl>
    <w:lvl w:ilvl="8" w:tplc="26C23B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D6138"/>
    <w:multiLevelType w:val="hybridMultilevel"/>
    <w:tmpl w:val="D494B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6432D"/>
    <w:multiLevelType w:val="hybridMultilevel"/>
    <w:tmpl w:val="93A25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26D21"/>
    <w:multiLevelType w:val="hybridMultilevel"/>
    <w:tmpl w:val="020E35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20C51"/>
    <w:multiLevelType w:val="hybridMultilevel"/>
    <w:tmpl w:val="1834CF9E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748C5E18"/>
    <w:multiLevelType w:val="hybridMultilevel"/>
    <w:tmpl w:val="1188F2D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75E532FC"/>
    <w:multiLevelType w:val="hybridMultilevel"/>
    <w:tmpl w:val="11183808"/>
    <w:lvl w:ilvl="0" w:tplc="0CD810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8150A9A"/>
    <w:multiLevelType w:val="hybridMultilevel"/>
    <w:tmpl w:val="4B487F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F101A"/>
    <w:multiLevelType w:val="hybridMultilevel"/>
    <w:tmpl w:val="E828C3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A84E3A"/>
    <w:multiLevelType w:val="hybridMultilevel"/>
    <w:tmpl w:val="93A25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87227">
    <w:abstractNumId w:val="9"/>
  </w:num>
  <w:num w:numId="2" w16cid:durableId="656886007">
    <w:abstractNumId w:val="21"/>
  </w:num>
  <w:num w:numId="3" w16cid:durableId="1187987539">
    <w:abstractNumId w:val="8"/>
  </w:num>
  <w:num w:numId="4" w16cid:durableId="1733851781">
    <w:abstractNumId w:val="0"/>
  </w:num>
  <w:num w:numId="5" w16cid:durableId="1406875412">
    <w:abstractNumId w:val="2"/>
  </w:num>
  <w:num w:numId="6" w16cid:durableId="1157377541">
    <w:abstractNumId w:val="19"/>
  </w:num>
  <w:num w:numId="7" w16cid:durableId="199630147">
    <w:abstractNumId w:val="10"/>
  </w:num>
  <w:num w:numId="8" w16cid:durableId="1047536117">
    <w:abstractNumId w:val="24"/>
  </w:num>
  <w:num w:numId="9" w16cid:durableId="1264992174">
    <w:abstractNumId w:val="22"/>
  </w:num>
  <w:num w:numId="10" w16cid:durableId="902255864">
    <w:abstractNumId w:val="12"/>
  </w:num>
  <w:num w:numId="11" w16cid:durableId="18394196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50819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3828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1111600">
    <w:abstractNumId w:val="13"/>
  </w:num>
  <w:num w:numId="15" w16cid:durableId="233900869">
    <w:abstractNumId w:val="18"/>
  </w:num>
  <w:num w:numId="16" w16cid:durableId="452481364">
    <w:abstractNumId w:val="3"/>
  </w:num>
  <w:num w:numId="17" w16cid:durableId="420488414">
    <w:abstractNumId w:val="5"/>
  </w:num>
  <w:num w:numId="18" w16cid:durableId="1221599673">
    <w:abstractNumId w:val="29"/>
  </w:num>
  <w:num w:numId="19" w16cid:durableId="1135828070">
    <w:abstractNumId w:val="28"/>
  </w:num>
  <w:num w:numId="20" w16cid:durableId="397558212">
    <w:abstractNumId w:val="14"/>
  </w:num>
  <w:num w:numId="21" w16cid:durableId="1340233663">
    <w:abstractNumId w:val="4"/>
  </w:num>
  <w:num w:numId="22" w16cid:durableId="1307467109">
    <w:abstractNumId w:val="1"/>
  </w:num>
  <w:num w:numId="23" w16cid:durableId="1436368317">
    <w:abstractNumId w:val="7"/>
  </w:num>
  <w:num w:numId="24" w16cid:durableId="1462185116">
    <w:abstractNumId w:val="15"/>
  </w:num>
  <w:num w:numId="25" w16cid:durableId="1238591601">
    <w:abstractNumId w:val="6"/>
  </w:num>
  <w:num w:numId="26" w16cid:durableId="920871553">
    <w:abstractNumId w:val="27"/>
  </w:num>
  <w:num w:numId="27" w16cid:durableId="1277298481">
    <w:abstractNumId w:val="16"/>
  </w:num>
  <w:num w:numId="28" w16cid:durableId="62992540">
    <w:abstractNumId w:val="11"/>
  </w:num>
  <w:num w:numId="29" w16cid:durableId="474492325">
    <w:abstractNumId w:val="20"/>
  </w:num>
  <w:num w:numId="30" w16cid:durableId="1586959128">
    <w:abstractNumId w:val="26"/>
  </w:num>
  <w:num w:numId="31" w16cid:durableId="1107895403">
    <w:abstractNumId w:val="25"/>
  </w:num>
  <w:num w:numId="32" w16cid:durableId="1399749759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40"/>
    <w:rsid w:val="00003A3D"/>
    <w:rsid w:val="00007F91"/>
    <w:rsid w:val="00021709"/>
    <w:rsid w:val="00023697"/>
    <w:rsid w:val="00026736"/>
    <w:rsid w:val="00034390"/>
    <w:rsid w:val="000423EE"/>
    <w:rsid w:val="0004395C"/>
    <w:rsid w:val="00046643"/>
    <w:rsid w:val="0005370E"/>
    <w:rsid w:val="0006221D"/>
    <w:rsid w:val="00064083"/>
    <w:rsid w:val="0006677C"/>
    <w:rsid w:val="00067217"/>
    <w:rsid w:val="000732DD"/>
    <w:rsid w:val="0007466E"/>
    <w:rsid w:val="00075D20"/>
    <w:rsid w:val="00077600"/>
    <w:rsid w:val="0009027B"/>
    <w:rsid w:val="000A1DBF"/>
    <w:rsid w:val="000A5C40"/>
    <w:rsid w:val="000A63AE"/>
    <w:rsid w:val="000B23C8"/>
    <w:rsid w:val="000B6F7E"/>
    <w:rsid w:val="000C2508"/>
    <w:rsid w:val="000C5373"/>
    <w:rsid w:val="000C55D1"/>
    <w:rsid w:val="000D3DD6"/>
    <w:rsid w:val="000D6590"/>
    <w:rsid w:val="000E2F0B"/>
    <w:rsid w:val="000E7276"/>
    <w:rsid w:val="000F4E03"/>
    <w:rsid w:val="000F6AEA"/>
    <w:rsid w:val="0010226B"/>
    <w:rsid w:val="00102FCE"/>
    <w:rsid w:val="00104E8F"/>
    <w:rsid w:val="00105ED4"/>
    <w:rsid w:val="00111951"/>
    <w:rsid w:val="001179ED"/>
    <w:rsid w:val="0012432A"/>
    <w:rsid w:val="001250DF"/>
    <w:rsid w:val="001328A3"/>
    <w:rsid w:val="001347D8"/>
    <w:rsid w:val="001420B0"/>
    <w:rsid w:val="001452D8"/>
    <w:rsid w:val="00146AE6"/>
    <w:rsid w:val="00147B21"/>
    <w:rsid w:val="0015163B"/>
    <w:rsid w:val="00152DF4"/>
    <w:rsid w:val="00156631"/>
    <w:rsid w:val="00156EC6"/>
    <w:rsid w:val="00162257"/>
    <w:rsid w:val="00164D18"/>
    <w:rsid w:val="00165A62"/>
    <w:rsid w:val="00174E6E"/>
    <w:rsid w:val="00176341"/>
    <w:rsid w:val="00180984"/>
    <w:rsid w:val="00180B79"/>
    <w:rsid w:val="00182532"/>
    <w:rsid w:val="0018433D"/>
    <w:rsid w:val="00187D19"/>
    <w:rsid w:val="0019176D"/>
    <w:rsid w:val="001A3B2A"/>
    <w:rsid w:val="001A7E58"/>
    <w:rsid w:val="001B1040"/>
    <w:rsid w:val="001B2F25"/>
    <w:rsid w:val="001B4C35"/>
    <w:rsid w:val="001B5414"/>
    <w:rsid w:val="001C0184"/>
    <w:rsid w:val="001C580A"/>
    <w:rsid w:val="001D1463"/>
    <w:rsid w:val="001D281A"/>
    <w:rsid w:val="001D3564"/>
    <w:rsid w:val="001D3E19"/>
    <w:rsid w:val="001E7E88"/>
    <w:rsid w:val="001F6616"/>
    <w:rsid w:val="002040D1"/>
    <w:rsid w:val="00213F27"/>
    <w:rsid w:val="002204B0"/>
    <w:rsid w:val="00220618"/>
    <w:rsid w:val="002220FE"/>
    <w:rsid w:val="0022210A"/>
    <w:rsid w:val="00224487"/>
    <w:rsid w:val="002319D9"/>
    <w:rsid w:val="00232678"/>
    <w:rsid w:val="00232B0C"/>
    <w:rsid w:val="00233342"/>
    <w:rsid w:val="00245E92"/>
    <w:rsid w:val="00253688"/>
    <w:rsid w:val="0025472A"/>
    <w:rsid w:val="00262A99"/>
    <w:rsid w:val="00267F95"/>
    <w:rsid w:val="00270C99"/>
    <w:rsid w:val="00275101"/>
    <w:rsid w:val="00275C3F"/>
    <w:rsid w:val="00283C1F"/>
    <w:rsid w:val="00285CAA"/>
    <w:rsid w:val="00290876"/>
    <w:rsid w:val="00295DB6"/>
    <w:rsid w:val="002A13BC"/>
    <w:rsid w:val="002A1CC7"/>
    <w:rsid w:val="002A572F"/>
    <w:rsid w:val="002A6B79"/>
    <w:rsid w:val="002B37A0"/>
    <w:rsid w:val="002C571E"/>
    <w:rsid w:val="002D2AA1"/>
    <w:rsid w:val="002D527F"/>
    <w:rsid w:val="002D55EC"/>
    <w:rsid w:val="002D6FED"/>
    <w:rsid w:val="002D7EDD"/>
    <w:rsid w:val="002E01E8"/>
    <w:rsid w:val="002E266B"/>
    <w:rsid w:val="002E5F1B"/>
    <w:rsid w:val="002F2E53"/>
    <w:rsid w:val="002F770F"/>
    <w:rsid w:val="003022A6"/>
    <w:rsid w:val="00310E94"/>
    <w:rsid w:val="00320ECF"/>
    <w:rsid w:val="00326151"/>
    <w:rsid w:val="00326E58"/>
    <w:rsid w:val="00331815"/>
    <w:rsid w:val="00333807"/>
    <w:rsid w:val="0033616A"/>
    <w:rsid w:val="00344414"/>
    <w:rsid w:val="00345067"/>
    <w:rsid w:val="003467F4"/>
    <w:rsid w:val="00356A48"/>
    <w:rsid w:val="00367392"/>
    <w:rsid w:val="0037465B"/>
    <w:rsid w:val="0037575D"/>
    <w:rsid w:val="00387A01"/>
    <w:rsid w:val="003931DA"/>
    <w:rsid w:val="00397CB1"/>
    <w:rsid w:val="003A5607"/>
    <w:rsid w:val="003A7A68"/>
    <w:rsid w:val="003B522F"/>
    <w:rsid w:val="003C2AE7"/>
    <w:rsid w:val="003C5599"/>
    <w:rsid w:val="003C60D1"/>
    <w:rsid w:val="003C7E19"/>
    <w:rsid w:val="003D4613"/>
    <w:rsid w:val="003E1B38"/>
    <w:rsid w:val="003E35E5"/>
    <w:rsid w:val="003F44D2"/>
    <w:rsid w:val="003F67BD"/>
    <w:rsid w:val="003F6E40"/>
    <w:rsid w:val="003F7522"/>
    <w:rsid w:val="00402322"/>
    <w:rsid w:val="004075A6"/>
    <w:rsid w:val="00410F7A"/>
    <w:rsid w:val="0041565B"/>
    <w:rsid w:val="004164B6"/>
    <w:rsid w:val="004165C0"/>
    <w:rsid w:val="00416FC3"/>
    <w:rsid w:val="00421C9F"/>
    <w:rsid w:val="00424EA6"/>
    <w:rsid w:val="00425B7D"/>
    <w:rsid w:val="00433E6D"/>
    <w:rsid w:val="00443F01"/>
    <w:rsid w:val="004450FE"/>
    <w:rsid w:val="00446B0B"/>
    <w:rsid w:val="00455A20"/>
    <w:rsid w:val="00463D6B"/>
    <w:rsid w:val="004651ED"/>
    <w:rsid w:val="00465AE8"/>
    <w:rsid w:val="0046617F"/>
    <w:rsid w:val="00482A9C"/>
    <w:rsid w:val="00484CED"/>
    <w:rsid w:val="00486034"/>
    <w:rsid w:val="004912D8"/>
    <w:rsid w:val="00493DF7"/>
    <w:rsid w:val="00494598"/>
    <w:rsid w:val="004948C9"/>
    <w:rsid w:val="00495611"/>
    <w:rsid w:val="00496A47"/>
    <w:rsid w:val="004A031F"/>
    <w:rsid w:val="004A18C7"/>
    <w:rsid w:val="004A2D94"/>
    <w:rsid w:val="004A40E4"/>
    <w:rsid w:val="004B2AF1"/>
    <w:rsid w:val="004C38F2"/>
    <w:rsid w:val="004C4308"/>
    <w:rsid w:val="004C6A33"/>
    <w:rsid w:val="004D35A6"/>
    <w:rsid w:val="004D79F6"/>
    <w:rsid w:val="004E03DE"/>
    <w:rsid w:val="004E1C64"/>
    <w:rsid w:val="004E4E84"/>
    <w:rsid w:val="004F2E97"/>
    <w:rsid w:val="004F352F"/>
    <w:rsid w:val="004F7B0F"/>
    <w:rsid w:val="00500637"/>
    <w:rsid w:val="0050540D"/>
    <w:rsid w:val="00514224"/>
    <w:rsid w:val="00515FB5"/>
    <w:rsid w:val="00520F16"/>
    <w:rsid w:val="00521599"/>
    <w:rsid w:val="005220D8"/>
    <w:rsid w:val="0052238E"/>
    <w:rsid w:val="00526315"/>
    <w:rsid w:val="00526BF1"/>
    <w:rsid w:val="0053394E"/>
    <w:rsid w:val="00540948"/>
    <w:rsid w:val="0054243D"/>
    <w:rsid w:val="005436D3"/>
    <w:rsid w:val="00543A0E"/>
    <w:rsid w:val="00547564"/>
    <w:rsid w:val="0055021D"/>
    <w:rsid w:val="0055088B"/>
    <w:rsid w:val="00550EB5"/>
    <w:rsid w:val="00551560"/>
    <w:rsid w:val="00555EC0"/>
    <w:rsid w:val="00556682"/>
    <w:rsid w:val="00567F2A"/>
    <w:rsid w:val="005749B3"/>
    <w:rsid w:val="00575EA8"/>
    <w:rsid w:val="00576378"/>
    <w:rsid w:val="005768F1"/>
    <w:rsid w:val="00577B1E"/>
    <w:rsid w:val="00577FF2"/>
    <w:rsid w:val="00582575"/>
    <w:rsid w:val="00582FC4"/>
    <w:rsid w:val="005911A1"/>
    <w:rsid w:val="005969C1"/>
    <w:rsid w:val="005A0C87"/>
    <w:rsid w:val="005A16FC"/>
    <w:rsid w:val="005B6C3E"/>
    <w:rsid w:val="005C5103"/>
    <w:rsid w:val="005C662D"/>
    <w:rsid w:val="005C7ABE"/>
    <w:rsid w:val="005D09B5"/>
    <w:rsid w:val="005D24AD"/>
    <w:rsid w:val="005D57F9"/>
    <w:rsid w:val="005E44BC"/>
    <w:rsid w:val="005F19E6"/>
    <w:rsid w:val="005F2228"/>
    <w:rsid w:val="005F68A3"/>
    <w:rsid w:val="00603207"/>
    <w:rsid w:val="006225E9"/>
    <w:rsid w:val="00631B25"/>
    <w:rsid w:val="006330D6"/>
    <w:rsid w:val="00642120"/>
    <w:rsid w:val="006437D9"/>
    <w:rsid w:val="00645099"/>
    <w:rsid w:val="00645F4F"/>
    <w:rsid w:val="0065072E"/>
    <w:rsid w:val="00652C91"/>
    <w:rsid w:val="00653AB8"/>
    <w:rsid w:val="00656259"/>
    <w:rsid w:val="0066193A"/>
    <w:rsid w:val="00666E30"/>
    <w:rsid w:val="00673B5F"/>
    <w:rsid w:val="0067598B"/>
    <w:rsid w:val="00682B4A"/>
    <w:rsid w:val="006843B7"/>
    <w:rsid w:val="006A3E43"/>
    <w:rsid w:val="006A6671"/>
    <w:rsid w:val="006B587D"/>
    <w:rsid w:val="006B5DCD"/>
    <w:rsid w:val="006B7D4C"/>
    <w:rsid w:val="006C3489"/>
    <w:rsid w:val="006C5C22"/>
    <w:rsid w:val="006C6D52"/>
    <w:rsid w:val="006C73A9"/>
    <w:rsid w:val="006D254C"/>
    <w:rsid w:val="006D2EE3"/>
    <w:rsid w:val="006D31EE"/>
    <w:rsid w:val="006D5A24"/>
    <w:rsid w:val="006D71BF"/>
    <w:rsid w:val="006D732C"/>
    <w:rsid w:val="006E5325"/>
    <w:rsid w:val="006F78F0"/>
    <w:rsid w:val="006F7C9F"/>
    <w:rsid w:val="00706F97"/>
    <w:rsid w:val="00707F74"/>
    <w:rsid w:val="007201C7"/>
    <w:rsid w:val="0072059E"/>
    <w:rsid w:val="00722173"/>
    <w:rsid w:val="00726AF2"/>
    <w:rsid w:val="00730DAF"/>
    <w:rsid w:val="00731F4C"/>
    <w:rsid w:val="00741BEF"/>
    <w:rsid w:val="00743CD4"/>
    <w:rsid w:val="00745CE6"/>
    <w:rsid w:val="00746462"/>
    <w:rsid w:val="00746CB6"/>
    <w:rsid w:val="00752817"/>
    <w:rsid w:val="00764416"/>
    <w:rsid w:val="00767272"/>
    <w:rsid w:val="00773B4C"/>
    <w:rsid w:val="00775BDE"/>
    <w:rsid w:val="00775FC8"/>
    <w:rsid w:val="007904AA"/>
    <w:rsid w:val="007905A5"/>
    <w:rsid w:val="007A0A87"/>
    <w:rsid w:val="007A2E2F"/>
    <w:rsid w:val="007A7BE0"/>
    <w:rsid w:val="007B0BDD"/>
    <w:rsid w:val="007B5F73"/>
    <w:rsid w:val="007B6620"/>
    <w:rsid w:val="007C1BFD"/>
    <w:rsid w:val="007C551B"/>
    <w:rsid w:val="007D1385"/>
    <w:rsid w:val="007D1D41"/>
    <w:rsid w:val="007D27B7"/>
    <w:rsid w:val="007D5856"/>
    <w:rsid w:val="007F198B"/>
    <w:rsid w:val="007F5C27"/>
    <w:rsid w:val="00804663"/>
    <w:rsid w:val="008078EB"/>
    <w:rsid w:val="00812E33"/>
    <w:rsid w:val="00814307"/>
    <w:rsid w:val="008161F9"/>
    <w:rsid w:val="00817942"/>
    <w:rsid w:val="008208C7"/>
    <w:rsid w:val="00820D6A"/>
    <w:rsid w:val="008246F7"/>
    <w:rsid w:val="00831C74"/>
    <w:rsid w:val="00834239"/>
    <w:rsid w:val="008415A1"/>
    <w:rsid w:val="00852732"/>
    <w:rsid w:val="008635F1"/>
    <w:rsid w:val="008642E2"/>
    <w:rsid w:val="00865AE5"/>
    <w:rsid w:val="00866D03"/>
    <w:rsid w:val="00867A30"/>
    <w:rsid w:val="00876B7C"/>
    <w:rsid w:val="00881F46"/>
    <w:rsid w:val="00884788"/>
    <w:rsid w:val="00887161"/>
    <w:rsid w:val="008A52FD"/>
    <w:rsid w:val="008A6E85"/>
    <w:rsid w:val="008B0B14"/>
    <w:rsid w:val="008B3BA4"/>
    <w:rsid w:val="008B4AA5"/>
    <w:rsid w:val="008C677E"/>
    <w:rsid w:val="008C6A77"/>
    <w:rsid w:val="008D0320"/>
    <w:rsid w:val="008E271D"/>
    <w:rsid w:val="008E5CAF"/>
    <w:rsid w:val="008E74EB"/>
    <w:rsid w:val="008F13D2"/>
    <w:rsid w:val="008F479B"/>
    <w:rsid w:val="008F4C4F"/>
    <w:rsid w:val="008F4F07"/>
    <w:rsid w:val="008F6416"/>
    <w:rsid w:val="008F6DC8"/>
    <w:rsid w:val="009073D5"/>
    <w:rsid w:val="00910EB9"/>
    <w:rsid w:val="00912222"/>
    <w:rsid w:val="009145E6"/>
    <w:rsid w:val="00914D91"/>
    <w:rsid w:val="009158C2"/>
    <w:rsid w:val="0091644D"/>
    <w:rsid w:val="00927FF4"/>
    <w:rsid w:val="00935567"/>
    <w:rsid w:val="00936060"/>
    <w:rsid w:val="00944012"/>
    <w:rsid w:val="00945B36"/>
    <w:rsid w:val="0095238F"/>
    <w:rsid w:val="00960DE9"/>
    <w:rsid w:val="0096471C"/>
    <w:rsid w:val="00964AE9"/>
    <w:rsid w:val="0097464C"/>
    <w:rsid w:val="00975B01"/>
    <w:rsid w:val="00990CE6"/>
    <w:rsid w:val="00990E0F"/>
    <w:rsid w:val="009A65BA"/>
    <w:rsid w:val="009B03A7"/>
    <w:rsid w:val="009B0D15"/>
    <w:rsid w:val="009B27D4"/>
    <w:rsid w:val="009C0B72"/>
    <w:rsid w:val="009C2DA5"/>
    <w:rsid w:val="009D3309"/>
    <w:rsid w:val="009D4B2F"/>
    <w:rsid w:val="009E4A83"/>
    <w:rsid w:val="009E68BC"/>
    <w:rsid w:val="009E75A6"/>
    <w:rsid w:val="009F7626"/>
    <w:rsid w:val="00A22733"/>
    <w:rsid w:val="00A244A9"/>
    <w:rsid w:val="00A3220E"/>
    <w:rsid w:val="00A40992"/>
    <w:rsid w:val="00A43956"/>
    <w:rsid w:val="00A46FF0"/>
    <w:rsid w:val="00A659D7"/>
    <w:rsid w:val="00A661A5"/>
    <w:rsid w:val="00A77E18"/>
    <w:rsid w:val="00A82658"/>
    <w:rsid w:val="00A87D69"/>
    <w:rsid w:val="00A9771F"/>
    <w:rsid w:val="00AA2920"/>
    <w:rsid w:val="00AA5AE5"/>
    <w:rsid w:val="00AA649B"/>
    <w:rsid w:val="00AB4772"/>
    <w:rsid w:val="00AB4A3A"/>
    <w:rsid w:val="00AC2BC9"/>
    <w:rsid w:val="00AD0284"/>
    <w:rsid w:val="00AE170F"/>
    <w:rsid w:val="00AE6B13"/>
    <w:rsid w:val="00AE79FC"/>
    <w:rsid w:val="00AF36B9"/>
    <w:rsid w:val="00AF55A4"/>
    <w:rsid w:val="00B13F7F"/>
    <w:rsid w:val="00B16BA3"/>
    <w:rsid w:val="00B17845"/>
    <w:rsid w:val="00B30B07"/>
    <w:rsid w:val="00B315A5"/>
    <w:rsid w:val="00B41AD0"/>
    <w:rsid w:val="00B446E1"/>
    <w:rsid w:val="00B510E3"/>
    <w:rsid w:val="00B75327"/>
    <w:rsid w:val="00B94E4A"/>
    <w:rsid w:val="00B95E50"/>
    <w:rsid w:val="00B9731C"/>
    <w:rsid w:val="00BA282E"/>
    <w:rsid w:val="00BA5828"/>
    <w:rsid w:val="00BA7DC4"/>
    <w:rsid w:val="00BB11F4"/>
    <w:rsid w:val="00BB5126"/>
    <w:rsid w:val="00BB7243"/>
    <w:rsid w:val="00BC0522"/>
    <w:rsid w:val="00BC3D9C"/>
    <w:rsid w:val="00BC7C6E"/>
    <w:rsid w:val="00BD4BCB"/>
    <w:rsid w:val="00BD6F15"/>
    <w:rsid w:val="00BE1151"/>
    <w:rsid w:val="00BE257C"/>
    <w:rsid w:val="00BE3AC5"/>
    <w:rsid w:val="00BE4ACC"/>
    <w:rsid w:val="00BF3403"/>
    <w:rsid w:val="00BF5A6C"/>
    <w:rsid w:val="00BF5FF2"/>
    <w:rsid w:val="00C02E1B"/>
    <w:rsid w:val="00C06223"/>
    <w:rsid w:val="00C06514"/>
    <w:rsid w:val="00C10941"/>
    <w:rsid w:val="00C10EF0"/>
    <w:rsid w:val="00C121C8"/>
    <w:rsid w:val="00C13BF1"/>
    <w:rsid w:val="00C140DD"/>
    <w:rsid w:val="00C15E57"/>
    <w:rsid w:val="00C20471"/>
    <w:rsid w:val="00C30491"/>
    <w:rsid w:val="00C30E07"/>
    <w:rsid w:val="00C316B1"/>
    <w:rsid w:val="00C31AD2"/>
    <w:rsid w:val="00C324BD"/>
    <w:rsid w:val="00C33554"/>
    <w:rsid w:val="00C35B7F"/>
    <w:rsid w:val="00C36A9C"/>
    <w:rsid w:val="00C41736"/>
    <w:rsid w:val="00C51CE2"/>
    <w:rsid w:val="00C5479B"/>
    <w:rsid w:val="00C559AB"/>
    <w:rsid w:val="00C55E6C"/>
    <w:rsid w:val="00C64040"/>
    <w:rsid w:val="00C64212"/>
    <w:rsid w:val="00C654F4"/>
    <w:rsid w:val="00C67321"/>
    <w:rsid w:val="00C67C79"/>
    <w:rsid w:val="00C716B4"/>
    <w:rsid w:val="00C72867"/>
    <w:rsid w:val="00C72928"/>
    <w:rsid w:val="00C83076"/>
    <w:rsid w:val="00C963C2"/>
    <w:rsid w:val="00C973BD"/>
    <w:rsid w:val="00CA28E4"/>
    <w:rsid w:val="00CA4D9E"/>
    <w:rsid w:val="00CA5725"/>
    <w:rsid w:val="00CB0FD1"/>
    <w:rsid w:val="00CB3466"/>
    <w:rsid w:val="00CB5D1A"/>
    <w:rsid w:val="00CC56E7"/>
    <w:rsid w:val="00CC574C"/>
    <w:rsid w:val="00CC59D2"/>
    <w:rsid w:val="00CC6453"/>
    <w:rsid w:val="00CD00CE"/>
    <w:rsid w:val="00CD126D"/>
    <w:rsid w:val="00CD1752"/>
    <w:rsid w:val="00CD3C52"/>
    <w:rsid w:val="00CD632E"/>
    <w:rsid w:val="00CE51AE"/>
    <w:rsid w:val="00CF219F"/>
    <w:rsid w:val="00CF69EE"/>
    <w:rsid w:val="00D02AF8"/>
    <w:rsid w:val="00D04B59"/>
    <w:rsid w:val="00D07BD0"/>
    <w:rsid w:val="00D10840"/>
    <w:rsid w:val="00D11945"/>
    <w:rsid w:val="00D13B94"/>
    <w:rsid w:val="00D14F20"/>
    <w:rsid w:val="00D24709"/>
    <w:rsid w:val="00D2482C"/>
    <w:rsid w:val="00D26954"/>
    <w:rsid w:val="00D325F9"/>
    <w:rsid w:val="00D34033"/>
    <w:rsid w:val="00D344D9"/>
    <w:rsid w:val="00D35902"/>
    <w:rsid w:val="00D447E7"/>
    <w:rsid w:val="00D45821"/>
    <w:rsid w:val="00D45B68"/>
    <w:rsid w:val="00D52706"/>
    <w:rsid w:val="00D543DE"/>
    <w:rsid w:val="00D54626"/>
    <w:rsid w:val="00D54EAE"/>
    <w:rsid w:val="00D61CA2"/>
    <w:rsid w:val="00D63D9C"/>
    <w:rsid w:val="00D65DB1"/>
    <w:rsid w:val="00D67716"/>
    <w:rsid w:val="00D6771E"/>
    <w:rsid w:val="00D7578F"/>
    <w:rsid w:val="00D773F8"/>
    <w:rsid w:val="00D87206"/>
    <w:rsid w:val="00D876B8"/>
    <w:rsid w:val="00D87CFF"/>
    <w:rsid w:val="00D92969"/>
    <w:rsid w:val="00D945F5"/>
    <w:rsid w:val="00DA25B0"/>
    <w:rsid w:val="00DA4121"/>
    <w:rsid w:val="00DC274E"/>
    <w:rsid w:val="00DD07D4"/>
    <w:rsid w:val="00DE10FB"/>
    <w:rsid w:val="00DE313B"/>
    <w:rsid w:val="00DE7B49"/>
    <w:rsid w:val="00DF2815"/>
    <w:rsid w:val="00E120A6"/>
    <w:rsid w:val="00E12908"/>
    <w:rsid w:val="00E22CBE"/>
    <w:rsid w:val="00E2302C"/>
    <w:rsid w:val="00E23816"/>
    <w:rsid w:val="00E24232"/>
    <w:rsid w:val="00E247D0"/>
    <w:rsid w:val="00E40FD3"/>
    <w:rsid w:val="00E46700"/>
    <w:rsid w:val="00E47F25"/>
    <w:rsid w:val="00E5514C"/>
    <w:rsid w:val="00E560C9"/>
    <w:rsid w:val="00E56ECD"/>
    <w:rsid w:val="00E64F44"/>
    <w:rsid w:val="00E65290"/>
    <w:rsid w:val="00E83D0C"/>
    <w:rsid w:val="00E84C0D"/>
    <w:rsid w:val="00E86BB9"/>
    <w:rsid w:val="00E9067D"/>
    <w:rsid w:val="00E95023"/>
    <w:rsid w:val="00E963D8"/>
    <w:rsid w:val="00E97AA2"/>
    <w:rsid w:val="00E97BA1"/>
    <w:rsid w:val="00EA05E8"/>
    <w:rsid w:val="00EA1C98"/>
    <w:rsid w:val="00EB26E3"/>
    <w:rsid w:val="00EB416F"/>
    <w:rsid w:val="00EC6D10"/>
    <w:rsid w:val="00ED1C29"/>
    <w:rsid w:val="00ED3EF3"/>
    <w:rsid w:val="00ED6B15"/>
    <w:rsid w:val="00ED6DB6"/>
    <w:rsid w:val="00EE34DA"/>
    <w:rsid w:val="00EE496A"/>
    <w:rsid w:val="00EF168B"/>
    <w:rsid w:val="00EF5EA9"/>
    <w:rsid w:val="00F22793"/>
    <w:rsid w:val="00F2739D"/>
    <w:rsid w:val="00F33AAC"/>
    <w:rsid w:val="00F37A43"/>
    <w:rsid w:val="00F448CC"/>
    <w:rsid w:val="00F53BD4"/>
    <w:rsid w:val="00F66F30"/>
    <w:rsid w:val="00F67A76"/>
    <w:rsid w:val="00F73285"/>
    <w:rsid w:val="00F872D1"/>
    <w:rsid w:val="00F93481"/>
    <w:rsid w:val="00F935AF"/>
    <w:rsid w:val="00F9640F"/>
    <w:rsid w:val="00F97E75"/>
    <w:rsid w:val="00FA01A4"/>
    <w:rsid w:val="00FA5955"/>
    <w:rsid w:val="00FB16D9"/>
    <w:rsid w:val="00FB4F85"/>
    <w:rsid w:val="00FB5BC2"/>
    <w:rsid w:val="00FC67DA"/>
    <w:rsid w:val="00FC69B1"/>
    <w:rsid w:val="00FD29E6"/>
    <w:rsid w:val="00FD2BF7"/>
    <w:rsid w:val="00FE0391"/>
    <w:rsid w:val="00FE4985"/>
    <w:rsid w:val="00FF4955"/>
    <w:rsid w:val="29A246B9"/>
    <w:rsid w:val="5F2D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79803"/>
  <w15:docId w15:val="{8BB58315-DE0F-466C-9B09-5A5FBD8C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B0F"/>
  </w:style>
  <w:style w:type="paragraph" w:styleId="Nagwek1">
    <w:name w:val="heading 1"/>
    <w:basedOn w:val="Normalny"/>
    <w:next w:val="Normalny"/>
    <w:link w:val="Nagwek1Znak"/>
    <w:uiPriority w:val="9"/>
    <w:qFormat/>
    <w:rsid w:val="00682B4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6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E40"/>
  </w:style>
  <w:style w:type="paragraph" w:styleId="Stopka">
    <w:name w:val="footer"/>
    <w:basedOn w:val="Normalny"/>
    <w:link w:val="StopkaZnak"/>
    <w:uiPriority w:val="99"/>
    <w:unhideWhenUsed/>
    <w:rsid w:val="003F6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E40"/>
  </w:style>
  <w:style w:type="paragraph" w:styleId="Akapitzlist">
    <w:name w:val="List Paragraph"/>
    <w:aliases w:val="Akapit z listą1,Kolorowa lista — akcent 11,Numerowanie,List Paragraph,Listaszerű bekezdés1,List Paragraph à moi,Akapit z list?1,ListaszerA bekezdAs1,Numbered Para 1,No Spacing1,List Paragraph Char Char Char,Indicator Text,2,3,L,Bullet 1"/>
    <w:basedOn w:val="Normalny"/>
    <w:link w:val="AkapitzlistZnak"/>
    <w:uiPriority w:val="34"/>
    <w:qFormat/>
    <w:rsid w:val="003F6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character" w:customStyle="1" w:styleId="AkapitzlistZnak">
    <w:name w:val="Akapit z listą Znak"/>
    <w:aliases w:val="Akapit z listą1 Znak,Kolorowa lista — akcent 11 Znak,Numerowanie Znak,List Paragraph Znak,Listaszerű bekezdés1 Znak,List Paragraph à moi Znak,Akapit z list?1 Znak,ListaszerA bekezdAs1 Znak,Numbered Para 1 Znak,No Spacing1 Znak,2 Znak"/>
    <w:link w:val="Akapitzlist"/>
    <w:uiPriority w:val="34"/>
    <w:qFormat/>
    <w:locked/>
    <w:rsid w:val="003F6E40"/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styleId="Bezodstpw">
    <w:name w:val="No Spacing"/>
    <w:uiPriority w:val="1"/>
    <w:qFormat/>
    <w:rsid w:val="003F6E40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Tekstprzypisudolnego">
    <w:name w:val="footnote text"/>
    <w:aliases w:val="single space,Footnote Text Char Char,Footnote Text Char Char Char,-E Fuﬂnotentext,Fuﬂnotentext Ursprung,Fußnotentext Ursprung,-E Fußnotentext,Podrozdział,Przypis,Footnote,Podrozdzia3,Tekst przypisu SZ_2007,Char Char,Znak,Plonk,o"/>
    <w:basedOn w:val="Normalny"/>
    <w:link w:val="TekstprzypisudolnegoZnak"/>
    <w:unhideWhenUsed/>
    <w:qFormat/>
    <w:rsid w:val="002B37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single space Znak,Footnote Text Char Char Znak,Footnote Text Char Char Char Znak,-E Fuﬂnotentext Znak,Fuﬂnotentext Ursprung Znak,Fußnotentext Ursprung Znak,-E Fußnotentext Znak,Podrozdział Znak,Przypis Znak,Footnote Znak"/>
    <w:basedOn w:val="Domylnaczcionkaakapitu"/>
    <w:link w:val="Tekstprzypisudolnego"/>
    <w:qFormat/>
    <w:rsid w:val="002B37A0"/>
    <w:rPr>
      <w:sz w:val="20"/>
      <w:szCs w:val="20"/>
    </w:rPr>
  </w:style>
  <w:style w:type="character" w:styleId="Odwoanieprzypisudolnego">
    <w:name w:val="footnote reference"/>
    <w:aliases w:val="SUPERS, Znak Znak4 Znak Znak Znak Znak Znak Znak Znak Znak,Znak Znak4,Znak Znak41,MIP Footnote Reference,stylish,Footnote Reference Superscript,BVI fnr,Footnote symbol,Footnote symboFußnotenzeichen,Footnote sign,E FNZ,R,Ref"/>
    <w:basedOn w:val="Domylnaczcionkaakapitu"/>
    <w:link w:val="FootnotesymbolCarZchn"/>
    <w:unhideWhenUsed/>
    <w:qFormat/>
    <w:rsid w:val="002B37A0"/>
    <w:rPr>
      <w:vertAlign w:val="superscript"/>
    </w:rPr>
  </w:style>
  <w:style w:type="numbering" w:customStyle="1" w:styleId="Zaimportowanystyl20">
    <w:name w:val="Zaimportowany styl 2.0"/>
    <w:rsid w:val="00DE313B"/>
    <w:pPr>
      <w:numPr>
        <w:numId w:val="3"/>
      </w:numPr>
    </w:pPr>
  </w:style>
  <w:style w:type="paragraph" w:styleId="Listapunktowana">
    <w:name w:val="List Bullet"/>
    <w:basedOn w:val="Normalny"/>
    <w:rsid w:val="005D09B5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s-rtethemeforecolor-2-0">
    <w:name w:val="ms-rtethemeforecolor-2-0"/>
    <w:basedOn w:val="Domylnaczcionkaakapitu"/>
    <w:rsid w:val="00C36A9C"/>
  </w:style>
  <w:style w:type="table" w:styleId="Tabela-Siatka">
    <w:name w:val="Table Grid"/>
    <w:basedOn w:val="Standardowy"/>
    <w:uiPriority w:val="39"/>
    <w:rsid w:val="0086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7D0"/>
    <w:rPr>
      <w:rFonts w:ascii="Tahoma" w:hAnsi="Tahoma" w:cs="Tahoma"/>
      <w:sz w:val="16"/>
      <w:szCs w:val="16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rsid w:val="00267F95"/>
    <w:pPr>
      <w:spacing w:line="240" w:lineRule="exact"/>
      <w:jc w:val="both"/>
    </w:pPr>
    <w:rPr>
      <w:vertAlign w:val="superscript"/>
    </w:rPr>
  </w:style>
  <w:style w:type="paragraph" w:customStyle="1" w:styleId="Nagdospisutreci">
    <w:name w:val="Nag do spisu treści"/>
    <w:basedOn w:val="Akapitzlist"/>
    <w:link w:val="NagdospisutreciZnak"/>
    <w:qFormat/>
    <w:rsid w:val="00267F95"/>
    <w:pPr>
      <w:numPr>
        <w:numId w:val="5"/>
      </w:numPr>
      <w:suppressAutoHyphens w:val="0"/>
      <w:spacing w:after="160"/>
      <w:jc w:val="both"/>
    </w:pPr>
    <w:rPr>
      <w:color w:val="000000" w:themeColor="text1"/>
      <w:kern w:val="0"/>
      <w:lang w:val="pl-PL" w:eastAsia="pl-PL"/>
    </w:rPr>
  </w:style>
  <w:style w:type="character" w:customStyle="1" w:styleId="NagdospisutreciZnak">
    <w:name w:val="Nag do spisu treści Znak"/>
    <w:basedOn w:val="Domylnaczcionkaakapitu"/>
    <w:link w:val="Nagdospisutreci"/>
    <w:rsid w:val="00267F95"/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Default">
    <w:name w:val="Default"/>
    <w:uiPriority w:val="99"/>
    <w:rsid w:val="008A6E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93481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40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F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F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F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FD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10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10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10FB"/>
    <w:rPr>
      <w:vertAlign w:val="superscript"/>
    </w:rPr>
  </w:style>
  <w:style w:type="paragraph" w:customStyle="1" w:styleId="ManualNumPar1">
    <w:name w:val="Manual NumPar 1"/>
    <w:basedOn w:val="Normalny"/>
    <w:next w:val="Normalny"/>
    <w:rsid w:val="00DE10FB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82B4A"/>
    <w:rPr>
      <w:rFonts w:ascii="Arial" w:eastAsiaTheme="majorEastAsia" w:hAnsi="Arial" w:cstheme="majorBidi"/>
      <w:color w:val="2E74B5" w:themeColor="accent1" w:themeShade="BF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D254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D254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D254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D254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452D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70C9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22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031">
          <w:marLeft w:val="162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792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29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175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65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73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1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586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75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28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798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63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17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85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iznes.gov.pl/pl/portal/ou751" TargetMode="External"/><Relationship Id="rId18" Type="http://schemas.openxmlformats.org/officeDocument/2006/relationships/hyperlink" Target="https://ec.europa.eu/defence-industry-space/defence-sector-call-experts-assist-european-commission-evaluation-proposals-submitted-funding-under_e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gov/uzyskaj-zaswiadczenie-z-krajowego-rejestru-karnego" TargetMode="External"/><Relationship Id="rId17" Type="http://schemas.openxmlformats.org/officeDocument/2006/relationships/hyperlink" Target="https://ec.europa.eu/defence-industry-space/defence-sector-call-experts-assist-european-commission-evaluation-proposals-submitted-funding-under_en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eda.europa.eu/what-we-do/research-technology/capability-technology-areas-(captechs)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a.europa.eu/what-we-do/research-technology/capability-technology-areas-(captechs)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defence-industry-space.ec.europa.eu/edf-work-programme-2026_en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eur-lex.europa.eu/legal-content/EN/TXT/?uri=uriserv%3AOJ.L_.2021.170.01.0149.01.ENG&amp;toc=OJ%3AL%3A2021%3A170%3ATOC" TargetMode="External"/><Relationship Id="rId19" Type="http://schemas.openxmlformats.org/officeDocument/2006/relationships/hyperlink" Target="https://ec.europa.eu/defence-industry-space/eu-defence-industry/european-defence-fund-edf/network-european-defence-fund-national-focal-points-nfp_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iznes.gov.pl/pl/portal/ou750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53U2VKY0k1OGZyT0pyTnN6K2tld3BXaUo4WmZ4OTBPd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ML6uwhM7e79QME6xjuKRCPhzKCNR3llueYuKlbmrLAQ=</DigestValue>
      </Reference>
      <Reference URI="#INFO">
        <DigestMethod Algorithm="http://www.w3.org/2001/04/xmlenc#sha256"/>
        <DigestValue>FYUl31pND/xX6OyJ7Ko07LtwX9I8TB0bWMMKTs2Rvc8=</DigestValue>
      </Reference>
    </SignedInfo>
    <SignatureValue>LRiyIo0KfyjmaC/GuNSed4azrwfqL8ZlcmZ8MvyVQSxpEvec6NvOhEREa6NM0bcTIg7Hs1aceljm6Vdk8zmcyw==</SignatureValue>
    <Object Id="INFO">
      <ArrayOfString xmlns:xsd="http://www.w3.org/2001/XMLSchema" xmlns:xsi="http://www.w3.org/2001/XMLSchema-instance" xmlns="">
        <string>wSeJcI58frOJrNsz+kewpWiJ8Zfx90Ou</string>
      </ArrayOfString>
    </Object>
  </Signature>
</WrappedLabelInfo>
</file>

<file path=customXml/itemProps1.xml><?xml version="1.0" encoding="utf-8"?>
<ds:datastoreItem xmlns:ds="http://schemas.openxmlformats.org/officeDocument/2006/customXml" ds:itemID="{DC58BB0A-04B8-4D95-ABEE-352971689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24E771-2BB8-4103-A2A1-C98423A61BA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1C0FD24-A976-439E-819D-25DF8D4CF57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2338</Words>
  <Characters>15969</Characters>
  <Application>Microsoft Office Word</Application>
  <DocSecurity>0</DocSecurity>
  <Lines>319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Prejna Karol</dc:creator>
  <cp:keywords/>
  <dc:description/>
  <cp:lastModifiedBy>Wróbel Artur</cp:lastModifiedBy>
  <cp:revision>2</cp:revision>
  <cp:lastPrinted>2024-04-04T08:13:00Z</cp:lastPrinted>
  <dcterms:created xsi:type="dcterms:W3CDTF">2026-02-13T08:10:00Z</dcterms:created>
  <dcterms:modified xsi:type="dcterms:W3CDTF">2026-02-13T08:10:00Z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ab64f4de-7759-41f8-b090-ae457a7e2b68</vt:lpwstr>
  </property>
  <property fmtid="{D5CDD505-2E9C-101B-9397-08002B2CF9AE}" pid="3" name="bjClsUserRVM">
    <vt:lpwstr>[]</vt:lpwstr>
  </property>
  <property fmtid="{D5CDD505-2E9C-101B-9397-08002B2CF9AE}" pid="4" name="bjSaver">
    <vt:lpwstr>bK9km/d9+eh3TaT6x7CcE+1JLvb4gExI</vt:lpwstr>
  </property>
  <property fmtid="{D5CDD505-2E9C-101B-9397-08002B2CF9AE}" pid="5" name="bjHeaderPrimaryTextBox">
    <vt:lpwstr>ZASTRZEŻONE</vt:lpwstr>
  </property>
  <property fmtid="{D5CDD505-2E9C-101B-9397-08002B2CF9AE}" pid="6" name="bjHeaderFirstTextBox">
    <vt:lpwstr>ZASTRZEŻONE</vt:lpwstr>
  </property>
  <property fmtid="{D5CDD505-2E9C-101B-9397-08002B2CF9AE}" pid="7" name="bjHeaderEvenTextBox">
    <vt:lpwstr>ZASTRZEŻONE</vt:lpwstr>
  </property>
  <property fmtid="{D5CDD505-2E9C-101B-9397-08002B2CF9AE}" pid="8" name="bjFooterPrimaryTextBox">
    <vt:lpwstr>ZASTRZEŻONE</vt:lpwstr>
  </property>
  <property fmtid="{D5CDD505-2E9C-101B-9397-08002B2CF9AE}" pid="9" name="bjFooterFirstTextBox">
    <vt:lpwstr>ZASTRZEŻONE</vt:lpwstr>
  </property>
  <property fmtid="{D5CDD505-2E9C-101B-9397-08002B2CF9AE}" pid="10" name="bjFooterEvenTextBox">
    <vt:lpwstr>ZASTRZEŻONE</vt:lpwstr>
  </property>
  <property fmtid="{D5CDD505-2E9C-101B-9397-08002B2CF9AE}" pid="11" name="bjDocumentSecurityLabel">
    <vt:lpwstr>[d7220eed-17a6-431d-810c-83a0ddfed893]</vt:lpwstr>
  </property>
  <property fmtid="{D5CDD505-2E9C-101B-9397-08002B2CF9AE}" pid="12" name="bjPortionMark">
    <vt:lpwstr>[]</vt:lpwstr>
  </property>
  <property fmtid="{D5CDD505-2E9C-101B-9397-08002B2CF9AE}" pid="13" name="bjpmDocIH">
    <vt:lpwstr>zYQ4Zgx1H4HRbx8DlUxUA4HQBx7nR7Ss</vt:lpwstr>
  </property>
  <property fmtid="{D5CDD505-2E9C-101B-9397-08002B2CF9AE}" pid="1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5" name="bjDocumentLabelXML-0">
    <vt:lpwstr>ames.com/2008/01/sie/internal/label"&gt;&lt;element uid="d7220eed-17a6-431d-810c-83a0ddfed893" value="" /&gt;&lt;/sisl&gt;</vt:lpwstr>
  </property>
</Properties>
</file>