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9"/>
      </w:tblGrid>
      <w:tr w:rsidR="003F6E40" w:rsidRPr="00174E6E" w14:paraId="780B4006" w14:textId="77777777" w:rsidTr="5F2D35BD">
        <w:trPr>
          <w:jc w:val="center"/>
        </w:trPr>
        <w:tc>
          <w:tcPr>
            <w:tcW w:w="6679" w:type="dxa"/>
          </w:tcPr>
          <w:p w14:paraId="062FEFB2" w14:textId="17403FAE" w:rsidR="003F6E40" w:rsidRPr="00DE7B49" w:rsidRDefault="003F6E40" w:rsidP="5F2D35BD">
            <w:pPr>
              <w:suppressAutoHyphens/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4"/>
                <w:szCs w:val="24"/>
                <w:lang w:val="en-US" w:eastAsia="ar-SA"/>
              </w:rPr>
            </w:pPr>
            <w:r w:rsidRPr="00DE7B49">
              <w:rPr>
                <w:rFonts w:ascii="Lato" w:eastAsia="Times New Roman" w:hAnsi="Lato" w:cs="Arial"/>
                <w:b/>
                <w:bCs/>
                <w:kern w:val="1"/>
                <w:sz w:val="24"/>
                <w:szCs w:val="24"/>
                <w:lang w:val="en-US" w:eastAsia="ar-SA"/>
              </w:rPr>
              <w:t>MINISTERSTWO  OBRONY  NARODOWEJ</w:t>
            </w:r>
          </w:p>
        </w:tc>
      </w:tr>
      <w:tr w:rsidR="003F6E40" w:rsidRPr="00174E6E" w14:paraId="4B0E51B8" w14:textId="77777777" w:rsidTr="5F2D35BD">
        <w:trPr>
          <w:jc w:val="center"/>
        </w:trPr>
        <w:tc>
          <w:tcPr>
            <w:tcW w:w="6679" w:type="dxa"/>
          </w:tcPr>
          <w:p w14:paraId="62A42781" w14:textId="2681312B" w:rsidR="003F6E40" w:rsidRPr="00DE7B49" w:rsidRDefault="5F2D35BD" w:rsidP="5F2D35BD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bookmarkStart w:id="0" w:name="_Toc92178256"/>
            <w:r w:rsidRPr="00DE7B49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Departament Innowacji</w:t>
            </w:r>
            <w:bookmarkEnd w:id="0"/>
          </w:p>
          <w:p w14:paraId="454807C0" w14:textId="77777777" w:rsidR="0053394E" w:rsidRPr="00DE7B49" w:rsidRDefault="0053394E" w:rsidP="00682B4A">
            <w:pPr>
              <w:jc w:val="center"/>
              <w:rPr>
                <w:rFonts w:ascii="Lato" w:hAnsi="Lato" w:cs="Arial"/>
                <w:b/>
                <w:sz w:val="24"/>
                <w:szCs w:val="24"/>
                <w:lang w:eastAsia="ar-SA"/>
              </w:rPr>
            </w:pPr>
          </w:p>
          <w:p w14:paraId="4E8C6D7C" w14:textId="77777777" w:rsidR="003F6E40" w:rsidRPr="00DE7B49" w:rsidRDefault="003F6E40" w:rsidP="003F6E40">
            <w:pPr>
              <w:keepNext/>
              <w:tabs>
                <w:tab w:val="num" w:pos="0"/>
              </w:tabs>
              <w:suppressAutoHyphens/>
              <w:spacing w:before="120" w:after="0" w:line="240" w:lineRule="auto"/>
              <w:jc w:val="center"/>
              <w:outlineLvl w:val="0"/>
              <w:rPr>
                <w:rFonts w:ascii="Lato" w:eastAsia="Times New Roman" w:hAnsi="Lato" w:cs="Arial"/>
                <w:b/>
                <w:kern w:val="1"/>
                <w:sz w:val="24"/>
                <w:szCs w:val="24"/>
                <w:lang w:val="en-US" w:eastAsia="ar-SA"/>
              </w:rPr>
            </w:pPr>
          </w:p>
          <w:p w14:paraId="7C50FDEB" w14:textId="77777777" w:rsidR="003F6E40" w:rsidRPr="00DE7B49" w:rsidRDefault="003F6E40" w:rsidP="003F6E40">
            <w:pPr>
              <w:keepNext/>
              <w:tabs>
                <w:tab w:val="num" w:pos="0"/>
              </w:tabs>
              <w:suppressAutoHyphens/>
              <w:spacing w:before="120" w:after="0" w:line="240" w:lineRule="auto"/>
              <w:jc w:val="center"/>
              <w:outlineLvl w:val="0"/>
              <w:rPr>
                <w:rFonts w:ascii="Lato" w:eastAsia="Times New Roman" w:hAnsi="Lato" w:cs="Arial"/>
                <w:b/>
                <w:kern w:val="1"/>
                <w:sz w:val="24"/>
                <w:szCs w:val="24"/>
                <w:lang w:val="en-US" w:eastAsia="ar-SA"/>
              </w:rPr>
            </w:pPr>
          </w:p>
          <w:p w14:paraId="4A2A1256" w14:textId="77777777" w:rsidR="003F6E40" w:rsidRPr="00DE7B49" w:rsidRDefault="003F6E40" w:rsidP="003F6E40">
            <w:pPr>
              <w:keepNext/>
              <w:tabs>
                <w:tab w:val="num" w:pos="0"/>
              </w:tabs>
              <w:suppressAutoHyphens/>
              <w:spacing w:before="120" w:after="0" w:line="240" w:lineRule="auto"/>
              <w:jc w:val="center"/>
              <w:outlineLvl w:val="0"/>
              <w:rPr>
                <w:rFonts w:ascii="Lato" w:eastAsia="Times New Roman" w:hAnsi="Lato" w:cs="Arial"/>
                <w:b/>
                <w:kern w:val="1"/>
                <w:sz w:val="24"/>
                <w:szCs w:val="24"/>
                <w:lang w:val="en-US" w:eastAsia="ar-SA"/>
              </w:rPr>
            </w:pPr>
          </w:p>
        </w:tc>
      </w:tr>
    </w:tbl>
    <w:p w14:paraId="6B3E99D5" w14:textId="284C43F0" w:rsidR="003F6E40" w:rsidRPr="00DE7B49" w:rsidRDefault="0006677C" w:rsidP="00F448CC">
      <w:pPr>
        <w:spacing w:after="0"/>
        <w:jc w:val="center"/>
        <w:rPr>
          <w:rFonts w:ascii="Lato" w:hAnsi="Lato" w:cs="Arial"/>
        </w:rPr>
      </w:pPr>
      <w:r w:rsidRPr="00DE7B49">
        <w:rPr>
          <w:rFonts w:ascii="Lato" w:hAnsi="Lato" w:cs="Arial"/>
        </w:rPr>
        <w:tab/>
      </w:r>
      <w:r w:rsidRPr="00DE7B49">
        <w:rPr>
          <w:rFonts w:ascii="Lato" w:hAnsi="Lato" w:cs="Arial"/>
        </w:rPr>
        <w:tab/>
      </w:r>
    </w:p>
    <w:p w14:paraId="5BA083E0" w14:textId="77777777" w:rsidR="003F6E40" w:rsidRPr="00DE7B49" w:rsidRDefault="003F6E40">
      <w:pPr>
        <w:rPr>
          <w:rFonts w:ascii="Lato" w:hAnsi="Lato" w:cs="Arial"/>
        </w:rPr>
      </w:pPr>
    </w:p>
    <w:p w14:paraId="31B69C1C" w14:textId="6C70871C" w:rsidR="000C2508" w:rsidRPr="00DE7B49" w:rsidRDefault="000C2508" w:rsidP="0010226B">
      <w:pPr>
        <w:jc w:val="center"/>
        <w:rPr>
          <w:rFonts w:ascii="Lato" w:hAnsi="Lato" w:cs="Arial"/>
          <w:b/>
          <w:bCs/>
          <w:sz w:val="32"/>
          <w:szCs w:val="32"/>
        </w:rPr>
      </w:pPr>
      <w:r w:rsidRPr="00DE7B49">
        <w:rPr>
          <w:rFonts w:ascii="Lato" w:hAnsi="Lato" w:cs="Arial"/>
          <w:b/>
          <w:bCs/>
          <w:sz w:val="32"/>
          <w:szCs w:val="32"/>
        </w:rPr>
        <w:t>Materiał informacyjny</w:t>
      </w:r>
      <w:r w:rsidR="0010226B" w:rsidRPr="00DE7B49">
        <w:rPr>
          <w:rFonts w:ascii="Lato" w:hAnsi="Lato" w:cs="Arial"/>
          <w:b/>
          <w:bCs/>
          <w:sz w:val="32"/>
          <w:szCs w:val="32"/>
        </w:rPr>
        <w:t xml:space="preserve"> </w:t>
      </w:r>
      <w:r w:rsidR="00F67A76" w:rsidRPr="00DE7B49">
        <w:rPr>
          <w:rFonts w:ascii="Lato" w:hAnsi="Lato" w:cs="Arial"/>
          <w:b/>
          <w:bCs/>
          <w:sz w:val="32"/>
          <w:szCs w:val="32"/>
        </w:rPr>
        <w:br/>
      </w:r>
      <w:r w:rsidRPr="00DE7B49">
        <w:rPr>
          <w:rFonts w:ascii="Lato" w:hAnsi="Lato" w:cs="Arial"/>
          <w:b/>
          <w:bCs/>
          <w:sz w:val="32"/>
          <w:szCs w:val="32"/>
        </w:rPr>
        <w:t xml:space="preserve">dla polskich podmiotów naukowo-badawczych </w:t>
      </w:r>
      <w:r w:rsidR="00F67A76" w:rsidRPr="00DE7B49">
        <w:rPr>
          <w:rFonts w:ascii="Lato" w:hAnsi="Lato" w:cs="Arial"/>
          <w:b/>
          <w:bCs/>
          <w:sz w:val="32"/>
          <w:szCs w:val="32"/>
        </w:rPr>
        <w:br/>
      </w:r>
      <w:r w:rsidRPr="00DE7B49">
        <w:rPr>
          <w:rFonts w:ascii="Lato" w:hAnsi="Lato" w:cs="Arial"/>
          <w:b/>
          <w:bCs/>
          <w:sz w:val="32"/>
          <w:szCs w:val="32"/>
        </w:rPr>
        <w:t>i przemysłowych</w:t>
      </w:r>
      <w:r w:rsidR="0010226B" w:rsidRPr="00DE7B49">
        <w:rPr>
          <w:rFonts w:ascii="Lato" w:hAnsi="Lato" w:cs="Arial"/>
          <w:b/>
          <w:bCs/>
          <w:sz w:val="32"/>
          <w:szCs w:val="32"/>
        </w:rPr>
        <w:t xml:space="preserve"> </w:t>
      </w:r>
      <w:r w:rsidR="004A18C7" w:rsidRPr="00DE7B49">
        <w:rPr>
          <w:rFonts w:ascii="Lato" w:hAnsi="Lato" w:cs="Arial"/>
          <w:b/>
          <w:bCs/>
          <w:sz w:val="32"/>
          <w:szCs w:val="32"/>
        </w:rPr>
        <w:t xml:space="preserve">na temat </w:t>
      </w:r>
      <w:r w:rsidR="00F67A76" w:rsidRPr="00DE7B49">
        <w:rPr>
          <w:rFonts w:ascii="Lato" w:hAnsi="Lato" w:cs="Arial"/>
          <w:b/>
          <w:bCs/>
          <w:sz w:val="32"/>
          <w:szCs w:val="32"/>
        </w:rPr>
        <w:br/>
      </w:r>
      <w:r w:rsidRPr="00DE7B49">
        <w:rPr>
          <w:rFonts w:ascii="Lato" w:hAnsi="Lato" w:cs="Arial"/>
          <w:b/>
          <w:bCs/>
          <w:sz w:val="32"/>
          <w:szCs w:val="32"/>
        </w:rPr>
        <w:t>Europejskiego Funduszu Obronnego</w:t>
      </w:r>
      <w:r w:rsidR="0010226B" w:rsidRPr="00DE7B49">
        <w:rPr>
          <w:rFonts w:ascii="Lato" w:hAnsi="Lato" w:cs="Arial"/>
          <w:b/>
          <w:bCs/>
          <w:sz w:val="32"/>
          <w:szCs w:val="32"/>
        </w:rPr>
        <w:t xml:space="preserve"> </w:t>
      </w:r>
      <w:r w:rsidRPr="00DE7B49">
        <w:rPr>
          <w:rFonts w:ascii="Lato" w:hAnsi="Lato" w:cs="Arial"/>
          <w:b/>
          <w:bCs/>
          <w:sz w:val="32"/>
          <w:szCs w:val="32"/>
        </w:rPr>
        <w:t xml:space="preserve">edycji </w:t>
      </w:r>
      <w:r w:rsidR="00EF5EA9" w:rsidRPr="00DE7B49">
        <w:rPr>
          <w:rFonts w:ascii="Lato" w:hAnsi="Lato" w:cs="Arial"/>
          <w:b/>
          <w:bCs/>
          <w:sz w:val="32"/>
          <w:szCs w:val="32"/>
        </w:rPr>
        <w:t>2026</w:t>
      </w:r>
    </w:p>
    <w:p w14:paraId="5927C35F" w14:textId="227DD33E" w:rsidR="005A0C87" w:rsidRPr="00DE7B49" w:rsidRDefault="005A0C87" w:rsidP="005A0C87">
      <w:pPr>
        <w:keepNext/>
        <w:numPr>
          <w:ilvl w:val="1"/>
          <w:numId w:val="0"/>
        </w:numPr>
        <w:suppressAutoHyphens/>
        <w:spacing w:after="0" w:line="276" w:lineRule="auto"/>
        <w:jc w:val="both"/>
        <w:outlineLvl w:val="1"/>
        <w:rPr>
          <w:rFonts w:ascii="Lato" w:hAnsi="Lato"/>
        </w:rPr>
      </w:pPr>
    </w:p>
    <w:p w14:paraId="501DB09C" w14:textId="77777777" w:rsidR="00F448CC" w:rsidRPr="00DE7B49" w:rsidRDefault="00F448CC" w:rsidP="005A0C87">
      <w:pPr>
        <w:keepNext/>
        <w:numPr>
          <w:ilvl w:val="1"/>
          <w:numId w:val="0"/>
        </w:numPr>
        <w:suppressAutoHyphens/>
        <w:spacing w:after="0" w:line="276" w:lineRule="auto"/>
        <w:jc w:val="both"/>
        <w:outlineLvl w:val="1"/>
        <w:rPr>
          <w:rFonts w:ascii="Lato" w:hAnsi="Lato"/>
        </w:rPr>
      </w:pPr>
    </w:p>
    <w:p w14:paraId="6D39A774" w14:textId="579455E9" w:rsidR="006D254C" w:rsidRPr="00DE7B49" w:rsidRDefault="006D254C">
      <w:pPr>
        <w:rPr>
          <w:rFonts w:ascii="Lato" w:hAnsi="Lato" w:cs="Arial"/>
        </w:rPr>
      </w:pPr>
    </w:p>
    <w:p w14:paraId="5504DD98" w14:textId="61EDE67B" w:rsidR="00C13BF1" w:rsidRPr="00DE7B49" w:rsidRDefault="00C13BF1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36B5F539" w14:textId="77777777" w:rsidR="00C13BF1" w:rsidRPr="00DE7B49" w:rsidRDefault="00C13BF1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7D8D5FD9" w14:textId="77777777" w:rsidR="00C13BF1" w:rsidRPr="00DE7B49" w:rsidRDefault="00C13BF1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33A3075C" w14:textId="77777777" w:rsidR="00C13BF1" w:rsidRPr="00DE7B49" w:rsidRDefault="00C13BF1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105E3442" w14:textId="77777777" w:rsidR="00F935AF" w:rsidRPr="00DE7B49" w:rsidRDefault="00F935AF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090787AB" w14:textId="794F18DE" w:rsidR="00F935AF" w:rsidRPr="00DE7B49" w:rsidRDefault="00F935AF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00EC6DBD" w14:textId="77777777" w:rsidR="00F935AF" w:rsidRPr="00DE7B49" w:rsidRDefault="00F935AF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093A8B22" w14:textId="77777777" w:rsidR="00F935AF" w:rsidRPr="00DE7B49" w:rsidRDefault="00F935AF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25F855EB" w14:textId="55572058" w:rsidR="00F935AF" w:rsidRPr="00DE7B49" w:rsidRDefault="00F935AF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0A80BB7F" w14:textId="07A59D5B" w:rsidR="005A0C87" w:rsidRPr="00DE7B49" w:rsidRDefault="005A0C87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77925198" w14:textId="4351347F" w:rsidR="005A0C87" w:rsidRPr="00DE7B49" w:rsidRDefault="005A0C87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1D57C4C8" w14:textId="4B24DB90" w:rsidR="005A0C87" w:rsidRPr="00DE7B49" w:rsidRDefault="005A0C87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6007F1E9" w14:textId="0358444F" w:rsidR="005A0C87" w:rsidRPr="00DE7B49" w:rsidRDefault="005A0C87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27D70FE6" w14:textId="77777777" w:rsidR="005A0C87" w:rsidRPr="00DE7B49" w:rsidRDefault="005A0C87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4304F10D" w14:textId="77777777" w:rsidR="00F935AF" w:rsidRPr="00DE7B49" w:rsidRDefault="00F935AF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2FA0454B" w14:textId="34FE7FDF" w:rsidR="00F935AF" w:rsidRPr="00DE7B49" w:rsidRDefault="00F935AF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227C684D" w14:textId="19BA2718" w:rsidR="00D67716" w:rsidRPr="00DE7B49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157A8463" w14:textId="18357414" w:rsidR="00D67716" w:rsidRPr="00DE7B49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55B2D9E3" w14:textId="495DC343" w:rsidR="00D67716" w:rsidRPr="00DE7B49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2D18CD76" w14:textId="2B8F05D4" w:rsidR="00D67716" w:rsidRPr="00DE7B49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28DF6751" w14:textId="1D8B44FA" w:rsidR="00D67716" w:rsidRPr="00DE7B49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02E1E74B" w14:textId="2F72CBC3" w:rsidR="00D67716" w:rsidRPr="00DE7B49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61FFD56D" w14:textId="2EABA26C" w:rsidR="00D67716" w:rsidRPr="00DE7B49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0982CB53" w14:textId="77777777" w:rsidR="00D67716" w:rsidRPr="00DE7B49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Lato" w:eastAsia="Times New Roman" w:hAnsi="Lato" w:cs="Arial"/>
          <w:i/>
          <w:kern w:val="1"/>
          <w:sz w:val="24"/>
          <w:szCs w:val="24"/>
          <w:lang w:eastAsia="ar-SA"/>
        </w:rPr>
      </w:pPr>
    </w:p>
    <w:p w14:paraId="5D131472" w14:textId="29F84A1C" w:rsidR="00682B4A" w:rsidRPr="00DE7B49" w:rsidRDefault="00EF5EA9" w:rsidP="006B7D4C">
      <w:pPr>
        <w:spacing w:after="0"/>
        <w:jc w:val="center"/>
        <w:rPr>
          <w:rFonts w:ascii="Lato" w:hAnsi="Lato" w:cs="Arial"/>
          <w:b/>
          <w:bCs/>
          <w:sz w:val="32"/>
          <w:szCs w:val="32"/>
        </w:rPr>
      </w:pPr>
      <w:r w:rsidRPr="00DE7B49">
        <w:rPr>
          <w:rFonts w:ascii="Lato" w:hAnsi="Lato" w:cs="Arial"/>
          <w:b/>
          <w:bCs/>
          <w:sz w:val="26"/>
          <w:szCs w:val="26"/>
        </w:rPr>
        <w:t>Styczeń 2026</w:t>
      </w:r>
      <w:r w:rsidR="29A246B9" w:rsidRPr="00DE7B49">
        <w:rPr>
          <w:rFonts w:ascii="Lato" w:hAnsi="Lato" w:cs="Arial"/>
          <w:b/>
          <w:bCs/>
          <w:sz w:val="32"/>
          <w:szCs w:val="32"/>
        </w:rPr>
        <w:br w:type="page"/>
      </w:r>
    </w:p>
    <w:p w14:paraId="42E50E0C" w14:textId="704F7513" w:rsidR="006B7D4C" w:rsidRPr="00DE7B49" w:rsidRDefault="006B7D4C" w:rsidP="006B7D4C">
      <w:pPr>
        <w:spacing w:before="120" w:after="120" w:line="240" w:lineRule="auto"/>
        <w:jc w:val="both"/>
        <w:rPr>
          <w:rFonts w:ascii="Lato" w:hAnsi="Lato" w:cs="Arial"/>
          <w:b/>
          <w:bCs/>
        </w:rPr>
      </w:pPr>
      <w:r w:rsidRPr="00DE7B49">
        <w:rPr>
          <w:rFonts w:ascii="Lato" w:hAnsi="Lato" w:cs="Arial"/>
          <w:b/>
          <w:bCs/>
        </w:rPr>
        <w:lastRenderedPageBreak/>
        <w:t>Informacje podstawowe o EDF</w:t>
      </w:r>
    </w:p>
    <w:p w14:paraId="6858A93D" w14:textId="6112B3D0" w:rsidR="006B7D4C" w:rsidRPr="00DE7B49" w:rsidRDefault="006B7D4C" w:rsidP="006B7D4C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W 2021 roku Unia Europejska uruchomiła Europejski Fundusz Obronny (ang. </w:t>
      </w:r>
      <w:r w:rsidRPr="00DE7B49">
        <w:rPr>
          <w:rFonts w:ascii="Lato" w:hAnsi="Lato" w:cs="Arial"/>
          <w:i/>
          <w:iCs/>
        </w:rPr>
        <w:t>European Defence Fund</w:t>
      </w:r>
      <w:r w:rsidR="00EA05E8" w:rsidRPr="00DE7B49">
        <w:rPr>
          <w:rFonts w:ascii="Lato" w:hAnsi="Lato" w:cs="Arial"/>
        </w:rPr>
        <w:t>, EDF), który służy</w:t>
      </w:r>
      <w:r w:rsidRPr="00DE7B49">
        <w:rPr>
          <w:rFonts w:ascii="Lato" w:hAnsi="Lato" w:cs="Arial"/>
        </w:rPr>
        <w:t xml:space="preserve"> finansowaniu wspólnych prac badawczych i rozwojowych w zakresie sprzętu wojskowego i technologii obronnych. W latach 2021-2027 budżet EDF wyniesie </w:t>
      </w:r>
      <w:r w:rsidR="000A63AE" w:rsidRPr="00DE7B49">
        <w:rPr>
          <w:rFonts w:ascii="Lato" w:hAnsi="Lato" w:cs="Arial"/>
        </w:rPr>
        <w:t>niemal 8 mld EUR (w tym 2,7</w:t>
      </w:r>
      <w:r w:rsidRPr="00DE7B49">
        <w:rPr>
          <w:rFonts w:ascii="Lato" w:hAnsi="Lato" w:cs="Arial"/>
        </w:rPr>
        <w:t xml:space="preserve"> mld </w:t>
      </w:r>
      <w:r w:rsidR="000A63AE" w:rsidRPr="00DE7B49">
        <w:rPr>
          <w:rFonts w:ascii="Lato" w:hAnsi="Lato" w:cs="Arial"/>
        </w:rPr>
        <w:t>EUR na badania naukowe oraz 5,3</w:t>
      </w:r>
      <w:r w:rsidRPr="00DE7B49">
        <w:rPr>
          <w:rFonts w:ascii="Lato" w:hAnsi="Lato" w:cs="Arial"/>
        </w:rPr>
        <w:t xml:space="preserve"> mld EUR </w:t>
      </w:r>
      <w:r w:rsidR="00CC56E7" w:rsidRPr="00DE7B49">
        <w:rPr>
          <w:rFonts w:ascii="Lato" w:hAnsi="Lato" w:cs="Arial"/>
        </w:rPr>
        <w:br/>
      </w:r>
      <w:r w:rsidRPr="00DE7B49">
        <w:rPr>
          <w:rFonts w:ascii="Lato" w:hAnsi="Lato" w:cs="Arial"/>
        </w:rPr>
        <w:t>na prace rozwojowe).</w:t>
      </w:r>
    </w:p>
    <w:p w14:paraId="2C6182EC" w14:textId="0B9B90E4" w:rsidR="006B7D4C" w:rsidRPr="00DE7B49" w:rsidRDefault="006B7D4C" w:rsidP="006B7D4C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>Europejski Fundusz Obronny, wraz z fazami pilotażowymi</w:t>
      </w:r>
      <w:r w:rsidRPr="00DE7B49">
        <w:rPr>
          <w:rStyle w:val="Odwoanieprzypisudolnego"/>
          <w:rFonts w:ascii="Lato" w:hAnsi="Lato" w:cs="Arial"/>
        </w:rPr>
        <w:footnoteReference w:id="1"/>
      </w:r>
      <w:r w:rsidRPr="00DE7B49">
        <w:rPr>
          <w:rFonts w:ascii="Lato" w:hAnsi="Lato" w:cs="Arial"/>
        </w:rPr>
        <w:t>, które są osobnymi programami, stanowią pierwszy przypadek w historii Unii Europejskiej przyznania wsparcia ze wspólnego budżetu UE na działania w zakresie prac badawczych i rozwojowych związanych z </w:t>
      </w:r>
      <w:r w:rsidR="00CC56E7" w:rsidRPr="00DE7B49">
        <w:rPr>
          <w:rFonts w:ascii="Lato" w:hAnsi="Lato" w:cs="Arial"/>
        </w:rPr>
        <w:t>obronnością.</w:t>
      </w:r>
    </w:p>
    <w:p w14:paraId="33E85195" w14:textId="3D736EAE" w:rsidR="006B7D4C" w:rsidRPr="00DE7B49" w:rsidRDefault="006B7D4C" w:rsidP="006B7D4C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Głównym celem Europejskiego Funduszu Obronnego jest wzmacnianie konkurencyjności, efektywności i innowacyjności europejskiej bazy technologiczno-przemysłowej sektora obronnego w całej Unii, która przyczynia się do osiągnięcia autonomii strategicznej UE </w:t>
      </w:r>
      <w:r w:rsidR="00CC56E7" w:rsidRPr="00DE7B49">
        <w:rPr>
          <w:rFonts w:ascii="Lato" w:hAnsi="Lato" w:cs="Arial"/>
        </w:rPr>
        <w:br/>
      </w:r>
      <w:r w:rsidRPr="00DE7B49">
        <w:rPr>
          <w:rFonts w:ascii="Lato" w:hAnsi="Lato" w:cs="Arial"/>
        </w:rPr>
        <w:t xml:space="preserve">i jej technologicznej niezależności; wzmocnienie i poprawa sprawności łańcuchów dostaw oraz wykorzystanie potencjału przemysłowego w zakresie innowacji, badań i rozwoju technologicznego, na każdym etapie cyklu życia przemysłowego produktów i technologii obronnych. EDF pozwoli również wzmocnić interoperacyjność systemów obronnych państw europejskich. </w:t>
      </w:r>
    </w:p>
    <w:p w14:paraId="728E7D4B" w14:textId="04FB3683" w:rsidR="006B7D4C" w:rsidRPr="00DE7B49" w:rsidRDefault="006B7D4C" w:rsidP="006B7D4C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Fundusz stanowi alternatywny, efektywny kosztowo i minimalizujący ryzyka mechanizm realizacji prac B+R w ramach współpracy europejskiej, jak również – w niektórych przypadkach – </w:t>
      </w:r>
      <w:r w:rsidR="009B0D15" w:rsidRPr="00DE7B49">
        <w:rPr>
          <w:rFonts w:ascii="Lato" w:hAnsi="Lato" w:cs="Arial"/>
        </w:rPr>
        <w:t xml:space="preserve">może posłużyć do </w:t>
      </w:r>
      <w:r w:rsidRPr="00DE7B49">
        <w:rPr>
          <w:rFonts w:ascii="Lato" w:hAnsi="Lato" w:cs="Arial"/>
        </w:rPr>
        <w:t>pozyskiwania sprzętu wojskowego w drodze europejskiej współpracy woj</w:t>
      </w:r>
      <w:r w:rsidR="000C2508" w:rsidRPr="00DE7B49">
        <w:rPr>
          <w:rFonts w:ascii="Lato" w:hAnsi="Lato" w:cs="Arial"/>
        </w:rPr>
        <w:t xml:space="preserve">skowo-technicznej. EDF stanowi </w:t>
      </w:r>
      <w:r w:rsidRPr="00DE7B49">
        <w:rPr>
          <w:rFonts w:ascii="Lato" w:hAnsi="Lato" w:cs="Arial"/>
        </w:rPr>
        <w:t xml:space="preserve">istotny instrument, wsparty znaczącym budżetem, który umożliwi zaspokajanie potrzeb sił zbrojnych państw członkowskich (w tym Sił Zbrojnych RP) oraz może stanowić ważne uzupełnienie krajowych badań naukowych </w:t>
      </w:r>
      <w:r w:rsidR="00CC56E7" w:rsidRPr="00DE7B49">
        <w:rPr>
          <w:rFonts w:ascii="Lato" w:hAnsi="Lato" w:cs="Arial"/>
        </w:rPr>
        <w:br/>
      </w:r>
      <w:r w:rsidRPr="00DE7B49">
        <w:rPr>
          <w:rFonts w:ascii="Lato" w:hAnsi="Lato" w:cs="Arial"/>
        </w:rPr>
        <w:t xml:space="preserve">i prac rozwojowych w dziedzinie obronności poprzez budowę kompetencji technologicznych i przemysłowych, służących rozwojowi zdolności sił zbrojnych. </w:t>
      </w:r>
    </w:p>
    <w:p w14:paraId="5F69A0FA" w14:textId="4167AD8B" w:rsidR="006B7D4C" w:rsidRPr="00DE7B49" w:rsidRDefault="006B7D4C" w:rsidP="006B7D4C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>EDF przyczyni się także eliminacj</w:t>
      </w:r>
      <w:r w:rsidR="001C580A" w:rsidRPr="00DE7B49">
        <w:rPr>
          <w:rFonts w:ascii="Lato" w:hAnsi="Lato" w:cs="Arial"/>
        </w:rPr>
        <w:t>i</w:t>
      </w:r>
      <w:r w:rsidRPr="00DE7B49">
        <w:rPr>
          <w:rFonts w:ascii="Lato" w:hAnsi="Lato" w:cs="Arial"/>
        </w:rPr>
        <w:t xml:space="preserve"> luk technologicznych oraz zapewnieni</w:t>
      </w:r>
      <w:r w:rsidR="000C2508" w:rsidRPr="00DE7B49">
        <w:rPr>
          <w:rFonts w:ascii="Lato" w:hAnsi="Lato" w:cs="Arial"/>
        </w:rPr>
        <w:t>a</w:t>
      </w:r>
      <w:r w:rsidRPr="00DE7B49">
        <w:rPr>
          <w:rFonts w:ascii="Lato" w:hAnsi="Lato" w:cs="Arial"/>
        </w:rPr>
        <w:t xml:space="preserve"> przyszłych zdolności wojskowych. Prowadzenie wspólnych prac badawczych i rozwojowych </w:t>
      </w:r>
      <w:r w:rsidR="00CC56E7" w:rsidRPr="00DE7B49">
        <w:rPr>
          <w:rFonts w:ascii="Lato" w:hAnsi="Lato" w:cs="Arial"/>
        </w:rPr>
        <w:br/>
      </w:r>
      <w:r w:rsidRPr="00DE7B49">
        <w:rPr>
          <w:rFonts w:ascii="Lato" w:hAnsi="Lato" w:cs="Arial"/>
        </w:rPr>
        <w:t xml:space="preserve">w </w:t>
      </w:r>
      <w:r w:rsidR="009B0D15" w:rsidRPr="00DE7B49">
        <w:rPr>
          <w:rFonts w:ascii="Lato" w:hAnsi="Lato" w:cs="Arial"/>
        </w:rPr>
        <w:t>dziedzinie</w:t>
      </w:r>
      <w:r w:rsidRPr="00DE7B49">
        <w:rPr>
          <w:rFonts w:ascii="Lato" w:hAnsi="Lato" w:cs="Arial"/>
        </w:rPr>
        <w:t xml:space="preserve"> obronności umożliwi koncentrację rozproszonego potencjału wiedzy i technologii na poziomie europejskim oraz unikanie dublowania wydatków i wysiłków </w:t>
      </w:r>
      <w:r w:rsidR="00CC56E7" w:rsidRPr="00DE7B49">
        <w:rPr>
          <w:rFonts w:ascii="Lato" w:hAnsi="Lato" w:cs="Arial"/>
        </w:rPr>
        <w:br/>
      </w:r>
      <w:r w:rsidRPr="00DE7B49">
        <w:rPr>
          <w:rFonts w:ascii="Lato" w:hAnsi="Lato" w:cs="Arial"/>
        </w:rPr>
        <w:t>w powyższym zakresie przez poszczególne państwa członkowskie UE, a także współdzielenie przez nie ryzyka technologicznego i ekonomicznego. Docelowo EDF może się też przyczynić do zmniejszenia fragmentacji i wielości różnych typów uzbrojenia w siłach zbrojnych państw członkowskich UE, zwiększenia kompatybilności sił zbrojnych (budowa interoperacyjności od poziomu architektury, harmonizacja wymagań, wprowadzenie ws</w:t>
      </w:r>
      <w:r w:rsidR="0096471C" w:rsidRPr="00DE7B49">
        <w:rPr>
          <w:rFonts w:ascii="Lato" w:hAnsi="Lato" w:cs="Arial"/>
        </w:rPr>
        <w:t xml:space="preserve">pólnych standardów sprzętowych). </w:t>
      </w:r>
    </w:p>
    <w:p w14:paraId="5883C222" w14:textId="182C57B9" w:rsidR="00CF69EE" w:rsidRPr="00DE7B49" w:rsidRDefault="00CF69EE" w:rsidP="006B7D4C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EDF poprzez rozwój wymiaru obronnego UE, komplementarnego wobec NATO, które jest filarem bezpieczeństwa transatlantyckiego, ma szansę wzmocnić bezpieczeństwo europejskie i Rzeczypospolitej Polskiej. </w:t>
      </w:r>
    </w:p>
    <w:p w14:paraId="72518509" w14:textId="5FEA859B" w:rsidR="006B7D4C" w:rsidRPr="00DE7B49" w:rsidRDefault="006B7D4C" w:rsidP="006B7D4C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>Z perspektywy krajowej EDF pozwoli także na zwiększanie innowacyjności polskiego potencjału technologicznego oraz udział</w:t>
      </w:r>
      <w:r w:rsidR="0096471C" w:rsidRPr="00DE7B49">
        <w:rPr>
          <w:rFonts w:ascii="Lato" w:hAnsi="Lato" w:cs="Arial"/>
        </w:rPr>
        <w:t>u</w:t>
      </w:r>
      <w:r w:rsidRPr="00DE7B49">
        <w:rPr>
          <w:rFonts w:ascii="Lato" w:hAnsi="Lato" w:cs="Arial"/>
        </w:rPr>
        <w:t xml:space="preserve"> podmiotów przemysłu obronnego (w tym małych </w:t>
      </w:r>
      <w:r w:rsidRPr="00DE7B49">
        <w:rPr>
          <w:rFonts w:ascii="Lato" w:hAnsi="Lato" w:cs="Arial"/>
        </w:rPr>
        <w:lastRenderedPageBreak/>
        <w:t>i średnich przedsiębiorstw) w europejskim rynku uzbrojenia oraz włączenie ich do łańcuchów dostaw, co również powinno wzmocnić pozycję krajowego sektora obronnego.</w:t>
      </w:r>
    </w:p>
    <w:p w14:paraId="618BC920" w14:textId="29832EA7" w:rsidR="00EF168B" w:rsidRPr="00DE7B49" w:rsidRDefault="00EF168B" w:rsidP="00EF168B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Ministerstwo Obrony Narodowej postrzega EDF jako program, który umożliwi rozwój kompetencji technologicznych i produkcyjnych polskiego przemysłu obronnego </w:t>
      </w:r>
      <w:r w:rsidR="00812E33" w:rsidRPr="00DE7B49">
        <w:rPr>
          <w:rFonts w:ascii="Lato" w:hAnsi="Lato" w:cs="Arial"/>
        </w:rPr>
        <w:br/>
      </w:r>
      <w:r w:rsidRPr="00DE7B49">
        <w:rPr>
          <w:rFonts w:ascii="Lato" w:hAnsi="Lato" w:cs="Arial"/>
        </w:rPr>
        <w:t xml:space="preserve">i ośrodków naukowo-badawczych, które służyć będą zaspokajaniu perspektywicznych potrzeb Sił Zbrojnych RP. </w:t>
      </w:r>
    </w:p>
    <w:p w14:paraId="28A28AB7" w14:textId="186FBB8C" w:rsidR="00EF168B" w:rsidRPr="00DE7B49" w:rsidRDefault="00EF168B" w:rsidP="006B7D4C">
      <w:pPr>
        <w:spacing w:before="120" w:after="120" w:line="240" w:lineRule="auto"/>
        <w:jc w:val="both"/>
        <w:rPr>
          <w:rFonts w:ascii="Lato" w:hAnsi="Lato" w:cs="Arial"/>
          <w:sz w:val="10"/>
        </w:rPr>
      </w:pPr>
    </w:p>
    <w:p w14:paraId="117A9B3E" w14:textId="391E4E56" w:rsidR="00EF168B" w:rsidRPr="00DE7B49" w:rsidRDefault="00EF168B" w:rsidP="006B7D4C">
      <w:pPr>
        <w:spacing w:before="120" w:after="120" w:line="240" w:lineRule="auto"/>
        <w:jc w:val="both"/>
        <w:rPr>
          <w:rFonts w:ascii="Lato" w:hAnsi="Lato" w:cs="Arial"/>
          <w:b/>
        </w:rPr>
      </w:pPr>
      <w:r w:rsidRPr="00DE7B49">
        <w:rPr>
          <w:rFonts w:ascii="Lato" w:hAnsi="Lato" w:cs="Arial"/>
          <w:b/>
        </w:rPr>
        <w:t>Podstawa prawna</w:t>
      </w:r>
    </w:p>
    <w:p w14:paraId="6236EFD1" w14:textId="40AFB48E" w:rsidR="006B7D4C" w:rsidRPr="00DE7B49" w:rsidRDefault="006B7D4C" w:rsidP="006B7D4C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Podstawą prawną dla funkcjonowania Funduszu jest </w:t>
      </w:r>
      <w:hyperlink r:id="rId10" w:history="1">
        <w:r w:rsidRPr="00DE7B49">
          <w:rPr>
            <w:rStyle w:val="Hipercze"/>
            <w:rFonts w:ascii="Lato" w:hAnsi="Lato" w:cs="Arial"/>
          </w:rPr>
          <w:t>rozporządzenie Parlamentu Europejskiego i Rady (UE) 2021/697 z dnia 29 kwietnia 2021 r. ustanawiające Europejski Fundusz Obronny i uchylające rozporządzenie (UE) 2018/1092</w:t>
        </w:r>
      </w:hyperlink>
      <w:r w:rsidR="00174E6E">
        <w:rPr>
          <w:rStyle w:val="Odwoanieprzypisudolnego"/>
          <w:rFonts w:ascii="Lato" w:hAnsi="Lato" w:cs="Arial"/>
          <w:color w:val="0563C1" w:themeColor="hyperlink"/>
          <w:u w:val="single"/>
        </w:rPr>
        <w:footnoteReference w:id="2"/>
      </w:r>
      <w:r w:rsidRPr="00DE7B49">
        <w:rPr>
          <w:rFonts w:ascii="Lato" w:hAnsi="Lato" w:cs="Arial"/>
        </w:rPr>
        <w:t xml:space="preserve">. </w:t>
      </w:r>
      <w:r w:rsidR="00EF168B" w:rsidRPr="00DE7B49">
        <w:rPr>
          <w:rFonts w:ascii="Lato" w:hAnsi="Lato" w:cs="Arial"/>
        </w:rPr>
        <w:t xml:space="preserve">Z perspektywy podmiotów przemysłowych i naukowo-badawczych, które będą aplikować w konkursach EDF i mogą być wykonawcami przyszłych projektów za szczególnie istotne należy uznać następujące przepisy rozporządzenia: </w:t>
      </w:r>
    </w:p>
    <w:p w14:paraId="6A19A3DF" w14:textId="40F23DB2" w:rsidR="00EF168B" w:rsidRPr="00DE7B49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Lato" w:hAnsi="Lato" w:cs="Arial"/>
          <w:sz w:val="22"/>
          <w:szCs w:val="22"/>
        </w:rPr>
      </w:pPr>
      <w:r w:rsidRPr="00DE7B49">
        <w:rPr>
          <w:rFonts w:ascii="Lato" w:hAnsi="Lato" w:cs="Arial"/>
          <w:sz w:val="22"/>
          <w:szCs w:val="22"/>
        </w:rPr>
        <w:t xml:space="preserve">Art. 2 – </w:t>
      </w:r>
      <w:r w:rsidRPr="00DE7B49">
        <w:rPr>
          <w:rFonts w:ascii="Lato" w:hAnsi="Lato" w:cs="Arial"/>
          <w:sz w:val="22"/>
          <w:szCs w:val="22"/>
          <w:lang w:val="pl-PL"/>
        </w:rPr>
        <w:t>Definicje</w:t>
      </w:r>
      <w:r w:rsidR="008C677E" w:rsidRPr="00DE7B49">
        <w:rPr>
          <w:rFonts w:ascii="Lato" w:hAnsi="Lato" w:cs="Arial"/>
          <w:sz w:val="22"/>
          <w:szCs w:val="22"/>
        </w:rPr>
        <w:t xml:space="preserve"> </w:t>
      </w:r>
    </w:p>
    <w:p w14:paraId="242EBE7A" w14:textId="29994C08" w:rsidR="00EF168B" w:rsidRPr="00DE7B49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Lato" w:hAnsi="Lato" w:cs="Arial"/>
          <w:sz w:val="22"/>
          <w:szCs w:val="22"/>
          <w:lang w:val="pl-PL"/>
        </w:rPr>
      </w:pPr>
      <w:r w:rsidRPr="00DE7B49">
        <w:rPr>
          <w:rFonts w:ascii="Lato" w:hAnsi="Lato" w:cs="Arial"/>
          <w:sz w:val="22"/>
          <w:szCs w:val="22"/>
          <w:lang w:val="pl-PL"/>
        </w:rPr>
        <w:t>Art. 3 – Cele</w:t>
      </w:r>
    </w:p>
    <w:p w14:paraId="1C2128E4" w14:textId="2C2E9B05" w:rsidR="00EF168B" w:rsidRPr="00DE7B49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Lato" w:hAnsi="Lato" w:cs="Arial"/>
          <w:sz w:val="22"/>
          <w:szCs w:val="22"/>
          <w:lang w:val="pl-PL"/>
        </w:rPr>
      </w:pPr>
      <w:r w:rsidRPr="00DE7B49">
        <w:rPr>
          <w:rFonts w:ascii="Lato" w:hAnsi="Lato" w:cs="Arial"/>
          <w:sz w:val="22"/>
          <w:szCs w:val="22"/>
          <w:lang w:val="pl-PL"/>
        </w:rPr>
        <w:t>Art. 9 – Kwalifikujące się podmioty prawne</w:t>
      </w:r>
    </w:p>
    <w:p w14:paraId="12FDD5A0" w14:textId="6924C793" w:rsidR="00EF168B" w:rsidRPr="00DE7B49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Lato" w:hAnsi="Lato" w:cs="Arial"/>
          <w:sz w:val="22"/>
          <w:szCs w:val="22"/>
          <w:lang w:val="pl-PL"/>
        </w:rPr>
      </w:pPr>
      <w:r w:rsidRPr="00DE7B49">
        <w:rPr>
          <w:rFonts w:ascii="Lato" w:hAnsi="Lato" w:cs="Arial"/>
          <w:sz w:val="22"/>
          <w:szCs w:val="22"/>
          <w:lang w:val="pl-PL"/>
        </w:rPr>
        <w:t>Art. 10 – Działania kwalifikowane</w:t>
      </w:r>
    </w:p>
    <w:p w14:paraId="43094FE8" w14:textId="1192ED16" w:rsidR="00EF168B" w:rsidRPr="00DE7B49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Lato" w:hAnsi="Lato" w:cs="Arial"/>
          <w:sz w:val="22"/>
          <w:szCs w:val="22"/>
          <w:lang w:val="pl-PL"/>
        </w:rPr>
      </w:pPr>
      <w:r w:rsidRPr="00DE7B49">
        <w:rPr>
          <w:rFonts w:ascii="Lato" w:hAnsi="Lato" w:cs="Arial"/>
          <w:sz w:val="22"/>
          <w:szCs w:val="22"/>
          <w:lang w:val="pl-PL"/>
        </w:rPr>
        <w:t>Art. 12 – Kryteria wyboru</w:t>
      </w:r>
    </w:p>
    <w:p w14:paraId="4C9E30F8" w14:textId="473DED29" w:rsidR="00EF168B" w:rsidRPr="00DE7B49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Lato" w:hAnsi="Lato" w:cs="Arial"/>
          <w:sz w:val="22"/>
          <w:szCs w:val="22"/>
          <w:lang w:val="pl-PL"/>
        </w:rPr>
      </w:pPr>
      <w:r w:rsidRPr="00DE7B49">
        <w:rPr>
          <w:rFonts w:ascii="Lato" w:hAnsi="Lato" w:cs="Arial"/>
          <w:sz w:val="22"/>
          <w:szCs w:val="22"/>
          <w:lang w:val="pl-PL"/>
        </w:rPr>
        <w:t>Art. 13 – Stopa współfinansowania</w:t>
      </w:r>
    </w:p>
    <w:p w14:paraId="2DC01470" w14:textId="16188059" w:rsidR="00EF168B" w:rsidRPr="00DE7B49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Lato" w:hAnsi="Lato" w:cs="Arial"/>
          <w:sz w:val="22"/>
          <w:szCs w:val="22"/>
          <w:lang w:val="pl-PL"/>
        </w:rPr>
      </w:pPr>
      <w:r w:rsidRPr="00DE7B49">
        <w:rPr>
          <w:rFonts w:ascii="Lato" w:hAnsi="Lato" w:cs="Arial"/>
          <w:sz w:val="22"/>
          <w:szCs w:val="22"/>
          <w:lang w:val="pl-PL"/>
        </w:rPr>
        <w:t>Art. 20 – Własność wyników działań badawczych</w:t>
      </w:r>
    </w:p>
    <w:p w14:paraId="45009712" w14:textId="17601922" w:rsidR="00EF168B" w:rsidRPr="00DE7B49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Lato" w:hAnsi="Lato" w:cs="Arial"/>
          <w:sz w:val="22"/>
          <w:szCs w:val="22"/>
          <w:lang w:val="pl-PL"/>
        </w:rPr>
      </w:pPr>
      <w:r w:rsidRPr="00DE7B49">
        <w:rPr>
          <w:rFonts w:ascii="Lato" w:hAnsi="Lato" w:cs="Arial"/>
          <w:sz w:val="22"/>
          <w:szCs w:val="22"/>
          <w:lang w:val="pl-PL"/>
        </w:rPr>
        <w:t xml:space="preserve">Art. 21 – Dodatkowe kryteria kwalifikowalności </w:t>
      </w:r>
      <w:r w:rsidR="008C677E" w:rsidRPr="00DE7B49">
        <w:rPr>
          <w:rFonts w:ascii="Lato" w:hAnsi="Lato" w:cs="Arial"/>
          <w:sz w:val="22"/>
          <w:szCs w:val="22"/>
          <w:lang w:val="pl-PL"/>
        </w:rPr>
        <w:t>dotyczące</w:t>
      </w:r>
      <w:r w:rsidRPr="00DE7B49">
        <w:rPr>
          <w:rFonts w:ascii="Lato" w:hAnsi="Lato" w:cs="Arial"/>
          <w:sz w:val="22"/>
          <w:szCs w:val="22"/>
          <w:lang w:val="pl-PL"/>
        </w:rPr>
        <w:t xml:space="preserve"> działań rozwojowych</w:t>
      </w:r>
    </w:p>
    <w:p w14:paraId="055FB7BC" w14:textId="77777777" w:rsidR="008C677E" w:rsidRPr="00DE7B49" w:rsidRDefault="008C677E" w:rsidP="008C677E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Lato" w:hAnsi="Lato" w:cs="Arial"/>
          <w:sz w:val="22"/>
          <w:szCs w:val="22"/>
          <w:lang w:val="pl-PL"/>
        </w:rPr>
      </w:pPr>
      <w:r w:rsidRPr="00DE7B49">
        <w:rPr>
          <w:rFonts w:ascii="Lato" w:hAnsi="Lato" w:cs="Arial"/>
          <w:sz w:val="22"/>
          <w:szCs w:val="22"/>
          <w:lang w:val="pl-PL"/>
        </w:rPr>
        <w:t>Art. 22 – Dodatkowe kryteria wyboru dotyczące działań rozwojowych</w:t>
      </w:r>
    </w:p>
    <w:p w14:paraId="740683C8" w14:textId="0B55FEDF" w:rsidR="008C677E" w:rsidRPr="00DE7B49" w:rsidRDefault="008C677E" w:rsidP="008C677E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Lato" w:hAnsi="Lato" w:cs="Arial"/>
          <w:sz w:val="22"/>
          <w:szCs w:val="22"/>
          <w:lang w:val="pl-PL"/>
        </w:rPr>
      </w:pPr>
      <w:r w:rsidRPr="00DE7B49">
        <w:rPr>
          <w:rFonts w:ascii="Lato" w:hAnsi="Lato" w:cs="Arial"/>
          <w:sz w:val="22"/>
          <w:szCs w:val="22"/>
          <w:lang w:val="pl-PL"/>
        </w:rPr>
        <w:t xml:space="preserve">Art. 23 – Własność wyników działań rozwojowych </w:t>
      </w:r>
    </w:p>
    <w:p w14:paraId="107EB9A5" w14:textId="43A0C391" w:rsidR="00EF168B" w:rsidRPr="00DE7B49" w:rsidRDefault="008C677E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Lato" w:hAnsi="Lato" w:cs="Arial"/>
          <w:sz w:val="22"/>
          <w:szCs w:val="22"/>
          <w:lang w:val="pl-PL"/>
        </w:rPr>
      </w:pPr>
      <w:r w:rsidRPr="00DE7B49">
        <w:rPr>
          <w:rFonts w:ascii="Lato" w:hAnsi="Lato" w:cs="Arial"/>
          <w:sz w:val="22"/>
          <w:szCs w:val="22"/>
          <w:lang w:val="pl-PL"/>
        </w:rPr>
        <w:t xml:space="preserve">Art. 24 – Programy Prac </w:t>
      </w:r>
    </w:p>
    <w:p w14:paraId="097B6047" w14:textId="255A629D" w:rsidR="008C677E" w:rsidRPr="00DE7B49" w:rsidRDefault="008C677E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Lato" w:hAnsi="Lato" w:cs="Arial"/>
          <w:sz w:val="22"/>
          <w:szCs w:val="22"/>
          <w:lang w:val="pl-PL"/>
        </w:rPr>
      </w:pPr>
      <w:r w:rsidRPr="00DE7B49">
        <w:rPr>
          <w:rFonts w:ascii="Lato" w:hAnsi="Lato" w:cs="Arial"/>
          <w:sz w:val="22"/>
          <w:szCs w:val="22"/>
          <w:lang w:val="pl-PL"/>
        </w:rPr>
        <w:t xml:space="preserve">Art. 27 – Stosowanie przepisów dotyczących informacji niejawnych </w:t>
      </w:r>
    </w:p>
    <w:p w14:paraId="294F2D2F" w14:textId="4706F744" w:rsidR="00EF168B" w:rsidRPr="00DE7B49" w:rsidRDefault="00EF168B" w:rsidP="006B7D4C">
      <w:pPr>
        <w:spacing w:before="120" w:after="120" w:line="240" w:lineRule="auto"/>
        <w:jc w:val="both"/>
        <w:rPr>
          <w:rFonts w:ascii="Lato" w:hAnsi="Lato" w:cs="Arial"/>
          <w:sz w:val="10"/>
        </w:rPr>
      </w:pPr>
    </w:p>
    <w:p w14:paraId="7148B74E" w14:textId="69C350C6" w:rsidR="00EF168B" w:rsidRPr="00DE7B49" w:rsidRDefault="00EF168B" w:rsidP="006B7D4C">
      <w:pPr>
        <w:spacing w:before="120" w:after="120" w:line="240" w:lineRule="auto"/>
        <w:jc w:val="both"/>
        <w:rPr>
          <w:rFonts w:ascii="Lato" w:hAnsi="Lato" w:cs="Arial"/>
          <w:b/>
        </w:rPr>
      </w:pPr>
      <w:r w:rsidRPr="00DE7B49">
        <w:rPr>
          <w:rFonts w:ascii="Lato" w:hAnsi="Lato" w:cs="Arial"/>
          <w:b/>
        </w:rPr>
        <w:t>Definiowanie EDF</w:t>
      </w:r>
    </w:p>
    <w:p w14:paraId="11E29FB0" w14:textId="7101CE69" w:rsidR="00EF168B" w:rsidRPr="00DE7B49" w:rsidRDefault="00EF168B" w:rsidP="00EF168B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Zakres tematyczny konkursów EDF ustalany i wypracowywany jest wspólnie przez Komisję Europejską oraz rządy państw członkowskich na forum Komitetu Programowego EDF. Wsparcie eksperckie zapewnia też Europejska Agencja Obrony (EDA). Ministerstwo Obrony Narodowej bierze udział w programowaniu zakresu tematycznego EDF. </w:t>
      </w:r>
      <w:r w:rsidR="00A46FF0" w:rsidRPr="00DE7B49">
        <w:rPr>
          <w:rFonts w:ascii="Lato" w:hAnsi="Lato" w:cs="Arial"/>
        </w:rPr>
        <w:br/>
      </w:r>
      <w:r w:rsidRPr="00DE7B49">
        <w:rPr>
          <w:rFonts w:ascii="Lato" w:hAnsi="Lato" w:cs="Arial"/>
        </w:rPr>
        <w:t xml:space="preserve">Państwa członkowskie biorą udział w definiowaniu konkursów EDF, aby określić zakres </w:t>
      </w:r>
      <w:r w:rsidR="00A46FF0" w:rsidRPr="00DE7B49">
        <w:rPr>
          <w:rFonts w:ascii="Lato" w:hAnsi="Lato" w:cs="Arial"/>
        </w:rPr>
        <w:br/>
      </w:r>
      <w:r w:rsidRPr="00DE7B49">
        <w:rPr>
          <w:rFonts w:ascii="Lato" w:hAnsi="Lato" w:cs="Arial"/>
        </w:rPr>
        <w:t xml:space="preserve">dla przyszłych projektów wynikających z tych konkursów, w tym w zakresie wymagań ujętych w konkursach, aby ogłaszane konkursy możliwie w największym stopniu były zbieżne z wymaganiami i potrzebami jak największej liczby resortów obrony. </w:t>
      </w:r>
    </w:p>
    <w:p w14:paraId="3E14E21A" w14:textId="64E2B8F7" w:rsidR="00EF168B" w:rsidRPr="00DE7B49" w:rsidRDefault="00EF168B" w:rsidP="00EF168B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W procesie definiowania EDF państwa mogą wykorzystać propozycje opracowane </w:t>
      </w:r>
      <w:r w:rsidR="00A46FF0" w:rsidRPr="00DE7B49">
        <w:rPr>
          <w:rFonts w:ascii="Lato" w:hAnsi="Lato" w:cs="Arial"/>
        </w:rPr>
        <w:br/>
      </w:r>
      <w:r w:rsidRPr="00DE7B49">
        <w:rPr>
          <w:rFonts w:ascii="Lato" w:hAnsi="Lato" w:cs="Arial"/>
        </w:rPr>
        <w:t>w panelac</w:t>
      </w:r>
      <w:r w:rsidR="00520F16" w:rsidRPr="00DE7B49">
        <w:rPr>
          <w:rFonts w:ascii="Lato" w:hAnsi="Lato" w:cs="Arial"/>
        </w:rPr>
        <w:t>h technologicznych EDA (</w:t>
      </w:r>
      <w:hyperlink r:id="rId11" w:history="1">
        <w:r w:rsidR="00520F16" w:rsidRPr="00DE7B49">
          <w:rPr>
            <w:rStyle w:val="Hipercze"/>
            <w:rFonts w:ascii="Lato" w:hAnsi="Lato" w:cs="Arial"/>
          </w:rPr>
          <w:t>CapTech</w:t>
        </w:r>
      </w:hyperlink>
      <w:r w:rsidR="00520F16" w:rsidRPr="00DE7B49">
        <w:rPr>
          <w:rFonts w:ascii="Lato" w:hAnsi="Lato" w:cs="Arial"/>
        </w:rPr>
        <w:t>)</w:t>
      </w:r>
      <w:r w:rsidRPr="00DE7B49">
        <w:rPr>
          <w:rFonts w:ascii="Lato" w:hAnsi="Lato" w:cs="Arial"/>
        </w:rPr>
        <w:t xml:space="preserve">. </w:t>
      </w:r>
    </w:p>
    <w:p w14:paraId="4A3FF3F8" w14:textId="66B2247D" w:rsidR="00EF168B" w:rsidRPr="00DE7B49" w:rsidRDefault="00EF168B" w:rsidP="00EF168B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Działania MON w procesie kształtowania EDF skupiają się na tym, aby oddziaływać na EDF zgodnie z potrzebami i priorytetami Sił Zbrojnych RP, a także uwzględniając perspektywę przemysłową i naukową, aby efektywnie zapewnić budowę w kraju kompetencji </w:t>
      </w:r>
      <w:r w:rsidRPr="00DE7B49">
        <w:rPr>
          <w:rFonts w:ascii="Lato" w:hAnsi="Lato" w:cs="Arial"/>
        </w:rPr>
        <w:lastRenderedPageBreak/>
        <w:t xml:space="preserve">przemysłowych do zaspokajania potrzeb Sił Zbrojnych RP, bowiem to podmioty przemysłowe i naukowo-badawcze (w tym polskie) będą wykonawcami projektów, które przyczyniać się będą do rozwoju zdolności sił zbrojnych państw członkowskich UE </w:t>
      </w:r>
      <w:r w:rsidR="00A46FF0" w:rsidRPr="00DE7B49">
        <w:rPr>
          <w:rFonts w:ascii="Lato" w:hAnsi="Lato" w:cs="Arial"/>
        </w:rPr>
        <w:br/>
      </w:r>
      <w:r w:rsidRPr="00DE7B49">
        <w:rPr>
          <w:rFonts w:ascii="Lato" w:hAnsi="Lato" w:cs="Arial"/>
        </w:rPr>
        <w:t>(w tym SZ RP).</w:t>
      </w:r>
    </w:p>
    <w:p w14:paraId="171ABA20" w14:textId="77777777" w:rsidR="00A46FF0" w:rsidRPr="00DE7B49" w:rsidRDefault="00A46FF0" w:rsidP="006B7D4C">
      <w:pPr>
        <w:spacing w:before="120" w:after="120" w:line="240" w:lineRule="auto"/>
        <w:jc w:val="both"/>
        <w:rPr>
          <w:rFonts w:ascii="Lato" w:hAnsi="Lato" w:cs="Arial"/>
          <w:b/>
        </w:rPr>
      </w:pPr>
    </w:p>
    <w:p w14:paraId="1F937CD3" w14:textId="4A1808E9" w:rsidR="00520F16" w:rsidRPr="00DE7B49" w:rsidRDefault="00520F16" w:rsidP="006B7D4C">
      <w:pPr>
        <w:spacing w:before="120" w:after="120" w:line="240" w:lineRule="auto"/>
        <w:jc w:val="both"/>
        <w:rPr>
          <w:rFonts w:ascii="Lato" w:hAnsi="Lato" w:cs="Arial"/>
          <w:b/>
        </w:rPr>
      </w:pPr>
      <w:r w:rsidRPr="00DE7B49">
        <w:rPr>
          <w:rFonts w:ascii="Lato" w:hAnsi="Lato" w:cs="Arial"/>
          <w:b/>
        </w:rPr>
        <w:t>Konkursy i projekty EDF</w:t>
      </w:r>
    </w:p>
    <w:p w14:paraId="502E8C9D" w14:textId="01F9EC85" w:rsidR="00D11945" w:rsidRPr="00DE7B49" w:rsidRDefault="00D11945" w:rsidP="006B7D4C">
      <w:pPr>
        <w:tabs>
          <w:tab w:val="left" w:pos="567"/>
        </w:tabs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Style w:val="Hipercze"/>
          <w:rFonts w:ascii="Lato" w:hAnsi="Lato" w:cs="Arial"/>
          <w:color w:val="000000" w:themeColor="text1"/>
          <w:u w:val="none"/>
        </w:rPr>
        <w:t xml:space="preserve">EDF dzieli się na </w:t>
      </w:r>
      <w:r w:rsidR="000E7276" w:rsidRPr="00DE7B49">
        <w:rPr>
          <w:rStyle w:val="Hipercze"/>
          <w:rFonts w:ascii="Lato" w:hAnsi="Lato" w:cs="Arial"/>
          <w:color w:val="000000" w:themeColor="text1"/>
          <w:u w:val="none"/>
        </w:rPr>
        <w:t>część badawczą i rozwojową</w:t>
      </w:r>
      <w:r w:rsidRPr="00DE7B49">
        <w:rPr>
          <w:rStyle w:val="Hipercze"/>
          <w:rFonts w:ascii="Lato" w:hAnsi="Lato" w:cs="Arial"/>
          <w:color w:val="000000" w:themeColor="text1"/>
          <w:u w:val="none"/>
        </w:rPr>
        <w:t>, p</w:t>
      </w:r>
      <w:r w:rsidRPr="00DE7B49">
        <w:rPr>
          <w:rFonts w:ascii="Lato" w:hAnsi="Lato" w:cs="Arial"/>
        </w:rPr>
        <w:t xml:space="preserve">odział ten definiowany jest na poziomie </w:t>
      </w:r>
      <w:r w:rsidRPr="00DE7B49">
        <w:rPr>
          <w:rFonts w:ascii="Lato" w:hAnsi="Lato" w:cs="Arial"/>
          <w:i/>
          <w:iCs/>
        </w:rPr>
        <w:t>call for proposals</w:t>
      </w:r>
      <w:r w:rsidRPr="00DE7B49">
        <w:rPr>
          <w:rFonts w:ascii="Lato" w:hAnsi="Lato" w:cs="Arial"/>
        </w:rPr>
        <w:t xml:space="preserve">. W ramach badawczych </w:t>
      </w:r>
      <w:r w:rsidRPr="00DE7B49">
        <w:rPr>
          <w:rFonts w:ascii="Lato" w:hAnsi="Lato" w:cs="Arial"/>
          <w:i/>
          <w:iCs/>
        </w:rPr>
        <w:t>call for proposals</w:t>
      </w:r>
      <w:r w:rsidRPr="00DE7B49">
        <w:rPr>
          <w:rFonts w:ascii="Lato" w:hAnsi="Lato" w:cs="Arial"/>
        </w:rPr>
        <w:t xml:space="preserve"> można zgłaszać tylko projekty badawcze, a w ramach rozwojowych </w:t>
      </w:r>
      <w:r w:rsidRPr="00DE7B49">
        <w:rPr>
          <w:rFonts w:ascii="Lato" w:hAnsi="Lato" w:cs="Arial"/>
          <w:i/>
          <w:iCs/>
        </w:rPr>
        <w:t xml:space="preserve">call for proposals </w:t>
      </w:r>
      <w:r w:rsidRPr="00DE7B49">
        <w:rPr>
          <w:rFonts w:ascii="Lato" w:hAnsi="Lato" w:cs="Arial"/>
        </w:rPr>
        <w:t>można zgłaszać tylko projekty rozwojowe.</w:t>
      </w:r>
    </w:p>
    <w:p w14:paraId="709B147E" w14:textId="0CBC8CDC" w:rsidR="006B7D4C" w:rsidRPr="00DE7B49" w:rsidRDefault="00174E6E" w:rsidP="00E9067D">
      <w:pPr>
        <w:tabs>
          <w:tab w:val="left" w:pos="567"/>
        </w:tabs>
        <w:spacing w:before="120" w:after="120" w:line="240" w:lineRule="auto"/>
        <w:jc w:val="both"/>
        <w:rPr>
          <w:rFonts w:ascii="Lato" w:hAnsi="Lato" w:cs="Arial"/>
          <w:color w:val="000000" w:themeColor="text1"/>
        </w:rPr>
      </w:pPr>
      <w:r w:rsidRPr="00DE7B49">
        <w:rPr>
          <w:rFonts w:ascii="Lato" w:hAnsi="Lato" w:cs="Arial"/>
          <w:b/>
          <w:bCs/>
          <w:color w:val="000000" w:themeColor="text1"/>
        </w:rPr>
        <w:t>Projekty badawcze EDF</w:t>
      </w:r>
      <w:r w:rsidR="006B7D4C" w:rsidRPr="00DE7B49">
        <w:rPr>
          <w:rFonts w:ascii="Lato" w:hAnsi="Lato" w:cs="Arial"/>
          <w:color w:val="000000" w:themeColor="text1"/>
        </w:rPr>
        <w:t xml:space="preserve"> </w:t>
      </w:r>
      <w:r w:rsidRPr="00DE7B49">
        <w:rPr>
          <w:rFonts w:ascii="Lato" w:hAnsi="Lato" w:cs="Arial"/>
          <w:color w:val="000000" w:themeColor="text1"/>
        </w:rPr>
        <w:t xml:space="preserve">są </w:t>
      </w:r>
      <w:r w:rsidR="006B7D4C" w:rsidRPr="00DE7B49">
        <w:rPr>
          <w:rFonts w:ascii="Lato" w:hAnsi="Lato" w:cs="Arial"/>
          <w:color w:val="000000" w:themeColor="text1"/>
        </w:rPr>
        <w:t>w całości finansowane przez Unię Europejską i nie wymagają oficjalnego wsparcia ministerstw obrony poszczególnych państw</w:t>
      </w:r>
      <w:r w:rsidR="0054243D" w:rsidRPr="00DE7B49">
        <w:rPr>
          <w:rFonts w:ascii="Lato" w:hAnsi="Lato" w:cs="Arial"/>
          <w:color w:val="000000" w:themeColor="text1"/>
        </w:rPr>
        <w:t>. K</w:t>
      </w:r>
      <w:r w:rsidR="006B7D4C" w:rsidRPr="00DE7B49">
        <w:rPr>
          <w:rFonts w:ascii="Lato" w:hAnsi="Lato" w:cs="Arial"/>
          <w:color w:val="000000" w:themeColor="text1"/>
        </w:rPr>
        <w:t xml:space="preserve">onsorcjum składa propozycję projektu w odpowiedzi na ogłoszone przez Komisję Europejską </w:t>
      </w:r>
      <w:r w:rsidR="006B7D4C" w:rsidRPr="00DE7B49">
        <w:rPr>
          <w:rFonts w:ascii="Lato" w:hAnsi="Lato" w:cs="Arial"/>
          <w:i/>
          <w:iCs/>
          <w:color w:val="000000" w:themeColor="text1"/>
        </w:rPr>
        <w:t>call for proposals</w:t>
      </w:r>
      <w:r w:rsidR="006B7D4C" w:rsidRPr="00DE7B49">
        <w:rPr>
          <w:rFonts w:ascii="Lato" w:hAnsi="Lato" w:cs="Arial"/>
          <w:color w:val="000000" w:themeColor="text1"/>
        </w:rPr>
        <w:t>.</w:t>
      </w:r>
      <w:r w:rsidR="000D3DD6" w:rsidRPr="00DE7B49">
        <w:rPr>
          <w:rFonts w:ascii="Lato" w:hAnsi="Lato" w:cs="Arial"/>
          <w:color w:val="000000" w:themeColor="text1"/>
        </w:rPr>
        <w:t xml:space="preserve"> </w:t>
      </w:r>
      <w:r w:rsidR="00021709" w:rsidRPr="00DE7B49">
        <w:rPr>
          <w:rFonts w:ascii="Lato" w:hAnsi="Lato" w:cs="Arial"/>
          <w:color w:val="000000" w:themeColor="text1"/>
        </w:rPr>
        <w:t xml:space="preserve">Polskie podmioty mogą wypełnić i przesłać do MON wniosek informacyjny (zał. nr </w:t>
      </w:r>
      <w:r w:rsidR="002204B0" w:rsidRPr="00DE7B49">
        <w:rPr>
          <w:rFonts w:ascii="Lato" w:hAnsi="Lato" w:cs="Arial"/>
          <w:color w:val="000000" w:themeColor="text1"/>
        </w:rPr>
        <w:t>3</w:t>
      </w:r>
      <w:r w:rsidR="00021709" w:rsidRPr="00DE7B49">
        <w:rPr>
          <w:rFonts w:ascii="Lato" w:hAnsi="Lato" w:cs="Arial"/>
          <w:color w:val="000000" w:themeColor="text1"/>
        </w:rPr>
        <w:t xml:space="preserve">) o swoim udziale w projekcie badawczym. Po otrzymaniu takiego wniosku MON może udzielać wsparcia </w:t>
      </w:r>
      <w:r>
        <w:rPr>
          <w:rFonts w:ascii="Lato" w:hAnsi="Lato" w:cs="Arial"/>
          <w:color w:val="000000" w:themeColor="text1"/>
        </w:rPr>
        <w:t>przy realizacji projektu</w:t>
      </w:r>
      <w:r w:rsidR="00021709" w:rsidRPr="00DE7B49">
        <w:rPr>
          <w:rFonts w:ascii="Lato" w:hAnsi="Lato" w:cs="Arial"/>
          <w:color w:val="000000" w:themeColor="text1"/>
        </w:rPr>
        <w:t xml:space="preserve"> poprzez ułatwienie dotarcia do ewentualnego użytkownika końcowego lub pozyskiwania informacji na temat preferowanej charakterystyki </w:t>
      </w:r>
      <w:r w:rsidR="004075A6" w:rsidRPr="00DE7B49">
        <w:rPr>
          <w:rFonts w:ascii="Lato" w:hAnsi="Lato" w:cs="Arial"/>
          <w:color w:val="000000" w:themeColor="text1"/>
        </w:rPr>
        <w:t>opracowywanej technologii</w:t>
      </w:r>
      <w:r w:rsidR="00021709" w:rsidRPr="00DE7B49">
        <w:rPr>
          <w:rFonts w:ascii="Lato" w:hAnsi="Lato" w:cs="Arial"/>
          <w:color w:val="000000" w:themeColor="text1"/>
        </w:rPr>
        <w:t xml:space="preserve">. </w:t>
      </w:r>
      <w:r>
        <w:rPr>
          <w:rFonts w:ascii="Lato" w:hAnsi="Lato" w:cs="Arial"/>
          <w:color w:val="000000" w:themeColor="text1"/>
        </w:rPr>
        <w:t>Umowa grantowa między konsorcjum a Komisją Europejską jest zawierana po wyborze projektu do realizacji.</w:t>
      </w:r>
      <w:r w:rsidR="000D3DD6" w:rsidRPr="00DE7B49">
        <w:rPr>
          <w:rFonts w:ascii="Lato" w:hAnsi="Lato" w:cs="Arial"/>
          <w:color w:val="000000" w:themeColor="text1"/>
        </w:rPr>
        <w:t xml:space="preserve"> </w:t>
      </w:r>
    </w:p>
    <w:p w14:paraId="1D00815C" w14:textId="5309FF6E" w:rsidR="0022210A" w:rsidRDefault="006B7D4C" w:rsidP="00E9067D">
      <w:pPr>
        <w:tabs>
          <w:tab w:val="left" w:pos="567"/>
        </w:tabs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W przypadku </w:t>
      </w:r>
      <w:r w:rsidRPr="00DE7B49">
        <w:rPr>
          <w:rFonts w:ascii="Lato" w:hAnsi="Lato" w:cs="Arial"/>
          <w:b/>
          <w:bCs/>
        </w:rPr>
        <w:t>projektów</w:t>
      </w:r>
      <w:r w:rsidRPr="00DE7B49">
        <w:rPr>
          <w:rFonts w:ascii="Lato" w:hAnsi="Lato" w:cs="Arial"/>
        </w:rPr>
        <w:t xml:space="preserve"> </w:t>
      </w:r>
      <w:r w:rsidRPr="00DE7B49">
        <w:rPr>
          <w:rFonts w:ascii="Lato" w:hAnsi="Lato" w:cs="Arial"/>
          <w:b/>
          <w:bCs/>
        </w:rPr>
        <w:t>rozwojowych</w:t>
      </w:r>
      <w:r w:rsidRPr="00DE7B49">
        <w:rPr>
          <w:rFonts w:ascii="Lato" w:hAnsi="Lato" w:cs="Arial"/>
        </w:rPr>
        <w:t xml:space="preserve"> EDF</w:t>
      </w:r>
      <w:r w:rsidR="00174E6E">
        <w:rPr>
          <w:rFonts w:ascii="Lato" w:hAnsi="Lato" w:cs="Arial"/>
        </w:rPr>
        <w:t xml:space="preserve">, </w:t>
      </w:r>
      <w:r w:rsidRPr="00DE7B49">
        <w:rPr>
          <w:rFonts w:ascii="Lato" w:hAnsi="Lato" w:cs="Arial"/>
        </w:rPr>
        <w:t>co najmniej dwa państwa muszą zobowiązać się</w:t>
      </w:r>
      <w:r w:rsidR="00174E6E">
        <w:rPr>
          <w:rFonts w:ascii="Lato" w:hAnsi="Lato" w:cs="Arial"/>
        </w:rPr>
        <w:t xml:space="preserve"> do zamówienia </w:t>
      </w:r>
      <w:r w:rsidRPr="00DE7B49">
        <w:rPr>
          <w:rFonts w:ascii="Lato" w:hAnsi="Lato" w:cs="Arial"/>
        </w:rPr>
        <w:t>produkt</w:t>
      </w:r>
      <w:r w:rsidR="00174E6E">
        <w:rPr>
          <w:rFonts w:ascii="Lato" w:hAnsi="Lato" w:cs="Arial"/>
        </w:rPr>
        <w:t>u końcowego</w:t>
      </w:r>
      <w:r w:rsidRPr="00DE7B49">
        <w:rPr>
          <w:rFonts w:ascii="Lato" w:hAnsi="Lato" w:cs="Arial"/>
        </w:rPr>
        <w:t xml:space="preserve"> lub </w:t>
      </w:r>
      <w:r w:rsidR="00174E6E" w:rsidRPr="00DE7B49">
        <w:rPr>
          <w:rFonts w:ascii="Lato" w:hAnsi="Lato" w:cs="Arial"/>
        </w:rPr>
        <w:t>wykorzysta</w:t>
      </w:r>
      <w:r w:rsidR="00174E6E">
        <w:rPr>
          <w:rFonts w:ascii="Lato" w:hAnsi="Lato" w:cs="Arial"/>
        </w:rPr>
        <w:t>nia</w:t>
      </w:r>
      <w:r w:rsidR="00174E6E" w:rsidRPr="00DE7B49">
        <w:rPr>
          <w:rFonts w:ascii="Lato" w:hAnsi="Lato" w:cs="Arial"/>
        </w:rPr>
        <w:t xml:space="preserve"> technologi</w:t>
      </w:r>
      <w:r w:rsidR="00174E6E">
        <w:rPr>
          <w:rFonts w:ascii="Lato" w:hAnsi="Lato" w:cs="Arial"/>
        </w:rPr>
        <w:t>i</w:t>
      </w:r>
      <w:r w:rsidR="00174E6E" w:rsidRPr="00DE7B49">
        <w:rPr>
          <w:rFonts w:ascii="Lato" w:hAnsi="Lato" w:cs="Arial"/>
        </w:rPr>
        <w:t xml:space="preserve"> </w:t>
      </w:r>
      <w:r w:rsidRPr="00DE7B49">
        <w:rPr>
          <w:rFonts w:ascii="Lato" w:hAnsi="Lato" w:cs="Arial"/>
        </w:rPr>
        <w:t xml:space="preserve">w skoordynowany sposób, </w:t>
      </w:r>
      <w:r w:rsidR="00174E6E">
        <w:rPr>
          <w:rFonts w:ascii="Lato" w:hAnsi="Lato" w:cs="Arial"/>
        </w:rPr>
        <w:t>m. in.</w:t>
      </w:r>
      <w:r w:rsidRPr="00DE7B49">
        <w:rPr>
          <w:rFonts w:ascii="Lato" w:hAnsi="Lato" w:cs="Arial"/>
        </w:rPr>
        <w:t xml:space="preserve"> poprzez wspólne zamówienia</w:t>
      </w:r>
      <w:r w:rsidR="00174E6E">
        <w:rPr>
          <w:rStyle w:val="Odwoanieprzypisudolnego"/>
          <w:rFonts w:ascii="Lato" w:hAnsi="Lato" w:cs="Arial"/>
        </w:rPr>
        <w:footnoteReference w:id="3"/>
      </w:r>
      <w:r w:rsidRPr="00DE7B49">
        <w:rPr>
          <w:rFonts w:ascii="Lato" w:hAnsi="Lato" w:cs="Arial"/>
        </w:rPr>
        <w:t xml:space="preserve">. </w:t>
      </w:r>
      <w:r w:rsidR="00174E6E">
        <w:rPr>
          <w:rFonts w:ascii="Lato" w:hAnsi="Lato" w:cs="Arial"/>
        </w:rPr>
        <w:t>Jest to deklaracja strony rządowej, równoczesn</w:t>
      </w:r>
      <w:r w:rsidR="0022210A">
        <w:rPr>
          <w:rFonts w:ascii="Lato" w:hAnsi="Lato" w:cs="Arial"/>
        </w:rPr>
        <w:t>a</w:t>
      </w:r>
      <w:r w:rsidR="00174E6E">
        <w:rPr>
          <w:rFonts w:ascii="Lato" w:hAnsi="Lato" w:cs="Arial"/>
        </w:rPr>
        <w:t xml:space="preserve"> ze składaniem aplikacji projektowej do Komisji Europejskiej. Również</w:t>
      </w:r>
      <w:r w:rsidR="000D3DD6" w:rsidRPr="00DE7B49">
        <w:rPr>
          <w:rFonts w:ascii="Lato" w:hAnsi="Lato" w:cs="Arial"/>
        </w:rPr>
        <w:t xml:space="preserve"> na tym etapie państwa popierające projekt </w:t>
      </w:r>
      <w:r w:rsidR="00174E6E">
        <w:rPr>
          <w:rFonts w:ascii="Lato" w:hAnsi="Lato" w:cs="Arial"/>
        </w:rPr>
        <w:t>uzgadniają</w:t>
      </w:r>
      <w:r w:rsidR="000D3DD6" w:rsidRPr="00DE7B49">
        <w:rPr>
          <w:rFonts w:ascii="Lato" w:hAnsi="Lato" w:cs="Arial"/>
        </w:rPr>
        <w:t xml:space="preserve"> wstępne wspólne wymagania</w:t>
      </w:r>
      <w:r w:rsidR="0022210A">
        <w:rPr>
          <w:rFonts w:ascii="Lato" w:hAnsi="Lato" w:cs="Arial"/>
        </w:rPr>
        <w:t xml:space="preserve"> techniczne</w:t>
      </w:r>
      <w:r w:rsidR="000D3DD6" w:rsidRPr="00DE7B49">
        <w:rPr>
          <w:rFonts w:ascii="Lato" w:hAnsi="Lato" w:cs="Arial"/>
        </w:rPr>
        <w:t xml:space="preserve"> (</w:t>
      </w:r>
      <w:r w:rsidR="000D3DD6" w:rsidRPr="00DE7B49">
        <w:rPr>
          <w:rFonts w:ascii="Lato" w:hAnsi="Lato" w:cs="Arial"/>
          <w:i/>
          <w:iCs/>
        </w:rPr>
        <w:t>Initial Common Requirements</w:t>
      </w:r>
      <w:r w:rsidR="000D3DD6" w:rsidRPr="00DE7B49">
        <w:rPr>
          <w:rFonts w:ascii="Lato" w:hAnsi="Lato" w:cs="Arial"/>
        </w:rPr>
        <w:t>, ICR).</w:t>
      </w:r>
      <w:r w:rsidRPr="00DE7B49">
        <w:rPr>
          <w:rFonts w:ascii="Lato" w:hAnsi="Lato" w:cs="Arial"/>
        </w:rPr>
        <w:t xml:space="preserve"> </w:t>
      </w:r>
      <w:r w:rsidR="0022210A">
        <w:rPr>
          <w:rFonts w:ascii="Lato" w:hAnsi="Lato" w:cs="Arial"/>
        </w:rPr>
        <w:t xml:space="preserve">Po wybraniu projektu do realizacji, konsorcjum podpisuje umowę grantową z Komisją Europejską, następnie państwa procedują zawarcie między sobą </w:t>
      </w:r>
      <w:r w:rsidR="0022210A" w:rsidRPr="00331688">
        <w:rPr>
          <w:rFonts w:ascii="Lato" w:hAnsi="Lato" w:cs="Arial"/>
          <w:i/>
          <w:iCs/>
        </w:rPr>
        <w:t>Memorandum of Understanding</w:t>
      </w:r>
      <w:r w:rsidR="0022210A" w:rsidRPr="00331688">
        <w:rPr>
          <w:rFonts w:ascii="Lato" w:hAnsi="Lato" w:cs="Arial"/>
        </w:rPr>
        <w:t xml:space="preserve"> (MoU), które </w:t>
      </w:r>
      <w:r w:rsidR="0022210A">
        <w:rPr>
          <w:rFonts w:ascii="Lato" w:hAnsi="Lato" w:cs="Arial"/>
        </w:rPr>
        <w:t xml:space="preserve">szczegółowo </w:t>
      </w:r>
      <w:r w:rsidR="0022210A" w:rsidRPr="00CD17D9">
        <w:rPr>
          <w:rFonts w:ascii="Lato" w:hAnsi="Lato" w:cs="Arial"/>
        </w:rPr>
        <w:t xml:space="preserve">określa </w:t>
      </w:r>
      <w:r w:rsidR="0022210A">
        <w:rPr>
          <w:rFonts w:ascii="Lato" w:hAnsi="Lato" w:cs="Arial"/>
        </w:rPr>
        <w:t>ich</w:t>
      </w:r>
      <w:r w:rsidR="0022210A" w:rsidRPr="00331688">
        <w:rPr>
          <w:rFonts w:ascii="Lato" w:hAnsi="Lato" w:cs="Arial"/>
        </w:rPr>
        <w:t xml:space="preserve"> zobowiązania</w:t>
      </w:r>
      <w:r w:rsidR="0022210A">
        <w:rPr>
          <w:rFonts w:ascii="Lato" w:hAnsi="Lato" w:cs="Arial"/>
        </w:rPr>
        <w:t xml:space="preserve"> i nabywane prawa</w:t>
      </w:r>
      <w:r w:rsidR="0022210A" w:rsidRPr="00331688">
        <w:rPr>
          <w:rFonts w:ascii="Lato" w:hAnsi="Lato" w:cs="Arial"/>
        </w:rPr>
        <w:t>.</w:t>
      </w:r>
    </w:p>
    <w:p w14:paraId="019D3D10" w14:textId="12131BC5" w:rsidR="006B7D4C" w:rsidRPr="00DE7B49" w:rsidRDefault="006B7D4C" w:rsidP="00E9067D">
      <w:pPr>
        <w:spacing w:before="120" w:after="120" w:line="240" w:lineRule="auto"/>
        <w:jc w:val="both"/>
        <w:rPr>
          <w:rFonts w:ascii="Lato" w:eastAsia="Times New Roman" w:hAnsi="Lato" w:cs="Arial"/>
        </w:rPr>
      </w:pPr>
      <w:r w:rsidRPr="00DE7B49">
        <w:rPr>
          <w:rFonts w:ascii="Lato" w:eastAsia="Times New Roman" w:hAnsi="Lato" w:cs="Arial"/>
        </w:rPr>
        <w:t>W przypadku zaangażowania MON w przygotowanie projektu</w:t>
      </w:r>
      <w:r w:rsidR="000D3DD6" w:rsidRPr="00DE7B49">
        <w:rPr>
          <w:rFonts w:ascii="Lato" w:eastAsia="Times New Roman" w:hAnsi="Lato" w:cs="Arial"/>
        </w:rPr>
        <w:t xml:space="preserve"> rozwojowego</w:t>
      </w:r>
      <w:r w:rsidRPr="00DE7B49">
        <w:rPr>
          <w:rFonts w:ascii="Lato" w:eastAsia="Times New Roman" w:hAnsi="Lato" w:cs="Arial"/>
        </w:rPr>
        <w:t xml:space="preserve"> eksperci resortowi biorą udział w uzgodnieniach wymagań z odpowiednikami z resortów z innych państw. </w:t>
      </w:r>
    </w:p>
    <w:p w14:paraId="021D148F" w14:textId="2CB1578C" w:rsidR="00D11945" w:rsidRPr="00DE7B49" w:rsidRDefault="00D11945" w:rsidP="00E9067D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>Ponadto większość projektów rozwojowych wymaga współfinansowania krajowego</w:t>
      </w:r>
      <w:r w:rsidRPr="00DE7B49">
        <w:rPr>
          <w:rStyle w:val="Odwoanieprzypisudolnego"/>
          <w:rFonts w:ascii="Lato" w:hAnsi="Lato" w:cs="Arial"/>
        </w:rPr>
        <w:footnoteReference w:id="4"/>
      </w:r>
      <w:r w:rsidRPr="00DE7B49">
        <w:rPr>
          <w:rFonts w:ascii="Lato" w:hAnsi="Lato" w:cs="Arial"/>
        </w:rPr>
        <w:t>. Może ono zostać zapewnione ze środków własnych konsorcjanta (</w:t>
      </w:r>
      <w:r w:rsidRPr="00DE7B49">
        <w:rPr>
          <w:rFonts w:ascii="Lato" w:hAnsi="Lato" w:cs="Arial"/>
          <w:i/>
          <w:iCs/>
        </w:rPr>
        <w:t>także</w:t>
      </w:r>
      <w:r w:rsidRPr="00DE7B49">
        <w:rPr>
          <w:rFonts w:ascii="Lato" w:hAnsi="Lato" w:cs="Arial"/>
        </w:rPr>
        <w:t xml:space="preserve"> w formie tzw. wkładu przemysłowego</w:t>
      </w:r>
      <w:r w:rsidR="00764416" w:rsidRPr="00DE7B49">
        <w:rPr>
          <w:rFonts w:ascii="Lato" w:hAnsi="Lato" w:cs="Arial"/>
        </w:rPr>
        <w:t>/rzeczowego</w:t>
      </w:r>
      <w:r w:rsidRPr="00DE7B49">
        <w:rPr>
          <w:rFonts w:ascii="Lato" w:hAnsi="Lato" w:cs="Arial"/>
        </w:rPr>
        <w:t>, czyli np. wykazania kosztów wykorzystania własnej infrastruktury badawczej) lub ze środków publicznych.</w:t>
      </w:r>
    </w:p>
    <w:p w14:paraId="29388F02" w14:textId="3653DEF4" w:rsidR="00D11945" w:rsidRPr="00DE7B49" w:rsidRDefault="006B7D4C" w:rsidP="00E9067D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>Na stronie MON udostępniono wzór wniosku o </w:t>
      </w:r>
      <w:r w:rsidR="000D3DD6" w:rsidRPr="00DE7B49">
        <w:rPr>
          <w:rFonts w:ascii="Lato" w:hAnsi="Lato" w:cs="Arial"/>
        </w:rPr>
        <w:t xml:space="preserve">udzielenie poparcia MON oraz </w:t>
      </w:r>
      <w:r w:rsidRPr="00DE7B49">
        <w:rPr>
          <w:rFonts w:ascii="Lato" w:hAnsi="Lato" w:cs="Arial"/>
        </w:rPr>
        <w:t>współfinansowanie z budżetu MON projektu rozwojowego w ramach EDF</w:t>
      </w:r>
      <w:r w:rsidR="00021709" w:rsidRPr="00DE7B49">
        <w:rPr>
          <w:rFonts w:ascii="Lato" w:hAnsi="Lato" w:cs="Arial"/>
        </w:rPr>
        <w:t xml:space="preserve"> (zał. nr </w:t>
      </w:r>
      <w:r w:rsidR="002204B0" w:rsidRPr="00DE7B49">
        <w:rPr>
          <w:rFonts w:ascii="Lato" w:hAnsi="Lato" w:cs="Arial"/>
        </w:rPr>
        <w:t>2</w:t>
      </w:r>
      <w:r w:rsidR="00021709" w:rsidRPr="00DE7B49">
        <w:rPr>
          <w:rFonts w:ascii="Lato" w:hAnsi="Lato" w:cs="Arial"/>
        </w:rPr>
        <w:t>)</w:t>
      </w:r>
      <w:r w:rsidR="008C6A77" w:rsidRPr="00DE7B49">
        <w:rPr>
          <w:rFonts w:ascii="Lato" w:hAnsi="Lato" w:cs="Arial"/>
        </w:rPr>
        <w:t>.</w:t>
      </w:r>
    </w:p>
    <w:p w14:paraId="66A225F4" w14:textId="191A985A" w:rsidR="006B7D4C" w:rsidRPr="00DE7B49" w:rsidRDefault="006B7D4C" w:rsidP="00E9067D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Ministerstwo Obrony Narodowej indywidualnie ocenia propozycje projektów rozwojowych EDF pod kątem </w:t>
      </w:r>
      <w:r w:rsidR="00D11945" w:rsidRPr="00DE7B49">
        <w:rPr>
          <w:rFonts w:ascii="Lato" w:hAnsi="Lato" w:cs="Arial"/>
        </w:rPr>
        <w:t xml:space="preserve">perspektywicznych </w:t>
      </w:r>
      <w:r w:rsidRPr="00DE7B49">
        <w:rPr>
          <w:rFonts w:ascii="Lato" w:hAnsi="Lato" w:cs="Arial"/>
        </w:rPr>
        <w:t>potrzeb Sił Zbrojnych RP oraz budowy w polski</w:t>
      </w:r>
      <w:r w:rsidR="008C6A77" w:rsidRPr="00DE7B49">
        <w:rPr>
          <w:rFonts w:ascii="Lato" w:hAnsi="Lato" w:cs="Arial"/>
        </w:rPr>
        <w:t>m</w:t>
      </w:r>
      <w:r w:rsidRPr="00DE7B49">
        <w:rPr>
          <w:rFonts w:ascii="Lato" w:hAnsi="Lato" w:cs="Arial"/>
        </w:rPr>
        <w:t xml:space="preserve"> sektorze obronnym</w:t>
      </w:r>
      <w:r w:rsidR="0022210A">
        <w:rPr>
          <w:rFonts w:ascii="Lato" w:hAnsi="Lato" w:cs="Arial"/>
        </w:rPr>
        <w:t xml:space="preserve"> związanych z nimi</w:t>
      </w:r>
      <w:r w:rsidRPr="00DE7B49">
        <w:rPr>
          <w:rFonts w:ascii="Lato" w:hAnsi="Lato" w:cs="Arial"/>
        </w:rPr>
        <w:t xml:space="preserve"> kompetencji technologicznych i przemysłowych.</w:t>
      </w:r>
    </w:p>
    <w:p w14:paraId="6F4CA6FE" w14:textId="75C9C0BA" w:rsidR="0025472A" w:rsidRPr="00DE7B49" w:rsidRDefault="0025472A" w:rsidP="00E9067D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>Na potrzeby krajowe projekty rozwojowe EDF MON dzieli na dwa rodzaje:</w:t>
      </w:r>
    </w:p>
    <w:p w14:paraId="6AAF5316" w14:textId="5E308AEB" w:rsidR="0025472A" w:rsidRPr="00DE7B49" w:rsidRDefault="0025472A" w:rsidP="00E9067D">
      <w:pPr>
        <w:pStyle w:val="Akapitzlist"/>
        <w:numPr>
          <w:ilvl w:val="0"/>
          <w:numId w:val="22"/>
        </w:numPr>
        <w:spacing w:before="120" w:after="120"/>
        <w:jc w:val="both"/>
        <w:rPr>
          <w:rFonts w:ascii="Lato" w:hAnsi="Lato" w:cs="Arial"/>
          <w:sz w:val="22"/>
          <w:szCs w:val="22"/>
          <w:lang w:val="pl-PL"/>
        </w:rPr>
      </w:pPr>
      <w:r w:rsidRPr="00DE7B49">
        <w:rPr>
          <w:rFonts w:ascii="Lato" w:hAnsi="Lato" w:cs="Arial"/>
          <w:sz w:val="22"/>
          <w:szCs w:val="22"/>
          <w:lang w:val="pl-PL"/>
        </w:rPr>
        <w:lastRenderedPageBreak/>
        <w:t>Projekty rozwojowe sprzętowe – mają służyć realizacji danego wymagania operacyjnego/sprzętowego, oraz związane są z pozyskaniem sprzętu wojskowego</w:t>
      </w:r>
      <w:r w:rsidR="0054243D" w:rsidRPr="00DE7B49">
        <w:rPr>
          <w:rFonts w:ascii="Lato" w:hAnsi="Lato" w:cs="Arial"/>
          <w:sz w:val="22"/>
          <w:szCs w:val="22"/>
          <w:lang w:val="pl-PL"/>
        </w:rPr>
        <w:t xml:space="preserve"> (SpW)</w:t>
      </w:r>
      <w:r w:rsidRPr="00DE7B49">
        <w:rPr>
          <w:rFonts w:ascii="Lato" w:hAnsi="Lato" w:cs="Arial"/>
          <w:sz w:val="22"/>
          <w:szCs w:val="22"/>
          <w:lang w:val="pl-PL"/>
        </w:rPr>
        <w:t xml:space="preserve">. Będzie to niewielka część projektów. </w:t>
      </w:r>
    </w:p>
    <w:p w14:paraId="631353B9" w14:textId="2C536746" w:rsidR="0025472A" w:rsidRPr="00DE7B49" w:rsidRDefault="0025472A" w:rsidP="00E9067D">
      <w:pPr>
        <w:pStyle w:val="Akapitzlist"/>
        <w:numPr>
          <w:ilvl w:val="0"/>
          <w:numId w:val="22"/>
        </w:numPr>
        <w:spacing w:before="120" w:after="120"/>
        <w:jc w:val="both"/>
        <w:rPr>
          <w:rFonts w:ascii="Lato" w:hAnsi="Lato" w:cs="Arial"/>
          <w:sz w:val="22"/>
          <w:szCs w:val="22"/>
          <w:lang w:val="pl-PL"/>
        </w:rPr>
      </w:pPr>
      <w:r w:rsidRPr="00DE7B49">
        <w:rPr>
          <w:rFonts w:ascii="Lato" w:hAnsi="Lato" w:cs="Arial"/>
          <w:sz w:val="22"/>
          <w:szCs w:val="22"/>
          <w:lang w:val="pl-PL"/>
        </w:rPr>
        <w:t>Projekty rozwojowe technologiczne – rozwój systemów i podsystemów SpW oraz rozwoju technologii na wysokich poziomach gotowości technologicznej. Takie projekty nie są analizowane wyłącznie z perspektywy danego wymagania operacyjnego/sprzętowego, ale</w:t>
      </w:r>
      <w:r w:rsidR="0054243D" w:rsidRPr="00DE7B49">
        <w:rPr>
          <w:rFonts w:ascii="Lato" w:hAnsi="Lato" w:cs="Arial"/>
          <w:sz w:val="22"/>
          <w:szCs w:val="22"/>
          <w:lang w:val="pl-PL"/>
        </w:rPr>
        <w:t xml:space="preserve"> także</w:t>
      </w:r>
      <w:r w:rsidRPr="00DE7B49">
        <w:rPr>
          <w:rFonts w:ascii="Lato" w:hAnsi="Lato" w:cs="Arial"/>
          <w:sz w:val="22"/>
          <w:szCs w:val="22"/>
          <w:lang w:val="pl-PL"/>
        </w:rPr>
        <w:t xml:space="preserve"> pod kątem perspektywicznych potrzeb </w:t>
      </w:r>
      <w:r w:rsidR="00A46FF0" w:rsidRPr="00DE7B49">
        <w:rPr>
          <w:rFonts w:ascii="Lato" w:hAnsi="Lato" w:cs="Arial"/>
          <w:sz w:val="22"/>
          <w:szCs w:val="22"/>
          <w:lang w:val="pl-PL"/>
        </w:rPr>
        <w:br/>
      </w:r>
      <w:r w:rsidRPr="00DE7B49">
        <w:rPr>
          <w:rFonts w:ascii="Lato" w:hAnsi="Lato" w:cs="Arial"/>
          <w:sz w:val="22"/>
          <w:szCs w:val="22"/>
          <w:lang w:val="pl-PL"/>
        </w:rPr>
        <w:t xml:space="preserve">Sił Zbrojnych RP, które są zdefiniowane w szeregu dokumentach. Z jawnych dokumentów na poziomie strategicznym jest to </w:t>
      </w:r>
      <w:r w:rsidRPr="00DE7B49">
        <w:rPr>
          <w:rFonts w:ascii="Lato" w:hAnsi="Lato" w:cs="Arial"/>
          <w:i/>
          <w:sz w:val="22"/>
          <w:szCs w:val="22"/>
          <w:lang w:val="pl-PL"/>
        </w:rPr>
        <w:t>Strategia Bezpieczeństwa Narodowego RP,</w:t>
      </w:r>
      <w:r w:rsidRPr="00DE7B49">
        <w:rPr>
          <w:rFonts w:ascii="Lato" w:hAnsi="Lato" w:cs="Arial"/>
          <w:sz w:val="22"/>
          <w:szCs w:val="22"/>
          <w:lang w:val="pl-PL"/>
        </w:rPr>
        <w:t xml:space="preserve"> a na poziomie technologicznym </w:t>
      </w:r>
      <w:r w:rsidRPr="00DE7B49">
        <w:rPr>
          <w:rFonts w:ascii="Lato" w:hAnsi="Lato" w:cs="Arial"/>
          <w:i/>
          <w:sz w:val="22"/>
          <w:szCs w:val="22"/>
          <w:lang w:val="pl-PL"/>
        </w:rPr>
        <w:t xml:space="preserve">Priorytetowe Kierunki Badań </w:t>
      </w:r>
      <w:r w:rsidR="00A46FF0" w:rsidRPr="00DE7B49">
        <w:rPr>
          <w:rFonts w:ascii="Lato" w:hAnsi="Lato" w:cs="Arial"/>
          <w:i/>
          <w:sz w:val="22"/>
          <w:szCs w:val="22"/>
          <w:lang w:val="pl-PL"/>
        </w:rPr>
        <w:br/>
      </w:r>
      <w:r w:rsidRPr="00DE7B49">
        <w:rPr>
          <w:rFonts w:ascii="Lato" w:hAnsi="Lato" w:cs="Arial"/>
          <w:i/>
          <w:sz w:val="22"/>
          <w:szCs w:val="22"/>
          <w:lang w:val="pl-PL"/>
        </w:rPr>
        <w:t>w resorcie obrony narodowej</w:t>
      </w:r>
      <w:r w:rsidR="00A46FF0" w:rsidRPr="00DE7B49">
        <w:rPr>
          <w:rFonts w:ascii="Lato" w:hAnsi="Lato" w:cs="Arial"/>
          <w:i/>
          <w:sz w:val="22"/>
          <w:szCs w:val="22"/>
          <w:lang w:val="pl-PL"/>
        </w:rPr>
        <w:t xml:space="preserve"> w latach 2021-2035</w:t>
      </w:r>
      <w:r w:rsidRPr="00DE7B49">
        <w:rPr>
          <w:rFonts w:ascii="Lato" w:hAnsi="Lato" w:cs="Arial"/>
          <w:sz w:val="22"/>
          <w:szCs w:val="22"/>
          <w:lang w:val="pl-PL"/>
        </w:rPr>
        <w:t>, które są podstawowym dokumentem referencyjnym MON w zakresie priorytetowych technologii. Ponadto, potrzeby SZ RP są zdefiniowane, w szczególności pod kątem zdolno</w:t>
      </w:r>
      <w:r w:rsidR="0054243D" w:rsidRPr="00DE7B49">
        <w:rPr>
          <w:rFonts w:ascii="Lato" w:hAnsi="Lato" w:cs="Arial"/>
          <w:sz w:val="22"/>
          <w:szCs w:val="22"/>
          <w:lang w:val="pl-PL"/>
        </w:rPr>
        <w:t xml:space="preserve">ści, </w:t>
      </w:r>
      <w:r w:rsidR="00A46FF0" w:rsidRPr="00DE7B49">
        <w:rPr>
          <w:rFonts w:ascii="Lato" w:hAnsi="Lato" w:cs="Arial"/>
          <w:sz w:val="22"/>
          <w:szCs w:val="22"/>
          <w:lang w:val="pl-PL"/>
        </w:rPr>
        <w:br/>
      </w:r>
      <w:r w:rsidR="0054243D" w:rsidRPr="00DE7B49">
        <w:rPr>
          <w:rFonts w:ascii="Lato" w:hAnsi="Lato" w:cs="Arial"/>
          <w:sz w:val="22"/>
          <w:szCs w:val="22"/>
          <w:lang w:val="pl-PL"/>
        </w:rPr>
        <w:t>w</w:t>
      </w:r>
      <w:r w:rsidRPr="00DE7B49">
        <w:rPr>
          <w:rFonts w:ascii="Lato" w:hAnsi="Lato" w:cs="Arial"/>
          <w:sz w:val="22"/>
          <w:szCs w:val="22"/>
          <w:lang w:val="pl-PL"/>
        </w:rPr>
        <w:t xml:space="preserve"> innych dokumentach niejawnych. Projekty rozwojowe technologiczne to będzie zdecydowana większość projektów rozwojowych EDF.</w:t>
      </w:r>
    </w:p>
    <w:p w14:paraId="5D7C92FE" w14:textId="461F844B" w:rsidR="00764416" w:rsidRPr="00DE7B49" w:rsidRDefault="00764416" w:rsidP="00E9067D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MON szczególną uwagę zwraca na projekty rozwojowe, w których polscy wykonawcy odpowiadają za opracowanie kompletnych rozwiązań sprzętowych i systemowych </w:t>
      </w:r>
      <w:r w:rsidR="00A46FF0" w:rsidRPr="00DE7B49">
        <w:rPr>
          <w:rFonts w:ascii="Lato" w:hAnsi="Lato" w:cs="Arial"/>
        </w:rPr>
        <w:br/>
      </w:r>
      <w:r w:rsidRPr="00DE7B49">
        <w:rPr>
          <w:rFonts w:ascii="Lato" w:hAnsi="Lato" w:cs="Arial"/>
        </w:rPr>
        <w:t xml:space="preserve">lub ich elementów czy podsystemów, które mogą zostać zastosowane do wytworzenia produktów na potrzeby wojska (np. poprzez </w:t>
      </w:r>
      <w:r w:rsidR="00A46FF0" w:rsidRPr="00DE7B49">
        <w:rPr>
          <w:rFonts w:ascii="Lato" w:hAnsi="Lato" w:cs="Arial"/>
        </w:rPr>
        <w:t xml:space="preserve">pełnienie funkcji lidera projektu lub </w:t>
      </w:r>
      <w:r w:rsidRPr="00DE7B49">
        <w:rPr>
          <w:rFonts w:ascii="Lato" w:hAnsi="Lato" w:cs="Arial"/>
        </w:rPr>
        <w:t xml:space="preserve">kierowanie całym danym pakietem roboczym w </w:t>
      </w:r>
      <w:r w:rsidR="00A46FF0" w:rsidRPr="00DE7B49">
        <w:rPr>
          <w:rFonts w:ascii="Lato" w:hAnsi="Lato" w:cs="Arial"/>
        </w:rPr>
        <w:t>ramach projektu</w:t>
      </w:r>
      <w:r w:rsidRPr="00DE7B49">
        <w:rPr>
          <w:rFonts w:ascii="Lato" w:hAnsi="Lato" w:cs="Arial"/>
        </w:rPr>
        <w:t xml:space="preserve">), aby zapewnić efektywną budowę </w:t>
      </w:r>
      <w:r w:rsidR="00A46FF0" w:rsidRPr="00DE7B49">
        <w:rPr>
          <w:rFonts w:ascii="Lato" w:hAnsi="Lato" w:cs="Arial"/>
        </w:rPr>
        <w:br/>
      </w:r>
      <w:r w:rsidRPr="00DE7B49">
        <w:rPr>
          <w:rFonts w:ascii="Lato" w:hAnsi="Lato" w:cs="Arial"/>
        </w:rPr>
        <w:t>w Polsce kompetencji technologicznych i przemysłowych, które pozwolą zaspokajać perspektywiczne potrzeby Sił Zbrojnych RP.</w:t>
      </w:r>
    </w:p>
    <w:p w14:paraId="5B5B7BD0" w14:textId="5CA25EDD" w:rsidR="00764416" w:rsidRPr="00DE7B49" w:rsidRDefault="00764416" w:rsidP="00E9067D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Projekty rozwojowe przygotowywane w ramach następujących </w:t>
      </w:r>
      <w:r w:rsidR="00A46FF0" w:rsidRPr="00DE7B49">
        <w:rPr>
          <w:rFonts w:ascii="Lato" w:hAnsi="Lato" w:cs="Arial"/>
        </w:rPr>
        <w:t>kategorii konkursowych</w:t>
      </w:r>
      <w:r w:rsidRPr="00DE7B49">
        <w:rPr>
          <w:rFonts w:ascii="Lato" w:hAnsi="Lato" w:cs="Arial"/>
        </w:rPr>
        <w:t xml:space="preserve"> będą</w:t>
      </w:r>
      <w:r w:rsidR="00486034" w:rsidRPr="00DE7B49">
        <w:rPr>
          <w:rFonts w:ascii="Lato" w:hAnsi="Lato" w:cs="Arial"/>
        </w:rPr>
        <w:t xml:space="preserve"> traktowane przez MON</w:t>
      </w:r>
      <w:r w:rsidRPr="00DE7B49">
        <w:rPr>
          <w:rFonts w:ascii="Lato" w:hAnsi="Lato" w:cs="Arial"/>
        </w:rPr>
        <w:t xml:space="preserve"> jako priorytetowe:</w:t>
      </w:r>
    </w:p>
    <w:p w14:paraId="385B406D" w14:textId="05162B99" w:rsidR="00A46FF0" w:rsidRPr="00DE7B49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Lato" w:eastAsiaTheme="minorHAnsi" w:hAnsi="Lato" w:cs="Arial"/>
          <w:kern w:val="0"/>
          <w:sz w:val="22"/>
          <w:szCs w:val="22"/>
          <w:lang w:val="pl-PL" w:eastAsia="en-US"/>
        </w:rPr>
      </w:pPr>
      <w:r w:rsidRPr="00DE7B49">
        <w:rPr>
          <w:rFonts w:ascii="Lato" w:eastAsiaTheme="minorHAnsi" w:hAnsi="Lato" w:cs="Arial"/>
          <w:kern w:val="0"/>
          <w:sz w:val="22"/>
          <w:szCs w:val="22"/>
          <w:lang w:val="pl-PL" w:eastAsia="en-US"/>
        </w:rPr>
        <w:t>Information superiority</w:t>
      </w:r>
    </w:p>
    <w:p w14:paraId="1FC36DA4" w14:textId="77777777" w:rsidR="00A46FF0" w:rsidRPr="00DE7B49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Lato" w:eastAsiaTheme="minorHAnsi" w:hAnsi="Lato" w:cs="Arial"/>
          <w:kern w:val="0"/>
          <w:sz w:val="22"/>
          <w:szCs w:val="22"/>
          <w:lang w:val="pl-PL" w:eastAsia="en-US"/>
        </w:rPr>
      </w:pPr>
      <w:r w:rsidRPr="00DE7B49">
        <w:rPr>
          <w:rFonts w:ascii="Lato" w:eastAsiaTheme="minorHAnsi" w:hAnsi="Lato" w:cs="Arial"/>
          <w:kern w:val="0"/>
          <w:sz w:val="22"/>
          <w:szCs w:val="22"/>
          <w:lang w:val="pl-PL" w:eastAsia="en-US"/>
        </w:rPr>
        <w:t>Cyber</w:t>
      </w:r>
    </w:p>
    <w:p w14:paraId="2751F077" w14:textId="77777777" w:rsidR="00A46FF0" w:rsidRPr="00DE7B49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Lato" w:eastAsiaTheme="minorHAnsi" w:hAnsi="Lato" w:cs="Arial"/>
          <w:kern w:val="0"/>
          <w:sz w:val="22"/>
          <w:szCs w:val="22"/>
          <w:lang w:val="pl-PL" w:eastAsia="en-US"/>
        </w:rPr>
      </w:pPr>
      <w:r w:rsidRPr="00DE7B49">
        <w:rPr>
          <w:rFonts w:ascii="Lato" w:eastAsiaTheme="minorHAnsi" w:hAnsi="Lato" w:cs="Arial"/>
          <w:kern w:val="0"/>
          <w:sz w:val="22"/>
          <w:szCs w:val="22"/>
          <w:lang w:val="pl-PL" w:eastAsia="en-US"/>
        </w:rPr>
        <w:t>Space</w:t>
      </w:r>
    </w:p>
    <w:p w14:paraId="0D82CE70" w14:textId="77777777" w:rsidR="00A46FF0" w:rsidRPr="00DE7B49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Lato" w:eastAsiaTheme="minorHAnsi" w:hAnsi="Lato" w:cs="Arial"/>
          <w:kern w:val="0"/>
          <w:sz w:val="22"/>
          <w:szCs w:val="22"/>
          <w:lang w:val="pl-PL" w:eastAsia="en-US"/>
        </w:rPr>
      </w:pPr>
      <w:r w:rsidRPr="00DE7B49">
        <w:rPr>
          <w:rFonts w:ascii="Lato" w:eastAsiaTheme="minorHAnsi" w:hAnsi="Lato" w:cs="Arial"/>
          <w:kern w:val="0"/>
          <w:sz w:val="22"/>
          <w:szCs w:val="22"/>
          <w:lang w:val="pl-PL" w:eastAsia="en-US"/>
        </w:rPr>
        <w:t>Air combat</w:t>
      </w:r>
    </w:p>
    <w:p w14:paraId="6E3663EB" w14:textId="38F1276F" w:rsidR="00A46FF0" w:rsidRPr="00DE7B49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Lato" w:eastAsiaTheme="minorHAnsi" w:hAnsi="Lato" w:cs="Arial"/>
          <w:kern w:val="0"/>
          <w:sz w:val="22"/>
          <w:szCs w:val="22"/>
          <w:lang w:val="pl-PL" w:eastAsia="en-US"/>
        </w:rPr>
      </w:pPr>
      <w:r w:rsidRPr="00DE7B49">
        <w:rPr>
          <w:rFonts w:ascii="Lato" w:eastAsiaTheme="minorHAnsi" w:hAnsi="Lato" w:cs="Arial"/>
          <w:kern w:val="0"/>
          <w:sz w:val="22"/>
          <w:szCs w:val="22"/>
          <w:lang w:val="pl-PL" w:eastAsia="en-US"/>
        </w:rPr>
        <w:t>Air &amp; missile defence</w:t>
      </w:r>
    </w:p>
    <w:p w14:paraId="16829AF4" w14:textId="69407C7A" w:rsidR="001D3E19" w:rsidRPr="00DE7B49" w:rsidRDefault="001D3E19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Lato" w:eastAsiaTheme="minorHAnsi" w:hAnsi="Lato" w:cs="Arial"/>
          <w:kern w:val="0"/>
          <w:sz w:val="22"/>
          <w:szCs w:val="22"/>
          <w:lang w:val="pl-PL" w:eastAsia="en-US"/>
        </w:rPr>
      </w:pPr>
      <w:r w:rsidRPr="00DE7B49">
        <w:rPr>
          <w:rFonts w:ascii="Lato" w:eastAsiaTheme="minorHAnsi" w:hAnsi="Lato" w:cs="Arial"/>
          <w:kern w:val="0"/>
          <w:sz w:val="22"/>
          <w:szCs w:val="22"/>
          <w:lang w:val="pl-PL" w:eastAsia="en-US"/>
        </w:rPr>
        <w:t>Anti-drone systems</w:t>
      </w:r>
    </w:p>
    <w:p w14:paraId="37A42848" w14:textId="77777777" w:rsidR="00A46FF0" w:rsidRPr="00DE7B49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Lato" w:eastAsiaTheme="minorHAnsi" w:hAnsi="Lato" w:cs="Arial"/>
          <w:kern w:val="0"/>
          <w:sz w:val="22"/>
          <w:szCs w:val="22"/>
          <w:lang w:val="pl-PL" w:eastAsia="en-US"/>
        </w:rPr>
      </w:pPr>
      <w:r w:rsidRPr="00DE7B49">
        <w:rPr>
          <w:rFonts w:ascii="Lato" w:eastAsiaTheme="minorHAnsi" w:hAnsi="Lato" w:cs="Arial"/>
          <w:kern w:val="0"/>
          <w:sz w:val="22"/>
          <w:szCs w:val="22"/>
          <w:lang w:val="pl-PL" w:eastAsia="en-US"/>
        </w:rPr>
        <w:t>Ground combat</w:t>
      </w:r>
    </w:p>
    <w:p w14:paraId="2FAA1A04" w14:textId="77777777" w:rsidR="00A46FF0" w:rsidRPr="00DE7B49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Lato" w:eastAsiaTheme="minorHAnsi" w:hAnsi="Lato" w:cs="Arial"/>
          <w:kern w:val="0"/>
          <w:sz w:val="22"/>
          <w:szCs w:val="22"/>
          <w:lang w:val="pl-PL" w:eastAsia="en-US"/>
        </w:rPr>
      </w:pPr>
      <w:r w:rsidRPr="00DE7B49">
        <w:rPr>
          <w:rFonts w:ascii="Lato" w:eastAsiaTheme="minorHAnsi" w:hAnsi="Lato" w:cs="Arial"/>
          <w:kern w:val="0"/>
          <w:sz w:val="22"/>
          <w:szCs w:val="22"/>
          <w:lang w:val="pl-PL" w:eastAsia="en-US"/>
        </w:rPr>
        <w:t>Naval combat</w:t>
      </w:r>
    </w:p>
    <w:p w14:paraId="2BB4C659" w14:textId="77777777" w:rsidR="00A46FF0" w:rsidRPr="00DE7B49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Lato" w:eastAsiaTheme="minorHAnsi" w:hAnsi="Lato" w:cs="Arial"/>
          <w:kern w:val="0"/>
          <w:sz w:val="22"/>
          <w:szCs w:val="22"/>
          <w:lang w:val="pl-PL" w:eastAsia="en-US"/>
        </w:rPr>
      </w:pPr>
      <w:r w:rsidRPr="00DE7B49">
        <w:rPr>
          <w:rFonts w:ascii="Lato" w:eastAsiaTheme="minorHAnsi" w:hAnsi="Lato" w:cs="Arial"/>
          <w:kern w:val="0"/>
          <w:sz w:val="22"/>
          <w:szCs w:val="22"/>
          <w:lang w:val="pl-PL" w:eastAsia="en-US"/>
        </w:rPr>
        <w:t>Underwater warfare</w:t>
      </w:r>
    </w:p>
    <w:p w14:paraId="7BFEEF9A" w14:textId="4079188A" w:rsidR="00764416" w:rsidRPr="00DE7B49" w:rsidRDefault="00764416" w:rsidP="00E9067D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Wskazanie priorytetów nie oznacza automatycznie wsparcia projektów w tych obszarach. Każdy projekt będzie oceniany indywidualnie zgodnie z </w:t>
      </w:r>
      <w:r w:rsidR="003F7522" w:rsidRPr="00DE7B49">
        <w:rPr>
          <w:rFonts w:ascii="Lato" w:hAnsi="Lato" w:cs="Arial"/>
        </w:rPr>
        <w:t>przewidzianymi procedurami</w:t>
      </w:r>
      <w:r w:rsidRPr="00DE7B49">
        <w:rPr>
          <w:rFonts w:ascii="Lato" w:hAnsi="Lato" w:cs="Arial"/>
        </w:rPr>
        <w:t>.</w:t>
      </w:r>
      <w:r w:rsidR="00A46FF0" w:rsidRPr="00DE7B49">
        <w:rPr>
          <w:rFonts w:ascii="Lato" w:hAnsi="Lato" w:cs="Arial"/>
        </w:rPr>
        <w:t xml:space="preserve"> </w:t>
      </w:r>
      <w:r w:rsidRPr="00DE7B49">
        <w:rPr>
          <w:rFonts w:ascii="Lato" w:hAnsi="Lato" w:cs="Arial"/>
        </w:rPr>
        <w:t>Jednocześnie nie wyklucza się poparcia innych projektów niż w ramach wskazanych priorytetów</w:t>
      </w:r>
      <w:r w:rsidR="003F7522" w:rsidRPr="00DE7B49">
        <w:rPr>
          <w:rFonts w:ascii="Lato" w:hAnsi="Lato" w:cs="Arial"/>
        </w:rPr>
        <w:t>.</w:t>
      </w:r>
    </w:p>
    <w:p w14:paraId="47A1980F" w14:textId="16ADB336" w:rsidR="001D3E19" w:rsidRPr="00DE7B49" w:rsidRDefault="001D3E19" w:rsidP="00521599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Projekty badawcze EDF </w:t>
      </w:r>
      <w:r w:rsidR="00CB5D1A" w:rsidRPr="00DE7B49">
        <w:rPr>
          <w:rFonts w:ascii="Lato" w:hAnsi="Lato" w:cs="Arial"/>
        </w:rPr>
        <w:t xml:space="preserve">2026 </w:t>
      </w:r>
      <w:r w:rsidRPr="00DE7B49">
        <w:rPr>
          <w:rFonts w:ascii="Lato" w:hAnsi="Lato" w:cs="Arial"/>
        </w:rPr>
        <w:t>są w pełni finansowane przez Komisję Europejską. Podmioty realizujące projekty badawcze i ubiegające się o finasowanie mogą wypełnić i złożyć wniosek informacyjny, co pozwoli MON na udzielanie wsparcia i pomocy w trakcie realizac</w:t>
      </w:r>
      <w:r w:rsidR="004075A6" w:rsidRPr="00DE7B49">
        <w:rPr>
          <w:rFonts w:ascii="Lato" w:hAnsi="Lato" w:cs="Arial"/>
        </w:rPr>
        <w:t>ji projektu, poprzez</w:t>
      </w:r>
      <w:r w:rsidR="004075A6" w:rsidRPr="00DE7B49">
        <w:rPr>
          <w:rFonts w:ascii="Lato" w:hAnsi="Lato"/>
        </w:rPr>
        <w:t xml:space="preserve"> </w:t>
      </w:r>
      <w:r w:rsidR="004075A6" w:rsidRPr="00DE7B49">
        <w:rPr>
          <w:rFonts w:ascii="Lato" w:hAnsi="Lato" w:cs="Arial"/>
        </w:rPr>
        <w:t>ułatwienie dotarcia do ewentualnego użytkownika końcowego lub pozyskiwania informacji na temat preferowanej charakterystyki opracowywanej technologii.</w:t>
      </w:r>
    </w:p>
    <w:p w14:paraId="72686B08" w14:textId="16139337" w:rsidR="00521599" w:rsidRPr="00DE7B49" w:rsidRDefault="00521599" w:rsidP="00E9067D">
      <w:pPr>
        <w:spacing w:before="120" w:after="120" w:line="240" w:lineRule="auto"/>
        <w:jc w:val="both"/>
        <w:rPr>
          <w:rFonts w:ascii="Lato" w:hAnsi="Lato" w:cs="Arial"/>
          <w:sz w:val="10"/>
        </w:rPr>
      </w:pPr>
    </w:p>
    <w:p w14:paraId="08036772" w14:textId="77777777" w:rsidR="001D3E19" w:rsidRPr="00DE7B49" w:rsidRDefault="001D3E19" w:rsidP="00E9067D">
      <w:pPr>
        <w:spacing w:before="120" w:after="120" w:line="240" w:lineRule="auto"/>
        <w:jc w:val="both"/>
        <w:rPr>
          <w:rFonts w:ascii="Lato" w:hAnsi="Lato" w:cs="Arial"/>
          <w:sz w:val="10"/>
        </w:rPr>
      </w:pPr>
    </w:p>
    <w:p w14:paraId="67C9B80A" w14:textId="77777777" w:rsidR="00A22733" w:rsidRPr="00DE7B49" w:rsidRDefault="00A22733" w:rsidP="00E9067D">
      <w:pPr>
        <w:spacing w:before="120" w:after="120" w:line="240" w:lineRule="auto"/>
        <w:jc w:val="both"/>
        <w:rPr>
          <w:rFonts w:ascii="Lato" w:hAnsi="Lato" w:cs="Arial"/>
          <w:b/>
        </w:rPr>
      </w:pPr>
      <w:r w:rsidRPr="00DE7B49">
        <w:rPr>
          <w:rFonts w:ascii="Lato" w:hAnsi="Lato" w:cs="Arial"/>
          <w:b/>
        </w:rPr>
        <w:t>Podmioty kwalifikujące się do wsparcia MON w zw. z udziałem w EDF 2026</w:t>
      </w:r>
    </w:p>
    <w:p w14:paraId="34943927" w14:textId="067A89B2" w:rsidR="00A22733" w:rsidRPr="00DE7B49" w:rsidRDefault="00A22733" w:rsidP="00E9067D">
      <w:pPr>
        <w:spacing w:before="120" w:after="120" w:line="240" w:lineRule="auto"/>
        <w:jc w:val="both"/>
        <w:rPr>
          <w:rFonts w:ascii="Lato" w:hAnsi="Lato" w:cs="Arial"/>
          <w:bCs/>
        </w:rPr>
      </w:pPr>
      <w:r w:rsidRPr="00DE7B49">
        <w:rPr>
          <w:rFonts w:ascii="Lato" w:hAnsi="Lato" w:cs="Arial"/>
          <w:bCs/>
        </w:rPr>
        <w:t xml:space="preserve">W związku z </w:t>
      </w:r>
      <w:r w:rsidR="004C4308" w:rsidRPr="00DE7B49">
        <w:rPr>
          <w:rFonts w:ascii="Lato" w:hAnsi="Lato" w:cs="Arial"/>
          <w:bCs/>
        </w:rPr>
        <w:t xml:space="preserve">przepisami wewnętrznymi MON oraz Wytycznymi Sekretarza Stanu, o wsparcie MON </w:t>
      </w:r>
      <w:r w:rsidR="00B13F7F">
        <w:rPr>
          <w:rFonts w:ascii="Lato" w:hAnsi="Lato" w:cs="Arial"/>
          <w:bCs/>
        </w:rPr>
        <w:t>dotyczące udziału</w:t>
      </w:r>
      <w:r w:rsidR="004C4308" w:rsidRPr="00DE7B49">
        <w:rPr>
          <w:rFonts w:ascii="Lato" w:hAnsi="Lato" w:cs="Arial"/>
          <w:bCs/>
        </w:rPr>
        <w:t xml:space="preserve"> w projektach EDF 2026 mogą ubiegać się </w:t>
      </w:r>
      <w:r w:rsidR="004C4308" w:rsidRPr="00DE7B49">
        <w:rPr>
          <w:rFonts w:ascii="Lato" w:hAnsi="Lato" w:cs="Arial"/>
          <w:b/>
        </w:rPr>
        <w:t xml:space="preserve">polskie </w:t>
      </w:r>
      <w:r w:rsidR="004C4308" w:rsidRPr="00DE7B49">
        <w:rPr>
          <w:rFonts w:ascii="Lato" w:hAnsi="Lato" w:cs="Arial"/>
          <w:b/>
        </w:rPr>
        <w:lastRenderedPageBreak/>
        <w:t>podmioty</w:t>
      </w:r>
      <w:r w:rsidR="004C4308" w:rsidRPr="00DE7B49">
        <w:rPr>
          <w:rFonts w:ascii="Lato" w:hAnsi="Lato" w:cs="Arial"/>
          <w:bCs/>
        </w:rPr>
        <w:t xml:space="preserve">, których siedziba, infrastruktura, obiekty, aktywa i zasoby przewidziane do wykorzystania przy realizacji projektu znajdują się na terytorium Polski oraz które </w:t>
      </w:r>
      <w:r w:rsidR="004C4308" w:rsidRPr="00DE7B49">
        <w:rPr>
          <w:rFonts w:ascii="Lato" w:hAnsi="Lato" w:cs="Arial"/>
          <w:b/>
        </w:rPr>
        <w:t>nie podlegają kontroli innego państwa lub podmiotowi z innego państwa</w:t>
      </w:r>
      <w:r w:rsidR="004C4308" w:rsidRPr="00DE7B49">
        <w:rPr>
          <w:rFonts w:ascii="Lato" w:hAnsi="Lato" w:cs="Arial"/>
          <w:bCs/>
        </w:rPr>
        <w:t xml:space="preserve">. Wymagane jest również uzupełnienie wniosku o </w:t>
      </w:r>
      <w:r w:rsidR="004C4308" w:rsidRPr="00DE7B49">
        <w:rPr>
          <w:rFonts w:ascii="Lato" w:hAnsi="Lato" w:cs="Arial"/>
          <w:b/>
        </w:rPr>
        <w:t>dodatkową dokumentację</w:t>
      </w:r>
      <w:r w:rsidR="004C4308" w:rsidRPr="00DE7B49">
        <w:rPr>
          <w:rFonts w:ascii="Lato" w:hAnsi="Lato" w:cs="Arial"/>
          <w:bCs/>
        </w:rPr>
        <w:t xml:space="preserve">: </w:t>
      </w:r>
      <w:hyperlink r:id="rId12" w:history="1">
        <w:r w:rsidR="004C4308" w:rsidRPr="00DE7B49">
          <w:rPr>
            <w:rStyle w:val="Hipercze"/>
            <w:rFonts w:ascii="Lato" w:hAnsi="Lato"/>
          </w:rPr>
          <w:t>wypis z Krajowego Rejestru Karnego</w:t>
        </w:r>
      </w:hyperlink>
      <w:r w:rsidR="004C4308" w:rsidRPr="00DE7B49">
        <w:rPr>
          <w:rFonts w:ascii="Lato" w:hAnsi="Lato" w:cs="Arial"/>
          <w:bCs/>
        </w:rPr>
        <w:t xml:space="preserve">, </w:t>
      </w:r>
      <w:hyperlink r:id="rId13" w:history="1">
        <w:r w:rsidR="004C4308" w:rsidRPr="00DE7B49">
          <w:rPr>
            <w:rStyle w:val="Hipercze"/>
            <w:rFonts w:ascii="Lato" w:hAnsi="Lato"/>
          </w:rPr>
          <w:t>wypis z Urzędu Skarbowego</w:t>
        </w:r>
      </w:hyperlink>
      <w:r w:rsidR="004C4308" w:rsidRPr="00DE7B49">
        <w:rPr>
          <w:rFonts w:ascii="Lato" w:hAnsi="Lato" w:cs="Arial"/>
          <w:bCs/>
        </w:rPr>
        <w:t xml:space="preserve">,  a także </w:t>
      </w:r>
      <w:hyperlink r:id="rId14" w:history="1">
        <w:r w:rsidR="004C4308" w:rsidRPr="00DE7B49">
          <w:rPr>
            <w:rStyle w:val="Hipercze"/>
            <w:rFonts w:ascii="Lato" w:hAnsi="Lato"/>
          </w:rPr>
          <w:t>zaświadczenie o niezaleganiu w opłacaniu składek ZUS</w:t>
        </w:r>
      </w:hyperlink>
      <w:r w:rsidR="004C4308" w:rsidRPr="00DE7B49">
        <w:rPr>
          <w:rFonts w:ascii="Lato" w:hAnsi="Lato" w:cs="Arial"/>
          <w:bCs/>
        </w:rPr>
        <w:t>.</w:t>
      </w:r>
    </w:p>
    <w:p w14:paraId="3E625792" w14:textId="605FB9E4" w:rsidR="004C4308" w:rsidRDefault="004C4308" w:rsidP="00E9067D">
      <w:pPr>
        <w:spacing w:before="120" w:after="120" w:line="240" w:lineRule="auto"/>
        <w:jc w:val="both"/>
        <w:rPr>
          <w:rFonts w:ascii="Lato" w:hAnsi="Lato" w:cs="Arial"/>
          <w:bCs/>
        </w:rPr>
      </w:pPr>
      <w:r w:rsidRPr="00DE7B49">
        <w:rPr>
          <w:rFonts w:ascii="Lato" w:hAnsi="Lato" w:cs="Arial"/>
          <w:bCs/>
        </w:rPr>
        <w:t xml:space="preserve">Wymogi te dotyczą zarówno </w:t>
      </w:r>
      <w:r w:rsidR="002D6FED" w:rsidRPr="00DE7B49">
        <w:rPr>
          <w:rFonts w:ascii="Lato" w:hAnsi="Lato" w:cs="Arial"/>
          <w:bCs/>
        </w:rPr>
        <w:t>projektów rozwojowych (wniosek o poparcie i współfinansowanie MON), jak również projektów badawczych (wniosek informacyjny).</w:t>
      </w:r>
    </w:p>
    <w:p w14:paraId="492467FB" w14:textId="0E98C6BB" w:rsidR="0022210A" w:rsidRPr="00DE7B49" w:rsidRDefault="0022210A" w:rsidP="00E9067D">
      <w:pPr>
        <w:spacing w:before="120" w:after="120" w:line="240" w:lineRule="auto"/>
        <w:jc w:val="both"/>
        <w:rPr>
          <w:rFonts w:ascii="Lato" w:hAnsi="Lato" w:cs="Arial"/>
          <w:bCs/>
        </w:rPr>
      </w:pPr>
      <w:r>
        <w:rPr>
          <w:rFonts w:ascii="Lato" w:hAnsi="Lato" w:cs="Arial"/>
          <w:bCs/>
        </w:rPr>
        <w:t>Ponadto w przypadku projektów rozwojowych</w:t>
      </w:r>
      <w:r w:rsidR="005911A1">
        <w:rPr>
          <w:rFonts w:ascii="Lato" w:hAnsi="Lato" w:cs="Arial"/>
          <w:bCs/>
        </w:rPr>
        <w:t xml:space="preserve"> wprowadzono </w:t>
      </w:r>
      <w:r w:rsidR="005911A1" w:rsidRPr="00DE7B49">
        <w:rPr>
          <w:rFonts w:ascii="Lato" w:hAnsi="Lato" w:cs="Arial"/>
          <w:b/>
        </w:rPr>
        <w:t xml:space="preserve">wymóg min. 3% wartości </w:t>
      </w:r>
      <w:r w:rsidR="00603207">
        <w:rPr>
          <w:rFonts w:ascii="Lato" w:hAnsi="Lato" w:cs="Arial"/>
          <w:b/>
        </w:rPr>
        <w:t xml:space="preserve">grantu Komisji Europejskiej </w:t>
      </w:r>
      <w:r w:rsidR="005911A1" w:rsidRPr="00DE7B49">
        <w:rPr>
          <w:rFonts w:ascii="Lato" w:hAnsi="Lato" w:cs="Arial"/>
          <w:b/>
        </w:rPr>
        <w:t>przypadających na podmiot ubiegający się o poparcie MON</w:t>
      </w:r>
      <w:r w:rsidR="005911A1">
        <w:rPr>
          <w:rFonts w:ascii="Lato" w:hAnsi="Lato" w:cs="Arial"/>
          <w:bCs/>
        </w:rPr>
        <w:t xml:space="preserve">. Co do zasady podmioty powinny również  </w:t>
      </w:r>
      <w:r w:rsidR="005911A1" w:rsidRPr="00DE7B49">
        <w:rPr>
          <w:rFonts w:ascii="Lato" w:hAnsi="Lato" w:cs="Arial"/>
          <w:b/>
        </w:rPr>
        <w:t xml:space="preserve">partycypować </w:t>
      </w:r>
      <w:r w:rsidR="00333807" w:rsidRPr="00DE7B49">
        <w:rPr>
          <w:rFonts w:ascii="Lato" w:hAnsi="Lato" w:cs="Arial"/>
          <w:b/>
        </w:rPr>
        <w:t xml:space="preserve">w kosztach </w:t>
      </w:r>
      <w:r w:rsidR="00FC69B1" w:rsidRPr="00DE7B49">
        <w:rPr>
          <w:rFonts w:ascii="Lato" w:hAnsi="Lato" w:cs="Arial"/>
          <w:b/>
        </w:rPr>
        <w:t>współfinansowania</w:t>
      </w:r>
      <w:r w:rsidR="00333807" w:rsidRPr="00DE7B49">
        <w:rPr>
          <w:rFonts w:ascii="Lato" w:hAnsi="Lato" w:cs="Arial"/>
          <w:b/>
        </w:rPr>
        <w:t xml:space="preserve"> krajowego</w:t>
      </w:r>
      <w:r w:rsidR="00333807">
        <w:rPr>
          <w:rFonts w:ascii="Lato" w:hAnsi="Lato" w:cs="Arial"/>
          <w:bCs/>
        </w:rPr>
        <w:t xml:space="preserve"> (wkład finansowy lub przemysłowy). </w:t>
      </w:r>
      <w:r w:rsidR="00FC69B1">
        <w:rPr>
          <w:rFonts w:ascii="Lato" w:hAnsi="Lato" w:cs="Arial"/>
          <w:bCs/>
        </w:rPr>
        <w:t>W uzasadnionych przypadkach i za uprzednim wnioskiem, MON może odejść od tego wymogu.</w:t>
      </w:r>
    </w:p>
    <w:p w14:paraId="79E3BB00" w14:textId="77777777" w:rsidR="00A22733" w:rsidRPr="00DE7B49" w:rsidRDefault="00A22733" w:rsidP="00E9067D">
      <w:pPr>
        <w:spacing w:before="120" w:after="120" w:line="240" w:lineRule="auto"/>
        <w:jc w:val="both"/>
        <w:rPr>
          <w:rFonts w:ascii="Lato" w:hAnsi="Lato" w:cs="Arial"/>
          <w:b/>
        </w:rPr>
      </w:pPr>
    </w:p>
    <w:p w14:paraId="5271F655" w14:textId="1555A286" w:rsidR="009B03A7" w:rsidRPr="00DE7B49" w:rsidRDefault="009B03A7" w:rsidP="00E9067D">
      <w:pPr>
        <w:spacing w:before="120" w:after="120" w:line="240" w:lineRule="auto"/>
        <w:jc w:val="both"/>
        <w:rPr>
          <w:rFonts w:ascii="Lato" w:hAnsi="Lato" w:cs="Arial"/>
          <w:b/>
        </w:rPr>
      </w:pPr>
      <w:r w:rsidRPr="00DE7B49">
        <w:rPr>
          <w:rFonts w:ascii="Lato" w:hAnsi="Lato" w:cs="Arial"/>
          <w:b/>
        </w:rPr>
        <w:t xml:space="preserve">EDF </w:t>
      </w:r>
      <w:r w:rsidR="002D6FED" w:rsidRPr="00DE7B49">
        <w:rPr>
          <w:rFonts w:ascii="Lato" w:hAnsi="Lato" w:cs="Arial"/>
          <w:b/>
        </w:rPr>
        <w:t>2026</w:t>
      </w:r>
    </w:p>
    <w:p w14:paraId="5430C21C" w14:textId="0700A4CB" w:rsidR="009B03A7" w:rsidRPr="00DE7B49" w:rsidRDefault="009B03A7" w:rsidP="00E9067D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W </w:t>
      </w:r>
      <w:r w:rsidR="004E03DE" w:rsidRPr="00DE7B49">
        <w:rPr>
          <w:rFonts w:ascii="Lato" w:hAnsi="Lato" w:cs="Arial"/>
        </w:rPr>
        <w:t>dniu</w:t>
      </w:r>
      <w:r w:rsidR="00673B5F" w:rsidRPr="00DE7B49">
        <w:rPr>
          <w:rFonts w:ascii="Lato" w:hAnsi="Lato" w:cs="Arial"/>
        </w:rPr>
        <w:t xml:space="preserve"> </w:t>
      </w:r>
      <w:r w:rsidR="002D6FED" w:rsidRPr="00DE7B49">
        <w:rPr>
          <w:rFonts w:ascii="Lato" w:hAnsi="Lato" w:cs="Arial"/>
        </w:rPr>
        <w:t>17.12</w:t>
      </w:r>
      <w:r w:rsidR="00A46FF0" w:rsidRPr="00DE7B49">
        <w:rPr>
          <w:rFonts w:ascii="Lato" w:hAnsi="Lato" w:cs="Arial"/>
        </w:rPr>
        <w:t>.202</w:t>
      </w:r>
      <w:r w:rsidR="006C6D52" w:rsidRPr="00DE7B49">
        <w:rPr>
          <w:rFonts w:ascii="Lato" w:hAnsi="Lato" w:cs="Arial"/>
        </w:rPr>
        <w:t>5</w:t>
      </w:r>
      <w:r w:rsidR="0054243D" w:rsidRPr="00DE7B49">
        <w:rPr>
          <w:rFonts w:ascii="Lato" w:hAnsi="Lato" w:cs="Arial"/>
        </w:rPr>
        <w:t xml:space="preserve"> r.</w:t>
      </w:r>
      <w:r w:rsidRPr="00DE7B49">
        <w:rPr>
          <w:rFonts w:ascii="Lato" w:hAnsi="Lato" w:cs="Arial"/>
        </w:rPr>
        <w:t xml:space="preserve"> Komisja Europejska</w:t>
      </w:r>
      <w:r w:rsidR="006C6D52" w:rsidRPr="00DE7B49">
        <w:rPr>
          <w:rFonts w:ascii="Lato" w:hAnsi="Lato" w:cs="Arial"/>
        </w:rPr>
        <w:t xml:space="preserve"> </w:t>
      </w:r>
      <w:r w:rsidR="00707F74" w:rsidRPr="00DE7B49">
        <w:rPr>
          <w:rFonts w:ascii="Lato" w:hAnsi="Lato"/>
        </w:rPr>
        <w:t xml:space="preserve">opublikowała </w:t>
      </w:r>
      <w:hyperlink r:id="rId15" w:history="1">
        <w:r w:rsidR="00707F74" w:rsidRPr="00DE7B49">
          <w:rPr>
            <w:rStyle w:val="Hipercze"/>
            <w:rFonts w:ascii="Lato" w:hAnsi="Lato" w:cs="Arial"/>
          </w:rPr>
          <w:t>Program Prac EDF na 2026 r.</w:t>
        </w:r>
      </w:hyperlink>
      <w:r w:rsidR="00A46FF0" w:rsidRPr="00DE7B49">
        <w:rPr>
          <w:rFonts w:ascii="Lato" w:hAnsi="Lato" w:cs="Arial"/>
        </w:rPr>
        <w:br/>
      </w:r>
      <w:r w:rsidRPr="00DE7B49">
        <w:rPr>
          <w:rFonts w:ascii="Lato" w:hAnsi="Lato" w:cs="Arial"/>
        </w:rPr>
        <w:t>w którym ujęte zostały tegoroczne konkursy EDF (</w:t>
      </w:r>
      <w:r w:rsidRPr="00DE7B49">
        <w:rPr>
          <w:rFonts w:ascii="Lato" w:hAnsi="Lato" w:cs="Arial"/>
          <w:i/>
        </w:rPr>
        <w:t>call for proposals</w:t>
      </w:r>
      <w:r w:rsidRPr="00DE7B49">
        <w:rPr>
          <w:rFonts w:ascii="Lato" w:hAnsi="Lato" w:cs="Arial"/>
        </w:rPr>
        <w:t xml:space="preserve">). </w:t>
      </w:r>
    </w:p>
    <w:p w14:paraId="71F58D3C" w14:textId="1AA5FE26" w:rsidR="009B03A7" w:rsidRPr="00DE7B49" w:rsidRDefault="00B41AD0" w:rsidP="00E9067D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  <w:i/>
        </w:rPr>
        <w:t>C</w:t>
      </w:r>
      <w:r w:rsidR="009B03A7" w:rsidRPr="00DE7B49">
        <w:rPr>
          <w:rFonts w:ascii="Lato" w:hAnsi="Lato" w:cs="Arial"/>
          <w:i/>
        </w:rPr>
        <w:t>all for proposals</w:t>
      </w:r>
      <w:r w:rsidR="009B03A7" w:rsidRPr="00DE7B49">
        <w:rPr>
          <w:rFonts w:ascii="Lato" w:hAnsi="Lato" w:cs="Arial"/>
        </w:rPr>
        <w:t xml:space="preserve"> zosta</w:t>
      </w:r>
      <w:r w:rsidR="00673B5F" w:rsidRPr="00DE7B49">
        <w:rPr>
          <w:rFonts w:ascii="Lato" w:hAnsi="Lato" w:cs="Arial"/>
        </w:rPr>
        <w:t>ną</w:t>
      </w:r>
      <w:r w:rsidR="009B03A7" w:rsidRPr="00DE7B49">
        <w:rPr>
          <w:rFonts w:ascii="Lato" w:hAnsi="Lato" w:cs="Arial"/>
        </w:rPr>
        <w:t xml:space="preserve"> także umieszczone na portalu Komisji Europejskiej „</w:t>
      </w:r>
      <w:r w:rsidR="009B03A7" w:rsidRPr="00DE7B49">
        <w:rPr>
          <w:rFonts w:ascii="Lato" w:hAnsi="Lato" w:cs="Arial"/>
          <w:u w:val="single"/>
        </w:rPr>
        <w:t>Funding &amp; tender</w:t>
      </w:r>
      <w:r w:rsidR="009B03A7" w:rsidRPr="00DE7B49">
        <w:rPr>
          <w:rFonts w:ascii="Lato" w:hAnsi="Lato" w:cs="Arial"/>
        </w:rPr>
        <w:t xml:space="preserve">”, który wykorzystywany jest </w:t>
      </w:r>
      <w:r w:rsidR="000E7276" w:rsidRPr="00DE7B49">
        <w:rPr>
          <w:rFonts w:ascii="Lato" w:hAnsi="Lato" w:cs="Arial"/>
        </w:rPr>
        <w:t>d</w:t>
      </w:r>
      <w:r w:rsidR="009B03A7" w:rsidRPr="00DE7B49">
        <w:rPr>
          <w:rFonts w:ascii="Lato" w:hAnsi="Lato" w:cs="Arial"/>
        </w:rPr>
        <w:t xml:space="preserve">o aplikowania przez konsorcja. </w:t>
      </w:r>
    </w:p>
    <w:p w14:paraId="28059232" w14:textId="582ECC8C" w:rsidR="009B03A7" w:rsidRPr="00DE7B49" w:rsidRDefault="009B03A7" w:rsidP="00E9067D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Termin na składanie propozycji projektów upływa </w:t>
      </w:r>
      <w:r w:rsidR="002D6FED" w:rsidRPr="00DE7B49">
        <w:rPr>
          <w:rFonts w:ascii="Lato" w:hAnsi="Lato" w:cs="Arial"/>
          <w:b/>
        </w:rPr>
        <w:t>29 września 2026</w:t>
      </w:r>
      <w:r w:rsidR="002D6FED" w:rsidRPr="00DE7B49">
        <w:rPr>
          <w:rFonts w:ascii="Lato" w:hAnsi="Lato" w:cs="Arial"/>
        </w:rPr>
        <w:t xml:space="preserve"> </w:t>
      </w:r>
      <w:r w:rsidRPr="00DE7B49">
        <w:rPr>
          <w:rFonts w:ascii="Lato" w:hAnsi="Lato" w:cs="Arial"/>
        </w:rPr>
        <w:t>r.</w:t>
      </w:r>
      <w:r w:rsidR="002D6FED" w:rsidRPr="00DE7B49">
        <w:rPr>
          <w:rFonts w:ascii="Lato" w:hAnsi="Lato" w:cs="Arial"/>
        </w:rPr>
        <w:t>, natomiast wyniki konkursów będą znane w połowie 2027 r.</w:t>
      </w:r>
    </w:p>
    <w:p w14:paraId="699CE0B8" w14:textId="351B9CBF" w:rsidR="009B03A7" w:rsidRPr="00DE7B49" w:rsidRDefault="009B03A7" w:rsidP="00E9067D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 xml:space="preserve">Uruchomienie projektów wybranych do realizacji nastąpi prawdopodobnie na </w:t>
      </w:r>
      <w:r w:rsidR="002D6FED" w:rsidRPr="00DE7B49">
        <w:rPr>
          <w:rFonts w:ascii="Lato" w:hAnsi="Lato" w:cs="Arial"/>
        </w:rPr>
        <w:t xml:space="preserve">przełomie 2027 r. oraz 2028 </w:t>
      </w:r>
      <w:r w:rsidRPr="00DE7B49">
        <w:rPr>
          <w:rFonts w:ascii="Lato" w:hAnsi="Lato" w:cs="Arial"/>
        </w:rPr>
        <w:t xml:space="preserve">r. (zależeć to będzie od zawarcia umowy grantowej pomiędzy KE a konsorcjum, a w przypadku projektów rozwojowych także od zawarcia </w:t>
      </w:r>
      <w:r w:rsidRPr="00DE7B49">
        <w:rPr>
          <w:rFonts w:ascii="Lato" w:hAnsi="Lato" w:cs="Arial"/>
          <w:i/>
        </w:rPr>
        <w:t>Memorandum of Understanding</w:t>
      </w:r>
      <w:r w:rsidRPr="00DE7B49">
        <w:rPr>
          <w:rFonts w:ascii="Lato" w:hAnsi="Lato" w:cs="Arial"/>
        </w:rPr>
        <w:t xml:space="preserve"> pomiędzy państwami wspierającymi projekt, jak również od spełnienia przez konsorcjantów wymogów w zakresie ochrony informacji niejawnych</w:t>
      </w:r>
      <w:r w:rsidR="0054243D" w:rsidRPr="00DE7B49">
        <w:rPr>
          <w:rFonts w:ascii="Lato" w:hAnsi="Lato" w:cs="Arial"/>
        </w:rPr>
        <w:t>)</w:t>
      </w:r>
      <w:r w:rsidRPr="00DE7B49">
        <w:rPr>
          <w:rFonts w:ascii="Lato" w:hAnsi="Lato" w:cs="Arial"/>
        </w:rPr>
        <w:t>.</w:t>
      </w:r>
    </w:p>
    <w:p w14:paraId="4265EA34" w14:textId="03F90950" w:rsidR="009B03A7" w:rsidRPr="00DE7B49" w:rsidRDefault="009B03A7" w:rsidP="00E9067D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>Komisja Europejska w</w:t>
      </w:r>
      <w:r w:rsidR="00812E33" w:rsidRPr="00DE7B49">
        <w:rPr>
          <w:rFonts w:ascii="Lato" w:hAnsi="Lato" w:cs="Arial"/>
        </w:rPr>
        <w:t xml:space="preserve">raz z Programem Prac EDF na </w:t>
      </w:r>
      <w:r w:rsidR="002D6FED" w:rsidRPr="00DE7B49">
        <w:rPr>
          <w:rFonts w:ascii="Lato" w:hAnsi="Lato" w:cs="Arial"/>
        </w:rPr>
        <w:t xml:space="preserve">2026 </w:t>
      </w:r>
      <w:r w:rsidRPr="00DE7B49">
        <w:rPr>
          <w:rFonts w:ascii="Lato" w:hAnsi="Lato" w:cs="Arial"/>
        </w:rPr>
        <w:t>r. udostępniła także wyciąg (wersję publikowalną) z Perspektywy Wieloletniej EDF (</w:t>
      </w:r>
      <w:r w:rsidRPr="00DE7B49">
        <w:rPr>
          <w:rFonts w:ascii="Lato" w:hAnsi="Lato" w:cs="Arial"/>
          <w:i/>
        </w:rPr>
        <w:t>Multiannual Perspective</w:t>
      </w:r>
      <w:r w:rsidRPr="00DE7B49">
        <w:rPr>
          <w:rFonts w:ascii="Lato" w:hAnsi="Lato" w:cs="Arial"/>
        </w:rPr>
        <w:t xml:space="preserve">, MAP), która jest dokumentem pomocniczym przy planowaniu wieloletnim EDF przez KE i państwa członkowskie. Nie oznacza to, że zadanie ujęte w dokumencie będą przedmiotem konkursów w kolejnych latach. Zakres konkursów EDF co roku jest definiowany przez KE </w:t>
      </w:r>
      <w:r w:rsidR="00812E33" w:rsidRPr="00DE7B49">
        <w:rPr>
          <w:rFonts w:ascii="Lato" w:hAnsi="Lato" w:cs="Arial"/>
        </w:rPr>
        <w:br/>
      </w:r>
      <w:r w:rsidRPr="00DE7B49">
        <w:rPr>
          <w:rFonts w:ascii="Lato" w:hAnsi="Lato" w:cs="Arial"/>
        </w:rPr>
        <w:t>z udziałem ministerstw obrony i przy wsparciu EDA</w:t>
      </w:r>
      <w:r w:rsidR="003C5599" w:rsidRPr="00DE7B49">
        <w:rPr>
          <w:rFonts w:ascii="Lato" w:hAnsi="Lato" w:cs="Arial"/>
        </w:rPr>
        <w:t>.</w:t>
      </w:r>
      <w:r w:rsidR="0054243D" w:rsidRPr="00DE7B49">
        <w:rPr>
          <w:rFonts w:ascii="Lato" w:hAnsi="Lato" w:cs="Arial"/>
        </w:rPr>
        <w:t xml:space="preserve"> </w:t>
      </w:r>
    </w:p>
    <w:p w14:paraId="11735C4B" w14:textId="77777777" w:rsidR="00F448CC" w:rsidRPr="00DE7B49" w:rsidRDefault="00F448CC" w:rsidP="00E9067D">
      <w:pPr>
        <w:spacing w:before="120" w:after="120" w:line="240" w:lineRule="auto"/>
        <w:jc w:val="both"/>
        <w:rPr>
          <w:rStyle w:val="Hipercze"/>
          <w:rFonts w:ascii="Lato" w:hAnsi="Lato" w:cs="Arial"/>
          <w:color w:val="000000" w:themeColor="text1"/>
          <w:sz w:val="10"/>
          <w:u w:val="none"/>
        </w:rPr>
      </w:pPr>
    </w:p>
    <w:p w14:paraId="0609F170" w14:textId="3052BE47" w:rsidR="00D11945" w:rsidRPr="00DE7B49" w:rsidRDefault="00D11945" w:rsidP="00E9067D">
      <w:pPr>
        <w:spacing w:before="120" w:after="120" w:line="240" w:lineRule="auto"/>
        <w:jc w:val="both"/>
        <w:rPr>
          <w:rStyle w:val="Hipercze"/>
          <w:rFonts w:ascii="Lato" w:hAnsi="Lato" w:cs="Arial"/>
          <w:b/>
          <w:color w:val="000000" w:themeColor="text1"/>
          <w:u w:val="none"/>
        </w:rPr>
      </w:pPr>
      <w:r w:rsidRPr="00DE7B49">
        <w:rPr>
          <w:rStyle w:val="Hipercze"/>
          <w:rFonts w:ascii="Lato" w:hAnsi="Lato" w:cs="Arial"/>
          <w:b/>
          <w:color w:val="000000" w:themeColor="text1"/>
          <w:u w:val="none"/>
        </w:rPr>
        <w:t>Możliwości zwiększenia zaangażowania polskiego przemysłu i nauki</w:t>
      </w:r>
    </w:p>
    <w:p w14:paraId="5A2A3831" w14:textId="75965B52" w:rsidR="00F66F30" w:rsidRPr="00DE7B49" w:rsidRDefault="00BB11F4" w:rsidP="00E9067D">
      <w:pPr>
        <w:spacing w:before="120" w:after="120" w:line="240" w:lineRule="auto"/>
        <w:jc w:val="both"/>
        <w:rPr>
          <w:rFonts w:ascii="Lato" w:hAnsi="Lato" w:cs="Arial"/>
          <w:color w:val="000000" w:themeColor="text1"/>
        </w:rPr>
      </w:pPr>
      <w:r w:rsidRPr="00DE7B49">
        <w:rPr>
          <w:rFonts w:ascii="Lato" w:hAnsi="Lato" w:cs="Arial"/>
          <w:color w:val="000000" w:themeColor="text1"/>
        </w:rPr>
        <w:t xml:space="preserve">Ważnym czynnikiem wpływającym na sukcesy w EDF są nie tylko kompetencje i potencjał, ale również umiejętność znajdowania międzynarodowych konsorcjantów. </w:t>
      </w:r>
      <w:r w:rsidR="00520F16" w:rsidRPr="00DE7B49">
        <w:rPr>
          <w:rFonts w:ascii="Lato" w:hAnsi="Lato" w:cs="Arial"/>
          <w:color w:val="000000" w:themeColor="text1"/>
        </w:rPr>
        <w:t xml:space="preserve">Do najbardziej efektywnych sposobów zdobycia doświadczenia i rozpoznawalności </w:t>
      </w:r>
      <w:r w:rsidR="00F66F30" w:rsidRPr="00DE7B49">
        <w:rPr>
          <w:rFonts w:ascii="Lato" w:hAnsi="Lato" w:cs="Arial"/>
          <w:color w:val="000000" w:themeColor="text1"/>
        </w:rPr>
        <w:t>w europejskim środowisku R&amp;D sek</w:t>
      </w:r>
      <w:r w:rsidR="00520F16" w:rsidRPr="00DE7B49">
        <w:rPr>
          <w:rFonts w:ascii="Lato" w:hAnsi="Lato" w:cs="Arial"/>
          <w:color w:val="000000" w:themeColor="text1"/>
        </w:rPr>
        <w:t xml:space="preserve">tora obronnego </w:t>
      </w:r>
      <w:r w:rsidR="00F66F30" w:rsidRPr="00DE7B49">
        <w:rPr>
          <w:rFonts w:ascii="Lato" w:hAnsi="Lato" w:cs="Arial"/>
          <w:color w:val="000000" w:themeColor="text1"/>
        </w:rPr>
        <w:t>należy zaliczyć włączanie się w pr</w:t>
      </w:r>
      <w:r w:rsidR="00520F16" w:rsidRPr="00DE7B49">
        <w:rPr>
          <w:rFonts w:ascii="Lato" w:hAnsi="Lato" w:cs="Arial"/>
          <w:color w:val="000000" w:themeColor="text1"/>
        </w:rPr>
        <w:t xml:space="preserve">ace </w:t>
      </w:r>
      <w:hyperlink r:id="rId16" w:history="1">
        <w:r w:rsidR="008F13D2" w:rsidRPr="00DE7B49">
          <w:rPr>
            <w:rStyle w:val="Hipercze"/>
            <w:rFonts w:ascii="Lato" w:hAnsi="Lato" w:cs="Arial"/>
          </w:rPr>
          <w:t>paneli technologicznych (CapTech)</w:t>
        </w:r>
      </w:hyperlink>
      <w:r w:rsidR="008F13D2" w:rsidRPr="00DE7B49">
        <w:rPr>
          <w:rFonts w:ascii="Lato" w:hAnsi="Lato" w:cs="Arial"/>
          <w:color w:val="000000" w:themeColor="text1"/>
        </w:rPr>
        <w:t xml:space="preserve"> w ramach Europejskiej Agencji Obrony (EDA)</w:t>
      </w:r>
      <w:r w:rsidR="00F66F30" w:rsidRPr="00DE7B49">
        <w:rPr>
          <w:rFonts w:ascii="Lato" w:hAnsi="Lato" w:cs="Arial"/>
          <w:color w:val="000000" w:themeColor="text1"/>
        </w:rPr>
        <w:t>. Są to grupy robocze poświęcone rozwojowi technologii obronnych (R&amp;T) z udziałem ekspertów rządowych (CNC i CGE) oraz pozarządowych (CnGE – przemysł i nauka). W ramach CapTechów powstają mechanizmy planowania rozwoju technologii (OSRA), wypracowywane są projekty badawcze EDA, propozycj</w:t>
      </w:r>
      <w:r w:rsidR="008F13D2" w:rsidRPr="00DE7B49">
        <w:rPr>
          <w:rFonts w:ascii="Lato" w:hAnsi="Lato" w:cs="Arial"/>
          <w:color w:val="000000" w:themeColor="text1"/>
        </w:rPr>
        <w:t>e</w:t>
      </w:r>
      <w:r w:rsidR="00F66F30" w:rsidRPr="00DE7B49">
        <w:rPr>
          <w:rFonts w:ascii="Lato" w:hAnsi="Lato" w:cs="Arial"/>
          <w:color w:val="000000" w:themeColor="text1"/>
        </w:rPr>
        <w:t xml:space="preserve"> programowania części badawczej EDF. Udział w CapTechach to możliwość poznania </w:t>
      </w:r>
      <w:r w:rsidR="00520F16" w:rsidRPr="00DE7B49">
        <w:rPr>
          <w:rFonts w:ascii="Lato" w:hAnsi="Lato" w:cs="Arial"/>
          <w:color w:val="000000" w:themeColor="text1"/>
        </w:rPr>
        <w:t xml:space="preserve">potencjalnych </w:t>
      </w:r>
      <w:r w:rsidR="00F66F30" w:rsidRPr="00DE7B49">
        <w:rPr>
          <w:rFonts w:ascii="Lato" w:hAnsi="Lato" w:cs="Arial"/>
          <w:color w:val="000000" w:themeColor="text1"/>
        </w:rPr>
        <w:t xml:space="preserve">konsorcjantów. </w:t>
      </w:r>
    </w:p>
    <w:p w14:paraId="27C427C1" w14:textId="4D27CE8A" w:rsidR="00520F16" w:rsidRPr="00DE7B49" w:rsidRDefault="00520F16" w:rsidP="00F66F30">
      <w:pPr>
        <w:spacing w:before="120" w:after="120" w:line="240" w:lineRule="auto"/>
        <w:jc w:val="both"/>
        <w:rPr>
          <w:rFonts w:ascii="Lato" w:hAnsi="Lato" w:cs="Arial"/>
          <w:color w:val="000000" w:themeColor="text1"/>
        </w:rPr>
      </w:pPr>
      <w:r w:rsidRPr="00DE7B49">
        <w:rPr>
          <w:rFonts w:ascii="Lato" w:hAnsi="Lato" w:cs="Arial"/>
          <w:color w:val="000000" w:themeColor="text1"/>
        </w:rPr>
        <w:t>Spośród innych działań pozwalających na zwiększenie zaangażowani</w:t>
      </w:r>
      <w:r w:rsidR="003C5599" w:rsidRPr="00DE7B49">
        <w:rPr>
          <w:rFonts w:ascii="Lato" w:hAnsi="Lato" w:cs="Arial"/>
          <w:color w:val="000000" w:themeColor="text1"/>
        </w:rPr>
        <w:t>a</w:t>
      </w:r>
      <w:r w:rsidRPr="00DE7B49">
        <w:rPr>
          <w:rFonts w:ascii="Lato" w:hAnsi="Lato" w:cs="Arial"/>
          <w:color w:val="000000" w:themeColor="text1"/>
        </w:rPr>
        <w:t xml:space="preserve"> polskich podmiotów w EDF można zaliczyć:</w:t>
      </w:r>
    </w:p>
    <w:p w14:paraId="3495A2D6" w14:textId="414A5362" w:rsidR="006843B7" w:rsidRPr="00DE7B49" w:rsidRDefault="00520F16" w:rsidP="00D11945">
      <w:pPr>
        <w:numPr>
          <w:ilvl w:val="0"/>
          <w:numId w:val="20"/>
        </w:numPr>
        <w:spacing w:after="120" w:line="240" w:lineRule="auto"/>
        <w:jc w:val="both"/>
        <w:rPr>
          <w:rFonts w:ascii="Lato" w:hAnsi="Lato" w:cs="Arial"/>
          <w:color w:val="000000" w:themeColor="text1"/>
        </w:rPr>
      </w:pPr>
      <w:r w:rsidRPr="00DE7B49">
        <w:rPr>
          <w:rFonts w:ascii="Lato" w:hAnsi="Lato" w:cs="Arial"/>
          <w:bCs/>
          <w:color w:val="000000" w:themeColor="text1"/>
        </w:rPr>
        <w:lastRenderedPageBreak/>
        <w:t>U</w:t>
      </w:r>
      <w:r w:rsidR="00220618" w:rsidRPr="00DE7B49">
        <w:rPr>
          <w:rFonts w:ascii="Lato" w:hAnsi="Lato" w:cs="Arial"/>
          <w:bCs/>
          <w:color w:val="000000" w:themeColor="text1"/>
        </w:rPr>
        <w:t xml:space="preserve">dział w spotkaniach informacyjnych i </w:t>
      </w:r>
      <w:r w:rsidR="00220618" w:rsidRPr="00DE7B49">
        <w:rPr>
          <w:rFonts w:ascii="Lato" w:hAnsi="Lato" w:cs="Arial"/>
          <w:bCs/>
          <w:i/>
          <w:iCs/>
          <w:color w:val="000000" w:themeColor="text1"/>
        </w:rPr>
        <w:t>matchmakingowych</w:t>
      </w:r>
    </w:p>
    <w:p w14:paraId="6B94B7DE" w14:textId="300758EC" w:rsidR="006843B7" w:rsidRPr="00DE7B49" w:rsidRDefault="00220618" w:rsidP="00DA4121">
      <w:pPr>
        <w:numPr>
          <w:ilvl w:val="1"/>
          <w:numId w:val="20"/>
        </w:numPr>
        <w:tabs>
          <w:tab w:val="clear" w:pos="1440"/>
        </w:tabs>
        <w:spacing w:after="120" w:line="240" w:lineRule="auto"/>
        <w:ind w:left="1134"/>
        <w:jc w:val="both"/>
        <w:rPr>
          <w:rFonts w:ascii="Lato" w:hAnsi="Lato" w:cs="Arial"/>
          <w:color w:val="000000" w:themeColor="text1"/>
          <w:lang w:val="en-GB"/>
        </w:rPr>
      </w:pPr>
      <w:r w:rsidRPr="00DE7B49">
        <w:rPr>
          <w:rFonts w:ascii="Lato" w:hAnsi="Lato" w:cs="Arial"/>
          <w:bCs/>
          <w:lang w:val="en-GB"/>
        </w:rPr>
        <w:t>EDF Info Day &amp; Networking Event</w:t>
      </w:r>
      <w:r w:rsidRPr="00DE7B49">
        <w:rPr>
          <w:rFonts w:ascii="Lato" w:hAnsi="Lato" w:cs="Arial"/>
          <w:bCs/>
          <w:color w:val="000000" w:themeColor="text1"/>
          <w:lang w:val="en-GB"/>
        </w:rPr>
        <w:t xml:space="preserve"> organizowany przez </w:t>
      </w:r>
      <w:r w:rsidRPr="00DE7B49">
        <w:rPr>
          <w:rFonts w:ascii="Lato" w:hAnsi="Lato" w:cs="Arial"/>
          <w:bCs/>
          <w:lang w:val="en-GB"/>
        </w:rPr>
        <w:t>KE</w:t>
      </w:r>
    </w:p>
    <w:p w14:paraId="2257FDF3" w14:textId="01AA847C" w:rsidR="006843B7" w:rsidRPr="00DE7B49" w:rsidRDefault="00000000" w:rsidP="00D11945">
      <w:pPr>
        <w:numPr>
          <w:ilvl w:val="0"/>
          <w:numId w:val="20"/>
        </w:numPr>
        <w:spacing w:after="120" w:line="240" w:lineRule="auto"/>
        <w:jc w:val="both"/>
        <w:rPr>
          <w:rFonts w:ascii="Lato" w:hAnsi="Lato" w:cs="Arial"/>
          <w:color w:val="000000" w:themeColor="text1"/>
        </w:rPr>
      </w:pPr>
      <w:hyperlink r:id="rId17" w:history="1">
        <w:r w:rsidR="00220618" w:rsidRPr="00DE7B49">
          <w:rPr>
            <w:rStyle w:val="Hipercze"/>
            <w:rFonts w:ascii="Lato" w:hAnsi="Lato" w:cs="Arial"/>
            <w:bCs/>
          </w:rPr>
          <w:t xml:space="preserve">Rejestracja jako </w:t>
        </w:r>
      </w:hyperlink>
      <w:hyperlink r:id="rId18" w:history="1">
        <w:r w:rsidR="004E03DE" w:rsidRPr="00DE7B49">
          <w:rPr>
            <w:rStyle w:val="Hipercze"/>
            <w:rFonts w:ascii="Lato" w:hAnsi="Lato" w:cs="Arial"/>
            <w:bCs/>
          </w:rPr>
          <w:t>niezależny</w:t>
        </w:r>
        <w:r w:rsidR="00220618" w:rsidRPr="00DE7B49">
          <w:rPr>
            <w:rStyle w:val="Hipercze"/>
            <w:rFonts w:ascii="Lato" w:hAnsi="Lato" w:cs="Arial"/>
            <w:bCs/>
          </w:rPr>
          <w:t xml:space="preserve"> ekspert </w:t>
        </w:r>
      </w:hyperlink>
      <w:r w:rsidR="00220618" w:rsidRPr="00DE7B49">
        <w:rPr>
          <w:rFonts w:ascii="Lato" w:hAnsi="Lato" w:cs="Arial"/>
          <w:bCs/>
          <w:color w:val="000000" w:themeColor="text1"/>
        </w:rPr>
        <w:t>do oceny propozycji projektów, które będą zgłaszane w ramach EDF</w:t>
      </w:r>
    </w:p>
    <w:p w14:paraId="24B60A47" w14:textId="77777777" w:rsidR="006843B7" w:rsidRPr="00DE7B49" w:rsidRDefault="00220618" w:rsidP="00D11945">
      <w:pPr>
        <w:numPr>
          <w:ilvl w:val="1"/>
          <w:numId w:val="20"/>
        </w:numPr>
        <w:spacing w:after="120" w:line="240" w:lineRule="auto"/>
        <w:jc w:val="both"/>
        <w:rPr>
          <w:rFonts w:ascii="Lato" w:hAnsi="Lato" w:cs="Arial"/>
          <w:color w:val="000000" w:themeColor="text1"/>
        </w:rPr>
      </w:pPr>
      <w:r w:rsidRPr="00DE7B49">
        <w:rPr>
          <w:rFonts w:ascii="Lato" w:hAnsi="Lato" w:cs="Arial"/>
          <w:bCs/>
          <w:color w:val="000000" w:themeColor="text1"/>
        </w:rPr>
        <w:t>Nauka pisania wniosków, możliwość poznania potencjalnych konsorcjantów</w:t>
      </w:r>
    </w:p>
    <w:p w14:paraId="76B505B4" w14:textId="77777777" w:rsidR="006843B7" w:rsidRPr="00DE7B49" w:rsidRDefault="00220618" w:rsidP="00D11945">
      <w:pPr>
        <w:numPr>
          <w:ilvl w:val="0"/>
          <w:numId w:val="20"/>
        </w:numPr>
        <w:spacing w:after="120" w:line="240" w:lineRule="auto"/>
        <w:jc w:val="both"/>
        <w:rPr>
          <w:rFonts w:ascii="Lato" w:hAnsi="Lato" w:cs="Arial"/>
          <w:color w:val="000000" w:themeColor="text1"/>
        </w:rPr>
      </w:pPr>
      <w:r w:rsidRPr="00DE7B49">
        <w:rPr>
          <w:rFonts w:ascii="Lato" w:hAnsi="Lato" w:cs="Arial"/>
          <w:bCs/>
          <w:color w:val="000000" w:themeColor="text1"/>
        </w:rPr>
        <w:t xml:space="preserve">Udział w europejskich organizacjach zrzeszających przemysł obronny (np. ASD) oraz ośrodki naukowo-badawcze (np. EARTO, EDRIN). </w:t>
      </w:r>
    </w:p>
    <w:p w14:paraId="19A8C846" w14:textId="77777777" w:rsidR="006843B7" w:rsidRPr="00DE7B49" w:rsidRDefault="00220618" w:rsidP="00D11945">
      <w:pPr>
        <w:numPr>
          <w:ilvl w:val="0"/>
          <w:numId w:val="20"/>
        </w:numPr>
        <w:spacing w:after="120" w:line="240" w:lineRule="auto"/>
        <w:jc w:val="both"/>
        <w:rPr>
          <w:rFonts w:ascii="Lato" w:hAnsi="Lato" w:cs="Arial"/>
          <w:color w:val="000000" w:themeColor="text1"/>
        </w:rPr>
      </w:pPr>
      <w:r w:rsidRPr="00DE7B49">
        <w:rPr>
          <w:rFonts w:ascii="Lato" w:hAnsi="Lato" w:cs="Arial"/>
          <w:bCs/>
          <w:color w:val="000000" w:themeColor="text1"/>
        </w:rPr>
        <w:t>Udział w innych międzynarodowych projektach badawczych (np. Horyzont).</w:t>
      </w:r>
    </w:p>
    <w:p w14:paraId="7B17DEE5" w14:textId="243A4763" w:rsidR="006843B7" w:rsidRPr="00DE7B49" w:rsidRDefault="00220618" w:rsidP="00D11945">
      <w:pPr>
        <w:numPr>
          <w:ilvl w:val="0"/>
          <w:numId w:val="20"/>
        </w:numPr>
        <w:spacing w:after="120" w:line="240" w:lineRule="auto"/>
        <w:jc w:val="both"/>
        <w:rPr>
          <w:rFonts w:ascii="Lato" w:hAnsi="Lato" w:cs="Arial"/>
          <w:color w:val="000000" w:themeColor="text1"/>
        </w:rPr>
      </w:pPr>
      <w:r w:rsidRPr="00DE7B49">
        <w:rPr>
          <w:rFonts w:ascii="Lato" w:hAnsi="Lato" w:cs="Arial"/>
          <w:bCs/>
          <w:color w:val="000000" w:themeColor="text1"/>
        </w:rPr>
        <w:t>Udział w grupach konsultacyjnych EDF / DIn</w:t>
      </w:r>
      <w:r w:rsidR="00D11945" w:rsidRPr="00DE7B49">
        <w:rPr>
          <w:rFonts w:ascii="Lato" w:hAnsi="Lato" w:cs="Arial"/>
          <w:bCs/>
          <w:color w:val="000000" w:themeColor="text1"/>
        </w:rPr>
        <w:t xml:space="preserve"> (kontakt: </w:t>
      </w:r>
      <w:r w:rsidR="00D11945" w:rsidRPr="00DE7B49">
        <w:rPr>
          <w:rFonts w:ascii="Lato" w:hAnsi="Lato" w:cs="Arial"/>
          <w:bCs/>
          <w:color w:val="0070C0"/>
          <w:u w:val="single"/>
        </w:rPr>
        <w:t>edf (at) mon.gov.pl</w:t>
      </w:r>
    </w:p>
    <w:p w14:paraId="5DCF039B" w14:textId="64A4CDFC" w:rsidR="006843B7" w:rsidRPr="00DE7B49" w:rsidRDefault="00220618" w:rsidP="00D11945">
      <w:pPr>
        <w:numPr>
          <w:ilvl w:val="0"/>
          <w:numId w:val="20"/>
        </w:numPr>
        <w:spacing w:after="120" w:line="240" w:lineRule="auto"/>
        <w:jc w:val="both"/>
        <w:rPr>
          <w:rFonts w:ascii="Lato" w:hAnsi="Lato" w:cs="Arial"/>
          <w:color w:val="000000" w:themeColor="text1"/>
        </w:rPr>
      </w:pPr>
      <w:r w:rsidRPr="00DE7B49">
        <w:rPr>
          <w:rFonts w:ascii="Lato" w:hAnsi="Lato" w:cs="Arial"/>
          <w:bCs/>
          <w:color w:val="000000" w:themeColor="text1"/>
        </w:rPr>
        <w:t xml:space="preserve">Kontakt z MON: </w:t>
      </w:r>
      <w:r w:rsidR="00D11945" w:rsidRPr="00DE7B49">
        <w:rPr>
          <w:rFonts w:ascii="Lato" w:hAnsi="Lato" w:cs="Arial"/>
          <w:bCs/>
          <w:color w:val="0070C0"/>
          <w:u w:val="single"/>
        </w:rPr>
        <w:t xml:space="preserve">edf (at) mon.gov.pl   </w:t>
      </w:r>
      <w:r w:rsidRPr="00DE7B49">
        <w:rPr>
          <w:rFonts w:ascii="Lato" w:hAnsi="Lato" w:cs="Arial"/>
          <w:bCs/>
          <w:color w:val="0070C0"/>
          <w:u w:val="single"/>
        </w:rPr>
        <w:t xml:space="preserve"> </w:t>
      </w:r>
      <w:r w:rsidRPr="00DE7B49">
        <w:rPr>
          <w:rFonts w:ascii="Lato" w:hAnsi="Lato" w:cs="Arial"/>
          <w:bCs/>
          <w:color w:val="0070C0"/>
        </w:rPr>
        <w:t xml:space="preserve"> </w:t>
      </w:r>
    </w:p>
    <w:p w14:paraId="2246FB30" w14:textId="7C36BDFF" w:rsidR="002A572F" w:rsidRPr="00DE7B49" w:rsidRDefault="00BB11F4" w:rsidP="00812E33">
      <w:pPr>
        <w:spacing w:before="120" w:after="120" w:line="240" w:lineRule="auto"/>
        <w:jc w:val="both"/>
        <w:rPr>
          <w:rFonts w:ascii="Lato" w:hAnsi="Lato" w:cs="Arial"/>
        </w:rPr>
      </w:pPr>
      <w:r w:rsidRPr="00DE7B49">
        <w:rPr>
          <w:rFonts w:ascii="Lato" w:hAnsi="Lato" w:cs="Arial"/>
        </w:rPr>
        <w:t>Na przestrzeni kolejnych lat widzimy coraz większe zainteresowanie konkursami EDF, a tym samym – wzrost konkurencyjności</w:t>
      </w:r>
      <w:r w:rsidR="002A572F" w:rsidRPr="00DE7B49">
        <w:rPr>
          <w:rFonts w:ascii="Lato" w:hAnsi="Lato" w:cs="Arial"/>
        </w:rPr>
        <w:t>. Zatem aby zwiększyć szanse powodzenia  procedurze konkursowej, należy wziąć pod uwagę kilka czynników: ambitne i wartościowe rozwiązanie, zróżnicowanie geograficzne zaangażowanych podmiotów, reprezentowanych przez silne ośrodki przemysłowe i naukowe.</w:t>
      </w:r>
    </w:p>
    <w:p w14:paraId="3A58001D" w14:textId="4968AE1C" w:rsidR="00EF168B" w:rsidRPr="00DE7B49" w:rsidRDefault="00EF168B" w:rsidP="00775BDE">
      <w:pPr>
        <w:spacing w:before="120" w:after="120" w:line="240" w:lineRule="auto"/>
        <w:jc w:val="both"/>
        <w:rPr>
          <w:rFonts w:ascii="Lato" w:hAnsi="Lato" w:cs="Arial"/>
          <w:color w:val="000000" w:themeColor="text1"/>
          <w:sz w:val="10"/>
        </w:rPr>
      </w:pPr>
    </w:p>
    <w:p w14:paraId="2038B6CF" w14:textId="1A791FD5" w:rsidR="00743CD4" w:rsidRPr="00DE7B49" w:rsidRDefault="006B587D" w:rsidP="00743CD4">
      <w:pPr>
        <w:spacing w:before="120" w:after="120" w:line="240" w:lineRule="auto"/>
        <w:jc w:val="both"/>
        <w:rPr>
          <w:rFonts w:ascii="Lato" w:eastAsia="Times New Roman" w:hAnsi="Lato" w:cs="Arial"/>
          <w:b/>
        </w:rPr>
      </w:pPr>
      <w:r w:rsidRPr="00DE7B49">
        <w:rPr>
          <w:rFonts w:ascii="Lato" w:eastAsia="Times New Roman" w:hAnsi="Lato" w:cs="Arial"/>
          <w:b/>
        </w:rPr>
        <w:t>Ochrona informacji niejawnych</w:t>
      </w:r>
    </w:p>
    <w:p w14:paraId="59670B4F" w14:textId="416D394C" w:rsidR="006B587D" w:rsidRPr="00DE7B49" w:rsidRDefault="006B587D" w:rsidP="006B587D">
      <w:pPr>
        <w:spacing w:before="120" w:after="120" w:line="240" w:lineRule="auto"/>
        <w:jc w:val="both"/>
        <w:rPr>
          <w:rFonts w:ascii="Lato" w:eastAsia="Times New Roman" w:hAnsi="Lato" w:cs="Arial"/>
        </w:rPr>
      </w:pPr>
      <w:r w:rsidRPr="00DE7B49">
        <w:rPr>
          <w:rFonts w:ascii="Lato" w:eastAsia="Times New Roman" w:hAnsi="Lato" w:cs="Arial"/>
        </w:rPr>
        <w:t xml:space="preserve">Ważnym aspektem jest zapewnienie zdolności do przetwarzania informacji niejawnych. Poziom ochrony jest definiowany przez państwa </w:t>
      </w:r>
      <w:r w:rsidR="002A572F" w:rsidRPr="00DE7B49">
        <w:rPr>
          <w:rFonts w:ascii="Lato" w:eastAsia="Times New Roman" w:hAnsi="Lato" w:cs="Arial"/>
        </w:rPr>
        <w:t xml:space="preserve">między </w:t>
      </w:r>
      <w:r w:rsidRPr="00DE7B49">
        <w:rPr>
          <w:rFonts w:ascii="Lato" w:eastAsia="Times New Roman" w:hAnsi="Lato" w:cs="Arial"/>
        </w:rPr>
        <w:t xml:space="preserve">rozstrzygnięciu konkursu, a podpisaniem umowy grantowej. </w:t>
      </w:r>
      <w:r w:rsidR="00555EC0" w:rsidRPr="00DE7B49">
        <w:rPr>
          <w:rFonts w:ascii="Lato" w:eastAsia="Times New Roman" w:hAnsi="Lato" w:cs="Arial"/>
        </w:rPr>
        <w:t xml:space="preserve">W projektach badawczych część pakietów roboczych może mieć klauzulę co najmniej EU Restricted, przy projektach rozwojowych te klauzule mogą być wyższe. Z uwagi na długotrwałość procedur, </w:t>
      </w:r>
      <w:r w:rsidRPr="00DE7B49">
        <w:rPr>
          <w:rFonts w:ascii="Lato" w:eastAsia="Times New Roman" w:hAnsi="Lato" w:cs="Arial"/>
        </w:rPr>
        <w:t>podmioty, które planują uczestniczyć w realizacji projektów</w:t>
      </w:r>
      <w:r w:rsidR="00410F7A" w:rsidRPr="00DE7B49">
        <w:rPr>
          <w:rFonts w:ascii="Lato" w:eastAsia="Times New Roman" w:hAnsi="Lato" w:cs="Arial"/>
        </w:rPr>
        <w:t xml:space="preserve"> w</w:t>
      </w:r>
      <w:r w:rsidRPr="00DE7B49">
        <w:rPr>
          <w:rFonts w:ascii="Lato" w:eastAsia="Times New Roman" w:hAnsi="Lato" w:cs="Arial"/>
        </w:rPr>
        <w:t xml:space="preserve"> dziedzinie obronności powinny odpowiednio wcześniej zadbać o zdolność do przetwarzania informacji niejawnych.</w:t>
      </w:r>
    </w:p>
    <w:p w14:paraId="01CC3BA3" w14:textId="4FE8A3B1" w:rsidR="0025472A" w:rsidRPr="00DE7B49" w:rsidRDefault="0025472A" w:rsidP="00743CD4">
      <w:pPr>
        <w:spacing w:before="120" w:after="120" w:line="240" w:lineRule="auto"/>
        <w:jc w:val="both"/>
        <w:rPr>
          <w:rFonts w:ascii="Lato" w:eastAsia="Times New Roman" w:hAnsi="Lato" w:cs="Arial"/>
          <w:sz w:val="10"/>
        </w:rPr>
      </w:pPr>
    </w:p>
    <w:p w14:paraId="583C74BE" w14:textId="77777777" w:rsidR="00D67716" w:rsidRPr="00DE7B49" w:rsidRDefault="00D67716" w:rsidP="00D67716">
      <w:pPr>
        <w:spacing w:before="120" w:after="120" w:line="240" w:lineRule="auto"/>
        <w:jc w:val="both"/>
        <w:rPr>
          <w:rFonts w:ascii="Lato" w:eastAsia="Times New Roman" w:hAnsi="Lato" w:cs="Arial"/>
          <w:b/>
        </w:rPr>
      </w:pPr>
      <w:r w:rsidRPr="00DE7B49">
        <w:rPr>
          <w:rFonts w:ascii="Lato" w:eastAsia="Times New Roman" w:hAnsi="Lato" w:cs="Arial"/>
          <w:b/>
        </w:rPr>
        <w:t xml:space="preserve">Grupy konsultacyjne EDF </w:t>
      </w:r>
    </w:p>
    <w:p w14:paraId="0BBA3D41" w14:textId="12F98CA9" w:rsidR="005969C1" w:rsidRPr="00DE7B49" w:rsidRDefault="00D67716" w:rsidP="00D67716">
      <w:pPr>
        <w:spacing w:before="120" w:after="120" w:line="240" w:lineRule="auto"/>
        <w:jc w:val="both"/>
        <w:rPr>
          <w:rFonts w:ascii="Lato" w:eastAsia="Times New Roman" w:hAnsi="Lato" w:cs="Arial"/>
        </w:rPr>
      </w:pPr>
      <w:r w:rsidRPr="00DE7B49">
        <w:rPr>
          <w:rFonts w:ascii="Lato" w:eastAsia="Times New Roman" w:hAnsi="Lato" w:cs="Arial"/>
        </w:rPr>
        <w:t xml:space="preserve">Grupy konsultacyjne EDF to wewnątrzkrajowy mechanizm współpracy </w:t>
      </w:r>
      <w:r w:rsidR="005969C1" w:rsidRPr="00DE7B49">
        <w:rPr>
          <w:rFonts w:ascii="Lato" w:eastAsia="Times New Roman" w:hAnsi="Lato" w:cs="Arial"/>
        </w:rPr>
        <w:t xml:space="preserve">MON </w:t>
      </w:r>
      <w:r w:rsidRPr="00DE7B49">
        <w:rPr>
          <w:rFonts w:ascii="Lato" w:eastAsia="Times New Roman" w:hAnsi="Lato" w:cs="Arial"/>
        </w:rPr>
        <w:t>z ekspertami z przemysłu i nauki w zakresie oddziaływania na kształt EDF. Szczegółowe informacje, w tym o możliwości dołączenia</w:t>
      </w:r>
      <w:r w:rsidR="005969C1" w:rsidRPr="00DE7B49">
        <w:rPr>
          <w:rFonts w:ascii="Lato" w:eastAsia="Times New Roman" w:hAnsi="Lato" w:cs="Arial"/>
        </w:rPr>
        <w:t>,</w:t>
      </w:r>
      <w:r w:rsidRPr="00DE7B49">
        <w:rPr>
          <w:rFonts w:ascii="Lato" w:eastAsia="Times New Roman" w:hAnsi="Lato" w:cs="Arial"/>
        </w:rPr>
        <w:t xml:space="preserve"> można uzyskać pod adres</w:t>
      </w:r>
      <w:r w:rsidR="005969C1" w:rsidRPr="00DE7B49">
        <w:rPr>
          <w:rFonts w:ascii="Lato" w:eastAsia="Times New Roman" w:hAnsi="Lato" w:cs="Arial"/>
        </w:rPr>
        <w:t>em</w:t>
      </w:r>
      <w:r w:rsidRPr="00DE7B49">
        <w:rPr>
          <w:rFonts w:ascii="Lato" w:eastAsia="Times New Roman" w:hAnsi="Lato" w:cs="Arial"/>
        </w:rPr>
        <w:t xml:space="preserve"> </w:t>
      </w:r>
      <w:r w:rsidR="0025472A" w:rsidRPr="00DE7B49">
        <w:rPr>
          <w:rFonts w:ascii="Lato" w:hAnsi="Lato" w:cs="Arial"/>
          <w:bCs/>
          <w:color w:val="0070C0"/>
          <w:u w:val="single"/>
        </w:rPr>
        <w:t>edf (at) mon.gov.pl</w:t>
      </w:r>
      <w:r w:rsidRPr="00DE7B49">
        <w:rPr>
          <w:rFonts w:ascii="Lato" w:eastAsia="Times New Roman" w:hAnsi="Lato" w:cs="Arial"/>
        </w:rPr>
        <w:t xml:space="preserve">. </w:t>
      </w:r>
      <w:r w:rsidR="009E4A83" w:rsidRPr="00DE7B49">
        <w:rPr>
          <w:rFonts w:ascii="Lato" w:eastAsia="Times New Roman" w:hAnsi="Lato" w:cs="Arial"/>
        </w:rPr>
        <w:t>Eksperci, którzy chcieliby dołączyć do grupy, proszeni są o przesłanie formularza zgłoszeniowego oraz podpisanie zobowiązania do zachowania poufności.</w:t>
      </w:r>
    </w:p>
    <w:p w14:paraId="5063376E" w14:textId="77777777" w:rsidR="00D67716" w:rsidRPr="00DE7B49" w:rsidRDefault="00D67716" w:rsidP="00743CD4">
      <w:pPr>
        <w:spacing w:before="120" w:after="120" w:line="240" w:lineRule="auto"/>
        <w:jc w:val="both"/>
        <w:rPr>
          <w:rFonts w:ascii="Lato" w:eastAsia="Times New Roman" w:hAnsi="Lato" w:cs="Arial"/>
          <w:sz w:val="10"/>
        </w:rPr>
      </w:pPr>
    </w:p>
    <w:p w14:paraId="5E75C65E" w14:textId="7E978FA0" w:rsidR="009B03A7" w:rsidRPr="00DE7B49" w:rsidRDefault="009B03A7" w:rsidP="00743CD4">
      <w:pPr>
        <w:spacing w:before="120" w:after="120" w:line="240" w:lineRule="auto"/>
        <w:jc w:val="both"/>
        <w:rPr>
          <w:rFonts w:ascii="Lato" w:eastAsia="Times New Roman" w:hAnsi="Lato" w:cs="Arial"/>
          <w:b/>
        </w:rPr>
      </w:pPr>
      <w:r w:rsidRPr="00DE7B49">
        <w:rPr>
          <w:rFonts w:ascii="Lato" w:eastAsia="Times New Roman" w:hAnsi="Lato" w:cs="Arial"/>
          <w:b/>
        </w:rPr>
        <w:t>Krajowe punkty kontaktowe ds. EDF</w:t>
      </w:r>
    </w:p>
    <w:p w14:paraId="3F5213BA" w14:textId="4C1BAF13" w:rsidR="009B03A7" w:rsidRPr="00DE7B49" w:rsidRDefault="009B03A7" w:rsidP="00812E33">
      <w:pPr>
        <w:spacing w:before="120" w:after="120" w:line="240" w:lineRule="auto"/>
        <w:jc w:val="both"/>
        <w:rPr>
          <w:rFonts w:ascii="Lato" w:eastAsia="Times New Roman" w:hAnsi="Lato" w:cs="Arial"/>
        </w:rPr>
      </w:pPr>
      <w:r w:rsidRPr="00DE7B49">
        <w:rPr>
          <w:rFonts w:ascii="Lato" w:eastAsia="Times New Roman" w:hAnsi="Lato" w:cs="Arial"/>
        </w:rPr>
        <w:t xml:space="preserve">Ustanowiona została sieć krajowych punktów kontaktowych ds. </w:t>
      </w:r>
      <w:r w:rsidRPr="00DE7B49">
        <w:rPr>
          <w:rFonts w:ascii="Lato" w:eastAsia="Times New Roman" w:hAnsi="Lato" w:cs="Arial"/>
          <w:lang w:val="en-GB"/>
        </w:rPr>
        <w:t xml:space="preserve">EDF (EDF National Focal Point, NFP). </w:t>
      </w:r>
      <w:r w:rsidRPr="00DE7B49">
        <w:rPr>
          <w:rFonts w:ascii="Lato" w:eastAsia="Times New Roman" w:hAnsi="Lato" w:cs="Arial"/>
        </w:rPr>
        <w:t xml:space="preserve">Dane kontaktowe do NFP w poszczególnych krajach dostępne są na </w:t>
      </w:r>
      <w:hyperlink r:id="rId19" w:history="1">
        <w:r w:rsidRPr="00DE7B49">
          <w:rPr>
            <w:rStyle w:val="Hipercze"/>
            <w:rFonts w:ascii="Lato" w:eastAsia="Times New Roman" w:hAnsi="Lato" w:cs="Arial"/>
          </w:rPr>
          <w:t>stronie K</w:t>
        </w:r>
        <w:r w:rsidR="00D67716" w:rsidRPr="00DE7B49">
          <w:rPr>
            <w:rStyle w:val="Hipercze"/>
            <w:rFonts w:ascii="Lato" w:eastAsia="Times New Roman" w:hAnsi="Lato" w:cs="Arial"/>
          </w:rPr>
          <w:t>omisji Europejskiej</w:t>
        </w:r>
      </w:hyperlink>
      <w:r w:rsidR="00D67716" w:rsidRPr="00DE7B49">
        <w:rPr>
          <w:rFonts w:ascii="Lato" w:eastAsia="Times New Roman" w:hAnsi="Lato" w:cs="Arial"/>
        </w:rPr>
        <w:t>.</w:t>
      </w:r>
    </w:p>
    <w:p w14:paraId="27FBE081" w14:textId="184D1BCC" w:rsidR="009B03A7" w:rsidRPr="00DE7B49" w:rsidRDefault="009B03A7" w:rsidP="00812E33">
      <w:pPr>
        <w:spacing w:before="120" w:after="120" w:line="240" w:lineRule="auto"/>
        <w:jc w:val="both"/>
        <w:rPr>
          <w:rFonts w:ascii="Lato" w:eastAsia="Times New Roman" w:hAnsi="Lato" w:cs="Arial"/>
        </w:rPr>
      </w:pPr>
      <w:r w:rsidRPr="00DE7B49">
        <w:rPr>
          <w:rFonts w:ascii="Lato" w:eastAsia="Times New Roman" w:hAnsi="Lato" w:cs="Arial"/>
        </w:rPr>
        <w:t>W Polsce NFP zlokalizowany jest w Departamencie Innowacji MON, a funkcję zastępcy (</w:t>
      </w:r>
      <w:r w:rsidRPr="00DE7B49">
        <w:rPr>
          <w:rFonts w:ascii="Lato" w:eastAsia="Times New Roman" w:hAnsi="Lato" w:cs="Arial"/>
          <w:i/>
        </w:rPr>
        <w:t>alternate</w:t>
      </w:r>
      <w:r w:rsidRPr="00DE7B49">
        <w:rPr>
          <w:rFonts w:ascii="Lato" w:eastAsia="Times New Roman" w:hAnsi="Lato" w:cs="Arial"/>
        </w:rPr>
        <w:t>) NFP pełni przedstawiciel Ministerstwa Rozwoju i Technologii.</w:t>
      </w:r>
    </w:p>
    <w:p w14:paraId="0EF462B1" w14:textId="189864A7" w:rsidR="00D67716" w:rsidRPr="00DE7B49" w:rsidRDefault="009B03A7" w:rsidP="00812E33">
      <w:pPr>
        <w:spacing w:before="120" w:after="120" w:line="240" w:lineRule="auto"/>
        <w:jc w:val="both"/>
        <w:rPr>
          <w:rFonts w:ascii="Lato" w:hAnsi="Lato" w:cs="Arial"/>
          <w:bCs/>
          <w:color w:val="000000" w:themeColor="text1"/>
        </w:rPr>
      </w:pPr>
      <w:r w:rsidRPr="00DE7B49">
        <w:rPr>
          <w:rFonts w:ascii="Lato" w:eastAsia="Times New Roman" w:hAnsi="Lato" w:cs="Arial"/>
        </w:rPr>
        <w:t xml:space="preserve">W sprawach związanych z EDF należy kontaktować się na adres mailowy </w:t>
      </w:r>
      <w:r w:rsidRPr="00DE7B49">
        <w:rPr>
          <w:rFonts w:ascii="Lato" w:hAnsi="Lato" w:cs="Arial"/>
          <w:bCs/>
          <w:color w:val="0070C0"/>
          <w:u w:val="single"/>
        </w:rPr>
        <w:t>edf (at) mon.gov.pl</w:t>
      </w:r>
      <w:r w:rsidR="00D67716" w:rsidRPr="00DE7B49">
        <w:rPr>
          <w:rFonts w:ascii="Lato" w:hAnsi="Lato" w:cs="Arial"/>
          <w:bCs/>
          <w:color w:val="000000" w:themeColor="text1"/>
        </w:rPr>
        <w:t>.</w:t>
      </w:r>
    </w:p>
    <w:p w14:paraId="78DB2033" w14:textId="5DADF58E" w:rsidR="00D67716" w:rsidRPr="00DE7B49" w:rsidRDefault="00D67716" w:rsidP="00743CD4">
      <w:pPr>
        <w:spacing w:before="120" w:after="120" w:line="240" w:lineRule="auto"/>
        <w:jc w:val="both"/>
        <w:rPr>
          <w:rFonts w:ascii="Lato" w:hAnsi="Lato" w:cs="Arial"/>
          <w:bCs/>
          <w:color w:val="0070C0"/>
          <w:u w:val="single"/>
        </w:rPr>
      </w:pPr>
      <w:r w:rsidRPr="00DE7B49">
        <w:rPr>
          <w:rFonts w:ascii="Lato" w:eastAsia="Times New Roman" w:hAnsi="Lato" w:cs="Arial"/>
        </w:rPr>
        <w:t xml:space="preserve">W sprawach związanych bezpośrednio ze składaniem projektów do Komisji Europejskiej należy kontaktować się z Komisją Europejską na adres: </w:t>
      </w:r>
      <w:r w:rsidRPr="00DE7B49">
        <w:rPr>
          <w:rFonts w:ascii="Lato" w:eastAsia="Times New Roman" w:hAnsi="Lato" w:cs="Arial"/>
          <w:color w:val="0070C0"/>
          <w:u w:val="single"/>
        </w:rPr>
        <w:t>DEFIS-EDF-PROPOSALS (at) ec.europa.eu</w:t>
      </w:r>
      <w:r w:rsidR="00F67A76" w:rsidRPr="00DE7B49">
        <w:rPr>
          <w:rFonts w:ascii="Lato" w:eastAsia="Times New Roman" w:hAnsi="Lato" w:cs="Arial"/>
        </w:rPr>
        <w:t>.</w:t>
      </w:r>
    </w:p>
    <w:sectPr w:rsidR="00D67716" w:rsidRPr="00DE7B49" w:rsidSect="0037575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CCC8" w14:textId="77777777" w:rsidR="00162257" w:rsidRDefault="00162257" w:rsidP="003F6E40">
      <w:pPr>
        <w:spacing w:after="0" w:line="240" w:lineRule="auto"/>
      </w:pPr>
      <w:r>
        <w:separator/>
      </w:r>
    </w:p>
  </w:endnote>
  <w:endnote w:type="continuationSeparator" w:id="0">
    <w:p w14:paraId="12C11DFB" w14:textId="77777777" w:rsidR="00162257" w:rsidRDefault="00162257" w:rsidP="003F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22F3" w14:textId="77777777" w:rsidR="003467F4" w:rsidRDefault="003467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1061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B76720" w14:textId="5EE160BC" w:rsidR="00C64212" w:rsidRDefault="00C6421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3D6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3D6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D09FE" w14:textId="77777777" w:rsidR="00AE79FC" w:rsidRDefault="00AE79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6C2E" w14:textId="77777777" w:rsidR="003467F4" w:rsidRDefault="00346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A9BF" w14:textId="77777777" w:rsidR="00162257" w:rsidRDefault="00162257" w:rsidP="003F6E40">
      <w:pPr>
        <w:spacing w:after="0" w:line="240" w:lineRule="auto"/>
      </w:pPr>
      <w:r>
        <w:separator/>
      </w:r>
    </w:p>
  </w:footnote>
  <w:footnote w:type="continuationSeparator" w:id="0">
    <w:p w14:paraId="44F3755C" w14:textId="77777777" w:rsidR="00162257" w:rsidRDefault="00162257" w:rsidP="003F6E40">
      <w:pPr>
        <w:spacing w:after="0" w:line="240" w:lineRule="auto"/>
      </w:pPr>
      <w:r>
        <w:continuationSeparator/>
      </w:r>
    </w:p>
  </w:footnote>
  <w:footnote w:id="1">
    <w:p w14:paraId="15041255" w14:textId="77777777" w:rsidR="006B7D4C" w:rsidRPr="000C2508" w:rsidRDefault="006B7D4C" w:rsidP="00310E94">
      <w:pPr>
        <w:pStyle w:val="Tekstprzypisudolnego"/>
        <w:spacing w:after="120"/>
        <w:jc w:val="both"/>
        <w:rPr>
          <w:rFonts w:ascii="Arial" w:hAnsi="Arial" w:cs="Arial"/>
        </w:rPr>
      </w:pPr>
      <w:r w:rsidRPr="000C2508">
        <w:rPr>
          <w:rStyle w:val="Odwoanieprzypisudolnego"/>
          <w:rFonts w:ascii="Arial" w:hAnsi="Arial" w:cs="Arial"/>
        </w:rPr>
        <w:footnoteRef/>
      </w:r>
      <w:r w:rsidRPr="000C2508">
        <w:rPr>
          <w:rFonts w:ascii="Arial" w:hAnsi="Arial" w:cs="Arial"/>
        </w:rPr>
        <w:t xml:space="preserve"> Badawcze programy pilotażowe: </w:t>
      </w:r>
      <w:r w:rsidRPr="000C2508">
        <w:rPr>
          <w:rFonts w:ascii="Arial" w:hAnsi="Arial" w:cs="Arial"/>
          <w:i/>
          <w:iCs/>
        </w:rPr>
        <w:t>Pilot Project</w:t>
      </w:r>
      <w:r w:rsidRPr="000C2508">
        <w:rPr>
          <w:rFonts w:ascii="Arial" w:hAnsi="Arial" w:cs="Arial"/>
        </w:rPr>
        <w:t xml:space="preserve"> z budżetem 1,4 mln EUR w latach 2016-2017 oraz </w:t>
      </w:r>
      <w:r w:rsidRPr="000C2508">
        <w:rPr>
          <w:rFonts w:ascii="Arial" w:hAnsi="Arial" w:cs="Arial"/>
          <w:i/>
          <w:iCs/>
        </w:rPr>
        <w:t>Preparatory Action on Defence Research</w:t>
      </w:r>
      <w:r w:rsidRPr="000C2508">
        <w:rPr>
          <w:rFonts w:ascii="Arial" w:hAnsi="Arial" w:cs="Arial"/>
        </w:rPr>
        <w:t xml:space="preserve"> (PADR) z budżetem 90 mln EUR w latach 2017-2019.</w:t>
      </w:r>
    </w:p>
    <w:p w14:paraId="583FF170" w14:textId="77777777" w:rsidR="006B7D4C" w:rsidRPr="004237CD" w:rsidRDefault="006B7D4C" w:rsidP="00310E94">
      <w:pPr>
        <w:pStyle w:val="Tekstprzypisudolnego"/>
        <w:spacing w:after="120"/>
        <w:jc w:val="both"/>
        <w:rPr>
          <w:rFonts w:ascii="Arial Narrow" w:hAnsi="Arial Narrow" w:cs="Times New Roman"/>
        </w:rPr>
      </w:pPr>
      <w:r w:rsidRPr="000C2508">
        <w:rPr>
          <w:rFonts w:ascii="Arial" w:hAnsi="Arial" w:cs="Arial"/>
        </w:rPr>
        <w:t xml:space="preserve">Rozwojowy program pilotażowy: </w:t>
      </w:r>
      <w:r w:rsidRPr="000C2508">
        <w:rPr>
          <w:rFonts w:ascii="Arial" w:hAnsi="Arial" w:cs="Arial"/>
          <w:i/>
          <w:iCs/>
        </w:rPr>
        <w:t>European Defence Industrial Development Programme</w:t>
      </w:r>
      <w:r w:rsidRPr="000C2508">
        <w:rPr>
          <w:rFonts w:ascii="Arial" w:hAnsi="Arial" w:cs="Arial"/>
        </w:rPr>
        <w:t xml:space="preserve"> (EDIDP) z budżetem 500 mln EUR w latach 2019-2020.</w:t>
      </w:r>
    </w:p>
  </w:footnote>
  <w:footnote w:id="2">
    <w:p w14:paraId="2FAE7192" w14:textId="1B98C205" w:rsidR="00174E6E" w:rsidRDefault="00174E6E">
      <w:pPr>
        <w:pStyle w:val="Tekstprzypisudolnego"/>
      </w:pPr>
      <w:r>
        <w:rPr>
          <w:rStyle w:val="Odwoanieprzypisudolnego"/>
        </w:rPr>
        <w:footnoteRef/>
      </w:r>
      <w:r>
        <w:t xml:space="preserve"> Dalej: </w:t>
      </w:r>
      <w:r w:rsidRPr="00DE7B49">
        <w:rPr>
          <w:i/>
          <w:iCs/>
        </w:rPr>
        <w:t>Rozporządzenie</w:t>
      </w:r>
      <w:r>
        <w:t>.</w:t>
      </w:r>
    </w:p>
  </w:footnote>
  <w:footnote w:id="3">
    <w:p w14:paraId="65EC3D8C" w14:textId="36318310" w:rsidR="00174E6E" w:rsidRDefault="00174E6E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21 Rozporządzenia EDF.</w:t>
      </w:r>
    </w:p>
  </w:footnote>
  <w:footnote w:id="4">
    <w:p w14:paraId="2BC92B1E" w14:textId="25467BCD" w:rsidR="00D11945" w:rsidRPr="00D11945" w:rsidRDefault="00D11945">
      <w:pPr>
        <w:pStyle w:val="Tekstprzypisudolnego"/>
        <w:rPr>
          <w:rFonts w:ascii="Arial" w:hAnsi="Arial" w:cs="Arial"/>
        </w:rPr>
      </w:pPr>
      <w:r w:rsidRPr="00D11945">
        <w:rPr>
          <w:rStyle w:val="Odwoanieprzypisudolnego"/>
          <w:rFonts w:ascii="Arial" w:hAnsi="Arial" w:cs="Arial"/>
        </w:rPr>
        <w:footnoteRef/>
      </w:r>
      <w:r w:rsidRPr="00D11945">
        <w:rPr>
          <w:rFonts w:ascii="Arial" w:hAnsi="Arial" w:cs="Arial"/>
        </w:rPr>
        <w:t xml:space="preserve"> Projekty rozwojowe mogą być finansowane z budżetu UE w wysokości od 20 do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4056" w14:textId="77777777" w:rsidR="003467F4" w:rsidRDefault="003467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7EC4" w14:textId="77777777" w:rsidR="003467F4" w:rsidRDefault="003467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C1D8" w14:textId="77777777" w:rsidR="003467F4" w:rsidRDefault="003467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82EB0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24D89"/>
    <w:multiLevelType w:val="hybridMultilevel"/>
    <w:tmpl w:val="ADAAE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C4696"/>
    <w:multiLevelType w:val="multilevel"/>
    <w:tmpl w:val="64D6E634"/>
    <w:lvl w:ilvl="0">
      <w:start w:val="1"/>
      <w:numFmt w:val="decimal"/>
      <w:pStyle w:val="Nagdospisutreci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704DDC"/>
    <w:multiLevelType w:val="hybridMultilevel"/>
    <w:tmpl w:val="6330A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C38B7"/>
    <w:multiLevelType w:val="hybridMultilevel"/>
    <w:tmpl w:val="74AEC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2C67"/>
    <w:multiLevelType w:val="hybridMultilevel"/>
    <w:tmpl w:val="5C2ED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507BF"/>
    <w:multiLevelType w:val="hybridMultilevel"/>
    <w:tmpl w:val="6B620AD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08E380E">
      <w:start w:val="1"/>
      <w:numFmt w:val="decimal"/>
      <w:lvlText w:val="%2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AD14823"/>
    <w:multiLevelType w:val="hybridMultilevel"/>
    <w:tmpl w:val="7A00E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15E0E"/>
    <w:multiLevelType w:val="hybridMultilevel"/>
    <w:tmpl w:val="F2C28400"/>
    <w:styleLink w:val="Zaimportowanystyl20"/>
    <w:lvl w:ilvl="0" w:tplc="81FC3B5E">
      <w:start w:val="1"/>
      <w:numFmt w:val="bullet"/>
      <w:lvlText w:val="·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19E24B4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C28C8CA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2B4FE00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99C90EA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DCC6796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43EB076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C9A3E26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B1681BA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31C05947"/>
    <w:multiLevelType w:val="hybridMultilevel"/>
    <w:tmpl w:val="A41C47EA"/>
    <w:lvl w:ilvl="0" w:tplc="52281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A0B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FA06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E5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45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EB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8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89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CF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3490"/>
    <w:multiLevelType w:val="hybridMultilevel"/>
    <w:tmpl w:val="55B44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E3C42"/>
    <w:multiLevelType w:val="hybridMultilevel"/>
    <w:tmpl w:val="805228EC"/>
    <w:lvl w:ilvl="0" w:tplc="65B8B3BA">
      <w:start w:val="1"/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4C744128"/>
    <w:multiLevelType w:val="hybridMultilevel"/>
    <w:tmpl w:val="C252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C22D6"/>
    <w:multiLevelType w:val="hybridMultilevel"/>
    <w:tmpl w:val="4E9E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30F07"/>
    <w:multiLevelType w:val="hybridMultilevel"/>
    <w:tmpl w:val="4B8230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42DA6">
      <w:start w:val="14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B87E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4BF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AEAE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98B71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813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525D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4A47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E262B"/>
    <w:multiLevelType w:val="hybridMultilevel"/>
    <w:tmpl w:val="E2DA805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46D7203"/>
    <w:multiLevelType w:val="hybridMultilevel"/>
    <w:tmpl w:val="70F29256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672260A9"/>
    <w:multiLevelType w:val="hybridMultilevel"/>
    <w:tmpl w:val="1834CF9E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68CE6A28"/>
    <w:multiLevelType w:val="hybridMultilevel"/>
    <w:tmpl w:val="9CF27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10C5A"/>
    <w:multiLevelType w:val="hybridMultilevel"/>
    <w:tmpl w:val="2A602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E3387"/>
    <w:multiLevelType w:val="hybridMultilevel"/>
    <w:tmpl w:val="1834CF9E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6E3E0A8C"/>
    <w:multiLevelType w:val="hybridMultilevel"/>
    <w:tmpl w:val="7C9AA15E"/>
    <w:lvl w:ilvl="0" w:tplc="37BA44F8">
      <w:start w:val="1"/>
      <w:numFmt w:val="decimal"/>
      <w:lvlText w:val="%1."/>
      <w:lvlJc w:val="left"/>
      <w:pPr>
        <w:ind w:left="720" w:hanging="360"/>
      </w:pPr>
    </w:lvl>
    <w:lvl w:ilvl="1" w:tplc="6B643500">
      <w:start w:val="1"/>
      <w:numFmt w:val="lowerLetter"/>
      <w:lvlText w:val="%2."/>
      <w:lvlJc w:val="left"/>
      <w:pPr>
        <w:ind w:left="1440" w:hanging="360"/>
      </w:pPr>
    </w:lvl>
    <w:lvl w:ilvl="2" w:tplc="AF04C43C">
      <w:start w:val="1"/>
      <w:numFmt w:val="lowerRoman"/>
      <w:lvlText w:val="%3."/>
      <w:lvlJc w:val="right"/>
      <w:pPr>
        <w:ind w:left="2160" w:hanging="180"/>
      </w:pPr>
    </w:lvl>
    <w:lvl w:ilvl="3" w:tplc="B2142838">
      <w:start w:val="1"/>
      <w:numFmt w:val="decimal"/>
      <w:lvlText w:val="%4."/>
      <w:lvlJc w:val="left"/>
      <w:pPr>
        <w:ind w:left="2880" w:hanging="360"/>
      </w:pPr>
    </w:lvl>
    <w:lvl w:ilvl="4" w:tplc="675E065A">
      <w:start w:val="1"/>
      <w:numFmt w:val="lowerLetter"/>
      <w:lvlText w:val="%5."/>
      <w:lvlJc w:val="left"/>
      <w:pPr>
        <w:ind w:left="3600" w:hanging="360"/>
      </w:pPr>
    </w:lvl>
    <w:lvl w:ilvl="5" w:tplc="E8ACACC4">
      <w:start w:val="1"/>
      <w:numFmt w:val="lowerRoman"/>
      <w:lvlText w:val="%6."/>
      <w:lvlJc w:val="right"/>
      <w:pPr>
        <w:ind w:left="4320" w:hanging="180"/>
      </w:pPr>
    </w:lvl>
    <w:lvl w:ilvl="6" w:tplc="6E96E66A">
      <w:start w:val="1"/>
      <w:numFmt w:val="decimal"/>
      <w:lvlText w:val="%7."/>
      <w:lvlJc w:val="left"/>
      <w:pPr>
        <w:ind w:left="5040" w:hanging="360"/>
      </w:pPr>
    </w:lvl>
    <w:lvl w:ilvl="7" w:tplc="302A16C6">
      <w:start w:val="1"/>
      <w:numFmt w:val="lowerLetter"/>
      <w:lvlText w:val="%8."/>
      <w:lvlJc w:val="left"/>
      <w:pPr>
        <w:ind w:left="5760" w:hanging="360"/>
      </w:pPr>
    </w:lvl>
    <w:lvl w:ilvl="8" w:tplc="26C23B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6138"/>
    <w:multiLevelType w:val="hybridMultilevel"/>
    <w:tmpl w:val="D494B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6432D"/>
    <w:multiLevelType w:val="hybridMultilevel"/>
    <w:tmpl w:val="93A25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26D21"/>
    <w:multiLevelType w:val="hybridMultilevel"/>
    <w:tmpl w:val="020E35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220C51"/>
    <w:multiLevelType w:val="hybridMultilevel"/>
    <w:tmpl w:val="1834CF9E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748C5E18"/>
    <w:multiLevelType w:val="hybridMultilevel"/>
    <w:tmpl w:val="1188F2D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75E532FC"/>
    <w:multiLevelType w:val="hybridMultilevel"/>
    <w:tmpl w:val="11183808"/>
    <w:lvl w:ilvl="0" w:tplc="0CD810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8150A9A"/>
    <w:multiLevelType w:val="hybridMultilevel"/>
    <w:tmpl w:val="4B487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F101A"/>
    <w:multiLevelType w:val="hybridMultilevel"/>
    <w:tmpl w:val="E828C3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A84E3A"/>
    <w:multiLevelType w:val="hybridMultilevel"/>
    <w:tmpl w:val="93A25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187227">
    <w:abstractNumId w:val="9"/>
  </w:num>
  <w:num w:numId="2" w16cid:durableId="656886007">
    <w:abstractNumId w:val="21"/>
  </w:num>
  <w:num w:numId="3" w16cid:durableId="1187987539">
    <w:abstractNumId w:val="8"/>
  </w:num>
  <w:num w:numId="4" w16cid:durableId="1733851781">
    <w:abstractNumId w:val="0"/>
  </w:num>
  <w:num w:numId="5" w16cid:durableId="1406875412">
    <w:abstractNumId w:val="2"/>
  </w:num>
  <w:num w:numId="6" w16cid:durableId="1157377541">
    <w:abstractNumId w:val="19"/>
  </w:num>
  <w:num w:numId="7" w16cid:durableId="199630147">
    <w:abstractNumId w:val="10"/>
  </w:num>
  <w:num w:numId="8" w16cid:durableId="1047536117">
    <w:abstractNumId w:val="24"/>
  </w:num>
  <w:num w:numId="9" w16cid:durableId="1264992174">
    <w:abstractNumId w:val="22"/>
  </w:num>
  <w:num w:numId="10" w16cid:durableId="902255864">
    <w:abstractNumId w:val="12"/>
  </w:num>
  <w:num w:numId="11" w16cid:durableId="18394196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50819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3828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1111600">
    <w:abstractNumId w:val="13"/>
  </w:num>
  <w:num w:numId="15" w16cid:durableId="233900869">
    <w:abstractNumId w:val="18"/>
  </w:num>
  <w:num w:numId="16" w16cid:durableId="452481364">
    <w:abstractNumId w:val="3"/>
  </w:num>
  <w:num w:numId="17" w16cid:durableId="420488414">
    <w:abstractNumId w:val="5"/>
  </w:num>
  <w:num w:numId="18" w16cid:durableId="1221599673">
    <w:abstractNumId w:val="29"/>
  </w:num>
  <w:num w:numId="19" w16cid:durableId="1135828070">
    <w:abstractNumId w:val="28"/>
  </w:num>
  <w:num w:numId="20" w16cid:durableId="397558212">
    <w:abstractNumId w:val="14"/>
  </w:num>
  <w:num w:numId="21" w16cid:durableId="1340233663">
    <w:abstractNumId w:val="4"/>
  </w:num>
  <w:num w:numId="22" w16cid:durableId="1307467109">
    <w:abstractNumId w:val="1"/>
  </w:num>
  <w:num w:numId="23" w16cid:durableId="1436368317">
    <w:abstractNumId w:val="7"/>
  </w:num>
  <w:num w:numId="24" w16cid:durableId="1462185116">
    <w:abstractNumId w:val="15"/>
  </w:num>
  <w:num w:numId="25" w16cid:durableId="1238591601">
    <w:abstractNumId w:val="6"/>
  </w:num>
  <w:num w:numId="26" w16cid:durableId="920871553">
    <w:abstractNumId w:val="27"/>
  </w:num>
  <w:num w:numId="27" w16cid:durableId="1277298481">
    <w:abstractNumId w:val="16"/>
  </w:num>
  <w:num w:numId="28" w16cid:durableId="62992540">
    <w:abstractNumId w:val="11"/>
  </w:num>
  <w:num w:numId="29" w16cid:durableId="474492325">
    <w:abstractNumId w:val="20"/>
  </w:num>
  <w:num w:numId="30" w16cid:durableId="1586959128">
    <w:abstractNumId w:val="26"/>
  </w:num>
  <w:num w:numId="31" w16cid:durableId="1107895403">
    <w:abstractNumId w:val="25"/>
  </w:num>
  <w:num w:numId="32" w16cid:durableId="1399749759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40"/>
    <w:rsid w:val="00003A3D"/>
    <w:rsid w:val="00007F91"/>
    <w:rsid w:val="00021709"/>
    <w:rsid w:val="00023697"/>
    <w:rsid w:val="00026736"/>
    <w:rsid w:val="00034390"/>
    <w:rsid w:val="000423EE"/>
    <w:rsid w:val="0004395C"/>
    <w:rsid w:val="00046643"/>
    <w:rsid w:val="0005370E"/>
    <w:rsid w:val="0006221D"/>
    <w:rsid w:val="00064083"/>
    <w:rsid w:val="0006677C"/>
    <w:rsid w:val="00067217"/>
    <w:rsid w:val="000732DD"/>
    <w:rsid w:val="0007466E"/>
    <w:rsid w:val="00075D20"/>
    <w:rsid w:val="00077600"/>
    <w:rsid w:val="0009027B"/>
    <w:rsid w:val="000A1DBF"/>
    <w:rsid w:val="000A5C40"/>
    <w:rsid w:val="000A63AE"/>
    <w:rsid w:val="000B23C8"/>
    <w:rsid w:val="000B6F7E"/>
    <w:rsid w:val="000C2508"/>
    <w:rsid w:val="000C5373"/>
    <w:rsid w:val="000C55D1"/>
    <w:rsid w:val="000D3DD6"/>
    <w:rsid w:val="000D6590"/>
    <w:rsid w:val="000E2F0B"/>
    <w:rsid w:val="000E7276"/>
    <w:rsid w:val="000F4E03"/>
    <w:rsid w:val="000F6AEA"/>
    <w:rsid w:val="0010226B"/>
    <w:rsid w:val="00102FCE"/>
    <w:rsid w:val="00104E8F"/>
    <w:rsid w:val="00105ED4"/>
    <w:rsid w:val="00111951"/>
    <w:rsid w:val="001179ED"/>
    <w:rsid w:val="0012432A"/>
    <w:rsid w:val="001250DF"/>
    <w:rsid w:val="001328A3"/>
    <w:rsid w:val="001347D8"/>
    <w:rsid w:val="001420B0"/>
    <w:rsid w:val="001452D8"/>
    <w:rsid w:val="00146AE6"/>
    <w:rsid w:val="00147B21"/>
    <w:rsid w:val="0015163B"/>
    <w:rsid w:val="00152DF4"/>
    <w:rsid w:val="00156631"/>
    <w:rsid w:val="00156EC6"/>
    <w:rsid w:val="00162257"/>
    <w:rsid w:val="00164D18"/>
    <w:rsid w:val="00165A62"/>
    <w:rsid w:val="00174E6E"/>
    <w:rsid w:val="00176341"/>
    <w:rsid w:val="00180984"/>
    <w:rsid w:val="00180B79"/>
    <w:rsid w:val="00182532"/>
    <w:rsid w:val="0018433D"/>
    <w:rsid w:val="00187D19"/>
    <w:rsid w:val="0019176D"/>
    <w:rsid w:val="001A3B2A"/>
    <w:rsid w:val="001A7E58"/>
    <w:rsid w:val="001B1040"/>
    <w:rsid w:val="001B2F25"/>
    <w:rsid w:val="001B4C35"/>
    <w:rsid w:val="001B5414"/>
    <w:rsid w:val="001C0184"/>
    <w:rsid w:val="001C580A"/>
    <w:rsid w:val="001D1463"/>
    <w:rsid w:val="001D281A"/>
    <w:rsid w:val="001D3564"/>
    <w:rsid w:val="001D3E19"/>
    <w:rsid w:val="001E7E88"/>
    <w:rsid w:val="001F6616"/>
    <w:rsid w:val="002040D1"/>
    <w:rsid w:val="00213F27"/>
    <w:rsid w:val="002204B0"/>
    <w:rsid w:val="00220618"/>
    <w:rsid w:val="002220FE"/>
    <w:rsid w:val="0022210A"/>
    <w:rsid w:val="00224487"/>
    <w:rsid w:val="002319D9"/>
    <w:rsid w:val="00232678"/>
    <w:rsid w:val="00232B0C"/>
    <w:rsid w:val="00233342"/>
    <w:rsid w:val="00245E92"/>
    <w:rsid w:val="00253688"/>
    <w:rsid w:val="0025472A"/>
    <w:rsid w:val="00262A99"/>
    <w:rsid w:val="00267F95"/>
    <w:rsid w:val="00270C99"/>
    <w:rsid w:val="00275101"/>
    <w:rsid w:val="00275C3F"/>
    <w:rsid w:val="00283C1F"/>
    <w:rsid w:val="00285CAA"/>
    <w:rsid w:val="00290876"/>
    <w:rsid w:val="00295DB6"/>
    <w:rsid w:val="002A13BC"/>
    <w:rsid w:val="002A1CC7"/>
    <w:rsid w:val="002A572F"/>
    <w:rsid w:val="002A6B79"/>
    <w:rsid w:val="002B37A0"/>
    <w:rsid w:val="002C571E"/>
    <w:rsid w:val="002D2AA1"/>
    <w:rsid w:val="002D527F"/>
    <w:rsid w:val="002D55EC"/>
    <w:rsid w:val="002D6FED"/>
    <w:rsid w:val="002D7EDD"/>
    <w:rsid w:val="002E01E8"/>
    <w:rsid w:val="002E266B"/>
    <w:rsid w:val="002E5F1B"/>
    <w:rsid w:val="002F2E53"/>
    <w:rsid w:val="002F770F"/>
    <w:rsid w:val="003022A6"/>
    <w:rsid w:val="00310E94"/>
    <w:rsid w:val="00320ECF"/>
    <w:rsid w:val="00326151"/>
    <w:rsid w:val="00326E58"/>
    <w:rsid w:val="00331815"/>
    <w:rsid w:val="00333807"/>
    <w:rsid w:val="0033616A"/>
    <w:rsid w:val="00344414"/>
    <w:rsid w:val="00345067"/>
    <w:rsid w:val="003467F4"/>
    <w:rsid w:val="00356A48"/>
    <w:rsid w:val="00367392"/>
    <w:rsid w:val="0037465B"/>
    <w:rsid w:val="0037575D"/>
    <w:rsid w:val="00387A01"/>
    <w:rsid w:val="003931DA"/>
    <w:rsid w:val="00397CB1"/>
    <w:rsid w:val="003A5607"/>
    <w:rsid w:val="003A7A68"/>
    <w:rsid w:val="003B522F"/>
    <w:rsid w:val="003C2AE7"/>
    <w:rsid w:val="003C5599"/>
    <w:rsid w:val="003C60D1"/>
    <w:rsid w:val="003C7E19"/>
    <w:rsid w:val="003D4613"/>
    <w:rsid w:val="003E1B38"/>
    <w:rsid w:val="003E35E5"/>
    <w:rsid w:val="003F44D2"/>
    <w:rsid w:val="003F67BD"/>
    <w:rsid w:val="003F6E40"/>
    <w:rsid w:val="003F7522"/>
    <w:rsid w:val="00402322"/>
    <w:rsid w:val="004075A6"/>
    <w:rsid w:val="00410F7A"/>
    <w:rsid w:val="0041565B"/>
    <w:rsid w:val="004164B6"/>
    <w:rsid w:val="004165C0"/>
    <w:rsid w:val="00416FC3"/>
    <w:rsid w:val="00421C9F"/>
    <w:rsid w:val="00424EA6"/>
    <w:rsid w:val="00425B7D"/>
    <w:rsid w:val="00433E6D"/>
    <w:rsid w:val="00443F01"/>
    <w:rsid w:val="004450FE"/>
    <w:rsid w:val="00446B0B"/>
    <w:rsid w:val="00455A20"/>
    <w:rsid w:val="00463D6B"/>
    <w:rsid w:val="004651ED"/>
    <w:rsid w:val="00465AE8"/>
    <w:rsid w:val="0046617F"/>
    <w:rsid w:val="00482A9C"/>
    <w:rsid w:val="00484CED"/>
    <w:rsid w:val="00486034"/>
    <w:rsid w:val="004912D8"/>
    <w:rsid w:val="00493DF7"/>
    <w:rsid w:val="00494598"/>
    <w:rsid w:val="004948C9"/>
    <w:rsid w:val="00495611"/>
    <w:rsid w:val="00496A47"/>
    <w:rsid w:val="004A031F"/>
    <w:rsid w:val="004A18C7"/>
    <w:rsid w:val="004A2D94"/>
    <w:rsid w:val="004A40E4"/>
    <w:rsid w:val="004B2AF1"/>
    <w:rsid w:val="004C38F2"/>
    <w:rsid w:val="004C4308"/>
    <w:rsid w:val="004C6A33"/>
    <w:rsid w:val="004D35A6"/>
    <w:rsid w:val="004D79F6"/>
    <w:rsid w:val="004E03DE"/>
    <w:rsid w:val="004E1C64"/>
    <w:rsid w:val="004E4E84"/>
    <w:rsid w:val="004F2E97"/>
    <w:rsid w:val="004F352F"/>
    <w:rsid w:val="004F7B0F"/>
    <w:rsid w:val="00500637"/>
    <w:rsid w:val="0050540D"/>
    <w:rsid w:val="00514224"/>
    <w:rsid w:val="00515FB5"/>
    <w:rsid w:val="00520F16"/>
    <w:rsid w:val="00521599"/>
    <w:rsid w:val="005220D8"/>
    <w:rsid w:val="0052238E"/>
    <w:rsid w:val="00526315"/>
    <w:rsid w:val="00526BF1"/>
    <w:rsid w:val="0053394E"/>
    <w:rsid w:val="00540948"/>
    <w:rsid w:val="0054243D"/>
    <w:rsid w:val="005436D3"/>
    <w:rsid w:val="00543A0E"/>
    <w:rsid w:val="00547564"/>
    <w:rsid w:val="0055021D"/>
    <w:rsid w:val="0055088B"/>
    <w:rsid w:val="00550EB5"/>
    <w:rsid w:val="00551560"/>
    <w:rsid w:val="00555EC0"/>
    <w:rsid w:val="00556682"/>
    <w:rsid w:val="00567F2A"/>
    <w:rsid w:val="005749B3"/>
    <w:rsid w:val="00575EA8"/>
    <w:rsid w:val="00576378"/>
    <w:rsid w:val="005768F1"/>
    <w:rsid w:val="00577B1E"/>
    <w:rsid w:val="00577FF2"/>
    <w:rsid w:val="00582575"/>
    <w:rsid w:val="00582FC4"/>
    <w:rsid w:val="005911A1"/>
    <w:rsid w:val="005969C1"/>
    <w:rsid w:val="005A0C87"/>
    <w:rsid w:val="005A16FC"/>
    <w:rsid w:val="005B6C3E"/>
    <w:rsid w:val="005C5103"/>
    <w:rsid w:val="005C662D"/>
    <w:rsid w:val="005C7ABE"/>
    <w:rsid w:val="005D09B5"/>
    <w:rsid w:val="005D24AD"/>
    <w:rsid w:val="005D57F9"/>
    <w:rsid w:val="005E44BC"/>
    <w:rsid w:val="005F19E6"/>
    <w:rsid w:val="005F2228"/>
    <w:rsid w:val="005F68A3"/>
    <w:rsid w:val="00603207"/>
    <w:rsid w:val="006225E9"/>
    <w:rsid w:val="00631B25"/>
    <w:rsid w:val="006330D6"/>
    <w:rsid w:val="00642120"/>
    <w:rsid w:val="006437D9"/>
    <w:rsid w:val="00645099"/>
    <w:rsid w:val="00645F4F"/>
    <w:rsid w:val="0065072E"/>
    <w:rsid w:val="00652C91"/>
    <w:rsid w:val="00653AB8"/>
    <w:rsid w:val="00656259"/>
    <w:rsid w:val="0066193A"/>
    <w:rsid w:val="00666E30"/>
    <w:rsid w:val="00673B5F"/>
    <w:rsid w:val="0067598B"/>
    <w:rsid w:val="00682B4A"/>
    <w:rsid w:val="006843B7"/>
    <w:rsid w:val="006A3E43"/>
    <w:rsid w:val="006A6671"/>
    <w:rsid w:val="006B587D"/>
    <w:rsid w:val="006B5DCD"/>
    <w:rsid w:val="006B7D4C"/>
    <w:rsid w:val="006C3489"/>
    <w:rsid w:val="006C5C22"/>
    <w:rsid w:val="006C6D52"/>
    <w:rsid w:val="006C73A9"/>
    <w:rsid w:val="006D254C"/>
    <w:rsid w:val="006D2EE3"/>
    <w:rsid w:val="006D31EE"/>
    <w:rsid w:val="006D5A24"/>
    <w:rsid w:val="006D71BF"/>
    <w:rsid w:val="006D732C"/>
    <w:rsid w:val="006E5325"/>
    <w:rsid w:val="006F78F0"/>
    <w:rsid w:val="006F7C9F"/>
    <w:rsid w:val="00706F97"/>
    <w:rsid w:val="00707F74"/>
    <w:rsid w:val="007201C7"/>
    <w:rsid w:val="0072059E"/>
    <w:rsid w:val="00722173"/>
    <w:rsid w:val="00726AF2"/>
    <w:rsid w:val="00730DAF"/>
    <w:rsid w:val="00731F4C"/>
    <w:rsid w:val="00741BEF"/>
    <w:rsid w:val="00743CD4"/>
    <w:rsid w:val="00745CE6"/>
    <w:rsid w:val="00746462"/>
    <w:rsid w:val="00746CB6"/>
    <w:rsid w:val="00752817"/>
    <w:rsid w:val="00764416"/>
    <w:rsid w:val="00767272"/>
    <w:rsid w:val="00773B4C"/>
    <w:rsid w:val="00775BDE"/>
    <w:rsid w:val="00775FC8"/>
    <w:rsid w:val="007904AA"/>
    <w:rsid w:val="007905A5"/>
    <w:rsid w:val="007A0A87"/>
    <w:rsid w:val="007A2E2F"/>
    <w:rsid w:val="007A7BE0"/>
    <w:rsid w:val="007B0BDD"/>
    <w:rsid w:val="007B5F73"/>
    <w:rsid w:val="007B6620"/>
    <w:rsid w:val="007C1BFD"/>
    <w:rsid w:val="007C551B"/>
    <w:rsid w:val="007D1385"/>
    <w:rsid w:val="007D1D41"/>
    <w:rsid w:val="007D27B7"/>
    <w:rsid w:val="007D5856"/>
    <w:rsid w:val="007F198B"/>
    <w:rsid w:val="007F5C27"/>
    <w:rsid w:val="00804663"/>
    <w:rsid w:val="008078EB"/>
    <w:rsid w:val="00812E33"/>
    <w:rsid w:val="00814307"/>
    <w:rsid w:val="008161F9"/>
    <w:rsid w:val="00817942"/>
    <w:rsid w:val="008208C7"/>
    <w:rsid w:val="00820D6A"/>
    <w:rsid w:val="008246F7"/>
    <w:rsid w:val="00831C74"/>
    <w:rsid w:val="00834239"/>
    <w:rsid w:val="008415A1"/>
    <w:rsid w:val="00852732"/>
    <w:rsid w:val="008635F1"/>
    <w:rsid w:val="008642E2"/>
    <w:rsid w:val="00865AE5"/>
    <w:rsid w:val="00866D03"/>
    <w:rsid w:val="00867A30"/>
    <w:rsid w:val="00876B7C"/>
    <w:rsid w:val="00881F46"/>
    <w:rsid w:val="00884788"/>
    <w:rsid w:val="00887161"/>
    <w:rsid w:val="008A52FD"/>
    <w:rsid w:val="008A6E85"/>
    <w:rsid w:val="008B0B14"/>
    <w:rsid w:val="008B3BA4"/>
    <w:rsid w:val="008B4AA5"/>
    <w:rsid w:val="008C677E"/>
    <w:rsid w:val="008C6A77"/>
    <w:rsid w:val="008D0320"/>
    <w:rsid w:val="008E271D"/>
    <w:rsid w:val="008E5CAF"/>
    <w:rsid w:val="008E74EB"/>
    <w:rsid w:val="008F13D2"/>
    <w:rsid w:val="008F479B"/>
    <w:rsid w:val="008F4C4F"/>
    <w:rsid w:val="008F4F07"/>
    <w:rsid w:val="008F6416"/>
    <w:rsid w:val="008F6DC8"/>
    <w:rsid w:val="009073D5"/>
    <w:rsid w:val="00910EB9"/>
    <w:rsid w:val="00912222"/>
    <w:rsid w:val="009145E6"/>
    <w:rsid w:val="00914D91"/>
    <w:rsid w:val="009158C2"/>
    <w:rsid w:val="0091644D"/>
    <w:rsid w:val="00927FF4"/>
    <w:rsid w:val="00935567"/>
    <w:rsid w:val="00936060"/>
    <w:rsid w:val="00944012"/>
    <w:rsid w:val="00945B36"/>
    <w:rsid w:val="0095238F"/>
    <w:rsid w:val="00960DE9"/>
    <w:rsid w:val="0096471C"/>
    <w:rsid w:val="00964AE9"/>
    <w:rsid w:val="0097464C"/>
    <w:rsid w:val="00975B01"/>
    <w:rsid w:val="00990CE6"/>
    <w:rsid w:val="00990E0F"/>
    <w:rsid w:val="009A65BA"/>
    <w:rsid w:val="009B03A7"/>
    <w:rsid w:val="009B0D15"/>
    <w:rsid w:val="009B27D4"/>
    <w:rsid w:val="009C0B72"/>
    <w:rsid w:val="009C2DA5"/>
    <w:rsid w:val="009D3309"/>
    <w:rsid w:val="009D4B2F"/>
    <w:rsid w:val="009E4A83"/>
    <w:rsid w:val="009E68BC"/>
    <w:rsid w:val="009E75A6"/>
    <w:rsid w:val="009F7626"/>
    <w:rsid w:val="00A22733"/>
    <w:rsid w:val="00A244A9"/>
    <w:rsid w:val="00A3220E"/>
    <w:rsid w:val="00A40992"/>
    <w:rsid w:val="00A43956"/>
    <w:rsid w:val="00A46FF0"/>
    <w:rsid w:val="00A659D7"/>
    <w:rsid w:val="00A661A5"/>
    <w:rsid w:val="00A77E18"/>
    <w:rsid w:val="00A82658"/>
    <w:rsid w:val="00A87D69"/>
    <w:rsid w:val="00A9771F"/>
    <w:rsid w:val="00AA2920"/>
    <w:rsid w:val="00AA5AE5"/>
    <w:rsid w:val="00AA649B"/>
    <w:rsid w:val="00AB4772"/>
    <w:rsid w:val="00AB4A3A"/>
    <w:rsid w:val="00AC2BC9"/>
    <w:rsid w:val="00AD0284"/>
    <w:rsid w:val="00AE170F"/>
    <w:rsid w:val="00AE6B13"/>
    <w:rsid w:val="00AE79FC"/>
    <w:rsid w:val="00AF36B9"/>
    <w:rsid w:val="00AF55A4"/>
    <w:rsid w:val="00B13F7F"/>
    <w:rsid w:val="00B16BA3"/>
    <w:rsid w:val="00B17845"/>
    <w:rsid w:val="00B30B07"/>
    <w:rsid w:val="00B315A5"/>
    <w:rsid w:val="00B41AD0"/>
    <w:rsid w:val="00B446E1"/>
    <w:rsid w:val="00B510E3"/>
    <w:rsid w:val="00B75327"/>
    <w:rsid w:val="00B94E4A"/>
    <w:rsid w:val="00B95E50"/>
    <w:rsid w:val="00B9731C"/>
    <w:rsid w:val="00BA282E"/>
    <w:rsid w:val="00BA5828"/>
    <w:rsid w:val="00BA7DC4"/>
    <w:rsid w:val="00BB11F4"/>
    <w:rsid w:val="00BB5126"/>
    <w:rsid w:val="00BB7243"/>
    <w:rsid w:val="00BC0522"/>
    <w:rsid w:val="00BC3D9C"/>
    <w:rsid w:val="00BC7C6E"/>
    <w:rsid w:val="00BD4BCB"/>
    <w:rsid w:val="00BD6F15"/>
    <w:rsid w:val="00BE1151"/>
    <w:rsid w:val="00BE257C"/>
    <w:rsid w:val="00BE3AC5"/>
    <w:rsid w:val="00BE4ACC"/>
    <w:rsid w:val="00BF3403"/>
    <w:rsid w:val="00BF5A6C"/>
    <w:rsid w:val="00BF5FF2"/>
    <w:rsid w:val="00C02E1B"/>
    <w:rsid w:val="00C06223"/>
    <w:rsid w:val="00C06514"/>
    <w:rsid w:val="00C10941"/>
    <w:rsid w:val="00C10EF0"/>
    <w:rsid w:val="00C121C8"/>
    <w:rsid w:val="00C13BF1"/>
    <w:rsid w:val="00C140DD"/>
    <w:rsid w:val="00C15E57"/>
    <w:rsid w:val="00C20471"/>
    <w:rsid w:val="00C30491"/>
    <w:rsid w:val="00C30E07"/>
    <w:rsid w:val="00C316B1"/>
    <w:rsid w:val="00C31AD2"/>
    <w:rsid w:val="00C324BD"/>
    <w:rsid w:val="00C33554"/>
    <w:rsid w:val="00C35B7F"/>
    <w:rsid w:val="00C36A9C"/>
    <w:rsid w:val="00C41736"/>
    <w:rsid w:val="00C51CE2"/>
    <w:rsid w:val="00C5479B"/>
    <w:rsid w:val="00C559AB"/>
    <w:rsid w:val="00C55E6C"/>
    <w:rsid w:val="00C64040"/>
    <w:rsid w:val="00C64212"/>
    <w:rsid w:val="00C654F4"/>
    <w:rsid w:val="00C67321"/>
    <w:rsid w:val="00C67C79"/>
    <w:rsid w:val="00C716B4"/>
    <w:rsid w:val="00C72867"/>
    <w:rsid w:val="00C72928"/>
    <w:rsid w:val="00C83076"/>
    <w:rsid w:val="00C963C2"/>
    <w:rsid w:val="00C973BD"/>
    <w:rsid w:val="00CA28E4"/>
    <w:rsid w:val="00CA4D9E"/>
    <w:rsid w:val="00CA5725"/>
    <w:rsid w:val="00CB0FD1"/>
    <w:rsid w:val="00CB3466"/>
    <w:rsid w:val="00CB5D1A"/>
    <w:rsid w:val="00CC56E7"/>
    <w:rsid w:val="00CC574C"/>
    <w:rsid w:val="00CC59D2"/>
    <w:rsid w:val="00CC6453"/>
    <w:rsid w:val="00CD00CE"/>
    <w:rsid w:val="00CD126D"/>
    <w:rsid w:val="00CD1752"/>
    <w:rsid w:val="00CD3C52"/>
    <w:rsid w:val="00CD632E"/>
    <w:rsid w:val="00CE51AE"/>
    <w:rsid w:val="00CF219F"/>
    <w:rsid w:val="00CF69EE"/>
    <w:rsid w:val="00D02AF8"/>
    <w:rsid w:val="00D04B59"/>
    <w:rsid w:val="00D07BD0"/>
    <w:rsid w:val="00D10840"/>
    <w:rsid w:val="00D11945"/>
    <w:rsid w:val="00D13B94"/>
    <w:rsid w:val="00D14F20"/>
    <w:rsid w:val="00D24709"/>
    <w:rsid w:val="00D2482C"/>
    <w:rsid w:val="00D26954"/>
    <w:rsid w:val="00D325F9"/>
    <w:rsid w:val="00D34033"/>
    <w:rsid w:val="00D344D9"/>
    <w:rsid w:val="00D35902"/>
    <w:rsid w:val="00D447E7"/>
    <w:rsid w:val="00D45821"/>
    <w:rsid w:val="00D45B68"/>
    <w:rsid w:val="00D52706"/>
    <w:rsid w:val="00D543DE"/>
    <w:rsid w:val="00D54626"/>
    <w:rsid w:val="00D54EAE"/>
    <w:rsid w:val="00D61CA2"/>
    <w:rsid w:val="00D63D9C"/>
    <w:rsid w:val="00D65DB1"/>
    <w:rsid w:val="00D67716"/>
    <w:rsid w:val="00D6771E"/>
    <w:rsid w:val="00D7578F"/>
    <w:rsid w:val="00D773F8"/>
    <w:rsid w:val="00D87206"/>
    <w:rsid w:val="00D876B8"/>
    <w:rsid w:val="00D87CFF"/>
    <w:rsid w:val="00D92969"/>
    <w:rsid w:val="00D945F5"/>
    <w:rsid w:val="00DA25B0"/>
    <w:rsid w:val="00DA4121"/>
    <w:rsid w:val="00DC274E"/>
    <w:rsid w:val="00DD07D4"/>
    <w:rsid w:val="00DE10FB"/>
    <w:rsid w:val="00DE313B"/>
    <w:rsid w:val="00DE7B49"/>
    <w:rsid w:val="00DF2815"/>
    <w:rsid w:val="00E120A6"/>
    <w:rsid w:val="00E12908"/>
    <w:rsid w:val="00E22CBE"/>
    <w:rsid w:val="00E2302C"/>
    <w:rsid w:val="00E23816"/>
    <w:rsid w:val="00E24232"/>
    <w:rsid w:val="00E247D0"/>
    <w:rsid w:val="00E40FD3"/>
    <w:rsid w:val="00E46700"/>
    <w:rsid w:val="00E47F25"/>
    <w:rsid w:val="00E5514C"/>
    <w:rsid w:val="00E560C9"/>
    <w:rsid w:val="00E56ECD"/>
    <w:rsid w:val="00E64F44"/>
    <w:rsid w:val="00E65290"/>
    <w:rsid w:val="00E83D0C"/>
    <w:rsid w:val="00E84C0D"/>
    <w:rsid w:val="00E86BB9"/>
    <w:rsid w:val="00E9067D"/>
    <w:rsid w:val="00E95023"/>
    <w:rsid w:val="00E963D8"/>
    <w:rsid w:val="00E97AA2"/>
    <w:rsid w:val="00E97BA1"/>
    <w:rsid w:val="00EA05E8"/>
    <w:rsid w:val="00EA1C98"/>
    <w:rsid w:val="00EB26E3"/>
    <w:rsid w:val="00EB416F"/>
    <w:rsid w:val="00EC6D10"/>
    <w:rsid w:val="00ED1C29"/>
    <w:rsid w:val="00ED3EF3"/>
    <w:rsid w:val="00ED6B15"/>
    <w:rsid w:val="00ED6DB6"/>
    <w:rsid w:val="00EE34DA"/>
    <w:rsid w:val="00EE496A"/>
    <w:rsid w:val="00EF168B"/>
    <w:rsid w:val="00EF5EA9"/>
    <w:rsid w:val="00F22793"/>
    <w:rsid w:val="00F2739D"/>
    <w:rsid w:val="00F33AAC"/>
    <w:rsid w:val="00F37A43"/>
    <w:rsid w:val="00F448CC"/>
    <w:rsid w:val="00F53BD4"/>
    <w:rsid w:val="00F66F30"/>
    <w:rsid w:val="00F67A76"/>
    <w:rsid w:val="00F73285"/>
    <w:rsid w:val="00F872D1"/>
    <w:rsid w:val="00F93481"/>
    <w:rsid w:val="00F935AF"/>
    <w:rsid w:val="00F9640F"/>
    <w:rsid w:val="00F97E75"/>
    <w:rsid w:val="00FA01A4"/>
    <w:rsid w:val="00FA5955"/>
    <w:rsid w:val="00FB16D9"/>
    <w:rsid w:val="00FB4F85"/>
    <w:rsid w:val="00FB5BC2"/>
    <w:rsid w:val="00FC67DA"/>
    <w:rsid w:val="00FC69B1"/>
    <w:rsid w:val="00FD29E6"/>
    <w:rsid w:val="00FD2BF7"/>
    <w:rsid w:val="00FE0391"/>
    <w:rsid w:val="00FE4985"/>
    <w:rsid w:val="00FF4955"/>
    <w:rsid w:val="29A246B9"/>
    <w:rsid w:val="5F2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79803"/>
  <w15:docId w15:val="{8BB58315-DE0F-466C-9B09-5A5FBD8C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B0F"/>
  </w:style>
  <w:style w:type="paragraph" w:styleId="Nagwek1">
    <w:name w:val="heading 1"/>
    <w:basedOn w:val="Normalny"/>
    <w:next w:val="Normalny"/>
    <w:link w:val="Nagwek1Znak"/>
    <w:uiPriority w:val="9"/>
    <w:qFormat/>
    <w:rsid w:val="00682B4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E40"/>
  </w:style>
  <w:style w:type="paragraph" w:styleId="Stopka">
    <w:name w:val="footer"/>
    <w:basedOn w:val="Normalny"/>
    <w:link w:val="StopkaZnak"/>
    <w:uiPriority w:val="99"/>
    <w:unhideWhenUsed/>
    <w:rsid w:val="003F6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E40"/>
  </w:style>
  <w:style w:type="paragraph" w:styleId="Akapitzlist">
    <w:name w:val="List Paragraph"/>
    <w:aliases w:val="Akapit z listą1,Kolorowa lista — akcent 11,Numerowanie,List Paragraph,Listaszerű bekezdés1,List Paragraph à moi,Akapit z list?1,ListaszerA bekezdAs1,Numbered Para 1,No Spacing1,List Paragraph Char Char Char,Indicator Text,2,3,L,Bullet 1"/>
    <w:basedOn w:val="Normalny"/>
    <w:link w:val="AkapitzlistZnak"/>
    <w:uiPriority w:val="34"/>
    <w:qFormat/>
    <w:rsid w:val="003F6E4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character" w:customStyle="1" w:styleId="AkapitzlistZnak">
    <w:name w:val="Akapit z listą Znak"/>
    <w:aliases w:val="Akapit z listą1 Znak,Kolorowa lista — akcent 11 Znak,Numerowanie Znak,List Paragraph Znak,Listaszerű bekezdés1 Znak,List Paragraph à moi Znak,Akapit z list?1 Znak,ListaszerA bekezdAs1 Znak,Numbered Para 1 Znak,No Spacing1 Znak,2 Znak"/>
    <w:link w:val="Akapitzlist"/>
    <w:uiPriority w:val="34"/>
    <w:qFormat/>
    <w:locked/>
    <w:rsid w:val="003F6E40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Bezodstpw">
    <w:name w:val="No Spacing"/>
    <w:uiPriority w:val="1"/>
    <w:qFormat/>
    <w:rsid w:val="003F6E4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kstprzypisudolnego">
    <w:name w:val="footnote text"/>
    <w:aliases w:val="single space,Footnote Text Char Char,Footnote Text Char Char Char,-E Fuﬂnotentext,Fuﬂnotentext Ursprung,Fußnotentext Ursprung,-E Fußnotentext,Podrozdział,Przypis,Footnote,Podrozdzia3,Tekst przypisu SZ_2007,Char Char,Znak,Plonk,o"/>
    <w:basedOn w:val="Normalny"/>
    <w:link w:val="TekstprzypisudolnegoZnak"/>
    <w:unhideWhenUsed/>
    <w:qFormat/>
    <w:rsid w:val="002B37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single space Znak,Footnote Text Char Char Znak,Footnote Text Char Char Char Znak,-E Fuﬂnotentext Znak,Fuﬂnotentext Ursprung Znak,Fußnotentext Ursprung Znak,-E Fußnotentext Znak,Podrozdział Znak,Przypis Znak,Footnote Znak"/>
    <w:basedOn w:val="Domylnaczcionkaakapitu"/>
    <w:link w:val="Tekstprzypisudolnego"/>
    <w:qFormat/>
    <w:rsid w:val="002B37A0"/>
    <w:rPr>
      <w:sz w:val="20"/>
      <w:szCs w:val="20"/>
    </w:rPr>
  </w:style>
  <w:style w:type="character" w:styleId="Odwoanieprzypisudolnego">
    <w:name w:val="footnote reference"/>
    <w:aliases w:val="SUPERS, Znak Znak4 Znak Znak Znak Znak Znak Znak Znak Znak,Znak Znak4,Znak Znak41,MIP Footnote Reference,stylish,Footnote Reference Superscript,BVI fnr,Footnote symbol,Footnote symboFußnotenzeichen,Footnote sign,E FNZ,R,Ref"/>
    <w:basedOn w:val="Domylnaczcionkaakapitu"/>
    <w:link w:val="FootnotesymbolCarZchn"/>
    <w:unhideWhenUsed/>
    <w:qFormat/>
    <w:rsid w:val="002B37A0"/>
    <w:rPr>
      <w:vertAlign w:val="superscript"/>
    </w:rPr>
  </w:style>
  <w:style w:type="numbering" w:customStyle="1" w:styleId="Zaimportowanystyl20">
    <w:name w:val="Zaimportowany styl 2.0"/>
    <w:rsid w:val="00DE313B"/>
    <w:pPr>
      <w:numPr>
        <w:numId w:val="3"/>
      </w:numPr>
    </w:pPr>
  </w:style>
  <w:style w:type="paragraph" w:styleId="Listapunktowana">
    <w:name w:val="List Bullet"/>
    <w:basedOn w:val="Normalny"/>
    <w:rsid w:val="005D09B5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-rtethemeforecolor-2-0">
    <w:name w:val="ms-rtethemeforecolor-2-0"/>
    <w:basedOn w:val="Domylnaczcionkaakapitu"/>
    <w:rsid w:val="00C36A9C"/>
  </w:style>
  <w:style w:type="table" w:styleId="Tabela-Siatka">
    <w:name w:val="Table Grid"/>
    <w:basedOn w:val="Standardowy"/>
    <w:uiPriority w:val="39"/>
    <w:rsid w:val="0086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4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7D0"/>
    <w:rPr>
      <w:rFonts w:ascii="Tahoma" w:hAnsi="Tahoma" w:cs="Tahoma"/>
      <w:sz w:val="16"/>
      <w:szCs w:val="16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rsid w:val="00267F95"/>
    <w:pPr>
      <w:spacing w:line="240" w:lineRule="exact"/>
      <w:jc w:val="both"/>
    </w:pPr>
    <w:rPr>
      <w:vertAlign w:val="superscript"/>
    </w:rPr>
  </w:style>
  <w:style w:type="paragraph" w:customStyle="1" w:styleId="Nagdospisutreci">
    <w:name w:val="Nag do spisu treści"/>
    <w:basedOn w:val="Akapitzlist"/>
    <w:link w:val="NagdospisutreciZnak"/>
    <w:qFormat/>
    <w:rsid w:val="00267F95"/>
    <w:pPr>
      <w:numPr>
        <w:numId w:val="5"/>
      </w:numPr>
      <w:suppressAutoHyphens w:val="0"/>
      <w:spacing w:after="160"/>
      <w:jc w:val="both"/>
    </w:pPr>
    <w:rPr>
      <w:color w:val="000000" w:themeColor="text1"/>
      <w:kern w:val="0"/>
      <w:lang w:val="pl-PL" w:eastAsia="pl-PL"/>
    </w:rPr>
  </w:style>
  <w:style w:type="character" w:customStyle="1" w:styleId="NagdospisutreciZnak">
    <w:name w:val="Nag do spisu treści Znak"/>
    <w:basedOn w:val="Domylnaczcionkaakapitu"/>
    <w:link w:val="Nagdospisutreci"/>
    <w:rsid w:val="00267F95"/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uiPriority w:val="99"/>
    <w:rsid w:val="008A6E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F93481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40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F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FD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10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10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10FB"/>
    <w:rPr>
      <w:vertAlign w:val="superscript"/>
    </w:rPr>
  </w:style>
  <w:style w:type="paragraph" w:customStyle="1" w:styleId="ManualNumPar1">
    <w:name w:val="Manual NumPar 1"/>
    <w:basedOn w:val="Normalny"/>
    <w:next w:val="Normalny"/>
    <w:rsid w:val="00DE10FB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82B4A"/>
    <w:rPr>
      <w:rFonts w:ascii="Arial" w:eastAsiaTheme="majorEastAsia" w:hAnsi="Arial" w:cstheme="majorBidi"/>
      <w:color w:val="2E74B5" w:themeColor="accent1" w:themeShade="BF"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D254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D25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D254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D254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452D8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70C9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22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2031">
          <w:marLeft w:val="162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9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29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175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650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73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10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86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7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28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79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7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8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iznes.gov.pl/pl/portal/ou751" TargetMode="External"/><Relationship Id="rId18" Type="http://schemas.openxmlformats.org/officeDocument/2006/relationships/hyperlink" Target="https://ec.europa.eu/defence-industry-space/defence-sector-call-experts-assist-european-commission-evaluation-proposals-submitted-funding-under_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gov.pl/web/gov/uzyskaj-zaswiadczenie-z-krajowego-rejestru-karnego" TargetMode="External"/><Relationship Id="rId17" Type="http://schemas.openxmlformats.org/officeDocument/2006/relationships/hyperlink" Target="https://ec.europa.eu/defence-industry-space/defence-sector-call-experts-assist-european-commission-evaluation-proposals-submitted-funding-under_e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eda.europa.eu/what-we-do/research-technology/capability-technology-areas-(captechs)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a.europa.eu/what-we-do/research-technology/capability-technology-areas-(captechs)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defence-industry-space.ec.europa.eu/edf-work-programme-2026_en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eur-lex.europa.eu/legal-content/EN/TXT/?uri=uriserv%3AOJ.L_.2021.170.01.0149.01.ENG&amp;toc=OJ%3AL%3A2021%3A170%3ATOC" TargetMode="External"/><Relationship Id="rId19" Type="http://schemas.openxmlformats.org/officeDocument/2006/relationships/hyperlink" Target="https://ec.europa.eu/defence-industry-space/eu-defence-industry/european-defence-fund-edf/network-european-defence-fund-national-focal-points-nfp_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iznes.gov.pl/pl/portal/ou75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53U2VKY0k1OGZyT0pyTnN6K2tld3BXaUo4WmZ4OTBPd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ML6uwhM7e79QME6xjuKRCPhzKCNR3llueYuKlbmrLAQ=</DigestValue>
      </Reference>
      <Reference URI="#INFO">
        <DigestMethod Algorithm="http://www.w3.org/2001/04/xmlenc#sha256"/>
        <DigestValue>FYUl31pND/xX6OyJ7Ko07LtwX9I8TB0bWMMKTs2Rvc8=</DigestValue>
      </Reference>
    </SignedInfo>
    <SignatureValue>LRiyIo0KfyjmaC/GuNSed4azrwfqL8ZlcmZ8MvyVQSxpEvec6NvOhEREa6NM0bcTIg7Hs1aceljm6Vdk8zmcyw==</SignatureValue>
    <Object Id="INFO">
      <ArrayOfString xmlns:xsd="http://www.w3.org/2001/XMLSchema" xmlns:xsi="http://www.w3.org/2001/XMLSchema-instance" xmlns="">
        <string>wSeJcI58frOJrNsz+kewpWiJ8Zfx90Ou</string>
      </ArrayOfString>
    </Object>
  </Signature>
</WrappedLabelInfo>
</file>

<file path=customXml/itemProps1.xml><?xml version="1.0" encoding="utf-8"?>
<ds:datastoreItem xmlns:ds="http://schemas.openxmlformats.org/officeDocument/2006/customXml" ds:itemID="{DC58BB0A-04B8-4D95-ABEE-3529716894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24E771-2BB8-4103-A2A1-C98423A61BA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1C0FD24-A976-439E-819D-25DF8D4CF57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2338</Words>
  <Characters>15969</Characters>
  <Application>Microsoft Office Word</Application>
  <DocSecurity>0</DocSecurity>
  <Lines>319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Prejna Karol</dc:creator>
  <cp:keywords/>
  <dc:description/>
  <cp:lastModifiedBy>Wróbel Artur</cp:lastModifiedBy>
  <cp:revision>2</cp:revision>
  <cp:lastPrinted>2024-04-04T08:13:00Z</cp:lastPrinted>
  <dcterms:created xsi:type="dcterms:W3CDTF">2026-02-13T08:10:00Z</dcterms:created>
  <dcterms:modified xsi:type="dcterms:W3CDTF">2026-02-13T08:10:00Z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ab64f4de-7759-41f8-b090-ae457a7e2b68</vt:lpwstr>
  </property>
  <property fmtid="{D5CDD505-2E9C-101B-9397-08002B2CF9AE}" pid="3" name="bjClsUserRVM">
    <vt:lpwstr>[]</vt:lpwstr>
  </property>
  <property fmtid="{D5CDD505-2E9C-101B-9397-08002B2CF9AE}" pid="4" name="bjSaver">
    <vt:lpwstr>bK9km/d9+eh3TaT6x7CcE+1JLvb4gExI</vt:lpwstr>
  </property>
  <property fmtid="{D5CDD505-2E9C-101B-9397-08002B2CF9AE}" pid="5" name="bjHeaderPrimaryTextBox">
    <vt:lpwstr>ZASTRZEŻONE</vt:lpwstr>
  </property>
  <property fmtid="{D5CDD505-2E9C-101B-9397-08002B2CF9AE}" pid="6" name="bjHeaderFirstTextBox">
    <vt:lpwstr>ZASTRZEŻONE</vt:lpwstr>
  </property>
  <property fmtid="{D5CDD505-2E9C-101B-9397-08002B2CF9AE}" pid="7" name="bjHeaderEvenTextBox">
    <vt:lpwstr>ZASTRZEŻONE</vt:lpwstr>
  </property>
  <property fmtid="{D5CDD505-2E9C-101B-9397-08002B2CF9AE}" pid="8" name="bjFooterPrimaryTextBox">
    <vt:lpwstr>ZASTRZEŻONE</vt:lpwstr>
  </property>
  <property fmtid="{D5CDD505-2E9C-101B-9397-08002B2CF9AE}" pid="9" name="bjFooterFirstTextBox">
    <vt:lpwstr>ZASTRZEŻONE</vt:lpwstr>
  </property>
  <property fmtid="{D5CDD505-2E9C-101B-9397-08002B2CF9AE}" pid="10" name="bjFooterEvenTextBox">
    <vt:lpwstr>ZASTRZEŻONE</vt:lpwstr>
  </property>
  <property fmtid="{D5CDD505-2E9C-101B-9397-08002B2CF9AE}" pid="11" name="bjDocumentSecurityLabel">
    <vt:lpwstr>[d7220eed-17a6-431d-810c-83a0ddfed893]</vt:lpwstr>
  </property>
  <property fmtid="{D5CDD505-2E9C-101B-9397-08002B2CF9AE}" pid="12" name="bjPortionMark">
    <vt:lpwstr>[]</vt:lpwstr>
  </property>
  <property fmtid="{D5CDD505-2E9C-101B-9397-08002B2CF9AE}" pid="13" name="bjpmDocIH">
    <vt:lpwstr>zYQ4Zgx1H4HRbx8DlUxUA4HQBx7nR7Ss</vt:lpwstr>
  </property>
  <property fmtid="{D5CDD505-2E9C-101B-9397-08002B2CF9AE}" pid="1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5" name="bjDocumentLabelXML-0">
    <vt:lpwstr>ames.com/2008/01/sie/internal/label"&gt;&lt;element uid="d7220eed-17a6-431d-810c-83a0ddfed893" value="" /&gt;&lt;/sisl&gt;</vt:lpwstr>
  </property>
</Properties>
</file>