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14:paraId="64B5257B"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60AB1265" w:rsidR="00B24866" w:rsidRPr="00E51A7D" w:rsidRDefault="00B86533" w:rsidP="00784CDE">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09</w:t>
      </w:r>
      <w:r w:rsidR="00B24866" w:rsidRPr="00E51A7D">
        <w:rPr>
          <w:rFonts w:ascii="Arial" w:eastAsia="Times New Roman" w:hAnsi="Arial" w:cs="Arial"/>
          <w:b/>
          <w:bCs/>
          <w:sz w:val="23"/>
          <w:szCs w:val="23"/>
          <w:lang w:eastAsia="pl-PL"/>
        </w:rPr>
        <w:t>/2019/WD/DEKiD</w:t>
      </w:r>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36AAF09"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DA717F">
        <w:rPr>
          <w:rFonts w:ascii="Arial" w:eastAsia="Times New Roman" w:hAnsi="Arial" w:cs="Arial"/>
          <w:sz w:val="23"/>
          <w:szCs w:val="23"/>
          <w:lang w:eastAsia="pl-PL"/>
        </w:rPr>
        <w:t xml:space="preserve"> (Dz. U. z 2019</w:t>
      </w:r>
      <w:r w:rsidR="001E08C9" w:rsidRPr="00E51A7D">
        <w:rPr>
          <w:rFonts w:ascii="Arial" w:eastAsia="Times New Roman" w:hAnsi="Arial" w:cs="Arial"/>
          <w:sz w:val="23"/>
          <w:szCs w:val="23"/>
          <w:lang w:eastAsia="pl-PL"/>
        </w:rPr>
        <w:t xml:space="preserve"> r., poz.</w:t>
      </w:r>
      <w:r w:rsidR="00DA717F">
        <w:rPr>
          <w:rFonts w:ascii="Arial" w:eastAsia="Times New Roman" w:hAnsi="Arial" w:cs="Arial"/>
          <w:sz w:val="23"/>
          <w:szCs w:val="23"/>
          <w:lang w:eastAsia="pl-PL"/>
        </w:rPr>
        <w:t xml:space="preserve"> 688</w:t>
      </w:r>
      <w:r w:rsidR="00BA1805" w:rsidRPr="00E51A7D">
        <w:rPr>
          <w:rFonts w:ascii="Arial" w:eastAsia="Times New Roman" w:hAnsi="Arial" w:cs="Arial"/>
          <w:sz w:val="23"/>
          <w:szCs w:val="23"/>
          <w:lang w:eastAsia="pl-PL"/>
        </w:rPr>
        <w:t>),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11E440A4"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w:t>
      </w:r>
      <w:r w:rsidR="00214B14">
        <w:rPr>
          <w:rFonts w:ascii="Arial" w:eastAsia="Times New Roman" w:hAnsi="Arial" w:cs="Arial"/>
          <w:sz w:val="23"/>
          <w:szCs w:val="23"/>
          <w:lang w:eastAsia="pl-PL"/>
        </w:rPr>
        <w:t>d</w:t>
      </w:r>
      <w:r w:rsidR="00BA1805" w:rsidRPr="00E51A7D">
        <w:rPr>
          <w:rFonts w:ascii="Arial" w:eastAsia="Times New Roman" w:hAnsi="Arial" w:cs="Arial"/>
          <w:sz w:val="23"/>
          <w:szCs w:val="23"/>
          <w:lang w:eastAsia="pl-PL"/>
        </w:rPr>
        <w:t>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z późn.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Obowiązkowe jest wypełnienie tabeli z dodatkowymi informacjami dotyczącymi rezultatów realizacji zadania, ze wskazaniem wskaźników rezultatu, sposobu monitorowania oraz źródła danych.</w:t>
      </w:r>
    </w:p>
    <w:p w14:paraId="4205C261" w14:textId="0FA90D97" w:rsidR="00A41C48" w:rsidRDefault="005C574E" w:rsidP="00A41C48">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Kosztorys zadania musi być czytelny i logiczny. W kalkulacji przewidywanych kosztów realizacji zadania n</w:t>
      </w:r>
      <w:r w:rsidR="001F34DF">
        <w:rPr>
          <w:rFonts w:ascii="Arial" w:eastAsia="Times New Roman" w:hAnsi="Arial" w:cs="Arial"/>
          <w:sz w:val="23"/>
          <w:szCs w:val="23"/>
          <w:lang w:eastAsia="pl-PL"/>
        </w:rPr>
        <w:t>ależy wpisać wszystkie działania</w:t>
      </w:r>
      <w:r w:rsidRPr="00E51A7D">
        <w:rPr>
          <w:rFonts w:ascii="Arial" w:eastAsia="Times New Roman" w:hAnsi="Arial" w:cs="Arial"/>
          <w:sz w:val="23"/>
          <w:szCs w:val="23"/>
          <w:lang w:eastAsia="pl-PL"/>
        </w:rPr>
        <w:t xml:space="preserve">, które zaplanowane zostały </w:t>
      </w:r>
      <w:r w:rsidR="001F34DF">
        <w:rPr>
          <w:rFonts w:ascii="Arial" w:eastAsia="Times New Roman" w:hAnsi="Arial" w:cs="Arial"/>
          <w:sz w:val="23"/>
          <w:szCs w:val="23"/>
          <w:lang w:eastAsia="pl-PL"/>
        </w:rPr>
        <w:br/>
      </w:r>
      <w:r w:rsidRPr="00E51A7D">
        <w:rPr>
          <w:rFonts w:ascii="Arial" w:eastAsia="Times New Roman" w:hAnsi="Arial" w:cs="Arial"/>
          <w:sz w:val="23"/>
          <w:szCs w:val="23"/>
          <w:lang w:eastAsia="pl-PL"/>
        </w:rPr>
        <w:t>do realizacji</w:t>
      </w:r>
      <w:r w:rsidR="001F34DF">
        <w:rPr>
          <w:rFonts w:ascii="Arial" w:eastAsia="Times New Roman" w:hAnsi="Arial" w:cs="Arial"/>
          <w:sz w:val="23"/>
          <w:szCs w:val="23"/>
          <w:lang w:eastAsia="pl-PL"/>
        </w:rPr>
        <w:t>.</w:t>
      </w:r>
    </w:p>
    <w:p w14:paraId="748E5ABE" w14:textId="015EEDFF" w:rsidR="00F030A3" w:rsidRPr="00FA6A14" w:rsidRDefault="00193ED9" w:rsidP="00FA6A14">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A41C48">
        <w:rPr>
          <w:rFonts w:ascii="Arial" w:eastAsia="Times New Roman" w:hAnsi="Arial" w:cs="Arial"/>
          <w:bCs/>
          <w:sz w:val="23"/>
          <w:szCs w:val="23"/>
          <w:lang w:eastAsia="pl-PL"/>
        </w:rPr>
        <w:t>Wymagany jest wkład własny finansowy pod</w:t>
      </w:r>
      <w:r w:rsidR="00D34CD7" w:rsidRPr="00A41C48">
        <w:rPr>
          <w:rFonts w:ascii="Arial" w:eastAsia="Times New Roman" w:hAnsi="Arial" w:cs="Arial"/>
          <w:bCs/>
          <w:sz w:val="23"/>
          <w:szCs w:val="23"/>
          <w:lang w:eastAsia="pl-PL"/>
        </w:rPr>
        <w:t>miotu wnioskującego o dotację w </w:t>
      </w:r>
      <w:r w:rsidRPr="00A41C48">
        <w:rPr>
          <w:rFonts w:ascii="Arial" w:eastAsia="Times New Roman" w:hAnsi="Arial" w:cs="Arial"/>
          <w:bCs/>
          <w:sz w:val="23"/>
          <w:szCs w:val="23"/>
          <w:lang w:eastAsia="pl-PL"/>
        </w:rPr>
        <w:t>wysokości minimum 10 % planowanej kwoty dotacji.</w:t>
      </w:r>
      <w:r w:rsidR="00A41C48" w:rsidRPr="00A41C48">
        <w:rPr>
          <w:rFonts w:ascii="Arial" w:eastAsia="Times New Roman" w:hAnsi="Arial" w:cs="Arial"/>
          <w:bCs/>
          <w:sz w:val="23"/>
          <w:szCs w:val="23"/>
          <w:lang w:eastAsia="pl-PL"/>
        </w:rPr>
        <w:t xml:space="preserve"> Do </w:t>
      </w:r>
      <w:r w:rsidR="00F030A3">
        <w:rPr>
          <w:rFonts w:ascii="Arial" w:eastAsia="Times New Roman" w:hAnsi="Arial" w:cs="Arial"/>
          <w:bCs/>
          <w:sz w:val="23"/>
          <w:szCs w:val="23"/>
          <w:lang w:eastAsia="pl-PL"/>
        </w:rPr>
        <w:t>ww. wkła</w:t>
      </w:r>
      <w:r w:rsidR="008622A3">
        <w:rPr>
          <w:rFonts w:ascii="Arial" w:eastAsia="Times New Roman" w:hAnsi="Arial" w:cs="Arial"/>
          <w:bCs/>
          <w:sz w:val="23"/>
          <w:szCs w:val="23"/>
          <w:lang w:eastAsia="pl-PL"/>
        </w:rPr>
        <w:t xml:space="preserve">du własnego finansowego podmiotu </w:t>
      </w:r>
      <w:r w:rsidR="00F030A3">
        <w:rPr>
          <w:rFonts w:ascii="Arial" w:eastAsia="Times New Roman" w:hAnsi="Arial" w:cs="Arial"/>
          <w:b/>
          <w:bCs/>
          <w:sz w:val="23"/>
          <w:szCs w:val="23"/>
          <w:lang w:eastAsia="pl-PL"/>
        </w:rPr>
        <w:t>nie wlicza się:</w:t>
      </w:r>
    </w:p>
    <w:p w14:paraId="143C1234" w14:textId="77777777" w:rsidR="00F030A3" w:rsidRDefault="00F030A3" w:rsidP="00F030A3">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środków finansowych z innych źródeł publicznych,</w:t>
      </w:r>
    </w:p>
    <w:p w14:paraId="5F930D03" w14:textId="5375FA15" w:rsidR="00F030A3" w:rsidRDefault="00F030A3" w:rsidP="00F030A3">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xml:space="preserve">- pozostałych </w:t>
      </w:r>
      <w:r w:rsidR="00FA6A14">
        <w:rPr>
          <w:rFonts w:ascii="Arial" w:eastAsia="Times New Roman" w:hAnsi="Arial" w:cs="Arial"/>
          <w:bCs/>
          <w:sz w:val="23"/>
          <w:szCs w:val="23"/>
          <w:lang w:eastAsia="pl-PL"/>
        </w:rPr>
        <w:t>środków finansowych,</w:t>
      </w:r>
    </w:p>
    <w:p w14:paraId="7007CBC5" w14:textId="20737A81" w:rsidR="00FA6A14" w:rsidRPr="00E51A7D" w:rsidRDefault="00FA6A14" w:rsidP="00F030A3">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świadczeń pieniężnych od odbiorców zadania.</w:t>
      </w:r>
    </w:p>
    <w:p w14:paraId="4745F572" w14:textId="47694DE6" w:rsidR="00A41C48" w:rsidRPr="001C0F5C" w:rsidRDefault="001C0F5C" w:rsidP="001C0F5C">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7F320D">
        <w:rPr>
          <w:rFonts w:ascii="Arial" w:eastAsia="Times New Roman" w:hAnsi="Arial" w:cs="Arial"/>
          <w:b/>
          <w:bCs/>
          <w:sz w:val="23"/>
          <w:szCs w:val="23"/>
          <w:lang w:eastAsia="pl-PL"/>
        </w:rPr>
        <w:t>Wkład własny finansowy</w:t>
      </w:r>
      <w:r>
        <w:rPr>
          <w:rFonts w:ascii="Arial" w:eastAsia="Times New Roman" w:hAnsi="Arial" w:cs="Arial"/>
          <w:bCs/>
          <w:sz w:val="23"/>
          <w:szCs w:val="23"/>
          <w:lang w:eastAsia="pl-PL"/>
        </w:rPr>
        <w:t xml:space="preserve">, o którym mowa w pkt. 3.1 tabeli V.B oferty obejmuje: </w:t>
      </w:r>
      <w:r w:rsidR="007F320D">
        <w:rPr>
          <w:rFonts w:ascii="Arial" w:eastAsia="Times New Roman" w:hAnsi="Arial" w:cs="Arial"/>
          <w:bCs/>
          <w:sz w:val="23"/>
          <w:szCs w:val="23"/>
          <w:lang w:eastAsia="pl-PL"/>
        </w:rPr>
        <w:br/>
      </w:r>
      <w:r>
        <w:rPr>
          <w:rFonts w:ascii="Arial" w:eastAsia="Times New Roman" w:hAnsi="Arial" w:cs="Arial"/>
          <w:bCs/>
          <w:sz w:val="23"/>
          <w:szCs w:val="23"/>
          <w:lang w:eastAsia="pl-PL"/>
        </w:rPr>
        <w:t>wkład włas</w:t>
      </w:r>
      <w:r w:rsidR="00753FAB">
        <w:rPr>
          <w:rFonts w:ascii="Arial" w:eastAsia="Times New Roman" w:hAnsi="Arial" w:cs="Arial"/>
          <w:bCs/>
          <w:sz w:val="23"/>
          <w:szCs w:val="23"/>
          <w:lang w:eastAsia="pl-PL"/>
        </w:rPr>
        <w:t xml:space="preserve">ny finansowy podmiotu (minimum 10% </w:t>
      </w:r>
      <w:r>
        <w:rPr>
          <w:rFonts w:ascii="Arial" w:eastAsia="Times New Roman" w:hAnsi="Arial" w:cs="Arial"/>
          <w:bCs/>
          <w:sz w:val="23"/>
          <w:szCs w:val="23"/>
          <w:lang w:eastAsia="pl-PL"/>
        </w:rPr>
        <w:t>wnioskowanej kwoty dotacji</w:t>
      </w:r>
      <w:r w:rsidR="00753FAB">
        <w:rPr>
          <w:rFonts w:ascii="Arial" w:eastAsia="Times New Roman" w:hAnsi="Arial" w:cs="Arial"/>
          <w:bCs/>
          <w:sz w:val="23"/>
          <w:szCs w:val="23"/>
          <w:lang w:eastAsia="pl-PL"/>
        </w:rPr>
        <w:t>) oraz ewentualne środki</w:t>
      </w:r>
      <w:r w:rsidR="00A41C48" w:rsidRPr="001C0F5C">
        <w:rPr>
          <w:rFonts w:ascii="Arial" w:eastAsia="Times New Roman" w:hAnsi="Arial" w:cs="Arial"/>
          <w:bCs/>
          <w:sz w:val="23"/>
          <w:szCs w:val="23"/>
          <w:lang w:eastAsia="pl-PL"/>
        </w:rPr>
        <w:t xml:space="preserve"> finansow</w:t>
      </w:r>
      <w:r w:rsidR="00753FAB">
        <w:rPr>
          <w:rFonts w:ascii="Arial" w:eastAsia="Times New Roman" w:hAnsi="Arial" w:cs="Arial"/>
          <w:bCs/>
          <w:sz w:val="23"/>
          <w:szCs w:val="23"/>
          <w:lang w:eastAsia="pl-PL"/>
        </w:rPr>
        <w:t>e</w:t>
      </w:r>
      <w:r w:rsidR="00182912">
        <w:rPr>
          <w:rFonts w:ascii="Arial" w:eastAsia="Times New Roman" w:hAnsi="Arial" w:cs="Arial"/>
          <w:bCs/>
          <w:sz w:val="23"/>
          <w:szCs w:val="23"/>
          <w:lang w:eastAsia="pl-PL"/>
        </w:rPr>
        <w:t xml:space="preserve"> z innych źródeł publicznych i </w:t>
      </w:r>
      <w:r w:rsidR="00753FAB">
        <w:rPr>
          <w:rFonts w:ascii="Arial" w:eastAsia="Times New Roman" w:hAnsi="Arial" w:cs="Arial"/>
          <w:bCs/>
          <w:sz w:val="23"/>
          <w:szCs w:val="23"/>
          <w:lang w:eastAsia="pl-PL"/>
        </w:rPr>
        <w:t>pozostałe środki</w:t>
      </w:r>
      <w:r w:rsidR="00A41C48" w:rsidRPr="001C0F5C">
        <w:rPr>
          <w:rFonts w:ascii="Arial" w:eastAsia="Times New Roman" w:hAnsi="Arial" w:cs="Arial"/>
          <w:bCs/>
          <w:sz w:val="23"/>
          <w:szCs w:val="23"/>
          <w:lang w:eastAsia="pl-PL"/>
        </w:rPr>
        <w:t xml:space="preserve"> </w:t>
      </w:r>
      <w:r w:rsidR="00182912">
        <w:rPr>
          <w:rFonts w:ascii="Arial" w:eastAsia="Times New Roman" w:hAnsi="Arial" w:cs="Arial"/>
          <w:bCs/>
          <w:sz w:val="23"/>
          <w:szCs w:val="23"/>
          <w:lang w:eastAsia="pl-PL"/>
        </w:rPr>
        <w:t>finansowe.</w:t>
      </w:r>
    </w:p>
    <w:p w14:paraId="73D031C7" w14:textId="5D5A8D46" w:rsidR="00091E3E" w:rsidRPr="00E51A7D" w:rsidRDefault="00193ED9" w:rsidP="00A41C48">
      <w:pPr>
        <w:pStyle w:val="Akapitzlist"/>
        <w:numPr>
          <w:ilvl w:val="0"/>
          <w:numId w:val="11"/>
        </w:numPr>
        <w:suppressAutoHyphens/>
        <w:autoSpaceDN w:val="0"/>
        <w:spacing w:before="120" w:after="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r w:rsidR="00091E3E">
        <w:rPr>
          <w:rFonts w:ascii="Arial" w:eastAsia="Times New Roman" w:hAnsi="Arial" w:cs="Arial"/>
          <w:bCs/>
          <w:sz w:val="23"/>
          <w:szCs w:val="23"/>
          <w:lang w:eastAsia="pl-PL"/>
        </w:rPr>
        <w:t xml:space="preserve"> </w:t>
      </w:r>
    </w:p>
    <w:p w14:paraId="1AEF46BF" w14:textId="77777777" w:rsidR="00193ED9" w:rsidRPr="00E51A7D" w:rsidRDefault="00193ED9" w:rsidP="00091E3E">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48F60FF3"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213745">
        <w:rPr>
          <w:rFonts w:ascii="Arial" w:eastAsia="Times New Roman" w:hAnsi="Arial" w:cs="Arial"/>
          <w:sz w:val="23"/>
          <w:szCs w:val="23"/>
          <w:lang w:eastAsia="pl-PL"/>
        </w:rPr>
        <w:t xml:space="preserve"> w ofercie muszą</w:t>
      </w:r>
      <w:r w:rsidR="00E70ADD">
        <w:rPr>
          <w:rFonts w:ascii="Arial" w:eastAsia="Times New Roman" w:hAnsi="Arial" w:cs="Arial"/>
          <w:sz w:val="23"/>
          <w:szCs w:val="23"/>
          <w:lang w:eastAsia="pl-PL"/>
        </w:rPr>
        <w:t xml:space="preserve">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1E8B3220"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00D562A9">
        <w:rPr>
          <w:rFonts w:ascii="Arial" w:eastAsia="Times New Roman" w:hAnsi="Arial" w:cs="Arial"/>
          <w:bCs/>
          <w:sz w:val="23"/>
          <w:szCs w:val="23"/>
          <w:lang w:eastAsia="pl-PL"/>
        </w:rPr>
        <w:t xml:space="preserve"> działania realizowanego</w:t>
      </w:r>
      <w:r w:rsidRPr="00E51A7D">
        <w:rPr>
          <w:rFonts w:ascii="Arial" w:eastAsia="Times New Roman" w:hAnsi="Arial" w:cs="Arial"/>
          <w:bCs/>
          <w:sz w:val="23"/>
          <w:szCs w:val="23"/>
          <w:lang w:eastAsia="pl-PL"/>
        </w:rPr>
        <w:t xml:space="preserve">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w:t>
      </w:r>
      <w:r w:rsidR="00492D85" w:rsidRPr="00E51A7D">
        <w:rPr>
          <w:rFonts w:ascii="Arial" w:eastAsia="Times New Roman" w:hAnsi="Arial" w:cs="Arial"/>
          <w:bCs/>
          <w:sz w:val="23"/>
          <w:szCs w:val="23"/>
          <w:lang w:eastAsia="pl-PL"/>
        </w:rPr>
        <w:lastRenderedPageBreak/>
        <w:t>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4D9E4A27"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00A41C48">
        <w:rPr>
          <w:rFonts w:ascii="Arial" w:hAnsi="Arial" w:cs="Arial"/>
          <w:b/>
          <w:sz w:val="23"/>
          <w:szCs w:val="23"/>
        </w:rPr>
        <w:t>„Otwarty Konkurs Ofert Nr ew</w:t>
      </w:r>
      <w:r w:rsidRPr="00E51A7D">
        <w:rPr>
          <w:rFonts w:ascii="Arial" w:hAnsi="Arial" w:cs="Arial"/>
          <w:b/>
          <w:sz w:val="23"/>
          <w:szCs w:val="23"/>
        </w:rPr>
        <w:t>.</w:t>
      </w:r>
      <w:r w:rsidRPr="00E51A7D">
        <w:rPr>
          <w:rFonts w:ascii="Arial" w:hAnsi="Arial" w:cs="Arial"/>
          <w:b/>
          <w:sz w:val="23"/>
          <w:szCs w:val="23"/>
          <w:highlight w:val="yellow"/>
        </w:rPr>
        <w:t xml:space="preserve"> </w:t>
      </w:r>
      <w:r w:rsidR="00A96327">
        <w:rPr>
          <w:rFonts w:ascii="Arial" w:hAnsi="Arial" w:cs="Arial"/>
          <w:b/>
          <w:sz w:val="23"/>
          <w:szCs w:val="23"/>
        </w:rPr>
        <w:t>0</w:t>
      </w:r>
      <w:r w:rsidR="00A41C48">
        <w:rPr>
          <w:rFonts w:ascii="Arial" w:hAnsi="Arial" w:cs="Arial"/>
          <w:b/>
          <w:sz w:val="23"/>
          <w:szCs w:val="23"/>
        </w:rPr>
        <w:t>9</w:t>
      </w:r>
      <w:r w:rsidRPr="00E51A7D">
        <w:rPr>
          <w:rFonts w:ascii="Arial" w:hAnsi="Arial" w:cs="Arial"/>
          <w:b/>
          <w:sz w:val="23"/>
          <w:szCs w:val="23"/>
        </w:rPr>
        <w:t>/2019/WD/DEKiD”</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784CDE">
      <w:pPr>
        <w:spacing w:after="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784CDE">
      <w:pPr>
        <w:spacing w:after="120" w:line="276" w:lineRule="auto"/>
        <w:ind w:left="788"/>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1E44C494"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00D46B93" w:rsidRPr="00D46B93">
        <w:rPr>
          <w:rStyle w:val="Hipercze"/>
          <w:rFonts w:ascii="Arial" w:hAnsi="Arial" w:cs="Arial"/>
          <w:color w:val="auto"/>
          <w:sz w:val="23"/>
          <w:szCs w:val="23"/>
          <w:u w:val="none"/>
        </w:rPr>
        <w:t>.</w:t>
      </w:r>
      <w:r w:rsidR="00EE6AB0" w:rsidRPr="00D46B93">
        <w:rPr>
          <w:rFonts w:ascii="Arial" w:eastAsia="Times New Roman" w:hAnsi="Arial" w:cs="Arial"/>
          <w:sz w:val="23"/>
          <w:szCs w:val="23"/>
          <w:lang w:eastAsia="pl-PL"/>
        </w:rPr>
        <w:t xml:space="preserve"> </w:t>
      </w:r>
    </w:p>
    <w:p w14:paraId="23AAA46C" w14:textId="7EEFE53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9" w:history="1">
        <w:r w:rsidR="00204DE3" w:rsidRPr="00263474">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Fonts w:ascii="Arial" w:eastAsia="Times New Roman" w:hAnsi="Arial" w:cs="Arial"/>
          <w:sz w:val="23"/>
          <w:szCs w:val="23"/>
          <w:lang w:eastAsia="pl-PL"/>
        </w:rPr>
        <w:t>a także</w:t>
      </w:r>
      <w:r w:rsidRPr="00E51A7D">
        <w:rPr>
          <w:rFonts w:ascii="Arial" w:eastAsia="Times New Roman" w:hAnsi="Arial" w:cs="Arial"/>
          <w:sz w:val="23"/>
          <w:szCs w:val="23"/>
          <w:lang w:eastAsia="pl-PL"/>
        </w:rPr>
        <w:t xml:space="preserve"> w siedzibie organu.</w:t>
      </w:r>
    </w:p>
    <w:p w14:paraId="64729833" w14:textId="5E343AFB"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DEKiD MON drogą elektroniczną: </w:t>
      </w:r>
      <w:hyperlink r:id="rId10" w:history="1">
        <w:r w:rsidR="00204DE3" w:rsidRPr="00263474">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5C6482B2" w:rsidR="005C4E53" w:rsidRPr="00E51A7D" w:rsidRDefault="0089458C"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Wykazany został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t>
      </w:r>
      <w:r w:rsidR="006C2D8A">
        <w:rPr>
          <w:rFonts w:ascii="Arial" w:eastAsiaTheme="minorEastAsia" w:hAnsi="Arial" w:cs="Arial"/>
          <w:sz w:val="23"/>
          <w:szCs w:val="23"/>
          <w:lang w:eastAsia="pl-PL"/>
        </w:rPr>
        <w:t>wiązkowy w</w:t>
      </w:r>
      <w:r>
        <w:rPr>
          <w:rFonts w:ascii="Arial" w:eastAsiaTheme="minorEastAsia" w:hAnsi="Arial" w:cs="Arial"/>
          <w:sz w:val="23"/>
          <w:szCs w:val="23"/>
          <w:lang w:eastAsia="pl-PL"/>
        </w:rPr>
        <w:t xml:space="preserve">kład własny finansowy podmiotu </w:t>
      </w:r>
      <w:r w:rsidR="005C4E53" w:rsidRPr="00E51A7D">
        <w:rPr>
          <w:rFonts w:ascii="Arial" w:eastAsiaTheme="minorEastAsia" w:hAnsi="Arial" w:cs="Arial"/>
          <w:sz w:val="23"/>
          <w:szCs w:val="23"/>
          <w:lang w:eastAsia="pl-PL"/>
        </w:rPr>
        <w:t>w</w:t>
      </w:r>
      <w:r w:rsidR="00D95E77">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4B4E128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6C2D8A">
        <w:rPr>
          <w:rFonts w:ascii="Arial" w:eastAsia="Times New Roman" w:hAnsi="Arial" w:cs="Arial"/>
          <w:bCs/>
          <w:sz w:val="23"/>
          <w:szCs w:val="23"/>
          <w:lang w:eastAsia="pl-PL"/>
        </w:rPr>
        <w:t>oświadczenie</w:t>
      </w:r>
      <w:r w:rsidR="001C096C" w:rsidRPr="00E51A7D">
        <w:rPr>
          <w:rFonts w:ascii="Arial" w:eastAsia="Times New Roman" w:hAnsi="Arial" w:cs="Arial"/>
          <w:bCs/>
          <w:sz w:val="23"/>
          <w:szCs w:val="23"/>
          <w:lang w:eastAsia="pl-PL"/>
        </w:rPr>
        <w:t xml:space="preserve">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232CD6EF"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 xml:space="preserve">Oferenta dokumentacji </w:t>
      </w:r>
      <w:r w:rsidR="00FD776F">
        <w:rPr>
          <w:rFonts w:ascii="Arial" w:eastAsia="Times New Roman" w:hAnsi="Arial" w:cs="Arial"/>
          <w:bCs/>
          <w:sz w:val="23"/>
          <w:szCs w:val="23"/>
          <w:lang w:eastAsia="pl-PL"/>
        </w:rPr>
        <w:t xml:space="preserve">m.in. </w:t>
      </w:r>
      <w:r w:rsidR="003D039F" w:rsidRPr="00E51A7D">
        <w:rPr>
          <w:rFonts w:ascii="Arial" w:eastAsia="Times New Roman" w:hAnsi="Arial" w:cs="Arial"/>
          <w:bCs/>
          <w:sz w:val="23"/>
          <w:szCs w:val="23"/>
          <w:lang w:eastAsia="pl-PL"/>
        </w:rPr>
        <w:t>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3898FD8"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w:t>
      </w:r>
      <w:r w:rsidR="0084678B">
        <w:rPr>
          <w:rFonts w:ascii="Arial" w:eastAsia="Times New Roman" w:hAnsi="Arial" w:cs="Arial"/>
          <w:bCs/>
          <w:sz w:val="23"/>
          <w:szCs w:val="23"/>
          <w:lang w:eastAsia="pl-PL"/>
        </w:rPr>
        <w:t>any opis poszczególnych działań;</w:t>
      </w:r>
      <w:r w:rsidRPr="00E51A7D">
        <w:rPr>
          <w:rFonts w:ascii="Arial" w:eastAsia="Times New Roman" w:hAnsi="Arial" w:cs="Arial"/>
          <w:bCs/>
          <w:sz w:val="23"/>
          <w:szCs w:val="23"/>
          <w:lang w:eastAsia="pl-PL"/>
        </w:rPr>
        <w:t xml:space="preserve"> </w:t>
      </w:r>
    </w:p>
    <w:p w14:paraId="7CD91851" w14:textId="18486304"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w:t>
      </w:r>
      <w:r w:rsidR="00BB34AF">
        <w:rPr>
          <w:rFonts w:ascii="Arial" w:eastAsia="Times New Roman" w:hAnsi="Arial" w:cs="Arial"/>
          <w:bCs/>
          <w:sz w:val="23"/>
          <w:szCs w:val="23"/>
          <w:lang w:eastAsia="pl-PL"/>
        </w:rPr>
        <w:t>podstawie dokumentów tożsamości;</w:t>
      </w:r>
    </w:p>
    <w:p w14:paraId="2F86CA2C" w14:textId="23607EB9"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w:t>
      </w:r>
      <w:r w:rsidR="00BB34AF">
        <w:rPr>
          <w:rFonts w:ascii="Arial" w:eastAsia="Times New Roman" w:hAnsi="Arial" w:cs="Arial"/>
          <w:bCs/>
          <w:sz w:val="23"/>
          <w:szCs w:val="23"/>
          <w:lang w:eastAsia="pl-PL"/>
        </w:rPr>
        <w:t>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w:t>
      </w:r>
      <w:r w:rsidR="003D039F" w:rsidRPr="00E51A7D">
        <w:rPr>
          <w:rFonts w:ascii="Arial" w:eastAsia="Times New Roman" w:hAnsi="Arial" w:cs="Arial"/>
          <w:bCs/>
          <w:sz w:val="23"/>
          <w:szCs w:val="23"/>
          <w:lang w:eastAsia="pl-PL"/>
        </w:rPr>
        <w:lastRenderedPageBreak/>
        <w:t xml:space="preserve">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015050EC"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84678B">
        <w:rPr>
          <w:rFonts w:ascii="Arial" w:eastAsia="Times New Roman" w:hAnsi="Arial" w:cs="Arial"/>
          <w:bCs/>
          <w:sz w:val="23"/>
          <w:szCs w:val="23"/>
          <w:lang w:eastAsia="pl-PL"/>
        </w:rPr>
        <w:t>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8 r. poz. 1330, z późn.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2DB6D826" w14:textId="77777777" w:rsidR="00A61B2C" w:rsidRPr="00A61B2C" w:rsidRDefault="00A61B2C" w:rsidP="00A61B2C">
      <w:pPr>
        <w:spacing w:before="120" w:after="120" w:line="276" w:lineRule="auto"/>
        <w:jc w:val="both"/>
        <w:rPr>
          <w:rFonts w:ascii="Arial" w:eastAsia="Times New Roman" w:hAnsi="Arial" w:cs="Arial"/>
          <w:b/>
          <w:sz w:val="23"/>
          <w:szCs w:val="23"/>
          <w:lang w:eastAsia="pl-PL"/>
        </w:rPr>
      </w:pPr>
    </w:p>
    <w:p w14:paraId="39996538" w14:textId="77777777" w:rsidR="00A61B2C" w:rsidRPr="00A61B2C" w:rsidRDefault="00A61B2C" w:rsidP="00A61B2C">
      <w:pPr>
        <w:spacing w:before="120" w:after="120" w:line="276" w:lineRule="auto"/>
        <w:jc w:val="both"/>
        <w:rPr>
          <w:rFonts w:ascii="Arial" w:eastAsia="Times New Roman" w:hAnsi="Arial" w:cs="Arial"/>
          <w:b/>
          <w:sz w:val="23"/>
          <w:szCs w:val="23"/>
          <w:lang w:eastAsia="pl-PL"/>
        </w:rPr>
      </w:pPr>
    </w:p>
    <w:p w14:paraId="3F5BC226" w14:textId="5E1DD5A1"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17B4A7FC"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D1076F">
        <w:rPr>
          <w:rFonts w:ascii="Arial" w:eastAsia="Times New Roman" w:hAnsi="Arial" w:cs="Arial"/>
          <w:sz w:val="23"/>
          <w:szCs w:val="23"/>
          <w:lang w:eastAsia="pl-PL"/>
        </w:rPr>
        <w:t xml:space="preserve">MON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późn.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4FADB3AA"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A61B2C">
        <w:rPr>
          <w:rFonts w:ascii="Arial" w:eastAsia="Times New Roman" w:hAnsi="Arial" w:cs="Arial"/>
          <w:bCs/>
          <w:sz w:val="23"/>
          <w:szCs w:val="23"/>
          <w:lang w:eastAsia="pl-PL"/>
        </w:rPr>
        <w:t xml:space="preserve"> (Dz. U. z 2019</w:t>
      </w:r>
      <w:r w:rsidR="006D4FF0">
        <w:rPr>
          <w:rFonts w:ascii="Arial" w:eastAsia="Times New Roman" w:hAnsi="Arial" w:cs="Arial"/>
          <w:bCs/>
          <w:sz w:val="23"/>
          <w:szCs w:val="23"/>
          <w:lang w:eastAsia="pl-PL"/>
        </w:rPr>
        <w:t xml:space="preserve"> r.</w:t>
      </w:r>
      <w:r w:rsidR="00A61B2C">
        <w:rPr>
          <w:rFonts w:ascii="Arial" w:eastAsia="Times New Roman" w:hAnsi="Arial" w:cs="Arial"/>
          <w:bCs/>
          <w:sz w:val="23"/>
          <w:szCs w:val="23"/>
          <w:lang w:eastAsia="pl-PL"/>
        </w:rPr>
        <w:t xml:space="preserve"> poz. 351</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późn.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6D936306"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00444BD4">
        <w:rPr>
          <w:rFonts w:ascii="Arial" w:eastAsia="Times New Roman" w:hAnsi="Arial" w:cs="Arial"/>
          <w:bCs/>
          <w:sz w:val="23"/>
          <w:szCs w:val="23"/>
          <w:lang w:eastAsia="pl-PL"/>
        </w:rPr>
        <w:t>z 2019 r. poz. 865</w:t>
      </w:r>
      <w:r w:rsidRPr="00E51A7D">
        <w:rPr>
          <w:rFonts w:ascii="Arial" w:eastAsia="Times New Roman" w:hAnsi="Arial" w:cs="Arial"/>
          <w:bCs/>
          <w:sz w:val="23"/>
          <w:szCs w:val="23"/>
          <w:lang w:eastAsia="pl-PL"/>
        </w:rPr>
        <w:t>, z późn.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14:paraId="2CC5EF7F" w14:textId="14A71F0D"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006621FB">
        <w:rPr>
          <w:rFonts w:ascii="Arial" w:eastAsia="Times New Roman" w:hAnsi="Arial" w:cs="Arial"/>
          <w:bCs/>
          <w:sz w:val="23"/>
          <w:szCs w:val="23"/>
          <w:lang w:eastAsia="pl-PL"/>
        </w:rPr>
        <w:t xml:space="preserve"> (Dz. U. z 2019</w:t>
      </w:r>
      <w:r w:rsidRPr="00E51A7D">
        <w:rPr>
          <w:rFonts w:ascii="Arial" w:eastAsia="Times New Roman" w:hAnsi="Arial" w:cs="Arial"/>
          <w:bCs/>
          <w:sz w:val="23"/>
          <w:szCs w:val="23"/>
          <w:lang w:eastAsia="pl-PL"/>
        </w:rPr>
        <w:t xml:space="preserve"> r. poz</w:t>
      </w:r>
      <w:r w:rsidR="006621FB">
        <w:rPr>
          <w:rFonts w:ascii="Arial" w:eastAsia="Times New Roman" w:hAnsi="Arial" w:cs="Arial"/>
          <w:bCs/>
          <w:sz w:val="23"/>
          <w:szCs w:val="23"/>
          <w:lang w:eastAsia="pl-PL"/>
        </w:rPr>
        <w:t xml:space="preserve">. 869,) w sposób </w:t>
      </w:r>
      <w:r w:rsidRPr="00E51A7D">
        <w:rPr>
          <w:rFonts w:ascii="Arial" w:eastAsia="Times New Roman" w:hAnsi="Arial" w:cs="Arial"/>
          <w:bCs/>
          <w:sz w:val="23"/>
          <w:szCs w:val="23"/>
          <w:lang w:eastAsia="pl-PL"/>
        </w:rPr>
        <w:t xml:space="preserve">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w:t>
      </w:r>
      <w:r w:rsidR="001A54ED" w:rsidRPr="00E51A7D">
        <w:rPr>
          <w:rFonts w:ascii="Arial" w:eastAsia="Times New Roman" w:hAnsi="Arial" w:cs="Arial"/>
          <w:sz w:val="23"/>
          <w:szCs w:val="23"/>
          <w:lang w:eastAsia="pl-PL"/>
        </w:rPr>
        <w:lastRenderedPageBreak/>
        <w:t xml:space="preserve">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1971E54B"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2B2F74">
        <w:rPr>
          <w:rFonts w:ascii="Arial" w:eastAsia="Times New Roman" w:hAnsi="Arial" w:cs="Arial"/>
          <w:sz w:val="23"/>
          <w:szCs w:val="23"/>
          <w:lang w:eastAsia="pl-PL"/>
        </w:rPr>
        <w:t>odmiot niebędący stroną</w:t>
      </w:r>
      <w:r w:rsidR="00AF73C5" w:rsidRPr="00E51A7D">
        <w:rPr>
          <w:rFonts w:ascii="Arial" w:eastAsia="Times New Roman" w:hAnsi="Arial" w:cs="Arial"/>
          <w:sz w:val="23"/>
          <w:szCs w:val="23"/>
          <w:lang w:eastAsia="pl-PL"/>
        </w:rPr>
        <w:t xml:space="preserve">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Dowody księgowe z realizacji szkoleń strzeleckich winny zawierać dane dotyczące liczby i rodzajów 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335E9821"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3C68B1">
        <w:rPr>
          <w:rFonts w:ascii="Arial" w:eastAsia="Times New Roman" w:hAnsi="Arial" w:cs="Arial"/>
          <w:sz w:val="23"/>
          <w:szCs w:val="23"/>
          <w:lang w:eastAsia="pl-PL"/>
        </w:rPr>
        <w:t>edzialnej za czę</w:t>
      </w:r>
      <w:r w:rsidR="006D4FF0">
        <w:rPr>
          <w:rFonts w:ascii="Arial" w:eastAsia="Times New Roman" w:hAnsi="Arial" w:cs="Arial"/>
          <w:sz w:val="23"/>
          <w:szCs w:val="23"/>
          <w:lang w:eastAsia="pl-PL"/>
        </w:rPr>
        <w:t>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34BBB3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w:t>
      </w:r>
      <w:r w:rsidR="002C5BB7">
        <w:rPr>
          <w:rFonts w:ascii="Arial" w:eastAsia="Times New Roman" w:hAnsi="Arial" w:cs="Arial"/>
          <w:sz w:val="23"/>
          <w:szCs w:val="23"/>
          <w:lang w:eastAsia="pl-PL"/>
        </w:rPr>
        <w:t xml:space="preserve"> (lub inna osoba odpowiedzialna za prowadzenie spraw finansowych podmiotu) </w:t>
      </w:r>
      <w:r w:rsidRPr="00E51A7D">
        <w:rPr>
          <w:rFonts w:ascii="Arial" w:eastAsia="Times New Roman" w:hAnsi="Arial" w:cs="Arial"/>
          <w:sz w:val="23"/>
          <w:szCs w:val="23"/>
          <w:lang w:eastAsia="pl-PL"/>
        </w:rPr>
        <w:t>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wolontariusza – poprzez zawarte na piśmie porozumienie (umowę) wolontariacką,</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091E3E">
      <w:pPr>
        <w:spacing w:after="0"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091E3E">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14:paraId="73FBBCE8" w14:textId="77777777" w:rsidR="00282FC1" w:rsidRPr="00E51A7D" w:rsidRDefault="00282FC1" w:rsidP="00091E3E">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późn.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 xml:space="preserve">ydatki </w:t>
      </w:r>
      <w:r w:rsidRPr="00282FC1">
        <w:rPr>
          <w:rFonts w:ascii="Arial" w:eastAsia="Times New Roman" w:hAnsi="Arial" w:cs="Arial"/>
          <w:sz w:val="23"/>
          <w:szCs w:val="23"/>
          <w:lang w:eastAsia="pl-PL"/>
        </w:rPr>
        <w:lastRenderedPageBreak/>
        <w:t>(transakcje)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4833E01" w:rsidR="00DE5B3E" w:rsidRPr="00E51A7D" w:rsidRDefault="00C719E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Zatwierdzenie </w:t>
      </w:r>
      <w:r w:rsidR="00DE5B3E" w:rsidRPr="00E51A7D">
        <w:rPr>
          <w:rFonts w:ascii="Arial" w:eastAsia="Times New Roman" w:hAnsi="Arial" w:cs="Arial"/>
          <w:sz w:val="23"/>
          <w:szCs w:val="23"/>
          <w:lang w:eastAsia="pl-PL"/>
        </w:rPr>
        <w:t>sprawozdania i rozliczenie dotacji polega na weryfikacji przez Zleceniodawcę z</w:t>
      </w:r>
      <w:r w:rsidR="006A0EE1">
        <w:rPr>
          <w:rFonts w:ascii="Arial" w:eastAsia="Times New Roman" w:hAnsi="Arial" w:cs="Arial"/>
          <w:sz w:val="23"/>
          <w:szCs w:val="23"/>
          <w:lang w:eastAsia="pl-PL"/>
        </w:rPr>
        <w:t>ałożonych w ofercie rezultatów,</w:t>
      </w:r>
      <w:r w:rsidR="00DE5B3E"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6CFEF959" w14:textId="77777777" w:rsidR="00D32231" w:rsidRDefault="00DE5B3E"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00C719EE">
        <w:rPr>
          <w:rFonts w:ascii="Arial" w:eastAsia="Times New Roman" w:hAnsi="Arial" w:cs="Arial"/>
          <w:sz w:val="23"/>
          <w:szCs w:val="23"/>
          <w:lang w:eastAsia="pl-PL"/>
        </w:rPr>
        <w:t>8</w:t>
      </w:r>
      <w:r w:rsidRPr="00E51A7D">
        <w:rPr>
          <w:rFonts w:ascii="Arial" w:eastAsia="Times New Roman" w:hAnsi="Arial" w:cs="Arial"/>
          <w:sz w:val="23"/>
          <w:szCs w:val="23"/>
          <w:lang w:eastAsia="pl-PL"/>
        </w:rPr>
        <w:t xml:space="preserve">0 % założonych w ofercie rezultatów. </w:t>
      </w:r>
    </w:p>
    <w:p w14:paraId="592E27EE" w14:textId="5CEE664D" w:rsidR="00D32231" w:rsidRPr="00D32231" w:rsidRDefault="00D32231"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D32231">
        <w:rPr>
          <w:rFonts w:ascii="Arial" w:eastAsia="Times New Roman" w:hAnsi="Arial" w:cs="Arial"/>
          <w:bCs/>
          <w:sz w:val="23"/>
          <w:szCs w:val="23"/>
          <w:lang w:eastAsia="pl-PL"/>
        </w:rPr>
        <w:t>Zrealizowanie rezultatów i działań Zleceniobiorca potwierdza oświadczeniem.</w:t>
      </w:r>
    </w:p>
    <w:p w14:paraId="398744E1" w14:textId="77777777" w:rsidR="00DE5B3E" w:rsidRPr="00E51A7D" w:rsidRDefault="00DE5B3E"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01864EF6" w14:textId="5B8E7D48" w:rsidR="00B24866" w:rsidRPr="00E51A7D" w:rsidRDefault="00B24866"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Zleceniobiorca zobowiązany jest do wskazania w sprawozdaniu z realiza</w:t>
      </w:r>
      <w:r w:rsidR="00770199">
        <w:rPr>
          <w:rFonts w:ascii="Arial" w:eastAsia="Times New Roman" w:hAnsi="Arial" w:cs="Arial"/>
          <w:bCs/>
          <w:sz w:val="23"/>
          <w:szCs w:val="23"/>
          <w:lang w:eastAsia="pl-PL"/>
        </w:rPr>
        <w:t>cji zadania publicznego wysokości</w:t>
      </w:r>
      <w:r w:rsidRPr="00E51A7D">
        <w:rPr>
          <w:rFonts w:ascii="Arial" w:eastAsia="Times New Roman" w:hAnsi="Arial" w:cs="Arial"/>
          <w:bCs/>
          <w:sz w:val="23"/>
          <w:szCs w:val="23"/>
          <w:lang w:eastAsia="pl-PL"/>
        </w:rPr>
        <w:t xml:space="preserve"> ewentualnych przychodów uzyskanych przy realizacji tego 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proobronnej</w:t>
      </w:r>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D32231">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oświadczenie korzystającego ze strzelnicy o zapoznaniu się z regulaminem strzelnicy i przepisami bezpieczeństwa, potwierdzone własnoręcznym podpisem.</w:t>
      </w:r>
    </w:p>
    <w:p w14:paraId="103A7ADD" w14:textId="5AC03CBB" w:rsidR="00A04D22" w:rsidRPr="00A04D22" w:rsidRDefault="00C34CEA" w:rsidP="00D32231">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w:t>
      </w:r>
      <w:r w:rsidR="002938C3">
        <w:rPr>
          <w:rFonts w:ascii="Arial" w:eastAsia="Times New Roman" w:hAnsi="Arial" w:cs="Arial"/>
          <w:sz w:val="23"/>
          <w:szCs w:val="23"/>
          <w:lang w:eastAsia="pl-PL"/>
        </w:rPr>
        <w:t>tać poddane procesowi a</w:t>
      </w:r>
      <w:bookmarkStart w:id="0" w:name="_GoBack"/>
      <w:bookmarkEnd w:id="0"/>
      <w:r w:rsidR="002938C3">
        <w:rPr>
          <w:rFonts w:ascii="Arial" w:eastAsia="Times New Roman" w:hAnsi="Arial" w:cs="Arial"/>
          <w:sz w:val="23"/>
          <w:szCs w:val="23"/>
          <w:lang w:eastAsia="pl-PL"/>
        </w:rPr>
        <w:t>nonimizacji</w:t>
      </w:r>
      <w:r>
        <w:rPr>
          <w:rFonts w:ascii="Arial" w:eastAsia="Times New Roman" w:hAnsi="Arial" w:cs="Arial"/>
          <w:sz w:val="23"/>
          <w:szCs w:val="23"/>
          <w:lang w:eastAsia="pl-PL"/>
        </w:rPr>
        <w:t>.</w:t>
      </w:r>
    </w:p>
    <w:p w14:paraId="2E8832D3"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16D94126" w:rsidR="00B24866" w:rsidRPr="00E51A7D" w:rsidRDefault="006A0EE1" w:rsidP="00D32231">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W przypadku, gdy sprawozdanie zost</w:t>
      </w:r>
      <w:r w:rsidR="006D2F37">
        <w:rPr>
          <w:rFonts w:ascii="Arial" w:eastAsia="Times New Roman" w:hAnsi="Arial" w:cs="Arial"/>
          <w:sz w:val="23"/>
          <w:szCs w:val="23"/>
          <w:lang w:eastAsia="pl-PL"/>
        </w:rPr>
        <w:t>ało wykonane prawidłowo i zadanie</w:t>
      </w:r>
      <w:r>
        <w:rPr>
          <w:rFonts w:ascii="Arial" w:eastAsia="Times New Roman" w:hAnsi="Arial" w:cs="Arial"/>
          <w:sz w:val="23"/>
          <w:szCs w:val="23"/>
          <w:lang w:eastAsia="pl-PL"/>
        </w:rPr>
        <w:t xml:space="preserve"> zostało zrealizowane zgodnie z umową, </w:t>
      </w:r>
      <w:r w:rsidR="00B24866" w:rsidRPr="00E51A7D">
        <w:rPr>
          <w:rFonts w:ascii="Arial" w:eastAsia="Times New Roman" w:hAnsi="Arial" w:cs="Arial"/>
          <w:sz w:val="23"/>
          <w:szCs w:val="23"/>
          <w:lang w:eastAsia="pl-PL"/>
        </w:rPr>
        <w:t xml:space="preserve">Zleceniobiorca zostaje poinformowany </w:t>
      </w:r>
      <w:r w:rsidR="006D2F37">
        <w:rPr>
          <w:rFonts w:ascii="Arial" w:eastAsia="Times New Roman" w:hAnsi="Arial" w:cs="Arial"/>
          <w:sz w:val="23"/>
          <w:szCs w:val="23"/>
          <w:lang w:eastAsia="pl-PL"/>
        </w:rPr>
        <w:br/>
      </w:r>
      <w:r w:rsidR="00B24866" w:rsidRPr="00E51A7D">
        <w:rPr>
          <w:rFonts w:ascii="Arial" w:eastAsia="Times New Roman" w:hAnsi="Arial" w:cs="Arial"/>
          <w:sz w:val="23"/>
          <w:szCs w:val="23"/>
          <w:lang w:eastAsia="pl-PL"/>
        </w:rPr>
        <w:t xml:space="preserve">o </w:t>
      </w:r>
      <w:r w:rsidR="006D2F37">
        <w:rPr>
          <w:rFonts w:ascii="Arial" w:eastAsia="Times New Roman" w:hAnsi="Arial" w:cs="Arial"/>
          <w:sz w:val="23"/>
          <w:szCs w:val="23"/>
          <w:lang w:eastAsia="pl-PL"/>
        </w:rPr>
        <w:t>zatwierdzeniu</w:t>
      </w:r>
      <w:r w:rsidR="00B24866" w:rsidRPr="00E51A7D">
        <w:rPr>
          <w:rFonts w:ascii="Arial" w:eastAsia="Times New Roman" w:hAnsi="Arial" w:cs="Arial"/>
          <w:sz w:val="23"/>
          <w:szCs w:val="23"/>
          <w:lang w:eastAsia="pl-PL"/>
        </w:rPr>
        <w:t xml:space="preserve"> sprawozdania. </w:t>
      </w:r>
      <w:r w:rsidR="00241EE6">
        <w:rPr>
          <w:rFonts w:ascii="Arial" w:eastAsia="Times New Roman" w:hAnsi="Arial" w:cs="Arial"/>
          <w:sz w:val="23"/>
          <w:szCs w:val="23"/>
          <w:lang w:eastAsia="pl-PL"/>
        </w:rPr>
        <w:t xml:space="preserve">Zatwierdzenia </w:t>
      </w:r>
      <w:r w:rsidR="00B24866" w:rsidRPr="00E51A7D">
        <w:rPr>
          <w:rFonts w:ascii="Arial" w:eastAsia="Times New Roman" w:hAnsi="Arial" w:cs="Arial"/>
          <w:sz w:val="23"/>
          <w:szCs w:val="23"/>
          <w:lang w:eastAsia="pl-PL"/>
        </w:rPr>
        <w:t xml:space="preserve">sprawozdania dokonuje </w:t>
      </w:r>
      <w:r w:rsidR="00241EE6">
        <w:rPr>
          <w:rFonts w:ascii="Arial" w:eastAsia="Times New Roman" w:hAnsi="Arial" w:cs="Arial"/>
          <w:sz w:val="23"/>
          <w:szCs w:val="23"/>
          <w:lang w:eastAsia="pl-PL"/>
        </w:rPr>
        <w:br/>
      </w:r>
      <w:r w:rsidR="00B24866" w:rsidRPr="00E51A7D">
        <w:rPr>
          <w:rFonts w:ascii="Arial" w:eastAsia="Times New Roman" w:hAnsi="Arial" w:cs="Arial"/>
          <w:sz w:val="23"/>
          <w:szCs w:val="23"/>
          <w:lang w:eastAsia="pl-PL"/>
        </w:rPr>
        <w:t>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61CAE24B"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w:t>
      </w:r>
      <w:r w:rsidR="00303228">
        <w:rPr>
          <w:rFonts w:ascii="Arial" w:eastAsia="Times New Roman" w:hAnsi="Arial" w:cs="Arial"/>
          <w:sz w:val="23"/>
          <w:szCs w:val="23"/>
          <w:lang w:eastAsia="pl-PL"/>
        </w:rPr>
        <w:t xml:space="preserve">uznaje się za wykonaną z chwilą zatwierdzenia </w:t>
      </w:r>
      <w:r w:rsidRPr="00E51A7D">
        <w:rPr>
          <w:rFonts w:ascii="Arial" w:eastAsia="Times New Roman" w:hAnsi="Arial" w:cs="Arial"/>
          <w:sz w:val="23"/>
          <w:szCs w:val="23"/>
          <w:lang w:eastAsia="pl-PL"/>
        </w:rPr>
        <w:t xml:space="preserve">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6F25CEF5"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w:t>
      </w:r>
      <w:r w:rsidR="001A332D">
        <w:rPr>
          <w:rFonts w:ascii="Arial" w:eastAsia="Times New Roman" w:hAnsi="Arial" w:cs="Arial"/>
          <w:sz w:val="23"/>
          <w:szCs w:val="23"/>
          <w:lang w:eastAsia="pl-PL"/>
        </w:rPr>
        <w:t>nionych kopii w celu odpowiedniego</w:t>
      </w:r>
      <w:r w:rsidRPr="00E51A7D">
        <w:rPr>
          <w:rFonts w:ascii="Arial" w:eastAsia="Times New Roman" w:hAnsi="Arial" w:cs="Arial"/>
          <w:sz w:val="23"/>
          <w:szCs w:val="23"/>
          <w:lang w:eastAsia="pl-PL"/>
        </w:rPr>
        <w:t xml:space="preserve">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przypadku stwierdzenia nieprawidłowości, przekazuje mu wnioski i zalecenia 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5EDEBBA5"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Ocena merytoryczna za</w:t>
      </w:r>
      <w:r w:rsidR="00AF0D08">
        <w:rPr>
          <w:rFonts w:ascii="Arial" w:eastAsia="Times New Roman" w:hAnsi="Arial" w:cs="Arial"/>
          <w:sz w:val="23"/>
          <w:szCs w:val="23"/>
          <w:lang w:eastAsia="pl-PL"/>
        </w:rPr>
        <w:t>dania może zostać przeprowadzona</w:t>
      </w:r>
      <w:r w:rsidRPr="00E51A7D">
        <w:rPr>
          <w:rFonts w:ascii="Arial" w:eastAsia="Times New Roman" w:hAnsi="Arial" w:cs="Arial"/>
          <w:sz w:val="23"/>
          <w:szCs w:val="23"/>
          <w:lang w:eastAsia="pl-PL"/>
        </w:rPr>
        <w:t xml:space="preserve">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00048060"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w:t>
      </w:r>
      <w:r w:rsidR="000E1558">
        <w:rPr>
          <w:rFonts w:ascii="Arial" w:eastAsia="Calibri" w:hAnsi="Arial" w:cs="Arial"/>
          <w:sz w:val="23"/>
          <w:szCs w:val="23"/>
        </w:rPr>
        <w:t>leceniobiorca(-cy) postępuje(-ją</w:t>
      </w:r>
      <w:r>
        <w:rPr>
          <w:rFonts w:ascii="Arial" w:eastAsia="Calibri" w:hAnsi="Arial" w:cs="Arial"/>
          <w:sz w:val="23"/>
          <w:szCs w:val="23"/>
        </w:rPr>
        <w:t>)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1"/>
      <w:footerReference w:type="even" r:id="rId12"/>
      <w:footerReference w:type="default" r:id="rId13"/>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962B" w14:textId="77777777" w:rsidR="006F709C" w:rsidRDefault="006F709C">
      <w:pPr>
        <w:spacing w:after="0" w:line="240" w:lineRule="auto"/>
      </w:pPr>
      <w:r>
        <w:separator/>
      </w:r>
    </w:p>
  </w:endnote>
  <w:endnote w:type="continuationSeparator" w:id="0">
    <w:p w14:paraId="1B295AE6" w14:textId="77777777" w:rsidR="006F709C" w:rsidRDefault="006F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3498537D"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3E39">
      <w:rPr>
        <w:rStyle w:val="Numerstrony"/>
        <w:noProof/>
      </w:rPr>
      <w:t>16</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A1225" w14:textId="77777777" w:rsidR="006F709C" w:rsidRDefault="006F709C">
      <w:pPr>
        <w:spacing w:after="0" w:line="240" w:lineRule="auto"/>
      </w:pPr>
      <w:r>
        <w:separator/>
      </w:r>
    </w:p>
  </w:footnote>
  <w:footnote w:type="continuationSeparator" w:id="0">
    <w:p w14:paraId="15F97A36" w14:textId="77777777" w:rsidR="006F709C" w:rsidRDefault="006F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785FE446" w:rsidR="00244AC7" w:rsidRDefault="00244AC7" w:rsidP="00244AC7">
    <w:pPr>
      <w:pStyle w:val="Nagwek"/>
      <w:jc w:val="right"/>
    </w:pPr>
    <w:r>
      <w:t xml:space="preserve">Załącznik nr </w:t>
    </w:r>
    <w:r w:rsidR="00626304">
      <w:t xml:space="preserve">1 </w:t>
    </w:r>
    <w:r>
      <w:t>do Ogłoszenia Ot</w:t>
    </w:r>
    <w:r w:rsidR="00626304">
      <w:t>wartego Konkursu ofert</w:t>
    </w:r>
    <w:r w:rsidR="00B86533">
      <w:t xml:space="preserve"> nr ew. 09</w:t>
    </w:r>
    <w:r>
      <w:t>/2019/WD/DEKiD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ED37271"/>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7"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E1506E"/>
    <w:multiLevelType w:val="hybridMultilevel"/>
    <w:tmpl w:val="98D81250"/>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4"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1"/>
  </w:num>
  <w:num w:numId="2">
    <w:abstractNumId w:val="24"/>
  </w:num>
  <w:num w:numId="3">
    <w:abstractNumId w:val="0"/>
  </w:num>
  <w:num w:numId="4">
    <w:abstractNumId w:val="19"/>
  </w:num>
  <w:num w:numId="5">
    <w:abstractNumId w:val="12"/>
  </w:num>
  <w:num w:numId="6">
    <w:abstractNumId w:val="33"/>
  </w:num>
  <w:num w:numId="7">
    <w:abstractNumId w:val="21"/>
  </w:num>
  <w:num w:numId="8">
    <w:abstractNumId w:val="30"/>
  </w:num>
  <w:num w:numId="9">
    <w:abstractNumId w:val="26"/>
  </w:num>
  <w:num w:numId="10">
    <w:abstractNumId w:val="22"/>
  </w:num>
  <w:num w:numId="11">
    <w:abstractNumId w:val="20"/>
  </w:num>
  <w:num w:numId="12">
    <w:abstractNumId w:val="17"/>
  </w:num>
  <w:num w:numId="13">
    <w:abstractNumId w:val="34"/>
  </w:num>
  <w:num w:numId="14">
    <w:abstractNumId w:val="16"/>
  </w:num>
  <w:num w:numId="15">
    <w:abstractNumId w:val="8"/>
  </w:num>
  <w:num w:numId="16">
    <w:abstractNumId w:val="6"/>
  </w:num>
  <w:num w:numId="17">
    <w:abstractNumId w:val="15"/>
  </w:num>
  <w:num w:numId="18">
    <w:abstractNumId w:val="4"/>
  </w:num>
  <w:num w:numId="19">
    <w:abstractNumId w:val="5"/>
  </w:num>
  <w:num w:numId="20">
    <w:abstractNumId w:val="28"/>
  </w:num>
  <w:num w:numId="21">
    <w:abstractNumId w:val="10"/>
  </w:num>
  <w:num w:numId="22">
    <w:abstractNumId w:val="31"/>
  </w:num>
  <w:num w:numId="23">
    <w:abstractNumId w:val="32"/>
  </w:num>
  <w:num w:numId="24">
    <w:abstractNumId w:val="14"/>
  </w:num>
  <w:num w:numId="25">
    <w:abstractNumId w:val="9"/>
  </w:num>
  <w:num w:numId="26">
    <w:abstractNumId w:val="29"/>
  </w:num>
  <w:num w:numId="27">
    <w:abstractNumId w:val="2"/>
  </w:num>
  <w:num w:numId="28">
    <w:abstractNumId w:val="25"/>
  </w:num>
  <w:num w:numId="29">
    <w:abstractNumId w:val="1"/>
  </w:num>
  <w:num w:numId="30">
    <w:abstractNumId w:val="27"/>
  </w:num>
  <w:num w:numId="31">
    <w:abstractNumId w:val="23"/>
  </w:num>
  <w:num w:numId="32">
    <w:abstractNumId w:val="18"/>
  </w:num>
  <w:num w:numId="33">
    <w:abstractNumId w:val="13"/>
  </w:num>
  <w:num w:numId="34">
    <w:abstractNumId w:val="7"/>
  </w:num>
  <w:num w:numId="3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1883"/>
    <w:rsid w:val="00047CD5"/>
    <w:rsid w:val="00062350"/>
    <w:rsid w:val="00065303"/>
    <w:rsid w:val="00091E3E"/>
    <w:rsid w:val="000B10EA"/>
    <w:rsid w:val="000E1558"/>
    <w:rsid w:val="00152F92"/>
    <w:rsid w:val="00182912"/>
    <w:rsid w:val="00193ED9"/>
    <w:rsid w:val="001A332D"/>
    <w:rsid w:val="001A54ED"/>
    <w:rsid w:val="001C096C"/>
    <w:rsid w:val="001C0F5C"/>
    <w:rsid w:val="001D5224"/>
    <w:rsid w:val="001E08C9"/>
    <w:rsid w:val="001F34DF"/>
    <w:rsid w:val="00204DE3"/>
    <w:rsid w:val="00213745"/>
    <w:rsid w:val="00214B14"/>
    <w:rsid w:val="00220E82"/>
    <w:rsid w:val="00241EE6"/>
    <w:rsid w:val="00242332"/>
    <w:rsid w:val="00244AC7"/>
    <w:rsid w:val="002468C3"/>
    <w:rsid w:val="00255A21"/>
    <w:rsid w:val="00282FC1"/>
    <w:rsid w:val="00293589"/>
    <w:rsid w:val="002938C3"/>
    <w:rsid w:val="002B2F74"/>
    <w:rsid w:val="002C0A9E"/>
    <w:rsid w:val="002C5BB7"/>
    <w:rsid w:val="002E3DA0"/>
    <w:rsid w:val="002F29DF"/>
    <w:rsid w:val="00302C88"/>
    <w:rsid w:val="00303228"/>
    <w:rsid w:val="003B12E6"/>
    <w:rsid w:val="003C1C5A"/>
    <w:rsid w:val="003C68B1"/>
    <w:rsid w:val="003D039F"/>
    <w:rsid w:val="00404B3B"/>
    <w:rsid w:val="00431DD0"/>
    <w:rsid w:val="00433E39"/>
    <w:rsid w:val="00444BD4"/>
    <w:rsid w:val="004649B4"/>
    <w:rsid w:val="00477D64"/>
    <w:rsid w:val="004820B3"/>
    <w:rsid w:val="00487BF0"/>
    <w:rsid w:val="00492D85"/>
    <w:rsid w:val="004B5A15"/>
    <w:rsid w:val="004D099A"/>
    <w:rsid w:val="0050399E"/>
    <w:rsid w:val="005072F4"/>
    <w:rsid w:val="0053673E"/>
    <w:rsid w:val="00536DB1"/>
    <w:rsid w:val="0054137C"/>
    <w:rsid w:val="00553580"/>
    <w:rsid w:val="005617DD"/>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621FB"/>
    <w:rsid w:val="006817B5"/>
    <w:rsid w:val="006A0EE1"/>
    <w:rsid w:val="006C2D8A"/>
    <w:rsid w:val="006D2F37"/>
    <w:rsid w:val="006D4FF0"/>
    <w:rsid w:val="006D6582"/>
    <w:rsid w:val="006D6F1C"/>
    <w:rsid w:val="006F709C"/>
    <w:rsid w:val="00724C3A"/>
    <w:rsid w:val="00753FAB"/>
    <w:rsid w:val="00770199"/>
    <w:rsid w:val="00784CDE"/>
    <w:rsid w:val="007A53BE"/>
    <w:rsid w:val="007E52AB"/>
    <w:rsid w:val="007F320D"/>
    <w:rsid w:val="00813FDF"/>
    <w:rsid w:val="008170C7"/>
    <w:rsid w:val="00830E3D"/>
    <w:rsid w:val="00835C9F"/>
    <w:rsid w:val="0084157C"/>
    <w:rsid w:val="0084678B"/>
    <w:rsid w:val="00851DF2"/>
    <w:rsid w:val="00855BB4"/>
    <w:rsid w:val="008622A3"/>
    <w:rsid w:val="008662E9"/>
    <w:rsid w:val="008761B3"/>
    <w:rsid w:val="0089458C"/>
    <w:rsid w:val="008B4F57"/>
    <w:rsid w:val="008E2B60"/>
    <w:rsid w:val="008F37F3"/>
    <w:rsid w:val="00920E9A"/>
    <w:rsid w:val="009958B6"/>
    <w:rsid w:val="009B5ECC"/>
    <w:rsid w:val="00A04D22"/>
    <w:rsid w:val="00A25A41"/>
    <w:rsid w:val="00A41C48"/>
    <w:rsid w:val="00A61B2C"/>
    <w:rsid w:val="00A96327"/>
    <w:rsid w:val="00AF0D08"/>
    <w:rsid w:val="00AF73C5"/>
    <w:rsid w:val="00B24866"/>
    <w:rsid w:val="00B66285"/>
    <w:rsid w:val="00B77A8C"/>
    <w:rsid w:val="00B86533"/>
    <w:rsid w:val="00B92235"/>
    <w:rsid w:val="00B942CE"/>
    <w:rsid w:val="00BA1805"/>
    <w:rsid w:val="00BB34AF"/>
    <w:rsid w:val="00C34CEA"/>
    <w:rsid w:val="00C57501"/>
    <w:rsid w:val="00C719EE"/>
    <w:rsid w:val="00D05886"/>
    <w:rsid w:val="00D1076F"/>
    <w:rsid w:val="00D32231"/>
    <w:rsid w:val="00D34CD7"/>
    <w:rsid w:val="00D35121"/>
    <w:rsid w:val="00D46B93"/>
    <w:rsid w:val="00D543FD"/>
    <w:rsid w:val="00D562A9"/>
    <w:rsid w:val="00D7332F"/>
    <w:rsid w:val="00D77943"/>
    <w:rsid w:val="00D83AFF"/>
    <w:rsid w:val="00D916CB"/>
    <w:rsid w:val="00D95E77"/>
    <w:rsid w:val="00DA12B7"/>
    <w:rsid w:val="00DA3897"/>
    <w:rsid w:val="00DA6A0F"/>
    <w:rsid w:val="00DA717F"/>
    <w:rsid w:val="00DC1627"/>
    <w:rsid w:val="00DD47C4"/>
    <w:rsid w:val="00DE5B3E"/>
    <w:rsid w:val="00DF097C"/>
    <w:rsid w:val="00E24859"/>
    <w:rsid w:val="00E3293F"/>
    <w:rsid w:val="00E3494B"/>
    <w:rsid w:val="00E51A7D"/>
    <w:rsid w:val="00E653BD"/>
    <w:rsid w:val="00E70ADD"/>
    <w:rsid w:val="00E74200"/>
    <w:rsid w:val="00E92536"/>
    <w:rsid w:val="00E952E9"/>
    <w:rsid w:val="00EB7309"/>
    <w:rsid w:val="00EC6938"/>
    <w:rsid w:val="00ED3684"/>
    <w:rsid w:val="00EE6AB0"/>
    <w:rsid w:val="00F02257"/>
    <w:rsid w:val="00F030A3"/>
    <w:rsid w:val="00F15E74"/>
    <w:rsid w:val="00F34A11"/>
    <w:rsid w:val="00F442F8"/>
    <w:rsid w:val="00FA6A14"/>
    <w:rsid w:val="00FD1B55"/>
    <w:rsid w:val="00FD776F"/>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1E10-BD1F-47C0-B839-A716022D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6109</Words>
  <Characters>36656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Brukiewa Przemysław</cp:lastModifiedBy>
  <cp:revision>56</cp:revision>
  <cp:lastPrinted>2019-08-08T10:33:00Z</cp:lastPrinted>
  <dcterms:created xsi:type="dcterms:W3CDTF">2019-03-22T14:51:00Z</dcterms:created>
  <dcterms:modified xsi:type="dcterms:W3CDTF">2019-08-08T11:11:00Z</dcterms:modified>
</cp:coreProperties>
</file>