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551180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7"/>
        </w:rPr>
        <w:t>Ministerstwo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7"/>
          <w:color w:val="1C1C1C"/>
        </w:rPr>
        <w:t xml:space="preserve">^ </w:t>
      </w:r>
      <w:r>
        <w:rPr>
          <w:rStyle w:val="CharStyle7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20"/>
        <w:jc w:val="left"/>
      </w:pPr>
      <w:r>
        <w:rPr>
          <w:rStyle w:val="CharStyle10"/>
        </w:rPr>
        <w:t>Departament Instrumentów Środowiskowych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DIŚ-V.053.1.2025.MO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0"/>
          <w:sz w:val="18"/>
          <w:szCs w:val="18"/>
        </w:rPr>
        <w:t>3656867.14484442.11655594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20"/>
        <w:jc w:val="left"/>
      </w:pPr>
      <w:r>
        <w:rPr>
          <w:rStyle w:val="CharStyle10"/>
        </w:rPr>
        <w:t>Warszawa, 24-02-2025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220"/>
        <w:jc w:val="left"/>
      </w:pPr>
      <w:r>
        <w:rPr>
          <w:rStyle w:val="CharStyle10"/>
          <w:b/>
          <w:bCs/>
        </w:rPr>
        <w:t>Pan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220"/>
        <w:jc w:val="both"/>
      </w:pPr>
      <w:r>
        <w:rPr>
          <w:rStyle w:val="CharStyle10"/>
        </w:rPr>
        <w:t>Szanowny Panie Prezesie,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220" w:right="0" w:firstLine="0"/>
        <w:jc w:val="both"/>
      </w:pPr>
      <w:r>
        <w:rPr>
          <w:rStyle w:val="CharStyle10"/>
        </w:rPr>
        <w:t>w odpowiedzi na petycję z dnia 27 stycznia br., przekazaną Ministerstwu Klimatu i Środowiska, przy piśmie Kancelarii Prezydenta RP z dnia 19 lutego br., znak: BIPL.0606.27.2024.ML, w sprawie uchylenia art. 157 ust. 2 ustawy z dnia 27 kwietnia 2001 r. Prawo ochrony środowiska, zwanej dalej ustawą Poś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>, uprzejmie informuję, co następuje.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220" w:right="0" w:firstLine="0"/>
        <w:jc w:val="both"/>
      </w:pPr>
      <w:r>
        <w:rPr>
          <w:rStyle w:val="CharStyle10"/>
        </w:rPr>
        <w:t>Na wstępie pragnę wyjaśnić, że przepisy Konstytucji Rzeczypospolitej Polskiej zapewniają każdemu wolność sumienia i religii. W myśl art. 53 ust. 2 Konstytucji wolność religii obejmuje wolność wyznawania lub przyjmowania religii według własnego wyboru oraz uzewnętrzniania indywidualnie lub z innymi, publicznie lub prywatnie, swojej religii przez uprawianie kultu, modlitwę, uczestniczenie w obrzędach, praktykowanie i nauczanie. Wolność religii obejmuje także posiadanie świątyń i innych miejsc kultu w zależności od potrzeb ludzi wierzących oraz prawo osób do korzystania z pomocy religijnej tam, gdzie się znajdują. Natomiast w myśl art. 53 ust. 5 Konstytucji wolność uzewnętrzniania religii może być ograniczona jedynie w drodze ustawy i tylko wtedy, gdy jest to konieczne do ochrony bezpieczeństwa państwa, porządku publicznego, zdrowia, moralności lub wolności i praw innych osób.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86" w:lineRule="auto"/>
        <w:ind w:left="220" w:right="0" w:firstLine="0"/>
        <w:jc w:val="both"/>
      </w:pPr>
      <w:r>
        <w:rPr>
          <w:rStyle w:val="CharStyle10"/>
        </w:rPr>
        <w:t>Zgodnie z art. 8 ust. 1 Konkordatu między Stolicą Apostolską i Rzecząpospolitą Polską</w:t>
      </w:r>
      <w:r>
        <w:rPr>
          <w:rStyle w:val="CharStyle10"/>
          <w:vertAlign w:val="superscript"/>
        </w:rPr>
        <w:t xml:space="preserve">2 </w:t>
      </w:r>
      <w:r>
        <w:rPr>
          <w:rStyle w:val="CharStyle10"/>
        </w:rPr>
        <w:t>z dnia 28 lipca 1993 r. Polska zapewnia Kościołowi Katolickiemu wolność sprawowania kultu zgodnie z artykułem 5, który stanowi, że przestrzegając prawa do wolności religijnej, państwo zapewnia Kościołowi Katolickiemu, bez względu na obrządek, swobodne i publiczne pełnienie jego misji. Natomiast na podstawie art. 19 ust. 2 ustawy z dnia 17 maja 1989 r. o gwarancjach wolności sumienia i wyznania</w:t>
      </w:r>
      <w:r>
        <w:rPr>
          <w:rStyle w:val="CharStyle10"/>
          <w:vertAlign w:val="superscript"/>
        </w:rPr>
        <w:t>3</w:t>
      </w:r>
      <w:r>
        <w:rPr>
          <w:rStyle w:val="CharStyle10"/>
        </w:rPr>
        <w:t>, kościoły i inne związki wyznaniowe wypełniając funkcje religijne mogą w szczególności m.in.: organizować i publicznie sprawować kult oraz organizować obrzędy i zgromadzenia religijne. Stąd kościoły i związki wyznaniowe mają prawo do gromadzenia wiernych oraz wykonywania wszelkich czynności zewnętrznych zmierzających do sprawowania kultu publicznego.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  <w:vertAlign w:val="superscript"/>
        </w:rPr>
        <w:t>1</w:t>
      </w:r>
      <w:r>
        <w:rPr>
          <w:rStyle w:val="CharStyle10"/>
        </w:rPr>
        <w:t>Dz. U. z 2024 r. poz. 54, z późn. zm.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6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rStyle w:val="CharStyle10"/>
        </w:rPr>
        <w:t>Dz.U. z 1998 r. nr 51 poz. 318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6" w:val="left"/>
        </w:tabs>
        <w:bidi w:val="0"/>
        <w:spacing w:before="0" w:after="240" w:line="240" w:lineRule="auto"/>
        <w:ind w:left="0" w:right="0" w:firstLine="220"/>
        <w:jc w:val="left"/>
      </w:pPr>
      <w:r>
        <w:rPr>
          <w:rStyle w:val="CharStyle10"/>
        </w:rPr>
        <w:t>Dz.U. 2023 poz. 265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5.60000000000002pt;margin-top:1.pt;width:141.34999999999999pt;height:21.3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223-692-472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"mailto:departament.instrumentow.srodowiskowych@klimat.gov.pl" </w:instrText>
      </w:r>
      <w:r>
        <w:fldChar w:fldCharType="separate"/>
      </w:r>
      <w:r>
        <w:rPr>
          <w:rStyle w:val="CharStyle3"/>
        </w:rPr>
        <w:t>departament.instrumentow.srodowiskowych@klimat.gov.pl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2407285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9.55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both"/>
      </w:pPr>
      <w:r>
        <w:rPr>
          <w:rStyle w:val="CharStyle10"/>
        </w:rPr>
        <w:t>Mając na uwadze powyższe, postulat usunięcia ust. 2 z art. 157 ustawy Poś, budzi uzasadnione wątpliwości. Przede wszystkim należy mieć na uwadze, że ustanawianie ograniczeń, co do czasu funkcjonowania instalacji lub korzystania z urządzeń, mogłoby prowadzić do naruszenia konstytucyjnej gwarancji wolności sprawowania kultu publicznego.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10"/>
        </w:rPr>
        <w:t>W ocenie Ministerstwa możliwość określania przez gminy ograniczeń co do czasu funkcjonowania instalacji lub korzystania z urządzeń wykorzystywanych do pełnienia funkcji religijnych mogłoby w efekcie prowadzić do ograniczenia sprawowania kultu publicznego. Z informacji zawartych w publikacji „Wyznania religijne w Polsce w latach 2019–2021” opracowanej przez Główny Urząd Statystyczny, w roku 2021 na terenie RP istniało 187 rodzajów religii, nurtów religijnych i grup wyznaniowych. Jak podaje Ministerstwo Spraw Wewnętrznych i Administracji, według stanu na dzień 8 stycznia 2025 r. do rejestru wpisanych jest 175 kościołów i innych związków wyznaniowych; niemających uregulowanej sytuacji prawnej w formie odrębnej ustawy oraz 5 organizacji międzykościelnych.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both"/>
      </w:pPr>
      <w:r>
        <w:rPr>
          <w:rStyle w:val="CharStyle10"/>
        </w:rPr>
        <w:t>Wobec całkowitej liczby wyznań religijnych w Polsce, wydaje się być niemożliwe określenie dla nich jednolitych ograniczeń w sposób nienaruszający ich praw do organizacji i publicznego sprawowania kultu. Natomiast próba implementacji w prawie miejscowym ograniczeń odnoszących się tylko do jednej religii/związku wyznaniowego stanowiłaby przejaw dyskryminacji.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both"/>
      </w:pPr>
      <w:r>
        <w:rPr>
          <w:rStyle w:val="CharStyle10"/>
        </w:rPr>
        <w:t>W związku z tym, w ocenie Ministerstwa każda sprawa wymaga indywidualnego, jednostkowego podejścia uwzględniającego zarówno konstytucyjną gwarancję wolności sprawowania kultu publicznego jak również równego traktowania oraz ochrony zdrowia. Obecny kształt przepisów z zakresu ochrony środowiska przed hałasem zapewnia równowagę pomiędzy tymi zasadniczymi wartościami.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Jakkolwiek, kościół katolicki ma prawo gromadzić wiernych oraz wykonywać wszelkie czynności zewnętrzne zmierzające do sprawowania kultu publicznego, to należy mieć również na uwadze art. 27 ust. 1 ustawy z dnia 17 maja 1989 r. o gwarancjach wolności sumienia i wyznania, zgodnie z którym działalność kościołów i innych związków wyznaniowych nie może naruszać przepisów ogólnie obowiązujących ustaw chroniących bezpieczeństwo publiczne, porządek, zdrowie lub moralność publiczną, władzę rodzicielską albo podstawowe prawa i wolności innych osób. Powyższy przepis, znajduje także potwierdzenie w art. 8 ust. 2 Konkordatu, zgodnie z którym organizowanie kultu publicznego należy do władzy kościelnej zgodnie z przepisami prawa kanonicznego i z zachowaniem odpowiednich przepisów prawa polskiego.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W ocenie Ministerstwa Klimatu i Środowiska, wyrazem swobody organizowania i sprawowania kultu publicznego przez Kościół Katolicki oraz inne kościoły i związki wyznaniowe, jest umożliwienie realizowania czynności związanych z prowadzeniem nabożeństw i wykonywaniem czynności liturgicznych, przy uwzględnieniu konieczności zapewnienia bezpiecznych dla zdrowia warunków środowiska. Stąd zarówno w odniesieniu do tradycyjnych dzwonów jak i instalacji/urządzeń nagłaśniających istnieją regulacje służące ograniczaniu ich negatywnego oddziaływania. Jednocześnie należy wyjaśnić, że obowiązujące przepisy, zakresu ochrony środowiska przed hałasem jasno określają zasady oddzielnie dla użytkowania instalacji lub urządzeń nagłaśniających, a oddzielnie dla tradycyjnych dzwonów.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35" w:right="1908" w:bottom="919" w:left="1804" w:header="307" w:footer="491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0"/>
        </w:rPr>
        <w:t>W przypadku dźwięku dzwonów kościelnych, pieśni czy melodii i innych sygnałów dźwiękowych, emitowanych do środowiska za pośrednictwem instalacji lub urządzeń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nagłaśniających, stosuje się przepis art. 156 ustawy Poś, którego ust. 1 stanowi, że zabrania się używania instalacji lub urządzeń nagłaśniających na publicznie dostępnych terenach miast, terenach zabudowanych oraz na terenach przeznaczonych na cele rekreacyjno - wypoczynkowe. Odstępstwo od tego przepisu określa art. 156 ust. 2, zgodnie z którym, przepisu ust. 1 nie stosuje się do okazjonalnych uroczystości oraz uroczystości i imprez związanych z kultem religijnym, imprez sportowych, handlowych, rozrywkowych i innych lokalnych zgromadzeń, a także podawania do publicznej wiadomości informacji i komunikatów służących bezpieczeństwu publicznemu. Jednocześnie należy zauważyć, że przepis art. 156 ust. 2 wskazuje na uroczystości i imprezy związane z kultem religijnym, a zatem powszechne czynności realizowane przy wykorzystaniu urządzeń nagłaśniających, jak również te, które nie wchodzą w zakres sprawowania kultu publicznego, jak na przykład wybijanie kurantów (np. o każdej pełnej godzinie), powinny być co do zasady zakazane.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W myśl art. 343 ust. 1 ustawy Poś, kto narusza zakaz używania instalacji lub urządzeń nagłaśniających określony w art. 156 ust. 1, podlega karze grzywny. Okoliczności upoważniające do postępowania mandatowego oraz warunki nałożenia mandatu karnego regulują przepisy ustawy z dnia 24 sierpnia 2001 r. Kodeks postępowania w sprawach o wykroczenia</w:t>
      </w:r>
      <w:r>
        <w:rPr>
          <w:rStyle w:val="CharStyle10"/>
          <w:vertAlign w:val="superscript"/>
        </w:rPr>
        <w:t>4</w:t>
      </w:r>
      <w:r>
        <w:rPr>
          <w:rStyle w:val="CharStyle10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W związku z tym, że wykorzystanie urządzeń i instalacji nagłaśniających wiąże się z potencjalną emisją hałasu o dużym natężeniu, ustawodawca zdecydował się na wprowadzenie zakazu o treści wyrażonej w art. 156 ust. 1 ustawy Poś, poprzez odwołanie się do sposobu emisji hałasu, a nie jego natężenia, przy czym należy podkreślić, że zapis ten odnosi się wyłącznie do tego typu instalacji/urządzeń i nie obejmuje tradycyjnych dzwonów kościelnych.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W przypadku akustycznego oddziaływania tradycyjnych dzwonów kościelnych, należy odnieść się do przepisów dotyczących instalacji oraz zakładów, zawartych w ustawie Poś. W myśl przepisu art. 3 pkt 48 ustawy Poś, kościół wraz dzwonami i otaczającym go terenem, jest zakładem. Przepis ten bowiem stanowi, że ilekroć w ustawie jest mowa o zakładzie, rozumie się przez to jedną lub kilka instalacji wraz z terenem, do którego prowadzący instalacje posiada tytuł prawny, oraz znajdującymi się na nim urządzeniami. Dzwony natomiast zgodnie, zgodnie z art. 3 pkt 6 są instalacją, bo poprzez instalację rozumie się m.in. stacjonarne urządzenie techniczne. Fakt, że działalność kościoła wraz ze znajdującymi się w nim dzwonami nie stanowi działalności przemysłowej lub gospodarczej, nie jest przesłanką do wyłączenia go z definicji zakładu, eksploatującego instalację, gdyż ww. przepisy nie określają charakteru działalności zakładów. Celem definicji zakładu oraz instalacji, sformułowanych w prawie ochrony środowiska, jest ochrona środowiska oraz przede wszystkim zdrowia ludności przed emisją pochodzącą ze stacjonarnego urządzenia technicznego, w tym wypadku dzwonów (lub zespołu takich urządzeń), zlokalizowanego w danym miejscu – zakładzie, odpowiednio kościele.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W związku z tym, w przypadku akustycznego oddziaływania na środowisko, tradycyjnych dzwonów kościelnych, zastosowanie ma przepis art.115a ust. 1 Poś, który stanowi, że w przypadku stwierdzenia przez organ ochrony środowiska, że poza zakładem, w wyniku jego działalności, przekroczone są dopuszczalne poziomy hałasu, organ ten wydaje decyzję o dopuszczalnym poziomie hałasu; za przekroczenie dopuszczalnego poziomu hałasu uważa się przekroczenie wskaźnika hałasu L</w:t>
      </w:r>
      <w:r>
        <w:rPr>
          <w:rStyle w:val="CharStyle10"/>
          <w:sz w:val="13"/>
          <w:szCs w:val="13"/>
        </w:rPr>
        <w:t xml:space="preserve">AeqD </w:t>
      </w:r>
      <w:r>
        <w:rPr>
          <w:rStyle w:val="CharStyle10"/>
        </w:rPr>
        <w:t>i/lub L</w:t>
      </w:r>
      <w:r>
        <w:rPr>
          <w:rStyle w:val="CharStyle10"/>
          <w:sz w:val="13"/>
          <w:szCs w:val="13"/>
        </w:rPr>
        <w:t>AeqN</w:t>
      </w:r>
      <w:r>
        <w:rPr>
          <w:rStyle w:val="CharStyle10"/>
        </w:rPr>
        <w:t>. Należy wskazać, że dopuszczalne poziomy hałasu określone w rozporządzeniu Ministra Środowiska z dnia 14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czerwca 2007 r. w sprawie dopuszczalnych poziomów hałasu w środowisku</w:t>
      </w:r>
      <w:r>
        <w:rPr>
          <w:rStyle w:val="CharStyle10"/>
          <w:vertAlign w:val="superscript"/>
        </w:rPr>
        <w:t>5</w:t>
      </w:r>
      <w:r>
        <w:rPr>
          <w:rStyle w:val="CharStyle10"/>
        </w:rPr>
        <w:t xml:space="preserve"> zostały ustalone na podstawie upoważnienia zawartego w art. 113 ust. 1 ustawy Poś, z Ministrem Zdrowia, który uznał, że hałas powyżej określonych w nim dopuszczalnych poziomów jest szkodliwy dla zdrowia. Celem tej decyzji ochrona zdrowia ludności poprzez ograniczenie ponadnormatywnej emisji hałasu do środowiska, niezależnie od charakteru wykonywanej działalności.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Niezależnie od powyższego należy wskazać, że kwestia oddziaływania akustycznego związku z pełnieniem funkcji religijnych jest przedmiotem wieloletniej dyskusji. Obok kwestii dotyczących usankcjonowania nieograniczonego użytkowania dzwonów i urządzeń nagłaśniających w związku z pełnieniem obrzędów religijnych, podnoszone są także liczne postulaty dotyczące ograniczenia związanej z tym emisji hałasu. Kwestia wykorzystywania dzwonów i urządzeń nagłaśniających do celów religijnych jest zagadnieniem złożonym. Nie bez znaczenia pozostają tutaj swoiste warunki ich użytkowania, na które składają się: lokalne uwarunkowania danego terenu, sposób jego zagospodarowania, wrażliwość populacji oraz częstotliwość i czas oddziaływania. W ocenie Ministerstwa obecny kształt przepisów zapewnia równowagę pomiędzy konstytucyjną gwarancją wolności sprawowania kultu publicznego jak również równego traktowania oraz ochrony zdrowia.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10"/>
        </w:rPr>
        <w:t>Jednocześnie, uprzejmie informuję, że powyższe wyjaśnienia stanowią jedynie opinię Departamentu Instrumentów Środowiskowych, Ministerstwa Klimatu i Środowiska i nie mogą zastąpić lub ograniczyć procesu stosowania prawa przez organ w ramach prowadzonych postępowań administracyjnych w indywidualnych sprawach.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Zastępca Dyrektora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Departament Instrumentów Środowiskowych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Ministerstwo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rStyle w:val="CharStyle10"/>
        </w:rPr>
        <w:t>/ – podpisany cyfrowo/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10"/>
        </w:rPr>
        <w:t>Do wiadomości: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Kancelaria Prezydenta Rzeczypospolitej Polskiej, Biuro Interwencyjnej Pomocy Prawnej 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10"/>
        </w:rPr>
        <w:t>Listów (dot. pisma dnia 19 lutego 2025 r., znak: BIPL.0606.27.2024.ML)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2094" w:right="1950" w:bottom="2888" w:left="194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9305925</wp:posOffset>
              </wp:positionV>
              <wp:extent cx="162179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217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4"/>
                              <w:rFonts w:ascii="Calibri" w:eastAsia="Calibri" w:hAnsi="Calibri" w:cs="Calibri"/>
                              <w:sz w:val="20"/>
                              <w:szCs w:val="20"/>
                              <w:vertAlign w:val="superscript"/>
                            </w:rPr>
                            <w:t>4</w:t>
                          </w:r>
                          <w:r>
                            <w:rPr>
                              <w:rStyle w:val="CharStyle14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Dz. U. z 2024 r. poz. 977, 1544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9.299999999999997pt;margin-top:732.75pt;width:127.7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4"/>
                        <w:rFonts w:ascii="Calibri" w:eastAsia="Calibri" w:hAnsi="Calibri" w:cs="Calibri"/>
                        <w:sz w:val="20"/>
                        <w:szCs w:val="20"/>
                        <w:vertAlign w:val="superscript"/>
                      </w:rPr>
                      <w:t>4</w:t>
                    </w:r>
                    <w:r>
                      <w:rPr>
                        <w:rStyle w:val="CharStyle14"/>
                        <w:rFonts w:ascii="Calibri" w:eastAsia="Calibri" w:hAnsi="Calibri" w:cs="Calibri"/>
                        <w:sz w:val="20"/>
                        <w:szCs w:val="20"/>
                      </w:rPr>
                      <w:t xml:space="preserve"> Dz. U. z 2024 r. poz. 977, 1544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1263015</wp:posOffset>
              </wp:positionH>
              <wp:positionV relativeFrom="page">
                <wp:posOffset>9305925</wp:posOffset>
              </wp:positionV>
              <wp:extent cx="1268095" cy="1155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6809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4"/>
                              <w:rFonts w:ascii="Calibri" w:eastAsia="Calibri" w:hAnsi="Calibri" w:cs="Calibri"/>
                              <w:sz w:val="20"/>
                              <w:szCs w:val="20"/>
                              <w:vertAlign w:val="superscript"/>
                            </w:rPr>
                            <w:t>5</w:t>
                          </w:r>
                          <w:r>
                            <w:rPr>
                              <w:rStyle w:val="CharStyle14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Dz.U. z 2014 r. poz. 112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99.450000000000003pt;margin-top:732.75pt;width:99.850000000000009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4"/>
                        <w:rFonts w:ascii="Calibri" w:eastAsia="Calibri" w:hAnsi="Calibri" w:cs="Calibri"/>
                        <w:sz w:val="20"/>
                        <w:szCs w:val="20"/>
                        <w:vertAlign w:val="superscript"/>
                      </w:rPr>
                      <w:t>5</w:t>
                    </w:r>
                    <w:r>
                      <w:rPr>
                        <w:rStyle w:val="CharStyle14"/>
                        <w:rFonts w:ascii="Calibri" w:eastAsia="Calibri" w:hAnsi="Calibri" w:cs="Calibri"/>
                        <w:sz w:val="20"/>
                        <w:szCs w:val="20"/>
                      </w:rPr>
                      <w:t xml:space="preserve"> Dz.U. z 2014 r. poz. 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Tekst treści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główek lub stopka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Tekst treści"/>
    <w:basedOn w:val="Normal"/>
    <w:link w:val="CharStyle10"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główek lub stopka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