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AB" w:rsidRPr="00B10877" w:rsidRDefault="003C6D55" w:rsidP="00B10877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UCHWAŁA NUMER 22</w:t>
      </w:r>
    </w:p>
    <w:p w:rsidR="008970AB" w:rsidRPr="00B10877" w:rsidRDefault="003C6D55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ZWYCZAJNEGO WALNEGO ZGROMADZENIA SPÓŁKI POD FIRMĄ</w:t>
      </w:r>
    </w:p>
    <w:p w:rsidR="008970AB" w:rsidRPr="00B10877" w:rsidRDefault="003C6D55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POLSKI FUNDUSZ ROZWOJU SPÓŁKA AKCYJNA Z SIEDZIBĄ W WARSZAWIE</w:t>
      </w:r>
    </w:p>
    <w:p w:rsidR="008970AB" w:rsidRPr="00B10877" w:rsidRDefault="003C6D55" w:rsidP="00B10877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 DNIA 28 CZERWCA </w:t>
      </w:r>
      <w:r w:rsidRPr="00B10877">
        <w:rPr>
          <w:rFonts w:cs="Times New Roman"/>
          <w:b/>
        </w:rPr>
        <w:t xml:space="preserve">2019 </w:t>
      </w:r>
      <w:r>
        <w:rPr>
          <w:rFonts w:cs="Times New Roman"/>
          <w:b/>
        </w:rPr>
        <w:t>ROKU</w:t>
      </w:r>
    </w:p>
    <w:p w:rsidR="003C6D55" w:rsidRDefault="003C6D55" w:rsidP="003C6D55">
      <w:pPr>
        <w:spacing w:after="0" w:line="240" w:lineRule="auto"/>
        <w:jc w:val="center"/>
        <w:rPr>
          <w:rFonts w:cs="Times New Roman"/>
          <w:i/>
        </w:rPr>
      </w:pPr>
      <w:r>
        <w:rPr>
          <w:rFonts w:cs="Times New Roman"/>
          <w:i/>
        </w:rPr>
        <w:t>w sprawie</w:t>
      </w:r>
    </w:p>
    <w:p w:rsidR="008970AB" w:rsidRPr="00B10877" w:rsidRDefault="008970AB" w:rsidP="003C6D55">
      <w:pPr>
        <w:spacing w:after="0" w:line="240" w:lineRule="auto"/>
        <w:jc w:val="center"/>
        <w:rPr>
          <w:rFonts w:cs="Times New Roman"/>
          <w:i/>
        </w:rPr>
      </w:pPr>
      <w:r w:rsidRPr="00B10877">
        <w:rPr>
          <w:rFonts w:cs="Times New Roman"/>
          <w:i/>
        </w:rPr>
        <w:t>zasad kształtowania wynagrodzeń Członków Zarządu Spółki</w:t>
      </w:r>
    </w:p>
    <w:p w:rsidR="008970AB" w:rsidRPr="00B10877" w:rsidRDefault="008970AB" w:rsidP="00B10877">
      <w:pPr>
        <w:spacing w:line="240" w:lineRule="auto"/>
        <w:jc w:val="both"/>
        <w:rPr>
          <w:rFonts w:cs="Times New Roman"/>
        </w:rPr>
      </w:pPr>
    </w:p>
    <w:p w:rsidR="00B10877" w:rsidRPr="00B10877" w:rsidRDefault="00B10877" w:rsidP="00B10877">
      <w:pPr>
        <w:spacing w:after="0" w:line="240" w:lineRule="auto"/>
        <w:jc w:val="both"/>
        <w:rPr>
          <w:rFonts w:cs="Times New Roman"/>
          <w:bCs/>
        </w:rPr>
      </w:pPr>
      <w:r w:rsidRPr="00B10877">
        <w:rPr>
          <w:rFonts w:cs="Times New Roman"/>
          <w:bCs/>
        </w:rPr>
        <w:t xml:space="preserve">Działając na podstawie art. 378 § 2 Kodeksu spółek handlowych oraz art. 2 ust. 2 pkt 1, art. 4, art. 5, art. 6 art. 7 i art. 8 ustawy z dnia 9 czerwca 2016 r. o zasadach kształtowania wynagrodzeń osób kierujących niektórymi spółkami (Dz.U. z 2017 r. poz. 2190 z </w:t>
      </w:r>
      <w:proofErr w:type="spellStart"/>
      <w:r w:rsidRPr="00B10877">
        <w:rPr>
          <w:rFonts w:cs="Times New Roman"/>
          <w:bCs/>
        </w:rPr>
        <w:t>późn</w:t>
      </w:r>
      <w:proofErr w:type="spellEnd"/>
      <w:r w:rsidRPr="00B10877">
        <w:rPr>
          <w:rFonts w:cs="Times New Roman"/>
          <w:bCs/>
        </w:rPr>
        <w:t xml:space="preserve">. zm.) oraz </w:t>
      </w:r>
      <w:r w:rsidRPr="00B10877">
        <w:rPr>
          <w:rFonts w:cs="Times New Roman"/>
        </w:rPr>
        <w:t>§ 13 ust. 2 pkt 16 Statutu spółki pod firmą Polski Fundusz Rozwoju Spółka Akcyjna z siedzibą w Warszawie</w:t>
      </w:r>
      <w:r w:rsidRPr="00B10877">
        <w:rPr>
          <w:rFonts w:cs="Times New Roman"/>
          <w:bCs/>
        </w:rPr>
        <w:t xml:space="preserve"> („Spółka”), Zwyczajne Walne Zgromadzenie Spółki uchwala, co następuje:</w:t>
      </w:r>
    </w:p>
    <w:p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1</w:t>
      </w:r>
    </w:p>
    <w:p w:rsidR="008970AB" w:rsidRPr="00B10877" w:rsidRDefault="008970AB" w:rsidP="00B108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Z Członkiem Zarządu Spółki zawierana jest umowa o świadczenie usług zarzadzania na czas pełnienia funkcji („Umowa”), z obowiązkiem świadczenia osobistego, bez względu na to, czy działa on w zakresie prowadzonej działalności gospodarczej.</w:t>
      </w:r>
    </w:p>
    <w:p w:rsidR="008970AB" w:rsidRPr="00B10877" w:rsidRDefault="008970AB" w:rsidP="00B10877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Treść Umowy określa Rada Nadzorcza na warunkach określonych w ustawie z dnia 9 czerwca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2016 r. o zasadach kształtowania wynagrodzeń osób kierujących niektórymi spółkami („Ustawa”) oraz zgodnie z postanowieniami niniejszej uchwały.</w:t>
      </w:r>
    </w:p>
    <w:p w:rsidR="008970AB" w:rsidRPr="00B10877" w:rsidRDefault="008970AB" w:rsidP="00B10877">
      <w:pPr>
        <w:pStyle w:val="Akapitzlist"/>
        <w:spacing w:after="0" w:line="240" w:lineRule="auto"/>
        <w:ind w:left="426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2</w:t>
      </w:r>
    </w:p>
    <w:p w:rsidR="008970AB" w:rsidRPr="00B10877" w:rsidRDefault="008970AB" w:rsidP="00B1087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Wynagrodzenie całkowite Członka Zarządu Spółki składa się z części stałej, stanowiącej wynagrodzenie miesięczne podstawowe („Wynagrodzenie Stałe”) oraz części zmiennej, stanowiącej wynagrodzenie uzupełniające za rok obrotowy Spółki („Wynagrodzenie Zmienne”).</w:t>
      </w:r>
    </w:p>
    <w:p w:rsidR="008970AB" w:rsidRPr="00B10877" w:rsidRDefault="008970AB" w:rsidP="00B1087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Wynagrodzenie Stałe dla poszczególnych członków Zarządu Spółki zawiera się w przedziale kwotowym mieszczącym się od siedmiokrotności do piętnastokrotności </w:t>
      </w:r>
      <w:r w:rsidR="00171981" w:rsidRPr="00171981">
        <w:rPr>
          <w:rFonts w:cs="Times New Roman"/>
          <w:bCs/>
        </w:rPr>
        <w:t xml:space="preserve">podstawy wymiaru, </w:t>
      </w:r>
      <w:r w:rsidR="00B36BDB">
        <w:rPr>
          <w:rFonts w:cs="Times New Roman"/>
          <w:bCs/>
        </w:rPr>
        <w:br/>
      </w:r>
      <w:r w:rsidR="00171981" w:rsidRPr="00171981">
        <w:rPr>
          <w:rFonts w:cs="Times New Roman"/>
          <w:bCs/>
        </w:rPr>
        <w:t>o której mowa w art. 1 ust. 3 pkt 11 ustawy z dnia 9 czerwca 2016 r. o zasadach kształtowania wynagrodzeń osób kierujących niektórymi spółkami</w:t>
      </w:r>
      <w:r w:rsidRPr="00B10877">
        <w:rPr>
          <w:rFonts w:cs="Times New Roman"/>
        </w:rPr>
        <w:t>.</w:t>
      </w:r>
    </w:p>
    <w:p w:rsidR="008970AB" w:rsidRPr="00B10877" w:rsidRDefault="008970AB" w:rsidP="00B1087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Upoważnia się Radę Nadzorczą Spółki do określenia kwotowo Wynagrodzenia Stałego dla poszczególnych członków Zarządu zgodnie z postanowieniem ust. 2.</w:t>
      </w:r>
    </w:p>
    <w:p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3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Wynagrodzenie Zmienne jest uzależnione od poziomu realizacji ustalonych Celów Zarządczych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i nie może przekroczyć 100% Wynagrodzenia Stałego w poprzednim roku obrotowym, dla którego dokonywane jest obliczenie wysokości przysługującego Wynagrodzenia Zmiennego.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Wysokość Wynagrodzenia Zmiennego dla każdego z Członków Zarządu ustala Rada Nadzorcza Spółki.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Ustala się następujące ogólne Cele Zarządcze:</w:t>
      </w:r>
    </w:p>
    <w:p w:rsidR="008970AB" w:rsidRPr="00B10877" w:rsidRDefault="008970AB" w:rsidP="00B108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realizacja strategii,</w:t>
      </w:r>
    </w:p>
    <w:p w:rsidR="008970AB" w:rsidRPr="00B10877" w:rsidRDefault="008970AB" w:rsidP="00B108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realizacja inwestycji,</w:t>
      </w:r>
    </w:p>
    <w:p w:rsidR="008970AB" w:rsidRPr="00B10877" w:rsidRDefault="008970AB" w:rsidP="00B108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poprawa wskaźników ekonomiczno-finansowych.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Upoważnia się Radę Nadzorczą Spółki do ustalenia szczegółowych Celów Zarządczych.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Upoważnia się Radę Nadzorczą do określenia Wag dla Celów Zarządczych oraz obiektywnych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i mierzalnych kryteriów (wskaźników) ich realizacji i rozliczania (KPI).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Przy określaniu szczegółowych Celów Zarządczych, ich Wagi oraz kryteriów ich realizacji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i rozliczania, Rada Nadzorcza uwzględni także stopień realizacji misji publicznej.</w:t>
      </w:r>
    </w:p>
    <w:p w:rsidR="00AA7851" w:rsidRPr="00B10877" w:rsidRDefault="00AA7851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Jako odrębne Cele Zarządcze, warunkujące możliwość otrzymania Wynagrodzenia Zmiennego określa się:</w:t>
      </w:r>
    </w:p>
    <w:p w:rsidR="00AA7851" w:rsidRPr="00B10877" w:rsidRDefault="00AA7851" w:rsidP="00B10877">
      <w:pPr>
        <w:pStyle w:val="Akapitzlist"/>
        <w:numPr>
          <w:ilvl w:val="1"/>
          <w:numId w:val="13"/>
        </w:numPr>
        <w:spacing w:after="0" w:line="240" w:lineRule="auto"/>
        <w:ind w:left="851" w:hanging="425"/>
        <w:jc w:val="both"/>
        <w:rPr>
          <w:rFonts w:cs="Times New Roman"/>
        </w:rPr>
      </w:pPr>
      <w:r w:rsidRPr="00B10877">
        <w:rPr>
          <w:rFonts w:cs="Times New Roman"/>
        </w:rPr>
        <w:t xml:space="preserve">ukształtowanie i stosowanie zasad wynagradzania członków organów zarządzających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i nadzorczych odpowiadających zasadom określonym w Ustawie,</w:t>
      </w:r>
    </w:p>
    <w:p w:rsidR="00AA7851" w:rsidRPr="00B10877" w:rsidRDefault="00AA7851" w:rsidP="00B10877">
      <w:pPr>
        <w:pStyle w:val="Akapitzlist"/>
        <w:numPr>
          <w:ilvl w:val="1"/>
          <w:numId w:val="13"/>
        </w:numPr>
        <w:spacing w:after="0" w:line="240" w:lineRule="auto"/>
        <w:ind w:left="851" w:hanging="425"/>
        <w:jc w:val="both"/>
        <w:rPr>
          <w:rFonts w:cs="Times New Roman"/>
        </w:rPr>
      </w:pPr>
      <w:r w:rsidRPr="00B10877">
        <w:rPr>
          <w:rFonts w:cs="Times New Roman"/>
        </w:rPr>
        <w:lastRenderedPageBreak/>
        <w:t>realizację obowiązków, o których mowa w art. 17-20, art. 22 i art. 23 ustawy z dnia 16 grudnia 2016 r. o zasadach zarządzania mieniem państwowym (</w:t>
      </w:r>
      <w:r w:rsidR="00DD1240" w:rsidRPr="00812851">
        <w:rPr>
          <w:rFonts w:ascii="Calibri" w:hAnsi="Calibri" w:cs="Calibri"/>
        </w:rPr>
        <w:t>Dz. U. z 201</w:t>
      </w:r>
      <w:r w:rsidR="00DD1240">
        <w:rPr>
          <w:rFonts w:ascii="Calibri" w:hAnsi="Calibri" w:cs="Calibri"/>
        </w:rPr>
        <w:t>8</w:t>
      </w:r>
      <w:r w:rsidR="00DD1240" w:rsidRPr="00812851">
        <w:rPr>
          <w:rFonts w:ascii="Calibri" w:hAnsi="Calibri" w:cs="Calibri"/>
        </w:rPr>
        <w:t xml:space="preserve"> r., poz. </w:t>
      </w:r>
      <w:r w:rsidR="00DD1240">
        <w:rPr>
          <w:rFonts w:ascii="Calibri" w:hAnsi="Calibri" w:cs="Calibri"/>
        </w:rPr>
        <w:t>1182</w:t>
      </w:r>
      <w:r w:rsidR="00DD1240" w:rsidRPr="00812851">
        <w:rPr>
          <w:rFonts w:ascii="Calibri" w:hAnsi="Calibri" w:cs="Calibri"/>
        </w:rPr>
        <w:t xml:space="preserve"> </w:t>
      </w:r>
      <w:proofErr w:type="spellStart"/>
      <w:r w:rsidR="00DD1240">
        <w:rPr>
          <w:rFonts w:ascii="Calibri" w:hAnsi="Calibri" w:cs="Calibri"/>
        </w:rPr>
        <w:t>t.j</w:t>
      </w:r>
      <w:proofErr w:type="spellEnd"/>
      <w:r w:rsidR="00DD1240">
        <w:rPr>
          <w:rFonts w:ascii="Calibri" w:hAnsi="Calibri" w:cs="Calibri"/>
        </w:rPr>
        <w:t>.</w:t>
      </w:r>
      <w:r w:rsidRPr="00B10877">
        <w:rPr>
          <w:rFonts w:cs="Times New Roman"/>
        </w:rPr>
        <w:t xml:space="preserve">), </w:t>
      </w:r>
    </w:p>
    <w:p w:rsidR="008970AB" w:rsidRPr="00B10877" w:rsidRDefault="00AA7851" w:rsidP="00B10877">
      <w:p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- w podmiotach zależnych Spółki w rozumieniu art. 4 pkt 3 ustawy z dnia 16 lutego 2007 r. o ochronie konkurencji i konsumentów (Dz. U. z 2017 r. poz. 229.).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Spełnienie warunków do przyznania poszczególnym Członkom Zarządu Wynagrodzenia Zmiennego za dany rok obrotowy stwierdza Rada Nadzorcza w oparciu o zweryfikowane przez biegłych sprawozdania finansowe oraz inne dokumenty właściwe do oceny realizacji wyznaczonych Celów, z zastrzeżeniem ust 9. Na tej podstawie Rada Nadzorcza określa kwotę Wynagrodzenia Zmiennego dla poszczególnych Członków Zarządu, przy czym w przypadku sprawowania mandatu przez Członka Zarządu tylko przez część danego roku obrotowego, wysokość Wynagrodzenia Zmiennego przysługującego za ten rok jest ustalana z uwzględnieniem okresu sprawowania funkcji Członka Zarządu w takim roku obrotowym.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Wynagrodzenie Zmienne przysługuje danemu Członkowi Zarządu, po zatwierdzeniu sprawozdania Zarządu z działalności Spółki oraz sprawozdania finansowego za ubiegły rok obrotowy i udzieleniu temu członkowi absolutorium z wykonania przez niego obowiązków przez Walne Zgromadzenie.</w:t>
      </w:r>
    </w:p>
    <w:p w:rsidR="008970AB" w:rsidRPr="00B10877" w:rsidRDefault="008970AB" w:rsidP="00B10877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Wygaśnięcie mandatu w trakcie albo po upływie roku obrotowego ocenianego pod względem wykonania Celów Zarządczych nie powoduje utraty prawa do Wynagrodzenia Zmiennego, którego wysokość w takiej sytuacji jest ustalana zgodnie z ust. 8.</w:t>
      </w:r>
    </w:p>
    <w:p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4</w:t>
      </w:r>
    </w:p>
    <w:p w:rsidR="008970AB" w:rsidRPr="00B10877" w:rsidRDefault="008970AB" w:rsidP="00B1087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Umowa zawiera obowiązek informowania przez Członka Zarządu o zamiarze pełnienia funkcji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w organach innej spółki handlowej, nabyciu w niej akcji oraz może przewidywać zakaz pełnienia funkcji w organach jakiejkolwiek innej spółki handlowej lub wprowadzać inne ograniczenia dotyczące dodatkowej działalności Członka Zarządu.</w:t>
      </w:r>
    </w:p>
    <w:p w:rsidR="008970AB" w:rsidRPr="00B10877" w:rsidRDefault="008970AB" w:rsidP="00B1087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Członek Zarządu nie może pobierać wynagrodzenia z tytułu pełnienia funkcji członka organu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w podmiotach zależnych od Spółki w ramach grupy kapitałowej w rozumieniu art. 4 pkt 14 ustawy z dnia 16 lutego 2007 r. o ochronie konkurencji i konsumentów.</w:t>
      </w:r>
    </w:p>
    <w:p w:rsidR="008970AB" w:rsidRPr="00B10877" w:rsidRDefault="008970AB" w:rsidP="00B10877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Upoważnia się Radę Nadzorczą do określenia zakazów i ograniczeń, o których mowa w ust 1 i 2 powyżej, obowiązków sprawozdawczych z ich wykonania oraz sankcji za nienależyte wykonanie.</w:t>
      </w:r>
    </w:p>
    <w:p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5</w:t>
      </w:r>
    </w:p>
    <w:p w:rsidR="008970AB" w:rsidRPr="00B10877" w:rsidRDefault="008970AB" w:rsidP="00B1087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Rada Nadzorcza określi w Umowie zakres i zasady udostępniania Członkowi Zarządu urządzeń technicznych oraz zasobów stanowiących mienie Spółki, niezbędnych do wykonywania funkcji,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a także limity dotyczące poszczególnych kosztów albo sposób ich określenia.</w:t>
      </w:r>
    </w:p>
    <w:p w:rsidR="00AA7851" w:rsidRPr="00B10877" w:rsidRDefault="00AA7851" w:rsidP="00B1087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Umowa może określić także zasady korzystania przez Członka Zarządu z mienia spółki do celów prywatnych oraz przyznania innych świadczeń niepieniężnych w granicach przedziału kwotowego określonego w § 2 ust. 2 Uchwały.</w:t>
      </w:r>
    </w:p>
    <w:p w:rsidR="008970AB" w:rsidRPr="00B10877" w:rsidRDefault="00AA7851" w:rsidP="00B10877">
      <w:pPr>
        <w:pStyle w:val="Akapitzlist"/>
        <w:numPr>
          <w:ilvl w:val="0"/>
          <w:numId w:val="7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Umowa może określić zasady udzielania Członkom Zarządu przerw w świadczeniu usług na podstawie własnej decyzji Członka Zarządu, w tym wskutek choroby, nie powodujących obniżenia wynagrodzenia Członka Zarządu, w wymiarze nieprzekraczającym do 24 dni kalendarzowych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w danym roku obrotowym</w:t>
      </w:r>
      <w:r w:rsidR="008970AB" w:rsidRPr="00B10877">
        <w:rPr>
          <w:rFonts w:cs="Times New Roman"/>
        </w:rPr>
        <w:t>.</w:t>
      </w:r>
    </w:p>
    <w:p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6</w:t>
      </w:r>
    </w:p>
    <w:p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W przypadku wygaśnięcia mandatu w szczególności na skutek śmierci, odwołania lub złożenia rezygnacji, Umowa rozwiązuje się z ostatnim dniem pełnienia funkcji bez okresu wypowiedzenia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>i konieczności dokonywania dodatkowych czynności.</w:t>
      </w:r>
    </w:p>
    <w:p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 przypadku rozwiązania Umowy za porozumieniem Stron ustalony termin rozwiązania Umowy nie może być dłuższy niż 3 (trzy) miesiące.</w:t>
      </w:r>
    </w:p>
    <w:p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Każda ze Stron ma prawo wypowiedzenia Umowy ze skutkiem natychmiastowym w przypadku istotnego naruszenia przez drugą Stronę postanowień Umowy.</w:t>
      </w:r>
    </w:p>
    <w:p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 xml:space="preserve">Każda ze stron ma prawo wypowiedzenia Umowy z innych przyczyn niż określona w ust 3, </w:t>
      </w:r>
      <w:r w:rsidR="00B10877">
        <w:rPr>
          <w:rFonts w:cs="Times New Roman"/>
        </w:rPr>
        <w:br/>
      </w:r>
      <w:r w:rsidRPr="00B10877">
        <w:rPr>
          <w:rFonts w:cs="Times New Roman"/>
        </w:rPr>
        <w:t xml:space="preserve">z maksymalnie 3 (trzy) miesięcznym terminem wypowiedzenia, z zastrzeżeniem, że w przypadku, </w:t>
      </w:r>
      <w:r w:rsidRPr="00B10877">
        <w:rPr>
          <w:rFonts w:cs="Times New Roman"/>
        </w:rPr>
        <w:lastRenderedPageBreak/>
        <w:t>gdy w okresie wypowiedzenia wystąpi zdarzenie, o którym mowa w ust. 1 skutkujące rozwiązaniem Umowy wskutek zaprzestania pełnienia funkcji, to Umowa ulega rozwiązaniu zgodnie z treścią ust. 1.</w:t>
      </w:r>
    </w:p>
    <w:p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Umowa może przewidywać różne terminy wypowiedzenia w zależności od czasu pełnienia funkcji Członka Zarządu, z zastrzeżeniem ust. 1, a także, że termin wypowiedzenia upływa z końcem miesiąca kalendarzowego.</w:t>
      </w:r>
    </w:p>
    <w:p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 razie rozwiązania albo wypowiedzenia przez Spółkę Umowy, z innych przyczyn niż naruszenie podstawowych obowiązków, Członkowi Zarządu może być przyznana odprawa w wysokości nie wyższej niż 3 (trzy) – krotność części stałej wynagrodzenia, pod warunkiem pełnienia przez niego funkcji przez okres co najmniej 12 (dwunastu) miesięcy przed rozwiązaniem tej umowy.</w:t>
      </w:r>
    </w:p>
    <w:p w:rsidR="008970AB" w:rsidRPr="00B10877" w:rsidRDefault="008970AB" w:rsidP="00B10877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Odprawa, o której mowa w ust. 6 nie przysługuje Członkowi Zarządu w przypadku:</w:t>
      </w:r>
    </w:p>
    <w:p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wypowiedzenia, rozwiązania lub zmiany Umowy wskutek zmiany funkcji pełnionej w składzie Zarządu;</w:t>
      </w:r>
    </w:p>
    <w:p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wypowiedzenia, rozwiązania lub zmiany Umowy wskutek powołania na kolejną kadencję Zarządu;</w:t>
      </w:r>
    </w:p>
    <w:p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rozwiązania Umowy wskutek objęcia funkcji członka zarządu w innej spółce z grupy kapitałowej Spółki;</w:t>
      </w:r>
    </w:p>
    <w:p w:rsidR="008970AB" w:rsidRPr="00B10877" w:rsidRDefault="008970AB" w:rsidP="00B108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rezygnacji z pełnienia funkcji.</w:t>
      </w:r>
    </w:p>
    <w:p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7</w:t>
      </w:r>
    </w:p>
    <w:p w:rsidR="008970AB" w:rsidRPr="00B10877" w:rsidRDefault="00DD1240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>
        <w:rPr>
          <w:rFonts w:cs="Times New Roman"/>
        </w:rPr>
        <w:t>Rada N</w:t>
      </w:r>
      <w:r w:rsidR="008970AB" w:rsidRPr="00B10877">
        <w:rPr>
          <w:rFonts w:cs="Times New Roman"/>
        </w:rPr>
        <w:t>adzorcza może zawrzeć z Członkiem Zarządu umowę o zakazie konkurencji obowiązującym po ustaniu pełnienia funkcji, przy czym może być ona zawarta jedynie w prz</w:t>
      </w:r>
      <w:r>
        <w:rPr>
          <w:rFonts w:cs="Times New Roman"/>
        </w:rPr>
        <w:t>ypadku pełnienia funkcji przez C</w:t>
      </w:r>
      <w:r w:rsidR="008970AB" w:rsidRPr="00B10877">
        <w:rPr>
          <w:rFonts w:cs="Times New Roman"/>
        </w:rPr>
        <w:t>złonka Zarządu przez okres co najmniej 3 (trzech) miesięcy.</w:t>
      </w:r>
    </w:p>
    <w:p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Zawarcie umowy o zakazie konkurencji po rozwiązaniu lub wypowiedzeniu umowy o świadczenie usług zarządzania jest niedopuszczalne.</w:t>
      </w:r>
    </w:p>
    <w:p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Okres zakazu konkurencji nie może przekraczać 6 (sześciu) miesięcy po ustaniu pełnienia funkcji przez Członka Zarządu.</w:t>
      </w:r>
    </w:p>
    <w:p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W razie niewykonania lub</w:t>
      </w:r>
      <w:r w:rsidR="00DD1240">
        <w:rPr>
          <w:rFonts w:cs="Times New Roman"/>
        </w:rPr>
        <w:t xml:space="preserve"> nienależytego wykonania przez C</w:t>
      </w:r>
      <w:r w:rsidRPr="00B10877">
        <w:rPr>
          <w:rFonts w:cs="Times New Roman"/>
        </w:rPr>
        <w:t>złonka Zarządu umowy o zakazie konkurencji będzie on zobowiązany do zapłaty kary umownej na rzecz Spółki, nie niższej niż wysokość odszkodowania przysługującego za cały okres zakazu konkurencji.</w:t>
      </w:r>
    </w:p>
    <w:p w:rsidR="008970AB" w:rsidRPr="00B10877" w:rsidRDefault="008970AB" w:rsidP="00B10877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cs="Times New Roman"/>
        </w:rPr>
      </w:pPr>
      <w:r w:rsidRPr="00B10877">
        <w:rPr>
          <w:rFonts w:cs="Times New Roman"/>
        </w:rPr>
        <w:t>Zakaz konkurencji przestaje obowiązywać przed upływem terminu, na jaki została zawarta umowa o zakazie konkurencji, w razi</w:t>
      </w:r>
      <w:r w:rsidR="00DD1240">
        <w:rPr>
          <w:rFonts w:cs="Times New Roman"/>
        </w:rPr>
        <w:t>e podjęcia się pełnienia przez C</w:t>
      </w:r>
      <w:r w:rsidRPr="00B10877">
        <w:rPr>
          <w:rFonts w:cs="Times New Roman"/>
        </w:rPr>
        <w:t>złonka Zarządu funkcji w innej spółce w rozumieniu art. 1 ust. 3 pkt 7 Ustawy.</w:t>
      </w:r>
    </w:p>
    <w:p w:rsidR="008970AB" w:rsidRPr="00B10877" w:rsidRDefault="008970AB" w:rsidP="00B10877">
      <w:pPr>
        <w:spacing w:after="0" w:line="240" w:lineRule="auto"/>
        <w:jc w:val="both"/>
        <w:rPr>
          <w:rFonts w:cs="Times New Roman"/>
        </w:rPr>
      </w:pPr>
    </w:p>
    <w:p w:rsidR="008970AB" w:rsidRPr="00B10877" w:rsidRDefault="008970AB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8</w:t>
      </w:r>
    </w:p>
    <w:p w:rsidR="00B74516" w:rsidRPr="00B10877" w:rsidRDefault="00AA7851" w:rsidP="00B10877">
      <w:pPr>
        <w:spacing w:after="0" w:line="240" w:lineRule="auto"/>
        <w:jc w:val="both"/>
        <w:rPr>
          <w:rFonts w:eastAsia="Calibri" w:cs="Arial"/>
          <w:lang w:eastAsia="en-US" w:bidi="ar-SA"/>
        </w:rPr>
      </w:pPr>
      <w:r w:rsidRPr="00AA7851">
        <w:rPr>
          <w:rFonts w:eastAsia="Calibri" w:cs="Arial"/>
          <w:lang w:eastAsia="en-US" w:bidi="ar-SA"/>
        </w:rPr>
        <w:t>Uchyla się</w:t>
      </w:r>
      <w:r w:rsidR="00B74516" w:rsidRPr="00B10877">
        <w:rPr>
          <w:rFonts w:eastAsia="Calibri" w:cs="Arial"/>
          <w:lang w:eastAsia="en-US" w:bidi="ar-SA"/>
        </w:rPr>
        <w:t>:</w:t>
      </w:r>
    </w:p>
    <w:p w:rsidR="00AA7851" w:rsidRPr="00B10877" w:rsidRDefault="00AA7851" w:rsidP="00B1087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Calibri" w:cs="Arial"/>
          <w:lang w:eastAsia="en-US"/>
        </w:rPr>
      </w:pPr>
      <w:r w:rsidRPr="00B10877">
        <w:rPr>
          <w:rFonts w:eastAsia="Calibri" w:cs="Arial"/>
          <w:lang w:eastAsia="en-US"/>
        </w:rPr>
        <w:t>Uchwałę numer 2 Nadzwyczajnego Walnego Zgromadzenia Spółki pod firmą Polski Fundusz Rozwoju Spółka Akcyjna z siedzibą w Warszawie z dnia 21.12.2016</w:t>
      </w:r>
      <w:r w:rsidR="00B74516" w:rsidRPr="00B10877">
        <w:rPr>
          <w:rFonts w:eastAsia="Calibri" w:cs="Arial"/>
          <w:lang w:eastAsia="en-US"/>
        </w:rPr>
        <w:t xml:space="preserve"> </w:t>
      </w:r>
      <w:r w:rsidRPr="00B10877">
        <w:rPr>
          <w:rFonts w:eastAsia="Calibri" w:cs="Arial"/>
          <w:lang w:eastAsia="en-US"/>
        </w:rPr>
        <w:t>r. w sprawie: zasad kształtowania wynagrodzeń Członków Zarządu Spółki</w:t>
      </w:r>
      <w:r w:rsidR="00B74516" w:rsidRPr="00B10877">
        <w:rPr>
          <w:rFonts w:eastAsia="Calibri" w:cs="Arial"/>
          <w:lang w:eastAsia="en-US"/>
        </w:rPr>
        <w:t>;</w:t>
      </w:r>
    </w:p>
    <w:p w:rsidR="00B74516" w:rsidRPr="00B10877" w:rsidRDefault="00B10877" w:rsidP="00B1087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Calibri" w:cs="Arial"/>
          <w:lang w:eastAsia="en-US"/>
        </w:rPr>
      </w:pPr>
      <w:r w:rsidRPr="00B10877">
        <w:rPr>
          <w:rFonts w:eastAsia="Calibri" w:cs="Arial"/>
          <w:lang w:eastAsia="en-US"/>
        </w:rPr>
        <w:t>Uchwałę</w:t>
      </w:r>
      <w:r w:rsidR="00B74516" w:rsidRPr="00B10877">
        <w:rPr>
          <w:rFonts w:eastAsia="Calibri" w:cs="Arial"/>
          <w:lang w:eastAsia="en-US"/>
        </w:rPr>
        <w:t xml:space="preserve"> numer 20 Zwyczajnego Walnego Zgromadzenia Spółki pod firmą Polski Fundusz Rozwoju Spółka Akcyjna z siedzibą w Warszawie z dnia 30.06.2017 r. w sprawie zmiany uchwały nr 2 Nadzwyczajnego Walnego Zgromadzenia z dnia 21 grudnia 2016 r. w sprawie zasad kształtowania wynagrodzeń Członków Zarządu Spółki</w:t>
      </w:r>
      <w:r w:rsidRPr="00B10877">
        <w:rPr>
          <w:rFonts w:eastAsia="Calibri" w:cs="Arial"/>
          <w:lang w:eastAsia="en-US"/>
        </w:rPr>
        <w:t>;</w:t>
      </w:r>
    </w:p>
    <w:p w:rsidR="00B74516" w:rsidRPr="00B10877" w:rsidRDefault="00B10877" w:rsidP="00B1087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Calibri" w:cs="Arial"/>
          <w:lang w:eastAsia="en-US"/>
        </w:rPr>
      </w:pPr>
      <w:r w:rsidRPr="00B10877">
        <w:rPr>
          <w:rFonts w:eastAsia="Calibri" w:cs="Arial"/>
          <w:lang w:eastAsia="en-US"/>
        </w:rPr>
        <w:t xml:space="preserve">Uchwałę numer </w:t>
      </w:r>
      <w:r w:rsidR="00B74516" w:rsidRPr="00B10877">
        <w:rPr>
          <w:rFonts w:eastAsia="Calibri" w:cs="Arial"/>
          <w:lang w:eastAsia="en-US"/>
        </w:rPr>
        <w:t>21</w:t>
      </w:r>
      <w:r w:rsidRPr="00B10877">
        <w:rPr>
          <w:rFonts w:eastAsia="Calibri" w:cs="Arial"/>
          <w:lang w:eastAsia="en-US"/>
        </w:rPr>
        <w:t xml:space="preserve"> Zwyczajnego Walnego Zgromadzenia Spółki pod firmą Polski Fundusz Rozwoju Spółka Akcyjna z siedzibą w</w:t>
      </w:r>
      <w:r w:rsidR="00B74516" w:rsidRPr="00B10877">
        <w:rPr>
          <w:rFonts w:eastAsia="Calibri" w:cs="Arial"/>
          <w:lang w:eastAsia="en-US"/>
        </w:rPr>
        <w:t xml:space="preserve"> </w:t>
      </w:r>
      <w:r w:rsidRPr="00B10877">
        <w:rPr>
          <w:rFonts w:eastAsia="Calibri" w:cs="Arial"/>
          <w:lang w:eastAsia="en-US"/>
        </w:rPr>
        <w:t>Warszawie</w:t>
      </w:r>
      <w:r w:rsidR="00B74516" w:rsidRPr="00B10877">
        <w:rPr>
          <w:rFonts w:eastAsia="Calibri" w:cs="Arial"/>
          <w:lang w:eastAsia="en-US"/>
        </w:rPr>
        <w:t xml:space="preserve"> </w:t>
      </w:r>
      <w:r w:rsidRPr="00B10877">
        <w:rPr>
          <w:rFonts w:eastAsia="Calibri" w:cs="Arial"/>
          <w:lang w:eastAsia="en-US"/>
        </w:rPr>
        <w:t xml:space="preserve">z dnia 29.06.2018 r. </w:t>
      </w:r>
      <w:r w:rsidR="00B74516" w:rsidRPr="00B10877">
        <w:rPr>
          <w:rFonts w:eastAsia="Calibri" w:cs="Arial"/>
          <w:lang w:eastAsia="en-US"/>
        </w:rPr>
        <w:t>w sprawie zmiany uchwały nr 2 Nadzwyczajnego Walnego Zgromadzenia Spółki z dnia 21 grudnia 2016 r. w sprawie zasad kształtowania wynagrodzeń członków Zarządu Spółki</w:t>
      </w:r>
      <w:r w:rsidR="00D86F63">
        <w:rPr>
          <w:rFonts w:eastAsia="Calibri" w:cs="Arial"/>
          <w:lang w:eastAsia="en-US"/>
        </w:rPr>
        <w:t>.</w:t>
      </w:r>
    </w:p>
    <w:p w:rsidR="00AA7851" w:rsidRPr="00B10877" w:rsidRDefault="00AA7851" w:rsidP="00B10877">
      <w:pPr>
        <w:spacing w:after="0" w:line="240" w:lineRule="auto"/>
        <w:rPr>
          <w:rFonts w:cs="Times New Roman"/>
          <w:b/>
        </w:rPr>
      </w:pPr>
    </w:p>
    <w:p w:rsidR="00AA7851" w:rsidRPr="00B10877" w:rsidRDefault="00B10877" w:rsidP="00B10877">
      <w:pPr>
        <w:spacing w:after="0" w:line="240" w:lineRule="auto"/>
        <w:jc w:val="center"/>
        <w:rPr>
          <w:rFonts w:cs="Times New Roman"/>
          <w:b/>
        </w:rPr>
      </w:pPr>
      <w:r w:rsidRPr="00B10877">
        <w:rPr>
          <w:rFonts w:cs="Times New Roman"/>
          <w:b/>
        </w:rPr>
        <w:t>§ 9</w:t>
      </w:r>
    </w:p>
    <w:p w:rsidR="009B717A" w:rsidRPr="00B10877" w:rsidRDefault="008970AB" w:rsidP="00B10877">
      <w:pPr>
        <w:spacing w:after="0" w:line="240" w:lineRule="auto"/>
        <w:jc w:val="both"/>
        <w:rPr>
          <w:rFonts w:cs="Times New Roman"/>
        </w:rPr>
      </w:pPr>
      <w:r w:rsidRPr="00B10877">
        <w:rPr>
          <w:rFonts w:cs="Times New Roman"/>
        </w:rPr>
        <w:t>Uchwała wchodzi w życie z dniem podjęcia.</w:t>
      </w:r>
    </w:p>
    <w:p w:rsidR="009839C6" w:rsidRDefault="009839C6" w:rsidP="00CE0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7558" w:rsidRPr="00C87320" w:rsidRDefault="00267558" w:rsidP="00AF60C0">
      <w:pPr>
        <w:tabs>
          <w:tab w:val="left" w:leader="hyphen" w:pos="9356"/>
        </w:tabs>
        <w:spacing w:after="0"/>
        <w:jc w:val="center"/>
        <w:rPr>
          <w:rFonts w:cstheme="minorHAnsi"/>
        </w:rPr>
      </w:pPr>
      <w:r w:rsidRPr="00C87320">
        <w:rPr>
          <w:rFonts w:cstheme="minorHAnsi"/>
          <w:b/>
        </w:rPr>
        <w:lastRenderedPageBreak/>
        <w:t>UCHWAŁA NUMER 2</w:t>
      </w:r>
    </w:p>
    <w:p w:rsidR="00267558" w:rsidRPr="00C87320" w:rsidRDefault="00267558" w:rsidP="00AF60C0">
      <w:pPr>
        <w:tabs>
          <w:tab w:val="left" w:leader="hyphen" w:pos="9356"/>
        </w:tabs>
        <w:spacing w:after="0"/>
        <w:jc w:val="center"/>
        <w:rPr>
          <w:rFonts w:cstheme="minorHAnsi"/>
        </w:rPr>
      </w:pPr>
      <w:r w:rsidRPr="00C87320">
        <w:rPr>
          <w:rFonts w:cstheme="minorHAnsi"/>
          <w:b/>
        </w:rPr>
        <w:t>NADZWYCZAJNEGO WALNEGO ZGROMADZENIA SPÓŁKI POD FIRMĄ</w:t>
      </w:r>
      <w:bookmarkStart w:id="0" w:name="_GoBack"/>
      <w:bookmarkEnd w:id="0"/>
    </w:p>
    <w:p w:rsidR="00267558" w:rsidRPr="00C87320" w:rsidRDefault="00267558" w:rsidP="00267558">
      <w:pPr>
        <w:tabs>
          <w:tab w:val="left" w:leader="hyphen" w:pos="9356"/>
        </w:tabs>
        <w:jc w:val="center"/>
        <w:rPr>
          <w:rFonts w:cstheme="minorHAnsi"/>
        </w:rPr>
      </w:pPr>
      <w:r w:rsidRPr="00C87320">
        <w:rPr>
          <w:rFonts w:cstheme="minorHAnsi"/>
          <w:b/>
        </w:rPr>
        <w:t xml:space="preserve">POLSKI FUNDUSZ ROZWOJU SPÓŁKA AKCYJNA Z SIEDZIBĄ W WARSZAWIE </w:t>
      </w:r>
      <w:r w:rsidR="00782E32">
        <w:rPr>
          <w:rFonts w:cstheme="minorHAnsi"/>
          <w:b/>
        </w:rPr>
        <w:br/>
      </w:r>
      <w:r w:rsidRPr="00C87320">
        <w:rPr>
          <w:rFonts w:cstheme="minorHAnsi"/>
          <w:b/>
        </w:rPr>
        <w:t>Z DNIA 28.12.2021 R.</w:t>
      </w:r>
    </w:p>
    <w:p w:rsidR="00267558" w:rsidRPr="00C87320" w:rsidRDefault="00267558" w:rsidP="00267558">
      <w:pPr>
        <w:tabs>
          <w:tab w:val="left" w:leader="hyphen" w:pos="9356"/>
        </w:tabs>
        <w:jc w:val="center"/>
        <w:rPr>
          <w:rFonts w:cstheme="minorHAnsi"/>
          <w:i/>
        </w:rPr>
      </w:pPr>
      <w:r w:rsidRPr="00C87320">
        <w:rPr>
          <w:rFonts w:eastAsia="SimSun" w:cstheme="minorHAnsi"/>
          <w:i/>
        </w:rPr>
        <w:t xml:space="preserve">w sprawie </w:t>
      </w:r>
      <w:r w:rsidRPr="00C87320">
        <w:rPr>
          <w:rFonts w:cstheme="minorHAnsi"/>
          <w:i/>
        </w:rPr>
        <w:t>zmiany uchwały nr 22 Zwyczajnego Walnego Zgromadzenia Spółki z dnia</w:t>
      </w:r>
      <w:r w:rsidR="006709B0" w:rsidRPr="00C87320">
        <w:rPr>
          <w:rFonts w:cstheme="minorHAnsi"/>
          <w:i/>
        </w:rPr>
        <w:t xml:space="preserve"> </w:t>
      </w:r>
      <w:r w:rsidR="00782E32">
        <w:rPr>
          <w:rFonts w:cstheme="minorHAnsi"/>
          <w:i/>
        </w:rPr>
        <w:br/>
      </w:r>
      <w:r w:rsidRPr="00C87320">
        <w:rPr>
          <w:rFonts w:cstheme="minorHAnsi"/>
          <w:i/>
        </w:rPr>
        <w:t>28 czerwca 2019 roku w sprawie zasad kształtowania wynagrodzeń Członków Zarządu Spółki</w:t>
      </w:r>
    </w:p>
    <w:p w:rsidR="00267558" w:rsidRPr="00C87320" w:rsidRDefault="00267558" w:rsidP="00267558">
      <w:pPr>
        <w:tabs>
          <w:tab w:val="left" w:leader="hyphen" w:pos="9356"/>
        </w:tabs>
        <w:jc w:val="center"/>
        <w:rPr>
          <w:rFonts w:cstheme="minorHAnsi"/>
          <w:i/>
        </w:rPr>
      </w:pPr>
    </w:p>
    <w:p w:rsidR="00267558" w:rsidRPr="00C87320" w:rsidRDefault="00267558" w:rsidP="00267558">
      <w:pPr>
        <w:pStyle w:val="Tekstpodstawowywcity"/>
        <w:spacing w:line="240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8732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Działając na podstawie art. 378 </w:t>
      </w:r>
      <w:r w:rsidRPr="00C87320">
        <w:rPr>
          <w:rFonts w:asciiTheme="minorHAnsi" w:hAnsiTheme="minorHAnsi" w:cstheme="minorHAnsi"/>
          <w:bCs/>
          <w:sz w:val="22"/>
          <w:szCs w:val="22"/>
        </w:rPr>
        <w:t>§</w:t>
      </w:r>
      <w:r w:rsidRPr="00C8732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2 Kodeksu Spółek Handlowych oraz art. 2 ust. 2 pkt 1, art. 4 </w:t>
      </w:r>
      <w:r w:rsidR="00C87320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C8732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ust. 7, art. 5 ust. 2, art. 6 ustawy z dnia 9 czerwca 2016 r. o zasadach kształtowania wynagrodzeń osób kierujących niektórymi spółkami (Dz. U. z 2020 r. poz. 1907, z </w:t>
      </w:r>
      <w:proofErr w:type="spellStart"/>
      <w:r w:rsidRPr="00C87320">
        <w:rPr>
          <w:rFonts w:asciiTheme="minorHAnsi" w:hAnsiTheme="minorHAnsi" w:cstheme="minorHAnsi"/>
          <w:bCs/>
          <w:color w:val="000000"/>
          <w:sz w:val="22"/>
          <w:szCs w:val="22"/>
        </w:rPr>
        <w:t>późn</w:t>
      </w:r>
      <w:proofErr w:type="spellEnd"/>
      <w:r w:rsidRPr="00C8732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zm.) oraz </w:t>
      </w:r>
      <w:r w:rsidRPr="00C87320">
        <w:rPr>
          <w:rFonts w:asciiTheme="minorHAnsi" w:hAnsiTheme="minorHAnsi" w:cstheme="minorHAnsi"/>
          <w:bCs/>
          <w:sz w:val="22"/>
          <w:szCs w:val="22"/>
        </w:rPr>
        <w:t>§</w:t>
      </w:r>
      <w:r w:rsidRPr="00C8732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13 ust. 2 </w:t>
      </w:r>
      <w:r w:rsidR="005011D0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C87320">
        <w:rPr>
          <w:rFonts w:asciiTheme="minorHAnsi" w:hAnsiTheme="minorHAnsi" w:cstheme="minorHAnsi"/>
          <w:bCs/>
          <w:color w:val="000000"/>
          <w:sz w:val="22"/>
          <w:szCs w:val="22"/>
        </w:rPr>
        <w:t>pkt 17 Statutu Spółki, Nadzwyczajne Walne Zgromadzenie Spółki uchwala co następuje:</w:t>
      </w:r>
    </w:p>
    <w:p w:rsidR="00267558" w:rsidRPr="00C87320" w:rsidRDefault="00267558" w:rsidP="00267558">
      <w:pPr>
        <w:pStyle w:val="Tekstpodstawowywcity"/>
        <w:spacing w:line="240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67558" w:rsidRPr="00C87320" w:rsidRDefault="00267558" w:rsidP="00267558">
      <w:pPr>
        <w:jc w:val="center"/>
        <w:rPr>
          <w:rFonts w:cstheme="minorHAnsi"/>
          <w:b/>
        </w:rPr>
      </w:pPr>
      <w:r w:rsidRPr="00C87320">
        <w:rPr>
          <w:rFonts w:cstheme="minorHAnsi"/>
          <w:b/>
        </w:rPr>
        <w:t>§ 1</w:t>
      </w:r>
    </w:p>
    <w:p w:rsidR="00267558" w:rsidRPr="00C87320" w:rsidRDefault="00267558" w:rsidP="00267558">
      <w:pPr>
        <w:autoSpaceDE w:val="0"/>
        <w:autoSpaceDN w:val="0"/>
        <w:adjustRightInd w:val="0"/>
        <w:jc w:val="both"/>
        <w:rPr>
          <w:rFonts w:cstheme="minorHAnsi"/>
        </w:rPr>
      </w:pPr>
      <w:r w:rsidRPr="00C87320">
        <w:rPr>
          <w:rFonts w:cstheme="minorHAnsi"/>
        </w:rPr>
        <w:t>W uchwale nr 22 Zwyczajnego Walnego Zgromadzenia Spółki z dnia 28 czerwca 2019 roku</w:t>
      </w:r>
      <w:r w:rsidRPr="00C87320">
        <w:rPr>
          <w:rFonts w:cstheme="minorHAnsi"/>
        </w:rPr>
        <w:br/>
        <w:t xml:space="preserve">w sprawie zasad kształtowania wynagrodzeń Członków Zarządu Spółki, dalej: „Uchwała”, </w:t>
      </w:r>
      <w:r w:rsidR="005011D0">
        <w:rPr>
          <w:rFonts w:cstheme="minorHAnsi"/>
        </w:rPr>
        <w:br/>
      </w:r>
      <w:r w:rsidRPr="00C87320">
        <w:rPr>
          <w:rFonts w:cstheme="minorHAnsi"/>
        </w:rPr>
        <w:t>dokonuje się następujących zmian:</w:t>
      </w:r>
    </w:p>
    <w:p w:rsidR="00267558" w:rsidRPr="00C87320" w:rsidRDefault="00267558" w:rsidP="00267558">
      <w:pPr>
        <w:pStyle w:val="Akapitzlist"/>
        <w:autoSpaceDE w:val="0"/>
        <w:autoSpaceDN w:val="0"/>
        <w:adjustRightInd w:val="0"/>
        <w:rPr>
          <w:rFonts w:cstheme="minorHAnsi"/>
        </w:rPr>
      </w:pPr>
    </w:p>
    <w:p w:rsidR="00267558" w:rsidRPr="00C87320" w:rsidRDefault="00267558" w:rsidP="00267558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C87320">
        <w:rPr>
          <w:rFonts w:cstheme="minorHAnsi"/>
        </w:rPr>
        <w:t>1) § 3 ust. 7 Uchwały otrzymuje następujące brzmienie:</w:t>
      </w:r>
    </w:p>
    <w:p w:rsidR="00267558" w:rsidRPr="00C87320" w:rsidRDefault="00267558" w:rsidP="00267558">
      <w:pPr>
        <w:autoSpaceDE w:val="0"/>
        <w:autoSpaceDN w:val="0"/>
        <w:adjustRightInd w:val="0"/>
        <w:jc w:val="both"/>
        <w:rPr>
          <w:rFonts w:cstheme="minorHAnsi"/>
        </w:rPr>
      </w:pPr>
    </w:p>
    <w:p w:rsidR="00267558" w:rsidRPr="00C87320" w:rsidRDefault="00267558" w:rsidP="00267558">
      <w:pPr>
        <w:autoSpaceDE w:val="0"/>
        <w:autoSpaceDN w:val="0"/>
        <w:adjustRightInd w:val="0"/>
        <w:jc w:val="both"/>
        <w:rPr>
          <w:rFonts w:cstheme="minorHAnsi"/>
          <w:bCs/>
          <w:i/>
          <w:iCs/>
        </w:rPr>
      </w:pPr>
      <w:r w:rsidRPr="00C87320">
        <w:rPr>
          <w:rFonts w:cstheme="minorHAnsi"/>
          <w:bCs/>
          <w:i/>
          <w:iCs/>
        </w:rPr>
        <w:t xml:space="preserve">„7. Jako odrębne Cele Zarządcze, warunkujące możliwość otrzymania Wynagrodzenia </w:t>
      </w:r>
      <w:r w:rsidR="005011D0">
        <w:rPr>
          <w:rFonts w:cstheme="minorHAnsi"/>
          <w:bCs/>
          <w:i/>
          <w:iCs/>
        </w:rPr>
        <w:br/>
      </w:r>
      <w:r w:rsidRPr="00C87320">
        <w:rPr>
          <w:rFonts w:cstheme="minorHAnsi"/>
          <w:bCs/>
          <w:i/>
          <w:iCs/>
        </w:rPr>
        <w:t>Zmiennego określa się:</w:t>
      </w:r>
    </w:p>
    <w:p w:rsidR="00267558" w:rsidRPr="00C87320" w:rsidRDefault="00267558" w:rsidP="0026755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88"/>
        <w:jc w:val="both"/>
        <w:rPr>
          <w:rFonts w:cstheme="minorHAnsi"/>
          <w:i/>
          <w:iCs/>
        </w:rPr>
      </w:pPr>
      <w:r w:rsidRPr="00C87320">
        <w:rPr>
          <w:rFonts w:cstheme="minorHAnsi"/>
          <w:i/>
          <w:iCs/>
        </w:rPr>
        <w:t xml:space="preserve">ukształtowanie </w:t>
      </w:r>
      <w:r w:rsidRPr="00C87320">
        <w:rPr>
          <w:rFonts w:cstheme="minorHAnsi"/>
          <w:bCs/>
          <w:i/>
          <w:iCs/>
        </w:rPr>
        <w:t>i stosowanie zasad wynagradzania członków organów zarządzających i nadzorczych podmiotów zależnych odpowiadających zasadom określonym w Ustawie,</w:t>
      </w:r>
    </w:p>
    <w:p w:rsidR="00267558" w:rsidRPr="00C87320" w:rsidRDefault="00267558" w:rsidP="0026755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788"/>
        <w:jc w:val="both"/>
        <w:rPr>
          <w:rFonts w:cstheme="minorHAnsi"/>
          <w:i/>
          <w:iCs/>
        </w:rPr>
      </w:pPr>
      <w:r w:rsidRPr="00C87320">
        <w:rPr>
          <w:rFonts w:cstheme="minorHAnsi"/>
          <w:bCs/>
          <w:i/>
          <w:iCs/>
        </w:rPr>
        <w:t>realizację obowiązków, o których mowa w art. 17-20, art. 22 i art. 23 ustawy</w:t>
      </w:r>
      <w:r w:rsidRPr="00C87320">
        <w:rPr>
          <w:rFonts w:cstheme="minorHAnsi"/>
          <w:bCs/>
          <w:i/>
          <w:iCs/>
        </w:rPr>
        <w:br/>
        <w:t xml:space="preserve">z dnia 16 grudnia 2016 r. o zasadach zarządzania </w:t>
      </w:r>
      <w:bookmarkStart w:id="1" w:name="_Hlk90023673"/>
      <w:r w:rsidRPr="00C87320">
        <w:rPr>
          <w:rFonts w:cstheme="minorHAnsi"/>
          <w:bCs/>
          <w:i/>
          <w:iCs/>
        </w:rPr>
        <w:t>mieniem państwowym</w:t>
      </w:r>
      <w:r w:rsidRPr="00C87320">
        <w:rPr>
          <w:rFonts w:cstheme="minorHAnsi"/>
          <w:bCs/>
          <w:i/>
          <w:iCs/>
        </w:rPr>
        <w:br/>
        <w:t>(Dz. U. z 2021 r., poz. 1933)</w:t>
      </w:r>
      <w:bookmarkEnd w:id="1"/>
      <w:r w:rsidRPr="00C87320">
        <w:rPr>
          <w:rFonts w:cstheme="minorHAnsi"/>
          <w:bCs/>
          <w:i/>
          <w:iCs/>
        </w:rPr>
        <w:t xml:space="preserve"> w stosunku do </w:t>
      </w:r>
      <w:r w:rsidRPr="00C87320">
        <w:rPr>
          <w:rFonts w:cstheme="minorHAnsi"/>
          <w:i/>
          <w:iCs/>
        </w:rPr>
        <w:t>spółek zależnych Spółki</w:t>
      </w:r>
      <w:r w:rsidRPr="00C87320">
        <w:rPr>
          <w:rFonts w:cstheme="minorHAnsi"/>
          <w:i/>
          <w:iCs/>
        </w:rPr>
        <w:br/>
        <w:t>w rozumieniu art. 4 pkt 3 ustawy z dnia 16 lutego 2007 r. o ochronie konkurencji</w:t>
      </w:r>
      <w:r w:rsidRPr="00C87320">
        <w:rPr>
          <w:rFonts w:cstheme="minorHAnsi"/>
          <w:i/>
          <w:iCs/>
        </w:rPr>
        <w:br/>
        <w:t>i konsumentów (Dz.U. z 2021 r. poz. 275.).”.</w:t>
      </w:r>
    </w:p>
    <w:p w:rsidR="00267558" w:rsidRPr="00C87320" w:rsidRDefault="00267558" w:rsidP="00267558">
      <w:pPr>
        <w:autoSpaceDE w:val="0"/>
        <w:autoSpaceDN w:val="0"/>
        <w:adjustRightInd w:val="0"/>
        <w:ind w:left="360"/>
        <w:jc w:val="both"/>
        <w:rPr>
          <w:rFonts w:cstheme="minorHAnsi"/>
          <w:i/>
          <w:iCs/>
        </w:rPr>
      </w:pPr>
    </w:p>
    <w:p w:rsidR="00267558" w:rsidRPr="00C87320" w:rsidRDefault="00267558" w:rsidP="00267558">
      <w:pPr>
        <w:contextualSpacing/>
        <w:jc w:val="both"/>
        <w:rPr>
          <w:rFonts w:cstheme="minorHAnsi"/>
        </w:rPr>
      </w:pPr>
      <w:r w:rsidRPr="00C87320">
        <w:rPr>
          <w:rFonts w:cstheme="minorHAnsi"/>
        </w:rPr>
        <w:t>2) § 5 ust. 2 Uchwały otrzymuje następujące brzmienie:</w:t>
      </w:r>
    </w:p>
    <w:p w:rsidR="00267558" w:rsidRPr="00C87320" w:rsidRDefault="00267558" w:rsidP="00267558">
      <w:pPr>
        <w:pStyle w:val="Akapitzlist"/>
        <w:jc w:val="both"/>
        <w:rPr>
          <w:rFonts w:cstheme="minorHAnsi"/>
        </w:rPr>
      </w:pPr>
    </w:p>
    <w:p w:rsidR="00267558" w:rsidRPr="00C87320" w:rsidRDefault="00267558" w:rsidP="00267558">
      <w:pPr>
        <w:ind w:left="1080"/>
        <w:jc w:val="both"/>
        <w:rPr>
          <w:rFonts w:cstheme="minorHAnsi"/>
          <w:bCs/>
          <w:i/>
          <w:iCs/>
        </w:rPr>
      </w:pPr>
      <w:r w:rsidRPr="00C87320">
        <w:rPr>
          <w:rFonts w:cstheme="minorHAnsi"/>
          <w:bCs/>
          <w:i/>
          <w:iCs/>
        </w:rPr>
        <w:t xml:space="preserve">„2. Umowa może określić także zasady korzystania przez Członka Zarządu z mienia </w:t>
      </w:r>
      <w:r w:rsidR="00540F0E">
        <w:rPr>
          <w:rFonts w:cstheme="minorHAnsi"/>
          <w:bCs/>
          <w:i/>
          <w:iCs/>
        </w:rPr>
        <w:br/>
      </w:r>
      <w:r w:rsidRPr="00C87320">
        <w:rPr>
          <w:rFonts w:cstheme="minorHAnsi"/>
          <w:bCs/>
          <w:i/>
          <w:iCs/>
        </w:rPr>
        <w:t>spółki do celów prywatnych, jak również szczegółowe zasady lub limity przyznawania Członkowi Zarządu świadczeń niepieniężnych.”.</w:t>
      </w:r>
    </w:p>
    <w:p w:rsidR="00267558" w:rsidRPr="00C87320" w:rsidRDefault="00267558" w:rsidP="00267558">
      <w:pPr>
        <w:autoSpaceDE w:val="0"/>
        <w:autoSpaceDN w:val="0"/>
        <w:adjustRightInd w:val="0"/>
        <w:jc w:val="both"/>
        <w:rPr>
          <w:rFonts w:cstheme="minorHAnsi"/>
        </w:rPr>
      </w:pPr>
    </w:p>
    <w:p w:rsidR="00267558" w:rsidRPr="00C87320" w:rsidRDefault="00267558" w:rsidP="00267558">
      <w:pPr>
        <w:jc w:val="center"/>
        <w:rPr>
          <w:rFonts w:cstheme="minorHAnsi"/>
          <w:b/>
        </w:rPr>
      </w:pPr>
      <w:r w:rsidRPr="00C87320">
        <w:rPr>
          <w:rFonts w:cstheme="minorHAnsi"/>
          <w:b/>
        </w:rPr>
        <w:t>§ 2</w:t>
      </w:r>
    </w:p>
    <w:p w:rsidR="00267558" w:rsidRPr="00C87320" w:rsidRDefault="00267558" w:rsidP="00267558">
      <w:pPr>
        <w:jc w:val="both"/>
        <w:rPr>
          <w:rFonts w:cstheme="minorHAnsi"/>
          <w:bCs/>
        </w:rPr>
      </w:pPr>
      <w:r w:rsidRPr="00C87320">
        <w:rPr>
          <w:rFonts w:cstheme="minorHAnsi"/>
          <w:bCs/>
        </w:rPr>
        <w:t xml:space="preserve">Upoważnia się Radę Nadzorczą Spółki do tego, aby dokonała w umowach z obecnymi </w:t>
      </w:r>
      <w:r w:rsidR="00540F0E">
        <w:rPr>
          <w:rFonts w:cstheme="minorHAnsi"/>
          <w:bCs/>
        </w:rPr>
        <w:br/>
      </w:r>
      <w:r w:rsidRPr="00C87320">
        <w:rPr>
          <w:rFonts w:cstheme="minorHAnsi"/>
          <w:bCs/>
        </w:rPr>
        <w:t xml:space="preserve">Członkami Zarządu Spółki zmian uwzględniających postanowienia niniejszej uchwały.   </w:t>
      </w:r>
    </w:p>
    <w:p w:rsidR="00267558" w:rsidRPr="00C87320" w:rsidRDefault="00267558" w:rsidP="00267558">
      <w:pPr>
        <w:jc w:val="both"/>
        <w:rPr>
          <w:rFonts w:cstheme="minorHAnsi"/>
          <w:bCs/>
        </w:rPr>
      </w:pPr>
    </w:p>
    <w:p w:rsidR="00267558" w:rsidRPr="00C87320" w:rsidRDefault="00267558" w:rsidP="00267558">
      <w:pPr>
        <w:pStyle w:val="AOHead1"/>
        <w:numPr>
          <w:ilvl w:val="0"/>
          <w:numId w:val="0"/>
        </w:numPr>
        <w:spacing w:before="0" w:line="240" w:lineRule="auto"/>
        <w:ind w:left="720" w:hanging="720"/>
        <w:jc w:val="center"/>
        <w:rPr>
          <w:rFonts w:asciiTheme="minorHAnsi" w:hAnsiTheme="minorHAnsi" w:cstheme="minorHAnsi"/>
          <w:lang w:val="pl-PL" w:eastAsia="pl-PL"/>
        </w:rPr>
      </w:pPr>
      <w:r w:rsidRPr="00C87320">
        <w:rPr>
          <w:rFonts w:asciiTheme="minorHAnsi" w:hAnsiTheme="minorHAnsi" w:cstheme="minorHAnsi"/>
          <w:lang w:val="pl-PL" w:eastAsia="pl-PL"/>
        </w:rPr>
        <w:lastRenderedPageBreak/>
        <w:t>§ 3</w:t>
      </w:r>
    </w:p>
    <w:p w:rsidR="00267558" w:rsidRPr="00C87320" w:rsidRDefault="00267558" w:rsidP="00267558">
      <w:pPr>
        <w:pStyle w:val="AOHead3"/>
        <w:numPr>
          <w:ilvl w:val="0"/>
          <w:numId w:val="0"/>
        </w:numPr>
        <w:spacing w:before="0" w:line="240" w:lineRule="auto"/>
        <w:rPr>
          <w:rFonts w:asciiTheme="minorHAnsi" w:hAnsiTheme="minorHAnsi" w:cstheme="minorHAnsi"/>
          <w:lang w:val="pl-PL"/>
        </w:rPr>
      </w:pPr>
      <w:r w:rsidRPr="00C87320">
        <w:rPr>
          <w:rFonts w:asciiTheme="minorHAnsi" w:eastAsia="Times New Roman" w:hAnsiTheme="minorHAnsi" w:cstheme="minorHAnsi"/>
          <w:lang w:val="pl-PL" w:eastAsia="pl-PL"/>
        </w:rPr>
        <w:t xml:space="preserve">Uchwała wchodzi w życie z dniem jej podjęcia, przy czym zmiany uchwały nr 22 Zwyczajnego </w:t>
      </w:r>
      <w:r w:rsidR="00540F0E">
        <w:rPr>
          <w:rFonts w:asciiTheme="minorHAnsi" w:eastAsia="Times New Roman" w:hAnsiTheme="minorHAnsi" w:cstheme="minorHAnsi"/>
          <w:lang w:val="pl-PL" w:eastAsia="pl-PL"/>
        </w:rPr>
        <w:br/>
      </w:r>
      <w:r w:rsidRPr="00C87320">
        <w:rPr>
          <w:rFonts w:asciiTheme="minorHAnsi" w:eastAsia="Times New Roman" w:hAnsiTheme="minorHAnsi" w:cstheme="minorHAnsi"/>
          <w:lang w:val="pl-PL" w:eastAsia="pl-PL"/>
        </w:rPr>
        <w:t xml:space="preserve">Walnego Zgromadzenia Spółki z dnia 28 czerwca 2019 roku w sprawie zasad kształtowania wynagrodzeń Członków Zarządu Spółki, o których mowa w § 1, są skuteczne od dnia 1 stycznia </w:t>
      </w:r>
      <w:r w:rsidR="00540F0E">
        <w:rPr>
          <w:rFonts w:asciiTheme="minorHAnsi" w:eastAsia="Times New Roman" w:hAnsiTheme="minorHAnsi" w:cstheme="minorHAnsi"/>
          <w:lang w:val="pl-PL" w:eastAsia="pl-PL"/>
        </w:rPr>
        <w:br/>
      </w:r>
      <w:r w:rsidRPr="00C87320">
        <w:rPr>
          <w:rFonts w:asciiTheme="minorHAnsi" w:eastAsia="Times New Roman" w:hAnsiTheme="minorHAnsi" w:cstheme="minorHAnsi"/>
          <w:lang w:val="pl-PL" w:eastAsia="pl-PL"/>
        </w:rPr>
        <w:t>2022 roku.</w:t>
      </w:r>
    </w:p>
    <w:p w:rsidR="00267558" w:rsidRPr="00C87320" w:rsidRDefault="00267558" w:rsidP="00CE0021">
      <w:pPr>
        <w:spacing w:after="0" w:line="240" w:lineRule="auto"/>
        <w:jc w:val="both"/>
        <w:rPr>
          <w:rFonts w:cstheme="minorHAnsi"/>
        </w:rPr>
      </w:pPr>
    </w:p>
    <w:sectPr w:rsidR="00267558" w:rsidRPr="00C8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5C2"/>
    <w:multiLevelType w:val="hybridMultilevel"/>
    <w:tmpl w:val="30768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3244E"/>
    <w:multiLevelType w:val="hybridMultilevel"/>
    <w:tmpl w:val="EB4C5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452A"/>
    <w:multiLevelType w:val="hybridMultilevel"/>
    <w:tmpl w:val="92AA0D82"/>
    <w:lvl w:ilvl="0" w:tplc="A064C0DE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55F1"/>
    <w:multiLevelType w:val="hybridMultilevel"/>
    <w:tmpl w:val="AC82A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1DFF"/>
    <w:multiLevelType w:val="hybridMultilevel"/>
    <w:tmpl w:val="12665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60AE5"/>
    <w:multiLevelType w:val="hybridMultilevel"/>
    <w:tmpl w:val="24949A1E"/>
    <w:lvl w:ilvl="0" w:tplc="40B82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8673B"/>
    <w:multiLevelType w:val="hybridMultilevel"/>
    <w:tmpl w:val="35AEA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B7BA2"/>
    <w:multiLevelType w:val="hybridMultilevel"/>
    <w:tmpl w:val="9F3AD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B4E3E"/>
    <w:multiLevelType w:val="multilevel"/>
    <w:tmpl w:val="82B28D7C"/>
    <w:name w:val="AOHeadX"/>
    <w:lvl w:ilvl="0">
      <w:start w:val="1"/>
      <w:numFmt w:val="decimal"/>
      <w:lvlRestart w:val="0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50325DF4"/>
    <w:multiLevelType w:val="hybridMultilevel"/>
    <w:tmpl w:val="50DEC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1736"/>
    <w:multiLevelType w:val="hybridMultilevel"/>
    <w:tmpl w:val="FA26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C2867E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60BCC"/>
    <w:multiLevelType w:val="hybridMultilevel"/>
    <w:tmpl w:val="AAA06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03D22"/>
    <w:multiLevelType w:val="hybridMultilevel"/>
    <w:tmpl w:val="FE74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30CE3"/>
    <w:multiLevelType w:val="hybridMultilevel"/>
    <w:tmpl w:val="2BD29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D04DC"/>
    <w:multiLevelType w:val="hybridMultilevel"/>
    <w:tmpl w:val="15BE7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5932"/>
    <w:multiLevelType w:val="hybridMultilevel"/>
    <w:tmpl w:val="2B641D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4"/>
  </w:num>
  <w:num w:numId="5">
    <w:abstractNumId w:val="12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15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AB"/>
    <w:rsid w:val="000C1B20"/>
    <w:rsid w:val="00171981"/>
    <w:rsid w:val="00206E80"/>
    <w:rsid w:val="00267558"/>
    <w:rsid w:val="0028032E"/>
    <w:rsid w:val="003C6D55"/>
    <w:rsid w:val="00470236"/>
    <w:rsid w:val="005011D0"/>
    <w:rsid w:val="00540F0E"/>
    <w:rsid w:val="00632EC7"/>
    <w:rsid w:val="006709B0"/>
    <w:rsid w:val="00782E32"/>
    <w:rsid w:val="0080486F"/>
    <w:rsid w:val="008970AB"/>
    <w:rsid w:val="008E660A"/>
    <w:rsid w:val="00977916"/>
    <w:rsid w:val="009839C6"/>
    <w:rsid w:val="009B717A"/>
    <w:rsid w:val="00A902F6"/>
    <w:rsid w:val="00AA7851"/>
    <w:rsid w:val="00AF60C0"/>
    <w:rsid w:val="00B10877"/>
    <w:rsid w:val="00B36BDB"/>
    <w:rsid w:val="00B74516"/>
    <w:rsid w:val="00C87320"/>
    <w:rsid w:val="00CE0021"/>
    <w:rsid w:val="00D86F63"/>
    <w:rsid w:val="00DD1240"/>
    <w:rsid w:val="00E9371F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7D43"/>
  <w15:chartTrackingRefBased/>
  <w15:docId w15:val="{74639EB4-AB6E-417D-8D5B-053E9D18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70AB"/>
    <w:pPr>
      <w:ind w:left="720"/>
      <w:contextualSpacing/>
    </w:pPr>
  </w:style>
  <w:style w:type="paragraph" w:customStyle="1" w:styleId="Default">
    <w:name w:val="Default"/>
    <w:rsid w:val="00CE0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Bezodstpw">
    <w:name w:val="No Spacing"/>
    <w:uiPriority w:val="1"/>
    <w:qFormat/>
    <w:rsid w:val="00983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71F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67558"/>
    <w:pPr>
      <w:tabs>
        <w:tab w:val="right" w:leader="hyphen" w:pos="9072"/>
        <w:tab w:val="right" w:leader="hyphen" w:pos="9356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7558"/>
    <w:rPr>
      <w:rFonts w:ascii="Times New Roman" w:eastAsia="Times New Roman" w:hAnsi="Times New Roman" w:cs="Times New Roman"/>
      <w:sz w:val="26"/>
      <w:szCs w:val="20"/>
      <w:lang w:eastAsia="zh-CN" w:bidi="ar-SA"/>
    </w:rPr>
  </w:style>
  <w:style w:type="paragraph" w:customStyle="1" w:styleId="AOHead1">
    <w:name w:val="AOHead1"/>
    <w:basedOn w:val="Normalny"/>
    <w:next w:val="Normalny"/>
    <w:rsid w:val="00267558"/>
    <w:pPr>
      <w:keepNext/>
      <w:numPr>
        <w:numId w:val="15"/>
      </w:numPr>
      <w:spacing w:before="240" w:after="0" w:line="260" w:lineRule="atLeast"/>
      <w:jc w:val="both"/>
      <w:outlineLvl w:val="0"/>
    </w:pPr>
    <w:rPr>
      <w:rFonts w:ascii="Times New Roman" w:eastAsia="Calibri" w:hAnsi="Times New Roman" w:cs="Times New Roman"/>
      <w:b/>
      <w:caps/>
      <w:kern w:val="28"/>
      <w:lang w:val="en-GB" w:eastAsia="en-US" w:bidi="ar-SA"/>
    </w:rPr>
  </w:style>
  <w:style w:type="paragraph" w:customStyle="1" w:styleId="AOHead2">
    <w:name w:val="AOHead2"/>
    <w:basedOn w:val="Normalny"/>
    <w:next w:val="Normalny"/>
    <w:rsid w:val="00267558"/>
    <w:pPr>
      <w:keepNext/>
      <w:numPr>
        <w:ilvl w:val="1"/>
        <w:numId w:val="15"/>
      </w:numPr>
      <w:spacing w:before="240" w:after="0" w:line="260" w:lineRule="atLeast"/>
      <w:jc w:val="both"/>
      <w:outlineLvl w:val="1"/>
    </w:pPr>
    <w:rPr>
      <w:rFonts w:ascii="Times New Roman" w:eastAsia="Calibri" w:hAnsi="Times New Roman" w:cs="Times New Roman"/>
      <w:b/>
      <w:lang w:val="en-GB" w:eastAsia="en-US" w:bidi="ar-SA"/>
    </w:rPr>
  </w:style>
  <w:style w:type="paragraph" w:customStyle="1" w:styleId="AOHead3">
    <w:name w:val="AOHead3"/>
    <w:basedOn w:val="Normalny"/>
    <w:next w:val="Normalny"/>
    <w:rsid w:val="00267558"/>
    <w:pPr>
      <w:numPr>
        <w:ilvl w:val="2"/>
        <w:numId w:val="15"/>
      </w:numPr>
      <w:spacing w:before="240" w:after="0" w:line="260" w:lineRule="atLeast"/>
      <w:jc w:val="both"/>
      <w:outlineLvl w:val="2"/>
    </w:pPr>
    <w:rPr>
      <w:rFonts w:ascii="Times New Roman" w:eastAsia="Calibri" w:hAnsi="Times New Roman" w:cs="Times New Roman"/>
      <w:lang w:val="en-GB" w:eastAsia="en-US" w:bidi="ar-SA"/>
    </w:rPr>
  </w:style>
  <w:style w:type="paragraph" w:customStyle="1" w:styleId="AOHead4">
    <w:name w:val="AOHead4"/>
    <w:basedOn w:val="Normalny"/>
    <w:next w:val="Normalny"/>
    <w:rsid w:val="00267558"/>
    <w:pPr>
      <w:numPr>
        <w:ilvl w:val="3"/>
        <w:numId w:val="15"/>
      </w:numPr>
      <w:spacing w:before="240" w:after="0" w:line="260" w:lineRule="atLeast"/>
      <w:jc w:val="both"/>
      <w:outlineLvl w:val="3"/>
    </w:pPr>
    <w:rPr>
      <w:rFonts w:ascii="Times New Roman" w:eastAsia="Calibri" w:hAnsi="Times New Roman" w:cs="Times New Roman"/>
      <w:lang w:val="en-GB" w:eastAsia="en-US" w:bidi="ar-SA"/>
    </w:rPr>
  </w:style>
  <w:style w:type="paragraph" w:customStyle="1" w:styleId="AOHead5">
    <w:name w:val="AOHead5"/>
    <w:basedOn w:val="Normalny"/>
    <w:next w:val="Normalny"/>
    <w:rsid w:val="00267558"/>
    <w:pPr>
      <w:numPr>
        <w:ilvl w:val="4"/>
        <w:numId w:val="15"/>
      </w:numPr>
      <w:spacing w:before="240" w:after="0" w:line="260" w:lineRule="atLeast"/>
      <w:jc w:val="both"/>
      <w:outlineLvl w:val="4"/>
    </w:pPr>
    <w:rPr>
      <w:rFonts w:ascii="Times New Roman" w:eastAsia="Calibri" w:hAnsi="Times New Roman" w:cs="Times New Roman"/>
      <w:lang w:val="en-GB" w:eastAsia="en-US" w:bidi="ar-SA"/>
    </w:rPr>
  </w:style>
  <w:style w:type="paragraph" w:customStyle="1" w:styleId="AOHead6">
    <w:name w:val="AOHead6"/>
    <w:basedOn w:val="Normalny"/>
    <w:next w:val="Normalny"/>
    <w:rsid w:val="00267558"/>
    <w:pPr>
      <w:numPr>
        <w:ilvl w:val="5"/>
        <w:numId w:val="15"/>
      </w:numPr>
      <w:spacing w:before="240" w:after="0" w:line="260" w:lineRule="atLeast"/>
      <w:jc w:val="both"/>
      <w:outlineLvl w:val="5"/>
    </w:pPr>
    <w:rPr>
      <w:rFonts w:ascii="Times New Roman" w:eastAsia="Calibri" w:hAnsi="Times New Roman" w:cs="Times New Roman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1729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Sierpińska Aleksandra</cp:lastModifiedBy>
  <cp:revision>4</cp:revision>
  <cp:lastPrinted>2019-05-17T06:49:00Z</cp:lastPrinted>
  <dcterms:created xsi:type="dcterms:W3CDTF">2019-07-26T17:34:00Z</dcterms:created>
  <dcterms:modified xsi:type="dcterms:W3CDTF">2022-01-31T11:01:00Z</dcterms:modified>
</cp:coreProperties>
</file>