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6B6B" w:rsidRPr="006E20EA" w:rsidRDefault="00786B6B" w:rsidP="00786B6B">
      <w:pPr>
        <w:spacing w:line="360" w:lineRule="auto"/>
        <w:jc w:val="right"/>
        <w:rPr>
          <w:rFonts w:asciiTheme="minorHAnsi" w:hAnsiTheme="minorHAnsi"/>
        </w:rPr>
      </w:pP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Theme="minorHAnsi" w:hAnsiTheme="minorHAnsi"/>
        </w:rPr>
        <w:t xml:space="preserve">Warszawa, </w:t>
      </w:r>
      <w:r w:rsidR="003C5DD6">
        <w:rPr>
          <w:rFonts w:asciiTheme="minorHAnsi" w:hAnsiTheme="minorHAnsi"/>
        </w:rPr>
        <w:t xml:space="preserve">14 </w:t>
      </w:r>
      <w:r>
        <w:rPr>
          <w:rFonts w:asciiTheme="minorHAnsi" w:hAnsiTheme="minorHAnsi"/>
        </w:rPr>
        <w:t>stycznia 2020</w:t>
      </w:r>
      <w:r w:rsidRPr="006E20EA">
        <w:rPr>
          <w:rFonts w:asciiTheme="minorHAnsi" w:hAnsiTheme="minorHAnsi"/>
        </w:rPr>
        <w:t xml:space="preserve"> r.</w:t>
      </w:r>
    </w:p>
    <w:p w:rsidR="00786B6B" w:rsidRDefault="00786B6B" w:rsidP="00786B6B">
      <w:pPr>
        <w:spacing w:line="360" w:lineRule="auto"/>
        <w:jc w:val="both"/>
      </w:pPr>
      <w:r>
        <w:rPr>
          <w:noProof/>
          <w:sz w:val="28"/>
          <w:lang w:eastAsia="pl-PL"/>
        </w:rPr>
        <w:drawing>
          <wp:anchor distT="0" distB="0" distL="114935" distR="114935" simplePos="0" relativeHeight="251659264" behindDoc="0" locked="0" layoutInCell="1" allowOverlap="1" wp14:anchorId="09DBC62B" wp14:editId="4F4E0742">
            <wp:simplePos x="0" y="0"/>
            <wp:positionH relativeFrom="column">
              <wp:posOffset>361950</wp:posOffset>
            </wp:positionH>
            <wp:positionV relativeFrom="paragraph">
              <wp:posOffset>15240</wp:posOffset>
            </wp:positionV>
            <wp:extent cx="2517775" cy="822960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7775" cy="8229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       </w:t>
      </w:r>
    </w:p>
    <w:p w:rsidR="00786B6B" w:rsidRPr="006E20EA" w:rsidRDefault="00786B6B" w:rsidP="00786B6B">
      <w:pPr>
        <w:spacing w:line="360" w:lineRule="auto"/>
        <w:rPr>
          <w:rFonts w:asciiTheme="minorHAnsi" w:hAnsiTheme="minorHAnsi"/>
        </w:rPr>
      </w:pPr>
    </w:p>
    <w:p w:rsidR="00786B6B" w:rsidRDefault="00786B6B" w:rsidP="00786B6B">
      <w:pPr>
        <w:spacing w:after="240" w:line="360" w:lineRule="auto"/>
        <w:ind w:firstLine="708"/>
        <w:rPr>
          <w:rFonts w:asciiTheme="minorHAnsi" w:hAnsiTheme="minorHAnsi"/>
        </w:rPr>
      </w:pPr>
    </w:p>
    <w:p w:rsidR="00786B6B" w:rsidRPr="006E20EA" w:rsidRDefault="00786B6B" w:rsidP="00786B6B">
      <w:pPr>
        <w:spacing w:line="360" w:lineRule="auto"/>
        <w:ind w:firstLine="708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</w:t>
      </w:r>
      <w:bookmarkStart w:id="0" w:name="_GoBack"/>
      <w:r>
        <w:rPr>
          <w:rFonts w:asciiTheme="minorHAnsi" w:hAnsiTheme="minorHAnsi"/>
        </w:rPr>
        <w:t>WNP-R.4131.1.2020</w:t>
      </w:r>
      <w:bookmarkEnd w:id="0"/>
    </w:p>
    <w:p w:rsidR="00786B6B" w:rsidRDefault="00786B6B" w:rsidP="00786B6B">
      <w:pPr>
        <w:spacing w:line="360" w:lineRule="auto"/>
        <w:jc w:val="right"/>
        <w:rPr>
          <w:rFonts w:asciiTheme="minorHAnsi" w:hAnsiTheme="minorHAnsi"/>
        </w:rPr>
      </w:pPr>
    </w:p>
    <w:p w:rsidR="008E2AB3" w:rsidRPr="006E20EA" w:rsidRDefault="008E2AB3" w:rsidP="00786B6B">
      <w:pPr>
        <w:spacing w:line="360" w:lineRule="auto"/>
        <w:jc w:val="right"/>
        <w:rPr>
          <w:rFonts w:asciiTheme="minorHAnsi" w:hAnsiTheme="minorHAnsi"/>
        </w:rPr>
      </w:pPr>
    </w:p>
    <w:p w:rsidR="00786B6B" w:rsidRDefault="00786B6B" w:rsidP="00786B6B">
      <w:pPr>
        <w:ind w:left="4250" w:right="-468" w:firstLine="706"/>
        <w:jc w:val="both"/>
        <w:rPr>
          <w:rFonts w:asciiTheme="minorHAnsi" w:hAnsiTheme="minorHAnsi"/>
          <w:b/>
          <w:sz w:val="28"/>
        </w:rPr>
      </w:pPr>
      <w:r>
        <w:rPr>
          <w:rFonts w:asciiTheme="minorHAnsi" w:hAnsiTheme="minorHAnsi"/>
          <w:b/>
          <w:sz w:val="28"/>
        </w:rPr>
        <w:t>Rada Gminy Magnuszew</w:t>
      </w:r>
    </w:p>
    <w:p w:rsidR="00786B6B" w:rsidRDefault="00786B6B" w:rsidP="00786B6B">
      <w:pPr>
        <w:ind w:left="4250" w:right="-468" w:firstLine="706"/>
        <w:jc w:val="both"/>
        <w:rPr>
          <w:rFonts w:asciiTheme="minorHAnsi" w:hAnsiTheme="minorHAnsi"/>
          <w:b/>
          <w:sz w:val="28"/>
        </w:rPr>
      </w:pPr>
      <w:r>
        <w:rPr>
          <w:rFonts w:asciiTheme="minorHAnsi" w:hAnsiTheme="minorHAnsi"/>
          <w:b/>
          <w:sz w:val="28"/>
        </w:rPr>
        <w:t>ul. Saperów</w:t>
      </w:r>
      <w:r w:rsidR="00A05A66">
        <w:rPr>
          <w:rFonts w:asciiTheme="minorHAnsi" w:hAnsiTheme="minorHAnsi"/>
          <w:b/>
          <w:sz w:val="28"/>
        </w:rPr>
        <w:t xml:space="preserve"> </w:t>
      </w:r>
      <w:r>
        <w:rPr>
          <w:rFonts w:asciiTheme="minorHAnsi" w:hAnsiTheme="minorHAnsi"/>
          <w:b/>
          <w:sz w:val="28"/>
        </w:rPr>
        <w:t>24</w:t>
      </w:r>
    </w:p>
    <w:p w:rsidR="00786B6B" w:rsidRDefault="00786B6B" w:rsidP="00786B6B">
      <w:pPr>
        <w:ind w:left="4250" w:right="-468" w:firstLine="706"/>
        <w:jc w:val="both"/>
        <w:rPr>
          <w:rFonts w:asciiTheme="minorHAnsi" w:hAnsiTheme="minorHAnsi"/>
          <w:b/>
          <w:sz w:val="28"/>
        </w:rPr>
      </w:pPr>
      <w:r>
        <w:rPr>
          <w:rFonts w:asciiTheme="minorHAnsi" w:hAnsiTheme="minorHAnsi"/>
          <w:b/>
          <w:sz w:val="28"/>
        </w:rPr>
        <w:t>26-910 Magnuszew</w:t>
      </w:r>
    </w:p>
    <w:p w:rsidR="00786B6B" w:rsidRDefault="00786B6B" w:rsidP="00786B6B">
      <w:pPr>
        <w:ind w:left="4250" w:right="-468" w:firstLine="706"/>
        <w:jc w:val="both"/>
        <w:rPr>
          <w:rFonts w:asciiTheme="minorHAnsi" w:hAnsiTheme="minorHAnsi"/>
          <w:b/>
          <w:sz w:val="28"/>
        </w:rPr>
      </w:pPr>
    </w:p>
    <w:p w:rsidR="008E2AB3" w:rsidRDefault="008E2AB3" w:rsidP="00786B6B">
      <w:pPr>
        <w:ind w:left="4250" w:right="-468" w:firstLine="706"/>
        <w:jc w:val="both"/>
        <w:rPr>
          <w:rFonts w:asciiTheme="minorHAnsi" w:hAnsiTheme="minorHAnsi"/>
          <w:b/>
          <w:sz w:val="28"/>
        </w:rPr>
      </w:pPr>
    </w:p>
    <w:p w:rsidR="00786B6B" w:rsidRPr="0053198D" w:rsidRDefault="00786B6B" w:rsidP="00786B6B">
      <w:pPr>
        <w:ind w:left="4250" w:right="-468" w:firstLine="706"/>
        <w:jc w:val="both"/>
        <w:rPr>
          <w:rFonts w:asciiTheme="minorHAnsi" w:hAnsiTheme="minorHAnsi"/>
          <w:b/>
          <w:sz w:val="28"/>
        </w:rPr>
      </w:pPr>
    </w:p>
    <w:p w:rsidR="00786B6B" w:rsidRPr="00E10654" w:rsidRDefault="00786B6B" w:rsidP="00786B6B">
      <w:pPr>
        <w:jc w:val="center"/>
        <w:rPr>
          <w:rFonts w:asciiTheme="minorHAnsi" w:hAnsiTheme="minorHAnsi" w:cstheme="minorHAnsi"/>
          <w:b/>
          <w:bCs/>
        </w:rPr>
      </w:pPr>
      <w:r w:rsidRPr="00E10654">
        <w:rPr>
          <w:rFonts w:asciiTheme="minorHAnsi" w:hAnsiTheme="minorHAnsi" w:cstheme="minorHAnsi"/>
          <w:b/>
          <w:bCs/>
        </w:rPr>
        <w:t>Rozstrzygnięcie nadzorcze</w:t>
      </w:r>
    </w:p>
    <w:p w:rsidR="00786B6B" w:rsidRPr="00E10654" w:rsidRDefault="00786B6B" w:rsidP="00786B6B">
      <w:pPr>
        <w:jc w:val="both"/>
        <w:rPr>
          <w:rFonts w:asciiTheme="minorHAnsi" w:hAnsiTheme="minorHAnsi" w:cstheme="minorHAnsi"/>
          <w:b/>
          <w:bCs/>
        </w:rPr>
      </w:pPr>
    </w:p>
    <w:p w:rsidR="00786B6B" w:rsidRPr="00E10654" w:rsidRDefault="00786B6B" w:rsidP="00786B6B">
      <w:pPr>
        <w:ind w:firstLine="709"/>
        <w:jc w:val="both"/>
        <w:rPr>
          <w:rFonts w:asciiTheme="minorHAnsi" w:hAnsiTheme="minorHAnsi" w:cstheme="minorHAnsi"/>
        </w:rPr>
      </w:pPr>
      <w:r w:rsidRPr="00E10654">
        <w:rPr>
          <w:rFonts w:asciiTheme="minorHAnsi" w:hAnsiTheme="minorHAnsi" w:cstheme="minorHAnsi"/>
        </w:rPr>
        <w:t>Na podstawie art. 91 ust. 1 ustawy z dnia 8 marca 1990 r. o samorządzie gminnym     (Dz. U. z 2019 r. poz. 506, poz.1309, poz. 1696</w:t>
      </w:r>
      <w:r>
        <w:rPr>
          <w:rFonts w:asciiTheme="minorHAnsi" w:hAnsiTheme="minorHAnsi" w:cstheme="minorHAnsi"/>
        </w:rPr>
        <w:t>, poz. 1815</w:t>
      </w:r>
      <w:r w:rsidRPr="00E10654">
        <w:rPr>
          <w:rFonts w:asciiTheme="minorHAnsi" w:hAnsiTheme="minorHAnsi" w:cstheme="minorHAnsi"/>
        </w:rPr>
        <w:t>)</w:t>
      </w:r>
    </w:p>
    <w:p w:rsidR="00786B6B" w:rsidRPr="00E10654" w:rsidRDefault="00786B6B" w:rsidP="00786B6B">
      <w:pPr>
        <w:jc w:val="both"/>
        <w:rPr>
          <w:rFonts w:asciiTheme="minorHAnsi" w:hAnsiTheme="minorHAnsi" w:cstheme="minorHAnsi"/>
          <w:b/>
          <w:bCs/>
        </w:rPr>
      </w:pPr>
    </w:p>
    <w:p w:rsidR="00786B6B" w:rsidRDefault="00786B6B" w:rsidP="00786B6B">
      <w:pPr>
        <w:pStyle w:val="Tekstpodstawowy"/>
        <w:spacing w:after="240" w:line="240" w:lineRule="auto"/>
        <w:jc w:val="center"/>
        <w:rPr>
          <w:rFonts w:asciiTheme="minorHAnsi" w:hAnsiTheme="minorHAnsi" w:cstheme="minorHAnsi"/>
          <w:b/>
          <w:bCs/>
          <w:sz w:val="24"/>
        </w:rPr>
      </w:pPr>
      <w:r w:rsidRPr="00E10654">
        <w:rPr>
          <w:rFonts w:asciiTheme="minorHAnsi" w:hAnsiTheme="minorHAnsi" w:cstheme="minorHAnsi"/>
          <w:b/>
          <w:bCs/>
          <w:sz w:val="24"/>
        </w:rPr>
        <w:t>stwierdzam nieważność</w:t>
      </w:r>
    </w:p>
    <w:p w:rsidR="00786B6B" w:rsidRDefault="00786B6B" w:rsidP="00786B6B">
      <w:pPr>
        <w:pStyle w:val="Tekstpodstawowy"/>
        <w:spacing w:line="240" w:lineRule="auto"/>
        <w:rPr>
          <w:rFonts w:asciiTheme="minorHAnsi" w:hAnsiTheme="minorHAnsi" w:cstheme="minorHAnsi"/>
          <w:bCs/>
          <w:sz w:val="24"/>
        </w:rPr>
      </w:pPr>
      <w:r w:rsidRPr="00786B6B">
        <w:rPr>
          <w:rFonts w:asciiTheme="minorHAnsi" w:hAnsiTheme="minorHAnsi" w:cstheme="minorHAnsi"/>
          <w:bCs/>
          <w:sz w:val="24"/>
        </w:rPr>
        <w:t xml:space="preserve">uchwały </w:t>
      </w:r>
      <w:r>
        <w:rPr>
          <w:rFonts w:asciiTheme="minorHAnsi" w:hAnsiTheme="minorHAnsi" w:cstheme="minorHAnsi"/>
          <w:bCs/>
          <w:sz w:val="24"/>
        </w:rPr>
        <w:t>nr XVI/103/19 Rady Gminy Magnuszew z dnia 9 grudnia 2019 r. w sprawie rozpatrzenia skargi na działalność Wójta Gminy Magnuszew.</w:t>
      </w:r>
    </w:p>
    <w:p w:rsidR="00786B6B" w:rsidRDefault="00786B6B" w:rsidP="00786B6B">
      <w:pPr>
        <w:pStyle w:val="Tekstpodstawowy"/>
        <w:spacing w:line="240" w:lineRule="auto"/>
        <w:rPr>
          <w:rFonts w:asciiTheme="minorHAnsi" w:hAnsiTheme="minorHAnsi" w:cstheme="minorHAnsi"/>
          <w:bCs/>
          <w:sz w:val="24"/>
        </w:rPr>
      </w:pPr>
    </w:p>
    <w:p w:rsidR="00786B6B" w:rsidRDefault="00786B6B" w:rsidP="00786B6B">
      <w:pPr>
        <w:pStyle w:val="Tekstpodstawowy"/>
        <w:spacing w:after="240" w:line="240" w:lineRule="auto"/>
        <w:jc w:val="center"/>
        <w:rPr>
          <w:rFonts w:asciiTheme="minorHAnsi" w:hAnsiTheme="minorHAnsi" w:cstheme="minorHAnsi"/>
          <w:bCs/>
          <w:sz w:val="24"/>
        </w:rPr>
      </w:pPr>
      <w:r>
        <w:rPr>
          <w:rFonts w:asciiTheme="minorHAnsi" w:hAnsiTheme="minorHAnsi" w:cstheme="minorHAnsi"/>
          <w:bCs/>
          <w:sz w:val="24"/>
        </w:rPr>
        <w:t>Uzasadnienie</w:t>
      </w:r>
    </w:p>
    <w:p w:rsidR="00786B6B" w:rsidRDefault="00757C8D" w:rsidP="00757C8D">
      <w:pPr>
        <w:pStyle w:val="Tekstpodstawowy"/>
        <w:spacing w:after="240" w:line="240" w:lineRule="auto"/>
        <w:rPr>
          <w:rFonts w:asciiTheme="minorHAnsi" w:hAnsiTheme="minorHAnsi" w:cstheme="minorHAnsi"/>
          <w:bCs/>
          <w:sz w:val="24"/>
        </w:rPr>
      </w:pPr>
      <w:r>
        <w:rPr>
          <w:rFonts w:asciiTheme="minorHAnsi" w:hAnsiTheme="minorHAnsi" w:cstheme="minorHAnsi"/>
          <w:bCs/>
          <w:sz w:val="24"/>
        </w:rPr>
        <w:t xml:space="preserve">Rada Gminy Magnuszew, działając w oparciu o art. 229 pkt 3 </w:t>
      </w:r>
      <w:r w:rsidR="00FC68C3">
        <w:rPr>
          <w:rFonts w:asciiTheme="minorHAnsi" w:hAnsiTheme="minorHAnsi" w:cstheme="minorHAnsi"/>
          <w:bCs/>
          <w:sz w:val="24"/>
        </w:rPr>
        <w:t xml:space="preserve">ustawy z dnia </w:t>
      </w:r>
      <w:r w:rsidR="007F548B">
        <w:rPr>
          <w:rFonts w:asciiTheme="minorHAnsi" w:hAnsiTheme="minorHAnsi" w:cstheme="minorHAnsi"/>
          <w:bCs/>
          <w:sz w:val="24"/>
        </w:rPr>
        <w:t xml:space="preserve">                                           </w:t>
      </w:r>
      <w:r w:rsidR="00FC68C3">
        <w:rPr>
          <w:rFonts w:asciiTheme="minorHAnsi" w:hAnsiTheme="minorHAnsi" w:cstheme="minorHAnsi"/>
          <w:bCs/>
          <w:sz w:val="24"/>
        </w:rPr>
        <w:t xml:space="preserve">14 czerwca 1960 r. - </w:t>
      </w:r>
      <w:r>
        <w:rPr>
          <w:rFonts w:asciiTheme="minorHAnsi" w:hAnsiTheme="minorHAnsi" w:cstheme="minorHAnsi"/>
          <w:bCs/>
          <w:sz w:val="24"/>
        </w:rPr>
        <w:t xml:space="preserve">Kodeks postępowania administracyjnego, rozpatrzyła w drodze uchwały </w:t>
      </w:r>
      <w:r w:rsidR="007F548B">
        <w:rPr>
          <w:rFonts w:asciiTheme="minorHAnsi" w:hAnsiTheme="minorHAnsi" w:cstheme="minorHAnsi"/>
          <w:bCs/>
          <w:sz w:val="24"/>
        </w:rPr>
        <w:t xml:space="preserve">                            </w:t>
      </w:r>
      <w:r>
        <w:rPr>
          <w:rFonts w:asciiTheme="minorHAnsi" w:hAnsiTheme="minorHAnsi" w:cstheme="minorHAnsi"/>
          <w:bCs/>
          <w:sz w:val="24"/>
        </w:rPr>
        <w:t>nr XVI/103/19 skargę na działalność Wójta Gminy Magnuszew i uznała, że skarga jest bezzasadna.</w:t>
      </w:r>
    </w:p>
    <w:p w:rsidR="00757C8D" w:rsidRDefault="00757C8D" w:rsidP="00757C8D">
      <w:pPr>
        <w:pStyle w:val="Tekstpodstawowy"/>
        <w:spacing w:after="240" w:line="240" w:lineRule="auto"/>
        <w:rPr>
          <w:rFonts w:asciiTheme="minorHAnsi" w:hAnsiTheme="minorHAnsi" w:cstheme="minorHAnsi"/>
          <w:bCs/>
          <w:sz w:val="24"/>
        </w:rPr>
      </w:pPr>
      <w:r>
        <w:rPr>
          <w:rFonts w:asciiTheme="minorHAnsi" w:hAnsiTheme="minorHAnsi" w:cstheme="minorHAnsi"/>
          <w:bCs/>
          <w:sz w:val="24"/>
        </w:rPr>
        <w:t>Uchwała wpłynęła do organu nadzoru w dniu 16 grudnia 2019 r.</w:t>
      </w:r>
    </w:p>
    <w:p w:rsidR="00AA249C" w:rsidRPr="00AA249C" w:rsidRDefault="00AA249C" w:rsidP="00AA249C">
      <w:pPr>
        <w:pStyle w:val="Tekstpodstawowy"/>
        <w:spacing w:after="240" w:line="240" w:lineRule="auto"/>
        <w:rPr>
          <w:rFonts w:asciiTheme="minorHAnsi" w:hAnsiTheme="minorHAnsi" w:cstheme="minorHAnsi"/>
          <w:bCs/>
          <w:sz w:val="24"/>
        </w:rPr>
      </w:pPr>
      <w:r>
        <w:rPr>
          <w:rFonts w:asciiTheme="minorHAnsi" w:hAnsiTheme="minorHAnsi" w:cstheme="minorHAnsi"/>
          <w:bCs/>
          <w:sz w:val="24"/>
        </w:rPr>
        <w:t xml:space="preserve">Dokonując oceny przedmiotowej uchwały, organ nadzoru akceptuje pogląd, wyrażony </w:t>
      </w:r>
      <w:r w:rsidR="007F548B">
        <w:rPr>
          <w:rFonts w:asciiTheme="minorHAnsi" w:hAnsiTheme="minorHAnsi" w:cstheme="minorHAnsi"/>
          <w:bCs/>
          <w:sz w:val="24"/>
        </w:rPr>
        <w:t xml:space="preserve">                </w:t>
      </w:r>
      <w:r>
        <w:rPr>
          <w:rFonts w:asciiTheme="minorHAnsi" w:hAnsiTheme="minorHAnsi" w:cstheme="minorHAnsi"/>
          <w:bCs/>
          <w:sz w:val="24"/>
        </w:rPr>
        <w:t xml:space="preserve">w orzeczeniu Wojewódzkiego Sądu Administracyjnego w Szczecinie z dnia 9 sierpnia 2012 r. </w:t>
      </w:r>
      <w:r w:rsidRPr="00AA249C">
        <w:rPr>
          <w:rFonts w:ascii="Calibri" w:hAnsi="Calibri" w:cs="Calibri"/>
          <w:bCs/>
          <w:sz w:val="24"/>
        </w:rPr>
        <w:t xml:space="preserve">sygn. </w:t>
      </w:r>
      <w:r w:rsidRPr="00AA249C">
        <w:rPr>
          <w:rFonts w:ascii="Calibri" w:hAnsi="Calibri" w:cs="Calibri"/>
          <w:sz w:val="24"/>
          <w:lang w:eastAsia="pl-PL"/>
        </w:rPr>
        <w:t>II SA/</w:t>
      </w:r>
      <w:proofErr w:type="spellStart"/>
      <w:r w:rsidRPr="00AA249C">
        <w:rPr>
          <w:rFonts w:ascii="Calibri" w:hAnsi="Calibri" w:cs="Calibri"/>
          <w:sz w:val="24"/>
          <w:lang w:eastAsia="pl-PL"/>
        </w:rPr>
        <w:t>Sz</w:t>
      </w:r>
      <w:proofErr w:type="spellEnd"/>
      <w:r w:rsidRPr="00AA249C">
        <w:rPr>
          <w:rFonts w:ascii="Calibri" w:hAnsi="Calibri" w:cs="Calibri"/>
          <w:sz w:val="24"/>
          <w:lang w:eastAsia="pl-PL"/>
        </w:rPr>
        <w:t xml:space="preserve"> 696/12</w:t>
      </w:r>
      <w:r>
        <w:rPr>
          <w:rFonts w:ascii="Calibri" w:hAnsi="Calibri" w:cs="Calibri"/>
          <w:sz w:val="24"/>
          <w:lang w:eastAsia="pl-PL"/>
        </w:rPr>
        <w:t xml:space="preserve">, w którym wskazano, iż uchwały w sprawie rozpatrzenia skargi, podejmowane przez organy stanowiące samorządu, podlegają ocenie organów nadzoru, </w:t>
      </w:r>
      <w:r w:rsidRPr="00AA249C">
        <w:rPr>
          <w:rFonts w:asciiTheme="minorHAnsi" w:hAnsiTheme="minorHAnsi" w:cstheme="minorHAnsi"/>
          <w:sz w:val="24"/>
          <w:lang w:eastAsia="pl-PL"/>
        </w:rPr>
        <w:t>mimo ich szczególnego charakteru (</w:t>
      </w:r>
      <w:r w:rsidRPr="00DC15B5">
        <w:rPr>
          <w:rFonts w:asciiTheme="minorHAnsi" w:hAnsiTheme="minorHAnsi" w:cstheme="minorHAnsi"/>
          <w:sz w:val="24"/>
          <w:lang w:eastAsia="pl-PL"/>
        </w:rPr>
        <w:t>jednoinstancyjne, samodzielne postępowanie administracyjne o charakterze uproszczonym</w:t>
      </w:r>
      <w:r w:rsidRPr="00AA249C">
        <w:rPr>
          <w:rFonts w:asciiTheme="minorHAnsi" w:hAnsiTheme="minorHAnsi" w:cstheme="minorHAnsi"/>
          <w:sz w:val="24"/>
          <w:lang w:eastAsia="pl-PL"/>
        </w:rPr>
        <w:t xml:space="preserve">). Zdaniem Sądu, </w:t>
      </w:r>
      <w:r>
        <w:rPr>
          <w:rFonts w:asciiTheme="minorHAnsi" w:hAnsiTheme="minorHAnsi" w:cstheme="minorHAnsi"/>
          <w:sz w:val="24"/>
          <w:lang w:eastAsia="pl-PL"/>
        </w:rPr>
        <w:t>cyt.: „</w:t>
      </w:r>
      <w:r w:rsidRPr="00DC15B5">
        <w:rPr>
          <w:rFonts w:asciiTheme="minorHAnsi" w:hAnsiTheme="minorHAnsi" w:cstheme="minorHAnsi"/>
          <w:sz w:val="24"/>
          <w:lang w:eastAsia="pl-PL"/>
        </w:rPr>
        <w:t>Wojewoda w ramach postępowania nadzorczego może badać jedynie prawidłowość postępowania rady gminy odnośnie do trybu rozpatrywania skargi i sporządzenia zawiadomienia o sposobie jej załatwienia (art. 227-240 k.p.a.), a nie oceniać czy organ słusznie bądź niesłusznie uznał skargę za bezzasadną</w:t>
      </w:r>
      <w:r>
        <w:rPr>
          <w:rFonts w:asciiTheme="minorHAnsi" w:hAnsiTheme="minorHAnsi" w:cstheme="minorHAnsi"/>
          <w:sz w:val="24"/>
          <w:lang w:eastAsia="pl-PL"/>
        </w:rPr>
        <w:t>.”.</w:t>
      </w:r>
    </w:p>
    <w:p w:rsidR="00757C8D" w:rsidRDefault="00757C8D" w:rsidP="00FC68C3">
      <w:pPr>
        <w:pStyle w:val="Tekstpodstawowy"/>
        <w:spacing w:line="240" w:lineRule="auto"/>
        <w:rPr>
          <w:rFonts w:asciiTheme="minorHAnsi" w:hAnsiTheme="minorHAnsi" w:cstheme="minorHAnsi"/>
          <w:bCs/>
          <w:sz w:val="24"/>
        </w:rPr>
      </w:pPr>
      <w:r>
        <w:rPr>
          <w:rFonts w:asciiTheme="minorHAnsi" w:hAnsiTheme="minorHAnsi" w:cstheme="minorHAnsi"/>
          <w:bCs/>
          <w:sz w:val="24"/>
        </w:rPr>
        <w:lastRenderedPageBreak/>
        <w:t xml:space="preserve">Analiza </w:t>
      </w:r>
      <w:r w:rsidR="00AA249C">
        <w:rPr>
          <w:rFonts w:asciiTheme="minorHAnsi" w:hAnsiTheme="minorHAnsi" w:cstheme="minorHAnsi"/>
          <w:bCs/>
          <w:sz w:val="24"/>
        </w:rPr>
        <w:t xml:space="preserve">przedmiotowej </w:t>
      </w:r>
      <w:r>
        <w:rPr>
          <w:rFonts w:asciiTheme="minorHAnsi" w:hAnsiTheme="minorHAnsi" w:cstheme="minorHAnsi"/>
          <w:bCs/>
          <w:sz w:val="24"/>
        </w:rPr>
        <w:t>uchwały</w:t>
      </w:r>
      <w:r w:rsidR="00AA249C">
        <w:rPr>
          <w:rFonts w:asciiTheme="minorHAnsi" w:hAnsiTheme="minorHAnsi" w:cstheme="minorHAnsi"/>
          <w:bCs/>
          <w:sz w:val="24"/>
        </w:rPr>
        <w:t>, dokonana wedle powyższej zasady</w:t>
      </w:r>
      <w:r>
        <w:rPr>
          <w:rFonts w:asciiTheme="minorHAnsi" w:hAnsiTheme="minorHAnsi" w:cstheme="minorHAnsi"/>
          <w:bCs/>
          <w:sz w:val="24"/>
        </w:rPr>
        <w:t xml:space="preserve"> wskazuje, że </w:t>
      </w:r>
      <w:r w:rsidR="00AA249C">
        <w:rPr>
          <w:rFonts w:asciiTheme="minorHAnsi" w:hAnsiTheme="minorHAnsi" w:cstheme="minorHAnsi"/>
          <w:bCs/>
          <w:sz w:val="24"/>
        </w:rPr>
        <w:t xml:space="preserve">uchwała </w:t>
      </w:r>
      <w:r>
        <w:rPr>
          <w:rFonts w:asciiTheme="minorHAnsi" w:hAnsiTheme="minorHAnsi" w:cstheme="minorHAnsi"/>
          <w:bCs/>
          <w:sz w:val="24"/>
        </w:rPr>
        <w:t>została podjęta z istot</w:t>
      </w:r>
      <w:r w:rsidR="00FC68C3">
        <w:rPr>
          <w:rFonts w:asciiTheme="minorHAnsi" w:hAnsiTheme="minorHAnsi" w:cstheme="minorHAnsi"/>
          <w:bCs/>
          <w:sz w:val="24"/>
        </w:rPr>
        <w:t xml:space="preserve">nym naruszeniem prawa, tj. art. 238 § 1 ustawy z dnia </w:t>
      </w:r>
      <w:r w:rsidR="007F548B">
        <w:rPr>
          <w:rFonts w:asciiTheme="minorHAnsi" w:hAnsiTheme="minorHAnsi" w:cstheme="minorHAnsi"/>
          <w:bCs/>
          <w:sz w:val="24"/>
        </w:rPr>
        <w:t xml:space="preserve">                                       </w:t>
      </w:r>
      <w:r w:rsidR="00FC68C3">
        <w:rPr>
          <w:rFonts w:asciiTheme="minorHAnsi" w:hAnsiTheme="minorHAnsi" w:cstheme="minorHAnsi"/>
          <w:bCs/>
          <w:sz w:val="24"/>
        </w:rPr>
        <w:t>14 czerwca 1960 r. – Kodeks postępowania administracyjnego (Dz. U. z 2018 r. poz. 2096) – dalej K.p.a.</w:t>
      </w:r>
    </w:p>
    <w:p w:rsidR="006163E7" w:rsidRDefault="00FC68C3" w:rsidP="00B2733C">
      <w:pPr>
        <w:pStyle w:val="Tekstpodstawowy"/>
        <w:spacing w:after="240" w:line="240" w:lineRule="auto"/>
        <w:rPr>
          <w:rFonts w:asciiTheme="minorHAnsi" w:hAnsiTheme="minorHAnsi" w:cstheme="minorHAnsi"/>
          <w:bCs/>
          <w:sz w:val="24"/>
        </w:rPr>
      </w:pPr>
      <w:r>
        <w:rPr>
          <w:rFonts w:asciiTheme="minorHAnsi" w:hAnsiTheme="minorHAnsi" w:cstheme="minorHAnsi"/>
          <w:bCs/>
          <w:sz w:val="24"/>
        </w:rPr>
        <w:t xml:space="preserve">Przepis ten normuje kwestie dotyczące treści zawiadomienia o sposobie załatwienia skargi, stanowiąc w § 1, iż zawiadomienie o odmownym załatwieniu skargi powinno zawierać uzasadnienie faktyczne i prawne oraz pouczenie o treści art. 239 K.p.a. </w:t>
      </w:r>
    </w:p>
    <w:p w:rsidR="00757C8D" w:rsidRPr="0008790E" w:rsidRDefault="00FC68C3" w:rsidP="00B2733C">
      <w:pPr>
        <w:pStyle w:val="Tekstpodstawowy"/>
        <w:spacing w:after="240" w:line="240" w:lineRule="auto"/>
        <w:rPr>
          <w:rFonts w:asciiTheme="minorHAnsi" w:hAnsiTheme="minorHAnsi" w:cstheme="minorHAnsi"/>
          <w:bCs/>
          <w:sz w:val="24"/>
        </w:rPr>
      </w:pPr>
      <w:r>
        <w:rPr>
          <w:rFonts w:asciiTheme="minorHAnsi" w:hAnsiTheme="minorHAnsi" w:cstheme="minorHAnsi"/>
          <w:bCs/>
          <w:sz w:val="24"/>
        </w:rPr>
        <w:t>Ze względu na rozstrzygnięcie, zawarte w badanej uchwale („skarga jest bezzasadna”), przepis ten ma bezpośrednie do tejże uchwały zastosowanie.</w:t>
      </w:r>
      <w:r w:rsidR="006163E7">
        <w:rPr>
          <w:rFonts w:asciiTheme="minorHAnsi" w:hAnsiTheme="minorHAnsi" w:cstheme="minorHAnsi"/>
          <w:bCs/>
          <w:sz w:val="24"/>
        </w:rPr>
        <w:t xml:space="preserve"> Skoro bowiem skarga rozpatrywana jest w formie uchwały Rady Gminy, to treść tej uchwały oraz uzasadnienia do niej jest owym zawiadomieniem o sposobie załatwienia skargi. Pogląd taki ma poparcie w orzeczeniu </w:t>
      </w:r>
      <w:r w:rsidR="006163E7" w:rsidRPr="0008790E">
        <w:rPr>
          <w:rFonts w:asciiTheme="minorHAnsi" w:hAnsiTheme="minorHAnsi" w:cstheme="minorHAnsi"/>
          <w:bCs/>
          <w:sz w:val="24"/>
        </w:rPr>
        <w:t xml:space="preserve">Wojewódzkiego Sądu Administracyjnego w Gorzowie Wielkopolskim z dnia 9 października 2019 r. sygn. </w:t>
      </w:r>
      <w:r w:rsidR="006163E7" w:rsidRPr="0008790E">
        <w:rPr>
          <w:rStyle w:val="ng-binding"/>
          <w:rFonts w:asciiTheme="minorHAnsi" w:hAnsiTheme="minorHAnsi" w:cstheme="minorHAnsi"/>
          <w:sz w:val="24"/>
        </w:rPr>
        <w:t>II SA/Go 544/19, w którym stwierdzono, iż, cyt.: „</w:t>
      </w:r>
      <w:r w:rsidR="0008790E" w:rsidRPr="0008790E">
        <w:rPr>
          <w:rFonts w:asciiTheme="minorHAnsi" w:hAnsiTheme="minorHAnsi" w:cstheme="minorHAnsi"/>
          <w:sz w:val="24"/>
        </w:rPr>
        <w:t xml:space="preserve">Brak prawidłowo sporządzonego uzasadnienia, to istotne naruszenie prawa procesowego, tj. art. 238 § 1 </w:t>
      </w:r>
      <w:proofErr w:type="spellStart"/>
      <w:r w:rsidR="0008790E" w:rsidRPr="0008790E">
        <w:rPr>
          <w:rFonts w:asciiTheme="minorHAnsi" w:hAnsiTheme="minorHAnsi" w:cstheme="minorHAnsi"/>
          <w:sz w:val="24"/>
        </w:rPr>
        <w:t>k.p.a</w:t>
      </w:r>
      <w:proofErr w:type="spellEnd"/>
      <w:r w:rsidR="0008790E" w:rsidRPr="0008790E">
        <w:rPr>
          <w:rFonts w:asciiTheme="minorHAnsi" w:hAnsiTheme="minorHAnsi" w:cstheme="minorHAnsi"/>
          <w:sz w:val="24"/>
        </w:rPr>
        <w:t>, które jest wystarczającą przesłanką do stwierdzenia nieważności zaskarżonej uchwały.</w:t>
      </w:r>
      <w:r w:rsidR="0008790E">
        <w:rPr>
          <w:rFonts w:asciiTheme="minorHAnsi" w:hAnsiTheme="minorHAnsi" w:cstheme="minorHAnsi"/>
          <w:sz w:val="24"/>
        </w:rPr>
        <w:t>”.</w:t>
      </w:r>
    </w:p>
    <w:p w:rsidR="0008790E" w:rsidRDefault="0008790E" w:rsidP="00B2733C">
      <w:pPr>
        <w:pStyle w:val="Tekstpodstawowy"/>
        <w:spacing w:after="240" w:line="240" w:lineRule="auto"/>
        <w:rPr>
          <w:rFonts w:asciiTheme="minorHAnsi" w:hAnsiTheme="minorHAnsi" w:cstheme="minorHAnsi"/>
          <w:sz w:val="24"/>
          <w:lang w:eastAsia="pl-PL"/>
        </w:rPr>
      </w:pPr>
      <w:r>
        <w:rPr>
          <w:rFonts w:asciiTheme="minorHAnsi" w:hAnsiTheme="minorHAnsi" w:cstheme="minorHAnsi"/>
          <w:bCs/>
          <w:sz w:val="24"/>
        </w:rPr>
        <w:t xml:space="preserve">Zatem, ograniczając badanie uchwały do badania prawidłowości </w:t>
      </w:r>
      <w:r w:rsidRPr="00DC15B5">
        <w:rPr>
          <w:rFonts w:asciiTheme="minorHAnsi" w:hAnsiTheme="minorHAnsi" w:cstheme="minorHAnsi"/>
          <w:sz w:val="24"/>
          <w:lang w:eastAsia="pl-PL"/>
        </w:rPr>
        <w:t>postępowania rady gminy odnośnie do trybu rozpatrywania skargi i sporządzenia zawiadomienia o sposobie jej załatwienia</w:t>
      </w:r>
      <w:r>
        <w:rPr>
          <w:rFonts w:asciiTheme="minorHAnsi" w:hAnsiTheme="minorHAnsi" w:cstheme="minorHAnsi"/>
          <w:sz w:val="24"/>
          <w:lang w:eastAsia="pl-PL"/>
        </w:rPr>
        <w:t xml:space="preserve">, stwierdzić należy, iż uzasadnienie przedmiotowej uchwały w ogóle nie odnosi się do treści skargi. Nie został spełniony podstawowy wymóg, aby uzasadnienie zawierało treści merytoryczne, charakteryzujące ustosunkowanie się organu do przedmiotu skargi                      (tak </w:t>
      </w:r>
      <w:r w:rsidR="00D32F3E">
        <w:rPr>
          <w:rFonts w:asciiTheme="minorHAnsi" w:hAnsiTheme="minorHAnsi" w:cstheme="minorHAnsi"/>
          <w:sz w:val="24"/>
          <w:lang w:eastAsia="pl-PL"/>
        </w:rPr>
        <w:t xml:space="preserve">w: </w:t>
      </w:r>
      <w:r>
        <w:rPr>
          <w:rFonts w:asciiTheme="minorHAnsi" w:hAnsiTheme="minorHAnsi" w:cstheme="minorHAnsi"/>
          <w:sz w:val="24"/>
          <w:lang w:eastAsia="pl-PL"/>
        </w:rPr>
        <w:t>J. Borkowski, Kodeks postępowania administracyjnego</w:t>
      </w:r>
      <w:r w:rsidR="00D32F3E">
        <w:rPr>
          <w:rFonts w:asciiTheme="minorHAnsi" w:hAnsiTheme="minorHAnsi" w:cstheme="minorHAnsi"/>
          <w:sz w:val="24"/>
          <w:lang w:eastAsia="pl-PL"/>
        </w:rPr>
        <w:t xml:space="preserve">. Komentarz. Wydawnictwo </w:t>
      </w:r>
      <w:r w:rsidR="007F548B">
        <w:rPr>
          <w:rFonts w:asciiTheme="minorHAnsi" w:hAnsiTheme="minorHAnsi" w:cstheme="minorHAnsi"/>
          <w:sz w:val="24"/>
          <w:lang w:eastAsia="pl-PL"/>
        </w:rPr>
        <w:t xml:space="preserve">  </w:t>
      </w:r>
      <w:r w:rsidR="00D32F3E">
        <w:rPr>
          <w:rFonts w:asciiTheme="minorHAnsi" w:hAnsiTheme="minorHAnsi" w:cstheme="minorHAnsi"/>
          <w:sz w:val="24"/>
          <w:lang w:eastAsia="pl-PL"/>
        </w:rPr>
        <w:t>C.H. Beck).</w:t>
      </w:r>
    </w:p>
    <w:p w:rsidR="0008790E" w:rsidRDefault="0008790E" w:rsidP="00D32F3E">
      <w:pPr>
        <w:pStyle w:val="Tekstpodstawowy"/>
        <w:spacing w:line="240" w:lineRule="auto"/>
        <w:rPr>
          <w:rFonts w:asciiTheme="minorHAnsi" w:hAnsiTheme="minorHAnsi" w:cstheme="minorHAnsi"/>
          <w:sz w:val="24"/>
          <w:lang w:eastAsia="pl-PL"/>
        </w:rPr>
      </w:pPr>
      <w:r>
        <w:rPr>
          <w:rFonts w:asciiTheme="minorHAnsi" w:hAnsiTheme="minorHAnsi" w:cstheme="minorHAnsi"/>
          <w:sz w:val="24"/>
          <w:lang w:eastAsia="pl-PL"/>
        </w:rPr>
        <w:t>Jak wskazuje sama Rada w pierwszym zdaniu uzasadnienia, skarga dotyczy działań Wójta Gminy Magnuszew w zakresie powierzenia przez Wójta funkcji dyrektora szkoły nauczycielowi zawieszonemu w czynnościach.</w:t>
      </w:r>
      <w:r w:rsidR="00D32F3E">
        <w:rPr>
          <w:rFonts w:asciiTheme="minorHAnsi" w:hAnsiTheme="minorHAnsi" w:cstheme="minorHAnsi"/>
          <w:sz w:val="24"/>
          <w:lang w:eastAsia="pl-PL"/>
        </w:rPr>
        <w:t xml:space="preserve"> </w:t>
      </w:r>
    </w:p>
    <w:p w:rsidR="00D32F3E" w:rsidRDefault="00D32F3E" w:rsidP="00B2733C">
      <w:pPr>
        <w:pStyle w:val="Tekstpodstawowy"/>
        <w:spacing w:after="240" w:line="240" w:lineRule="auto"/>
        <w:rPr>
          <w:rFonts w:asciiTheme="minorHAnsi" w:hAnsiTheme="minorHAnsi" w:cstheme="minorHAnsi"/>
          <w:sz w:val="24"/>
          <w:lang w:eastAsia="pl-PL"/>
        </w:rPr>
      </w:pPr>
      <w:r>
        <w:rPr>
          <w:rFonts w:asciiTheme="minorHAnsi" w:hAnsiTheme="minorHAnsi" w:cstheme="minorHAnsi"/>
          <w:sz w:val="24"/>
          <w:lang w:eastAsia="pl-PL"/>
        </w:rPr>
        <w:t>Tymczasem uzasadnienie uchwały do kwestii podnoszonej w skardze nie odnosi się w żaden sposób. Zamiast tego, poświęcono dwie strony na ocenę osoby, której Wójt powierzył stanowisko dyrektora szkoły, a także na opis sytuacji w szkole, z czego ma wynikać, iż wójt, dokonując powierzenia pełnienia funkcji dyrektora szkoły zawieszonemu nauczycielowi, działał, cyt.: „w stanie wyższej konieczności”. Odniesiono się także do osoby skarżącej, przypisując jej określone motywy działania.</w:t>
      </w:r>
    </w:p>
    <w:p w:rsidR="00D32F3E" w:rsidRDefault="00D32F3E" w:rsidP="00B2733C">
      <w:pPr>
        <w:pStyle w:val="Tekstpodstawowy"/>
        <w:spacing w:after="240" w:line="240" w:lineRule="auto"/>
        <w:rPr>
          <w:rFonts w:asciiTheme="minorHAnsi" w:hAnsiTheme="minorHAnsi" w:cstheme="minorHAnsi"/>
          <w:sz w:val="24"/>
          <w:lang w:eastAsia="pl-PL"/>
        </w:rPr>
      </w:pPr>
      <w:r>
        <w:rPr>
          <w:rFonts w:asciiTheme="minorHAnsi" w:hAnsiTheme="minorHAnsi" w:cstheme="minorHAnsi"/>
          <w:sz w:val="24"/>
          <w:lang w:eastAsia="pl-PL"/>
        </w:rPr>
        <w:t xml:space="preserve">W ocenie organu nadzoru taki stan rzeczy nie może się ostać. </w:t>
      </w:r>
      <w:r w:rsidR="006C76F4">
        <w:rPr>
          <w:rFonts w:asciiTheme="minorHAnsi" w:hAnsiTheme="minorHAnsi" w:cstheme="minorHAnsi"/>
          <w:sz w:val="24"/>
          <w:lang w:eastAsia="pl-PL"/>
        </w:rPr>
        <w:t xml:space="preserve">Działanie Rady w badanej sprawie jest </w:t>
      </w:r>
      <w:r w:rsidR="00A32BD3">
        <w:rPr>
          <w:rFonts w:asciiTheme="minorHAnsi" w:hAnsiTheme="minorHAnsi" w:cstheme="minorHAnsi"/>
          <w:sz w:val="24"/>
          <w:lang w:eastAsia="pl-PL"/>
        </w:rPr>
        <w:t>nie do zaakceptowania, także wobec okoliczności, że sprawą zajmowała się już wcześniej, 29 października 2019 r., nie przegłosowując jednak projektu uchwały, uwzględniającej skargę</w:t>
      </w:r>
      <w:r w:rsidR="006C76F4">
        <w:rPr>
          <w:rFonts w:asciiTheme="minorHAnsi" w:hAnsiTheme="minorHAnsi" w:cstheme="minorHAnsi"/>
          <w:sz w:val="24"/>
          <w:lang w:eastAsia="pl-PL"/>
        </w:rPr>
        <w:t>. Nie jest zadaniem Rady przy rozpatrywaniu skargi badanie jej zarzutów w jakimkolwiek kontekście poza merytorycznym – w omawianym przypadku Rada winna była się odnieść do konkretnego stanu prawnego i określić, czy skarżący ma rację, podważając powołanie na stanowisko dyrektora nauczyciela zawieszonego w czynnościach, czy też skarżący nie ma racji, a jeśli tak, to dlaczego.</w:t>
      </w:r>
      <w:r w:rsidR="00A32BD3">
        <w:rPr>
          <w:rFonts w:asciiTheme="minorHAnsi" w:hAnsiTheme="minorHAnsi" w:cstheme="minorHAnsi"/>
          <w:sz w:val="24"/>
          <w:lang w:eastAsia="pl-PL"/>
        </w:rPr>
        <w:t xml:space="preserve"> Właśnie tak brzmi uzasadnienie projektu uchwały z 29 października 2019 r., nie przegłosowanego przez Radę, co czyni obecną decyzję Rady tym bardziej </w:t>
      </w:r>
      <w:r w:rsidR="008E2AB3">
        <w:rPr>
          <w:rFonts w:asciiTheme="minorHAnsi" w:hAnsiTheme="minorHAnsi" w:cstheme="minorHAnsi"/>
          <w:sz w:val="24"/>
          <w:lang w:eastAsia="pl-PL"/>
        </w:rPr>
        <w:t>nieuprawnioną.</w:t>
      </w:r>
    </w:p>
    <w:p w:rsidR="008E2AB3" w:rsidRDefault="008E2AB3" w:rsidP="00B2733C">
      <w:pPr>
        <w:pStyle w:val="Tekstpodstawowy"/>
        <w:spacing w:after="240" w:line="240" w:lineRule="auto"/>
        <w:rPr>
          <w:rFonts w:asciiTheme="minorHAnsi" w:hAnsiTheme="minorHAnsi" w:cstheme="minorHAnsi"/>
          <w:sz w:val="24"/>
          <w:lang w:eastAsia="pl-PL"/>
        </w:rPr>
      </w:pPr>
      <w:r>
        <w:rPr>
          <w:rFonts w:asciiTheme="minorHAnsi" w:hAnsiTheme="minorHAnsi" w:cstheme="minorHAnsi"/>
          <w:sz w:val="24"/>
          <w:lang w:eastAsia="pl-PL"/>
        </w:rPr>
        <w:lastRenderedPageBreak/>
        <w:t>Ponadto, jak wskazano wyżej, z treści art. 238 § 1 K.p.a. wynika obowiązek zawarcia</w:t>
      </w:r>
      <w:r w:rsidR="007F548B">
        <w:rPr>
          <w:rFonts w:asciiTheme="minorHAnsi" w:hAnsiTheme="minorHAnsi" w:cstheme="minorHAnsi"/>
          <w:sz w:val="24"/>
          <w:lang w:eastAsia="pl-PL"/>
        </w:rPr>
        <w:t xml:space="preserve">   </w:t>
      </w:r>
      <w:r>
        <w:rPr>
          <w:rFonts w:asciiTheme="minorHAnsi" w:hAnsiTheme="minorHAnsi" w:cstheme="minorHAnsi"/>
          <w:sz w:val="24"/>
          <w:lang w:eastAsia="pl-PL"/>
        </w:rPr>
        <w:t xml:space="preserve"> </w:t>
      </w:r>
      <w:r w:rsidR="007F548B">
        <w:rPr>
          <w:rFonts w:asciiTheme="minorHAnsi" w:hAnsiTheme="minorHAnsi" w:cstheme="minorHAnsi"/>
          <w:sz w:val="24"/>
          <w:lang w:eastAsia="pl-PL"/>
        </w:rPr>
        <w:t xml:space="preserve">                     </w:t>
      </w:r>
      <w:r>
        <w:rPr>
          <w:rFonts w:asciiTheme="minorHAnsi" w:hAnsiTheme="minorHAnsi" w:cstheme="minorHAnsi"/>
          <w:sz w:val="24"/>
          <w:lang w:eastAsia="pl-PL"/>
        </w:rPr>
        <w:t xml:space="preserve">w uzasadnieniu </w:t>
      </w:r>
      <w:r>
        <w:rPr>
          <w:rFonts w:asciiTheme="minorHAnsi" w:hAnsiTheme="minorHAnsi" w:cstheme="minorHAnsi"/>
          <w:bCs/>
          <w:sz w:val="24"/>
        </w:rPr>
        <w:t xml:space="preserve">pouczenia o treści art. 239 K.p.a. Taki zapis Kodeksu powoduje, że pouczenie jest obowiązkowym elementem, bez którego całość konstrukcji jest dotknięta wadą. </w:t>
      </w:r>
    </w:p>
    <w:p w:rsidR="008E2AB3" w:rsidRDefault="008E2AB3" w:rsidP="00B2733C">
      <w:pPr>
        <w:pStyle w:val="Tekstpodstawowy"/>
        <w:spacing w:after="240" w:line="240" w:lineRule="auto"/>
        <w:rPr>
          <w:rFonts w:asciiTheme="minorHAnsi" w:hAnsiTheme="minorHAnsi" w:cstheme="minorHAnsi"/>
          <w:sz w:val="24"/>
          <w:lang w:eastAsia="pl-PL"/>
        </w:rPr>
      </w:pPr>
      <w:r>
        <w:rPr>
          <w:rFonts w:asciiTheme="minorHAnsi" w:hAnsiTheme="minorHAnsi" w:cstheme="minorHAnsi"/>
          <w:sz w:val="24"/>
          <w:lang w:eastAsia="pl-PL"/>
        </w:rPr>
        <w:t xml:space="preserve">Zatem, wobec istotnego naruszenia art. 238 § 1 K.p.a., </w:t>
      </w:r>
      <w:r w:rsidRPr="00786B6B">
        <w:rPr>
          <w:rFonts w:asciiTheme="minorHAnsi" w:hAnsiTheme="minorHAnsi" w:cstheme="minorHAnsi"/>
          <w:bCs/>
          <w:sz w:val="24"/>
        </w:rPr>
        <w:t>uchwał</w:t>
      </w:r>
      <w:r>
        <w:rPr>
          <w:rFonts w:asciiTheme="minorHAnsi" w:hAnsiTheme="minorHAnsi" w:cstheme="minorHAnsi"/>
          <w:bCs/>
          <w:sz w:val="24"/>
        </w:rPr>
        <w:t>a</w:t>
      </w:r>
      <w:r w:rsidRPr="00786B6B">
        <w:rPr>
          <w:rFonts w:asciiTheme="minorHAnsi" w:hAnsiTheme="minorHAnsi" w:cstheme="minorHAnsi"/>
          <w:bCs/>
          <w:sz w:val="24"/>
        </w:rPr>
        <w:t xml:space="preserve"> </w:t>
      </w:r>
      <w:r>
        <w:rPr>
          <w:rFonts w:asciiTheme="minorHAnsi" w:hAnsiTheme="minorHAnsi" w:cstheme="minorHAnsi"/>
          <w:bCs/>
          <w:sz w:val="24"/>
        </w:rPr>
        <w:t>nr XVI/103/19 Rady Gminy Magnuszew z dnia 9 grudnia 2019 r. w sprawie rozpatrzenia skargi na działalność Wójta Gminy Magnuszew nie może pozostać w obrocie prawnym</w:t>
      </w:r>
    </w:p>
    <w:p w:rsidR="008E2AB3" w:rsidRDefault="008E2AB3" w:rsidP="008E2AB3">
      <w:pPr>
        <w:jc w:val="both"/>
        <w:rPr>
          <w:rFonts w:asciiTheme="minorHAnsi" w:hAnsiTheme="minorHAnsi" w:cstheme="minorHAnsi"/>
          <w:lang w:eastAsia="pl-PL"/>
        </w:rPr>
      </w:pPr>
      <w:r>
        <w:rPr>
          <w:rFonts w:asciiTheme="minorHAnsi" w:hAnsiTheme="minorHAnsi" w:cstheme="minorHAnsi"/>
          <w:lang w:eastAsia="pl-PL"/>
        </w:rPr>
        <w:t xml:space="preserve">Na niniejsze rozstrzygnięcie nadzorcze Gminie </w:t>
      </w:r>
      <w:r w:rsidRPr="005C1DDB">
        <w:rPr>
          <w:rFonts w:asciiTheme="minorHAnsi" w:hAnsiTheme="minorHAnsi" w:cstheme="minorHAnsi"/>
          <w:lang w:eastAsia="pl-PL"/>
        </w:rPr>
        <w:t xml:space="preserve">przysługuje skarga do Wojewódzkiego Sądu Administracyjnego w Warszawie w terminie 30 dni od daty doręczenia, wnoszona za moim pośrednictwem. </w:t>
      </w:r>
    </w:p>
    <w:p w:rsidR="008E2AB3" w:rsidRPr="005C1DDB" w:rsidRDefault="008E2AB3" w:rsidP="008E2AB3">
      <w:pPr>
        <w:jc w:val="both"/>
        <w:rPr>
          <w:rFonts w:asciiTheme="minorHAnsi" w:hAnsiTheme="minorHAnsi" w:cstheme="minorHAnsi"/>
          <w:lang w:eastAsia="pl-PL"/>
        </w:rPr>
      </w:pPr>
    </w:p>
    <w:p w:rsidR="008E2AB3" w:rsidRPr="005C1DDB" w:rsidRDefault="008E2AB3" w:rsidP="008E2AB3">
      <w:pPr>
        <w:jc w:val="both"/>
        <w:rPr>
          <w:rFonts w:asciiTheme="minorHAnsi" w:hAnsiTheme="minorHAnsi" w:cstheme="minorHAnsi"/>
          <w:lang w:eastAsia="pl-PL"/>
        </w:rPr>
      </w:pPr>
      <w:r w:rsidRPr="005C1DDB">
        <w:rPr>
          <w:rFonts w:asciiTheme="minorHAnsi" w:hAnsiTheme="minorHAnsi" w:cstheme="minorHAnsi"/>
          <w:lang w:eastAsia="pl-PL"/>
        </w:rPr>
        <w:t>Informuję, że rozstrzygnięcie nadzorcze wstrzymuje wykonanie uchwały z mocy prawa z dniem jego doręczenia.</w:t>
      </w:r>
    </w:p>
    <w:p w:rsidR="00AC2FAF" w:rsidRPr="0008790E" w:rsidRDefault="00AC2FAF" w:rsidP="00B2733C">
      <w:pPr>
        <w:pStyle w:val="Tekstpodstawowy"/>
        <w:spacing w:after="240" w:line="240" w:lineRule="auto"/>
        <w:rPr>
          <w:rFonts w:asciiTheme="minorHAnsi" w:hAnsiTheme="minorHAnsi" w:cstheme="minorHAnsi"/>
          <w:sz w:val="24"/>
          <w:lang w:eastAsia="pl-PL"/>
        </w:rPr>
      </w:pPr>
    </w:p>
    <w:sectPr w:rsidR="00AC2FAF" w:rsidRPr="000879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6092" w:rsidRDefault="00AD6092" w:rsidP="006C76F4">
      <w:r>
        <w:separator/>
      </w:r>
    </w:p>
  </w:endnote>
  <w:endnote w:type="continuationSeparator" w:id="0">
    <w:p w:rsidR="00AD6092" w:rsidRDefault="00AD6092" w:rsidP="006C7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6092" w:rsidRDefault="00AD6092" w:rsidP="006C76F4">
      <w:r>
        <w:separator/>
      </w:r>
    </w:p>
  </w:footnote>
  <w:footnote w:type="continuationSeparator" w:id="0">
    <w:p w:rsidR="00AD6092" w:rsidRDefault="00AD6092" w:rsidP="006C76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B6B"/>
    <w:rsid w:val="0008790E"/>
    <w:rsid w:val="003C5DD6"/>
    <w:rsid w:val="004477DC"/>
    <w:rsid w:val="004651C7"/>
    <w:rsid w:val="00525282"/>
    <w:rsid w:val="006163E7"/>
    <w:rsid w:val="006C76F4"/>
    <w:rsid w:val="00757C8D"/>
    <w:rsid w:val="00780701"/>
    <w:rsid w:val="00786B6B"/>
    <w:rsid w:val="007F548B"/>
    <w:rsid w:val="008E2AB3"/>
    <w:rsid w:val="00A05A66"/>
    <w:rsid w:val="00A32BD3"/>
    <w:rsid w:val="00AA249C"/>
    <w:rsid w:val="00AC2FAF"/>
    <w:rsid w:val="00AD6092"/>
    <w:rsid w:val="00AF2227"/>
    <w:rsid w:val="00B2733C"/>
    <w:rsid w:val="00D32F3E"/>
    <w:rsid w:val="00FC6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E4233"/>
  <w15:chartTrackingRefBased/>
  <w15:docId w15:val="{093B0970-72B9-4205-BC4B-A42A28012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86B6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786B6B"/>
    <w:pPr>
      <w:spacing w:line="360" w:lineRule="auto"/>
      <w:jc w:val="both"/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786B6B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ng-binding">
    <w:name w:val="ng-binding"/>
    <w:basedOn w:val="Domylnaczcionkaakapitu"/>
    <w:rsid w:val="006163E7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C76F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C76F4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C76F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831</Words>
  <Characters>4992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Gawroński</dc:creator>
  <cp:keywords/>
  <dc:description/>
  <cp:lastModifiedBy>Beata Darnowska</cp:lastModifiedBy>
  <cp:revision>2</cp:revision>
  <dcterms:created xsi:type="dcterms:W3CDTF">2020-01-20T11:45:00Z</dcterms:created>
  <dcterms:modified xsi:type="dcterms:W3CDTF">2020-01-20T11:45:00Z</dcterms:modified>
</cp:coreProperties>
</file>