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FF607" w14:textId="4D9031AC" w:rsidR="00763796" w:rsidRDefault="00763796" w:rsidP="00763796">
      <w:pPr>
        <w:widowControl w:val="0"/>
        <w:autoSpaceDE w:val="0"/>
        <w:autoSpaceDN w:val="0"/>
        <w:spacing w:before="78" w:after="0" w:line="276" w:lineRule="auto"/>
        <w:ind w:right="503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 xml:space="preserve">                                                                         </w:t>
      </w:r>
      <w:r>
        <w:rPr>
          <w:rFonts w:eastAsiaTheme="minorEastAsia" w:cstheme="minorHAnsi"/>
          <w:lang w:eastAsia="pl-PL"/>
        </w:rPr>
        <w:t xml:space="preserve">                                             </w:t>
      </w:r>
      <w:r w:rsidRPr="00475D29">
        <w:rPr>
          <w:rFonts w:eastAsiaTheme="minorEastAsia" w:cstheme="minorHAnsi"/>
          <w:lang w:eastAsia="pl-PL"/>
        </w:rPr>
        <w:t>Załącznik nr</w:t>
      </w:r>
      <w:r>
        <w:rPr>
          <w:rFonts w:eastAsiaTheme="minorEastAsia" w:cstheme="minorHAnsi"/>
          <w:lang w:eastAsia="pl-PL"/>
        </w:rPr>
        <w:t xml:space="preserve"> 5</w:t>
      </w:r>
    </w:p>
    <w:p w14:paraId="6D6E4128" w14:textId="77777777" w:rsidR="00763796" w:rsidRPr="00475D29" w:rsidRDefault="00763796" w:rsidP="00763796">
      <w:pPr>
        <w:widowControl w:val="0"/>
        <w:autoSpaceDE w:val="0"/>
        <w:autoSpaceDN w:val="0"/>
        <w:spacing w:before="78" w:after="0" w:line="276" w:lineRule="auto"/>
        <w:ind w:left="5860" w:right="503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do </w:t>
      </w:r>
      <w:r>
        <w:rPr>
          <w:rFonts w:eastAsiaTheme="minorEastAsia" w:cstheme="minorHAnsi"/>
          <w:lang w:eastAsia="pl-PL"/>
        </w:rPr>
        <w:t>Regulaminu zgłoszeń</w:t>
      </w:r>
    </w:p>
    <w:p w14:paraId="39C69AD6" w14:textId="77777777" w:rsidR="00763796" w:rsidRPr="00475D29" w:rsidRDefault="00763796" w:rsidP="00763796">
      <w:pPr>
        <w:widowControl w:val="0"/>
        <w:autoSpaceDE w:val="0"/>
        <w:autoSpaceDN w:val="0"/>
        <w:spacing w:after="0" w:line="276" w:lineRule="auto"/>
        <w:jc w:val="both"/>
        <w:rPr>
          <w:rFonts w:eastAsiaTheme="minorEastAsia" w:cstheme="minorHAnsi"/>
          <w:lang w:eastAsia="pl-PL"/>
        </w:rPr>
      </w:pPr>
    </w:p>
    <w:p w14:paraId="132ECE99" w14:textId="77777777" w:rsidR="00763796" w:rsidRPr="00475D29" w:rsidRDefault="00763796" w:rsidP="00763796">
      <w:pPr>
        <w:widowControl w:val="0"/>
        <w:autoSpaceDE w:val="0"/>
        <w:autoSpaceDN w:val="0"/>
        <w:spacing w:before="161" w:after="0" w:line="276" w:lineRule="auto"/>
        <w:ind w:right="1239"/>
        <w:jc w:val="both"/>
        <w:outlineLvl w:val="0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 xml:space="preserve">            </w:t>
      </w:r>
      <w:r w:rsidRPr="00475D29">
        <w:rPr>
          <w:rFonts w:eastAsiaTheme="minorEastAsia" w:cstheme="minorHAnsi"/>
          <w:lang w:eastAsia="pl-PL"/>
        </w:rPr>
        <w:t>SZCZEGÓŁOWE ZASADY PRZEPROWADZANIA POSTĘPOWANIA WYJAŚNIAJĄCEGO</w:t>
      </w:r>
    </w:p>
    <w:p w14:paraId="05B888AB" w14:textId="77777777" w:rsidR="00763796" w:rsidRPr="00475D29" w:rsidRDefault="00763796" w:rsidP="00763796">
      <w:pPr>
        <w:widowControl w:val="0"/>
        <w:autoSpaceDE w:val="0"/>
        <w:autoSpaceDN w:val="0"/>
        <w:spacing w:before="11" w:after="0" w:line="276" w:lineRule="auto"/>
        <w:jc w:val="both"/>
        <w:rPr>
          <w:rFonts w:eastAsiaTheme="minorEastAsia" w:cstheme="minorHAnsi"/>
          <w:lang w:eastAsia="pl-PL"/>
        </w:rPr>
      </w:pPr>
    </w:p>
    <w:p w14:paraId="135FCDBC" w14:textId="77777777" w:rsidR="00763796" w:rsidRPr="00EB6F7E" w:rsidRDefault="00763796" w:rsidP="00763796">
      <w:pPr>
        <w:widowControl w:val="0"/>
        <w:autoSpaceDE w:val="0"/>
        <w:autoSpaceDN w:val="0"/>
        <w:spacing w:after="0" w:line="276" w:lineRule="auto"/>
        <w:ind w:left="216"/>
        <w:jc w:val="both"/>
        <w:rPr>
          <w:rFonts w:eastAsiaTheme="minorEastAsia" w:cstheme="minorHAnsi"/>
          <w:b/>
          <w:lang w:eastAsia="pl-PL"/>
        </w:rPr>
      </w:pPr>
      <w:r w:rsidRPr="00EB6F7E">
        <w:rPr>
          <w:rFonts w:eastAsiaTheme="minorEastAsia" w:cstheme="minorHAnsi"/>
          <w:b/>
          <w:lang w:eastAsia="pl-PL"/>
        </w:rPr>
        <w:t>I.  Zasady ogólne</w:t>
      </w:r>
    </w:p>
    <w:p w14:paraId="5D644EF5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before="137" w:after="0" w:line="276" w:lineRule="auto"/>
        <w:ind w:right="517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Szczegółowe zasady przeprowadzania postępowania wyjaśniającego stanowią zbiór zasad, norm oraz wytycznych jak również praw i obowiązków osób zgłaszających nieprawidłowości oraz osób zaangażowanych w jego przeprowadzenie.</w:t>
      </w:r>
    </w:p>
    <w:p w14:paraId="6C35E68A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before="1"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W trakcie postępowania wyjaśniającego wszelkie informacje zawarte w zgłoszeniu podlegają weryfikacji oraz obiektywnej ocenie.</w:t>
      </w:r>
    </w:p>
    <w:p w14:paraId="6ADA3EA8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Postępowanie prowadzone jest z zachowaniem poszanowania godności, dobrego imienia pracowników, osób trzecich oraz wszystkich osób zaangażowanych w sprawę.</w:t>
      </w:r>
    </w:p>
    <w:p w14:paraId="51A29D0E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Jeśli w trakcie prowadzonego postępowania zgłoszone fakty nie zostaną potwierdzone, uprawdopodobnione postępowanie wyjaśniające ulega zakończeniu.</w:t>
      </w:r>
    </w:p>
    <w:p w14:paraId="666FFCD2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after="0" w:line="276" w:lineRule="auto"/>
        <w:ind w:hanging="436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Każde zgłoszenie podlega weryfikacji i rejestracji.</w:t>
      </w:r>
    </w:p>
    <w:p w14:paraId="71430337" w14:textId="77777777" w:rsidR="00763796" w:rsidRPr="00475D29" w:rsidRDefault="00763796" w:rsidP="00763796">
      <w:pPr>
        <w:widowControl w:val="0"/>
        <w:numPr>
          <w:ilvl w:val="0"/>
          <w:numId w:val="6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W celu weryfikacji zgłoszenia oraz podjęcia działań następczych osoba odpowiedzialna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za przyjęcie i rozpatrzenie zgłoszenia , a także członkowie Komisji mogą przetwarzać dane osobowe osoby, której dotyczy zgłoszenie i/lub świadków zgłoszonego zdarzenia bez jej /ich zgody.</w:t>
      </w:r>
    </w:p>
    <w:p w14:paraId="32DF49A5" w14:textId="77777777" w:rsidR="00763796" w:rsidRPr="00475D29" w:rsidRDefault="00763796" w:rsidP="00763796">
      <w:pPr>
        <w:widowControl w:val="0"/>
        <w:autoSpaceDE w:val="0"/>
        <w:autoSpaceDN w:val="0"/>
        <w:spacing w:before="1" w:after="0" w:line="276" w:lineRule="auto"/>
        <w:jc w:val="both"/>
        <w:rPr>
          <w:rFonts w:eastAsiaTheme="minorEastAsia" w:cstheme="minorHAnsi"/>
          <w:lang w:eastAsia="pl-PL"/>
        </w:rPr>
      </w:pPr>
    </w:p>
    <w:p w14:paraId="3B1911BD" w14:textId="77777777" w:rsidR="00763796" w:rsidRPr="00EB6F7E" w:rsidRDefault="00763796" w:rsidP="00763796">
      <w:pPr>
        <w:widowControl w:val="0"/>
        <w:numPr>
          <w:ilvl w:val="0"/>
          <w:numId w:val="5"/>
        </w:numPr>
        <w:tabs>
          <w:tab w:val="left" w:pos="523"/>
        </w:tabs>
        <w:autoSpaceDE w:val="0"/>
        <w:autoSpaceDN w:val="0"/>
        <w:spacing w:after="0" w:line="276" w:lineRule="auto"/>
        <w:jc w:val="both"/>
        <w:outlineLvl w:val="0"/>
        <w:rPr>
          <w:rFonts w:eastAsiaTheme="minorEastAsia" w:cstheme="minorHAnsi"/>
          <w:b/>
          <w:lang w:eastAsia="pl-PL"/>
        </w:rPr>
      </w:pPr>
      <w:r w:rsidRPr="00EB6F7E">
        <w:rPr>
          <w:rFonts w:eastAsiaTheme="minorEastAsia" w:cstheme="minorHAnsi"/>
          <w:b/>
          <w:lang w:eastAsia="pl-PL"/>
        </w:rPr>
        <w:t>Sposób zgłoszenia i jego charakter</w:t>
      </w:r>
    </w:p>
    <w:p w14:paraId="4BCA4E7C" w14:textId="77777777" w:rsidR="00763796" w:rsidRPr="00012ED1" w:rsidRDefault="00763796" w:rsidP="00763796">
      <w:pPr>
        <w:widowControl w:val="0"/>
        <w:tabs>
          <w:tab w:val="left" w:pos="644"/>
        </w:tabs>
        <w:autoSpaceDE w:val="0"/>
        <w:autoSpaceDN w:val="0"/>
        <w:spacing w:before="137" w:after="0" w:line="276" w:lineRule="auto"/>
        <w:ind w:left="208" w:right="511"/>
        <w:jc w:val="both"/>
        <w:rPr>
          <w:rFonts w:eastAsiaTheme="minorEastAsia" w:cstheme="minorHAnsi"/>
          <w:color w:val="000000" w:themeColor="text1"/>
          <w:lang w:eastAsia="pl-PL"/>
        </w:rPr>
      </w:pPr>
      <w:r w:rsidRPr="00012ED1">
        <w:rPr>
          <w:rFonts w:eastAsiaTheme="minorEastAsia" w:cstheme="minorHAnsi"/>
          <w:color w:val="000000" w:themeColor="text1"/>
          <w:sz w:val="24"/>
          <w:szCs w:val="24"/>
          <w:lang w:eastAsia="pl-PL"/>
        </w:rPr>
        <w:t>1.</w:t>
      </w:r>
      <w:r w:rsidRPr="00012ED1">
        <w:rPr>
          <w:rFonts w:eastAsiaTheme="minorEastAsia" w:cstheme="minorHAnsi"/>
          <w:color w:val="000000" w:themeColor="text1"/>
          <w:lang w:eastAsia="pl-PL"/>
        </w:rPr>
        <w:t xml:space="preserve">  Zgłoszenia nieprawidłowości dokonuje się przez dedykowane do tego kanały:</w:t>
      </w:r>
    </w:p>
    <w:p w14:paraId="2B31C82F" w14:textId="77777777" w:rsidR="00763796" w:rsidRPr="00852ECA" w:rsidRDefault="00763796" w:rsidP="00763796">
      <w:pPr>
        <w:widowControl w:val="0"/>
        <w:numPr>
          <w:ilvl w:val="0"/>
          <w:numId w:val="7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color w:val="000000" w:themeColor="text1"/>
          <w:lang w:eastAsia="pl-PL"/>
        </w:rPr>
      </w:pPr>
      <w:r w:rsidRPr="00852ECA">
        <w:rPr>
          <w:rFonts w:eastAsiaTheme="minorEastAsia" w:cstheme="minorHAnsi"/>
          <w:color w:val="000000" w:themeColor="text1"/>
          <w:lang w:eastAsia="pl-PL"/>
        </w:rPr>
        <w:t xml:space="preserve">dedykowanej </w:t>
      </w:r>
      <w:r w:rsidRPr="00763796">
        <w:rPr>
          <w:rFonts w:eastAsiaTheme="minorEastAsia" w:cstheme="minorHAnsi"/>
          <w:color w:val="000000" w:themeColor="text1"/>
          <w:u w:val="single"/>
          <w:lang w:eastAsia="pl-PL"/>
        </w:rPr>
        <w:t>skr</w:t>
      </w:r>
      <w:hyperlink r:id="rId5" w:history="1">
        <w:r w:rsidRPr="00763796">
          <w:rPr>
            <w:rStyle w:val="Hipercze"/>
            <w:rFonts w:eastAsiaTheme="minorEastAsia" w:cstheme="minorHAnsi"/>
            <w:color w:val="000000" w:themeColor="text1"/>
            <w:lang w:eastAsia="pl-PL"/>
          </w:rPr>
          <w:t>zynki mailowej - sygnalista@cpd.gov.pl</w:t>
        </w:r>
      </w:hyperlink>
    </w:p>
    <w:p w14:paraId="2FD98473" w14:textId="106B767B" w:rsidR="00763796" w:rsidRPr="00852ECA" w:rsidRDefault="00763796" w:rsidP="00763796">
      <w:pPr>
        <w:widowControl w:val="0"/>
        <w:numPr>
          <w:ilvl w:val="0"/>
          <w:numId w:val="7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color w:val="000000" w:themeColor="text1"/>
          <w:lang w:eastAsia="pl-PL"/>
        </w:rPr>
      </w:pPr>
      <w:r w:rsidRPr="00852ECA">
        <w:rPr>
          <w:rFonts w:eastAsiaTheme="minorEastAsia" w:cstheme="minorHAnsi"/>
          <w:color w:val="000000" w:themeColor="text1"/>
          <w:lang w:eastAsia="pl-PL"/>
        </w:rPr>
        <w:t>poprzez wypełnienie formularza zgłoszenia nieprawidłowości,</w:t>
      </w:r>
    </w:p>
    <w:p w14:paraId="46BAED4B" w14:textId="77777777" w:rsidR="00763796" w:rsidRPr="00852ECA" w:rsidRDefault="00763796" w:rsidP="00763796">
      <w:pPr>
        <w:widowControl w:val="0"/>
        <w:numPr>
          <w:ilvl w:val="0"/>
          <w:numId w:val="7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color w:val="000000" w:themeColor="text1"/>
          <w:lang w:eastAsia="pl-PL"/>
        </w:rPr>
      </w:pPr>
      <w:r w:rsidRPr="00852ECA">
        <w:rPr>
          <w:rFonts w:eastAsiaTheme="minorEastAsia" w:cstheme="minorHAnsi"/>
          <w:color w:val="000000" w:themeColor="text1"/>
          <w:lang w:eastAsia="pl-PL"/>
        </w:rPr>
        <w:t>osobiście u Pani Eweliny Margraf-</w:t>
      </w:r>
      <w:proofErr w:type="spellStart"/>
      <w:r w:rsidRPr="00852ECA">
        <w:rPr>
          <w:rFonts w:eastAsiaTheme="minorEastAsia" w:cstheme="minorHAnsi"/>
          <w:color w:val="000000" w:themeColor="text1"/>
          <w:lang w:eastAsia="pl-PL"/>
        </w:rPr>
        <w:t>Cymborskiej</w:t>
      </w:r>
      <w:proofErr w:type="spellEnd"/>
      <w:r w:rsidRPr="00852ECA">
        <w:rPr>
          <w:rFonts w:eastAsiaTheme="minorEastAsia" w:cstheme="minorHAnsi"/>
          <w:color w:val="000000" w:themeColor="text1"/>
          <w:lang w:eastAsia="pl-PL"/>
        </w:rPr>
        <w:t>,</w:t>
      </w:r>
    </w:p>
    <w:p w14:paraId="0C2E34F5" w14:textId="77777777" w:rsidR="00763796" w:rsidRPr="00852ECA" w:rsidRDefault="00763796" w:rsidP="00763796">
      <w:pPr>
        <w:widowControl w:val="0"/>
        <w:numPr>
          <w:ilvl w:val="0"/>
          <w:numId w:val="7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color w:val="000000" w:themeColor="text1"/>
          <w:lang w:eastAsia="pl-PL"/>
        </w:rPr>
      </w:pPr>
      <w:r w:rsidRPr="00852ECA">
        <w:rPr>
          <w:rFonts w:eastAsiaTheme="minorEastAsia" w:cstheme="minorHAnsi"/>
          <w:color w:val="000000" w:themeColor="text1"/>
          <w:lang w:eastAsia="pl-PL"/>
        </w:rPr>
        <w:t>pocztą na adres CPD MSWIA: ul. Smyczkowa 10, 02-678 Warszawa.</w:t>
      </w:r>
    </w:p>
    <w:p w14:paraId="63B26542" w14:textId="77777777" w:rsidR="00763796" w:rsidRDefault="00763796" w:rsidP="00763796">
      <w:pPr>
        <w:pStyle w:val="Akapitzlist"/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before="137" w:after="0" w:line="276" w:lineRule="auto"/>
        <w:ind w:left="142" w:right="511" w:firstLine="142"/>
        <w:jc w:val="both"/>
        <w:rPr>
          <w:rFonts w:eastAsiaTheme="minorEastAsia" w:cstheme="minorHAnsi"/>
          <w:lang w:eastAsia="pl-PL"/>
        </w:rPr>
      </w:pPr>
      <w:r w:rsidRPr="00D65A5D">
        <w:rPr>
          <w:rFonts w:eastAsiaTheme="minorEastAsia" w:cstheme="minorHAnsi"/>
          <w:lang w:eastAsia="pl-PL"/>
        </w:rPr>
        <w:t>Zgłoszenie może mieć charakter jawny, poufny lub anonimowy.</w:t>
      </w:r>
    </w:p>
    <w:p w14:paraId="4DE36F0A" w14:textId="77777777" w:rsidR="00763796" w:rsidRPr="00FA03D7" w:rsidRDefault="00763796" w:rsidP="00763796">
      <w:pPr>
        <w:pStyle w:val="Akapitzlist"/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before="137" w:after="0" w:line="276" w:lineRule="auto"/>
        <w:ind w:left="142" w:right="511" w:firstLine="142"/>
        <w:jc w:val="both"/>
        <w:rPr>
          <w:rFonts w:eastAsiaTheme="minorEastAsia" w:cstheme="minorHAnsi"/>
          <w:lang w:eastAsia="pl-PL"/>
        </w:rPr>
      </w:pPr>
      <w:r w:rsidRPr="00FA03D7">
        <w:rPr>
          <w:rFonts w:eastAsiaTheme="minorEastAsia" w:cstheme="minorHAnsi"/>
          <w:lang w:eastAsia="pl-PL"/>
        </w:rPr>
        <w:t xml:space="preserve">Zgłoszenie jawne ma miejsce w sytuacji, której sygnalista wyraża zgodę na ujawnienie tożsamości </w:t>
      </w:r>
      <w:r>
        <w:rPr>
          <w:rFonts w:eastAsiaTheme="minorEastAsia" w:cstheme="minorHAnsi"/>
          <w:lang w:eastAsia="pl-PL"/>
        </w:rPr>
        <w:t xml:space="preserve">  </w:t>
      </w:r>
      <w:r w:rsidRPr="00FA03D7">
        <w:rPr>
          <w:rFonts w:eastAsiaTheme="minorEastAsia" w:cstheme="minorHAnsi"/>
          <w:lang w:eastAsia="pl-PL"/>
        </w:rPr>
        <w:t>własnej osobom zaangażowanym w prowadzenie postępowania oraz osobom postronnym.</w:t>
      </w:r>
    </w:p>
    <w:p w14:paraId="2927B936" w14:textId="77777777" w:rsidR="00763796" w:rsidRDefault="00763796" w:rsidP="00763796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lang w:eastAsia="pl-PL"/>
        </w:rPr>
      </w:pPr>
      <w:r w:rsidRPr="00EB6F7E">
        <w:rPr>
          <w:rFonts w:eastAsiaTheme="minorEastAsia" w:cstheme="minorHAnsi"/>
          <w:lang w:eastAsia="pl-PL"/>
        </w:rPr>
        <w:t>Zgłoszenie poufne ma miejsce w sytuacji, której dane sygnalisty dostępne są wyłącznie osobom upoważnionym.</w:t>
      </w:r>
    </w:p>
    <w:p w14:paraId="73F919A4" w14:textId="77777777" w:rsidR="00763796" w:rsidRPr="002058C7" w:rsidRDefault="00763796" w:rsidP="00763796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before="137" w:after="0" w:line="276" w:lineRule="auto"/>
        <w:ind w:right="511"/>
        <w:jc w:val="both"/>
        <w:rPr>
          <w:rFonts w:eastAsiaTheme="minorEastAsia" w:cstheme="minorHAnsi"/>
          <w:lang w:eastAsia="pl-PL"/>
        </w:rPr>
      </w:pPr>
      <w:r w:rsidRPr="00B53A2D">
        <w:rPr>
          <w:rFonts w:eastAsiaTheme="minorEastAsia" w:cstheme="minorHAnsi"/>
          <w:lang w:eastAsia="pl-PL"/>
        </w:rPr>
        <w:t>Zgłoszenie anonimowe nie pozwala na identyfikację sygnalisty.</w:t>
      </w:r>
    </w:p>
    <w:p w14:paraId="36599E4B" w14:textId="77777777" w:rsidR="00763796" w:rsidRPr="00852ECA" w:rsidRDefault="00763796" w:rsidP="00763796">
      <w:pPr>
        <w:pStyle w:val="Akapitzlist"/>
        <w:widowControl w:val="0"/>
        <w:numPr>
          <w:ilvl w:val="0"/>
          <w:numId w:val="1"/>
        </w:numPr>
        <w:tabs>
          <w:tab w:val="left" w:pos="456"/>
        </w:tabs>
        <w:autoSpaceDE w:val="0"/>
        <w:autoSpaceDN w:val="0"/>
        <w:spacing w:before="140" w:after="0" w:line="276" w:lineRule="auto"/>
        <w:jc w:val="both"/>
        <w:rPr>
          <w:rFonts w:eastAsiaTheme="minorEastAsia" w:cstheme="minorHAnsi"/>
          <w:lang w:eastAsia="pl-PL"/>
        </w:rPr>
      </w:pPr>
      <w:r w:rsidRPr="00C10685">
        <w:rPr>
          <w:rFonts w:eastAsiaTheme="minorEastAsia" w:cstheme="minorHAnsi"/>
          <w:lang w:eastAsia="pl-PL"/>
        </w:rPr>
        <w:t>Zgłoszenie musi zawierać w szczególności</w:t>
      </w:r>
      <w:r>
        <w:rPr>
          <w:rFonts w:eastAsiaTheme="minorEastAsia" w:cstheme="minorHAnsi"/>
          <w:lang w:eastAsia="pl-PL"/>
        </w:rPr>
        <w:t>:</w:t>
      </w:r>
    </w:p>
    <w:p w14:paraId="271A6483" w14:textId="77777777" w:rsidR="00763796" w:rsidRPr="00C10685" w:rsidRDefault="00763796" w:rsidP="00763796">
      <w:pPr>
        <w:pStyle w:val="Akapitzlist"/>
        <w:widowControl w:val="0"/>
        <w:numPr>
          <w:ilvl w:val="0"/>
          <w:numId w:val="4"/>
        </w:numPr>
        <w:tabs>
          <w:tab w:val="left" w:pos="456"/>
        </w:tabs>
        <w:autoSpaceDE w:val="0"/>
        <w:autoSpaceDN w:val="0"/>
        <w:spacing w:before="140" w:after="0" w:line="276" w:lineRule="auto"/>
        <w:jc w:val="both"/>
        <w:rPr>
          <w:rFonts w:eastAsiaTheme="minorEastAsia" w:cstheme="minorHAnsi"/>
          <w:lang w:eastAsia="pl-PL"/>
        </w:rPr>
      </w:pPr>
      <w:r w:rsidRPr="00C10685">
        <w:rPr>
          <w:rFonts w:eastAsiaTheme="minorEastAsia" w:cstheme="minorHAnsi"/>
          <w:lang w:eastAsia="pl-PL"/>
        </w:rPr>
        <w:t>dane osoby zgłaszającej ( o ile nie jest to zgłoszenie anonimowe)</w:t>
      </w:r>
    </w:p>
    <w:p w14:paraId="3A8EB115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40"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datę i miejsce sporządzenia,</w:t>
      </w:r>
    </w:p>
    <w:p w14:paraId="0F2C5503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37"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lastRenderedPageBreak/>
        <w:t>datę wpływu,</w:t>
      </w:r>
    </w:p>
    <w:p w14:paraId="38AD06D0" w14:textId="1A11CCDA" w:rsidR="00763796" w:rsidRPr="00763796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39" w:after="0" w:line="276" w:lineRule="auto"/>
        <w:ind w:left="935"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dane osoby, która dopuściła się nieprawidłowości, w tym imię, nazwisko, stanowisko, miejsce pracy,</w:t>
      </w:r>
    </w:p>
    <w:p w14:paraId="54E2ECE2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opis nieprawidłowości,</w:t>
      </w:r>
    </w:p>
    <w:p w14:paraId="20A66B2D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37"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opis rzeczywistych i potencjalnych skutków,</w:t>
      </w:r>
    </w:p>
    <w:p w14:paraId="2B6A655B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39"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działania podjęte przez zgłaszającego w celu eliminacji nieprawidłowości,</w:t>
      </w:r>
    </w:p>
    <w:p w14:paraId="2BBF1CE4" w14:textId="77777777" w:rsidR="00763796" w:rsidRPr="00475D29" w:rsidRDefault="00763796" w:rsidP="00763796">
      <w:pPr>
        <w:widowControl w:val="0"/>
        <w:numPr>
          <w:ilvl w:val="0"/>
          <w:numId w:val="4"/>
        </w:numPr>
        <w:tabs>
          <w:tab w:val="left" w:pos="936"/>
        </w:tabs>
        <w:autoSpaceDE w:val="0"/>
        <w:autoSpaceDN w:val="0"/>
        <w:spacing w:before="137" w:after="0" w:line="276" w:lineRule="auto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dowody potwierdzające przedstawiane fakty</w:t>
      </w:r>
      <w:r>
        <w:rPr>
          <w:rFonts w:eastAsiaTheme="minorEastAsia" w:cstheme="minorHAnsi"/>
          <w:lang w:eastAsia="pl-PL"/>
        </w:rPr>
        <w:t>.</w:t>
      </w:r>
    </w:p>
    <w:p w14:paraId="5DC41F95" w14:textId="77777777" w:rsidR="00763796" w:rsidRPr="00475D29" w:rsidRDefault="00763796" w:rsidP="00763796">
      <w:pPr>
        <w:widowControl w:val="0"/>
        <w:autoSpaceDE w:val="0"/>
        <w:autoSpaceDN w:val="0"/>
        <w:spacing w:after="0" w:line="276" w:lineRule="auto"/>
        <w:jc w:val="both"/>
        <w:rPr>
          <w:rFonts w:eastAsiaTheme="minorEastAsia" w:cstheme="minorHAnsi"/>
          <w:lang w:eastAsia="pl-PL"/>
        </w:rPr>
      </w:pPr>
    </w:p>
    <w:p w14:paraId="47FC7F47" w14:textId="77777777" w:rsidR="00763796" w:rsidRPr="00475D29" w:rsidRDefault="00763796" w:rsidP="00763796">
      <w:pPr>
        <w:widowControl w:val="0"/>
        <w:numPr>
          <w:ilvl w:val="0"/>
          <w:numId w:val="5"/>
        </w:numPr>
        <w:tabs>
          <w:tab w:val="left" w:pos="617"/>
        </w:tabs>
        <w:autoSpaceDE w:val="0"/>
        <w:autoSpaceDN w:val="0"/>
        <w:spacing w:after="0" w:line="276" w:lineRule="auto"/>
        <w:ind w:left="616" w:hanging="401"/>
        <w:jc w:val="both"/>
        <w:outlineLvl w:val="0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Osoby odpowiedzialne</w:t>
      </w:r>
    </w:p>
    <w:p w14:paraId="3CABB311" w14:textId="77777777" w:rsidR="00763796" w:rsidRPr="00475D29" w:rsidRDefault="00763796" w:rsidP="00763796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before="139" w:after="0" w:line="276" w:lineRule="auto"/>
        <w:ind w:right="514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Osoba odpowiedzialna za obsługę zgłoszeń jest  osobą odpowiedzialną za wszczęcie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oraz przeprowadzenie postępowania wyjaśniającego, chyba, że postępowanie dotyczy jego osoby.</w:t>
      </w:r>
    </w:p>
    <w:p w14:paraId="220158B6" w14:textId="77777777" w:rsidR="00763796" w:rsidRPr="00475D29" w:rsidRDefault="00763796" w:rsidP="00763796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276" w:lineRule="auto"/>
        <w:ind w:right="513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W sytuacji, której postępowanie dotyczy osoby odpowiedzialnej za obsługę zgłoszeń, </w:t>
      </w:r>
      <w:r>
        <w:rPr>
          <w:rFonts w:eastAsiaTheme="minorEastAsia" w:cstheme="minorHAnsi"/>
          <w:lang w:eastAsia="pl-PL"/>
        </w:rPr>
        <w:t>Dyrektor Centrum</w:t>
      </w:r>
      <w:r w:rsidRPr="00475D29">
        <w:rPr>
          <w:rFonts w:eastAsiaTheme="minorEastAsia" w:cstheme="minorHAnsi"/>
          <w:lang w:eastAsia="pl-PL"/>
        </w:rPr>
        <w:t xml:space="preserve"> lub osoba przez niego wskazana wyznacza osobę inną , niż osoba odpowiedzialna 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za    obsługę    zgłoszeń,      do    wykonania    czynności      wszczęcia i przeprowadzenia postępowania wyjaśniającego.</w:t>
      </w:r>
    </w:p>
    <w:p w14:paraId="28B5072D" w14:textId="30F67F17" w:rsidR="00763796" w:rsidRPr="00475D29" w:rsidRDefault="00763796" w:rsidP="00763796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Osoba odpowiedzialna za obsługę zgłoszeń lub osoba wyznaczona może – jeśli sytuacja tego   wymaga   –   zobowiązać   (na   piśmie)   osobę,   której   zgłoszenie   dotyczy,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do wystosowania pisemnych wyjaśnień w sprawie.</w:t>
      </w:r>
    </w:p>
    <w:p w14:paraId="43E100A5" w14:textId="095585B1" w:rsidR="00763796" w:rsidRPr="00475D29" w:rsidRDefault="00763796" w:rsidP="00763796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276" w:lineRule="auto"/>
        <w:ind w:right="515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 xml:space="preserve">Osoba  zobowiązana  do  złożenia  wyjaśnień  jest  zobligowana  do  ich  przedłożenia   </w:t>
      </w:r>
      <w:r>
        <w:rPr>
          <w:rFonts w:eastAsiaTheme="minorEastAsia" w:cstheme="minorHAnsi"/>
          <w:lang w:eastAsia="pl-PL"/>
        </w:rPr>
        <w:br/>
      </w:r>
      <w:r w:rsidRPr="00475D29">
        <w:rPr>
          <w:rFonts w:eastAsiaTheme="minorEastAsia" w:cstheme="minorHAnsi"/>
          <w:lang w:eastAsia="pl-PL"/>
        </w:rPr>
        <w:t>w terminie 7 dni roboczych od dnia otrzymania wezwania, w sposób pisemny.</w:t>
      </w:r>
    </w:p>
    <w:p w14:paraId="29E295BB" w14:textId="77777777" w:rsidR="00763796" w:rsidRPr="00475D29" w:rsidRDefault="00763796" w:rsidP="00763796">
      <w:pPr>
        <w:widowControl w:val="0"/>
        <w:numPr>
          <w:ilvl w:val="0"/>
          <w:numId w:val="3"/>
        </w:numPr>
        <w:tabs>
          <w:tab w:val="left" w:pos="644"/>
        </w:tabs>
        <w:autoSpaceDE w:val="0"/>
        <w:autoSpaceDN w:val="0"/>
        <w:spacing w:after="0" w:line="276" w:lineRule="auto"/>
        <w:ind w:right="516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Każdej osobie, której dotyczą zarzuty ma prawo do ochrony prawnej na podstawie obowiązujących przepisów prawa.</w:t>
      </w:r>
    </w:p>
    <w:p w14:paraId="7496EDF6" w14:textId="77777777" w:rsidR="00763796" w:rsidRPr="00475D29" w:rsidRDefault="00763796" w:rsidP="00763796">
      <w:pPr>
        <w:widowControl w:val="0"/>
        <w:autoSpaceDE w:val="0"/>
        <w:autoSpaceDN w:val="0"/>
        <w:spacing w:before="11" w:after="0" w:line="276" w:lineRule="auto"/>
        <w:jc w:val="both"/>
        <w:rPr>
          <w:rFonts w:eastAsiaTheme="minorEastAsia" w:cstheme="minorHAnsi"/>
          <w:lang w:eastAsia="pl-PL"/>
        </w:rPr>
      </w:pPr>
    </w:p>
    <w:p w14:paraId="5D33FE10" w14:textId="77777777" w:rsidR="00763796" w:rsidRPr="00475D29" w:rsidRDefault="00763796" w:rsidP="00763796">
      <w:pPr>
        <w:widowControl w:val="0"/>
        <w:numPr>
          <w:ilvl w:val="0"/>
          <w:numId w:val="5"/>
        </w:numPr>
        <w:tabs>
          <w:tab w:val="left" w:pos="603"/>
        </w:tabs>
        <w:autoSpaceDE w:val="0"/>
        <w:autoSpaceDN w:val="0"/>
        <w:spacing w:after="0" w:line="276" w:lineRule="auto"/>
        <w:ind w:left="602" w:hanging="387"/>
        <w:jc w:val="both"/>
        <w:outlineLvl w:val="0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Obsługa zgłoszenia</w:t>
      </w:r>
    </w:p>
    <w:p w14:paraId="2EA683DB" w14:textId="77777777" w:rsidR="00763796" w:rsidRPr="00475D29" w:rsidRDefault="00763796" w:rsidP="00763796">
      <w:pPr>
        <w:widowControl w:val="0"/>
        <w:numPr>
          <w:ilvl w:val="0"/>
          <w:numId w:val="2"/>
        </w:numPr>
        <w:tabs>
          <w:tab w:val="left" w:pos="397"/>
        </w:tabs>
        <w:autoSpaceDE w:val="0"/>
        <w:autoSpaceDN w:val="0"/>
        <w:spacing w:before="137" w:after="0" w:line="276" w:lineRule="auto"/>
        <w:jc w:val="both"/>
        <w:rPr>
          <w:rFonts w:eastAsiaTheme="minorEastAsia" w:cstheme="minorHAnsi"/>
          <w:lang w:eastAsia="pl-PL"/>
        </w:rPr>
      </w:pPr>
      <w:r>
        <w:rPr>
          <w:rFonts w:eastAsiaTheme="minorEastAsia" w:cstheme="minorHAnsi"/>
          <w:lang w:eastAsia="pl-PL"/>
        </w:rPr>
        <w:t xml:space="preserve">     </w:t>
      </w:r>
      <w:r w:rsidRPr="00475D29">
        <w:rPr>
          <w:rFonts w:eastAsiaTheme="minorEastAsia" w:cstheme="minorHAnsi"/>
          <w:lang w:eastAsia="pl-PL"/>
        </w:rPr>
        <w:t xml:space="preserve">Zgłoszenie podlega weryfikacji i rozpatrzeniu w terminie wskazanym </w:t>
      </w:r>
      <w:r w:rsidRPr="00852ECA">
        <w:rPr>
          <w:rFonts w:eastAsiaTheme="minorEastAsia" w:cstheme="minorHAnsi"/>
          <w:color w:val="000000" w:themeColor="text1"/>
          <w:lang w:eastAsia="pl-PL"/>
        </w:rPr>
        <w:t>w Regulaminie.</w:t>
      </w:r>
    </w:p>
    <w:p w14:paraId="451D2C72" w14:textId="77777777" w:rsidR="00763796" w:rsidRDefault="00763796" w:rsidP="00763796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before="139" w:after="0" w:line="276" w:lineRule="auto"/>
        <w:ind w:left="576" w:hanging="360"/>
        <w:jc w:val="both"/>
        <w:rPr>
          <w:rFonts w:eastAsiaTheme="minorEastAsia" w:cstheme="minorHAnsi"/>
          <w:lang w:eastAsia="pl-PL"/>
        </w:rPr>
      </w:pPr>
      <w:r w:rsidRPr="00475D29">
        <w:rPr>
          <w:rFonts w:eastAsiaTheme="minorEastAsia" w:cstheme="minorHAnsi"/>
          <w:lang w:eastAsia="pl-PL"/>
        </w:rPr>
        <w:t>Zgłoszenia rozpatrywane są w kolejności ich złożenia.</w:t>
      </w:r>
    </w:p>
    <w:p w14:paraId="0B3EDA9F" w14:textId="05ACFC1E" w:rsidR="00763796" w:rsidRDefault="00763796" w:rsidP="00763796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before="139" w:after="0" w:line="276" w:lineRule="auto"/>
        <w:ind w:left="576" w:hanging="360"/>
        <w:jc w:val="both"/>
        <w:rPr>
          <w:rFonts w:eastAsiaTheme="minorEastAsia" w:cstheme="minorHAnsi"/>
          <w:lang w:eastAsia="pl-PL"/>
        </w:rPr>
      </w:pPr>
      <w:r w:rsidRPr="00C10685">
        <w:rPr>
          <w:rFonts w:eastAsiaTheme="minorEastAsia" w:cstheme="minorHAnsi"/>
          <w:lang w:eastAsia="pl-PL"/>
        </w:rPr>
        <w:t xml:space="preserve">W trakcie trwania weryfikacji zgłoszenia, osoba  odpowiedzialna  za  obsługę zgłoszeń lub osoba uprawniona może weryfikować przedłożone dokumenty, wnioskować o wyjaśnienia </w:t>
      </w:r>
      <w:r>
        <w:rPr>
          <w:rFonts w:eastAsiaTheme="minorEastAsia" w:cstheme="minorHAnsi"/>
          <w:lang w:eastAsia="pl-PL"/>
        </w:rPr>
        <w:br/>
      </w:r>
      <w:r w:rsidRPr="00C10685">
        <w:rPr>
          <w:rFonts w:eastAsiaTheme="minorEastAsia" w:cstheme="minorHAnsi"/>
          <w:lang w:eastAsia="pl-PL"/>
        </w:rPr>
        <w:t>i w sposób oparty na poszanowaniu godności i prawa do prywatności sprawdzać przedstawione w zgłoszeniu fakty</w:t>
      </w:r>
      <w:r>
        <w:rPr>
          <w:rFonts w:eastAsiaTheme="minorEastAsia" w:cstheme="minorHAnsi"/>
          <w:lang w:eastAsia="pl-PL"/>
        </w:rPr>
        <w:t>.</w:t>
      </w:r>
    </w:p>
    <w:p w14:paraId="0555CB00" w14:textId="77777777" w:rsidR="00763796" w:rsidRDefault="00763796" w:rsidP="00763796">
      <w:pPr>
        <w:widowControl w:val="0"/>
        <w:numPr>
          <w:ilvl w:val="0"/>
          <w:numId w:val="2"/>
        </w:numPr>
        <w:tabs>
          <w:tab w:val="left" w:pos="576"/>
        </w:tabs>
        <w:autoSpaceDE w:val="0"/>
        <w:autoSpaceDN w:val="0"/>
        <w:spacing w:before="139" w:after="0" w:line="276" w:lineRule="auto"/>
        <w:ind w:left="576" w:hanging="360"/>
        <w:jc w:val="both"/>
        <w:rPr>
          <w:rFonts w:eastAsiaTheme="minorEastAsia" w:cstheme="minorHAnsi"/>
          <w:lang w:eastAsia="pl-PL"/>
        </w:rPr>
      </w:pPr>
      <w:r w:rsidRPr="00C10685">
        <w:rPr>
          <w:rFonts w:eastAsiaTheme="minorEastAsia" w:cstheme="minorHAnsi"/>
          <w:lang w:eastAsia="pl-PL"/>
        </w:rPr>
        <w:t xml:space="preserve">Z każdego postępowania wyjaśniającego osoba odpowiedzialna za obsługę zgłoszeń sporządza notatkę i przekazuje </w:t>
      </w:r>
      <w:r>
        <w:rPr>
          <w:rFonts w:eastAsiaTheme="minorEastAsia" w:cstheme="minorHAnsi"/>
          <w:lang w:eastAsia="pl-PL"/>
        </w:rPr>
        <w:t>Dyrektorow</w:t>
      </w:r>
      <w:r w:rsidRPr="00C10685">
        <w:rPr>
          <w:rFonts w:eastAsiaTheme="minorEastAsia" w:cstheme="minorHAnsi"/>
          <w:lang w:eastAsia="pl-PL"/>
        </w:rPr>
        <w:t>i.</w:t>
      </w:r>
    </w:p>
    <w:p w14:paraId="22CEE8E3" w14:textId="47596C2F" w:rsidR="00F05549" w:rsidRDefault="00763796" w:rsidP="00763796">
      <w:pPr>
        <w:jc w:val="both"/>
      </w:pPr>
      <w:r w:rsidRPr="00C10685">
        <w:rPr>
          <w:rFonts w:eastAsiaTheme="minorEastAsia" w:cstheme="minorHAnsi"/>
          <w:lang w:eastAsia="pl-PL"/>
        </w:rPr>
        <w:t>Jeśli zgłoszenie nie było anonimowe o jego wyniku informowany jest sygnalista.</w:t>
      </w:r>
    </w:p>
    <w:sectPr w:rsidR="00F05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939D2"/>
    <w:multiLevelType w:val="hybridMultilevel"/>
    <w:tmpl w:val="9E2811A4"/>
    <w:lvl w:ilvl="0" w:tplc="34FC03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F8A0BEE">
      <w:start w:val="1"/>
      <w:numFmt w:val="decimal"/>
      <w:lvlText w:val="%2)"/>
      <w:lvlJc w:val="left"/>
      <w:pPr>
        <w:ind w:left="1440" w:hanging="360"/>
      </w:pPr>
      <w:rPr>
        <w:rFonts w:ascii="Times" w:eastAsiaTheme="minorEastAsia" w:hAnsi="Times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85EEF"/>
    <w:multiLevelType w:val="hybridMultilevel"/>
    <w:tmpl w:val="5F3870C4"/>
    <w:lvl w:ilvl="0" w:tplc="A882240C">
      <w:start w:val="1"/>
      <w:numFmt w:val="decimal"/>
      <w:lvlText w:val="%1."/>
      <w:lvlJc w:val="left"/>
      <w:pPr>
        <w:ind w:left="397" w:hanging="181"/>
      </w:pPr>
      <w:rPr>
        <w:rFonts w:asciiTheme="majorHAnsi" w:eastAsia="Times New Roman" w:hAnsiTheme="majorHAnsi" w:cstheme="majorHAnsi" w:hint="default"/>
        <w:spacing w:val="-4"/>
        <w:w w:val="100"/>
        <w:sz w:val="24"/>
        <w:szCs w:val="24"/>
      </w:rPr>
    </w:lvl>
    <w:lvl w:ilvl="1" w:tplc="CF241F0E">
      <w:numFmt w:val="bullet"/>
      <w:lvlText w:val="•"/>
      <w:lvlJc w:val="left"/>
      <w:pPr>
        <w:ind w:left="1340" w:hanging="181"/>
      </w:pPr>
      <w:rPr>
        <w:rFonts w:hint="default"/>
      </w:rPr>
    </w:lvl>
    <w:lvl w:ilvl="2" w:tplc="E3722E68">
      <w:numFmt w:val="bullet"/>
      <w:lvlText w:val="•"/>
      <w:lvlJc w:val="left"/>
      <w:pPr>
        <w:ind w:left="2281" w:hanging="181"/>
      </w:pPr>
      <w:rPr>
        <w:rFonts w:hint="default"/>
      </w:rPr>
    </w:lvl>
    <w:lvl w:ilvl="3" w:tplc="9D6231BE">
      <w:numFmt w:val="bullet"/>
      <w:lvlText w:val="•"/>
      <w:lvlJc w:val="left"/>
      <w:pPr>
        <w:ind w:left="3221" w:hanging="181"/>
      </w:pPr>
      <w:rPr>
        <w:rFonts w:hint="default"/>
      </w:rPr>
    </w:lvl>
    <w:lvl w:ilvl="4" w:tplc="AA3EB0AC">
      <w:numFmt w:val="bullet"/>
      <w:lvlText w:val="•"/>
      <w:lvlJc w:val="left"/>
      <w:pPr>
        <w:ind w:left="4162" w:hanging="181"/>
      </w:pPr>
      <w:rPr>
        <w:rFonts w:hint="default"/>
      </w:rPr>
    </w:lvl>
    <w:lvl w:ilvl="5" w:tplc="532426BC">
      <w:numFmt w:val="bullet"/>
      <w:lvlText w:val="•"/>
      <w:lvlJc w:val="left"/>
      <w:pPr>
        <w:ind w:left="5103" w:hanging="181"/>
      </w:pPr>
      <w:rPr>
        <w:rFonts w:hint="default"/>
      </w:rPr>
    </w:lvl>
    <w:lvl w:ilvl="6" w:tplc="66E2804A">
      <w:numFmt w:val="bullet"/>
      <w:lvlText w:val="•"/>
      <w:lvlJc w:val="left"/>
      <w:pPr>
        <w:ind w:left="6043" w:hanging="181"/>
      </w:pPr>
      <w:rPr>
        <w:rFonts w:hint="default"/>
      </w:rPr>
    </w:lvl>
    <w:lvl w:ilvl="7" w:tplc="FF3AE5EA">
      <w:numFmt w:val="bullet"/>
      <w:lvlText w:val="•"/>
      <w:lvlJc w:val="left"/>
      <w:pPr>
        <w:ind w:left="6984" w:hanging="181"/>
      </w:pPr>
      <w:rPr>
        <w:rFonts w:hint="default"/>
      </w:rPr>
    </w:lvl>
    <w:lvl w:ilvl="8" w:tplc="F87648C4">
      <w:numFmt w:val="bullet"/>
      <w:lvlText w:val="•"/>
      <w:lvlJc w:val="left"/>
      <w:pPr>
        <w:ind w:left="7925" w:hanging="181"/>
      </w:pPr>
      <w:rPr>
        <w:rFonts w:hint="default"/>
      </w:rPr>
    </w:lvl>
  </w:abstractNum>
  <w:abstractNum w:abstractNumId="2" w15:restartNumberingAfterBreak="0">
    <w:nsid w:val="5D060472"/>
    <w:multiLevelType w:val="hybridMultilevel"/>
    <w:tmpl w:val="47FC153E"/>
    <w:lvl w:ilvl="0" w:tplc="361092EE">
      <w:start w:val="2"/>
      <w:numFmt w:val="upperRoman"/>
      <w:lvlText w:val="%1."/>
      <w:lvlJc w:val="left"/>
      <w:pPr>
        <w:ind w:left="449" w:hanging="307"/>
      </w:pPr>
      <w:rPr>
        <w:rFonts w:asciiTheme="minorHAnsi" w:eastAsia="Times New Roman" w:hAnsiTheme="minorHAnsi" w:cstheme="minorHAnsi" w:hint="default"/>
        <w:b/>
        <w:bCs/>
        <w:spacing w:val="-4"/>
        <w:w w:val="100"/>
        <w:sz w:val="24"/>
        <w:szCs w:val="24"/>
      </w:rPr>
    </w:lvl>
    <w:lvl w:ilvl="1" w:tplc="9F16AB02">
      <w:numFmt w:val="bullet"/>
      <w:lvlText w:val="•"/>
      <w:lvlJc w:val="left"/>
      <w:pPr>
        <w:ind w:left="1375" w:hanging="307"/>
      </w:pPr>
      <w:rPr>
        <w:rFonts w:hint="default"/>
      </w:rPr>
    </w:lvl>
    <w:lvl w:ilvl="2" w:tplc="F1583D1C">
      <w:numFmt w:val="bullet"/>
      <w:lvlText w:val="•"/>
      <w:lvlJc w:val="left"/>
      <w:pPr>
        <w:ind w:left="2304" w:hanging="307"/>
      </w:pPr>
      <w:rPr>
        <w:rFonts w:hint="default"/>
      </w:rPr>
    </w:lvl>
    <w:lvl w:ilvl="3" w:tplc="E8DE535C">
      <w:numFmt w:val="bullet"/>
      <w:lvlText w:val="•"/>
      <w:lvlJc w:val="left"/>
      <w:pPr>
        <w:ind w:left="3232" w:hanging="307"/>
      </w:pPr>
      <w:rPr>
        <w:rFonts w:hint="default"/>
      </w:rPr>
    </w:lvl>
    <w:lvl w:ilvl="4" w:tplc="4CE6A5DA">
      <w:numFmt w:val="bullet"/>
      <w:lvlText w:val="•"/>
      <w:lvlJc w:val="left"/>
      <w:pPr>
        <w:ind w:left="4161" w:hanging="307"/>
      </w:pPr>
      <w:rPr>
        <w:rFonts w:hint="default"/>
      </w:rPr>
    </w:lvl>
    <w:lvl w:ilvl="5" w:tplc="1B2A8086">
      <w:numFmt w:val="bullet"/>
      <w:lvlText w:val="•"/>
      <w:lvlJc w:val="left"/>
      <w:pPr>
        <w:ind w:left="5090" w:hanging="307"/>
      </w:pPr>
      <w:rPr>
        <w:rFonts w:hint="default"/>
      </w:rPr>
    </w:lvl>
    <w:lvl w:ilvl="6" w:tplc="37CCD840">
      <w:numFmt w:val="bullet"/>
      <w:lvlText w:val="•"/>
      <w:lvlJc w:val="left"/>
      <w:pPr>
        <w:ind w:left="6018" w:hanging="307"/>
      </w:pPr>
      <w:rPr>
        <w:rFonts w:hint="default"/>
      </w:rPr>
    </w:lvl>
    <w:lvl w:ilvl="7" w:tplc="C0285DB8">
      <w:numFmt w:val="bullet"/>
      <w:lvlText w:val="•"/>
      <w:lvlJc w:val="left"/>
      <w:pPr>
        <w:ind w:left="6947" w:hanging="307"/>
      </w:pPr>
      <w:rPr>
        <w:rFonts w:hint="default"/>
      </w:rPr>
    </w:lvl>
    <w:lvl w:ilvl="8" w:tplc="E4B23472">
      <w:numFmt w:val="bullet"/>
      <w:lvlText w:val="•"/>
      <w:lvlJc w:val="left"/>
      <w:pPr>
        <w:ind w:left="7876" w:hanging="307"/>
      </w:pPr>
      <w:rPr>
        <w:rFonts w:hint="default"/>
      </w:rPr>
    </w:lvl>
  </w:abstractNum>
  <w:abstractNum w:abstractNumId="3" w15:restartNumberingAfterBreak="0">
    <w:nsid w:val="66175248"/>
    <w:multiLevelType w:val="hybridMultilevel"/>
    <w:tmpl w:val="38C442AC"/>
    <w:lvl w:ilvl="0" w:tplc="3A4E1FD8">
      <w:start w:val="1"/>
      <w:numFmt w:val="decimal"/>
      <w:lvlText w:val="%1."/>
      <w:lvlJc w:val="left"/>
      <w:pPr>
        <w:ind w:left="643" w:hanging="435"/>
      </w:pPr>
      <w:rPr>
        <w:rFonts w:asciiTheme="minorHAnsi" w:eastAsia="Times New Roman" w:hAnsiTheme="minorHAnsi" w:cstheme="minorHAnsi" w:hint="default"/>
        <w:spacing w:val="-24"/>
        <w:w w:val="100"/>
        <w:sz w:val="24"/>
        <w:szCs w:val="24"/>
      </w:rPr>
    </w:lvl>
    <w:lvl w:ilvl="1" w:tplc="998AF088">
      <w:numFmt w:val="bullet"/>
      <w:lvlText w:val="•"/>
      <w:lvlJc w:val="left"/>
      <w:pPr>
        <w:ind w:left="1556" w:hanging="435"/>
      </w:pPr>
      <w:rPr>
        <w:rFonts w:hint="default"/>
      </w:rPr>
    </w:lvl>
    <w:lvl w:ilvl="2" w:tplc="13BA4F1E">
      <w:numFmt w:val="bullet"/>
      <w:lvlText w:val="•"/>
      <w:lvlJc w:val="left"/>
      <w:pPr>
        <w:ind w:left="2473" w:hanging="435"/>
      </w:pPr>
      <w:rPr>
        <w:rFonts w:hint="default"/>
      </w:rPr>
    </w:lvl>
    <w:lvl w:ilvl="3" w:tplc="C3EA6096">
      <w:numFmt w:val="bullet"/>
      <w:lvlText w:val="•"/>
      <w:lvlJc w:val="left"/>
      <w:pPr>
        <w:ind w:left="3389" w:hanging="435"/>
      </w:pPr>
      <w:rPr>
        <w:rFonts w:hint="default"/>
      </w:rPr>
    </w:lvl>
    <w:lvl w:ilvl="4" w:tplc="E9620714">
      <w:numFmt w:val="bullet"/>
      <w:lvlText w:val="•"/>
      <w:lvlJc w:val="left"/>
      <w:pPr>
        <w:ind w:left="4306" w:hanging="435"/>
      </w:pPr>
      <w:rPr>
        <w:rFonts w:hint="default"/>
      </w:rPr>
    </w:lvl>
    <w:lvl w:ilvl="5" w:tplc="0D549B96">
      <w:numFmt w:val="bullet"/>
      <w:lvlText w:val="•"/>
      <w:lvlJc w:val="left"/>
      <w:pPr>
        <w:ind w:left="5223" w:hanging="435"/>
      </w:pPr>
      <w:rPr>
        <w:rFonts w:hint="default"/>
      </w:rPr>
    </w:lvl>
    <w:lvl w:ilvl="6" w:tplc="531E0ACE">
      <w:numFmt w:val="bullet"/>
      <w:lvlText w:val="•"/>
      <w:lvlJc w:val="left"/>
      <w:pPr>
        <w:ind w:left="6139" w:hanging="435"/>
      </w:pPr>
      <w:rPr>
        <w:rFonts w:hint="default"/>
      </w:rPr>
    </w:lvl>
    <w:lvl w:ilvl="7" w:tplc="D8FE340A">
      <w:numFmt w:val="bullet"/>
      <w:lvlText w:val="•"/>
      <w:lvlJc w:val="left"/>
      <w:pPr>
        <w:ind w:left="7056" w:hanging="435"/>
      </w:pPr>
      <w:rPr>
        <w:rFonts w:hint="default"/>
      </w:rPr>
    </w:lvl>
    <w:lvl w:ilvl="8" w:tplc="C7F0D6E0">
      <w:numFmt w:val="bullet"/>
      <w:lvlText w:val="•"/>
      <w:lvlJc w:val="left"/>
      <w:pPr>
        <w:ind w:left="7973" w:hanging="435"/>
      </w:pPr>
      <w:rPr>
        <w:rFonts w:hint="default"/>
      </w:rPr>
    </w:lvl>
  </w:abstractNum>
  <w:abstractNum w:abstractNumId="4" w15:restartNumberingAfterBreak="0">
    <w:nsid w:val="6C7B66DC"/>
    <w:multiLevelType w:val="hybridMultilevel"/>
    <w:tmpl w:val="C2F8287A"/>
    <w:lvl w:ilvl="0" w:tplc="04150001">
      <w:start w:val="1"/>
      <w:numFmt w:val="bullet"/>
      <w:lvlText w:val=""/>
      <w:lvlJc w:val="left"/>
      <w:pPr>
        <w:ind w:left="643" w:hanging="435"/>
      </w:pPr>
      <w:rPr>
        <w:rFonts w:ascii="Symbol" w:hAnsi="Symbol" w:hint="default"/>
        <w:spacing w:val="-24"/>
        <w:w w:val="100"/>
        <w:sz w:val="24"/>
        <w:szCs w:val="24"/>
      </w:rPr>
    </w:lvl>
    <w:lvl w:ilvl="1" w:tplc="998AF088">
      <w:numFmt w:val="bullet"/>
      <w:lvlText w:val="•"/>
      <w:lvlJc w:val="left"/>
      <w:pPr>
        <w:ind w:left="1556" w:hanging="435"/>
      </w:pPr>
      <w:rPr>
        <w:rFonts w:hint="default"/>
      </w:rPr>
    </w:lvl>
    <w:lvl w:ilvl="2" w:tplc="13BA4F1E">
      <w:numFmt w:val="bullet"/>
      <w:lvlText w:val="•"/>
      <w:lvlJc w:val="left"/>
      <w:pPr>
        <w:ind w:left="2473" w:hanging="435"/>
      </w:pPr>
      <w:rPr>
        <w:rFonts w:hint="default"/>
      </w:rPr>
    </w:lvl>
    <w:lvl w:ilvl="3" w:tplc="C3EA6096">
      <w:numFmt w:val="bullet"/>
      <w:lvlText w:val="•"/>
      <w:lvlJc w:val="left"/>
      <w:pPr>
        <w:ind w:left="3389" w:hanging="435"/>
      </w:pPr>
      <w:rPr>
        <w:rFonts w:hint="default"/>
      </w:rPr>
    </w:lvl>
    <w:lvl w:ilvl="4" w:tplc="E9620714">
      <w:numFmt w:val="bullet"/>
      <w:lvlText w:val="•"/>
      <w:lvlJc w:val="left"/>
      <w:pPr>
        <w:ind w:left="4306" w:hanging="435"/>
      </w:pPr>
      <w:rPr>
        <w:rFonts w:hint="default"/>
      </w:rPr>
    </w:lvl>
    <w:lvl w:ilvl="5" w:tplc="0D549B96">
      <w:numFmt w:val="bullet"/>
      <w:lvlText w:val="•"/>
      <w:lvlJc w:val="left"/>
      <w:pPr>
        <w:ind w:left="5223" w:hanging="435"/>
      </w:pPr>
      <w:rPr>
        <w:rFonts w:hint="default"/>
      </w:rPr>
    </w:lvl>
    <w:lvl w:ilvl="6" w:tplc="531E0ACE">
      <w:numFmt w:val="bullet"/>
      <w:lvlText w:val="•"/>
      <w:lvlJc w:val="left"/>
      <w:pPr>
        <w:ind w:left="6139" w:hanging="435"/>
      </w:pPr>
      <w:rPr>
        <w:rFonts w:hint="default"/>
      </w:rPr>
    </w:lvl>
    <w:lvl w:ilvl="7" w:tplc="D8FE340A">
      <w:numFmt w:val="bullet"/>
      <w:lvlText w:val="•"/>
      <w:lvlJc w:val="left"/>
      <w:pPr>
        <w:ind w:left="7056" w:hanging="435"/>
      </w:pPr>
      <w:rPr>
        <w:rFonts w:hint="default"/>
      </w:rPr>
    </w:lvl>
    <w:lvl w:ilvl="8" w:tplc="C7F0D6E0">
      <w:numFmt w:val="bullet"/>
      <w:lvlText w:val="•"/>
      <w:lvlJc w:val="left"/>
      <w:pPr>
        <w:ind w:left="7973" w:hanging="435"/>
      </w:pPr>
      <w:rPr>
        <w:rFonts w:hint="default"/>
      </w:rPr>
    </w:lvl>
  </w:abstractNum>
  <w:abstractNum w:abstractNumId="5" w15:restartNumberingAfterBreak="0">
    <w:nsid w:val="6D285D15"/>
    <w:multiLevelType w:val="hybridMultilevel"/>
    <w:tmpl w:val="CCF69A38"/>
    <w:lvl w:ilvl="0" w:tplc="E65E2448">
      <w:start w:val="1"/>
      <w:numFmt w:val="decimal"/>
      <w:lvlText w:val="%1)"/>
      <w:lvlJc w:val="left"/>
      <w:pPr>
        <w:ind w:left="936" w:hanging="360"/>
      </w:pPr>
      <w:rPr>
        <w:rFonts w:asciiTheme="majorHAnsi" w:eastAsia="Times New Roman" w:hAnsiTheme="majorHAnsi" w:cstheme="majorHAnsi" w:hint="default"/>
        <w:spacing w:val="-20"/>
        <w:w w:val="100"/>
        <w:sz w:val="24"/>
        <w:szCs w:val="24"/>
      </w:rPr>
    </w:lvl>
    <w:lvl w:ilvl="1" w:tplc="9B28E468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1B26E1EE">
      <w:numFmt w:val="bullet"/>
      <w:lvlText w:val="•"/>
      <w:lvlJc w:val="left"/>
      <w:pPr>
        <w:ind w:left="2713" w:hanging="360"/>
      </w:pPr>
      <w:rPr>
        <w:rFonts w:hint="default"/>
      </w:rPr>
    </w:lvl>
    <w:lvl w:ilvl="3" w:tplc="1B76FEB8">
      <w:numFmt w:val="bullet"/>
      <w:lvlText w:val="•"/>
      <w:lvlJc w:val="left"/>
      <w:pPr>
        <w:ind w:left="3599" w:hanging="360"/>
      </w:pPr>
      <w:rPr>
        <w:rFonts w:hint="default"/>
      </w:rPr>
    </w:lvl>
    <w:lvl w:ilvl="4" w:tplc="79B6B554">
      <w:numFmt w:val="bullet"/>
      <w:lvlText w:val="•"/>
      <w:lvlJc w:val="left"/>
      <w:pPr>
        <w:ind w:left="4486" w:hanging="360"/>
      </w:pPr>
      <w:rPr>
        <w:rFonts w:hint="default"/>
      </w:rPr>
    </w:lvl>
    <w:lvl w:ilvl="5" w:tplc="EDD4982A"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1070D8DE">
      <w:numFmt w:val="bullet"/>
      <w:lvlText w:val="•"/>
      <w:lvlJc w:val="left"/>
      <w:pPr>
        <w:ind w:left="6259" w:hanging="360"/>
      </w:pPr>
      <w:rPr>
        <w:rFonts w:hint="default"/>
      </w:rPr>
    </w:lvl>
    <w:lvl w:ilvl="7" w:tplc="4E380ED8">
      <w:numFmt w:val="bullet"/>
      <w:lvlText w:val="•"/>
      <w:lvlJc w:val="left"/>
      <w:pPr>
        <w:ind w:left="7146" w:hanging="360"/>
      </w:pPr>
      <w:rPr>
        <w:rFonts w:hint="default"/>
      </w:rPr>
    </w:lvl>
    <w:lvl w:ilvl="8" w:tplc="CF184A32">
      <w:numFmt w:val="bullet"/>
      <w:lvlText w:val="•"/>
      <w:lvlJc w:val="left"/>
      <w:pPr>
        <w:ind w:left="8033" w:hanging="360"/>
      </w:pPr>
      <w:rPr>
        <w:rFonts w:hint="default"/>
      </w:rPr>
    </w:lvl>
  </w:abstractNum>
  <w:abstractNum w:abstractNumId="6" w15:restartNumberingAfterBreak="0">
    <w:nsid w:val="793235D1"/>
    <w:multiLevelType w:val="hybridMultilevel"/>
    <w:tmpl w:val="C694C668"/>
    <w:lvl w:ilvl="0" w:tplc="1070D7E2">
      <w:start w:val="1"/>
      <w:numFmt w:val="decimal"/>
      <w:lvlText w:val="%1."/>
      <w:lvlJc w:val="left"/>
      <w:pPr>
        <w:ind w:left="643" w:hanging="360"/>
      </w:pPr>
      <w:rPr>
        <w:rFonts w:asciiTheme="majorHAnsi" w:eastAsia="Times New Roman" w:hAnsiTheme="majorHAnsi" w:cstheme="majorHAnsi" w:hint="default"/>
        <w:spacing w:val="-20"/>
        <w:w w:val="100"/>
        <w:sz w:val="24"/>
        <w:szCs w:val="24"/>
      </w:rPr>
    </w:lvl>
    <w:lvl w:ilvl="1" w:tplc="1AE896B6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EF61E86">
      <w:numFmt w:val="bullet"/>
      <w:lvlText w:val="•"/>
      <w:lvlJc w:val="left"/>
      <w:pPr>
        <w:ind w:left="2473" w:hanging="360"/>
      </w:pPr>
      <w:rPr>
        <w:rFonts w:hint="default"/>
      </w:rPr>
    </w:lvl>
    <w:lvl w:ilvl="3" w:tplc="6AB41336">
      <w:numFmt w:val="bullet"/>
      <w:lvlText w:val="•"/>
      <w:lvlJc w:val="left"/>
      <w:pPr>
        <w:ind w:left="3389" w:hanging="360"/>
      </w:pPr>
      <w:rPr>
        <w:rFonts w:hint="default"/>
      </w:rPr>
    </w:lvl>
    <w:lvl w:ilvl="4" w:tplc="78A25EA6">
      <w:numFmt w:val="bullet"/>
      <w:lvlText w:val="•"/>
      <w:lvlJc w:val="left"/>
      <w:pPr>
        <w:ind w:left="4306" w:hanging="360"/>
      </w:pPr>
      <w:rPr>
        <w:rFonts w:hint="default"/>
      </w:rPr>
    </w:lvl>
    <w:lvl w:ilvl="5" w:tplc="6C9033BA">
      <w:numFmt w:val="bullet"/>
      <w:lvlText w:val="•"/>
      <w:lvlJc w:val="left"/>
      <w:pPr>
        <w:ind w:left="5223" w:hanging="360"/>
      </w:pPr>
      <w:rPr>
        <w:rFonts w:hint="default"/>
      </w:rPr>
    </w:lvl>
    <w:lvl w:ilvl="6" w:tplc="EDDC9E5E">
      <w:numFmt w:val="bullet"/>
      <w:lvlText w:val="•"/>
      <w:lvlJc w:val="left"/>
      <w:pPr>
        <w:ind w:left="6139" w:hanging="360"/>
      </w:pPr>
      <w:rPr>
        <w:rFonts w:hint="default"/>
      </w:rPr>
    </w:lvl>
    <w:lvl w:ilvl="7" w:tplc="1A2C682A">
      <w:numFmt w:val="bullet"/>
      <w:lvlText w:val="•"/>
      <w:lvlJc w:val="left"/>
      <w:pPr>
        <w:ind w:left="7056" w:hanging="360"/>
      </w:pPr>
      <w:rPr>
        <w:rFonts w:hint="default"/>
      </w:rPr>
    </w:lvl>
    <w:lvl w:ilvl="8" w:tplc="715EA492">
      <w:numFmt w:val="bullet"/>
      <w:lvlText w:val="•"/>
      <w:lvlJc w:val="left"/>
      <w:pPr>
        <w:ind w:left="7973" w:hanging="360"/>
      </w:pPr>
      <w:rPr>
        <w:rFonts w:hint="default"/>
      </w:rPr>
    </w:lvl>
  </w:abstractNum>
  <w:num w:numId="1" w16cid:durableId="1284964478">
    <w:abstractNumId w:val="0"/>
  </w:num>
  <w:num w:numId="2" w16cid:durableId="434056418">
    <w:abstractNumId w:val="1"/>
  </w:num>
  <w:num w:numId="3" w16cid:durableId="580526302">
    <w:abstractNumId w:val="6"/>
  </w:num>
  <w:num w:numId="4" w16cid:durableId="330109971">
    <w:abstractNumId w:val="5"/>
  </w:num>
  <w:num w:numId="5" w16cid:durableId="1188250340">
    <w:abstractNumId w:val="2"/>
  </w:num>
  <w:num w:numId="6" w16cid:durableId="1691373023">
    <w:abstractNumId w:val="3"/>
  </w:num>
  <w:num w:numId="7" w16cid:durableId="72175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96"/>
    <w:rsid w:val="00763796"/>
    <w:rsid w:val="00F0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22BA1"/>
  <w15:chartTrackingRefBased/>
  <w15:docId w15:val="{A34E67D6-C483-4A68-9967-7D5A86C84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3796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379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37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ynki%20mailowej%20-%20sygnalista@cp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587</Words>
  <Characters>3527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Mikuszewska</dc:creator>
  <cp:keywords/>
  <dc:description/>
  <cp:lastModifiedBy>Alina Mikuszewska</cp:lastModifiedBy>
  <cp:revision>1</cp:revision>
  <dcterms:created xsi:type="dcterms:W3CDTF">2023-06-13T08:01:00Z</dcterms:created>
  <dcterms:modified xsi:type="dcterms:W3CDTF">2023-06-13T08:06:00Z</dcterms:modified>
</cp:coreProperties>
</file>