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25.0" w:type="dxa"/>
        <w:jc w:val="left"/>
        <w:tblInd w:w="-431.0" w:type="dxa"/>
        <w:tblLayout w:type="fixed"/>
        <w:tblLook w:val="0400"/>
      </w:tblPr>
      <w:tblGrid>
        <w:gridCol w:w="522"/>
        <w:gridCol w:w="8126"/>
        <w:gridCol w:w="5777"/>
        <w:tblGridChange w:id="0">
          <w:tblGrid>
            <w:gridCol w:w="522"/>
            <w:gridCol w:w="8126"/>
            <w:gridCol w:w="5777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rtl w:val="0"/>
              </w:rPr>
              <w:t xml:space="preserve">Nazwa projektu: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rtl w:val="0"/>
              </w:rPr>
              <w:t xml:space="preserve">„e-SOZ - zintegrowany system informatyczny wspierający zadania z zakresu ochrony i opieki nad zabytkami”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rtl w:val="0"/>
              </w:rPr>
              <w:t xml:space="preserve">(Wnioskodawca: Minister Kultury i Dziedzictwa Narodowego, Beneficjent: Narodowy Instytut Konserwacji Zabytków)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Zalecenia Rady Architektury: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Treść uwagi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Odniesienie do uwagi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Zweryfikowanie zakresu danych utrzymywanych i wymienianych w ramach przepływów związanych z Węzłem Krajowym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Zweryfikowano i dokonano modyfikacji w oparciu o założenia Systemu e-SOZ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Usunięcie z zakresu produktów końcowych protokołu odbioru, jako produktu zarządczego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Uwaga uwzględniona - usunięto z opisu projektu systemu informatycznego produkt końcowy pn. „Protokół odbioru końcowego wdrożenia Systemu e-SOZ”.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Zweryfikowanie zasadności wprowadzenia wskaźnika „Liczba podmiotów wspartych w zakresie rozwoju usług, produktów i procesów cyfrowych (wskaźnik produktu)”, dla którego zarówno wartość aktualna, jak i docelowa wynosi „0”.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Wskaźnik został uwzględniony w opisie nadmiarowo. W związku z uwagą Rady Architektury oraz mając na uwadze zapisy instrukcji wypełnienia wniosku o dofinansowanie, Beneficjent podjął decyzję o usunięciu z opisu przedmiotowego wskaźnika produktu (tj. Liczba podmiotów wspartych w zakresie rozwoju usług, produktów i procesów cyfrowych).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Wyjaśnienia braku dwustronnej integracji systemów eSOZ i systemów Geoportalu oraz braku przepływów danych eSOZ do systemów Geoportalu.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System eSOZ został zaprojektowany tak, aby korzystać z danych dostarczanych przez Geoportal, ale nie przesyła żadnych danych z powrotem. Naszym głównym celem jest wykorzystanie dostępnych danych geoprzestrzennych w celu poprawy funkcjonalności eSOZ, a nie modyfikacja czy aktualizacja danych w Geoportalu. Natomiast w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związku z uwagą dotyczącą reprezentacji na diagramie oraz ponowną analizą komunikacji pomiędzy e-SOZ a Geoportalem dokonano modyfikacji diagramu, p</w:t>
            </w:r>
            <w:r w:rsidDel="00000000" w:rsidR="00000000" w:rsidRPr="00000000">
              <w:rPr>
                <w:rtl w:val="0"/>
              </w:rPr>
              <w:t xml:space="preserve">onieważ faktycznie od strony technicznej ta komunikacja występuje. Dlatego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zaktualizowano diagram tak, aby lepiej odzwierciedlić rzeczywistą naturę komunikacji między systemami.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 wyniku uwag zgłoszonych przez Ministerstwo Funduszy i Polityki Regionalnej, wartość docelowa wskaźnika produktu pn. </w:t>
            </w:r>
            <w:r w:rsidDel="00000000" w:rsidR="00000000" w:rsidRPr="00000000">
              <w:rPr>
                <w:i w:val="1"/>
                <w:rtl w:val="0"/>
              </w:rPr>
              <w:t xml:space="preserve">Instytucje publiczne otrzymujące wsparcie na opracowywanie usług, produktów i procesów cyfrowych</w:t>
            </w:r>
            <w:r w:rsidDel="00000000" w:rsidR="00000000" w:rsidRPr="00000000">
              <w:rPr>
                <w:rtl w:val="0"/>
              </w:rPr>
              <w:t xml:space="preserve"> została zmodyfikowana. Wartość przed korektą wynosiła 19, natomiast po korekcie 1. Korekta wynika z faktu, że w przedmiotowym wskaźniku należy wykazać tylko beneficjenta.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