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7F12" w:rsidRPr="0050286B" w:rsidRDefault="00ED44A2" w:rsidP="00407F12">
      <w:pPr>
        <w:autoSpaceDE w:val="0"/>
        <w:autoSpaceDN w:val="0"/>
        <w:adjustRightInd w:val="0"/>
        <w:rPr>
          <w:sz w:val="22"/>
        </w:rPr>
      </w:pPr>
      <w:r w:rsidRPr="0050286B">
        <w:rPr>
          <w:sz w:val="22"/>
        </w:rPr>
        <w:t>Załącznik B.10.</w:t>
      </w:r>
    </w:p>
    <w:p w:rsidR="00594F45" w:rsidRPr="0050286B" w:rsidRDefault="00594F45" w:rsidP="00407F12">
      <w:pPr>
        <w:autoSpaceDE w:val="0"/>
        <w:autoSpaceDN w:val="0"/>
        <w:adjustRightInd w:val="0"/>
        <w:rPr>
          <w:sz w:val="22"/>
        </w:rPr>
      </w:pPr>
    </w:p>
    <w:p w:rsidR="00547315" w:rsidRPr="0050286B" w:rsidRDefault="00B731F0" w:rsidP="00382B3F">
      <w:pPr>
        <w:autoSpaceDE w:val="0"/>
        <w:autoSpaceDN w:val="0"/>
        <w:adjustRightInd w:val="0"/>
        <w:spacing w:after="240"/>
        <w:rPr>
          <w:sz w:val="40"/>
        </w:rPr>
      </w:pPr>
      <w:r w:rsidRPr="0050286B">
        <w:rPr>
          <w:b/>
          <w:sz w:val="28"/>
          <w:szCs w:val="18"/>
        </w:rPr>
        <w:t>LECZENIE RAKA NERKI</w:t>
      </w:r>
      <w:r w:rsidR="00744872">
        <w:rPr>
          <w:b/>
          <w:sz w:val="28"/>
          <w:szCs w:val="18"/>
        </w:rPr>
        <w:t xml:space="preserve"> </w:t>
      </w:r>
      <w:r w:rsidRPr="0050286B">
        <w:rPr>
          <w:b/>
          <w:sz w:val="28"/>
          <w:szCs w:val="18"/>
        </w:rPr>
        <w:t>(ICD-10</w:t>
      </w:r>
      <w:r w:rsidR="00744872">
        <w:rPr>
          <w:b/>
          <w:sz w:val="28"/>
          <w:szCs w:val="18"/>
        </w:rPr>
        <w:t xml:space="preserve"> </w:t>
      </w:r>
      <w:r w:rsidRPr="0050286B">
        <w:rPr>
          <w:b/>
          <w:sz w:val="28"/>
          <w:szCs w:val="18"/>
        </w:rPr>
        <w:t>C </w:t>
      </w:r>
      <w:r w:rsidR="00AC4233" w:rsidRPr="0050286B">
        <w:rPr>
          <w:b/>
          <w:sz w:val="28"/>
          <w:szCs w:val="18"/>
        </w:rPr>
        <w:t>64)</w:t>
      </w:r>
    </w:p>
    <w:tbl>
      <w:tblPr>
        <w:tblW w:w="5000" w:type="pct"/>
        <w:tblCellMar>
          <w:left w:w="70" w:type="dxa"/>
          <w:right w:w="70" w:type="dxa"/>
        </w:tblCellMar>
        <w:tblLook w:val="0000" w:firstRow="0" w:lastRow="0" w:firstColumn="0" w:lastColumn="0" w:noHBand="0" w:noVBand="0"/>
      </w:tblPr>
      <w:tblGrid>
        <w:gridCol w:w="6795"/>
        <w:gridCol w:w="4292"/>
        <w:gridCol w:w="4295"/>
      </w:tblGrid>
      <w:tr w:rsidR="0050286B" w:rsidRPr="009E1845" w:rsidTr="009E1845">
        <w:trPr>
          <w:trHeight w:val="567"/>
        </w:trPr>
        <w:tc>
          <w:tcPr>
            <w:tcW w:w="5000" w:type="pct"/>
            <w:gridSpan w:val="3"/>
            <w:tcBorders>
              <w:top w:val="single" w:sz="6" w:space="0" w:color="auto"/>
              <w:left w:val="single" w:sz="6" w:space="0" w:color="auto"/>
              <w:bottom w:val="single" w:sz="6" w:space="0" w:color="auto"/>
              <w:right w:val="single" w:sz="6" w:space="0" w:color="auto"/>
            </w:tcBorders>
            <w:vAlign w:val="center"/>
          </w:tcPr>
          <w:p w:rsidR="000D3D20" w:rsidRPr="009E1845" w:rsidRDefault="000D3D20" w:rsidP="009E1845">
            <w:pPr>
              <w:autoSpaceDE w:val="0"/>
              <w:autoSpaceDN w:val="0"/>
              <w:adjustRightInd w:val="0"/>
              <w:jc w:val="center"/>
              <w:rPr>
                <w:sz w:val="20"/>
                <w:szCs w:val="20"/>
              </w:rPr>
            </w:pPr>
            <w:r w:rsidRPr="009E1845">
              <w:rPr>
                <w:b/>
                <w:bCs/>
                <w:sz w:val="20"/>
                <w:szCs w:val="20"/>
              </w:rPr>
              <w:t>ZAKRES ŚWIADCZENIA GWARANTOWANEGO</w:t>
            </w:r>
          </w:p>
        </w:tc>
      </w:tr>
      <w:tr w:rsidR="0050286B" w:rsidRPr="009E1845" w:rsidTr="007A436E">
        <w:trPr>
          <w:trHeight w:val="567"/>
        </w:trPr>
        <w:tc>
          <w:tcPr>
            <w:tcW w:w="2209" w:type="pct"/>
            <w:tcBorders>
              <w:top w:val="single" w:sz="6" w:space="0" w:color="auto"/>
              <w:left w:val="single" w:sz="6" w:space="0" w:color="auto"/>
              <w:bottom w:val="single" w:sz="6" w:space="0" w:color="auto"/>
              <w:right w:val="single" w:sz="6" w:space="0" w:color="auto"/>
            </w:tcBorders>
            <w:vAlign w:val="center"/>
          </w:tcPr>
          <w:p w:rsidR="000D3D20" w:rsidRPr="009E1845" w:rsidRDefault="000D3D20" w:rsidP="009E1845">
            <w:pPr>
              <w:autoSpaceDE w:val="0"/>
              <w:autoSpaceDN w:val="0"/>
              <w:adjustRightInd w:val="0"/>
              <w:jc w:val="center"/>
              <w:rPr>
                <w:sz w:val="20"/>
                <w:szCs w:val="20"/>
              </w:rPr>
            </w:pPr>
            <w:r w:rsidRPr="009E1845">
              <w:rPr>
                <w:b/>
                <w:bCs/>
                <w:sz w:val="20"/>
                <w:szCs w:val="20"/>
              </w:rPr>
              <w:t>ŚWIADCZENIOBIORCY</w:t>
            </w:r>
          </w:p>
        </w:tc>
        <w:tc>
          <w:tcPr>
            <w:tcW w:w="1395" w:type="pct"/>
            <w:tcBorders>
              <w:top w:val="single" w:sz="6" w:space="0" w:color="auto"/>
              <w:left w:val="single" w:sz="6" w:space="0" w:color="auto"/>
              <w:bottom w:val="single" w:sz="6" w:space="0" w:color="auto"/>
              <w:right w:val="single" w:sz="6" w:space="0" w:color="auto"/>
            </w:tcBorders>
            <w:vAlign w:val="center"/>
          </w:tcPr>
          <w:p w:rsidR="000D3D20" w:rsidRPr="009E1845" w:rsidRDefault="000D3D20" w:rsidP="009E1845">
            <w:pPr>
              <w:autoSpaceDE w:val="0"/>
              <w:autoSpaceDN w:val="0"/>
              <w:adjustRightInd w:val="0"/>
              <w:jc w:val="center"/>
              <w:rPr>
                <w:sz w:val="20"/>
                <w:szCs w:val="20"/>
              </w:rPr>
            </w:pPr>
            <w:r w:rsidRPr="009E1845">
              <w:rPr>
                <w:b/>
                <w:bCs/>
                <w:sz w:val="20"/>
                <w:szCs w:val="20"/>
              </w:rPr>
              <w:t>SCHEMAT DAWKOWANIA LEKÓW W PROGRAMIE</w:t>
            </w:r>
          </w:p>
        </w:tc>
        <w:tc>
          <w:tcPr>
            <w:tcW w:w="1396" w:type="pct"/>
            <w:tcBorders>
              <w:top w:val="single" w:sz="6" w:space="0" w:color="auto"/>
              <w:left w:val="single" w:sz="6" w:space="0" w:color="auto"/>
              <w:bottom w:val="single" w:sz="6" w:space="0" w:color="auto"/>
              <w:right w:val="single" w:sz="6" w:space="0" w:color="auto"/>
            </w:tcBorders>
            <w:vAlign w:val="center"/>
          </w:tcPr>
          <w:p w:rsidR="000D3D20" w:rsidRPr="009E1845" w:rsidRDefault="000D3D20" w:rsidP="009E1845">
            <w:pPr>
              <w:autoSpaceDE w:val="0"/>
              <w:autoSpaceDN w:val="0"/>
              <w:adjustRightInd w:val="0"/>
              <w:jc w:val="center"/>
              <w:rPr>
                <w:sz w:val="20"/>
                <w:szCs w:val="20"/>
              </w:rPr>
            </w:pPr>
            <w:r w:rsidRPr="009E1845">
              <w:rPr>
                <w:b/>
                <w:bCs/>
                <w:sz w:val="20"/>
                <w:szCs w:val="20"/>
              </w:rPr>
              <w:t>BAD</w:t>
            </w:r>
            <w:r w:rsidR="00AC41B7" w:rsidRPr="009E1845">
              <w:rPr>
                <w:b/>
                <w:bCs/>
                <w:sz w:val="20"/>
                <w:szCs w:val="20"/>
              </w:rPr>
              <w:t>ANIA DIAGNOSTYCZNE WYKONYWANE W </w:t>
            </w:r>
            <w:r w:rsidRPr="009E1845">
              <w:rPr>
                <w:b/>
                <w:bCs/>
                <w:sz w:val="20"/>
                <w:szCs w:val="20"/>
              </w:rPr>
              <w:t>RAMACH PROGRAMU</w:t>
            </w:r>
          </w:p>
        </w:tc>
      </w:tr>
      <w:tr w:rsidR="00382B3F" w:rsidRPr="009E1845" w:rsidTr="007A436E">
        <w:trPr>
          <w:trHeight w:val="20"/>
        </w:trPr>
        <w:tc>
          <w:tcPr>
            <w:tcW w:w="2209" w:type="pct"/>
            <w:tcBorders>
              <w:top w:val="single" w:sz="6" w:space="0" w:color="auto"/>
              <w:left w:val="single" w:sz="6" w:space="0" w:color="auto"/>
              <w:bottom w:val="single" w:sz="6" w:space="0" w:color="auto"/>
              <w:right w:val="single" w:sz="6" w:space="0" w:color="auto"/>
            </w:tcBorders>
          </w:tcPr>
          <w:p w:rsidR="009E1845" w:rsidRPr="009E1845" w:rsidRDefault="000D3D20" w:rsidP="005746CC">
            <w:pPr>
              <w:pStyle w:val="Akapitzlist"/>
              <w:numPr>
                <w:ilvl w:val="0"/>
                <w:numId w:val="27"/>
              </w:numPr>
              <w:autoSpaceDE w:val="0"/>
              <w:autoSpaceDN w:val="0"/>
              <w:adjustRightInd w:val="0"/>
              <w:spacing w:before="120" w:after="60"/>
              <w:contextualSpacing w:val="0"/>
              <w:jc w:val="both"/>
              <w:rPr>
                <w:b/>
                <w:sz w:val="20"/>
                <w:szCs w:val="20"/>
              </w:rPr>
            </w:pPr>
            <w:r w:rsidRPr="009E1845">
              <w:rPr>
                <w:b/>
                <w:bCs/>
                <w:sz w:val="20"/>
                <w:szCs w:val="20"/>
              </w:rPr>
              <w:t xml:space="preserve"> Leczenie raka nerki przy wykorzystaniu substancji czynnej </w:t>
            </w:r>
            <w:proofErr w:type="spellStart"/>
            <w:r w:rsidRPr="009E1845">
              <w:rPr>
                <w:b/>
                <w:bCs/>
                <w:sz w:val="20"/>
                <w:szCs w:val="20"/>
              </w:rPr>
              <w:t>sunitynib</w:t>
            </w:r>
            <w:proofErr w:type="spellEnd"/>
            <w:r w:rsidRPr="009E1845">
              <w:rPr>
                <w:b/>
                <w:bCs/>
                <w:sz w:val="20"/>
                <w:szCs w:val="20"/>
              </w:rPr>
              <w:t xml:space="preserve"> </w:t>
            </w:r>
          </w:p>
          <w:p w:rsidR="009E1845" w:rsidRPr="009E1845" w:rsidRDefault="000D3D20" w:rsidP="00D037FD">
            <w:pPr>
              <w:pStyle w:val="Akapitzlist"/>
              <w:numPr>
                <w:ilvl w:val="1"/>
                <w:numId w:val="27"/>
              </w:numPr>
              <w:autoSpaceDE w:val="0"/>
              <w:autoSpaceDN w:val="0"/>
              <w:adjustRightInd w:val="0"/>
              <w:spacing w:after="60"/>
              <w:contextualSpacing w:val="0"/>
              <w:jc w:val="both"/>
              <w:rPr>
                <w:b/>
                <w:sz w:val="20"/>
                <w:szCs w:val="20"/>
              </w:rPr>
            </w:pPr>
            <w:r w:rsidRPr="009E1845">
              <w:rPr>
                <w:b/>
                <w:bCs/>
                <w:sz w:val="20"/>
                <w:szCs w:val="20"/>
              </w:rPr>
              <w:t>Kryteria kwalifikacji</w:t>
            </w:r>
          </w:p>
          <w:p w:rsidR="009E1845" w:rsidRDefault="009E1845" w:rsidP="009E1845">
            <w:pPr>
              <w:pStyle w:val="Akapitzlist"/>
              <w:numPr>
                <w:ilvl w:val="2"/>
                <w:numId w:val="27"/>
              </w:numPr>
              <w:autoSpaceDE w:val="0"/>
              <w:autoSpaceDN w:val="0"/>
              <w:adjustRightInd w:val="0"/>
              <w:spacing w:after="60"/>
              <w:contextualSpacing w:val="0"/>
              <w:jc w:val="both"/>
              <w:rPr>
                <w:sz w:val="20"/>
                <w:szCs w:val="20"/>
              </w:rPr>
            </w:pPr>
            <w:r w:rsidRPr="009E1845">
              <w:rPr>
                <w:sz w:val="20"/>
                <w:szCs w:val="20"/>
              </w:rPr>
              <w:t xml:space="preserve"> </w:t>
            </w:r>
            <w:r w:rsidR="000D3D20" w:rsidRPr="009E1845">
              <w:rPr>
                <w:sz w:val="20"/>
                <w:szCs w:val="20"/>
              </w:rPr>
              <w:t xml:space="preserve">histologicznie potwierdzone rozpoznanie </w:t>
            </w:r>
            <w:proofErr w:type="spellStart"/>
            <w:r w:rsidR="000D3D20" w:rsidRPr="009E1845">
              <w:rPr>
                <w:sz w:val="20"/>
                <w:szCs w:val="20"/>
              </w:rPr>
              <w:t>jasnokomórkowego</w:t>
            </w:r>
            <w:proofErr w:type="spellEnd"/>
            <w:r w:rsidR="000D3D20" w:rsidRPr="009E1845">
              <w:rPr>
                <w:sz w:val="20"/>
                <w:szCs w:val="20"/>
              </w:rPr>
              <w:t xml:space="preserve"> raka nerki lub mieszanego raka </w:t>
            </w:r>
            <w:proofErr w:type="spellStart"/>
            <w:r w:rsidR="000D3D20" w:rsidRPr="009E1845">
              <w:rPr>
                <w:sz w:val="20"/>
                <w:szCs w:val="20"/>
              </w:rPr>
              <w:t>nerkowokomórkowego</w:t>
            </w:r>
            <w:proofErr w:type="spellEnd"/>
            <w:r w:rsidR="000D3D20" w:rsidRPr="009E1845">
              <w:rPr>
                <w:sz w:val="20"/>
                <w:szCs w:val="20"/>
              </w:rPr>
              <w:t xml:space="preserve"> z przeważającym (powyżej 60% utkania) komponentem </w:t>
            </w:r>
            <w:proofErr w:type="spellStart"/>
            <w:r w:rsidR="000D3D20" w:rsidRPr="009E1845">
              <w:rPr>
                <w:sz w:val="20"/>
                <w:szCs w:val="20"/>
              </w:rPr>
              <w:t>jasnokomórkowym</w:t>
            </w:r>
            <w:proofErr w:type="spellEnd"/>
            <w:r w:rsidR="000D3D20" w:rsidRPr="009E1845">
              <w:rPr>
                <w:sz w:val="20"/>
                <w:szCs w:val="20"/>
              </w:rPr>
              <w:t xml:space="preserve">; </w:t>
            </w:r>
          </w:p>
          <w:p w:rsidR="009E1845" w:rsidRDefault="009E1845" w:rsidP="009E1845">
            <w:pPr>
              <w:pStyle w:val="Akapitzlist"/>
              <w:numPr>
                <w:ilvl w:val="2"/>
                <w:numId w:val="27"/>
              </w:numPr>
              <w:autoSpaceDE w:val="0"/>
              <w:autoSpaceDN w:val="0"/>
              <w:adjustRightInd w:val="0"/>
              <w:spacing w:after="60"/>
              <w:contextualSpacing w:val="0"/>
              <w:jc w:val="both"/>
              <w:rPr>
                <w:sz w:val="20"/>
                <w:szCs w:val="20"/>
              </w:rPr>
            </w:pPr>
            <w:r w:rsidRPr="009E1845">
              <w:rPr>
                <w:sz w:val="20"/>
                <w:szCs w:val="20"/>
              </w:rPr>
              <w:t>n</w:t>
            </w:r>
            <w:r w:rsidR="000D3D20" w:rsidRPr="009E1845">
              <w:rPr>
                <w:sz w:val="20"/>
                <w:szCs w:val="20"/>
              </w:rPr>
              <w:t xml:space="preserve">owotwór w stadium zaawansowanym (pierwotne uogólnienie lub nawrót po pierwotnym leczeniu chirurgicznym); </w:t>
            </w:r>
          </w:p>
          <w:p w:rsidR="009E1845" w:rsidRDefault="009E1845" w:rsidP="009E1845">
            <w:pPr>
              <w:pStyle w:val="Akapitzlist"/>
              <w:numPr>
                <w:ilvl w:val="2"/>
                <w:numId w:val="27"/>
              </w:numPr>
              <w:autoSpaceDE w:val="0"/>
              <w:autoSpaceDN w:val="0"/>
              <w:adjustRightInd w:val="0"/>
              <w:spacing w:after="60"/>
              <w:contextualSpacing w:val="0"/>
              <w:jc w:val="both"/>
              <w:rPr>
                <w:sz w:val="20"/>
                <w:szCs w:val="20"/>
              </w:rPr>
            </w:pPr>
            <w:r>
              <w:rPr>
                <w:sz w:val="20"/>
                <w:szCs w:val="20"/>
              </w:rPr>
              <w:t>b</w:t>
            </w:r>
            <w:r w:rsidR="000D3D20" w:rsidRPr="009E1845">
              <w:rPr>
                <w:sz w:val="20"/>
                <w:szCs w:val="20"/>
              </w:rPr>
              <w:t xml:space="preserve">rak wcześniejszego leczenia farmakologicznego raka nerki; </w:t>
            </w:r>
          </w:p>
          <w:p w:rsidR="009E1845" w:rsidRDefault="00E06EF4" w:rsidP="00D037FD">
            <w:pPr>
              <w:pStyle w:val="Akapitzlist"/>
              <w:numPr>
                <w:ilvl w:val="2"/>
                <w:numId w:val="27"/>
              </w:numPr>
              <w:autoSpaceDE w:val="0"/>
              <w:autoSpaceDN w:val="0"/>
              <w:adjustRightInd w:val="0"/>
              <w:spacing w:after="60"/>
              <w:contextualSpacing w:val="0"/>
              <w:jc w:val="both"/>
              <w:rPr>
                <w:sz w:val="20"/>
                <w:szCs w:val="20"/>
              </w:rPr>
            </w:pPr>
            <w:r w:rsidRPr="009E1845">
              <w:rPr>
                <w:sz w:val="20"/>
                <w:szCs w:val="20"/>
              </w:rPr>
              <w:t>uprzednie wykonanie nefrektomii (radykalnej lub oszczędzającej);</w:t>
            </w:r>
          </w:p>
          <w:p w:rsidR="009E1845" w:rsidRDefault="000D3D20" w:rsidP="00D037FD">
            <w:pPr>
              <w:pStyle w:val="Akapitzlist"/>
              <w:numPr>
                <w:ilvl w:val="2"/>
                <w:numId w:val="27"/>
              </w:numPr>
              <w:autoSpaceDE w:val="0"/>
              <w:autoSpaceDN w:val="0"/>
              <w:adjustRightInd w:val="0"/>
              <w:spacing w:after="60"/>
              <w:contextualSpacing w:val="0"/>
              <w:jc w:val="both"/>
              <w:rPr>
                <w:sz w:val="20"/>
                <w:szCs w:val="20"/>
              </w:rPr>
            </w:pPr>
            <w:r w:rsidRPr="009E1845">
              <w:rPr>
                <w:sz w:val="20"/>
                <w:szCs w:val="20"/>
              </w:rPr>
              <w:t xml:space="preserve">udokumentowana obecność przerzutów narządowych; </w:t>
            </w:r>
          </w:p>
          <w:p w:rsidR="009E1845" w:rsidRDefault="000D3D20" w:rsidP="00D037FD">
            <w:pPr>
              <w:pStyle w:val="Akapitzlist"/>
              <w:numPr>
                <w:ilvl w:val="2"/>
                <w:numId w:val="27"/>
              </w:numPr>
              <w:autoSpaceDE w:val="0"/>
              <w:autoSpaceDN w:val="0"/>
              <w:adjustRightInd w:val="0"/>
              <w:spacing w:after="60"/>
              <w:contextualSpacing w:val="0"/>
              <w:jc w:val="both"/>
              <w:rPr>
                <w:sz w:val="20"/>
                <w:szCs w:val="20"/>
              </w:rPr>
            </w:pPr>
            <w:r w:rsidRPr="009E1845">
              <w:rPr>
                <w:sz w:val="20"/>
                <w:szCs w:val="20"/>
              </w:rPr>
              <w:t xml:space="preserve">zmiany możliwe do obiektywnej oceny w badaniach obrazowych metodą komputerowej tomografii (KT) lub magnetycznego rezonansu (MR) z zastrzeżeniem konieczności potwierdzenia zmian w układzie kostnym przy użyciu konwencjonalnej rentgenografii (RTG) lub MR; </w:t>
            </w:r>
          </w:p>
          <w:p w:rsidR="009E1845" w:rsidRDefault="009E1845" w:rsidP="00D037FD">
            <w:pPr>
              <w:pStyle w:val="Akapitzlist"/>
              <w:numPr>
                <w:ilvl w:val="2"/>
                <w:numId w:val="27"/>
              </w:numPr>
              <w:autoSpaceDE w:val="0"/>
              <w:autoSpaceDN w:val="0"/>
              <w:adjustRightInd w:val="0"/>
              <w:spacing w:after="60"/>
              <w:contextualSpacing w:val="0"/>
              <w:jc w:val="both"/>
              <w:rPr>
                <w:sz w:val="20"/>
                <w:szCs w:val="20"/>
              </w:rPr>
            </w:pPr>
            <w:r w:rsidRPr="009E1845">
              <w:rPr>
                <w:sz w:val="20"/>
                <w:szCs w:val="20"/>
              </w:rPr>
              <w:t>n</w:t>
            </w:r>
            <w:r w:rsidR="00E06EF4" w:rsidRPr="009E1845">
              <w:rPr>
                <w:sz w:val="20"/>
                <w:szCs w:val="20"/>
              </w:rPr>
              <w:t>ieobecność przerzutów w ośrodkowym układzie nerwowym (dopuszczalne wcześniejsze wycięcie przerzutów i /lub radioterapia, o ile po leczeniu utrzymuje się stan bezobjawowy);</w:t>
            </w:r>
          </w:p>
          <w:p w:rsidR="009E1845" w:rsidRDefault="000D3D20" w:rsidP="00D037FD">
            <w:pPr>
              <w:pStyle w:val="Akapitzlist"/>
              <w:numPr>
                <w:ilvl w:val="2"/>
                <w:numId w:val="27"/>
              </w:numPr>
              <w:autoSpaceDE w:val="0"/>
              <w:autoSpaceDN w:val="0"/>
              <w:adjustRightInd w:val="0"/>
              <w:spacing w:after="60"/>
              <w:contextualSpacing w:val="0"/>
              <w:jc w:val="both"/>
              <w:rPr>
                <w:sz w:val="20"/>
                <w:szCs w:val="20"/>
              </w:rPr>
            </w:pPr>
            <w:r w:rsidRPr="009E1845">
              <w:rPr>
                <w:sz w:val="20"/>
                <w:szCs w:val="20"/>
              </w:rPr>
              <w:t xml:space="preserve">stan sprawności 80-100 wg skali </w:t>
            </w:r>
            <w:proofErr w:type="spellStart"/>
            <w:r w:rsidRPr="009E1845">
              <w:rPr>
                <w:sz w:val="20"/>
                <w:szCs w:val="20"/>
              </w:rPr>
              <w:t>Karnofsky'ego</w:t>
            </w:r>
            <w:proofErr w:type="spellEnd"/>
            <w:r w:rsidRPr="009E1845">
              <w:rPr>
                <w:sz w:val="20"/>
                <w:szCs w:val="20"/>
              </w:rPr>
              <w:t xml:space="preserve">; </w:t>
            </w:r>
          </w:p>
          <w:p w:rsidR="009E1845" w:rsidRDefault="000D3D20" w:rsidP="00D037FD">
            <w:pPr>
              <w:pStyle w:val="Akapitzlist"/>
              <w:numPr>
                <w:ilvl w:val="2"/>
                <w:numId w:val="27"/>
              </w:numPr>
              <w:autoSpaceDE w:val="0"/>
              <w:autoSpaceDN w:val="0"/>
              <w:adjustRightInd w:val="0"/>
              <w:spacing w:after="60"/>
              <w:contextualSpacing w:val="0"/>
              <w:jc w:val="both"/>
              <w:rPr>
                <w:sz w:val="20"/>
                <w:szCs w:val="20"/>
              </w:rPr>
            </w:pPr>
            <w:r w:rsidRPr="009E1845">
              <w:rPr>
                <w:sz w:val="20"/>
                <w:szCs w:val="20"/>
              </w:rPr>
              <w:t>korzystne lub pośrednie rokowanie według skali MSKCC (</w:t>
            </w:r>
            <w:proofErr w:type="spellStart"/>
            <w:r w:rsidRPr="009E1845">
              <w:rPr>
                <w:sz w:val="20"/>
                <w:szCs w:val="20"/>
              </w:rPr>
              <w:t>Memorial</w:t>
            </w:r>
            <w:proofErr w:type="spellEnd"/>
            <w:r w:rsidRPr="009E1845">
              <w:rPr>
                <w:sz w:val="20"/>
                <w:szCs w:val="20"/>
              </w:rPr>
              <w:t xml:space="preserve"> Sloan-</w:t>
            </w:r>
            <w:proofErr w:type="spellStart"/>
            <w:r w:rsidRPr="009E1845">
              <w:rPr>
                <w:sz w:val="20"/>
                <w:szCs w:val="20"/>
              </w:rPr>
              <w:t>Kettering</w:t>
            </w:r>
            <w:proofErr w:type="spellEnd"/>
            <w:r w:rsidRPr="009E1845">
              <w:rPr>
                <w:sz w:val="20"/>
                <w:szCs w:val="20"/>
              </w:rPr>
              <w:t xml:space="preserve"> </w:t>
            </w:r>
            <w:proofErr w:type="spellStart"/>
            <w:r w:rsidRPr="009E1845">
              <w:rPr>
                <w:sz w:val="20"/>
                <w:szCs w:val="20"/>
              </w:rPr>
              <w:t>Cancer</w:t>
            </w:r>
            <w:proofErr w:type="spellEnd"/>
            <w:r w:rsidRPr="009E1845">
              <w:rPr>
                <w:sz w:val="20"/>
                <w:szCs w:val="20"/>
              </w:rPr>
              <w:t xml:space="preserve"> Center); </w:t>
            </w:r>
          </w:p>
          <w:p w:rsidR="009E1845" w:rsidRDefault="000D3D20" w:rsidP="00D037FD">
            <w:pPr>
              <w:pStyle w:val="Akapitzlist"/>
              <w:numPr>
                <w:ilvl w:val="2"/>
                <w:numId w:val="27"/>
              </w:numPr>
              <w:autoSpaceDE w:val="0"/>
              <w:autoSpaceDN w:val="0"/>
              <w:adjustRightInd w:val="0"/>
              <w:spacing w:after="60"/>
              <w:contextualSpacing w:val="0"/>
              <w:jc w:val="both"/>
              <w:rPr>
                <w:sz w:val="20"/>
                <w:szCs w:val="20"/>
              </w:rPr>
            </w:pPr>
            <w:r w:rsidRPr="009E1845">
              <w:rPr>
                <w:sz w:val="20"/>
                <w:szCs w:val="20"/>
              </w:rPr>
              <w:t xml:space="preserve">wykluczenie ciąży i okresu karmienia piersią; </w:t>
            </w:r>
          </w:p>
          <w:p w:rsidR="009E1845" w:rsidRDefault="000D3D20" w:rsidP="00D037FD">
            <w:pPr>
              <w:pStyle w:val="Akapitzlist"/>
              <w:numPr>
                <w:ilvl w:val="2"/>
                <w:numId w:val="27"/>
              </w:numPr>
              <w:autoSpaceDE w:val="0"/>
              <w:autoSpaceDN w:val="0"/>
              <w:adjustRightInd w:val="0"/>
              <w:spacing w:after="60"/>
              <w:contextualSpacing w:val="0"/>
              <w:jc w:val="both"/>
              <w:rPr>
                <w:sz w:val="20"/>
                <w:szCs w:val="20"/>
              </w:rPr>
            </w:pPr>
            <w:r w:rsidRPr="009E1845">
              <w:rPr>
                <w:sz w:val="20"/>
                <w:szCs w:val="20"/>
              </w:rPr>
              <w:t xml:space="preserve">nieobecność innych nowotworów złośliwych z wyjątkiem przedinwazyjnego raka szyjki macicy oraz raka </w:t>
            </w:r>
            <w:proofErr w:type="spellStart"/>
            <w:r w:rsidRPr="009E1845">
              <w:rPr>
                <w:sz w:val="20"/>
                <w:szCs w:val="20"/>
              </w:rPr>
              <w:t>podstawnokomórkowego</w:t>
            </w:r>
            <w:proofErr w:type="spellEnd"/>
            <w:r w:rsidRPr="009E1845">
              <w:rPr>
                <w:sz w:val="20"/>
                <w:szCs w:val="20"/>
              </w:rPr>
              <w:t xml:space="preserve"> skóry;</w:t>
            </w:r>
          </w:p>
          <w:p w:rsidR="009E1845" w:rsidRDefault="00AC4233" w:rsidP="00D037FD">
            <w:pPr>
              <w:pStyle w:val="Akapitzlist"/>
              <w:numPr>
                <w:ilvl w:val="2"/>
                <w:numId w:val="27"/>
              </w:numPr>
              <w:autoSpaceDE w:val="0"/>
              <w:autoSpaceDN w:val="0"/>
              <w:adjustRightInd w:val="0"/>
              <w:spacing w:after="60"/>
              <w:contextualSpacing w:val="0"/>
              <w:jc w:val="both"/>
              <w:rPr>
                <w:sz w:val="20"/>
                <w:szCs w:val="20"/>
              </w:rPr>
            </w:pPr>
            <w:r w:rsidRPr="009E1845">
              <w:rPr>
                <w:sz w:val="20"/>
                <w:szCs w:val="20"/>
              </w:rPr>
              <w:lastRenderedPageBreak/>
              <w:t xml:space="preserve">adekwatna wydolność narządowa określona na podstawie badań laboratoryjnych krwi: </w:t>
            </w:r>
          </w:p>
          <w:p w:rsidR="009E1845" w:rsidRDefault="009E1845" w:rsidP="00D037FD">
            <w:pPr>
              <w:pStyle w:val="Akapitzlist"/>
              <w:numPr>
                <w:ilvl w:val="3"/>
                <w:numId w:val="27"/>
              </w:numPr>
              <w:autoSpaceDE w:val="0"/>
              <w:autoSpaceDN w:val="0"/>
              <w:adjustRightInd w:val="0"/>
              <w:spacing w:after="60"/>
              <w:contextualSpacing w:val="0"/>
              <w:jc w:val="both"/>
              <w:rPr>
                <w:sz w:val="20"/>
                <w:szCs w:val="20"/>
              </w:rPr>
            </w:pPr>
            <w:r w:rsidRPr="009E1845">
              <w:rPr>
                <w:sz w:val="20"/>
                <w:szCs w:val="20"/>
              </w:rPr>
              <w:t>w</w:t>
            </w:r>
            <w:r w:rsidR="00AC4233" w:rsidRPr="009E1845">
              <w:rPr>
                <w:sz w:val="20"/>
                <w:szCs w:val="20"/>
              </w:rPr>
              <w:t xml:space="preserve">yniki badań czynności wątroby: </w:t>
            </w:r>
          </w:p>
          <w:p w:rsidR="009E1845" w:rsidRDefault="009E1845" w:rsidP="00D037FD">
            <w:pPr>
              <w:pStyle w:val="Akapitzlist"/>
              <w:numPr>
                <w:ilvl w:val="4"/>
                <w:numId w:val="27"/>
              </w:numPr>
              <w:autoSpaceDE w:val="0"/>
              <w:autoSpaceDN w:val="0"/>
              <w:adjustRightInd w:val="0"/>
              <w:spacing w:after="60"/>
              <w:contextualSpacing w:val="0"/>
              <w:jc w:val="both"/>
              <w:rPr>
                <w:sz w:val="20"/>
                <w:szCs w:val="20"/>
              </w:rPr>
            </w:pPr>
            <w:r w:rsidRPr="009E1845">
              <w:rPr>
                <w:sz w:val="20"/>
                <w:szCs w:val="20"/>
              </w:rPr>
              <w:t>s</w:t>
            </w:r>
            <w:r w:rsidR="00AC4233" w:rsidRPr="009E1845">
              <w:rPr>
                <w:sz w:val="20"/>
                <w:szCs w:val="20"/>
              </w:rPr>
              <w:t xml:space="preserve">tężenie bilirubiny całkowitej nieprzekraczające 2-krotnie górnej granicy normy (z wyjątkiem pacjentów z zespołem Gilberta), </w:t>
            </w:r>
          </w:p>
          <w:p w:rsidR="009E1845" w:rsidRDefault="009E1845" w:rsidP="00D037FD">
            <w:pPr>
              <w:pStyle w:val="Akapitzlist"/>
              <w:numPr>
                <w:ilvl w:val="4"/>
                <w:numId w:val="27"/>
              </w:numPr>
              <w:autoSpaceDE w:val="0"/>
              <w:autoSpaceDN w:val="0"/>
              <w:adjustRightInd w:val="0"/>
              <w:spacing w:after="60"/>
              <w:contextualSpacing w:val="0"/>
              <w:jc w:val="both"/>
              <w:rPr>
                <w:sz w:val="20"/>
                <w:szCs w:val="20"/>
              </w:rPr>
            </w:pPr>
            <w:r w:rsidRPr="009E1845">
              <w:rPr>
                <w:sz w:val="20"/>
                <w:szCs w:val="20"/>
              </w:rPr>
              <w:t>a</w:t>
            </w:r>
            <w:r w:rsidR="00AC4233" w:rsidRPr="009E1845">
              <w:rPr>
                <w:sz w:val="20"/>
                <w:szCs w:val="20"/>
              </w:rPr>
              <w:t xml:space="preserve">ktywność transaminaz (alaninowej i asparaginowej) w surowicy nieprzekraczające 5-krotnie górnej granicy normy, </w:t>
            </w:r>
          </w:p>
          <w:p w:rsidR="009E1845" w:rsidRDefault="00AC4233" w:rsidP="00D037FD">
            <w:pPr>
              <w:pStyle w:val="Akapitzlist"/>
              <w:numPr>
                <w:ilvl w:val="3"/>
                <w:numId w:val="27"/>
              </w:numPr>
              <w:autoSpaceDE w:val="0"/>
              <w:autoSpaceDN w:val="0"/>
              <w:adjustRightInd w:val="0"/>
              <w:spacing w:after="60"/>
              <w:contextualSpacing w:val="0"/>
              <w:jc w:val="both"/>
              <w:rPr>
                <w:sz w:val="20"/>
                <w:szCs w:val="20"/>
              </w:rPr>
            </w:pPr>
            <w:r w:rsidRPr="009E1845">
              <w:rPr>
                <w:sz w:val="20"/>
                <w:szCs w:val="20"/>
              </w:rPr>
              <w:t xml:space="preserve">stężenie kreatyniny nieprzekraczające 2-krotnie górnej granicy normy, </w:t>
            </w:r>
          </w:p>
          <w:p w:rsidR="009E1845" w:rsidRDefault="00AC4233" w:rsidP="00D037FD">
            <w:pPr>
              <w:pStyle w:val="Akapitzlist"/>
              <w:numPr>
                <w:ilvl w:val="3"/>
                <w:numId w:val="27"/>
              </w:numPr>
              <w:autoSpaceDE w:val="0"/>
              <w:autoSpaceDN w:val="0"/>
              <w:adjustRightInd w:val="0"/>
              <w:spacing w:after="60"/>
              <w:contextualSpacing w:val="0"/>
              <w:jc w:val="both"/>
              <w:rPr>
                <w:sz w:val="20"/>
                <w:szCs w:val="20"/>
              </w:rPr>
            </w:pPr>
            <w:r w:rsidRPr="009E1845">
              <w:rPr>
                <w:sz w:val="20"/>
                <w:szCs w:val="20"/>
              </w:rPr>
              <w:t xml:space="preserve">wyniki badania morfologii krwi z rozmazem: </w:t>
            </w:r>
          </w:p>
          <w:p w:rsidR="009E1845" w:rsidRDefault="00AC4233" w:rsidP="00D037FD">
            <w:pPr>
              <w:pStyle w:val="Akapitzlist"/>
              <w:numPr>
                <w:ilvl w:val="4"/>
                <w:numId w:val="27"/>
              </w:numPr>
              <w:autoSpaceDE w:val="0"/>
              <w:autoSpaceDN w:val="0"/>
              <w:adjustRightInd w:val="0"/>
              <w:spacing w:after="60"/>
              <w:contextualSpacing w:val="0"/>
              <w:jc w:val="both"/>
              <w:rPr>
                <w:sz w:val="20"/>
                <w:szCs w:val="20"/>
              </w:rPr>
            </w:pPr>
            <w:r w:rsidRPr="009E1845">
              <w:rPr>
                <w:sz w:val="20"/>
                <w:szCs w:val="20"/>
              </w:rPr>
              <w:t>liczba płytek krwi większa lub równa 10</w:t>
            </w:r>
            <w:r w:rsidRPr="009E1845">
              <w:rPr>
                <w:sz w:val="20"/>
                <w:szCs w:val="20"/>
                <w:vertAlign w:val="superscript"/>
              </w:rPr>
              <w:t>5</w:t>
            </w:r>
            <w:r w:rsidRPr="009E1845">
              <w:rPr>
                <w:sz w:val="20"/>
                <w:szCs w:val="20"/>
              </w:rPr>
              <w:t>/mm</w:t>
            </w:r>
            <w:r w:rsidRPr="009E1845">
              <w:rPr>
                <w:sz w:val="20"/>
                <w:szCs w:val="20"/>
                <w:vertAlign w:val="superscript"/>
              </w:rPr>
              <w:t>3</w:t>
            </w:r>
            <w:r w:rsidRPr="009E1845">
              <w:rPr>
                <w:sz w:val="20"/>
                <w:szCs w:val="20"/>
              </w:rPr>
              <w:t>,</w:t>
            </w:r>
          </w:p>
          <w:p w:rsidR="009E1845" w:rsidRDefault="00AC4233" w:rsidP="00D037FD">
            <w:pPr>
              <w:pStyle w:val="Akapitzlist"/>
              <w:numPr>
                <w:ilvl w:val="4"/>
                <w:numId w:val="27"/>
              </w:numPr>
              <w:autoSpaceDE w:val="0"/>
              <w:autoSpaceDN w:val="0"/>
              <w:adjustRightInd w:val="0"/>
              <w:spacing w:after="60"/>
              <w:contextualSpacing w:val="0"/>
              <w:jc w:val="both"/>
              <w:rPr>
                <w:sz w:val="20"/>
                <w:szCs w:val="20"/>
              </w:rPr>
            </w:pPr>
            <w:r w:rsidRPr="009E1845">
              <w:rPr>
                <w:sz w:val="20"/>
                <w:szCs w:val="20"/>
              </w:rPr>
              <w:t>bezwzględna liczba granulocytów obojętnochłonnych większa lub równa 1500/mm</w:t>
            </w:r>
            <w:r w:rsidRPr="009E1845">
              <w:rPr>
                <w:sz w:val="20"/>
                <w:szCs w:val="20"/>
                <w:vertAlign w:val="superscript"/>
              </w:rPr>
              <w:t>3</w:t>
            </w:r>
            <w:r w:rsidRPr="009E1845">
              <w:rPr>
                <w:sz w:val="20"/>
                <w:szCs w:val="20"/>
              </w:rPr>
              <w:t>,</w:t>
            </w:r>
          </w:p>
          <w:p w:rsidR="009E1845" w:rsidRDefault="00AC4233" w:rsidP="00D037FD">
            <w:pPr>
              <w:pStyle w:val="Akapitzlist"/>
              <w:numPr>
                <w:ilvl w:val="4"/>
                <w:numId w:val="27"/>
              </w:numPr>
              <w:autoSpaceDE w:val="0"/>
              <w:autoSpaceDN w:val="0"/>
              <w:adjustRightInd w:val="0"/>
              <w:spacing w:after="60"/>
              <w:contextualSpacing w:val="0"/>
              <w:jc w:val="both"/>
              <w:rPr>
                <w:sz w:val="20"/>
                <w:szCs w:val="20"/>
              </w:rPr>
            </w:pPr>
            <w:r w:rsidRPr="009E1845">
              <w:rPr>
                <w:sz w:val="20"/>
                <w:szCs w:val="20"/>
              </w:rPr>
              <w:t>poziom hemoglobiny większy lub równy 9,5 g/dl;</w:t>
            </w:r>
          </w:p>
          <w:p w:rsidR="009E1845" w:rsidRDefault="00AC4233" w:rsidP="00D037FD">
            <w:pPr>
              <w:pStyle w:val="Akapitzlist"/>
              <w:numPr>
                <w:ilvl w:val="2"/>
                <w:numId w:val="27"/>
              </w:numPr>
              <w:autoSpaceDE w:val="0"/>
              <w:autoSpaceDN w:val="0"/>
              <w:adjustRightInd w:val="0"/>
              <w:spacing w:after="60"/>
              <w:contextualSpacing w:val="0"/>
              <w:jc w:val="both"/>
              <w:rPr>
                <w:sz w:val="20"/>
                <w:szCs w:val="20"/>
              </w:rPr>
            </w:pPr>
            <w:r w:rsidRPr="009E1845">
              <w:rPr>
                <w:sz w:val="20"/>
                <w:szCs w:val="20"/>
              </w:rPr>
              <w:t xml:space="preserve">czynność tarczycy prawidłowa lub wyrównana farmakologicznie; </w:t>
            </w:r>
          </w:p>
          <w:p w:rsidR="009E1845" w:rsidRDefault="00AC4233" w:rsidP="00D037FD">
            <w:pPr>
              <w:pStyle w:val="Akapitzlist"/>
              <w:numPr>
                <w:ilvl w:val="2"/>
                <w:numId w:val="27"/>
              </w:numPr>
              <w:autoSpaceDE w:val="0"/>
              <w:autoSpaceDN w:val="0"/>
              <w:adjustRightInd w:val="0"/>
              <w:spacing w:after="60"/>
              <w:contextualSpacing w:val="0"/>
              <w:jc w:val="both"/>
              <w:rPr>
                <w:sz w:val="20"/>
                <w:szCs w:val="20"/>
              </w:rPr>
            </w:pPr>
            <w:r w:rsidRPr="009E1845">
              <w:rPr>
                <w:sz w:val="20"/>
                <w:szCs w:val="20"/>
              </w:rPr>
              <w:t xml:space="preserve"> nieobecność niekontrolowanych chorób układu sercowo-naczyniowego.</w:t>
            </w:r>
          </w:p>
          <w:p w:rsidR="009E1845" w:rsidRDefault="00AC4233" w:rsidP="009E1845">
            <w:pPr>
              <w:autoSpaceDE w:val="0"/>
              <w:autoSpaceDN w:val="0"/>
              <w:adjustRightInd w:val="0"/>
              <w:spacing w:after="60"/>
              <w:jc w:val="both"/>
              <w:rPr>
                <w:sz w:val="20"/>
                <w:szCs w:val="20"/>
              </w:rPr>
            </w:pPr>
            <w:r w:rsidRPr="009E1845">
              <w:rPr>
                <w:sz w:val="20"/>
                <w:szCs w:val="20"/>
              </w:rPr>
              <w:t>Kryteria kwalifikacji muszą być spełnione łącznie.</w:t>
            </w:r>
          </w:p>
          <w:p w:rsidR="009E1845" w:rsidRPr="009E1845" w:rsidRDefault="009E1845" w:rsidP="009E1845">
            <w:pPr>
              <w:autoSpaceDE w:val="0"/>
              <w:autoSpaceDN w:val="0"/>
              <w:adjustRightInd w:val="0"/>
              <w:spacing w:after="60"/>
              <w:jc w:val="both"/>
              <w:rPr>
                <w:sz w:val="20"/>
                <w:szCs w:val="20"/>
              </w:rPr>
            </w:pPr>
          </w:p>
          <w:p w:rsidR="00AC4233" w:rsidRPr="009E1845" w:rsidRDefault="00AC4233" w:rsidP="009E1845">
            <w:pPr>
              <w:pStyle w:val="Akapitzlist"/>
              <w:numPr>
                <w:ilvl w:val="1"/>
                <w:numId w:val="27"/>
              </w:numPr>
              <w:autoSpaceDE w:val="0"/>
              <w:autoSpaceDN w:val="0"/>
              <w:adjustRightInd w:val="0"/>
              <w:spacing w:after="60"/>
              <w:contextualSpacing w:val="0"/>
              <w:jc w:val="both"/>
              <w:rPr>
                <w:b/>
                <w:sz w:val="20"/>
                <w:szCs w:val="20"/>
              </w:rPr>
            </w:pPr>
            <w:r w:rsidRPr="009E1845">
              <w:rPr>
                <w:b/>
                <w:bCs/>
                <w:sz w:val="20"/>
                <w:szCs w:val="20"/>
              </w:rPr>
              <w:t>Określenie czasu leczenia w programie</w:t>
            </w:r>
          </w:p>
          <w:p w:rsidR="00AC4233" w:rsidRDefault="00AC4233" w:rsidP="009E1845">
            <w:pPr>
              <w:autoSpaceDE w:val="0"/>
              <w:autoSpaceDN w:val="0"/>
              <w:adjustRightInd w:val="0"/>
              <w:rPr>
                <w:sz w:val="20"/>
                <w:szCs w:val="20"/>
              </w:rPr>
            </w:pPr>
            <w:r w:rsidRPr="009E1845">
              <w:rPr>
                <w:sz w:val="20"/>
                <w:szCs w:val="20"/>
              </w:rPr>
              <w:t>Leczenie trwa do czasu podjęcia przez lekarza prowadzącego decyzji o wyłączeniu świadczeniobiorcy z programu, zgodnie z kryteriami wyłączenia.</w:t>
            </w:r>
          </w:p>
          <w:p w:rsidR="009E1845" w:rsidRPr="009E1845" w:rsidRDefault="009E1845" w:rsidP="009E1845">
            <w:pPr>
              <w:autoSpaceDE w:val="0"/>
              <w:autoSpaceDN w:val="0"/>
              <w:adjustRightInd w:val="0"/>
              <w:rPr>
                <w:sz w:val="20"/>
                <w:szCs w:val="20"/>
              </w:rPr>
            </w:pPr>
          </w:p>
          <w:p w:rsidR="009E1845" w:rsidRPr="009E1845" w:rsidRDefault="00AC4233" w:rsidP="00D037FD">
            <w:pPr>
              <w:pStyle w:val="Akapitzlist"/>
              <w:numPr>
                <w:ilvl w:val="1"/>
                <w:numId w:val="27"/>
              </w:numPr>
              <w:autoSpaceDE w:val="0"/>
              <w:autoSpaceDN w:val="0"/>
              <w:adjustRightInd w:val="0"/>
              <w:spacing w:after="60"/>
              <w:contextualSpacing w:val="0"/>
              <w:jc w:val="both"/>
              <w:rPr>
                <w:b/>
                <w:sz w:val="20"/>
                <w:szCs w:val="20"/>
              </w:rPr>
            </w:pPr>
            <w:r w:rsidRPr="009E1845">
              <w:rPr>
                <w:b/>
                <w:bCs/>
                <w:sz w:val="20"/>
                <w:szCs w:val="20"/>
              </w:rPr>
              <w:t>Kryteria wyłączenia z programu</w:t>
            </w:r>
          </w:p>
          <w:p w:rsidR="009E1845" w:rsidRDefault="00AC4233" w:rsidP="009E1845">
            <w:pPr>
              <w:pStyle w:val="Akapitzlist"/>
              <w:numPr>
                <w:ilvl w:val="2"/>
                <w:numId w:val="27"/>
              </w:numPr>
              <w:autoSpaceDE w:val="0"/>
              <w:autoSpaceDN w:val="0"/>
              <w:adjustRightInd w:val="0"/>
              <w:spacing w:after="60"/>
              <w:contextualSpacing w:val="0"/>
              <w:jc w:val="both"/>
              <w:rPr>
                <w:sz w:val="20"/>
                <w:szCs w:val="20"/>
              </w:rPr>
            </w:pPr>
            <w:r w:rsidRPr="009E1845">
              <w:rPr>
                <w:sz w:val="20"/>
                <w:szCs w:val="20"/>
              </w:rPr>
              <w:t>udokumentowana progr</w:t>
            </w:r>
            <w:r w:rsidR="009E1845">
              <w:rPr>
                <w:sz w:val="20"/>
                <w:szCs w:val="20"/>
              </w:rPr>
              <w:t>esja w trakcie stosowania leku;</w:t>
            </w:r>
          </w:p>
          <w:p w:rsidR="009E1845" w:rsidRDefault="00AC4233" w:rsidP="009E1845">
            <w:pPr>
              <w:pStyle w:val="Akapitzlist"/>
              <w:numPr>
                <w:ilvl w:val="2"/>
                <w:numId w:val="27"/>
              </w:numPr>
              <w:autoSpaceDE w:val="0"/>
              <w:autoSpaceDN w:val="0"/>
              <w:adjustRightInd w:val="0"/>
              <w:spacing w:after="60"/>
              <w:contextualSpacing w:val="0"/>
              <w:jc w:val="both"/>
              <w:rPr>
                <w:sz w:val="20"/>
                <w:szCs w:val="20"/>
              </w:rPr>
            </w:pPr>
            <w:r w:rsidRPr="009E1845">
              <w:rPr>
                <w:sz w:val="20"/>
                <w:szCs w:val="20"/>
              </w:rPr>
              <w:t xml:space="preserve">wystąpienie objawów nadwrażliwości na </w:t>
            </w:r>
            <w:proofErr w:type="spellStart"/>
            <w:r w:rsidRPr="009E1845">
              <w:rPr>
                <w:sz w:val="20"/>
                <w:szCs w:val="20"/>
              </w:rPr>
              <w:t>sunitynib</w:t>
            </w:r>
            <w:proofErr w:type="spellEnd"/>
            <w:r w:rsidRPr="009E1845">
              <w:rPr>
                <w:sz w:val="20"/>
                <w:szCs w:val="20"/>
              </w:rPr>
              <w:t xml:space="preserve"> lub na którąkolwiek substancję pomocniczą;</w:t>
            </w:r>
          </w:p>
          <w:p w:rsidR="009E1845" w:rsidRDefault="00AC4233" w:rsidP="009E1845">
            <w:pPr>
              <w:pStyle w:val="Akapitzlist"/>
              <w:numPr>
                <w:ilvl w:val="2"/>
                <w:numId w:val="27"/>
              </w:numPr>
              <w:autoSpaceDE w:val="0"/>
              <w:autoSpaceDN w:val="0"/>
              <w:adjustRightInd w:val="0"/>
              <w:spacing w:after="60"/>
              <w:contextualSpacing w:val="0"/>
              <w:jc w:val="both"/>
              <w:rPr>
                <w:sz w:val="20"/>
                <w:szCs w:val="20"/>
              </w:rPr>
            </w:pPr>
            <w:r w:rsidRPr="009E1845">
              <w:rPr>
                <w:sz w:val="20"/>
                <w:szCs w:val="20"/>
              </w:rPr>
              <w:t>nawracająca lub nieakceptowalna toksyczność powyżej 3 stopnia według skali WHO;</w:t>
            </w:r>
          </w:p>
          <w:p w:rsidR="009E1845" w:rsidRDefault="00AC4233" w:rsidP="009E1845">
            <w:pPr>
              <w:pStyle w:val="Akapitzlist"/>
              <w:numPr>
                <w:ilvl w:val="2"/>
                <w:numId w:val="27"/>
              </w:numPr>
              <w:autoSpaceDE w:val="0"/>
              <w:autoSpaceDN w:val="0"/>
              <w:adjustRightInd w:val="0"/>
              <w:spacing w:after="60"/>
              <w:contextualSpacing w:val="0"/>
              <w:jc w:val="both"/>
              <w:rPr>
                <w:sz w:val="20"/>
                <w:szCs w:val="20"/>
              </w:rPr>
            </w:pPr>
            <w:r w:rsidRPr="009E1845">
              <w:rPr>
                <w:sz w:val="20"/>
                <w:szCs w:val="20"/>
              </w:rPr>
              <w:t xml:space="preserve">utrzymujący się stan sprawności 70 lub niższy według skali </w:t>
            </w:r>
            <w:proofErr w:type="spellStart"/>
            <w:r w:rsidRPr="009E1845">
              <w:rPr>
                <w:sz w:val="20"/>
                <w:szCs w:val="20"/>
              </w:rPr>
              <w:t>Karnofsky'ego</w:t>
            </w:r>
            <w:proofErr w:type="spellEnd"/>
            <w:r w:rsidRPr="009E1845">
              <w:rPr>
                <w:sz w:val="20"/>
                <w:szCs w:val="20"/>
              </w:rPr>
              <w:t>;</w:t>
            </w:r>
          </w:p>
          <w:p w:rsidR="009E1845" w:rsidRDefault="00AC4233" w:rsidP="009E1845">
            <w:pPr>
              <w:pStyle w:val="Akapitzlist"/>
              <w:numPr>
                <w:ilvl w:val="2"/>
                <w:numId w:val="27"/>
              </w:numPr>
              <w:autoSpaceDE w:val="0"/>
              <w:autoSpaceDN w:val="0"/>
              <w:adjustRightInd w:val="0"/>
              <w:spacing w:after="60"/>
              <w:contextualSpacing w:val="0"/>
              <w:jc w:val="both"/>
              <w:rPr>
                <w:sz w:val="20"/>
                <w:szCs w:val="20"/>
              </w:rPr>
            </w:pPr>
            <w:r w:rsidRPr="009E1845">
              <w:rPr>
                <w:sz w:val="20"/>
                <w:szCs w:val="20"/>
              </w:rPr>
              <w:t>wystąpienie objawów zastoinowej niewydolności serca, ostrych incydentów niewydolności wieńcowej, niekontrolowanego nadciśnienia tętniczego oraz niestabilnych zaburzeń rytmu serca wymagających leczenia;</w:t>
            </w:r>
          </w:p>
          <w:p w:rsidR="009E1845" w:rsidRDefault="00AC4233" w:rsidP="009E1845">
            <w:pPr>
              <w:pStyle w:val="Akapitzlist"/>
              <w:numPr>
                <w:ilvl w:val="2"/>
                <w:numId w:val="27"/>
              </w:numPr>
              <w:autoSpaceDE w:val="0"/>
              <w:autoSpaceDN w:val="0"/>
              <w:adjustRightInd w:val="0"/>
              <w:spacing w:after="60"/>
              <w:contextualSpacing w:val="0"/>
              <w:jc w:val="both"/>
              <w:rPr>
                <w:sz w:val="20"/>
                <w:szCs w:val="20"/>
              </w:rPr>
            </w:pPr>
            <w:r w:rsidRPr="009E1845">
              <w:rPr>
                <w:sz w:val="20"/>
                <w:szCs w:val="20"/>
              </w:rPr>
              <w:t>istotne pogorszenie jakości życia w trakcie stosowania leku.</w:t>
            </w:r>
          </w:p>
          <w:p w:rsidR="009E1845" w:rsidRDefault="009E1845" w:rsidP="009E1845">
            <w:pPr>
              <w:pStyle w:val="Akapitzlist"/>
              <w:autoSpaceDE w:val="0"/>
              <w:autoSpaceDN w:val="0"/>
              <w:adjustRightInd w:val="0"/>
              <w:spacing w:after="60"/>
              <w:ind w:left="397"/>
              <w:contextualSpacing w:val="0"/>
              <w:jc w:val="both"/>
              <w:rPr>
                <w:sz w:val="20"/>
                <w:szCs w:val="20"/>
              </w:rPr>
            </w:pPr>
          </w:p>
          <w:p w:rsidR="00AC4233" w:rsidRPr="009E1845" w:rsidRDefault="00AC4233" w:rsidP="009E1845">
            <w:pPr>
              <w:pStyle w:val="Akapitzlist"/>
              <w:numPr>
                <w:ilvl w:val="0"/>
                <w:numId w:val="27"/>
              </w:numPr>
              <w:autoSpaceDE w:val="0"/>
              <w:autoSpaceDN w:val="0"/>
              <w:adjustRightInd w:val="0"/>
              <w:spacing w:after="60"/>
              <w:contextualSpacing w:val="0"/>
              <w:jc w:val="both"/>
              <w:rPr>
                <w:sz w:val="20"/>
                <w:szCs w:val="20"/>
              </w:rPr>
            </w:pPr>
            <w:r w:rsidRPr="009E1845">
              <w:rPr>
                <w:b/>
                <w:bCs/>
                <w:sz w:val="20"/>
                <w:szCs w:val="20"/>
              </w:rPr>
              <w:t xml:space="preserve">Leczenie raka nerki przy wykorzystaniu substancji czynnej </w:t>
            </w:r>
            <w:proofErr w:type="spellStart"/>
            <w:r w:rsidRPr="009E1845">
              <w:rPr>
                <w:b/>
                <w:bCs/>
                <w:sz w:val="20"/>
                <w:szCs w:val="20"/>
              </w:rPr>
              <w:t>sorafenib</w:t>
            </w:r>
            <w:proofErr w:type="spellEnd"/>
          </w:p>
          <w:p w:rsidR="00AC4233" w:rsidRPr="006F4104" w:rsidRDefault="00AC4233" w:rsidP="006F4104">
            <w:pPr>
              <w:pStyle w:val="Akapitzlist"/>
              <w:numPr>
                <w:ilvl w:val="1"/>
                <w:numId w:val="27"/>
              </w:numPr>
              <w:autoSpaceDE w:val="0"/>
              <w:autoSpaceDN w:val="0"/>
              <w:adjustRightInd w:val="0"/>
              <w:spacing w:after="60"/>
              <w:contextualSpacing w:val="0"/>
              <w:jc w:val="both"/>
              <w:rPr>
                <w:b/>
                <w:bCs/>
                <w:sz w:val="20"/>
                <w:szCs w:val="20"/>
              </w:rPr>
            </w:pPr>
            <w:r w:rsidRPr="009E1845">
              <w:rPr>
                <w:b/>
                <w:bCs/>
                <w:sz w:val="20"/>
                <w:szCs w:val="20"/>
              </w:rPr>
              <w:t>Kryteria kwalifikacji</w:t>
            </w:r>
          </w:p>
          <w:p w:rsidR="006F4104" w:rsidRDefault="00AC4233" w:rsidP="009E1845">
            <w:pPr>
              <w:pStyle w:val="Akapitzlist"/>
              <w:numPr>
                <w:ilvl w:val="2"/>
                <w:numId w:val="27"/>
              </w:numPr>
              <w:autoSpaceDE w:val="0"/>
              <w:autoSpaceDN w:val="0"/>
              <w:adjustRightInd w:val="0"/>
              <w:spacing w:after="60"/>
              <w:contextualSpacing w:val="0"/>
              <w:jc w:val="both"/>
              <w:rPr>
                <w:sz w:val="20"/>
                <w:szCs w:val="20"/>
              </w:rPr>
            </w:pPr>
            <w:r w:rsidRPr="006F4104">
              <w:rPr>
                <w:bCs/>
                <w:sz w:val="20"/>
                <w:szCs w:val="20"/>
              </w:rPr>
              <w:t xml:space="preserve">rozpoznanie </w:t>
            </w:r>
            <w:proofErr w:type="spellStart"/>
            <w:r w:rsidRPr="006F4104">
              <w:rPr>
                <w:bCs/>
                <w:sz w:val="20"/>
                <w:szCs w:val="20"/>
              </w:rPr>
              <w:t>jasnokomórkowego</w:t>
            </w:r>
            <w:proofErr w:type="spellEnd"/>
            <w:r w:rsidRPr="006F4104">
              <w:rPr>
                <w:bCs/>
                <w:sz w:val="20"/>
                <w:szCs w:val="20"/>
              </w:rPr>
              <w:t xml:space="preserve"> raka nerki lub mieszanego raka </w:t>
            </w:r>
            <w:proofErr w:type="spellStart"/>
            <w:r w:rsidRPr="006F4104">
              <w:rPr>
                <w:bCs/>
                <w:sz w:val="20"/>
                <w:szCs w:val="20"/>
              </w:rPr>
              <w:t>nerkowokomórkowego</w:t>
            </w:r>
            <w:proofErr w:type="spellEnd"/>
            <w:r w:rsidRPr="006F4104">
              <w:rPr>
                <w:sz w:val="20"/>
                <w:szCs w:val="20"/>
              </w:rPr>
              <w:t xml:space="preserve"> z przeważającym (powyżej 60% utkania) komponentem</w:t>
            </w:r>
            <w:r w:rsidRPr="009E1845">
              <w:rPr>
                <w:sz w:val="20"/>
                <w:szCs w:val="20"/>
              </w:rPr>
              <w:t xml:space="preserve"> </w:t>
            </w:r>
            <w:proofErr w:type="spellStart"/>
            <w:r w:rsidRPr="009E1845">
              <w:rPr>
                <w:sz w:val="20"/>
                <w:szCs w:val="20"/>
              </w:rPr>
              <w:t>jasnokomórkowym</w:t>
            </w:r>
            <w:proofErr w:type="spellEnd"/>
            <w:r w:rsidRPr="009E1845">
              <w:rPr>
                <w:sz w:val="20"/>
                <w:szCs w:val="20"/>
              </w:rPr>
              <w:t xml:space="preserve"> potwierdzone badaniem histopatologicznym z materiału operacyjnego, biopsji guza n</w:t>
            </w:r>
            <w:r w:rsidR="006F4104">
              <w:rPr>
                <w:sz w:val="20"/>
                <w:szCs w:val="20"/>
              </w:rPr>
              <w:t>erki lub ogniska przerzutowego;</w:t>
            </w:r>
          </w:p>
          <w:p w:rsidR="006F4104" w:rsidRDefault="00AC4233" w:rsidP="009E1845">
            <w:pPr>
              <w:pStyle w:val="Akapitzlist"/>
              <w:numPr>
                <w:ilvl w:val="2"/>
                <w:numId w:val="27"/>
              </w:numPr>
              <w:autoSpaceDE w:val="0"/>
              <w:autoSpaceDN w:val="0"/>
              <w:adjustRightInd w:val="0"/>
              <w:spacing w:after="60"/>
              <w:contextualSpacing w:val="0"/>
              <w:jc w:val="both"/>
              <w:rPr>
                <w:sz w:val="20"/>
                <w:szCs w:val="20"/>
              </w:rPr>
            </w:pPr>
            <w:r w:rsidRPr="006F4104">
              <w:rPr>
                <w:sz w:val="20"/>
                <w:szCs w:val="20"/>
              </w:rPr>
              <w:t>nowotwór w stadium zaawansowanym (pierwotne uogólnienie lub nawrót po pierwotnym leczeniu chirurgicznym);</w:t>
            </w:r>
          </w:p>
          <w:p w:rsidR="006F4104" w:rsidRDefault="00AC4233" w:rsidP="009E1845">
            <w:pPr>
              <w:pStyle w:val="Akapitzlist"/>
              <w:numPr>
                <w:ilvl w:val="2"/>
                <w:numId w:val="27"/>
              </w:numPr>
              <w:autoSpaceDE w:val="0"/>
              <w:autoSpaceDN w:val="0"/>
              <w:adjustRightInd w:val="0"/>
              <w:spacing w:after="60"/>
              <w:contextualSpacing w:val="0"/>
              <w:jc w:val="both"/>
              <w:rPr>
                <w:sz w:val="20"/>
                <w:szCs w:val="20"/>
              </w:rPr>
            </w:pPr>
            <w:r w:rsidRPr="006F4104">
              <w:rPr>
                <w:sz w:val="20"/>
                <w:szCs w:val="20"/>
              </w:rPr>
              <w:t>udokumentowane niepowodzenie wcześniejszej immunoterapii z zastosowaniem interferonu alfa lub udokumentowane przeciwwskazania do dalszego stosowania interferonu alfa;</w:t>
            </w:r>
          </w:p>
          <w:p w:rsidR="006F4104" w:rsidRDefault="00E06EF4" w:rsidP="009E1845">
            <w:pPr>
              <w:pStyle w:val="Akapitzlist"/>
              <w:numPr>
                <w:ilvl w:val="2"/>
                <w:numId w:val="27"/>
              </w:numPr>
              <w:autoSpaceDE w:val="0"/>
              <w:autoSpaceDN w:val="0"/>
              <w:adjustRightInd w:val="0"/>
              <w:spacing w:after="60"/>
              <w:contextualSpacing w:val="0"/>
              <w:jc w:val="both"/>
              <w:rPr>
                <w:sz w:val="20"/>
                <w:szCs w:val="20"/>
              </w:rPr>
            </w:pPr>
            <w:r w:rsidRPr="006F4104">
              <w:rPr>
                <w:sz w:val="20"/>
                <w:szCs w:val="20"/>
              </w:rPr>
              <w:t>uprzednie wykonanie nefrektomii (radykalnej lub oszczędzającej);</w:t>
            </w:r>
          </w:p>
          <w:p w:rsidR="006F4104" w:rsidRDefault="00AC4233" w:rsidP="009E1845">
            <w:pPr>
              <w:pStyle w:val="Akapitzlist"/>
              <w:numPr>
                <w:ilvl w:val="2"/>
                <w:numId w:val="27"/>
              </w:numPr>
              <w:autoSpaceDE w:val="0"/>
              <w:autoSpaceDN w:val="0"/>
              <w:adjustRightInd w:val="0"/>
              <w:spacing w:after="60"/>
              <w:contextualSpacing w:val="0"/>
              <w:jc w:val="both"/>
              <w:rPr>
                <w:sz w:val="20"/>
                <w:szCs w:val="20"/>
              </w:rPr>
            </w:pPr>
            <w:r w:rsidRPr="006F4104">
              <w:rPr>
                <w:sz w:val="20"/>
                <w:szCs w:val="20"/>
              </w:rPr>
              <w:t>udokumentowana obecność przerzutów narządowych;</w:t>
            </w:r>
          </w:p>
          <w:p w:rsidR="006F4104" w:rsidRDefault="00AC4233" w:rsidP="009E1845">
            <w:pPr>
              <w:pStyle w:val="Akapitzlist"/>
              <w:numPr>
                <w:ilvl w:val="2"/>
                <w:numId w:val="27"/>
              </w:numPr>
              <w:autoSpaceDE w:val="0"/>
              <w:autoSpaceDN w:val="0"/>
              <w:adjustRightInd w:val="0"/>
              <w:spacing w:after="60"/>
              <w:contextualSpacing w:val="0"/>
              <w:jc w:val="both"/>
              <w:rPr>
                <w:sz w:val="20"/>
                <w:szCs w:val="20"/>
              </w:rPr>
            </w:pPr>
            <w:r w:rsidRPr="006F4104">
              <w:rPr>
                <w:sz w:val="20"/>
                <w:szCs w:val="20"/>
              </w:rPr>
              <w:t>zmiany możliwe do obiektywnej oceny w badaniach obrazowych metodą KT lub MR z zastrzeżeniem konieczności potwierdzenia zmian w układzie kostnym przy użyciu konwencjonalnej RTG lub MR;</w:t>
            </w:r>
          </w:p>
          <w:p w:rsidR="006F4104" w:rsidRDefault="00E06EF4" w:rsidP="009E1845">
            <w:pPr>
              <w:pStyle w:val="Akapitzlist"/>
              <w:numPr>
                <w:ilvl w:val="2"/>
                <w:numId w:val="27"/>
              </w:numPr>
              <w:autoSpaceDE w:val="0"/>
              <w:autoSpaceDN w:val="0"/>
              <w:adjustRightInd w:val="0"/>
              <w:spacing w:after="60"/>
              <w:contextualSpacing w:val="0"/>
              <w:jc w:val="both"/>
              <w:rPr>
                <w:sz w:val="20"/>
                <w:szCs w:val="20"/>
              </w:rPr>
            </w:pPr>
            <w:r w:rsidRPr="006F4104">
              <w:rPr>
                <w:sz w:val="20"/>
                <w:szCs w:val="20"/>
              </w:rPr>
              <w:t>nieobecność przerzutów w ośrodkowym układzie nerwowym (dopuszczalne wcześniejsze wycięcie przerzutów i /lub radioterapia, o ile po leczeniu utrzymuje się stan bezobjawowy);</w:t>
            </w:r>
          </w:p>
          <w:p w:rsidR="006F4104" w:rsidRDefault="00AC4233" w:rsidP="009E1845">
            <w:pPr>
              <w:pStyle w:val="Akapitzlist"/>
              <w:numPr>
                <w:ilvl w:val="2"/>
                <w:numId w:val="27"/>
              </w:numPr>
              <w:autoSpaceDE w:val="0"/>
              <w:autoSpaceDN w:val="0"/>
              <w:adjustRightInd w:val="0"/>
              <w:spacing w:after="60"/>
              <w:contextualSpacing w:val="0"/>
              <w:jc w:val="both"/>
              <w:rPr>
                <w:sz w:val="20"/>
                <w:szCs w:val="20"/>
              </w:rPr>
            </w:pPr>
            <w:r w:rsidRPr="006F4104">
              <w:rPr>
                <w:sz w:val="20"/>
                <w:szCs w:val="20"/>
              </w:rPr>
              <w:t xml:space="preserve">stan sprawności 80-100 wg skali </w:t>
            </w:r>
            <w:proofErr w:type="spellStart"/>
            <w:r w:rsidRPr="006F4104">
              <w:rPr>
                <w:sz w:val="20"/>
                <w:szCs w:val="20"/>
              </w:rPr>
              <w:t>Karnofsky'ego</w:t>
            </w:r>
            <w:proofErr w:type="spellEnd"/>
            <w:r w:rsidRPr="006F4104">
              <w:rPr>
                <w:sz w:val="20"/>
                <w:szCs w:val="20"/>
              </w:rPr>
              <w:t>;</w:t>
            </w:r>
          </w:p>
          <w:p w:rsidR="006F4104" w:rsidRDefault="00AC4233" w:rsidP="009E1845">
            <w:pPr>
              <w:pStyle w:val="Akapitzlist"/>
              <w:numPr>
                <w:ilvl w:val="2"/>
                <w:numId w:val="27"/>
              </w:numPr>
              <w:autoSpaceDE w:val="0"/>
              <w:autoSpaceDN w:val="0"/>
              <w:adjustRightInd w:val="0"/>
              <w:spacing w:after="60"/>
              <w:contextualSpacing w:val="0"/>
              <w:jc w:val="both"/>
              <w:rPr>
                <w:sz w:val="20"/>
                <w:szCs w:val="20"/>
              </w:rPr>
            </w:pPr>
            <w:r w:rsidRPr="006F4104">
              <w:rPr>
                <w:sz w:val="20"/>
                <w:szCs w:val="20"/>
              </w:rPr>
              <w:t>korzystne lub pośrednie rokowanie według skali MSKCC (</w:t>
            </w:r>
            <w:proofErr w:type="spellStart"/>
            <w:r w:rsidRPr="006F4104">
              <w:rPr>
                <w:sz w:val="20"/>
                <w:szCs w:val="20"/>
              </w:rPr>
              <w:t>Memorial</w:t>
            </w:r>
            <w:proofErr w:type="spellEnd"/>
            <w:r w:rsidRPr="006F4104">
              <w:rPr>
                <w:sz w:val="20"/>
                <w:szCs w:val="20"/>
              </w:rPr>
              <w:t xml:space="preserve"> Sloan-</w:t>
            </w:r>
            <w:proofErr w:type="spellStart"/>
            <w:r w:rsidRPr="006F4104">
              <w:rPr>
                <w:sz w:val="20"/>
                <w:szCs w:val="20"/>
              </w:rPr>
              <w:t>Kettering</w:t>
            </w:r>
            <w:proofErr w:type="spellEnd"/>
            <w:r w:rsidRPr="006F4104">
              <w:rPr>
                <w:sz w:val="20"/>
                <w:szCs w:val="20"/>
              </w:rPr>
              <w:t xml:space="preserve"> </w:t>
            </w:r>
            <w:proofErr w:type="spellStart"/>
            <w:r w:rsidRPr="006F4104">
              <w:rPr>
                <w:sz w:val="20"/>
                <w:szCs w:val="20"/>
              </w:rPr>
              <w:t>Cancer</w:t>
            </w:r>
            <w:proofErr w:type="spellEnd"/>
            <w:r w:rsidRPr="006F4104">
              <w:rPr>
                <w:sz w:val="20"/>
                <w:szCs w:val="20"/>
              </w:rPr>
              <w:t xml:space="preserve"> Center);</w:t>
            </w:r>
          </w:p>
          <w:p w:rsidR="006F4104" w:rsidRDefault="00AC4233" w:rsidP="009E1845">
            <w:pPr>
              <w:pStyle w:val="Akapitzlist"/>
              <w:numPr>
                <w:ilvl w:val="2"/>
                <w:numId w:val="27"/>
              </w:numPr>
              <w:autoSpaceDE w:val="0"/>
              <w:autoSpaceDN w:val="0"/>
              <w:adjustRightInd w:val="0"/>
              <w:spacing w:after="60"/>
              <w:contextualSpacing w:val="0"/>
              <w:jc w:val="both"/>
              <w:rPr>
                <w:sz w:val="20"/>
                <w:szCs w:val="20"/>
              </w:rPr>
            </w:pPr>
            <w:r w:rsidRPr="006F4104">
              <w:rPr>
                <w:sz w:val="20"/>
                <w:szCs w:val="20"/>
              </w:rPr>
              <w:t>wykluczenie ciąży i okresu karmienia piersią;</w:t>
            </w:r>
          </w:p>
          <w:p w:rsidR="006F4104" w:rsidRDefault="00AC4233" w:rsidP="009E1845">
            <w:pPr>
              <w:pStyle w:val="Akapitzlist"/>
              <w:numPr>
                <w:ilvl w:val="2"/>
                <w:numId w:val="27"/>
              </w:numPr>
              <w:autoSpaceDE w:val="0"/>
              <w:autoSpaceDN w:val="0"/>
              <w:adjustRightInd w:val="0"/>
              <w:spacing w:after="60"/>
              <w:contextualSpacing w:val="0"/>
              <w:jc w:val="both"/>
              <w:rPr>
                <w:sz w:val="20"/>
                <w:szCs w:val="20"/>
              </w:rPr>
            </w:pPr>
            <w:r w:rsidRPr="006F4104">
              <w:rPr>
                <w:sz w:val="20"/>
                <w:szCs w:val="20"/>
              </w:rPr>
              <w:t xml:space="preserve">nieobecność innych nowotworów złośliwych z wyjątkiem przedinwazyjnego raka szyjki macicy oraz raka </w:t>
            </w:r>
            <w:proofErr w:type="spellStart"/>
            <w:r w:rsidRPr="006F4104">
              <w:rPr>
                <w:sz w:val="20"/>
                <w:szCs w:val="20"/>
              </w:rPr>
              <w:t>podstawnokomórkowego</w:t>
            </w:r>
            <w:proofErr w:type="spellEnd"/>
            <w:r w:rsidRPr="006F4104">
              <w:rPr>
                <w:sz w:val="20"/>
                <w:szCs w:val="20"/>
              </w:rPr>
              <w:t xml:space="preserve"> skóry;</w:t>
            </w:r>
          </w:p>
          <w:p w:rsidR="006F4104" w:rsidRDefault="00AC4233" w:rsidP="009E1845">
            <w:pPr>
              <w:pStyle w:val="Akapitzlist"/>
              <w:numPr>
                <w:ilvl w:val="2"/>
                <w:numId w:val="27"/>
              </w:numPr>
              <w:autoSpaceDE w:val="0"/>
              <w:autoSpaceDN w:val="0"/>
              <w:adjustRightInd w:val="0"/>
              <w:spacing w:after="60"/>
              <w:contextualSpacing w:val="0"/>
              <w:jc w:val="both"/>
              <w:rPr>
                <w:sz w:val="20"/>
                <w:szCs w:val="20"/>
              </w:rPr>
            </w:pPr>
            <w:r w:rsidRPr="006F4104">
              <w:rPr>
                <w:sz w:val="20"/>
                <w:szCs w:val="20"/>
              </w:rPr>
              <w:t>adekwatna wydolność narządowa określona na podstawie badań laboratoryjnych krwi:</w:t>
            </w:r>
          </w:p>
          <w:p w:rsidR="006F4104" w:rsidRDefault="00AC4233" w:rsidP="006F4104">
            <w:pPr>
              <w:pStyle w:val="Akapitzlist"/>
              <w:numPr>
                <w:ilvl w:val="3"/>
                <w:numId w:val="27"/>
              </w:numPr>
              <w:autoSpaceDE w:val="0"/>
              <w:autoSpaceDN w:val="0"/>
              <w:adjustRightInd w:val="0"/>
              <w:spacing w:after="60"/>
              <w:contextualSpacing w:val="0"/>
              <w:jc w:val="both"/>
              <w:rPr>
                <w:sz w:val="20"/>
                <w:szCs w:val="20"/>
              </w:rPr>
            </w:pPr>
            <w:r w:rsidRPr="006F4104">
              <w:rPr>
                <w:sz w:val="20"/>
                <w:szCs w:val="20"/>
              </w:rPr>
              <w:t>wyniki badań czynności wątroby:</w:t>
            </w:r>
          </w:p>
          <w:p w:rsidR="006F4104" w:rsidRDefault="00AC4233" w:rsidP="006F4104">
            <w:pPr>
              <w:pStyle w:val="Akapitzlist"/>
              <w:numPr>
                <w:ilvl w:val="4"/>
                <w:numId w:val="27"/>
              </w:numPr>
              <w:autoSpaceDE w:val="0"/>
              <w:autoSpaceDN w:val="0"/>
              <w:adjustRightInd w:val="0"/>
              <w:spacing w:after="60"/>
              <w:contextualSpacing w:val="0"/>
              <w:jc w:val="both"/>
              <w:rPr>
                <w:sz w:val="20"/>
                <w:szCs w:val="20"/>
              </w:rPr>
            </w:pPr>
            <w:r w:rsidRPr="006F4104">
              <w:rPr>
                <w:sz w:val="20"/>
                <w:szCs w:val="20"/>
              </w:rPr>
              <w:t>stężenie bilirubiny całkowitej nieprzekraczające 2-krotnie górnej granicy normy (z wyjątkiem pacjentów z zespołem Gilberta),</w:t>
            </w:r>
          </w:p>
          <w:p w:rsidR="006F4104" w:rsidRDefault="00AC4233" w:rsidP="006F4104">
            <w:pPr>
              <w:pStyle w:val="Akapitzlist"/>
              <w:numPr>
                <w:ilvl w:val="4"/>
                <w:numId w:val="27"/>
              </w:numPr>
              <w:autoSpaceDE w:val="0"/>
              <w:autoSpaceDN w:val="0"/>
              <w:adjustRightInd w:val="0"/>
              <w:spacing w:after="60"/>
              <w:contextualSpacing w:val="0"/>
              <w:jc w:val="both"/>
              <w:rPr>
                <w:sz w:val="20"/>
                <w:szCs w:val="20"/>
              </w:rPr>
            </w:pPr>
            <w:r w:rsidRPr="006F4104">
              <w:rPr>
                <w:sz w:val="20"/>
                <w:szCs w:val="20"/>
              </w:rPr>
              <w:lastRenderedPageBreak/>
              <w:t>aktywność transaminaz (alaninowej i asparaginowej) w surowicy nieprzekraczające 5-krotnie górnej granicy normy,</w:t>
            </w:r>
          </w:p>
          <w:p w:rsidR="006F4104" w:rsidRDefault="00AC4233" w:rsidP="006F4104">
            <w:pPr>
              <w:pStyle w:val="Akapitzlist"/>
              <w:numPr>
                <w:ilvl w:val="3"/>
                <w:numId w:val="27"/>
              </w:numPr>
              <w:autoSpaceDE w:val="0"/>
              <w:autoSpaceDN w:val="0"/>
              <w:adjustRightInd w:val="0"/>
              <w:spacing w:after="60"/>
              <w:contextualSpacing w:val="0"/>
              <w:jc w:val="both"/>
              <w:rPr>
                <w:sz w:val="20"/>
                <w:szCs w:val="20"/>
              </w:rPr>
            </w:pPr>
            <w:r w:rsidRPr="006F4104">
              <w:rPr>
                <w:sz w:val="20"/>
                <w:szCs w:val="20"/>
              </w:rPr>
              <w:t>stężenie kreatyniny nieprzekraczające 2-krotnie górnej granicy normy,</w:t>
            </w:r>
          </w:p>
          <w:p w:rsidR="006F4104" w:rsidRDefault="00AC4233" w:rsidP="006F4104">
            <w:pPr>
              <w:pStyle w:val="Akapitzlist"/>
              <w:numPr>
                <w:ilvl w:val="3"/>
                <w:numId w:val="27"/>
              </w:numPr>
              <w:autoSpaceDE w:val="0"/>
              <w:autoSpaceDN w:val="0"/>
              <w:adjustRightInd w:val="0"/>
              <w:spacing w:after="60"/>
              <w:contextualSpacing w:val="0"/>
              <w:jc w:val="both"/>
              <w:rPr>
                <w:sz w:val="20"/>
                <w:szCs w:val="20"/>
              </w:rPr>
            </w:pPr>
            <w:r w:rsidRPr="006F4104">
              <w:rPr>
                <w:sz w:val="20"/>
                <w:szCs w:val="20"/>
              </w:rPr>
              <w:t>wyniki badania morfologii krwi z rozmazem:</w:t>
            </w:r>
          </w:p>
          <w:p w:rsidR="006F4104" w:rsidRDefault="00AC4233" w:rsidP="006F4104">
            <w:pPr>
              <w:pStyle w:val="Akapitzlist"/>
              <w:numPr>
                <w:ilvl w:val="4"/>
                <w:numId w:val="27"/>
              </w:numPr>
              <w:autoSpaceDE w:val="0"/>
              <w:autoSpaceDN w:val="0"/>
              <w:adjustRightInd w:val="0"/>
              <w:spacing w:after="60"/>
              <w:contextualSpacing w:val="0"/>
              <w:jc w:val="both"/>
              <w:rPr>
                <w:sz w:val="20"/>
                <w:szCs w:val="20"/>
              </w:rPr>
            </w:pPr>
            <w:r w:rsidRPr="006F4104">
              <w:rPr>
                <w:sz w:val="20"/>
                <w:szCs w:val="20"/>
              </w:rPr>
              <w:t>liczba płytek krwi większa lub równa 10</w:t>
            </w:r>
            <w:r w:rsidRPr="006F4104">
              <w:rPr>
                <w:sz w:val="20"/>
                <w:szCs w:val="20"/>
                <w:vertAlign w:val="superscript"/>
              </w:rPr>
              <w:t>5</w:t>
            </w:r>
            <w:r w:rsidRPr="006F4104">
              <w:rPr>
                <w:sz w:val="20"/>
                <w:szCs w:val="20"/>
              </w:rPr>
              <w:t>/mm</w:t>
            </w:r>
            <w:r w:rsidRPr="006F4104">
              <w:rPr>
                <w:sz w:val="20"/>
                <w:szCs w:val="20"/>
                <w:vertAlign w:val="superscript"/>
              </w:rPr>
              <w:t>3</w:t>
            </w:r>
            <w:r w:rsidRPr="006F4104">
              <w:rPr>
                <w:sz w:val="20"/>
                <w:szCs w:val="20"/>
              </w:rPr>
              <w:t>,</w:t>
            </w:r>
          </w:p>
          <w:p w:rsidR="006F4104" w:rsidRDefault="00AC4233" w:rsidP="006F4104">
            <w:pPr>
              <w:pStyle w:val="Akapitzlist"/>
              <w:numPr>
                <w:ilvl w:val="4"/>
                <w:numId w:val="27"/>
              </w:numPr>
              <w:autoSpaceDE w:val="0"/>
              <w:autoSpaceDN w:val="0"/>
              <w:adjustRightInd w:val="0"/>
              <w:spacing w:after="60"/>
              <w:contextualSpacing w:val="0"/>
              <w:jc w:val="both"/>
              <w:rPr>
                <w:sz w:val="20"/>
                <w:szCs w:val="20"/>
              </w:rPr>
            </w:pPr>
            <w:r w:rsidRPr="006F4104">
              <w:rPr>
                <w:sz w:val="20"/>
                <w:szCs w:val="20"/>
              </w:rPr>
              <w:t>bezwzględna liczba granulocytów obojętnochłonnych większa lub równa 1500/mm</w:t>
            </w:r>
            <w:r w:rsidRPr="006F4104">
              <w:rPr>
                <w:sz w:val="20"/>
                <w:szCs w:val="20"/>
                <w:vertAlign w:val="superscript"/>
              </w:rPr>
              <w:t>3</w:t>
            </w:r>
            <w:r w:rsidRPr="006F4104">
              <w:rPr>
                <w:sz w:val="20"/>
                <w:szCs w:val="20"/>
              </w:rPr>
              <w:t>,</w:t>
            </w:r>
          </w:p>
          <w:p w:rsidR="006F4104" w:rsidRDefault="00AC4233" w:rsidP="006F4104">
            <w:pPr>
              <w:pStyle w:val="Akapitzlist"/>
              <w:numPr>
                <w:ilvl w:val="4"/>
                <w:numId w:val="27"/>
              </w:numPr>
              <w:autoSpaceDE w:val="0"/>
              <w:autoSpaceDN w:val="0"/>
              <w:adjustRightInd w:val="0"/>
              <w:spacing w:after="60"/>
              <w:contextualSpacing w:val="0"/>
              <w:jc w:val="both"/>
              <w:rPr>
                <w:sz w:val="20"/>
                <w:szCs w:val="20"/>
              </w:rPr>
            </w:pPr>
            <w:r w:rsidRPr="006F4104">
              <w:rPr>
                <w:sz w:val="20"/>
                <w:szCs w:val="20"/>
              </w:rPr>
              <w:t>poziom hemoglobiny większy lub równy 9,5 g/dl;</w:t>
            </w:r>
          </w:p>
          <w:p w:rsidR="006F4104" w:rsidRDefault="00AC4233" w:rsidP="006F4104">
            <w:pPr>
              <w:pStyle w:val="Akapitzlist"/>
              <w:numPr>
                <w:ilvl w:val="2"/>
                <w:numId w:val="27"/>
              </w:numPr>
              <w:autoSpaceDE w:val="0"/>
              <w:autoSpaceDN w:val="0"/>
              <w:adjustRightInd w:val="0"/>
              <w:spacing w:after="60"/>
              <w:contextualSpacing w:val="0"/>
              <w:jc w:val="both"/>
              <w:rPr>
                <w:sz w:val="20"/>
                <w:szCs w:val="20"/>
              </w:rPr>
            </w:pPr>
            <w:r w:rsidRPr="006F4104">
              <w:rPr>
                <w:sz w:val="20"/>
                <w:szCs w:val="20"/>
              </w:rPr>
              <w:t>czynność tarczycy prawidłowa lub wyrównana farmakologicznie;</w:t>
            </w:r>
          </w:p>
          <w:p w:rsidR="006F4104" w:rsidRDefault="00AC4233" w:rsidP="006F4104">
            <w:pPr>
              <w:pStyle w:val="Akapitzlist"/>
              <w:numPr>
                <w:ilvl w:val="2"/>
                <w:numId w:val="27"/>
              </w:numPr>
              <w:autoSpaceDE w:val="0"/>
              <w:autoSpaceDN w:val="0"/>
              <w:adjustRightInd w:val="0"/>
              <w:spacing w:after="60"/>
              <w:contextualSpacing w:val="0"/>
              <w:jc w:val="both"/>
              <w:rPr>
                <w:sz w:val="20"/>
                <w:szCs w:val="20"/>
              </w:rPr>
            </w:pPr>
            <w:r w:rsidRPr="006F4104">
              <w:rPr>
                <w:sz w:val="20"/>
                <w:szCs w:val="20"/>
              </w:rPr>
              <w:t>nieobecność niekontrolowanych chorób układu sercowo-naczyniowego.</w:t>
            </w:r>
          </w:p>
          <w:p w:rsidR="006F4104" w:rsidRDefault="00AC4233" w:rsidP="006F4104">
            <w:pPr>
              <w:autoSpaceDE w:val="0"/>
              <w:autoSpaceDN w:val="0"/>
              <w:adjustRightInd w:val="0"/>
              <w:spacing w:after="60"/>
              <w:jc w:val="both"/>
              <w:rPr>
                <w:sz w:val="20"/>
                <w:szCs w:val="20"/>
              </w:rPr>
            </w:pPr>
            <w:r w:rsidRPr="006F4104">
              <w:rPr>
                <w:sz w:val="20"/>
                <w:szCs w:val="20"/>
              </w:rPr>
              <w:t>Kryteria kwalifikacji muszą być spełnione łącznie.</w:t>
            </w:r>
          </w:p>
          <w:p w:rsidR="006F4104" w:rsidRPr="006F4104" w:rsidRDefault="006F4104" w:rsidP="006F4104">
            <w:pPr>
              <w:autoSpaceDE w:val="0"/>
              <w:autoSpaceDN w:val="0"/>
              <w:adjustRightInd w:val="0"/>
              <w:spacing w:after="60"/>
              <w:jc w:val="both"/>
              <w:rPr>
                <w:sz w:val="20"/>
                <w:szCs w:val="20"/>
              </w:rPr>
            </w:pPr>
          </w:p>
          <w:p w:rsidR="00AC4233" w:rsidRPr="006F4104" w:rsidRDefault="00AC4233" w:rsidP="006F4104">
            <w:pPr>
              <w:pStyle w:val="Akapitzlist"/>
              <w:numPr>
                <w:ilvl w:val="1"/>
                <w:numId w:val="27"/>
              </w:numPr>
              <w:autoSpaceDE w:val="0"/>
              <w:autoSpaceDN w:val="0"/>
              <w:adjustRightInd w:val="0"/>
              <w:spacing w:after="60"/>
              <w:contextualSpacing w:val="0"/>
              <w:jc w:val="both"/>
              <w:rPr>
                <w:b/>
                <w:sz w:val="20"/>
                <w:szCs w:val="20"/>
              </w:rPr>
            </w:pPr>
            <w:r w:rsidRPr="006F4104">
              <w:rPr>
                <w:b/>
                <w:bCs/>
                <w:sz w:val="20"/>
                <w:szCs w:val="20"/>
              </w:rPr>
              <w:t>Określenie czasu leczenia w programie</w:t>
            </w:r>
          </w:p>
          <w:p w:rsidR="00AC4233" w:rsidRDefault="00AC4233" w:rsidP="009E1845">
            <w:pPr>
              <w:autoSpaceDE w:val="0"/>
              <w:autoSpaceDN w:val="0"/>
              <w:adjustRightInd w:val="0"/>
              <w:rPr>
                <w:sz w:val="20"/>
                <w:szCs w:val="20"/>
              </w:rPr>
            </w:pPr>
            <w:r w:rsidRPr="009E1845">
              <w:rPr>
                <w:sz w:val="20"/>
                <w:szCs w:val="20"/>
              </w:rPr>
              <w:t>Leczenie trwa do czasu podjęcia przez lekarza prowadzącego decyzji o wyłączeniu świadczeniobiorcy z programu, zgodnie z kryteriami wyłączenia.</w:t>
            </w:r>
          </w:p>
          <w:p w:rsidR="006F4104" w:rsidRPr="009E1845" w:rsidRDefault="006F4104" w:rsidP="009E1845">
            <w:pPr>
              <w:autoSpaceDE w:val="0"/>
              <w:autoSpaceDN w:val="0"/>
              <w:adjustRightInd w:val="0"/>
              <w:rPr>
                <w:sz w:val="20"/>
                <w:szCs w:val="20"/>
              </w:rPr>
            </w:pPr>
          </w:p>
          <w:p w:rsidR="00AC4233" w:rsidRPr="006F4104" w:rsidRDefault="00AC4233" w:rsidP="006F4104">
            <w:pPr>
              <w:pStyle w:val="Akapitzlist"/>
              <w:numPr>
                <w:ilvl w:val="1"/>
                <w:numId w:val="27"/>
              </w:numPr>
              <w:autoSpaceDE w:val="0"/>
              <w:autoSpaceDN w:val="0"/>
              <w:adjustRightInd w:val="0"/>
              <w:spacing w:after="60"/>
              <w:contextualSpacing w:val="0"/>
              <w:jc w:val="both"/>
              <w:rPr>
                <w:b/>
                <w:bCs/>
                <w:sz w:val="20"/>
                <w:szCs w:val="20"/>
              </w:rPr>
            </w:pPr>
            <w:r w:rsidRPr="009E1845">
              <w:rPr>
                <w:b/>
                <w:bCs/>
                <w:sz w:val="20"/>
                <w:szCs w:val="20"/>
              </w:rPr>
              <w:t>Kryteria wyłączenia z programu</w:t>
            </w:r>
          </w:p>
          <w:p w:rsidR="006F4104" w:rsidRDefault="00AC4233" w:rsidP="009E1845">
            <w:pPr>
              <w:pStyle w:val="Akapitzlist"/>
              <w:numPr>
                <w:ilvl w:val="2"/>
                <w:numId w:val="27"/>
              </w:numPr>
              <w:autoSpaceDE w:val="0"/>
              <w:autoSpaceDN w:val="0"/>
              <w:adjustRightInd w:val="0"/>
              <w:spacing w:after="60"/>
              <w:contextualSpacing w:val="0"/>
              <w:jc w:val="both"/>
              <w:rPr>
                <w:sz w:val="20"/>
                <w:szCs w:val="20"/>
              </w:rPr>
            </w:pPr>
            <w:r w:rsidRPr="009E1845">
              <w:rPr>
                <w:sz w:val="20"/>
                <w:szCs w:val="20"/>
              </w:rPr>
              <w:t xml:space="preserve">udokumentowana progresja w trakcie stosowania leku; </w:t>
            </w:r>
          </w:p>
          <w:p w:rsidR="006F4104" w:rsidRDefault="00AC4233" w:rsidP="009E1845">
            <w:pPr>
              <w:pStyle w:val="Akapitzlist"/>
              <w:numPr>
                <w:ilvl w:val="2"/>
                <w:numId w:val="27"/>
              </w:numPr>
              <w:autoSpaceDE w:val="0"/>
              <w:autoSpaceDN w:val="0"/>
              <w:adjustRightInd w:val="0"/>
              <w:spacing w:after="60"/>
              <w:contextualSpacing w:val="0"/>
              <w:jc w:val="both"/>
              <w:rPr>
                <w:sz w:val="20"/>
                <w:szCs w:val="20"/>
              </w:rPr>
            </w:pPr>
            <w:r w:rsidRPr="006F4104">
              <w:rPr>
                <w:sz w:val="20"/>
                <w:szCs w:val="20"/>
              </w:rPr>
              <w:t xml:space="preserve">wystąpienie objawów nadwrażliwości na </w:t>
            </w:r>
            <w:proofErr w:type="spellStart"/>
            <w:r w:rsidRPr="006F4104">
              <w:rPr>
                <w:sz w:val="20"/>
                <w:szCs w:val="20"/>
              </w:rPr>
              <w:t>sorefenib</w:t>
            </w:r>
            <w:proofErr w:type="spellEnd"/>
            <w:r w:rsidRPr="006F4104">
              <w:rPr>
                <w:sz w:val="20"/>
                <w:szCs w:val="20"/>
              </w:rPr>
              <w:t xml:space="preserve"> lub na którąkolwiek substancję pomocniczą;</w:t>
            </w:r>
          </w:p>
          <w:p w:rsidR="006F4104" w:rsidRDefault="00AC4233" w:rsidP="009E1845">
            <w:pPr>
              <w:pStyle w:val="Akapitzlist"/>
              <w:numPr>
                <w:ilvl w:val="2"/>
                <w:numId w:val="27"/>
              </w:numPr>
              <w:autoSpaceDE w:val="0"/>
              <w:autoSpaceDN w:val="0"/>
              <w:adjustRightInd w:val="0"/>
              <w:spacing w:after="60"/>
              <w:contextualSpacing w:val="0"/>
              <w:jc w:val="both"/>
              <w:rPr>
                <w:sz w:val="20"/>
                <w:szCs w:val="20"/>
              </w:rPr>
            </w:pPr>
            <w:r w:rsidRPr="006F4104">
              <w:rPr>
                <w:sz w:val="20"/>
                <w:szCs w:val="20"/>
              </w:rPr>
              <w:t>nawracająca lub nieakceptowalna toksyczność powyżej 3 stopnia według skali WHO;</w:t>
            </w:r>
          </w:p>
          <w:p w:rsidR="006F4104" w:rsidRDefault="00AC4233" w:rsidP="009E1845">
            <w:pPr>
              <w:pStyle w:val="Akapitzlist"/>
              <w:numPr>
                <w:ilvl w:val="2"/>
                <w:numId w:val="27"/>
              </w:numPr>
              <w:autoSpaceDE w:val="0"/>
              <w:autoSpaceDN w:val="0"/>
              <w:adjustRightInd w:val="0"/>
              <w:spacing w:after="60"/>
              <w:contextualSpacing w:val="0"/>
              <w:jc w:val="both"/>
              <w:rPr>
                <w:sz w:val="20"/>
                <w:szCs w:val="20"/>
              </w:rPr>
            </w:pPr>
            <w:r w:rsidRPr="006F4104">
              <w:rPr>
                <w:sz w:val="20"/>
                <w:szCs w:val="20"/>
              </w:rPr>
              <w:t xml:space="preserve">utrzymujący się stan sprawności 70 lub niższy według skali </w:t>
            </w:r>
            <w:proofErr w:type="spellStart"/>
            <w:r w:rsidRPr="006F4104">
              <w:rPr>
                <w:sz w:val="20"/>
                <w:szCs w:val="20"/>
              </w:rPr>
              <w:t>Karnofsky'ego</w:t>
            </w:r>
            <w:proofErr w:type="spellEnd"/>
            <w:r w:rsidRPr="006F4104">
              <w:rPr>
                <w:sz w:val="20"/>
                <w:szCs w:val="20"/>
              </w:rPr>
              <w:t>;</w:t>
            </w:r>
          </w:p>
          <w:p w:rsidR="006F4104" w:rsidRDefault="00AC4233" w:rsidP="009E1845">
            <w:pPr>
              <w:pStyle w:val="Akapitzlist"/>
              <w:numPr>
                <w:ilvl w:val="2"/>
                <w:numId w:val="27"/>
              </w:numPr>
              <w:autoSpaceDE w:val="0"/>
              <w:autoSpaceDN w:val="0"/>
              <w:adjustRightInd w:val="0"/>
              <w:spacing w:after="60"/>
              <w:contextualSpacing w:val="0"/>
              <w:jc w:val="both"/>
              <w:rPr>
                <w:sz w:val="20"/>
                <w:szCs w:val="20"/>
              </w:rPr>
            </w:pPr>
            <w:r w:rsidRPr="006F4104">
              <w:rPr>
                <w:sz w:val="20"/>
                <w:szCs w:val="20"/>
              </w:rPr>
              <w:t>wystąpienie objawów zastoinowej niewydolności serca, ostrych incydentów niewydolności wieńcowej, niekontrolowanego nadciśnienia tętniczego oraz niestabilnych zaburzeń rytmu serca wymagających leczenia;</w:t>
            </w:r>
          </w:p>
          <w:p w:rsidR="0077559D" w:rsidRDefault="00AC4233" w:rsidP="009E1845">
            <w:pPr>
              <w:pStyle w:val="Akapitzlist"/>
              <w:numPr>
                <w:ilvl w:val="2"/>
                <w:numId w:val="27"/>
              </w:numPr>
              <w:autoSpaceDE w:val="0"/>
              <w:autoSpaceDN w:val="0"/>
              <w:adjustRightInd w:val="0"/>
              <w:spacing w:after="60"/>
              <w:contextualSpacing w:val="0"/>
              <w:jc w:val="both"/>
              <w:rPr>
                <w:sz w:val="20"/>
                <w:szCs w:val="20"/>
              </w:rPr>
            </w:pPr>
            <w:r w:rsidRPr="006F4104">
              <w:rPr>
                <w:sz w:val="20"/>
                <w:szCs w:val="20"/>
              </w:rPr>
              <w:t>istotne pogorszenie jakości życia w trakcie stosowania leku.</w:t>
            </w:r>
          </w:p>
          <w:p w:rsidR="0077559D" w:rsidRDefault="0077559D" w:rsidP="0077559D">
            <w:pPr>
              <w:pStyle w:val="Akapitzlist"/>
              <w:autoSpaceDE w:val="0"/>
              <w:autoSpaceDN w:val="0"/>
              <w:adjustRightInd w:val="0"/>
              <w:spacing w:after="60"/>
              <w:ind w:left="397"/>
              <w:contextualSpacing w:val="0"/>
              <w:jc w:val="both"/>
              <w:rPr>
                <w:sz w:val="20"/>
                <w:szCs w:val="20"/>
              </w:rPr>
            </w:pPr>
          </w:p>
          <w:p w:rsidR="0077559D" w:rsidRDefault="007D1B6A" w:rsidP="00D037FD">
            <w:pPr>
              <w:pStyle w:val="Akapitzlist"/>
              <w:numPr>
                <w:ilvl w:val="0"/>
                <w:numId w:val="27"/>
              </w:numPr>
              <w:autoSpaceDE w:val="0"/>
              <w:autoSpaceDN w:val="0"/>
              <w:adjustRightInd w:val="0"/>
              <w:spacing w:after="60"/>
              <w:contextualSpacing w:val="0"/>
              <w:jc w:val="both"/>
              <w:rPr>
                <w:b/>
                <w:bCs/>
                <w:sz w:val="20"/>
                <w:szCs w:val="20"/>
              </w:rPr>
            </w:pPr>
            <w:r w:rsidRPr="0077559D">
              <w:rPr>
                <w:b/>
                <w:bCs/>
                <w:sz w:val="20"/>
                <w:szCs w:val="20"/>
              </w:rPr>
              <w:t xml:space="preserve">Leczenie raka nerki przy wykorzystaniu substancji czynnej </w:t>
            </w:r>
            <w:proofErr w:type="spellStart"/>
            <w:r w:rsidRPr="0077559D">
              <w:rPr>
                <w:b/>
                <w:bCs/>
                <w:sz w:val="20"/>
                <w:szCs w:val="20"/>
              </w:rPr>
              <w:t>pazopanib</w:t>
            </w:r>
            <w:proofErr w:type="spellEnd"/>
          </w:p>
          <w:p w:rsidR="007D1B6A" w:rsidRPr="0077559D" w:rsidRDefault="007D1B6A" w:rsidP="0077559D">
            <w:pPr>
              <w:pStyle w:val="Akapitzlist"/>
              <w:numPr>
                <w:ilvl w:val="1"/>
                <w:numId w:val="27"/>
              </w:numPr>
              <w:autoSpaceDE w:val="0"/>
              <w:autoSpaceDN w:val="0"/>
              <w:adjustRightInd w:val="0"/>
              <w:spacing w:after="60"/>
              <w:contextualSpacing w:val="0"/>
              <w:jc w:val="both"/>
              <w:rPr>
                <w:b/>
                <w:bCs/>
                <w:sz w:val="20"/>
                <w:szCs w:val="20"/>
              </w:rPr>
            </w:pPr>
            <w:r w:rsidRPr="0077559D">
              <w:rPr>
                <w:b/>
                <w:bCs/>
                <w:sz w:val="20"/>
                <w:szCs w:val="20"/>
              </w:rPr>
              <w:t xml:space="preserve">Kryteria kwalifikacji </w:t>
            </w:r>
          </w:p>
          <w:p w:rsidR="0077559D" w:rsidRDefault="007D1B6A" w:rsidP="009E1845">
            <w:pPr>
              <w:pStyle w:val="Akapitzlist"/>
              <w:numPr>
                <w:ilvl w:val="2"/>
                <w:numId w:val="27"/>
              </w:numPr>
              <w:autoSpaceDE w:val="0"/>
              <w:autoSpaceDN w:val="0"/>
              <w:adjustRightInd w:val="0"/>
              <w:spacing w:after="60"/>
              <w:contextualSpacing w:val="0"/>
              <w:jc w:val="both"/>
              <w:rPr>
                <w:sz w:val="20"/>
                <w:szCs w:val="20"/>
              </w:rPr>
            </w:pPr>
            <w:r w:rsidRPr="009E1845">
              <w:rPr>
                <w:sz w:val="20"/>
                <w:szCs w:val="20"/>
              </w:rPr>
              <w:lastRenderedPageBreak/>
              <w:t xml:space="preserve">histologicznie potwierdzone rozpoznanie </w:t>
            </w:r>
            <w:proofErr w:type="spellStart"/>
            <w:r w:rsidRPr="009E1845">
              <w:rPr>
                <w:sz w:val="20"/>
                <w:szCs w:val="20"/>
              </w:rPr>
              <w:t>jasnokomórkowego</w:t>
            </w:r>
            <w:proofErr w:type="spellEnd"/>
            <w:r w:rsidRPr="009E1845">
              <w:rPr>
                <w:sz w:val="20"/>
                <w:szCs w:val="20"/>
              </w:rPr>
              <w:t xml:space="preserve"> raka nerki lub mieszanego raka </w:t>
            </w:r>
            <w:proofErr w:type="spellStart"/>
            <w:r w:rsidRPr="009E1845">
              <w:rPr>
                <w:sz w:val="20"/>
                <w:szCs w:val="20"/>
              </w:rPr>
              <w:t>nerkowokomórkowego</w:t>
            </w:r>
            <w:proofErr w:type="spellEnd"/>
            <w:r w:rsidRPr="009E1845">
              <w:rPr>
                <w:sz w:val="20"/>
                <w:szCs w:val="20"/>
              </w:rPr>
              <w:t xml:space="preserve"> z przeważającym (powyżej 60% utkania) komponentem </w:t>
            </w:r>
            <w:proofErr w:type="spellStart"/>
            <w:r w:rsidRPr="009E1845">
              <w:rPr>
                <w:sz w:val="20"/>
                <w:szCs w:val="20"/>
              </w:rPr>
              <w:t>jasnokomórkowym</w:t>
            </w:r>
            <w:proofErr w:type="spellEnd"/>
            <w:r w:rsidRPr="009E1845">
              <w:rPr>
                <w:sz w:val="20"/>
                <w:szCs w:val="20"/>
              </w:rPr>
              <w:t>;</w:t>
            </w:r>
          </w:p>
          <w:p w:rsidR="0077559D" w:rsidRDefault="009F3ED7" w:rsidP="009E1845">
            <w:pPr>
              <w:pStyle w:val="Akapitzlist"/>
              <w:numPr>
                <w:ilvl w:val="2"/>
                <w:numId w:val="27"/>
              </w:numPr>
              <w:autoSpaceDE w:val="0"/>
              <w:autoSpaceDN w:val="0"/>
              <w:adjustRightInd w:val="0"/>
              <w:spacing w:after="60"/>
              <w:contextualSpacing w:val="0"/>
              <w:jc w:val="both"/>
              <w:rPr>
                <w:sz w:val="20"/>
                <w:szCs w:val="20"/>
              </w:rPr>
            </w:pPr>
            <w:r w:rsidRPr="0077559D">
              <w:rPr>
                <w:sz w:val="20"/>
                <w:szCs w:val="20"/>
              </w:rPr>
              <w:t>nowotwór w stadium zaawansowanym (pierwotne uogólnienie lub nawrót po pierwotnym leczeniu chirurgicznym);</w:t>
            </w:r>
          </w:p>
          <w:p w:rsidR="0077559D" w:rsidRDefault="007D1B6A" w:rsidP="009E1845">
            <w:pPr>
              <w:pStyle w:val="Akapitzlist"/>
              <w:numPr>
                <w:ilvl w:val="2"/>
                <w:numId w:val="27"/>
              </w:numPr>
              <w:autoSpaceDE w:val="0"/>
              <w:autoSpaceDN w:val="0"/>
              <w:adjustRightInd w:val="0"/>
              <w:spacing w:after="60"/>
              <w:contextualSpacing w:val="0"/>
              <w:jc w:val="both"/>
              <w:rPr>
                <w:sz w:val="20"/>
                <w:szCs w:val="20"/>
              </w:rPr>
            </w:pPr>
            <w:r w:rsidRPr="0077559D">
              <w:rPr>
                <w:sz w:val="20"/>
                <w:szCs w:val="20"/>
              </w:rPr>
              <w:t>brak wcześniejszego leczenia farmakologicznego raka nerki lub wcześniejsze leczenie z zastosowaniem cytokin (udokumentowane niepowodzenie wcześniejszej immunoterapii z zastosowaniem interferonu-α (</w:t>
            </w:r>
            <w:r w:rsidR="007C5A68" w:rsidRPr="0077559D">
              <w:rPr>
                <w:sz w:val="20"/>
                <w:szCs w:val="20"/>
              </w:rPr>
              <w:t xml:space="preserve">IFN-α) lub przeciwwskazania do dalszego </w:t>
            </w:r>
            <w:r w:rsidRPr="0077559D">
              <w:rPr>
                <w:sz w:val="20"/>
                <w:szCs w:val="20"/>
              </w:rPr>
              <w:t>stosowania IFN-α)</w:t>
            </w:r>
            <w:r w:rsidR="0077559D">
              <w:rPr>
                <w:sz w:val="20"/>
                <w:szCs w:val="20"/>
              </w:rPr>
              <w:t>;</w:t>
            </w:r>
          </w:p>
          <w:p w:rsidR="0077559D" w:rsidRDefault="007D1B6A" w:rsidP="009E1845">
            <w:pPr>
              <w:pStyle w:val="Akapitzlist"/>
              <w:numPr>
                <w:ilvl w:val="2"/>
                <w:numId w:val="27"/>
              </w:numPr>
              <w:autoSpaceDE w:val="0"/>
              <w:autoSpaceDN w:val="0"/>
              <w:adjustRightInd w:val="0"/>
              <w:spacing w:after="60"/>
              <w:contextualSpacing w:val="0"/>
              <w:jc w:val="both"/>
              <w:rPr>
                <w:sz w:val="20"/>
                <w:szCs w:val="20"/>
              </w:rPr>
            </w:pPr>
            <w:r w:rsidRPr="0077559D">
              <w:rPr>
                <w:sz w:val="20"/>
                <w:szCs w:val="20"/>
              </w:rPr>
              <w:t xml:space="preserve">uprzednie wykonanie nefrektomii </w:t>
            </w:r>
            <w:r w:rsidR="00E06EF4" w:rsidRPr="0077559D">
              <w:rPr>
                <w:sz w:val="20"/>
                <w:szCs w:val="20"/>
              </w:rPr>
              <w:t>(radykalnej</w:t>
            </w:r>
            <w:r w:rsidRPr="0077559D">
              <w:rPr>
                <w:sz w:val="20"/>
                <w:szCs w:val="20"/>
              </w:rPr>
              <w:t xml:space="preserve"> lub oszczędzające</w:t>
            </w:r>
            <w:r w:rsidR="00E06EF4" w:rsidRPr="0077559D">
              <w:rPr>
                <w:sz w:val="20"/>
                <w:szCs w:val="20"/>
              </w:rPr>
              <w:t>j)</w:t>
            </w:r>
            <w:r w:rsidRPr="0077559D">
              <w:rPr>
                <w:sz w:val="20"/>
                <w:szCs w:val="20"/>
              </w:rPr>
              <w:t>;</w:t>
            </w:r>
          </w:p>
          <w:p w:rsidR="0077559D" w:rsidRDefault="009F3ED7" w:rsidP="009E1845">
            <w:pPr>
              <w:pStyle w:val="Akapitzlist"/>
              <w:numPr>
                <w:ilvl w:val="2"/>
                <w:numId w:val="27"/>
              </w:numPr>
              <w:autoSpaceDE w:val="0"/>
              <w:autoSpaceDN w:val="0"/>
              <w:adjustRightInd w:val="0"/>
              <w:spacing w:after="60"/>
              <w:contextualSpacing w:val="0"/>
              <w:jc w:val="both"/>
              <w:rPr>
                <w:sz w:val="20"/>
                <w:szCs w:val="20"/>
              </w:rPr>
            </w:pPr>
            <w:r w:rsidRPr="0077559D">
              <w:rPr>
                <w:sz w:val="20"/>
                <w:szCs w:val="20"/>
              </w:rPr>
              <w:t>udokumentowana obecność przerzutów narządowych;</w:t>
            </w:r>
          </w:p>
          <w:p w:rsidR="0077559D" w:rsidRDefault="007D1B6A" w:rsidP="009E1845">
            <w:pPr>
              <w:pStyle w:val="Akapitzlist"/>
              <w:numPr>
                <w:ilvl w:val="2"/>
                <w:numId w:val="27"/>
              </w:numPr>
              <w:autoSpaceDE w:val="0"/>
              <w:autoSpaceDN w:val="0"/>
              <w:adjustRightInd w:val="0"/>
              <w:spacing w:after="60"/>
              <w:contextualSpacing w:val="0"/>
              <w:jc w:val="both"/>
              <w:rPr>
                <w:sz w:val="20"/>
                <w:szCs w:val="20"/>
              </w:rPr>
            </w:pPr>
            <w:r w:rsidRPr="0077559D">
              <w:rPr>
                <w:sz w:val="20"/>
                <w:szCs w:val="20"/>
              </w:rPr>
              <w:t>możliwa</w:t>
            </w:r>
            <w:r w:rsidR="00744872">
              <w:rPr>
                <w:sz w:val="20"/>
                <w:szCs w:val="20"/>
              </w:rPr>
              <w:t xml:space="preserve"> </w:t>
            </w:r>
            <w:r w:rsidRPr="0077559D">
              <w:rPr>
                <w:sz w:val="20"/>
                <w:szCs w:val="20"/>
              </w:rPr>
              <w:t>obiektywna ocena w badaniach obrazowych metodą komputerowej tomografii (KT) lub magnetycznego rezonansu (MR) z zastrzeżeniem konieczności</w:t>
            </w:r>
            <w:r w:rsidR="00744872">
              <w:rPr>
                <w:sz w:val="20"/>
                <w:szCs w:val="20"/>
              </w:rPr>
              <w:t xml:space="preserve"> </w:t>
            </w:r>
            <w:r w:rsidRPr="0077559D">
              <w:rPr>
                <w:sz w:val="20"/>
                <w:szCs w:val="20"/>
              </w:rPr>
              <w:t>potwierdzenia zmian w układzie kostnym przy użyciu konwencjonalnej rentgenografii (RTG) lub MR;</w:t>
            </w:r>
          </w:p>
          <w:p w:rsidR="0077559D" w:rsidRDefault="007D1B6A" w:rsidP="009E1845">
            <w:pPr>
              <w:pStyle w:val="Akapitzlist"/>
              <w:numPr>
                <w:ilvl w:val="2"/>
                <w:numId w:val="27"/>
              </w:numPr>
              <w:autoSpaceDE w:val="0"/>
              <w:autoSpaceDN w:val="0"/>
              <w:adjustRightInd w:val="0"/>
              <w:spacing w:after="60"/>
              <w:contextualSpacing w:val="0"/>
              <w:jc w:val="both"/>
              <w:rPr>
                <w:sz w:val="20"/>
                <w:szCs w:val="20"/>
              </w:rPr>
            </w:pPr>
            <w:r w:rsidRPr="0077559D">
              <w:rPr>
                <w:sz w:val="20"/>
                <w:szCs w:val="20"/>
              </w:rPr>
              <w:t>nieobecność przerzutów w ośrodkowym układzie nerwowym (dopuszczalne wcz</w:t>
            </w:r>
            <w:r w:rsidR="0077559D">
              <w:rPr>
                <w:sz w:val="20"/>
                <w:szCs w:val="20"/>
              </w:rPr>
              <w:t>eśniejsze wycięcie przerzutów i</w:t>
            </w:r>
            <w:r w:rsidRPr="0077559D">
              <w:rPr>
                <w:sz w:val="20"/>
                <w:szCs w:val="20"/>
              </w:rPr>
              <w:t>/lub radioterapia, o ile po leczeniu utrzymuje się stan bezobjawowy);</w:t>
            </w:r>
          </w:p>
          <w:p w:rsidR="0077559D" w:rsidRDefault="007D1B6A" w:rsidP="009E1845">
            <w:pPr>
              <w:pStyle w:val="Akapitzlist"/>
              <w:numPr>
                <w:ilvl w:val="2"/>
                <w:numId w:val="27"/>
              </w:numPr>
              <w:autoSpaceDE w:val="0"/>
              <w:autoSpaceDN w:val="0"/>
              <w:adjustRightInd w:val="0"/>
              <w:spacing w:after="60"/>
              <w:contextualSpacing w:val="0"/>
              <w:jc w:val="both"/>
              <w:rPr>
                <w:sz w:val="20"/>
                <w:szCs w:val="20"/>
              </w:rPr>
            </w:pPr>
            <w:r w:rsidRPr="0077559D">
              <w:rPr>
                <w:sz w:val="20"/>
                <w:szCs w:val="20"/>
              </w:rPr>
              <w:t xml:space="preserve">stan sprawności 80-100 wg skali </w:t>
            </w:r>
            <w:proofErr w:type="spellStart"/>
            <w:r w:rsidRPr="0077559D">
              <w:rPr>
                <w:sz w:val="20"/>
                <w:szCs w:val="20"/>
              </w:rPr>
              <w:t>Karnofsky’ego</w:t>
            </w:r>
            <w:proofErr w:type="spellEnd"/>
            <w:r w:rsidRPr="0077559D">
              <w:rPr>
                <w:sz w:val="20"/>
                <w:szCs w:val="20"/>
              </w:rPr>
              <w:t>;</w:t>
            </w:r>
          </w:p>
          <w:p w:rsidR="0077559D" w:rsidRDefault="007D1B6A" w:rsidP="009E1845">
            <w:pPr>
              <w:pStyle w:val="Akapitzlist"/>
              <w:numPr>
                <w:ilvl w:val="2"/>
                <w:numId w:val="27"/>
              </w:numPr>
              <w:autoSpaceDE w:val="0"/>
              <w:autoSpaceDN w:val="0"/>
              <w:adjustRightInd w:val="0"/>
              <w:spacing w:after="60"/>
              <w:contextualSpacing w:val="0"/>
              <w:jc w:val="both"/>
              <w:rPr>
                <w:sz w:val="20"/>
                <w:szCs w:val="20"/>
              </w:rPr>
            </w:pPr>
            <w:r w:rsidRPr="0077559D">
              <w:rPr>
                <w:sz w:val="20"/>
                <w:szCs w:val="20"/>
              </w:rPr>
              <w:t>korzystne lub pośrednie rokowanie według skali MSKCC (</w:t>
            </w:r>
            <w:proofErr w:type="spellStart"/>
            <w:r w:rsidRPr="0077559D">
              <w:rPr>
                <w:sz w:val="20"/>
                <w:szCs w:val="20"/>
              </w:rPr>
              <w:t>Memorial</w:t>
            </w:r>
            <w:proofErr w:type="spellEnd"/>
            <w:r w:rsidRPr="0077559D">
              <w:rPr>
                <w:sz w:val="20"/>
                <w:szCs w:val="20"/>
              </w:rPr>
              <w:t xml:space="preserve"> Sloan-</w:t>
            </w:r>
            <w:proofErr w:type="spellStart"/>
            <w:r w:rsidRPr="0077559D">
              <w:rPr>
                <w:sz w:val="20"/>
                <w:szCs w:val="20"/>
              </w:rPr>
              <w:t>Kettering</w:t>
            </w:r>
            <w:proofErr w:type="spellEnd"/>
            <w:r w:rsidRPr="0077559D">
              <w:rPr>
                <w:sz w:val="20"/>
                <w:szCs w:val="20"/>
              </w:rPr>
              <w:t xml:space="preserve"> </w:t>
            </w:r>
            <w:proofErr w:type="spellStart"/>
            <w:r w:rsidRPr="0077559D">
              <w:rPr>
                <w:sz w:val="20"/>
                <w:szCs w:val="20"/>
              </w:rPr>
              <w:t>Cancer</w:t>
            </w:r>
            <w:proofErr w:type="spellEnd"/>
            <w:r w:rsidRPr="0077559D">
              <w:rPr>
                <w:sz w:val="20"/>
                <w:szCs w:val="20"/>
              </w:rPr>
              <w:t xml:space="preserve"> Center);</w:t>
            </w:r>
          </w:p>
          <w:p w:rsidR="0077559D" w:rsidRDefault="007D1B6A" w:rsidP="009E1845">
            <w:pPr>
              <w:pStyle w:val="Akapitzlist"/>
              <w:numPr>
                <w:ilvl w:val="2"/>
                <w:numId w:val="27"/>
              </w:numPr>
              <w:autoSpaceDE w:val="0"/>
              <w:autoSpaceDN w:val="0"/>
              <w:adjustRightInd w:val="0"/>
              <w:spacing w:after="60"/>
              <w:contextualSpacing w:val="0"/>
              <w:jc w:val="both"/>
              <w:rPr>
                <w:sz w:val="20"/>
                <w:szCs w:val="20"/>
              </w:rPr>
            </w:pPr>
            <w:r w:rsidRPr="0077559D">
              <w:rPr>
                <w:sz w:val="20"/>
                <w:szCs w:val="20"/>
              </w:rPr>
              <w:t>wykluczenie ciąży i okresu karmienia piersią;</w:t>
            </w:r>
          </w:p>
          <w:p w:rsidR="0077559D" w:rsidRDefault="007D1B6A" w:rsidP="009E1845">
            <w:pPr>
              <w:pStyle w:val="Akapitzlist"/>
              <w:numPr>
                <w:ilvl w:val="2"/>
                <w:numId w:val="27"/>
              </w:numPr>
              <w:autoSpaceDE w:val="0"/>
              <w:autoSpaceDN w:val="0"/>
              <w:adjustRightInd w:val="0"/>
              <w:spacing w:after="60"/>
              <w:contextualSpacing w:val="0"/>
              <w:jc w:val="both"/>
              <w:rPr>
                <w:sz w:val="20"/>
                <w:szCs w:val="20"/>
              </w:rPr>
            </w:pPr>
            <w:r w:rsidRPr="0077559D">
              <w:rPr>
                <w:sz w:val="20"/>
                <w:szCs w:val="20"/>
              </w:rPr>
              <w:t xml:space="preserve">nieobecność innych nowotworów złośliwych z wyjątkiem przedinwazyjnego raka szyjki macicy oraz raka </w:t>
            </w:r>
            <w:proofErr w:type="spellStart"/>
            <w:r w:rsidRPr="0077559D">
              <w:rPr>
                <w:sz w:val="20"/>
                <w:szCs w:val="20"/>
              </w:rPr>
              <w:t>podstawnokomórkowego</w:t>
            </w:r>
            <w:proofErr w:type="spellEnd"/>
            <w:r w:rsidRPr="0077559D">
              <w:rPr>
                <w:sz w:val="20"/>
                <w:szCs w:val="20"/>
              </w:rPr>
              <w:t xml:space="preserve"> skóry;</w:t>
            </w:r>
          </w:p>
          <w:p w:rsidR="0077559D" w:rsidRDefault="007D1B6A" w:rsidP="009E1845">
            <w:pPr>
              <w:pStyle w:val="Akapitzlist"/>
              <w:numPr>
                <w:ilvl w:val="2"/>
                <w:numId w:val="27"/>
              </w:numPr>
              <w:autoSpaceDE w:val="0"/>
              <w:autoSpaceDN w:val="0"/>
              <w:adjustRightInd w:val="0"/>
              <w:spacing w:after="60"/>
              <w:contextualSpacing w:val="0"/>
              <w:jc w:val="both"/>
              <w:rPr>
                <w:sz w:val="20"/>
                <w:szCs w:val="20"/>
              </w:rPr>
            </w:pPr>
            <w:r w:rsidRPr="0077559D">
              <w:rPr>
                <w:sz w:val="20"/>
                <w:szCs w:val="20"/>
              </w:rPr>
              <w:t>adekwatna wydolność narządowa określona na podsta</w:t>
            </w:r>
            <w:r w:rsidR="0077559D">
              <w:rPr>
                <w:sz w:val="20"/>
                <w:szCs w:val="20"/>
              </w:rPr>
              <w:t>wie badań laboratoryjnych krwi:</w:t>
            </w:r>
          </w:p>
          <w:p w:rsidR="0077559D" w:rsidRDefault="007D1B6A" w:rsidP="0077559D">
            <w:pPr>
              <w:pStyle w:val="Akapitzlist"/>
              <w:numPr>
                <w:ilvl w:val="3"/>
                <w:numId w:val="27"/>
              </w:numPr>
              <w:autoSpaceDE w:val="0"/>
              <w:autoSpaceDN w:val="0"/>
              <w:adjustRightInd w:val="0"/>
              <w:spacing w:after="60"/>
              <w:contextualSpacing w:val="0"/>
              <w:jc w:val="both"/>
              <w:rPr>
                <w:sz w:val="20"/>
                <w:szCs w:val="20"/>
              </w:rPr>
            </w:pPr>
            <w:r w:rsidRPr="0077559D">
              <w:rPr>
                <w:sz w:val="20"/>
                <w:szCs w:val="20"/>
              </w:rPr>
              <w:t>wyniki badań czynności wątroby:</w:t>
            </w:r>
          </w:p>
          <w:p w:rsidR="0077559D" w:rsidRDefault="007D1B6A" w:rsidP="0077559D">
            <w:pPr>
              <w:pStyle w:val="Akapitzlist"/>
              <w:numPr>
                <w:ilvl w:val="4"/>
                <w:numId w:val="27"/>
              </w:numPr>
              <w:autoSpaceDE w:val="0"/>
              <w:autoSpaceDN w:val="0"/>
              <w:adjustRightInd w:val="0"/>
              <w:spacing w:after="60"/>
              <w:contextualSpacing w:val="0"/>
              <w:jc w:val="both"/>
              <w:rPr>
                <w:sz w:val="20"/>
                <w:szCs w:val="20"/>
              </w:rPr>
            </w:pPr>
            <w:r w:rsidRPr="0077559D">
              <w:rPr>
                <w:sz w:val="20"/>
                <w:szCs w:val="20"/>
              </w:rPr>
              <w:t>stężenie bilirubiny całkowitej nieprzekraczające 2-krotnie górnej granicy normy (z wyjątkiem pacjentów z zespołem Gilberta),</w:t>
            </w:r>
          </w:p>
          <w:p w:rsidR="0077559D" w:rsidRDefault="00E06EF4" w:rsidP="0077559D">
            <w:pPr>
              <w:pStyle w:val="Akapitzlist"/>
              <w:numPr>
                <w:ilvl w:val="4"/>
                <w:numId w:val="27"/>
              </w:numPr>
              <w:autoSpaceDE w:val="0"/>
              <w:autoSpaceDN w:val="0"/>
              <w:adjustRightInd w:val="0"/>
              <w:spacing w:after="60"/>
              <w:contextualSpacing w:val="0"/>
              <w:jc w:val="both"/>
              <w:rPr>
                <w:sz w:val="20"/>
                <w:szCs w:val="20"/>
              </w:rPr>
            </w:pPr>
            <w:r w:rsidRPr="0077559D">
              <w:rPr>
                <w:sz w:val="20"/>
                <w:szCs w:val="20"/>
              </w:rPr>
              <w:t>aktywność transaminaz (alaninowej i asparaginowej) w surowicy nieprzekraczające 5-krotnie górnej granicy normy,</w:t>
            </w:r>
          </w:p>
          <w:p w:rsidR="0077559D" w:rsidRDefault="007D1B6A" w:rsidP="0077559D">
            <w:pPr>
              <w:pStyle w:val="Akapitzlist"/>
              <w:numPr>
                <w:ilvl w:val="3"/>
                <w:numId w:val="27"/>
              </w:numPr>
              <w:autoSpaceDE w:val="0"/>
              <w:autoSpaceDN w:val="0"/>
              <w:adjustRightInd w:val="0"/>
              <w:spacing w:after="60"/>
              <w:contextualSpacing w:val="0"/>
              <w:jc w:val="both"/>
              <w:rPr>
                <w:sz w:val="20"/>
                <w:szCs w:val="20"/>
              </w:rPr>
            </w:pPr>
            <w:r w:rsidRPr="0077559D">
              <w:rPr>
                <w:sz w:val="20"/>
                <w:szCs w:val="20"/>
              </w:rPr>
              <w:t>wyniki badania morfologii krwi z rozmazem:</w:t>
            </w:r>
          </w:p>
          <w:p w:rsidR="0077559D" w:rsidRDefault="007D1B6A" w:rsidP="0077559D">
            <w:pPr>
              <w:pStyle w:val="Akapitzlist"/>
              <w:numPr>
                <w:ilvl w:val="4"/>
                <w:numId w:val="27"/>
              </w:numPr>
              <w:autoSpaceDE w:val="0"/>
              <w:autoSpaceDN w:val="0"/>
              <w:adjustRightInd w:val="0"/>
              <w:spacing w:after="60"/>
              <w:contextualSpacing w:val="0"/>
              <w:jc w:val="both"/>
              <w:rPr>
                <w:sz w:val="20"/>
                <w:szCs w:val="20"/>
              </w:rPr>
            </w:pPr>
            <w:r w:rsidRPr="0077559D">
              <w:rPr>
                <w:sz w:val="20"/>
                <w:szCs w:val="20"/>
              </w:rPr>
              <w:t xml:space="preserve">liczba płytek krwi większa lub równa </w:t>
            </w:r>
            <w:r w:rsidR="0055780A" w:rsidRPr="0077559D">
              <w:rPr>
                <w:sz w:val="20"/>
                <w:szCs w:val="20"/>
              </w:rPr>
              <w:t>10</w:t>
            </w:r>
            <w:r w:rsidR="0055780A" w:rsidRPr="0077559D">
              <w:rPr>
                <w:sz w:val="20"/>
                <w:szCs w:val="20"/>
                <w:vertAlign w:val="superscript"/>
              </w:rPr>
              <w:t>5</w:t>
            </w:r>
            <w:r w:rsidR="0055780A" w:rsidRPr="0077559D">
              <w:rPr>
                <w:sz w:val="20"/>
                <w:szCs w:val="20"/>
              </w:rPr>
              <w:t>/</w:t>
            </w:r>
            <w:r w:rsidRPr="0077559D">
              <w:rPr>
                <w:sz w:val="20"/>
                <w:szCs w:val="20"/>
              </w:rPr>
              <w:t>mm</w:t>
            </w:r>
            <w:r w:rsidRPr="0077559D">
              <w:rPr>
                <w:sz w:val="20"/>
                <w:szCs w:val="20"/>
                <w:vertAlign w:val="superscript"/>
              </w:rPr>
              <w:t>3</w:t>
            </w:r>
            <w:r w:rsidRPr="0077559D">
              <w:rPr>
                <w:sz w:val="20"/>
                <w:szCs w:val="20"/>
              </w:rPr>
              <w:t>,</w:t>
            </w:r>
          </w:p>
          <w:p w:rsidR="0077559D" w:rsidRDefault="007D1B6A" w:rsidP="0077559D">
            <w:pPr>
              <w:pStyle w:val="Akapitzlist"/>
              <w:numPr>
                <w:ilvl w:val="4"/>
                <w:numId w:val="27"/>
              </w:numPr>
              <w:autoSpaceDE w:val="0"/>
              <w:autoSpaceDN w:val="0"/>
              <w:adjustRightInd w:val="0"/>
              <w:spacing w:after="60"/>
              <w:contextualSpacing w:val="0"/>
              <w:jc w:val="both"/>
              <w:rPr>
                <w:sz w:val="20"/>
                <w:szCs w:val="20"/>
              </w:rPr>
            </w:pPr>
            <w:r w:rsidRPr="0077559D">
              <w:rPr>
                <w:sz w:val="20"/>
                <w:szCs w:val="20"/>
              </w:rPr>
              <w:lastRenderedPageBreak/>
              <w:t>bezwzględna liczba granulocytów obojętnochłonnych większa lub równa 1500/mm</w:t>
            </w:r>
            <w:r w:rsidRPr="0077559D">
              <w:rPr>
                <w:sz w:val="20"/>
                <w:szCs w:val="20"/>
                <w:vertAlign w:val="superscript"/>
              </w:rPr>
              <w:t>3</w:t>
            </w:r>
            <w:r w:rsidR="0077559D">
              <w:rPr>
                <w:sz w:val="20"/>
                <w:szCs w:val="20"/>
              </w:rPr>
              <w:t>,</w:t>
            </w:r>
          </w:p>
          <w:p w:rsidR="0077559D" w:rsidRDefault="007D1B6A" w:rsidP="0077559D">
            <w:pPr>
              <w:pStyle w:val="Akapitzlist"/>
              <w:numPr>
                <w:ilvl w:val="4"/>
                <w:numId w:val="27"/>
              </w:numPr>
              <w:autoSpaceDE w:val="0"/>
              <w:autoSpaceDN w:val="0"/>
              <w:adjustRightInd w:val="0"/>
              <w:spacing w:after="60"/>
              <w:contextualSpacing w:val="0"/>
              <w:jc w:val="both"/>
              <w:rPr>
                <w:sz w:val="20"/>
                <w:szCs w:val="20"/>
              </w:rPr>
            </w:pPr>
            <w:r w:rsidRPr="0077559D">
              <w:rPr>
                <w:sz w:val="20"/>
                <w:szCs w:val="20"/>
              </w:rPr>
              <w:t>poziom hemoglobiny większy lub równy 9,5 g/dl;</w:t>
            </w:r>
          </w:p>
          <w:p w:rsidR="0077559D" w:rsidRDefault="00E53F4A" w:rsidP="0077559D">
            <w:pPr>
              <w:pStyle w:val="Akapitzlist"/>
              <w:numPr>
                <w:ilvl w:val="2"/>
                <w:numId w:val="27"/>
              </w:numPr>
              <w:autoSpaceDE w:val="0"/>
              <w:autoSpaceDN w:val="0"/>
              <w:adjustRightInd w:val="0"/>
              <w:spacing w:after="60"/>
              <w:contextualSpacing w:val="0"/>
              <w:jc w:val="both"/>
              <w:rPr>
                <w:sz w:val="20"/>
                <w:szCs w:val="20"/>
              </w:rPr>
            </w:pPr>
            <w:r w:rsidRPr="0077559D">
              <w:rPr>
                <w:sz w:val="20"/>
                <w:szCs w:val="20"/>
              </w:rPr>
              <w:t>czynność tarczycy prawidłowa lub wyrównana farmakologicznie;</w:t>
            </w:r>
          </w:p>
          <w:p w:rsidR="0077559D" w:rsidRDefault="007D1B6A" w:rsidP="0077559D">
            <w:pPr>
              <w:pStyle w:val="Akapitzlist"/>
              <w:numPr>
                <w:ilvl w:val="2"/>
                <w:numId w:val="27"/>
              </w:numPr>
              <w:autoSpaceDE w:val="0"/>
              <w:autoSpaceDN w:val="0"/>
              <w:adjustRightInd w:val="0"/>
              <w:spacing w:after="60"/>
              <w:contextualSpacing w:val="0"/>
              <w:jc w:val="both"/>
              <w:rPr>
                <w:sz w:val="20"/>
                <w:szCs w:val="20"/>
              </w:rPr>
            </w:pPr>
            <w:r w:rsidRPr="0077559D">
              <w:rPr>
                <w:sz w:val="20"/>
                <w:szCs w:val="20"/>
              </w:rPr>
              <w:t>nieobecność chorób układu sercowo-naczyniowego, które nie mogą być opanowane przy użyciu dostępnych metod leczenia.</w:t>
            </w:r>
          </w:p>
          <w:p w:rsidR="0077559D" w:rsidRDefault="007D1B6A" w:rsidP="0077559D">
            <w:pPr>
              <w:autoSpaceDE w:val="0"/>
              <w:autoSpaceDN w:val="0"/>
              <w:adjustRightInd w:val="0"/>
              <w:spacing w:after="60"/>
              <w:jc w:val="both"/>
              <w:rPr>
                <w:sz w:val="20"/>
                <w:szCs w:val="20"/>
              </w:rPr>
            </w:pPr>
            <w:r w:rsidRPr="0077559D">
              <w:rPr>
                <w:sz w:val="20"/>
                <w:szCs w:val="20"/>
              </w:rPr>
              <w:t>Kryteria włączenia muszą być spełnione łącznie.</w:t>
            </w:r>
          </w:p>
          <w:p w:rsidR="0077559D" w:rsidRPr="0077559D" w:rsidRDefault="0077559D" w:rsidP="0077559D">
            <w:pPr>
              <w:autoSpaceDE w:val="0"/>
              <w:autoSpaceDN w:val="0"/>
              <w:adjustRightInd w:val="0"/>
              <w:spacing w:after="60"/>
              <w:jc w:val="both"/>
              <w:rPr>
                <w:sz w:val="20"/>
                <w:szCs w:val="20"/>
              </w:rPr>
            </w:pPr>
          </w:p>
          <w:p w:rsidR="007D1B6A" w:rsidRPr="0077559D" w:rsidRDefault="007D1B6A" w:rsidP="0077559D">
            <w:pPr>
              <w:pStyle w:val="Akapitzlist"/>
              <w:numPr>
                <w:ilvl w:val="1"/>
                <w:numId w:val="27"/>
              </w:numPr>
              <w:autoSpaceDE w:val="0"/>
              <w:autoSpaceDN w:val="0"/>
              <w:adjustRightInd w:val="0"/>
              <w:spacing w:after="60"/>
              <w:contextualSpacing w:val="0"/>
              <w:jc w:val="both"/>
              <w:rPr>
                <w:sz w:val="20"/>
                <w:szCs w:val="20"/>
              </w:rPr>
            </w:pPr>
            <w:r w:rsidRPr="0077559D">
              <w:rPr>
                <w:b/>
                <w:bCs/>
                <w:sz w:val="20"/>
                <w:szCs w:val="20"/>
              </w:rPr>
              <w:t>Określenie czasu leczenia w programie</w:t>
            </w:r>
          </w:p>
          <w:p w:rsidR="007D1B6A" w:rsidRDefault="007D1B6A" w:rsidP="009E1845">
            <w:pPr>
              <w:autoSpaceDE w:val="0"/>
              <w:autoSpaceDN w:val="0"/>
              <w:adjustRightInd w:val="0"/>
              <w:rPr>
                <w:sz w:val="20"/>
                <w:szCs w:val="20"/>
              </w:rPr>
            </w:pPr>
            <w:r w:rsidRPr="009E1845">
              <w:rPr>
                <w:sz w:val="20"/>
                <w:szCs w:val="20"/>
              </w:rPr>
              <w:t>Leczenie trwa do czasu podjęcia przez lekarza prowadzącego decyzji o wyłączeniu świadczeniobiorcy z programu, zgodnie z kryteriami wyłączenia.</w:t>
            </w:r>
          </w:p>
          <w:p w:rsidR="0077559D" w:rsidRPr="009E1845" w:rsidRDefault="0077559D" w:rsidP="009E1845">
            <w:pPr>
              <w:autoSpaceDE w:val="0"/>
              <w:autoSpaceDN w:val="0"/>
              <w:adjustRightInd w:val="0"/>
              <w:rPr>
                <w:sz w:val="20"/>
                <w:szCs w:val="20"/>
              </w:rPr>
            </w:pPr>
          </w:p>
          <w:p w:rsidR="007D1B6A" w:rsidRPr="009E1845" w:rsidRDefault="007D1B6A" w:rsidP="0077559D">
            <w:pPr>
              <w:pStyle w:val="Akapitzlist"/>
              <w:numPr>
                <w:ilvl w:val="1"/>
                <w:numId w:val="27"/>
              </w:numPr>
              <w:autoSpaceDE w:val="0"/>
              <w:autoSpaceDN w:val="0"/>
              <w:adjustRightInd w:val="0"/>
              <w:spacing w:after="60"/>
              <w:contextualSpacing w:val="0"/>
              <w:jc w:val="both"/>
              <w:rPr>
                <w:sz w:val="20"/>
                <w:szCs w:val="20"/>
              </w:rPr>
            </w:pPr>
            <w:r w:rsidRPr="009E1845">
              <w:rPr>
                <w:b/>
                <w:bCs/>
                <w:sz w:val="20"/>
                <w:szCs w:val="20"/>
              </w:rPr>
              <w:t>Kryteria wyłączenia z programu</w:t>
            </w:r>
          </w:p>
          <w:p w:rsidR="0077559D" w:rsidRDefault="007D1B6A" w:rsidP="009E1845">
            <w:pPr>
              <w:pStyle w:val="Akapitzlist"/>
              <w:numPr>
                <w:ilvl w:val="2"/>
                <w:numId w:val="27"/>
              </w:numPr>
              <w:autoSpaceDE w:val="0"/>
              <w:autoSpaceDN w:val="0"/>
              <w:adjustRightInd w:val="0"/>
              <w:spacing w:after="60"/>
              <w:contextualSpacing w:val="0"/>
              <w:jc w:val="both"/>
              <w:rPr>
                <w:sz w:val="20"/>
                <w:szCs w:val="20"/>
              </w:rPr>
            </w:pPr>
            <w:r w:rsidRPr="009E1845">
              <w:rPr>
                <w:sz w:val="20"/>
                <w:szCs w:val="20"/>
              </w:rPr>
              <w:t>udokumentowana progresja w trakcie stosowania leku;</w:t>
            </w:r>
          </w:p>
          <w:p w:rsidR="0077559D" w:rsidRDefault="0055171D" w:rsidP="009E1845">
            <w:pPr>
              <w:pStyle w:val="Akapitzlist"/>
              <w:numPr>
                <w:ilvl w:val="2"/>
                <w:numId w:val="27"/>
              </w:numPr>
              <w:autoSpaceDE w:val="0"/>
              <w:autoSpaceDN w:val="0"/>
              <w:adjustRightInd w:val="0"/>
              <w:spacing w:after="60"/>
              <w:contextualSpacing w:val="0"/>
              <w:jc w:val="both"/>
              <w:rPr>
                <w:sz w:val="20"/>
                <w:szCs w:val="20"/>
              </w:rPr>
            </w:pPr>
            <w:r w:rsidRPr="0077559D">
              <w:rPr>
                <w:sz w:val="20"/>
                <w:szCs w:val="20"/>
              </w:rPr>
              <w:t xml:space="preserve">wystąpienie objawów nadwrażliwości na </w:t>
            </w:r>
            <w:proofErr w:type="spellStart"/>
            <w:r w:rsidRPr="0077559D">
              <w:rPr>
                <w:sz w:val="20"/>
                <w:szCs w:val="20"/>
              </w:rPr>
              <w:t>pazopanib</w:t>
            </w:r>
            <w:proofErr w:type="spellEnd"/>
            <w:r w:rsidRPr="0077559D">
              <w:rPr>
                <w:sz w:val="20"/>
                <w:szCs w:val="20"/>
              </w:rPr>
              <w:t xml:space="preserve"> lub na którąkolwiek substancję pomocniczą;</w:t>
            </w:r>
          </w:p>
          <w:p w:rsidR="0077559D" w:rsidRDefault="007D1B6A" w:rsidP="009E1845">
            <w:pPr>
              <w:pStyle w:val="Akapitzlist"/>
              <w:numPr>
                <w:ilvl w:val="2"/>
                <w:numId w:val="27"/>
              </w:numPr>
              <w:autoSpaceDE w:val="0"/>
              <w:autoSpaceDN w:val="0"/>
              <w:adjustRightInd w:val="0"/>
              <w:spacing w:after="60"/>
              <w:contextualSpacing w:val="0"/>
              <w:jc w:val="both"/>
              <w:rPr>
                <w:sz w:val="20"/>
                <w:szCs w:val="20"/>
              </w:rPr>
            </w:pPr>
            <w:r w:rsidRPr="0077559D">
              <w:rPr>
                <w:sz w:val="20"/>
                <w:szCs w:val="20"/>
              </w:rPr>
              <w:t>nawracająca lub nieakceptowana toksyczność powyżej 3 stopnia według skali WHO;</w:t>
            </w:r>
          </w:p>
          <w:p w:rsidR="0077559D" w:rsidRDefault="007D1B6A" w:rsidP="009E1845">
            <w:pPr>
              <w:pStyle w:val="Akapitzlist"/>
              <w:numPr>
                <w:ilvl w:val="2"/>
                <w:numId w:val="27"/>
              </w:numPr>
              <w:autoSpaceDE w:val="0"/>
              <w:autoSpaceDN w:val="0"/>
              <w:adjustRightInd w:val="0"/>
              <w:spacing w:after="60"/>
              <w:contextualSpacing w:val="0"/>
              <w:jc w:val="both"/>
              <w:rPr>
                <w:sz w:val="20"/>
                <w:szCs w:val="20"/>
              </w:rPr>
            </w:pPr>
            <w:r w:rsidRPr="0077559D">
              <w:rPr>
                <w:sz w:val="20"/>
                <w:szCs w:val="20"/>
              </w:rPr>
              <w:t xml:space="preserve">utrzymujący się stan sprawności 70 lub niższy według skali </w:t>
            </w:r>
            <w:proofErr w:type="spellStart"/>
            <w:r w:rsidRPr="0077559D">
              <w:rPr>
                <w:sz w:val="20"/>
                <w:szCs w:val="20"/>
              </w:rPr>
              <w:t>Karnofsky’ego</w:t>
            </w:r>
            <w:proofErr w:type="spellEnd"/>
            <w:r w:rsidRPr="0077559D">
              <w:rPr>
                <w:sz w:val="20"/>
                <w:szCs w:val="20"/>
              </w:rPr>
              <w:t>;</w:t>
            </w:r>
          </w:p>
          <w:p w:rsidR="0077559D" w:rsidRDefault="007D1B6A" w:rsidP="009E1845">
            <w:pPr>
              <w:pStyle w:val="Akapitzlist"/>
              <w:numPr>
                <w:ilvl w:val="2"/>
                <w:numId w:val="27"/>
              </w:numPr>
              <w:autoSpaceDE w:val="0"/>
              <w:autoSpaceDN w:val="0"/>
              <w:adjustRightInd w:val="0"/>
              <w:spacing w:after="60"/>
              <w:contextualSpacing w:val="0"/>
              <w:jc w:val="both"/>
              <w:rPr>
                <w:sz w:val="20"/>
                <w:szCs w:val="20"/>
              </w:rPr>
            </w:pPr>
            <w:r w:rsidRPr="0077559D">
              <w:rPr>
                <w:sz w:val="20"/>
                <w:szCs w:val="20"/>
              </w:rPr>
              <w:t>wystąpienie objawów zastoinowej niewydolności serca, ostrych incydentów niewydolności wieńcowej, niekontrolowanego nadciśnienia tętniczego, niestabilnych zaburzeń rytmu serca wymagających leczenia oraz wystąpienia objawów toksyczności ze strony wątroby ≥ 3 stopnia;</w:t>
            </w:r>
          </w:p>
          <w:p w:rsidR="0077559D" w:rsidRDefault="007D1B6A" w:rsidP="009E1845">
            <w:pPr>
              <w:pStyle w:val="Akapitzlist"/>
              <w:numPr>
                <w:ilvl w:val="2"/>
                <w:numId w:val="27"/>
              </w:numPr>
              <w:autoSpaceDE w:val="0"/>
              <w:autoSpaceDN w:val="0"/>
              <w:adjustRightInd w:val="0"/>
              <w:spacing w:after="60"/>
              <w:contextualSpacing w:val="0"/>
              <w:jc w:val="both"/>
              <w:rPr>
                <w:sz w:val="20"/>
                <w:szCs w:val="20"/>
              </w:rPr>
            </w:pPr>
            <w:r w:rsidRPr="0077559D">
              <w:rPr>
                <w:sz w:val="20"/>
                <w:szCs w:val="20"/>
              </w:rPr>
              <w:t>istotne pogorszenie jakości życia w trakcie stosowania leku.</w:t>
            </w:r>
          </w:p>
          <w:p w:rsidR="007A436E" w:rsidRDefault="007A436E" w:rsidP="007A436E">
            <w:pPr>
              <w:pStyle w:val="Akapitzlist"/>
              <w:autoSpaceDE w:val="0"/>
              <w:autoSpaceDN w:val="0"/>
              <w:adjustRightInd w:val="0"/>
              <w:spacing w:after="60"/>
              <w:ind w:left="397"/>
              <w:contextualSpacing w:val="0"/>
              <w:jc w:val="both"/>
              <w:rPr>
                <w:sz w:val="20"/>
                <w:szCs w:val="20"/>
              </w:rPr>
            </w:pPr>
          </w:p>
          <w:p w:rsidR="0077559D" w:rsidRPr="0077559D" w:rsidRDefault="00E36145" w:rsidP="0077559D">
            <w:pPr>
              <w:pStyle w:val="Akapitzlist"/>
              <w:numPr>
                <w:ilvl w:val="0"/>
                <w:numId w:val="27"/>
              </w:numPr>
              <w:autoSpaceDE w:val="0"/>
              <w:autoSpaceDN w:val="0"/>
              <w:adjustRightInd w:val="0"/>
              <w:spacing w:after="60"/>
              <w:contextualSpacing w:val="0"/>
              <w:jc w:val="both"/>
              <w:rPr>
                <w:sz w:val="20"/>
                <w:szCs w:val="20"/>
              </w:rPr>
            </w:pPr>
            <w:r w:rsidRPr="0077559D">
              <w:rPr>
                <w:b/>
                <w:bCs/>
                <w:sz w:val="20"/>
                <w:szCs w:val="20"/>
              </w:rPr>
              <w:t xml:space="preserve">Leczenie raka nerki przy wykorzystaniu substancji czynnej </w:t>
            </w:r>
            <w:proofErr w:type="spellStart"/>
            <w:r w:rsidRPr="0077559D">
              <w:rPr>
                <w:b/>
                <w:bCs/>
                <w:sz w:val="20"/>
                <w:szCs w:val="20"/>
              </w:rPr>
              <w:t>aksytynib</w:t>
            </w:r>
            <w:proofErr w:type="spellEnd"/>
          </w:p>
          <w:p w:rsidR="0077559D" w:rsidRPr="0077559D" w:rsidRDefault="00E36145" w:rsidP="0077559D">
            <w:pPr>
              <w:pStyle w:val="Akapitzlist"/>
              <w:numPr>
                <w:ilvl w:val="1"/>
                <w:numId w:val="27"/>
              </w:numPr>
              <w:autoSpaceDE w:val="0"/>
              <w:autoSpaceDN w:val="0"/>
              <w:adjustRightInd w:val="0"/>
              <w:spacing w:after="60"/>
              <w:contextualSpacing w:val="0"/>
              <w:jc w:val="both"/>
              <w:rPr>
                <w:sz w:val="20"/>
                <w:szCs w:val="20"/>
              </w:rPr>
            </w:pPr>
            <w:r w:rsidRPr="0077559D">
              <w:rPr>
                <w:b/>
                <w:bCs/>
                <w:sz w:val="20"/>
                <w:szCs w:val="20"/>
              </w:rPr>
              <w:t>Kryteria kwalifikacji</w:t>
            </w:r>
            <w:r w:rsidR="0077559D">
              <w:rPr>
                <w:b/>
                <w:bCs/>
                <w:sz w:val="20"/>
                <w:szCs w:val="20"/>
              </w:rPr>
              <w:t>:</w:t>
            </w:r>
          </w:p>
          <w:p w:rsidR="0077559D" w:rsidRDefault="00E36145" w:rsidP="0077559D">
            <w:pPr>
              <w:pStyle w:val="Akapitzlist"/>
              <w:numPr>
                <w:ilvl w:val="2"/>
                <w:numId w:val="27"/>
              </w:numPr>
              <w:autoSpaceDE w:val="0"/>
              <w:autoSpaceDN w:val="0"/>
              <w:adjustRightInd w:val="0"/>
              <w:spacing w:after="60"/>
              <w:contextualSpacing w:val="0"/>
              <w:jc w:val="both"/>
              <w:rPr>
                <w:sz w:val="20"/>
                <w:szCs w:val="20"/>
              </w:rPr>
            </w:pPr>
            <w:r w:rsidRPr="0077559D">
              <w:rPr>
                <w:sz w:val="20"/>
                <w:szCs w:val="20"/>
              </w:rPr>
              <w:t xml:space="preserve">histologicznie potwierdzone rozpoznanie </w:t>
            </w:r>
            <w:proofErr w:type="spellStart"/>
            <w:r w:rsidRPr="0077559D">
              <w:rPr>
                <w:sz w:val="20"/>
                <w:szCs w:val="20"/>
              </w:rPr>
              <w:t>jasnokomórkowego</w:t>
            </w:r>
            <w:proofErr w:type="spellEnd"/>
            <w:r w:rsidRPr="0077559D">
              <w:rPr>
                <w:sz w:val="20"/>
                <w:szCs w:val="20"/>
              </w:rPr>
              <w:t xml:space="preserve"> raka nerki lub mieszanego raka </w:t>
            </w:r>
            <w:proofErr w:type="spellStart"/>
            <w:r w:rsidRPr="0077559D">
              <w:rPr>
                <w:sz w:val="20"/>
                <w:szCs w:val="20"/>
              </w:rPr>
              <w:t>nerkowokomórkowego</w:t>
            </w:r>
            <w:proofErr w:type="spellEnd"/>
            <w:r w:rsidRPr="0077559D">
              <w:rPr>
                <w:sz w:val="20"/>
                <w:szCs w:val="20"/>
              </w:rPr>
              <w:t xml:space="preserve"> z przeważającym (powyżej 50% utkania) komponentem </w:t>
            </w:r>
            <w:proofErr w:type="spellStart"/>
            <w:r w:rsidRPr="0077559D">
              <w:rPr>
                <w:sz w:val="20"/>
                <w:szCs w:val="20"/>
              </w:rPr>
              <w:t>jasnokomórkowym</w:t>
            </w:r>
            <w:proofErr w:type="spellEnd"/>
            <w:r w:rsidRPr="0077559D">
              <w:rPr>
                <w:sz w:val="20"/>
                <w:szCs w:val="20"/>
              </w:rPr>
              <w:t>;</w:t>
            </w:r>
          </w:p>
          <w:p w:rsidR="0077559D" w:rsidRDefault="00E36145" w:rsidP="0077559D">
            <w:pPr>
              <w:pStyle w:val="Akapitzlist"/>
              <w:numPr>
                <w:ilvl w:val="2"/>
                <w:numId w:val="27"/>
              </w:numPr>
              <w:autoSpaceDE w:val="0"/>
              <w:autoSpaceDN w:val="0"/>
              <w:adjustRightInd w:val="0"/>
              <w:spacing w:after="60"/>
              <w:contextualSpacing w:val="0"/>
              <w:jc w:val="both"/>
              <w:rPr>
                <w:sz w:val="20"/>
                <w:szCs w:val="20"/>
              </w:rPr>
            </w:pPr>
            <w:r w:rsidRPr="0077559D">
              <w:rPr>
                <w:sz w:val="20"/>
                <w:szCs w:val="20"/>
              </w:rPr>
              <w:t>nowotwór w stadium zaawansowanym (pierwotne uogólnienie lub nawrót po pierwotnym leczeniu chirurgicznym);</w:t>
            </w:r>
          </w:p>
          <w:p w:rsidR="0077559D" w:rsidRDefault="00E36145" w:rsidP="0077559D">
            <w:pPr>
              <w:pStyle w:val="Akapitzlist"/>
              <w:numPr>
                <w:ilvl w:val="2"/>
                <w:numId w:val="27"/>
              </w:numPr>
              <w:autoSpaceDE w:val="0"/>
              <w:autoSpaceDN w:val="0"/>
              <w:adjustRightInd w:val="0"/>
              <w:spacing w:after="60"/>
              <w:contextualSpacing w:val="0"/>
              <w:jc w:val="both"/>
              <w:rPr>
                <w:sz w:val="20"/>
                <w:szCs w:val="20"/>
              </w:rPr>
            </w:pPr>
            <w:r w:rsidRPr="0077559D">
              <w:rPr>
                <w:sz w:val="20"/>
                <w:szCs w:val="20"/>
              </w:rPr>
              <w:lastRenderedPageBreak/>
              <w:t xml:space="preserve">udokumentowane niepowodzenie wcześniejszego leczenia z zastosowaniem </w:t>
            </w:r>
            <w:proofErr w:type="spellStart"/>
            <w:r w:rsidRPr="0077559D">
              <w:rPr>
                <w:sz w:val="20"/>
                <w:szCs w:val="20"/>
              </w:rPr>
              <w:t>wielokinazowych</w:t>
            </w:r>
            <w:proofErr w:type="spellEnd"/>
            <w:r w:rsidRPr="0077559D">
              <w:rPr>
                <w:sz w:val="20"/>
                <w:szCs w:val="20"/>
              </w:rPr>
              <w:t xml:space="preserve"> inhibitorów (</w:t>
            </w:r>
            <w:proofErr w:type="spellStart"/>
            <w:r w:rsidRPr="0077559D">
              <w:rPr>
                <w:sz w:val="20"/>
                <w:szCs w:val="20"/>
              </w:rPr>
              <w:t>sunitynib</w:t>
            </w:r>
            <w:proofErr w:type="spellEnd"/>
            <w:r w:rsidRPr="0077559D">
              <w:rPr>
                <w:sz w:val="20"/>
                <w:szCs w:val="20"/>
              </w:rPr>
              <w:t xml:space="preserve">, </w:t>
            </w:r>
            <w:proofErr w:type="spellStart"/>
            <w:r w:rsidRPr="0077559D">
              <w:rPr>
                <w:sz w:val="20"/>
                <w:szCs w:val="20"/>
              </w:rPr>
              <w:t>pazopanib</w:t>
            </w:r>
            <w:proofErr w:type="spellEnd"/>
            <w:r w:rsidR="00E619D4" w:rsidRPr="0077559D">
              <w:rPr>
                <w:sz w:val="20"/>
                <w:szCs w:val="20"/>
              </w:rPr>
              <w:t xml:space="preserve"> - w I linii leczenia</w:t>
            </w:r>
            <w:r w:rsidRPr="0077559D">
              <w:rPr>
                <w:sz w:val="20"/>
                <w:szCs w:val="20"/>
              </w:rPr>
              <w:t xml:space="preserve">) stosowanych jako leczenie poprzedzające lub po niepowodzeniu wcześniejszego leczenia </w:t>
            </w:r>
            <w:proofErr w:type="spellStart"/>
            <w:r w:rsidRPr="0077559D">
              <w:rPr>
                <w:sz w:val="20"/>
                <w:szCs w:val="20"/>
              </w:rPr>
              <w:t>cytokiną</w:t>
            </w:r>
            <w:proofErr w:type="spellEnd"/>
            <w:r w:rsidRPr="0077559D">
              <w:rPr>
                <w:sz w:val="20"/>
                <w:szCs w:val="20"/>
              </w:rPr>
              <w:t>;</w:t>
            </w:r>
          </w:p>
          <w:p w:rsidR="0077559D" w:rsidRDefault="00E36145" w:rsidP="0077559D">
            <w:pPr>
              <w:pStyle w:val="Akapitzlist"/>
              <w:numPr>
                <w:ilvl w:val="2"/>
                <w:numId w:val="27"/>
              </w:numPr>
              <w:autoSpaceDE w:val="0"/>
              <w:autoSpaceDN w:val="0"/>
              <w:adjustRightInd w:val="0"/>
              <w:spacing w:after="60"/>
              <w:contextualSpacing w:val="0"/>
              <w:jc w:val="both"/>
              <w:rPr>
                <w:sz w:val="20"/>
                <w:szCs w:val="20"/>
              </w:rPr>
            </w:pPr>
            <w:r w:rsidRPr="0077559D">
              <w:rPr>
                <w:sz w:val="20"/>
                <w:szCs w:val="20"/>
              </w:rPr>
              <w:t>uprzednie wykonanie nefrektomii (radykalnej lub oszczędzającej);</w:t>
            </w:r>
          </w:p>
          <w:p w:rsidR="0077559D" w:rsidRDefault="00E36145" w:rsidP="0077559D">
            <w:pPr>
              <w:pStyle w:val="Akapitzlist"/>
              <w:numPr>
                <w:ilvl w:val="2"/>
                <w:numId w:val="27"/>
              </w:numPr>
              <w:autoSpaceDE w:val="0"/>
              <w:autoSpaceDN w:val="0"/>
              <w:adjustRightInd w:val="0"/>
              <w:spacing w:after="60"/>
              <w:contextualSpacing w:val="0"/>
              <w:jc w:val="both"/>
              <w:rPr>
                <w:sz w:val="20"/>
                <w:szCs w:val="20"/>
              </w:rPr>
            </w:pPr>
            <w:r w:rsidRPr="0077559D">
              <w:rPr>
                <w:sz w:val="20"/>
                <w:szCs w:val="20"/>
              </w:rPr>
              <w:t>udokumentowana obecność przerzutów narządowych;</w:t>
            </w:r>
          </w:p>
          <w:p w:rsidR="0077559D" w:rsidRDefault="00E36145" w:rsidP="0077559D">
            <w:pPr>
              <w:pStyle w:val="Akapitzlist"/>
              <w:numPr>
                <w:ilvl w:val="2"/>
                <w:numId w:val="27"/>
              </w:numPr>
              <w:autoSpaceDE w:val="0"/>
              <w:autoSpaceDN w:val="0"/>
              <w:adjustRightInd w:val="0"/>
              <w:spacing w:after="60"/>
              <w:contextualSpacing w:val="0"/>
              <w:jc w:val="both"/>
              <w:rPr>
                <w:sz w:val="20"/>
                <w:szCs w:val="20"/>
              </w:rPr>
            </w:pPr>
            <w:r w:rsidRPr="0077559D">
              <w:rPr>
                <w:sz w:val="20"/>
                <w:szCs w:val="20"/>
              </w:rPr>
              <w:t>zmiany możliwe do obiektywnej oceny w badaniach obrazowych metodą KT lub MR z zastrzeżeniem konieczności potwierdzenia zmian w układzie kostnym przy użyciu konwencjonalnej rentgenografii (RTG) lub MR;</w:t>
            </w:r>
          </w:p>
          <w:p w:rsidR="0077559D" w:rsidRDefault="00E36145" w:rsidP="0077559D">
            <w:pPr>
              <w:pStyle w:val="Akapitzlist"/>
              <w:numPr>
                <w:ilvl w:val="2"/>
                <w:numId w:val="27"/>
              </w:numPr>
              <w:autoSpaceDE w:val="0"/>
              <w:autoSpaceDN w:val="0"/>
              <w:adjustRightInd w:val="0"/>
              <w:spacing w:after="60"/>
              <w:contextualSpacing w:val="0"/>
              <w:jc w:val="both"/>
              <w:rPr>
                <w:sz w:val="20"/>
                <w:szCs w:val="20"/>
              </w:rPr>
            </w:pPr>
            <w:r w:rsidRPr="0077559D">
              <w:rPr>
                <w:sz w:val="20"/>
                <w:szCs w:val="20"/>
              </w:rPr>
              <w:t xml:space="preserve">nieobecność przerzutów w ośrodkowym układzie nerwowym (dopuszczalne wcześniejsze usunięcie przerzutów i /lub radioterapia, o ile po leczeniu utrzymuje </w:t>
            </w:r>
            <w:r w:rsidR="00604A57" w:rsidRPr="0077559D">
              <w:rPr>
                <w:sz w:val="20"/>
                <w:szCs w:val="20"/>
              </w:rPr>
              <w:t>się</w:t>
            </w:r>
            <w:r w:rsidRPr="0077559D">
              <w:rPr>
                <w:sz w:val="20"/>
                <w:szCs w:val="20"/>
              </w:rPr>
              <w:t xml:space="preserve"> stan bezobjawowy);</w:t>
            </w:r>
          </w:p>
          <w:p w:rsidR="0077559D" w:rsidRDefault="00E36145" w:rsidP="0077559D">
            <w:pPr>
              <w:pStyle w:val="Akapitzlist"/>
              <w:numPr>
                <w:ilvl w:val="2"/>
                <w:numId w:val="27"/>
              </w:numPr>
              <w:autoSpaceDE w:val="0"/>
              <w:autoSpaceDN w:val="0"/>
              <w:adjustRightInd w:val="0"/>
              <w:spacing w:after="60"/>
              <w:contextualSpacing w:val="0"/>
              <w:jc w:val="both"/>
              <w:rPr>
                <w:sz w:val="20"/>
                <w:szCs w:val="20"/>
              </w:rPr>
            </w:pPr>
            <w:r w:rsidRPr="0077559D">
              <w:rPr>
                <w:sz w:val="20"/>
                <w:szCs w:val="20"/>
              </w:rPr>
              <w:t xml:space="preserve">stan sprawności 80-100 wg skali </w:t>
            </w:r>
            <w:proofErr w:type="spellStart"/>
            <w:r w:rsidRPr="0077559D">
              <w:rPr>
                <w:sz w:val="20"/>
                <w:szCs w:val="20"/>
              </w:rPr>
              <w:t>Karnofsky’ego</w:t>
            </w:r>
            <w:proofErr w:type="spellEnd"/>
            <w:r w:rsidRPr="0077559D">
              <w:rPr>
                <w:sz w:val="20"/>
                <w:szCs w:val="20"/>
              </w:rPr>
              <w:t>;</w:t>
            </w:r>
          </w:p>
          <w:p w:rsidR="0077559D" w:rsidRDefault="00E36145" w:rsidP="0077559D">
            <w:pPr>
              <w:pStyle w:val="Akapitzlist"/>
              <w:numPr>
                <w:ilvl w:val="2"/>
                <w:numId w:val="27"/>
              </w:numPr>
              <w:autoSpaceDE w:val="0"/>
              <w:autoSpaceDN w:val="0"/>
              <w:adjustRightInd w:val="0"/>
              <w:spacing w:after="60"/>
              <w:contextualSpacing w:val="0"/>
              <w:jc w:val="both"/>
              <w:rPr>
                <w:sz w:val="20"/>
                <w:szCs w:val="20"/>
              </w:rPr>
            </w:pPr>
            <w:r w:rsidRPr="0077559D">
              <w:rPr>
                <w:sz w:val="20"/>
                <w:szCs w:val="20"/>
              </w:rPr>
              <w:t>korzystne lub pośrednie rokowanie według skali MSKCC (</w:t>
            </w:r>
            <w:proofErr w:type="spellStart"/>
            <w:r w:rsidRPr="0077559D">
              <w:rPr>
                <w:sz w:val="20"/>
                <w:szCs w:val="20"/>
              </w:rPr>
              <w:t>Memorial</w:t>
            </w:r>
            <w:proofErr w:type="spellEnd"/>
            <w:r w:rsidRPr="0077559D">
              <w:rPr>
                <w:sz w:val="20"/>
                <w:szCs w:val="20"/>
              </w:rPr>
              <w:t xml:space="preserve"> Sloan-</w:t>
            </w:r>
            <w:proofErr w:type="spellStart"/>
            <w:r w:rsidRPr="0077559D">
              <w:rPr>
                <w:sz w:val="20"/>
                <w:szCs w:val="20"/>
              </w:rPr>
              <w:t>Kettering</w:t>
            </w:r>
            <w:proofErr w:type="spellEnd"/>
            <w:r w:rsidRPr="0077559D">
              <w:rPr>
                <w:sz w:val="20"/>
                <w:szCs w:val="20"/>
              </w:rPr>
              <w:t xml:space="preserve"> </w:t>
            </w:r>
            <w:proofErr w:type="spellStart"/>
            <w:r w:rsidRPr="0077559D">
              <w:rPr>
                <w:sz w:val="20"/>
                <w:szCs w:val="20"/>
              </w:rPr>
              <w:t>Cancer</w:t>
            </w:r>
            <w:proofErr w:type="spellEnd"/>
            <w:r w:rsidRPr="0077559D">
              <w:rPr>
                <w:sz w:val="20"/>
                <w:szCs w:val="20"/>
              </w:rPr>
              <w:t xml:space="preserve"> Center);</w:t>
            </w:r>
          </w:p>
          <w:p w:rsidR="0077559D" w:rsidRDefault="00E36145" w:rsidP="0077559D">
            <w:pPr>
              <w:pStyle w:val="Akapitzlist"/>
              <w:numPr>
                <w:ilvl w:val="2"/>
                <w:numId w:val="27"/>
              </w:numPr>
              <w:autoSpaceDE w:val="0"/>
              <w:autoSpaceDN w:val="0"/>
              <w:adjustRightInd w:val="0"/>
              <w:spacing w:after="60"/>
              <w:contextualSpacing w:val="0"/>
              <w:jc w:val="both"/>
              <w:rPr>
                <w:sz w:val="20"/>
                <w:szCs w:val="20"/>
              </w:rPr>
            </w:pPr>
            <w:r w:rsidRPr="0077559D">
              <w:rPr>
                <w:sz w:val="20"/>
                <w:szCs w:val="20"/>
              </w:rPr>
              <w:t>wykluczenie ciąży i okresu karmienia piersią;</w:t>
            </w:r>
          </w:p>
          <w:p w:rsidR="0077559D" w:rsidRDefault="00E36145" w:rsidP="0077559D">
            <w:pPr>
              <w:pStyle w:val="Akapitzlist"/>
              <w:numPr>
                <w:ilvl w:val="2"/>
                <w:numId w:val="27"/>
              </w:numPr>
              <w:autoSpaceDE w:val="0"/>
              <w:autoSpaceDN w:val="0"/>
              <w:adjustRightInd w:val="0"/>
              <w:spacing w:after="60"/>
              <w:contextualSpacing w:val="0"/>
              <w:jc w:val="both"/>
              <w:rPr>
                <w:sz w:val="20"/>
                <w:szCs w:val="20"/>
              </w:rPr>
            </w:pPr>
            <w:r w:rsidRPr="0077559D">
              <w:rPr>
                <w:sz w:val="20"/>
                <w:szCs w:val="20"/>
              </w:rPr>
              <w:t>nieobecność niekontrolowanych chorób układu sercowo-naczyniowego;</w:t>
            </w:r>
          </w:p>
          <w:p w:rsidR="0077559D" w:rsidRDefault="00E36145" w:rsidP="0077559D">
            <w:pPr>
              <w:pStyle w:val="Akapitzlist"/>
              <w:numPr>
                <w:ilvl w:val="2"/>
                <w:numId w:val="27"/>
              </w:numPr>
              <w:autoSpaceDE w:val="0"/>
              <w:autoSpaceDN w:val="0"/>
              <w:adjustRightInd w:val="0"/>
              <w:spacing w:after="60"/>
              <w:contextualSpacing w:val="0"/>
              <w:jc w:val="both"/>
              <w:rPr>
                <w:sz w:val="20"/>
                <w:szCs w:val="20"/>
              </w:rPr>
            </w:pPr>
            <w:r w:rsidRPr="0077559D">
              <w:rPr>
                <w:sz w:val="20"/>
                <w:szCs w:val="20"/>
              </w:rPr>
              <w:t>adekwatna wydolność narządowa określona na podstawie badań laboratoryjnych krwi:</w:t>
            </w:r>
          </w:p>
          <w:p w:rsidR="0077559D" w:rsidRDefault="00E36145" w:rsidP="0077559D">
            <w:pPr>
              <w:pStyle w:val="Akapitzlist"/>
              <w:numPr>
                <w:ilvl w:val="3"/>
                <w:numId w:val="27"/>
              </w:numPr>
              <w:autoSpaceDE w:val="0"/>
              <w:autoSpaceDN w:val="0"/>
              <w:adjustRightInd w:val="0"/>
              <w:spacing w:after="60"/>
              <w:contextualSpacing w:val="0"/>
              <w:jc w:val="both"/>
              <w:rPr>
                <w:sz w:val="20"/>
                <w:szCs w:val="20"/>
              </w:rPr>
            </w:pPr>
            <w:r w:rsidRPr="0077559D">
              <w:rPr>
                <w:sz w:val="20"/>
                <w:szCs w:val="20"/>
              </w:rPr>
              <w:t>wyniki badań czynności wątroby:</w:t>
            </w:r>
          </w:p>
          <w:p w:rsidR="0077559D" w:rsidRDefault="00E36145" w:rsidP="0077559D">
            <w:pPr>
              <w:pStyle w:val="Akapitzlist"/>
              <w:numPr>
                <w:ilvl w:val="4"/>
                <w:numId w:val="27"/>
              </w:numPr>
              <w:autoSpaceDE w:val="0"/>
              <w:autoSpaceDN w:val="0"/>
              <w:adjustRightInd w:val="0"/>
              <w:spacing w:after="60"/>
              <w:contextualSpacing w:val="0"/>
              <w:jc w:val="both"/>
              <w:rPr>
                <w:sz w:val="20"/>
                <w:szCs w:val="20"/>
              </w:rPr>
            </w:pPr>
            <w:r w:rsidRPr="0077559D">
              <w:rPr>
                <w:sz w:val="20"/>
                <w:szCs w:val="20"/>
              </w:rPr>
              <w:t xml:space="preserve">stężenie bilirubiny całkowitej nieprzekraczające 2-krotnie </w:t>
            </w:r>
            <w:r w:rsidR="00197F10" w:rsidRPr="0077559D">
              <w:rPr>
                <w:sz w:val="20"/>
                <w:szCs w:val="20"/>
              </w:rPr>
              <w:t xml:space="preserve">górną granicę </w:t>
            </w:r>
            <w:r w:rsidRPr="0077559D">
              <w:rPr>
                <w:sz w:val="20"/>
                <w:szCs w:val="20"/>
              </w:rPr>
              <w:t>normy (z wyjątkiem pacjentów z zespołem Gilberta),</w:t>
            </w:r>
          </w:p>
          <w:p w:rsidR="0077559D" w:rsidRDefault="00E36145" w:rsidP="0077559D">
            <w:pPr>
              <w:pStyle w:val="Akapitzlist"/>
              <w:numPr>
                <w:ilvl w:val="4"/>
                <w:numId w:val="27"/>
              </w:numPr>
              <w:autoSpaceDE w:val="0"/>
              <w:autoSpaceDN w:val="0"/>
              <w:adjustRightInd w:val="0"/>
              <w:spacing w:after="60"/>
              <w:contextualSpacing w:val="0"/>
              <w:jc w:val="both"/>
              <w:rPr>
                <w:sz w:val="20"/>
                <w:szCs w:val="20"/>
              </w:rPr>
            </w:pPr>
            <w:r w:rsidRPr="0077559D">
              <w:rPr>
                <w:sz w:val="20"/>
                <w:szCs w:val="20"/>
              </w:rPr>
              <w:t xml:space="preserve">aktywność transaminaz (alaninowej i asparaginowej) w surowicy nieprzekraczające 5-krotnie </w:t>
            </w:r>
            <w:r w:rsidR="00197F10" w:rsidRPr="0077559D">
              <w:rPr>
                <w:sz w:val="20"/>
                <w:szCs w:val="20"/>
              </w:rPr>
              <w:t xml:space="preserve">górną granicę </w:t>
            </w:r>
            <w:r w:rsidRPr="0077559D">
              <w:rPr>
                <w:sz w:val="20"/>
                <w:szCs w:val="20"/>
              </w:rPr>
              <w:t>normy,</w:t>
            </w:r>
          </w:p>
          <w:p w:rsidR="0077559D" w:rsidRDefault="00E36145" w:rsidP="0077559D">
            <w:pPr>
              <w:pStyle w:val="Akapitzlist"/>
              <w:numPr>
                <w:ilvl w:val="3"/>
                <w:numId w:val="27"/>
              </w:numPr>
              <w:autoSpaceDE w:val="0"/>
              <w:autoSpaceDN w:val="0"/>
              <w:adjustRightInd w:val="0"/>
              <w:spacing w:after="60"/>
              <w:contextualSpacing w:val="0"/>
              <w:jc w:val="both"/>
              <w:rPr>
                <w:sz w:val="20"/>
                <w:szCs w:val="20"/>
              </w:rPr>
            </w:pPr>
            <w:r w:rsidRPr="0077559D">
              <w:rPr>
                <w:sz w:val="20"/>
                <w:szCs w:val="20"/>
              </w:rPr>
              <w:t xml:space="preserve">stężenie kreatyniny nieprzekraczające 2-krotnie </w:t>
            </w:r>
            <w:r w:rsidR="00197F10" w:rsidRPr="0077559D">
              <w:rPr>
                <w:sz w:val="20"/>
                <w:szCs w:val="20"/>
              </w:rPr>
              <w:t xml:space="preserve">górną granicę </w:t>
            </w:r>
            <w:r w:rsidRPr="0077559D">
              <w:rPr>
                <w:sz w:val="20"/>
                <w:szCs w:val="20"/>
              </w:rPr>
              <w:t>normy,</w:t>
            </w:r>
          </w:p>
          <w:p w:rsidR="0077559D" w:rsidRDefault="00E36145" w:rsidP="0077559D">
            <w:pPr>
              <w:pStyle w:val="Akapitzlist"/>
              <w:numPr>
                <w:ilvl w:val="3"/>
                <w:numId w:val="27"/>
              </w:numPr>
              <w:autoSpaceDE w:val="0"/>
              <w:autoSpaceDN w:val="0"/>
              <w:adjustRightInd w:val="0"/>
              <w:spacing w:after="60"/>
              <w:contextualSpacing w:val="0"/>
              <w:jc w:val="both"/>
              <w:rPr>
                <w:sz w:val="20"/>
                <w:szCs w:val="20"/>
              </w:rPr>
            </w:pPr>
            <w:r w:rsidRPr="0077559D">
              <w:rPr>
                <w:sz w:val="20"/>
                <w:szCs w:val="20"/>
              </w:rPr>
              <w:t>wyniki badania morfologii krwi z rozmazem:</w:t>
            </w:r>
          </w:p>
          <w:p w:rsidR="0077559D" w:rsidRDefault="00E36145" w:rsidP="0077559D">
            <w:pPr>
              <w:pStyle w:val="Akapitzlist"/>
              <w:numPr>
                <w:ilvl w:val="4"/>
                <w:numId w:val="27"/>
              </w:numPr>
              <w:autoSpaceDE w:val="0"/>
              <w:autoSpaceDN w:val="0"/>
              <w:adjustRightInd w:val="0"/>
              <w:spacing w:after="60"/>
              <w:contextualSpacing w:val="0"/>
              <w:jc w:val="both"/>
              <w:rPr>
                <w:sz w:val="20"/>
                <w:szCs w:val="20"/>
              </w:rPr>
            </w:pPr>
            <w:r w:rsidRPr="0077559D">
              <w:rPr>
                <w:sz w:val="20"/>
                <w:szCs w:val="20"/>
              </w:rPr>
              <w:t>liczba płytek krwi większa lub równa 10</w:t>
            </w:r>
            <w:r w:rsidRPr="0077559D">
              <w:rPr>
                <w:sz w:val="20"/>
                <w:szCs w:val="20"/>
                <w:vertAlign w:val="superscript"/>
              </w:rPr>
              <w:t>5</w:t>
            </w:r>
            <w:r w:rsidRPr="0077559D">
              <w:rPr>
                <w:sz w:val="20"/>
                <w:szCs w:val="20"/>
              </w:rPr>
              <w:t>/mm</w:t>
            </w:r>
            <w:r w:rsidRPr="0077559D">
              <w:rPr>
                <w:sz w:val="20"/>
                <w:szCs w:val="20"/>
                <w:vertAlign w:val="superscript"/>
              </w:rPr>
              <w:t>3</w:t>
            </w:r>
            <w:r w:rsidRPr="0077559D">
              <w:rPr>
                <w:sz w:val="20"/>
                <w:szCs w:val="20"/>
              </w:rPr>
              <w:t>,</w:t>
            </w:r>
          </w:p>
          <w:p w:rsidR="0077559D" w:rsidRDefault="00E36145" w:rsidP="0077559D">
            <w:pPr>
              <w:pStyle w:val="Akapitzlist"/>
              <w:numPr>
                <w:ilvl w:val="4"/>
                <w:numId w:val="27"/>
              </w:numPr>
              <w:autoSpaceDE w:val="0"/>
              <w:autoSpaceDN w:val="0"/>
              <w:adjustRightInd w:val="0"/>
              <w:spacing w:after="60"/>
              <w:contextualSpacing w:val="0"/>
              <w:jc w:val="both"/>
              <w:rPr>
                <w:sz w:val="20"/>
                <w:szCs w:val="20"/>
              </w:rPr>
            </w:pPr>
            <w:r w:rsidRPr="0077559D">
              <w:rPr>
                <w:sz w:val="20"/>
                <w:szCs w:val="20"/>
              </w:rPr>
              <w:t>bezwzględna liczba granulocytów obojętnochłonnych większa lub równa 1500/mm</w:t>
            </w:r>
            <w:r w:rsidRPr="0077559D">
              <w:rPr>
                <w:sz w:val="20"/>
                <w:szCs w:val="20"/>
                <w:vertAlign w:val="superscript"/>
              </w:rPr>
              <w:t>3</w:t>
            </w:r>
            <w:r w:rsidRPr="0077559D">
              <w:rPr>
                <w:sz w:val="20"/>
                <w:szCs w:val="20"/>
              </w:rPr>
              <w:t>,</w:t>
            </w:r>
          </w:p>
          <w:p w:rsidR="00744872" w:rsidRDefault="00E36145" w:rsidP="0077559D">
            <w:pPr>
              <w:pStyle w:val="Akapitzlist"/>
              <w:numPr>
                <w:ilvl w:val="4"/>
                <w:numId w:val="27"/>
              </w:numPr>
              <w:autoSpaceDE w:val="0"/>
              <w:autoSpaceDN w:val="0"/>
              <w:adjustRightInd w:val="0"/>
              <w:spacing w:after="60"/>
              <w:contextualSpacing w:val="0"/>
              <w:jc w:val="both"/>
              <w:rPr>
                <w:sz w:val="20"/>
                <w:szCs w:val="20"/>
              </w:rPr>
            </w:pPr>
            <w:r w:rsidRPr="0077559D">
              <w:rPr>
                <w:sz w:val="20"/>
                <w:szCs w:val="20"/>
              </w:rPr>
              <w:t>poziom hemoglobiny</w:t>
            </w:r>
            <w:r w:rsidR="00744872">
              <w:rPr>
                <w:sz w:val="20"/>
                <w:szCs w:val="20"/>
              </w:rPr>
              <w:t xml:space="preserve"> większy lub równy 9,5 g/dl;13);</w:t>
            </w:r>
          </w:p>
          <w:p w:rsidR="0077559D" w:rsidRDefault="00E36145" w:rsidP="00744872">
            <w:pPr>
              <w:pStyle w:val="Akapitzlist"/>
              <w:numPr>
                <w:ilvl w:val="2"/>
                <w:numId w:val="27"/>
              </w:numPr>
              <w:autoSpaceDE w:val="0"/>
              <w:autoSpaceDN w:val="0"/>
              <w:adjustRightInd w:val="0"/>
              <w:spacing w:after="60"/>
              <w:contextualSpacing w:val="0"/>
              <w:jc w:val="both"/>
              <w:rPr>
                <w:sz w:val="20"/>
                <w:szCs w:val="20"/>
              </w:rPr>
            </w:pPr>
            <w:r w:rsidRPr="0077559D">
              <w:rPr>
                <w:sz w:val="20"/>
                <w:szCs w:val="20"/>
              </w:rPr>
              <w:t>czynność tarczycy prawidłowa lub wyrównana farmakologicznie.</w:t>
            </w:r>
          </w:p>
          <w:p w:rsidR="0077559D" w:rsidRDefault="00E36145" w:rsidP="0077559D">
            <w:pPr>
              <w:autoSpaceDE w:val="0"/>
              <w:autoSpaceDN w:val="0"/>
              <w:adjustRightInd w:val="0"/>
              <w:spacing w:after="60"/>
              <w:jc w:val="both"/>
              <w:rPr>
                <w:sz w:val="20"/>
                <w:szCs w:val="20"/>
              </w:rPr>
            </w:pPr>
            <w:r w:rsidRPr="0077559D">
              <w:rPr>
                <w:sz w:val="20"/>
                <w:szCs w:val="20"/>
              </w:rPr>
              <w:t>Kryteria kwalifikacji muszą być spełnione łącznie.</w:t>
            </w:r>
          </w:p>
          <w:p w:rsidR="0077559D" w:rsidRDefault="00E36145" w:rsidP="0077559D">
            <w:pPr>
              <w:pStyle w:val="Akapitzlist"/>
              <w:numPr>
                <w:ilvl w:val="1"/>
                <w:numId w:val="27"/>
              </w:numPr>
              <w:autoSpaceDE w:val="0"/>
              <w:autoSpaceDN w:val="0"/>
              <w:adjustRightInd w:val="0"/>
              <w:spacing w:after="60"/>
              <w:contextualSpacing w:val="0"/>
              <w:jc w:val="both"/>
              <w:rPr>
                <w:sz w:val="20"/>
                <w:szCs w:val="20"/>
              </w:rPr>
            </w:pPr>
            <w:r w:rsidRPr="0077559D">
              <w:rPr>
                <w:sz w:val="20"/>
                <w:szCs w:val="20"/>
              </w:rPr>
              <w:lastRenderedPageBreak/>
              <w:t xml:space="preserve">Do programu, w okresie nieprzekraczającym 6 miesięcy od daty wejścia w życie pierwszej decyzji o objęciu refundacją leku zawierającego substancję czynną </w:t>
            </w:r>
            <w:proofErr w:type="spellStart"/>
            <w:r w:rsidRPr="0077559D">
              <w:rPr>
                <w:sz w:val="20"/>
                <w:szCs w:val="20"/>
              </w:rPr>
              <w:t>aksytynib</w:t>
            </w:r>
            <w:proofErr w:type="spellEnd"/>
            <w:r w:rsidRPr="0077559D">
              <w:rPr>
                <w:sz w:val="20"/>
                <w:szCs w:val="20"/>
              </w:rPr>
              <w:t>, kwalifikowani są również pacjenci uprzednio leczeni tą substancją czynną w ramach innego sposobu finansowania terapii (za wyjątkiem badań klinicznych) w celu zapewnienia kontynuacji terapii.</w:t>
            </w:r>
          </w:p>
          <w:p w:rsidR="0077559D" w:rsidRDefault="0077559D" w:rsidP="0077559D">
            <w:pPr>
              <w:pStyle w:val="Akapitzlist"/>
              <w:autoSpaceDE w:val="0"/>
              <w:autoSpaceDN w:val="0"/>
              <w:adjustRightInd w:val="0"/>
              <w:spacing w:after="60"/>
              <w:ind w:left="227"/>
              <w:contextualSpacing w:val="0"/>
              <w:jc w:val="both"/>
              <w:rPr>
                <w:sz w:val="20"/>
                <w:szCs w:val="20"/>
              </w:rPr>
            </w:pPr>
          </w:p>
          <w:p w:rsidR="0077559D" w:rsidRPr="0077559D" w:rsidRDefault="00E36145" w:rsidP="0077559D">
            <w:pPr>
              <w:pStyle w:val="Akapitzlist"/>
              <w:numPr>
                <w:ilvl w:val="1"/>
                <w:numId w:val="27"/>
              </w:numPr>
              <w:autoSpaceDE w:val="0"/>
              <w:autoSpaceDN w:val="0"/>
              <w:adjustRightInd w:val="0"/>
              <w:spacing w:after="60"/>
              <w:contextualSpacing w:val="0"/>
              <w:jc w:val="both"/>
              <w:rPr>
                <w:sz w:val="20"/>
                <w:szCs w:val="20"/>
              </w:rPr>
            </w:pPr>
            <w:r w:rsidRPr="0077559D">
              <w:rPr>
                <w:b/>
                <w:bCs/>
                <w:sz w:val="20"/>
                <w:szCs w:val="20"/>
              </w:rPr>
              <w:t>Określenie czasu leczenia w programie</w:t>
            </w:r>
          </w:p>
          <w:p w:rsidR="00F160C5" w:rsidRDefault="00E36145" w:rsidP="0077559D">
            <w:pPr>
              <w:autoSpaceDE w:val="0"/>
              <w:autoSpaceDN w:val="0"/>
              <w:adjustRightInd w:val="0"/>
              <w:spacing w:after="60"/>
              <w:jc w:val="both"/>
              <w:rPr>
                <w:sz w:val="20"/>
                <w:szCs w:val="20"/>
              </w:rPr>
            </w:pPr>
            <w:r w:rsidRPr="0077559D">
              <w:rPr>
                <w:sz w:val="20"/>
                <w:szCs w:val="20"/>
              </w:rPr>
              <w:t>Leczenie trwa do czasu podjęcia przez lekarza prowadzącego decyzji o wyłączeniu świadczeniobiorcy z programu, zgodnie z kryteriami wyłączenia.</w:t>
            </w:r>
          </w:p>
          <w:p w:rsidR="00F160C5" w:rsidRDefault="00F160C5" w:rsidP="0077559D">
            <w:pPr>
              <w:autoSpaceDE w:val="0"/>
              <w:autoSpaceDN w:val="0"/>
              <w:adjustRightInd w:val="0"/>
              <w:spacing w:after="60"/>
              <w:jc w:val="both"/>
              <w:rPr>
                <w:sz w:val="20"/>
                <w:szCs w:val="20"/>
              </w:rPr>
            </w:pPr>
          </w:p>
          <w:p w:rsidR="00F160C5" w:rsidRPr="00F160C5" w:rsidRDefault="00197F10" w:rsidP="00D037FD">
            <w:pPr>
              <w:pStyle w:val="Akapitzlist"/>
              <w:numPr>
                <w:ilvl w:val="1"/>
                <w:numId w:val="27"/>
              </w:numPr>
              <w:autoSpaceDE w:val="0"/>
              <w:autoSpaceDN w:val="0"/>
              <w:adjustRightInd w:val="0"/>
              <w:spacing w:after="60"/>
              <w:contextualSpacing w:val="0"/>
              <w:jc w:val="both"/>
              <w:rPr>
                <w:sz w:val="20"/>
                <w:szCs w:val="20"/>
              </w:rPr>
            </w:pPr>
            <w:r w:rsidRPr="00F160C5">
              <w:rPr>
                <w:b/>
                <w:bCs/>
                <w:sz w:val="20"/>
                <w:szCs w:val="20"/>
              </w:rPr>
              <w:t>Kryteria wyłączenia z programu</w:t>
            </w:r>
            <w:r w:rsidR="00E36145" w:rsidRPr="00F160C5">
              <w:rPr>
                <w:b/>
                <w:bCs/>
                <w:sz w:val="20"/>
                <w:szCs w:val="20"/>
              </w:rPr>
              <w:t>:</w:t>
            </w:r>
          </w:p>
          <w:p w:rsidR="00F160C5" w:rsidRDefault="00E36145" w:rsidP="00F160C5">
            <w:pPr>
              <w:pStyle w:val="Akapitzlist"/>
              <w:numPr>
                <w:ilvl w:val="2"/>
                <w:numId w:val="27"/>
              </w:numPr>
              <w:autoSpaceDE w:val="0"/>
              <w:autoSpaceDN w:val="0"/>
              <w:adjustRightInd w:val="0"/>
              <w:spacing w:after="60"/>
              <w:contextualSpacing w:val="0"/>
              <w:jc w:val="both"/>
              <w:rPr>
                <w:sz w:val="20"/>
                <w:szCs w:val="20"/>
              </w:rPr>
            </w:pPr>
            <w:r w:rsidRPr="00F160C5">
              <w:rPr>
                <w:sz w:val="20"/>
                <w:szCs w:val="20"/>
              </w:rPr>
              <w:t>udokumentowana progresja w trakcie stosowania leku;</w:t>
            </w:r>
          </w:p>
          <w:p w:rsidR="00F160C5" w:rsidRDefault="00E36145" w:rsidP="00F160C5">
            <w:pPr>
              <w:pStyle w:val="Akapitzlist"/>
              <w:numPr>
                <w:ilvl w:val="2"/>
                <w:numId w:val="27"/>
              </w:numPr>
              <w:autoSpaceDE w:val="0"/>
              <w:autoSpaceDN w:val="0"/>
              <w:adjustRightInd w:val="0"/>
              <w:spacing w:after="60"/>
              <w:contextualSpacing w:val="0"/>
              <w:jc w:val="both"/>
              <w:rPr>
                <w:sz w:val="20"/>
                <w:szCs w:val="20"/>
              </w:rPr>
            </w:pPr>
            <w:r w:rsidRPr="00F160C5">
              <w:rPr>
                <w:sz w:val="20"/>
                <w:szCs w:val="20"/>
              </w:rPr>
              <w:t xml:space="preserve">wystąpienie objawów nadwrażliwości na </w:t>
            </w:r>
            <w:proofErr w:type="spellStart"/>
            <w:r w:rsidRPr="00F160C5">
              <w:rPr>
                <w:sz w:val="20"/>
                <w:szCs w:val="20"/>
              </w:rPr>
              <w:t>aksytynib</w:t>
            </w:r>
            <w:proofErr w:type="spellEnd"/>
            <w:r w:rsidRPr="00F160C5">
              <w:rPr>
                <w:sz w:val="20"/>
                <w:szCs w:val="20"/>
              </w:rPr>
              <w:t xml:space="preserve"> lub na którąkolwiek substancję pomocniczą;</w:t>
            </w:r>
          </w:p>
          <w:p w:rsidR="00F160C5" w:rsidRDefault="00E36145" w:rsidP="00F160C5">
            <w:pPr>
              <w:pStyle w:val="Akapitzlist"/>
              <w:numPr>
                <w:ilvl w:val="2"/>
                <w:numId w:val="27"/>
              </w:numPr>
              <w:autoSpaceDE w:val="0"/>
              <w:autoSpaceDN w:val="0"/>
              <w:adjustRightInd w:val="0"/>
              <w:spacing w:after="60"/>
              <w:contextualSpacing w:val="0"/>
              <w:jc w:val="both"/>
              <w:rPr>
                <w:sz w:val="20"/>
                <w:szCs w:val="20"/>
              </w:rPr>
            </w:pPr>
            <w:r w:rsidRPr="00F160C5">
              <w:rPr>
                <w:sz w:val="20"/>
                <w:szCs w:val="20"/>
              </w:rPr>
              <w:t>nawracająca lub nieakceptowana toksyczność powyżej 3 stopnia według</w:t>
            </w:r>
            <w:r w:rsidR="00744872">
              <w:rPr>
                <w:sz w:val="20"/>
                <w:szCs w:val="20"/>
              </w:rPr>
              <w:t xml:space="preserve"> </w:t>
            </w:r>
            <w:r w:rsidRPr="00F160C5">
              <w:rPr>
                <w:sz w:val="20"/>
                <w:szCs w:val="20"/>
              </w:rPr>
              <w:t>skali WHO;</w:t>
            </w:r>
          </w:p>
          <w:p w:rsidR="00F160C5" w:rsidRDefault="00E36145" w:rsidP="00F160C5">
            <w:pPr>
              <w:pStyle w:val="Akapitzlist"/>
              <w:numPr>
                <w:ilvl w:val="2"/>
                <w:numId w:val="27"/>
              </w:numPr>
              <w:autoSpaceDE w:val="0"/>
              <w:autoSpaceDN w:val="0"/>
              <w:adjustRightInd w:val="0"/>
              <w:spacing w:after="60"/>
              <w:contextualSpacing w:val="0"/>
              <w:jc w:val="both"/>
              <w:rPr>
                <w:sz w:val="20"/>
                <w:szCs w:val="20"/>
              </w:rPr>
            </w:pPr>
            <w:r w:rsidRPr="00F160C5">
              <w:rPr>
                <w:sz w:val="20"/>
                <w:szCs w:val="20"/>
              </w:rPr>
              <w:t xml:space="preserve">utrzymujący się stan sprawności 70 lub niższy według skali </w:t>
            </w:r>
            <w:proofErr w:type="spellStart"/>
            <w:r w:rsidRPr="00F160C5">
              <w:rPr>
                <w:sz w:val="20"/>
                <w:szCs w:val="20"/>
              </w:rPr>
              <w:t>Karnofsky’ego</w:t>
            </w:r>
            <w:proofErr w:type="spellEnd"/>
            <w:r w:rsidRPr="00F160C5">
              <w:rPr>
                <w:sz w:val="20"/>
                <w:szCs w:val="20"/>
              </w:rPr>
              <w:t>;</w:t>
            </w:r>
          </w:p>
          <w:p w:rsidR="00F160C5" w:rsidRDefault="00E36145" w:rsidP="00F160C5">
            <w:pPr>
              <w:pStyle w:val="Akapitzlist"/>
              <w:numPr>
                <w:ilvl w:val="2"/>
                <w:numId w:val="27"/>
              </w:numPr>
              <w:autoSpaceDE w:val="0"/>
              <w:autoSpaceDN w:val="0"/>
              <w:adjustRightInd w:val="0"/>
              <w:spacing w:after="60"/>
              <w:contextualSpacing w:val="0"/>
              <w:jc w:val="both"/>
              <w:rPr>
                <w:sz w:val="20"/>
                <w:szCs w:val="20"/>
              </w:rPr>
            </w:pPr>
            <w:r w:rsidRPr="00F160C5">
              <w:rPr>
                <w:sz w:val="20"/>
                <w:szCs w:val="20"/>
              </w:rPr>
              <w:t>wystąpienie objawów zastoinowej niewydolności serca, ostrych incydentów niewydolności wieńcowej, niekontrolowanego nadciśnienia tętniczego oraz niestabilnych zaburzeń rytmu serca wymagających leczenia;</w:t>
            </w:r>
          </w:p>
          <w:p w:rsidR="00F160C5" w:rsidRDefault="00E36145" w:rsidP="00F160C5">
            <w:pPr>
              <w:pStyle w:val="Akapitzlist"/>
              <w:numPr>
                <w:ilvl w:val="2"/>
                <w:numId w:val="27"/>
              </w:numPr>
              <w:autoSpaceDE w:val="0"/>
              <w:autoSpaceDN w:val="0"/>
              <w:adjustRightInd w:val="0"/>
              <w:spacing w:after="60"/>
              <w:contextualSpacing w:val="0"/>
              <w:jc w:val="both"/>
              <w:rPr>
                <w:sz w:val="20"/>
                <w:szCs w:val="20"/>
              </w:rPr>
            </w:pPr>
            <w:r w:rsidRPr="00F160C5">
              <w:rPr>
                <w:sz w:val="20"/>
                <w:szCs w:val="20"/>
              </w:rPr>
              <w:t>istotne pogorszenie jakości życia w trakcie stosowania leku.</w:t>
            </w:r>
          </w:p>
          <w:p w:rsidR="00F160C5" w:rsidRDefault="00F160C5" w:rsidP="00F160C5">
            <w:pPr>
              <w:pStyle w:val="Akapitzlist"/>
              <w:autoSpaceDE w:val="0"/>
              <w:autoSpaceDN w:val="0"/>
              <w:adjustRightInd w:val="0"/>
              <w:spacing w:after="60"/>
              <w:ind w:left="397"/>
              <w:contextualSpacing w:val="0"/>
              <w:jc w:val="both"/>
              <w:rPr>
                <w:sz w:val="20"/>
                <w:szCs w:val="20"/>
              </w:rPr>
            </w:pPr>
          </w:p>
          <w:p w:rsidR="00AC4233" w:rsidRPr="00F160C5" w:rsidRDefault="00AC4233" w:rsidP="00F160C5">
            <w:pPr>
              <w:pStyle w:val="Akapitzlist"/>
              <w:numPr>
                <w:ilvl w:val="0"/>
                <w:numId w:val="27"/>
              </w:numPr>
              <w:autoSpaceDE w:val="0"/>
              <w:autoSpaceDN w:val="0"/>
              <w:adjustRightInd w:val="0"/>
              <w:spacing w:after="60"/>
              <w:contextualSpacing w:val="0"/>
              <w:jc w:val="both"/>
              <w:rPr>
                <w:sz w:val="20"/>
                <w:szCs w:val="20"/>
              </w:rPr>
            </w:pPr>
            <w:r w:rsidRPr="00F160C5">
              <w:rPr>
                <w:b/>
                <w:bCs/>
                <w:sz w:val="20"/>
                <w:szCs w:val="20"/>
              </w:rPr>
              <w:t xml:space="preserve">Leczenie raka nerki przy wykorzystaniu substancji czynnej </w:t>
            </w:r>
            <w:proofErr w:type="spellStart"/>
            <w:r w:rsidRPr="00F160C5">
              <w:rPr>
                <w:b/>
                <w:bCs/>
                <w:sz w:val="20"/>
                <w:szCs w:val="20"/>
              </w:rPr>
              <w:t>ewerolimus</w:t>
            </w:r>
            <w:proofErr w:type="spellEnd"/>
          </w:p>
          <w:p w:rsidR="00AC4233" w:rsidRPr="00F160C5" w:rsidRDefault="00AC4233" w:rsidP="00F160C5">
            <w:pPr>
              <w:pStyle w:val="Akapitzlist"/>
              <w:numPr>
                <w:ilvl w:val="1"/>
                <w:numId w:val="27"/>
              </w:numPr>
              <w:autoSpaceDE w:val="0"/>
              <w:autoSpaceDN w:val="0"/>
              <w:adjustRightInd w:val="0"/>
              <w:spacing w:after="60"/>
              <w:contextualSpacing w:val="0"/>
              <w:jc w:val="both"/>
              <w:rPr>
                <w:b/>
                <w:bCs/>
                <w:sz w:val="20"/>
                <w:szCs w:val="20"/>
              </w:rPr>
            </w:pPr>
            <w:r w:rsidRPr="009E1845">
              <w:rPr>
                <w:b/>
                <w:bCs/>
                <w:sz w:val="20"/>
                <w:szCs w:val="20"/>
              </w:rPr>
              <w:t>Kryteria kwalifikacji</w:t>
            </w:r>
          </w:p>
          <w:p w:rsidR="005B07B3" w:rsidRDefault="00AC4233" w:rsidP="009E1845">
            <w:pPr>
              <w:pStyle w:val="Akapitzlist"/>
              <w:numPr>
                <w:ilvl w:val="2"/>
                <w:numId w:val="27"/>
              </w:numPr>
              <w:autoSpaceDE w:val="0"/>
              <w:autoSpaceDN w:val="0"/>
              <w:adjustRightInd w:val="0"/>
              <w:spacing w:after="60"/>
              <w:contextualSpacing w:val="0"/>
              <w:jc w:val="both"/>
              <w:rPr>
                <w:sz w:val="20"/>
                <w:szCs w:val="20"/>
              </w:rPr>
            </w:pPr>
            <w:r w:rsidRPr="009E1845">
              <w:rPr>
                <w:sz w:val="20"/>
                <w:szCs w:val="20"/>
              </w:rPr>
              <w:t xml:space="preserve">histologicznie potwierdzone rozpoznanie </w:t>
            </w:r>
            <w:proofErr w:type="spellStart"/>
            <w:r w:rsidRPr="009E1845">
              <w:rPr>
                <w:sz w:val="20"/>
                <w:szCs w:val="20"/>
              </w:rPr>
              <w:t>jasnokomórkowego</w:t>
            </w:r>
            <w:proofErr w:type="spellEnd"/>
            <w:r w:rsidRPr="009E1845">
              <w:rPr>
                <w:sz w:val="20"/>
                <w:szCs w:val="20"/>
              </w:rPr>
              <w:t xml:space="preserve"> raka nerki lub mieszanego raka </w:t>
            </w:r>
            <w:proofErr w:type="spellStart"/>
            <w:r w:rsidRPr="009E1845">
              <w:rPr>
                <w:sz w:val="20"/>
                <w:szCs w:val="20"/>
              </w:rPr>
              <w:t>nerkowokomórkowego</w:t>
            </w:r>
            <w:proofErr w:type="spellEnd"/>
            <w:r w:rsidRPr="009E1845">
              <w:rPr>
                <w:sz w:val="20"/>
                <w:szCs w:val="20"/>
              </w:rPr>
              <w:t xml:space="preserve"> z przeważającym (powyżej 60% utkani</w:t>
            </w:r>
            <w:r w:rsidR="005B07B3">
              <w:rPr>
                <w:sz w:val="20"/>
                <w:szCs w:val="20"/>
              </w:rPr>
              <w:t xml:space="preserve">a) komponentem </w:t>
            </w:r>
            <w:proofErr w:type="spellStart"/>
            <w:r w:rsidR="005B07B3">
              <w:rPr>
                <w:sz w:val="20"/>
                <w:szCs w:val="20"/>
              </w:rPr>
              <w:t>jasnokomórkowym</w:t>
            </w:r>
            <w:proofErr w:type="spellEnd"/>
            <w:r w:rsidR="005B07B3">
              <w:rPr>
                <w:sz w:val="20"/>
                <w:szCs w:val="20"/>
              </w:rPr>
              <w:t>;</w:t>
            </w:r>
          </w:p>
          <w:p w:rsidR="005B07B3" w:rsidRDefault="00AC4233" w:rsidP="009E1845">
            <w:pPr>
              <w:pStyle w:val="Akapitzlist"/>
              <w:numPr>
                <w:ilvl w:val="2"/>
                <w:numId w:val="27"/>
              </w:numPr>
              <w:autoSpaceDE w:val="0"/>
              <w:autoSpaceDN w:val="0"/>
              <w:adjustRightInd w:val="0"/>
              <w:spacing w:after="60"/>
              <w:contextualSpacing w:val="0"/>
              <w:jc w:val="both"/>
              <w:rPr>
                <w:sz w:val="20"/>
                <w:szCs w:val="20"/>
              </w:rPr>
            </w:pPr>
            <w:r w:rsidRPr="005B07B3">
              <w:rPr>
                <w:sz w:val="20"/>
                <w:szCs w:val="20"/>
              </w:rPr>
              <w:t>nowotwór w stadium zaawansowanym (pierwotne uogólnienie lub nawrót po pierwotnym leczeniu chirurgicznym);</w:t>
            </w:r>
          </w:p>
          <w:p w:rsidR="005B07B3" w:rsidRDefault="00AC4233" w:rsidP="009E1845">
            <w:pPr>
              <w:pStyle w:val="Akapitzlist"/>
              <w:numPr>
                <w:ilvl w:val="2"/>
                <w:numId w:val="27"/>
              </w:numPr>
              <w:autoSpaceDE w:val="0"/>
              <w:autoSpaceDN w:val="0"/>
              <w:adjustRightInd w:val="0"/>
              <w:spacing w:after="60"/>
              <w:contextualSpacing w:val="0"/>
              <w:jc w:val="both"/>
              <w:rPr>
                <w:sz w:val="20"/>
                <w:szCs w:val="20"/>
              </w:rPr>
            </w:pPr>
            <w:r w:rsidRPr="005B07B3">
              <w:rPr>
                <w:sz w:val="20"/>
                <w:szCs w:val="20"/>
              </w:rPr>
              <w:t xml:space="preserve">udokumentowane niepowodzenie wcześniejszego leczenia z zastosowaniem </w:t>
            </w:r>
            <w:proofErr w:type="spellStart"/>
            <w:r w:rsidRPr="005B07B3">
              <w:rPr>
                <w:sz w:val="20"/>
                <w:szCs w:val="20"/>
              </w:rPr>
              <w:t>wielokinazowych</w:t>
            </w:r>
            <w:proofErr w:type="spellEnd"/>
            <w:r w:rsidRPr="005B07B3">
              <w:rPr>
                <w:sz w:val="20"/>
                <w:szCs w:val="20"/>
              </w:rPr>
              <w:t xml:space="preserve"> inhibitorów (</w:t>
            </w:r>
            <w:proofErr w:type="spellStart"/>
            <w:r w:rsidRPr="005B07B3">
              <w:rPr>
                <w:sz w:val="20"/>
                <w:szCs w:val="20"/>
              </w:rPr>
              <w:t>suni</w:t>
            </w:r>
            <w:r w:rsidR="00DA7A8F" w:rsidRPr="005B07B3">
              <w:rPr>
                <w:sz w:val="20"/>
                <w:szCs w:val="20"/>
              </w:rPr>
              <w:t>tynib</w:t>
            </w:r>
            <w:proofErr w:type="spellEnd"/>
            <w:r w:rsidR="00DA7A8F" w:rsidRPr="005B07B3">
              <w:rPr>
                <w:sz w:val="20"/>
                <w:szCs w:val="20"/>
              </w:rPr>
              <w:t xml:space="preserve">, </w:t>
            </w:r>
            <w:proofErr w:type="spellStart"/>
            <w:r w:rsidR="00DA7A8F" w:rsidRPr="005B07B3">
              <w:rPr>
                <w:sz w:val="20"/>
                <w:szCs w:val="20"/>
              </w:rPr>
              <w:t>sorafenib</w:t>
            </w:r>
            <w:proofErr w:type="spellEnd"/>
            <w:r w:rsidR="00DA7A8F" w:rsidRPr="005B07B3">
              <w:rPr>
                <w:sz w:val="20"/>
                <w:szCs w:val="20"/>
              </w:rPr>
              <w:t xml:space="preserve">, </w:t>
            </w:r>
            <w:proofErr w:type="spellStart"/>
            <w:r w:rsidR="00DA7A8F" w:rsidRPr="005B07B3">
              <w:rPr>
                <w:sz w:val="20"/>
                <w:szCs w:val="20"/>
              </w:rPr>
              <w:t>pazopanib</w:t>
            </w:r>
            <w:proofErr w:type="spellEnd"/>
            <w:r w:rsidRPr="005B07B3">
              <w:rPr>
                <w:sz w:val="20"/>
                <w:szCs w:val="20"/>
              </w:rPr>
              <w:t>) stosowanych jako jedyne leczenie poprzedzające lub po wcześniejszej immunoterapii;</w:t>
            </w:r>
          </w:p>
          <w:p w:rsidR="005B07B3" w:rsidRDefault="00E06EF4" w:rsidP="009E1845">
            <w:pPr>
              <w:pStyle w:val="Akapitzlist"/>
              <w:numPr>
                <w:ilvl w:val="2"/>
                <w:numId w:val="27"/>
              </w:numPr>
              <w:autoSpaceDE w:val="0"/>
              <w:autoSpaceDN w:val="0"/>
              <w:adjustRightInd w:val="0"/>
              <w:spacing w:after="60"/>
              <w:contextualSpacing w:val="0"/>
              <w:jc w:val="both"/>
              <w:rPr>
                <w:sz w:val="20"/>
                <w:szCs w:val="20"/>
              </w:rPr>
            </w:pPr>
            <w:r w:rsidRPr="005B07B3">
              <w:rPr>
                <w:sz w:val="20"/>
                <w:szCs w:val="20"/>
              </w:rPr>
              <w:t>uprzednie wykonanie nefrektomii (radykalnej lub oszczędzającej);</w:t>
            </w:r>
          </w:p>
          <w:p w:rsidR="005B07B3" w:rsidRDefault="00AC4233" w:rsidP="009E1845">
            <w:pPr>
              <w:pStyle w:val="Akapitzlist"/>
              <w:numPr>
                <w:ilvl w:val="2"/>
                <w:numId w:val="27"/>
              </w:numPr>
              <w:autoSpaceDE w:val="0"/>
              <w:autoSpaceDN w:val="0"/>
              <w:adjustRightInd w:val="0"/>
              <w:spacing w:after="60"/>
              <w:contextualSpacing w:val="0"/>
              <w:jc w:val="both"/>
              <w:rPr>
                <w:sz w:val="20"/>
                <w:szCs w:val="20"/>
              </w:rPr>
            </w:pPr>
            <w:r w:rsidRPr="005B07B3">
              <w:rPr>
                <w:sz w:val="20"/>
                <w:szCs w:val="20"/>
              </w:rPr>
              <w:lastRenderedPageBreak/>
              <w:t>udokumentowana obecność przerzutów narządowych;</w:t>
            </w:r>
          </w:p>
          <w:p w:rsidR="005B07B3" w:rsidRDefault="00AC4233" w:rsidP="009E1845">
            <w:pPr>
              <w:pStyle w:val="Akapitzlist"/>
              <w:numPr>
                <w:ilvl w:val="2"/>
                <w:numId w:val="27"/>
              </w:numPr>
              <w:autoSpaceDE w:val="0"/>
              <w:autoSpaceDN w:val="0"/>
              <w:adjustRightInd w:val="0"/>
              <w:spacing w:after="60"/>
              <w:contextualSpacing w:val="0"/>
              <w:jc w:val="both"/>
              <w:rPr>
                <w:sz w:val="20"/>
                <w:szCs w:val="20"/>
              </w:rPr>
            </w:pPr>
            <w:r w:rsidRPr="005B07B3">
              <w:rPr>
                <w:sz w:val="20"/>
                <w:szCs w:val="20"/>
              </w:rPr>
              <w:t>zmiany możliwe do obiektywnej oceny w badaniach obrazowych metodą KT lub MR z zastrzeżeniem konieczności potwierdzenia zmian w układzie kostnym przy użyciu konwencjonalnej RTG lub MR;</w:t>
            </w:r>
          </w:p>
          <w:p w:rsidR="005B07B3" w:rsidRDefault="00AC4233" w:rsidP="009E1845">
            <w:pPr>
              <w:pStyle w:val="Akapitzlist"/>
              <w:numPr>
                <w:ilvl w:val="2"/>
                <w:numId w:val="27"/>
              </w:numPr>
              <w:autoSpaceDE w:val="0"/>
              <w:autoSpaceDN w:val="0"/>
              <w:adjustRightInd w:val="0"/>
              <w:spacing w:after="60"/>
              <w:contextualSpacing w:val="0"/>
              <w:jc w:val="both"/>
              <w:rPr>
                <w:sz w:val="20"/>
                <w:szCs w:val="20"/>
              </w:rPr>
            </w:pPr>
            <w:r w:rsidRPr="005B07B3">
              <w:rPr>
                <w:sz w:val="20"/>
                <w:szCs w:val="20"/>
              </w:rPr>
              <w:t>nieobecność przerzutów w ośrodkowym układzie nerwowym (dopuszczalne wcześniejsze usunięcie przerzutów);</w:t>
            </w:r>
          </w:p>
          <w:p w:rsidR="005B07B3" w:rsidRDefault="00AC4233" w:rsidP="009E1845">
            <w:pPr>
              <w:pStyle w:val="Akapitzlist"/>
              <w:numPr>
                <w:ilvl w:val="2"/>
                <w:numId w:val="27"/>
              </w:numPr>
              <w:autoSpaceDE w:val="0"/>
              <w:autoSpaceDN w:val="0"/>
              <w:adjustRightInd w:val="0"/>
              <w:spacing w:after="60"/>
              <w:contextualSpacing w:val="0"/>
              <w:jc w:val="both"/>
              <w:rPr>
                <w:sz w:val="20"/>
                <w:szCs w:val="20"/>
              </w:rPr>
            </w:pPr>
            <w:r w:rsidRPr="005B07B3">
              <w:rPr>
                <w:sz w:val="20"/>
                <w:szCs w:val="20"/>
              </w:rPr>
              <w:t xml:space="preserve">stan sprawności 80-100 wg skali </w:t>
            </w:r>
            <w:proofErr w:type="spellStart"/>
            <w:r w:rsidRPr="005B07B3">
              <w:rPr>
                <w:sz w:val="20"/>
                <w:szCs w:val="20"/>
              </w:rPr>
              <w:t>Karnofsky'ego</w:t>
            </w:r>
            <w:proofErr w:type="spellEnd"/>
            <w:r w:rsidRPr="005B07B3">
              <w:rPr>
                <w:sz w:val="20"/>
                <w:szCs w:val="20"/>
              </w:rPr>
              <w:t>;</w:t>
            </w:r>
          </w:p>
          <w:p w:rsidR="005B07B3" w:rsidRDefault="00AC4233" w:rsidP="009E1845">
            <w:pPr>
              <w:pStyle w:val="Akapitzlist"/>
              <w:numPr>
                <w:ilvl w:val="2"/>
                <w:numId w:val="27"/>
              </w:numPr>
              <w:autoSpaceDE w:val="0"/>
              <w:autoSpaceDN w:val="0"/>
              <w:adjustRightInd w:val="0"/>
              <w:spacing w:after="60"/>
              <w:contextualSpacing w:val="0"/>
              <w:jc w:val="both"/>
              <w:rPr>
                <w:sz w:val="20"/>
                <w:szCs w:val="20"/>
              </w:rPr>
            </w:pPr>
            <w:r w:rsidRPr="005B07B3">
              <w:rPr>
                <w:sz w:val="20"/>
                <w:szCs w:val="20"/>
              </w:rPr>
              <w:t>korzystne lub pośrednie rokowanie według skali MSKCC (</w:t>
            </w:r>
            <w:proofErr w:type="spellStart"/>
            <w:r w:rsidRPr="005B07B3">
              <w:rPr>
                <w:sz w:val="20"/>
                <w:szCs w:val="20"/>
              </w:rPr>
              <w:t>Memorial</w:t>
            </w:r>
            <w:proofErr w:type="spellEnd"/>
            <w:r w:rsidRPr="005B07B3">
              <w:rPr>
                <w:sz w:val="20"/>
                <w:szCs w:val="20"/>
              </w:rPr>
              <w:t xml:space="preserve"> Sloan-</w:t>
            </w:r>
            <w:proofErr w:type="spellStart"/>
            <w:r w:rsidRPr="005B07B3">
              <w:rPr>
                <w:sz w:val="20"/>
                <w:szCs w:val="20"/>
              </w:rPr>
              <w:t>Kettering</w:t>
            </w:r>
            <w:proofErr w:type="spellEnd"/>
            <w:r w:rsidRPr="005B07B3">
              <w:rPr>
                <w:sz w:val="20"/>
                <w:szCs w:val="20"/>
              </w:rPr>
              <w:t xml:space="preserve"> </w:t>
            </w:r>
            <w:proofErr w:type="spellStart"/>
            <w:r w:rsidRPr="005B07B3">
              <w:rPr>
                <w:sz w:val="20"/>
                <w:szCs w:val="20"/>
              </w:rPr>
              <w:t>Cancer</w:t>
            </w:r>
            <w:proofErr w:type="spellEnd"/>
            <w:r w:rsidRPr="005B07B3">
              <w:rPr>
                <w:sz w:val="20"/>
                <w:szCs w:val="20"/>
              </w:rPr>
              <w:t xml:space="preserve"> Center);</w:t>
            </w:r>
          </w:p>
          <w:p w:rsidR="005B07B3" w:rsidRDefault="00AC4233" w:rsidP="009E1845">
            <w:pPr>
              <w:pStyle w:val="Akapitzlist"/>
              <w:numPr>
                <w:ilvl w:val="2"/>
                <w:numId w:val="27"/>
              </w:numPr>
              <w:autoSpaceDE w:val="0"/>
              <w:autoSpaceDN w:val="0"/>
              <w:adjustRightInd w:val="0"/>
              <w:spacing w:after="60"/>
              <w:contextualSpacing w:val="0"/>
              <w:jc w:val="both"/>
              <w:rPr>
                <w:sz w:val="20"/>
                <w:szCs w:val="20"/>
              </w:rPr>
            </w:pPr>
            <w:r w:rsidRPr="005B07B3">
              <w:rPr>
                <w:sz w:val="20"/>
                <w:szCs w:val="20"/>
              </w:rPr>
              <w:t>wykluczenie ciąży i okresu karmienia piersią;</w:t>
            </w:r>
          </w:p>
          <w:p w:rsidR="005B07B3" w:rsidRDefault="00AC4233" w:rsidP="009E1845">
            <w:pPr>
              <w:pStyle w:val="Akapitzlist"/>
              <w:numPr>
                <w:ilvl w:val="2"/>
                <w:numId w:val="27"/>
              </w:numPr>
              <w:autoSpaceDE w:val="0"/>
              <w:autoSpaceDN w:val="0"/>
              <w:adjustRightInd w:val="0"/>
              <w:spacing w:after="60"/>
              <w:contextualSpacing w:val="0"/>
              <w:jc w:val="both"/>
              <w:rPr>
                <w:sz w:val="20"/>
                <w:szCs w:val="20"/>
              </w:rPr>
            </w:pPr>
            <w:r w:rsidRPr="005B07B3">
              <w:rPr>
                <w:sz w:val="20"/>
                <w:szCs w:val="20"/>
              </w:rPr>
              <w:t xml:space="preserve">nieobecność innych nowotworów złośliwych z wyjątkiem przedinwazyjnego raka szyjki macicy oraz raka </w:t>
            </w:r>
            <w:proofErr w:type="spellStart"/>
            <w:r w:rsidRPr="005B07B3">
              <w:rPr>
                <w:sz w:val="20"/>
                <w:szCs w:val="20"/>
              </w:rPr>
              <w:t>podstawnokomórkowego</w:t>
            </w:r>
            <w:proofErr w:type="spellEnd"/>
            <w:r w:rsidRPr="005B07B3">
              <w:rPr>
                <w:sz w:val="20"/>
                <w:szCs w:val="20"/>
              </w:rPr>
              <w:t xml:space="preserve"> skóry;</w:t>
            </w:r>
          </w:p>
          <w:p w:rsidR="005B07B3" w:rsidRDefault="00AC4233" w:rsidP="009E1845">
            <w:pPr>
              <w:pStyle w:val="Akapitzlist"/>
              <w:numPr>
                <w:ilvl w:val="2"/>
                <w:numId w:val="27"/>
              </w:numPr>
              <w:autoSpaceDE w:val="0"/>
              <w:autoSpaceDN w:val="0"/>
              <w:adjustRightInd w:val="0"/>
              <w:spacing w:after="60"/>
              <w:contextualSpacing w:val="0"/>
              <w:jc w:val="both"/>
              <w:rPr>
                <w:sz w:val="20"/>
                <w:szCs w:val="20"/>
              </w:rPr>
            </w:pPr>
            <w:r w:rsidRPr="005B07B3">
              <w:rPr>
                <w:sz w:val="20"/>
                <w:szCs w:val="20"/>
              </w:rPr>
              <w:t>wykluczenie czynnych zakażeń miejscowych lub ogólnoustrojowych;</w:t>
            </w:r>
          </w:p>
          <w:p w:rsidR="005B07B3" w:rsidRDefault="00AC4233" w:rsidP="009E1845">
            <w:pPr>
              <w:pStyle w:val="Akapitzlist"/>
              <w:numPr>
                <w:ilvl w:val="2"/>
                <w:numId w:val="27"/>
              </w:numPr>
              <w:autoSpaceDE w:val="0"/>
              <w:autoSpaceDN w:val="0"/>
              <w:adjustRightInd w:val="0"/>
              <w:spacing w:after="60"/>
              <w:contextualSpacing w:val="0"/>
              <w:jc w:val="both"/>
              <w:rPr>
                <w:sz w:val="20"/>
                <w:szCs w:val="20"/>
              </w:rPr>
            </w:pPr>
            <w:r w:rsidRPr="005B07B3">
              <w:rPr>
                <w:sz w:val="20"/>
                <w:szCs w:val="20"/>
              </w:rPr>
              <w:t>nieobecność niekontrolowanych chorób układu sercowo-naczyniowego;</w:t>
            </w:r>
          </w:p>
          <w:p w:rsidR="005B07B3" w:rsidRDefault="00AC4233" w:rsidP="009E1845">
            <w:pPr>
              <w:pStyle w:val="Akapitzlist"/>
              <w:numPr>
                <w:ilvl w:val="2"/>
                <w:numId w:val="27"/>
              </w:numPr>
              <w:autoSpaceDE w:val="0"/>
              <w:autoSpaceDN w:val="0"/>
              <w:adjustRightInd w:val="0"/>
              <w:spacing w:after="60"/>
              <w:contextualSpacing w:val="0"/>
              <w:jc w:val="both"/>
              <w:rPr>
                <w:sz w:val="20"/>
                <w:szCs w:val="20"/>
              </w:rPr>
            </w:pPr>
            <w:r w:rsidRPr="005B07B3">
              <w:rPr>
                <w:sz w:val="20"/>
                <w:szCs w:val="20"/>
              </w:rPr>
              <w:t>adekwatna wydolność narządowa określona na podstawie badań laboratoryjnych krwi:</w:t>
            </w:r>
          </w:p>
          <w:p w:rsidR="005B07B3" w:rsidRDefault="00AC4233" w:rsidP="005B07B3">
            <w:pPr>
              <w:pStyle w:val="Akapitzlist"/>
              <w:numPr>
                <w:ilvl w:val="3"/>
                <w:numId w:val="27"/>
              </w:numPr>
              <w:autoSpaceDE w:val="0"/>
              <w:autoSpaceDN w:val="0"/>
              <w:adjustRightInd w:val="0"/>
              <w:spacing w:after="60"/>
              <w:contextualSpacing w:val="0"/>
              <w:jc w:val="both"/>
              <w:rPr>
                <w:sz w:val="20"/>
                <w:szCs w:val="20"/>
              </w:rPr>
            </w:pPr>
            <w:r w:rsidRPr="005B07B3">
              <w:rPr>
                <w:sz w:val="20"/>
                <w:szCs w:val="20"/>
              </w:rPr>
              <w:t>wyniki badań czynności wątroby:</w:t>
            </w:r>
          </w:p>
          <w:p w:rsidR="005B07B3" w:rsidRDefault="00AC4233" w:rsidP="005B07B3">
            <w:pPr>
              <w:pStyle w:val="Akapitzlist"/>
              <w:numPr>
                <w:ilvl w:val="4"/>
                <w:numId w:val="27"/>
              </w:numPr>
              <w:autoSpaceDE w:val="0"/>
              <w:autoSpaceDN w:val="0"/>
              <w:adjustRightInd w:val="0"/>
              <w:spacing w:after="60"/>
              <w:contextualSpacing w:val="0"/>
              <w:jc w:val="both"/>
              <w:rPr>
                <w:sz w:val="20"/>
                <w:szCs w:val="20"/>
              </w:rPr>
            </w:pPr>
            <w:r w:rsidRPr="005B07B3">
              <w:rPr>
                <w:sz w:val="20"/>
                <w:szCs w:val="20"/>
              </w:rPr>
              <w:t>stężenie bilirubiny całkowitej nieprzekraczające 2-krotnie górnej granicy normy (z wyjątkiem pacjentów z zespołem Gilberta),</w:t>
            </w:r>
          </w:p>
          <w:p w:rsidR="005B07B3" w:rsidRDefault="00AC4233" w:rsidP="005B07B3">
            <w:pPr>
              <w:pStyle w:val="Akapitzlist"/>
              <w:numPr>
                <w:ilvl w:val="4"/>
                <w:numId w:val="27"/>
              </w:numPr>
              <w:autoSpaceDE w:val="0"/>
              <w:autoSpaceDN w:val="0"/>
              <w:adjustRightInd w:val="0"/>
              <w:spacing w:after="60"/>
              <w:contextualSpacing w:val="0"/>
              <w:jc w:val="both"/>
              <w:rPr>
                <w:sz w:val="20"/>
                <w:szCs w:val="20"/>
              </w:rPr>
            </w:pPr>
            <w:r w:rsidRPr="005B07B3">
              <w:rPr>
                <w:sz w:val="20"/>
                <w:szCs w:val="20"/>
              </w:rPr>
              <w:t>aktywność transaminaz (alaninowej i asparaginowej) w surowicy nieprzekraczające 5-krotnie górnej granicy normy,</w:t>
            </w:r>
          </w:p>
          <w:p w:rsidR="005B07B3" w:rsidRDefault="00AC4233" w:rsidP="005B07B3">
            <w:pPr>
              <w:pStyle w:val="Akapitzlist"/>
              <w:numPr>
                <w:ilvl w:val="3"/>
                <w:numId w:val="27"/>
              </w:numPr>
              <w:autoSpaceDE w:val="0"/>
              <w:autoSpaceDN w:val="0"/>
              <w:adjustRightInd w:val="0"/>
              <w:spacing w:after="60"/>
              <w:contextualSpacing w:val="0"/>
              <w:jc w:val="both"/>
              <w:rPr>
                <w:sz w:val="20"/>
                <w:szCs w:val="20"/>
              </w:rPr>
            </w:pPr>
            <w:r w:rsidRPr="005B07B3">
              <w:rPr>
                <w:sz w:val="20"/>
                <w:szCs w:val="20"/>
              </w:rPr>
              <w:t>stężenie kreatyniny nieprzekraczające 2-krotnie górnej granicy normy,</w:t>
            </w:r>
          </w:p>
          <w:p w:rsidR="005B07B3" w:rsidRDefault="00AC4233" w:rsidP="005B07B3">
            <w:pPr>
              <w:pStyle w:val="Akapitzlist"/>
              <w:numPr>
                <w:ilvl w:val="3"/>
                <w:numId w:val="27"/>
              </w:numPr>
              <w:autoSpaceDE w:val="0"/>
              <w:autoSpaceDN w:val="0"/>
              <w:adjustRightInd w:val="0"/>
              <w:spacing w:after="60"/>
              <w:contextualSpacing w:val="0"/>
              <w:jc w:val="both"/>
              <w:rPr>
                <w:sz w:val="20"/>
                <w:szCs w:val="20"/>
              </w:rPr>
            </w:pPr>
            <w:r w:rsidRPr="005B07B3">
              <w:rPr>
                <w:sz w:val="20"/>
                <w:szCs w:val="20"/>
              </w:rPr>
              <w:t>wyniki badania morfologii krwi z rozmazem:</w:t>
            </w:r>
          </w:p>
          <w:p w:rsidR="005B07B3" w:rsidRDefault="00AC4233" w:rsidP="005B07B3">
            <w:pPr>
              <w:pStyle w:val="Akapitzlist"/>
              <w:numPr>
                <w:ilvl w:val="4"/>
                <w:numId w:val="27"/>
              </w:numPr>
              <w:autoSpaceDE w:val="0"/>
              <w:autoSpaceDN w:val="0"/>
              <w:adjustRightInd w:val="0"/>
              <w:spacing w:after="60"/>
              <w:contextualSpacing w:val="0"/>
              <w:jc w:val="both"/>
              <w:rPr>
                <w:sz w:val="20"/>
                <w:szCs w:val="20"/>
              </w:rPr>
            </w:pPr>
            <w:r w:rsidRPr="005B07B3">
              <w:rPr>
                <w:sz w:val="20"/>
                <w:szCs w:val="20"/>
              </w:rPr>
              <w:t>liczba płytek krwi większa lub równa 10</w:t>
            </w:r>
            <w:r w:rsidRPr="005B07B3">
              <w:rPr>
                <w:sz w:val="20"/>
                <w:szCs w:val="20"/>
                <w:vertAlign w:val="superscript"/>
              </w:rPr>
              <w:t>5</w:t>
            </w:r>
            <w:r w:rsidRPr="005B07B3">
              <w:rPr>
                <w:sz w:val="20"/>
                <w:szCs w:val="20"/>
              </w:rPr>
              <w:t>/mm</w:t>
            </w:r>
            <w:r w:rsidRPr="005B07B3">
              <w:rPr>
                <w:sz w:val="20"/>
                <w:szCs w:val="20"/>
                <w:vertAlign w:val="superscript"/>
              </w:rPr>
              <w:t>3</w:t>
            </w:r>
            <w:r w:rsidRPr="005B07B3">
              <w:rPr>
                <w:sz w:val="20"/>
                <w:szCs w:val="20"/>
              </w:rPr>
              <w:t>,</w:t>
            </w:r>
          </w:p>
          <w:p w:rsidR="005B07B3" w:rsidRDefault="00AC4233" w:rsidP="005B07B3">
            <w:pPr>
              <w:pStyle w:val="Akapitzlist"/>
              <w:numPr>
                <w:ilvl w:val="4"/>
                <w:numId w:val="27"/>
              </w:numPr>
              <w:autoSpaceDE w:val="0"/>
              <w:autoSpaceDN w:val="0"/>
              <w:adjustRightInd w:val="0"/>
              <w:spacing w:after="60"/>
              <w:contextualSpacing w:val="0"/>
              <w:jc w:val="both"/>
              <w:rPr>
                <w:sz w:val="20"/>
                <w:szCs w:val="20"/>
              </w:rPr>
            </w:pPr>
            <w:r w:rsidRPr="005B07B3">
              <w:rPr>
                <w:sz w:val="20"/>
                <w:szCs w:val="20"/>
              </w:rPr>
              <w:t>bezwzględna liczba granulocytów obojętnochłonnych większa lub równa 1500/mm</w:t>
            </w:r>
            <w:r w:rsidRPr="005B07B3">
              <w:rPr>
                <w:sz w:val="20"/>
                <w:szCs w:val="20"/>
                <w:vertAlign w:val="superscript"/>
              </w:rPr>
              <w:t>3</w:t>
            </w:r>
            <w:r w:rsidRPr="005B07B3">
              <w:rPr>
                <w:sz w:val="20"/>
                <w:szCs w:val="20"/>
              </w:rPr>
              <w:t>,</w:t>
            </w:r>
          </w:p>
          <w:p w:rsidR="005B07B3" w:rsidRDefault="00AC4233" w:rsidP="005B07B3">
            <w:pPr>
              <w:pStyle w:val="Akapitzlist"/>
              <w:numPr>
                <w:ilvl w:val="4"/>
                <w:numId w:val="27"/>
              </w:numPr>
              <w:autoSpaceDE w:val="0"/>
              <w:autoSpaceDN w:val="0"/>
              <w:adjustRightInd w:val="0"/>
              <w:spacing w:after="60"/>
              <w:contextualSpacing w:val="0"/>
              <w:jc w:val="both"/>
              <w:rPr>
                <w:sz w:val="20"/>
                <w:szCs w:val="20"/>
              </w:rPr>
            </w:pPr>
            <w:r w:rsidRPr="005B07B3">
              <w:rPr>
                <w:sz w:val="20"/>
                <w:szCs w:val="20"/>
              </w:rPr>
              <w:t>poziom hemoglobiny większy lub równy 9,5 g/dl;</w:t>
            </w:r>
          </w:p>
          <w:p w:rsidR="005B07B3" w:rsidRDefault="00AC4233" w:rsidP="005B07B3">
            <w:pPr>
              <w:pStyle w:val="Akapitzlist"/>
              <w:numPr>
                <w:ilvl w:val="2"/>
                <w:numId w:val="27"/>
              </w:numPr>
              <w:autoSpaceDE w:val="0"/>
              <w:autoSpaceDN w:val="0"/>
              <w:adjustRightInd w:val="0"/>
              <w:spacing w:after="60"/>
              <w:contextualSpacing w:val="0"/>
              <w:jc w:val="both"/>
              <w:rPr>
                <w:sz w:val="20"/>
                <w:szCs w:val="20"/>
              </w:rPr>
            </w:pPr>
            <w:r w:rsidRPr="005B07B3">
              <w:rPr>
                <w:sz w:val="20"/>
                <w:szCs w:val="20"/>
              </w:rPr>
              <w:t>prawidłowe stężenie glukozy we krwi;</w:t>
            </w:r>
          </w:p>
          <w:p w:rsidR="005B07B3" w:rsidRDefault="00AC4233" w:rsidP="005B07B3">
            <w:pPr>
              <w:pStyle w:val="Akapitzlist"/>
              <w:numPr>
                <w:ilvl w:val="2"/>
                <w:numId w:val="27"/>
              </w:numPr>
              <w:autoSpaceDE w:val="0"/>
              <w:autoSpaceDN w:val="0"/>
              <w:adjustRightInd w:val="0"/>
              <w:spacing w:after="60"/>
              <w:contextualSpacing w:val="0"/>
              <w:jc w:val="both"/>
              <w:rPr>
                <w:sz w:val="20"/>
                <w:szCs w:val="20"/>
              </w:rPr>
            </w:pPr>
            <w:r w:rsidRPr="005B07B3">
              <w:rPr>
                <w:sz w:val="20"/>
                <w:szCs w:val="20"/>
              </w:rPr>
              <w:t xml:space="preserve">niestosowanie leków z grupy silnych i umiarkowanych inhibitorów CYP3A4 (w szczególności </w:t>
            </w:r>
            <w:proofErr w:type="spellStart"/>
            <w:r w:rsidRPr="005B07B3">
              <w:rPr>
                <w:sz w:val="20"/>
                <w:szCs w:val="20"/>
              </w:rPr>
              <w:t>ketokonazol</w:t>
            </w:r>
            <w:proofErr w:type="spellEnd"/>
            <w:r w:rsidRPr="005B07B3">
              <w:rPr>
                <w:sz w:val="20"/>
                <w:szCs w:val="20"/>
              </w:rPr>
              <w:t xml:space="preserve">, </w:t>
            </w:r>
            <w:proofErr w:type="spellStart"/>
            <w:r w:rsidRPr="005B07B3">
              <w:rPr>
                <w:sz w:val="20"/>
                <w:szCs w:val="20"/>
              </w:rPr>
              <w:t>itrakonazol</w:t>
            </w:r>
            <w:proofErr w:type="spellEnd"/>
            <w:r w:rsidRPr="005B07B3">
              <w:rPr>
                <w:sz w:val="20"/>
                <w:szCs w:val="20"/>
              </w:rPr>
              <w:t xml:space="preserve">, </w:t>
            </w:r>
            <w:proofErr w:type="spellStart"/>
            <w:r w:rsidRPr="005B07B3">
              <w:rPr>
                <w:sz w:val="20"/>
                <w:szCs w:val="20"/>
              </w:rPr>
              <w:t>worikonazol</w:t>
            </w:r>
            <w:proofErr w:type="spellEnd"/>
            <w:r w:rsidRPr="005B07B3">
              <w:rPr>
                <w:sz w:val="20"/>
                <w:szCs w:val="20"/>
              </w:rPr>
              <w:t xml:space="preserve">, </w:t>
            </w:r>
            <w:proofErr w:type="spellStart"/>
            <w:r w:rsidRPr="005B07B3">
              <w:rPr>
                <w:sz w:val="20"/>
                <w:szCs w:val="20"/>
              </w:rPr>
              <w:t>klarytromycyna</w:t>
            </w:r>
            <w:proofErr w:type="spellEnd"/>
            <w:r w:rsidRPr="005B07B3">
              <w:rPr>
                <w:sz w:val="20"/>
                <w:szCs w:val="20"/>
              </w:rPr>
              <w:t xml:space="preserve">, </w:t>
            </w:r>
            <w:proofErr w:type="spellStart"/>
            <w:r w:rsidRPr="005B07B3">
              <w:rPr>
                <w:sz w:val="20"/>
                <w:szCs w:val="20"/>
              </w:rPr>
              <w:t>telitromycyna</w:t>
            </w:r>
            <w:proofErr w:type="spellEnd"/>
            <w:r w:rsidRPr="005B07B3">
              <w:rPr>
                <w:sz w:val="20"/>
                <w:szCs w:val="20"/>
              </w:rPr>
              <w:t xml:space="preserve">, erytromycyna, </w:t>
            </w:r>
            <w:proofErr w:type="spellStart"/>
            <w:r w:rsidRPr="005B07B3">
              <w:rPr>
                <w:sz w:val="20"/>
                <w:szCs w:val="20"/>
              </w:rPr>
              <w:t>werapamil</w:t>
            </w:r>
            <w:proofErr w:type="spellEnd"/>
            <w:r w:rsidRPr="005B07B3">
              <w:rPr>
                <w:sz w:val="20"/>
                <w:szCs w:val="20"/>
              </w:rPr>
              <w:t xml:space="preserve">, </w:t>
            </w:r>
            <w:proofErr w:type="spellStart"/>
            <w:r w:rsidRPr="005B07B3">
              <w:rPr>
                <w:sz w:val="20"/>
                <w:szCs w:val="20"/>
              </w:rPr>
              <w:t>flukonazol</w:t>
            </w:r>
            <w:proofErr w:type="spellEnd"/>
            <w:r w:rsidRPr="005B07B3">
              <w:rPr>
                <w:sz w:val="20"/>
                <w:szCs w:val="20"/>
              </w:rPr>
              <w:t xml:space="preserve">, </w:t>
            </w:r>
            <w:proofErr w:type="spellStart"/>
            <w:r w:rsidRPr="005B07B3">
              <w:rPr>
                <w:sz w:val="20"/>
                <w:szCs w:val="20"/>
              </w:rPr>
              <w:t>diltiazem</w:t>
            </w:r>
            <w:proofErr w:type="spellEnd"/>
            <w:r w:rsidRPr="005B07B3">
              <w:rPr>
                <w:sz w:val="20"/>
                <w:szCs w:val="20"/>
              </w:rPr>
              <w:t xml:space="preserve">, </w:t>
            </w:r>
            <w:proofErr w:type="spellStart"/>
            <w:r w:rsidRPr="005B07B3">
              <w:rPr>
                <w:sz w:val="20"/>
                <w:szCs w:val="20"/>
              </w:rPr>
              <w:t>cyklosporyna</w:t>
            </w:r>
            <w:proofErr w:type="spellEnd"/>
            <w:r w:rsidRPr="005B07B3">
              <w:rPr>
                <w:sz w:val="20"/>
                <w:szCs w:val="20"/>
              </w:rPr>
              <w:t>).</w:t>
            </w:r>
          </w:p>
          <w:p w:rsidR="005B07B3" w:rsidRDefault="00AC4233" w:rsidP="005B07B3">
            <w:pPr>
              <w:autoSpaceDE w:val="0"/>
              <w:autoSpaceDN w:val="0"/>
              <w:adjustRightInd w:val="0"/>
              <w:spacing w:after="60"/>
              <w:jc w:val="both"/>
              <w:rPr>
                <w:sz w:val="20"/>
                <w:szCs w:val="20"/>
              </w:rPr>
            </w:pPr>
            <w:r w:rsidRPr="005B07B3">
              <w:rPr>
                <w:sz w:val="20"/>
                <w:szCs w:val="20"/>
              </w:rPr>
              <w:lastRenderedPageBreak/>
              <w:t>Kryteria kwalifikacji muszą być spełnione łącznie.</w:t>
            </w:r>
          </w:p>
          <w:p w:rsidR="005B07B3" w:rsidRPr="005B07B3" w:rsidRDefault="005B07B3" w:rsidP="005B07B3">
            <w:pPr>
              <w:autoSpaceDE w:val="0"/>
              <w:autoSpaceDN w:val="0"/>
              <w:adjustRightInd w:val="0"/>
              <w:spacing w:after="60"/>
              <w:jc w:val="both"/>
              <w:rPr>
                <w:sz w:val="20"/>
                <w:szCs w:val="20"/>
              </w:rPr>
            </w:pPr>
          </w:p>
          <w:p w:rsidR="005B07B3" w:rsidRPr="005B07B3" w:rsidRDefault="00AC4233" w:rsidP="005B07B3">
            <w:pPr>
              <w:pStyle w:val="Akapitzlist"/>
              <w:numPr>
                <w:ilvl w:val="1"/>
                <w:numId w:val="27"/>
              </w:numPr>
              <w:autoSpaceDE w:val="0"/>
              <w:autoSpaceDN w:val="0"/>
              <w:adjustRightInd w:val="0"/>
              <w:spacing w:after="60"/>
              <w:contextualSpacing w:val="0"/>
              <w:jc w:val="both"/>
              <w:rPr>
                <w:sz w:val="20"/>
                <w:szCs w:val="20"/>
              </w:rPr>
            </w:pPr>
            <w:r w:rsidRPr="005B07B3">
              <w:rPr>
                <w:b/>
                <w:bCs/>
                <w:sz w:val="20"/>
                <w:szCs w:val="20"/>
              </w:rPr>
              <w:t>Określenie czasu leczenia w programie</w:t>
            </w:r>
          </w:p>
          <w:p w:rsidR="005B07B3" w:rsidRDefault="00AC4233" w:rsidP="005B07B3">
            <w:pPr>
              <w:autoSpaceDE w:val="0"/>
              <w:autoSpaceDN w:val="0"/>
              <w:adjustRightInd w:val="0"/>
              <w:spacing w:after="60"/>
              <w:jc w:val="both"/>
              <w:rPr>
                <w:sz w:val="20"/>
                <w:szCs w:val="20"/>
              </w:rPr>
            </w:pPr>
            <w:r w:rsidRPr="005B07B3">
              <w:rPr>
                <w:sz w:val="20"/>
                <w:szCs w:val="20"/>
              </w:rPr>
              <w:t>Leczenie trwa do czasu podjęcia przez lekarza prowadzącego decyzji o wyłączeniu świadczeniobiorcy z programu, zgodnie z kryteriami wyłączenia.</w:t>
            </w:r>
          </w:p>
          <w:p w:rsidR="005B07B3" w:rsidRPr="005B07B3" w:rsidRDefault="005B07B3" w:rsidP="005B07B3">
            <w:pPr>
              <w:autoSpaceDE w:val="0"/>
              <w:autoSpaceDN w:val="0"/>
              <w:adjustRightInd w:val="0"/>
              <w:spacing w:after="60"/>
              <w:jc w:val="both"/>
              <w:rPr>
                <w:sz w:val="20"/>
                <w:szCs w:val="20"/>
              </w:rPr>
            </w:pPr>
          </w:p>
          <w:p w:rsidR="005B07B3" w:rsidRPr="005B07B3" w:rsidRDefault="00AC4233" w:rsidP="005B07B3">
            <w:pPr>
              <w:pStyle w:val="Akapitzlist"/>
              <w:numPr>
                <w:ilvl w:val="1"/>
                <w:numId w:val="27"/>
              </w:numPr>
              <w:autoSpaceDE w:val="0"/>
              <w:autoSpaceDN w:val="0"/>
              <w:adjustRightInd w:val="0"/>
              <w:spacing w:after="60"/>
              <w:contextualSpacing w:val="0"/>
              <w:jc w:val="both"/>
              <w:rPr>
                <w:sz w:val="20"/>
                <w:szCs w:val="20"/>
              </w:rPr>
            </w:pPr>
            <w:r w:rsidRPr="005B07B3">
              <w:rPr>
                <w:b/>
                <w:bCs/>
                <w:sz w:val="20"/>
                <w:szCs w:val="20"/>
              </w:rPr>
              <w:t>Kryteria wyłączenia z programu</w:t>
            </w:r>
          </w:p>
          <w:p w:rsidR="005B07B3" w:rsidRDefault="00AC4233" w:rsidP="005B07B3">
            <w:pPr>
              <w:pStyle w:val="Akapitzlist"/>
              <w:numPr>
                <w:ilvl w:val="2"/>
                <w:numId w:val="27"/>
              </w:numPr>
              <w:autoSpaceDE w:val="0"/>
              <w:autoSpaceDN w:val="0"/>
              <w:adjustRightInd w:val="0"/>
              <w:spacing w:after="60"/>
              <w:contextualSpacing w:val="0"/>
              <w:jc w:val="both"/>
              <w:rPr>
                <w:sz w:val="20"/>
                <w:szCs w:val="20"/>
              </w:rPr>
            </w:pPr>
            <w:r w:rsidRPr="005B07B3">
              <w:rPr>
                <w:sz w:val="20"/>
                <w:szCs w:val="20"/>
              </w:rPr>
              <w:t>udokumentowana progresja w trakcie stosowania leku;</w:t>
            </w:r>
          </w:p>
          <w:p w:rsidR="005B07B3" w:rsidRDefault="00AC4233" w:rsidP="005B07B3">
            <w:pPr>
              <w:pStyle w:val="Akapitzlist"/>
              <w:numPr>
                <w:ilvl w:val="2"/>
                <w:numId w:val="27"/>
              </w:numPr>
              <w:autoSpaceDE w:val="0"/>
              <w:autoSpaceDN w:val="0"/>
              <w:adjustRightInd w:val="0"/>
              <w:spacing w:after="60"/>
              <w:contextualSpacing w:val="0"/>
              <w:jc w:val="both"/>
              <w:rPr>
                <w:sz w:val="20"/>
                <w:szCs w:val="20"/>
              </w:rPr>
            </w:pPr>
            <w:r w:rsidRPr="005B07B3">
              <w:rPr>
                <w:sz w:val="20"/>
                <w:szCs w:val="20"/>
              </w:rPr>
              <w:t xml:space="preserve">wystąpienie objawów nadwrażliwości na </w:t>
            </w:r>
            <w:proofErr w:type="spellStart"/>
            <w:r w:rsidRPr="005B07B3">
              <w:rPr>
                <w:sz w:val="20"/>
                <w:szCs w:val="20"/>
              </w:rPr>
              <w:t>ewerolimus</w:t>
            </w:r>
            <w:proofErr w:type="spellEnd"/>
            <w:r w:rsidRPr="005B07B3">
              <w:rPr>
                <w:sz w:val="20"/>
                <w:szCs w:val="20"/>
              </w:rPr>
              <w:t xml:space="preserve"> lub na którąkolwiek substancję pomocniczą;</w:t>
            </w:r>
          </w:p>
          <w:p w:rsidR="005B07B3" w:rsidRDefault="00AC4233" w:rsidP="005B07B3">
            <w:pPr>
              <w:pStyle w:val="Akapitzlist"/>
              <w:numPr>
                <w:ilvl w:val="2"/>
                <w:numId w:val="27"/>
              </w:numPr>
              <w:autoSpaceDE w:val="0"/>
              <w:autoSpaceDN w:val="0"/>
              <w:adjustRightInd w:val="0"/>
              <w:spacing w:after="60"/>
              <w:contextualSpacing w:val="0"/>
              <w:jc w:val="both"/>
              <w:rPr>
                <w:sz w:val="20"/>
                <w:szCs w:val="20"/>
              </w:rPr>
            </w:pPr>
            <w:r w:rsidRPr="005B07B3">
              <w:rPr>
                <w:sz w:val="20"/>
                <w:szCs w:val="20"/>
              </w:rPr>
              <w:t>nawracająca lub nieakceptowalna toksyczność powyżej 3 stopnia według skali WHO;</w:t>
            </w:r>
          </w:p>
          <w:p w:rsidR="005B07B3" w:rsidRDefault="00AC4233" w:rsidP="005B07B3">
            <w:pPr>
              <w:pStyle w:val="Akapitzlist"/>
              <w:numPr>
                <w:ilvl w:val="2"/>
                <w:numId w:val="27"/>
              </w:numPr>
              <w:autoSpaceDE w:val="0"/>
              <w:autoSpaceDN w:val="0"/>
              <w:adjustRightInd w:val="0"/>
              <w:spacing w:after="60"/>
              <w:contextualSpacing w:val="0"/>
              <w:jc w:val="both"/>
              <w:rPr>
                <w:sz w:val="20"/>
                <w:szCs w:val="20"/>
              </w:rPr>
            </w:pPr>
            <w:r w:rsidRPr="005B07B3">
              <w:rPr>
                <w:sz w:val="20"/>
                <w:szCs w:val="20"/>
              </w:rPr>
              <w:t xml:space="preserve">utrzymujący się stan sprawności 70 lub niższy według skali </w:t>
            </w:r>
            <w:proofErr w:type="spellStart"/>
            <w:r w:rsidRPr="005B07B3">
              <w:rPr>
                <w:sz w:val="20"/>
                <w:szCs w:val="20"/>
              </w:rPr>
              <w:t>Karnofsky'ego</w:t>
            </w:r>
            <w:proofErr w:type="spellEnd"/>
            <w:r w:rsidRPr="005B07B3">
              <w:rPr>
                <w:sz w:val="20"/>
                <w:szCs w:val="20"/>
              </w:rPr>
              <w:t>;</w:t>
            </w:r>
          </w:p>
          <w:p w:rsidR="005B07B3" w:rsidRDefault="00AC4233" w:rsidP="005B07B3">
            <w:pPr>
              <w:pStyle w:val="Akapitzlist"/>
              <w:numPr>
                <w:ilvl w:val="2"/>
                <w:numId w:val="27"/>
              </w:numPr>
              <w:autoSpaceDE w:val="0"/>
              <w:autoSpaceDN w:val="0"/>
              <w:adjustRightInd w:val="0"/>
              <w:spacing w:after="60"/>
              <w:contextualSpacing w:val="0"/>
              <w:jc w:val="both"/>
              <w:rPr>
                <w:sz w:val="20"/>
                <w:szCs w:val="20"/>
              </w:rPr>
            </w:pPr>
            <w:r w:rsidRPr="005B07B3">
              <w:rPr>
                <w:sz w:val="20"/>
                <w:szCs w:val="20"/>
              </w:rPr>
              <w:t>wystąpienie objawów zastoinowej niewydolności serca, ostrych incydentów niewydolności wieńcowej, niekontrolowanego nadciśnienia tętniczego oraz niestabilnych zaburzeń rytmu serca wymagających leczenia;</w:t>
            </w:r>
          </w:p>
          <w:p w:rsidR="005B07B3" w:rsidRDefault="00AC4233" w:rsidP="005B07B3">
            <w:pPr>
              <w:pStyle w:val="Akapitzlist"/>
              <w:numPr>
                <w:ilvl w:val="2"/>
                <w:numId w:val="27"/>
              </w:numPr>
              <w:autoSpaceDE w:val="0"/>
              <w:autoSpaceDN w:val="0"/>
              <w:adjustRightInd w:val="0"/>
              <w:spacing w:after="60"/>
              <w:contextualSpacing w:val="0"/>
              <w:jc w:val="both"/>
              <w:rPr>
                <w:sz w:val="20"/>
                <w:szCs w:val="20"/>
              </w:rPr>
            </w:pPr>
            <w:r w:rsidRPr="005B07B3">
              <w:rPr>
                <w:sz w:val="20"/>
                <w:szCs w:val="20"/>
              </w:rPr>
              <w:t>istotne pogorszenie jakości życia w trakcie stosowania leku.</w:t>
            </w:r>
          </w:p>
          <w:p w:rsidR="005B07B3" w:rsidRDefault="005B07B3" w:rsidP="005B07B3">
            <w:pPr>
              <w:pStyle w:val="Akapitzlist"/>
              <w:autoSpaceDE w:val="0"/>
              <w:autoSpaceDN w:val="0"/>
              <w:adjustRightInd w:val="0"/>
              <w:spacing w:after="60"/>
              <w:ind w:left="397"/>
              <w:contextualSpacing w:val="0"/>
              <w:jc w:val="both"/>
              <w:rPr>
                <w:sz w:val="20"/>
                <w:szCs w:val="20"/>
              </w:rPr>
            </w:pPr>
          </w:p>
          <w:p w:rsidR="005B07B3" w:rsidRPr="005B07B3" w:rsidRDefault="00F3024D" w:rsidP="005B07B3">
            <w:pPr>
              <w:pStyle w:val="Akapitzlist"/>
              <w:numPr>
                <w:ilvl w:val="0"/>
                <w:numId w:val="27"/>
              </w:numPr>
              <w:autoSpaceDE w:val="0"/>
              <w:autoSpaceDN w:val="0"/>
              <w:adjustRightInd w:val="0"/>
              <w:spacing w:after="60"/>
              <w:contextualSpacing w:val="0"/>
              <w:jc w:val="both"/>
              <w:rPr>
                <w:sz w:val="20"/>
                <w:szCs w:val="20"/>
              </w:rPr>
            </w:pPr>
            <w:r w:rsidRPr="005B07B3">
              <w:rPr>
                <w:b/>
                <w:bCs/>
                <w:sz w:val="20"/>
                <w:szCs w:val="20"/>
              </w:rPr>
              <w:t xml:space="preserve">Leczenie raka nerki przy wykorzystaniu substancji czynnej </w:t>
            </w:r>
            <w:proofErr w:type="spellStart"/>
            <w:r w:rsidRPr="005B07B3">
              <w:rPr>
                <w:b/>
                <w:bCs/>
                <w:sz w:val="20"/>
                <w:szCs w:val="20"/>
              </w:rPr>
              <w:t>temsyrolimus</w:t>
            </w:r>
            <w:proofErr w:type="spellEnd"/>
          </w:p>
          <w:p w:rsidR="005B07B3" w:rsidRPr="005B07B3" w:rsidRDefault="00F3024D" w:rsidP="005B07B3">
            <w:pPr>
              <w:pStyle w:val="Akapitzlist"/>
              <w:numPr>
                <w:ilvl w:val="1"/>
                <w:numId w:val="27"/>
              </w:numPr>
              <w:autoSpaceDE w:val="0"/>
              <w:autoSpaceDN w:val="0"/>
              <w:adjustRightInd w:val="0"/>
              <w:spacing w:after="60"/>
              <w:contextualSpacing w:val="0"/>
              <w:jc w:val="both"/>
              <w:rPr>
                <w:sz w:val="20"/>
                <w:szCs w:val="20"/>
              </w:rPr>
            </w:pPr>
            <w:r w:rsidRPr="005B07B3">
              <w:rPr>
                <w:b/>
                <w:bCs/>
                <w:sz w:val="20"/>
                <w:szCs w:val="20"/>
              </w:rPr>
              <w:t>Kryteria kwalifikacji</w:t>
            </w:r>
          </w:p>
          <w:p w:rsidR="005B07B3" w:rsidRPr="005B07B3" w:rsidRDefault="00C870AA" w:rsidP="005B07B3">
            <w:pPr>
              <w:autoSpaceDE w:val="0"/>
              <w:autoSpaceDN w:val="0"/>
              <w:adjustRightInd w:val="0"/>
              <w:spacing w:after="60"/>
              <w:jc w:val="both"/>
              <w:rPr>
                <w:sz w:val="20"/>
                <w:szCs w:val="20"/>
              </w:rPr>
            </w:pPr>
            <w:r w:rsidRPr="005B07B3">
              <w:rPr>
                <w:bCs/>
                <w:sz w:val="20"/>
                <w:szCs w:val="20"/>
              </w:rPr>
              <w:t>1. Do programu mogą być zakwalifikowani pacjenci spełniający następujące kryteria:</w:t>
            </w:r>
          </w:p>
          <w:p w:rsidR="005B07B3" w:rsidRDefault="00F3024D" w:rsidP="009E1845">
            <w:pPr>
              <w:pStyle w:val="Akapitzlist"/>
              <w:numPr>
                <w:ilvl w:val="2"/>
                <w:numId w:val="27"/>
              </w:numPr>
              <w:autoSpaceDE w:val="0"/>
              <w:autoSpaceDN w:val="0"/>
              <w:adjustRightInd w:val="0"/>
              <w:spacing w:after="60"/>
              <w:contextualSpacing w:val="0"/>
              <w:jc w:val="both"/>
              <w:rPr>
                <w:sz w:val="20"/>
                <w:szCs w:val="20"/>
              </w:rPr>
            </w:pPr>
            <w:r w:rsidRPr="005B07B3">
              <w:rPr>
                <w:sz w:val="20"/>
                <w:szCs w:val="20"/>
              </w:rPr>
              <w:t xml:space="preserve">histologicznie potwierdzone rozpoznanie raka </w:t>
            </w:r>
            <w:proofErr w:type="spellStart"/>
            <w:r w:rsidR="006A74AA" w:rsidRPr="005B07B3">
              <w:rPr>
                <w:sz w:val="20"/>
                <w:szCs w:val="20"/>
              </w:rPr>
              <w:t>nerkowo</w:t>
            </w:r>
            <w:r w:rsidRPr="005B07B3">
              <w:rPr>
                <w:sz w:val="20"/>
                <w:szCs w:val="20"/>
              </w:rPr>
              <w:t>komórkowego</w:t>
            </w:r>
            <w:proofErr w:type="spellEnd"/>
            <w:r w:rsidRPr="005B07B3">
              <w:rPr>
                <w:sz w:val="20"/>
                <w:szCs w:val="20"/>
              </w:rPr>
              <w:t>;</w:t>
            </w:r>
          </w:p>
          <w:p w:rsidR="005B07B3" w:rsidRDefault="00F3024D" w:rsidP="009E1845">
            <w:pPr>
              <w:pStyle w:val="Akapitzlist"/>
              <w:numPr>
                <w:ilvl w:val="2"/>
                <w:numId w:val="27"/>
              </w:numPr>
              <w:autoSpaceDE w:val="0"/>
              <w:autoSpaceDN w:val="0"/>
              <w:adjustRightInd w:val="0"/>
              <w:spacing w:after="60"/>
              <w:contextualSpacing w:val="0"/>
              <w:jc w:val="both"/>
              <w:rPr>
                <w:sz w:val="20"/>
                <w:szCs w:val="20"/>
              </w:rPr>
            </w:pPr>
            <w:r w:rsidRPr="005B07B3">
              <w:rPr>
                <w:sz w:val="20"/>
                <w:szCs w:val="20"/>
              </w:rPr>
              <w:t>nowotwór w stadium zaawansowanym (pierwotne uogólnienie lub nawrót po pierwotnym leczeniu chirurgicznym);</w:t>
            </w:r>
          </w:p>
          <w:p w:rsidR="005B07B3" w:rsidRDefault="00F3024D" w:rsidP="009E1845">
            <w:pPr>
              <w:pStyle w:val="Akapitzlist"/>
              <w:numPr>
                <w:ilvl w:val="2"/>
                <w:numId w:val="27"/>
              </w:numPr>
              <w:autoSpaceDE w:val="0"/>
              <w:autoSpaceDN w:val="0"/>
              <w:adjustRightInd w:val="0"/>
              <w:spacing w:after="60"/>
              <w:contextualSpacing w:val="0"/>
              <w:jc w:val="both"/>
              <w:rPr>
                <w:sz w:val="20"/>
                <w:szCs w:val="20"/>
              </w:rPr>
            </w:pPr>
            <w:r w:rsidRPr="005B07B3">
              <w:rPr>
                <w:sz w:val="20"/>
                <w:szCs w:val="20"/>
              </w:rPr>
              <w:t>brak wcześniejszego leczenia farmakologicznego raka nerki;</w:t>
            </w:r>
          </w:p>
          <w:p w:rsidR="005B07B3" w:rsidRDefault="00F3024D" w:rsidP="009E1845">
            <w:pPr>
              <w:pStyle w:val="Akapitzlist"/>
              <w:numPr>
                <w:ilvl w:val="2"/>
                <w:numId w:val="27"/>
              </w:numPr>
              <w:autoSpaceDE w:val="0"/>
              <w:autoSpaceDN w:val="0"/>
              <w:adjustRightInd w:val="0"/>
              <w:spacing w:after="60"/>
              <w:contextualSpacing w:val="0"/>
              <w:jc w:val="both"/>
              <w:rPr>
                <w:sz w:val="20"/>
                <w:szCs w:val="20"/>
              </w:rPr>
            </w:pPr>
            <w:r w:rsidRPr="005B07B3">
              <w:rPr>
                <w:sz w:val="20"/>
                <w:szCs w:val="20"/>
              </w:rPr>
              <w:t>stan sprawności 60 lub</w:t>
            </w:r>
            <w:r w:rsidR="006A74AA" w:rsidRPr="005B07B3">
              <w:rPr>
                <w:sz w:val="20"/>
                <w:szCs w:val="20"/>
              </w:rPr>
              <w:t xml:space="preserve"> </w:t>
            </w:r>
            <w:r w:rsidRPr="005B07B3">
              <w:rPr>
                <w:sz w:val="20"/>
                <w:szCs w:val="20"/>
              </w:rPr>
              <w:t xml:space="preserve">wyższy wg skali </w:t>
            </w:r>
            <w:proofErr w:type="spellStart"/>
            <w:r w:rsidRPr="005B07B3">
              <w:rPr>
                <w:sz w:val="20"/>
                <w:szCs w:val="20"/>
              </w:rPr>
              <w:t>Karnofsky’ego</w:t>
            </w:r>
            <w:proofErr w:type="spellEnd"/>
            <w:r w:rsidR="006A74AA" w:rsidRPr="005B07B3">
              <w:rPr>
                <w:sz w:val="20"/>
                <w:szCs w:val="20"/>
              </w:rPr>
              <w:t>;</w:t>
            </w:r>
          </w:p>
          <w:p w:rsidR="005B07B3" w:rsidRDefault="006A74AA" w:rsidP="009E1845">
            <w:pPr>
              <w:pStyle w:val="Akapitzlist"/>
              <w:numPr>
                <w:ilvl w:val="2"/>
                <w:numId w:val="27"/>
              </w:numPr>
              <w:autoSpaceDE w:val="0"/>
              <w:autoSpaceDN w:val="0"/>
              <w:adjustRightInd w:val="0"/>
              <w:spacing w:after="60"/>
              <w:contextualSpacing w:val="0"/>
              <w:jc w:val="both"/>
              <w:rPr>
                <w:sz w:val="20"/>
                <w:szCs w:val="20"/>
              </w:rPr>
            </w:pPr>
            <w:r w:rsidRPr="005B07B3">
              <w:rPr>
                <w:sz w:val="20"/>
                <w:szCs w:val="20"/>
              </w:rPr>
              <w:t>niekorzystne rokowanie według skali MSKCC (</w:t>
            </w:r>
            <w:proofErr w:type="spellStart"/>
            <w:r w:rsidRPr="005B07B3">
              <w:rPr>
                <w:sz w:val="20"/>
                <w:szCs w:val="20"/>
              </w:rPr>
              <w:t>Memorial</w:t>
            </w:r>
            <w:proofErr w:type="spellEnd"/>
            <w:r w:rsidRPr="005B07B3">
              <w:rPr>
                <w:sz w:val="20"/>
                <w:szCs w:val="20"/>
              </w:rPr>
              <w:t xml:space="preserve"> Sloan-</w:t>
            </w:r>
            <w:proofErr w:type="spellStart"/>
            <w:r w:rsidRPr="005B07B3">
              <w:rPr>
                <w:sz w:val="20"/>
                <w:szCs w:val="20"/>
              </w:rPr>
              <w:t>Kettering</w:t>
            </w:r>
            <w:proofErr w:type="spellEnd"/>
            <w:r w:rsidRPr="005B07B3">
              <w:rPr>
                <w:sz w:val="20"/>
                <w:szCs w:val="20"/>
              </w:rPr>
              <w:t xml:space="preserve"> </w:t>
            </w:r>
            <w:proofErr w:type="spellStart"/>
            <w:r w:rsidRPr="005B07B3">
              <w:rPr>
                <w:sz w:val="20"/>
                <w:szCs w:val="20"/>
              </w:rPr>
              <w:t>Cancer</w:t>
            </w:r>
            <w:proofErr w:type="spellEnd"/>
            <w:r w:rsidRPr="005B07B3">
              <w:rPr>
                <w:sz w:val="20"/>
                <w:szCs w:val="20"/>
              </w:rPr>
              <w:t xml:space="preserve"> Center);</w:t>
            </w:r>
          </w:p>
          <w:p w:rsidR="005B07B3" w:rsidRPr="005B07B3" w:rsidRDefault="00F3024D" w:rsidP="009E1845">
            <w:pPr>
              <w:pStyle w:val="Akapitzlist"/>
              <w:numPr>
                <w:ilvl w:val="2"/>
                <w:numId w:val="27"/>
              </w:numPr>
              <w:autoSpaceDE w:val="0"/>
              <w:autoSpaceDN w:val="0"/>
              <w:adjustRightInd w:val="0"/>
              <w:spacing w:after="60"/>
              <w:contextualSpacing w:val="0"/>
              <w:jc w:val="both"/>
              <w:rPr>
                <w:rStyle w:val="TekstpodstawowyZnak"/>
                <w:sz w:val="20"/>
                <w:szCs w:val="20"/>
              </w:rPr>
            </w:pPr>
            <w:r w:rsidRPr="005B07B3">
              <w:rPr>
                <w:rStyle w:val="TekstpodstawowyZnak"/>
                <w:rFonts w:eastAsia="Cambria"/>
                <w:sz w:val="20"/>
                <w:szCs w:val="20"/>
              </w:rPr>
              <w:t>wykluczenie ciąży i okresu karmienia piersią</w:t>
            </w:r>
            <w:r w:rsidR="006A74AA" w:rsidRPr="005B07B3">
              <w:rPr>
                <w:rStyle w:val="TekstpodstawowyZnak"/>
                <w:rFonts w:eastAsia="Cambria"/>
                <w:sz w:val="20"/>
                <w:szCs w:val="20"/>
              </w:rPr>
              <w:t>;</w:t>
            </w:r>
          </w:p>
          <w:p w:rsidR="005B07B3" w:rsidRPr="005B07B3" w:rsidRDefault="00F3024D" w:rsidP="009E1845">
            <w:pPr>
              <w:pStyle w:val="Akapitzlist"/>
              <w:numPr>
                <w:ilvl w:val="2"/>
                <w:numId w:val="27"/>
              </w:numPr>
              <w:autoSpaceDE w:val="0"/>
              <w:autoSpaceDN w:val="0"/>
              <w:adjustRightInd w:val="0"/>
              <w:spacing w:after="60"/>
              <w:contextualSpacing w:val="0"/>
              <w:jc w:val="both"/>
              <w:rPr>
                <w:rStyle w:val="TekstpodstawowyZnak"/>
                <w:sz w:val="20"/>
                <w:szCs w:val="20"/>
              </w:rPr>
            </w:pPr>
            <w:r w:rsidRPr="005B07B3">
              <w:rPr>
                <w:rStyle w:val="TekstpodstawowyZnak"/>
                <w:rFonts w:eastAsia="Cambria"/>
                <w:sz w:val="20"/>
                <w:szCs w:val="20"/>
              </w:rPr>
              <w:t xml:space="preserve">zmiany możliwe do obiektywnej oceny w badaniach obrazowych metodą komputerowej tomografii (KT) lub magnetycznego rezonansu (MR) z </w:t>
            </w:r>
            <w:r w:rsidRPr="005B07B3">
              <w:rPr>
                <w:rStyle w:val="TekstpodstawowyZnak"/>
                <w:rFonts w:eastAsia="Cambria"/>
                <w:sz w:val="20"/>
                <w:szCs w:val="20"/>
              </w:rPr>
              <w:lastRenderedPageBreak/>
              <w:t>zastrzeżeniem konieczności potwierdzenia zmian w układzie kostnym przy użyciu konwencjonalnej rentgenografii (RTG) lub MR;</w:t>
            </w:r>
          </w:p>
          <w:p w:rsidR="005B07B3" w:rsidRDefault="00F3024D" w:rsidP="009E1845">
            <w:pPr>
              <w:pStyle w:val="Akapitzlist"/>
              <w:numPr>
                <w:ilvl w:val="2"/>
                <w:numId w:val="27"/>
              </w:numPr>
              <w:autoSpaceDE w:val="0"/>
              <w:autoSpaceDN w:val="0"/>
              <w:adjustRightInd w:val="0"/>
              <w:spacing w:after="60"/>
              <w:contextualSpacing w:val="0"/>
              <w:jc w:val="both"/>
              <w:rPr>
                <w:sz w:val="20"/>
                <w:szCs w:val="20"/>
              </w:rPr>
            </w:pPr>
            <w:r w:rsidRPr="005B07B3">
              <w:rPr>
                <w:sz w:val="20"/>
                <w:szCs w:val="20"/>
              </w:rPr>
              <w:t>adekwatna wydolność narządowa określona na podstawie badań laboratoryjnych krwi:</w:t>
            </w:r>
          </w:p>
          <w:p w:rsidR="005B07B3" w:rsidRDefault="00F3024D" w:rsidP="005B07B3">
            <w:pPr>
              <w:pStyle w:val="Akapitzlist"/>
              <w:numPr>
                <w:ilvl w:val="3"/>
                <w:numId w:val="27"/>
              </w:numPr>
              <w:autoSpaceDE w:val="0"/>
              <w:autoSpaceDN w:val="0"/>
              <w:adjustRightInd w:val="0"/>
              <w:spacing w:after="60"/>
              <w:contextualSpacing w:val="0"/>
              <w:jc w:val="both"/>
              <w:rPr>
                <w:sz w:val="20"/>
                <w:szCs w:val="20"/>
              </w:rPr>
            </w:pPr>
            <w:r w:rsidRPr="005B07B3">
              <w:rPr>
                <w:sz w:val="20"/>
                <w:szCs w:val="20"/>
              </w:rPr>
              <w:t>wyniki badań czynności wątroby:</w:t>
            </w:r>
          </w:p>
          <w:p w:rsidR="006A7E75" w:rsidRPr="006A7E75" w:rsidRDefault="00F3024D" w:rsidP="005B07B3">
            <w:pPr>
              <w:pStyle w:val="Akapitzlist"/>
              <w:numPr>
                <w:ilvl w:val="4"/>
                <w:numId w:val="27"/>
              </w:numPr>
              <w:autoSpaceDE w:val="0"/>
              <w:autoSpaceDN w:val="0"/>
              <w:adjustRightInd w:val="0"/>
              <w:spacing w:after="60"/>
              <w:contextualSpacing w:val="0"/>
              <w:jc w:val="both"/>
              <w:rPr>
                <w:rStyle w:val="TekstpodstawowyZnak"/>
                <w:sz w:val="20"/>
                <w:szCs w:val="20"/>
              </w:rPr>
            </w:pPr>
            <w:r w:rsidRPr="005B07B3">
              <w:rPr>
                <w:sz w:val="20"/>
                <w:szCs w:val="20"/>
              </w:rPr>
              <w:t>aktywność transaminaz (alaninowej i asparaginowej) w surowicy nie wyższy niż 3-krotność górnej granicy określającej normę (</w:t>
            </w:r>
            <w:r w:rsidRPr="005B07B3">
              <w:rPr>
                <w:rStyle w:val="TekstpodstawowyZnak"/>
                <w:rFonts w:eastAsia="Cambria"/>
                <w:sz w:val="20"/>
                <w:szCs w:val="20"/>
              </w:rPr>
              <w:t>w przypadku przerzutów do wątroby nie wyższy niż 5-krotność)</w:t>
            </w:r>
            <w:r w:rsidR="006A74AA" w:rsidRPr="005B07B3">
              <w:rPr>
                <w:rStyle w:val="TekstpodstawowyZnak"/>
                <w:rFonts w:eastAsia="Cambria"/>
                <w:sz w:val="20"/>
                <w:szCs w:val="20"/>
              </w:rPr>
              <w:t>,</w:t>
            </w:r>
          </w:p>
          <w:p w:rsidR="006A7E75" w:rsidRPr="006A7E75" w:rsidRDefault="00F3024D" w:rsidP="005B07B3">
            <w:pPr>
              <w:pStyle w:val="Akapitzlist"/>
              <w:numPr>
                <w:ilvl w:val="4"/>
                <w:numId w:val="27"/>
              </w:numPr>
              <w:autoSpaceDE w:val="0"/>
              <w:autoSpaceDN w:val="0"/>
              <w:adjustRightInd w:val="0"/>
              <w:spacing w:after="60"/>
              <w:contextualSpacing w:val="0"/>
              <w:jc w:val="both"/>
              <w:rPr>
                <w:rStyle w:val="TekstpodstawowyZnak"/>
                <w:sz w:val="20"/>
                <w:szCs w:val="20"/>
              </w:rPr>
            </w:pPr>
            <w:r w:rsidRPr="005B07B3">
              <w:rPr>
                <w:rStyle w:val="TekstpodstawowyZnak"/>
                <w:rFonts w:eastAsia="Cambria"/>
                <w:sz w:val="20"/>
                <w:szCs w:val="20"/>
              </w:rPr>
              <w:t>stężenie bilirubiny całkowitej nieprzekraczające 1,5</w:t>
            </w:r>
            <w:r w:rsidR="00942BD2" w:rsidRPr="005B07B3">
              <w:rPr>
                <w:rStyle w:val="TekstpodstawowyZnak"/>
                <w:rFonts w:eastAsia="Cambria"/>
                <w:sz w:val="20"/>
                <w:szCs w:val="20"/>
              </w:rPr>
              <w:t xml:space="preserve">-krotnie </w:t>
            </w:r>
            <w:r w:rsidRPr="005B07B3">
              <w:rPr>
                <w:rStyle w:val="TekstpodstawowyZnak"/>
                <w:rFonts w:eastAsia="Cambria"/>
                <w:sz w:val="20"/>
                <w:szCs w:val="20"/>
              </w:rPr>
              <w:t>górnej granicy normy (z wyjątkiem</w:t>
            </w:r>
            <w:r w:rsidR="006A74AA" w:rsidRPr="005B07B3">
              <w:rPr>
                <w:rStyle w:val="TekstpodstawowyZnak"/>
                <w:rFonts w:eastAsia="Cambria"/>
                <w:sz w:val="20"/>
                <w:szCs w:val="20"/>
              </w:rPr>
              <w:t xml:space="preserve"> pacjentów z zespołem Gilberta),</w:t>
            </w:r>
          </w:p>
          <w:p w:rsidR="00D037FD" w:rsidRPr="00D037FD" w:rsidRDefault="00F3024D" w:rsidP="006A7E75">
            <w:pPr>
              <w:pStyle w:val="Akapitzlist"/>
              <w:numPr>
                <w:ilvl w:val="3"/>
                <w:numId w:val="27"/>
              </w:numPr>
              <w:autoSpaceDE w:val="0"/>
              <w:autoSpaceDN w:val="0"/>
              <w:adjustRightInd w:val="0"/>
              <w:spacing w:after="60"/>
              <w:contextualSpacing w:val="0"/>
              <w:jc w:val="both"/>
              <w:rPr>
                <w:rStyle w:val="TekstpodstawowyZnak"/>
                <w:sz w:val="20"/>
                <w:szCs w:val="20"/>
              </w:rPr>
            </w:pPr>
            <w:r w:rsidRPr="005B07B3">
              <w:rPr>
                <w:rStyle w:val="TekstpodstawowyZnak"/>
                <w:rFonts w:eastAsia="Cambria"/>
                <w:sz w:val="20"/>
                <w:szCs w:val="20"/>
              </w:rPr>
              <w:t>stężenie k</w:t>
            </w:r>
            <w:r w:rsidR="00942BD2" w:rsidRPr="005B07B3">
              <w:rPr>
                <w:rStyle w:val="TekstpodstawowyZnak"/>
                <w:rFonts w:eastAsia="Cambria"/>
                <w:sz w:val="20"/>
                <w:szCs w:val="20"/>
              </w:rPr>
              <w:t xml:space="preserve">reatyniny nieprzekraczające 1,5-krotnie </w:t>
            </w:r>
            <w:r w:rsidRPr="005B07B3">
              <w:rPr>
                <w:rStyle w:val="TekstpodstawowyZnak"/>
                <w:rFonts w:eastAsia="Cambria"/>
                <w:sz w:val="20"/>
                <w:szCs w:val="20"/>
              </w:rPr>
              <w:t>górnej granicy normy</w:t>
            </w:r>
            <w:r w:rsidR="006A74AA" w:rsidRPr="005B07B3">
              <w:rPr>
                <w:rStyle w:val="TekstpodstawowyZnak"/>
                <w:rFonts w:eastAsia="Cambria"/>
                <w:sz w:val="20"/>
                <w:szCs w:val="20"/>
              </w:rPr>
              <w:t>,</w:t>
            </w:r>
          </w:p>
          <w:p w:rsidR="00D037FD" w:rsidRPr="00D037FD" w:rsidRDefault="00F3024D" w:rsidP="006A7E75">
            <w:pPr>
              <w:pStyle w:val="Akapitzlist"/>
              <w:numPr>
                <w:ilvl w:val="3"/>
                <w:numId w:val="27"/>
              </w:numPr>
              <w:autoSpaceDE w:val="0"/>
              <w:autoSpaceDN w:val="0"/>
              <w:adjustRightInd w:val="0"/>
              <w:spacing w:after="60"/>
              <w:contextualSpacing w:val="0"/>
              <w:jc w:val="both"/>
              <w:rPr>
                <w:rStyle w:val="TekstpodstawowyZnak"/>
                <w:sz w:val="20"/>
                <w:szCs w:val="20"/>
              </w:rPr>
            </w:pPr>
            <w:r w:rsidRPr="005B07B3">
              <w:rPr>
                <w:rStyle w:val="TekstpodstawowyZnak"/>
                <w:rFonts w:eastAsia="Cambria"/>
                <w:sz w:val="20"/>
                <w:szCs w:val="20"/>
              </w:rPr>
              <w:t>wyniki badań morfologii krwi z rozmazem:</w:t>
            </w:r>
          </w:p>
          <w:p w:rsidR="00D037FD" w:rsidRPr="00D037FD" w:rsidRDefault="00F3024D" w:rsidP="00D037FD">
            <w:pPr>
              <w:pStyle w:val="Akapitzlist"/>
              <w:numPr>
                <w:ilvl w:val="4"/>
                <w:numId w:val="27"/>
              </w:numPr>
              <w:autoSpaceDE w:val="0"/>
              <w:autoSpaceDN w:val="0"/>
              <w:adjustRightInd w:val="0"/>
              <w:spacing w:after="60"/>
              <w:contextualSpacing w:val="0"/>
              <w:jc w:val="both"/>
              <w:rPr>
                <w:rStyle w:val="TekstpodstawowyZnak"/>
                <w:sz w:val="20"/>
                <w:szCs w:val="20"/>
              </w:rPr>
            </w:pPr>
            <w:r w:rsidRPr="005B07B3">
              <w:rPr>
                <w:rStyle w:val="TekstpodstawowyZnak"/>
                <w:rFonts w:eastAsia="Cambria"/>
                <w:sz w:val="20"/>
                <w:szCs w:val="20"/>
              </w:rPr>
              <w:t>liczba płytek krwi większa lub równa 100 000/mm</w:t>
            </w:r>
            <w:r w:rsidRPr="005B07B3">
              <w:rPr>
                <w:rStyle w:val="TekstpodstawowyZnak"/>
                <w:rFonts w:eastAsia="Cambria"/>
                <w:sz w:val="20"/>
                <w:szCs w:val="20"/>
                <w:vertAlign w:val="superscript"/>
              </w:rPr>
              <w:t>3</w:t>
            </w:r>
            <w:r w:rsidR="006A74AA" w:rsidRPr="005B07B3">
              <w:rPr>
                <w:rStyle w:val="TekstpodstawowyZnak"/>
                <w:rFonts w:eastAsia="Cambria"/>
                <w:sz w:val="20"/>
                <w:szCs w:val="20"/>
              </w:rPr>
              <w:t>,</w:t>
            </w:r>
          </w:p>
          <w:p w:rsidR="00D037FD" w:rsidRPr="00D037FD" w:rsidRDefault="00F3024D" w:rsidP="00D037FD">
            <w:pPr>
              <w:pStyle w:val="Akapitzlist"/>
              <w:numPr>
                <w:ilvl w:val="4"/>
                <w:numId w:val="27"/>
              </w:numPr>
              <w:autoSpaceDE w:val="0"/>
              <w:autoSpaceDN w:val="0"/>
              <w:adjustRightInd w:val="0"/>
              <w:spacing w:after="60"/>
              <w:contextualSpacing w:val="0"/>
              <w:jc w:val="both"/>
              <w:rPr>
                <w:rStyle w:val="TekstpodstawowyZnak"/>
                <w:sz w:val="20"/>
                <w:szCs w:val="20"/>
              </w:rPr>
            </w:pPr>
            <w:r w:rsidRPr="005B07B3">
              <w:rPr>
                <w:rStyle w:val="TekstpodstawowyZnak"/>
                <w:rFonts w:eastAsia="Cambria"/>
                <w:sz w:val="20"/>
                <w:szCs w:val="20"/>
              </w:rPr>
              <w:t>bezwzględna liczba granulocytów obojętnochłonnych większa lub równa 1500/mm</w:t>
            </w:r>
            <w:r w:rsidRPr="005B07B3">
              <w:rPr>
                <w:rStyle w:val="TekstpodstawowyZnak"/>
                <w:rFonts w:eastAsia="Cambria"/>
                <w:sz w:val="20"/>
                <w:szCs w:val="20"/>
                <w:vertAlign w:val="superscript"/>
              </w:rPr>
              <w:t>3</w:t>
            </w:r>
            <w:r w:rsidR="006A74AA" w:rsidRPr="005B07B3">
              <w:rPr>
                <w:rStyle w:val="TekstpodstawowyZnak"/>
                <w:rFonts w:eastAsia="Cambria"/>
                <w:sz w:val="20"/>
                <w:szCs w:val="20"/>
              </w:rPr>
              <w:t>,</w:t>
            </w:r>
          </w:p>
          <w:p w:rsidR="00D037FD" w:rsidRPr="00D037FD" w:rsidRDefault="00F3024D" w:rsidP="00D037FD">
            <w:pPr>
              <w:pStyle w:val="Akapitzlist"/>
              <w:numPr>
                <w:ilvl w:val="4"/>
                <w:numId w:val="27"/>
              </w:numPr>
              <w:autoSpaceDE w:val="0"/>
              <w:autoSpaceDN w:val="0"/>
              <w:adjustRightInd w:val="0"/>
              <w:spacing w:after="60"/>
              <w:contextualSpacing w:val="0"/>
              <w:jc w:val="both"/>
              <w:rPr>
                <w:rStyle w:val="TekstpodstawowyZnak"/>
                <w:sz w:val="20"/>
                <w:szCs w:val="20"/>
              </w:rPr>
            </w:pPr>
            <w:r w:rsidRPr="005B07B3">
              <w:rPr>
                <w:rStyle w:val="TekstpodstawowyZnak"/>
                <w:rFonts w:eastAsia="Cambria"/>
                <w:sz w:val="20"/>
                <w:szCs w:val="20"/>
              </w:rPr>
              <w:t>poziom hemog</w:t>
            </w:r>
            <w:r w:rsidR="00C82A1A" w:rsidRPr="005B07B3">
              <w:rPr>
                <w:rStyle w:val="TekstpodstawowyZnak"/>
                <w:rFonts w:eastAsia="Cambria"/>
                <w:sz w:val="20"/>
                <w:szCs w:val="20"/>
              </w:rPr>
              <w:t>lobiny większy lub równy 8</w:t>
            </w:r>
            <w:r w:rsidR="00C01474" w:rsidRPr="005B07B3">
              <w:rPr>
                <w:rStyle w:val="TekstpodstawowyZnak"/>
                <w:rFonts w:eastAsia="Cambria"/>
                <w:sz w:val="20"/>
                <w:szCs w:val="20"/>
              </w:rPr>
              <w:t xml:space="preserve"> </w:t>
            </w:r>
            <w:r w:rsidR="00C82A1A" w:rsidRPr="005B07B3">
              <w:rPr>
                <w:rStyle w:val="TekstpodstawowyZnak"/>
                <w:rFonts w:eastAsia="Cambria"/>
                <w:sz w:val="20"/>
                <w:szCs w:val="20"/>
              </w:rPr>
              <w:t>mg/dl;</w:t>
            </w:r>
          </w:p>
          <w:p w:rsidR="00D037FD" w:rsidRPr="00D037FD" w:rsidRDefault="00F3024D" w:rsidP="00D037FD">
            <w:pPr>
              <w:pStyle w:val="Akapitzlist"/>
              <w:numPr>
                <w:ilvl w:val="2"/>
                <w:numId w:val="27"/>
              </w:numPr>
              <w:autoSpaceDE w:val="0"/>
              <w:autoSpaceDN w:val="0"/>
              <w:adjustRightInd w:val="0"/>
              <w:spacing w:after="60"/>
              <w:contextualSpacing w:val="0"/>
              <w:jc w:val="both"/>
              <w:rPr>
                <w:rStyle w:val="TekstpodstawowyZnak"/>
                <w:sz w:val="20"/>
                <w:szCs w:val="20"/>
              </w:rPr>
            </w:pPr>
            <w:r w:rsidRPr="005B07B3">
              <w:rPr>
                <w:rStyle w:val="TekstpodstawowyZnak"/>
                <w:rFonts w:eastAsia="Cambria"/>
                <w:sz w:val="20"/>
                <w:szCs w:val="20"/>
              </w:rPr>
              <w:t>poziom cholesterolu, b</w:t>
            </w:r>
            <w:r w:rsidR="00D5042F" w:rsidRPr="005B07B3">
              <w:rPr>
                <w:rStyle w:val="TekstpodstawowyZnak"/>
                <w:rFonts w:eastAsia="Cambria"/>
                <w:sz w:val="20"/>
                <w:szCs w:val="20"/>
              </w:rPr>
              <w:t xml:space="preserve">adanego na czczo, </w:t>
            </w:r>
            <w:r w:rsidRPr="005B07B3">
              <w:rPr>
                <w:rStyle w:val="TekstpodstawowyZnak"/>
                <w:rFonts w:eastAsia="Cambria"/>
                <w:sz w:val="20"/>
                <w:szCs w:val="20"/>
              </w:rPr>
              <w:t xml:space="preserve">nie wyższy niż 350 mg/dl (9,1 </w:t>
            </w:r>
            <w:proofErr w:type="spellStart"/>
            <w:r w:rsidRPr="005B07B3">
              <w:rPr>
                <w:rStyle w:val="TekstpodstawowyZnak"/>
                <w:rFonts w:eastAsia="Cambria"/>
                <w:sz w:val="20"/>
                <w:szCs w:val="20"/>
              </w:rPr>
              <w:t>mmol</w:t>
            </w:r>
            <w:proofErr w:type="spellEnd"/>
            <w:r w:rsidRPr="005B07B3">
              <w:rPr>
                <w:rStyle w:val="TekstpodstawowyZnak"/>
                <w:rFonts w:eastAsia="Cambria"/>
                <w:sz w:val="20"/>
                <w:szCs w:val="20"/>
              </w:rPr>
              <w:t xml:space="preserve"> na litr);</w:t>
            </w:r>
          </w:p>
          <w:p w:rsidR="00D037FD" w:rsidRPr="00D037FD" w:rsidRDefault="00F3024D" w:rsidP="00D037FD">
            <w:pPr>
              <w:pStyle w:val="Akapitzlist"/>
              <w:numPr>
                <w:ilvl w:val="2"/>
                <w:numId w:val="27"/>
              </w:numPr>
              <w:autoSpaceDE w:val="0"/>
              <w:autoSpaceDN w:val="0"/>
              <w:adjustRightInd w:val="0"/>
              <w:spacing w:after="60"/>
              <w:contextualSpacing w:val="0"/>
              <w:jc w:val="both"/>
              <w:rPr>
                <w:rStyle w:val="TekstpodstawowyZnak"/>
                <w:sz w:val="20"/>
                <w:szCs w:val="20"/>
              </w:rPr>
            </w:pPr>
            <w:r w:rsidRPr="005B07B3">
              <w:rPr>
                <w:rStyle w:val="TekstpodstawowyZnak"/>
                <w:rFonts w:eastAsia="Cambria"/>
                <w:sz w:val="20"/>
                <w:szCs w:val="20"/>
              </w:rPr>
              <w:t xml:space="preserve">poziom trójglicerydów badanych na czczo nie wyższy niż 400 mg/dl (4,5 </w:t>
            </w:r>
            <w:proofErr w:type="spellStart"/>
            <w:r w:rsidRPr="005B07B3">
              <w:rPr>
                <w:rStyle w:val="TekstpodstawowyZnak"/>
                <w:rFonts w:eastAsia="Cambria"/>
                <w:sz w:val="20"/>
                <w:szCs w:val="20"/>
              </w:rPr>
              <w:t>mmol</w:t>
            </w:r>
            <w:proofErr w:type="spellEnd"/>
            <w:r w:rsidRPr="005B07B3">
              <w:rPr>
                <w:rStyle w:val="TekstpodstawowyZnak"/>
                <w:rFonts w:eastAsia="Cambria"/>
                <w:sz w:val="20"/>
                <w:szCs w:val="20"/>
              </w:rPr>
              <w:t xml:space="preserve"> na litr);</w:t>
            </w:r>
          </w:p>
          <w:p w:rsidR="00D037FD" w:rsidRPr="00D037FD" w:rsidRDefault="00F3024D" w:rsidP="00D037FD">
            <w:pPr>
              <w:pStyle w:val="Akapitzlist"/>
              <w:numPr>
                <w:ilvl w:val="2"/>
                <w:numId w:val="27"/>
              </w:numPr>
              <w:autoSpaceDE w:val="0"/>
              <w:autoSpaceDN w:val="0"/>
              <w:adjustRightInd w:val="0"/>
              <w:spacing w:after="60"/>
              <w:contextualSpacing w:val="0"/>
              <w:jc w:val="both"/>
              <w:rPr>
                <w:rStyle w:val="TekstpodstawowyZnak"/>
                <w:sz w:val="20"/>
                <w:szCs w:val="20"/>
              </w:rPr>
            </w:pPr>
            <w:r w:rsidRPr="005B07B3">
              <w:rPr>
                <w:rStyle w:val="TekstpodstawowyZnak"/>
                <w:rFonts w:eastAsia="Cambria"/>
                <w:sz w:val="20"/>
                <w:szCs w:val="20"/>
              </w:rPr>
              <w:t>potwierdzona obecność przynajmniej 3 z 6 poniżej wymienionych czynników ryzyka:</w:t>
            </w:r>
          </w:p>
          <w:p w:rsidR="00D037FD" w:rsidRPr="00D037FD" w:rsidRDefault="00F3024D" w:rsidP="00D037FD">
            <w:pPr>
              <w:pStyle w:val="Akapitzlist"/>
              <w:numPr>
                <w:ilvl w:val="4"/>
                <w:numId w:val="27"/>
              </w:numPr>
              <w:autoSpaceDE w:val="0"/>
              <w:autoSpaceDN w:val="0"/>
              <w:adjustRightInd w:val="0"/>
              <w:spacing w:after="60"/>
              <w:contextualSpacing w:val="0"/>
              <w:jc w:val="both"/>
              <w:rPr>
                <w:rStyle w:val="TekstpodstawowyZnak"/>
                <w:sz w:val="20"/>
                <w:szCs w:val="20"/>
              </w:rPr>
            </w:pPr>
            <w:r w:rsidRPr="005B07B3">
              <w:rPr>
                <w:rStyle w:val="TekstpodstawowyZnak"/>
                <w:rFonts w:eastAsia="Cambria"/>
                <w:sz w:val="20"/>
                <w:szCs w:val="20"/>
              </w:rPr>
              <w:t>aktywność dehydrogenazy mleczanow</w:t>
            </w:r>
            <w:r w:rsidR="00942BD2" w:rsidRPr="005B07B3">
              <w:rPr>
                <w:rStyle w:val="TekstpodstawowyZnak"/>
                <w:rFonts w:eastAsia="Cambria"/>
                <w:sz w:val="20"/>
                <w:szCs w:val="20"/>
              </w:rPr>
              <w:t xml:space="preserve">ej przekraczająca ponad 1,5-krotnie </w:t>
            </w:r>
            <w:r w:rsidR="00C82A1A" w:rsidRPr="005B07B3">
              <w:rPr>
                <w:rStyle w:val="TekstpodstawowyZnak"/>
                <w:rFonts w:eastAsia="Cambria"/>
                <w:sz w:val="20"/>
                <w:szCs w:val="20"/>
              </w:rPr>
              <w:t>górną granicę normy,</w:t>
            </w:r>
          </w:p>
          <w:p w:rsidR="00D037FD" w:rsidRPr="00D037FD" w:rsidRDefault="00F3024D" w:rsidP="00D037FD">
            <w:pPr>
              <w:pStyle w:val="Akapitzlist"/>
              <w:numPr>
                <w:ilvl w:val="4"/>
                <w:numId w:val="27"/>
              </w:numPr>
              <w:autoSpaceDE w:val="0"/>
              <w:autoSpaceDN w:val="0"/>
              <w:adjustRightInd w:val="0"/>
              <w:spacing w:after="60"/>
              <w:contextualSpacing w:val="0"/>
              <w:jc w:val="both"/>
              <w:rPr>
                <w:rStyle w:val="TekstpodstawowyZnak"/>
                <w:sz w:val="20"/>
                <w:szCs w:val="20"/>
              </w:rPr>
            </w:pPr>
            <w:r w:rsidRPr="005B07B3">
              <w:rPr>
                <w:rStyle w:val="TekstpodstawowyZnak"/>
                <w:rFonts w:eastAsia="Cambria"/>
                <w:sz w:val="20"/>
                <w:szCs w:val="20"/>
              </w:rPr>
              <w:t>stężenie hemoglobi</w:t>
            </w:r>
            <w:r w:rsidR="00C82A1A" w:rsidRPr="005B07B3">
              <w:rPr>
                <w:rStyle w:val="TekstpodstawowyZnak"/>
                <w:rFonts w:eastAsia="Cambria"/>
                <w:sz w:val="20"/>
                <w:szCs w:val="20"/>
              </w:rPr>
              <w:t>ny poniżej dolnej granicy normy,</w:t>
            </w:r>
            <w:r w:rsidRPr="005B07B3">
              <w:rPr>
                <w:rStyle w:val="TekstpodstawowyZnak"/>
                <w:rFonts w:eastAsia="Cambria"/>
                <w:sz w:val="20"/>
                <w:szCs w:val="20"/>
              </w:rPr>
              <w:t>- stężenie skorygowane wapnia w s</w:t>
            </w:r>
            <w:r w:rsidR="00C82A1A" w:rsidRPr="005B07B3">
              <w:rPr>
                <w:rStyle w:val="TekstpodstawowyZnak"/>
                <w:rFonts w:eastAsia="Cambria"/>
                <w:sz w:val="20"/>
                <w:szCs w:val="20"/>
              </w:rPr>
              <w:t xml:space="preserve">urowicy &gt; 10 mg/dl (2,5 </w:t>
            </w:r>
            <w:proofErr w:type="spellStart"/>
            <w:r w:rsidR="00C82A1A" w:rsidRPr="005B07B3">
              <w:rPr>
                <w:rStyle w:val="TekstpodstawowyZnak"/>
                <w:rFonts w:eastAsia="Cambria"/>
                <w:sz w:val="20"/>
                <w:szCs w:val="20"/>
              </w:rPr>
              <w:t>mmol</w:t>
            </w:r>
            <w:proofErr w:type="spellEnd"/>
            <w:r w:rsidR="00C82A1A" w:rsidRPr="005B07B3">
              <w:rPr>
                <w:rStyle w:val="TekstpodstawowyZnak"/>
                <w:rFonts w:eastAsia="Cambria"/>
                <w:sz w:val="20"/>
                <w:szCs w:val="20"/>
              </w:rPr>
              <w:t>/l),</w:t>
            </w:r>
          </w:p>
          <w:p w:rsidR="003C3E54" w:rsidRPr="003C3E54" w:rsidRDefault="00F3024D" w:rsidP="00D037FD">
            <w:pPr>
              <w:pStyle w:val="Akapitzlist"/>
              <w:numPr>
                <w:ilvl w:val="4"/>
                <w:numId w:val="27"/>
              </w:numPr>
              <w:autoSpaceDE w:val="0"/>
              <w:autoSpaceDN w:val="0"/>
              <w:adjustRightInd w:val="0"/>
              <w:spacing w:after="60"/>
              <w:contextualSpacing w:val="0"/>
              <w:jc w:val="both"/>
              <w:rPr>
                <w:rStyle w:val="TekstpodstawowyZnak"/>
                <w:sz w:val="20"/>
                <w:szCs w:val="20"/>
              </w:rPr>
            </w:pPr>
            <w:r w:rsidRPr="005B07B3">
              <w:rPr>
                <w:rStyle w:val="TekstpodstawowyZnak"/>
                <w:rFonts w:eastAsia="Cambria"/>
                <w:sz w:val="20"/>
                <w:szCs w:val="20"/>
              </w:rPr>
              <w:t xml:space="preserve">krótszy niż 12 miesięcy czas od ustalenia rozpoznania do chwili </w:t>
            </w:r>
            <w:r w:rsidR="00C82A1A" w:rsidRPr="005B07B3">
              <w:rPr>
                <w:rStyle w:val="TekstpodstawowyZnak"/>
                <w:rFonts w:eastAsia="Cambria"/>
                <w:sz w:val="20"/>
                <w:szCs w:val="20"/>
              </w:rPr>
              <w:t>włączenia do leczenia,</w:t>
            </w:r>
          </w:p>
          <w:p w:rsidR="003C3E54" w:rsidRPr="003C3E54" w:rsidRDefault="00F3024D" w:rsidP="00D037FD">
            <w:pPr>
              <w:pStyle w:val="Akapitzlist"/>
              <w:numPr>
                <w:ilvl w:val="4"/>
                <w:numId w:val="27"/>
              </w:numPr>
              <w:autoSpaceDE w:val="0"/>
              <w:autoSpaceDN w:val="0"/>
              <w:adjustRightInd w:val="0"/>
              <w:spacing w:after="60"/>
              <w:contextualSpacing w:val="0"/>
              <w:jc w:val="both"/>
              <w:rPr>
                <w:rStyle w:val="TekstpodstawowyZnak"/>
                <w:sz w:val="20"/>
                <w:szCs w:val="20"/>
              </w:rPr>
            </w:pPr>
            <w:r w:rsidRPr="005B07B3">
              <w:rPr>
                <w:rStyle w:val="TekstpodstawowyZnak"/>
                <w:rFonts w:eastAsia="Cambria"/>
                <w:sz w:val="20"/>
                <w:szCs w:val="20"/>
              </w:rPr>
              <w:t xml:space="preserve">stopień sprawności według skali </w:t>
            </w:r>
            <w:proofErr w:type="spellStart"/>
            <w:r w:rsidRPr="005B07B3">
              <w:rPr>
                <w:rStyle w:val="TekstpodstawowyZnak"/>
                <w:rFonts w:eastAsia="Cambria"/>
                <w:sz w:val="20"/>
                <w:szCs w:val="20"/>
              </w:rPr>
              <w:t>Karn</w:t>
            </w:r>
            <w:r w:rsidR="00C82A1A" w:rsidRPr="005B07B3">
              <w:rPr>
                <w:rStyle w:val="TekstpodstawowyZnak"/>
                <w:rFonts w:eastAsia="Cambria"/>
                <w:sz w:val="20"/>
                <w:szCs w:val="20"/>
              </w:rPr>
              <w:t>ofsky’go</w:t>
            </w:r>
            <w:proofErr w:type="spellEnd"/>
            <w:r w:rsidR="00C82A1A" w:rsidRPr="005B07B3">
              <w:rPr>
                <w:rStyle w:val="TekstpodstawowyZnak"/>
                <w:rFonts w:eastAsia="Cambria"/>
                <w:sz w:val="20"/>
                <w:szCs w:val="20"/>
              </w:rPr>
              <w:t xml:space="preserve"> poniżej 80 (60 lub 70),</w:t>
            </w:r>
          </w:p>
          <w:p w:rsidR="003C3E54" w:rsidRPr="003C3E54" w:rsidRDefault="00F3024D" w:rsidP="00D037FD">
            <w:pPr>
              <w:pStyle w:val="Akapitzlist"/>
              <w:numPr>
                <w:ilvl w:val="4"/>
                <w:numId w:val="27"/>
              </w:numPr>
              <w:autoSpaceDE w:val="0"/>
              <w:autoSpaceDN w:val="0"/>
              <w:adjustRightInd w:val="0"/>
              <w:spacing w:after="60"/>
              <w:contextualSpacing w:val="0"/>
              <w:jc w:val="both"/>
              <w:rPr>
                <w:rStyle w:val="TekstpodstawowyZnak"/>
                <w:sz w:val="20"/>
                <w:szCs w:val="20"/>
              </w:rPr>
            </w:pPr>
            <w:r w:rsidRPr="005B07B3">
              <w:rPr>
                <w:rStyle w:val="TekstpodstawowyZnak"/>
                <w:rFonts w:eastAsia="Cambria"/>
                <w:sz w:val="20"/>
                <w:szCs w:val="20"/>
              </w:rPr>
              <w:t>potwierdzenie obecności przerzutó</w:t>
            </w:r>
            <w:r w:rsidR="00C82A1A" w:rsidRPr="005B07B3">
              <w:rPr>
                <w:rStyle w:val="TekstpodstawowyZnak"/>
                <w:rFonts w:eastAsia="Cambria"/>
                <w:sz w:val="20"/>
                <w:szCs w:val="20"/>
              </w:rPr>
              <w:t>w w więcej niż jednym narządzie;</w:t>
            </w:r>
          </w:p>
          <w:p w:rsidR="003C3E54" w:rsidRPr="003C3E54" w:rsidRDefault="00C82A1A" w:rsidP="003C3E54">
            <w:pPr>
              <w:pStyle w:val="Akapitzlist"/>
              <w:numPr>
                <w:ilvl w:val="2"/>
                <w:numId w:val="27"/>
              </w:numPr>
              <w:autoSpaceDE w:val="0"/>
              <w:autoSpaceDN w:val="0"/>
              <w:adjustRightInd w:val="0"/>
              <w:spacing w:after="60"/>
              <w:contextualSpacing w:val="0"/>
              <w:jc w:val="both"/>
              <w:rPr>
                <w:rStyle w:val="TekstpodstawowyZnak"/>
                <w:sz w:val="20"/>
                <w:szCs w:val="20"/>
              </w:rPr>
            </w:pPr>
            <w:r w:rsidRPr="005B07B3">
              <w:rPr>
                <w:rStyle w:val="TekstpodstawowyZnak"/>
                <w:rFonts w:eastAsia="Cambria"/>
                <w:sz w:val="20"/>
                <w:szCs w:val="20"/>
              </w:rPr>
              <w:t>n</w:t>
            </w:r>
            <w:r w:rsidR="00F3024D" w:rsidRPr="005B07B3">
              <w:rPr>
                <w:rStyle w:val="TekstpodstawowyZnak"/>
                <w:rFonts w:eastAsia="Cambria"/>
                <w:sz w:val="20"/>
                <w:szCs w:val="20"/>
              </w:rPr>
              <w:t xml:space="preserve">ieobecne przerzuty w OUN lub sytuacje po leczeniu chirurgicznym lub/i radioterapii (chorzy po wcześniejszym leczeniu z powodu przerzutów w OUN </w:t>
            </w:r>
            <w:r w:rsidR="00F3024D" w:rsidRPr="005B07B3">
              <w:rPr>
                <w:rStyle w:val="TekstpodstawowyZnak"/>
                <w:rFonts w:eastAsia="Cambria"/>
                <w:sz w:val="20"/>
                <w:szCs w:val="20"/>
              </w:rPr>
              <w:lastRenderedPageBreak/>
              <w:t>mogą być kwalifikowani do programu jedynie w przypadku stabilnego stanu neurologicznego i braku konieczności stosowania kortykosteroidów)</w:t>
            </w:r>
            <w:r w:rsidRPr="005B07B3">
              <w:rPr>
                <w:rStyle w:val="TekstpodstawowyZnak"/>
                <w:rFonts w:eastAsia="Cambria"/>
                <w:sz w:val="20"/>
                <w:szCs w:val="20"/>
              </w:rPr>
              <w:t>.</w:t>
            </w:r>
          </w:p>
          <w:p w:rsidR="003C3E54" w:rsidRDefault="00F3024D" w:rsidP="003C3E54">
            <w:pPr>
              <w:autoSpaceDE w:val="0"/>
              <w:autoSpaceDN w:val="0"/>
              <w:adjustRightInd w:val="0"/>
              <w:spacing w:after="60"/>
              <w:jc w:val="both"/>
              <w:rPr>
                <w:sz w:val="20"/>
                <w:szCs w:val="20"/>
              </w:rPr>
            </w:pPr>
            <w:r w:rsidRPr="003C3E54">
              <w:rPr>
                <w:sz w:val="20"/>
                <w:szCs w:val="20"/>
              </w:rPr>
              <w:t>Kryteria kwalifikacji muszą być spełnione łącznie.</w:t>
            </w:r>
          </w:p>
          <w:p w:rsidR="003C3E54" w:rsidRPr="003C3E54" w:rsidRDefault="003C3E54" w:rsidP="003C3E54">
            <w:pPr>
              <w:autoSpaceDE w:val="0"/>
              <w:autoSpaceDN w:val="0"/>
              <w:adjustRightInd w:val="0"/>
              <w:spacing w:after="60"/>
              <w:jc w:val="both"/>
              <w:rPr>
                <w:sz w:val="20"/>
                <w:szCs w:val="20"/>
              </w:rPr>
            </w:pPr>
          </w:p>
          <w:p w:rsidR="003C3E54" w:rsidRDefault="00C870AA" w:rsidP="003C3E54">
            <w:pPr>
              <w:autoSpaceDE w:val="0"/>
              <w:autoSpaceDN w:val="0"/>
              <w:adjustRightInd w:val="0"/>
              <w:spacing w:after="60"/>
              <w:jc w:val="both"/>
              <w:rPr>
                <w:sz w:val="20"/>
                <w:szCs w:val="20"/>
              </w:rPr>
            </w:pPr>
            <w:r w:rsidRPr="003C3E54">
              <w:rPr>
                <w:sz w:val="20"/>
                <w:szCs w:val="20"/>
              </w:rPr>
              <w:t xml:space="preserve">2. Do programu kwalifikowani są również pacjenci uprzednio leczeni </w:t>
            </w:r>
            <w:proofErr w:type="spellStart"/>
            <w:r w:rsidRPr="003C3E54">
              <w:rPr>
                <w:sz w:val="20"/>
                <w:szCs w:val="20"/>
              </w:rPr>
              <w:t>temsyrolimusem</w:t>
            </w:r>
            <w:proofErr w:type="spellEnd"/>
            <w:r w:rsidRPr="003C3E54">
              <w:rPr>
                <w:sz w:val="20"/>
                <w:szCs w:val="20"/>
              </w:rPr>
              <w:t xml:space="preserve"> w ramach innego sposobu finansowania terapii (za wyjątkiem badań klinicznych) w celu zapewnienia kontynuacji terapii.</w:t>
            </w:r>
          </w:p>
          <w:p w:rsidR="003C3E54" w:rsidRPr="003C3E54" w:rsidRDefault="003C3E54" w:rsidP="003C3E54">
            <w:pPr>
              <w:autoSpaceDE w:val="0"/>
              <w:autoSpaceDN w:val="0"/>
              <w:adjustRightInd w:val="0"/>
              <w:spacing w:after="60"/>
              <w:jc w:val="both"/>
              <w:rPr>
                <w:sz w:val="20"/>
                <w:szCs w:val="20"/>
              </w:rPr>
            </w:pPr>
          </w:p>
          <w:p w:rsidR="003C3E54" w:rsidRPr="003C3E54" w:rsidRDefault="00A5351C" w:rsidP="003C3E54">
            <w:pPr>
              <w:pStyle w:val="Akapitzlist"/>
              <w:numPr>
                <w:ilvl w:val="1"/>
                <w:numId w:val="27"/>
              </w:numPr>
              <w:autoSpaceDE w:val="0"/>
              <w:autoSpaceDN w:val="0"/>
              <w:adjustRightInd w:val="0"/>
              <w:spacing w:after="60"/>
              <w:contextualSpacing w:val="0"/>
              <w:jc w:val="both"/>
              <w:rPr>
                <w:sz w:val="20"/>
                <w:szCs w:val="20"/>
              </w:rPr>
            </w:pPr>
            <w:r w:rsidRPr="005B07B3">
              <w:rPr>
                <w:b/>
                <w:sz w:val="20"/>
                <w:szCs w:val="20"/>
              </w:rPr>
              <w:t>Określenie czasu leczenia w programie</w:t>
            </w:r>
          </w:p>
          <w:p w:rsidR="003C3E54" w:rsidRDefault="00A5351C" w:rsidP="003C3E54">
            <w:pPr>
              <w:autoSpaceDE w:val="0"/>
              <w:autoSpaceDN w:val="0"/>
              <w:adjustRightInd w:val="0"/>
              <w:spacing w:after="60"/>
              <w:jc w:val="both"/>
              <w:rPr>
                <w:sz w:val="20"/>
                <w:szCs w:val="20"/>
              </w:rPr>
            </w:pPr>
            <w:r w:rsidRPr="003C3E54">
              <w:rPr>
                <w:sz w:val="20"/>
                <w:szCs w:val="20"/>
              </w:rPr>
              <w:t xml:space="preserve">Chorzy na zaawansowanego raka </w:t>
            </w:r>
            <w:proofErr w:type="spellStart"/>
            <w:r w:rsidRPr="003C3E54">
              <w:rPr>
                <w:sz w:val="20"/>
                <w:szCs w:val="20"/>
              </w:rPr>
              <w:t>nerkowokomórkowego</w:t>
            </w:r>
            <w:proofErr w:type="spellEnd"/>
            <w:r w:rsidRPr="003C3E54">
              <w:rPr>
                <w:sz w:val="20"/>
                <w:szCs w:val="20"/>
              </w:rPr>
              <w:t xml:space="preserve"> z grupy wysokiego ryzyka powinni kontynuować leczenie </w:t>
            </w:r>
            <w:proofErr w:type="spellStart"/>
            <w:r w:rsidRPr="003C3E54">
              <w:rPr>
                <w:sz w:val="20"/>
                <w:szCs w:val="20"/>
              </w:rPr>
              <w:t>temsyrolimusem</w:t>
            </w:r>
            <w:proofErr w:type="spellEnd"/>
            <w:r w:rsidRPr="003C3E54">
              <w:rPr>
                <w:sz w:val="20"/>
                <w:szCs w:val="20"/>
              </w:rPr>
              <w:t xml:space="preserve"> do wystąpienia progresji choroby lub działań niepożądanych, które uniemożliwiają dalsze stosowanie leku.</w:t>
            </w:r>
          </w:p>
          <w:p w:rsidR="003C3E54" w:rsidRPr="003C3E54" w:rsidRDefault="003C3E54" w:rsidP="003C3E54">
            <w:pPr>
              <w:autoSpaceDE w:val="0"/>
              <w:autoSpaceDN w:val="0"/>
              <w:adjustRightInd w:val="0"/>
              <w:spacing w:after="60"/>
              <w:jc w:val="both"/>
              <w:rPr>
                <w:sz w:val="20"/>
                <w:szCs w:val="20"/>
              </w:rPr>
            </w:pPr>
          </w:p>
          <w:p w:rsidR="003C3E54" w:rsidRPr="003C3E54" w:rsidRDefault="00A5351C" w:rsidP="003C3E54">
            <w:pPr>
              <w:pStyle w:val="Akapitzlist"/>
              <w:numPr>
                <w:ilvl w:val="1"/>
                <w:numId w:val="27"/>
              </w:numPr>
              <w:autoSpaceDE w:val="0"/>
              <w:autoSpaceDN w:val="0"/>
              <w:adjustRightInd w:val="0"/>
              <w:spacing w:after="60"/>
              <w:contextualSpacing w:val="0"/>
              <w:jc w:val="both"/>
              <w:rPr>
                <w:sz w:val="20"/>
                <w:szCs w:val="20"/>
              </w:rPr>
            </w:pPr>
            <w:r w:rsidRPr="005B07B3">
              <w:rPr>
                <w:b/>
                <w:sz w:val="20"/>
                <w:szCs w:val="20"/>
              </w:rPr>
              <w:t>Kryteria wyłączenia z programu</w:t>
            </w:r>
          </w:p>
          <w:p w:rsidR="00F849DD" w:rsidRPr="00F849DD" w:rsidRDefault="00A5351C" w:rsidP="003C3E54">
            <w:pPr>
              <w:pStyle w:val="Akapitzlist"/>
              <w:numPr>
                <w:ilvl w:val="2"/>
                <w:numId w:val="27"/>
              </w:numPr>
              <w:autoSpaceDE w:val="0"/>
              <w:autoSpaceDN w:val="0"/>
              <w:adjustRightInd w:val="0"/>
              <w:spacing w:after="60"/>
              <w:contextualSpacing w:val="0"/>
              <w:jc w:val="both"/>
              <w:rPr>
                <w:rStyle w:val="TekstpodstawowyZnak"/>
                <w:sz w:val="20"/>
                <w:szCs w:val="20"/>
              </w:rPr>
            </w:pPr>
            <w:r w:rsidRPr="005B07B3">
              <w:rPr>
                <w:rStyle w:val="TekstpodstawowyZnak"/>
                <w:rFonts w:eastAsia="Cambria"/>
                <w:sz w:val="20"/>
                <w:szCs w:val="20"/>
              </w:rPr>
              <w:t>udokumentowana progresja w trakcie stosowania leku;</w:t>
            </w:r>
          </w:p>
          <w:p w:rsidR="00F849DD" w:rsidRDefault="00A5351C" w:rsidP="003C3E54">
            <w:pPr>
              <w:pStyle w:val="Akapitzlist"/>
              <w:numPr>
                <w:ilvl w:val="2"/>
                <w:numId w:val="27"/>
              </w:numPr>
              <w:autoSpaceDE w:val="0"/>
              <w:autoSpaceDN w:val="0"/>
              <w:adjustRightInd w:val="0"/>
              <w:spacing w:after="60"/>
              <w:contextualSpacing w:val="0"/>
              <w:jc w:val="both"/>
              <w:rPr>
                <w:sz w:val="20"/>
                <w:szCs w:val="20"/>
              </w:rPr>
            </w:pPr>
            <w:r w:rsidRPr="005B07B3">
              <w:rPr>
                <w:sz w:val="20"/>
                <w:szCs w:val="20"/>
              </w:rPr>
              <w:t xml:space="preserve">wystąpienie objawów nadwrażliwości na </w:t>
            </w:r>
            <w:proofErr w:type="spellStart"/>
            <w:r w:rsidRPr="005B07B3">
              <w:rPr>
                <w:sz w:val="20"/>
                <w:szCs w:val="20"/>
              </w:rPr>
              <w:t>temsyrolimus</w:t>
            </w:r>
            <w:proofErr w:type="spellEnd"/>
            <w:r w:rsidRPr="005B07B3">
              <w:rPr>
                <w:sz w:val="20"/>
                <w:szCs w:val="20"/>
              </w:rPr>
              <w:t xml:space="preserve"> lub na którąkolwiek substancję pomocniczą;</w:t>
            </w:r>
          </w:p>
          <w:p w:rsidR="00F849DD" w:rsidRDefault="00A5351C" w:rsidP="003C3E54">
            <w:pPr>
              <w:pStyle w:val="Akapitzlist"/>
              <w:numPr>
                <w:ilvl w:val="2"/>
                <w:numId w:val="27"/>
              </w:numPr>
              <w:autoSpaceDE w:val="0"/>
              <w:autoSpaceDN w:val="0"/>
              <w:adjustRightInd w:val="0"/>
              <w:spacing w:after="60"/>
              <w:contextualSpacing w:val="0"/>
              <w:jc w:val="both"/>
              <w:rPr>
                <w:sz w:val="20"/>
                <w:szCs w:val="20"/>
              </w:rPr>
            </w:pPr>
            <w:r w:rsidRPr="005B07B3">
              <w:rPr>
                <w:sz w:val="20"/>
                <w:szCs w:val="20"/>
              </w:rPr>
              <w:t>nawracająca lub nieakceptowana toksyczność powyżej 3 stopnia według skali WHO;</w:t>
            </w:r>
          </w:p>
          <w:p w:rsidR="00F849DD" w:rsidRDefault="00A5351C" w:rsidP="003C3E54">
            <w:pPr>
              <w:pStyle w:val="Akapitzlist"/>
              <w:numPr>
                <w:ilvl w:val="2"/>
                <w:numId w:val="27"/>
              </w:numPr>
              <w:autoSpaceDE w:val="0"/>
              <w:autoSpaceDN w:val="0"/>
              <w:adjustRightInd w:val="0"/>
              <w:spacing w:after="60"/>
              <w:contextualSpacing w:val="0"/>
              <w:jc w:val="both"/>
              <w:rPr>
                <w:sz w:val="20"/>
                <w:szCs w:val="20"/>
              </w:rPr>
            </w:pPr>
            <w:r w:rsidRPr="005B07B3">
              <w:rPr>
                <w:sz w:val="20"/>
                <w:szCs w:val="20"/>
              </w:rPr>
              <w:t xml:space="preserve">utrzymujący się stan sprawności 60 lub niższy według skali </w:t>
            </w:r>
            <w:proofErr w:type="spellStart"/>
            <w:r w:rsidRPr="005B07B3">
              <w:rPr>
                <w:sz w:val="20"/>
                <w:szCs w:val="20"/>
              </w:rPr>
              <w:t>Karnofsky’ego</w:t>
            </w:r>
            <w:proofErr w:type="spellEnd"/>
            <w:r w:rsidRPr="005B07B3">
              <w:rPr>
                <w:sz w:val="20"/>
                <w:szCs w:val="20"/>
              </w:rPr>
              <w:t>;</w:t>
            </w:r>
          </w:p>
          <w:p w:rsidR="00F849DD" w:rsidRDefault="00A5351C" w:rsidP="003C3E54">
            <w:pPr>
              <w:pStyle w:val="Akapitzlist"/>
              <w:numPr>
                <w:ilvl w:val="2"/>
                <w:numId w:val="27"/>
              </w:numPr>
              <w:autoSpaceDE w:val="0"/>
              <w:autoSpaceDN w:val="0"/>
              <w:adjustRightInd w:val="0"/>
              <w:spacing w:after="60"/>
              <w:contextualSpacing w:val="0"/>
              <w:jc w:val="both"/>
              <w:rPr>
                <w:sz w:val="20"/>
                <w:szCs w:val="20"/>
              </w:rPr>
            </w:pPr>
            <w:r w:rsidRPr="005B07B3">
              <w:rPr>
                <w:sz w:val="20"/>
                <w:szCs w:val="20"/>
              </w:rPr>
              <w:t>istotne pogorszenie jakości życia w trakcie stosowania leku.</w:t>
            </w:r>
          </w:p>
          <w:p w:rsidR="00F849DD" w:rsidRDefault="00F849DD" w:rsidP="00F849DD">
            <w:pPr>
              <w:pStyle w:val="Akapitzlist"/>
              <w:autoSpaceDE w:val="0"/>
              <w:autoSpaceDN w:val="0"/>
              <w:adjustRightInd w:val="0"/>
              <w:spacing w:after="60"/>
              <w:ind w:left="397"/>
              <w:contextualSpacing w:val="0"/>
              <w:jc w:val="both"/>
              <w:rPr>
                <w:sz w:val="20"/>
                <w:szCs w:val="20"/>
              </w:rPr>
            </w:pPr>
          </w:p>
          <w:p w:rsidR="00F849DD" w:rsidRPr="00F849DD" w:rsidRDefault="007E122A" w:rsidP="00F849DD">
            <w:pPr>
              <w:pStyle w:val="Akapitzlist"/>
              <w:numPr>
                <w:ilvl w:val="0"/>
                <w:numId w:val="27"/>
              </w:numPr>
              <w:autoSpaceDE w:val="0"/>
              <w:autoSpaceDN w:val="0"/>
              <w:adjustRightInd w:val="0"/>
              <w:spacing w:after="60"/>
              <w:contextualSpacing w:val="0"/>
              <w:jc w:val="both"/>
              <w:rPr>
                <w:sz w:val="20"/>
                <w:szCs w:val="20"/>
              </w:rPr>
            </w:pPr>
            <w:r w:rsidRPr="005B07B3">
              <w:rPr>
                <w:b/>
                <w:bCs/>
                <w:sz w:val="20"/>
                <w:szCs w:val="20"/>
              </w:rPr>
              <w:t xml:space="preserve">Leczenie raka nerki przy wykorzystaniu substancji czynnej </w:t>
            </w:r>
            <w:proofErr w:type="spellStart"/>
            <w:r w:rsidRPr="005B07B3">
              <w:rPr>
                <w:b/>
                <w:bCs/>
                <w:sz w:val="20"/>
                <w:szCs w:val="20"/>
              </w:rPr>
              <w:t>kabozantynib</w:t>
            </w:r>
            <w:proofErr w:type="spellEnd"/>
          </w:p>
          <w:p w:rsidR="00CA42BB" w:rsidRPr="005B07B3" w:rsidRDefault="00CA42BB" w:rsidP="00F849DD">
            <w:pPr>
              <w:pStyle w:val="Akapitzlist"/>
              <w:numPr>
                <w:ilvl w:val="1"/>
                <w:numId w:val="27"/>
              </w:numPr>
              <w:autoSpaceDE w:val="0"/>
              <w:autoSpaceDN w:val="0"/>
              <w:adjustRightInd w:val="0"/>
              <w:spacing w:after="60"/>
              <w:contextualSpacing w:val="0"/>
              <w:jc w:val="both"/>
              <w:rPr>
                <w:sz w:val="20"/>
                <w:szCs w:val="20"/>
              </w:rPr>
            </w:pPr>
            <w:r w:rsidRPr="005B07B3">
              <w:rPr>
                <w:b/>
                <w:bCs/>
                <w:sz w:val="20"/>
                <w:szCs w:val="20"/>
              </w:rPr>
              <w:t>Kryteria kwalifikacji</w:t>
            </w:r>
          </w:p>
          <w:p w:rsidR="00CA42BB" w:rsidRPr="009E1845" w:rsidRDefault="00CA42BB" w:rsidP="00F849DD">
            <w:pPr>
              <w:pStyle w:val="Akapitzlist"/>
              <w:numPr>
                <w:ilvl w:val="2"/>
                <w:numId w:val="27"/>
              </w:numPr>
              <w:autoSpaceDE w:val="0"/>
              <w:autoSpaceDN w:val="0"/>
              <w:adjustRightInd w:val="0"/>
              <w:spacing w:after="60"/>
              <w:contextualSpacing w:val="0"/>
              <w:jc w:val="both"/>
              <w:rPr>
                <w:sz w:val="20"/>
                <w:szCs w:val="20"/>
              </w:rPr>
            </w:pPr>
            <w:r w:rsidRPr="009E1845">
              <w:rPr>
                <w:sz w:val="20"/>
                <w:szCs w:val="20"/>
              </w:rPr>
              <w:t>wiek 18 lat i powyżej;</w:t>
            </w:r>
          </w:p>
          <w:p w:rsidR="00CA42BB" w:rsidRPr="009E1845" w:rsidRDefault="00CA42BB" w:rsidP="00F849DD">
            <w:pPr>
              <w:pStyle w:val="Akapitzlist"/>
              <w:numPr>
                <w:ilvl w:val="2"/>
                <w:numId w:val="27"/>
              </w:numPr>
              <w:autoSpaceDE w:val="0"/>
              <w:autoSpaceDN w:val="0"/>
              <w:adjustRightInd w:val="0"/>
              <w:spacing w:after="60"/>
              <w:contextualSpacing w:val="0"/>
              <w:jc w:val="both"/>
              <w:rPr>
                <w:sz w:val="20"/>
                <w:szCs w:val="20"/>
              </w:rPr>
            </w:pPr>
            <w:r w:rsidRPr="009E1845">
              <w:rPr>
                <w:sz w:val="20"/>
                <w:szCs w:val="20"/>
              </w:rPr>
              <w:t xml:space="preserve">histologicznie potwierdzone rozpoznanie raka </w:t>
            </w:r>
            <w:proofErr w:type="spellStart"/>
            <w:r w:rsidRPr="009E1845">
              <w:rPr>
                <w:sz w:val="20"/>
                <w:szCs w:val="20"/>
              </w:rPr>
              <w:t>nerkowokomórkowego</w:t>
            </w:r>
            <w:proofErr w:type="spellEnd"/>
            <w:r w:rsidRPr="009E1845">
              <w:rPr>
                <w:sz w:val="20"/>
                <w:szCs w:val="20"/>
              </w:rPr>
              <w:t xml:space="preserve"> z przeważającym (powyżej 50% utkania) komponentem </w:t>
            </w:r>
            <w:proofErr w:type="spellStart"/>
            <w:r w:rsidRPr="009E1845">
              <w:rPr>
                <w:sz w:val="20"/>
                <w:szCs w:val="20"/>
              </w:rPr>
              <w:t>jasnokomórkowym</w:t>
            </w:r>
            <w:proofErr w:type="spellEnd"/>
            <w:r w:rsidRPr="009E1845">
              <w:rPr>
                <w:sz w:val="20"/>
                <w:szCs w:val="20"/>
              </w:rPr>
              <w:t xml:space="preserve">; </w:t>
            </w:r>
          </w:p>
          <w:p w:rsidR="00CA42BB" w:rsidRPr="009E1845" w:rsidRDefault="00CA42BB" w:rsidP="00F849DD">
            <w:pPr>
              <w:pStyle w:val="Akapitzlist"/>
              <w:numPr>
                <w:ilvl w:val="2"/>
                <w:numId w:val="27"/>
              </w:numPr>
              <w:autoSpaceDE w:val="0"/>
              <w:autoSpaceDN w:val="0"/>
              <w:adjustRightInd w:val="0"/>
              <w:spacing w:after="60"/>
              <w:contextualSpacing w:val="0"/>
              <w:jc w:val="both"/>
              <w:rPr>
                <w:sz w:val="20"/>
                <w:szCs w:val="20"/>
              </w:rPr>
            </w:pPr>
            <w:r w:rsidRPr="009E1845">
              <w:rPr>
                <w:sz w:val="20"/>
                <w:szCs w:val="20"/>
              </w:rPr>
              <w:t>nowotwór w stadium zaawansowanym</w:t>
            </w:r>
            <w:r w:rsidR="00DD21D4" w:rsidRPr="009E1845">
              <w:rPr>
                <w:sz w:val="20"/>
                <w:szCs w:val="20"/>
              </w:rPr>
              <w:t xml:space="preserve"> (miejscowy nawrót lub przerzuty odległe), który nie kwalifikuje się do leczenia miejscowego</w:t>
            </w:r>
            <w:r w:rsidRPr="009E1845">
              <w:rPr>
                <w:sz w:val="20"/>
                <w:szCs w:val="20"/>
              </w:rPr>
              <w:t xml:space="preserve">; </w:t>
            </w:r>
          </w:p>
          <w:p w:rsidR="00CA42BB" w:rsidRPr="009E1845" w:rsidRDefault="00CA42BB" w:rsidP="00F849DD">
            <w:pPr>
              <w:pStyle w:val="Akapitzlist"/>
              <w:numPr>
                <w:ilvl w:val="2"/>
                <w:numId w:val="27"/>
              </w:numPr>
              <w:autoSpaceDE w:val="0"/>
              <w:autoSpaceDN w:val="0"/>
              <w:adjustRightInd w:val="0"/>
              <w:spacing w:after="60"/>
              <w:contextualSpacing w:val="0"/>
              <w:jc w:val="both"/>
              <w:rPr>
                <w:sz w:val="20"/>
                <w:szCs w:val="20"/>
              </w:rPr>
            </w:pPr>
            <w:r w:rsidRPr="009E1845">
              <w:rPr>
                <w:sz w:val="20"/>
                <w:szCs w:val="20"/>
              </w:rPr>
              <w:t>udokumentowane niepowodzenie wcześniejszego leczenia z zastosowaniem terapii celowanej na czynnik wzrostu śródbłonka naczyniowego (VEGF)</w:t>
            </w:r>
            <w:r w:rsidR="00AD7202" w:rsidRPr="009E1845">
              <w:rPr>
                <w:sz w:val="20"/>
                <w:szCs w:val="20"/>
              </w:rPr>
              <w:t xml:space="preserve"> stosowanej jako jedyne leczenie albo jako leczenie poprzedzone wcześniejszą immunoterapią </w:t>
            </w:r>
            <w:proofErr w:type="spellStart"/>
            <w:r w:rsidR="00AD7202" w:rsidRPr="009E1845">
              <w:rPr>
                <w:sz w:val="20"/>
                <w:szCs w:val="20"/>
              </w:rPr>
              <w:t>cytokiną</w:t>
            </w:r>
            <w:proofErr w:type="spellEnd"/>
            <w:r w:rsidRPr="009E1845">
              <w:rPr>
                <w:sz w:val="20"/>
                <w:szCs w:val="20"/>
              </w:rPr>
              <w:t>;</w:t>
            </w:r>
          </w:p>
          <w:p w:rsidR="00CA42BB" w:rsidRPr="009E1845" w:rsidRDefault="00CA42BB" w:rsidP="00F849DD">
            <w:pPr>
              <w:pStyle w:val="Akapitzlist"/>
              <w:numPr>
                <w:ilvl w:val="2"/>
                <w:numId w:val="27"/>
              </w:numPr>
              <w:autoSpaceDE w:val="0"/>
              <w:autoSpaceDN w:val="0"/>
              <w:adjustRightInd w:val="0"/>
              <w:spacing w:after="60"/>
              <w:contextualSpacing w:val="0"/>
              <w:jc w:val="both"/>
              <w:rPr>
                <w:sz w:val="20"/>
                <w:szCs w:val="20"/>
              </w:rPr>
            </w:pPr>
            <w:r w:rsidRPr="009E1845">
              <w:rPr>
                <w:sz w:val="20"/>
                <w:szCs w:val="20"/>
              </w:rPr>
              <w:lastRenderedPageBreak/>
              <w:t>uprzednie wykonanie nefrektomii (radykalnej lub oszczędzającej);</w:t>
            </w:r>
          </w:p>
          <w:p w:rsidR="00CA42BB" w:rsidRPr="009E1845" w:rsidRDefault="00CA42BB" w:rsidP="00F849DD">
            <w:pPr>
              <w:pStyle w:val="Akapitzlist"/>
              <w:numPr>
                <w:ilvl w:val="2"/>
                <w:numId w:val="27"/>
              </w:numPr>
              <w:autoSpaceDE w:val="0"/>
              <w:autoSpaceDN w:val="0"/>
              <w:adjustRightInd w:val="0"/>
              <w:spacing w:after="60"/>
              <w:contextualSpacing w:val="0"/>
              <w:jc w:val="both"/>
              <w:rPr>
                <w:sz w:val="20"/>
                <w:szCs w:val="20"/>
              </w:rPr>
            </w:pPr>
            <w:r w:rsidRPr="009E1845">
              <w:rPr>
                <w:sz w:val="20"/>
                <w:szCs w:val="20"/>
              </w:rPr>
              <w:t>zmiany możliwe do obiektywnej oceny w badaniach obrazowych metodą KT lub MR z zastrzeżeniem konieczności potwierdzenia zmian w układzie kostnym przy użyciu badań obrazowych i według RECIST;</w:t>
            </w:r>
          </w:p>
          <w:p w:rsidR="00CA42BB" w:rsidRPr="009E1845" w:rsidRDefault="00CA42BB" w:rsidP="00F849DD">
            <w:pPr>
              <w:pStyle w:val="Akapitzlist"/>
              <w:numPr>
                <w:ilvl w:val="2"/>
                <w:numId w:val="27"/>
              </w:numPr>
              <w:autoSpaceDE w:val="0"/>
              <w:autoSpaceDN w:val="0"/>
              <w:adjustRightInd w:val="0"/>
              <w:spacing w:after="60"/>
              <w:contextualSpacing w:val="0"/>
              <w:jc w:val="both"/>
              <w:rPr>
                <w:sz w:val="20"/>
                <w:szCs w:val="20"/>
              </w:rPr>
            </w:pPr>
            <w:r w:rsidRPr="009E1845">
              <w:rPr>
                <w:sz w:val="20"/>
                <w:szCs w:val="20"/>
              </w:rPr>
              <w:t>nieobecność przerzutów w ośrodkowym układzie nerwowym (dopuszczalne wcześniejsze wycięcie przerzutów lub radioterapia, o ile po leczeniu utrzymuje się stan bezobjawowy);</w:t>
            </w:r>
          </w:p>
          <w:p w:rsidR="00CA42BB" w:rsidRPr="009E1845" w:rsidRDefault="00CA42BB" w:rsidP="00F849DD">
            <w:pPr>
              <w:pStyle w:val="Akapitzlist"/>
              <w:numPr>
                <w:ilvl w:val="2"/>
                <w:numId w:val="27"/>
              </w:numPr>
              <w:autoSpaceDE w:val="0"/>
              <w:autoSpaceDN w:val="0"/>
              <w:adjustRightInd w:val="0"/>
              <w:spacing w:after="60"/>
              <w:contextualSpacing w:val="0"/>
              <w:jc w:val="both"/>
              <w:rPr>
                <w:sz w:val="20"/>
                <w:szCs w:val="20"/>
              </w:rPr>
            </w:pPr>
            <w:r w:rsidRPr="009E1845">
              <w:rPr>
                <w:sz w:val="20"/>
                <w:szCs w:val="20"/>
              </w:rPr>
              <w:t xml:space="preserve">stan sprawności 80-100 wg skali </w:t>
            </w:r>
            <w:proofErr w:type="spellStart"/>
            <w:r w:rsidRPr="009E1845">
              <w:rPr>
                <w:sz w:val="20"/>
                <w:szCs w:val="20"/>
              </w:rPr>
              <w:t>Karnofsky'ego</w:t>
            </w:r>
            <w:proofErr w:type="spellEnd"/>
            <w:r w:rsidRPr="009E1845">
              <w:rPr>
                <w:sz w:val="20"/>
                <w:szCs w:val="20"/>
              </w:rPr>
              <w:t>;</w:t>
            </w:r>
          </w:p>
          <w:p w:rsidR="00CA42BB" w:rsidRPr="009E1845" w:rsidRDefault="00CA42BB" w:rsidP="00F849DD">
            <w:pPr>
              <w:pStyle w:val="Akapitzlist"/>
              <w:numPr>
                <w:ilvl w:val="2"/>
                <w:numId w:val="27"/>
              </w:numPr>
              <w:autoSpaceDE w:val="0"/>
              <w:autoSpaceDN w:val="0"/>
              <w:adjustRightInd w:val="0"/>
              <w:spacing w:after="60"/>
              <w:contextualSpacing w:val="0"/>
              <w:jc w:val="both"/>
              <w:rPr>
                <w:sz w:val="20"/>
                <w:szCs w:val="20"/>
              </w:rPr>
            </w:pPr>
            <w:r w:rsidRPr="009E1845">
              <w:rPr>
                <w:sz w:val="20"/>
                <w:szCs w:val="20"/>
              </w:rPr>
              <w:t>korzystne lub pośrednie rokowanie według skali MSKCC (</w:t>
            </w:r>
            <w:proofErr w:type="spellStart"/>
            <w:r w:rsidRPr="009E1845">
              <w:rPr>
                <w:sz w:val="20"/>
                <w:szCs w:val="20"/>
              </w:rPr>
              <w:t>Memorial</w:t>
            </w:r>
            <w:proofErr w:type="spellEnd"/>
            <w:r w:rsidRPr="009E1845">
              <w:rPr>
                <w:sz w:val="20"/>
                <w:szCs w:val="20"/>
              </w:rPr>
              <w:t xml:space="preserve"> Sloan-</w:t>
            </w:r>
            <w:proofErr w:type="spellStart"/>
            <w:r w:rsidRPr="009E1845">
              <w:rPr>
                <w:sz w:val="20"/>
                <w:szCs w:val="20"/>
              </w:rPr>
              <w:t>Kettering</w:t>
            </w:r>
            <w:proofErr w:type="spellEnd"/>
            <w:r w:rsidRPr="009E1845">
              <w:rPr>
                <w:sz w:val="20"/>
                <w:szCs w:val="20"/>
              </w:rPr>
              <w:t xml:space="preserve"> </w:t>
            </w:r>
            <w:proofErr w:type="spellStart"/>
            <w:r w:rsidRPr="009E1845">
              <w:rPr>
                <w:sz w:val="20"/>
                <w:szCs w:val="20"/>
              </w:rPr>
              <w:t>Cancer</w:t>
            </w:r>
            <w:proofErr w:type="spellEnd"/>
            <w:r w:rsidRPr="009E1845">
              <w:rPr>
                <w:sz w:val="20"/>
                <w:szCs w:val="20"/>
              </w:rPr>
              <w:t xml:space="preserve"> Center);</w:t>
            </w:r>
          </w:p>
          <w:p w:rsidR="00CA42BB" w:rsidRPr="009E1845" w:rsidRDefault="00CA42BB" w:rsidP="00F849DD">
            <w:pPr>
              <w:pStyle w:val="Akapitzlist"/>
              <w:numPr>
                <w:ilvl w:val="2"/>
                <w:numId w:val="27"/>
              </w:numPr>
              <w:autoSpaceDE w:val="0"/>
              <w:autoSpaceDN w:val="0"/>
              <w:adjustRightInd w:val="0"/>
              <w:spacing w:after="60"/>
              <w:contextualSpacing w:val="0"/>
              <w:jc w:val="both"/>
              <w:rPr>
                <w:sz w:val="20"/>
                <w:szCs w:val="20"/>
              </w:rPr>
            </w:pPr>
            <w:r w:rsidRPr="009E1845">
              <w:rPr>
                <w:sz w:val="20"/>
                <w:szCs w:val="20"/>
              </w:rPr>
              <w:t xml:space="preserve">wykluczenie ciąży i okresu karmienia piersią; </w:t>
            </w:r>
          </w:p>
          <w:p w:rsidR="00CA42BB" w:rsidRPr="009E1845" w:rsidRDefault="00CA42BB" w:rsidP="00F849DD">
            <w:pPr>
              <w:pStyle w:val="Akapitzlist"/>
              <w:numPr>
                <w:ilvl w:val="2"/>
                <w:numId w:val="27"/>
              </w:numPr>
              <w:autoSpaceDE w:val="0"/>
              <w:autoSpaceDN w:val="0"/>
              <w:adjustRightInd w:val="0"/>
              <w:spacing w:after="60"/>
              <w:contextualSpacing w:val="0"/>
              <w:jc w:val="both"/>
              <w:rPr>
                <w:sz w:val="20"/>
                <w:szCs w:val="20"/>
              </w:rPr>
            </w:pPr>
            <w:r w:rsidRPr="009E1845">
              <w:rPr>
                <w:sz w:val="20"/>
                <w:szCs w:val="20"/>
              </w:rPr>
              <w:t xml:space="preserve">nieobecność niekontrolowanych chorób układu sercowo-naczyniowego; </w:t>
            </w:r>
          </w:p>
          <w:p w:rsidR="00CA42BB" w:rsidRPr="009E1845" w:rsidRDefault="00CA42BB" w:rsidP="00F849DD">
            <w:pPr>
              <w:pStyle w:val="Akapitzlist"/>
              <w:numPr>
                <w:ilvl w:val="2"/>
                <w:numId w:val="27"/>
              </w:numPr>
              <w:autoSpaceDE w:val="0"/>
              <w:autoSpaceDN w:val="0"/>
              <w:adjustRightInd w:val="0"/>
              <w:spacing w:after="60"/>
              <w:contextualSpacing w:val="0"/>
              <w:jc w:val="both"/>
              <w:rPr>
                <w:sz w:val="20"/>
                <w:szCs w:val="20"/>
              </w:rPr>
            </w:pPr>
            <w:r w:rsidRPr="009E1845">
              <w:rPr>
                <w:sz w:val="20"/>
                <w:szCs w:val="20"/>
              </w:rPr>
              <w:t xml:space="preserve">zadowalająca wydolność narządowa określona na podstawie badań laboratoryjnych krwi: </w:t>
            </w:r>
          </w:p>
          <w:p w:rsidR="00CA42BB" w:rsidRPr="009E1845" w:rsidRDefault="00CA42BB" w:rsidP="00F849DD">
            <w:pPr>
              <w:pStyle w:val="Akapitzlist"/>
              <w:numPr>
                <w:ilvl w:val="3"/>
                <w:numId w:val="27"/>
              </w:numPr>
              <w:autoSpaceDE w:val="0"/>
              <w:autoSpaceDN w:val="0"/>
              <w:adjustRightInd w:val="0"/>
              <w:spacing w:after="60"/>
              <w:contextualSpacing w:val="0"/>
              <w:jc w:val="both"/>
              <w:rPr>
                <w:sz w:val="20"/>
                <w:szCs w:val="20"/>
              </w:rPr>
            </w:pPr>
            <w:r w:rsidRPr="009E1845">
              <w:rPr>
                <w:sz w:val="20"/>
                <w:szCs w:val="20"/>
              </w:rPr>
              <w:t xml:space="preserve">wyniki badań czynności wątroby: </w:t>
            </w:r>
          </w:p>
          <w:p w:rsidR="00CA42BB" w:rsidRPr="009E1845" w:rsidRDefault="00CA42BB" w:rsidP="00F849DD">
            <w:pPr>
              <w:pStyle w:val="Akapitzlist"/>
              <w:numPr>
                <w:ilvl w:val="4"/>
                <w:numId w:val="27"/>
              </w:numPr>
              <w:autoSpaceDE w:val="0"/>
              <w:autoSpaceDN w:val="0"/>
              <w:adjustRightInd w:val="0"/>
              <w:spacing w:after="60"/>
              <w:contextualSpacing w:val="0"/>
              <w:jc w:val="both"/>
              <w:rPr>
                <w:sz w:val="20"/>
                <w:szCs w:val="20"/>
              </w:rPr>
            </w:pPr>
            <w:r w:rsidRPr="009E1845">
              <w:rPr>
                <w:sz w:val="20"/>
                <w:szCs w:val="20"/>
              </w:rPr>
              <w:t xml:space="preserve">stężenie bilirubiny całkowitej nieprzekraczające 1.5-krotnie górnej granicy normy (z wyjątkiem pacjentów z zespołem Gilberta), </w:t>
            </w:r>
          </w:p>
          <w:p w:rsidR="00CA42BB" w:rsidRPr="009E1845" w:rsidRDefault="00CA42BB" w:rsidP="00F849DD">
            <w:pPr>
              <w:pStyle w:val="Akapitzlist"/>
              <w:numPr>
                <w:ilvl w:val="4"/>
                <w:numId w:val="27"/>
              </w:numPr>
              <w:autoSpaceDE w:val="0"/>
              <w:autoSpaceDN w:val="0"/>
              <w:adjustRightInd w:val="0"/>
              <w:spacing w:after="60"/>
              <w:contextualSpacing w:val="0"/>
              <w:jc w:val="both"/>
              <w:rPr>
                <w:sz w:val="20"/>
                <w:szCs w:val="20"/>
              </w:rPr>
            </w:pPr>
            <w:r w:rsidRPr="009E1845">
              <w:rPr>
                <w:sz w:val="20"/>
                <w:szCs w:val="20"/>
              </w:rPr>
              <w:t>aktywność transaminaz (alaninowej i </w:t>
            </w:r>
            <w:proofErr w:type="spellStart"/>
            <w:r w:rsidRPr="009E1845">
              <w:rPr>
                <w:sz w:val="20"/>
                <w:szCs w:val="20"/>
              </w:rPr>
              <w:t>asparaginianowej</w:t>
            </w:r>
            <w:proofErr w:type="spellEnd"/>
            <w:r w:rsidRPr="009E1845">
              <w:rPr>
                <w:sz w:val="20"/>
                <w:szCs w:val="20"/>
              </w:rPr>
              <w:t xml:space="preserve">) w surowicy nieprzekraczające 3-krotnie górnej granicy normy, </w:t>
            </w:r>
          </w:p>
          <w:p w:rsidR="00CA42BB" w:rsidRPr="009E1845" w:rsidRDefault="00CA42BB" w:rsidP="00F849DD">
            <w:pPr>
              <w:pStyle w:val="Akapitzlist"/>
              <w:numPr>
                <w:ilvl w:val="3"/>
                <w:numId w:val="27"/>
              </w:numPr>
              <w:autoSpaceDE w:val="0"/>
              <w:autoSpaceDN w:val="0"/>
              <w:adjustRightInd w:val="0"/>
              <w:spacing w:after="60"/>
              <w:contextualSpacing w:val="0"/>
              <w:jc w:val="both"/>
              <w:rPr>
                <w:sz w:val="20"/>
                <w:szCs w:val="20"/>
              </w:rPr>
            </w:pPr>
            <w:r w:rsidRPr="009E1845">
              <w:rPr>
                <w:sz w:val="20"/>
                <w:szCs w:val="20"/>
              </w:rPr>
              <w:t>klirens kreatyniny ≥30 ml/min</w:t>
            </w:r>
            <w:r w:rsidR="008C4D6F" w:rsidRPr="009E1845">
              <w:rPr>
                <w:sz w:val="20"/>
                <w:szCs w:val="20"/>
              </w:rPr>
              <w:t>.</w:t>
            </w:r>
            <w:r w:rsidRPr="009E1845">
              <w:rPr>
                <w:sz w:val="20"/>
                <w:szCs w:val="20"/>
              </w:rPr>
              <w:t xml:space="preserve">, </w:t>
            </w:r>
          </w:p>
          <w:p w:rsidR="00CA42BB" w:rsidRPr="009E1845" w:rsidRDefault="00CA42BB" w:rsidP="00F849DD">
            <w:pPr>
              <w:pStyle w:val="Akapitzlist"/>
              <w:numPr>
                <w:ilvl w:val="3"/>
                <w:numId w:val="27"/>
              </w:numPr>
              <w:autoSpaceDE w:val="0"/>
              <w:autoSpaceDN w:val="0"/>
              <w:adjustRightInd w:val="0"/>
              <w:spacing w:after="60"/>
              <w:contextualSpacing w:val="0"/>
              <w:jc w:val="both"/>
              <w:rPr>
                <w:sz w:val="20"/>
                <w:szCs w:val="20"/>
              </w:rPr>
            </w:pPr>
            <w:r w:rsidRPr="009E1845">
              <w:rPr>
                <w:sz w:val="20"/>
                <w:szCs w:val="20"/>
              </w:rPr>
              <w:t xml:space="preserve">wyniki badania morfologii krwi z rozmazem: </w:t>
            </w:r>
          </w:p>
          <w:p w:rsidR="00CA42BB" w:rsidRPr="009E1845" w:rsidRDefault="00CA42BB" w:rsidP="00F849DD">
            <w:pPr>
              <w:pStyle w:val="Akapitzlist"/>
              <w:numPr>
                <w:ilvl w:val="4"/>
                <w:numId w:val="27"/>
              </w:numPr>
              <w:autoSpaceDE w:val="0"/>
              <w:autoSpaceDN w:val="0"/>
              <w:adjustRightInd w:val="0"/>
              <w:spacing w:after="60"/>
              <w:contextualSpacing w:val="0"/>
              <w:jc w:val="both"/>
              <w:rPr>
                <w:sz w:val="20"/>
                <w:szCs w:val="20"/>
              </w:rPr>
            </w:pPr>
            <w:r w:rsidRPr="009E1845">
              <w:rPr>
                <w:sz w:val="20"/>
                <w:szCs w:val="20"/>
              </w:rPr>
              <w:t>liczba płytek krwi większa lub równa 10</w:t>
            </w:r>
            <w:r w:rsidRPr="00F849DD">
              <w:rPr>
                <w:sz w:val="20"/>
                <w:szCs w:val="20"/>
              </w:rPr>
              <w:t>5</w:t>
            </w:r>
            <w:r w:rsidRPr="009E1845">
              <w:rPr>
                <w:sz w:val="20"/>
                <w:szCs w:val="20"/>
              </w:rPr>
              <w:t>/mm</w:t>
            </w:r>
            <w:r w:rsidRPr="00F849DD">
              <w:rPr>
                <w:sz w:val="20"/>
                <w:szCs w:val="20"/>
              </w:rPr>
              <w:t>3</w:t>
            </w:r>
            <w:r w:rsidRPr="009E1845">
              <w:rPr>
                <w:sz w:val="20"/>
                <w:szCs w:val="20"/>
              </w:rPr>
              <w:t xml:space="preserve">, </w:t>
            </w:r>
          </w:p>
          <w:p w:rsidR="00CA42BB" w:rsidRPr="009E1845" w:rsidRDefault="00CA42BB" w:rsidP="00F849DD">
            <w:pPr>
              <w:pStyle w:val="Akapitzlist"/>
              <w:numPr>
                <w:ilvl w:val="4"/>
                <w:numId w:val="27"/>
              </w:numPr>
              <w:autoSpaceDE w:val="0"/>
              <w:autoSpaceDN w:val="0"/>
              <w:adjustRightInd w:val="0"/>
              <w:spacing w:after="60"/>
              <w:contextualSpacing w:val="0"/>
              <w:jc w:val="both"/>
              <w:rPr>
                <w:sz w:val="20"/>
                <w:szCs w:val="20"/>
              </w:rPr>
            </w:pPr>
            <w:r w:rsidRPr="009E1845">
              <w:rPr>
                <w:sz w:val="20"/>
                <w:szCs w:val="20"/>
              </w:rPr>
              <w:t>bezwzględna liczba granulocytów obojętnochłonnych większa lub równa 1500/mm</w:t>
            </w:r>
            <w:r w:rsidRPr="00F849DD">
              <w:rPr>
                <w:sz w:val="20"/>
                <w:szCs w:val="20"/>
              </w:rPr>
              <w:t>3</w:t>
            </w:r>
            <w:r w:rsidRPr="009E1845">
              <w:rPr>
                <w:sz w:val="20"/>
                <w:szCs w:val="20"/>
              </w:rPr>
              <w:t xml:space="preserve">, </w:t>
            </w:r>
          </w:p>
          <w:p w:rsidR="00CA42BB" w:rsidRPr="009E1845" w:rsidRDefault="00CA42BB" w:rsidP="00F849DD">
            <w:pPr>
              <w:pStyle w:val="Akapitzlist"/>
              <w:numPr>
                <w:ilvl w:val="4"/>
                <w:numId w:val="27"/>
              </w:numPr>
              <w:autoSpaceDE w:val="0"/>
              <w:autoSpaceDN w:val="0"/>
              <w:adjustRightInd w:val="0"/>
              <w:spacing w:after="60"/>
              <w:contextualSpacing w:val="0"/>
              <w:jc w:val="both"/>
              <w:rPr>
                <w:sz w:val="20"/>
                <w:szCs w:val="20"/>
              </w:rPr>
            </w:pPr>
            <w:r w:rsidRPr="009E1845">
              <w:rPr>
                <w:sz w:val="20"/>
                <w:szCs w:val="20"/>
              </w:rPr>
              <w:t xml:space="preserve">poziom hemoglobiny większy lub równy 9,5 g/dl; </w:t>
            </w:r>
          </w:p>
          <w:p w:rsidR="00CA42BB" w:rsidRPr="009E1845" w:rsidRDefault="00CA42BB" w:rsidP="00F849DD">
            <w:pPr>
              <w:pStyle w:val="Akapitzlist"/>
              <w:numPr>
                <w:ilvl w:val="2"/>
                <w:numId w:val="27"/>
              </w:numPr>
              <w:autoSpaceDE w:val="0"/>
              <w:autoSpaceDN w:val="0"/>
              <w:adjustRightInd w:val="0"/>
              <w:spacing w:after="60"/>
              <w:contextualSpacing w:val="0"/>
              <w:jc w:val="both"/>
              <w:rPr>
                <w:sz w:val="20"/>
                <w:szCs w:val="20"/>
              </w:rPr>
            </w:pPr>
            <w:r w:rsidRPr="009E1845">
              <w:rPr>
                <w:sz w:val="20"/>
                <w:szCs w:val="20"/>
              </w:rPr>
              <w:t>czynność tarczycy prawidłowa lub wyrównana farmakologicznie;</w:t>
            </w:r>
          </w:p>
          <w:p w:rsidR="00CA42BB" w:rsidRPr="009E1845" w:rsidRDefault="00CA42BB" w:rsidP="00F849DD">
            <w:pPr>
              <w:pStyle w:val="Akapitzlist"/>
              <w:numPr>
                <w:ilvl w:val="2"/>
                <w:numId w:val="27"/>
              </w:numPr>
              <w:autoSpaceDE w:val="0"/>
              <w:autoSpaceDN w:val="0"/>
              <w:adjustRightInd w:val="0"/>
              <w:spacing w:after="60"/>
              <w:contextualSpacing w:val="0"/>
              <w:jc w:val="both"/>
              <w:rPr>
                <w:sz w:val="20"/>
                <w:szCs w:val="20"/>
              </w:rPr>
            </w:pPr>
            <w:r w:rsidRPr="009E1845">
              <w:rPr>
                <w:sz w:val="20"/>
                <w:szCs w:val="20"/>
              </w:rPr>
              <w:t>niewystępowanie stanów klinicznych, które w opinii lekarza prowadzącego uniemożliwiają włączenie terapii.</w:t>
            </w:r>
            <w:r w:rsidR="00744872">
              <w:rPr>
                <w:sz w:val="20"/>
                <w:szCs w:val="20"/>
              </w:rPr>
              <w:t xml:space="preserve"> </w:t>
            </w:r>
          </w:p>
          <w:p w:rsidR="00CA42BB" w:rsidRDefault="00CA42BB" w:rsidP="00F849DD">
            <w:pPr>
              <w:autoSpaceDE w:val="0"/>
              <w:autoSpaceDN w:val="0"/>
              <w:adjustRightInd w:val="0"/>
              <w:jc w:val="both"/>
              <w:rPr>
                <w:sz w:val="20"/>
                <w:szCs w:val="20"/>
              </w:rPr>
            </w:pPr>
            <w:r w:rsidRPr="009E1845">
              <w:rPr>
                <w:sz w:val="20"/>
                <w:szCs w:val="20"/>
              </w:rPr>
              <w:t>Kryteria kwalifikacji muszą być spełnione łącznie.</w:t>
            </w:r>
          </w:p>
          <w:p w:rsidR="00F849DD" w:rsidRPr="009E1845" w:rsidRDefault="00F849DD" w:rsidP="00F849DD">
            <w:pPr>
              <w:autoSpaceDE w:val="0"/>
              <w:autoSpaceDN w:val="0"/>
              <w:adjustRightInd w:val="0"/>
              <w:jc w:val="both"/>
              <w:rPr>
                <w:sz w:val="20"/>
                <w:szCs w:val="20"/>
              </w:rPr>
            </w:pPr>
          </w:p>
          <w:p w:rsidR="00CA42BB" w:rsidRDefault="00CA42BB" w:rsidP="00F849DD">
            <w:pPr>
              <w:autoSpaceDE w:val="0"/>
              <w:autoSpaceDN w:val="0"/>
              <w:adjustRightInd w:val="0"/>
              <w:jc w:val="both"/>
              <w:rPr>
                <w:sz w:val="20"/>
                <w:szCs w:val="20"/>
              </w:rPr>
            </w:pPr>
            <w:r w:rsidRPr="009E1845">
              <w:rPr>
                <w:sz w:val="20"/>
                <w:szCs w:val="20"/>
              </w:rPr>
              <w:t xml:space="preserve">Ponadto do programu lekowego kwalifikowani są również pacjenci, którzy byli leczeni </w:t>
            </w:r>
            <w:proofErr w:type="spellStart"/>
            <w:r w:rsidRPr="009E1845">
              <w:rPr>
                <w:sz w:val="20"/>
                <w:szCs w:val="20"/>
              </w:rPr>
              <w:t>kabozantynibem</w:t>
            </w:r>
            <w:proofErr w:type="spellEnd"/>
            <w:r w:rsidRPr="009E1845">
              <w:rPr>
                <w:sz w:val="20"/>
                <w:szCs w:val="20"/>
              </w:rPr>
              <w:t xml:space="preserve"> w ramach innego sposobu finansowania terapii, pod </w:t>
            </w:r>
            <w:r w:rsidRPr="009E1845">
              <w:rPr>
                <w:sz w:val="20"/>
                <w:szCs w:val="20"/>
              </w:rPr>
              <w:lastRenderedPageBreak/>
              <w:t>warunkiem, że w chwili rozpoczęcia leczenia spełniali kryteria kwalifikacji do programu lekowego.</w:t>
            </w:r>
          </w:p>
          <w:p w:rsidR="00F849DD" w:rsidRPr="009E1845" w:rsidRDefault="00F849DD" w:rsidP="00F849DD">
            <w:pPr>
              <w:autoSpaceDE w:val="0"/>
              <w:autoSpaceDN w:val="0"/>
              <w:adjustRightInd w:val="0"/>
              <w:jc w:val="both"/>
              <w:rPr>
                <w:sz w:val="20"/>
                <w:szCs w:val="20"/>
              </w:rPr>
            </w:pPr>
          </w:p>
          <w:p w:rsidR="00CA42BB" w:rsidRPr="00F849DD" w:rsidRDefault="00CA42BB" w:rsidP="00F849DD">
            <w:pPr>
              <w:pStyle w:val="Akapitzlist"/>
              <w:numPr>
                <w:ilvl w:val="1"/>
                <w:numId w:val="27"/>
              </w:numPr>
              <w:autoSpaceDE w:val="0"/>
              <w:autoSpaceDN w:val="0"/>
              <w:adjustRightInd w:val="0"/>
              <w:spacing w:after="60"/>
              <w:contextualSpacing w:val="0"/>
              <w:jc w:val="both"/>
              <w:rPr>
                <w:b/>
                <w:bCs/>
                <w:sz w:val="20"/>
                <w:szCs w:val="20"/>
              </w:rPr>
            </w:pPr>
            <w:r w:rsidRPr="009E1845">
              <w:rPr>
                <w:b/>
                <w:bCs/>
                <w:sz w:val="20"/>
                <w:szCs w:val="20"/>
              </w:rPr>
              <w:t>Określenie czasu leczenia w programie</w:t>
            </w:r>
          </w:p>
          <w:p w:rsidR="00CA42BB" w:rsidRDefault="00CA42BB" w:rsidP="00F849DD">
            <w:pPr>
              <w:autoSpaceDE w:val="0"/>
              <w:autoSpaceDN w:val="0"/>
              <w:adjustRightInd w:val="0"/>
              <w:spacing w:after="60"/>
              <w:jc w:val="both"/>
              <w:rPr>
                <w:bCs/>
                <w:sz w:val="20"/>
                <w:szCs w:val="20"/>
              </w:rPr>
            </w:pPr>
            <w:r w:rsidRPr="00F849DD">
              <w:rPr>
                <w:bCs/>
                <w:sz w:val="20"/>
                <w:szCs w:val="20"/>
              </w:rPr>
              <w:t>Leczenie trwa do czasu podjęcia przez lekarza prowadzącego decyzji o wyłączeniu świadczeniobiorcy z programu, zgodnie z kryteriami wyłączenia.</w:t>
            </w:r>
          </w:p>
          <w:p w:rsidR="001E32F3" w:rsidRPr="00F849DD" w:rsidRDefault="001E32F3" w:rsidP="00F849DD">
            <w:pPr>
              <w:autoSpaceDE w:val="0"/>
              <w:autoSpaceDN w:val="0"/>
              <w:adjustRightInd w:val="0"/>
              <w:spacing w:after="60"/>
              <w:jc w:val="both"/>
              <w:rPr>
                <w:bCs/>
                <w:sz w:val="20"/>
                <w:szCs w:val="20"/>
              </w:rPr>
            </w:pPr>
          </w:p>
          <w:p w:rsidR="00CA42BB" w:rsidRPr="00F849DD" w:rsidRDefault="00CA42BB" w:rsidP="00F849DD">
            <w:pPr>
              <w:pStyle w:val="Akapitzlist"/>
              <w:numPr>
                <w:ilvl w:val="1"/>
                <w:numId w:val="27"/>
              </w:numPr>
              <w:autoSpaceDE w:val="0"/>
              <w:autoSpaceDN w:val="0"/>
              <w:adjustRightInd w:val="0"/>
              <w:spacing w:after="60"/>
              <w:contextualSpacing w:val="0"/>
              <w:jc w:val="both"/>
              <w:rPr>
                <w:b/>
                <w:bCs/>
                <w:sz w:val="20"/>
                <w:szCs w:val="20"/>
              </w:rPr>
            </w:pPr>
            <w:r w:rsidRPr="009E1845">
              <w:rPr>
                <w:b/>
                <w:bCs/>
                <w:sz w:val="20"/>
                <w:szCs w:val="20"/>
              </w:rPr>
              <w:t>Kryteria wyłączenia z programu</w:t>
            </w:r>
          </w:p>
          <w:p w:rsidR="00CA42BB" w:rsidRPr="009E1845" w:rsidRDefault="00CA42BB" w:rsidP="001E32F3">
            <w:pPr>
              <w:pStyle w:val="Akapitzlist"/>
              <w:numPr>
                <w:ilvl w:val="2"/>
                <w:numId w:val="27"/>
              </w:numPr>
              <w:autoSpaceDE w:val="0"/>
              <w:autoSpaceDN w:val="0"/>
              <w:adjustRightInd w:val="0"/>
              <w:spacing w:after="60"/>
              <w:contextualSpacing w:val="0"/>
              <w:jc w:val="both"/>
              <w:rPr>
                <w:sz w:val="20"/>
                <w:szCs w:val="20"/>
              </w:rPr>
            </w:pPr>
            <w:r w:rsidRPr="009E1845">
              <w:rPr>
                <w:sz w:val="20"/>
                <w:szCs w:val="20"/>
              </w:rPr>
              <w:t xml:space="preserve">udokumentowana progresja w trakcie stosowania leku; </w:t>
            </w:r>
          </w:p>
          <w:p w:rsidR="00CA42BB" w:rsidRPr="009E1845" w:rsidRDefault="00CA42BB" w:rsidP="001E32F3">
            <w:pPr>
              <w:pStyle w:val="Akapitzlist"/>
              <w:numPr>
                <w:ilvl w:val="2"/>
                <w:numId w:val="27"/>
              </w:numPr>
              <w:autoSpaceDE w:val="0"/>
              <w:autoSpaceDN w:val="0"/>
              <w:adjustRightInd w:val="0"/>
              <w:spacing w:after="60"/>
              <w:contextualSpacing w:val="0"/>
              <w:jc w:val="both"/>
              <w:rPr>
                <w:sz w:val="20"/>
                <w:szCs w:val="20"/>
              </w:rPr>
            </w:pPr>
            <w:r w:rsidRPr="009E1845">
              <w:rPr>
                <w:sz w:val="20"/>
                <w:szCs w:val="20"/>
              </w:rPr>
              <w:t xml:space="preserve">wystąpienie objawów nadwrażliwości na </w:t>
            </w:r>
            <w:proofErr w:type="spellStart"/>
            <w:r w:rsidRPr="009E1845">
              <w:rPr>
                <w:sz w:val="20"/>
                <w:szCs w:val="20"/>
              </w:rPr>
              <w:t>kabozantynib</w:t>
            </w:r>
            <w:proofErr w:type="spellEnd"/>
            <w:r w:rsidRPr="009E1845">
              <w:rPr>
                <w:sz w:val="20"/>
                <w:szCs w:val="20"/>
              </w:rPr>
              <w:t xml:space="preserve"> lub na którąkolwiek substancję pomocniczą; </w:t>
            </w:r>
          </w:p>
          <w:p w:rsidR="00CA42BB" w:rsidRPr="009E1845" w:rsidRDefault="00CA42BB" w:rsidP="001E32F3">
            <w:pPr>
              <w:pStyle w:val="Akapitzlist"/>
              <w:numPr>
                <w:ilvl w:val="2"/>
                <w:numId w:val="27"/>
              </w:numPr>
              <w:autoSpaceDE w:val="0"/>
              <w:autoSpaceDN w:val="0"/>
              <w:adjustRightInd w:val="0"/>
              <w:spacing w:after="60"/>
              <w:contextualSpacing w:val="0"/>
              <w:jc w:val="both"/>
              <w:rPr>
                <w:sz w:val="20"/>
                <w:szCs w:val="20"/>
              </w:rPr>
            </w:pPr>
            <w:r w:rsidRPr="009E1845">
              <w:rPr>
                <w:sz w:val="20"/>
                <w:szCs w:val="20"/>
              </w:rPr>
              <w:t xml:space="preserve">nawracająca lub nieakceptowalna toksyczność powyżej 3 stopnia według skali WHO; </w:t>
            </w:r>
          </w:p>
          <w:p w:rsidR="00CA42BB" w:rsidRPr="009E1845" w:rsidRDefault="00CA42BB" w:rsidP="001E32F3">
            <w:pPr>
              <w:pStyle w:val="Akapitzlist"/>
              <w:numPr>
                <w:ilvl w:val="2"/>
                <w:numId w:val="27"/>
              </w:numPr>
              <w:autoSpaceDE w:val="0"/>
              <w:autoSpaceDN w:val="0"/>
              <w:adjustRightInd w:val="0"/>
              <w:spacing w:after="60"/>
              <w:contextualSpacing w:val="0"/>
              <w:jc w:val="both"/>
              <w:rPr>
                <w:sz w:val="20"/>
                <w:szCs w:val="20"/>
              </w:rPr>
            </w:pPr>
            <w:r w:rsidRPr="009E1845">
              <w:rPr>
                <w:sz w:val="20"/>
                <w:szCs w:val="20"/>
              </w:rPr>
              <w:t xml:space="preserve">utrzymujący się stan sprawności 70 lub niższy według skali </w:t>
            </w:r>
            <w:proofErr w:type="spellStart"/>
            <w:r w:rsidRPr="009E1845">
              <w:rPr>
                <w:sz w:val="20"/>
                <w:szCs w:val="20"/>
              </w:rPr>
              <w:t>Karnofsky’ego</w:t>
            </w:r>
            <w:proofErr w:type="spellEnd"/>
            <w:r w:rsidRPr="009E1845">
              <w:rPr>
                <w:sz w:val="20"/>
                <w:szCs w:val="20"/>
              </w:rPr>
              <w:t xml:space="preserve">; </w:t>
            </w:r>
          </w:p>
          <w:p w:rsidR="00CA42BB" w:rsidRPr="009E1845" w:rsidRDefault="00CA42BB" w:rsidP="001E32F3">
            <w:pPr>
              <w:pStyle w:val="Akapitzlist"/>
              <w:numPr>
                <w:ilvl w:val="2"/>
                <w:numId w:val="27"/>
              </w:numPr>
              <w:autoSpaceDE w:val="0"/>
              <w:autoSpaceDN w:val="0"/>
              <w:adjustRightInd w:val="0"/>
              <w:spacing w:after="60"/>
              <w:contextualSpacing w:val="0"/>
              <w:jc w:val="both"/>
              <w:rPr>
                <w:sz w:val="20"/>
                <w:szCs w:val="20"/>
              </w:rPr>
            </w:pPr>
            <w:r w:rsidRPr="009E1845">
              <w:rPr>
                <w:sz w:val="20"/>
                <w:szCs w:val="20"/>
              </w:rPr>
              <w:t>konieczność stosowania leków z grupy silnych inhibitorów CYP3A4;</w:t>
            </w:r>
          </w:p>
          <w:p w:rsidR="00CA42BB" w:rsidRPr="009E1845" w:rsidRDefault="00CA42BB" w:rsidP="001E32F3">
            <w:pPr>
              <w:pStyle w:val="Akapitzlist"/>
              <w:numPr>
                <w:ilvl w:val="2"/>
                <w:numId w:val="27"/>
              </w:numPr>
              <w:autoSpaceDE w:val="0"/>
              <w:autoSpaceDN w:val="0"/>
              <w:adjustRightInd w:val="0"/>
              <w:spacing w:after="60"/>
              <w:contextualSpacing w:val="0"/>
              <w:jc w:val="both"/>
              <w:rPr>
                <w:sz w:val="20"/>
                <w:szCs w:val="20"/>
              </w:rPr>
            </w:pPr>
            <w:r w:rsidRPr="009E1845">
              <w:rPr>
                <w:sz w:val="20"/>
                <w:szCs w:val="20"/>
              </w:rPr>
              <w:t>wystąpienie chorób lub stanów, które w opinii lekarza prowadzącego uniemożliwiają prowadzenie leczenia;</w:t>
            </w:r>
          </w:p>
          <w:p w:rsidR="00676E5C" w:rsidRDefault="00CA42BB" w:rsidP="001E32F3">
            <w:pPr>
              <w:pStyle w:val="Akapitzlist"/>
              <w:numPr>
                <w:ilvl w:val="2"/>
                <w:numId w:val="27"/>
              </w:numPr>
              <w:autoSpaceDE w:val="0"/>
              <w:autoSpaceDN w:val="0"/>
              <w:adjustRightInd w:val="0"/>
              <w:spacing w:after="60"/>
              <w:contextualSpacing w:val="0"/>
              <w:jc w:val="both"/>
              <w:rPr>
                <w:sz w:val="20"/>
                <w:szCs w:val="20"/>
              </w:rPr>
            </w:pPr>
            <w:r w:rsidRPr="009E1845">
              <w:rPr>
                <w:sz w:val="20"/>
                <w:szCs w:val="20"/>
              </w:rPr>
              <w:t>istotne pogorszenie jakości życia w trakcie stosowania leku.</w:t>
            </w:r>
          </w:p>
          <w:p w:rsidR="001E32F3" w:rsidRPr="009E1845" w:rsidRDefault="001E32F3" w:rsidP="001E32F3">
            <w:pPr>
              <w:pStyle w:val="Akapitzlist"/>
              <w:autoSpaceDE w:val="0"/>
              <w:autoSpaceDN w:val="0"/>
              <w:adjustRightInd w:val="0"/>
              <w:spacing w:after="60"/>
              <w:ind w:left="397"/>
              <w:contextualSpacing w:val="0"/>
              <w:jc w:val="both"/>
              <w:rPr>
                <w:sz w:val="20"/>
                <w:szCs w:val="20"/>
              </w:rPr>
            </w:pPr>
          </w:p>
          <w:p w:rsidR="00676E5C" w:rsidRPr="009E1845" w:rsidRDefault="00676E5C" w:rsidP="001E32F3">
            <w:pPr>
              <w:pStyle w:val="Akapitzlist"/>
              <w:numPr>
                <w:ilvl w:val="0"/>
                <w:numId w:val="27"/>
              </w:numPr>
              <w:autoSpaceDE w:val="0"/>
              <w:autoSpaceDN w:val="0"/>
              <w:adjustRightInd w:val="0"/>
              <w:spacing w:after="60"/>
              <w:contextualSpacing w:val="0"/>
              <w:jc w:val="both"/>
              <w:rPr>
                <w:b/>
                <w:bCs/>
                <w:sz w:val="20"/>
                <w:szCs w:val="20"/>
              </w:rPr>
            </w:pPr>
            <w:r w:rsidRPr="009E1845">
              <w:rPr>
                <w:b/>
                <w:bCs/>
                <w:sz w:val="20"/>
                <w:szCs w:val="20"/>
              </w:rPr>
              <w:t xml:space="preserve">Leczenie raka nerki przy wykorzystaniu substancji czynnej </w:t>
            </w:r>
            <w:proofErr w:type="spellStart"/>
            <w:r w:rsidRPr="009E1845">
              <w:rPr>
                <w:b/>
                <w:bCs/>
                <w:sz w:val="20"/>
                <w:szCs w:val="20"/>
              </w:rPr>
              <w:t>niwolumab</w:t>
            </w:r>
            <w:proofErr w:type="spellEnd"/>
          </w:p>
          <w:p w:rsidR="00676E5C" w:rsidRPr="001E32F3" w:rsidRDefault="00676E5C" w:rsidP="001E32F3">
            <w:pPr>
              <w:pStyle w:val="Akapitzlist"/>
              <w:numPr>
                <w:ilvl w:val="1"/>
                <w:numId w:val="27"/>
              </w:numPr>
              <w:autoSpaceDE w:val="0"/>
              <w:autoSpaceDN w:val="0"/>
              <w:adjustRightInd w:val="0"/>
              <w:spacing w:after="60"/>
              <w:contextualSpacing w:val="0"/>
              <w:jc w:val="both"/>
              <w:rPr>
                <w:b/>
                <w:bCs/>
                <w:sz w:val="20"/>
                <w:szCs w:val="20"/>
              </w:rPr>
            </w:pPr>
            <w:r w:rsidRPr="001E32F3">
              <w:rPr>
                <w:b/>
                <w:bCs/>
                <w:sz w:val="20"/>
                <w:szCs w:val="20"/>
              </w:rPr>
              <w:t>Kryteria kwalifikacji</w:t>
            </w:r>
          </w:p>
          <w:p w:rsidR="00676E5C" w:rsidRPr="009E1845" w:rsidRDefault="00676E5C" w:rsidP="001E32F3">
            <w:pPr>
              <w:pStyle w:val="Akapitzlist"/>
              <w:numPr>
                <w:ilvl w:val="2"/>
                <w:numId w:val="27"/>
              </w:numPr>
              <w:autoSpaceDE w:val="0"/>
              <w:autoSpaceDN w:val="0"/>
              <w:adjustRightInd w:val="0"/>
              <w:spacing w:after="60"/>
              <w:contextualSpacing w:val="0"/>
              <w:jc w:val="both"/>
              <w:rPr>
                <w:sz w:val="20"/>
                <w:szCs w:val="20"/>
              </w:rPr>
            </w:pPr>
            <w:r w:rsidRPr="009E1845">
              <w:rPr>
                <w:sz w:val="20"/>
                <w:szCs w:val="20"/>
              </w:rPr>
              <w:t>histologicznie potwierdzone rozpoznanie raka</w:t>
            </w:r>
            <w:r w:rsidR="00F6274E" w:rsidRPr="009E1845">
              <w:rPr>
                <w:sz w:val="20"/>
                <w:szCs w:val="20"/>
              </w:rPr>
              <w:t xml:space="preserve"> </w:t>
            </w:r>
            <w:proofErr w:type="spellStart"/>
            <w:r w:rsidRPr="009E1845">
              <w:rPr>
                <w:sz w:val="20"/>
                <w:szCs w:val="20"/>
              </w:rPr>
              <w:t>nerkowokomórkowego</w:t>
            </w:r>
            <w:proofErr w:type="spellEnd"/>
            <w:r w:rsidRPr="009E1845">
              <w:rPr>
                <w:sz w:val="20"/>
                <w:szCs w:val="20"/>
              </w:rPr>
              <w:t xml:space="preserve"> z przeważającym komponentem</w:t>
            </w:r>
            <w:r w:rsidR="00F6274E" w:rsidRPr="009E1845">
              <w:rPr>
                <w:sz w:val="20"/>
                <w:szCs w:val="20"/>
              </w:rPr>
              <w:t xml:space="preserve"> </w:t>
            </w:r>
            <w:proofErr w:type="spellStart"/>
            <w:r w:rsidRPr="009E1845">
              <w:rPr>
                <w:sz w:val="20"/>
                <w:szCs w:val="20"/>
              </w:rPr>
              <w:t>jasnokomórkowym</w:t>
            </w:r>
            <w:proofErr w:type="spellEnd"/>
            <w:r w:rsidRPr="009E1845">
              <w:rPr>
                <w:sz w:val="20"/>
                <w:szCs w:val="20"/>
              </w:rPr>
              <w:t>;</w:t>
            </w:r>
          </w:p>
          <w:p w:rsidR="00676E5C" w:rsidRPr="009E1845" w:rsidRDefault="00676E5C" w:rsidP="001E32F3">
            <w:pPr>
              <w:pStyle w:val="Akapitzlist"/>
              <w:numPr>
                <w:ilvl w:val="2"/>
                <w:numId w:val="27"/>
              </w:numPr>
              <w:autoSpaceDE w:val="0"/>
              <w:autoSpaceDN w:val="0"/>
              <w:adjustRightInd w:val="0"/>
              <w:spacing w:after="60"/>
              <w:contextualSpacing w:val="0"/>
              <w:jc w:val="both"/>
              <w:rPr>
                <w:sz w:val="20"/>
                <w:szCs w:val="20"/>
              </w:rPr>
            </w:pPr>
            <w:r w:rsidRPr="009E1845">
              <w:rPr>
                <w:sz w:val="20"/>
                <w:szCs w:val="20"/>
              </w:rPr>
              <w:t>nowotwór w stadium zaawansowanym (miejscowy nawrót</w:t>
            </w:r>
            <w:r w:rsidR="00F6274E" w:rsidRPr="009E1845">
              <w:rPr>
                <w:sz w:val="20"/>
                <w:szCs w:val="20"/>
              </w:rPr>
              <w:t xml:space="preserve"> </w:t>
            </w:r>
            <w:r w:rsidRPr="009E1845">
              <w:rPr>
                <w:sz w:val="20"/>
                <w:szCs w:val="20"/>
              </w:rPr>
              <w:t>lub przerzuty odległe), który nie kwalifikuje się do leczenia</w:t>
            </w:r>
            <w:r w:rsidR="00F6274E" w:rsidRPr="009E1845">
              <w:rPr>
                <w:sz w:val="20"/>
                <w:szCs w:val="20"/>
              </w:rPr>
              <w:t xml:space="preserve"> </w:t>
            </w:r>
            <w:r w:rsidRPr="009E1845">
              <w:rPr>
                <w:sz w:val="20"/>
                <w:szCs w:val="20"/>
              </w:rPr>
              <w:t>miejscowego;</w:t>
            </w:r>
          </w:p>
          <w:p w:rsidR="00676E5C" w:rsidRPr="009E1845" w:rsidRDefault="00676E5C" w:rsidP="001E32F3">
            <w:pPr>
              <w:pStyle w:val="Akapitzlist"/>
              <w:numPr>
                <w:ilvl w:val="2"/>
                <w:numId w:val="27"/>
              </w:numPr>
              <w:autoSpaceDE w:val="0"/>
              <w:autoSpaceDN w:val="0"/>
              <w:adjustRightInd w:val="0"/>
              <w:spacing w:after="60"/>
              <w:contextualSpacing w:val="0"/>
              <w:jc w:val="both"/>
              <w:rPr>
                <w:sz w:val="20"/>
                <w:szCs w:val="20"/>
              </w:rPr>
            </w:pPr>
            <w:r w:rsidRPr="009E1845">
              <w:rPr>
                <w:sz w:val="20"/>
                <w:szCs w:val="20"/>
              </w:rPr>
              <w:t>udokumentowane niepowodzenie wcześniejszego leczenia</w:t>
            </w:r>
            <w:r w:rsidR="00F6274E" w:rsidRPr="009E1845">
              <w:rPr>
                <w:sz w:val="20"/>
                <w:szCs w:val="20"/>
              </w:rPr>
              <w:t xml:space="preserve"> </w:t>
            </w:r>
            <w:r w:rsidRPr="009E1845">
              <w:rPr>
                <w:sz w:val="20"/>
                <w:szCs w:val="20"/>
              </w:rPr>
              <w:t xml:space="preserve">antyangiogennego </w:t>
            </w:r>
            <w:r w:rsidR="000E47E8" w:rsidRPr="009E1845">
              <w:rPr>
                <w:sz w:val="20"/>
                <w:szCs w:val="20"/>
              </w:rPr>
              <w:t xml:space="preserve">z wykorzystaniem </w:t>
            </w:r>
            <w:proofErr w:type="spellStart"/>
            <w:r w:rsidR="000E47E8" w:rsidRPr="009E1845">
              <w:rPr>
                <w:sz w:val="20"/>
                <w:szCs w:val="20"/>
              </w:rPr>
              <w:t>wielokinazowych</w:t>
            </w:r>
            <w:proofErr w:type="spellEnd"/>
            <w:r w:rsidR="000E47E8" w:rsidRPr="009E1845">
              <w:rPr>
                <w:sz w:val="20"/>
                <w:szCs w:val="20"/>
              </w:rPr>
              <w:t xml:space="preserve"> inhibitorów (</w:t>
            </w:r>
            <w:proofErr w:type="spellStart"/>
            <w:r w:rsidR="000E47E8" w:rsidRPr="009E1845">
              <w:rPr>
                <w:sz w:val="20"/>
                <w:szCs w:val="20"/>
              </w:rPr>
              <w:t>sunitynib</w:t>
            </w:r>
            <w:proofErr w:type="spellEnd"/>
            <w:r w:rsidR="000E47E8" w:rsidRPr="009E1845">
              <w:rPr>
                <w:sz w:val="20"/>
                <w:szCs w:val="20"/>
              </w:rPr>
              <w:t xml:space="preserve">, </w:t>
            </w:r>
            <w:proofErr w:type="spellStart"/>
            <w:r w:rsidR="000E47E8" w:rsidRPr="009E1845">
              <w:rPr>
                <w:sz w:val="20"/>
                <w:szCs w:val="20"/>
              </w:rPr>
              <w:t>pazopanib</w:t>
            </w:r>
            <w:proofErr w:type="spellEnd"/>
            <w:r w:rsidR="000E47E8" w:rsidRPr="009E1845">
              <w:rPr>
                <w:sz w:val="20"/>
                <w:szCs w:val="20"/>
              </w:rPr>
              <w:t xml:space="preserve">, </w:t>
            </w:r>
            <w:proofErr w:type="spellStart"/>
            <w:r w:rsidR="000E47E8" w:rsidRPr="009E1845">
              <w:rPr>
                <w:sz w:val="20"/>
                <w:szCs w:val="20"/>
              </w:rPr>
              <w:t>sorafenib</w:t>
            </w:r>
            <w:proofErr w:type="spellEnd"/>
            <w:r w:rsidR="000E47E8" w:rsidRPr="009E1845">
              <w:rPr>
                <w:sz w:val="20"/>
                <w:szCs w:val="20"/>
              </w:rPr>
              <w:t>)</w:t>
            </w:r>
            <w:r w:rsidR="00AD7202" w:rsidRPr="009E1845">
              <w:rPr>
                <w:sz w:val="20"/>
                <w:szCs w:val="20"/>
              </w:rPr>
              <w:t xml:space="preserve"> stosowanego jako jedyne leczenie albo jako leczenie poprzedzone wcześniejszą immunoterapią </w:t>
            </w:r>
            <w:proofErr w:type="spellStart"/>
            <w:r w:rsidR="00AD7202" w:rsidRPr="009E1845">
              <w:rPr>
                <w:sz w:val="20"/>
                <w:szCs w:val="20"/>
              </w:rPr>
              <w:t>cytokiną</w:t>
            </w:r>
            <w:proofErr w:type="spellEnd"/>
            <w:r w:rsidRPr="009E1845">
              <w:rPr>
                <w:sz w:val="20"/>
                <w:szCs w:val="20"/>
              </w:rPr>
              <w:t>;</w:t>
            </w:r>
          </w:p>
          <w:p w:rsidR="0034145D" w:rsidRPr="009E1845" w:rsidRDefault="0034145D" w:rsidP="001E32F3">
            <w:pPr>
              <w:pStyle w:val="Akapitzlist"/>
              <w:numPr>
                <w:ilvl w:val="2"/>
                <w:numId w:val="27"/>
              </w:numPr>
              <w:autoSpaceDE w:val="0"/>
              <w:autoSpaceDN w:val="0"/>
              <w:adjustRightInd w:val="0"/>
              <w:spacing w:after="60"/>
              <w:contextualSpacing w:val="0"/>
              <w:jc w:val="both"/>
              <w:rPr>
                <w:sz w:val="20"/>
                <w:szCs w:val="20"/>
              </w:rPr>
            </w:pPr>
            <w:r w:rsidRPr="009E1845">
              <w:rPr>
                <w:sz w:val="20"/>
                <w:szCs w:val="20"/>
              </w:rPr>
              <w:t>uprzednie wykonanie nefrektomii (radykalnej lub oszczędzającej);</w:t>
            </w:r>
          </w:p>
          <w:p w:rsidR="00676E5C" w:rsidRPr="009E1845" w:rsidRDefault="00676E5C" w:rsidP="001E32F3">
            <w:pPr>
              <w:pStyle w:val="Akapitzlist"/>
              <w:numPr>
                <w:ilvl w:val="2"/>
                <w:numId w:val="27"/>
              </w:numPr>
              <w:autoSpaceDE w:val="0"/>
              <w:autoSpaceDN w:val="0"/>
              <w:adjustRightInd w:val="0"/>
              <w:spacing w:after="60"/>
              <w:contextualSpacing w:val="0"/>
              <w:jc w:val="both"/>
              <w:rPr>
                <w:sz w:val="20"/>
                <w:szCs w:val="20"/>
              </w:rPr>
            </w:pPr>
            <w:r w:rsidRPr="009E1845">
              <w:rPr>
                <w:sz w:val="20"/>
                <w:szCs w:val="20"/>
              </w:rPr>
              <w:t>zmiany możliwe do oceny według systemu odpowiedzi</w:t>
            </w:r>
            <w:r w:rsidR="00F6274E" w:rsidRPr="009E1845">
              <w:rPr>
                <w:sz w:val="20"/>
                <w:szCs w:val="20"/>
              </w:rPr>
              <w:t xml:space="preserve"> </w:t>
            </w:r>
            <w:r w:rsidRPr="009E1845">
              <w:rPr>
                <w:sz w:val="20"/>
                <w:szCs w:val="20"/>
              </w:rPr>
              <w:t>RECIST 1.1;</w:t>
            </w:r>
          </w:p>
          <w:p w:rsidR="00676E5C" w:rsidRPr="009E1845" w:rsidRDefault="00676E5C" w:rsidP="001E32F3">
            <w:pPr>
              <w:pStyle w:val="Akapitzlist"/>
              <w:numPr>
                <w:ilvl w:val="2"/>
                <w:numId w:val="27"/>
              </w:numPr>
              <w:autoSpaceDE w:val="0"/>
              <w:autoSpaceDN w:val="0"/>
              <w:adjustRightInd w:val="0"/>
              <w:spacing w:after="60"/>
              <w:contextualSpacing w:val="0"/>
              <w:jc w:val="both"/>
              <w:rPr>
                <w:sz w:val="20"/>
                <w:szCs w:val="20"/>
              </w:rPr>
            </w:pPr>
            <w:r w:rsidRPr="009E1845">
              <w:rPr>
                <w:sz w:val="20"/>
                <w:szCs w:val="20"/>
              </w:rPr>
              <w:t>nieobecność przerzutów w ośrodkowym układzie</w:t>
            </w:r>
            <w:r w:rsidR="00F6274E" w:rsidRPr="009E1845">
              <w:rPr>
                <w:sz w:val="20"/>
                <w:szCs w:val="20"/>
              </w:rPr>
              <w:t xml:space="preserve"> </w:t>
            </w:r>
            <w:r w:rsidRPr="009E1845">
              <w:rPr>
                <w:sz w:val="20"/>
                <w:szCs w:val="20"/>
              </w:rPr>
              <w:t>nerwowym (dopuszczalne wcześniejsze radykalne leczenie,</w:t>
            </w:r>
            <w:r w:rsidR="00F6274E" w:rsidRPr="009E1845">
              <w:rPr>
                <w:sz w:val="20"/>
                <w:szCs w:val="20"/>
              </w:rPr>
              <w:t xml:space="preserve"> </w:t>
            </w:r>
            <w:r w:rsidRPr="009E1845">
              <w:rPr>
                <w:sz w:val="20"/>
                <w:szCs w:val="20"/>
              </w:rPr>
              <w:t>o ile utrzymuje się stan bezobjawowy);</w:t>
            </w:r>
          </w:p>
          <w:p w:rsidR="00676E5C" w:rsidRPr="009E1845" w:rsidRDefault="00676E5C" w:rsidP="001E32F3">
            <w:pPr>
              <w:pStyle w:val="Akapitzlist"/>
              <w:numPr>
                <w:ilvl w:val="2"/>
                <w:numId w:val="27"/>
              </w:numPr>
              <w:autoSpaceDE w:val="0"/>
              <w:autoSpaceDN w:val="0"/>
              <w:adjustRightInd w:val="0"/>
              <w:spacing w:after="60"/>
              <w:contextualSpacing w:val="0"/>
              <w:jc w:val="both"/>
              <w:rPr>
                <w:sz w:val="20"/>
                <w:szCs w:val="20"/>
              </w:rPr>
            </w:pPr>
            <w:r w:rsidRPr="009E1845">
              <w:rPr>
                <w:sz w:val="20"/>
                <w:szCs w:val="20"/>
              </w:rPr>
              <w:lastRenderedPageBreak/>
              <w:t xml:space="preserve">stan sprawności 80-100 wg skali </w:t>
            </w:r>
            <w:proofErr w:type="spellStart"/>
            <w:r w:rsidRPr="009E1845">
              <w:rPr>
                <w:sz w:val="20"/>
                <w:szCs w:val="20"/>
              </w:rPr>
              <w:t>Karnofsky'ego</w:t>
            </w:r>
            <w:proofErr w:type="spellEnd"/>
            <w:r w:rsidRPr="009E1845">
              <w:rPr>
                <w:sz w:val="20"/>
                <w:szCs w:val="20"/>
              </w:rPr>
              <w:t>;</w:t>
            </w:r>
          </w:p>
          <w:p w:rsidR="00676E5C" w:rsidRPr="009E1845" w:rsidRDefault="00676E5C" w:rsidP="001E32F3">
            <w:pPr>
              <w:pStyle w:val="Akapitzlist"/>
              <w:numPr>
                <w:ilvl w:val="2"/>
                <w:numId w:val="27"/>
              </w:numPr>
              <w:autoSpaceDE w:val="0"/>
              <w:autoSpaceDN w:val="0"/>
              <w:adjustRightInd w:val="0"/>
              <w:spacing w:after="60"/>
              <w:contextualSpacing w:val="0"/>
              <w:jc w:val="both"/>
              <w:rPr>
                <w:sz w:val="20"/>
                <w:szCs w:val="20"/>
              </w:rPr>
            </w:pPr>
            <w:r w:rsidRPr="009E1845">
              <w:rPr>
                <w:sz w:val="20"/>
                <w:szCs w:val="20"/>
              </w:rPr>
              <w:t>wykluczenie ciąży i okresu karmienia piersią;</w:t>
            </w:r>
          </w:p>
          <w:p w:rsidR="00676E5C" w:rsidRPr="009E1845" w:rsidRDefault="00676E5C" w:rsidP="001E32F3">
            <w:pPr>
              <w:pStyle w:val="Akapitzlist"/>
              <w:numPr>
                <w:ilvl w:val="2"/>
                <w:numId w:val="27"/>
              </w:numPr>
              <w:autoSpaceDE w:val="0"/>
              <w:autoSpaceDN w:val="0"/>
              <w:adjustRightInd w:val="0"/>
              <w:spacing w:after="60"/>
              <w:contextualSpacing w:val="0"/>
              <w:jc w:val="both"/>
              <w:rPr>
                <w:sz w:val="20"/>
                <w:szCs w:val="20"/>
              </w:rPr>
            </w:pPr>
            <w:r w:rsidRPr="009E1845">
              <w:rPr>
                <w:sz w:val="20"/>
                <w:szCs w:val="20"/>
              </w:rPr>
              <w:t>nieobecność aktywnych chorób autoimmunologicznych z wyłączeniem bielactwa, cukrzycy typu 1, niedoczynności</w:t>
            </w:r>
            <w:r w:rsidR="00F6274E" w:rsidRPr="009E1845">
              <w:rPr>
                <w:sz w:val="20"/>
                <w:szCs w:val="20"/>
              </w:rPr>
              <w:t xml:space="preserve"> </w:t>
            </w:r>
            <w:r w:rsidRPr="009E1845">
              <w:rPr>
                <w:sz w:val="20"/>
                <w:szCs w:val="20"/>
              </w:rPr>
              <w:t>tarczycy (leczonej wyłącznie suplementacją hormonalną),</w:t>
            </w:r>
            <w:r w:rsidR="00F6274E" w:rsidRPr="009E1845">
              <w:rPr>
                <w:sz w:val="20"/>
                <w:szCs w:val="20"/>
              </w:rPr>
              <w:t xml:space="preserve"> </w:t>
            </w:r>
            <w:r w:rsidRPr="009E1845">
              <w:rPr>
                <w:sz w:val="20"/>
                <w:szCs w:val="20"/>
              </w:rPr>
              <w:t xml:space="preserve">łuszczycy niewymagającej leczenia systemowego, </w:t>
            </w:r>
          </w:p>
          <w:p w:rsidR="00676E5C" w:rsidRPr="009E1845" w:rsidRDefault="00676E5C" w:rsidP="001E32F3">
            <w:pPr>
              <w:pStyle w:val="Akapitzlist"/>
              <w:numPr>
                <w:ilvl w:val="2"/>
                <w:numId w:val="27"/>
              </w:numPr>
              <w:autoSpaceDE w:val="0"/>
              <w:autoSpaceDN w:val="0"/>
              <w:adjustRightInd w:val="0"/>
              <w:spacing w:after="60"/>
              <w:contextualSpacing w:val="0"/>
              <w:jc w:val="both"/>
              <w:rPr>
                <w:sz w:val="20"/>
                <w:szCs w:val="20"/>
              </w:rPr>
            </w:pPr>
            <w:r w:rsidRPr="009E1845">
              <w:rPr>
                <w:sz w:val="20"/>
                <w:szCs w:val="20"/>
              </w:rPr>
              <w:t>niestosowanie systemowe leków steroidowych (w dawce</w:t>
            </w:r>
            <w:r w:rsidR="00F6274E" w:rsidRPr="009E1845">
              <w:rPr>
                <w:sz w:val="20"/>
                <w:szCs w:val="20"/>
              </w:rPr>
              <w:t xml:space="preserve"> </w:t>
            </w:r>
            <w:r w:rsidRPr="009E1845">
              <w:rPr>
                <w:sz w:val="20"/>
                <w:szCs w:val="20"/>
              </w:rPr>
              <w:t xml:space="preserve">przekraczającej 10 mg </w:t>
            </w:r>
            <w:proofErr w:type="spellStart"/>
            <w:r w:rsidRPr="009E1845">
              <w:rPr>
                <w:sz w:val="20"/>
                <w:szCs w:val="20"/>
              </w:rPr>
              <w:t>prednizonu</w:t>
            </w:r>
            <w:proofErr w:type="spellEnd"/>
            <w:r w:rsidRPr="009E1845">
              <w:rPr>
                <w:sz w:val="20"/>
                <w:szCs w:val="20"/>
              </w:rPr>
              <w:t xml:space="preserve"> na dobę lub</w:t>
            </w:r>
            <w:r w:rsidRPr="001E32F3">
              <w:rPr>
                <w:sz w:val="20"/>
                <w:szCs w:val="20"/>
              </w:rPr>
              <w:t xml:space="preserve"> </w:t>
            </w:r>
            <w:r w:rsidRPr="009E1845">
              <w:rPr>
                <w:sz w:val="20"/>
                <w:szCs w:val="20"/>
              </w:rPr>
              <w:t>równoważnej dawki innego leku steroidowego) lub leków</w:t>
            </w:r>
            <w:r w:rsidR="00F6274E" w:rsidRPr="009E1845">
              <w:rPr>
                <w:sz w:val="20"/>
                <w:szCs w:val="20"/>
              </w:rPr>
              <w:t xml:space="preserve"> </w:t>
            </w:r>
            <w:r w:rsidRPr="009E1845">
              <w:rPr>
                <w:sz w:val="20"/>
                <w:szCs w:val="20"/>
              </w:rPr>
              <w:t>immunosupresyjnych w ciągu ostatnich 14 dni przed</w:t>
            </w:r>
            <w:r w:rsidR="00F6274E" w:rsidRPr="009E1845">
              <w:rPr>
                <w:sz w:val="20"/>
                <w:szCs w:val="20"/>
              </w:rPr>
              <w:t xml:space="preserve"> </w:t>
            </w:r>
            <w:r w:rsidRPr="009E1845">
              <w:rPr>
                <w:sz w:val="20"/>
                <w:szCs w:val="20"/>
              </w:rPr>
              <w:t xml:space="preserve">rozpoczęciem leczenia </w:t>
            </w:r>
            <w:proofErr w:type="spellStart"/>
            <w:r w:rsidRPr="009E1845">
              <w:rPr>
                <w:sz w:val="20"/>
                <w:szCs w:val="20"/>
              </w:rPr>
              <w:t>niwolumabem</w:t>
            </w:r>
            <w:proofErr w:type="spellEnd"/>
            <w:r w:rsidRPr="009E1845">
              <w:rPr>
                <w:sz w:val="20"/>
                <w:szCs w:val="20"/>
              </w:rPr>
              <w:t xml:space="preserve"> (steroidy wziewne są</w:t>
            </w:r>
            <w:r w:rsidR="00F6274E" w:rsidRPr="009E1845">
              <w:rPr>
                <w:sz w:val="20"/>
                <w:szCs w:val="20"/>
              </w:rPr>
              <w:t xml:space="preserve"> </w:t>
            </w:r>
            <w:r w:rsidRPr="009E1845">
              <w:rPr>
                <w:sz w:val="20"/>
                <w:szCs w:val="20"/>
              </w:rPr>
              <w:t>dozwolone);</w:t>
            </w:r>
          </w:p>
          <w:p w:rsidR="00676E5C" w:rsidRPr="009E1845" w:rsidRDefault="00676E5C" w:rsidP="001E32F3">
            <w:pPr>
              <w:pStyle w:val="Akapitzlist"/>
              <w:numPr>
                <w:ilvl w:val="2"/>
                <w:numId w:val="27"/>
              </w:numPr>
              <w:autoSpaceDE w:val="0"/>
              <w:autoSpaceDN w:val="0"/>
              <w:adjustRightInd w:val="0"/>
              <w:spacing w:after="60"/>
              <w:contextualSpacing w:val="0"/>
              <w:jc w:val="both"/>
              <w:rPr>
                <w:sz w:val="20"/>
                <w:szCs w:val="20"/>
              </w:rPr>
            </w:pPr>
            <w:r w:rsidRPr="009E1845">
              <w:rPr>
                <w:sz w:val="20"/>
                <w:szCs w:val="20"/>
              </w:rPr>
              <w:t>wykluczenie współwystępowania innych nowotworów</w:t>
            </w:r>
            <w:r w:rsidR="00F6274E" w:rsidRPr="009E1845">
              <w:rPr>
                <w:sz w:val="20"/>
                <w:szCs w:val="20"/>
              </w:rPr>
              <w:t xml:space="preserve"> </w:t>
            </w:r>
            <w:r w:rsidRPr="009E1845">
              <w:rPr>
                <w:sz w:val="20"/>
                <w:szCs w:val="20"/>
              </w:rPr>
              <w:t>złośliwych leczonych z założeniem paliatywnym</w:t>
            </w:r>
            <w:r w:rsidR="00F6274E" w:rsidRPr="009E1845">
              <w:rPr>
                <w:sz w:val="20"/>
                <w:szCs w:val="20"/>
              </w:rPr>
              <w:t xml:space="preserve"> </w:t>
            </w:r>
            <w:r w:rsidRPr="009E1845">
              <w:rPr>
                <w:sz w:val="20"/>
                <w:szCs w:val="20"/>
              </w:rPr>
              <w:t>(niezależnie od uzyskanej odpowiedzi) oraz nieuzyskanie</w:t>
            </w:r>
            <w:r w:rsidR="00F6274E" w:rsidRPr="009E1845">
              <w:rPr>
                <w:sz w:val="20"/>
                <w:szCs w:val="20"/>
              </w:rPr>
              <w:t xml:space="preserve"> </w:t>
            </w:r>
            <w:r w:rsidRPr="009E1845">
              <w:rPr>
                <w:sz w:val="20"/>
                <w:szCs w:val="20"/>
              </w:rPr>
              <w:t>całkowitej odpowiedzi w przypadku nowotworów</w:t>
            </w:r>
            <w:r w:rsidR="00F6274E" w:rsidRPr="009E1845">
              <w:rPr>
                <w:sz w:val="20"/>
                <w:szCs w:val="20"/>
              </w:rPr>
              <w:t xml:space="preserve"> </w:t>
            </w:r>
            <w:r w:rsidRPr="009E1845">
              <w:rPr>
                <w:sz w:val="20"/>
                <w:szCs w:val="20"/>
              </w:rPr>
              <w:t>leczonych z założeniem radykalnym;</w:t>
            </w:r>
          </w:p>
          <w:p w:rsidR="00676E5C" w:rsidRPr="009E1845" w:rsidRDefault="00676E5C" w:rsidP="001E32F3">
            <w:pPr>
              <w:pStyle w:val="Akapitzlist"/>
              <w:numPr>
                <w:ilvl w:val="2"/>
                <w:numId w:val="27"/>
              </w:numPr>
              <w:autoSpaceDE w:val="0"/>
              <w:autoSpaceDN w:val="0"/>
              <w:adjustRightInd w:val="0"/>
              <w:spacing w:after="60"/>
              <w:contextualSpacing w:val="0"/>
              <w:jc w:val="both"/>
              <w:rPr>
                <w:sz w:val="20"/>
                <w:szCs w:val="20"/>
              </w:rPr>
            </w:pPr>
            <w:r w:rsidRPr="009E1845">
              <w:rPr>
                <w:sz w:val="20"/>
                <w:szCs w:val="20"/>
              </w:rPr>
              <w:t xml:space="preserve">negatywny wywiad w kierunku </w:t>
            </w:r>
            <w:r w:rsidRPr="001E32F3">
              <w:rPr>
                <w:sz w:val="20"/>
                <w:szCs w:val="20"/>
              </w:rPr>
              <w:t xml:space="preserve">HIV </w:t>
            </w:r>
            <w:r w:rsidRPr="009E1845">
              <w:rPr>
                <w:sz w:val="20"/>
                <w:szCs w:val="20"/>
              </w:rPr>
              <w:t>lub AIDS;</w:t>
            </w:r>
          </w:p>
          <w:p w:rsidR="00676E5C" w:rsidRPr="009E1845" w:rsidRDefault="00676E5C" w:rsidP="001E32F3">
            <w:pPr>
              <w:pStyle w:val="Akapitzlist"/>
              <w:numPr>
                <w:ilvl w:val="2"/>
                <w:numId w:val="27"/>
              </w:numPr>
              <w:autoSpaceDE w:val="0"/>
              <w:autoSpaceDN w:val="0"/>
              <w:adjustRightInd w:val="0"/>
              <w:spacing w:after="60"/>
              <w:contextualSpacing w:val="0"/>
              <w:jc w:val="both"/>
              <w:rPr>
                <w:sz w:val="20"/>
                <w:szCs w:val="20"/>
              </w:rPr>
            </w:pPr>
            <w:r w:rsidRPr="009E1845">
              <w:rPr>
                <w:sz w:val="20"/>
                <w:szCs w:val="20"/>
              </w:rPr>
              <w:t>nieobecność ostrych stanów zapalnych wątroby;</w:t>
            </w:r>
          </w:p>
          <w:p w:rsidR="00676E5C" w:rsidRPr="009E1845" w:rsidRDefault="00676E5C" w:rsidP="001E32F3">
            <w:pPr>
              <w:pStyle w:val="Akapitzlist"/>
              <w:numPr>
                <w:ilvl w:val="2"/>
                <w:numId w:val="27"/>
              </w:numPr>
              <w:autoSpaceDE w:val="0"/>
              <w:autoSpaceDN w:val="0"/>
              <w:adjustRightInd w:val="0"/>
              <w:spacing w:after="60"/>
              <w:contextualSpacing w:val="0"/>
              <w:jc w:val="both"/>
              <w:rPr>
                <w:sz w:val="20"/>
                <w:szCs w:val="20"/>
              </w:rPr>
            </w:pPr>
            <w:r w:rsidRPr="009E1845">
              <w:rPr>
                <w:sz w:val="20"/>
                <w:szCs w:val="20"/>
              </w:rPr>
              <w:t>nieobecność przewlekłych stanów zapalnych wątroby,</w:t>
            </w:r>
            <w:r w:rsidR="00F6274E" w:rsidRPr="009E1845">
              <w:rPr>
                <w:sz w:val="20"/>
                <w:szCs w:val="20"/>
              </w:rPr>
              <w:t xml:space="preserve"> </w:t>
            </w:r>
            <w:r w:rsidRPr="009E1845">
              <w:rPr>
                <w:sz w:val="20"/>
                <w:szCs w:val="20"/>
              </w:rPr>
              <w:t>które w opinii lekarza mogą zagrażać bezpieczeństwu</w:t>
            </w:r>
            <w:r w:rsidR="00F6274E" w:rsidRPr="009E1845">
              <w:rPr>
                <w:sz w:val="20"/>
                <w:szCs w:val="20"/>
              </w:rPr>
              <w:t xml:space="preserve"> </w:t>
            </w:r>
            <w:r w:rsidRPr="009E1845">
              <w:rPr>
                <w:sz w:val="20"/>
                <w:szCs w:val="20"/>
              </w:rPr>
              <w:t xml:space="preserve">terapii </w:t>
            </w:r>
            <w:proofErr w:type="spellStart"/>
            <w:r w:rsidRPr="009E1845">
              <w:rPr>
                <w:sz w:val="20"/>
                <w:szCs w:val="20"/>
              </w:rPr>
              <w:t>niwolumabem</w:t>
            </w:r>
            <w:proofErr w:type="spellEnd"/>
            <w:r w:rsidRPr="009E1845">
              <w:rPr>
                <w:sz w:val="20"/>
                <w:szCs w:val="20"/>
              </w:rPr>
              <w:t>;</w:t>
            </w:r>
          </w:p>
          <w:p w:rsidR="00676E5C" w:rsidRPr="009E1845" w:rsidRDefault="00676E5C" w:rsidP="001E32F3">
            <w:pPr>
              <w:pStyle w:val="Akapitzlist"/>
              <w:numPr>
                <w:ilvl w:val="2"/>
                <w:numId w:val="27"/>
              </w:numPr>
              <w:autoSpaceDE w:val="0"/>
              <w:autoSpaceDN w:val="0"/>
              <w:adjustRightInd w:val="0"/>
              <w:spacing w:after="60"/>
              <w:contextualSpacing w:val="0"/>
              <w:jc w:val="both"/>
              <w:rPr>
                <w:sz w:val="20"/>
                <w:szCs w:val="20"/>
              </w:rPr>
            </w:pPr>
            <w:r w:rsidRPr="009E1845">
              <w:rPr>
                <w:sz w:val="20"/>
                <w:szCs w:val="20"/>
              </w:rPr>
              <w:t>nieobecność innych aktywnych schorzeń, które w opinii</w:t>
            </w:r>
            <w:r w:rsidR="00F6274E" w:rsidRPr="009E1845">
              <w:rPr>
                <w:sz w:val="20"/>
                <w:szCs w:val="20"/>
              </w:rPr>
              <w:t xml:space="preserve"> </w:t>
            </w:r>
            <w:r w:rsidRPr="009E1845">
              <w:rPr>
                <w:sz w:val="20"/>
                <w:szCs w:val="20"/>
              </w:rPr>
              <w:t>lekarza mogłyby maskować działania niepożądane</w:t>
            </w:r>
            <w:r w:rsidR="00F6274E" w:rsidRPr="009E1845">
              <w:rPr>
                <w:sz w:val="20"/>
                <w:szCs w:val="20"/>
              </w:rPr>
              <w:t xml:space="preserve"> </w:t>
            </w:r>
            <w:proofErr w:type="spellStart"/>
            <w:r w:rsidRPr="009E1845">
              <w:rPr>
                <w:sz w:val="20"/>
                <w:szCs w:val="20"/>
              </w:rPr>
              <w:t>niwolumabu</w:t>
            </w:r>
            <w:proofErr w:type="spellEnd"/>
            <w:r w:rsidRPr="009E1845">
              <w:rPr>
                <w:sz w:val="20"/>
                <w:szCs w:val="20"/>
              </w:rPr>
              <w:t>, jak np. przewlekłe biegunki, ostre zapalenie</w:t>
            </w:r>
            <w:r w:rsidR="00F6274E" w:rsidRPr="009E1845">
              <w:rPr>
                <w:sz w:val="20"/>
                <w:szCs w:val="20"/>
              </w:rPr>
              <w:t xml:space="preserve"> </w:t>
            </w:r>
            <w:r w:rsidRPr="009E1845">
              <w:rPr>
                <w:sz w:val="20"/>
                <w:szCs w:val="20"/>
              </w:rPr>
              <w:t>uchyłków, przewlekłe zapalenie uchyłków w wywiadzie;</w:t>
            </w:r>
          </w:p>
          <w:p w:rsidR="00676E5C" w:rsidRPr="009E1845" w:rsidRDefault="00676E5C" w:rsidP="001E32F3">
            <w:pPr>
              <w:pStyle w:val="Akapitzlist"/>
              <w:numPr>
                <w:ilvl w:val="2"/>
                <w:numId w:val="27"/>
              </w:numPr>
              <w:autoSpaceDE w:val="0"/>
              <w:autoSpaceDN w:val="0"/>
              <w:adjustRightInd w:val="0"/>
              <w:spacing w:after="60"/>
              <w:contextualSpacing w:val="0"/>
              <w:jc w:val="both"/>
              <w:rPr>
                <w:sz w:val="20"/>
                <w:szCs w:val="20"/>
              </w:rPr>
            </w:pPr>
            <w:r w:rsidRPr="009E1845">
              <w:rPr>
                <w:sz w:val="20"/>
                <w:szCs w:val="20"/>
              </w:rPr>
              <w:t>nieobecność istotnych klinicznie objawów toksyczności</w:t>
            </w:r>
            <w:r w:rsidR="00F6274E" w:rsidRPr="009E1845">
              <w:rPr>
                <w:sz w:val="20"/>
                <w:szCs w:val="20"/>
              </w:rPr>
              <w:t xml:space="preserve"> </w:t>
            </w:r>
            <w:r w:rsidRPr="009E1845">
              <w:rPr>
                <w:sz w:val="20"/>
                <w:szCs w:val="20"/>
              </w:rPr>
              <w:t>związanych z uprzednio stosowaną terapią</w:t>
            </w:r>
            <w:r w:rsidR="00F6274E" w:rsidRPr="009E1845">
              <w:rPr>
                <w:sz w:val="20"/>
                <w:szCs w:val="20"/>
              </w:rPr>
              <w:t xml:space="preserve"> </w:t>
            </w:r>
            <w:r w:rsidRPr="009E1845">
              <w:rPr>
                <w:sz w:val="20"/>
                <w:szCs w:val="20"/>
              </w:rPr>
              <w:t>przeciwnowotworową;</w:t>
            </w:r>
          </w:p>
          <w:p w:rsidR="00676E5C" w:rsidRPr="009E1845" w:rsidRDefault="00676E5C" w:rsidP="001E32F3">
            <w:pPr>
              <w:pStyle w:val="Akapitzlist"/>
              <w:numPr>
                <w:ilvl w:val="2"/>
                <w:numId w:val="27"/>
              </w:numPr>
              <w:autoSpaceDE w:val="0"/>
              <w:autoSpaceDN w:val="0"/>
              <w:adjustRightInd w:val="0"/>
              <w:spacing w:after="60"/>
              <w:contextualSpacing w:val="0"/>
              <w:jc w:val="both"/>
              <w:rPr>
                <w:sz w:val="20"/>
                <w:szCs w:val="20"/>
              </w:rPr>
            </w:pPr>
            <w:r w:rsidRPr="009E1845">
              <w:rPr>
                <w:sz w:val="20"/>
                <w:szCs w:val="20"/>
              </w:rPr>
              <w:t>adekwatna wydolność narządowa określona na podstawie</w:t>
            </w:r>
            <w:r w:rsidR="00F6274E" w:rsidRPr="009E1845">
              <w:rPr>
                <w:sz w:val="20"/>
                <w:szCs w:val="20"/>
              </w:rPr>
              <w:t xml:space="preserve"> </w:t>
            </w:r>
            <w:r w:rsidRPr="009E1845">
              <w:rPr>
                <w:sz w:val="20"/>
                <w:szCs w:val="20"/>
              </w:rPr>
              <w:t>badań laboratoryjnych krwi:</w:t>
            </w:r>
          </w:p>
          <w:p w:rsidR="00676E5C" w:rsidRPr="009E1845" w:rsidRDefault="00676E5C" w:rsidP="001E32F3">
            <w:pPr>
              <w:pStyle w:val="Akapitzlist"/>
              <w:numPr>
                <w:ilvl w:val="3"/>
                <w:numId w:val="27"/>
              </w:numPr>
              <w:autoSpaceDE w:val="0"/>
              <w:autoSpaceDN w:val="0"/>
              <w:adjustRightInd w:val="0"/>
              <w:spacing w:after="60"/>
              <w:contextualSpacing w:val="0"/>
              <w:jc w:val="both"/>
              <w:rPr>
                <w:sz w:val="20"/>
                <w:szCs w:val="20"/>
              </w:rPr>
            </w:pPr>
            <w:r w:rsidRPr="009E1845">
              <w:rPr>
                <w:sz w:val="20"/>
                <w:szCs w:val="20"/>
              </w:rPr>
              <w:t>wyniki badań czynności wątroby:</w:t>
            </w:r>
          </w:p>
          <w:p w:rsidR="00676E5C" w:rsidRPr="009E1845" w:rsidRDefault="00676E5C" w:rsidP="001E32F3">
            <w:pPr>
              <w:pStyle w:val="Akapitzlist"/>
              <w:numPr>
                <w:ilvl w:val="4"/>
                <w:numId w:val="27"/>
              </w:numPr>
              <w:autoSpaceDE w:val="0"/>
              <w:autoSpaceDN w:val="0"/>
              <w:adjustRightInd w:val="0"/>
              <w:spacing w:after="60"/>
              <w:contextualSpacing w:val="0"/>
              <w:jc w:val="both"/>
              <w:rPr>
                <w:sz w:val="20"/>
                <w:szCs w:val="20"/>
              </w:rPr>
            </w:pPr>
            <w:r w:rsidRPr="009E1845">
              <w:rPr>
                <w:sz w:val="20"/>
                <w:szCs w:val="20"/>
              </w:rPr>
              <w:t>stężenie bilirubiny całkowitej nieprzekraczające 1,5-</w:t>
            </w:r>
            <w:r w:rsidR="00F6274E" w:rsidRPr="009E1845">
              <w:rPr>
                <w:sz w:val="20"/>
                <w:szCs w:val="20"/>
              </w:rPr>
              <w:t xml:space="preserve"> </w:t>
            </w:r>
            <w:r w:rsidRPr="009E1845">
              <w:rPr>
                <w:sz w:val="20"/>
                <w:szCs w:val="20"/>
              </w:rPr>
              <w:t>krotnie górnej granicy normy (z wyjątkiem pacjentów z</w:t>
            </w:r>
            <w:r w:rsidR="00F6274E" w:rsidRPr="009E1845">
              <w:rPr>
                <w:sz w:val="20"/>
                <w:szCs w:val="20"/>
              </w:rPr>
              <w:t> </w:t>
            </w:r>
            <w:r w:rsidRPr="009E1845">
              <w:rPr>
                <w:sz w:val="20"/>
                <w:szCs w:val="20"/>
              </w:rPr>
              <w:t>zespołem Gilberta),</w:t>
            </w:r>
          </w:p>
          <w:p w:rsidR="00676E5C" w:rsidRPr="009E1845" w:rsidRDefault="00676E5C" w:rsidP="001E32F3">
            <w:pPr>
              <w:pStyle w:val="Akapitzlist"/>
              <w:numPr>
                <w:ilvl w:val="4"/>
                <w:numId w:val="27"/>
              </w:numPr>
              <w:autoSpaceDE w:val="0"/>
              <w:autoSpaceDN w:val="0"/>
              <w:adjustRightInd w:val="0"/>
              <w:spacing w:after="60"/>
              <w:contextualSpacing w:val="0"/>
              <w:jc w:val="both"/>
              <w:rPr>
                <w:sz w:val="20"/>
                <w:szCs w:val="20"/>
              </w:rPr>
            </w:pPr>
            <w:r w:rsidRPr="009E1845">
              <w:rPr>
                <w:sz w:val="20"/>
                <w:szCs w:val="20"/>
              </w:rPr>
              <w:t xml:space="preserve">aktywność </w:t>
            </w:r>
            <w:proofErr w:type="spellStart"/>
            <w:r w:rsidRPr="009E1845">
              <w:rPr>
                <w:sz w:val="20"/>
                <w:szCs w:val="20"/>
              </w:rPr>
              <w:t>aminotransferaz</w:t>
            </w:r>
            <w:proofErr w:type="spellEnd"/>
            <w:r w:rsidRPr="009E1845">
              <w:rPr>
                <w:sz w:val="20"/>
                <w:szCs w:val="20"/>
              </w:rPr>
              <w:t>: alaninowej (</w:t>
            </w:r>
            <w:proofErr w:type="spellStart"/>
            <w:r w:rsidRPr="009E1845">
              <w:rPr>
                <w:sz w:val="20"/>
                <w:szCs w:val="20"/>
              </w:rPr>
              <w:t>AlAT</w:t>
            </w:r>
            <w:proofErr w:type="spellEnd"/>
            <w:r w:rsidRPr="009E1845">
              <w:rPr>
                <w:sz w:val="20"/>
                <w:szCs w:val="20"/>
              </w:rPr>
              <w:t>) i </w:t>
            </w:r>
            <w:proofErr w:type="spellStart"/>
            <w:r w:rsidRPr="009E1845">
              <w:rPr>
                <w:sz w:val="20"/>
                <w:szCs w:val="20"/>
              </w:rPr>
              <w:t>asparaginianowej</w:t>
            </w:r>
            <w:proofErr w:type="spellEnd"/>
            <w:r w:rsidRPr="009E1845">
              <w:rPr>
                <w:sz w:val="20"/>
                <w:szCs w:val="20"/>
              </w:rPr>
              <w:t xml:space="preserve"> (</w:t>
            </w:r>
            <w:proofErr w:type="spellStart"/>
            <w:r w:rsidRPr="009E1845">
              <w:rPr>
                <w:sz w:val="20"/>
                <w:szCs w:val="20"/>
              </w:rPr>
              <w:t>AspAT</w:t>
            </w:r>
            <w:proofErr w:type="spellEnd"/>
            <w:r w:rsidRPr="009E1845">
              <w:rPr>
                <w:sz w:val="20"/>
                <w:szCs w:val="20"/>
              </w:rPr>
              <w:t>) w surowicy, nieprzekraczające 3-krotnie górnej granicy normy,</w:t>
            </w:r>
          </w:p>
          <w:p w:rsidR="00676E5C" w:rsidRPr="009E1845" w:rsidRDefault="00676E5C" w:rsidP="001E32F3">
            <w:pPr>
              <w:pStyle w:val="Akapitzlist"/>
              <w:numPr>
                <w:ilvl w:val="3"/>
                <w:numId w:val="27"/>
              </w:numPr>
              <w:autoSpaceDE w:val="0"/>
              <w:autoSpaceDN w:val="0"/>
              <w:adjustRightInd w:val="0"/>
              <w:spacing w:after="60"/>
              <w:contextualSpacing w:val="0"/>
              <w:jc w:val="both"/>
              <w:rPr>
                <w:sz w:val="20"/>
                <w:szCs w:val="20"/>
              </w:rPr>
            </w:pPr>
            <w:r w:rsidRPr="009E1845">
              <w:rPr>
                <w:sz w:val="20"/>
                <w:szCs w:val="20"/>
              </w:rPr>
              <w:t xml:space="preserve">wartość </w:t>
            </w:r>
            <w:proofErr w:type="spellStart"/>
            <w:r w:rsidRPr="009E1845">
              <w:rPr>
                <w:sz w:val="20"/>
                <w:szCs w:val="20"/>
              </w:rPr>
              <w:t>klirensu</w:t>
            </w:r>
            <w:proofErr w:type="spellEnd"/>
            <w:r w:rsidRPr="009E1845">
              <w:rPr>
                <w:sz w:val="20"/>
                <w:szCs w:val="20"/>
              </w:rPr>
              <w:t xml:space="preserve"> kreatyniny ≥ 30ml/min,</w:t>
            </w:r>
          </w:p>
          <w:p w:rsidR="00676E5C" w:rsidRPr="009E1845" w:rsidRDefault="00676E5C" w:rsidP="001E32F3">
            <w:pPr>
              <w:pStyle w:val="Akapitzlist"/>
              <w:numPr>
                <w:ilvl w:val="3"/>
                <w:numId w:val="27"/>
              </w:numPr>
              <w:autoSpaceDE w:val="0"/>
              <w:autoSpaceDN w:val="0"/>
              <w:adjustRightInd w:val="0"/>
              <w:spacing w:after="60"/>
              <w:contextualSpacing w:val="0"/>
              <w:jc w:val="both"/>
              <w:rPr>
                <w:sz w:val="20"/>
                <w:szCs w:val="20"/>
              </w:rPr>
            </w:pPr>
            <w:r w:rsidRPr="009E1845">
              <w:rPr>
                <w:sz w:val="20"/>
                <w:szCs w:val="20"/>
              </w:rPr>
              <w:t>wyniki badania morfologii krwi z rozmazem:</w:t>
            </w:r>
          </w:p>
          <w:p w:rsidR="00676E5C" w:rsidRPr="009E1845" w:rsidRDefault="00676E5C" w:rsidP="001E32F3">
            <w:pPr>
              <w:pStyle w:val="Akapitzlist"/>
              <w:numPr>
                <w:ilvl w:val="4"/>
                <w:numId w:val="27"/>
              </w:numPr>
              <w:autoSpaceDE w:val="0"/>
              <w:autoSpaceDN w:val="0"/>
              <w:adjustRightInd w:val="0"/>
              <w:spacing w:after="60"/>
              <w:contextualSpacing w:val="0"/>
              <w:jc w:val="both"/>
              <w:rPr>
                <w:sz w:val="20"/>
                <w:szCs w:val="20"/>
              </w:rPr>
            </w:pPr>
            <w:r w:rsidRPr="009E1845">
              <w:rPr>
                <w:sz w:val="20"/>
                <w:szCs w:val="20"/>
              </w:rPr>
              <w:t>liczba płytek krwi ≥ 10</w:t>
            </w:r>
            <w:r w:rsidRPr="001E32F3">
              <w:rPr>
                <w:sz w:val="20"/>
                <w:szCs w:val="20"/>
              </w:rPr>
              <w:t>5</w:t>
            </w:r>
            <w:r w:rsidRPr="009E1845">
              <w:rPr>
                <w:sz w:val="20"/>
                <w:szCs w:val="20"/>
              </w:rPr>
              <w:t>/mm</w:t>
            </w:r>
            <w:r w:rsidRPr="001E32F3">
              <w:rPr>
                <w:sz w:val="20"/>
                <w:szCs w:val="20"/>
              </w:rPr>
              <w:t>3</w:t>
            </w:r>
            <w:r w:rsidRPr="009E1845">
              <w:rPr>
                <w:sz w:val="20"/>
                <w:szCs w:val="20"/>
              </w:rPr>
              <w:t>,</w:t>
            </w:r>
          </w:p>
          <w:p w:rsidR="00676E5C" w:rsidRPr="009E1845" w:rsidRDefault="00676E5C" w:rsidP="001E32F3">
            <w:pPr>
              <w:pStyle w:val="Akapitzlist"/>
              <w:numPr>
                <w:ilvl w:val="4"/>
                <w:numId w:val="27"/>
              </w:numPr>
              <w:autoSpaceDE w:val="0"/>
              <w:autoSpaceDN w:val="0"/>
              <w:adjustRightInd w:val="0"/>
              <w:spacing w:after="60"/>
              <w:contextualSpacing w:val="0"/>
              <w:jc w:val="both"/>
              <w:rPr>
                <w:sz w:val="20"/>
                <w:szCs w:val="20"/>
              </w:rPr>
            </w:pPr>
            <w:r w:rsidRPr="009E1845">
              <w:rPr>
                <w:sz w:val="20"/>
                <w:szCs w:val="20"/>
              </w:rPr>
              <w:lastRenderedPageBreak/>
              <w:t>liczba leukocytów ≥ 2000/mm</w:t>
            </w:r>
            <w:r w:rsidRPr="001E32F3">
              <w:rPr>
                <w:sz w:val="20"/>
                <w:szCs w:val="20"/>
              </w:rPr>
              <w:t>3</w:t>
            </w:r>
            <w:r w:rsidRPr="009E1845">
              <w:rPr>
                <w:sz w:val="20"/>
                <w:szCs w:val="20"/>
              </w:rPr>
              <w:t>,</w:t>
            </w:r>
          </w:p>
          <w:p w:rsidR="00676E5C" w:rsidRPr="009E1845" w:rsidRDefault="00676E5C" w:rsidP="001E32F3">
            <w:pPr>
              <w:pStyle w:val="Akapitzlist"/>
              <w:numPr>
                <w:ilvl w:val="4"/>
                <w:numId w:val="27"/>
              </w:numPr>
              <w:autoSpaceDE w:val="0"/>
              <w:autoSpaceDN w:val="0"/>
              <w:adjustRightInd w:val="0"/>
              <w:spacing w:after="60"/>
              <w:contextualSpacing w:val="0"/>
              <w:jc w:val="both"/>
              <w:rPr>
                <w:sz w:val="20"/>
                <w:szCs w:val="20"/>
              </w:rPr>
            </w:pPr>
            <w:r w:rsidRPr="009E1845">
              <w:rPr>
                <w:sz w:val="20"/>
                <w:szCs w:val="20"/>
              </w:rPr>
              <w:t>bezwzględna liczba granulocytów obojętnochłonnych ≥</w:t>
            </w:r>
            <w:r w:rsidR="00F6274E" w:rsidRPr="009E1845">
              <w:rPr>
                <w:sz w:val="20"/>
                <w:szCs w:val="20"/>
              </w:rPr>
              <w:t xml:space="preserve"> </w:t>
            </w:r>
            <w:r w:rsidRPr="009E1845">
              <w:rPr>
                <w:sz w:val="20"/>
                <w:szCs w:val="20"/>
              </w:rPr>
              <w:t>1500/mm</w:t>
            </w:r>
            <w:r w:rsidRPr="001E32F3">
              <w:rPr>
                <w:sz w:val="20"/>
                <w:szCs w:val="20"/>
              </w:rPr>
              <w:t>3</w:t>
            </w:r>
            <w:r w:rsidRPr="009E1845">
              <w:rPr>
                <w:sz w:val="20"/>
                <w:szCs w:val="20"/>
              </w:rPr>
              <w:t>,</w:t>
            </w:r>
          </w:p>
          <w:p w:rsidR="00676E5C" w:rsidRPr="009E1845" w:rsidRDefault="00676E5C" w:rsidP="001E32F3">
            <w:pPr>
              <w:pStyle w:val="Akapitzlist"/>
              <w:numPr>
                <w:ilvl w:val="4"/>
                <w:numId w:val="27"/>
              </w:numPr>
              <w:autoSpaceDE w:val="0"/>
              <w:autoSpaceDN w:val="0"/>
              <w:adjustRightInd w:val="0"/>
              <w:spacing w:after="60"/>
              <w:contextualSpacing w:val="0"/>
              <w:jc w:val="both"/>
              <w:rPr>
                <w:sz w:val="20"/>
                <w:szCs w:val="20"/>
              </w:rPr>
            </w:pPr>
            <w:r w:rsidRPr="009E1845">
              <w:rPr>
                <w:sz w:val="20"/>
                <w:szCs w:val="20"/>
              </w:rPr>
              <w:t>stężenie hemoglobiny ≥ 9,5 g/dl;</w:t>
            </w:r>
          </w:p>
          <w:p w:rsidR="00676E5C" w:rsidRPr="009E1845" w:rsidRDefault="00676E5C" w:rsidP="001E32F3">
            <w:pPr>
              <w:pStyle w:val="Akapitzlist"/>
              <w:numPr>
                <w:ilvl w:val="2"/>
                <w:numId w:val="27"/>
              </w:numPr>
              <w:autoSpaceDE w:val="0"/>
              <w:autoSpaceDN w:val="0"/>
              <w:adjustRightInd w:val="0"/>
              <w:spacing w:after="60"/>
              <w:contextualSpacing w:val="0"/>
              <w:jc w:val="both"/>
              <w:rPr>
                <w:sz w:val="20"/>
                <w:szCs w:val="20"/>
              </w:rPr>
            </w:pPr>
            <w:r w:rsidRPr="009E1845">
              <w:rPr>
                <w:sz w:val="20"/>
                <w:szCs w:val="20"/>
              </w:rPr>
              <w:t>nieobecność nadwrażliwości na przeciwciała</w:t>
            </w:r>
            <w:r w:rsidR="00F6274E" w:rsidRPr="009E1845">
              <w:rPr>
                <w:sz w:val="20"/>
                <w:szCs w:val="20"/>
              </w:rPr>
              <w:t xml:space="preserve"> </w:t>
            </w:r>
            <w:r w:rsidRPr="009E1845">
              <w:rPr>
                <w:sz w:val="20"/>
                <w:szCs w:val="20"/>
              </w:rPr>
              <w:t>monoklonalne w wywiadzie;</w:t>
            </w:r>
          </w:p>
          <w:p w:rsidR="00676E5C" w:rsidRPr="009E1845" w:rsidRDefault="00676E5C" w:rsidP="001E32F3">
            <w:pPr>
              <w:pStyle w:val="Akapitzlist"/>
              <w:numPr>
                <w:ilvl w:val="2"/>
                <w:numId w:val="27"/>
              </w:numPr>
              <w:autoSpaceDE w:val="0"/>
              <w:autoSpaceDN w:val="0"/>
              <w:adjustRightInd w:val="0"/>
              <w:spacing w:after="60"/>
              <w:contextualSpacing w:val="0"/>
              <w:jc w:val="both"/>
              <w:rPr>
                <w:sz w:val="20"/>
                <w:szCs w:val="20"/>
              </w:rPr>
            </w:pPr>
            <w:r w:rsidRPr="009E1845">
              <w:rPr>
                <w:sz w:val="20"/>
                <w:szCs w:val="20"/>
              </w:rPr>
              <w:t>nieobecność stanów, które w opinii lekarza stanowią</w:t>
            </w:r>
            <w:r w:rsidR="00F6274E" w:rsidRPr="009E1845">
              <w:rPr>
                <w:sz w:val="20"/>
                <w:szCs w:val="20"/>
              </w:rPr>
              <w:t xml:space="preserve"> </w:t>
            </w:r>
            <w:r w:rsidRPr="009E1845">
              <w:rPr>
                <w:sz w:val="20"/>
                <w:szCs w:val="20"/>
              </w:rPr>
              <w:t>udokumentowane przeciwwskazanie do terapii</w:t>
            </w:r>
            <w:r w:rsidR="00F6274E" w:rsidRPr="009E1845">
              <w:rPr>
                <w:sz w:val="20"/>
                <w:szCs w:val="20"/>
              </w:rPr>
              <w:t xml:space="preserve"> </w:t>
            </w:r>
            <w:proofErr w:type="spellStart"/>
            <w:r w:rsidRPr="009E1845">
              <w:rPr>
                <w:sz w:val="20"/>
                <w:szCs w:val="20"/>
              </w:rPr>
              <w:t>niwolumabem</w:t>
            </w:r>
            <w:proofErr w:type="spellEnd"/>
            <w:r w:rsidRPr="009E1845">
              <w:rPr>
                <w:sz w:val="20"/>
                <w:szCs w:val="20"/>
              </w:rPr>
              <w:t>;</w:t>
            </w:r>
          </w:p>
          <w:p w:rsidR="001E32F3" w:rsidRDefault="00676E5C" w:rsidP="001E32F3">
            <w:pPr>
              <w:pStyle w:val="Akapitzlist"/>
              <w:numPr>
                <w:ilvl w:val="2"/>
                <w:numId w:val="27"/>
              </w:numPr>
              <w:autoSpaceDE w:val="0"/>
              <w:autoSpaceDN w:val="0"/>
              <w:adjustRightInd w:val="0"/>
              <w:spacing w:after="60"/>
              <w:contextualSpacing w:val="0"/>
              <w:jc w:val="both"/>
              <w:rPr>
                <w:sz w:val="20"/>
                <w:szCs w:val="20"/>
              </w:rPr>
            </w:pPr>
            <w:r w:rsidRPr="009E1845">
              <w:rPr>
                <w:sz w:val="20"/>
                <w:szCs w:val="20"/>
              </w:rPr>
              <w:t>wiek powyżej 18 roku życia.</w:t>
            </w:r>
          </w:p>
          <w:p w:rsidR="00676E5C" w:rsidRDefault="00676E5C" w:rsidP="001E32F3">
            <w:pPr>
              <w:autoSpaceDE w:val="0"/>
              <w:autoSpaceDN w:val="0"/>
              <w:adjustRightInd w:val="0"/>
              <w:spacing w:after="60"/>
              <w:jc w:val="both"/>
              <w:rPr>
                <w:sz w:val="20"/>
                <w:szCs w:val="20"/>
              </w:rPr>
            </w:pPr>
            <w:r w:rsidRPr="001E32F3">
              <w:rPr>
                <w:sz w:val="20"/>
                <w:szCs w:val="20"/>
              </w:rPr>
              <w:t>Kryteria kwalifikacji muszą być spełnione łącznie.</w:t>
            </w:r>
          </w:p>
          <w:p w:rsidR="001E32F3" w:rsidRPr="001E32F3" w:rsidRDefault="001E32F3" w:rsidP="001E32F3">
            <w:pPr>
              <w:autoSpaceDE w:val="0"/>
              <w:autoSpaceDN w:val="0"/>
              <w:adjustRightInd w:val="0"/>
              <w:spacing w:after="60"/>
              <w:jc w:val="both"/>
              <w:rPr>
                <w:sz w:val="20"/>
                <w:szCs w:val="20"/>
              </w:rPr>
            </w:pPr>
          </w:p>
          <w:p w:rsidR="00676E5C" w:rsidRPr="001E32F3" w:rsidRDefault="00676E5C" w:rsidP="001E32F3">
            <w:pPr>
              <w:pStyle w:val="Akapitzlist"/>
              <w:numPr>
                <w:ilvl w:val="1"/>
                <w:numId w:val="27"/>
              </w:numPr>
              <w:autoSpaceDE w:val="0"/>
              <w:autoSpaceDN w:val="0"/>
              <w:adjustRightInd w:val="0"/>
              <w:spacing w:after="60"/>
              <w:contextualSpacing w:val="0"/>
              <w:jc w:val="both"/>
              <w:rPr>
                <w:b/>
                <w:bCs/>
                <w:sz w:val="20"/>
                <w:szCs w:val="20"/>
              </w:rPr>
            </w:pPr>
            <w:r w:rsidRPr="001E32F3">
              <w:rPr>
                <w:b/>
                <w:bCs/>
                <w:sz w:val="20"/>
                <w:szCs w:val="20"/>
              </w:rPr>
              <w:t>Określenie czasu leczenia w programie</w:t>
            </w:r>
          </w:p>
          <w:p w:rsidR="00676E5C" w:rsidRDefault="00676E5C" w:rsidP="001E32F3">
            <w:pPr>
              <w:ind w:left="57"/>
              <w:jc w:val="both"/>
              <w:rPr>
                <w:sz w:val="20"/>
                <w:szCs w:val="20"/>
              </w:rPr>
            </w:pPr>
            <w:r w:rsidRPr="009E1845">
              <w:rPr>
                <w:sz w:val="20"/>
                <w:szCs w:val="20"/>
              </w:rPr>
              <w:t>Leczenie trwa do czasu podjęcia przez lekarza prowadzącego</w:t>
            </w:r>
            <w:r w:rsidR="001E32F3">
              <w:rPr>
                <w:sz w:val="20"/>
                <w:szCs w:val="20"/>
              </w:rPr>
              <w:t xml:space="preserve"> </w:t>
            </w:r>
            <w:r w:rsidRPr="009E1845">
              <w:rPr>
                <w:sz w:val="20"/>
                <w:szCs w:val="20"/>
              </w:rPr>
              <w:t>decyzji o wyłączeniu świadczeniobiorcy z programu, zgodnie z kryteriami wyłączenia.</w:t>
            </w:r>
          </w:p>
          <w:p w:rsidR="00AB3A41" w:rsidRPr="009E1845" w:rsidRDefault="00AB3A41" w:rsidP="001E32F3">
            <w:pPr>
              <w:ind w:left="57"/>
              <w:jc w:val="both"/>
              <w:rPr>
                <w:sz w:val="20"/>
                <w:szCs w:val="20"/>
              </w:rPr>
            </w:pPr>
          </w:p>
          <w:p w:rsidR="00676E5C" w:rsidRPr="009E1845" w:rsidRDefault="00676E5C" w:rsidP="001E32F3">
            <w:pPr>
              <w:pStyle w:val="Akapitzlist"/>
              <w:numPr>
                <w:ilvl w:val="1"/>
                <w:numId w:val="27"/>
              </w:numPr>
              <w:autoSpaceDE w:val="0"/>
              <w:autoSpaceDN w:val="0"/>
              <w:adjustRightInd w:val="0"/>
              <w:spacing w:after="60"/>
              <w:contextualSpacing w:val="0"/>
              <w:jc w:val="both"/>
              <w:rPr>
                <w:b/>
                <w:sz w:val="20"/>
                <w:szCs w:val="20"/>
              </w:rPr>
            </w:pPr>
            <w:r w:rsidRPr="001E32F3">
              <w:rPr>
                <w:b/>
                <w:bCs/>
                <w:sz w:val="20"/>
                <w:szCs w:val="20"/>
              </w:rPr>
              <w:t>Kryteria wyłączenia z programu</w:t>
            </w:r>
          </w:p>
          <w:p w:rsidR="00676E5C" w:rsidRPr="009E1845" w:rsidRDefault="00676E5C" w:rsidP="00AB3A41">
            <w:pPr>
              <w:pStyle w:val="Akapitzlist"/>
              <w:numPr>
                <w:ilvl w:val="2"/>
                <w:numId w:val="27"/>
              </w:numPr>
              <w:autoSpaceDE w:val="0"/>
              <w:autoSpaceDN w:val="0"/>
              <w:adjustRightInd w:val="0"/>
              <w:spacing w:after="60"/>
              <w:contextualSpacing w:val="0"/>
              <w:jc w:val="both"/>
              <w:rPr>
                <w:sz w:val="20"/>
                <w:szCs w:val="20"/>
              </w:rPr>
            </w:pPr>
            <w:r w:rsidRPr="009E1845">
              <w:rPr>
                <w:sz w:val="20"/>
                <w:szCs w:val="20"/>
              </w:rPr>
              <w:t>udokumentowana progresja w trakcie stosowania leku wg</w:t>
            </w:r>
            <w:r w:rsidR="00F6274E" w:rsidRPr="009E1845">
              <w:rPr>
                <w:sz w:val="20"/>
                <w:szCs w:val="20"/>
              </w:rPr>
              <w:t xml:space="preserve"> </w:t>
            </w:r>
            <w:r w:rsidRPr="009E1845">
              <w:rPr>
                <w:sz w:val="20"/>
                <w:szCs w:val="20"/>
              </w:rPr>
              <w:t>kryteriów RECIST 1.1;</w:t>
            </w:r>
          </w:p>
          <w:p w:rsidR="00676E5C" w:rsidRPr="009E1845" w:rsidRDefault="00676E5C" w:rsidP="00AB3A41">
            <w:pPr>
              <w:pStyle w:val="Akapitzlist"/>
              <w:numPr>
                <w:ilvl w:val="2"/>
                <w:numId w:val="27"/>
              </w:numPr>
              <w:autoSpaceDE w:val="0"/>
              <w:autoSpaceDN w:val="0"/>
              <w:adjustRightInd w:val="0"/>
              <w:spacing w:after="60"/>
              <w:contextualSpacing w:val="0"/>
              <w:jc w:val="both"/>
              <w:rPr>
                <w:sz w:val="20"/>
                <w:szCs w:val="20"/>
              </w:rPr>
            </w:pPr>
            <w:r w:rsidRPr="009E1845">
              <w:rPr>
                <w:sz w:val="20"/>
                <w:szCs w:val="20"/>
              </w:rPr>
              <w:t xml:space="preserve">wystąpienie objawów nadwrażliwości na </w:t>
            </w:r>
            <w:proofErr w:type="spellStart"/>
            <w:r w:rsidRPr="009E1845">
              <w:rPr>
                <w:sz w:val="20"/>
                <w:szCs w:val="20"/>
              </w:rPr>
              <w:t>niwolumab</w:t>
            </w:r>
            <w:proofErr w:type="spellEnd"/>
            <w:r w:rsidRPr="009E1845">
              <w:rPr>
                <w:sz w:val="20"/>
                <w:szCs w:val="20"/>
              </w:rPr>
              <w:t xml:space="preserve"> lub</w:t>
            </w:r>
            <w:r w:rsidR="00F6274E" w:rsidRPr="009E1845">
              <w:rPr>
                <w:sz w:val="20"/>
                <w:szCs w:val="20"/>
              </w:rPr>
              <w:t xml:space="preserve"> </w:t>
            </w:r>
            <w:r w:rsidRPr="009E1845">
              <w:rPr>
                <w:sz w:val="20"/>
                <w:szCs w:val="20"/>
              </w:rPr>
              <w:t>na którąkolwiek substancję pomocniczą;</w:t>
            </w:r>
          </w:p>
          <w:p w:rsidR="00676E5C" w:rsidRPr="009E1845" w:rsidRDefault="00676E5C" w:rsidP="00AB3A41">
            <w:pPr>
              <w:pStyle w:val="Akapitzlist"/>
              <w:numPr>
                <w:ilvl w:val="2"/>
                <w:numId w:val="27"/>
              </w:numPr>
              <w:autoSpaceDE w:val="0"/>
              <w:autoSpaceDN w:val="0"/>
              <w:adjustRightInd w:val="0"/>
              <w:spacing w:after="60"/>
              <w:contextualSpacing w:val="0"/>
              <w:jc w:val="both"/>
              <w:rPr>
                <w:sz w:val="20"/>
                <w:szCs w:val="20"/>
              </w:rPr>
            </w:pPr>
            <w:r w:rsidRPr="009E1845">
              <w:rPr>
                <w:sz w:val="20"/>
                <w:szCs w:val="20"/>
              </w:rPr>
              <w:t>ciąża i karmienie piersią;</w:t>
            </w:r>
          </w:p>
          <w:p w:rsidR="00676E5C" w:rsidRPr="009E1845" w:rsidRDefault="00676E5C" w:rsidP="00AB3A41">
            <w:pPr>
              <w:pStyle w:val="Akapitzlist"/>
              <w:numPr>
                <w:ilvl w:val="2"/>
                <w:numId w:val="27"/>
              </w:numPr>
              <w:autoSpaceDE w:val="0"/>
              <w:autoSpaceDN w:val="0"/>
              <w:adjustRightInd w:val="0"/>
              <w:spacing w:after="60"/>
              <w:contextualSpacing w:val="0"/>
              <w:jc w:val="both"/>
              <w:rPr>
                <w:sz w:val="20"/>
                <w:szCs w:val="20"/>
              </w:rPr>
            </w:pPr>
            <w:r w:rsidRPr="009E1845">
              <w:rPr>
                <w:sz w:val="20"/>
                <w:szCs w:val="20"/>
              </w:rPr>
              <w:t>wystąpienie toksyczności na tle immunologicznym</w:t>
            </w:r>
            <w:r w:rsidR="00F6274E" w:rsidRPr="009E1845">
              <w:rPr>
                <w:sz w:val="20"/>
                <w:szCs w:val="20"/>
              </w:rPr>
              <w:t xml:space="preserve"> </w:t>
            </w:r>
            <w:r w:rsidRPr="009E1845">
              <w:rPr>
                <w:sz w:val="20"/>
                <w:szCs w:val="20"/>
              </w:rPr>
              <w:t>zależnej od leczenia, m.in. (stopnie toksyczności</w:t>
            </w:r>
            <w:r w:rsidR="00F6274E" w:rsidRPr="009E1845">
              <w:rPr>
                <w:sz w:val="20"/>
                <w:szCs w:val="20"/>
              </w:rPr>
              <w:t xml:space="preserve"> </w:t>
            </w:r>
            <w:r w:rsidRPr="009E1845">
              <w:rPr>
                <w:sz w:val="20"/>
                <w:szCs w:val="20"/>
              </w:rPr>
              <w:t>zgodnie z NCI-CTCAE v4):</w:t>
            </w:r>
          </w:p>
          <w:p w:rsidR="00676E5C" w:rsidRPr="009E1845" w:rsidRDefault="00676E5C" w:rsidP="00AB3A41">
            <w:pPr>
              <w:pStyle w:val="Akapitzlist"/>
              <w:numPr>
                <w:ilvl w:val="3"/>
                <w:numId w:val="27"/>
              </w:numPr>
              <w:autoSpaceDE w:val="0"/>
              <w:autoSpaceDN w:val="0"/>
              <w:adjustRightInd w:val="0"/>
              <w:spacing w:after="60"/>
              <w:contextualSpacing w:val="0"/>
              <w:jc w:val="both"/>
              <w:rPr>
                <w:sz w:val="20"/>
                <w:szCs w:val="20"/>
              </w:rPr>
            </w:pPr>
            <w:r w:rsidRPr="009E1845">
              <w:rPr>
                <w:sz w:val="20"/>
                <w:szCs w:val="20"/>
              </w:rPr>
              <w:t>zapalenie płuc stopnia 3. lub 4.,</w:t>
            </w:r>
          </w:p>
          <w:p w:rsidR="00676E5C" w:rsidRPr="009E1845" w:rsidRDefault="00676E5C" w:rsidP="00AB3A41">
            <w:pPr>
              <w:pStyle w:val="Akapitzlist"/>
              <w:numPr>
                <w:ilvl w:val="3"/>
                <w:numId w:val="27"/>
              </w:numPr>
              <w:autoSpaceDE w:val="0"/>
              <w:autoSpaceDN w:val="0"/>
              <w:adjustRightInd w:val="0"/>
              <w:spacing w:after="60"/>
              <w:contextualSpacing w:val="0"/>
              <w:jc w:val="both"/>
              <w:rPr>
                <w:sz w:val="20"/>
                <w:szCs w:val="20"/>
              </w:rPr>
            </w:pPr>
            <w:r w:rsidRPr="009E1845">
              <w:rPr>
                <w:sz w:val="20"/>
                <w:szCs w:val="20"/>
              </w:rPr>
              <w:t>biegunka lub zapalenie jelita grubego stopnia 4.,</w:t>
            </w:r>
          </w:p>
          <w:p w:rsidR="00676E5C" w:rsidRPr="009E1845" w:rsidRDefault="00676E5C" w:rsidP="00AB3A41">
            <w:pPr>
              <w:pStyle w:val="Akapitzlist"/>
              <w:numPr>
                <w:ilvl w:val="3"/>
                <w:numId w:val="27"/>
              </w:numPr>
              <w:autoSpaceDE w:val="0"/>
              <w:autoSpaceDN w:val="0"/>
              <w:adjustRightInd w:val="0"/>
              <w:spacing w:after="60"/>
              <w:contextualSpacing w:val="0"/>
              <w:jc w:val="both"/>
              <w:rPr>
                <w:sz w:val="20"/>
                <w:szCs w:val="20"/>
              </w:rPr>
            </w:pPr>
            <w:r w:rsidRPr="009E1845">
              <w:rPr>
                <w:sz w:val="20"/>
                <w:szCs w:val="20"/>
              </w:rPr>
              <w:t xml:space="preserve">zapalenie wątroby: zwiększenie aktywności </w:t>
            </w:r>
            <w:proofErr w:type="spellStart"/>
            <w:r w:rsidRPr="009E1845">
              <w:rPr>
                <w:sz w:val="20"/>
                <w:szCs w:val="20"/>
              </w:rPr>
              <w:t>AspAT</w:t>
            </w:r>
            <w:proofErr w:type="spellEnd"/>
            <w:r w:rsidRPr="009E1845">
              <w:rPr>
                <w:sz w:val="20"/>
                <w:szCs w:val="20"/>
              </w:rPr>
              <w:t>,</w:t>
            </w:r>
            <w:r w:rsidR="00F6274E" w:rsidRPr="009E1845">
              <w:rPr>
                <w:sz w:val="20"/>
                <w:szCs w:val="20"/>
              </w:rPr>
              <w:t xml:space="preserve"> </w:t>
            </w:r>
            <w:proofErr w:type="spellStart"/>
            <w:r w:rsidRPr="009E1845">
              <w:rPr>
                <w:sz w:val="20"/>
                <w:szCs w:val="20"/>
              </w:rPr>
              <w:t>AlAT</w:t>
            </w:r>
            <w:proofErr w:type="spellEnd"/>
            <w:r w:rsidRPr="009E1845">
              <w:rPr>
                <w:sz w:val="20"/>
                <w:szCs w:val="20"/>
              </w:rPr>
              <w:t xml:space="preserve"> lub bilirubiny całkowitej stopnia 3. lub 4. (wzrost</w:t>
            </w:r>
            <w:r w:rsidR="00F6274E" w:rsidRPr="009E1845">
              <w:rPr>
                <w:sz w:val="20"/>
                <w:szCs w:val="20"/>
              </w:rPr>
              <w:t xml:space="preserve"> </w:t>
            </w:r>
            <w:r w:rsidRPr="009E1845">
              <w:rPr>
                <w:sz w:val="20"/>
                <w:szCs w:val="20"/>
              </w:rPr>
              <w:t xml:space="preserve">stężenia </w:t>
            </w:r>
            <w:proofErr w:type="spellStart"/>
            <w:r w:rsidRPr="009E1845">
              <w:rPr>
                <w:sz w:val="20"/>
                <w:szCs w:val="20"/>
              </w:rPr>
              <w:t>AspAT</w:t>
            </w:r>
            <w:proofErr w:type="spellEnd"/>
            <w:r w:rsidRPr="009E1845">
              <w:rPr>
                <w:sz w:val="20"/>
                <w:szCs w:val="20"/>
              </w:rPr>
              <w:t xml:space="preserve"> lub </w:t>
            </w:r>
            <w:proofErr w:type="spellStart"/>
            <w:r w:rsidRPr="009E1845">
              <w:rPr>
                <w:sz w:val="20"/>
                <w:szCs w:val="20"/>
              </w:rPr>
              <w:t>AlAT</w:t>
            </w:r>
            <w:proofErr w:type="spellEnd"/>
            <w:r w:rsidRPr="009E1845">
              <w:rPr>
                <w:sz w:val="20"/>
                <w:szCs w:val="20"/>
              </w:rPr>
              <w:t xml:space="preserve"> więcej niż 5 x w stosunku do</w:t>
            </w:r>
            <w:r w:rsidR="00F6274E" w:rsidRPr="009E1845">
              <w:rPr>
                <w:sz w:val="20"/>
                <w:szCs w:val="20"/>
              </w:rPr>
              <w:t xml:space="preserve"> </w:t>
            </w:r>
            <w:r w:rsidRPr="009E1845">
              <w:rPr>
                <w:sz w:val="20"/>
                <w:szCs w:val="20"/>
              </w:rPr>
              <w:t>górnej granicy normy lub wzrost stężenia całkowitej</w:t>
            </w:r>
            <w:r w:rsidR="00F6274E" w:rsidRPr="009E1845">
              <w:rPr>
                <w:sz w:val="20"/>
                <w:szCs w:val="20"/>
              </w:rPr>
              <w:t xml:space="preserve"> </w:t>
            </w:r>
            <w:r w:rsidRPr="009E1845">
              <w:rPr>
                <w:sz w:val="20"/>
                <w:szCs w:val="20"/>
              </w:rPr>
              <w:t>bilirubiny więcej niż 3 x w stosunku do górnej granicy normy),</w:t>
            </w:r>
            <w:r w:rsidRPr="009E1845">
              <w:rPr>
                <w:sz w:val="20"/>
                <w:szCs w:val="20"/>
              </w:rPr>
              <w:tab/>
            </w:r>
          </w:p>
          <w:p w:rsidR="00676E5C" w:rsidRPr="009E1845" w:rsidRDefault="00676E5C" w:rsidP="00AB3A41">
            <w:pPr>
              <w:pStyle w:val="Akapitzlist"/>
              <w:numPr>
                <w:ilvl w:val="3"/>
                <w:numId w:val="27"/>
              </w:numPr>
              <w:autoSpaceDE w:val="0"/>
              <w:autoSpaceDN w:val="0"/>
              <w:adjustRightInd w:val="0"/>
              <w:spacing w:after="60"/>
              <w:contextualSpacing w:val="0"/>
              <w:jc w:val="both"/>
              <w:rPr>
                <w:sz w:val="20"/>
                <w:szCs w:val="20"/>
              </w:rPr>
            </w:pPr>
            <w:r w:rsidRPr="009E1845">
              <w:rPr>
                <w:sz w:val="20"/>
                <w:szCs w:val="20"/>
              </w:rPr>
              <w:t>zapalenie nerek lub zaburzenia czynności nerek -</w:t>
            </w:r>
            <w:r w:rsidR="00F6274E" w:rsidRPr="009E1845">
              <w:rPr>
                <w:sz w:val="20"/>
                <w:szCs w:val="20"/>
              </w:rPr>
              <w:t xml:space="preserve"> </w:t>
            </w:r>
            <w:r w:rsidRPr="009E1845">
              <w:rPr>
                <w:sz w:val="20"/>
                <w:szCs w:val="20"/>
              </w:rPr>
              <w:t>wzrost stężenia kreatyniny stopnia 4.: więcej niż 6 x</w:t>
            </w:r>
            <w:r w:rsidR="00F6274E" w:rsidRPr="009E1845">
              <w:rPr>
                <w:sz w:val="20"/>
                <w:szCs w:val="20"/>
              </w:rPr>
              <w:t xml:space="preserve"> </w:t>
            </w:r>
            <w:r w:rsidRPr="009E1845">
              <w:rPr>
                <w:sz w:val="20"/>
                <w:szCs w:val="20"/>
              </w:rPr>
              <w:t>w stosunku do górnej granicy normy,</w:t>
            </w:r>
          </w:p>
          <w:p w:rsidR="00676E5C" w:rsidRPr="009E1845" w:rsidRDefault="00676E5C" w:rsidP="00AB3A41">
            <w:pPr>
              <w:pStyle w:val="Akapitzlist"/>
              <w:numPr>
                <w:ilvl w:val="3"/>
                <w:numId w:val="27"/>
              </w:numPr>
              <w:autoSpaceDE w:val="0"/>
              <w:autoSpaceDN w:val="0"/>
              <w:adjustRightInd w:val="0"/>
              <w:spacing w:after="60"/>
              <w:contextualSpacing w:val="0"/>
              <w:jc w:val="both"/>
              <w:rPr>
                <w:sz w:val="20"/>
                <w:szCs w:val="20"/>
              </w:rPr>
            </w:pPr>
            <w:proofErr w:type="spellStart"/>
            <w:r w:rsidRPr="009E1845">
              <w:rPr>
                <w:sz w:val="20"/>
                <w:szCs w:val="20"/>
              </w:rPr>
              <w:t>endokrynopatie</w:t>
            </w:r>
            <w:proofErr w:type="spellEnd"/>
            <w:r w:rsidRPr="009E1845">
              <w:rPr>
                <w:sz w:val="20"/>
                <w:szCs w:val="20"/>
              </w:rPr>
              <w:t xml:space="preserve"> pochodzenia immunologicznego:</w:t>
            </w:r>
            <w:r w:rsidR="00F6274E" w:rsidRPr="009E1845">
              <w:rPr>
                <w:sz w:val="20"/>
                <w:szCs w:val="20"/>
              </w:rPr>
              <w:t xml:space="preserve"> </w:t>
            </w:r>
            <w:r w:rsidRPr="009E1845">
              <w:rPr>
                <w:sz w:val="20"/>
                <w:szCs w:val="20"/>
              </w:rPr>
              <w:t>niedoczynność tarczycy stopnia 4., nadczynność</w:t>
            </w:r>
            <w:r w:rsidR="00F6274E" w:rsidRPr="009E1845">
              <w:rPr>
                <w:sz w:val="20"/>
                <w:szCs w:val="20"/>
              </w:rPr>
              <w:t xml:space="preserve"> </w:t>
            </w:r>
            <w:r w:rsidRPr="009E1845">
              <w:rPr>
                <w:sz w:val="20"/>
                <w:szCs w:val="20"/>
              </w:rPr>
              <w:t>tarczycy stopnia 4., niedoczynność przysadki stopnia 4.,</w:t>
            </w:r>
            <w:r w:rsidR="00F6274E" w:rsidRPr="009E1845">
              <w:rPr>
                <w:sz w:val="20"/>
                <w:szCs w:val="20"/>
              </w:rPr>
              <w:t xml:space="preserve"> </w:t>
            </w:r>
            <w:r w:rsidRPr="009E1845">
              <w:rPr>
                <w:sz w:val="20"/>
                <w:szCs w:val="20"/>
              </w:rPr>
              <w:t>niewydolność kory nadnerczy stopnia 3. lub 4., cukrzyca</w:t>
            </w:r>
            <w:r w:rsidR="00F6274E" w:rsidRPr="009E1845">
              <w:rPr>
                <w:sz w:val="20"/>
                <w:szCs w:val="20"/>
              </w:rPr>
              <w:t xml:space="preserve"> </w:t>
            </w:r>
            <w:r w:rsidRPr="009E1845">
              <w:rPr>
                <w:sz w:val="20"/>
                <w:szCs w:val="20"/>
              </w:rPr>
              <w:t>stopnia 4.,</w:t>
            </w:r>
          </w:p>
          <w:p w:rsidR="00676E5C" w:rsidRPr="009E1845" w:rsidRDefault="00676E5C" w:rsidP="00AB3A41">
            <w:pPr>
              <w:pStyle w:val="Akapitzlist"/>
              <w:numPr>
                <w:ilvl w:val="3"/>
                <w:numId w:val="27"/>
              </w:numPr>
              <w:autoSpaceDE w:val="0"/>
              <w:autoSpaceDN w:val="0"/>
              <w:adjustRightInd w:val="0"/>
              <w:spacing w:after="60"/>
              <w:contextualSpacing w:val="0"/>
              <w:jc w:val="both"/>
              <w:rPr>
                <w:sz w:val="20"/>
                <w:szCs w:val="20"/>
              </w:rPr>
            </w:pPr>
            <w:r w:rsidRPr="009E1845">
              <w:rPr>
                <w:sz w:val="20"/>
                <w:szCs w:val="20"/>
              </w:rPr>
              <w:lastRenderedPageBreak/>
              <w:t>wysypka stopnia 4.,</w:t>
            </w:r>
          </w:p>
          <w:p w:rsidR="00676E5C" w:rsidRPr="00AB3A41" w:rsidRDefault="00676E5C" w:rsidP="00AB3A41">
            <w:pPr>
              <w:pStyle w:val="Akapitzlist"/>
              <w:numPr>
                <w:ilvl w:val="3"/>
                <w:numId w:val="27"/>
              </w:numPr>
              <w:autoSpaceDE w:val="0"/>
              <w:autoSpaceDN w:val="0"/>
              <w:adjustRightInd w:val="0"/>
              <w:spacing w:after="60"/>
              <w:contextualSpacing w:val="0"/>
              <w:jc w:val="both"/>
              <w:rPr>
                <w:sz w:val="20"/>
                <w:szCs w:val="20"/>
              </w:rPr>
            </w:pPr>
            <w:r w:rsidRPr="009E1845">
              <w:rPr>
                <w:sz w:val="20"/>
                <w:szCs w:val="20"/>
              </w:rPr>
              <w:t>działania niepożądane pochodzenia immunologicznego</w:t>
            </w:r>
            <w:r w:rsidR="00F6274E" w:rsidRPr="009E1845">
              <w:rPr>
                <w:sz w:val="20"/>
                <w:szCs w:val="20"/>
              </w:rPr>
              <w:t xml:space="preserve"> </w:t>
            </w:r>
            <w:r w:rsidRPr="009E1845">
              <w:rPr>
                <w:sz w:val="20"/>
                <w:szCs w:val="20"/>
              </w:rPr>
              <w:t>stopnia 2. lub 3., które utrzymują się pomimo</w:t>
            </w:r>
            <w:r w:rsidR="00F6274E" w:rsidRPr="009E1845">
              <w:rPr>
                <w:sz w:val="20"/>
                <w:szCs w:val="20"/>
              </w:rPr>
              <w:t xml:space="preserve"> </w:t>
            </w:r>
            <w:r w:rsidRPr="009E1845">
              <w:rPr>
                <w:sz w:val="20"/>
                <w:szCs w:val="20"/>
              </w:rPr>
              <w:t>modyfikacji leczenia lub w przypadku braku</w:t>
            </w:r>
            <w:r w:rsidR="00F6274E" w:rsidRPr="009E1845">
              <w:rPr>
                <w:sz w:val="20"/>
                <w:szCs w:val="20"/>
              </w:rPr>
              <w:t xml:space="preserve"> </w:t>
            </w:r>
            <w:r w:rsidRPr="009E1845">
              <w:rPr>
                <w:sz w:val="20"/>
                <w:szCs w:val="20"/>
              </w:rPr>
              <w:t>możliwości zredukowania dawki kortykosteroidów do</w:t>
            </w:r>
            <w:r w:rsidR="00F6274E" w:rsidRPr="009E1845">
              <w:rPr>
                <w:sz w:val="20"/>
                <w:szCs w:val="20"/>
              </w:rPr>
              <w:t xml:space="preserve"> </w:t>
            </w:r>
            <w:r w:rsidRPr="009E1845">
              <w:rPr>
                <w:sz w:val="20"/>
                <w:szCs w:val="20"/>
              </w:rPr>
              <w:t xml:space="preserve">10 mg </w:t>
            </w:r>
            <w:proofErr w:type="spellStart"/>
            <w:r w:rsidRPr="009E1845">
              <w:rPr>
                <w:sz w:val="20"/>
                <w:szCs w:val="20"/>
              </w:rPr>
              <w:t>prednizonu</w:t>
            </w:r>
            <w:proofErr w:type="spellEnd"/>
            <w:r w:rsidRPr="009E1845">
              <w:rPr>
                <w:sz w:val="20"/>
                <w:szCs w:val="20"/>
              </w:rPr>
              <w:t xml:space="preserve"> na dobę lub </w:t>
            </w:r>
            <w:r w:rsidRPr="00AB3A41">
              <w:rPr>
                <w:sz w:val="20"/>
                <w:szCs w:val="20"/>
              </w:rPr>
              <w:t>równoważnej dawki</w:t>
            </w:r>
            <w:r w:rsidR="00F6274E" w:rsidRPr="00AB3A41">
              <w:rPr>
                <w:sz w:val="20"/>
                <w:szCs w:val="20"/>
              </w:rPr>
              <w:t xml:space="preserve"> </w:t>
            </w:r>
            <w:r w:rsidRPr="00AB3A41">
              <w:rPr>
                <w:sz w:val="20"/>
                <w:szCs w:val="20"/>
              </w:rPr>
              <w:t>innego leku;</w:t>
            </w:r>
          </w:p>
          <w:p w:rsidR="00676E5C" w:rsidRPr="00AB3A41" w:rsidRDefault="00676E5C" w:rsidP="00AB3A41">
            <w:pPr>
              <w:pStyle w:val="Akapitzlist"/>
              <w:numPr>
                <w:ilvl w:val="2"/>
                <w:numId w:val="27"/>
              </w:numPr>
              <w:autoSpaceDE w:val="0"/>
              <w:autoSpaceDN w:val="0"/>
              <w:adjustRightInd w:val="0"/>
              <w:spacing w:after="60"/>
              <w:contextualSpacing w:val="0"/>
              <w:jc w:val="both"/>
              <w:rPr>
                <w:sz w:val="20"/>
                <w:szCs w:val="20"/>
              </w:rPr>
            </w:pPr>
            <w:r w:rsidRPr="00AB3A41">
              <w:rPr>
                <w:sz w:val="20"/>
                <w:szCs w:val="20"/>
              </w:rPr>
              <w:t>utrzymujące się pogorszenie stanu sprawności 70</w:t>
            </w:r>
            <w:r w:rsidR="00F6274E" w:rsidRPr="00AB3A41">
              <w:rPr>
                <w:sz w:val="20"/>
                <w:szCs w:val="20"/>
              </w:rPr>
              <w:t xml:space="preserve"> </w:t>
            </w:r>
            <w:r w:rsidRPr="00AB3A41">
              <w:rPr>
                <w:sz w:val="20"/>
                <w:szCs w:val="20"/>
              </w:rPr>
              <w:t xml:space="preserve">lub niższy według skali </w:t>
            </w:r>
            <w:proofErr w:type="spellStart"/>
            <w:r w:rsidRPr="00AB3A41">
              <w:rPr>
                <w:sz w:val="20"/>
                <w:szCs w:val="20"/>
              </w:rPr>
              <w:t>Karnofsky'ego</w:t>
            </w:r>
            <w:proofErr w:type="spellEnd"/>
            <w:r w:rsidRPr="00AB3A41">
              <w:rPr>
                <w:sz w:val="20"/>
                <w:szCs w:val="20"/>
              </w:rPr>
              <w:t>;</w:t>
            </w:r>
          </w:p>
          <w:p w:rsidR="00AB3A41" w:rsidRPr="00AB3A41" w:rsidRDefault="00676E5C" w:rsidP="009E1845">
            <w:pPr>
              <w:pStyle w:val="Akapitzlist"/>
              <w:numPr>
                <w:ilvl w:val="2"/>
                <w:numId w:val="27"/>
              </w:numPr>
              <w:autoSpaceDE w:val="0"/>
              <w:autoSpaceDN w:val="0"/>
              <w:adjustRightInd w:val="0"/>
              <w:spacing w:after="60"/>
              <w:contextualSpacing w:val="0"/>
              <w:jc w:val="both"/>
              <w:rPr>
                <w:sz w:val="20"/>
                <w:szCs w:val="20"/>
              </w:rPr>
            </w:pPr>
            <w:r w:rsidRPr="00AB3A41">
              <w:rPr>
                <w:sz w:val="20"/>
                <w:szCs w:val="20"/>
              </w:rPr>
              <w:t>istotne pogorszenie jakości życia w trakcie stosowania</w:t>
            </w:r>
            <w:r w:rsidR="00F6274E" w:rsidRPr="00AB3A41">
              <w:rPr>
                <w:sz w:val="20"/>
                <w:szCs w:val="20"/>
              </w:rPr>
              <w:t xml:space="preserve"> </w:t>
            </w:r>
            <w:r w:rsidRPr="00AB3A41">
              <w:rPr>
                <w:sz w:val="20"/>
                <w:szCs w:val="20"/>
              </w:rPr>
              <w:t>leku.</w:t>
            </w:r>
          </w:p>
          <w:p w:rsidR="00AB3A41" w:rsidRPr="00AB3A41" w:rsidRDefault="00AB3A41" w:rsidP="00AB3A41">
            <w:pPr>
              <w:autoSpaceDE w:val="0"/>
              <w:autoSpaceDN w:val="0"/>
              <w:adjustRightInd w:val="0"/>
              <w:spacing w:after="60"/>
              <w:ind w:left="170"/>
              <w:jc w:val="both"/>
              <w:rPr>
                <w:sz w:val="20"/>
                <w:szCs w:val="20"/>
              </w:rPr>
            </w:pPr>
          </w:p>
          <w:p w:rsidR="005A5010" w:rsidRPr="00AB3A41" w:rsidRDefault="005A5010" w:rsidP="00AB3A41">
            <w:pPr>
              <w:pStyle w:val="Akapitzlist"/>
              <w:numPr>
                <w:ilvl w:val="0"/>
                <w:numId w:val="27"/>
              </w:numPr>
              <w:autoSpaceDE w:val="0"/>
              <w:autoSpaceDN w:val="0"/>
              <w:adjustRightInd w:val="0"/>
              <w:spacing w:after="60"/>
              <w:contextualSpacing w:val="0"/>
              <w:jc w:val="both"/>
              <w:rPr>
                <w:b/>
                <w:sz w:val="20"/>
                <w:szCs w:val="20"/>
              </w:rPr>
            </w:pPr>
            <w:r w:rsidRPr="00AB3A41">
              <w:rPr>
                <w:b/>
                <w:sz w:val="20"/>
                <w:szCs w:val="20"/>
              </w:rPr>
              <w:t>Kontynuacja leczenia pacjentów po zakończeniu finansowania w ramach chemioterapii niestandardowej</w:t>
            </w:r>
          </w:p>
          <w:p w:rsidR="005A5010" w:rsidRPr="009E1845" w:rsidRDefault="005A5010" w:rsidP="00AB3A41">
            <w:pPr>
              <w:pStyle w:val="Akapitzlist"/>
              <w:numPr>
                <w:ilvl w:val="2"/>
                <w:numId w:val="27"/>
              </w:numPr>
              <w:autoSpaceDE w:val="0"/>
              <w:autoSpaceDN w:val="0"/>
              <w:adjustRightInd w:val="0"/>
              <w:spacing w:after="60"/>
              <w:contextualSpacing w:val="0"/>
              <w:jc w:val="both"/>
              <w:rPr>
                <w:sz w:val="20"/>
                <w:szCs w:val="20"/>
              </w:rPr>
            </w:pPr>
            <w:r w:rsidRPr="009E1845">
              <w:rPr>
                <w:sz w:val="20"/>
                <w:szCs w:val="20"/>
              </w:rPr>
              <w:t xml:space="preserve">Z dniem 1 </w:t>
            </w:r>
            <w:r w:rsidR="00662838" w:rsidRPr="009E1845">
              <w:rPr>
                <w:sz w:val="20"/>
                <w:szCs w:val="20"/>
              </w:rPr>
              <w:t>kwietnia 2018 r.</w:t>
            </w:r>
            <w:r w:rsidRPr="009E1845">
              <w:rPr>
                <w:sz w:val="20"/>
                <w:szCs w:val="20"/>
              </w:rPr>
              <w:t xml:space="preserve"> do programu kwalifikowani mogą być pacjenci, których leczenie było finansowane do tego dnia w ramach programu chemioterapii niestandardowej.</w:t>
            </w:r>
          </w:p>
          <w:p w:rsidR="005A5010" w:rsidRPr="009E1845" w:rsidRDefault="005A5010" w:rsidP="00AB3A41">
            <w:pPr>
              <w:pStyle w:val="Akapitzlist"/>
              <w:numPr>
                <w:ilvl w:val="2"/>
                <w:numId w:val="27"/>
              </w:numPr>
              <w:autoSpaceDE w:val="0"/>
              <w:autoSpaceDN w:val="0"/>
              <w:adjustRightInd w:val="0"/>
              <w:spacing w:after="60"/>
              <w:contextualSpacing w:val="0"/>
              <w:jc w:val="both"/>
              <w:rPr>
                <w:sz w:val="20"/>
                <w:szCs w:val="20"/>
              </w:rPr>
            </w:pPr>
            <w:r w:rsidRPr="009E1845">
              <w:rPr>
                <w:sz w:val="20"/>
                <w:szCs w:val="20"/>
              </w:rPr>
              <w:t>Kwalifikacja, o której mowa w pkt 1, dotyczy leczenia tą samą substancją czynną, która była finansowana w ramach programu chemioterapii niestandardowej.</w:t>
            </w:r>
          </w:p>
          <w:p w:rsidR="005A5010" w:rsidRPr="009E1845" w:rsidRDefault="005A5010" w:rsidP="00AB3A41">
            <w:pPr>
              <w:pStyle w:val="Akapitzlist"/>
              <w:numPr>
                <w:ilvl w:val="2"/>
                <w:numId w:val="27"/>
              </w:numPr>
              <w:autoSpaceDE w:val="0"/>
              <w:autoSpaceDN w:val="0"/>
              <w:adjustRightInd w:val="0"/>
              <w:spacing w:after="60"/>
              <w:contextualSpacing w:val="0"/>
              <w:jc w:val="both"/>
              <w:rPr>
                <w:sz w:val="20"/>
                <w:szCs w:val="20"/>
              </w:rPr>
            </w:pPr>
            <w:r w:rsidRPr="009E1845">
              <w:rPr>
                <w:sz w:val="20"/>
                <w:szCs w:val="20"/>
              </w:rPr>
              <w:t>Pacjenci, o których mowa w pkt 1, nie muszą spełniać w chwili kwalifikacji innych kryteriów wymaganych do włączenia do programu.</w:t>
            </w:r>
          </w:p>
          <w:p w:rsidR="005A5010" w:rsidRPr="009E1845" w:rsidRDefault="005A5010" w:rsidP="00AB3A41">
            <w:pPr>
              <w:pStyle w:val="Akapitzlist"/>
              <w:numPr>
                <w:ilvl w:val="2"/>
                <w:numId w:val="27"/>
              </w:numPr>
              <w:autoSpaceDE w:val="0"/>
              <w:autoSpaceDN w:val="0"/>
              <w:adjustRightInd w:val="0"/>
              <w:spacing w:after="60"/>
              <w:contextualSpacing w:val="0"/>
              <w:jc w:val="both"/>
              <w:rPr>
                <w:sz w:val="20"/>
                <w:szCs w:val="20"/>
              </w:rPr>
            </w:pPr>
            <w:r w:rsidRPr="009E1845">
              <w:rPr>
                <w:sz w:val="20"/>
                <w:szCs w:val="20"/>
              </w:rPr>
              <w:t>Pacjenci, o których mowa w pkt 1, kontynuują leczenie w ramach programu do momentu podjęcia decyzji przez lekarza prowadzącego o zakończeniu leczenia danym lekiem.</w:t>
            </w:r>
          </w:p>
        </w:tc>
        <w:tc>
          <w:tcPr>
            <w:tcW w:w="1395" w:type="pct"/>
            <w:tcBorders>
              <w:top w:val="single" w:sz="6" w:space="0" w:color="auto"/>
              <w:left w:val="single" w:sz="6" w:space="0" w:color="auto"/>
              <w:bottom w:val="single" w:sz="6" w:space="0" w:color="auto"/>
              <w:right w:val="single" w:sz="6" w:space="0" w:color="auto"/>
            </w:tcBorders>
          </w:tcPr>
          <w:p w:rsidR="000D3D20" w:rsidRPr="005E7BBD" w:rsidRDefault="000D3D20" w:rsidP="005746CC">
            <w:pPr>
              <w:pStyle w:val="Akapitzlist"/>
              <w:numPr>
                <w:ilvl w:val="0"/>
                <w:numId w:val="28"/>
              </w:numPr>
              <w:autoSpaceDE w:val="0"/>
              <w:autoSpaceDN w:val="0"/>
              <w:adjustRightInd w:val="0"/>
              <w:spacing w:before="120" w:after="60"/>
              <w:contextualSpacing w:val="0"/>
              <w:jc w:val="both"/>
              <w:rPr>
                <w:b/>
                <w:bCs/>
                <w:sz w:val="20"/>
                <w:szCs w:val="20"/>
              </w:rPr>
            </w:pPr>
            <w:proofErr w:type="spellStart"/>
            <w:r w:rsidRPr="009E1845">
              <w:rPr>
                <w:b/>
                <w:bCs/>
                <w:sz w:val="20"/>
                <w:szCs w:val="20"/>
              </w:rPr>
              <w:lastRenderedPageBreak/>
              <w:t>Sunitynib</w:t>
            </w:r>
            <w:proofErr w:type="spellEnd"/>
          </w:p>
          <w:p w:rsidR="000D3D20" w:rsidRPr="005E7BBD" w:rsidRDefault="000D3D20" w:rsidP="005E7BBD">
            <w:pPr>
              <w:pStyle w:val="Akapitzlist"/>
              <w:numPr>
                <w:ilvl w:val="1"/>
                <w:numId w:val="28"/>
              </w:numPr>
              <w:autoSpaceDE w:val="0"/>
              <w:autoSpaceDN w:val="0"/>
              <w:adjustRightInd w:val="0"/>
              <w:spacing w:after="60"/>
              <w:contextualSpacing w:val="0"/>
              <w:jc w:val="both"/>
              <w:rPr>
                <w:bCs/>
                <w:sz w:val="20"/>
                <w:szCs w:val="20"/>
              </w:rPr>
            </w:pPr>
            <w:r w:rsidRPr="005E7BBD">
              <w:rPr>
                <w:bCs/>
                <w:sz w:val="20"/>
                <w:szCs w:val="20"/>
              </w:rPr>
              <w:t xml:space="preserve">Zalecana dawka </w:t>
            </w:r>
            <w:proofErr w:type="spellStart"/>
            <w:r w:rsidRPr="005E7BBD">
              <w:rPr>
                <w:bCs/>
                <w:sz w:val="20"/>
                <w:szCs w:val="20"/>
              </w:rPr>
              <w:t>sunitynibu</w:t>
            </w:r>
            <w:proofErr w:type="spellEnd"/>
            <w:r w:rsidRPr="005E7BBD">
              <w:rPr>
                <w:bCs/>
                <w:sz w:val="20"/>
                <w:szCs w:val="20"/>
              </w:rPr>
              <w:t xml:space="preserve"> wynosi 50 mg doustnie raz na dobę przez 4 kolejne tygodnie, po czym następuje 14-dniowa przerwa, co stanowi pełny 6-tygodniowy cykl leczenia. </w:t>
            </w:r>
          </w:p>
          <w:p w:rsidR="000D3D20" w:rsidRPr="005E7BBD" w:rsidRDefault="000D3D20" w:rsidP="005E7BBD">
            <w:pPr>
              <w:pStyle w:val="Akapitzlist"/>
              <w:numPr>
                <w:ilvl w:val="1"/>
                <w:numId w:val="28"/>
              </w:numPr>
              <w:autoSpaceDE w:val="0"/>
              <w:autoSpaceDN w:val="0"/>
              <w:adjustRightInd w:val="0"/>
              <w:spacing w:after="60"/>
              <w:contextualSpacing w:val="0"/>
              <w:jc w:val="both"/>
              <w:rPr>
                <w:bCs/>
                <w:sz w:val="20"/>
                <w:szCs w:val="20"/>
              </w:rPr>
            </w:pPr>
            <w:r w:rsidRPr="005E7BBD">
              <w:rPr>
                <w:bCs/>
                <w:sz w:val="20"/>
                <w:szCs w:val="20"/>
              </w:rPr>
              <w:t xml:space="preserve">W przypadku wystąpienia istotnych klinicznie lub ciężkich działań niepożądanych należy przerwać stosowanie leku aż do zmniejszenia się nasilenia wspomnianych objawów oraz w trakcie dalszego leczenia należy rozważyć redukcję dawki do 37,5 mg na dobę podawanej przez 4 kolejne tygodnie z następującą po tym okresie 14-dniową przerwą. </w:t>
            </w:r>
          </w:p>
          <w:p w:rsidR="000D3D20" w:rsidRPr="005E7BBD" w:rsidRDefault="005E7BBD" w:rsidP="005E7BBD">
            <w:pPr>
              <w:pStyle w:val="Akapitzlist"/>
              <w:numPr>
                <w:ilvl w:val="1"/>
                <w:numId w:val="28"/>
              </w:numPr>
              <w:autoSpaceDE w:val="0"/>
              <w:autoSpaceDN w:val="0"/>
              <w:adjustRightInd w:val="0"/>
              <w:spacing w:after="60"/>
              <w:contextualSpacing w:val="0"/>
              <w:jc w:val="both"/>
              <w:rPr>
                <w:bCs/>
                <w:sz w:val="20"/>
                <w:szCs w:val="20"/>
              </w:rPr>
            </w:pPr>
            <w:r>
              <w:rPr>
                <w:bCs/>
                <w:sz w:val="20"/>
                <w:szCs w:val="20"/>
              </w:rPr>
              <w:t>J</w:t>
            </w:r>
            <w:r w:rsidR="000D3D20" w:rsidRPr="005E7BBD">
              <w:rPr>
                <w:bCs/>
                <w:sz w:val="20"/>
                <w:szCs w:val="20"/>
              </w:rPr>
              <w:t xml:space="preserve">eżeli ciężkie objawy niepożądane nie zmniejszą swojego nasilenia w ciągu 4 tygodni mimo przerwania podawania leku, to należy definitywnie zakończyć leczenie. </w:t>
            </w:r>
          </w:p>
          <w:p w:rsidR="000D3D20" w:rsidRPr="005E7BBD" w:rsidRDefault="000D3D20" w:rsidP="005E7BBD">
            <w:pPr>
              <w:pStyle w:val="Akapitzlist"/>
              <w:numPr>
                <w:ilvl w:val="1"/>
                <w:numId w:val="28"/>
              </w:numPr>
              <w:autoSpaceDE w:val="0"/>
              <w:autoSpaceDN w:val="0"/>
              <w:adjustRightInd w:val="0"/>
              <w:spacing w:after="60"/>
              <w:contextualSpacing w:val="0"/>
              <w:jc w:val="both"/>
              <w:rPr>
                <w:bCs/>
                <w:sz w:val="20"/>
                <w:szCs w:val="20"/>
              </w:rPr>
            </w:pPr>
            <w:r w:rsidRPr="005E7BBD">
              <w:rPr>
                <w:bCs/>
                <w:sz w:val="20"/>
                <w:szCs w:val="20"/>
              </w:rPr>
              <w:t xml:space="preserve">Jeżeli pomimo redukcji dawki do 37,5 mg na dobę istotne klinicznie lub ciężkie działania niepożądane ponownie wystąpią, to należy zmniejszyć dawkę leku do 25 mg na dobę podawanej przez 4 kolejne tygodnie z następującą po tym okresie 14-dniową przerwą. </w:t>
            </w:r>
          </w:p>
          <w:p w:rsidR="005E7BBD" w:rsidRPr="005E7BBD" w:rsidRDefault="000D3D20" w:rsidP="006123B0">
            <w:pPr>
              <w:pStyle w:val="Akapitzlist"/>
              <w:numPr>
                <w:ilvl w:val="1"/>
                <w:numId w:val="28"/>
              </w:numPr>
              <w:autoSpaceDE w:val="0"/>
              <w:autoSpaceDN w:val="0"/>
              <w:adjustRightInd w:val="0"/>
              <w:spacing w:after="60"/>
              <w:contextualSpacing w:val="0"/>
              <w:jc w:val="both"/>
              <w:rPr>
                <w:sz w:val="20"/>
                <w:szCs w:val="20"/>
              </w:rPr>
            </w:pPr>
            <w:r w:rsidRPr="005E7BBD">
              <w:rPr>
                <w:bCs/>
                <w:sz w:val="20"/>
                <w:szCs w:val="20"/>
              </w:rPr>
              <w:t>Ponowne pojawienie się istotnych klinicznie lub ciężkich działań niepożądanych nakazuje zakończenie leczenia.</w:t>
            </w:r>
          </w:p>
          <w:p w:rsidR="005E7BBD" w:rsidRPr="005E7BBD" w:rsidRDefault="00AC4233" w:rsidP="005E7BBD">
            <w:pPr>
              <w:pStyle w:val="Akapitzlist"/>
              <w:numPr>
                <w:ilvl w:val="0"/>
                <w:numId w:val="28"/>
              </w:numPr>
              <w:autoSpaceDE w:val="0"/>
              <w:autoSpaceDN w:val="0"/>
              <w:adjustRightInd w:val="0"/>
              <w:spacing w:after="60"/>
              <w:contextualSpacing w:val="0"/>
              <w:jc w:val="both"/>
              <w:rPr>
                <w:sz w:val="20"/>
                <w:szCs w:val="20"/>
              </w:rPr>
            </w:pPr>
            <w:proofErr w:type="spellStart"/>
            <w:r w:rsidRPr="005E7BBD">
              <w:rPr>
                <w:b/>
                <w:bCs/>
                <w:sz w:val="20"/>
                <w:szCs w:val="20"/>
              </w:rPr>
              <w:lastRenderedPageBreak/>
              <w:t>Sorafenib</w:t>
            </w:r>
            <w:proofErr w:type="spellEnd"/>
          </w:p>
          <w:p w:rsidR="005E7BBD" w:rsidRPr="005E7BBD" w:rsidRDefault="00AC4233" w:rsidP="005E7BBD">
            <w:pPr>
              <w:pStyle w:val="Akapitzlist"/>
              <w:numPr>
                <w:ilvl w:val="1"/>
                <w:numId w:val="28"/>
              </w:numPr>
              <w:autoSpaceDE w:val="0"/>
              <w:autoSpaceDN w:val="0"/>
              <w:adjustRightInd w:val="0"/>
              <w:spacing w:after="60"/>
              <w:contextualSpacing w:val="0"/>
              <w:jc w:val="both"/>
              <w:rPr>
                <w:sz w:val="20"/>
                <w:szCs w:val="20"/>
              </w:rPr>
            </w:pPr>
            <w:proofErr w:type="spellStart"/>
            <w:r w:rsidRPr="005E7BBD">
              <w:rPr>
                <w:bCs/>
                <w:sz w:val="20"/>
                <w:szCs w:val="20"/>
              </w:rPr>
              <w:t>Sorafenib</w:t>
            </w:r>
            <w:proofErr w:type="spellEnd"/>
            <w:r w:rsidRPr="005E7BBD">
              <w:rPr>
                <w:bCs/>
                <w:sz w:val="20"/>
                <w:szCs w:val="20"/>
              </w:rPr>
              <w:t xml:space="preserve"> jest stosowany w dobowej dawce 800 mg (2 razy dziennie po 2 tabletki zawierające 200 mg) bez przerw.</w:t>
            </w:r>
          </w:p>
          <w:p w:rsidR="005E7BBD" w:rsidRDefault="00AC4233" w:rsidP="005E7BBD">
            <w:pPr>
              <w:pStyle w:val="Akapitzlist"/>
              <w:numPr>
                <w:ilvl w:val="1"/>
                <w:numId w:val="28"/>
              </w:numPr>
              <w:autoSpaceDE w:val="0"/>
              <w:autoSpaceDN w:val="0"/>
              <w:adjustRightInd w:val="0"/>
              <w:spacing w:after="60"/>
              <w:contextualSpacing w:val="0"/>
              <w:jc w:val="both"/>
              <w:rPr>
                <w:sz w:val="20"/>
                <w:szCs w:val="20"/>
              </w:rPr>
            </w:pPr>
            <w:r w:rsidRPr="005E7BBD">
              <w:rPr>
                <w:sz w:val="20"/>
                <w:szCs w:val="20"/>
              </w:rPr>
              <w:t xml:space="preserve">W przypadku wystąpienia istotnych klinicznie lub ciężkich działań niepożądanych należy przerwać stosowanie leku aż do zmniejszenia się ich nasilenia oraz należy rozważyć zmniejszenie dobowej dawki </w:t>
            </w:r>
            <w:proofErr w:type="spellStart"/>
            <w:r w:rsidRPr="005E7BBD">
              <w:rPr>
                <w:sz w:val="20"/>
                <w:szCs w:val="20"/>
              </w:rPr>
              <w:t>sorafenibu</w:t>
            </w:r>
            <w:proofErr w:type="spellEnd"/>
            <w:r w:rsidRPr="005E7BBD">
              <w:rPr>
                <w:sz w:val="20"/>
                <w:szCs w:val="20"/>
              </w:rPr>
              <w:t xml:space="preserve"> do 400 mg dziennie (2 tabletki po 200 mg 1 raz dziennie).</w:t>
            </w:r>
          </w:p>
          <w:p w:rsidR="005E7BBD" w:rsidRDefault="00AC4233" w:rsidP="005E7BBD">
            <w:pPr>
              <w:pStyle w:val="Akapitzlist"/>
              <w:numPr>
                <w:ilvl w:val="1"/>
                <w:numId w:val="28"/>
              </w:numPr>
              <w:autoSpaceDE w:val="0"/>
              <w:autoSpaceDN w:val="0"/>
              <w:adjustRightInd w:val="0"/>
              <w:spacing w:after="60"/>
              <w:contextualSpacing w:val="0"/>
              <w:jc w:val="both"/>
              <w:rPr>
                <w:sz w:val="20"/>
                <w:szCs w:val="20"/>
              </w:rPr>
            </w:pPr>
            <w:r w:rsidRPr="005E7BBD">
              <w:rPr>
                <w:sz w:val="20"/>
                <w:szCs w:val="20"/>
              </w:rPr>
              <w:t>Jeżeli ciężkie działania niepożądane nie zmniejszą swojego nasilenia w ciągu 4 tygodni mimo przerwania podawania leku, należy zakończyć leczenie.</w:t>
            </w:r>
          </w:p>
          <w:p w:rsidR="005E7BBD" w:rsidRDefault="00AC4233" w:rsidP="005E7BBD">
            <w:pPr>
              <w:pStyle w:val="Akapitzlist"/>
              <w:numPr>
                <w:ilvl w:val="1"/>
                <w:numId w:val="28"/>
              </w:numPr>
              <w:autoSpaceDE w:val="0"/>
              <w:autoSpaceDN w:val="0"/>
              <w:adjustRightInd w:val="0"/>
              <w:spacing w:after="60"/>
              <w:contextualSpacing w:val="0"/>
              <w:jc w:val="both"/>
              <w:rPr>
                <w:sz w:val="20"/>
                <w:szCs w:val="20"/>
              </w:rPr>
            </w:pPr>
            <w:r w:rsidRPr="005E7BBD">
              <w:rPr>
                <w:sz w:val="20"/>
                <w:szCs w:val="20"/>
              </w:rPr>
              <w:t>Jeżeli pomimo redukcji dawki do 400 mg dziennie istotne klinicznie lub ciężkie działania niepożądane ponownie wystąpią, należy zredukować dawkę leku do 400 mg podawanych co drugi dzień.</w:t>
            </w:r>
          </w:p>
          <w:p w:rsidR="00DF38B5" w:rsidRDefault="00AC4233" w:rsidP="005E7BBD">
            <w:pPr>
              <w:pStyle w:val="Akapitzlist"/>
              <w:numPr>
                <w:ilvl w:val="1"/>
                <w:numId w:val="28"/>
              </w:numPr>
              <w:autoSpaceDE w:val="0"/>
              <w:autoSpaceDN w:val="0"/>
              <w:adjustRightInd w:val="0"/>
              <w:spacing w:after="60"/>
              <w:contextualSpacing w:val="0"/>
              <w:jc w:val="both"/>
              <w:rPr>
                <w:sz w:val="20"/>
                <w:szCs w:val="20"/>
              </w:rPr>
            </w:pPr>
            <w:r w:rsidRPr="005E7BBD">
              <w:rPr>
                <w:sz w:val="20"/>
                <w:szCs w:val="20"/>
              </w:rPr>
              <w:t>Ponowne pojawienie się istotnych klinicznie lub ciężkich działań niepożądanych nakazuje zakończenie leczenia</w:t>
            </w:r>
            <w:r w:rsidR="00DF38B5">
              <w:rPr>
                <w:sz w:val="20"/>
                <w:szCs w:val="20"/>
              </w:rPr>
              <w:t>.</w:t>
            </w:r>
          </w:p>
          <w:p w:rsidR="00DF38B5" w:rsidRDefault="00DF38B5" w:rsidP="00DF38B5">
            <w:pPr>
              <w:pStyle w:val="Akapitzlist"/>
              <w:autoSpaceDE w:val="0"/>
              <w:autoSpaceDN w:val="0"/>
              <w:adjustRightInd w:val="0"/>
              <w:spacing w:after="60"/>
              <w:ind w:left="227"/>
              <w:contextualSpacing w:val="0"/>
              <w:jc w:val="both"/>
              <w:rPr>
                <w:sz w:val="20"/>
                <w:szCs w:val="20"/>
              </w:rPr>
            </w:pPr>
          </w:p>
          <w:p w:rsidR="00DF38B5" w:rsidRPr="00DF38B5" w:rsidRDefault="001852AD" w:rsidP="00DF38B5">
            <w:pPr>
              <w:pStyle w:val="Akapitzlist"/>
              <w:numPr>
                <w:ilvl w:val="0"/>
                <w:numId w:val="28"/>
              </w:numPr>
              <w:autoSpaceDE w:val="0"/>
              <w:autoSpaceDN w:val="0"/>
              <w:adjustRightInd w:val="0"/>
              <w:spacing w:after="60"/>
              <w:contextualSpacing w:val="0"/>
              <w:jc w:val="both"/>
              <w:rPr>
                <w:sz w:val="20"/>
                <w:szCs w:val="20"/>
              </w:rPr>
            </w:pPr>
            <w:proofErr w:type="spellStart"/>
            <w:r w:rsidRPr="005E7BBD">
              <w:rPr>
                <w:b/>
                <w:sz w:val="20"/>
                <w:szCs w:val="20"/>
              </w:rPr>
              <w:t>Pazopanib</w:t>
            </w:r>
            <w:proofErr w:type="spellEnd"/>
          </w:p>
          <w:p w:rsidR="00DF38B5" w:rsidRDefault="001852AD" w:rsidP="00DF38B5">
            <w:pPr>
              <w:pStyle w:val="Akapitzlist"/>
              <w:numPr>
                <w:ilvl w:val="1"/>
                <w:numId w:val="28"/>
              </w:numPr>
              <w:autoSpaceDE w:val="0"/>
              <w:autoSpaceDN w:val="0"/>
              <w:adjustRightInd w:val="0"/>
              <w:spacing w:after="60"/>
              <w:contextualSpacing w:val="0"/>
              <w:jc w:val="both"/>
              <w:rPr>
                <w:sz w:val="20"/>
                <w:szCs w:val="20"/>
              </w:rPr>
            </w:pPr>
            <w:r w:rsidRPr="005E7BBD">
              <w:rPr>
                <w:sz w:val="20"/>
                <w:szCs w:val="20"/>
              </w:rPr>
              <w:t xml:space="preserve">Zalecana dawka </w:t>
            </w:r>
            <w:proofErr w:type="spellStart"/>
            <w:r w:rsidRPr="005E7BBD">
              <w:rPr>
                <w:sz w:val="20"/>
                <w:szCs w:val="20"/>
              </w:rPr>
              <w:t>pazopanibu</w:t>
            </w:r>
            <w:proofErr w:type="spellEnd"/>
            <w:r w:rsidRPr="005E7BBD">
              <w:rPr>
                <w:sz w:val="20"/>
                <w:szCs w:val="20"/>
              </w:rPr>
              <w:t xml:space="preserve"> wynosi 800 mg doustnie raz na dobę</w:t>
            </w:r>
            <w:r w:rsidR="00DF38B5">
              <w:rPr>
                <w:sz w:val="20"/>
                <w:szCs w:val="20"/>
              </w:rPr>
              <w:t>.</w:t>
            </w:r>
          </w:p>
          <w:p w:rsidR="00DF38B5" w:rsidRDefault="001852AD" w:rsidP="00DF38B5">
            <w:pPr>
              <w:pStyle w:val="Akapitzlist"/>
              <w:numPr>
                <w:ilvl w:val="1"/>
                <w:numId w:val="28"/>
              </w:numPr>
              <w:autoSpaceDE w:val="0"/>
              <w:autoSpaceDN w:val="0"/>
              <w:adjustRightInd w:val="0"/>
              <w:spacing w:after="60"/>
              <w:contextualSpacing w:val="0"/>
              <w:jc w:val="both"/>
              <w:rPr>
                <w:sz w:val="20"/>
                <w:szCs w:val="20"/>
              </w:rPr>
            </w:pPr>
            <w:r w:rsidRPr="005E7BBD">
              <w:rPr>
                <w:sz w:val="20"/>
                <w:szCs w:val="20"/>
              </w:rPr>
              <w:t xml:space="preserve">Modyfikacje dawki: w zależności od indywidualnej tolerancji leczenia, w celu opanowania działań niepożądanych, dawkę należy dostosowywać, zmieniając ją stopniowo, za każdym razem o 200 mg. Dawka </w:t>
            </w:r>
            <w:proofErr w:type="spellStart"/>
            <w:r w:rsidRPr="005E7BBD">
              <w:rPr>
                <w:sz w:val="20"/>
                <w:szCs w:val="20"/>
              </w:rPr>
              <w:t>pazopanibu</w:t>
            </w:r>
            <w:proofErr w:type="spellEnd"/>
            <w:r w:rsidR="00744872">
              <w:rPr>
                <w:sz w:val="20"/>
                <w:szCs w:val="20"/>
              </w:rPr>
              <w:t xml:space="preserve"> </w:t>
            </w:r>
            <w:r w:rsidRPr="005E7BBD">
              <w:rPr>
                <w:sz w:val="20"/>
                <w:szCs w:val="20"/>
              </w:rPr>
              <w:t>nie powinna być większa niż 800 mg</w:t>
            </w:r>
          </w:p>
          <w:p w:rsidR="00DF38B5" w:rsidRDefault="001852AD" w:rsidP="00DF38B5">
            <w:pPr>
              <w:pStyle w:val="Akapitzlist"/>
              <w:numPr>
                <w:ilvl w:val="1"/>
                <w:numId w:val="28"/>
              </w:numPr>
              <w:autoSpaceDE w:val="0"/>
              <w:autoSpaceDN w:val="0"/>
              <w:adjustRightInd w:val="0"/>
              <w:spacing w:after="60"/>
              <w:contextualSpacing w:val="0"/>
              <w:jc w:val="both"/>
              <w:rPr>
                <w:sz w:val="20"/>
                <w:szCs w:val="20"/>
              </w:rPr>
            </w:pPr>
            <w:r w:rsidRPr="005E7BBD">
              <w:rPr>
                <w:sz w:val="20"/>
                <w:szCs w:val="20"/>
              </w:rPr>
              <w:t xml:space="preserve">Zaleca się, aby pacjenci z łagodnymi nieprawidłowościami parametrów czynności wątroby byli leczeni na początku dawką 800 mg </w:t>
            </w:r>
            <w:proofErr w:type="spellStart"/>
            <w:r w:rsidRPr="005E7BBD">
              <w:rPr>
                <w:sz w:val="20"/>
                <w:szCs w:val="20"/>
              </w:rPr>
              <w:lastRenderedPageBreak/>
              <w:t>pazopanibu</w:t>
            </w:r>
            <w:proofErr w:type="spellEnd"/>
            <w:r w:rsidRPr="005E7BBD">
              <w:rPr>
                <w:sz w:val="20"/>
                <w:szCs w:val="20"/>
              </w:rPr>
              <w:t xml:space="preserve"> raz na dobę. U pacjentów z umiarkowanymi zaburzeniami czynności wątroby zalecane jest stosowanie zmniejszonej dawki 200 mg </w:t>
            </w:r>
            <w:proofErr w:type="spellStart"/>
            <w:r w:rsidRPr="005E7BBD">
              <w:rPr>
                <w:sz w:val="20"/>
                <w:szCs w:val="20"/>
              </w:rPr>
              <w:t>pazopanibu</w:t>
            </w:r>
            <w:proofErr w:type="spellEnd"/>
            <w:r w:rsidRPr="005E7BBD">
              <w:rPr>
                <w:sz w:val="20"/>
                <w:szCs w:val="20"/>
              </w:rPr>
              <w:t xml:space="preserve"> . Stosowanie </w:t>
            </w:r>
            <w:proofErr w:type="spellStart"/>
            <w:r w:rsidRPr="005E7BBD">
              <w:rPr>
                <w:sz w:val="20"/>
                <w:szCs w:val="20"/>
              </w:rPr>
              <w:t>pazopanibu</w:t>
            </w:r>
            <w:proofErr w:type="spellEnd"/>
            <w:r w:rsidR="00744872">
              <w:rPr>
                <w:sz w:val="20"/>
                <w:szCs w:val="20"/>
              </w:rPr>
              <w:t xml:space="preserve"> </w:t>
            </w:r>
            <w:r w:rsidRPr="005E7BBD">
              <w:rPr>
                <w:sz w:val="20"/>
                <w:szCs w:val="20"/>
              </w:rPr>
              <w:t>nie jest zalecane u pacjentów z ciężkimi zaburzeniami czynności wątroby.</w:t>
            </w:r>
          </w:p>
          <w:p w:rsidR="00DF38B5" w:rsidRDefault="00DF38B5" w:rsidP="00DF38B5">
            <w:pPr>
              <w:pStyle w:val="Akapitzlist"/>
              <w:autoSpaceDE w:val="0"/>
              <w:autoSpaceDN w:val="0"/>
              <w:adjustRightInd w:val="0"/>
              <w:spacing w:after="60"/>
              <w:ind w:left="227"/>
              <w:contextualSpacing w:val="0"/>
              <w:jc w:val="both"/>
              <w:rPr>
                <w:sz w:val="20"/>
                <w:szCs w:val="20"/>
              </w:rPr>
            </w:pPr>
          </w:p>
          <w:p w:rsidR="00DF38B5" w:rsidRPr="00DF38B5" w:rsidRDefault="00BA79F6" w:rsidP="00DF38B5">
            <w:pPr>
              <w:pStyle w:val="Akapitzlist"/>
              <w:numPr>
                <w:ilvl w:val="0"/>
                <w:numId w:val="28"/>
              </w:numPr>
              <w:autoSpaceDE w:val="0"/>
              <w:autoSpaceDN w:val="0"/>
              <w:adjustRightInd w:val="0"/>
              <w:spacing w:after="60"/>
              <w:contextualSpacing w:val="0"/>
              <w:jc w:val="both"/>
              <w:rPr>
                <w:sz w:val="20"/>
                <w:szCs w:val="20"/>
              </w:rPr>
            </w:pPr>
            <w:proofErr w:type="spellStart"/>
            <w:r w:rsidRPr="005E7BBD">
              <w:rPr>
                <w:b/>
                <w:sz w:val="20"/>
                <w:szCs w:val="20"/>
              </w:rPr>
              <w:t>Aksytynib</w:t>
            </w:r>
            <w:proofErr w:type="spellEnd"/>
          </w:p>
          <w:p w:rsidR="00DF38B5" w:rsidRDefault="00BA79F6" w:rsidP="00DF38B5">
            <w:pPr>
              <w:pStyle w:val="Akapitzlist"/>
              <w:numPr>
                <w:ilvl w:val="1"/>
                <w:numId w:val="28"/>
              </w:numPr>
              <w:autoSpaceDE w:val="0"/>
              <w:autoSpaceDN w:val="0"/>
              <w:adjustRightInd w:val="0"/>
              <w:spacing w:after="60"/>
              <w:contextualSpacing w:val="0"/>
              <w:jc w:val="both"/>
              <w:rPr>
                <w:sz w:val="20"/>
                <w:szCs w:val="20"/>
              </w:rPr>
            </w:pPr>
            <w:r w:rsidRPr="005E7BBD">
              <w:rPr>
                <w:sz w:val="20"/>
                <w:szCs w:val="20"/>
              </w:rPr>
              <w:t xml:space="preserve">Zalecana początkowa dawka </w:t>
            </w:r>
            <w:proofErr w:type="spellStart"/>
            <w:r w:rsidRPr="005E7BBD">
              <w:rPr>
                <w:sz w:val="20"/>
                <w:szCs w:val="20"/>
              </w:rPr>
              <w:t>aksytynibu</w:t>
            </w:r>
            <w:proofErr w:type="spellEnd"/>
            <w:r w:rsidRPr="005E7BBD">
              <w:rPr>
                <w:sz w:val="20"/>
                <w:szCs w:val="20"/>
              </w:rPr>
              <w:t xml:space="preserve"> wynosi 5 mg dwa razy na dobę.</w:t>
            </w:r>
          </w:p>
          <w:p w:rsidR="00DF38B5" w:rsidRDefault="00BA79F6" w:rsidP="00DF38B5">
            <w:pPr>
              <w:pStyle w:val="Akapitzlist"/>
              <w:numPr>
                <w:ilvl w:val="1"/>
                <w:numId w:val="28"/>
              </w:numPr>
              <w:autoSpaceDE w:val="0"/>
              <w:autoSpaceDN w:val="0"/>
              <w:adjustRightInd w:val="0"/>
              <w:spacing w:after="60"/>
              <w:contextualSpacing w:val="0"/>
              <w:jc w:val="both"/>
              <w:rPr>
                <w:sz w:val="20"/>
                <w:szCs w:val="20"/>
              </w:rPr>
            </w:pPr>
            <w:r w:rsidRPr="005E7BBD">
              <w:rPr>
                <w:sz w:val="20"/>
                <w:szCs w:val="20"/>
              </w:rPr>
              <w:t xml:space="preserve">U pacjentów tolerujących początkową dawkę </w:t>
            </w:r>
            <w:proofErr w:type="spellStart"/>
            <w:r w:rsidRPr="005E7BBD">
              <w:rPr>
                <w:sz w:val="20"/>
                <w:szCs w:val="20"/>
              </w:rPr>
              <w:t>aksytynibu</w:t>
            </w:r>
            <w:proofErr w:type="spellEnd"/>
            <w:r w:rsidRPr="005E7BBD">
              <w:rPr>
                <w:sz w:val="20"/>
                <w:szCs w:val="20"/>
              </w:rPr>
              <w:t xml:space="preserve"> 5 mg dwa razy na dobę, u których przez dwa kolejne tygodnie nie wystąpiły działania niepożądane &gt; stopnia 2. (tj. nie wystąpiły ciężkie działania niepożądane zgodnie z kryteriami opisującymi działania niepożądane CTCAE) można zwiększyć dawkę leku do 7 mg dwa razy na dobę z wyjątkiem pacjentów, u których ciśnienie tętnicze krwi wynosi &gt; 150/90 mmHg lub którzy otrzymują leczenie obniżające ciśnienie krwi. Następnie, stosując te same kryteria, u pacjentów tolerujących </w:t>
            </w:r>
            <w:proofErr w:type="spellStart"/>
            <w:r w:rsidRPr="005E7BBD">
              <w:rPr>
                <w:sz w:val="20"/>
                <w:szCs w:val="20"/>
              </w:rPr>
              <w:t>aksytynib</w:t>
            </w:r>
            <w:proofErr w:type="spellEnd"/>
            <w:r w:rsidRPr="005E7BBD">
              <w:rPr>
                <w:sz w:val="20"/>
                <w:szCs w:val="20"/>
              </w:rPr>
              <w:t xml:space="preserve"> w dawce 7 mg dwa razy na dobę, można zwiększyć dawkę do maksymalnej dawki 10 mg dwa razy na dobę.</w:t>
            </w:r>
          </w:p>
          <w:p w:rsidR="00DF38B5" w:rsidRDefault="00BA79F6" w:rsidP="00DF38B5">
            <w:pPr>
              <w:pStyle w:val="Akapitzlist"/>
              <w:numPr>
                <w:ilvl w:val="1"/>
                <w:numId w:val="28"/>
              </w:numPr>
              <w:autoSpaceDE w:val="0"/>
              <w:autoSpaceDN w:val="0"/>
              <w:adjustRightInd w:val="0"/>
              <w:spacing w:after="60"/>
              <w:contextualSpacing w:val="0"/>
              <w:jc w:val="both"/>
              <w:rPr>
                <w:sz w:val="20"/>
                <w:szCs w:val="20"/>
              </w:rPr>
            </w:pPr>
            <w:r w:rsidRPr="005E7BBD">
              <w:rPr>
                <w:sz w:val="20"/>
                <w:szCs w:val="20"/>
              </w:rPr>
              <w:t>W przypadku wystąpienia istotnych klinicznie lub ciężkich działań niepożądanych</w:t>
            </w:r>
            <w:r w:rsidR="00744872">
              <w:rPr>
                <w:sz w:val="20"/>
                <w:szCs w:val="20"/>
              </w:rPr>
              <w:t xml:space="preserve"> </w:t>
            </w:r>
            <w:r w:rsidRPr="005E7BBD">
              <w:rPr>
                <w:sz w:val="20"/>
                <w:szCs w:val="20"/>
              </w:rPr>
              <w:t xml:space="preserve">należy przerwać stosowanie leku aż do zmniejszenia się ich nasilenia oraz należy rozważyć zmniejszenie dobowej dawki </w:t>
            </w:r>
            <w:proofErr w:type="spellStart"/>
            <w:r w:rsidRPr="005E7BBD">
              <w:rPr>
                <w:sz w:val="20"/>
                <w:szCs w:val="20"/>
              </w:rPr>
              <w:t>aksytynibu</w:t>
            </w:r>
            <w:proofErr w:type="spellEnd"/>
            <w:r w:rsidRPr="005E7BBD">
              <w:rPr>
                <w:sz w:val="20"/>
                <w:szCs w:val="20"/>
              </w:rPr>
              <w:t xml:space="preserve"> do 3 mg dwa razy na dobę, a następnie do 2 mg dwa razy na dobę.</w:t>
            </w:r>
          </w:p>
          <w:p w:rsidR="00DF38B5" w:rsidRDefault="00BA79F6" w:rsidP="00DF38B5">
            <w:pPr>
              <w:pStyle w:val="Akapitzlist"/>
              <w:numPr>
                <w:ilvl w:val="1"/>
                <w:numId w:val="28"/>
              </w:numPr>
              <w:autoSpaceDE w:val="0"/>
              <w:autoSpaceDN w:val="0"/>
              <w:adjustRightInd w:val="0"/>
              <w:spacing w:after="60"/>
              <w:contextualSpacing w:val="0"/>
              <w:jc w:val="both"/>
              <w:rPr>
                <w:sz w:val="20"/>
                <w:szCs w:val="20"/>
              </w:rPr>
            </w:pPr>
            <w:r w:rsidRPr="005E7BBD">
              <w:rPr>
                <w:sz w:val="20"/>
                <w:szCs w:val="20"/>
              </w:rPr>
              <w:t>Jeżeli ciężkie działania niepożądane nie zmniejszą swojego nasilenia w ciągu 4 tygodni mimo przerwania podawania leku, należy zakończyć leczenie.</w:t>
            </w:r>
          </w:p>
          <w:p w:rsidR="00DF38B5" w:rsidRDefault="00BA79F6" w:rsidP="00DF38B5">
            <w:pPr>
              <w:pStyle w:val="Akapitzlist"/>
              <w:numPr>
                <w:ilvl w:val="1"/>
                <w:numId w:val="28"/>
              </w:numPr>
              <w:autoSpaceDE w:val="0"/>
              <w:autoSpaceDN w:val="0"/>
              <w:adjustRightInd w:val="0"/>
              <w:spacing w:after="60"/>
              <w:contextualSpacing w:val="0"/>
              <w:jc w:val="both"/>
              <w:rPr>
                <w:sz w:val="20"/>
                <w:szCs w:val="20"/>
              </w:rPr>
            </w:pPr>
            <w:r w:rsidRPr="005E7BBD">
              <w:rPr>
                <w:sz w:val="20"/>
                <w:szCs w:val="20"/>
              </w:rPr>
              <w:lastRenderedPageBreak/>
              <w:t>Jeżeli pomimo redukcji dawki do 3 mg dwa razy na dobę, a następnie do 2 mg dwa razy na dobę istotne klinicznie lub ciężkie działania niepożądane ponownie wystąpią, należy zakończyć leczenie.</w:t>
            </w:r>
          </w:p>
          <w:p w:rsidR="00DF38B5" w:rsidRDefault="00DF38B5" w:rsidP="00DF38B5">
            <w:pPr>
              <w:pStyle w:val="Akapitzlist"/>
              <w:autoSpaceDE w:val="0"/>
              <w:autoSpaceDN w:val="0"/>
              <w:adjustRightInd w:val="0"/>
              <w:spacing w:after="60"/>
              <w:ind w:left="227"/>
              <w:contextualSpacing w:val="0"/>
              <w:jc w:val="both"/>
              <w:rPr>
                <w:sz w:val="20"/>
                <w:szCs w:val="20"/>
              </w:rPr>
            </w:pPr>
          </w:p>
          <w:p w:rsidR="00DF38B5" w:rsidRPr="00DF38B5" w:rsidRDefault="00AC4233" w:rsidP="00DF38B5">
            <w:pPr>
              <w:pStyle w:val="Akapitzlist"/>
              <w:numPr>
                <w:ilvl w:val="0"/>
                <w:numId w:val="28"/>
              </w:numPr>
              <w:autoSpaceDE w:val="0"/>
              <w:autoSpaceDN w:val="0"/>
              <w:adjustRightInd w:val="0"/>
              <w:spacing w:after="60"/>
              <w:contextualSpacing w:val="0"/>
              <w:jc w:val="both"/>
              <w:rPr>
                <w:sz w:val="20"/>
                <w:szCs w:val="20"/>
              </w:rPr>
            </w:pPr>
            <w:proofErr w:type="spellStart"/>
            <w:r w:rsidRPr="005E7BBD">
              <w:rPr>
                <w:b/>
                <w:bCs/>
                <w:sz w:val="20"/>
                <w:szCs w:val="20"/>
              </w:rPr>
              <w:t>Ewerolimus</w:t>
            </w:r>
            <w:proofErr w:type="spellEnd"/>
          </w:p>
          <w:p w:rsidR="00DF38B5" w:rsidRDefault="00AC4233" w:rsidP="00DF38B5">
            <w:pPr>
              <w:pStyle w:val="Akapitzlist"/>
              <w:numPr>
                <w:ilvl w:val="1"/>
                <w:numId w:val="28"/>
              </w:numPr>
              <w:autoSpaceDE w:val="0"/>
              <w:autoSpaceDN w:val="0"/>
              <w:adjustRightInd w:val="0"/>
              <w:spacing w:after="60"/>
              <w:contextualSpacing w:val="0"/>
              <w:jc w:val="both"/>
              <w:rPr>
                <w:sz w:val="20"/>
                <w:szCs w:val="20"/>
              </w:rPr>
            </w:pPr>
            <w:proofErr w:type="spellStart"/>
            <w:r w:rsidRPr="005E7BBD">
              <w:rPr>
                <w:sz w:val="20"/>
                <w:szCs w:val="20"/>
              </w:rPr>
              <w:t>Ewerolimus</w:t>
            </w:r>
            <w:proofErr w:type="spellEnd"/>
            <w:r w:rsidRPr="005E7BBD">
              <w:rPr>
                <w:sz w:val="20"/>
                <w:szCs w:val="20"/>
              </w:rPr>
              <w:t xml:space="preserve"> jest stosowany w dobowej dawce 10 mg (1 raz dziennie 2 tabletki zawierające 5 mg albo 1 raz dziennie 1 tabletka zawierająca 10 mg) bez przerw.</w:t>
            </w:r>
          </w:p>
          <w:p w:rsidR="00DF38B5" w:rsidRDefault="00AC4233" w:rsidP="00DF38B5">
            <w:pPr>
              <w:pStyle w:val="Akapitzlist"/>
              <w:numPr>
                <w:ilvl w:val="1"/>
                <w:numId w:val="28"/>
              </w:numPr>
              <w:autoSpaceDE w:val="0"/>
              <w:autoSpaceDN w:val="0"/>
              <w:adjustRightInd w:val="0"/>
              <w:spacing w:after="60"/>
              <w:contextualSpacing w:val="0"/>
              <w:jc w:val="both"/>
              <w:rPr>
                <w:sz w:val="20"/>
                <w:szCs w:val="20"/>
              </w:rPr>
            </w:pPr>
            <w:r w:rsidRPr="005E7BBD">
              <w:rPr>
                <w:sz w:val="20"/>
                <w:szCs w:val="20"/>
              </w:rPr>
              <w:t xml:space="preserve">W przypadku wystąpienia istotnych klinicznie lub ciężkich działań niepożądanych należy przerwać stosowanie leku aż do zmniejszenia się ich nasilenia oraz należy rozważyć zmniejszenie dobowej dawki </w:t>
            </w:r>
            <w:proofErr w:type="spellStart"/>
            <w:r w:rsidRPr="005E7BBD">
              <w:rPr>
                <w:sz w:val="20"/>
                <w:szCs w:val="20"/>
              </w:rPr>
              <w:t>ewerolimusu</w:t>
            </w:r>
            <w:proofErr w:type="spellEnd"/>
            <w:r w:rsidRPr="005E7BBD">
              <w:rPr>
                <w:sz w:val="20"/>
                <w:szCs w:val="20"/>
              </w:rPr>
              <w:t xml:space="preserve"> do 5 mg dziennie (1 tabletka po 5 mg 1 raz dziennie).</w:t>
            </w:r>
          </w:p>
          <w:p w:rsidR="00DF38B5" w:rsidRDefault="00AC4233" w:rsidP="00DF38B5">
            <w:pPr>
              <w:pStyle w:val="Akapitzlist"/>
              <w:numPr>
                <w:ilvl w:val="1"/>
                <w:numId w:val="28"/>
              </w:numPr>
              <w:autoSpaceDE w:val="0"/>
              <w:autoSpaceDN w:val="0"/>
              <w:adjustRightInd w:val="0"/>
              <w:spacing w:after="60"/>
              <w:contextualSpacing w:val="0"/>
              <w:jc w:val="both"/>
              <w:rPr>
                <w:sz w:val="20"/>
                <w:szCs w:val="20"/>
              </w:rPr>
            </w:pPr>
            <w:r w:rsidRPr="005E7BBD">
              <w:rPr>
                <w:sz w:val="20"/>
                <w:szCs w:val="20"/>
              </w:rPr>
              <w:t>Jeżeli ciężkie działania niepożądane nie zmniejszą swojego nasilenia w ciągu 4 tygodni mimo przerwania podawania leku, należy zakończyć leczenie.</w:t>
            </w:r>
          </w:p>
          <w:p w:rsidR="00DF38B5" w:rsidRDefault="00AC4233" w:rsidP="00DF38B5">
            <w:pPr>
              <w:pStyle w:val="Akapitzlist"/>
              <w:numPr>
                <w:ilvl w:val="1"/>
                <w:numId w:val="28"/>
              </w:numPr>
              <w:autoSpaceDE w:val="0"/>
              <w:autoSpaceDN w:val="0"/>
              <w:adjustRightInd w:val="0"/>
              <w:spacing w:after="60"/>
              <w:contextualSpacing w:val="0"/>
              <w:jc w:val="both"/>
              <w:rPr>
                <w:sz w:val="20"/>
                <w:szCs w:val="20"/>
              </w:rPr>
            </w:pPr>
            <w:r w:rsidRPr="005E7BBD">
              <w:rPr>
                <w:sz w:val="20"/>
                <w:szCs w:val="20"/>
              </w:rPr>
              <w:t>Jeżeli pomimo redukcji dawki do 5 mg dziennie istotne klinicznie lub ciężkie działania niepożądane ponownie wystąpią, należy zakończyć leczenie.</w:t>
            </w:r>
          </w:p>
          <w:p w:rsidR="00DF38B5" w:rsidRDefault="00DF38B5" w:rsidP="00DF38B5">
            <w:pPr>
              <w:pStyle w:val="Akapitzlist"/>
              <w:autoSpaceDE w:val="0"/>
              <w:autoSpaceDN w:val="0"/>
              <w:adjustRightInd w:val="0"/>
              <w:spacing w:after="60"/>
              <w:ind w:left="227"/>
              <w:contextualSpacing w:val="0"/>
              <w:jc w:val="both"/>
              <w:rPr>
                <w:sz w:val="20"/>
                <w:szCs w:val="20"/>
              </w:rPr>
            </w:pPr>
          </w:p>
          <w:p w:rsidR="00DF38B5" w:rsidRPr="00DF38B5" w:rsidRDefault="002D61A9" w:rsidP="00DF38B5">
            <w:pPr>
              <w:pStyle w:val="Akapitzlist"/>
              <w:numPr>
                <w:ilvl w:val="0"/>
                <w:numId w:val="28"/>
              </w:numPr>
              <w:autoSpaceDE w:val="0"/>
              <w:autoSpaceDN w:val="0"/>
              <w:adjustRightInd w:val="0"/>
              <w:spacing w:after="60"/>
              <w:contextualSpacing w:val="0"/>
              <w:jc w:val="both"/>
              <w:rPr>
                <w:sz w:val="20"/>
                <w:szCs w:val="20"/>
              </w:rPr>
            </w:pPr>
            <w:proofErr w:type="spellStart"/>
            <w:r w:rsidRPr="005E7BBD">
              <w:rPr>
                <w:b/>
                <w:sz w:val="20"/>
                <w:szCs w:val="20"/>
              </w:rPr>
              <w:t>Temsyrolimus</w:t>
            </w:r>
            <w:proofErr w:type="spellEnd"/>
          </w:p>
          <w:p w:rsidR="00DF38B5" w:rsidRDefault="002D61A9" w:rsidP="00DF38B5">
            <w:pPr>
              <w:pStyle w:val="Akapitzlist"/>
              <w:numPr>
                <w:ilvl w:val="1"/>
                <w:numId w:val="28"/>
              </w:numPr>
              <w:autoSpaceDE w:val="0"/>
              <w:autoSpaceDN w:val="0"/>
              <w:adjustRightInd w:val="0"/>
              <w:spacing w:after="60"/>
              <w:contextualSpacing w:val="0"/>
              <w:jc w:val="both"/>
              <w:rPr>
                <w:sz w:val="20"/>
                <w:szCs w:val="20"/>
              </w:rPr>
            </w:pPr>
            <w:proofErr w:type="spellStart"/>
            <w:r w:rsidRPr="005E7BBD">
              <w:rPr>
                <w:sz w:val="20"/>
                <w:szCs w:val="20"/>
              </w:rPr>
              <w:t>Temsyrolimus</w:t>
            </w:r>
            <w:proofErr w:type="spellEnd"/>
            <w:r w:rsidRPr="005E7BBD">
              <w:rPr>
                <w:sz w:val="20"/>
                <w:szCs w:val="20"/>
              </w:rPr>
              <w:t xml:space="preserve"> powinien być podawany dożylnie w dawce 25 mg we wlewie trwającym 30-60 minut w odstępach 7-dniowych.</w:t>
            </w:r>
          </w:p>
          <w:p w:rsidR="00DF38B5" w:rsidRDefault="002D61A9" w:rsidP="00DF38B5">
            <w:pPr>
              <w:pStyle w:val="Akapitzlist"/>
              <w:numPr>
                <w:ilvl w:val="1"/>
                <w:numId w:val="28"/>
              </w:numPr>
              <w:autoSpaceDE w:val="0"/>
              <w:autoSpaceDN w:val="0"/>
              <w:adjustRightInd w:val="0"/>
              <w:spacing w:after="60"/>
              <w:contextualSpacing w:val="0"/>
              <w:jc w:val="both"/>
              <w:rPr>
                <w:sz w:val="20"/>
                <w:szCs w:val="20"/>
              </w:rPr>
            </w:pPr>
            <w:r w:rsidRPr="005E7BBD">
              <w:rPr>
                <w:sz w:val="20"/>
                <w:szCs w:val="20"/>
              </w:rPr>
              <w:t xml:space="preserve">W ramach premedykacji 30 minut przed rozpoczęciem podania </w:t>
            </w:r>
            <w:proofErr w:type="spellStart"/>
            <w:r w:rsidRPr="005E7BBD">
              <w:rPr>
                <w:sz w:val="20"/>
                <w:szCs w:val="20"/>
              </w:rPr>
              <w:t>temsyrolimusu</w:t>
            </w:r>
            <w:proofErr w:type="spellEnd"/>
            <w:r w:rsidRPr="005E7BBD">
              <w:rPr>
                <w:sz w:val="20"/>
                <w:szCs w:val="20"/>
              </w:rPr>
              <w:t xml:space="preserve"> należy stosować dożylnie </w:t>
            </w:r>
            <w:proofErr w:type="spellStart"/>
            <w:r w:rsidRPr="005E7BBD">
              <w:rPr>
                <w:sz w:val="20"/>
                <w:szCs w:val="20"/>
              </w:rPr>
              <w:t>difenhydraminę</w:t>
            </w:r>
            <w:proofErr w:type="spellEnd"/>
            <w:r w:rsidRPr="005E7BBD">
              <w:rPr>
                <w:sz w:val="20"/>
                <w:szCs w:val="20"/>
              </w:rPr>
              <w:t xml:space="preserve"> w dawce 20–50 mg lub podobny lek o działaniu przeciwhistaminowym.</w:t>
            </w:r>
          </w:p>
          <w:p w:rsidR="00DF38B5" w:rsidRDefault="002D61A9" w:rsidP="00DF38B5">
            <w:pPr>
              <w:pStyle w:val="Akapitzlist"/>
              <w:numPr>
                <w:ilvl w:val="1"/>
                <w:numId w:val="28"/>
              </w:numPr>
              <w:autoSpaceDE w:val="0"/>
              <w:autoSpaceDN w:val="0"/>
              <w:adjustRightInd w:val="0"/>
              <w:spacing w:after="60"/>
              <w:contextualSpacing w:val="0"/>
              <w:jc w:val="both"/>
              <w:rPr>
                <w:sz w:val="20"/>
                <w:szCs w:val="20"/>
              </w:rPr>
            </w:pPr>
            <w:r w:rsidRPr="005E7BBD">
              <w:rPr>
                <w:sz w:val="20"/>
                <w:szCs w:val="20"/>
              </w:rPr>
              <w:lastRenderedPageBreak/>
              <w:t>Nie występuje konieczność modyfikowania dawki w zależności od płci lub wieku.</w:t>
            </w:r>
          </w:p>
          <w:p w:rsidR="00DF38B5" w:rsidRDefault="00DF38B5" w:rsidP="00DF38B5">
            <w:pPr>
              <w:pStyle w:val="Akapitzlist"/>
              <w:autoSpaceDE w:val="0"/>
              <w:autoSpaceDN w:val="0"/>
              <w:adjustRightInd w:val="0"/>
              <w:spacing w:after="60"/>
              <w:ind w:left="227"/>
              <w:contextualSpacing w:val="0"/>
              <w:jc w:val="both"/>
              <w:rPr>
                <w:sz w:val="20"/>
                <w:szCs w:val="20"/>
              </w:rPr>
            </w:pPr>
          </w:p>
          <w:p w:rsidR="00DF38B5" w:rsidRPr="00DF38B5" w:rsidRDefault="00FF49D2" w:rsidP="00DF38B5">
            <w:pPr>
              <w:pStyle w:val="Akapitzlist"/>
              <w:numPr>
                <w:ilvl w:val="0"/>
                <w:numId w:val="28"/>
              </w:numPr>
              <w:autoSpaceDE w:val="0"/>
              <w:autoSpaceDN w:val="0"/>
              <w:adjustRightInd w:val="0"/>
              <w:spacing w:after="60"/>
              <w:contextualSpacing w:val="0"/>
              <w:jc w:val="both"/>
              <w:rPr>
                <w:sz w:val="20"/>
                <w:szCs w:val="20"/>
              </w:rPr>
            </w:pPr>
            <w:proofErr w:type="spellStart"/>
            <w:r w:rsidRPr="005E7BBD">
              <w:rPr>
                <w:b/>
                <w:sz w:val="20"/>
                <w:szCs w:val="20"/>
              </w:rPr>
              <w:t>Kabozantynib</w:t>
            </w:r>
            <w:proofErr w:type="spellEnd"/>
          </w:p>
          <w:p w:rsidR="00DF38B5" w:rsidRPr="00DF38B5" w:rsidRDefault="00FF49D2" w:rsidP="00DF38B5">
            <w:pPr>
              <w:pStyle w:val="Akapitzlist"/>
              <w:numPr>
                <w:ilvl w:val="1"/>
                <w:numId w:val="28"/>
              </w:numPr>
              <w:autoSpaceDE w:val="0"/>
              <w:autoSpaceDN w:val="0"/>
              <w:adjustRightInd w:val="0"/>
              <w:spacing w:after="60"/>
              <w:contextualSpacing w:val="0"/>
              <w:jc w:val="both"/>
              <w:rPr>
                <w:sz w:val="20"/>
                <w:szCs w:val="20"/>
              </w:rPr>
            </w:pPr>
            <w:r w:rsidRPr="005E7BBD">
              <w:rPr>
                <w:sz w:val="20"/>
                <w:szCs w:val="20"/>
              </w:rPr>
              <w:t xml:space="preserve">Dawkowanie </w:t>
            </w:r>
            <w:proofErr w:type="spellStart"/>
            <w:r w:rsidRPr="005E7BBD">
              <w:rPr>
                <w:sz w:val="20"/>
                <w:szCs w:val="20"/>
              </w:rPr>
              <w:t>kabozantynibu</w:t>
            </w:r>
            <w:proofErr w:type="spellEnd"/>
            <w:r w:rsidRPr="005E7BBD">
              <w:rPr>
                <w:sz w:val="20"/>
                <w:szCs w:val="20"/>
              </w:rPr>
              <w:t xml:space="preserve"> oraz kryteria </w:t>
            </w:r>
            <w:r w:rsidR="000652EA" w:rsidRPr="005E7BBD">
              <w:rPr>
                <w:rFonts w:eastAsia="TimesNewRomanPSMT"/>
                <w:sz w:val="20"/>
                <w:szCs w:val="20"/>
              </w:rPr>
              <w:t>i </w:t>
            </w:r>
            <w:r w:rsidRPr="005E7BBD">
              <w:rPr>
                <w:rFonts w:eastAsia="TimesNewRomanPSMT"/>
                <w:sz w:val="20"/>
                <w:szCs w:val="20"/>
              </w:rPr>
              <w:t xml:space="preserve">sposób modyfikacji </w:t>
            </w:r>
            <w:r w:rsidRPr="005E7BBD">
              <w:rPr>
                <w:sz w:val="20"/>
                <w:szCs w:val="20"/>
              </w:rPr>
              <w:t xml:space="preserve">dawkowania (w tym okresowe wstrzymanie leczenia) </w:t>
            </w:r>
            <w:r w:rsidR="00C24435" w:rsidRPr="005E7BBD">
              <w:rPr>
                <w:sz w:val="20"/>
                <w:szCs w:val="20"/>
              </w:rPr>
              <w:t>-</w:t>
            </w:r>
            <w:r w:rsidRPr="005E7BBD">
              <w:rPr>
                <w:sz w:val="20"/>
                <w:szCs w:val="20"/>
              </w:rPr>
              <w:t xml:space="preserve"> zgodnie z aktualną</w:t>
            </w:r>
            <w:r w:rsidRPr="005E7BBD">
              <w:rPr>
                <w:rFonts w:eastAsia="TimesNewRomanPSMT"/>
                <w:sz w:val="20"/>
                <w:szCs w:val="20"/>
              </w:rPr>
              <w:t xml:space="preserve"> Charakterystyką Produktu Leczniczego.</w:t>
            </w:r>
          </w:p>
          <w:p w:rsidR="00DF38B5" w:rsidRPr="00DF38B5" w:rsidRDefault="00DF38B5" w:rsidP="00DF38B5">
            <w:pPr>
              <w:pStyle w:val="Akapitzlist"/>
              <w:autoSpaceDE w:val="0"/>
              <w:autoSpaceDN w:val="0"/>
              <w:adjustRightInd w:val="0"/>
              <w:spacing w:after="60"/>
              <w:ind w:left="227"/>
              <w:contextualSpacing w:val="0"/>
              <w:jc w:val="both"/>
              <w:rPr>
                <w:sz w:val="20"/>
                <w:szCs w:val="20"/>
              </w:rPr>
            </w:pPr>
          </w:p>
          <w:p w:rsidR="00DF38B5" w:rsidRPr="00DF38B5" w:rsidRDefault="00CB6DB3" w:rsidP="00DF38B5">
            <w:pPr>
              <w:pStyle w:val="Akapitzlist"/>
              <w:numPr>
                <w:ilvl w:val="0"/>
                <w:numId w:val="28"/>
              </w:numPr>
              <w:autoSpaceDE w:val="0"/>
              <w:autoSpaceDN w:val="0"/>
              <w:adjustRightInd w:val="0"/>
              <w:spacing w:after="60"/>
              <w:contextualSpacing w:val="0"/>
              <w:jc w:val="both"/>
              <w:rPr>
                <w:sz w:val="20"/>
                <w:szCs w:val="20"/>
              </w:rPr>
            </w:pPr>
            <w:proofErr w:type="spellStart"/>
            <w:r w:rsidRPr="005E7BBD">
              <w:rPr>
                <w:b/>
                <w:sz w:val="20"/>
                <w:szCs w:val="20"/>
              </w:rPr>
              <w:t>Niwolumab</w:t>
            </w:r>
            <w:proofErr w:type="spellEnd"/>
          </w:p>
          <w:p w:rsidR="00CB6DB3" w:rsidRPr="00DF38B5" w:rsidRDefault="00CB6DB3" w:rsidP="00DF38B5">
            <w:pPr>
              <w:pStyle w:val="Akapitzlist"/>
              <w:numPr>
                <w:ilvl w:val="1"/>
                <w:numId w:val="28"/>
              </w:numPr>
              <w:autoSpaceDE w:val="0"/>
              <w:autoSpaceDN w:val="0"/>
              <w:adjustRightInd w:val="0"/>
              <w:spacing w:after="60"/>
              <w:contextualSpacing w:val="0"/>
              <w:jc w:val="both"/>
              <w:rPr>
                <w:sz w:val="20"/>
                <w:szCs w:val="20"/>
              </w:rPr>
            </w:pPr>
            <w:r w:rsidRPr="00DF38B5">
              <w:rPr>
                <w:sz w:val="20"/>
                <w:szCs w:val="20"/>
              </w:rPr>
              <w:t>Dawkowanie, sposób podaw</w:t>
            </w:r>
            <w:r w:rsidR="00C24435" w:rsidRPr="00DF38B5">
              <w:rPr>
                <w:sz w:val="20"/>
                <w:szCs w:val="20"/>
              </w:rPr>
              <w:t>ania oraz</w:t>
            </w:r>
            <w:r w:rsidR="00616DD1" w:rsidRPr="00DF38B5">
              <w:rPr>
                <w:sz w:val="20"/>
                <w:szCs w:val="20"/>
              </w:rPr>
              <w:t xml:space="preserve"> </w:t>
            </w:r>
            <w:r w:rsidR="00C24435" w:rsidRPr="00DF38B5">
              <w:rPr>
                <w:sz w:val="20"/>
                <w:szCs w:val="20"/>
              </w:rPr>
              <w:t>modyfikacja leczenia -</w:t>
            </w:r>
            <w:r w:rsidRPr="00DF38B5">
              <w:rPr>
                <w:sz w:val="20"/>
                <w:szCs w:val="20"/>
              </w:rPr>
              <w:t xml:space="preserve"> zgodnie z </w:t>
            </w:r>
            <w:r w:rsidR="001B0676" w:rsidRPr="00DF38B5">
              <w:rPr>
                <w:sz w:val="20"/>
                <w:szCs w:val="20"/>
              </w:rPr>
              <w:t>aktualną Charakterystyką</w:t>
            </w:r>
            <w:r w:rsidRPr="00DF38B5">
              <w:rPr>
                <w:sz w:val="20"/>
                <w:szCs w:val="20"/>
              </w:rPr>
              <w:t xml:space="preserve"> Produktu Leczniczego.</w:t>
            </w:r>
          </w:p>
          <w:p w:rsidR="00CB6DB3" w:rsidRPr="00DF38B5" w:rsidRDefault="00CB6DB3" w:rsidP="00DF38B5">
            <w:pPr>
              <w:pStyle w:val="Akapitzlist"/>
              <w:numPr>
                <w:ilvl w:val="1"/>
                <w:numId w:val="28"/>
              </w:numPr>
              <w:autoSpaceDE w:val="0"/>
              <w:autoSpaceDN w:val="0"/>
              <w:adjustRightInd w:val="0"/>
              <w:spacing w:after="60"/>
              <w:contextualSpacing w:val="0"/>
              <w:jc w:val="both"/>
              <w:rPr>
                <w:sz w:val="20"/>
                <w:szCs w:val="20"/>
              </w:rPr>
            </w:pPr>
            <w:r w:rsidRPr="00DF38B5">
              <w:rPr>
                <w:sz w:val="20"/>
                <w:szCs w:val="20"/>
              </w:rPr>
              <w:t xml:space="preserve">Przerwę w podawaniu </w:t>
            </w:r>
            <w:proofErr w:type="spellStart"/>
            <w:r w:rsidRPr="00DF38B5">
              <w:rPr>
                <w:sz w:val="20"/>
                <w:szCs w:val="20"/>
              </w:rPr>
              <w:t>niwolumabu</w:t>
            </w:r>
            <w:proofErr w:type="spellEnd"/>
            <w:r w:rsidRPr="00DF38B5">
              <w:rPr>
                <w:sz w:val="20"/>
                <w:szCs w:val="20"/>
              </w:rPr>
              <w:t xml:space="preserve"> należy</w:t>
            </w:r>
            <w:r w:rsidR="00AD725F" w:rsidRPr="00DF38B5">
              <w:rPr>
                <w:sz w:val="20"/>
                <w:szCs w:val="20"/>
              </w:rPr>
              <w:t xml:space="preserve"> </w:t>
            </w:r>
            <w:r w:rsidRPr="00DF38B5">
              <w:rPr>
                <w:sz w:val="20"/>
                <w:szCs w:val="20"/>
              </w:rPr>
              <w:t>zastosować m.in. kiedy wystąpi</w:t>
            </w:r>
            <w:r w:rsidR="00AD725F" w:rsidRPr="00DF38B5">
              <w:rPr>
                <w:sz w:val="20"/>
                <w:szCs w:val="20"/>
              </w:rPr>
              <w:t xml:space="preserve"> </w:t>
            </w:r>
            <w:r w:rsidRPr="00DF38B5">
              <w:rPr>
                <w:sz w:val="20"/>
                <w:szCs w:val="20"/>
              </w:rPr>
              <w:t>następująca toksyczność pochodzenia</w:t>
            </w:r>
            <w:r w:rsidR="00AD725F" w:rsidRPr="00DF38B5">
              <w:rPr>
                <w:sz w:val="20"/>
                <w:szCs w:val="20"/>
              </w:rPr>
              <w:t xml:space="preserve"> </w:t>
            </w:r>
            <w:r w:rsidRPr="00DF38B5">
              <w:rPr>
                <w:sz w:val="20"/>
                <w:szCs w:val="20"/>
              </w:rPr>
              <w:t xml:space="preserve">immunologicznego (stopnie toksyczności zgodnie z </w:t>
            </w:r>
            <w:r w:rsidR="00563FFF" w:rsidRPr="00DF38B5">
              <w:rPr>
                <w:sz w:val="20"/>
                <w:szCs w:val="20"/>
              </w:rPr>
              <w:t>NCI-CTCAE v4)</w:t>
            </w:r>
            <w:r w:rsidRPr="00DF38B5">
              <w:rPr>
                <w:sz w:val="20"/>
                <w:szCs w:val="20"/>
              </w:rPr>
              <w:t>:</w:t>
            </w:r>
          </w:p>
          <w:p w:rsidR="00CB6DB3" w:rsidRPr="009E1845" w:rsidRDefault="00CB6DB3" w:rsidP="00DF38B5">
            <w:pPr>
              <w:pStyle w:val="Akapitzlist"/>
              <w:numPr>
                <w:ilvl w:val="2"/>
                <w:numId w:val="28"/>
              </w:numPr>
              <w:autoSpaceDE w:val="0"/>
              <w:autoSpaceDN w:val="0"/>
              <w:adjustRightInd w:val="0"/>
              <w:spacing w:after="60"/>
              <w:contextualSpacing w:val="0"/>
              <w:jc w:val="both"/>
              <w:rPr>
                <w:sz w:val="20"/>
                <w:szCs w:val="20"/>
              </w:rPr>
            </w:pPr>
            <w:r w:rsidRPr="009E1845">
              <w:rPr>
                <w:sz w:val="20"/>
                <w:szCs w:val="20"/>
              </w:rPr>
              <w:t>zapalenie płuc stopnia 2.;</w:t>
            </w:r>
          </w:p>
          <w:p w:rsidR="00CB6DB3" w:rsidRPr="009E1845" w:rsidRDefault="00CB6DB3" w:rsidP="00DF38B5">
            <w:pPr>
              <w:pStyle w:val="Akapitzlist"/>
              <w:numPr>
                <w:ilvl w:val="2"/>
                <w:numId w:val="28"/>
              </w:numPr>
              <w:autoSpaceDE w:val="0"/>
              <w:autoSpaceDN w:val="0"/>
              <w:adjustRightInd w:val="0"/>
              <w:spacing w:after="60"/>
              <w:contextualSpacing w:val="0"/>
              <w:jc w:val="both"/>
              <w:rPr>
                <w:sz w:val="20"/>
                <w:szCs w:val="20"/>
              </w:rPr>
            </w:pPr>
            <w:r w:rsidRPr="009E1845">
              <w:rPr>
                <w:sz w:val="20"/>
                <w:szCs w:val="20"/>
              </w:rPr>
              <w:t>biegunka lub zapalenie jelita grubego stopnia 2.</w:t>
            </w:r>
            <w:r w:rsidR="00616DD1" w:rsidRPr="009E1845">
              <w:rPr>
                <w:sz w:val="20"/>
                <w:szCs w:val="20"/>
              </w:rPr>
              <w:t xml:space="preserve"> </w:t>
            </w:r>
            <w:r w:rsidRPr="009E1845">
              <w:rPr>
                <w:sz w:val="20"/>
                <w:szCs w:val="20"/>
              </w:rPr>
              <w:t>lub 3.;</w:t>
            </w:r>
          </w:p>
          <w:p w:rsidR="00CB6DB3" w:rsidRPr="009E1845" w:rsidRDefault="00CB6DB3" w:rsidP="00DF38B5">
            <w:pPr>
              <w:pStyle w:val="Akapitzlist"/>
              <w:numPr>
                <w:ilvl w:val="2"/>
                <w:numId w:val="28"/>
              </w:numPr>
              <w:autoSpaceDE w:val="0"/>
              <w:autoSpaceDN w:val="0"/>
              <w:adjustRightInd w:val="0"/>
              <w:spacing w:after="60"/>
              <w:contextualSpacing w:val="0"/>
              <w:jc w:val="both"/>
              <w:rPr>
                <w:sz w:val="20"/>
                <w:szCs w:val="20"/>
              </w:rPr>
            </w:pPr>
            <w:r w:rsidRPr="009E1845">
              <w:rPr>
                <w:sz w:val="20"/>
                <w:szCs w:val="20"/>
              </w:rPr>
              <w:t xml:space="preserve">zapalenie wątroby </w:t>
            </w:r>
            <w:r w:rsidR="00DF38B5">
              <w:rPr>
                <w:sz w:val="20"/>
                <w:szCs w:val="20"/>
              </w:rPr>
              <w:t>–</w:t>
            </w:r>
            <w:r w:rsidRPr="009E1845">
              <w:rPr>
                <w:sz w:val="20"/>
                <w:szCs w:val="20"/>
              </w:rPr>
              <w:t xml:space="preserve"> zwiększenie aktywności</w:t>
            </w:r>
            <w:r w:rsidR="00EC6FB8" w:rsidRPr="009E1845">
              <w:rPr>
                <w:sz w:val="20"/>
                <w:szCs w:val="20"/>
              </w:rPr>
              <w:t xml:space="preserve"> </w:t>
            </w:r>
            <w:proofErr w:type="spellStart"/>
            <w:r w:rsidRPr="009E1845">
              <w:rPr>
                <w:sz w:val="20"/>
                <w:szCs w:val="20"/>
              </w:rPr>
              <w:t>AspAT</w:t>
            </w:r>
            <w:proofErr w:type="spellEnd"/>
            <w:r w:rsidRPr="009E1845">
              <w:rPr>
                <w:sz w:val="20"/>
                <w:szCs w:val="20"/>
              </w:rPr>
              <w:t xml:space="preserve">, </w:t>
            </w:r>
            <w:proofErr w:type="spellStart"/>
            <w:r w:rsidRPr="009E1845">
              <w:rPr>
                <w:sz w:val="20"/>
                <w:szCs w:val="20"/>
              </w:rPr>
              <w:t>AlAT</w:t>
            </w:r>
            <w:proofErr w:type="spellEnd"/>
            <w:r w:rsidRPr="009E1845">
              <w:rPr>
                <w:sz w:val="20"/>
                <w:szCs w:val="20"/>
              </w:rPr>
              <w:t xml:space="preserve"> lub zapalenie nerek, lub</w:t>
            </w:r>
            <w:r w:rsidR="00EC6FB8" w:rsidRPr="009E1845">
              <w:rPr>
                <w:sz w:val="20"/>
                <w:szCs w:val="20"/>
              </w:rPr>
              <w:t xml:space="preserve"> </w:t>
            </w:r>
            <w:r w:rsidRPr="009E1845">
              <w:rPr>
                <w:sz w:val="20"/>
                <w:szCs w:val="20"/>
              </w:rPr>
              <w:t xml:space="preserve">zaburzenia czynności nerek </w:t>
            </w:r>
            <w:r w:rsidR="00EC6FB8" w:rsidRPr="009E1845">
              <w:rPr>
                <w:sz w:val="20"/>
                <w:szCs w:val="20"/>
              </w:rPr>
              <w:t>–</w:t>
            </w:r>
            <w:r w:rsidRPr="009E1845">
              <w:rPr>
                <w:sz w:val="20"/>
                <w:szCs w:val="20"/>
              </w:rPr>
              <w:t xml:space="preserve"> zwiększenie</w:t>
            </w:r>
            <w:r w:rsidR="00EC6FB8" w:rsidRPr="009E1845">
              <w:rPr>
                <w:sz w:val="20"/>
                <w:szCs w:val="20"/>
              </w:rPr>
              <w:t xml:space="preserve"> </w:t>
            </w:r>
            <w:r w:rsidRPr="009E1845">
              <w:rPr>
                <w:sz w:val="20"/>
                <w:szCs w:val="20"/>
              </w:rPr>
              <w:t>stężenia kreatyniny stopnia 2. lub 3.: wzrost</w:t>
            </w:r>
            <w:r w:rsidR="00EC6FB8" w:rsidRPr="009E1845">
              <w:rPr>
                <w:sz w:val="20"/>
                <w:szCs w:val="20"/>
              </w:rPr>
              <w:t xml:space="preserve"> </w:t>
            </w:r>
            <w:r w:rsidRPr="009E1845">
              <w:rPr>
                <w:sz w:val="20"/>
                <w:szCs w:val="20"/>
              </w:rPr>
              <w:t>stęż</w:t>
            </w:r>
            <w:r w:rsidR="00563FFF" w:rsidRPr="009E1845">
              <w:rPr>
                <w:sz w:val="20"/>
                <w:szCs w:val="20"/>
              </w:rPr>
              <w:t>enia kreatyniny więcej niż 1,5-krotnie, ale nie</w:t>
            </w:r>
            <w:r w:rsidR="00616DD1" w:rsidRPr="009E1845">
              <w:rPr>
                <w:sz w:val="20"/>
                <w:szCs w:val="20"/>
              </w:rPr>
              <w:t xml:space="preserve"> </w:t>
            </w:r>
            <w:r w:rsidR="00563FFF" w:rsidRPr="009E1845">
              <w:rPr>
                <w:sz w:val="20"/>
                <w:szCs w:val="20"/>
              </w:rPr>
              <w:t>więcej niż 6-krotnie</w:t>
            </w:r>
            <w:r w:rsidRPr="009E1845">
              <w:rPr>
                <w:sz w:val="20"/>
                <w:szCs w:val="20"/>
              </w:rPr>
              <w:t xml:space="preserve"> w stosunku do górnej granicy</w:t>
            </w:r>
            <w:r w:rsidR="00616DD1" w:rsidRPr="009E1845">
              <w:rPr>
                <w:sz w:val="20"/>
                <w:szCs w:val="20"/>
              </w:rPr>
              <w:t xml:space="preserve"> </w:t>
            </w:r>
            <w:r w:rsidRPr="009E1845">
              <w:rPr>
                <w:sz w:val="20"/>
                <w:szCs w:val="20"/>
              </w:rPr>
              <w:t>normy;</w:t>
            </w:r>
          </w:p>
          <w:p w:rsidR="00CB6DB3" w:rsidRPr="009E1845" w:rsidRDefault="00CB6DB3" w:rsidP="00DF38B5">
            <w:pPr>
              <w:pStyle w:val="Akapitzlist"/>
              <w:numPr>
                <w:ilvl w:val="2"/>
                <w:numId w:val="28"/>
              </w:numPr>
              <w:autoSpaceDE w:val="0"/>
              <w:autoSpaceDN w:val="0"/>
              <w:adjustRightInd w:val="0"/>
              <w:spacing w:after="60"/>
              <w:contextualSpacing w:val="0"/>
              <w:jc w:val="both"/>
              <w:rPr>
                <w:sz w:val="20"/>
                <w:szCs w:val="20"/>
              </w:rPr>
            </w:pPr>
            <w:proofErr w:type="spellStart"/>
            <w:r w:rsidRPr="009E1845">
              <w:rPr>
                <w:sz w:val="20"/>
                <w:szCs w:val="20"/>
              </w:rPr>
              <w:t>endokrynopatie</w:t>
            </w:r>
            <w:proofErr w:type="spellEnd"/>
            <w:r w:rsidRPr="009E1845">
              <w:rPr>
                <w:sz w:val="20"/>
                <w:szCs w:val="20"/>
              </w:rPr>
              <w:t xml:space="preserve"> pochodzenia immunologicznego: objawowa niedoczynność tarczycy, nadczynność tarczycy, niedoczynność przysadki stopnia 2. lub 3. , niewydolność kory nadnerczy stopnia 2., cukrzyca stopnia 3.;</w:t>
            </w:r>
          </w:p>
          <w:p w:rsidR="00CB6DB3" w:rsidRPr="009E1845" w:rsidRDefault="00CB6DB3" w:rsidP="00DF38B5">
            <w:pPr>
              <w:pStyle w:val="Akapitzlist"/>
              <w:numPr>
                <w:ilvl w:val="2"/>
                <w:numId w:val="28"/>
              </w:numPr>
              <w:autoSpaceDE w:val="0"/>
              <w:autoSpaceDN w:val="0"/>
              <w:adjustRightInd w:val="0"/>
              <w:spacing w:after="60"/>
              <w:contextualSpacing w:val="0"/>
              <w:jc w:val="both"/>
              <w:rPr>
                <w:sz w:val="20"/>
                <w:szCs w:val="20"/>
              </w:rPr>
            </w:pPr>
            <w:r w:rsidRPr="009E1845">
              <w:rPr>
                <w:sz w:val="20"/>
                <w:szCs w:val="20"/>
              </w:rPr>
              <w:lastRenderedPageBreak/>
              <w:t>wysypka stopnia 3.</w:t>
            </w:r>
          </w:p>
          <w:p w:rsidR="00CB6DB3" w:rsidRPr="009E1845" w:rsidRDefault="00CB6DB3" w:rsidP="009E1845">
            <w:pPr>
              <w:widowControl w:val="0"/>
              <w:tabs>
                <w:tab w:val="left" w:pos="455"/>
              </w:tabs>
              <w:rPr>
                <w:sz w:val="20"/>
                <w:szCs w:val="20"/>
              </w:rPr>
            </w:pPr>
          </w:p>
          <w:p w:rsidR="00CB6DB3" w:rsidRDefault="00CB6DB3" w:rsidP="00DF38B5">
            <w:pPr>
              <w:widowControl w:val="0"/>
              <w:ind w:left="20" w:right="20"/>
              <w:jc w:val="both"/>
              <w:rPr>
                <w:sz w:val="20"/>
                <w:szCs w:val="20"/>
              </w:rPr>
            </w:pPr>
            <w:r w:rsidRPr="009E1845">
              <w:rPr>
                <w:sz w:val="20"/>
                <w:szCs w:val="20"/>
              </w:rPr>
              <w:t xml:space="preserve">Podawanie </w:t>
            </w:r>
            <w:proofErr w:type="spellStart"/>
            <w:r w:rsidRPr="009E1845">
              <w:rPr>
                <w:sz w:val="20"/>
                <w:szCs w:val="20"/>
              </w:rPr>
              <w:t>niwolumabu</w:t>
            </w:r>
            <w:proofErr w:type="spellEnd"/>
            <w:r w:rsidRPr="009E1845">
              <w:rPr>
                <w:sz w:val="20"/>
                <w:szCs w:val="20"/>
              </w:rPr>
              <w:t xml:space="preserve"> można wznowić po uzyskaniu poprawy i zredukowaniu dobowej dawki</w:t>
            </w:r>
            <w:r w:rsidR="00EC6FB8" w:rsidRPr="009E1845">
              <w:rPr>
                <w:sz w:val="20"/>
                <w:szCs w:val="20"/>
              </w:rPr>
              <w:t xml:space="preserve"> </w:t>
            </w:r>
            <w:r w:rsidRPr="009E1845">
              <w:rPr>
                <w:sz w:val="20"/>
                <w:szCs w:val="20"/>
              </w:rPr>
              <w:t xml:space="preserve">kortykosteroidów do dawki ≤ 10 mg </w:t>
            </w:r>
            <w:proofErr w:type="spellStart"/>
            <w:r w:rsidRPr="009E1845">
              <w:rPr>
                <w:sz w:val="20"/>
                <w:szCs w:val="20"/>
              </w:rPr>
              <w:t>prednizonu</w:t>
            </w:r>
            <w:proofErr w:type="spellEnd"/>
            <w:r w:rsidRPr="009E1845">
              <w:rPr>
                <w:sz w:val="20"/>
                <w:szCs w:val="20"/>
              </w:rPr>
              <w:t xml:space="preserve"> lub równoważnej dawki innego leku steroidowego, o ile ich podawanie było konieczne.</w:t>
            </w:r>
          </w:p>
          <w:p w:rsidR="00DF38B5" w:rsidRPr="009E1845" w:rsidRDefault="00DF38B5" w:rsidP="00DF38B5">
            <w:pPr>
              <w:widowControl w:val="0"/>
              <w:ind w:left="20" w:right="20"/>
              <w:jc w:val="both"/>
              <w:rPr>
                <w:sz w:val="20"/>
                <w:szCs w:val="20"/>
              </w:rPr>
            </w:pPr>
          </w:p>
          <w:p w:rsidR="00CB6DB3" w:rsidRPr="009E1845" w:rsidRDefault="00CB6DB3" w:rsidP="00DF38B5">
            <w:pPr>
              <w:pStyle w:val="Akapitzlist"/>
              <w:numPr>
                <w:ilvl w:val="1"/>
                <w:numId w:val="28"/>
              </w:numPr>
              <w:autoSpaceDE w:val="0"/>
              <w:autoSpaceDN w:val="0"/>
              <w:adjustRightInd w:val="0"/>
              <w:spacing w:after="60"/>
              <w:contextualSpacing w:val="0"/>
              <w:jc w:val="both"/>
              <w:rPr>
                <w:sz w:val="20"/>
                <w:szCs w:val="20"/>
              </w:rPr>
            </w:pPr>
            <w:r w:rsidRPr="009E1845">
              <w:rPr>
                <w:sz w:val="20"/>
                <w:szCs w:val="20"/>
              </w:rPr>
              <w:t xml:space="preserve">Przerwa w leczeniu </w:t>
            </w:r>
            <w:proofErr w:type="spellStart"/>
            <w:r w:rsidRPr="009E1845">
              <w:rPr>
                <w:sz w:val="20"/>
                <w:szCs w:val="20"/>
              </w:rPr>
              <w:t>niwolumabem</w:t>
            </w:r>
            <w:proofErr w:type="spellEnd"/>
            <w:r w:rsidRPr="009E1845">
              <w:rPr>
                <w:sz w:val="20"/>
                <w:szCs w:val="20"/>
              </w:rPr>
              <w:t xml:space="preserve"> nie może</w:t>
            </w:r>
            <w:r w:rsidR="00EC6FB8" w:rsidRPr="009E1845">
              <w:rPr>
                <w:sz w:val="20"/>
                <w:szCs w:val="20"/>
              </w:rPr>
              <w:t xml:space="preserve"> </w:t>
            </w:r>
            <w:r w:rsidRPr="009E1845">
              <w:rPr>
                <w:sz w:val="20"/>
                <w:szCs w:val="20"/>
              </w:rPr>
              <w:t>przekraczać 3 miesięcy.</w:t>
            </w:r>
          </w:p>
          <w:p w:rsidR="00CB6DB3" w:rsidRPr="009E1845" w:rsidRDefault="00CB6DB3" w:rsidP="009E1845">
            <w:pPr>
              <w:rPr>
                <w:sz w:val="20"/>
                <w:szCs w:val="20"/>
              </w:rPr>
            </w:pPr>
          </w:p>
        </w:tc>
        <w:tc>
          <w:tcPr>
            <w:tcW w:w="1396" w:type="pct"/>
            <w:tcBorders>
              <w:top w:val="single" w:sz="6" w:space="0" w:color="auto"/>
              <w:left w:val="single" w:sz="6" w:space="0" w:color="auto"/>
              <w:bottom w:val="single" w:sz="6" w:space="0" w:color="auto"/>
              <w:right w:val="single" w:sz="6" w:space="0" w:color="auto"/>
            </w:tcBorders>
          </w:tcPr>
          <w:p w:rsidR="000D3D20" w:rsidRDefault="000D3D20" w:rsidP="005746CC">
            <w:pPr>
              <w:pStyle w:val="Akapitzlist"/>
              <w:numPr>
                <w:ilvl w:val="0"/>
                <w:numId w:val="29"/>
              </w:numPr>
              <w:autoSpaceDE w:val="0"/>
              <w:autoSpaceDN w:val="0"/>
              <w:adjustRightInd w:val="0"/>
              <w:spacing w:before="120" w:after="60"/>
              <w:contextualSpacing w:val="0"/>
              <w:jc w:val="both"/>
              <w:rPr>
                <w:b/>
                <w:bCs/>
                <w:sz w:val="20"/>
                <w:szCs w:val="20"/>
              </w:rPr>
            </w:pPr>
            <w:r w:rsidRPr="009E1845">
              <w:rPr>
                <w:b/>
                <w:bCs/>
                <w:sz w:val="20"/>
                <w:szCs w:val="20"/>
              </w:rPr>
              <w:lastRenderedPageBreak/>
              <w:t>Badania przy kwalifikacji do lecze</w:t>
            </w:r>
            <w:r w:rsidR="00DA7A8F" w:rsidRPr="009E1845">
              <w:rPr>
                <w:b/>
                <w:bCs/>
                <w:sz w:val="20"/>
                <w:szCs w:val="20"/>
              </w:rPr>
              <w:t xml:space="preserve">nia </w:t>
            </w:r>
            <w:proofErr w:type="spellStart"/>
            <w:r w:rsidR="00DA7A8F" w:rsidRPr="009E1845">
              <w:rPr>
                <w:b/>
                <w:bCs/>
                <w:sz w:val="20"/>
                <w:szCs w:val="20"/>
              </w:rPr>
              <w:t>sunitynibem</w:t>
            </w:r>
            <w:proofErr w:type="spellEnd"/>
            <w:r w:rsidR="00DA7A8F" w:rsidRPr="009E1845">
              <w:rPr>
                <w:b/>
                <w:bCs/>
                <w:sz w:val="20"/>
                <w:szCs w:val="20"/>
              </w:rPr>
              <w:t xml:space="preserve">, </w:t>
            </w:r>
            <w:proofErr w:type="spellStart"/>
            <w:r w:rsidR="00DA7A8F" w:rsidRPr="009E1845">
              <w:rPr>
                <w:b/>
                <w:bCs/>
                <w:sz w:val="20"/>
                <w:szCs w:val="20"/>
              </w:rPr>
              <w:t>sorafenibem</w:t>
            </w:r>
            <w:proofErr w:type="spellEnd"/>
            <w:r w:rsidR="00DA7A8F" w:rsidRPr="009E1845">
              <w:rPr>
                <w:b/>
                <w:bCs/>
                <w:sz w:val="20"/>
                <w:szCs w:val="20"/>
              </w:rPr>
              <w:t xml:space="preserve">, </w:t>
            </w:r>
            <w:proofErr w:type="spellStart"/>
            <w:r w:rsidR="00DA7A8F" w:rsidRPr="009E1845">
              <w:rPr>
                <w:b/>
                <w:bCs/>
                <w:sz w:val="20"/>
                <w:szCs w:val="20"/>
              </w:rPr>
              <w:t>pazopanibem</w:t>
            </w:r>
            <w:proofErr w:type="spellEnd"/>
            <w:r w:rsidR="00236B61" w:rsidRPr="009E1845">
              <w:rPr>
                <w:b/>
                <w:bCs/>
                <w:sz w:val="20"/>
                <w:szCs w:val="20"/>
              </w:rPr>
              <w:t xml:space="preserve">, </w:t>
            </w:r>
            <w:proofErr w:type="spellStart"/>
            <w:r w:rsidR="00236B61" w:rsidRPr="009E1845">
              <w:rPr>
                <w:b/>
                <w:bCs/>
                <w:sz w:val="20"/>
                <w:szCs w:val="20"/>
              </w:rPr>
              <w:t>aksytynibem</w:t>
            </w:r>
            <w:proofErr w:type="spellEnd"/>
            <w:r w:rsidR="00236B61" w:rsidRPr="009E1845">
              <w:rPr>
                <w:b/>
                <w:bCs/>
                <w:sz w:val="20"/>
                <w:szCs w:val="20"/>
              </w:rPr>
              <w:t>,</w:t>
            </w:r>
            <w:r w:rsidR="009E44C5" w:rsidRPr="009E1845">
              <w:rPr>
                <w:b/>
                <w:bCs/>
                <w:sz w:val="20"/>
                <w:szCs w:val="20"/>
              </w:rPr>
              <w:t xml:space="preserve"> </w:t>
            </w:r>
            <w:proofErr w:type="spellStart"/>
            <w:r w:rsidRPr="009E1845">
              <w:rPr>
                <w:b/>
                <w:bCs/>
                <w:sz w:val="20"/>
                <w:szCs w:val="20"/>
              </w:rPr>
              <w:t>ewerolimusem</w:t>
            </w:r>
            <w:proofErr w:type="spellEnd"/>
            <w:r w:rsidR="007A3D4C" w:rsidRPr="009E1845">
              <w:rPr>
                <w:b/>
                <w:bCs/>
                <w:sz w:val="20"/>
                <w:szCs w:val="20"/>
              </w:rPr>
              <w:t xml:space="preserve">, </w:t>
            </w:r>
            <w:proofErr w:type="spellStart"/>
            <w:r w:rsidR="007A3D4C" w:rsidRPr="009E1845">
              <w:rPr>
                <w:b/>
                <w:bCs/>
                <w:sz w:val="20"/>
                <w:szCs w:val="20"/>
              </w:rPr>
              <w:t>kabozantynibem</w:t>
            </w:r>
            <w:proofErr w:type="spellEnd"/>
            <w:r w:rsidR="00C528DF" w:rsidRPr="009E1845">
              <w:rPr>
                <w:b/>
                <w:bCs/>
                <w:sz w:val="20"/>
                <w:szCs w:val="20"/>
              </w:rPr>
              <w:t xml:space="preserve"> i </w:t>
            </w:r>
            <w:proofErr w:type="spellStart"/>
            <w:r w:rsidR="00C528DF" w:rsidRPr="009E1845">
              <w:rPr>
                <w:b/>
                <w:bCs/>
                <w:sz w:val="20"/>
                <w:szCs w:val="20"/>
              </w:rPr>
              <w:t>niwolumabem</w:t>
            </w:r>
            <w:proofErr w:type="spellEnd"/>
          </w:p>
          <w:p w:rsidR="000D3D20" w:rsidRPr="002226A4" w:rsidRDefault="000D3D20" w:rsidP="002226A4">
            <w:pPr>
              <w:pStyle w:val="Akapitzlist"/>
              <w:numPr>
                <w:ilvl w:val="2"/>
                <w:numId w:val="29"/>
              </w:numPr>
              <w:autoSpaceDE w:val="0"/>
              <w:autoSpaceDN w:val="0"/>
              <w:adjustRightInd w:val="0"/>
              <w:spacing w:after="60"/>
              <w:contextualSpacing w:val="0"/>
              <w:jc w:val="both"/>
              <w:rPr>
                <w:sz w:val="20"/>
                <w:szCs w:val="20"/>
              </w:rPr>
            </w:pPr>
            <w:r w:rsidRPr="002226A4">
              <w:rPr>
                <w:sz w:val="20"/>
                <w:szCs w:val="20"/>
              </w:rPr>
              <w:t xml:space="preserve">histologiczne potwierdzenie </w:t>
            </w:r>
            <w:proofErr w:type="spellStart"/>
            <w:r w:rsidRPr="002226A4">
              <w:rPr>
                <w:sz w:val="20"/>
                <w:szCs w:val="20"/>
              </w:rPr>
              <w:t>jasnokomórkowego</w:t>
            </w:r>
            <w:proofErr w:type="spellEnd"/>
            <w:r w:rsidRPr="002226A4">
              <w:rPr>
                <w:sz w:val="20"/>
                <w:szCs w:val="20"/>
              </w:rPr>
              <w:t xml:space="preserve"> raka nerki lub mieszanego raka </w:t>
            </w:r>
            <w:proofErr w:type="spellStart"/>
            <w:r w:rsidRPr="002226A4">
              <w:rPr>
                <w:sz w:val="20"/>
                <w:szCs w:val="20"/>
              </w:rPr>
              <w:t>nerkowokomórkowego</w:t>
            </w:r>
            <w:proofErr w:type="spellEnd"/>
            <w:r w:rsidRPr="002226A4">
              <w:rPr>
                <w:sz w:val="20"/>
                <w:szCs w:val="20"/>
              </w:rPr>
              <w:t xml:space="preserve"> z przeważającym</w:t>
            </w:r>
            <w:r w:rsidR="00221915" w:rsidRPr="002226A4">
              <w:rPr>
                <w:sz w:val="20"/>
                <w:szCs w:val="20"/>
              </w:rPr>
              <w:t xml:space="preserve"> </w:t>
            </w:r>
            <w:r w:rsidRPr="002226A4">
              <w:rPr>
                <w:sz w:val="20"/>
                <w:szCs w:val="20"/>
              </w:rPr>
              <w:t xml:space="preserve">komponentem </w:t>
            </w:r>
            <w:proofErr w:type="spellStart"/>
            <w:r w:rsidRPr="002226A4">
              <w:rPr>
                <w:sz w:val="20"/>
                <w:szCs w:val="20"/>
              </w:rPr>
              <w:t>jasnokomórkowym</w:t>
            </w:r>
            <w:proofErr w:type="spellEnd"/>
            <w:r w:rsidRPr="002226A4">
              <w:rPr>
                <w:sz w:val="20"/>
                <w:szCs w:val="20"/>
              </w:rPr>
              <w:t xml:space="preserve">; </w:t>
            </w:r>
          </w:p>
          <w:p w:rsidR="000D3D20" w:rsidRPr="009E1845" w:rsidRDefault="000D3D20" w:rsidP="002226A4">
            <w:pPr>
              <w:pStyle w:val="Akapitzlist"/>
              <w:numPr>
                <w:ilvl w:val="2"/>
                <w:numId w:val="29"/>
              </w:numPr>
              <w:autoSpaceDE w:val="0"/>
              <w:autoSpaceDN w:val="0"/>
              <w:adjustRightInd w:val="0"/>
              <w:spacing w:after="60"/>
              <w:contextualSpacing w:val="0"/>
              <w:jc w:val="both"/>
              <w:rPr>
                <w:sz w:val="20"/>
                <w:szCs w:val="20"/>
              </w:rPr>
            </w:pPr>
            <w:r w:rsidRPr="009E1845">
              <w:rPr>
                <w:sz w:val="20"/>
                <w:szCs w:val="20"/>
              </w:rPr>
              <w:t xml:space="preserve">morfologia krwi z rozmazem; </w:t>
            </w:r>
          </w:p>
          <w:p w:rsidR="000D3D20" w:rsidRPr="009E1845" w:rsidRDefault="000D3D20" w:rsidP="002226A4">
            <w:pPr>
              <w:pStyle w:val="Akapitzlist"/>
              <w:numPr>
                <w:ilvl w:val="2"/>
                <w:numId w:val="29"/>
              </w:numPr>
              <w:autoSpaceDE w:val="0"/>
              <w:autoSpaceDN w:val="0"/>
              <w:adjustRightInd w:val="0"/>
              <w:spacing w:after="60"/>
              <w:contextualSpacing w:val="0"/>
              <w:jc w:val="both"/>
              <w:rPr>
                <w:sz w:val="20"/>
                <w:szCs w:val="20"/>
              </w:rPr>
            </w:pPr>
            <w:r w:rsidRPr="009E1845">
              <w:rPr>
                <w:sz w:val="20"/>
                <w:szCs w:val="20"/>
              </w:rPr>
              <w:t xml:space="preserve">oznaczenie stężenia hemoglobiny; </w:t>
            </w:r>
          </w:p>
          <w:p w:rsidR="001D5670" w:rsidRDefault="000D3D20" w:rsidP="00322132">
            <w:pPr>
              <w:pStyle w:val="Akapitzlist"/>
              <w:numPr>
                <w:ilvl w:val="2"/>
                <w:numId w:val="29"/>
              </w:numPr>
              <w:autoSpaceDE w:val="0"/>
              <w:autoSpaceDN w:val="0"/>
              <w:adjustRightInd w:val="0"/>
              <w:spacing w:after="60"/>
              <w:contextualSpacing w:val="0"/>
              <w:jc w:val="both"/>
              <w:rPr>
                <w:sz w:val="20"/>
                <w:szCs w:val="20"/>
              </w:rPr>
            </w:pPr>
            <w:r w:rsidRPr="001D5670">
              <w:rPr>
                <w:sz w:val="20"/>
                <w:szCs w:val="20"/>
              </w:rPr>
              <w:t>oznaczenie stężenia mocznika</w:t>
            </w:r>
            <w:r w:rsidR="001333DA" w:rsidRPr="001D5670">
              <w:rPr>
                <w:sz w:val="20"/>
                <w:szCs w:val="20"/>
              </w:rPr>
              <w:t xml:space="preserve"> (nie dotyczy </w:t>
            </w:r>
            <w:proofErr w:type="spellStart"/>
            <w:r w:rsidR="001333DA" w:rsidRPr="001D5670">
              <w:rPr>
                <w:sz w:val="20"/>
                <w:szCs w:val="20"/>
              </w:rPr>
              <w:t>kabozantynibu</w:t>
            </w:r>
            <w:proofErr w:type="spellEnd"/>
            <w:r w:rsidR="001333DA" w:rsidRPr="001D5670">
              <w:rPr>
                <w:sz w:val="20"/>
                <w:szCs w:val="20"/>
              </w:rPr>
              <w:t>)</w:t>
            </w:r>
            <w:r w:rsidR="001D5670">
              <w:rPr>
                <w:sz w:val="20"/>
                <w:szCs w:val="20"/>
              </w:rPr>
              <w:t>;</w:t>
            </w:r>
          </w:p>
          <w:p w:rsidR="001D5670" w:rsidRDefault="000D3D20" w:rsidP="00322132">
            <w:pPr>
              <w:pStyle w:val="Akapitzlist"/>
              <w:numPr>
                <w:ilvl w:val="2"/>
                <w:numId w:val="29"/>
              </w:numPr>
              <w:autoSpaceDE w:val="0"/>
              <w:autoSpaceDN w:val="0"/>
              <w:adjustRightInd w:val="0"/>
              <w:spacing w:after="60"/>
              <w:contextualSpacing w:val="0"/>
              <w:jc w:val="both"/>
              <w:rPr>
                <w:sz w:val="20"/>
                <w:szCs w:val="20"/>
              </w:rPr>
            </w:pPr>
            <w:r w:rsidRPr="001D5670">
              <w:rPr>
                <w:sz w:val="20"/>
                <w:szCs w:val="20"/>
              </w:rPr>
              <w:t>oznaczenia stężenia kreatyniny;</w:t>
            </w:r>
          </w:p>
          <w:p w:rsidR="001D5670" w:rsidRDefault="000D3D20" w:rsidP="00322132">
            <w:pPr>
              <w:pStyle w:val="Akapitzlist"/>
              <w:numPr>
                <w:ilvl w:val="2"/>
                <w:numId w:val="29"/>
              </w:numPr>
              <w:autoSpaceDE w:val="0"/>
              <w:autoSpaceDN w:val="0"/>
              <w:adjustRightInd w:val="0"/>
              <w:spacing w:after="60"/>
              <w:contextualSpacing w:val="0"/>
              <w:jc w:val="both"/>
              <w:rPr>
                <w:sz w:val="20"/>
                <w:szCs w:val="20"/>
              </w:rPr>
            </w:pPr>
            <w:r w:rsidRPr="001D5670">
              <w:rPr>
                <w:sz w:val="20"/>
                <w:szCs w:val="20"/>
              </w:rPr>
              <w:t>oznaczenie stężenia bilirubiny;</w:t>
            </w:r>
          </w:p>
          <w:p w:rsidR="001D5670" w:rsidRDefault="000D3D20" w:rsidP="00322132">
            <w:pPr>
              <w:pStyle w:val="Akapitzlist"/>
              <w:numPr>
                <w:ilvl w:val="2"/>
                <w:numId w:val="29"/>
              </w:numPr>
              <w:autoSpaceDE w:val="0"/>
              <w:autoSpaceDN w:val="0"/>
              <w:adjustRightInd w:val="0"/>
              <w:spacing w:after="60"/>
              <w:contextualSpacing w:val="0"/>
              <w:jc w:val="both"/>
              <w:rPr>
                <w:sz w:val="20"/>
                <w:szCs w:val="20"/>
              </w:rPr>
            </w:pPr>
            <w:r w:rsidRPr="001D5670">
              <w:rPr>
                <w:sz w:val="20"/>
                <w:szCs w:val="20"/>
              </w:rPr>
              <w:t>oznaczenie aktywności aminotransferazy alaninowej;</w:t>
            </w:r>
          </w:p>
          <w:p w:rsidR="001D5670" w:rsidRDefault="000D3D20" w:rsidP="00322132">
            <w:pPr>
              <w:pStyle w:val="Akapitzlist"/>
              <w:numPr>
                <w:ilvl w:val="2"/>
                <w:numId w:val="29"/>
              </w:numPr>
              <w:autoSpaceDE w:val="0"/>
              <w:autoSpaceDN w:val="0"/>
              <w:adjustRightInd w:val="0"/>
              <w:spacing w:after="60"/>
              <w:contextualSpacing w:val="0"/>
              <w:jc w:val="both"/>
              <w:rPr>
                <w:sz w:val="20"/>
                <w:szCs w:val="20"/>
              </w:rPr>
            </w:pPr>
            <w:r w:rsidRPr="001D5670">
              <w:rPr>
                <w:sz w:val="20"/>
                <w:szCs w:val="20"/>
              </w:rPr>
              <w:t xml:space="preserve">oznaczenie aktywności aminotransferazy </w:t>
            </w:r>
            <w:proofErr w:type="spellStart"/>
            <w:r w:rsidRPr="001D5670">
              <w:rPr>
                <w:sz w:val="20"/>
                <w:szCs w:val="20"/>
              </w:rPr>
              <w:t>asparaginianowej</w:t>
            </w:r>
            <w:proofErr w:type="spellEnd"/>
            <w:r w:rsidRPr="001D5670">
              <w:rPr>
                <w:sz w:val="20"/>
                <w:szCs w:val="20"/>
              </w:rPr>
              <w:t>;</w:t>
            </w:r>
          </w:p>
          <w:p w:rsidR="001D5670" w:rsidRDefault="000D3D20" w:rsidP="00322132">
            <w:pPr>
              <w:pStyle w:val="Akapitzlist"/>
              <w:numPr>
                <w:ilvl w:val="2"/>
                <w:numId w:val="29"/>
              </w:numPr>
              <w:autoSpaceDE w:val="0"/>
              <w:autoSpaceDN w:val="0"/>
              <w:adjustRightInd w:val="0"/>
              <w:spacing w:after="60"/>
              <w:contextualSpacing w:val="0"/>
              <w:jc w:val="both"/>
              <w:rPr>
                <w:sz w:val="20"/>
                <w:szCs w:val="20"/>
              </w:rPr>
            </w:pPr>
            <w:r w:rsidRPr="001D5670">
              <w:rPr>
                <w:sz w:val="20"/>
                <w:szCs w:val="20"/>
              </w:rPr>
              <w:t>oznaczenie aktywności dehydrogenazy mleczanowej (LDH)</w:t>
            </w:r>
            <w:r w:rsidR="001333DA" w:rsidRPr="001D5670">
              <w:rPr>
                <w:sz w:val="20"/>
                <w:szCs w:val="20"/>
              </w:rPr>
              <w:t xml:space="preserve"> (nie dotyczy </w:t>
            </w:r>
            <w:proofErr w:type="spellStart"/>
            <w:r w:rsidR="001333DA" w:rsidRPr="001D5670">
              <w:rPr>
                <w:sz w:val="20"/>
                <w:szCs w:val="20"/>
              </w:rPr>
              <w:t>kabozantynibu</w:t>
            </w:r>
            <w:proofErr w:type="spellEnd"/>
            <w:r w:rsidR="008226D6" w:rsidRPr="001D5670">
              <w:rPr>
                <w:sz w:val="20"/>
                <w:szCs w:val="20"/>
              </w:rPr>
              <w:t xml:space="preserve"> i </w:t>
            </w:r>
            <w:proofErr w:type="spellStart"/>
            <w:r w:rsidR="008226D6" w:rsidRPr="001D5670">
              <w:rPr>
                <w:sz w:val="20"/>
                <w:szCs w:val="20"/>
              </w:rPr>
              <w:t>niwolumabu</w:t>
            </w:r>
            <w:proofErr w:type="spellEnd"/>
            <w:r w:rsidR="001333DA" w:rsidRPr="001D5670">
              <w:rPr>
                <w:sz w:val="20"/>
                <w:szCs w:val="20"/>
              </w:rPr>
              <w:t>)</w:t>
            </w:r>
            <w:r w:rsidRPr="001D5670">
              <w:rPr>
                <w:sz w:val="20"/>
                <w:szCs w:val="20"/>
              </w:rPr>
              <w:t>;</w:t>
            </w:r>
          </w:p>
          <w:p w:rsidR="001D5670" w:rsidRDefault="000D3D20" w:rsidP="00322132">
            <w:pPr>
              <w:pStyle w:val="Akapitzlist"/>
              <w:numPr>
                <w:ilvl w:val="2"/>
                <w:numId w:val="29"/>
              </w:numPr>
              <w:autoSpaceDE w:val="0"/>
              <w:autoSpaceDN w:val="0"/>
              <w:adjustRightInd w:val="0"/>
              <w:spacing w:after="60"/>
              <w:contextualSpacing w:val="0"/>
              <w:jc w:val="both"/>
              <w:rPr>
                <w:sz w:val="20"/>
                <w:szCs w:val="20"/>
              </w:rPr>
            </w:pPr>
            <w:r w:rsidRPr="001D5670">
              <w:rPr>
                <w:sz w:val="20"/>
                <w:szCs w:val="20"/>
              </w:rPr>
              <w:t xml:space="preserve">oznaczenie aktywności hormonu </w:t>
            </w:r>
            <w:proofErr w:type="spellStart"/>
            <w:r w:rsidRPr="001D5670">
              <w:rPr>
                <w:sz w:val="20"/>
                <w:szCs w:val="20"/>
              </w:rPr>
              <w:t>tyreotro</w:t>
            </w:r>
            <w:r w:rsidR="00E53F4A" w:rsidRPr="001D5670">
              <w:rPr>
                <w:sz w:val="20"/>
                <w:szCs w:val="20"/>
              </w:rPr>
              <w:t>powego</w:t>
            </w:r>
            <w:proofErr w:type="spellEnd"/>
            <w:r w:rsidR="00E53F4A" w:rsidRPr="001D5670">
              <w:rPr>
                <w:sz w:val="20"/>
                <w:szCs w:val="20"/>
              </w:rPr>
              <w:t xml:space="preserve"> (TSH) </w:t>
            </w:r>
            <w:r w:rsidR="007D6AE5" w:rsidRPr="001D5670">
              <w:rPr>
                <w:sz w:val="20"/>
                <w:szCs w:val="20"/>
              </w:rPr>
              <w:t xml:space="preserve">(nie dotyczy </w:t>
            </w:r>
            <w:proofErr w:type="spellStart"/>
            <w:r w:rsidR="007D6AE5" w:rsidRPr="001D5670">
              <w:rPr>
                <w:sz w:val="20"/>
                <w:szCs w:val="20"/>
              </w:rPr>
              <w:t>ewerolimusu</w:t>
            </w:r>
            <w:proofErr w:type="spellEnd"/>
            <w:r w:rsidR="007D6AE5" w:rsidRPr="001D5670">
              <w:rPr>
                <w:sz w:val="20"/>
                <w:szCs w:val="20"/>
              </w:rPr>
              <w:t xml:space="preserve"> i </w:t>
            </w:r>
            <w:proofErr w:type="spellStart"/>
            <w:r w:rsidR="007D6AE5" w:rsidRPr="001D5670">
              <w:rPr>
                <w:sz w:val="20"/>
                <w:szCs w:val="20"/>
              </w:rPr>
              <w:t>temsyrolimusu</w:t>
            </w:r>
            <w:proofErr w:type="spellEnd"/>
            <w:r w:rsidR="007D6AE5" w:rsidRPr="001D5670">
              <w:rPr>
                <w:sz w:val="20"/>
                <w:szCs w:val="20"/>
              </w:rPr>
              <w:t>);</w:t>
            </w:r>
          </w:p>
          <w:p w:rsidR="001D5670" w:rsidRDefault="000D3D20" w:rsidP="00322132">
            <w:pPr>
              <w:pStyle w:val="Akapitzlist"/>
              <w:numPr>
                <w:ilvl w:val="2"/>
                <w:numId w:val="29"/>
              </w:numPr>
              <w:autoSpaceDE w:val="0"/>
              <w:autoSpaceDN w:val="0"/>
              <w:adjustRightInd w:val="0"/>
              <w:spacing w:after="60"/>
              <w:contextualSpacing w:val="0"/>
              <w:jc w:val="both"/>
              <w:rPr>
                <w:sz w:val="20"/>
                <w:szCs w:val="20"/>
              </w:rPr>
            </w:pPr>
            <w:r w:rsidRPr="001D5670">
              <w:rPr>
                <w:sz w:val="20"/>
                <w:szCs w:val="20"/>
              </w:rPr>
              <w:lastRenderedPageBreak/>
              <w:t>oznaczenie skorygowanego stężenia wapnia w surowicy;</w:t>
            </w:r>
          </w:p>
          <w:p w:rsidR="001D5670" w:rsidRDefault="00DA4E2C" w:rsidP="00322132">
            <w:pPr>
              <w:pStyle w:val="Akapitzlist"/>
              <w:numPr>
                <w:ilvl w:val="2"/>
                <w:numId w:val="29"/>
              </w:numPr>
              <w:autoSpaceDE w:val="0"/>
              <w:autoSpaceDN w:val="0"/>
              <w:adjustRightInd w:val="0"/>
              <w:spacing w:after="60"/>
              <w:contextualSpacing w:val="0"/>
              <w:jc w:val="both"/>
              <w:rPr>
                <w:sz w:val="20"/>
                <w:szCs w:val="20"/>
              </w:rPr>
            </w:pPr>
            <w:r w:rsidRPr="001D5670">
              <w:rPr>
                <w:sz w:val="20"/>
                <w:szCs w:val="20"/>
              </w:rPr>
              <w:t xml:space="preserve">oznaczenie białka w moczu – dla </w:t>
            </w:r>
            <w:proofErr w:type="spellStart"/>
            <w:r w:rsidRPr="001D5670">
              <w:rPr>
                <w:sz w:val="20"/>
                <w:szCs w:val="20"/>
              </w:rPr>
              <w:t>aksytynibu</w:t>
            </w:r>
            <w:proofErr w:type="spellEnd"/>
            <w:r w:rsidR="00DD36A2" w:rsidRPr="001D5670">
              <w:rPr>
                <w:sz w:val="20"/>
                <w:szCs w:val="20"/>
              </w:rPr>
              <w:t xml:space="preserve"> i </w:t>
            </w:r>
            <w:proofErr w:type="spellStart"/>
            <w:r w:rsidR="00DD36A2" w:rsidRPr="001D5670">
              <w:rPr>
                <w:sz w:val="20"/>
                <w:szCs w:val="20"/>
              </w:rPr>
              <w:t>kabozantynibu</w:t>
            </w:r>
            <w:proofErr w:type="spellEnd"/>
            <w:r w:rsidR="00C57F86" w:rsidRPr="001D5670">
              <w:rPr>
                <w:sz w:val="20"/>
                <w:szCs w:val="20"/>
              </w:rPr>
              <w:t>;</w:t>
            </w:r>
          </w:p>
          <w:p w:rsidR="001D5670" w:rsidRDefault="006A4D4C" w:rsidP="00322132">
            <w:pPr>
              <w:pStyle w:val="Akapitzlist"/>
              <w:numPr>
                <w:ilvl w:val="2"/>
                <w:numId w:val="29"/>
              </w:numPr>
              <w:autoSpaceDE w:val="0"/>
              <w:autoSpaceDN w:val="0"/>
              <w:adjustRightInd w:val="0"/>
              <w:spacing w:after="60"/>
              <w:contextualSpacing w:val="0"/>
              <w:jc w:val="both"/>
              <w:rPr>
                <w:sz w:val="20"/>
                <w:szCs w:val="20"/>
              </w:rPr>
            </w:pPr>
            <w:r w:rsidRPr="001D5670">
              <w:rPr>
                <w:sz w:val="20"/>
                <w:szCs w:val="20"/>
              </w:rPr>
              <w:t xml:space="preserve">oznaczenie aktywności fosfatazy alkalicznej – dla </w:t>
            </w:r>
            <w:proofErr w:type="spellStart"/>
            <w:r w:rsidRPr="001D5670">
              <w:rPr>
                <w:sz w:val="20"/>
                <w:szCs w:val="20"/>
              </w:rPr>
              <w:t>niwolumabu</w:t>
            </w:r>
            <w:proofErr w:type="spellEnd"/>
            <w:r w:rsidRPr="001D5670">
              <w:rPr>
                <w:sz w:val="20"/>
                <w:szCs w:val="20"/>
              </w:rPr>
              <w:t>;</w:t>
            </w:r>
          </w:p>
          <w:p w:rsidR="001D5670" w:rsidRDefault="006A4D4C" w:rsidP="00322132">
            <w:pPr>
              <w:pStyle w:val="Akapitzlist"/>
              <w:numPr>
                <w:ilvl w:val="2"/>
                <w:numId w:val="29"/>
              </w:numPr>
              <w:autoSpaceDE w:val="0"/>
              <w:autoSpaceDN w:val="0"/>
              <w:adjustRightInd w:val="0"/>
              <w:spacing w:after="60"/>
              <w:contextualSpacing w:val="0"/>
              <w:jc w:val="both"/>
              <w:rPr>
                <w:sz w:val="20"/>
                <w:szCs w:val="20"/>
              </w:rPr>
            </w:pPr>
            <w:r w:rsidRPr="001D5670">
              <w:rPr>
                <w:sz w:val="20"/>
                <w:szCs w:val="20"/>
              </w:rPr>
              <w:t xml:space="preserve">oznaczenie antygenu </w:t>
            </w:r>
            <w:proofErr w:type="spellStart"/>
            <w:r w:rsidRPr="001D5670">
              <w:rPr>
                <w:sz w:val="20"/>
                <w:szCs w:val="20"/>
              </w:rPr>
              <w:t>HBs</w:t>
            </w:r>
            <w:proofErr w:type="spellEnd"/>
            <w:r w:rsidRPr="001D5670">
              <w:rPr>
                <w:sz w:val="20"/>
                <w:szCs w:val="20"/>
              </w:rPr>
              <w:t xml:space="preserve"> (</w:t>
            </w:r>
            <w:proofErr w:type="spellStart"/>
            <w:r w:rsidRPr="001D5670">
              <w:rPr>
                <w:sz w:val="20"/>
                <w:szCs w:val="20"/>
              </w:rPr>
              <w:t>HbsAg</w:t>
            </w:r>
            <w:proofErr w:type="spellEnd"/>
            <w:r w:rsidRPr="001D5670">
              <w:rPr>
                <w:sz w:val="20"/>
                <w:szCs w:val="20"/>
              </w:rPr>
              <w:t xml:space="preserve">) – dla </w:t>
            </w:r>
            <w:proofErr w:type="spellStart"/>
            <w:r w:rsidRPr="001D5670">
              <w:rPr>
                <w:sz w:val="20"/>
                <w:szCs w:val="20"/>
              </w:rPr>
              <w:t>niwolumabu</w:t>
            </w:r>
            <w:proofErr w:type="spellEnd"/>
            <w:r w:rsidRPr="001D5670">
              <w:rPr>
                <w:sz w:val="20"/>
                <w:szCs w:val="20"/>
              </w:rPr>
              <w:t>;</w:t>
            </w:r>
          </w:p>
          <w:p w:rsidR="001D5670" w:rsidRDefault="006A4D4C" w:rsidP="00322132">
            <w:pPr>
              <w:pStyle w:val="Akapitzlist"/>
              <w:numPr>
                <w:ilvl w:val="2"/>
                <w:numId w:val="29"/>
              </w:numPr>
              <w:autoSpaceDE w:val="0"/>
              <w:autoSpaceDN w:val="0"/>
              <w:adjustRightInd w:val="0"/>
              <w:spacing w:after="60"/>
              <w:contextualSpacing w:val="0"/>
              <w:jc w:val="both"/>
              <w:rPr>
                <w:sz w:val="20"/>
                <w:szCs w:val="20"/>
              </w:rPr>
            </w:pPr>
            <w:r w:rsidRPr="001D5670">
              <w:rPr>
                <w:sz w:val="20"/>
                <w:szCs w:val="20"/>
              </w:rPr>
              <w:t xml:space="preserve">oznaczenie przeciwciał anty HCV – dla </w:t>
            </w:r>
            <w:proofErr w:type="spellStart"/>
            <w:r w:rsidRPr="001D5670">
              <w:rPr>
                <w:sz w:val="20"/>
                <w:szCs w:val="20"/>
              </w:rPr>
              <w:t>niwolumabu</w:t>
            </w:r>
            <w:proofErr w:type="spellEnd"/>
            <w:r w:rsidRPr="001D5670">
              <w:rPr>
                <w:sz w:val="20"/>
                <w:szCs w:val="20"/>
              </w:rPr>
              <w:t>;</w:t>
            </w:r>
          </w:p>
          <w:p w:rsidR="001D5670" w:rsidRDefault="000D3D20" w:rsidP="00322132">
            <w:pPr>
              <w:pStyle w:val="Akapitzlist"/>
              <w:numPr>
                <w:ilvl w:val="2"/>
                <w:numId w:val="29"/>
              </w:numPr>
              <w:autoSpaceDE w:val="0"/>
              <w:autoSpaceDN w:val="0"/>
              <w:adjustRightInd w:val="0"/>
              <w:spacing w:after="60"/>
              <w:contextualSpacing w:val="0"/>
              <w:jc w:val="both"/>
              <w:rPr>
                <w:sz w:val="20"/>
                <w:szCs w:val="20"/>
              </w:rPr>
            </w:pPr>
            <w:r w:rsidRPr="001D5670">
              <w:rPr>
                <w:sz w:val="20"/>
                <w:szCs w:val="20"/>
              </w:rPr>
              <w:t>inne badania laboratoryjne w razie wskazań klinicznych;</w:t>
            </w:r>
          </w:p>
          <w:p w:rsidR="001D5670" w:rsidRDefault="000D3D20" w:rsidP="00322132">
            <w:pPr>
              <w:pStyle w:val="Akapitzlist"/>
              <w:numPr>
                <w:ilvl w:val="2"/>
                <w:numId w:val="29"/>
              </w:numPr>
              <w:autoSpaceDE w:val="0"/>
              <w:autoSpaceDN w:val="0"/>
              <w:adjustRightInd w:val="0"/>
              <w:spacing w:after="60"/>
              <w:contextualSpacing w:val="0"/>
              <w:jc w:val="both"/>
              <w:rPr>
                <w:sz w:val="20"/>
                <w:szCs w:val="20"/>
              </w:rPr>
            </w:pPr>
            <w:r w:rsidRPr="001D5670">
              <w:rPr>
                <w:sz w:val="20"/>
                <w:szCs w:val="20"/>
              </w:rPr>
              <w:t>test ciążowy u kobiet w wieku rozrodczym;</w:t>
            </w:r>
          </w:p>
          <w:p w:rsidR="001D5670" w:rsidRDefault="000D3D20" w:rsidP="00322132">
            <w:pPr>
              <w:pStyle w:val="Akapitzlist"/>
              <w:numPr>
                <w:ilvl w:val="2"/>
                <w:numId w:val="29"/>
              </w:numPr>
              <w:autoSpaceDE w:val="0"/>
              <w:autoSpaceDN w:val="0"/>
              <w:adjustRightInd w:val="0"/>
              <w:spacing w:after="60"/>
              <w:contextualSpacing w:val="0"/>
              <w:jc w:val="both"/>
              <w:rPr>
                <w:sz w:val="20"/>
                <w:szCs w:val="20"/>
              </w:rPr>
            </w:pPr>
            <w:r w:rsidRPr="001D5670">
              <w:rPr>
                <w:sz w:val="20"/>
                <w:szCs w:val="20"/>
              </w:rPr>
              <w:t>badanie KT klatki piersiowej i jamy brzusznej;</w:t>
            </w:r>
          </w:p>
          <w:p w:rsidR="001D5670" w:rsidRDefault="000D3D20" w:rsidP="00322132">
            <w:pPr>
              <w:pStyle w:val="Akapitzlist"/>
              <w:numPr>
                <w:ilvl w:val="2"/>
                <w:numId w:val="29"/>
              </w:numPr>
              <w:autoSpaceDE w:val="0"/>
              <w:autoSpaceDN w:val="0"/>
              <w:adjustRightInd w:val="0"/>
              <w:spacing w:after="60"/>
              <w:contextualSpacing w:val="0"/>
              <w:jc w:val="both"/>
              <w:rPr>
                <w:sz w:val="20"/>
                <w:szCs w:val="20"/>
              </w:rPr>
            </w:pPr>
            <w:r w:rsidRPr="001D5670">
              <w:rPr>
                <w:sz w:val="20"/>
                <w:szCs w:val="20"/>
              </w:rPr>
              <w:t>badanie R</w:t>
            </w:r>
            <w:r w:rsidR="00945632" w:rsidRPr="001D5670">
              <w:rPr>
                <w:sz w:val="20"/>
                <w:szCs w:val="20"/>
              </w:rPr>
              <w:t>TG klatki piersiowej</w:t>
            </w:r>
            <w:r w:rsidR="006F5B9C" w:rsidRPr="001D5670">
              <w:rPr>
                <w:sz w:val="20"/>
                <w:szCs w:val="20"/>
              </w:rPr>
              <w:t xml:space="preserve"> –</w:t>
            </w:r>
            <w:r w:rsidR="00E75C3F" w:rsidRPr="001D5670">
              <w:rPr>
                <w:sz w:val="20"/>
                <w:szCs w:val="20"/>
              </w:rPr>
              <w:t xml:space="preserve"> wyłą</w:t>
            </w:r>
            <w:r w:rsidR="00945632" w:rsidRPr="001D5670">
              <w:rPr>
                <w:sz w:val="20"/>
                <w:szCs w:val="20"/>
              </w:rPr>
              <w:t>cznie w przypadkach możliwości przeprowadzenia pomiaru zmian chorobowych oraz oceny odpowiedzi na leczenie;</w:t>
            </w:r>
          </w:p>
          <w:p w:rsidR="001D5670" w:rsidRDefault="006F5B9C" w:rsidP="00322132">
            <w:pPr>
              <w:pStyle w:val="Akapitzlist"/>
              <w:numPr>
                <w:ilvl w:val="2"/>
                <w:numId w:val="29"/>
              </w:numPr>
              <w:autoSpaceDE w:val="0"/>
              <w:autoSpaceDN w:val="0"/>
              <w:adjustRightInd w:val="0"/>
              <w:spacing w:after="60"/>
              <w:contextualSpacing w:val="0"/>
              <w:jc w:val="both"/>
              <w:rPr>
                <w:sz w:val="20"/>
                <w:szCs w:val="20"/>
              </w:rPr>
            </w:pPr>
            <w:r w:rsidRPr="001D5670">
              <w:rPr>
                <w:sz w:val="20"/>
                <w:szCs w:val="20"/>
              </w:rPr>
              <w:t xml:space="preserve">badanie KT lub MR mózgu – </w:t>
            </w:r>
            <w:r w:rsidR="00AC4233" w:rsidRPr="001D5670">
              <w:rPr>
                <w:sz w:val="20"/>
                <w:szCs w:val="20"/>
              </w:rPr>
              <w:t>w przypadku osób z podejrzeniem przerzutów do ośrodkowego układu nerwowego (tj. w przypadku objawów ze strony ośrodkowego układu nerwowego oraz u osób po wcześniejszej resekcji przerzutów);</w:t>
            </w:r>
          </w:p>
          <w:p w:rsidR="001D5670" w:rsidRDefault="00AC4233" w:rsidP="00322132">
            <w:pPr>
              <w:pStyle w:val="Akapitzlist"/>
              <w:numPr>
                <w:ilvl w:val="2"/>
                <w:numId w:val="29"/>
              </w:numPr>
              <w:autoSpaceDE w:val="0"/>
              <w:autoSpaceDN w:val="0"/>
              <w:adjustRightInd w:val="0"/>
              <w:spacing w:after="60"/>
              <w:contextualSpacing w:val="0"/>
              <w:jc w:val="both"/>
              <w:rPr>
                <w:sz w:val="20"/>
                <w:szCs w:val="20"/>
              </w:rPr>
            </w:pPr>
            <w:r w:rsidRPr="001D5670">
              <w:rPr>
                <w:sz w:val="20"/>
                <w:szCs w:val="20"/>
              </w:rPr>
              <w:t>elektrokardiogram (EKG);</w:t>
            </w:r>
          </w:p>
          <w:p w:rsidR="001D5670" w:rsidRDefault="00AC4233" w:rsidP="00744872">
            <w:pPr>
              <w:pStyle w:val="Akapitzlist"/>
              <w:numPr>
                <w:ilvl w:val="2"/>
                <w:numId w:val="33"/>
              </w:numPr>
              <w:autoSpaceDE w:val="0"/>
              <w:autoSpaceDN w:val="0"/>
              <w:adjustRightInd w:val="0"/>
              <w:spacing w:after="60"/>
              <w:contextualSpacing w:val="0"/>
              <w:jc w:val="both"/>
              <w:rPr>
                <w:sz w:val="20"/>
                <w:szCs w:val="20"/>
              </w:rPr>
            </w:pPr>
            <w:r w:rsidRPr="001D5670">
              <w:rPr>
                <w:sz w:val="20"/>
                <w:szCs w:val="20"/>
              </w:rPr>
              <w:t>pomiar ciśnienia tętniczego;</w:t>
            </w:r>
          </w:p>
          <w:p w:rsidR="001D5670" w:rsidRDefault="00AC4233" w:rsidP="00744872">
            <w:pPr>
              <w:pStyle w:val="Akapitzlist"/>
              <w:numPr>
                <w:ilvl w:val="2"/>
                <w:numId w:val="34"/>
              </w:numPr>
              <w:autoSpaceDE w:val="0"/>
              <w:autoSpaceDN w:val="0"/>
              <w:adjustRightInd w:val="0"/>
              <w:spacing w:after="60"/>
              <w:contextualSpacing w:val="0"/>
              <w:jc w:val="both"/>
              <w:rPr>
                <w:sz w:val="20"/>
                <w:szCs w:val="20"/>
              </w:rPr>
            </w:pPr>
            <w:r w:rsidRPr="001D5670">
              <w:rPr>
                <w:sz w:val="20"/>
                <w:szCs w:val="20"/>
              </w:rPr>
              <w:t>inne badania obrazowe w razie wskazań klinicznych.</w:t>
            </w:r>
          </w:p>
          <w:p w:rsidR="001D5670" w:rsidRDefault="00AC4233" w:rsidP="001D5670">
            <w:pPr>
              <w:autoSpaceDE w:val="0"/>
              <w:autoSpaceDN w:val="0"/>
              <w:adjustRightInd w:val="0"/>
              <w:spacing w:after="60"/>
              <w:jc w:val="both"/>
              <w:rPr>
                <w:sz w:val="20"/>
                <w:szCs w:val="20"/>
              </w:rPr>
            </w:pPr>
            <w:r w:rsidRPr="001D5670">
              <w:rPr>
                <w:sz w:val="20"/>
                <w:szCs w:val="20"/>
              </w:rPr>
              <w:t>Wstępne badania obrazowe muszą umożliwić późniejszą obiektywną ocenę odpowiedzi na leczenie.</w:t>
            </w:r>
          </w:p>
          <w:p w:rsidR="001D5670" w:rsidRPr="001D5670" w:rsidRDefault="001D5670" w:rsidP="001D5670">
            <w:pPr>
              <w:autoSpaceDE w:val="0"/>
              <w:autoSpaceDN w:val="0"/>
              <w:adjustRightInd w:val="0"/>
              <w:spacing w:after="60"/>
              <w:jc w:val="both"/>
              <w:rPr>
                <w:sz w:val="20"/>
                <w:szCs w:val="20"/>
              </w:rPr>
            </w:pPr>
          </w:p>
          <w:p w:rsidR="001D5670" w:rsidRPr="001D5670" w:rsidRDefault="006F5B9C" w:rsidP="00744872">
            <w:pPr>
              <w:pStyle w:val="Akapitzlist"/>
              <w:numPr>
                <w:ilvl w:val="0"/>
                <w:numId w:val="34"/>
              </w:numPr>
              <w:autoSpaceDE w:val="0"/>
              <w:autoSpaceDN w:val="0"/>
              <w:adjustRightInd w:val="0"/>
              <w:spacing w:after="60"/>
              <w:contextualSpacing w:val="0"/>
              <w:jc w:val="both"/>
              <w:rPr>
                <w:sz w:val="20"/>
                <w:szCs w:val="20"/>
              </w:rPr>
            </w:pPr>
            <w:r w:rsidRPr="001D5670">
              <w:rPr>
                <w:b/>
                <w:sz w:val="20"/>
                <w:szCs w:val="20"/>
              </w:rPr>
              <w:lastRenderedPageBreak/>
              <w:t xml:space="preserve">Badania przy kwalifikacji do leczenia </w:t>
            </w:r>
            <w:proofErr w:type="spellStart"/>
            <w:r w:rsidRPr="001D5670">
              <w:rPr>
                <w:b/>
                <w:sz w:val="20"/>
                <w:szCs w:val="20"/>
              </w:rPr>
              <w:t>temsyrolimusem</w:t>
            </w:r>
            <w:proofErr w:type="spellEnd"/>
          </w:p>
          <w:p w:rsidR="001D5670" w:rsidRDefault="006F5B9C" w:rsidP="00744872">
            <w:pPr>
              <w:pStyle w:val="Akapitzlist"/>
              <w:numPr>
                <w:ilvl w:val="2"/>
                <w:numId w:val="35"/>
              </w:numPr>
              <w:autoSpaceDE w:val="0"/>
              <w:autoSpaceDN w:val="0"/>
              <w:adjustRightInd w:val="0"/>
              <w:spacing w:after="60"/>
              <w:contextualSpacing w:val="0"/>
              <w:jc w:val="both"/>
              <w:rPr>
                <w:sz w:val="20"/>
                <w:szCs w:val="20"/>
              </w:rPr>
            </w:pPr>
            <w:r w:rsidRPr="001D5670">
              <w:rPr>
                <w:sz w:val="20"/>
                <w:szCs w:val="20"/>
              </w:rPr>
              <w:t xml:space="preserve">histologiczne potwierdzenia raka </w:t>
            </w:r>
            <w:proofErr w:type="spellStart"/>
            <w:r w:rsidRPr="001D5670">
              <w:rPr>
                <w:sz w:val="20"/>
                <w:szCs w:val="20"/>
              </w:rPr>
              <w:t>nerkowokomórkowego</w:t>
            </w:r>
            <w:proofErr w:type="spellEnd"/>
            <w:r w:rsidRPr="001D5670">
              <w:rPr>
                <w:sz w:val="20"/>
                <w:szCs w:val="20"/>
              </w:rPr>
              <w:t>;</w:t>
            </w:r>
          </w:p>
          <w:p w:rsidR="001D5670" w:rsidRDefault="006F5B9C" w:rsidP="00744872">
            <w:pPr>
              <w:pStyle w:val="Akapitzlist"/>
              <w:numPr>
                <w:ilvl w:val="2"/>
                <w:numId w:val="35"/>
              </w:numPr>
              <w:autoSpaceDE w:val="0"/>
              <w:autoSpaceDN w:val="0"/>
              <w:adjustRightInd w:val="0"/>
              <w:spacing w:after="60"/>
              <w:contextualSpacing w:val="0"/>
              <w:jc w:val="both"/>
              <w:rPr>
                <w:sz w:val="20"/>
                <w:szCs w:val="20"/>
              </w:rPr>
            </w:pPr>
            <w:r w:rsidRPr="001D5670">
              <w:rPr>
                <w:sz w:val="20"/>
                <w:szCs w:val="20"/>
              </w:rPr>
              <w:t>morfologia krwi z rozmazem;</w:t>
            </w:r>
          </w:p>
          <w:p w:rsidR="001D5670" w:rsidRDefault="006F5B9C" w:rsidP="00744872">
            <w:pPr>
              <w:pStyle w:val="Akapitzlist"/>
              <w:numPr>
                <w:ilvl w:val="2"/>
                <w:numId w:val="35"/>
              </w:numPr>
              <w:autoSpaceDE w:val="0"/>
              <w:autoSpaceDN w:val="0"/>
              <w:adjustRightInd w:val="0"/>
              <w:spacing w:after="60"/>
              <w:contextualSpacing w:val="0"/>
              <w:jc w:val="both"/>
              <w:rPr>
                <w:sz w:val="20"/>
                <w:szCs w:val="20"/>
              </w:rPr>
            </w:pPr>
            <w:r w:rsidRPr="001D5670">
              <w:rPr>
                <w:sz w:val="20"/>
                <w:szCs w:val="20"/>
              </w:rPr>
              <w:t>oznaczenie liczby płytek krwi;</w:t>
            </w:r>
          </w:p>
          <w:p w:rsidR="001D5670" w:rsidRDefault="006F5B9C" w:rsidP="00744872">
            <w:pPr>
              <w:pStyle w:val="Akapitzlist"/>
              <w:numPr>
                <w:ilvl w:val="2"/>
                <w:numId w:val="35"/>
              </w:numPr>
              <w:autoSpaceDE w:val="0"/>
              <w:autoSpaceDN w:val="0"/>
              <w:adjustRightInd w:val="0"/>
              <w:spacing w:after="60"/>
              <w:contextualSpacing w:val="0"/>
              <w:jc w:val="both"/>
              <w:rPr>
                <w:sz w:val="20"/>
                <w:szCs w:val="20"/>
              </w:rPr>
            </w:pPr>
            <w:r w:rsidRPr="001D5670">
              <w:rPr>
                <w:sz w:val="20"/>
                <w:szCs w:val="20"/>
              </w:rPr>
              <w:t>oznaczenie stężenia hemoglobiny;</w:t>
            </w:r>
          </w:p>
          <w:p w:rsidR="001D5670" w:rsidRDefault="006F5B9C" w:rsidP="00744872">
            <w:pPr>
              <w:pStyle w:val="Akapitzlist"/>
              <w:numPr>
                <w:ilvl w:val="2"/>
                <w:numId w:val="35"/>
              </w:numPr>
              <w:autoSpaceDE w:val="0"/>
              <w:autoSpaceDN w:val="0"/>
              <w:adjustRightInd w:val="0"/>
              <w:spacing w:after="60"/>
              <w:contextualSpacing w:val="0"/>
              <w:jc w:val="both"/>
              <w:rPr>
                <w:sz w:val="20"/>
                <w:szCs w:val="20"/>
              </w:rPr>
            </w:pPr>
            <w:r w:rsidRPr="001D5670">
              <w:rPr>
                <w:sz w:val="20"/>
                <w:szCs w:val="20"/>
              </w:rPr>
              <w:t>oznaczenie stężenia kreatyniny;</w:t>
            </w:r>
          </w:p>
          <w:p w:rsidR="001D5670" w:rsidRDefault="006F5B9C" w:rsidP="00744872">
            <w:pPr>
              <w:pStyle w:val="Akapitzlist"/>
              <w:numPr>
                <w:ilvl w:val="2"/>
                <w:numId w:val="35"/>
              </w:numPr>
              <w:autoSpaceDE w:val="0"/>
              <w:autoSpaceDN w:val="0"/>
              <w:adjustRightInd w:val="0"/>
              <w:spacing w:after="60"/>
              <w:contextualSpacing w:val="0"/>
              <w:jc w:val="both"/>
              <w:rPr>
                <w:sz w:val="20"/>
                <w:szCs w:val="20"/>
              </w:rPr>
            </w:pPr>
            <w:r w:rsidRPr="001D5670">
              <w:rPr>
                <w:sz w:val="20"/>
                <w:szCs w:val="20"/>
              </w:rPr>
              <w:t>oznaczenie stężenia bilirubiny;</w:t>
            </w:r>
          </w:p>
          <w:p w:rsidR="001D5670" w:rsidRDefault="006F5B9C" w:rsidP="00744872">
            <w:pPr>
              <w:pStyle w:val="Akapitzlist"/>
              <w:numPr>
                <w:ilvl w:val="2"/>
                <w:numId w:val="35"/>
              </w:numPr>
              <w:autoSpaceDE w:val="0"/>
              <w:autoSpaceDN w:val="0"/>
              <w:adjustRightInd w:val="0"/>
              <w:spacing w:after="60"/>
              <w:contextualSpacing w:val="0"/>
              <w:jc w:val="both"/>
              <w:rPr>
                <w:sz w:val="20"/>
                <w:szCs w:val="20"/>
              </w:rPr>
            </w:pPr>
            <w:r w:rsidRPr="001D5670">
              <w:rPr>
                <w:sz w:val="20"/>
                <w:szCs w:val="20"/>
              </w:rPr>
              <w:t>oznaczenie aktywności aminotransferazy asparaginowej i</w:t>
            </w:r>
            <w:r w:rsidR="00C464E8" w:rsidRPr="001D5670">
              <w:rPr>
                <w:sz w:val="20"/>
                <w:szCs w:val="20"/>
              </w:rPr>
              <w:t> </w:t>
            </w:r>
            <w:r w:rsidRPr="001D5670">
              <w:rPr>
                <w:sz w:val="20"/>
                <w:szCs w:val="20"/>
              </w:rPr>
              <w:t>alaninowej;</w:t>
            </w:r>
          </w:p>
          <w:p w:rsidR="001D5670" w:rsidRDefault="006F5B9C" w:rsidP="00744872">
            <w:pPr>
              <w:pStyle w:val="Akapitzlist"/>
              <w:numPr>
                <w:ilvl w:val="2"/>
                <w:numId w:val="35"/>
              </w:numPr>
              <w:autoSpaceDE w:val="0"/>
              <w:autoSpaceDN w:val="0"/>
              <w:adjustRightInd w:val="0"/>
              <w:spacing w:after="60"/>
              <w:contextualSpacing w:val="0"/>
              <w:jc w:val="both"/>
              <w:rPr>
                <w:sz w:val="20"/>
                <w:szCs w:val="20"/>
              </w:rPr>
            </w:pPr>
            <w:r w:rsidRPr="001D5670">
              <w:rPr>
                <w:sz w:val="20"/>
                <w:szCs w:val="20"/>
              </w:rPr>
              <w:t>oznaczenie aktywności dehydrogenazy mleczanowej (LDH);</w:t>
            </w:r>
          </w:p>
          <w:p w:rsidR="001D5670" w:rsidRDefault="006F5B9C" w:rsidP="00744872">
            <w:pPr>
              <w:pStyle w:val="Akapitzlist"/>
              <w:numPr>
                <w:ilvl w:val="2"/>
                <w:numId w:val="35"/>
              </w:numPr>
              <w:autoSpaceDE w:val="0"/>
              <w:autoSpaceDN w:val="0"/>
              <w:adjustRightInd w:val="0"/>
              <w:spacing w:after="60"/>
              <w:contextualSpacing w:val="0"/>
              <w:jc w:val="both"/>
              <w:rPr>
                <w:sz w:val="20"/>
                <w:szCs w:val="20"/>
              </w:rPr>
            </w:pPr>
            <w:r w:rsidRPr="001D5670">
              <w:rPr>
                <w:sz w:val="20"/>
                <w:szCs w:val="20"/>
              </w:rPr>
              <w:t>oznaczenie skorygowanego stężenia wapnia w surowicy;</w:t>
            </w:r>
          </w:p>
          <w:p w:rsidR="001D5670" w:rsidRDefault="006F5B9C" w:rsidP="00744872">
            <w:pPr>
              <w:pStyle w:val="Akapitzlist"/>
              <w:numPr>
                <w:ilvl w:val="2"/>
                <w:numId w:val="35"/>
              </w:numPr>
              <w:autoSpaceDE w:val="0"/>
              <w:autoSpaceDN w:val="0"/>
              <w:adjustRightInd w:val="0"/>
              <w:spacing w:after="60"/>
              <w:contextualSpacing w:val="0"/>
              <w:jc w:val="both"/>
              <w:rPr>
                <w:sz w:val="20"/>
                <w:szCs w:val="20"/>
              </w:rPr>
            </w:pPr>
            <w:r w:rsidRPr="001D5670">
              <w:rPr>
                <w:sz w:val="20"/>
                <w:szCs w:val="20"/>
              </w:rPr>
              <w:t>oznaczenie poziomu glukozy;</w:t>
            </w:r>
          </w:p>
          <w:p w:rsidR="001D5670" w:rsidRDefault="006F5B9C" w:rsidP="00744872">
            <w:pPr>
              <w:pStyle w:val="Akapitzlist"/>
              <w:numPr>
                <w:ilvl w:val="2"/>
                <w:numId w:val="35"/>
              </w:numPr>
              <w:autoSpaceDE w:val="0"/>
              <w:autoSpaceDN w:val="0"/>
              <w:adjustRightInd w:val="0"/>
              <w:spacing w:after="60"/>
              <w:contextualSpacing w:val="0"/>
              <w:jc w:val="both"/>
              <w:rPr>
                <w:sz w:val="20"/>
                <w:szCs w:val="20"/>
              </w:rPr>
            </w:pPr>
            <w:r w:rsidRPr="001D5670">
              <w:rPr>
                <w:sz w:val="20"/>
                <w:szCs w:val="20"/>
              </w:rPr>
              <w:t>oznaczenie poziomu fosfatazy alkalicznej;</w:t>
            </w:r>
          </w:p>
          <w:p w:rsidR="001D5670" w:rsidRDefault="006F5B9C" w:rsidP="00744872">
            <w:pPr>
              <w:pStyle w:val="Akapitzlist"/>
              <w:numPr>
                <w:ilvl w:val="2"/>
                <w:numId w:val="35"/>
              </w:numPr>
              <w:autoSpaceDE w:val="0"/>
              <w:autoSpaceDN w:val="0"/>
              <w:adjustRightInd w:val="0"/>
              <w:spacing w:after="60"/>
              <w:contextualSpacing w:val="0"/>
              <w:jc w:val="both"/>
              <w:rPr>
                <w:sz w:val="20"/>
                <w:szCs w:val="20"/>
              </w:rPr>
            </w:pPr>
            <w:r w:rsidRPr="001D5670">
              <w:rPr>
                <w:sz w:val="20"/>
                <w:szCs w:val="20"/>
              </w:rPr>
              <w:t>oznaczenie poziomu cholesterolu;</w:t>
            </w:r>
          </w:p>
          <w:p w:rsidR="001D5670" w:rsidRDefault="006F5B9C" w:rsidP="00744872">
            <w:pPr>
              <w:pStyle w:val="Akapitzlist"/>
              <w:numPr>
                <w:ilvl w:val="2"/>
                <w:numId w:val="35"/>
              </w:numPr>
              <w:autoSpaceDE w:val="0"/>
              <w:autoSpaceDN w:val="0"/>
              <w:adjustRightInd w:val="0"/>
              <w:spacing w:after="60"/>
              <w:contextualSpacing w:val="0"/>
              <w:jc w:val="both"/>
              <w:rPr>
                <w:sz w:val="20"/>
                <w:szCs w:val="20"/>
              </w:rPr>
            </w:pPr>
            <w:r w:rsidRPr="001D5670">
              <w:rPr>
                <w:sz w:val="20"/>
                <w:szCs w:val="20"/>
              </w:rPr>
              <w:t>oznaczenie poziomu trójglicerydów;</w:t>
            </w:r>
          </w:p>
          <w:p w:rsidR="001D5670" w:rsidRDefault="006F5B9C" w:rsidP="00744872">
            <w:pPr>
              <w:pStyle w:val="Akapitzlist"/>
              <w:numPr>
                <w:ilvl w:val="2"/>
                <w:numId w:val="35"/>
              </w:numPr>
              <w:autoSpaceDE w:val="0"/>
              <w:autoSpaceDN w:val="0"/>
              <w:adjustRightInd w:val="0"/>
              <w:spacing w:after="60"/>
              <w:contextualSpacing w:val="0"/>
              <w:jc w:val="both"/>
              <w:rPr>
                <w:sz w:val="20"/>
                <w:szCs w:val="20"/>
              </w:rPr>
            </w:pPr>
            <w:r w:rsidRPr="001D5670">
              <w:rPr>
                <w:sz w:val="20"/>
                <w:szCs w:val="20"/>
              </w:rPr>
              <w:t>test ciążowy u kobiet w wieku rozrodczym;</w:t>
            </w:r>
          </w:p>
          <w:p w:rsidR="001D5670" w:rsidRDefault="006F5B9C" w:rsidP="00744872">
            <w:pPr>
              <w:pStyle w:val="Akapitzlist"/>
              <w:numPr>
                <w:ilvl w:val="2"/>
                <w:numId w:val="35"/>
              </w:numPr>
              <w:autoSpaceDE w:val="0"/>
              <w:autoSpaceDN w:val="0"/>
              <w:adjustRightInd w:val="0"/>
              <w:spacing w:after="60"/>
              <w:contextualSpacing w:val="0"/>
              <w:jc w:val="both"/>
              <w:rPr>
                <w:sz w:val="20"/>
                <w:szCs w:val="20"/>
              </w:rPr>
            </w:pPr>
            <w:r w:rsidRPr="001D5670">
              <w:rPr>
                <w:sz w:val="20"/>
                <w:szCs w:val="20"/>
              </w:rPr>
              <w:t>badanie KT klatki piersiowej i jamy brzusznej;</w:t>
            </w:r>
          </w:p>
          <w:p w:rsidR="001D5670" w:rsidRDefault="006F5B9C" w:rsidP="00744872">
            <w:pPr>
              <w:pStyle w:val="Akapitzlist"/>
              <w:numPr>
                <w:ilvl w:val="2"/>
                <w:numId w:val="35"/>
              </w:numPr>
              <w:autoSpaceDE w:val="0"/>
              <w:autoSpaceDN w:val="0"/>
              <w:adjustRightInd w:val="0"/>
              <w:spacing w:after="60"/>
              <w:contextualSpacing w:val="0"/>
              <w:jc w:val="both"/>
              <w:rPr>
                <w:sz w:val="20"/>
                <w:szCs w:val="20"/>
              </w:rPr>
            </w:pPr>
            <w:r w:rsidRPr="001D5670">
              <w:rPr>
                <w:sz w:val="20"/>
                <w:szCs w:val="20"/>
              </w:rPr>
              <w:t>badanie RTG klatki piersiowej, gdy zmiany w klatce piersiowej</w:t>
            </w:r>
            <w:r w:rsidR="003F49D9" w:rsidRPr="001D5670">
              <w:rPr>
                <w:sz w:val="20"/>
                <w:szCs w:val="20"/>
              </w:rPr>
              <w:t xml:space="preserve"> </w:t>
            </w:r>
            <w:r w:rsidRPr="001D5670">
              <w:rPr>
                <w:sz w:val="20"/>
                <w:szCs w:val="20"/>
              </w:rPr>
              <w:t>są możliwe do oceny tą metodą;</w:t>
            </w:r>
          </w:p>
          <w:p w:rsidR="001D5670" w:rsidRDefault="006F5B9C" w:rsidP="00744872">
            <w:pPr>
              <w:pStyle w:val="Akapitzlist"/>
              <w:numPr>
                <w:ilvl w:val="2"/>
                <w:numId w:val="35"/>
              </w:numPr>
              <w:autoSpaceDE w:val="0"/>
              <w:autoSpaceDN w:val="0"/>
              <w:adjustRightInd w:val="0"/>
              <w:spacing w:after="60"/>
              <w:contextualSpacing w:val="0"/>
              <w:jc w:val="both"/>
              <w:rPr>
                <w:sz w:val="20"/>
                <w:szCs w:val="20"/>
              </w:rPr>
            </w:pPr>
            <w:r w:rsidRPr="001D5670">
              <w:rPr>
                <w:sz w:val="20"/>
                <w:szCs w:val="20"/>
              </w:rPr>
              <w:t>badanie KT lub MR mózgu – w przypadku osób z podejrzeniem przerzutów do ośrodkowego układu nerwowego (tj. w przypadku objawów ze strony ośrodkowego układu nerwowego oraz u osób po wcześniejszej resekcji przerzutów).</w:t>
            </w:r>
          </w:p>
          <w:p w:rsidR="001D5670" w:rsidRDefault="006F5B9C" w:rsidP="001D5670">
            <w:pPr>
              <w:autoSpaceDE w:val="0"/>
              <w:autoSpaceDN w:val="0"/>
              <w:adjustRightInd w:val="0"/>
              <w:spacing w:after="60"/>
              <w:jc w:val="both"/>
              <w:rPr>
                <w:sz w:val="20"/>
                <w:szCs w:val="20"/>
              </w:rPr>
            </w:pPr>
            <w:r w:rsidRPr="001D5670">
              <w:rPr>
                <w:sz w:val="20"/>
                <w:szCs w:val="20"/>
              </w:rPr>
              <w:lastRenderedPageBreak/>
              <w:t>Wstępne badania obrazowe muszą umożliwić późniejszą obiektywną ocenę odpowiedzi na leczenie.</w:t>
            </w:r>
          </w:p>
          <w:p w:rsidR="001D5670" w:rsidRPr="001D5670" w:rsidRDefault="001D5670" w:rsidP="001D5670">
            <w:pPr>
              <w:autoSpaceDE w:val="0"/>
              <w:autoSpaceDN w:val="0"/>
              <w:adjustRightInd w:val="0"/>
              <w:spacing w:after="60"/>
              <w:jc w:val="both"/>
              <w:rPr>
                <w:sz w:val="20"/>
                <w:szCs w:val="20"/>
              </w:rPr>
            </w:pPr>
          </w:p>
          <w:p w:rsidR="001D5670" w:rsidRPr="001D5670" w:rsidRDefault="00AC4233" w:rsidP="00744872">
            <w:pPr>
              <w:pStyle w:val="Akapitzlist"/>
              <w:numPr>
                <w:ilvl w:val="0"/>
                <w:numId w:val="35"/>
              </w:numPr>
              <w:autoSpaceDE w:val="0"/>
              <w:autoSpaceDN w:val="0"/>
              <w:adjustRightInd w:val="0"/>
              <w:spacing w:after="60"/>
              <w:contextualSpacing w:val="0"/>
              <w:jc w:val="both"/>
              <w:rPr>
                <w:sz w:val="20"/>
                <w:szCs w:val="20"/>
              </w:rPr>
            </w:pPr>
            <w:r w:rsidRPr="001D5670">
              <w:rPr>
                <w:b/>
                <w:bCs/>
                <w:sz w:val="20"/>
                <w:szCs w:val="20"/>
              </w:rPr>
              <w:t>Monitorowanie bezpieczeństwa leczenia</w:t>
            </w:r>
          </w:p>
          <w:p w:rsidR="001D5670" w:rsidRDefault="00AC4233" w:rsidP="00744872">
            <w:pPr>
              <w:pStyle w:val="Akapitzlist"/>
              <w:numPr>
                <w:ilvl w:val="2"/>
                <w:numId w:val="35"/>
              </w:numPr>
              <w:autoSpaceDE w:val="0"/>
              <w:autoSpaceDN w:val="0"/>
              <w:adjustRightInd w:val="0"/>
              <w:spacing w:after="60"/>
              <w:contextualSpacing w:val="0"/>
              <w:jc w:val="both"/>
              <w:rPr>
                <w:sz w:val="20"/>
                <w:szCs w:val="20"/>
              </w:rPr>
            </w:pPr>
            <w:r w:rsidRPr="001D5670">
              <w:rPr>
                <w:sz w:val="20"/>
                <w:szCs w:val="20"/>
              </w:rPr>
              <w:t>morfologia krwi z rozmazem;</w:t>
            </w:r>
          </w:p>
          <w:p w:rsidR="001D5670" w:rsidRDefault="00AC4233" w:rsidP="00744872">
            <w:pPr>
              <w:pStyle w:val="Akapitzlist"/>
              <w:numPr>
                <w:ilvl w:val="2"/>
                <w:numId w:val="35"/>
              </w:numPr>
              <w:autoSpaceDE w:val="0"/>
              <w:autoSpaceDN w:val="0"/>
              <w:adjustRightInd w:val="0"/>
              <w:spacing w:after="60"/>
              <w:contextualSpacing w:val="0"/>
              <w:jc w:val="both"/>
              <w:rPr>
                <w:sz w:val="20"/>
                <w:szCs w:val="20"/>
              </w:rPr>
            </w:pPr>
            <w:r w:rsidRPr="001D5670">
              <w:rPr>
                <w:sz w:val="20"/>
                <w:szCs w:val="20"/>
              </w:rPr>
              <w:t>o</w:t>
            </w:r>
            <w:r w:rsidR="00945632" w:rsidRPr="001D5670">
              <w:rPr>
                <w:sz w:val="20"/>
                <w:szCs w:val="20"/>
              </w:rPr>
              <w:t>znaczenie stężenia hemoglobiny</w:t>
            </w:r>
            <w:r w:rsidR="00C83621" w:rsidRPr="001D5670">
              <w:rPr>
                <w:sz w:val="20"/>
                <w:szCs w:val="20"/>
              </w:rPr>
              <w:t>;</w:t>
            </w:r>
          </w:p>
          <w:p w:rsidR="001D5670" w:rsidRDefault="00AC4233" w:rsidP="00744872">
            <w:pPr>
              <w:pStyle w:val="Akapitzlist"/>
              <w:numPr>
                <w:ilvl w:val="2"/>
                <w:numId w:val="35"/>
              </w:numPr>
              <w:autoSpaceDE w:val="0"/>
              <w:autoSpaceDN w:val="0"/>
              <w:adjustRightInd w:val="0"/>
              <w:spacing w:after="60"/>
              <w:contextualSpacing w:val="0"/>
              <w:jc w:val="both"/>
              <w:rPr>
                <w:sz w:val="20"/>
                <w:szCs w:val="20"/>
              </w:rPr>
            </w:pPr>
            <w:r w:rsidRPr="001D5670">
              <w:rPr>
                <w:sz w:val="20"/>
                <w:szCs w:val="20"/>
              </w:rPr>
              <w:t>oznaczenia stężenia kreatyniny;</w:t>
            </w:r>
          </w:p>
          <w:p w:rsidR="001D5670" w:rsidRDefault="00AC4233" w:rsidP="00744872">
            <w:pPr>
              <w:pStyle w:val="Akapitzlist"/>
              <w:numPr>
                <w:ilvl w:val="2"/>
                <w:numId w:val="35"/>
              </w:numPr>
              <w:autoSpaceDE w:val="0"/>
              <w:autoSpaceDN w:val="0"/>
              <w:adjustRightInd w:val="0"/>
              <w:spacing w:after="60"/>
              <w:contextualSpacing w:val="0"/>
              <w:jc w:val="both"/>
              <w:rPr>
                <w:sz w:val="20"/>
                <w:szCs w:val="20"/>
              </w:rPr>
            </w:pPr>
            <w:r w:rsidRPr="001D5670">
              <w:rPr>
                <w:sz w:val="20"/>
                <w:szCs w:val="20"/>
              </w:rPr>
              <w:t>oznaczenie stężenia bilirubiny;</w:t>
            </w:r>
          </w:p>
          <w:p w:rsidR="001D5670" w:rsidRDefault="003D4CBB" w:rsidP="00744872">
            <w:pPr>
              <w:pStyle w:val="Akapitzlist"/>
              <w:numPr>
                <w:ilvl w:val="2"/>
                <w:numId w:val="35"/>
              </w:numPr>
              <w:autoSpaceDE w:val="0"/>
              <w:autoSpaceDN w:val="0"/>
              <w:adjustRightInd w:val="0"/>
              <w:spacing w:after="60"/>
              <w:contextualSpacing w:val="0"/>
              <w:jc w:val="both"/>
              <w:rPr>
                <w:sz w:val="20"/>
                <w:szCs w:val="20"/>
              </w:rPr>
            </w:pPr>
            <w:r w:rsidRPr="001D5670">
              <w:rPr>
                <w:sz w:val="20"/>
                <w:szCs w:val="20"/>
              </w:rPr>
              <w:t xml:space="preserve">oznaczenie liczby płytek krwi – dla </w:t>
            </w:r>
            <w:proofErr w:type="spellStart"/>
            <w:r w:rsidRPr="001D5670">
              <w:rPr>
                <w:sz w:val="20"/>
                <w:szCs w:val="20"/>
              </w:rPr>
              <w:t>temsyrolimusu</w:t>
            </w:r>
            <w:proofErr w:type="spellEnd"/>
            <w:r w:rsidRPr="001D5670">
              <w:rPr>
                <w:sz w:val="20"/>
                <w:szCs w:val="20"/>
              </w:rPr>
              <w:t>;</w:t>
            </w:r>
          </w:p>
          <w:p w:rsidR="001D5670" w:rsidRDefault="00AC4233" w:rsidP="00744872">
            <w:pPr>
              <w:pStyle w:val="Akapitzlist"/>
              <w:numPr>
                <w:ilvl w:val="2"/>
                <w:numId w:val="35"/>
              </w:numPr>
              <w:autoSpaceDE w:val="0"/>
              <w:autoSpaceDN w:val="0"/>
              <w:adjustRightInd w:val="0"/>
              <w:spacing w:after="60"/>
              <w:contextualSpacing w:val="0"/>
              <w:jc w:val="both"/>
              <w:rPr>
                <w:sz w:val="20"/>
                <w:szCs w:val="20"/>
              </w:rPr>
            </w:pPr>
            <w:r w:rsidRPr="001D5670">
              <w:rPr>
                <w:sz w:val="20"/>
                <w:szCs w:val="20"/>
              </w:rPr>
              <w:t>oznaczenie aktywności aminotransferazy alaninowej;</w:t>
            </w:r>
          </w:p>
          <w:p w:rsidR="001D5670" w:rsidRDefault="00AC4233" w:rsidP="00744872">
            <w:pPr>
              <w:pStyle w:val="Akapitzlist"/>
              <w:numPr>
                <w:ilvl w:val="2"/>
                <w:numId w:val="35"/>
              </w:numPr>
              <w:autoSpaceDE w:val="0"/>
              <w:autoSpaceDN w:val="0"/>
              <w:adjustRightInd w:val="0"/>
              <w:spacing w:after="60"/>
              <w:contextualSpacing w:val="0"/>
              <w:jc w:val="both"/>
              <w:rPr>
                <w:sz w:val="20"/>
                <w:szCs w:val="20"/>
              </w:rPr>
            </w:pPr>
            <w:r w:rsidRPr="001D5670">
              <w:rPr>
                <w:sz w:val="20"/>
                <w:szCs w:val="20"/>
              </w:rPr>
              <w:t xml:space="preserve">oznaczenie aktywności aminotransferazy </w:t>
            </w:r>
            <w:proofErr w:type="spellStart"/>
            <w:r w:rsidRPr="001D5670">
              <w:rPr>
                <w:sz w:val="20"/>
                <w:szCs w:val="20"/>
              </w:rPr>
              <w:t>asparaginianowej</w:t>
            </w:r>
            <w:proofErr w:type="spellEnd"/>
            <w:r w:rsidRPr="001D5670">
              <w:rPr>
                <w:sz w:val="20"/>
                <w:szCs w:val="20"/>
              </w:rPr>
              <w:t>;</w:t>
            </w:r>
          </w:p>
          <w:p w:rsidR="001D5670" w:rsidRDefault="00AC4233" w:rsidP="00744872">
            <w:pPr>
              <w:pStyle w:val="Akapitzlist"/>
              <w:numPr>
                <w:ilvl w:val="2"/>
                <w:numId w:val="35"/>
              </w:numPr>
              <w:autoSpaceDE w:val="0"/>
              <w:autoSpaceDN w:val="0"/>
              <w:adjustRightInd w:val="0"/>
              <w:spacing w:after="60"/>
              <w:contextualSpacing w:val="0"/>
              <w:jc w:val="both"/>
              <w:rPr>
                <w:sz w:val="20"/>
                <w:szCs w:val="20"/>
              </w:rPr>
            </w:pPr>
            <w:r w:rsidRPr="001D5670">
              <w:rPr>
                <w:sz w:val="20"/>
                <w:szCs w:val="20"/>
              </w:rPr>
              <w:t xml:space="preserve">oznaczenie aktywności </w:t>
            </w:r>
            <w:r w:rsidR="00FB0BAA" w:rsidRPr="001D5670">
              <w:rPr>
                <w:sz w:val="20"/>
                <w:szCs w:val="20"/>
              </w:rPr>
              <w:t>dehydrogenazy mleczanowej (</w:t>
            </w:r>
            <w:r w:rsidRPr="001D5670">
              <w:rPr>
                <w:sz w:val="20"/>
                <w:szCs w:val="20"/>
              </w:rPr>
              <w:t>LDH</w:t>
            </w:r>
            <w:r w:rsidR="00FB0BAA" w:rsidRPr="001D5670">
              <w:rPr>
                <w:sz w:val="20"/>
                <w:szCs w:val="20"/>
              </w:rPr>
              <w:t>)</w:t>
            </w:r>
            <w:r w:rsidR="00CE0699" w:rsidRPr="001D5670">
              <w:rPr>
                <w:sz w:val="20"/>
                <w:szCs w:val="20"/>
              </w:rPr>
              <w:t xml:space="preserve"> (nie dotyczy </w:t>
            </w:r>
            <w:proofErr w:type="spellStart"/>
            <w:r w:rsidR="00CE0699" w:rsidRPr="001D5670">
              <w:rPr>
                <w:sz w:val="20"/>
                <w:szCs w:val="20"/>
              </w:rPr>
              <w:t>kabozantynibu</w:t>
            </w:r>
            <w:proofErr w:type="spellEnd"/>
            <w:r w:rsidR="00472B68" w:rsidRPr="001D5670">
              <w:rPr>
                <w:sz w:val="20"/>
                <w:szCs w:val="20"/>
              </w:rPr>
              <w:t xml:space="preserve"> i </w:t>
            </w:r>
            <w:proofErr w:type="spellStart"/>
            <w:r w:rsidR="00472B68" w:rsidRPr="001D5670">
              <w:rPr>
                <w:sz w:val="20"/>
                <w:szCs w:val="20"/>
              </w:rPr>
              <w:t>niwolumabu</w:t>
            </w:r>
            <w:proofErr w:type="spellEnd"/>
            <w:r w:rsidR="00CE0699" w:rsidRPr="001D5670">
              <w:rPr>
                <w:sz w:val="20"/>
                <w:szCs w:val="20"/>
              </w:rPr>
              <w:t>)</w:t>
            </w:r>
            <w:r w:rsidRPr="001D5670">
              <w:rPr>
                <w:sz w:val="20"/>
                <w:szCs w:val="20"/>
              </w:rPr>
              <w:t>;</w:t>
            </w:r>
          </w:p>
          <w:p w:rsidR="001D5670" w:rsidRDefault="00AC4233" w:rsidP="00744872">
            <w:pPr>
              <w:pStyle w:val="Akapitzlist"/>
              <w:numPr>
                <w:ilvl w:val="2"/>
                <w:numId w:val="35"/>
              </w:numPr>
              <w:autoSpaceDE w:val="0"/>
              <w:autoSpaceDN w:val="0"/>
              <w:adjustRightInd w:val="0"/>
              <w:spacing w:after="60"/>
              <w:contextualSpacing w:val="0"/>
              <w:jc w:val="both"/>
              <w:rPr>
                <w:sz w:val="20"/>
                <w:szCs w:val="20"/>
              </w:rPr>
            </w:pPr>
            <w:r w:rsidRPr="001D5670">
              <w:rPr>
                <w:sz w:val="20"/>
                <w:szCs w:val="20"/>
              </w:rPr>
              <w:t>oznaczenie aktywności fosfatazy alkalicznej</w:t>
            </w:r>
            <w:r w:rsidR="003D4CBB" w:rsidRPr="001D5670">
              <w:rPr>
                <w:sz w:val="20"/>
                <w:szCs w:val="20"/>
              </w:rPr>
              <w:t>;</w:t>
            </w:r>
          </w:p>
          <w:p w:rsidR="001D5670" w:rsidRDefault="00C57F86" w:rsidP="00744872">
            <w:pPr>
              <w:pStyle w:val="Akapitzlist"/>
              <w:numPr>
                <w:ilvl w:val="2"/>
                <w:numId w:val="35"/>
              </w:numPr>
              <w:autoSpaceDE w:val="0"/>
              <w:autoSpaceDN w:val="0"/>
              <w:adjustRightInd w:val="0"/>
              <w:spacing w:after="60"/>
              <w:contextualSpacing w:val="0"/>
              <w:jc w:val="both"/>
              <w:rPr>
                <w:sz w:val="20"/>
                <w:szCs w:val="20"/>
              </w:rPr>
            </w:pPr>
            <w:r w:rsidRPr="001D5670">
              <w:rPr>
                <w:sz w:val="20"/>
                <w:szCs w:val="20"/>
              </w:rPr>
              <w:t xml:space="preserve">oznaczenie aktywności hormonu </w:t>
            </w:r>
            <w:proofErr w:type="spellStart"/>
            <w:r w:rsidRPr="001D5670">
              <w:rPr>
                <w:sz w:val="20"/>
                <w:szCs w:val="20"/>
              </w:rPr>
              <w:t>tyreotropowego</w:t>
            </w:r>
            <w:proofErr w:type="spellEnd"/>
            <w:r w:rsidRPr="001D5670">
              <w:rPr>
                <w:sz w:val="20"/>
                <w:szCs w:val="20"/>
              </w:rPr>
              <w:t xml:space="preserve"> (TSH) – dla </w:t>
            </w:r>
            <w:proofErr w:type="spellStart"/>
            <w:r w:rsidRPr="001D5670">
              <w:rPr>
                <w:sz w:val="20"/>
                <w:szCs w:val="20"/>
              </w:rPr>
              <w:t>aksytynibu</w:t>
            </w:r>
            <w:proofErr w:type="spellEnd"/>
            <w:r w:rsidR="00472B68" w:rsidRPr="001D5670">
              <w:rPr>
                <w:sz w:val="20"/>
                <w:szCs w:val="20"/>
              </w:rPr>
              <w:t xml:space="preserve">, </w:t>
            </w:r>
            <w:proofErr w:type="spellStart"/>
            <w:r w:rsidR="00CE0699" w:rsidRPr="001D5670">
              <w:rPr>
                <w:sz w:val="20"/>
                <w:szCs w:val="20"/>
              </w:rPr>
              <w:t>kabozantynibu</w:t>
            </w:r>
            <w:proofErr w:type="spellEnd"/>
            <w:r w:rsidR="00472B68" w:rsidRPr="001D5670">
              <w:rPr>
                <w:sz w:val="20"/>
                <w:szCs w:val="20"/>
              </w:rPr>
              <w:t xml:space="preserve"> i </w:t>
            </w:r>
            <w:proofErr w:type="spellStart"/>
            <w:r w:rsidR="00472B68" w:rsidRPr="001D5670">
              <w:rPr>
                <w:sz w:val="20"/>
                <w:szCs w:val="20"/>
              </w:rPr>
              <w:t>niwolumabu</w:t>
            </w:r>
            <w:proofErr w:type="spellEnd"/>
            <w:r w:rsidRPr="001D5670">
              <w:rPr>
                <w:sz w:val="20"/>
                <w:szCs w:val="20"/>
              </w:rPr>
              <w:t>;</w:t>
            </w:r>
          </w:p>
          <w:p w:rsidR="001D5670" w:rsidRDefault="00C57F86" w:rsidP="00744872">
            <w:pPr>
              <w:pStyle w:val="Akapitzlist"/>
              <w:numPr>
                <w:ilvl w:val="2"/>
                <w:numId w:val="35"/>
              </w:numPr>
              <w:autoSpaceDE w:val="0"/>
              <w:autoSpaceDN w:val="0"/>
              <w:adjustRightInd w:val="0"/>
              <w:spacing w:after="60"/>
              <w:contextualSpacing w:val="0"/>
              <w:jc w:val="both"/>
              <w:rPr>
                <w:sz w:val="20"/>
                <w:szCs w:val="20"/>
              </w:rPr>
            </w:pPr>
            <w:r w:rsidRPr="001D5670">
              <w:rPr>
                <w:sz w:val="20"/>
                <w:szCs w:val="20"/>
              </w:rPr>
              <w:t xml:space="preserve">oznaczenie białka w moczu – dla </w:t>
            </w:r>
            <w:proofErr w:type="spellStart"/>
            <w:r w:rsidRPr="001D5670">
              <w:rPr>
                <w:sz w:val="20"/>
                <w:szCs w:val="20"/>
              </w:rPr>
              <w:t>aksytynibu</w:t>
            </w:r>
            <w:proofErr w:type="spellEnd"/>
            <w:r w:rsidR="00CE0699" w:rsidRPr="001D5670">
              <w:rPr>
                <w:sz w:val="20"/>
                <w:szCs w:val="20"/>
              </w:rPr>
              <w:t xml:space="preserve"> i </w:t>
            </w:r>
            <w:proofErr w:type="spellStart"/>
            <w:r w:rsidR="00CE0699" w:rsidRPr="001D5670">
              <w:rPr>
                <w:sz w:val="20"/>
                <w:szCs w:val="20"/>
              </w:rPr>
              <w:t>kabozantynibu</w:t>
            </w:r>
            <w:proofErr w:type="spellEnd"/>
            <w:r w:rsidRPr="001D5670">
              <w:rPr>
                <w:sz w:val="20"/>
                <w:szCs w:val="20"/>
              </w:rPr>
              <w:t>;</w:t>
            </w:r>
          </w:p>
          <w:p w:rsidR="001D5670" w:rsidRDefault="0050074E" w:rsidP="00744872">
            <w:pPr>
              <w:pStyle w:val="Akapitzlist"/>
              <w:numPr>
                <w:ilvl w:val="2"/>
                <w:numId w:val="35"/>
              </w:numPr>
              <w:autoSpaceDE w:val="0"/>
              <w:autoSpaceDN w:val="0"/>
              <w:adjustRightInd w:val="0"/>
              <w:spacing w:after="60"/>
              <w:contextualSpacing w:val="0"/>
              <w:jc w:val="both"/>
              <w:rPr>
                <w:sz w:val="20"/>
                <w:szCs w:val="20"/>
              </w:rPr>
            </w:pPr>
            <w:r w:rsidRPr="001D5670">
              <w:rPr>
                <w:sz w:val="20"/>
                <w:szCs w:val="20"/>
              </w:rPr>
              <w:t>oznaczenie poziomu cholesterolu i trójglicerydów</w:t>
            </w:r>
            <w:r w:rsidR="00BF52D4" w:rsidRPr="001D5670">
              <w:rPr>
                <w:sz w:val="20"/>
                <w:szCs w:val="20"/>
              </w:rPr>
              <w:t xml:space="preserve"> – dla </w:t>
            </w:r>
            <w:proofErr w:type="spellStart"/>
            <w:r w:rsidR="00BF52D4" w:rsidRPr="001D5670">
              <w:rPr>
                <w:sz w:val="20"/>
                <w:szCs w:val="20"/>
              </w:rPr>
              <w:t>temsyrolimusu</w:t>
            </w:r>
            <w:proofErr w:type="spellEnd"/>
            <w:r w:rsidRPr="001D5670">
              <w:rPr>
                <w:sz w:val="20"/>
                <w:szCs w:val="20"/>
              </w:rPr>
              <w:t>;</w:t>
            </w:r>
          </w:p>
          <w:p w:rsidR="001D5670" w:rsidRDefault="00684C15" w:rsidP="00744872">
            <w:pPr>
              <w:pStyle w:val="Akapitzlist"/>
              <w:numPr>
                <w:ilvl w:val="2"/>
                <w:numId w:val="35"/>
              </w:numPr>
              <w:autoSpaceDE w:val="0"/>
              <w:autoSpaceDN w:val="0"/>
              <w:adjustRightInd w:val="0"/>
              <w:spacing w:after="60"/>
              <w:contextualSpacing w:val="0"/>
              <w:jc w:val="both"/>
              <w:rPr>
                <w:sz w:val="20"/>
                <w:szCs w:val="20"/>
              </w:rPr>
            </w:pPr>
            <w:r w:rsidRPr="001D5670">
              <w:rPr>
                <w:sz w:val="20"/>
                <w:szCs w:val="20"/>
              </w:rPr>
              <w:t>elektrokardiogram (</w:t>
            </w:r>
            <w:r w:rsidR="00C57F86" w:rsidRPr="001D5670">
              <w:rPr>
                <w:sz w:val="20"/>
                <w:szCs w:val="20"/>
              </w:rPr>
              <w:t>EKG</w:t>
            </w:r>
            <w:r w:rsidRPr="001D5670">
              <w:rPr>
                <w:sz w:val="20"/>
                <w:szCs w:val="20"/>
              </w:rPr>
              <w:t>)</w:t>
            </w:r>
            <w:r w:rsidR="00C57F86" w:rsidRPr="001D5670">
              <w:rPr>
                <w:sz w:val="20"/>
                <w:szCs w:val="20"/>
              </w:rPr>
              <w:t xml:space="preserve"> – dla </w:t>
            </w:r>
            <w:proofErr w:type="spellStart"/>
            <w:r w:rsidR="00C57F86" w:rsidRPr="001D5670">
              <w:rPr>
                <w:sz w:val="20"/>
                <w:szCs w:val="20"/>
              </w:rPr>
              <w:t>aksytynibu</w:t>
            </w:r>
            <w:proofErr w:type="spellEnd"/>
            <w:r w:rsidR="00375063" w:rsidRPr="001D5670">
              <w:rPr>
                <w:sz w:val="20"/>
                <w:szCs w:val="20"/>
              </w:rPr>
              <w:t>,</w:t>
            </w:r>
            <w:r w:rsidR="0050074E" w:rsidRPr="001D5670">
              <w:rPr>
                <w:sz w:val="20"/>
                <w:szCs w:val="20"/>
              </w:rPr>
              <w:t xml:space="preserve"> </w:t>
            </w:r>
            <w:proofErr w:type="spellStart"/>
            <w:r w:rsidR="0050074E" w:rsidRPr="001D5670">
              <w:rPr>
                <w:sz w:val="20"/>
                <w:szCs w:val="20"/>
              </w:rPr>
              <w:t>temsyrolimusu</w:t>
            </w:r>
            <w:proofErr w:type="spellEnd"/>
            <w:r w:rsidR="00375063" w:rsidRPr="001D5670">
              <w:rPr>
                <w:sz w:val="20"/>
                <w:szCs w:val="20"/>
              </w:rPr>
              <w:t xml:space="preserve"> i</w:t>
            </w:r>
            <w:r w:rsidR="00AE6D1D" w:rsidRPr="001D5670">
              <w:rPr>
                <w:sz w:val="20"/>
                <w:szCs w:val="20"/>
              </w:rPr>
              <w:t> </w:t>
            </w:r>
            <w:proofErr w:type="spellStart"/>
            <w:r w:rsidR="00375063" w:rsidRPr="001D5670">
              <w:rPr>
                <w:sz w:val="20"/>
                <w:szCs w:val="20"/>
              </w:rPr>
              <w:t>kabozantynibu</w:t>
            </w:r>
            <w:proofErr w:type="spellEnd"/>
            <w:r w:rsidR="00C57F86" w:rsidRPr="001D5670">
              <w:rPr>
                <w:sz w:val="20"/>
                <w:szCs w:val="20"/>
              </w:rPr>
              <w:t>.</w:t>
            </w:r>
          </w:p>
          <w:p w:rsidR="00744872" w:rsidRDefault="00744872" w:rsidP="00744872">
            <w:pPr>
              <w:pStyle w:val="Akapitzlist"/>
              <w:autoSpaceDE w:val="0"/>
              <w:autoSpaceDN w:val="0"/>
              <w:adjustRightInd w:val="0"/>
              <w:spacing w:after="60"/>
              <w:ind w:left="397"/>
              <w:contextualSpacing w:val="0"/>
              <w:jc w:val="both"/>
              <w:rPr>
                <w:sz w:val="20"/>
                <w:szCs w:val="20"/>
              </w:rPr>
            </w:pPr>
          </w:p>
          <w:p w:rsidR="001D5670" w:rsidRPr="001D5670" w:rsidRDefault="00AC4233" w:rsidP="001D5670">
            <w:pPr>
              <w:autoSpaceDE w:val="0"/>
              <w:autoSpaceDN w:val="0"/>
              <w:adjustRightInd w:val="0"/>
              <w:spacing w:after="60"/>
              <w:jc w:val="both"/>
              <w:rPr>
                <w:sz w:val="20"/>
                <w:szCs w:val="20"/>
              </w:rPr>
            </w:pPr>
            <w:r w:rsidRPr="001D5670">
              <w:rPr>
                <w:sz w:val="20"/>
                <w:szCs w:val="20"/>
              </w:rPr>
              <w:t xml:space="preserve">Badania wykonuje się: </w:t>
            </w:r>
          </w:p>
          <w:p w:rsidR="001D5670" w:rsidRDefault="00AC4233" w:rsidP="009E1845">
            <w:pPr>
              <w:pStyle w:val="Akapitzlist"/>
              <w:numPr>
                <w:ilvl w:val="2"/>
                <w:numId w:val="30"/>
              </w:numPr>
              <w:autoSpaceDE w:val="0"/>
              <w:autoSpaceDN w:val="0"/>
              <w:adjustRightInd w:val="0"/>
              <w:spacing w:after="60"/>
              <w:contextualSpacing w:val="0"/>
              <w:jc w:val="both"/>
              <w:rPr>
                <w:sz w:val="20"/>
                <w:szCs w:val="20"/>
              </w:rPr>
            </w:pPr>
            <w:r w:rsidRPr="001D5670">
              <w:rPr>
                <w:sz w:val="20"/>
                <w:szCs w:val="20"/>
              </w:rPr>
              <w:t xml:space="preserve">co 6 tygodni - w </w:t>
            </w:r>
            <w:r w:rsidR="00945632" w:rsidRPr="001D5670">
              <w:rPr>
                <w:sz w:val="20"/>
                <w:szCs w:val="20"/>
              </w:rPr>
              <w:t xml:space="preserve">przypadku leczenia </w:t>
            </w:r>
            <w:proofErr w:type="spellStart"/>
            <w:r w:rsidR="00945632" w:rsidRPr="001D5670">
              <w:rPr>
                <w:sz w:val="20"/>
                <w:szCs w:val="20"/>
              </w:rPr>
              <w:t>sunitynibem</w:t>
            </w:r>
            <w:proofErr w:type="spellEnd"/>
            <w:r w:rsidR="0050074E" w:rsidRPr="001D5670">
              <w:rPr>
                <w:sz w:val="20"/>
                <w:szCs w:val="20"/>
              </w:rPr>
              <w:t>;</w:t>
            </w:r>
          </w:p>
          <w:p w:rsidR="001D5670" w:rsidRDefault="00AC4233" w:rsidP="009E1845">
            <w:pPr>
              <w:pStyle w:val="Akapitzlist"/>
              <w:numPr>
                <w:ilvl w:val="2"/>
                <w:numId w:val="30"/>
              </w:numPr>
              <w:autoSpaceDE w:val="0"/>
              <w:autoSpaceDN w:val="0"/>
              <w:adjustRightInd w:val="0"/>
              <w:spacing w:after="60"/>
              <w:contextualSpacing w:val="0"/>
              <w:jc w:val="both"/>
              <w:rPr>
                <w:sz w:val="20"/>
                <w:szCs w:val="20"/>
              </w:rPr>
            </w:pPr>
            <w:r w:rsidRPr="001D5670">
              <w:rPr>
                <w:sz w:val="20"/>
                <w:szCs w:val="20"/>
              </w:rPr>
              <w:lastRenderedPageBreak/>
              <w:t>co 4 tygodnie - w</w:t>
            </w:r>
            <w:r w:rsidR="00945632" w:rsidRPr="001D5670">
              <w:rPr>
                <w:sz w:val="20"/>
                <w:szCs w:val="20"/>
              </w:rPr>
              <w:t xml:space="preserve"> przypadku leczenia </w:t>
            </w:r>
            <w:proofErr w:type="spellStart"/>
            <w:r w:rsidR="00945632" w:rsidRPr="001D5670">
              <w:rPr>
                <w:sz w:val="20"/>
                <w:szCs w:val="20"/>
              </w:rPr>
              <w:t>sorafenibem</w:t>
            </w:r>
            <w:proofErr w:type="spellEnd"/>
            <w:r w:rsidR="00C57F86" w:rsidRPr="001D5670">
              <w:rPr>
                <w:sz w:val="20"/>
                <w:szCs w:val="20"/>
              </w:rPr>
              <w:t xml:space="preserve">, </w:t>
            </w:r>
            <w:proofErr w:type="spellStart"/>
            <w:r w:rsidR="00C57F86" w:rsidRPr="001D5670">
              <w:rPr>
                <w:sz w:val="20"/>
                <w:szCs w:val="20"/>
              </w:rPr>
              <w:t>aksytynibem</w:t>
            </w:r>
            <w:proofErr w:type="spellEnd"/>
            <w:r w:rsidR="001008C9" w:rsidRPr="001D5670">
              <w:rPr>
                <w:sz w:val="20"/>
                <w:szCs w:val="20"/>
              </w:rPr>
              <w:t xml:space="preserve">, </w:t>
            </w:r>
            <w:proofErr w:type="spellStart"/>
            <w:r w:rsidR="001008C9" w:rsidRPr="001D5670">
              <w:rPr>
                <w:sz w:val="20"/>
                <w:szCs w:val="20"/>
              </w:rPr>
              <w:t>ewerolimusem</w:t>
            </w:r>
            <w:proofErr w:type="spellEnd"/>
            <w:r w:rsidR="00375063" w:rsidRPr="001D5670">
              <w:rPr>
                <w:sz w:val="20"/>
                <w:szCs w:val="20"/>
              </w:rPr>
              <w:t xml:space="preserve">, </w:t>
            </w:r>
            <w:proofErr w:type="spellStart"/>
            <w:r w:rsidR="0050074E" w:rsidRPr="001D5670">
              <w:rPr>
                <w:sz w:val="20"/>
                <w:szCs w:val="20"/>
              </w:rPr>
              <w:t>temsyrolimusem</w:t>
            </w:r>
            <w:proofErr w:type="spellEnd"/>
            <w:r w:rsidR="00DB32A5" w:rsidRPr="001D5670">
              <w:rPr>
                <w:sz w:val="20"/>
                <w:szCs w:val="20"/>
              </w:rPr>
              <w:t xml:space="preserve">, </w:t>
            </w:r>
            <w:proofErr w:type="spellStart"/>
            <w:r w:rsidR="00375063" w:rsidRPr="001D5670">
              <w:rPr>
                <w:sz w:val="20"/>
                <w:szCs w:val="20"/>
              </w:rPr>
              <w:t>kabozantynibem</w:t>
            </w:r>
            <w:proofErr w:type="spellEnd"/>
            <w:r w:rsidR="006B62C7" w:rsidRPr="001D5670">
              <w:rPr>
                <w:sz w:val="20"/>
                <w:szCs w:val="20"/>
              </w:rPr>
              <w:t xml:space="preserve"> i </w:t>
            </w:r>
            <w:proofErr w:type="spellStart"/>
            <w:r w:rsidR="00DB32A5" w:rsidRPr="001D5670">
              <w:rPr>
                <w:sz w:val="20"/>
                <w:szCs w:val="20"/>
              </w:rPr>
              <w:t>niwolumabem</w:t>
            </w:r>
            <w:proofErr w:type="spellEnd"/>
            <w:r w:rsidR="001008C9" w:rsidRPr="001D5670">
              <w:rPr>
                <w:sz w:val="20"/>
                <w:szCs w:val="20"/>
              </w:rPr>
              <w:t>;</w:t>
            </w:r>
          </w:p>
          <w:p w:rsidR="001D5670" w:rsidRDefault="00D7460E" w:rsidP="009E1845">
            <w:pPr>
              <w:pStyle w:val="Akapitzlist"/>
              <w:numPr>
                <w:ilvl w:val="2"/>
                <w:numId w:val="30"/>
              </w:numPr>
              <w:autoSpaceDE w:val="0"/>
              <w:autoSpaceDN w:val="0"/>
              <w:adjustRightInd w:val="0"/>
              <w:spacing w:after="60"/>
              <w:contextualSpacing w:val="0"/>
              <w:jc w:val="both"/>
              <w:rPr>
                <w:sz w:val="20"/>
                <w:szCs w:val="20"/>
              </w:rPr>
            </w:pPr>
            <w:r w:rsidRPr="001D5670">
              <w:rPr>
                <w:sz w:val="20"/>
                <w:szCs w:val="20"/>
              </w:rPr>
              <w:t xml:space="preserve">w 5 i 9 tygodniu a następnie co cztery tygodnie w przypadku leczenia </w:t>
            </w:r>
            <w:proofErr w:type="spellStart"/>
            <w:r w:rsidRPr="001D5670">
              <w:rPr>
                <w:sz w:val="20"/>
                <w:szCs w:val="20"/>
              </w:rPr>
              <w:t>pazopanibem</w:t>
            </w:r>
            <w:proofErr w:type="spellEnd"/>
            <w:r w:rsidRPr="001D5670">
              <w:rPr>
                <w:sz w:val="20"/>
                <w:szCs w:val="20"/>
              </w:rPr>
              <w:t>;</w:t>
            </w:r>
          </w:p>
          <w:p w:rsidR="001D5670" w:rsidRDefault="00D7460E" w:rsidP="009E1845">
            <w:pPr>
              <w:pStyle w:val="Akapitzlist"/>
              <w:numPr>
                <w:ilvl w:val="2"/>
                <w:numId w:val="30"/>
              </w:numPr>
              <w:autoSpaceDE w:val="0"/>
              <w:autoSpaceDN w:val="0"/>
              <w:adjustRightInd w:val="0"/>
              <w:spacing w:after="60"/>
              <w:contextualSpacing w:val="0"/>
              <w:jc w:val="both"/>
              <w:rPr>
                <w:sz w:val="20"/>
                <w:szCs w:val="20"/>
              </w:rPr>
            </w:pPr>
            <w:r w:rsidRPr="001D5670">
              <w:rPr>
                <w:sz w:val="20"/>
                <w:szCs w:val="20"/>
              </w:rPr>
              <w:t xml:space="preserve">dodatkowo w 3 i 7 tygodniu w przypadku leczenia </w:t>
            </w:r>
            <w:proofErr w:type="spellStart"/>
            <w:r w:rsidRPr="001D5670">
              <w:rPr>
                <w:sz w:val="20"/>
                <w:szCs w:val="20"/>
              </w:rPr>
              <w:t>pazopanibem</w:t>
            </w:r>
            <w:proofErr w:type="spellEnd"/>
            <w:r w:rsidRPr="001D5670">
              <w:rPr>
                <w:sz w:val="20"/>
                <w:szCs w:val="20"/>
              </w:rPr>
              <w:t xml:space="preserve"> dla ozna</w:t>
            </w:r>
            <w:r w:rsidR="002C4D7F" w:rsidRPr="001D5670">
              <w:rPr>
                <w:sz w:val="20"/>
                <w:szCs w:val="20"/>
              </w:rPr>
              <w:t>czeń określonych w punktach 4, 6, 7</w:t>
            </w:r>
            <w:r w:rsidRPr="001D5670">
              <w:rPr>
                <w:sz w:val="20"/>
                <w:szCs w:val="20"/>
              </w:rPr>
              <w:t>.</w:t>
            </w:r>
          </w:p>
          <w:p w:rsidR="001D5670" w:rsidRDefault="001D5670" w:rsidP="001D5670">
            <w:pPr>
              <w:pStyle w:val="Akapitzlist"/>
              <w:autoSpaceDE w:val="0"/>
              <w:autoSpaceDN w:val="0"/>
              <w:adjustRightInd w:val="0"/>
              <w:spacing w:after="60"/>
              <w:ind w:left="397"/>
              <w:contextualSpacing w:val="0"/>
              <w:jc w:val="both"/>
              <w:rPr>
                <w:sz w:val="20"/>
                <w:szCs w:val="20"/>
              </w:rPr>
            </w:pPr>
          </w:p>
          <w:p w:rsidR="001D5670" w:rsidRPr="001D5670" w:rsidRDefault="00AC4233" w:rsidP="001D5670">
            <w:pPr>
              <w:pStyle w:val="Akapitzlist"/>
              <w:numPr>
                <w:ilvl w:val="0"/>
                <w:numId w:val="31"/>
              </w:numPr>
              <w:autoSpaceDE w:val="0"/>
              <w:autoSpaceDN w:val="0"/>
              <w:adjustRightInd w:val="0"/>
              <w:spacing w:after="60"/>
              <w:contextualSpacing w:val="0"/>
              <w:jc w:val="both"/>
              <w:rPr>
                <w:sz w:val="20"/>
                <w:szCs w:val="20"/>
              </w:rPr>
            </w:pPr>
            <w:r w:rsidRPr="001D5670">
              <w:rPr>
                <w:b/>
                <w:bCs/>
                <w:sz w:val="20"/>
                <w:szCs w:val="20"/>
              </w:rPr>
              <w:t>Monitorowanie skuteczności leczenia</w:t>
            </w:r>
          </w:p>
          <w:p w:rsidR="001D5670" w:rsidRDefault="00AC4233" w:rsidP="001D5670">
            <w:pPr>
              <w:pStyle w:val="Akapitzlist"/>
              <w:numPr>
                <w:ilvl w:val="2"/>
                <w:numId w:val="31"/>
              </w:numPr>
              <w:autoSpaceDE w:val="0"/>
              <w:autoSpaceDN w:val="0"/>
              <w:adjustRightInd w:val="0"/>
              <w:spacing w:after="60"/>
              <w:contextualSpacing w:val="0"/>
              <w:jc w:val="both"/>
              <w:rPr>
                <w:sz w:val="20"/>
                <w:szCs w:val="20"/>
              </w:rPr>
            </w:pPr>
            <w:r w:rsidRPr="001D5670">
              <w:rPr>
                <w:sz w:val="20"/>
                <w:szCs w:val="20"/>
              </w:rPr>
              <w:t>badanie KT lub MR odpowiedniego obszaru;</w:t>
            </w:r>
          </w:p>
          <w:p w:rsidR="001D5670" w:rsidRDefault="00AC4233" w:rsidP="001D5670">
            <w:pPr>
              <w:pStyle w:val="Akapitzlist"/>
              <w:numPr>
                <w:ilvl w:val="2"/>
                <w:numId w:val="31"/>
              </w:numPr>
              <w:autoSpaceDE w:val="0"/>
              <w:autoSpaceDN w:val="0"/>
              <w:adjustRightInd w:val="0"/>
              <w:spacing w:after="60"/>
              <w:contextualSpacing w:val="0"/>
              <w:jc w:val="both"/>
              <w:rPr>
                <w:sz w:val="20"/>
                <w:szCs w:val="20"/>
              </w:rPr>
            </w:pPr>
            <w:r w:rsidRPr="001D5670">
              <w:rPr>
                <w:sz w:val="20"/>
                <w:szCs w:val="20"/>
              </w:rPr>
              <w:t>badanie RTG klatki piersiowej - jeżeli nie jest wykonywane badanie KT;</w:t>
            </w:r>
          </w:p>
          <w:p w:rsidR="001D5670" w:rsidRDefault="00FB0BAA" w:rsidP="001D5670">
            <w:pPr>
              <w:pStyle w:val="Akapitzlist"/>
              <w:numPr>
                <w:ilvl w:val="2"/>
                <w:numId w:val="31"/>
              </w:numPr>
              <w:autoSpaceDE w:val="0"/>
              <w:autoSpaceDN w:val="0"/>
              <w:adjustRightInd w:val="0"/>
              <w:spacing w:after="60"/>
              <w:contextualSpacing w:val="0"/>
              <w:jc w:val="both"/>
              <w:rPr>
                <w:sz w:val="20"/>
                <w:szCs w:val="20"/>
              </w:rPr>
            </w:pPr>
            <w:r w:rsidRPr="001D5670">
              <w:rPr>
                <w:sz w:val="20"/>
                <w:szCs w:val="20"/>
              </w:rPr>
              <w:t>elektrokardiogram (</w:t>
            </w:r>
            <w:r w:rsidR="00AC4233" w:rsidRPr="001D5670">
              <w:rPr>
                <w:sz w:val="20"/>
                <w:szCs w:val="20"/>
              </w:rPr>
              <w:t>EKG</w:t>
            </w:r>
            <w:r w:rsidRPr="001D5670">
              <w:rPr>
                <w:sz w:val="20"/>
                <w:szCs w:val="20"/>
              </w:rPr>
              <w:t>)</w:t>
            </w:r>
            <w:r w:rsidR="00663001" w:rsidRPr="001D5670">
              <w:rPr>
                <w:sz w:val="20"/>
                <w:szCs w:val="20"/>
              </w:rPr>
              <w:t xml:space="preserve"> - w przypadku </w:t>
            </w:r>
            <w:proofErr w:type="spellStart"/>
            <w:r w:rsidR="00663001" w:rsidRPr="001D5670">
              <w:rPr>
                <w:sz w:val="20"/>
                <w:szCs w:val="20"/>
              </w:rPr>
              <w:t>sorafenibu</w:t>
            </w:r>
            <w:proofErr w:type="spellEnd"/>
            <w:r w:rsidR="00663001" w:rsidRPr="001D5670">
              <w:rPr>
                <w:sz w:val="20"/>
                <w:szCs w:val="20"/>
              </w:rPr>
              <w:t xml:space="preserve">, </w:t>
            </w:r>
            <w:proofErr w:type="spellStart"/>
            <w:r w:rsidR="00663001" w:rsidRPr="001D5670">
              <w:rPr>
                <w:sz w:val="20"/>
                <w:szCs w:val="20"/>
              </w:rPr>
              <w:t>pazopanibu</w:t>
            </w:r>
            <w:proofErr w:type="spellEnd"/>
            <w:r w:rsidR="00663001" w:rsidRPr="001D5670">
              <w:rPr>
                <w:sz w:val="20"/>
                <w:szCs w:val="20"/>
              </w:rPr>
              <w:t xml:space="preserve">, </w:t>
            </w:r>
            <w:proofErr w:type="spellStart"/>
            <w:r w:rsidR="00663001" w:rsidRPr="001D5670">
              <w:rPr>
                <w:sz w:val="20"/>
                <w:szCs w:val="20"/>
              </w:rPr>
              <w:t>aksytynibu</w:t>
            </w:r>
            <w:proofErr w:type="spellEnd"/>
            <w:r w:rsidR="00663001" w:rsidRPr="001D5670">
              <w:rPr>
                <w:sz w:val="20"/>
                <w:szCs w:val="20"/>
              </w:rPr>
              <w:t xml:space="preserve">, </w:t>
            </w:r>
            <w:proofErr w:type="spellStart"/>
            <w:r w:rsidR="00663001" w:rsidRPr="001D5670">
              <w:rPr>
                <w:sz w:val="20"/>
                <w:szCs w:val="20"/>
              </w:rPr>
              <w:t>ewerolimusu</w:t>
            </w:r>
            <w:proofErr w:type="spellEnd"/>
            <w:r w:rsidR="00663001" w:rsidRPr="001D5670">
              <w:rPr>
                <w:sz w:val="20"/>
                <w:szCs w:val="20"/>
              </w:rPr>
              <w:t xml:space="preserve"> i </w:t>
            </w:r>
            <w:proofErr w:type="spellStart"/>
            <w:r w:rsidR="00663001" w:rsidRPr="001D5670">
              <w:rPr>
                <w:sz w:val="20"/>
                <w:szCs w:val="20"/>
              </w:rPr>
              <w:t>sunitynibu</w:t>
            </w:r>
            <w:proofErr w:type="spellEnd"/>
            <w:r w:rsidR="00663001" w:rsidRPr="001D5670">
              <w:rPr>
                <w:sz w:val="20"/>
                <w:szCs w:val="20"/>
              </w:rPr>
              <w:t>;</w:t>
            </w:r>
          </w:p>
          <w:p w:rsidR="001D5670" w:rsidRDefault="00AC4233" w:rsidP="001D5670">
            <w:pPr>
              <w:pStyle w:val="Akapitzlist"/>
              <w:numPr>
                <w:ilvl w:val="2"/>
                <w:numId w:val="31"/>
              </w:numPr>
              <w:autoSpaceDE w:val="0"/>
              <w:autoSpaceDN w:val="0"/>
              <w:adjustRightInd w:val="0"/>
              <w:spacing w:after="60"/>
              <w:contextualSpacing w:val="0"/>
              <w:jc w:val="both"/>
              <w:rPr>
                <w:sz w:val="20"/>
                <w:szCs w:val="20"/>
              </w:rPr>
            </w:pPr>
            <w:r w:rsidRPr="001D5670">
              <w:rPr>
                <w:sz w:val="20"/>
                <w:szCs w:val="20"/>
              </w:rPr>
              <w:t>inne badania obrazowe w razie wskazań klinicznych.</w:t>
            </w:r>
          </w:p>
          <w:p w:rsidR="00744872" w:rsidRDefault="00744872" w:rsidP="00744872">
            <w:pPr>
              <w:pStyle w:val="Akapitzlist"/>
              <w:autoSpaceDE w:val="0"/>
              <w:autoSpaceDN w:val="0"/>
              <w:adjustRightInd w:val="0"/>
              <w:spacing w:after="60"/>
              <w:ind w:left="397"/>
              <w:contextualSpacing w:val="0"/>
              <w:jc w:val="both"/>
              <w:rPr>
                <w:sz w:val="20"/>
                <w:szCs w:val="20"/>
              </w:rPr>
            </w:pPr>
            <w:bookmarkStart w:id="0" w:name="_GoBack"/>
            <w:bookmarkEnd w:id="0"/>
          </w:p>
          <w:p w:rsidR="001D5670" w:rsidRPr="001D5670" w:rsidRDefault="00AC4233" w:rsidP="001D5670">
            <w:pPr>
              <w:autoSpaceDE w:val="0"/>
              <w:autoSpaceDN w:val="0"/>
              <w:adjustRightInd w:val="0"/>
              <w:spacing w:after="60"/>
              <w:jc w:val="both"/>
              <w:rPr>
                <w:sz w:val="20"/>
                <w:szCs w:val="20"/>
              </w:rPr>
            </w:pPr>
            <w:r w:rsidRPr="001D5670">
              <w:rPr>
                <w:sz w:val="20"/>
                <w:szCs w:val="20"/>
              </w:rPr>
              <w:t xml:space="preserve">Badania wykonuje się: </w:t>
            </w:r>
          </w:p>
          <w:p w:rsidR="001D5670" w:rsidRDefault="00AC4233" w:rsidP="009E1845">
            <w:pPr>
              <w:pStyle w:val="Akapitzlist"/>
              <w:numPr>
                <w:ilvl w:val="2"/>
                <w:numId w:val="32"/>
              </w:numPr>
              <w:autoSpaceDE w:val="0"/>
              <w:autoSpaceDN w:val="0"/>
              <w:adjustRightInd w:val="0"/>
              <w:spacing w:after="60"/>
              <w:contextualSpacing w:val="0"/>
              <w:jc w:val="both"/>
              <w:rPr>
                <w:sz w:val="20"/>
                <w:szCs w:val="20"/>
              </w:rPr>
            </w:pPr>
            <w:r w:rsidRPr="001D5670">
              <w:rPr>
                <w:sz w:val="20"/>
                <w:szCs w:val="20"/>
              </w:rPr>
              <w:t xml:space="preserve">nie rzadziej niż co 12 tygodni; </w:t>
            </w:r>
            <w:r w:rsidR="00F84BD2" w:rsidRPr="001D5670">
              <w:rPr>
                <w:sz w:val="20"/>
                <w:szCs w:val="20"/>
              </w:rPr>
              <w:t>w przypadku prowadzenia leczenia dłużej niż przez 3 lata badania obrazowe mogą być wykonywane co 6 miesięcy lub w przypadku wystąpienia objawów klinicznych</w:t>
            </w:r>
            <w:r w:rsidR="00A523F1" w:rsidRPr="001D5670">
              <w:rPr>
                <w:sz w:val="20"/>
                <w:szCs w:val="20"/>
              </w:rPr>
              <w:t>;</w:t>
            </w:r>
          </w:p>
          <w:p w:rsidR="001D5670" w:rsidRDefault="00AC4233" w:rsidP="009E1845">
            <w:pPr>
              <w:pStyle w:val="Akapitzlist"/>
              <w:numPr>
                <w:ilvl w:val="2"/>
                <w:numId w:val="32"/>
              </w:numPr>
              <w:autoSpaceDE w:val="0"/>
              <w:autoSpaceDN w:val="0"/>
              <w:adjustRightInd w:val="0"/>
              <w:spacing w:after="60"/>
              <w:contextualSpacing w:val="0"/>
              <w:jc w:val="both"/>
              <w:rPr>
                <w:sz w:val="20"/>
                <w:szCs w:val="20"/>
              </w:rPr>
            </w:pPr>
            <w:r w:rsidRPr="001D5670">
              <w:rPr>
                <w:sz w:val="20"/>
                <w:szCs w:val="20"/>
              </w:rPr>
              <w:t>przed zakończeniem:</w:t>
            </w:r>
          </w:p>
          <w:p w:rsidR="005746CC" w:rsidRDefault="00AC4233" w:rsidP="005746CC">
            <w:pPr>
              <w:pStyle w:val="Akapitzlist"/>
              <w:numPr>
                <w:ilvl w:val="3"/>
                <w:numId w:val="32"/>
              </w:numPr>
              <w:autoSpaceDE w:val="0"/>
              <w:autoSpaceDN w:val="0"/>
              <w:adjustRightInd w:val="0"/>
              <w:spacing w:after="60"/>
              <w:contextualSpacing w:val="0"/>
              <w:jc w:val="both"/>
              <w:rPr>
                <w:sz w:val="20"/>
                <w:szCs w:val="20"/>
              </w:rPr>
            </w:pPr>
            <w:r w:rsidRPr="001D5670">
              <w:rPr>
                <w:sz w:val="20"/>
                <w:szCs w:val="20"/>
              </w:rPr>
              <w:t xml:space="preserve">co drugiego kursu leczenia </w:t>
            </w:r>
            <w:r w:rsidR="005746CC">
              <w:rPr>
                <w:sz w:val="20"/>
                <w:szCs w:val="20"/>
              </w:rPr>
              <w:t>–</w:t>
            </w:r>
            <w:r w:rsidRPr="001D5670">
              <w:rPr>
                <w:sz w:val="20"/>
                <w:szCs w:val="20"/>
              </w:rPr>
              <w:t xml:space="preserve"> w przypadku </w:t>
            </w:r>
            <w:proofErr w:type="spellStart"/>
            <w:r w:rsidRPr="001D5670">
              <w:rPr>
                <w:sz w:val="20"/>
                <w:szCs w:val="20"/>
              </w:rPr>
              <w:t>sunitynibu</w:t>
            </w:r>
            <w:proofErr w:type="spellEnd"/>
            <w:r w:rsidRPr="001D5670">
              <w:rPr>
                <w:sz w:val="20"/>
                <w:szCs w:val="20"/>
              </w:rPr>
              <w:t>,</w:t>
            </w:r>
          </w:p>
          <w:p w:rsidR="005746CC" w:rsidRDefault="00AC4233" w:rsidP="005746CC">
            <w:pPr>
              <w:pStyle w:val="Akapitzlist"/>
              <w:numPr>
                <w:ilvl w:val="3"/>
                <w:numId w:val="32"/>
              </w:numPr>
              <w:autoSpaceDE w:val="0"/>
              <w:autoSpaceDN w:val="0"/>
              <w:adjustRightInd w:val="0"/>
              <w:spacing w:after="60"/>
              <w:contextualSpacing w:val="0"/>
              <w:jc w:val="both"/>
              <w:rPr>
                <w:sz w:val="20"/>
                <w:szCs w:val="20"/>
              </w:rPr>
            </w:pPr>
            <w:r w:rsidRPr="001D5670">
              <w:rPr>
                <w:sz w:val="20"/>
                <w:szCs w:val="20"/>
              </w:rPr>
              <w:t>co trzeciego kursu le</w:t>
            </w:r>
            <w:r w:rsidR="00DA7A8F" w:rsidRPr="001D5670">
              <w:rPr>
                <w:sz w:val="20"/>
                <w:szCs w:val="20"/>
              </w:rPr>
              <w:t xml:space="preserve">czenia </w:t>
            </w:r>
            <w:r w:rsidR="005746CC">
              <w:rPr>
                <w:sz w:val="20"/>
                <w:szCs w:val="20"/>
              </w:rPr>
              <w:t>–</w:t>
            </w:r>
            <w:r w:rsidR="00DA7A8F" w:rsidRPr="001D5670">
              <w:rPr>
                <w:sz w:val="20"/>
                <w:szCs w:val="20"/>
              </w:rPr>
              <w:t xml:space="preserve"> w przypadku </w:t>
            </w:r>
            <w:proofErr w:type="spellStart"/>
            <w:r w:rsidR="00DA7A8F" w:rsidRPr="001D5670">
              <w:rPr>
                <w:sz w:val="20"/>
                <w:szCs w:val="20"/>
              </w:rPr>
              <w:t>sorafenibu</w:t>
            </w:r>
            <w:proofErr w:type="spellEnd"/>
            <w:r w:rsidR="00684C15" w:rsidRPr="001D5670">
              <w:rPr>
                <w:sz w:val="20"/>
                <w:szCs w:val="20"/>
              </w:rPr>
              <w:t>,</w:t>
            </w:r>
            <w:r w:rsidR="00DA7A8F" w:rsidRPr="001D5670">
              <w:rPr>
                <w:sz w:val="20"/>
                <w:szCs w:val="20"/>
              </w:rPr>
              <w:t xml:space="preserve"> </w:t>
            </w:r>
            <w:proofErr w:type="spellStart"/>
            <w:r w:rsidR="00DA7A8F" w:rsidRPr="001D5670">
              <w:rPr>
                <w:sz w:val="20"/>
                <w:szCs w:val="20"/>
              </w:rPr>
              <w:t>pazopanibu</w:t>
            </w:r>
            <w:proofErr w:type="spellEnd"/>
            <w:r w:rsidR="00684C15" w:rsidRPr="001D5670">
              <w:rPr>
                <w:sz w:val="20"/>
                <w:szCs w:val="20"/>
              </w:rPr>
              <w:t xml:space="preserve">, </w:t>
            </w:r>
            <w:proofErr w:type="spellStart"/>
            <w:r w:rsidR="00684C15" w:rsidRPr="001D5670">
              <w:rPr>
                <w:sz w:val="20"/>
                <w:szCs w:val="20"/>
              </w:rPr>
              <w:t>aksytynibu</w:t>
            </w:r>
            <w:proofErr w:type="spellEnd"/>
            <w:r w:rsidR="00684C15" w:rsidRPr="001D5670">
              <w:rPr>
                <w:sz w:val="20"/>
                <w:szCs w:val="20"/>
              </w:rPr>
              <w:t xml:space="preserve"> i </w:t>
            </w:r>
            <w:proofErr w:type="spellStart"/>
            <w:r w:rsidR="00684C15" w:rsidRPr="001D5670">
              <w:rPr>
                <w:sz w:val="20"/>
                <w:szCs w:val="20"/>
              </w:rPr>
              <w:t>ewerolimusu</w:t>
            </w:r>
            <w:proofErr w:type="spellEnd"/>
            <w:r w:rsidR="00DA7A8F" w:rsidRPr="001D5670">
              <w:rPr>
                <w:sz w:val="20"/>
                <w:szCs w:val="20"/>
              </w:rPr>
              <w:t>;</w:t>
            </w:r>
          </w:p>
          <w:p w:rsidR="005746CC" w:rsidRDefault="00AC4233" w:rsidP="005746CC">
            <w:pPr>
              <w:pStyle w:val="Akapitzlist"/>
              <w:numPr>
                <w:ilvl w:val="2"/>
                <w:numId w:val="32"/>
              </w:numPr>
              <w:autoSpaceDE w:val="0"/>
              <w:autoSpaceDN w:val="0"/>
              <w:adjustRightInd w:val="0"/>
              <w:spacing w:after="60"/>
              <w:contextualSpacing w:val="0"/>
              <w:jc w:val="both"/>
              <w:rPr>
                <w:sz w:val="20"/>
                <w:szCs w:val="20"/>
              </w:rPr>
            </w:pPr>
            <w:r w:rsidRPr="001D5670">
              <w:rPr>
                <w:sz w:val="20"/>
                <w:szCs w:val="20"/>
              </w:rPr>
              <w:lastRenderedPageBreak/>
              <w:t>w chwili wyłączenia z programu, o ile nie nastąpiło z powodu udo</w:t>
            </w:r>
            <w:r w:rsidR="005746CC">
              <w:rPr>
                <w:sz w:val="20"/>
                <w:szCs w:val="20"/>
              </w:rPr>
              <w:t>kumentowanej progresji choroby.</w:t>
            </w:r>
          </w:p>
          <w:p w:rsidR="005746CC" w:rsidRDefault="00AC4233" w:rsidP="005746CC">
            <w:pPr>
              <w:autoSpaceDE w:val="0"/>
              <w:autoSpaceDN w:val="0"/>
              <w:adjustRightInd w:val="0"/>
              <w:spacing w:after="60"/>
              <w:jc w:val="both"/>
              <w:rPr>
                <w:sz w:val="20"/>
                <w:szCs w:val="20"/>
              </w:rPr>
            </w:pPr>
            <w:r w:rsidRPr="005746CC">
              <w:rPr>
                <w:sz w:val="20"/>
                <w:szCs w:val="20"/>
              </w:rPr>
              <w:t>Wykonane badania obrazowe muszą umożliwić obiektywną ocenę odpowiedzi na leczenie.</w:t>
            </w:r>
          </w:p>
          <w:p w:rsidR="005746CC" w:rsidRDefault="00AC4233" w:rsidP="005746CC">
            <w:pPr>
              <w:autoSpaceDE w:val="0"/>
              <w:autoSpaceDN w:val="0"/>
              <w:adjustRightInd w:val="0"/>
              <w:spacing w:after="60"/>
              <w:jc w:val="both"/>
              <w:rPr>
                <w:sz w:val="20"/>
                <w:szCs w:val="20"/>
              </w:rPr>
            </w:pPr>
            <w:r w:rsidRPr="005746CC">
              <w:rPr>
                <w:sz w:val="20"/>
                <w:szCs w:val="20"/>
              </w:rPr>
              <w:t>Ocena odpowiedzi na leczenie powinna być przeprowadzana zgodn</w:t>
            </w:r>
            <w:r w:rsidR="00DA7A8F" w:rsidRPr="005746CC">
              <w:rPr>
                <w:sz w:val="20"/>
                <w:szCs w:val="20"/>
              </w:rPr>
              <w:t>ie z kryteriami RECIST lub CHOI</w:t>
            </w:r>
            <w:r w:rsidR="001C3A9D" w:rsidRPr="005746CC">
              <w:rPr>
                <w:sz w:val="20"/>
                <w:szCs w:val="20"/>
              </w:rPr>
              <w:t>.</w:t>
            </w:r>
          </w:p>
          <w:p w:rsidR="005746CC" w:rsidRDefault="00B853E4" w:rsidP="005746CC">
            <w:pPr>
              <w:autoSpaceDE w:val="0"/>
              <w:autoSpaceDN w:val="0"/>
              <w:adjustRightInd w:val="0"/>
              <w:spacing w:after="60"/>
              <w:jc w:val="both"/>
              <w:rPr>
                <w:b/>
                <w:sz w:val="20"/>
                <w:szCs w:val="20"/>
              </w:rPr>
            </w:pPr>
            <w:r w:rsidRPr="005746CC">
              <w:rPr>
                <w:b/>
                <w:sz w:val="20"/>
                <w:szCs w:val="20"/>
              </w:rPr>
              <w:t xml:space="preserve">Monitorowanie skuteczności i bezpieczeństwa leczenia pacjentów, o których mowa w sekcji Świadczeniobiorcy </w:t>
            </w:r>
            <w:r w:rsidR="000E47E8" w:rsidRPr="005746CC">
              <w:rPr>
                <w:b/>
                <w:sz w:val="20"/>
                <w:szCs w:val="20"/>
              </w:rPr>
              <w:t xml:space="preserve">ust. </w:t>
            </w:r>
            <w:r w:rsidRPr="005746CC">
              <w:rPr>
                <w:b/>
                <w:sz w:val="20"/>
                <w:szCs w:val="20"/>
              </w:rPr>
              <w:t>9</w:t>
            </w:r>
            <w:r w:rsidR="000E47E8" w:rsidRPr="005746CC">
              <w:rPr>
                <w:b/>
                <w:sz w:val="20"/>
                <w:szCs w:val="20"/>
              </w:rPr>
              <w:t xml:space="preserve"> </w:t>
            </w:r>
            <w:r w:rsidRPr="005746CC">
              <w:rPr>
                <w:b/>
                <w:sz w:val="20"/>
                <w:szCs w:val="20"/>
              </w:rPr>
              <w:t>pkt</w:t>
            </w:r>
            <w:r w:rsidR="003868D1" w:rsidRPr="005746CC">
              <w:rPr>
                <w:b/>
                <w:sz w:val="20"/>
                <w:szCs w:val="20"/>
              </w:rPr>
              <w:t> </w:t>
            </w:r>
            <w:r w:rsidRPr="005746CC">
              <w:rPr>
                <w:b/>
                <w:sz w:val="20"/>
                <w:szCs w:val="20"/>
              </w:rPr>
              <w:t>1, powinno być prowadzone jednakowo jak w przypadku pozostałych pacjentów.</w:t>
            </w:r>
          </w:p>
          <w:p w:rsidR="005746CC" w:rsidRDefault="005746CC" w:rsidP="005746CC">
            <w:pPr>
              <w:autoSpaceDE w:val="0"/>
              <w:autoSpaceDN w:val="0"/>
              <w:adjustRightInd w:val="0"/>
              <w:spacing w:after="60"/>
              <w:jc w:val="both"/>
              <w:rPr>
                <w:b/>
                <w:sz w:val="20"/>
                <w:szCs w:val="20"/>
              </w:rPr>
            </w:pPr>
          </w:p>
          <w:p w:rsidR="005746CC" w:rsidRPr="005746CC" w:rsidRDefault="00DA7A8F" w:rsidP="005746CC">
            <w:pPr>
              <w:pStyle w:val="Akapitzlist"/>
              <w:numPr>
                <w:ilvl w:val="0"/>
                <w:numId w:val="32"/>
              </w:numPr>
              <w:autoSpaceDE w:val="0"/>
              <w:autoSpaceDN w:val="0"/>
              <w:adjustRightInd w:val="0"/>
              <w:spacing w:after="60"/>
              <w:jc w:val="both"/>
              <w:rPr>
                <w:b/>
                <w:bCs/>
                <w:sz w:val="20"/>
                <w:szCs w:val="20"/>
              </w:rPr>
            </w:pPr>
            <w:r w:rsidRPr="005746CC">
              <w:rPr>
                <w:b/>
                <w:bCs/>
                <w:sz w:val="20"/>
                <w:szCs w:val="20"/>
              </w:rPr>
              <w:t>Monitorowanie programu</w:t>
            </w:r>
          </w:p>
          <w:p w:rsidR="005746CC" w:rsidRPr="005746CC" w:rsidRDefault="00D47D91" w:rsidP="005746CC">
            <w:pPr>
              <w:pStyle w:val="Akapitzlist"/>
              <w:numPr>
                <w:ilvl w:val="2"/>
                <w:numId w:val="32"/>
              </w:numPr>
              <w:autoSpaceDE w:val="0"/>
              <w:autoSpaceDN w:val="0"/>
              <w:adjustRightInd w:val="0"/>
              <w:spacing w:after="60"/>
              <w:jc w:val="both"/>
              <w:rPr>
                <w:sz w:val="20"/>
                <w:szCs w:val="20"/>
              </w:rPr>
            </w:pPr>
            <w:r w:rsidRPr="005746CC">
              <w:rPr>
                <w:rFonts w:eastAsia="Calibri"/>
                <w:sz w:val="20"/>
                <w:szCs w:val="20"/>
              </w:rPr>
              <w:t>przekazywanie do NFZ zakresu informacji sprawozdawczo – rozliczeniowych w formie papierowej lub w formie elektronicznej, zgodnie z wymaganiami opublikowanymi przez Narodowy Fundusz Zdrowia;</w:t>
            </w:r>
          </w:p>
          <w:p w:rsidR="005746CC" w:rsidRPr="005746CC" w:rsidRDefault="00D47D91" w:rsidP="005746CC">
            <w:pPr>
              <w:pStyle w:val="Akapitzlist"/>
              <w:numPr>
                <w:ilvl w:val="2"/>
                <w:numId w:val="32"/>
              </w:numPr>
              <w:autoSpaceDE w:val="0"/>
              <w:autoSpaceDN w:val="0"/>
              <w:adjustRightInd w:val="0"/>
              <w:spacing w:after="60"/>
              <w:jc w:val="both"/>
              <w:rPr>
                <w:sz w:val="20"/>
                <w:szCs w:val="20"/>
              </w:rPr>
            </w:pPr>
            <w:r w:rsidRPr="005746CC">
              <w:rPr>
                <w:rFonts w:eastAsia="Calibri"/>
                <w:sz w:val="20"/>
                <w:szCs w:val="20"/>
              </w:rPr>
              <w:t>uzupełnianie danych zawartych w rejestrze SMPT, dostępnym za pomocą aplikacji internetowej udostępnionej przez OW NFZ, z częstotliwością zgodną z opisem programu oraz na zakończenie leczenia.</w:t>
            </w:r>
          </w:p>
          <w:p w:rsidR="005746CC" w:rsidRDefault="00D47D91" w:rsidP="005746CC">
            <w:pPr>
              <w:autoSpaceDE w:val="0"/>
              <w:autoSpaceDN w:val="0"/>
              <w:adjustRightInd w:val="0"/>
              <w:spacing w:after="60"/>
              <w:jc w:val="both"/>
              <w:rPr>
                <w:rFonts w:eastAsia="Calibri"/>
                <w:sz w:val="20"/>
                <w:szCs w:val="20"/>
              </w:rPr>
            </w:pPr>
            <w:r w:rsidRPr="005746CC">
              <w:rPr>
                <w:rFonts w:eastAsia="Calibri"/>
                <w:sz w:val="20"/>
                <w:szCs w:val="20"/>
              </w:rPr>
              <w:t>Dane dotyczące monitorowania leczenia należy gromadzić w dokumentacji pacjenta i każdorazowo przedstawiać na żądanie kontrolerom NFZ.</w:t>
            </w:r>
          </w:p>
          <w:p w:rsidR="00613A3E" w:rsidRPr="005746CC" w:rsidRDefault="00613A3E" w:rsidP="005746CC">
            <w:pPr>
              <w:autoSpaceDE w:val="0"/>
              <w:autoSpaceDN w:val="0"/>
              <w:adjustRightInd w:val="0"/>
              <w:spacing w:after="60"/>
              <w:jc w:val="both"/>
              <w:rPr>
                <w:sz w:val="20"/>
                <w:szCs w:val="20"/>
              </w:rPr>
            </w:pPr>
            <w:r w:rsidRPr="005746CC">
              <w:rPr>
                <w:rFonts w:eastAsia="Calibri"/>
                <w:sz w:val="20"/>
                <w:szCs w:val="20"/>
              </w:rPr>
              <w:t xml:space="preserve">W przypadku pacjentów, o których mowa w sekcji Świadczeniobiorcy </w:t>
            </w:r>
            <w:r w:rsidR="000E47E8" w:rsidRPr="005746CC">
              <w:rPr>
                <w:rFonts w:eastAsia="Calibri"/>
                <w:sz w:val="20"/>
                <w:szCs w:val="20"/>
              </w:rPr>
              <w:t xml:space="preserve">ust. </w:t>
            </w:r>
            <w:r w:rsidRPr="005746CC">
              <w:rPr>
                <w:rFonts w:eastAsia="Calibri"/>
                <w:sz w:val="20"/>
                <w:szCs w:val="20"/>
              </w:rPr>
              <w:t>9 pkt 1, nie jest wymagane uzupełnianie danych i informacji w elektronicznym systemie monitorowania programów lekowych.</w:t>
            </w:r>
          </w:p>
        </w:tc>
      </w:tr>
    </w:tbl>
    <w:p w:rsidR="00221D34" w:rsidRPr="0050286B" w:rsidRDefault="00221D34" w:rsidP="00221D34">
      <w:pPr>
        <w:autoSpaceDE w:val="0"/>
        <w:autoSpaceDN w:val="0"/>
        <w:adjustRightInd w:val="0"/>
        <w:rPr>
          <w:rFonts w:ascii="Courier New" w:hAnsi="Courier New"/>
        </w:rPr>
      </w:pPr>
    </w:p>
    <w:p w:rsidR="00497A25" w:rsidRPr="0050286B" w:rsidRDefault="00497A25" w:rsidP="00497A25">
      <w:pPr>
        <w:autoSpaceDE w:val="0"/>
        <w:autoSpaceDN w:val="0"/>
        <w:adjustRightInd w:val="0"/>
        <w:rPr>
          <w:rFonts w:ascii="Courier New" w:hAnsi="Courier New"/>
        </w:rPr>
      </w:pPr>
    </w:p>
    <w:p w:rsidR="00743C43" w:rsidRPr="0050286B" w:rsidRDefault="00743C43"/>
    <w:sectPr w:rsidR="00743C43" w:rsidRPr="0050286B" w:rsidSect="00E70B1B">
      <w:footerReference w:type="default" r:id="rId8"/>
      <w:pgSz w:w="16838" w:h="11906" w:orient="landscape" w:code="9"/>
      <w:pgMar w:top="1588" w:right="720" w:bottom="1418" w:left="720" w:header="709" w:footer="709" w:gutter="0"/>
      <w:pgNumType w:start="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37FD" w:rsidRDefault="00D037FD" w:rsidP="00720953">
      <w:r>
        <w:separator/>
      </w:r>
    </w:p>
  </w:endnote>
  <w:endnote w:type="continuationSeparator" w:id="0">
    <w:p w:rsidR="00D037FD" w:rsidRDefault="00D037FD" w:rsidP="007209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00004FF" w:usb2="00000000" w:usb3="00000000" w:csb0="0000019F" w:csb1="00000000"/>
  </w:font>
  <w:font w:name="TimesNewRomanPSMT">
    <w:altName w:val="MS Mincho"/>
    <w:panose1 w:val="00000000000000000000"/>
    <w:charset w:val="80"/>
    <w:family w:val="auto"/>
    <w:notTrueType/>
    <w:pitch w:val="default"/>
    <w:sig w:usb0="00000000" w:usb1="08070000" w:usb2="00000010" w:usb3="00000000" w:csb0="0002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37FD" w:rsidRPr="00720953" w:rsidRDefault="00D037FD">
    <w:pPr>
      <w:pStyle w:val="Stopka"/>
      <w:jc w:val="center"/>
      <w:rPr>
        <w:rFonts w:ascii="Arial" w:hAnsi="Arial" w:cs="Arial"/>
        <w:sz w:val="22"/>
        <w:szCs w:val="22"/>
      </w:rPr>
    </w:pPr>
  </w:p>
  <w:p w:rsidR="00D037FD" w:rsidRDefault="00D037FD">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37FD" w:rsidRDefault="00D037FD" w:rsidP="00720953">
      <w:r>
        <w:separator/>
      </w:r>
    </w:p>
  </w:footnote>
  <w:footnote w:type="continuationSeparator" w:id="0">
    <w:p w:rsidR="00D037FD" w:rsidRDefault="00D037FD" w:rsidP="0072095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1" w15:restartNumberingAfterBreak="0">
    <w:nsid w:val="00000003"/>
    <w:multiLevelType w:val="multilevel"/>
    <w:tmpl w:val="00000002"/>
    <w:lvl w:ilvl="0">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2" w15:restartNumberingAfterBreak="0">
    <w:nsid w:val="0000000B"/>
    <w:multiLevelType w:val="multilevel"/>
    <w:tmpl w:val="E9C26022"/>
    <w:lvl w:ilvl="0">
      <w:start w:val="1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18"/>
        <w:szCs w:val="18"/>
        <w:u w:val="none"/>
      </w:rPr>
    </w:lvl>
    <w:lvl w:ilvl="1">
      <w:start w:val="10"/>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18"/>
        <w:szCs w:val="18"/>
        <w:u w:val="none"/>
      </w:rPr>
    </w:lvl>
    <w:lvl w:ilvl="2">
      <w:start w:val="10"/>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18"/>
        <w:szCs w:val="18"/>
        <w:u w:val="none"/>
      </w:rPr>
    </w:lvl>
    <w:lvl w:ilvl="3">
      <w:start w:val="10"/>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18"/>
        <w:szCs w:val="18"/>
        <w:u w:val="none"/>
      </w:rPr>
    </w:lvl>
    <w:lvl w:ilvl="4">
      <w:start w:val="10"/>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18"/>
        <w:szCs w:val="18"/>
        <w:u w:val="none"/>
      </w:rPr>
    </w:lvl>
    <w:lvl w:ilvl="5">
      <w:start w:val="10"/>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18"/>
        <w:szCs w:val="18"/>
        <w:u w:val="none"/>
      </w:rPr>
    </w:lvl>
    <w:lvl w:ilvl="6">
      <w:start w:val="10"/>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18"/>
        <w:szCs w:val="18"/>
        <w:u w:val="none"/>
      </w:rPr>
    </w:lvl>
    <w:lvl w:ilvl="7">
      <w:start w:val="10"/>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18"/>
        <w:szCs w:val="18"/>
        <w:u w:val="none"/>
      </w:rPr>
    </w:lvl>
    <w:lvl w:ilvl="8">
      <w:start w:val="10"/>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18"/>
        <w:szCs w:val="18"/>
        <w:u w:val="none"/>
      </w:rPr>
    </w:lvl>
  </w:abstractNum>
  <w:abstractNum w:abstractNumId="3" w15:restartNumberingAfterBreak="0">
    <w:nsid w:val="0000000D"/>
    <w:multiLevelType w:val="multilevel"/>
    <w:tmpl w:val="0000000C"/>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4" w15:restartNumberingAfterBreak="0">
    <w:nsid w:val="0000000F"/>
    <w:multiLevelType w:val="multilevel"/>
    <w:tmpl w:val="0000000E"/>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5" w15:restartNumberingAfterBreak="0">
    <w:nsid w:val="00000011"/>
    <w:multiLevelType w:val="multilevel"/>
    <w:tmpl w:val="00000010"/>
    <w:lvl w:ilvl="0">
      <w:start w:val="3"/>
      <w:numFmt w:val="decimal"/>
      <w:lvlText w:val="1.%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3"/>
      <w:numFmt w:val="decimal"/>
      <w:lvlText w:val="1.%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3"/>
      <w:numFmt w:val="decimal"/>
      <w:lvlText w:val="1.%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3"/>
      <w:numFmt w:val="decimal"/>
      <w:lvlText w:val="1.%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3"/>
      <w:numFmt w:val="decimal"/>
      <w:lvlText w:val="1.%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3"/>
      <w:numFmt w:val="decimal"/>
      <w:lvlText w:val="1.%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3"/>
      <w:numFmt w:val="decimal"/>
      <w:lvlText w:val="1.%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3"/>
      <w:numFmt w:val="decimal"/>
      <w:lvlText w:val="1.%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3"/>
      <w:numFmt w:val="decimal"/>
      <w:lvlText w:val="1.%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6" w15:restartNumberingAfterBreak="0">
    <w:nsid w:val="0000001D"/>
    <w:multiLevelType w:val="multilevel"/>
    <w:tmpl w:val="71DC85D6"/>
    <w:lvl w:ilvl="0">
      <w:start w:val="2"/>
      <w:numFmt w:val="decimal"/>
      <w:lvlText w:val="1.%1."/>
      <w:lvlJc w:val="left"/>
      <w:rPr>
        <w:rFonts w:ascii="Times New Roman" w:hAnsi="Times New Roman" w:cs="Times New Roman"/>
        <w:b/>
        <w:bCs w:val="0"/>
        <w:i w:val="0"/>
        <w:iCs w:val="0"/>
        <w:smallCaps w:val="0"/>
        <w:strike w:val="0"/>
        <w:color w:val="000000"/>
        <w:spacing w:val="0"/>
        <w:w w:val="100"/>
        <w:position w:val="0"/>
        <w:sz w:val="18"/>
        <w:szCs w:val="18"/>
        <w:u w:val="none"/>
      </w:rPr>
    </w:lvl>
    <w:lvl w:ilvl="1">
      <w:start w:val="2"/>
      <w:numFmt w:val="decimal"/>
      <w:lvlText w:val="1.%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2"/>
      <w:numFmt w:val="decimal"/>
      <w:lvlText w:val="1.%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2"/>
      <w:numFmt w:val="decimal"/>
      <w:lvlText w:val="1.%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2"/>
      <w:numFmt w:val="decimal"/>
      <w:lvlText w:val="1.%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2"/>
      <w:numFmt w:val="decimal"/>
      <w:lvlText w:val="1.%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2"/>
      <w:numFmt w:val="decimal"/>
      <w:lvlText w:val="1.%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2"/>
      <w:numFmt w:val="decimal"/>
      <w:lvlText w:val="1.%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2"/>
      <w:numFmt w:val="decimal"/>
      <w:lvlText w:val="1.%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7" w15:restartNumberingAfterBreak="0">
    <w:nsid w:val="0000001F"/>
    <w:multiLevelType w:val="multilevel"/>
    <w:tmpl w:val="0000001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8" w15:restartNumberingAfterBreak="0">
    <w:nsid w:val="03AB5E7F"/>
    <w:multiLevelType w:val="hybridMultilevel"/>
    <w:tmpl w:val="C7245B32"/>
    <w:lvl w:ilvl="0" w:tplc="E5CC5B82">
      <w:start w:val="1"/>
      <w:numFmt w:val="decimal"/>
      <w:lvlText w:val="%1)"/>
      <w:lvlJc w:val="right"/>
      <w:pPr>
        <w:ind w:left="720" w:hanging="360"/>
      </w:pPr>
      <w:rPr>
        <w:rFonts w:ascii="Times New Roman" w:eastAsiaTheme="minorHAnsi"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4881714"/>
    <w:multiLevelType w:val="hybridMultilevel"/>
    <w:tmpl w:val="1E54E7EC"/>
    <w:lvl w:ilvl="0" w:tplc="AC98DE14">
      <w:start w:val="5"/>
      <w:numFmt w:val="decimal"/>
      <w:lvlText w:val="%1)"/>
      <w:lvlJc w:val="left"/>
      <w:pPr>
        <w:ind w:left="72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6830193"/>
    <w:multiLevelType w:val="hybridMultilevel"/>
    <w:tmpl w:val="EEC21832"/>
    <w:lvl w:ilvl="0" w:tplc="21309EC8">
      <w:start w:val="5"/>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134A3432"/>
    <w:multiLevelType w:val="hybridMultilevel"/>
    <w:tmpl w:val="73585F82"/>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151E469A"/>
    <w:multiLevelType w:val="multilevel"/>
    <w:tmpl w:val="AD0C382E"/>
    <w:lvl w:ilvl="0">
      <w:start w:val="1"/>
      <w:numFmt w:val="decimal"/>
      <w:lvlText w:val="%1)"/>
      <w:lvlJc w:val="right"/>
      <w:pPr>
        <w:ind w:left="720" w:hanging="360"/>
      </w:pPr>
      <w:rPr>
        <w:rFonts w:ascii="Times New Roman" w:eastAsia="Calibri" w:hAnsi="Times New Roman" w:cs="Times New Roman"/>
        <w:b w:val="0"/>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1EED16B6"/>
    <w:multiLevelType w:val="hybridMultilevel"/>
    <w:tmpl w:val="E16C8616"/>
    <w:lvl w:ilvl="0" w:tplc="61905DF4">
      <w:start w:val="1"/>
      <w:numFmt w:val="decimal"/>
      <w:lvlText w:val="%1."/>
      <w:lvlJc w:val="left"/>
      <w:pPr>
        <w:ind w:left="541" w:hanging="360"/>
      </w:pPr>
      <w:rPr>
        <w:rFonts w:hint="default"/>
      </w:rPr>
    </w:lvl>
    <w:lvl w:ilvl="1" w:tplc="04150019" w:tentative="1">
      <w:start w:val="1"/>
      <w:numFmt w:val="lowerLetter"/>
      <w:lvlText w:val="%2."/>
      <w:lvlJc w:val="left"/>
      <w:pPr>
        <w:ind w:left="1261" w:hanging="360"/>
      </w:pPr>
    </w:lvl>
    <w:lvl w:ilvl="2" w:tplc="0415001B" w:tentative="1">
      <w:start w:val="1"/>
      <w:numFmt w:val="lowerRoman"/>
      <w:lvlText w:val="%3."/>
      <w:lvlJc w:val="right"/>
      <w:pPr>
        <w:ind w:left="1981" w:hanging="180"/>
      </w:pPr>
    </w:lvl>
    <w:lvl w:ilvl="3" w:tplc="0415000F" w:tentative="1">
      <w:start w:val="1"/>
      <w:numFmt w:val="decimal"/>
      <w:lvlText w:val="%4."/>
      <w:lvlJc w:val="left"/>
      <w:pPr>
        <w:ind w:left="2701" w:hanging="360"/>
      </w:pPr>
    </w:lvl>
    <w:lvl w:ilvl="4" w:tplc="04150019" w:tentative="1">
      <w:start w:val="1"/>
      <w:numFmt w:val="lowerLetter"/>
      <w:lvlText w:val="%5."/>
      <w:lvlJc w:val="left"/>
      <w:pPr>
        <w:ind w:left="3421" w:hanging="360"/>
      </w:pPr>
    </w:lvl>
    <w:lvl w:ilvl="5" w:tplc="0415001B" w:tentative="1">
      <w:start w:val="1"/>
      <w:numFmt w:val="lowerRoman"/>
      <w:lvlText w:val="%6."/>
      <w:lvlJc w:val="right"/>
      <w:pPr>
        <w:ind w:left="4141" w:hanging="180"/>
      </w:pPr>
    </w:lvl>
    <w:lvl w:ilvl="6" w:tplc="0415000F" w:tentative="1">
      <w:start w:val="1"/>
      <w:numFmt w:val="decimal"/>
      <w:lvlText w:val="%7."/>
      <w:lvlJc w:val="left"/>
      <w:pPr>
        <w:ind w:left="4861" w:hanging="360"/>
      </w:pPr>
    </w:lvl>
    <w:lvl w:ilvl="7" w:tplc="04150019" w:tentative="1">
      <w:start w:val="1"/>
      <w:numFmt w:val="lowerLetter"/>
      <w:lvlText w:val="%8."/>
      <w:lvlJc w:val="left"/>
      <w:pPr>
        <w:ind w:left="5581" w:hanging="360"/>
      </w:pPr>
    </w:lvl>
    <w:lvl w:ilvl="8" w:tplc="0415001B" w:tentative="1">
      <w:start w:val="1"/>
      <w:numFmt w:val="lowerRoman"/>
      <w:lvlText w:val="%9."/>
      <w:lvlJc w:val="right"/>
      <w:pPr>
        <w:ind w:left="6301" w:hanging="180"/>
      </w:pPr>
    </w:lvl>
  </w:abstractNum>
  <w:abstractNum w:abstractNumId="14" w15:restartNumberingAfterBreak="0">
    <w:nsid w:val="221A719B"/>
    <w:multiLevelType w:val="hybridMultilevel"/>
    <w:tmpl w:val="327C2FAA"/>
    <w:lvl w:ilvl="0" w:tplc="3A30B5C4">
      <w:start w:val="1"/>
      <w:numFmt w:val="decimal"/>
      <w:lvlText w:val="%1)"/>
      <w:lvlJc w:val="left"/>
      <w:pPr>
        <w:ind w:left="720" w:hanging="360"/>
      </w:pPr>
      <w:rPr>
        <w:color w:val="auto"/>
        <w:sz w:val="20"/>
        <w:szCs w:val="20"/>
      </w:rPr>
    </w:lvl>
    <w:lvl w:ilvl="1" w:tplc="0738321C">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C57458C"/>
    <w:multiLevelType w:val="multilevel"/>
    <w:tmpl w:val="B7DAC820"/>
    <w:lvl w:ilvl="0">
      <w:start w:val="1"/>
      <w:numFmt w:val="decimal"/>
      <w:suff w:val="space"/>
      <w:lvlText w:val="%1."/>
      <w:lvlJc w:val="left"/>
      <w:pPr>
        <w:ind w:left="227" w:hanging="227"/>
      </w:pPr>
      <w:rPr>
        <w:rFonts w:ascii="Times New Roman" w:eastAsia="Times New Roman" w:hAnsi="Times New Roman" w:cs="Times New Roman"/>
        <w:b/>
      </w:rPr>
    </w:lvl>
    <w:lvl w:ilvl="1">
      <w:start w:val="1"/>
      <w:numFmt w:val="decimal"/>
      <w:suff w:val="space"/>
      <w:lvlText w:val="%1.%2."/>
      <w:lvlJc w:val="left"/>
      <w:pPr>
        <w:ind w:left="227" w:hanging="227"/>
      </w:pPr>
      <w:rPr>
        <w:rFonts w:hint="default"/>
        <w:b w:val="0"/>
      </w:rPr>
    </w:lvl>
    <w:lvl w:ilvl="2">
      <w:start w:val="1"/>
      <w:numFmt w:val="decimal"/>
      <w:suff w:val="space"/>
      <w:lvlText w:val="%3)"/>
      <w:lvlJc w:val="left"/>
      <w:pPr>
        <w:ind w:left="397" w:hanging="227"/>
      </w:pPr>
      <w:rPr>
        <w:rFonts w:hint="default"/>
      </w:rPr>
    </w:lvl>
    <w:lvl w:ilvl="3">
      <w:start w:val="1"/>
      <w:numFmt w:val="lowerLetter"/>
      <w:suff w:val="space"/>
      <w:lvlText w:val="%4)"/>
      <w:lvlJc w:val="left"/>
      <w:pPr>
        <w:ind w:left="567" w:hanging="227"/>
      </w:pPr>
      <w:rPr>
        <w:rFonts w:hint="default"/>
      </w:rPr>
    </w:lvl>
    <w:lvl w:ilvl="4">
      <w:start w:val="1"/>
      <w:numFmt w:val="bullet"/>
      <w:suff w:val="space"/>
      <w:lvlText w:val=""/>
      <w:lvlJc w:val="left"/>
      <w:pPr>
        <w:ind w:left="680" w:hanging="170"/>
      </w:pPr>
      <w:rPr>
        <w:rFonts w:ascii="Symbol" w:hAnsi="Symbol" w:hint="default"/>
      </w:rPr>
    </w:lvl>
    <w:lvl w:ilvl="5">
      <w:start w:val="1"/>
      <w:numFmt w:val="decimal"/>
      <w:lvlText w:val="%1.%2.%3.%4.%5.%6."/>
      <w:lvlJc w:val="left"/>
      <w:pPr>
        <w:ind w:left="2942" w:hanging="936"/>
      </w:pPr>
      <w:rPr>
        <w:rFonts w:hint="default"/>
      </w:rPr>
    </w:lvl>
    <w:lvl w:ilvl="6">
      <w:start w:val="1"/>
      <w:numFmt w:val="decimal"/>
      <w:lvlText w:val="%1.%2.%3.%4.%5.%6.%7."/>
      <w:lvlJc w:val="left"/>
      <w:pPr>
        <w:ind w:left="3446" w:hanging="1080"/>
      </w:pPr>
      <w:rPr>
        <w:rFonts w:hint="default"/>
      </w:rPr>
    </w:lvl>
    <w:lvl w:ilvl="7">
      <w:start w:val="1"/>
      <w:numFmt w:val="decimal"/>
      <w:lvlText w:val="%1.%2.%3.%4.%5.%6.%7.%8."/>
      <w:lvlJc w:val="left"/>
      <w:pPr>
        <w:ind w:left="3950" w:hanging="1224"/>
      </w:pPr>
      <w:rPr>
        <w:rFonts w:hint="default"/>
      </w:rPr>
    </w:lvl>
    <w:lvl w:ilvl="8">
      <w:start w:val="1"/>
      <w:numFmt w:val="decimal"/>
      <w:lvlText w:val="%1.%2.%3.%4.%5.%6.%7.%8.%9."/>
      <w:lvlJc w:val="left"/>
      <w:pPr>
        <w:ind w:left="4526" w:hanging="1440"/>
      </w:pPr>
      <w:rPr>
        <w:rFonts w:hint="default"/>
      </w:rPr>
    </w:lvl>
  </w:abstractNum>
  <w:abstractNum w:abstractNumId="16" w15:restartNumberingAfterBreak="0">
    <w:nsid w:val="33C67F12"/>
    <w:multiLevelType w:val="hybridMultilevel"/>
    <w:tmpl w:val="5D3AFC0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58325C0"/>
    <w:multiLevelType w:val="hybridMultilevel"/>
    <w:tmpl w:val="7AB058A2"/>
    <w:lvl w:ilvl="0" w:tplc="D5D6ED08">
      <w:start w:val="1"/>
      <w:numFmt w:val="decimal"/>
      <w:lvlText w:val="%1)"/>
      <w:lvlJc w:val="right"/>
      <w:pPr>
        <w:ind w:left="720" w:hanging="360"/>
      </w:pPr>
      <w:rPr>
        <w:rFonts w:ascii="Times New Roman" w:eastAsia="Times New Roman" w:hAnsi="Times New Roman" w:cs="Times New Roman"/>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BC3642A"/>
    <w:multiLevelType w:val="hybridMultilevel"/>
    <w:tmpl w:val="A762D9C6"/>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15:restartNumberingAfterBreak="0">
    <w:nsid w:val="3D3C6CFC"/>
    <w:multiLevelType w:val="multilevel"/>
    <w:tmpl w:val="B7DAC820"/>
    <w:lvl w:ilvl="0">
      <w:start w:val="1"/>
      <w:numFmt w:val="decimal"/>
      <w:suff w:val="space"/>
      <w:lvlText w:val="%1."/>
      <w:lvlJc w:val="left"/>
      <w:pPr>
        <w:ind w:left="227" w:hanging="227"/>
      </w:pPr>
      <w:rPr>
        <w:rFonts w:ascii="Times New Roman" w:eastAsia="Times New Roman" w:hAnsi="Times New Roman" w:cs="Times New Roman"/>
        <w:b/>
      </w:rPr>
    </w:lvl>
    <w:lvl w:ilvl="1">
      <w:start w:val="1"/>
      <w:numFmt w:val="decimal"/>
      <w:suff w:val="space"/>
      <w:lvlText w:val="%1.%2."/>
      <w:lvlJc w:val="left"/>
      <w:pPr>
        <w:ind w:left="227" w:hanging="227"/>
      </w:pPr>
      <w:rPr>
        <w:rFonts w:hint="default"/>
        <w:b w:val="0"/>
      </w:rPr>
    </w:lvl>
    <w:lvl w:ilvl="2">
      <w:start w:val="1"/>
      <w:numFmt w:val="decimal"/>
      <w:suff w:val="space"/>
      <w:lvlText w:val="%3)"/>
      <w:lvlJc w:val="left"/>
      <w:pPr>
        <w:ind w:left="397" w:hanging="227"/>
      </w:pPr>
      <w:rPr>
        <w:rFonts w:hint="default"/>
      </w:rPr>
    </w:lvl>
    <w:lvl w:ilvl="3">
      <w:start w:val="1"/>
      <w:numFmt w:val="lowerLetter"/>
      <w:suff w:val="space"/>
      <w:lvlText w:val="%4)"/>
      <w:lvlJc w:val="left"/>
      <w:pPr>
        <w:ind w:left="567" w:hanging="227"/>
      </w:pPr>
      <w:rPr>
        <w:rFonts w:hint="default"/>
      </w:rPr>
    </w:lvl>
    <w:lvl w:ilvl="4">
      <w:start w:val="1"/>
      <w:numFmt w:val="bullet"/>
      <w:suff w:val="space"/>
      <w:lvlText w:val=""/>
      <w:lvlJc w:val="left"/>
      <w:pPr>
        <w:ind w:left="680" w:hanging="170"/>
      </w:pPr>
      <w:rPr>
        <w:rFonts w:ascii="Symbol" w:hAnsi="Symbol" w:hint="default"/>
      </w:rPr>
    </w:lvl>
    <w:lvl w:ilvl="5">
      <w:start w:val="1"/>
      <w:numFmt w:val="decimal"/>
      <w:lvlText w:val="%1.%2.%3.%4.%5.%6."/>
      <w:lvlJc w:val="left"/>
      <w:pPr>
        <w:ind w:left="2942" w:hanging="936"/>
      </w:pPr>
      <w:rPr>
        <w:rFonts w:hint="default"/>
      </w:rPr>
    </w:lvl>
    <w:lvl w:ilvl="6">
      <w:start w:val="1"/>
      <w:numFmt w:val="decimal"/>
      <w:lvlText w:val="%1.%2.%3.%4.%5.%6.%7."/>
      <w:lvlJc w:val="left"/>
      <w:pPr>
        <w:ind w:left="3446" w:hanging="1080"/>
      </w:pPr>
      <w:rPr>
        <w:rFonts w:hint="default"/>
      </w:rPr>
    </w:lvl>
    <w:lvl w:ilvl="7">
      <w:start w:val="1"/>
      <w:numFmt w:val="decimal"/>
      <w:lvlText w:val="%1.%2.%3.%4.%5.%6.%7.%8."/>
      <w:lvlJc w:val="left"/>
      <w:pPr>
        <w:ind w:left="3950" w:hanging="1224"/>
      </w:pPr>
      <w:rPr>
        <w:rFonts w:hint="default"/>
      </w:rPr>
    </w:lvl>
    <w:lvl w:ilvl="8">
      <w:start w:val="1"/>
      <w:numFmt w:val="decimal"/>
      <w:lvlText w:val="%1.%2.%3.%4.%5.%6.%7.%8.%9."/>
      <w:lvlJc w:val="left"/>
      <w:pPr>
        <w:ind w:left="4526" w:hanging="1440"/>
      </w:pPr>
      <w:rPr>
        <w:rFonts w:hint="default"/>
      </w:rPr>
    </w:lvl>
  </w:abstractNum>
  <w:abstractNum w:abstractNumId="20" w15:restartNumberingAfterBreak="0">
    <w:nsid w:val="4D5D35CC"/>
    <w:multiLevelType w:val="multilevel"/>
    <w:tmpl w:val="CBE6EC2A"/>
    <w:lvl w:ilvl="0">
      <w:start w:val="4"/>
      <w:numFmt w:val="decimal"/>
      <w:suff w:val="space"/>
      <w:lvlText w:val="%1."/>
      <w:lvlJc w:val="left"/>
      <w:pPr>
        <w:ind w:left="227" w:hanging="227"/>
      </w:pPr>
      <w:rPr>
        <w:rFonts w:ascii="Times New Roman" w:eastAsia="Times New Roman" w:hAnsi="Times New Roman" w:cs="Times New Roman" w:hint="default"/>
        <w:b/>
      </w:rPr>
    </w:lvl>
    <w:lvl w:ilvl="1">
      <w:start w:val="1"/>
      <w:numFmt w:val="decimal"/>
      <w:suff w:val="space"/>
      <w:lvlText w:val="%1.%2."/>
      <w:lvlJc w:val="left"/>
      <w:pPr>
        <w:ind w:left="227" w:hanging="227"/>
      </w:pPr>
      <w:rPr>
        <w:rFonts w:hint="default"/>
        <w:b w:val="0"/>
      </w:rPr>
    </w:lvl>
    <w:lvl w:ilvl="2">
      <w:start w:val="1"/>
      <w:numFmt w:val="decimal"/>
      <w:suff w:val="space"/>
      <w:lvlText w:val="%3)"/>
      <w:lvlJc w:val="left"/>
      <w:pPr>
        <w:ind w:left="397" w:hanging="227"/>
      </w:pPr>
      <w:rPr>
        <w:rFonts w:hint="default"/>
      </w:rPr>
    </w:lvl>
    <w:lvl w:ilvl="3">
      <w:start w:val="1"/>
      <w:numFmt w:val="lowerLetter"/>
      <w:suff w:val="space"/>
      <w:lvlText w:val="%4)"/>
      <w:lvlJc w:val="left"/>
      <w:pPr>
        <w:ind w:left="567" w:hanging="227"/>
      </w:pPr>
      <w:rPr>
        <w:rFonts w:hint="default"/>
      </w:rPr>
    </w:lvl>
    <w:lvl w:ilvl="4">
      <w:start w:val="1"/>
      <w:numFmt w:val="bullet"/>
      <w:suff w:val="space"/>
      <w:lvlText w:val=""/>
      <w:lvlJc w:val="left"/>
      <w:pPr>
        <w:ind w:left="680" w:hanging="170"/>
      </w:pPr>
      <w:rPr>
        <w:rFonts w:ascii="Symbol" w:hAnsi="Symbol" w:hint="default"/>
      </w:rPr>
    </w:lvl>
    <w:lvl w:ilvl="5">
      <w:start w:val="1"/>
      <w:numFmt w:val="decimal"/>
      <w:lvlText w:val="%1.%2.%3.%4.%5.%6."/>
      <w:lvlJc w:val="left"/>
      <w:pPr>
        <w:ind w:left="2942" w:hanging="936"/>
      </w:pPr>
      <w:rPr>
        <w:rFonts w:hint="default"/>
      </w:rPr>
    </w:lvl>
    <w:lvl w:ilvl="6">
      <w:start w:val="1"/>
      <w:numFmt w:val="decimal"/>
      <w:lvlText w:val="%1.%2.%3.%4.%5.%6.%7."/>
      <w:lvlJc w:val="left"/>
      <w:pPr>
        <w:ind w:left="3446" w:hanging="1080"/>
      </w:pPr>
      <w:rPr>
        <w:rFonts w:hint="default"/>
      </w:rPr>
    </w:lvl>
    <w:lvl w:ilvl="7">
      <w:start w:val="1"/>
      <w:numFmt w:val="decimal"/>
      <w:lvlText w:val="%1.%2.%3.%4.%5.%6.%7.%8."/>
      <w:lvlJc w:val="left"/>
      <w:pPr>
        <w:ind w:left="3950" w:hanging="1224"/>
      </w:pPr>
      <w:rPr>
        <w:rFonts w:hint="default"/>
      </w:rPr>
    </w:lvl>
    <w:lvl w:ilvl="8">
      <w:start w:val="1"/>
      <w:numFmt w:val="decimal"/>
      <w:lvlText w:val="%1.%2.%3.%4.%5.%6.%7.%8.%9."/>
      <w:lvlJc w:val="left"/>
      <w:pPr>
        <w:ind w:left="4526" w:hanging="1440"/>
      </w:pPr>
      <w:rPr>
        <w:rFonts w:hint="default"/>
      </w:rPr>
    </w:lvl>
  </w:abstractNum>
  <w:abstractNum w:abstractNumId="21" w15:restartNumberingAfterBreak="0">
    <w:nsid w:val="4F233FD8"/>
    <w:multiLevelType w:val="multilevel"/>
    <w:tmpl w:val="E320DC8C"/>
    <w:lvl w:ilvl="0">
      <w:start w:val="8"/>
      <w:numFmt w:val="decimal"/>
      <w:lvlText w:val="%1."/>
      <w:lvlJc w:val="left"/>
      <w:pPr>
        <w:ind w:left="360" w:hanging="360"/>
      </w:pPr>
      <w:rPr>
        <w:rFonts w:hint="default"/>
      </w:rPr>
    </w:lvl>
    <w:lvl w:ilvl="1">
      <w:start w:val="2"/>
      <w:numFmt w:val="decimal"/>
      <w:lvlText w:val="%1.%2."/>
      <w:lvlJc w:val="left"/>
      <w:pPr>
        <w:ind w:left="389" w:hanging="360"/>
      </w:pPr>
      <w:rPr>
        <w:rFonts w:hint="default"/>
      </w:rPr>
    </w:lvl>
    <w:lvl w:ilvl="2">
      <w:start w:val="1"/>
      <w:numFmt w:val="decimal"/>
      <w:lvlText w:val="%1.%2.%3."/>
      <w:lvlJc w:val="left"/>
      <w:pPr>
        <w:ind w:left="778" w:hanging="720"/>
      </w:pPr>
      <w:rPr>
        <w:rFonts w:hint="default"/>
      </w:rPr>
    </w:lvl>
    <w:lvl w:ilvl="3">
      <w:start w:val="1"/>
      <w:numFmt w:val="decimal"/>
      <w:lvlText w:val="%1.%2.%3.%4."/>
      <w:lvlJc w:val="left"/>
      <w:pPr>
        <w:ind w:left="807" w:hanging="720"/>
      </w:pPr>
      <w:rPr>
        <w:rFonts w:hint="default"/>
      </w:rPr>
    </w:lvl>
    <w:lvl w:ilvl="4">
      <w:start w:val="1"/>
      <w:numFmt w:val="decimal"/>
      <w:lvlText w:val="%1.%2.%3.%4.%5."/>
      <w:lvlJc w:val="left"/>
      <w:pPr>
        <w:ind w:left="1196" w:hanging="1080"/>
      </w:pPr>
      <w:rPr>
        <w:rFonts w:hint="default"/>
      </w:rPr>
    </w:lvl>
    <w:lvl w:ilvl="5">
      <w:start w:val="1"/>
      <w:numFmt w:val="decimal"/>
      <w:lvlText w:val="%1.%2.%3.%4.%5.%6."/>
      <w:lvlJc w:val="left"/>
      <w:pPr>
        <w:ind w:left="1225" w:hanging="1080"/>
      </w:pPr>
      <w:rPr>
        <w:rFonts w:hint="default"/>
      </w:rPr>
    </w:lvl>
    <w:lvl w:ilvl="6">
      <w:start w:val="1"/>
      <w:numFmt w:val="decimal"/>
      <w:lvlText w:val="%1.%2.%3.%4.%5.%6.%7."/>
      <w:lvlJc w:val="left"/>
      <w:pPr>
        <w:ind w:left="1254" w:hanging="1080"/>
      </w:pPr>
      <w:rPr>
        <w:rFonts w:hint="default"/>
      </w:rPr>
    </w:lvl>
    <w:lvl w:ilvl="7">
      <w:start w:val="1"/>
      <w:numFmt w:val="decimal"/>
      <w:lvlText w:val="%1.%2.%3.%4.%5.%6.%7.%8."/>
      <w:lvlJc w:val="left"/>
      <w:pPr>
        <w:ind w:left="1643" w:hanging="1440"/>
      </w:pPr>
      <w:rPr>
        <w:rFonts w:hint="default"/>
      </w:rPr>
    </w:lvl>
    <w:lvl w:ilvl="8">
      <w:start w:val="1"/>
      <w:numFmt w:val="decimal"/>
      <w:lvlText w:val="%1.%2.%3.%4.%5.%6.%7.%8.%9."/>
      <w:lvlJc w:val="left"/>
      <w:pPr>
        <w:ind w:left="1672" w:hanging="1440"/>
      </w:pPr>
      <w:rPr>
        <w:rFonts w:hint="default"/>
      </w:rPr>
    </w:lvl>
  </w:abstractNum>
  <w:abstractNum w:abstractNumId="22" w15:restartNumberingAfterBreak="0">
    <w:nsid w:val="53D42ECB"/>
    <w:multiLevelType w:val="multilevel"/>
    <w:tmpl w:val="B7DAC820"/>
    <w:lvl w:ilvl="0">
      <w:start w:val="1"/>
      <w:numFmt w:val="decimal"/>
      <w:suff w:val="space"/>
      <w:lvlText w:val="%1."/>
      <w:lvlJc w:val="left"/>
      <w:pPr>
        <w:ind w:left="227" w:hanging="227"/>
      </w:pPr>
      <w:rPr>
        <w:rFonts w:ascii="Times New Roman" w:eastAsia="Times New Roman" w:hAnsi="Times New Roman" w:cs="Times New Roman"/>
        <w:b/>
      </w:rPr>
    </w:lvl>
    <w:lvl w:ilvl="1">
      <w:start w:val="1"/>
      <w:numFmt w:val="decimal"/>
      <w:suff w:val="space"/>
      <w:lvlText w:val="%1.%2."/>
      <w:lvlJc w:val="left"/>
      <w:pPr>
        <w:ind w:left="227" w:hanging="227"/>
      </w:pPr>
      <w:rPr>
        <w:rFonts w:hint="default"/>
        <w:b w:val="0"/>
      </w:rPr>
    </w:lvl>
    <w:lvl w:ilvl="2">
      <w:start w:val="1"/>
      <w:numFmt w:val="decimal"/>
      <w:suff w:val="space"/>
      <w:lvlText w:val="%3)"/>
      <w:lvlJc w:val="left"/>
      <w:pPr>
        <w:ind w:left="397" w:hanging="227"/>
      </w:pPr>
      <w:rPr>
        <w:rFonts w:hint="default"/>
      </w:rPr>
    </w:lvl>
    <w:lvl w:ilvl="3">
      <w:start w:val="1"/>
      <w:numFmt w:val="lowerLetter"/>
      <w:suff w:val="space"/>
      <w:lvlText w:val="%4)"/>
      <w:lvlJc w:val="left"/>
      <w:pPr>
        <w:ind w:left="567" w:hanging="227"/>
      </w:pPr>
      <w:rPr>
        <w:rFonts w:hint="default"/>
      </w:rPr>
    </w:lvl>
    <w:lvl w:ilvl="4">
      <w:start w:val="1"/>
      <w:numFmt w:val="bullet"/>
      <w:suff w:val="space"/>
      <w:lvlText w:val=""/>
      <w:lvlJc w:val="left"/>
      <w:pPr>
        <w:ind w:left="680" w:hanging="170"/>
      </w:pPr>
      <w:rPr>
        <w:rFonts w:ascii="Symbol" w:hAnsi="Symbol" w:hint="default"/>
      </w:rPr>
    </w:lvl>
    <w:lvl w:ilvl="5">
      <w:start w:val="1"/>
      <w:numFmt w:val="decimal"/>
      <w:lvlText w:val="%1.%2.%3.%4.%5.%6."/>
      <w:lvlJc w:val="left"/>
      <w:pPr>
        <w:ind w:left="2942" w:hanging="936"/>
      </w:pPr>
      <w:rPr>
        <w:rFonts w:hint="default"/>
      </w:rPr>
    </w:lvl>
    <w:lvl w:ilvl="6">
      <w:start w:val="1"/>
      <w:numFmt w:val="decimal"/>
      <w:lvlText w:val="%1.%2.%3.%4.%5.%6.%7."/>
      <w:lvlJc w:val="left"/>
      <w:pPr>
        <w:ind w:left="3446" w:hanging="1080"/>
      </w:pPr>
      <w:rPr>
        <w:rFonts w:hint="default"/>
      </w:rPr>
    </w:lvl>
    <w:lvl w:ilvl="7">
      <w:start w:val="1"/>
      <w:numFmt w:val="decimal"/>
      <w:lvlText w:val="%1.%2.%3.%4.%5.%6.%7.%8."/>
      <w:lvlJc w:val="left"/>
      <w:pPr>
        <w:ind w:left="3950" w:hanging="1224"/>
      </w:pPr>
      <w:rPr>
        <w:rFonts w:hint="default"/>
      </w:rPr>
    </w:lvl>
    <w:lvl w:ilvl="8">
      <w:start w:val="1"/>
      <w:numFmt w:val="decimal"/>
      <w:lvlText w:val="%1.%2.%3.%4.%5.%6.%7.%8.%9."/>
      <w:lvlJc w:val="left"/>
      <w:pPr>
        <w:ind w:left="4526" w:hanging="1440"/>
      </w:pPr>
      <w:rPr>
        <w:rFonts w:hint="default"/>
      </w:rPr>
    </w:lvl>
  </w:abstractNum>
  <w:abstractNum w:abstractNumId="23" w15:restartNumberingAfterBreak="0">
    <w:nsid w:val="53EE1054"/>
    <w:multiLevelType w:val="multilevel"/>
    <w:tmpl w:val="319A34FA"/>
    <w:lvl w:ilvl="0">
      <w:start w:val="1"/>
      <w:numFmt w:val="decimal"/>
      <w:suff w:val="space"/>
      <w:lvlText w:val="%1."/>
      <w:lvlJc w:val="left"/>
      <w:pPr>
        <w:ind w:left="227" w:hanging="227"/>
      </w:pPr>
      <w:rPr>
        <w:rFonts w:ascii="Times New Roman" w:eastAsia="Times New Roman" w:hAnsi="Times New Roman" w:cs="Times New Roman" w:hint="default"/>
        <w:b/>
      </w:rPr>
    </w:lvl>
    <w:lvl w:ilvl="1">
      <w:start w:val="1"/>
      <w:numFmt w:val="decimal"/>
      <w:suff w:val="space"/>
      <w:lvlText w:val="%1.%2."/>
      <w:lvlJc w:val="left"/>
      <w:pPr>
        <w:ind w:left="227" w:hanging="227"/>
      </w:pPr>
      <w:rPr>
        <w:rFonts w:hint="default"/>
        <w:b w:val="0"/>
      </w:rPr>
    </w:lvl>
    <w:lvl w:ilvl="2">
      <w:start w:val="19"/>
      <w:numFmt w:val="decimal"/>
      <w:suff w:val="space"/>
      <w:lvlText w:val="%3)"/>
      <w:lvlJc w:val="left"/>
      <w:pPr>
        <w:ind w:left="397" w:hanging="227"/>
      </w:pPr>
      <w:rPr>
        <w:rFonts w:hint="default"/>
      </w:rPr>
    </w:lvl>
    <w:lvl w:ilvl="3">
      <w:start w:val="1"/>
      <w:numFmt w:val="lowerLetter"/>
      <w:suff w:val="space"/>
      <w:lvlText w:val="%4)"/>
      <w:lvlJc w:val="left"/>
      <w:pPr>
        <w:ind w:left="567" w:hanging="227"/>
      </w:pPr>
      <w:rPr>
        <w:rFonts w:hint="default"/>
      </w:rPr>
    </w:lvl>
    <w:lvl w:ilvl="4">
      <w:start w:val="1"/>
      <w:numFmt w:val="bullet"/>
      <w:suff w:val="space"/>
      <w:lvlText w:val=""/>
      <w:lvlJc w:val="left"/>
      <w:pPr>
        <w:ind w:left="680" w:hanging="170"/>
      </w:pPr>
      <w:rPr>
        <w:rFonts w:ascii="Symbol" w:hAnsi="Symbol" w:hint="default"/>
      </w:rPr>
    </w:lvl>
    <w:lvl w:ilvl="5">
      <w:start w:val="1"/>
      <w:numFmt w:val="decimal"/>
      <w:lvlText w:val="%1.%2.%3.%4.%5.%6."/>
      <w:lvlJc w:val="left"/>
      <w:pPr>
        <w:ind w:left="2942" w:hanging="936"/>
      </w:pPr>
      <w:rPr>
        <w:rFonts w:hint="default"/>
      </w:rPr>
    </w:lvl>
    <w:lvl w:ilvl="6">
      <w:start w:val="1"/>
      <w:numFmt w:val="decimal"/>
      <w:lvlText w:val="%1.%2.%3.%4.%5.%6.%7."/>
      <w:lvlJc w:val="left"/>
      <w:pPr>
        <w:ind w:left="3446" w:hanging="1080"/>
      </w:pPr>
      <w:rPr>
        <w:rFonts w:hint="default"/>
      </w:rPr>
    </w:lvl>
    <w:lvl w:ilvl="7">
      <w:start w:val="1"/>
      <w:numFmt w:val="decimal"/>
      <w:lvlText w:val="%1.%2.%3.%4.%5.%6.%7.%8."/>
      <w:lvlJc w:val="left"/>
      <w:pPr>
        <w:ind w:left="3950" w:hanging="1224"/>
      </w:pPr>
      <w:rPr>
        <w:rFonts w:hint="default"/>
      </w:rPr>
    </w:lvl>
    <w:lvl w:ilvl="8">
      <w:start w:val="1"/>
      <w:numFmt w:val="decimal"/>
      <w:lvlText w:val="%1.%2.%3.%4.%5.%6.%7.%8.%9."/>
      <w:lvlJc w:val="left"/>
      <w:pPr>
        <w:ind w:left="4526" w:hanging="1440"/>
      </w:pPr>
      <w:rPr>
        <w:rFonts w:hint="default"/>
      </w:rPr>
    </w:lvl>
  </w:abstractNum>
  <w:abstractNum w:abstractNumId="24" w15:restartNumberingAfterBreak="0">
    <w:nsid w:val="54FC052A"/>
    <w:multiLevelType w:val="hybridMultilevel"/>
    <w:tmpl w:val="1BC22E7A"/>
    <w:lvl w:ilvl="0" w:tplc="8206BDD4">
      <w:start w:val="1"/>
      <w:numFmt w:val="decimal"/>
      <w:lvlText w:val="%1)"/>
      <w:lvlJc w:val="left"/>
      <w:pPr>
        <w:ind w:left="502" w:hanging="360"/>
      </w:pPr>
      <w:rPr>
        <w:rFonts w:ascii="Times New Roman" w:eastAsia="Times New Roman" w:hAnsi="Times New Roman" w:cs="Times New Roman"/>
        <w:b w:val="0"/>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25" w15:restartNumberingAfterBreak="0">
    <w:nsid w:val="5D9D1BDB"/>
    <w:multiLevelType w:val="hybridMultilevel"/>
    <w:tmpl w:val="92C4EB3A"/>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60612373"/>
    <w:multiLevelType w:val="multilevel"/>
    <w:tmpl w:val="CBE6EC2A"/>
    <w:lvl w:ilvl="0">
      <w:start w:val="4"/>
      <w:numFmt w:val="decimal"/>
      <w:suff w:val="space"/>
      <w:lvlText w:val="%1."/>
      <w:lvlJc w:val="left"/>
      <w:pPr>
        <w:ind w:left="227" w:hanging="227"/>
      </w:pPr>
      <w:rPr>
        <w:rFonts w:ascii="Times New Roman" w:eastAsia="Times New Roman" w:hAnsi="Times New Roman" w:cs="Times New Roman" w:hint="default"/>
        <w:b/>
      </w:rPr>
    </w:lvl>
    <w:lvl w:ilvl="1">
      <w:start w:val="1"/>
      <w:numFmt w:val="decimal"/>
      <w:suff w:val="space"/>
      <w:lvlText w:val="%1.%2."/>
      <w:lvlJc w:val="left"/>
      <w:pPr>
        <w:ind w:left="227" w:hanging="227"/>
      </w:pPr>
      <w:rPr>
        <w:rFonts w:hint="default"/>
        <w:b w:val="0"/>
      </w:rPr>
    </w:lvl>
    <w:lvl w:ilvl="2">
      <w:start w:val="1"/>
      <w:numFmt w:val="decimal"/>
      <w:suff w:val="space"/>
      <w:lvlText w:val="%3)"/>
      <w:lvlJc w:val="left"/>
      <w:pPr>
        <w:ind w:left="397" w:hanging="227"/>
      </w:pPr>
      <w:rPr>
        <w:rFonts w:hint="default"/>
      </w:rPr>
    </w:lvl>
    <w:lvl w:ilvl="3">
      <w:start w:val="1"/>
      <w:numFmt w:val="lowerLetter"/>
      <w:suff w:val="space"/>
      <w:lvlText w:val="%4)"/>
      <w:lvlJc w:val="left"/>
      <w:pPr>
        <w:ind w:left="567" w:hanging="227"/>
      </w:pPr>
      <w:rPr>
        <w:rFonts w:hint="default"/>
      </w:rPr>
    </w:lvl>
    <w:lvl w:ilvl="4">
      <w:start w:val="1"/>
      <w:numFmt w:val="bullet"/>
      <w:suff w:val="space"/>
      <w:lvlText w:val=""/>
      <w:lvlJc w:val="left"/>
      <w:pPr>
        <w:ind w:left="680" w:hanging="170"/>
      </w:pPr>
      <w:rPr>
        <w:rFonts w:ascii="Symbol" w:hAnsi="Symbol" w:hint="default"/>
      </w:rPr>
    </w:lvl>
    <w:lvl w:ilvl="5">
      <w:start w:val="1"/>
      <w:numFmt w:val="decimal"/>
      <w:lvlText w:val="%1.%2.%3.%4.%5.%6."/>
      <w:lvlJc w:val="left"/>
      <w:pPr>
        <w:ind w:left="2942" w:hanging="936"/>
      </w:pPr>
      <w:rPr>
        <w:rFonts w:hint="default"/>
      </w:rPr>
    </w:lvl>
    <w:lvl w:ilvl="6">
      <w:start w:val="1"/>
      <w:numFmt w:val="decimal"/>
      <w:lvlText w:val="%1.%2.%3.%4.%5.%6.%7."/>
      <w:lvlJc w:val="left"/>
      <w:pPr>
        <w:ind w:left="3446" w:hanging="1080"/>
      </w:pPr>
      <w:rPr>
        <w:rFonts w:hint="default"/>
      </w:rPr>
    </w:lvl>
    <w:lvl w:ilvl="7">
      <w:start w:val="1"/>
      <w:numFmt w:val="decimal"/>
      <w:lvlText w:val="%1.%2.%3.%4.%5.%6.%7.%8."/>
      <w:lvlJc w:val="left"/>
      <w:pPr>
        <w:ind w:left="3950" w:hanging="1224"/>
      </w:pPr>
      <w:rPr>
        <w:rFonts w:hint="default"/>
      </w:rPr>
    </w:lvl>
    <w:lvl w:ilvl="8">
      <w:start w:val="1"/>
      <w:numFmt w:val="decimal"/>
      <w:lvlText w:val="%1.%2.%3.%4.%5.%6.%7.%8.%9."/>
      <w:lvlJc w:val="left"/>
      <w:pPr>
        <w:ind w:left="4526" w:hanging="1440"/>
      </w:pPr>
      <w:rPr>
        <w:rFonts w:hint="default"/>
      </w:rPr>
    </w:lvl>
  </w:abstractNum>
  <w:abstractNum w:abstractNumId="27" w15:restartNumberingAfterBreak="0">
    <w:nsid w:val="630F05EC"/>
    <w:multiLevelType w:val="multilevel"/>
    <w:tmpl w:val="BCBE603E"/>
    <w:lvl w:ilvl="0">
      <w:start w:val="8"/>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080" w:hanging="108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28" w15:restartNumberingAfterBreak="0">
    <w:nsid w:val="65552F03"/>
    <w:multiLevelType w:val="multilevel"/>
    <w:tmpl w:val="E8FE1408"/>
    <w:lvl w:ilvl="0">
      <w:start w:val="1"/>
      <w:numFmt w:val="decimal"/>
      <w:suff w:val="space"/>
      <w:lvlText w:val="%1."/>
      <w:lvlJc w:val="left"/>
      <w:pPr>
        <w:ind w:left="227" w:hanging="227"/>
      </w:pPr>
      <w:rPr>
        <w:rFonts w:ascii="Times New Roman" w:eastAsia="Times New Roman" w:hAnsi="Times New Roman" w:cs="Times New Roman" w:hint="default"/>
        <w:b/>
      </w:rPr>
    </w:lvl>
    <w:lvl w:ilvl="1">
      <w:start w:val="1"/>
      <w:numFmt w:val="decimal"/>
      <w:suff w:val="space"/>
      <w:lvlText w:val="%1.%2."/>
      <w:lvlJc w:val="left"/>
      <w:pPr>
        <w:ind w:left="227" w:hanging="227"/>
      </w:pPr>
      <w:rPr>
        <w:rFonts w:hint="default"/>
        <w:b w:val="0"/>
      </w:rPr>
    </w:lvl>
    <w:lvl w:ilvl="2">
      <w:start w:val="22"/>
      <w:numFmt w:val="decimal"/>
      <w:suff w:val="space"/>
      <w:lvlText w:val="%3)"/>
      <w:lvlJc w:val="left"/>
      <w:pPr>
        <w:ind w:left="397" w:hanging="227"/>
      </w:pPr>
      <w:rPr>
        <w:rFonts w:hint="default"/>
      </w:rPr>
    </w:lvl>
    <w:lvl w:ilvl="3">
      <w:start w:val="1"/>
      <w:numFmt w:val="lowerLetter"/>
      <w:suff w:val="space"/>
      <w:lvlText w:val="%4)"/>
      <w:lvlJc w:val="left"/>
      <w:pPr>
        <w:ind w:left="567" w:hanging="227"/>
      </w:pPr>
      <w:rPr>
        <w:rFonts w:hint="default"/>
      </w:rPr>
    </w:lvl>
    <w:lvl w:ilvl="4">
      <w:start w:val="1"/>
      <w:numFmt w:val="bullet"/>
      <w:suff w:val="space"/>
      <w:lvlText w:val=""/>
      <w:lvlJc w:val="left"/>
      <w:pPr>
        <w:ind w:left="680" w:hanging="170"/>
      </w:pPr>
      <w:rPr>
        <w:rFonts w:ascii="Symbol" w:hAnsi="Symbol" w:hint="default"/>
      </w:rPr>
    </w:lvl>
    <w:lvl w:ilvl="5">
      <w:start w:val="1"/>
      <w:numFmt w:val="decimal"/>
      <w:lvlText w:val="%1.%2.%3.%4.%5.%6."/>
      <w:lvlJc w:val="left"/>
      <w:pPr>
        <w:ind w:left="2942" w:hanging="936"/>
      </w:pPr>
      <w:rPr>
        <w:rFonts w:hint="default"/>
      </w:rPr>
    </w:lvl>
    <w:lvl w:ilvl="6">
      <w:start w:val="1"/>
      <w:numFmt w:val="decimal"/>
      <w:lvlText w:val="%1.%2.%3.%4.%5.%6.%7."/>
      <w:lvlJc w:val="left"/>
      <w:pPr>
        <w:ind w:left="3446" w:hanging="1080"/>
      </w:pPr>
      <w:rPr>
        <w:rFonts w:hint="default"/>
      </w:rPr>
    </w:lvl>
    <w:lvl w:ilvl="7">
      <w:start w:val="1"/>
      <w:numFmt w:val="decimal"/>
      <w:lvlText w:val="%1.%2.%3.%4.%5.%6.%7.%8."/>
      <w:lvlJc w:val="left"/>
      <w:pPr>
        <w:ind w:left="3950" w:hanging="1224"/>
      </w:pPr>
      <w:rPr>
        <w:rFonts w:hint="default"/>
      </w:rPr>
    </w:lvl>
    <w:lvl w:ilvl="8">
      <w:start w:val="1"/>
      <w:numFmt w:val="decimal"/>
      <w:lvlText w:val="%1.%2.%3.%4.%5.%6.%7.%8.%9."/>
      <w:lvlJc w:val="left"/>
      <w:pPr>
        <w:ind w:left="4526" w:hanging="1440"/>
      </w:pPr>
      <w:rPr>
        <w:rFonts w:hint="default"/>
      </w:rPr>
    </w:lvl>
  </w:abstractNum>
  <w:abstractNum w:abstractNumId="29" w15:restartNumberingAfterBreak="0">
    <w:nsid w:val="671565F4"/>
    <w:multiLevelType w:val="hybridMultilevel"/>
    <w:tmpl w:val="1AD83B02"/>
    <w:lvl w:ilvl="0" w:tplc="CFF6CF30">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30" w15:restartNumberingAfterBreak="0">
    <w:nsid w:val="6AA517AD"/>
    <w:multiLevelType w:val="multilevel"/>
    <w:tmpl w:val="360827BC"/>
    <w:lvl w:ilvl="0">
      <w:start w:val="1"/>
      <w:numFmt w:val="decimal"/>
      <w:suff w:val="space"/>
      <w:lvlText w:val="%1."/>
      <w:lvlJc w:val="left"/>
      <w:pPr>
        <w:ind w:left="227" w:hanging="227"/>
      </w:pPr>
      <w:rPr>
        <w:rFonts w:ascii="Times New Roman" w:eastAsia="Times New Roman" w:hAnsi="Times New Roman" w:cs="Times New Roman"/>
        <w:b/>
      </w:rPr>
    </w:lvl>
    <w:lvl w:ilvl="1">
      <w:start w:val="1"/>
      <w:numFmt w:val="decimal"/>
      <w:suff w:val="space"/>
      <w:lvlText w:val="%1.%2."/>
      <w:lvlJc w:val="left"/>
      <w:pPr>
        <w:ind w:left="227" w:hanging="227"/>
      </w:pPr>
      <w:rPr>
        <w:rFonts w:hint="default"/>
        <w:b/>
      </w:rPr>
    </w:lvl>
    <w:lvl w:ilvl="2">
      <w:start w:val="1"/>
      <w:numFmt w:val="decimal"/>
      <w:suff w:val="space"/>
      <w:lvlText w:val="%3)"/>
      <w:lvlJc w:val="left"/>
      <w:pPr>
        <w:ind w:left="397" w:hanging="227"/>
      </w:pPr>
      <w:rPr>
        <w:rFonts w:hint="default"/>
      </w:rPr>
    </w:lvl>
    <w:lvl w:ilvl="3">
      <w:start w:val="1"/>
      <w:numFmt w:val="lowerLetter"/>
      <w:suff w:val="space"/>
      <w:lvlText w:val="%4)"/>
      <w:lvlJc w:val="left"/>
      <w:pPr>
        <w:ind w:left="567" w:hanging="227"/>
      </w:pPr>
      <w:rPr>
        <w:rFonts w:hint="default"/>
      </w:rPr>
    </w:lvl>
    <w:lvl w:ilvl="4">
      <w:start w:val="1"/>
      <w:numFmt w:val="bullet"/>
      <w:suff w:val="space"/>
      <w:lvlText w:val=""/>
      <w:lvlJc w:val="left"/>
      <w:pPr>
        <w:ind w:left="680" w:hanging="170"/>
      </w:pPr>
      <w:rPr>
        <w:rFonts w:ascii="Symbol" w:hAnsi="Symbol" w:hint="default"/>
      </w:rPr>
    </w:lvl>
    <w:lvl w:ilvl="5">
      <w:start w:val="1"/>
      <w:numFmt w:val="decimal"/>
      <w:lvlText w:val="%1.%2.%3.%4.%5.%6."/>
      <w:lvlJc w:val="left"/>
      <w:pPr>
        <w:ind w:left="2942" w:hanging="936"/>
      </w:pPr>
      <w:rPr>
        <w:rFonts w:hint="default"/>
      </w:rPr>
    </w:lvl>
    <w:lvl w:ilvl="6">
      <w:start w:val="1"/>
      <w:numFmt w:val="decimal"/>
      <w:lvlText w:val="%1.%2.%3.%4.%5.%6.%7."/>
      <w:lvlJc w:val="left"/>
      <w:pPr>
        <w:ind w:left="3446" w:hanging="1080"/>
      </w:pPr>
      <w:rPr>
        <w:rFonts w:hint="default"/>
      </w:rPr>
    </w:lvl>
    <w:lvl w:ilvl="7">
      <w:start w:val="1"/>
      <w:numFmt w:val="decimal"/>
      <w:lvlText w:val="%1.%2.%3.%4.%5.%6.%7.%8."/>
      <w:lvlJc w:val="left"/>
      <w:pPr>
        <w:ind w:left="3950" w:hanging="1224"/>
      </w:pPr>
      <w:rPr>
        <w:rFonts w:hint="default"/>
      </w:rPr>
    </w:lvl>
    <w:lvl w:ilvl="8">
      <w:start w:val="1"/>
      <w:numFmt w:val="decimal"/>
      <w:lvlText w:val="%1.%2.%3.%4.%5.%6.%7.%8.%9."/>
      <w:lvlJc w:val="left"/>
      <w:pPr>
        <w:ind w:left="4526" w:hanging="1440"/>
      </w:pPr>
      <w:rPr>
        <w:rFonts w:hint="default"/>
      </w:rPr>
    </w:lvl>
  </w:abstractNum>
  <w:abstractNum w:abstractNumId="31" w15:restartNumberingAfterBreak="0">
    <w:nsid w:val="6C932116"/>
    <w:multiLevelType w:val="hybridMultilevel"/>
    <w:tmpl w:val="0ACCB3C6"/>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721D0684"/>
    <w:multiLevelType w:val="hybridMultilevel"/>
    <w:tmpl w:val="E2488E42"/>
    <w:lvl w:ilvl="0" w:tplc="0ED8B7A2">
      <w:start w:val="1"/>
      <w:numFmt w:val="decimal"/>
      <w:lvlText w:val="%1)"/>
      <w:lvlJc w:val="righ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74B77386"/>
    <w:multiLevelType w:val="hybridMultilevel"/>
    <w:tmpl w:val="CBD68E2E"/>
    <w:lvl w:ilvl="0" w:tplc="ECC85216">
      <w:start w:val="1"/>
      <w:numFmt w:val="decimal"/>
      <w:lvlText w:val="%1)"/>
      <w:lvlJc w:val="right"/>
      <w:pPr>
        <w:ind w:left="720" w:hanging="360"/>
      </w:pPr>
      <w:rPr>
        <w:rFonts w:ascii="Times New Roman" w:eastAsia="Times New Roman" w:hAnsi="Times New Roman" w:cs="Times New Roman"/>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76BF4ED1"/>
    <w:multiLevelType w:val="multilevel"/>
    <w:tmpl w:val="53BA6BE6"/>
    <w:lvl w:ilvl="0">
      <w:start w:val="2"/>
      <w:numFmt w:val="decimal"/>
      <w:suff w:val="space"/>
      <w:lvlText w:val="%1."/>
      <w:lvlJc w:val="left"/>
      <w:pPr>
        <w:ind w:left="227" w:hanging="227"/>
      </w:pPr>
      <w:rPr>
        <w:rFonts w:ascii="Times New Roman" w:eastAsia="Times New Roman" w:hAnsi="Times New Roman" w:cs="Times New Roman" w:hint="default"/>
        <w:b/>
      </w:rPr>
    </w:lvl>
    <w:lvl w:ilvl="1">
      <w:start w:val="1"/>
      <w:numFmt w:val="decimal"/>
      <w:suff w:val="space"/>
      <w:lvlText w:val="%1.%2."/>
      <w:lvlJc w:val="left"/>
      <w:pPr>
        <w:ind w:left="227" w:hanging="227"/>
      </w:pPr>
      <w:rPr>
        <w:rFonts w:hint="default"/>
        <w:b w:val="0"/>
      </w:rPr>
    </w:lvl>
    <w:lvl w:ilvl="2">
      <w:start w:val="1"/>
      <w:numFmt w:val="decimal"/>
      <w:suff w:val="space"/>
      <w:lvlText w:val="%3)"/>
      <w:lvlJc w:val="left"/>
      <w:pPr>
        <w:ind w:left="397" w:hanging="227"/>
      </w:pPr>
      <w:rPr>
        <w:rFonts w:hint="default"/>
      </w:rPr>
    </w:lvl>
    <w:lvl w:ilvl="3">
      <w:start w:val="1"/>
      <w:numFmt w:val="lowerLetter"/>
      <w:suff w:val="space"/>
      <w:lvlText w:val="%4)"/>
      <w:lvlJc w:val="left"/>
      <w:pPr>
        <w:ind w:left="567" w:hanging="227"/>
      </w:pPr>
      <w:rPr>
        <w:rFonts w:hint="default"/>
      </w:rPr>
    </w:lvl>
    <w:lvl w:ilvl="4">
      <w:start w:val="1"/>
      <w:numFmt w:val="bullet"/>
      <w:suff w:val="space"/>
      <w:lvlText w:val=""/>
      <w:lvlJc w:val="left"/>
      <w:pPr>
        <w:ind w:left="680" w:hanging="170"/>
      </w:pPr>
      <w:rPr>
        <w:rFonts w:ascii="Symbol" w:hAnsi="Symbol" w:hint="default"/>
      </w:rPr>
    </w:lvl>
    <w:lvl w:ilvl="5">
      <w:start w:val="1"/>
      <w:numFmt w:val="decimal"/>
      <w:lvlText w:val="%1.%2.%3.%4.%5.%6."/>
      <w:lvlJc w:val="left"/>
      <w:pPr>
        <w:ind w:left="2942" w:hanging="936"/>
      </w:pPr>
      <w:rPr>
        <w:rFonts w:hint="default"/>
      </w:rPr>
    </w:lvl>
    <w:lvl w:ilvl="6">
      <w:start w:val="1"/>
      <w:numFmt w:val="decimal"/>
      <w:lvlText w:val="%1.%2.%3.%4.%5.%6.%7."/>
      <w:lvlJc w:val="left"/>
      <w:pPr>
        <w:ind w:left="3446" w:hanging="1080"/>
      </w:pPr>
      <w:rPr>
        <w:rFonts w:hint="default"/>
      </w:rPr>
    </w:lvl>
    <w:lvl w:ilvl="7">
      <w:start w:val="1"/>
      <w:numFmt w:val="decimal"/>
      <w:lvlText w:val="%1.%2.%3.%4.%5.%6.%7.%8."/>
      <w:lvlJc w:val="left"/>
      <w:pPr>
        <w:ind w:left="3950" w:hanging="1224"/>
      </w:pPr>
      <w:rPr>
        <w:rFonts w:hint="default"/>
      </w:rPr>
    </w:lvl>
    <w:lvl w:ilvl="8">
      <w:start w:val="1"/>
      <w:numFmt w:val="decimal"/>
      <w:lvlText w:val="%1.%2.%3.%4.%5.%6.%7.%8.%9."/>
      <w:lvlJc w:val="left"/>
      <w:pPr>
        <w:ind w:left="4526" w:hanging="1440"/>
      </w:pPr>
      <w:rPr>
        <w:rFonts w:hint="default"/>
      </w:rPr>
    </w:lvl>
  </w:abstractNum>
  <w:num w:numId="1">
    <w:abstractNumId w:val="18"/>
  </w:num>
  <w:num w:numId="2">
    <w:abstractNumId w:val="13"/>
  </w:num>
  <w:num w:numId="3">
    <w:abstractNumId w:val="10"/>
  </w:num>
  <w:num w:numId="4">
    <w:abstractNumId w:val="17"/>
  </w:num>
  <w:num w:numId="5">
    <w:abstractNumId w:val="33"/>
  </w:num>
  <w:num w:numId="6">
    <w:abstractNumId w:val="9"/>
  </w:num>
  <w:num w:numId="7">
    <w:abstractNumId w:val="32"/>
  </w:num>
  <w:num w:numId="8">
    <w:abstractNumId w:val="11"/>
  </w:num>
  <w:num w:numId="9">
    <w:abstractNumId w:val="24"/>
  </w:num>
  <w:num w:numId="10">
    <w:abstractNumId w:val="16"/>
  </w:num>
  <w:num w:numId="11">
    <w:abstractNumId w:val="25"/>
  </w:num>
  <w:num w:numId="12">
    <w:abstractNumId w:val="14"/>
  </w:num>
  <w:num w:numId="13">
    <w:abstractNumId w:val="12"/>
  </w:num>
  <w:num w:numId="14">
    <w:abstractNumId w:val="0"/>
  </w:num>
  <w:num w:numId="15">
    <w:abstractNumId w:val="2"/>
  </w:num>
  <w:num w:numId="16">
    <w:abstractNumId w:val="3"/>
  </w:num>
  <w:num w:numId="17">
    <w:abstractNumId w:val="4"/>
  </w:num>
  <w:num w:numId="18">
    <w:abstractNumId w:val="6"/>
  </w:num>
  <w:num w:numId="19">
    <w:abstractNumId w:val="7"/>
  </w:num>
  <w:num w:numId="20">
    <w:abstractNumId w:val="31"/>
  </w:num>
  <w:num w:numId="21">
    <w:abstractNumId w:val="21"/>
  </w:num>
  <w:num w:numId="22">
    <w:abstractNumId w:val="1"/>
  </w:num>
  <w:num w:numId="23">
    <w:abstractNumId w:val="5"/>
  </w:num>
  <w:num w:numId="24">
    <w:abstractNumId w:val="8"/>
  </w:num>
  <w:num w:numId="25">
    <w:abstractNumId w:val="27"/>
  </w:num>
  <w:num w:numId="2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0"/>
  </w:num>
  <w:num w:numId="28">
    <w:abstractNumId w:val="15"/>
  </w:num>
  <w:num w:numId="29">
    <w:abstractNumId w:val="19"/>
  </w:num>
  <w:num w:numId="30">
    <w:abstractNumId w:val="22"/>
  </w:num>
  <w:num w:numId="31">
    <w:abstractNumId w:val="26"/>
  </w:num>
  <w:num w:numId="32">
    <w:abstractNumId w:val="20"/>
  </w:num>
  <w:num w:numId="33">
    <w:abstractNumId w:val="23"/>
  </w:num>
  <w:num w:numId="34">
    <w:abstractNumId w:val="28"/>
  </w:num>
  <w:num w:numId="35">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2"/>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3C43"/>
    <w:rsid w:val="00000D34"/>
    <w:rsid w:val="00001AF1"/>
    <w:rsid w:val="00006CF6"/>
    <w:rsid w:val="00013551"/>
    <w:rsid w:val="00025F17"/>
    <w:rsid w:val="0002610B"/>
    <w:rsid w:val="00056DA3"/>
    <w:rsid w:val="000652EA"/>
    <w:rsid w:val="000D3A58"/>
    <w:rsid w:val="000D3D20"/>
    <w:rsid w:val="000E47E8"/>
    <w:rsid w:val="000F113B"/>
    <w:rsid w:val="001008C9"/>
    <w:rsid w:val="00106028"/>
    <w:rsid w:val="00125136"/>
    <w:rsid w:val="001333DA"/>
    <w:rsid w:val="00133E19"/>
    <w:rsid w:val="0013615E"/>
    <w:rsid w:val="00140D11"/>
    <w:rsid w:val="00144C47"/>
    <w:rsid w:val="001852AD"/>
    <w:rsid w:val="00193437"/>
    <w:rsid w:val="00197F10"/>
    <w:rsid w:val="001A2357"/>
    <w:rsid w:val="001B0676"/>
    <w:rsid w:val="001B332E"/>
    <w:rsid w:val="001C3A9D"/>
    <w:rsid w:val="001D5670"/>
    <w:rsid w:val="001E2A43"/>
    <w:rsid w:val="001E32F3"/>
    <w:rsid w:val="001E6161"/>
    <w:rsid w:val="002074D5"/>
    <w:rsid w:val="00221915"/>
    <w:rsid w:val="00221D34"/>
    <w:rsid w:val="002226A4"/>
    <w:rsid w:val="00232967"/>
    <w:rsid w:val="00234EA9"/>
    <w:rsid w:val="00236B61"/>
    <w:rsid w:val="00241C68"/>
    <w:rsid w:val="00271ECB"/>
    <w:rsid w:val="00274578"/>
    <w:rsid w:val="00280E46"/>
    <w:rsid w:val="00282860"/>
    <w:rsid w:val="002A16A7"/>
    <w:rsid w:val="002A70C8"/>
    <w:rsid w:val="002A7993"/>
    <w:rsid w:val="002B26BD"/>
    <w:rsid w:val="002C4D7F"/>
    <w:rsid w:val="002C78B6"/>
    <w:rsid w:val="002D61A9"/>
    <w:rsid w:val="002F2E64"/>
    <w:rsid w:val="00312FCD"/>
    <w:rsid w:val="00332F10"/>
    <w:rsid w:val="0034145D"/>
    <w:rsid w:val="003619FA"/>
    <w:rsid w:val="00375063"/>
    <w:rsid w:val="00382B3F"/>
    <w:rsid w:val="003868D1"/>
    <w:rsid w:val="003907E1"/>
    <w:rsid w:val="003C3E54"/>
    <w:rsid w:val="003C4C9E"/>
    <w:rsid w:val="003D0B4E"/>
    <w:rsid w:val="003D13B6"/>
    <w:rsid w:val="003D18B0"/>
    <w:rsid w:val="003D2AF2"/>
    <w:rsid w:val="003D2E35"/>
    <w:rsid w:val="003D4CBB"/>
    <w:rsid w:val="003E5BF6"/>
    <w:rsid w:val="003F49D9"/>
    <w:rsid w:val="003F4A58"/>
    <w:rsid w:val="00407F12"/>
    <w:rsid w:val="0041479B"/>
    <w:rsid w:val="00414B54"/>
    <w:rsid w:val="004311BB"/>
    <w:rsid w:val="00441FF0"/>
    <w:rsid w:val="00454EAE"/>
    <w:rsid w:val="00472B65"/>
    <w:rsid w:val="00472B68"/>
    <w:rsid w:val="00473F1F"/>
    <w:rsid w:val="004748A5"/>
    <w:rsid w:val="00497A25"/>
    <w:rsid w:val="004E6D52"/>
    <w:rsid w:val="0050074E"/>
    <w:rsid w:val="00502011"/>
    <w:rsid w:val="0050286B"/>
    <w:rsid w:val="00523C92"/>
    <w:rsid w:val="00525E06"/>
    <w:rsid w:val="005359F4"/>
    <w:rsid w:val="00547315"/>
    <w:rsid w:val="005474E9"/>
    <w:rsid w:val="0055171D"/>
    <w:rsid w:val="0055780A"/>
    <w:rsid w:val="00563FFF"/>
    <w:rsid w:val="005647A2"/>
    <w:rsid w:val="0057250C"/>
    <w:rsid w:val="005746CC"/>
    <w:rsid w:val="00594263"/>
    <w:rsid w:val="00594F45"/>
    <w:rsid w:val="0059644B"/>
    <w:rsid w:val="00597763"/>
    <w:rsid w:val="005A5010"/>
    <w:rsid w:val="005B07B3"/>
    <w:rsid w:val="005E7BBD"/>
    <w:rsid w:val="00601C6B"/>
    <w:rsid w:val="00604A57"/>
    <w:rsid w:val="006057F1"/>
    <w:rsid w:val="00613A3E"/>
    <w:rsid w:val="00616DD1"/>
    <w:rsid w:val="0062402D"/>
    <w:rsid w:val="00637635"/>
    <w:rsid w:val="00647C8E"/>
    <w:rsid w:val="00650BA2"/>
    <w:rsid w:val="00662838"/>
    <w:rsid w:val="00663001"/>
    <w:rsid w:val="00676E5C"/>
    <w:rsid w:val="00684C15"/>
    <w:rsid w:val="00690585"/>
    <w:rsid w:val="006A4D4C"/>
    <w:rsid w:val="006A74AA"/>
    <w:rsid w:val="006A7E75"/>
    <w:rsid w:val="006B62C7"/>
    <w:rsid w:val="006F14DB"/>
    <w:rsid w:val="006F4104"/>
    <w:rsid w:val="006F5B9C"/>
    <w:rsid w:val="00700E49"/>
    <w:rsid w:val="007021CA"/>
    <w:rsid w:val="00702A07"/>
    <w:rsid w:val="0071253E"/>
    <w:rsid w:val="00720953"/>
    <w:rsid w:val="00723042"/>
    <w:rsid w:val="00737AC6"/>
    <w:rsid w:val="00743C43"/>
    <w:rsid w:val="00744872"/>
    <w:rsid w:val="0077559D"/>
    <w:rsid w:val="00777540"/>
    <w:rsid w:val="00782C5E"/>
    <w:rsid w:val="007A3D4C"/>
    <w:rsid w:val="007A436E"/>
    <w:rsid w:val="007A4846"/>
    <w:rsid w:val="007B34F4"/>
    <w:rsid w:val="007C0ACF"/>
    <w:rsid w:val="007C12DB"/>
    <w:rsid w:val="007C5A68"/>
    <w:rsid w:val="007D188D"/>
    <w:rsid w:val="007D1B6A"/>
    <w:rsid w:val="007D591C"/>
    <w:rsid w:val="007D6AE5"/>
    <w:rsid w:val="007E122A"/>
    <w:rsid w:val="007E4410"/>
    <w:rsid w:val="007F4ED8"/>
    <w:rsid w:val="00807D26"/>
    <w:rsid w:val="008207FA"/>
    <w:rsid w:val="008226D6"/>
    <w:rsid w:val="008372C7"/>
    <w:rsid w:val="008407A1"/>
    <w:rsid w:val="008B62BA"/>
    <w:rsid w:val="008C4D6F"/>
    <w:rsid w:val="008D4968"/>
    <w:rsid w:val="00931A62"/>
    <w:rsid w:val="00942BD2"/>
    <w:rsid w:val="00945632"/>
    <w:rsid w:val="009530A8"/>
    <w:rsid w:val="009826D0"/>
    <w:rsid w:val="009B145F"/>
    <w:rsid w:val="009B447A"/>
    <w:rsid w:val="009C1D62"/>
    <w:rsid w:val="009C4545"/>
    <w:rsid w:val="009D3A08"/>
    <w:rsid w:val="009E01B9"/>
    <w:rsid w:val="009E1159"/>
    <w:rsid w:val="009E1845"/>
    <w:rsid w:val="009E44C5"/>
    <w:rsid w:val="009F3ED7"/>
    <w:rsid w:val="00A054FC"/>
    <w:rsid w:val="00A23F3F"/>
    <w:rsid w:val="00A24D5C"/>
    <w:rsid w:val="00A523F1"/>
    <w:rsid w:val="00A525DA"/>
    <w:rsid w:val="00A5351C"/>
    <w:rsid w:val="00A56AB4"/>
    <w:rsid w:val="00A64B7F"/>
    <w:rsid w:val="00A72BF5"/>
    <w:rsid w:val="00AA3F99"/>
    <w:rsid w:val="00AA5437"/>
    <w:rsid w:val="00AB3A41"/>
    <w:rsid w:val="00AC41B7"/>
    <w:rsid w:val="00AC4233"/>
    <w:rsid w:val="00AC597A"/>
    <w:rsid w:val="00AD7202"/>
    <w:rsid w:val="00AD725F"/>
    <w:rsid w:val="00AE11A8"/>
    <w:rsid w:val="00AE6D1D"/>
    <w:rsid w:val="00B12CC9"/>
    <w:rsid w:val="00B33485"/>
    <w:rsid w:val="00B41A67"/>
    <w:rsid w:val="00B70EBF"/>
    <w:rsid w:val="00B731F0"/>
    <w:rsid w:val="00B81FFE"/>
    <w:rsid w:val="00B853E4"/>
    <w:rsid w:val="00BA79F6"/>
    <w:rsid w:val="00BB2353"/>
    <w:rsid w:val="00BC3577"/>
    <w:rsid w:val="00BD4C18"/>
    <w:rsid w:val="00BF52D4"/>
    <w:rsid w:val="00C010A3"/>
    <w:rsid w:val="00C01474"/>
    <w:rsid w:val="00C24435"/>
    <w:rsid w:val="00C252C6"/>
    <w:rsid w:val="00C2602F"/>
    <w:rsid w:val="00C464E8"/>
    <w:rsid w:val="00C46DF3"/>
    <w:rsid w:val="00C528DF"/>
    <w:rsid w:val="00C54A34"/>
    <w:rsid w:val="00C57F86"/>
    <w:rsid w:val="00C82A1A"/>
    <w:rsid w:val="00C83621"/>
    <w:rsid w:val="00C870AA"/>
    <w:rsid w:val="00CA42BB"/>
    <w:rsid w:val="00CA491B"/>
    <w:rsid w:val="00CA6F4A"/>
    <w:rsid w:val="00CB4413"/>
    <w:rsid w:val="00CB6DB3"/>
    <w:rsid w:val="00CE0699"/>
    <w:rsid w:val="00CF4389"/>
    <w:rsid w:val="00D02BF8"/>
    <w:rsid w:val="00D037FD"/>
    <w:rsid w:val="00D0539F"/>
    <w:rsid w:val="00D07FED"/>
    <w:rsid w:val="00D24D72"/>
    <w:rsid w:val="00D27531"/>
    <w:rsid w:val="00D33BC0"/>
    <w:rsid w:val="00D47D91"/>
    <w:rsid w:val="00D5042F"/>
    <w:rsid w:val="00D7460E"/>
    <w:rsid w:val="00D90A56"/>
    <w:rsid w:val="00DA09C5"/>
    <w:rsid w:val="00DA4E2C"/>
    <w:rsid w:val="00DA6460"/>
    <w:rsid w:val="00DA7A8F"/>
    <w:rsid w:val="00DB32A5"/>
    <w:rsid w:val="00DD21D4"/>
    <w:rsid w:val="00DD36A2"/>
    <w:rsid w:val="00DD375A"/>
    <w:rsid w:val="00DE5FCD"/>
    <w:rsid w:val="00DF38B5"/>
    <w:rsid w:val="00E06EF4"/>
    <w:rsid w:val="00E218C3"/>
    <w:rsid w:val="00E36145"/>
    <w:rsid w:val="00E36B35"/>
    <w:rsid w:val="00E53F4A"/>
    <w:rsid w:val="00E619D4"/>
    <w:rsid w:val="00E6421B"/>
    <w:rsid w:val="00E70B1B"/>
    <w:rsid w:val="00E75C3F"/>
    <w:rsid w:val="00E768D5"/>
    <w:rsid w:val="00E804A7"/>
    <w:rsid w:val="00EC6FB8"/>
    <w:rsid w:val="00ED041F"/>
    <w:rsid w:val="00ED44A2"/>
    <w:rsid w:val="00F160C5"/>
    <w:rsid w:val="00F3024D"/>
    <w:rsid w:val="00F31B59"/>
    <w:rsid w:val="00F51C12"/>
    <w:rsid w:val="00F6274E"/>
    <w:rsid w:val="00F630B4"/>
    <w:rsid w:val="00F849DD"/>
    <w:rsid w:val="00F84BD2"/>
    <w:rsid w:val="00F87FC7"/>
    <w:rsid w:val="00F9752B"/>
    <w:rsid w:val="00FA2607"/>
    <w:rsid w:val="00FB0BAA"/>
    <w:rsid w:val="00FF49D2"/>
    <w:rsid w:val="00FF7BF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DB1028B7-9DCD-408A-BD5D-6DC692272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743C43"/>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rsid w:val="003E5BF6"/>
    <w:rPr>
      <w:rFonts w:ascii="Tahoma" w:hAnsi="Tahoma" w:cs="Tahoma"/>
      <w:sz w:val="16"/>
      <w:szCs w:val="16"/>
    </w:rPr>
  </w:style>
  <w:style w:type="character" w:customStyle="1" w:styleId="TekstdymkaZnak">
    <w:name w:val="Tekst dymka Znak"/>
    <w:basedOn w:val="Domylnaczcionkaakapitu"/>
    <w:link w:val="Tekstdymka"/>
    <w:rsid w:val="003E5BF6"/>
    <w:rPr>
      <w:rFonts w:ascii="Tahoma" w:hAnsi="Tahoma" w:cs="Tahoma"/>
      <w:sz w:val="16"/>
      <w:szCs w:val="16"/>
    </w:rPr>
  </w:style>
  <w:style w:type="paragraph" w:styleId="Akapitzlist">
    <w:name w:val="List Paragraph"/>
    <w:aliases w:val="Styl moj"/>
    <w:basedOn w:val="Normalny"/>
    <w:link w:val="AkapitzlistZnak"/>
    <w:uiPriority w:val="34"/>
    <w:qFormat/>
    <w:rsid w:val="00193437"/>
    <w:pPr>
      <w:ind w:left="720"/>
      <w:contextualSpacing/>
    </w:pPr>
  </w:style>
  <w:style w:type="paragraph" w:styleId="Nagwek">
    <w:name w:val="header"/>
    <w:basedOn w:val="Normalny"/>
    <w:link w:val="NagwekZnak"/>
    <w:unhideWhenUsed/>
    <w:rsid w:val="00720953"/>
    <w:pPr>
      <w:tabs>
        <w:tab w:val="center" w:pos="4536"/>
        <w:tab w:val="right" w:pos="9072"/>
      </w:tabs>
    </w:pPr>
  </w:style>
  <w:style w:type="character" w:customStyle="1" w:styleId="NagwekZnak">
    <w:name w:val="Nagłówek Znak"/>
    <w:basedOn w:val="Domylnaczcionkaakapitu"/>
    <w:link w:val="Nagwek"/>
    <w:rsid w:val="00720953"/>
    <w:rPr>
      <w:sz w:val="24"/>
      <w:szCs w:val="24"/>
    </w:rPr>
  </w:style>
  <w:style w:type="paragraph" w:styleId="Stopka">
    <w:name w:val="footer"/>
    <w:basedOn w:val="Normalny"/>
    <w:link w:val="StopkaZnak"/>
    <w:uiPriority w:val="99"/>
    <w:unhideWhenUsed/>
    <w:rsid w:val="00720953"/>
    <w:pPr>
      <w:tabs>
        <w:tab w:val="center" w:pos="4536"/>
        <w:tab w:val="right" w:pos="9072"/>
      </w:tabs>
    </w:pPr>
  </w:style>
  <w:style w:type="character" w:customStyle="1" w:styleId="StopkaZnak">
    <w:name w:val="Stopka Znak"/>
    <w:basedOn w:val="Domylnaczcionkaakapitu"/>
    <w:link w:val="Stopka"/>
    <w:uiPriority w:val="99"/>
    <w:rsid w:val="00720953"/>
    <w:rPr>
      <w:sz w:val="24"/>
      <w:szCs w:val="24"/>
    </w:rPr>
  </w:style>
  <w:style w:type="paragraph" w:styleId="Tekstpodstawowy">
    <w:name w:val="Body Text"/>
    <w:aliases w:val="Body Text Char1,Body Text Char Char,Body Text Char1 Char Char,Body Text Char Char Char Char,Body Text Char1 Char Char Char Char,Body Text Char Char Char Char Char Char,Body Text Char1 Char Char Char Char Char Char"/>
    <w:basedOn w:val="Normalny"/>
    <w:link w:val="TekstpodstawowyZnak"/>
    <w:uiPriority w:val="99"/>
    <w:rsid w:val="00F3024D"/>
    <w:pPr>
      <w:jc w:val="both"/>
    </w:pPr>
  </w:style>
  <w:style w:type="character" w:customStyle="1" w:styleId="TekstpodstawowyZnak">
    <w:name w:val="Tekst podstawowy Znak"/>
    <w:aliases w:val="Body Text Char1 Znak,Body Text Char Char Znak,Body Text Char1 Char Char Znak,Body Text Char Char Char Char Znak,Body Text Char1 Char Char Char Char Znak,Body Text Char Char Char Char Char Char Znak"/>
    <w:basedOn w:val="Domylnaczcionkaakapitu"/>
    <w:link w:val="Tekstpodstawowy"/>
    <w:uiPriority w:val="99"/>
    <w:rsid w:val="00F3024D"/>
    <w:rPr>
      <w:sz w:val="24"/>
      <w:szCs w:val="24"/>
    </w:rPr>
  </w:style>
  <w:style w:type="paragraph" w:customStyle="1" w:styleId="Default">
    <w:name w:val="Default"/>
    <w:rsid w:val="006F5B9C"/>
    <w:pPr>
      <w:autoSpaceDE w:val="0"/>
      <w:autoSpaceDN w:val="0"/>
      <w:adjustRightInd w:val="0"/>
    </w:pPr>
    <w:rPr>
      <w:color w:val="000000"/>
      <w:sz w:val="24"/>
      <w:szCs w:val="24"/>
    </w:rPr>
  </w:style>
  <w:style w:type="character" w:styleId="Odwoaniedokomentarza">
    <w:name w:val="annotation reference"/>
    <w:basedOn w:val="Domylnaczcionkaakapitu"/>
    <w:semiHidden/>
    <w:unhideWhenUsed/>
    <w:rsid w:val="00647C8E"/>
    <w:rPr>
      <w:sz w:val="16"/>
      <w:szCs w:val="16"/>
    </w:rPr>
  </w:style>
  <w:style w:type="paragraph" w:styleId="Tekstkomentarza">
    <w:name w:val="annotation text"/>
    <w:basedOn w:val="Normalny"/>
    <w:link w:val="TekstkomentarzaZnak"/>
    <w:semiHidden/>
    <w:unhideWhenUsed/>
    <w:rsid w:val="00647C8E"/>
    <w:rPr>
      <w:sz w:val="20"/>
      <w:szCs w:val="20"/>
    </w:rPr>
  </w:style>
  <w:style w:type="character" w:customStyle="1" w:styleId="TekstkomentarzaZnak">
    <w:name w:val="Tekst komentarza Znak"/>
    <w:basedOn w:val="Domylnaczcionkaakapitu"/>
    <w:link w:val="Tekstkomentarza"/>
    <w:semiHidden/>
    <w:rsid w:val="00647C8E"/>
  </w:style>
  <w:style w:type="paragraph" w:styleId="Tematkomentarza">
    <w:name w:val="annotation subject"/>
    <w:basedOn w:val="Tekstkomentarza"/>
    <w:next w:val="Tekstkomentarza"/>
    <w:link w:val="TematkomentarzaZnak"/>
    <w:semiHidden/>
    <w:unhideWhenUsed/>
    <w:rsid w:val="00647C8E"/>
    <w:rPr>
      <w:b/>
      <w:bCs/>
    </w:rPr>
  </w:style>
  <w:style w:type="character" w:customStyle="1" w:styleId="TematkomentarzaZnak">
    <w:name w:val="Temat komentarza Znak"/>
    <w:basedOn w:val="TekstkomentarzaZnak"/>
    <w:link w:val="Tematkomentarza"/>
    <w:semiHidden/>
    <w:rsid w:val="00647C8E"/>
    <w:rPr>
      <w:b/>
      <w:bCs/>
    </w:rPr>
  </w:style>
  <w:style w:type="character" w:customStyle="1" w:styleId="AkapitzlistZnak">
    <w:name w:val="Akapit z listą Znak"/>
    <w:aliases w:val="Styl moj Znak"/>
    <w:basedOn w:val="Domylnaczcionkaakapitu"/>
    <w:link w:val="Akapitzlist"/>
    <w:uiPriority w:val="34"/>
    <w:locked/>
    <w:rsid w:val="009E184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3734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A57E45-9E29-4F51-8984-34472F5F37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17</Pages>
  <Words>5193</Words>
  <Characters>34461</Characters>
  <Application>Microsoft Office Word</Application>
  <DocSecurity>0</DocSecurity>
  <Lines>287</Lines>
  <Paragraphs>79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39575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Amanowicz Marcin</dc:creator>
  <cp:lastModifiedBy>Królak-Buzakowska Joanna</cp:lastModifiedBy>
  <cp:revision>8</cp:revision>
  <cp:lastPrinted>2018-04-23T10:52:00Z</cp:lastPrinted>
  <dcterms:created xsi:type="dcterms:W3CDTF">2019-12-14T12:22:00Z</dcterms:created>
  <dcterms:modified xsi:type="dcterms:W3CDTF">2019-12-16T08:35:00Z</dcterms:modified>
</cp:coreProperties>
</file>