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EDD" w:rsidRPr="00586613" w:rsidRDefault="00FD1EDD" w:rsidP="003364F6">
      <w:pPr>
        <w:pStyle w:val="Heading1"/>
        <w:shd w:val="clear" w:color="auto" w:fill="DBE5F1"/>
        <w:spacing w:before="0" w:after="0"/>
        <w:rPr>
          <w:rFonts w:ascii="Calibri" w:hAnsi="Calibri"/>
        </w:rPr>
      </w:pPr>
      <w:bookmarkStart w:id="0" w:name="_Toc395525731"/>
      <w:r w:rsidRPr="00586613">
        <w:rPr>
          <w:rFonts w:ascii="Calibri" w:hAnsi="Calibri"/>
        </w:rPr>
        <w:t>SEKTOR ELEKTROENERGETYCZNY</w:t>
      </w:r>
      <w:bookmarkEnd w:id="0"/>
    </w:p>
    <w:p w:rsidR="00FD1EDD" w:rsidRPr="00586613" w:rsidRDefault="00FD1EDD" w:rsidP="00586613">
      <w:pPr>
        <w:spacing w:after="0" w:line="360" w:lineRule="auto"/>
        <w:rPr>
          <w:b/>
          <w:sz w:val="28"/>
          <w:szCs w:val="28"/>
        </w:rPr>
      </w:pPr>
      <w:r w:rsidRPr="00586613">
        <w:rPr>
          <w:b/>
          <w:sz w:val="28"/>
          <w:szCs w:val="28"/>
        </w:rPr>
        <w:t xml:space="preserve">PRZESYŁ ENERGII ELEKTRYCZNEJ </w:t>
      </w:r>
    </w:p>
    <w:p w:rsidR="00FD1EDD" w:rsidRPr="00586613" w:rsidRDefault="00FD1EDD" w:rsidP="00586613">
      <w:pPr>
        <w:pStyle w:val="Heading3"/>
        <w:spacing w:before="0" w:after="0"/>
        <w:rPr>
          <w:rFonts w:ascii="Calibri" w:hAnsi="Calibri"/>
          <w:sz w:val="24"/>
        </w:rPr>
      </w:pPr>
      <w:bookmarkStart w:id="1" w:name="_Toc385929540"/>
      <w:bookmarkStart w:id="2" w:name="_Toc395525733"/>
      <w:r w:rsidRPr="00586613">
        <w:rPr>
          <w:rFonts w:ascii="Calibri" w:hAnsi="Calibri"/>
          <w:sz w:val="24"/>
        </w:rPr>
        <w:t>Przesył energii elektrycznej – Priorytet Inwestycyjny 4.1</w:t>
      </w:r>
      <w:bookmarkEnd w:id="1"/>
      <w:bookmarkEnd w:id="2"/>
    </w:p>
    <w:tbl>
      <w:tblPr>
        <w:tblW w:w="14570" w:type="dxa"/>
        <w:jc w:val="center"/>
        <w:tblBorders>
          <w:top w:val="single" w:sz="4" w:space="0" w:color="244061"/>
          <w:left w:val="single" w:sz="4" w:space="0" w:color="244061"/>
          <w:bottom w:val="single" w:sz="4" w:space="0" w:color="244061"/>
          <w:right w:val="single" w:sz="4" w:space="0" w:color="244061"/>
          <w:insideH w:val="single" w:sz="4" w:space="0" w:color="244061"/>
          <w:insideV w:val="single" w:sz="4" w:space="0" w:color="244061"/>
        </w:tblBorders>
        <w:tblCellMar>
          <w:top w:w="57" w:type="dxa"/>
          <w:left w:w="57" w:type="dxa"/>
          <w:bottom w:w="57" w:type="dxa"/>
          <w:right w:w="57" w:type="dxa"/>
        </w:tblCellMar>
        <w:tblLook w:val="00A0"/>
      </w:tblPr>
      <w:tblGrid>
        <w:gridCol w:w="452"/>
        <w:gridCol w:w="451"/>
        <w:gridCol w:w="1991"/>
        <w:gridCol w:w="1598"/>
        <w:gridCol w:w="1365"/>
        <w:gridCol w:w="1484"/>
        <w:gridCol w:w="2126"/>
        <w:gridCol w:w="2157"/>
        <w:gridCol w:w="2946"/>
      </w:tblGrid>
      <w:tr w:rsidR="00FD1EDD" w:rsidRPr="00977AD6" w:rsidTr="000D1A5D">
        <w:trPr>
          <w:cantSplit/>
          <w:trHeight w:val="1596"/>
          <w:tblHeader/>
          <w:jc w:val="center"/>
        </w:trPr>
        <w:tc>
          <w:tcPr>
            <w:tcW w:w="452" w:type="dxa"/>
            <w:shd w:val="clear" w:color="auto" w:fill="95B3D7"/>
            <w:textDirection w:val="tbRl"/>
            <w:vAlign w:val="center"/>
          </w:tcPr>
          <w:p w:rsidR="00FD1EDD" w:rsidRPr="00D30E39" w:rsidRDefault="00FD1EDD" w:rsidP="00D30E39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D30E39">
              <w:rPr>
                <w:b/>
                <w:sz w:val="18"/>
                <w:szCs w:val="18"/>
              </w:rPr>
              <w:t>Kod</w:t>
            </w:r>
          </w:p>
        </w:tc>
        <w:tc>
          <w:tcPr>
            <w:tcW w:w="451" w:type="dxa"/>
            <w:shd w:val="clear" w:color="auto" w:fill="95B3D7"/>
            <w:textDirection w:val="tbRl"/>
            <w:vAlign w:val="center"/>
          </w:tcPr>
          <w:p w:rsidR="00FD1EDD" w:rsidRPr="00D30E39" w:rsidRDefault="00FD1EDD" w:rsidP="00D30E39">
            <w:pPr>
              <w:spacing w:after="0" w:line="240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D30E39">
              <w:rPr>
                <w:b/>
                <w:sz w:val="18"/>
                <w:szCs w:val="18"/>
              </w:rPr>
              <w:t>Przedsiębiorstwo</w:t>
            </w:r>
          </w:p>
        </w:tc>
        <w:tc>
          <w:tcPr>
            <w:tcW w:w="1991" w:type="dxa"/>
            <w:shd w:val="clear" w:color="auto" w:fill="95B3D7"/>
            <w:vAlign w:val="center"/>
          </w:tcPr>
          <w:p w:rsidR="00FD1EDD" w:rsidRPr="00D30E39" w:rsidRDefault="00FD1EDD" w:rsidP="00D30E3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30E39">
              <w:rPr>
                <w:b/>
                <w:sz w:val="18"/>
                <w:szCs w:val="18"/>
              </w:rPr>
              <w:t>Rodzaj inwestycji</w:t>
            </w:r>
          </w:p>
          <w:p w:rsidR="00FD1EDD" w:rsidRPr="00D30E39" w:rsidRDefault="00FD1EDD" w:rsidP="00D30E3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30E39">
              <w:rPr>
                <w:b/>
                <w:sz w:val="18"/>
                <w:szCs w:val="18"/>
              </w:rPr>
              <w:t>(długość linii)</w:t>
            </w:r>
          </w:p>
        </w:tc>
        <w:tc>
          <w:tcPr>
            <w:tcW w:w="1598" w:type="dxa"/>
            <w:shd w:val="clear" w:color="auto" w:fill="95B3D7"/>
            <w:vAlign w:val="center"/>
          </w:tcPr>
          <w:p w:rsidR="00FD1EDD" w:rsidRPr="00D30E39" w:rsidRDefault="00FD1EDD" w:rsidP="00D30E3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30E39">
              <w:rPr>
                <w:b/>
                <w:sz w:val="18"/>
                <w:szCs w:val="18"/>
              </w:rPr>
              <w:t>Klasyfikacja wg Rozporządzenia Rady Ministrów w sprawie przedsięwzięć mogących znacząco oddziaływać na środowisko</w:t>
            </w:r>
          </w:p>
        </w:tc>
        <w:tc>
          <w:tcPr>
            <w:tcW w:w="1365" w:type="dxa"/>
            <w:shd w:val="clear" w:color="auto" w:fill="95B3D7"/>
            <w:vAlign w:val="center"/>
          </w:tcPr>
          <w:p w:rsidR="00FD1EDD" w:rsidRPr="00D30E39" w:rsidRDefault="00FD1EDD" w:rsidP="00D30E3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30E39">
              <w:rPr>
                <w:b/>
                <w:sz w:val="18"/>
                <w:szCs w:val="18"/>
              </w:rPr>
              <w:t>Informacja o posiadanych decyzjach środowiskowych i raportach</w:t>
            </w:r>
          </w:p>
        </w:tc>
        <w:tc>
          <w:tcPr>
            <w:tcW w:w="1484" w:type="dxa"/>
            <w:shd w:val="clear" w:color="auto" w:fill="95B3D7"/>
            <w:vAlign w:val="center"/>
          </w:tcPr>
          <w:p w:rsidR="00FD1EDD" w:rsidRPr="00D30E39" w:rsidRDefault="00FD1EDD" w:rsidP="00D30E3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30E39">
              <w:rPr>
                <w:b/>
                <w:sz w:val="18"/>
                <w:szCs w:val="18"/>
              </w:rPr>
              <w:t>Główne elementy środowiska na które może oddziaływać przedsięwzięcie</w:t>
            </w:r>
          </w:p>
        </w:tc>
        <w:tc>
          <w:tcPr>
            <w:tcW w:w="2126" w:type="dxa"/>
            <w:shd w:val="clear" w:color="auto" w:fill="95B3D7"/>
            <w:vAlign w:val="center"/>
          </w:tcPr>
          <w:p w:rsidR="00FD1EDD" w:rsidRPr="00D30E39" w:rsidRDefault="00FD1EDD" w:rsidP="00D30E3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30E39">
              <w:rPr>
                <w:b/>
                <w:sz w:val="18"/>
                <w:szCs w:val="18"/>
              </w:rPr>
              <w:t>Identyfikacja obszarów chronionych w tym Natura 2000</w:t>
            </w:r>
          </w:p>
        </w:tc>
        <w:tc>
          <w:tcPr>
            <w:tcW w:w="2157" w:type="dxa"/>
            <w:shd w:val="clear" w:color="auto" w:fill="95B3D7"/>
            <w:vAlign w:val="center"/>
          </w:tcPr>
          <w:p w:rsidR="00FD1EDD" w:rsidRPr="00D30E39" w:rsidRDefault="00FD1EDD" w:rsidP="00D30E39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30E39">
              <w:rPr>
                <w:b/>
                <w:sz w:val="18"/>
                <w:szCs w:val="18"/>
              </w:rPr>
              <w:t>Potencjalne zagrożenia</w:t>
            </w:r>
            <w:bookmarkStart w:id="3" w:name="_Ref407605482"/>
            <w:r w:rsidRPr="00D30E39">
              <w:rPr>
                <w:rStyle w:val="FootnoteReference"/>
                <w:b/>
                <w:sz w:val="18"/>
                <w:szCs w:val="18"/>
              </w:rPr>
              <w:footnoteReference w:id="1"/>
            </w:r>
            <w:bookmarkEnd w:id="3"/>
          </w:p>
        </w:tc>
        <w:tc>
          <w:tcPr>
            <w:tcW w:w="2946" w:type="dxa"/>
            <w:shd w:val="clear" w:color="auto" w:fill="95B3D7"/>
            <w:vAlign w:val="center"/>
          </w:tcPr>
          <w:p w:rsidR="00FD1EDD" w:rsidRPr="00D30E39" w:rsidRDefault="00FD1EDD" w:rsidP="00D30E39">
            <w:pPr>
              <w:spacing w:after="0" w:line="240" w:lineRule="auto"/>
              <w:jc w:val="center"/>
              <w:rPr>
                <w:b/>
                <w:sz w:val="18"/>
                <w:szCs w:val="18"/>
                <w:vertAlign w:val="superscript"/>
              </w:rPr>
            </w:pPr>
            <w:r w:rsidRPr="00D30E39">
              <w:rPr>
                <w:b/>
                <w:sz w:val="18"/>
                <w:szCs w:val="18"/>
              </w:rPr>
              <w:t>Środki  zapobiegawcze, minimalizujące i kompensacyjne</w:t>
            </w:r>
            <w:r w:rsidRPr="00D30E39">
              <w:rPr>
                <w:rStyle w:val="FootnoteReference"/>
                <w:b/>
                <w:sz w:val="18"/>
                <w:szCs w:val="18"/>
              </w:rPr>
              <w:footnoteReference w:id="2"/>
            </w:r>
          </w:p>
        </w:tc>
      </w:tr>
      <w:tr w:rsidR="00FD1EDD" w:rsidRPr="00977AD6" w:rsidTr="000D1A5D">
        <w:trPr>
          <w:cantSplit/>
          <w:trHeight w:val="2864"/>
          <w:jc w:val="center"/>
        </w:trPr>
        <w:tc>
          <w:tcPr>
            <w:tcW w:w="452" w:type="dxa"/>
            <w:textDirection w:val="tbRl"/>
          </w:tcPr>
          <w:p w:rsidR="00FD1EDD" w:rsidRPr="00977AD6" w:rsidRDefault="00FD1EDD" w:rsidP="00D30E39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E/4.1/P/1</w:t>
            </w:r>
          </w:p>
        </w:tc>
        <w:tc>
          <w:tcPr>
            <w:tcW w:w="451" w:type="dxa"/>
            <w:shd w:val="clear" w:color="auto" w:fill="FFFFFF"/>
            <w:textDirection w:val="tbRl"/>
          </w:tcPr>
          <w:p w:rsidR="00FD1EDD" w:rsidRPr="00977AD6" w:rsidRDefault="00FD1EDD" w:rsidP="00D30E39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PSE S.A.</w:t>
            </w:r>
          </w:p>
        </w:tc>
        <w:tc>
          <w:tcPr>
            <w:tcW w:w="1991" w:type="dxa"/>
            <w:shd w:val="clear" w:color="auto" w:fill="FF0000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Budowa dwutorowego ciągu liniowego 400 kV Dunowo – Żydowo Kierzkowo – Piła Krzewina wraz z rozbudową stacji w tym ciągu liniowym</w:t>
            </w:r>
          </w:p>
        </w:tc>
        <w:tc>
          <w:tcPr>
            <w:tcW w:w="1598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§2 ust.1 pkt 6)</w:t>
            </w:r>
          </w:p>
        </w:tc>
        <w:tc>
          <w:tcPr>
            <w:tcW w:w="1365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Brak danych</w:t>
            </w:r>
          </w:p>
        </w:tc>
        <w:tc>
          <w:tcPr>
            <w:tcW w:w="1484" w:type="dxa"/>
            <w:vMerge w:val="restart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Przyroda (głównie ptaki i wycinka drzew)</w:t>
            </w:r>
          </w:p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Powierzchnia ziemi,</w:t>
            </w:r>
          </w:p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krajobraz,</w:t>
            </w:r>
          </w:p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ludzie</w:t>
            </w:r>
          </w:p>
        </w:tc>
        <w:tc>
          <w:tcPr>
            <w:tcW w:w="2126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b/>
                <w:sz w:val="18"/>
                <w:szCs w:val="18"/>
              </w:rPr>
              <w:t>PLH</w:t>
            </w:r>
            <w:r w:rsidRPr="00977AD6">
              <w:rPr>
                <w:sz w:val="18"/>
                <w:szCs w:val="18"/>
              </w:rPr>
              <w:t>: Bobolickie Jeziora Lobeliowe, Dolina Radwi, Chocieli i Chotli, Jezioro Bobięcińskie;</w:t>
            </w:r>
          </w:p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b/>
                <w:sz w:val="18"/>
                <w:szCs w:val="18"/>
              </w:rPr>
              <w:t>PLB</w:t>
            </w:r>
            <w:r w:rsidRPr="00977AD6">
              <w:rPr>
                <w:sz w:val="18"/>
                <w:szCs w:val="18"/>
              </w:rPr>
              <w:t>: Ostoja Drawska, Puszcza nad Gwdą;</w:t>
            </w:r>
          </w:p>
          <w:p w:rsidR="00FD1EDD" w:rsidRPr="00977AD6" w:rsidRDefault="00FD1EDD" w:rsidP="00C141F4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rezerwat Uroczysko Jary – otulina;</w:t>
            </w:r>
          </w:p>
          <w:p w:rsidR="00FD1EDD" w:rsidRPr="00977AD6" w:rsidRDefault="00FD1EDD" w:rsidP="008355EB">
            <w:pPr>
              <w:spacing w:after="0" w:line="240" w:lineRule="auto"/>
              <w:rPr>
                <w:sz w:val="18"/>
                <w:szCs w:val="18"/>
              </w:rPr>
            </w:pPr>
            <w:r w:rsidRPr="005B441A">
              <w:rPr>
                <w:b/>
                <w:sz w:val="18"/>
                <w:szCs w:val="18"/>
              </w:rPr>
              <w:t>OCHK</w:t>
            </w:r>
            <w:r w:rsidRPr="00977AD6">
              <w:rPr>
                <w:rStyle w:val="FootnoteReference"/>
                <w:sz w:val="18"/>
                <w:szCs w:val="18"/>
              </w:rPr>
              <w:footnoteReference w:id="3"/>
            </w:r>
            <w:r w:rsidRPr="00977AD6">
              <w:rPr>
                <w:sz w:val="18"/>
                <w:szCs w:val="18"/>
              </w:rPr>
              <w:t>: Okolice Żydowo-Biały Bór, Dolina Noteci, Pojezierze Wałeckie i Dolina Gwdy, Jeziora Szczecineckie</w:t>
            </w:r>
          </w:p>
        </w:tc>
        <w:tc>
          <w:tcPr>
            <w:tcW w:w="2157" w:type="dxa"/>
            <w:vMerge w:val="restart"/>
          </w:tcPr>
          <w:p w:rsidR="00FD1EDD" w:rsidRPr="00977AD6" w:rsidRDefault="00FD1EDD" w:rsidP="00CD2982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- Defragmentacja siedlisk przyrodniczych,</w:t>
            </w:r>
          </w:p>
          <w:p w:rsidR="00FD1EDD" w:rsidRPr="00977AD6" w:rsidRDefault="00FD1EDD" w:rsidP="00CD2982">
            <w:pPr>
              <w:spacing w:after="0" w:line="240" w:lineRule="auto"/>
              <w:rPr>
                <w:sz w:val="18"/>
                <w:szCs w:val="18"/>
                <w:lang w:eastAsia="en-GB"/>
              </w:rPr>
            </w:pPr>
            <w:r w:rsidRPr="00977AD6">
              <w:rPr>
                <w:sz w:val="18"/>
                <w:szCs w:val="18"/>
              </w:rPr>
              <w:t xml:space="preserve">- </w:t>
            </w:r>
            <w:r w:rsidRPr="00977AD6">
              <w:rPr>
                <w:sz w:val="18"/>
                <w:szCs w:val="18"/>
                <w:lang w:eastAsia="en-GB"/>
              </w:rPr>
              <w:t>Fizyczne zajęcie terenu, występowania siedlisk przyrodniczych,</w:t>
            </w:r>
          </w:p>
          <w:p w:rsidR="00FD1EDD" w:rsidRPr="00977AD6" w:rsidRDefault="00FD1EDD" w:rsidP="00CD2982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  <w:lang w:eastAsia="en-GB"/>
              </w:rPr>
              <w:t>- Wycinka drzew i krzewów,</w:t>
            </w:r>
          </w:p>
          <w:p w:rsidR="00FD1EDD" w:rsidRPr="00977AD6" w:rsidRDefault="00FD1EDD" w:rsidP="00CD2982">
            <w:pPr>
              <w:spacing w:after="0" w:line="240" w:lineRule="auto"/>
              <w:rPr>
                <w:sz w:val="18"/>
                <w:szCs w:val="18"/>
                <w:lang w:eastAsia="en-GB"/>
              </w:rPr>
            </w:pPr>
            <w:r w:rsidRPr="00977AD6">
              <w:rPr>
                <w:sz w:val="18"/>
                <w:szCs w:val="18"/>
              </w:rPr>
              <w:t xml:space="preserve">- </w:t>
            </w:r>
            <w:r w:rsidRPr="00977AD6">
              <w:rPr>
                <w:sz w:val="18"/>
                <w:szCs w:val="18"/>
                <w:lang w:eastAsia="en-GB"/>
              </w:rPr>
              <w:t xml:space="preserve">Kolizje ze szlakami migracji </w:t>
            </w:r>
            <w:r>
              <w:rPr>
                <w:sz w:val="18"/>
                <w:szCs w:val="18"/>
                <w:lang w:eastAsia="en-GB"/>
              </w:rPr>
              <w:t>dla ptaków</w:t>
            </w:r>
          </w:p>
          <w:p w:rsidR="00FD1EDD" w:rsidRPr="00977AD6" w:rsidRDefault="00FD1EDD" w:rsidP="00CD2982">
            <w:pPr>
              <w:spacing w:after="0" w:line="240" w:lineRule="auto"/>
              <w:rPr>
                <w:sz w:val="18"/>
                <w:szCs w:val="18"/>
                <w:lang w:eastAsia="en-GB"/>
              </w:rPr>
            </w:pPr>
            <w:r w:rsidRPr="00977AD6">
              <w:rPr>
                <w:sz w:val="18"/>
                <w:szCs w:val="18"/>
                <w:lang w:eastAsia="en-GB"/>
              </w:rPr>
              <w:t>- Wypłoszenie zwierząt, w tym ptaków w fazie budowy obiektów (hałas, obecność ludzi i sprzętu)</w:t>
            </w:r>
          </w:p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  <w:lang w:eastAsia="en-GB"/>
              </w:rPr>
            </w:pPr>
            <w:r w:rsidRPr="00977AD6">
              <w:rPr>
                <w:sz w:val="18"/>
                <w:szCs w:val="18"/>
                <w:lang w:eastAsia="en-GB"/>
              </w:rPr>
              <w:t>- Zagrożenia dla ptaków:</w:t>
            </w:r>
          </w:p>
          <w:p w:rsidR="00FD1EDD" w:rsidRPr="00977AD6" w:rsidRDefault="00FD1EDD" w:rsidP="00977A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40" w:hanging="144"/>
              <w:rPr>
                <w:sz w:val="18"/>
                <w:szCs w:val="18"/>
                <w:lang w:eastAsia="en-GB"/>
              </w:rPr>
            </w:pPr>
            <w:r w:rsidRPr="00977AD6">
              <w:rPr>
                <w:sz w:val="18"/>
                <w:szCs w:val="18"/>
                <w:lang w:eastAsia="en-GB"/>
              </w:rPr>
              <w:t xml:space="preserve">redukcja siedlisk ważnych dla ptaków poprzez zajęcie terenu pod obiekty oraz linie przesyłowe </w:t>
            </w:r>
          </w:p>
          <w:p w:rsidR="00FD1EDD" w:rsidRPr="00977AD6" w:rsidRDefault="00FD1EDD" w:rsidP="00977A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40" w:hanging="144"/>
              <w:rPr>
                <w:sz w:val="18"/>
                <w:szCs w:val="18"/>
                <w:lang w:eastAsia="en-GB"/>
              </w:rPr>
            </w:pPr>
            <w:r w:rsidRPr="00977AD6">
              <w:rPr>
                <w:sz w:val="18"/>
                <w:szCs w:val="18"/>
                <w:lang w:eastAsia="en-GB"/>
              </w:rPr>
              <w:t xml:space="preserve">kolizje z liniami elektroenergetycznymi lub konstrukcją słupa; </w:t>
            </w:r>
          </w:p>
          <w:p w:rsidR="00FD1EDD" w:rsidRPr="00EF5295" w:rsidRDefault="00FD1EDD" w:rsidP="00EF5295">
            <w:pPr>
              <w:spacing w:after="0" w:line="240" w:lineRule="auto"/>
              <w:ind w:left="96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- O</w:t>
            </w:r>
            <w:r w:rsidRPr="00EF5295">
              <w:rPr>
                <w:sz w:val="18"/>
                <w:szCs w:val="18"/>
                <w:lang w:eastAsia="en-GB"/>
              </w:rPr>
              <w:t xml:space="preserve">ddziaływanie pól elektromagnetycznych </w:t>
            </w:r>
          </w:p>
          <w:p w:rsidR="00FD1EDD" w:rsidRPr="00EF5295" w:rsidRDefault="00FD1EDD" w:rsidP="00EF5295">
            <w:pPr>
              <w:spacing w:after="0" w:line="240" w:lineRule="auto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- H</w:t>
            </w:r>
            <w:r w:rsidRPr="00EF5295">
              <w:rPr>
                <w:sz w:val="18"/>
                <w:szCs w:val="18"/>
                <w:lang w:eastAsia="en-GB"/>
              </w:rPr>
              <w:t xml:space="preserve">ałas; </w:t>
            </w:r>
          </w:p>
          <w:p w:rsidR="00FD1EDD" w:rsidRPr="00EF5295" w:rsidRDefault="00FD1EDD" w:rsidP="00EF5295">
            <w:pPr>
              <w:spacing w:after="0" w:line="240" w:lineRule="auto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_ E</w:t>
            </w:r>
            <w:r w:rsidRPr="00EF5295">
              <w:rPr>
                <w:sz w:val="18"/>
                <w:szCs w:val="18"/>
                <w:lang w:eastAsia="en-GB"/>
              </w:rPr>
              <w:t xml:space="preserve">fekt wizualny. </w:t>
            </w:r>
          </w:p>
          <w:p w:rsidR="00FD1EDD" w:rsidRPr="00977AD6" w:rsidRDefault="00FD1EDD" w:rsidP="00E0302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46" w:type="dxa"/>
            <w:vMerge w:val="restart"/>
          </w:tcPr>
          <w:p w:rsidR="00FD1EDD" w:rsidRPr="00977AD6" w:rsidRDefault="00FD1EDD" w:rsidP="00761E7F">
            <w:pPr>
              <w:numPr>
                <w:ilvl w:val="0"/>
                <w:numId w:val="3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ograniczenie do minimum wycinki drzew i krzewów,</w:t>
            </w:r>
          </w:p>
          <w:p w:rsidR="00FD1EDD" w:rsidRPr="00977AD6" w:rsidRDefault="00FD1EDD" w:rsidP="00761E7F">
            <w:pPr>
              <w:numPr>
                <w:ilvl w:val="0"/>
                <w:numId w:val="3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odpowiednie wytycznie trasy w sposób zapobiegający (lub minimalizujący) przecinaniu i defragmentacji obszarów cennych struktur przyrodniczych,</w:t>
            </w:r>
          </w:p>
          <w:p w:rsidR="00FD1EDD" w:rsidRDefault="00FD1EDD" w:rsidP="00761E7F">
            <w:pPr>
              <w:numPr>
                <w:ilvl w:val="0"/>
                <w:numId w:val="3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prowadzenie prac związanych z wycinką drzew i krzewów poza okresami: lęgowym ptaków oraz rozrodczym płazów,</w:t>
            </w:r>
          </w:p>
          <w:p w:rsidR="00FD1EDD" w:rsidRPr="00977AD6" w:rsidRDefault="00FD1EDD" w:rsidP="00761E7F">
            <w:pPr>
              <w:numPr>
                <w:ilvl w:val="0"/>
                <w:numId w:val="3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stworzenie siedlisk zastępczych na czas budowy (np. budki dla ptaków),</w:t>
            </w:r>
          </w:p>
          <w:p w:rsidR="00FD1EDD" w:rsidRDefault="00FD1EDD" w:rsidP="00977AD6">
            <w:pPr>
              <w:numPr>
                <w:ilvl w:val="0"/>
                <w:numId w:val="3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zapewnienie ochrony drzew przed uszkodzeniem podczas prowadzenia prac,</w:t>
            </w:r>
          </w:p>
          <w:p w:rsidR="00FD1EDD" w:rsidRDefault="00FD1EDD" w:rsidP="00977AD6">
            <w:pPr>
              <w:numPr>
                <w:ilvl w:val="0"/>
                <w:numId w:val="3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prowadzenie prac budowlanych w sposób minimalizujący emisje zanieczyszczeń i hałasu,</w:t>
            </w:r>
          </w:p>
          <w:p w:rsidR="00FD1EDD" w:rsidRDefault="00FD1EDD" w:rsidP="00977AD6">
            <w:pPr>
              <w:numPr>
                <w:ilvl w:val="0"/>
                <w:numId w:val="3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oszczędne gospodarowanie przestrzenią w trakcie budowy w celu uniknięcia nadmiernego niszczenia powierzchniowej warstwy gleby,</w:t>
            </w:r>
          </w:p>
          <w:p w:rsidR="00FD1EDD" w:rsidRDefault="00FD1EDD" w:rsidP="00977AD6">
            <w:pPr>
              <w:numPr>
                <w:ilvl w:val="0"/>
                <w:numId w:val="3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zabezpieczenie terenu budowy przed przedostaniem się ewentualnych wycieków z maszyn i urządzeń  budowlanych do gleby i wód,</w:t>
            </w:r>
          </w:p>
          <w:p w:rsidR="00FD1EDD" w:rsidRDefault="00FD1EDD" w:rsidP="00590F83">
            <w:pPr>
              <w:numPr>
                <w:ilvl w:val="0"/>
                <w:numId w:val="3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ewentualne dopasowanie wysokości linii do tras przelotu ptactwa (np. ocena wariantowa – linia ponad koronami drzew na słupach nadleśnych lub linia w przecince leśnej),</w:t>
            </w:r>
          </w:p>
          <w:p w:rsidR="00FD1EDD" w:rsidRPr="00977AD6" w:rsidRDefault="00FD1EDD" w:rsidP="00590F83">
            <w:pPr>
              <w:numPr>
                <w:ilvl w:val="0"/>
                <w:numId w:val="3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oznaczenie linii za pomocą kul lotniczych.</w:t>
            </w:r>
          </w:p>
        </w:tc>
      </w:tr>
      <w:tr w:rsidR="00FD1EDD" w:rsidRPr="00977AD6" w:rsidTr="000D1A5D">
        <w:trPr>
          <w:cantSplit/>
          <w:trHeight w:val="567"/>
          <w:jc w:val="center"/>
        </w:trPr>
        <w:tc>
          <w:tcPr>
            <w:tcW w:w="452" w:type="dxa"/>
            <w:textDirection w:val="tbRl"/>
          </w:tcPr>
          <w:p w:rsidR="00FD1EDD" w:rsidRPr="00977AD6" w:rsidRDefault="00FD1EDD" w:rsidP="00741379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E/4.1/P/2</w:t>
            </w:r>
          </w:p>
        </w:tc>
        <w:tc>
          <w:tcPr>
            <w:tcW w:w="451" w:type="dxa"/>
            <w:textDirection w:val="tbRl"/>
          </w:tcPr>
          <w:p w:rsidR="00FD1EDD" w:rsidRPr="00977AD6" w:rsidRDefault="00FD1EDD" w:rsidP="00741379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PSE S.A.</w:t>
            </w:r>
          </w:p>
        </w:tc>
        <w:tc>
          <w:tcPr>
            <w:tcW w:w="1991" w:type="dxa"/>
            <w:shd w:val="clear" w:color="auto" w:fill="FF0000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Budowa linii 400 kV Piła Krzewina – Plewiska wraz z rozbudową stacji w tym ciągu liniowym</w:t>
            </w:r>
          </w:p>
        </w:tc>
        <w:tc>
          <w:tcPr>
            <w:tcW w:w="1598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§2 ust.1 pkt 6)</w:t>
            </w:r>
          </w:p>
        </w:tc>
        <w:tc>
          <w:tcPr>
            <w:tcW w:w="1365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Brak danych</w:t>
            </w:r>
          </w:p>
        </w:tc>
        <w:tc>
          <w:tcPr>
            <w:tcW w:w="1484" w:type="dxa"/>
            <w:vMerge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b/>
                <w:sz w:val="18"/>
                <w:szCs w:val="18"/>
              </w:rPr>
              <w:t>PLH</w:t>
            </w:r>
            <w:r w:rsidRPr="00977AD6">
              <w:rPr>
                <w:sz w:val="18"/>
                <w:szCs w:val="18"/>
              </w:rPr>
              <w:t>: Dolina Noteci;</w:t>
            </w:r>
          </w:p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b/>
                <w:sz w:val="18"/>
                <w:szCs w:val="18"/>
              </w:rPr>
              <w:t>PLB</w:t>
            </w:r>
            <w:r w:rsidRPr="00977AD6">
              <w:rPr>
                <w:sz w:val="18"/>
                <w:szCs w:val="18"/>
              </w:rPr>
              <w:t>: Dolina Samicy, Dolina Środkowej Noteci i Kanału Bydgoskiego, Puszcza Notecka;</w:t>
            </w:r>
          </w:p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5B441A">
              <w:rPr>
                <w:b/>
                <w:sz w:val="18"/>
                <w:szCs w:val="18"/>
              </w:rPr>
              <w:t>OCHK</w:t>
            </w:r>
            <w:r w:rsidRPr="00977AD6">
              <w:rPr>
                <w:sz w:val="18"/>
                <w:szCs w:val="18"/>
              </w:rPr>
              <w:t xml:space="preserve">: Dolina Noteci, Pawłowicko-Sobocki, Puszcza Notecka </w:t>
            </w:r>
          </w:p>
        </w:tc>
        <w:tc>
          <w:tcPr>
            <w:tcW w:w="2157" w:type="dxa"/>
            <w:vMerge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46" w:type="dxa"/>
            <w:vMerge/>
          </w:tcPr>
          <w:p w:rsidR="00FD1EDD" w:rsidRPr="00977AD6" w:rsidRDefault="00FD1EDD" w:rsidP="003C7FD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FD1EDD" w:rsidRPr="00977AD6" w:rsidTr="000D1A5D">
        <w:trPr>
          <w:cantSplit/>
          <w:trHeight w:val="1476"/>
          <w:jc w:val="center"/>
        </w:trPr>
        <w:tc>
          <w:tcPr>
            <w:tcW w:w="452" w:type="dxa"/>
            <w:textDirection w:val="tbRl"/>
          </w:tcPr>
          <w:p w:rsidR="00FD1EDD" w:rsidRPr="00977AD6" w:rsidRDefault="00FD1EDD" w:rsidP="00741379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E/4.1/P/3</w:t>
            </w:r>
          </w:p>
        </w:tc>
        <w:tc>
          <w:tcPr>
            <w:tcW w:w="451" w:type="dxa"/>
            <w:textDirection w:val="tbRl"/>
          </w:tcPr>
          <w:p w:rsidR="00FD1EDD" w:rsidRPr="00977AD6" w:rsidRDefault="00FD1EDD" w:rsidP="00741379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PSE S.A.</w:t>
            </w:r>
          </w:p>
        </w:tc>
        <w:tc>
          <w:tcPr>
            <w:tcW w:w="1991" w:type="dxa"/>
            <w:shd w:val="clear" w:color="auto" w:fill="FF0000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Budowa linii 400 kV Mikułowa – Czarna wraz z rozbudową/modernizacją stacji w tym ciągu liniowym</w:t>
            </w:r>
          </w:p>
        </w:tc>
        <w:tc>
          <w:tcPr>
            <w:tcW w:w="1598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§2 ust.1 pkt 6)</w:t>
            </w:r>
          </w:p>
        </w:tc>
        <w:tc>
          <w:tcPr>
            <w:tcW w:w="1365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Brak danych</w:t>
            </w:r>
          </w:p>
        </w:tc>
        <w:tc>
          <w:tcPr>
            <w:tcW w:w="1484" w:type="dxa"/>
            <w:vMerge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5B441A">
              <w:rPr>
                <w:b/>
                <w:sz w:val="18"/>
                <w:szCs w:val="18"/>
              </w:rPr>
              <w:t>ZPK</w:t>
            </w:r>
            <w:r w:rsidRPr="00977AD6">
              <w:rPr>
                <w:rStyle w:val="FootnoteReference"/>
                <w:sz w:val="18"/>
                <w:szCs w:val="18"/>
              </w:rPr>
              <w:footnoteReference w:id="4"/>
            </w:r>
            <w:r w:rsidRPr="00977AD6">
              <w:rPr>
                <w:sz w:val="18"/>
                <w:szCs w:val="18"/>
              </w:rPr>
              <w:t xml:space="preserve">: Wysoczyzna Taczalińska </w:t>
            </w:r>
          </w:p>
        </w:tc>
        <w:tc>
          <w:tcPr>
            <w:tcW w:w="2157" w:type="dxa"/>
            <w:vMerge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46" w:type="dxa"/>
            <w:vMerge/>
          </w:tcPr>
          <w:p w:rsidR="00FD1EDD" w:rsidRPr="00977AD6" w:rsidRDefault="00FD1EDD" w:rsidP="003C7FD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FD1EDD" w:rsidRPr="00977AD6" w:rsidTr="000D1A5D">
        <w:trPr>
          <w:cantSplit/>
          <w:trHeight w:val="1584"/>
          <w:jc w:val="center"/>
        </w:trPr>
        <w:tc>
          <w:tcPr>
            <w:tcW w:w="452" w:type="dxa"/>
            <w:textDirection w:val="tbRl"/>
          </w:tcPr>
          <w:p w:rsidR="00FD1EDD" w:rsidRPr="00977AD6" w:rsidRDefault="00FD1EDD" w:rsidP="00741379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E/4.1/P/4</w:t>
            </w:r>
          </w:p>
        </w:tc>
        <w:tc>
          <w:tcPr>
            <w:tcW w:w="451" w:type="dxa"/>
            <w:textDirection w:val="tbRl"/>
          </w:tcPr>
          <w:p w:rsidR="00FD1EDD" w:rsidRPr="00977AD6" w:rsidRDefault="00FD1EDD" w:rsidP="00741379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PSE S.A.</w:t>
            </w:r>
          </w:p>
        </w:tc>
        <w:tc>
          <w:tcPr>
            <w:tcW w:w="1991" w:type="dxa"/>
            <w:shd w:val="clear" w:color="auto" w:fill="FF0000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Budowa dwutorowej linii 400 kV Krajnik – Baczyna wraz z budową/rozbudową/ modernizacją stacji w tym ciągu liniowym</w:t>
            </w:r>
          </w:p>
        </w:tc>
        <w:tc>
          <w:tcPr>
            <w:tcW w:w="1598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§2 ust.1 pkt 6)</w:t>
            </w:r>
          </w:p>
        </w:tc>
        <w:tc>
          <w:tcPr>
            <w:tcW w:w="1365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Brak danych</w:t>
            </w:r>
          </w:p>
        </w:tc>
        <w:tc>
          <w:tcPr>
            <w:tcW w:w="1484" w:type="dxa"/>
            <w:vMerge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b/>
                <w:sz w:val="18"/>
                <w:szCs w:val="18"/>
              </w:rPr>
              <w:t>PLH</w:t>
            </w:r>
            <w:r w:rsidRPr="00977AD6">
              <w:rPr>
                <w:sz w:val="18"/>
                <w:szCs w:val="18"/>
              </w:rPr>
              <w:t>: Dziczy Las, Dolina Tywy;</w:t>
            </w:r>
          </w:p>
          <w:p w:rsidR="00FD1EDD" w:rsidRPr="00977AD6" w:rsidRDefault="00FD1EDD" w:rsidP="0086112B">
            <w:pPr>
              <w:spacing w:after="0" w:line="240" w:lineRule="auto"/>
              <w:rPr>
                <w:sz w:val="18"/>
                <w:szCs w:val="18"/>
              </w:rPr>
            </w:pPr>
            <w:r w:rsidRPr="005B441A">
              <w:rPr>
                <w:b/>
                <w:sz w:val="18"/>
                <w:szCs w:val="18"/>
              </w:rPr>
              <w:t xml:space="preserve">OCHK: </w:t>
            </w:r>
            <w:r w:rsidRPr="00977AD6">
              <w:rPr>
                <w:sz w:val="18"/>
                <w:szCs w:val="18"/>
              </w:rPr>
              <w:t>Puszcza Barlinecka, Myślibórz</w:t>
            </w:r>
          </w:p>
        </w:tc>
        <w:tc>
          <w:tcPr>
            <w:tcW w:w="2157" w:type="dxa"/>
            <w:vMerge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46" w:type="dxa"/>
            <w:vMerge/>
          </w:tcPr>
          <w:p w:rsidR="00FD1EDD" w:rsidRPr="00977AD6" w:rsidRDefault="00FD1EDD" w:rsidP="003C7FD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FD1EDD" w:rsidRPr="00977AD6" w:rsidTr="000D1A5D">
        <w:trPr>
          <w:cantSplit/>
          <w:trHeight w:val="567"/>
          <w:jc w:val="center"/>
        </w:trPr>
        <w:tc>
          <w:tcPr>
            <w:tcW w:w="452" w:type="dxa"/>
            <w:textDirection w:val="tbRl"/>
          </w:tcPr>
          <w:p w:rsidR="00FD1EDD" w:rsidRPr="00977AD6" w:rsidRDefault="00FD1EDD" w:rsidP="00741379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E/4.1/P/5</w:t>
            </w:r>
          </w:p>
        </w:tc>
        <w:tc>
          <w:tcPr>
            <w:tcW w:w="451" w:type="dxa"/>
            <w:textDirection w:val="tbRl"/>
          </w:tcPr>
          <w:p w:rsidR="00FD1EDD" w:rsidRPr="00977AD6" w:rsidRDefault="00FD1EDD" w:rsidP="00741379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PSE S.A.</w:t>
            </w:r>
          </w:p>
        </w:tc>
        <w:tc>
          <w:tcPr>
            <w:tcW w:w="1991" w:type="dxa"/>
            <w:shd w:val="clear" w:color="auto" w:fill="FF0000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Budowa dwutorowej linii 400 kV Mikułowa – Świebodzice wraz z rozbudową stacji w tym ciągu liniowym</w:t>
            </w:r>
          </w:p>
        </w:tc>
        <w:tc>
          <w:tcPr>
            <w:tcW w:w="1598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§2 ust.1 pkt 6)</w:t>
            </w:r>
          </w:p>
        </w:tc>
        <w:tc>
          <w:tcPr>
            <w:tcW w:w="1365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Brak danych</w:t>
            </w:r>
          </w:p>
        </w:tc>
        <w:tc>
          <w:tcPr>
            <w:tcW w:w="1484" w:type="dxa"/>
            <w:vMerge w:val="restart"/>
          </w:tcPr>
          <w:p w:rsidR="00FD1EDD" w:rsidRPr="00977AD6" w:rsidRDefault="00FD1EDD" w:rsidP="009445F3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Przyroda (głównie ptaki i wycinka drzew)</w:t>
            </w:r>
          </w:p>
          <w:p w:rsidR="00FD1EDD" w:rsidRPr="00977AD6" w:rsidRDefault="00FD1EDD" w:rsidP="009445F3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Powierzchnia ziemi,</w:t>
            </w:r>
          </w:p>
          <w:p w:rsidR="00FD1EDD" w:rsidRPr="00977AD6" w:rsidRDefault="00FD1EDD" w:rsidP="009445F3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krajobraz,</w:t>
            </w:r>
          </w:p>
          <w:p w:rsidR="00FD1EDD" w:rsidRPr="00977AD6" w:rsidRDefault="00FD1EDD" w:rsidP="009445F3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ludzie</w:t>
            </w:r>
          </w:p>
        </w:tc>
        <w:tc>
          <w:tcPr>
            <w:tcW w:w="2126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b/>
                <w:sz w:val="18"/>
                <w:szCs w:val="18"/>
              </w:rPr>
              <w:t>PLH</w:t>
            </w:r>
            <w:r w:rsidRPr="00977AD6">
              <w:rPr>
                <w:sz w:val="18"/>
                <w:szCs w:val="18"/>
              </w:rPr>
              <w:t>: Ostoja nad Bobrem, Góry i Pogórze Kaczawskie, Dobromierz;</w:t>
            </w:r>
          </w:p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Parki krajobrazowe: Doliny Bobru, Książański, Chełmy;</w:t>
            </w:r>
          </w:p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5B441A">
              <w:rPr>
                <w:b/>
                <w:sz w:val="18"/>
                <w:szCs w:val="18"/>
              </w:rPr>
              <w:t>OCHK</w:t>
            </w:r>
            <w:r w:rsidRPr="00977AD6">
              <w:rPr>
                <w:sz w:val="18"/>
                <w:szCs w:val="18"/>
              </w:rPr>
              <w:t xml:space="preserve">: Ostrzyca Proboszczowicka  </w:t>
            </w:r>
          </w:p>
        </w:tc>
        <w:tc>
          <w:tcPr>
            <w:tcW w:w="2157" w:type="dxa"/>
            <w:vMerge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46" w:type="dxa"/>
            <w:vMerge/>
          </w:tcPr>
          <w:p w:rsidR="00FD1EDD" w:rsidRPr="00977AD6" w:rsidRDefault="00FD1EDD" w:rsidP="003C7FD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FD1EDD" w:rsidRPr="00977AD6" w:rsidTr="000D1A5D">
        <w:trPr>
          <w:cantSplit/>
          <w:trHeight w:val="4990"/>
          <w:jc w:val="center"/>
        </w:trPr>
        <w:tc>
          <w:tcPr>
            <w:tcW w:w="452" w:type="dxa"/>
            <w:textDirection w:val="tbRl"/>
          </w:tcPr>
          <w:p w:rsidR="00FD1EDD" w:rsidRPr="00977AD6" w:rsidRDefault="00FD1EDD" w:rsidP="00741379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E/4.1/P/6</w:t>
            </w:r>
          </w:p>
        </w:tc>
        <w:tc>
          <w:tcPr>
            <w:tcW w:w="451" w:type="dxa"/>
            <w:textDirection w:val="tbRl"/>
          </w:tcPr>
          <w:p w:rsidR="00FD1EDD" w:rsidRPr="00977AD6" w:rsidRDefault="00FD1EDD" w:rsidP="00741379">
            <w:pPr>
              <w:spacing w:after="0" w:line="240" w:lineRule="auto"/>
              <w:ind w:left="113" w:right="113"/>
              <w:jc w:val="center"/>
              <w:rPr>
                <w:sz w:val="18"/>
                <w:szCs w:val="18"/>
              </w:rPr>
            </w:pPr>
            <w:r w:rsidRPr="00977AD6">
              <w:rPr>
                <w:rFonts w:cs="Arial"/>
                <w:sz w:val="18"/>
                <w:szCs w:val="18"/>
              </w:rPr>
              <w:t>PSE S.A.</w:t>
            </w:r>
          </w:p>
        </w:tc>
        <w:tc>
          <w:tcPr>
            <w:tcW w:w="1991" w:type="dxa"/>
            <w:shd w:val="clear" w:color="auto" w:fill="FF0000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rFonts w:cs="Arial"/>
                <w:sz w:val="18"/>
                <w:szCs w:val="18"/>
              </w:rPr>
              <w:t>Rozbudowa stacji 400/220/110 kV Dunowo</w:t>
            </w:r>
          </w:p>
        </w:tc>
        <w:tc>
          <w:tcPr>
            <w:tcW w:w="1598" w:type="dxa"/>
          </w:tcPr>
          <w:p w:rsidR="00FD1EDD" w:rsidRPr="00977AD6" w:rsidRDefault="00FD1EDD" w:rsidP="00B77902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§2 ust.2</w:t>
            </w:r>
            <w:r w:rsidRPr="00977AD6">
              <w:rPr>
                <w:rStyle w:val="FootnoteReference"/>
                <w:sz w:val="18"/>
                <w:szCs w:val="18"/>
              </w:rPr>
              <w:footnoteReference w:id="5"/>
            </w:r>
          </w:p>
        </w:tc>
        <w:tc>
          <w:tcPr>
            <w:tcW w:w="1365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Brak danych</w:t>
            </w:r>
          </w:p>
        </w:tc>
        <w:tc>
          <w:tcPr>
            <w:tcW w:w="1484" w:type="dxa"/>
            <w:vMerge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Brak</w:t>
            </w:r>
          </w:p>
        </w:tc>
        <w:tc>
          <w:tcPr>
            <w:tcW w:w="2157" w:type="dxa"/>
          </w:tcPr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- Zajęcie terenu i zmiana jego użytkowania,</w:t>
            </w:r>
          </w:p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- Prz</w:t>
            </w:r>
            <w:r>
              <w:rPr>
                <w:sz w:val="18"/>
                <w:szCs w:val="18"/>
              </w:rPr>
              <w:t>ekształcenia szaty roślinnej  w </w:t>
            </w:r>
            <w:r w:rsidRPr="00977AD6">
              <w:rPr>
                <w:sz w:val="18"/>
                <w:szCs w:val="18"/>
              </w:rPr>
              <w:t>obrębie stacji i wyprowadzanych linii,</w:t>
            </w:r>
          </w:p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- oddziaływanie pól elektromagnetycznych,</w:t>
            </w:r>
          </w:p>
          <w:p w:rsidR="00FD1EDD" w:rsidRPr="00977AD6" w:rsidRDefault="00FD1EDD" w:rsidP="00D57345">
            <w:pPr>
              <w:spacing w:after="0" w:line="240" w:lineRule="auto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- Hałas</w:t>
            </w:r>
          </w:p>
          <w:p w:rsidR="00FD1EDD" w:rsidRPr="00977AD6" w:rsidRDefault="00FD1EDD" w:rsidP="00EF529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946" w:type="dxa"/>
          </w:tcPr>
          <w:p w:rsidR="00FD1EDD" w:rsidRPr="00977AD6" w:rsidRDefault="00FD1EDD" w:rsidP="00CF28E9">
            <w:pPr>
              <w:numPr>
                <w:ilvl w:val="0"/>
                <w:numId w:val="3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ograniczenie do minimum wycinki drzew i krzewów,</w:t>
            </w:r>
          </w:p>
          <w:p w:rsidR="00FD1EDD" w:rsidRDefault="00FD1EDD" w:rsidP="00CF28E9">
            <w:pPr>
              <w:numPr>
                <w:ilvl w:val="0"/>
                <w:numId w:val="3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prowadzenie prac związanych z wycinką drzew i krzewów poza okresami: lęgowym ptaków oraz rozrodczym płazów,</w:t>
            </w:r>
          </w:p>
          <w:p w:rsidR="00FD1EDD" w:rsidRDefault="00FD1EDD" w:rsidP="00CF28E9">
            <w:pPr>
              <w:numPr>
                <w:ilvl w:val="0"/>
                <w:numId w:val="3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 w:rsidRPr="00977AD6">
              <w:rPr>
                <w:sz w:val="18"/>
                <w:szCs w:val="18"/>
              </w:rPr>
              <w:t>zapewnienie ochrony drzew przed uszkodzeniem podczas prowadzenia prac,</w:t>
            </w:r>
          </w:p>
          <w:p w:rsidR="00FD1EDD" w:rsidRDefault="00FD1EDD" w:rsidP="00CF28E9">
            <w:pPr>
              <w:numPr>
                <w:ilvl w:val="0"/>
                <w:numId w:val="3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prowadzenie prac budowlanych w sposób minimalizujący emisje zanieczyszczeń i hałasu,</w:t>
            </w:r>
          </w:p>
          <w:p w:rsidR="00FD1EDD" w:rsidRDefault="00FD1EDD" w:rsidP="00CF28E9">
            <w:pPr>
              <w:numPr>
                <w:ilvl w:val="0"/>
                <w:numId w:val="3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oszczędne gospodarowanie przestrzenią w trakcie budowy w celu uniknięcia nadmiernego niszczenia powierzchniowej warstwy gleby,</w:t>
            </w:r>
          </w:p>
          <w:p w:rsidR="00FD1EDD" w:rsidRPr="00F35223" w:rsidRDefault="00FD1EDD" w:rsidP="00F35223">
            <w:pPr>
              <w:numPr>
                <w:ilvl w:val="0"/>
                <w:numId w:val="3"/>
              </w:numPr>
              <w:spacing w:after="0" w:line="240" w:lineRule="auto"/>
              <w:ind w:left="295" w:hanging="21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zabezpieczenie terenu budowy przed przedostaniem się ewentualnych wycieków z maszyn i urządzeń, w tym  budowlanych do gleby i wód.</w:t>
            </w:r>
          </w:p>
        </w:tc>
      </w:tr>
    </w:tbl>
    <w:p w:rsidR="00FD1EDD" w:rsidRDefault="00FD1EDD"/>
    <w:sectPr w:rsidR="00FD1EDD" w:rsidSect="00586613">
      <w:foot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EDD" w:rsidRDefault="00FD1EDD" w:rsidP="00586613">
      <w:pPr>
        <w:spacing w:after="0" w:line="240" w:lineRule="auto"/>
      </w:pPr>
      <w:r>
        <w:separator/>
      </w:r>
    </w:p>
  </w:endnote>
  <w:endnote w:type="continuationSeparator" w:id="0">
    <w:p w:rsidR="00FD1EDD" w:rsidRDefault="00FD1EDD" w:rsidP="00586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EDD" w:rsidRDefault="00FD1EDD">
    <w:pPr>
      <w:pStyle w:val="Footer"/>
      <w:jc w:val="center"/>
    </w:pPr>
    <w:r>
      <w:rPr>
        <w:noProof/>
        <w:lang w:eastAsia="pl-PL"/>
      </w:rPr>
    </w:r>
    <w:r>
      <w:pict>
        <v:group id="_x0000_s2049" style="width:32.95pt;height:17.45pt;mso-position-horizontal-relative:char;mso-position-vertical-relative:line" coordorigin="5351,739" coordsize="659,349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5351;top:800;width:659;height:288;v-text-anchor:middle" filled="f" stroked="f">
            <v:textbox style="mso-next-textbox:#_x0000_s2050" inset="0,0,0,0">
              <w:txbxContent>
                <w:p w:rsidR="00FD1EDD" w:rsidRPr="00586613" w:rsidRDefault="00FD1EDD" w:rsidP="0058661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586613">
                    <w:rPr>
                      <w:sz w:val="20"/>
                      <w:szCs w:val="20"/>
                    </w:rPr>
                    <w:fldChar w:fldCharType="begin"/>
                  </w:r>
                  <w:r w:rsidRPr="00586613">
                    <w:rPr>
                      <w:sz w:val="20"/>
                      <w:szCs w:val="20"/>
                    </w:rPr>
                    <w:instrText xml:space="preserve"> PAGE    \* MERGEFORMAT </w:instrText>
                  </w:r>
                  <w:r w:rsidRPr="00586613"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  <w:sz w:val="20"/>
                      <w:szCs w:val="20"/>
                    </w:rPr>
                    <w:t>1</w:t>
                  </w:r>
                  <w:r w:rsidRPr="00586613">
                    <w:rPr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shape>
          <v:group id="_x0000_s2051" style="position:absolute;left:5494;top:739;width:372;height:72" coordorigin="5486,739" coordsize="372,72">
            <v:oval id="_x0000_s2052" style="position:absolute;left:5486;top:739;width:72;height:72" fillcolor="#7ba0cd" stroked="f"/>
            <v:oval id="_x0000_s2053" style="position:absolute;left:5636;top:739;width:72;height:72" fillcolor="#7ba0cd" stroked="f"/>
            <v:oval id="_x0000_s2054" style="position:absolute;left:5786;top:739;width:72;height:72" fillcolor="#7ba0cd" stroked="f"/>
          </v:group>
          <w10:wrap anchorx="margin" anchory="page"/>
          <w10:anchorlock/>
        </v:group>
      </w:pict>
    </w:r>
  </w:p>
  <w:p w:rsidR="00FD1EDD" w:rsidRDefault="00FD1E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EDD" w:rsidRDefault="00FD1EDD" w:rsidP="00586613">
      <w:pPr>
        <w:spacing w:after="0" w:line="240" w:lineRule="auto"/>
      </w:pPr>
      <w:r>
        <w:separator/>
      </w:r>
    </w:p>
  </w:footnote>
  <w:footnote w:type="continuationSeparator" w:id="0">
    <w:p w:rsidR="00FD1EDD" w:rsidRDefault="00FD1EDD" w:rsidP="00586613">
      <w:pPr>
        <w:spacing w:after="0" w:line="240" w:lineRule="auto"/>
      </w:pPr>
      <w:r>
        <w:continuationSeparator/>
      </w:r>
    </w:p>
  </w:footnote>
  <w:footnote w:id="1">
    <w:p w:rsidR="00FD1EDD" w:rsidRDefault="00FD1EDD" w:rsidP="00741379">
      <w:pPr>
        <w:pStyle w:val="FootnoteText"/>
        <w:spacing w:after="0" w:line="240" w:lineRule="auto"/>
      </w:pPr>
      <w:r>
        <w:rPr>
          <w:rStyle w:val="FootnoteReference"/>
        </w:rPr>
        <w:footnoteRef/>
      </w:r>
      <w:r>
        <w:t xml:space="preserve"> Podane potencjale zagrożenia mają charakter przykładowy i ich szczegółowy zakres będzie każdorazowo analizowany na podstawie konkretnych projektów.</w:t>
      </w:r>
    </w:p>
  </w:footnote>
  <w:footnote w:id="2">
    <w:p w:rsidR="00FD1EDD" w:rsidRDefault="00FD1EDD" w:rsidP="00AD2D0E">
      <w:pPr>
        <w:pStyle w:val="FootnoteText"/>
        <w:spacing w:after="0" w:line="240" w:lineRule="auto"/>
      </w:pPr>
      <w:r>
        <w:rPr>
          <w:rStyle w:val="FootnoteReference"/>
        </w:rPr>
        <w:footnoteRef/>
      </w:r>
      <w:r>
        <w:t xml:space="preserve"> Podane środki zaradcze, minimalizujące i kompensacyjne mają charakter przykładowy i na etapie projektowym dla konkretnych projektów powinny być uszczegółowione.</w:t>
      </w:r>
    </w:p>
  </w:footnote>
  <w:footnote w:id="3">
    <w:p w:rsidR="00FD1EDD" w:rsidRDefault="00FD1EDD" w:rsidP="00741379">
      <w:pPr>
        <w:pStyle w:val="FootnoteText"/>
        <w:spacing w:after="0" w:line="240" w:lineRule="auto"/>
      </w:pPr>
      <w:r>
        <w:rPr>
          <w:rStyle w:val="FootnoteReference"/>
        </w:rPr>
        <w:footnoteRef/>
      </w:r>
      <w:r>
        <w:t xml:space="preserve"> OCHK – obszar chronionego krajobrazu </w:t>
      </w:r>
    </w:p>
  </w:footnote>
  <w:footnote w:id="4">
    <w:p w:rsidR="00FD1EDD" w:rsidRDefault="00FD1EDD" w:rsidP="00741379">
      <w:pPr>
        <w:pStyle w:val="FootnoteText"/>
        <w:spacing w:after="0" w:line="240" w:lineRule="auto"/>
      </w:pPr>
      <w:r>
        <w:rPr>
          <w:rStyle w:val="FootnoteReference"/>
        </w:rPr>
        <w:footnoteRef/>
      </w:r>
      <w:r>
        <w:t xml:space="preserve"> ZPK – zespół przyrodniczo-krajobrazowy </w:t>
      </w:r>
    </w:p>
  </w:footnote>
  <w:footnote w:id="5">
    <w:p w:rsidR="00FD1EDD" w:rsidRDefault="00FD1EDD" w:rsidP="00D30E39">
      <w:pPr>
        <w:pStyle w:val="FootnoteText"/>
        <w:spacing w:after="0" w:line="240" w:lineRule="auto"/>
        <w:jc w:val="both"/>
      </w:pPr>
      <w:r>
        <w:rPr>
          <w:rStyle w:val="FootnoteReference"/>
        </w:rPr>
        <w:footnoteRef/>
      </w:r>
      <w:r>
        <w:t xml:space="preserve">  Klasyfikacja przedsięwzięć będzie każdorazowo dokonywana w procesie ooś w zależności od zakresu przedsięwzięcia. Niemniej w tabeli zaznaczono je, uwzględniając zasadę prewencji jako możliwe do zakwalifikowania w grupie stale znacząco oddziaływujących na środowisko.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6F5D"/>
    <w:multiLevelType w:val="hybridMultilevel"/>
    <w:tmpl w:val="9ED62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D605AE"/>
    <w:multiLevelType w:val="hybridMultilevel"/>
    <w:tmpl w:val="1E923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F3191"/>
    <w:multiLevelType w:val="hybridMultilevel"/>
    <w:tmpl w:val="AD82E86E"/>
    <w:lvl w:ilvl="0" w:tplc="F142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602A"/>
    <w:rsid w:val="00021FD7"/>
    <w:rsid w:val="00024468"/>
    <w:rsid w:val="00050031"/>
    <w:rsid w:val="00077BD3"/>
    <w:rsid w:val="000A6651"/>
    <w:rsid w:val="000D1A5D"/>
    <w:rsid w:val="000D240B"/>
    <w:rsid w:val="000E3BB8"/>
    <w:rsid w:val="001236F4"/>
    <w:rsid w:val="00130E14"/>
    <w:rsid w:val="001904EF"/>
    <w:rsid w:val="001960FD"/>
    <w:rsid w:val="001B22A7"/>
    <w:rsid w:val="002115C5"/>
    <w:rsid w:val="00242876"/>
    <w:rsid w:val="002A242E"/>
    <w:rsid w:val="002A4E67"/>
    <w:rsid w:val="002B461C"/>
    <w:rsid w:val="002F407B"/>
    <w:rsid w:val="003317BE"/>
    <w:rsid w:val="003364F6"/>
    <w:rsid w:val="00363111"/>
    <w:rsid w:val="00386B36"/>
    <w:rsid w:val="003B1440"/>
    <w:rsid w:val="003C7FD9"/>
    <w:rsid w:val="003D6473"/>
    <w:rsid w:val="004143B3"/>
    <w:rsid w:val="0047485B"/>
    <w:rsid w:val="004C7809"/>
    <w:rsid w:val="004F3684"/>
    <w:rsid w:val="00567DD4"/>
    <w:rsid w:val="00574B3E"/>
    <w:rsid w:val="00586613"/>
    <w:rsid w:val="00590F83"/>
    <w:rsid w:val="005B441A"/>
    <w:rsid w:val="005B4457"/>
    <w:rsid w:val="005E7237"/>
    <w:rsid w:val="005F53B6"/>
    <w:rsid w:val="006169A2"/>
    <w:rsid w:val="00694B0F"/>
    <w:rsid w:val="006E57E0"/>
    <w:rsid w:val="00713378"/>
    <w:rsid w:val="00725500"/>
    <w:rsid w:val="00741379"/>
    <w:rsid w:val="00761E7F"/>
    <w:rsid w:val="00770A1A"/>
    <w:rsid w:val="00776B42"/>
    <w:rsid w:val="00811452"/>
    <w:rsid w:val="008355EB"/>
    <w:rsid w:val="0086112B"/>
    <w:rsid w:val="00861EF2"/>
    <w:rsid w:val="00872EDA"/>
    <w:rsid w:val="008A46E7"/>
    <w:rsid w:val="008B51CF"/>
    <w:rsid w:val="008C602A"/>
    <w:rsid w:val="008C7A15"/>
    <w:rsid w:val="008E4CE0"/>
    <w:rsid w:val="009445F3"/>
    <w:rsid w:val="00973B5E"/>
    <w:rsid w:val="00977AD6"/>
    <w:rsid w:val="009A3D48"/>
    <w:rsid w:val="009A57F6"/>
    <w:rsid w:val="00A208B6"/>
    <w:rsid w:val="00A4310E"/>
    <w:rsid w:val="00A53862"/>
    <w:rsid w:val="00AA3AFB"/>
    <w:rsid w:val="00AA6D32"/>
    <w:rsid w:val="00AD2D0E"/>
    <w:rsid w:val="00B4540A"/>
    <w:rsid w:val="00B524DA"/>
    <w:rsid w:val="00B612AB"/>
    <w:rsid w:val="00B67187"/>
    <w:rsid w:val="00B77902"/>
    <w:rsid w:val="00BA3110"/>
    <w:rsid w:val="00BC2297"/>
    <w:rsid w:val="00BD3A16"/>
    <w:rsid w:val="00C141F4"/>
    <w:rsid w:val="00C14936"/>
    <w:rsid w:val="00C41190"/>
    <w:rsid w:val="00C46A87"/>
    <w:rsid w:val="00C476A9"/>
    <w:rsid w:val="00C70444"/>
    <w:rsid w:val="00C870B1"/>
    <w:rsid w:val="00CB0391"/>
    <w:rsid w:val="00CD2982"/>
    <w:rsid w:val="00CF28E9"/>
    <w:rsid w:val="00D30E39"/>
    <w:rsid w:val="00D40807"/>
    <w:rsid w:val="00D57345"/>
    <w:rsid w:val="00DC5BD3"/>
    <w:rsid w:val="00DD05A9"/>
    <w:rsid w:val="00DD102F"/>
    <w:rsid w:val="00DD2C87"/>
    <w:rsid w:val="00E002BC"/>
    <w:rsid w:val="00E03024"/>
    <w:rsid w:val="00E34956"/>
    <w:rsid w:val="00E51BFA"/>
    <w:rsid w:val="00E65EAC"/>
    <w:rsid w:val="00E67EF1"/>
    <w:rsid w:val="00EF5295"/>
    <w:rsid w:val="00F03D49"/>
    <w:rsid w:val="00F35223"/>
    <w:rsid w:val="00F367C1"/>
    <w:rsid w:val="00FA4F89"/>
    <w:rsid w:val="00FA60D1"/>
    <w:rsid w:val="00FD1EDD"/>
    <w:rsid w:val="00FF74D6"/>
    <w:rsid w:val="00FF7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02A"/>
    <w:pPr>
      <w:spacing w:after="200" w:line="276" w:lineRule="auto"/>
    </w:pPr>
    <w:rPr>
      <w:lang w:eastAsia="en-US"/>
    </w:rPr>
  </w:style>
  <w:style w:type="paragraph" w:styleId="Heading1">
    <w:name w:val="heading 1"/>
    <w:aliases w:val="h1,Heading 1a,A MAJOR/BOLD,II+,I,level 1,Level 1 Head,H1,henormal"/>
    <w:basedOn w:val="Normal"/>
    <w:next w:val="Normal"/>
    <w:link w:val="Heading1Char1"/>
    <w:uiPriority w:val="99"/>
    <w:qFormat/>
    <w:rsid w:val="008C602A"/>
    <w:pPr>
      <w:keepNext/>
      <w:keepLines/>
      <w:spacing w:before="720" w:after="240" w:line="360" w:lineRule="auto"/>
      <w:outlineLvl w:val="0"/>
    </w:pPr>
    <w:rPr>
      <w:rFonts w:ascii="Arial" w:eastAsia="Times New Roman" w:hAnsi="Arial"/>
      <w:b/>
      <w:bCs/>
      <w:caps/>
      <w:sz w:val="28"/>
      <w:szCs w:val="28"/>
      <w:lang w:eastAsia="pl-PL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8C602A"/>
    <w:pPr>
      <w:keepNext/>
      <w:keepLines/>
      <w:spacing w:before="320" w:after="120" w:line="360" w:lineRule="auto"/>
      <w:outlineLvl w:val="2"/>
    </w:pPr>
    <w:rPr>
      <w:rFonts w:ascii="Arial" w:eastAsia="Times New Roman" w:hAnsi="Arial"/>
      <w:b/>
      <w:bCs/>
      <w:sz w:val="20"/>
      <w:szCs w:val="24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a Char,A MAJOR/BOLD Char,II+ Char,I Char,level 1 Char,Level 1 Head Char,H1 Char,henormal Char"/>
    <w:basedOn w:val="DefaultParagraphFont"/>
    <w:link w:val="Heading1"/>
    <w:uiPriority w:val="99"/>
    <w:rsid w:val="008C602A"/>
    <w:rPr>
      <w:rFonts w:ascii="Calibri Light" w:hAnsi="Calibri Light"/>
      <w:color w:val="2E74B5"/>
      <w:sz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8C602A"/>
    <w:rPr>
      <w:rFonts w:ascii="Calibri Light" w:hAnsi="Calibri Light"/>
      <w:color w:val="1F4D78"/>
      <w:sz w:val="24"/>
    </w:rPr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174"/>
    <w:rPr>
      <w:rFonts w:ascii="Times New Roman" w:hAnsi="Times New Roman"/>
      <w:sz w:val="0"/>
      <w:szCs w:val="0"/>
      <w:lang w:eastAsia="en-US"/>
    </w:rPr>
  </w:style>
  <w:style w:type="character" w:customStyle="1" w:styleId="Heading1Char1">
    <w:name w:val="Heading 1 Char1"/>
    <w:aliases w:val="h1 Char1,Heading 1a Char1,A MAJOR/BOLD Char1,II+ Char1,I Char1,level 1 Char1,Level 1 Head Char1,H1 Char1,henormal Char1"/>
    <w:link w:val="Heading1"/>
    <w:uiPriority w:val="99"/>
    <w:locked/>
    <w:rsid w:val="008C602A"/>
    <w:rPr>
      <w:rFonts w:ascii="Arial" w:hAnsi="Arial"/>
      <w:b/>
      <w:caps/>
      <w:sz w:val="28"/>
    </w:rPr>
  </w:style>
  <w:style w:type="character" w:customStyle="1" w:styleId="Heading3Char1">
    <w:name w:val="Heading 3 Char1"/>
    <w:link w:val="Heading3"/>
    <w:uiPriority w:val="99"/>
    <w:locked/>
    <w:rsid w:val="008C602A"/>
    <w:rPr>
      <w:rFonts w:ascii="Arial" w:hAnsi="Arial"/>
      <w:b/>
      <w:sz w:val="24"/>
    </w:rPr>
  </w:style>
  <w:style w:type="paragraph" w:styleId="ListParagraph">
    <w:name w:val="List Paragraph"/>
    <w:basedOn w:val="Normal"/>
    <w:uiPriority w:val="99"/>
    <w:qFormat/>
    <w:rsid w:val="004143B3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58661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86613"/>
    <w:rPr>
      <w:rFonts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58661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86613"/>
    <w:rPr>
      <w:rFonts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904E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904EF"/>
    <w:rPr>
      <w:rFonts w:cs="Times New Roman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1904E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975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644</Words>
  <Characters>3864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SEKTOR ELEKTROENERGETYCZNY</dc:title>
  <dc:subject/>
  <dc:creator>Ola</dc:creator>
  <cp:keywords/>
  <dc:description/>
  <cp:lastModifiedBy>Stanczak Izabella</cp:lastModifiedBy>
  <cp:revision>2</cp:revision>
  <dcterms:created xsi:type="dcterms:W3CDTF">2015-01-12T12:50:00Z</dcterms:created>
  <dcterms:modified xsi:type="dcterms:W3CDTF">2015-01-12T12:50:00Z</dcterms:modified>
</cp:coreProperties>
</file>