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B81" w:rsidRPr="0072127D" w:rsidRDefault="00600B81" w:rsidP="00CD5DF3">
      <w:pPr>
        <w:pStyle w:val="Heading3"/>
        <w:spacing w:before="0" w:after="0"/>
        <w:rPr>
          <w:rFonts w:ascii="Calibri" w:hAnsi="Calibri"/>
          <w:sz w:val="22"/>
          <w:szCs w:val="22"/>
        </w:rPr>
      </w:pPr>
      <w:bookmarkStart w:id="0" w:name="_Toc395525737"/>
      <w:r w:rsidRPr="0072127D">
        <w:rPr>
          <w:rFonts w:ascii="Calibri" w:hAnsi="Calibri"/>
          <w:sz w:val="22"/>
          <w:szCs w:val="22"/>
        </w:rPr>
        <w:t>Dystrybucja energii elektrycznej – Priorytet Inwestycyjny 4.4</w:t>
      </w:r>
      <w:bookmarkEnd w:id="0"/>
    </w:p>
    <w:tbl>
      <w:tblPr>
        <w:tblW w:w="15089" w:type="dxa"/>
        <w:jc w:val="center"/>
        <w:tblBorders>
          <w:top w:val="single" w:sz="4" w:space="0" w:color="1F3864"/>
          <w:left w:val="single" w:sz="4" w:space="0" w:color="1F3864"/>
          <w:bottom w:val="single" w:sz="4" w:space="0" w:color="1F3864"/>
          <w:right w:val="single" w:sz="4" w:space="0" w:color="1F3864"/>
          <w:insideH w:val="single" w:sz="4" w:space="0" w:color="1F3864"/>
          <w:insideV w:val="single" w:sz="4" w:space="0" w:color="1F3864"/>
        </w:tblBorders>
        <w:tblCellMar>
          <w:left w:w="70" w:type="dxa"/>
          <w:right w:w="70" w:type="dxa"/>
        </w:tblCellMar>
        <w:tblLook w:val="0000"/>
      </w:tblPr>
      <w:tblGrid>
        <w:gridCol w:w="5"/>
        <w:gridCol w:w="598"/>
        <w:gridCol w:w="626"/>
        <w:gridCol w:w="2710"/>
        <w:gridCol w:w="1635"/>
        <w:gridCol w:w="1530"/>
        <w:gridCol w:w="1529"/>
        <w:gridCol w:w="1232"/>
        <w:gridCol w:w="2447"/>
        <w:gridCol w:w="2777"/>
      </w:tblGrid>
      <w:tr w:rsidR="00600B81" w:rsidRPr="003700B8" w:rsidTr="003B65DD">
        <w:trPr>
          <w:cantSplit/>
          <w:trHeight w:val="1783"/>
          <w:tblHeader/>
          <w:jc w:val="center"/>
        </w:trPr>
        <w:tc>
          <w:tcPr>
            <w:tcW w:w="598" w:type="dxa"/>
            <w:gridSpan w:val="2"/>
            <w:shd w:val="clear" w:color="auto" w:fill="8EAADB"/>
            <w:textDirection w:val="tbRl"/>
            <w:vAlign w:val="center"/>
          </w:tcPr>
          <w:p w:rsidR="00600B81" w:rsidRPr="003700B8" w:rsidRDefault="00600B81" w:rsidP="006223E7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Kod</w:t>
            </w:r>
          </w:p>
        </w:tc>
        <w:tc>
          <w:tcPr>
            <w:tcW w:w="627" w:type="dxa"/>
            <w:shd w:val="clear" w:color="auto" w:fill="8EAADB"/>
            <w:textDirection w:val="tbRl"/>
            <w:vAlign w:val="center"/>
          </w:tcPr>
          <w:p w:rsidR="00600B81" w:rsidRPr="003700B8" w:rsidRDefault="00600B81" w:rsidP="006223E7">
            <w:pPr>
              <w:spacing w:after="0" w:line="240" w:lineRule="auto"/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Przedsiębiorstwo</w:t>
            </w:r>
          </w:p>
        </w:tc>
        <w:tc>
          <w:tcPr>
            <w:tcW w:w="2710" w:type="dxa"/>
            <w:shd w:val="clear" w:color="auto" w:fill="8EAADB"/>
            <w:vAlign w:val="center"/>
          </w:tcPr>
          <w:p w:rsidR="00600B81" w:rsidRPr="003700B8" w:rsidRDefault="00600B81" w:rsidP="006223E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Rodzaj inwestycji</w:t>
            </w:r>
          </w:p>
          <w:p w:rsidR="00600B81" w:rsidRPr="003700B8" w:rsidRDefault="00600B81" w:rsidP="006223E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(długość linii)</w:t>
            </w:r>
          </w:p>
        </w:tc>
        <w:tc>
          <w:tcPr>
            <w:tcW w:w="1635" w:type="dxa"/>
            <w:shd w:val="clear" w:color="auto" w:fill="8EAADB"/>
            <w:vAlign w:val="center"/>
          </w:tcPr>
          <w:p w:rsidR="00600B81" w:rsidRPr="003700B8" w:rsidRDefault="00600B81" w:rsidP="006223E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Klasyfikacja wg Rozporządzenia Rady Ministrów w sprawie przedsięwzięć mogących znacząco oddziaływać na środowisko</w:t>
            </w:r>
          </w:p>
        </w:tc>
        <w:tc>
          <w:tcPr>
            <w:tcW w:w="1530" w:type="dxa"/>
            <w:shd w:val="clear" w:color="auto" w:fill="8EAADB"/>
            <w:vAlign w:val="center"/>
          </w:tcPr>
          <w:p w:rsidR="00600B81" w:rsidRPr="003700B8" w:rsidRDefault="00600B81" w:rsidP="006223E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Informacja o posiadanych decyzjach środowiskowych i raportach</w:t>
            </w:r>
          </w:p>
        </w:tc>
        <w:tc>
          <w:tcPr>
            <w:tcW w:w="1529" w:type="dxa"/>
            <w:shd w:val="clear" w:color="auto" w:fill="8EAADB"/>
            <w:vAlign w:val="center"/>
          </w:tcPr>
          <w:p w:rsidR="00600B81" w:rsidRPr="003700B8" w:rsidRDefault="00600B81" w:rsidP="006223E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Główne elementy środowiska na które może oddziaływać przedsięwzięcie</w:t>
            </w:r>
          </w:p>
        </w:tc>
        <w:tc>
          <w:tcPr>
            <w:tcW w:w="1232" w:type="dxa"/>
            <w:shd w:val="clear" w:color="auto" w:fill="8EAADB"/>
            <w:vAlign w:val="center"/>
          </w:tcPr>
          <w:p w:rsidR="00600B81" w:rsidRPr="003700B8" w:rsidRDefault="00600B81" w:rsidP="006223E7">
            <w:pPr>
              <w:spacing w:after="0" w:line="240" w:lineRule="auto"/>
              <w:jc w:val="center"/>
              <w:rPr>
                <w:b/>
                <w:sz w:val="20"/>
                <w:szCs w:val="20"/>
                <w:vertAlign w:val="superscript"/>
              </w:rPr>
            </w:pPr>
            <w:r w:rsidRPr="003700B8">
              <w:rPr>
                <w:b/>
                <w:sz w:val="20"/>
                <w:szCs w:val="20"/>
              </w:rPr>
              <w:t>Identyfikacja obszarów chronionych</w:t>
            </w:r>
            <w:r w:rsidRPr="003700B8">
              <w:rPr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2449" w:type="dxa"/>
            <w:shd w:val="clear" w:color="auto" w:fill="8EAADB"/>
            <w:vAlign w:val="center"/>
          </w:tcPr>
          <w:p w:rsidR="00600B81" w:rsidRPr="003700B8" w:rsidRDefault="00600B81" w:rsidP="006223E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Potencjalne zagrożenia</w:t>
            </w:r>
            <w:r w:rsidRPr="003700B8">
              <w:rPr>
                <w:rStyle w:val="FootnoteReference"/>
                <w:b/>
                <w:sz w:val="20"/>
                <w:szCs w:val="20"/>
              </w:rPr>
              <w:footnoteReference w:id="1"/>
            </w:r>
          </w:p>
        </w:tc>
        <w:tc>
          <w:tcPr>
            <w:tcW w:w="2779" w:type="dxa"/>
            <w:shd w:val="clear" w:color="auto" w:fill="8EAADB"/>
            <w:vAlign w:val="center"/>
          </w:tcPr>
          <w:p w:rsidR="00600B81" w:rsidRPr="003700B8" w:rsidRDefault="00600B81" w:rsidP="006223E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3700B8">
              <w:rPr>
                <w:b/>
                <w:sz w:val="20"/>
                <w:szCs w:val="20"/>
              </w:rPr>
              <w:t>Środki zapobiegawcze, minimalizujące i kompensacyjne</w:t>
            </w:r>
            <w:r w:rsidRPr="003700B8">
              <w:rPr>
                <w:rStyle w:val="FootnoteReference"/>
                <w:b/>
                <w:sz w:val="20"/>
                <w:szCs w:val="20"/>
              </w:rPr>
              <w:footnoteReference w:id="2"/>
            </w:r>
          </w:p>
        </w:tc>
      </w:tr>
      <w:tr w:rsidR="00600B81" w:rsidRPr="003700B8" w:rsidTr="003B65DD">
        <w:trPr>
          <w:cantSplit/>
          <w:trHeight w:val="4324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sieci inteligentnej na terenie środkowej Wielkopolski (OD Poznań cen.) poprzez modernizację i przebudowę linii i stacji SN i nn, wymianę transformatorów, automatyzację linii i stacji w wyniku zastosowania zdalnego sterowania i elektroenergetycznej automatyki zabezpieczeniowej, w tym wskaźników przepływu prądów zwarciowych oraz zastosowanie inteligentnego opomiarowania, w tym liczników bilansujących wraz z infrastrukturą transmisyjną.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3681" w:type="dxa"/>
            <w:gridSpan w:val="2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cantSplit/>
          <w:trHeight w:val="4446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sieci inteligentnej na terenie północno-zachodniej Polski (OD Szczecin) poprzez modernizację i przebudowę linii i stacji SN i nn, wymianę transformatorów, automatyzację linii i stacji w wyniku zastosowania zdalnego sterowania i elektroenergetycznej automatyki zabezpieczeniowej, w tym wskaźników przepływu prądów zwarciowych oraz zastosowanie inteligentnego opomiarowania, w tym liczników bilansujących wraz z infrastrukturą transmisyjną.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E/4.4/D/3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sieci inteligentnej na terenie południowej Wielkopolski (OD Poznań poł.) poprzez modernizację i przebudowę linii i stacji SN i nn, wymianę transformatorów, automatyzację linii i stacji w wyniku zastosowania zdalnego sterowania i elektroenergetycznej automatyki zabezpieczeniowej, w tym wskaźników przepływu prądów zwarciowych oraz zastosowanie inteligentnego opomiarowania, w tym liczników bilansujących wraz z infrastrukturą transmisyjną.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- Defragmentacja siedlisk przyrodniczych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Kolizje ze szlakami migracji zwierząt, roślin i grzybów i związane z tym powstanie barier ekologicznych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- W przypadku awarii s</w:t>
            </w:r>
            <w:r w:rsidRPr="003700B8">
              <w:rPr>
                <w:sz w:val="20"/>
                <w:szCs w:val="20"/>
                <w:lang w:eastAsia="en-GB"/>
              </w:rPr>
              <w:t>każenie gleby w strefie korzeniowej powoduje usychanie liści, uszkodzenie młodych pędów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E/4.4/D/4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sieci inteligentnej na terenie północnej Wielkopolski (OD Poznań płn.) poprzez modernizację i przebudowę linii i stacji SN i nn, wymianę transformatorów, automatyzację linii i stacji w wyniku zastosowania zdalnego sterowania i elektroenergetycznej automatyki zabezpieczeniowej, w tym wskaźników przepływu prądów zwarciowych oraz zastosowanie inteligentnego opomiarowania, w tym liczników bilansujących wraz z infrastrukturą transmisyjną.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3681" w:type="dxa"/>
            <w:gridSpan w:val="2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E/4.4/D/5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sieci inteligentnej na terenie zachodniej Polski (OD Gorzów Wlkp.) poprzez modernizację i przebudowę linii i stacji SN i nn, wymianę transformatorów, automatyzację linii i stacji w wyniku zastosowania zdalnego sterowania i elektroenergetycznej automatyki zabezpieczeniowej, w tym wskaźników przepływu prądów zwarciowych oraz zastosowanie inteligentnego opomiarowania, w tym liczników bilansujących wraz z infrastrukturą transmisyjną.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E/4.4/D/6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sieci inteligentnej na terenie zachodniej Polski (OD Zielona Góra) poprzez modernizację i przebudowę linii i stacji SN i nn, wymianę transformatorów, automatyzację linii i stacji w wyniku zastosowania zdalnego sterowania i elektroenergetycznej automatyki zabezpieczeniowej, w tym wskaźników przepływu prądów zwarciowych oraz zastosowanie inteligentnego opomiarowania, w tym liczników bilansujących wraz z infrastrukturą transmisyjną.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E/4.4/D/7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Enea Operator Sp. z o.o.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sieci inteligentnej na terenie Kujaw (OD Bydgoszcz) poprzez modernizację i przebudowę linii i stacji SN i nn, wymianę transformatorów, automatyzację linii i stacji w wyniku zastosowania zdalnego sterowania i elektroenergetycznej automatyki zabezpieczeniowej, w tym wskaźników przepływu prądów zwarciowych oraz zastosowanie inteligentnego opomiarowania, w tym liczników bilansujących wraz z infrastrukturą transmisyjną.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3681" w:type="dxa"/>
            <w:gridSpan w:val="2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E/4.4/D/8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Przebudowa sieci do standardów Smart Grid poprzez instalowanie inteligentnego opomiarowania, automatyzację sieci, wdrożenie dedykowanej łączności cyfrowej, w celu aktywizacji odbiorcy, dla poprawy efektywności użytkowania energii oraz efektywnego zarządzania systemem elektroenergetycznym, dla poprawy bezpieczeństwa dostaw. Wdrożenie podstawowe w obszarze etapu IV na podstawie wyników projektu pilotażowego i etapów I - III.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E/4.4/D/9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Przebudowa sieci do standardów Smart Grid poprzez instalowanie inteligentnego opomiarowania i automatyzację sieci, w celu aktywizacji odbiorcy dla poprawy efektywności użytkowania energii oraz efektywnego zarządzania systemem elektroenergetycznym dla  poprawy bezpieczeństwa dostaw. Wdrożenie podstawowe w obszarze etapu III na podstawie wyników projektu pilotażowego i etapów I i II.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E/4.4/D/10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Przebudowa sieci do standardów Smart Grid poprzez instalowanie inteligentnego opomiarowania, automatyzację sieci, wdrożenie dedykowanej łączności cyfrowej, w celu aktywizacji odbiorcy, dla poprawy efektywności użytkowania energii oraz efektywnego zarządzania systemem elektroenergetycznym, dla poprawy bezpieczeństwa dostaw. Wdrożenie podstawowe w obszarze etapu V na podstawie wyników projektu pilotażowego i etapów I - IV.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E/4.4/D/11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Przebudowa sieci do standardów Smart Grid poprzez instalowanie inteligentnego opomiarowania, automatyzację sieci, wdrożenie dedykowanej łączności cyfrowej, w celu aktywizacji odbiorcy, dla poprawy efektywności użytkowania energii oraz efektywnego zarządzania systemem elektroenergetycznym, dla poprawy bezpieczeństwa dostaw. Wdrożenie podstawowe w obszarze etapu VI na podstawie wyników projektu pilotażowego i etapów I - V.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E/4.4/D/12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Przebudowa sieci do standardów Smart Grid poprzez instalowanie inteligentnego opomiarowania, automatyzację sieci, wdrożenie dedykowanej łączności cyfrowej, w celu aktywizacji odbiorcy, dla poprawy efektywności użytkowania energii oraz efektywnego zarządzania systemem elektroenergetycznym, dla poprawy bezpieczeństwa dostaw. Wdrożenie podstawowe w obszarze etapu VII na podstawie wyników projektu pilotażowego i etapów I - VI.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trHeight w:val="4871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E/4.4/D/13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highlight w:val="yellow"/>
                <w:lang w:eastAsia="pl-PL"/>
              </w:rPr>
              <w:t>Rozbudowa sieci obszaru półwyspu Hel</w:t>
            </w:r>
            <w:r w:rsidRPr="003700B8">
              <w:rPr>
                <w:rFonts w:cs="Arial"/>
                <w:sz w:val="20"/>
                <w:szCs w:val="20"/>
                <w:lang w:eastAsia="pl-PL"/>
              </w:rPr>
              <w:t xml:space="preserve"> do standardu Smart Grid jako Lokalnego Obszaru Bilansowania opartego na magazynie energii, automatyzacji sieci i systemach DSM. Wdrożenie projektu z wykorzystaniem wyników projektu pilotażowego Smart Hel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/>
                <w:sz w:val="20"/>
                <w:szCs w:val="20"/>
                <w:lang w:eastAsia="pl-PL"/>
              </w:rPr>
              <w:t>PLH</w:t>
            </w:r>
            <w:r w:rsidRPr="003700B8">
              <w:rPr>
                <w:rFonts w:cs="Arial"/>
                <w:sz w:val="20"/>
                <w:szCs w:val="20"/>
                <w:lang w:eastAsia="pl-PL"/>
              </w:rPr>
              <w:t>: Zatoka Pucka i Półwysep Helski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/>
                <w:sz w:val="20"/>
                <w:szCs w:val="20"/>
                <w:lang w:eastAsia="pl-PL"/>
              </w:rPr>
              <w:t>PLB</w:t>
            </w:r>
            <w:r w:rsidRPr="003700B8">
              <w:rPr>
                <w:rFonts w:cs="Arial"/>
                <w:sz w:val="20"/>
                <w:szCs w:val="20"/>
                <w:lang w:eastAsia="pl-PL"/>
              </w:rPr>
              <w:t>: Zatoka Pucka</w:t>
            </w: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- Defragmentacja siedlisk przyrodniczych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  <w:lang w:eastAsia="en-GB"/>
              </w:rPr>
              <w:t>- Wycinka drzew i krzewów w przypadku prowadzenia przez tereny leśne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Kolizje ze szlakami migracji zwierząt,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Negatywny wpływ w skutek obniżenia poziomu wód gruntowych w fazie budowy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Zabezpieczenie środowiska morskiego przed zanieczyszczeniem,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Ochrona brzegów morskich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cantSplit/>
          <w:trHeight w:val="2924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E/4.4/D/14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sieci Smart Grid poprzez budowę systemu SCADA nN, modelu CIM, w celu wsparcia współdziałania  Smart Grid nN z siecią SN w oparciu o środowisko GIS z implementacją modelu CIM na linii o długości 12,9 km. Województwo pomorskie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cantSplit/>
          <w:trHeight w:val="2772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E/4.4/D/15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Przebudowa sieci do standardu sieci Smart Grid poprzez automatyzację tworzenia schematu elektrycznego z paszportyzacji w oparciu o model CIM dla sieci  SN na linii o długości 12,8 km w celu zapewniania optymalnego zarządzania siecią dla poprawy bezpieczeństwa i efektywności dostaw energii dla odbiorcy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trHeight w:val="2206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E/4.4/D/16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ENERGA - Operator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Przebudowa sieci do standardu sieci Smart Grid poprzez optymalizację współpracy sieci  SN i nN na liniach o długości 11 km w celu  poprawy bezpieczeństwa i efektywności dostaw energii dla odbiorcy. Województwo pomorskie.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Faza koncepcyjna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trHeight w:val="5059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E/4.4/D/17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PGE Dystrybucja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Przebudowa sieci na średnich i niskich poziomach napięć wraz budową i przebudową bilansowych systemów pomiarowych z transmisją danych w stacjach transformatorowych SN/nn, a także z przebudową modułów systemu informatycznego zarządzania dystrybucją, w wybranych miastach i powiatach województwa łódzkiego, w tym wymiana transformatorów w kierunku inteligentnych  systemów na liniach o długości 25,6 km + 40 km + 44,7 km = 110,3 km, dla zwiększenia wytwarzania w OZE i ograniczenia zużycia energii. Województwo łódzkie.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trHeight w:val="2932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E/4.4/D/18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RWE Stoen Operator Sp. z o.o.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Modernizacja sieci do standardów Smart Grid poprzez przebudowę stacji WN/SN, wymianę transformatorów, automatyki zabezpieczeniowej, telemetryki i telemechaniki (WJE, WWS i inn.) w celu uruchomienia funkcjonalności przewidzianych dla sieci Smart. Woj. mazowieckie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779" w:type="dxa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cantSplit/>
          <w:trHeight w:val="3907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E/4.4/D/19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RWE Stoen Operator Sp. z o.o.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Modernizacja sieci SN do standardów Smart Grid poprzez wymianę transformatorów SN/nn, modernizację i montaż nowych urządzeń stacji SN/nn (wskaźniki przepływu prądu zwarciowego, układy telemechaniki, telemetryki, automatyki zabezpieczeniowej i inne) oraz linii (rozłączniki zdalne) w celu uruchomienia funkcjonalności przewidzianych dla sieci Smart. Woj. mazowieckie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trHeight w:val="2745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E/4.4/D/20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RWE Stoen Operator Sp. z o.o.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Modernizacja sieci nN do standardów Smart Grid poprzez wymianę linii, złączy kablowych i instalację układów telemetryki, telemechaniki i automatyki zapewniających możliwość implementacji funkcjonalności przewidzianych dla sieci Smart. Woj. Mazowieckie.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779" w:type="dxa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cantSplit/>
          <w:trHeight w:val="3805"/>
          <w:jc w:val="center"/>
        </w:trPr>
        <w:tc>
          <w:tcPr>
            <w:tcW w:w="598" w:type="dxa"/>
            <w:gridSpan w:val="2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E/4.4/D/21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i modernizacja rozdzielni SN w stacjach WN/SN na terenie województwa opolskiego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gridBefore w:val="1"/>
          <w:cantSplit/>
          <w:trHeight w:val="5580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E/4.4/D/22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bookmarkStart w:id="1" w:name="_GoBack"/>
            <w:bookmarkEnd w:id="1"/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i wymiana rozdzielni 20 kV w GPZ na obszarze aglomeracji śląskiej 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- Defragmentacja siedlisk przyrodniczych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Kolizje ze szlakami migracji zwierząt, roślin i grzybów i związane z tym powstanie barier ekologicznych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gridBefore w:val="1"/>
          <w:cantSplit/>
          <w:trHeight w:val="3879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E/4.4/D/23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Modernizacja rozdzielni SN w zakresie urządzeń łączeniowych i automatyki w stacjach rozdzielczych WN/SN i SN/SN na terenie województwa śląskiego 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gridBefore w:val="1"/>
          <w:cantSplit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E/4.4/D/24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i modernizacja sieci SN i nN na terenie województwa śląskiego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- Defragmentacja siedlisk przyrodniczych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Fizyczne zajęcie terenu występowania siedlisk przyrodniczych pod obiekty planowanej infrastruktury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Kolizje ze szlakami migracji zwierząt, roślin i grzybów i związane z tym powstanie barier ekologicznych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gridBefore w:val="1"/>
          <w:cantSplit/>
          <w:trHeight w:val="2365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E/4.4/D/25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i modernizacja sieci SN i nN na terenie województwa śląskiego i łódzkiego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3681" w:type="dxa"/>
            <w:gridSpan w:val="2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gridBefore w:val="1"/>
          <w:cantSplit/>
          <w:trHeight w:val="2244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E/4.4/D/26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Modernizacja rozdzielni SN w stacjach WN/SN na terenie województwa śląskiego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gridBefore w:val="1"/>
          <w:cantSplit/>
          <w:trHeight w:val="2262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E/4.4/D/27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Modernizacja rozdzielnic SN w rozdzielniach sieciowych SN zasilających obszary miejskie województwa dolnośląskiego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gridBefore w:val="1"/>
          <w:cantSplit/>
          <w:trHeight w:val="2365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E/4.4/D/28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i modernizacja sieci SN i NN na terenie województwa opolskiego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3681" w:type="dxa"/>
            <w:gridSpan w:val="2"/>
            <w:vMerge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gridBefore w:val="1"/>
          <w:cantSplit/>
          <w:trHeight w:val="2244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E/4.4/D/29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Modernizacja rozdzielnic SN w rozdzielniach sieciowych SN na terenie powiatów zgorzeleckiego i lwóweckiego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gridBefore w:val="1"/>
          <w:cantSplit/>
          <w:trHeight w:val="2404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E/4.4/D/30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i modernizacja linii SN na terenie województwa opolskiego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3681" w:type="dxa"/>
            <w:gridSpan w:val="2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  <w:tr w:rsidR="00600B81" w:rsidRPr="003700B8" w:rsidTr="003B65DD">
        <w:trPr>
          <w:gridBefore w:val="1"/>
          <w:cantSplit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E/4.4/D/31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i modernizacja sieci SN i NN na terenie Podbeskidzia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Przyroda (głównie ptaki i wycinka drzew)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Powierzchnia ziemi,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krajobraz,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</w:rPr>
              <w:t>ludzie</w:t>
            </w:r>
          </w:p>
        </w:tc>
        <w:tc>
          <w:tcPr>
            <w:tcW w:w="1232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49" w:type="dxa"/>
          </w:tcPr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</w:rPr>
              <w:t>- Defragmentacja siedlisk przyrodniczych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Fizyczne zajęcie terenu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</w:rPr>
            </w:pPr>
            <w:r w:rsidRPr="003700B8">
              <w:rPr>
                <w:sz w:val="20"/>
                <w:szCs w:val="20"/>
                <w:lang w:eastAsia="en-GB"/>
              </w:rPr>
              <w:t>- Wycinka drzew i krzewów w przypadku prowadzenia wykopu przez tereny leśne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</w:rPr>
              <w:t xml:space="preserve">- </w:t>
            </w:r>
            <w:r w:rsidRPr="003700B8">
              <w:rPr>
                <w:sz w:val="20"/>
                <w:szCs w:val="20"/>
                <w:lang w:eastAsia="en-GB"/>
              </w:rPr>
              <w:t>Kolizje ze szlakami migracji zwierząt,</w:t>
            </w:r>
          </w:p>
          <w:p w:rsidR="00600B81" w:rsidRPr="003700B8" w:rsidRDefault="00600B81" w:rsidP="003B65DD">
            <w:pPr>
              <w:spacing w:after="0" w:line="240" w:lineRule="auto"/>
              <w:rPr>
                <w:sz w:val="20"/>
                <w:szCs w:val="20"/>
                <w:lang w:eastAsia="en-GB"/>
              </w:rPr>
            </w:pPr>
            <w:r w:rsidRPr="003700B8">
              <w:rPr>
                <w:sz w:val="20"/>
                <w:szCs w:val="20"/>
                <w:lang w:eastAsia="en-GB"/>
              </w:rPr>
              <w:t>- Wypłoszenie zwierząt, w tym ptaków w fazie budowy obiektów (hałas, obecność ludzi i sprzętu)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b/>
                <w:sz w:val="20"/>
                <w:szCs w:val="20"/>
                <w:lang w:eastAsia="pl-PL"/>
              </w:rPr>
            </w:pPr>
            <w:r w:rsidRPr="003700B8">
              <w:rPr>
                <w:sz w:val="20"/>
                <w:szCs w:val="20"/>
                <w:lang w:eastAsia="en-GB"/>
              </w:rPr>
              <w:t>- Negatywny wpływ na ekosystemy podmokłe w skutek obniżenia poziomu wód gruntowych w fazie budowy</w:t>
            </w:r>
          </w:p>
        </w:tc>
        <w:tc>
          <w:tcPr>
            <w:tcW w:w="277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gridBefore w:val="1"/>
          <w:cantSplit/>
          <w:trHeight w:val="3399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E/4.4/D/32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i modernizacja sieci SN i nN na terenie Zagłębia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Po uzyskaniu informacji o lokalizacji przedsięwzięcia, identyfikacji obszarów chronionych i ich zagrożeń będzie można dokonać na podstawie mapy stanowiącej załącznik 4, z wykorzystaniem instrumentów GIS.</w:t>
            </w:r>
          </w:p>
        </w:tc>
        <w:tc>
          <w:tcPr>
            <w:tcW w:w="2779" w:type="dxa"/>
            <w:vMerge w:val="restart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Ograniczenie prac budowlanych i przekształceń powierzchni do minimum,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Ograniczenie do minimum wycinki drzew,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nowych sieci w sposób zapobiegający defragmentacji cennych przyrodniczo terenów,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Prowadzenie wycinki drzew w okresie  nielęgowym,                - zapewnienie odpowiedniej widoczności sieci ,</w:t>
            </w:r>
          </w:p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 Realizacja budowy wg zasad ekologicznych</w:t>
            </w:r>
          </w:p>
        </w:tc>
      </w:tr>
      <w:tr w:rsidR="00600B81" w:rsidRPr="003700B8" w:rsidTr="003B65DD">
        <w:trPr>
          <w:gridBefore w:val="1"/>
          <w:cantSplit/>
          <w:trHeight w:val="2343"/>
          <w:jc w:val="center"/>
        </w:trPr>
        <w:tc>
          <w:tcPr>
            <w:tcW w:w="598" w:type="dxa"/>
            <w:noWrap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bCs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bCs/>
                <w:sz w:val="20"/>
                <w:szCs w:val="20"/>
                <w:lang w:eastAsia="pl-PL"/>
              </w:rPr>
              <w:t>E/4.4/D/33</w:t>
            </w:r>
          </w:p>
        </w:tc>
        <w:tc>
          <w:tcPr>
            <w:tcW w:w="627" w:type="dxa"/>
            <w:textDirection w:val="tbRl"/>
            <w:vAlign w:val="bottom"/>
          </w:tcPr>
          <w:p w:rsidR="00600B81" w:rsidRPr="003700B8" w:rsidRDefault="00600B81" w:rsidP="003B65D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TAURON Dystrybucja SA</w:t>
            </w:r>
          </w:p>
        </w:tc>
        <w:tc>
          <w:tcPr>
            <w:tcW w:w="2710" w:type="dxa"/>
            <w:shd w:val="clear" w:color="auto" w:fill="FFFF00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Budowa rozdzielni SN w stacjach GPZ na obszarze województw śląskiego i małopolskiego w celu realizacji koncepcji sieci inteligentnej</w:t>
            </w:r>
          </w:p>
        </w:tc>
        <w:tc>
          <w:tcPr>
            <w:tcW w:w="1635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530" w:type="dxa"/>
            <w:noWrap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Brak danych</w:t>
            </w:r>
          </w:p>
        </w:tc>
        <w:tc>
          <w:tcPr>
            <w:tcW w:w="1529" w:type="dxa"/>
          </w:tcPr>
          <w:p w:rsidR="00600B81" w:rsidRPr="003700B8" w:rsidRDefault="00600B81" w:rsidP="003B65DD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  <w:r w:rsidRPr="003700B8">
              <w:rPr>
                <w:rFonts w:cs="Arial"/>
                <w:sz w:val="20"/>
                <w:szCs w:val="20"/>
                <w:lang w:eastAsia="pl-PL"/>
              </w:rPr>
              <w:t>Prawdopodobny brak oddziaływań</w:t>
            </w:r>
          </w:p>
        </w:tc>
        <w:tc>
          <w:tcPr>
            <w:tcW w:w="3681" w:type="dxa"/>
            <w:gridSpan w:val="2"/>
            <w:vMerge/>
            <w:vAlign w:val="center"/>
          </w:tcPr>
          <w:p w:rsidR="00600B81" w:rsidRPr="003700B8" w:rsidRDefault="00600B81" w:rsidP="00FE771B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  <w:tc>
          <w:tcPr>
            <w:tcW w:w="2779" w:type="dxa"/>
            <w:vMerge/>
          </w:tcPr>
          <w:p w:rsidR="00600B81" w:rsidRPr="003700B8" w:rsidRDefault="00600B81" w:rsidP="00FE771B">
            <w:pPr>
              <w:spacing w:after="0" w:line="240" w:lineRule="auto"/>
              <w:rPr>
                <w:rFonts w:cs="Arial"/>
                <w:sz w:val="20"/>
                <w:szCs w:val="20"/>
                <w:lang w:eastAsia="pl-PL"/>
              </w:rPr>
            </w:pPr>
          </w:p>
        </w:tc>
      </w:tr>
    </w:tbl>
    <w:p w:rsidR="00600B81" w:rsidRDefault="00600B81" w:rsidP="005D0634">
      <w:pPr>
        <w:spacing w:after="0" w:line="360" w:lineRule="auto"/>
        <w:rPr>
          <w:sz w:val="20"/>
          <w:szCs w:val="20"/>
        </w:rPr>
      </w:pPr>
    </w:p>
    <w:p w:rsidR="00600B81" w:rsidRPr="006872CE" w:rsidRDefault="00600B81" w:rsidP="005D0634">
      <w:pPr>
        <w:spacing w:after="0" w:line="360" w:lineRule="auto"/>
        <w:ind w:left="284" w:right="111" w:hanging="142"/>
        <w:jc w:val="both"/>
      </w:pPr>
      <w:r w:rsidRPr="006872CE">
        <w:t xml:space="preserve">* </w:t>
      </w:r>
      <w:r>
        <w:t xml:space="preserve">Dla </w:t>
      </w:r>
      <w:r w:rsidRPr="006872CE">
        <w:t xml:space="preserve">większości przypadków nie </w:t>
      </w:r>
      <w:r>
        <w:t xml:space="preserve">są znane dokładne </w:t>
      </w:r>
      <w:r w:rsidRPr="006872CE">
        <w:t>lokalizacj</w:t>
      </w:r>
      <w:r>
        <w:t>e</w:t>
      </w:r>
      <w:r w:rsidRPr="006872CE">
        <w:t xml:space="preserve"> </w:t>
      </w:r>
      <w:r>
        <w:t xml:space="preserve">planowanych </w:t>
      </w:r>
      <w:r w:rsidRPr="006872CE">
        <w:t xml:space="preserve">przedsięwzięć, jak też i ich charakterystyka. Ewentualne potencjalne zagrożenia określono ogólnie, jak niżej: </w:t>
      </w:r>
    </w:p>
    <w:p w:rsidR="00600B81" w:rsidRPr="006872CE" w:rsidRDefault="00600B81" w:rsidP="005D0634">
      <w:pPr>
        <w:pStyle w:val="ListParagraph"/>
        <w:numPr>
          <w:ilvl w:val="0"/>
          <w:numId w:val="4"/>
        </w:numPr>
        <w:spacing w:after="0" w:line="360" w:lineRule="auto"/>
        <w:ind w:left="567" w:hanging="283"/>
        <w:jc w:val="both"/>
      </w:pPr>
      <w:r w:rsidRPr="006872CE">
        <w:t>Defragmentacja siedlisk przyrodniczych</w:t>
      </w:r>
      <w:r>
        <w:t>;</w:t>
      </w:r>
    </w:p>
    <w:p w:rsidR="00600B81" w:rsidRPr="004D58F2" w:rsidRDefault="00600B81" w:rsidP="005D0634">
      <w:pPr>
        <w:pStyle w:val="ListParagraph"/>
        <w:numPr>
          <w:ilvl w:val="0"/>
          <w:numId w:val="4"/>
        </w:numPr>
        <w:spacing w:after="0" w:line="360" w:lineRule="auto"/>
        <w:ind w:left="567" w:hanging="283"/>
        <w:jc w:val="both"/>
        <w:rPr>
          <w:lang w:eastAsia="en-GB"/>
        </w:rPr>
      </w:pPr>
      <w:r w:rsidRPr="004D58F2">
        <w:rPr>
          <w:lang w:eastAsia="en-GB"/>
        </w:rPr>
        <w:t>Fizyczne zajęcie terenu występowania siedlisk przyrodniczych pod obiekty planowanej infrastruktury</w:t>
      </w:r>
      <w:r>
        <w:rPr>
          <w:lang w:eastAsia="en-GB"/>
        </w:rPr>
        <w:t>;</w:t>
      </w:r>
    </w:p>
    <w:p w:rsidR="00600B81" w:rsidRPr="006872CE" w:rsidRDefault="00600B81" w:rsidP="005D0634">
      <w:pPr>
        <w:pStyle w:val="ListParagraph"/>
        <w:numPr>
          <w:ilvl w:val="0"/>
          <w:numId w:val="4"/>
        </w:numPr>
        <w:spacing w:after="0" w:line="360" w:lineRule="auto"/>
        <w:ind w:left="567" w:hanging="283"/>
        <w:jc w:val="both"/>
      </w:pPr>
      <w:r w:rsidRPr="004D58F2">
        <w:rPr>
          <w:lang w:eastAsia="en-GB"/>
        </w:rPr>
        <w:t>Wycinka drzew i krzewów w przypadku prowadzenia wykopu przez tereny leśne</w:t>
      </w:r>
      <w:r>
        <w:rPr>
          <w:lang w:eastAsia="en-GB"/>
        </w:rPr>
        <w:t>;</w:t>
      </w:r>
    </w:p>
    <w:p w:rsidR="00600B81" w:rsidRPr="004D58F2" w:rsidRDefault="00600B81" w:rsidP="005D0634">
      <w:pPr>
        <w:pStyle w:val="ListParagraph"/>
        <w:numPr>
          <w:ilvl w:val="0"/>
          <w:numId w:val="4"/>
        </w:numPr>
        <w:spacing w:after="0" w:line="360" w:lineRule="auto"/>
        <w:ind w:left="567" w:hanging="283"/>
        <w:jc w:val="both"/>
        <w:rPr>
          <w:lang w:eastAsia="en-GB"/>
        </w:rPr>
      </w:pPr>
      <w:r w:rsidRPr="004D58F2">
        <w:rPr>
          <w:lang w:eastAsia="en-GB"/>
        </w:rPr>
        <w:t>Kolizje ze szlakami migracji zwierząt, roślin i grzybów i związane z tym powstanie barier ekologicznych,</w:t>
      </w:r>
      <w:r>
        <w:rPr>
          <w:lang w:eastAsia="en-GB"/>
        </w:rPr>
        <w:t xml:space="preserve"> w szczególności dla nietoperzy;</w:t>
      </w:r>
    </w:p>
    <w:p w:rsidR="00600B81" w:rsidRPr="004D58F2" w:rsidRDefault="00600B81" w:rsidP="005D0634">
      <w:pPr>
        <w:pStyle w:val="ListParagraph"/>
        <w:numPr>
          <w:ilvl w:val="0"/>
          <w:numId w:val="4"/>
        </w:numPr>
        <w:spacing w:after="0" w:line="360" w:lineRule="auto"/>
        <w:ind w:left="567" w:hanging="283"/>
        <w:jc w:val="both"/>
        <w:rPr>
          <w:lang w:eastAsia="en-GB"/>
        </w:rPr>
      </w:pPr>
      <w:r w:rsidRPr="004D58F2">
        <w:rPr>
          <w:lang w:eastAsia="en-GB"/>
        </w:rPr>
        <w:t>Płoszenie zwierząt, w tym ptaków w fazie budowy obiektów (hałas, obecność ludzi i sprzętu)</w:t>
      </w:r>
      <w:r>
        <w:rPr>
          <w:lang w:eastAsia="en-GB"/>
        </w:rPr>
        <w:t>;</w:t>
      </w:r>
    </w:p>
    <w:p w:rsidR="00600B81" w:rsidRPr="004D58F2" w:rsidRDefault="00600B81" w:rsidP="005D0634">
      <w:pPr>
        <w:pStyle w:val="ListParagraph"/>
        <w:numPr>
          <w:ilvl w:val="0"/>
          <w:numId w:val="4"/>
        </w:numPr>
        <w:spacing w:after="0" w:line="360" w:lineRule="auto"/>
        <w:ind w:left="567" w:hanging="283"/>
        <w:jc w:val="both"/>
        <w:rPr>
          <w:lang w:eastAsia="en-GB"/>
        </w:rPr>
      </w:pPr>
      <w:r w:rsidRPr="004D58F2">
        <w:rPr>
          <w:lang w:eastAsia="en-GB"/>
        </w:rPr>
        <w:t>Zagrożenia dla ptaków:</w:t>
      </w:r>
    </w:p>
    <w:p w:rsidR="00600B81" w:rsidRPr="004D58F2" w:rsidRDefault="00600B81" w:rsidP="005D0634">
      <w:pPr>
        <w:pStyle w:val="ListParagraph"/>
        <w:numPr>
          <w:ilvl w:val="0"/>
          <w:numId w:val="3"/>
        </w:numPr>
        <w:spacing w:after="0" w:line="360" w:lineRule="auto"/>
        <w:ind w:left="1135" w:hanging="284"/>
        <w:jc w:val="both"/>
        <w:rPr>
          <w:lang w:eastAsia="en-GB"/>
        </w:rPr>
      </w:pPr>
      <w:r w:rsidRPr="004D58F2">
        <w:rPr>
          <w:lang w:eastAsia="en-GB"/>
        </w:rPr>
        <w:t>redukcja siedlisk ważnych dla ptaków poprzez fizyczne zajęcie terenu po</w:t>
      </w:r>
      <w:r>
        <w:rPr>
          <w:lang w:eastAsia="en-GB"/>
        </w:rPr>
        <w:t>d obiekty oraz linie przesyłowe;</w:t>
      </w:r>
    </w:p>
    <w:p w:rsidR="00600B81" w:rsidRPr="004D58F2" w:rsidRDefault="00600B81" w:rsidP="005D0634">
      <w:pPr>
        <w:pStyle w:val="ListParagraph"/>
        <w:numPr>
          <w:ilvl w:val="0"/>
          <w:numId w:val="3"/>
        </w:numPr>
        <w:spacing w:after="0" w:line="360" w:lineRule="auto"/>
        <w:ind w:left="1135" w:hanging="284"/>
        <w:jc w:val="both"/>
        <w:rPr>
          <w:lang w:eastAsia="en-GB"/>
        </w:rPr>
      </w:pPr>
      <w:r w:rsidRPr="004D58F2">
        <w:rPr>
          <w:lang w:eastAsia="en-GB"/>
        </w:rPr>
        <w:t xml:space="preserve">kolizje z liniami elektroenergetycznymi lub konstrukcją słupa; </w:t>
      </w:r>
    </w:p>
    <w:p w:rsidR="00600B81" w:rsidRPr="004D58F2" w:rsidRDefault="00600B81" w:rsidP="005D0634">
      <w:pPr>
        <w:pStyle w:val="ListParagraph"/>
        <w:numPr>
          <w:ilvl w:val="0"/>
          <w:numId w:val="3"/>
        </w:numPr>
        <w:spacing w:after="0" w:line="360" w:lineRule="auto"/>
        <w:ind w:left="1135" w:right="111" w:hanging="284"/>
        <w:jc w:val="both"/>
        <w:rPr>
          <w:lang w:eastAsia="en-GB"/>
        </w:rPr>
      </w:pPr>
      <w:r w:rsidRPr="004D58F2">
        <w:rPr>
          <w:lang w:eastAsia="en-GB"/>
        </w:rPr>
        <w:t xml:space="preserve">porażenie prądem w czasie odpoczynku i czatowania na zdobycz na słupach i liniach napowietrznych (oraz wskutek budowania gniazd na liniach </w:t>
      </w:r>
      <w:r>
        <w:rPr>
          <w:lang w:eastAsia="en-GB"/>
        </w:rPr>
        <w:t xml:space="preserve">energetycznych </w:t>
      </w:r>
      <w:r w:rsidRPr="004D58F2">
        <w:rPr>
          <w:lang w:eastAsia="en-GB"/>
        </w:rPr>
        <w:t>przez niektóre gatunki, głównie przez bociany);</w:t>
      </w:r>
    </w:p>
    <w:p w:rsidR="00600B81" w:rsidRPr="004D58F2" w:rsidRDefault="00600B81" w:rsidP="005D0634">
      <w:pPr>
        <w:pStyle w:val="ListParagraph"/>
        <w:numPr>
          <w:ilvl w:val="0"/>
          <w:numId w:val="3"/>
        </w:numPr>
        <w:spacing w:after="0" w:line="360" w:lineRule="auto"/>
        <w:ind w:left="1135" w:hanging="284"/>
        <w:jc w:val="both"/>
        <w:rPr>
          <w:lang w:eastAsia="en-GB"/>
        </w:rPr>
      </w:pPr>
      <w:r>
        <w:rPr>
          <w:lang w:eastAsia="en-GB"/>
        </w:rPr>
        <w:t xml:space="preserve">oddziaływanie pól </w:t>
      </w:r>
      <w:r w:rsidRPr="004D58F2">
        <w:rPr>
          <w:lang w:eastAsia="en-GB"/>
        </w:rPr>
        <w:t>elektromagnetyczn</w:t>
      </w:r>
      <w:r>
        <w:rPr>
          <w:lang w:eastAsia="en-GB"/>
        </w:rPr>
        <w:t>ych</w:t>
      </w:r>
      <w:r w:rsidRPr="004D58F2">
        <w:rPr>
          <w:lang w:eastAsia="en-GB"/>
        </w:rPr>
        <w:t xml:space="preserve">; </w:t>
      </w:r>
    </w:p>
    <w:p w:rsidR="00600B81" w:rsidRPr="004D58F2" w:rsidRDefault="00600B81" w:rsidP="005D0634">
      <w:pPr>
        <w:pStyle w:val="ListParagraph"/>
        <w:numPr>
          <w:ilvl w:val="0"/>
          <w:numId w:val="3"/>
        </w:numPr>
        <w:spacing w:after="0" w:line="360" w:lineRule="auto"/>
        <w:ind w:left="1135" w:hanging="284"/>
        <w:jc w:val="both"/>
        <w:rPr>
          <w:vertAlign w:val="superscript"/>
        </w:rPr>
      </w:pPr>
      <w:r w:rsidRPr="004D58F2">
        <w:rPr>
          <w:lang w:eastAsia="en-GB"/>
        </w:rPr>
        <w:t xml:space="preserve">hałas; </w:t>
      </w:r>
    </w:p>
    <w:p w:rsidR="00600B81" w:rsidRPr="004D58F2" w:rsidRDefault="00600B81" w:rsidP="005D0634">
      <w:pPr>
        <w:pStyle w:val="ListParagraph"/>
        <w:numPr>
          <w:ilvl w:val="0"/>
          <w:numId w:val="3"/>
        </w:numPr>
        <w:spacing w:after="0" w:line="360" w:lineRule="auto"/>
        <w:ind w:left="1135" w:hanging="284"/>
        <w:jc w:val="both"/>
        <w:rPr>
          <w:vertAlign w:val="superscript"/>
        </w:rPr>
      </w:pPr>
      <w:r w:rsidRPr="00D50E51">
        <w:rPr>
          <w:lang w:eastAsia="en-GB"/>
        </w:rPr>
        <w:t>efekt wizualny".</w:t>
      </w:r>
    </w:p>
    <w:sectPr w:rsidR="00600B81" w:rsidRPr="004D58F2" w:rsidSect="00F574BE">
      <w:footerReference w:type="default" r:id="rId7"/>
      <w:pgSz w:w="16838" w:h="11906" w:orient="landscape"/>
      <w:pgMar w:top="851" w:right="851" w:bottom="24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B81" w:rsidRDefault="00600B81" w:rsidP="00F053BF">
      <w:pPr>
        <w:spacing w:after="0" w:line="240" w:lineRule="auto"/>
      </w:pPr>
      <w:r>
        <w:separator/>
      </w:r>
    </w:p>
  </w:endnote>
  <w:endnote w:type="continuationSeparator" w:id="0">
    <w:p w:rsidR="00600B81" w:rsidRDefault="00600B81" w:rsidP="00F05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B81" w:rsidRDefault="00600B81">
    <w:pPr>
      <w:pStyle w:val="Footer"/>
      <w:jc w:val="center"/>
    </w:pPr>
    <w:r>
      <w:rPr>
        <w:noProof/>
        <w:lang w:eastAsia="pl-PL"/>
      </w:rPr>
    </w:r>
    <w:r>
      <w:pict>
        <v:group id="_x0000_s2049" style="width:32.95pt;height:17.45pt;mso-position-horizontal-relative:char;mso-position-vertical-relative:line" coordorigin="5351,739" coordsize="659,349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5351;top:800;width:659;height:288;v-text-anchor:middle" filled="f" stroked="f">
            <v:textbox style="mso-next-textbox:#_x0000_s2050" inset="0,0,0,0">
              <w:txbxContent>
                <w:p w:rsidR="00600B81" w:rsidRPr="00F053BF" w:rsidRDefault="00600B81" w:rsidP="00F053BF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F053BF">
                    <w:rPr>
                      <w:sz w:val="20"/>
                      <w:szCs w:val="20"/>
                    </w:rPr>
                    <w:fldChar w:fldCharType="begin"/>
                  </w:r>
                  <w:r w:rsidRPr="00F053BF">
                    <w:rPr>
                      <w:sz w:val="20"/>
                      <w:szCs w:val="20"/>
                    </w:rPr>
                    <w:instrText xml:space="preserve"> PAGE    \* MERGEFORMAT </w:instrText>
                  </w:r>
                  <w:r w:rsidRPr="00F053BF">
                    <w:rPr>
                      <w:sz w:val="20"/>
                      <w:szCs w:val="20"/>
                    </w:rPr>
                    <w:fldChar w:fldCharType="separate"/>
                  </w:r>
                  <w:r>
                    <w:rPr>
                      <w:noProof/>
                      <w:sz w:val="20"/>
                      <w:szCs w:val="20"/>
                    </w:rPr>
                    <w:t>25</w:t>
                  </w:r>
                  <w:r w:rsidRPr="00F053BF">
                    <w:rPr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  <v:group id="_x0000_s2051" style="position:absolute;left:5494;top:739;width:372;height:72" coordorigin="5486,739" coordsize="372,72">
            <v:oval id="_x0000_s2052" style="position:absolute;left:5486;top:739;width:72;height:72" fillcolor="#84b3df" stroked="f"/>
            <v:oval id="_x0000_s2053" style="position:absolute;left:5636;top:739;width:72;height:72" fillcolor="#84b3df" stroked="f"/>
            <v:oval id="_x0000_s2054" style="position:absolute;left:5786;top:739;width:72;height:72" fillcolor="#84b3df" stroked="f"/>
          </v:group>
          <w10:wrap anchorx="margin" anchory="page"/>
          <w10:anchorlock/>
        </v:group>
      </w:pict>
    </w:r>
  </w:p>
  <w:p w:rsidR="00600B81" w:rsidRDefault="00600B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B81" w:rsidRDefault="00600B81" w:rsidP="00F053BF">
      <w:pPr>
        <w:spacing w:after="0" w:line="240" w:lineRule="auto"/>
      </w:pPr>
      <w:r>
        <w:separator/>
      </w:r>
    </w:p>
  </w:footnote>
  <w:footnote w:type="continuationSeparator" w:id="0">
    <w:p w:rsidR="00600B81" w:rsidRDefault="00600B81" w:rsidP="00F053BF">
      <w:pPr>
        <w:spacing w:after="0" w:line="240" w:lineRule="auto"/>
      </w:pPr>
      <w:r>
        <w:continuationSeparator/>
      </w:r>
    </w:p>
  </w:footnote>
  <w:footnote w:id="1">
    <w:p w:rsidR="00600B81" w:rsidRDefault="00600B81" w:rsidP="00BC0702">
      <w:pPr>
        <w:pStyle w:val="FootnoteText"/>
      </w:pPr>
      <w:r w:rsidRPr="00250AE4">
        <w:rPr>
          <w:rStyle w:val="FootnoteReference"/>
        </w:rPr>
        <w:footnoteRef/>
      </w:r>
      <w:r w:rsidRPr="00250AE4">
        <w:t xml:space="preserve"> Podane potencjale zagrożenia mają charakter przykładowy i ich szczegółowy zakres będzie każdorazowo analizowany na podstawie konkretnych projektów.</w:t>
      </w:r>
    </w:p>
  </w:footnote>
  <w:footnote w:id="2">
    <w:p w:rsidR="00600B81" w:rsidRDefault="00600B81" w:rsidP="007D3E1E">
      <w:pPr>
        <w:pStyle w:val="FootnoteText"/>
      </w:pPr>
      <w:r w:rsidRPr="00250AE4">
        <w:rPr>
          <w:rStyle w:val="FootnoteReference"/>
        </w:rPr>
        <w:footnoteRef/>
      </w:r>
      <w:r>
        <w:t xml:space="preserve"> Podane środki zapobiegawcze, minimalizujące i kompensacyjne mają charakter przykładowy i na etapie projektowym dla </w:t>
      </w:r>
      <w:r w:rsidRPr="00250AE4">
        <w:t>konkretnych projektów</w:t>
      </w:r>
      <w:r>
        <w:t xml:space="preserve"> powinny być uszczegółowione</w:t>
      </w:r>
      <w:r w:rsidRPr="00250AE4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6F5D"/>
    <w:multiLevelType w:val="hybridMultilevel"/>
    <w:tmpl w:val="5FEA2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895898"/>
    <w:multiLevelType w:val="hybridMultilevel"/>
    <w:tmpl w:val="1DC22574"/>
    <w:lvl w:ilvl="0" w:tplc="56AA293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52931E1C"/>
    <w:multiLevelType w:val="hybridMultilevel"/>
    <w:tmpl w:val="651A2FF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230221"/>
    <w:multiLevelType w:val="hybridMultilevel"/>
    <w:tmpl w:val="D116AF9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5DF3"/>
    <w:rsid w:val="000268D1"/>
    <w:rsid w:val="000434A8"/>
    <w:rsid w:val="000D3D62"/>
    <w:rsid w:val="00111358"/>
    <w:rsid w:val="001D1603"/>
    <w:rsid w:val="001F2E53"/>
    <w:rsid w:val="00207F86"/>
    <w:rsid w:val="00216622"/>
    <w:rsid w:val="00230C4A"/>
    <w:rsid w:val="00242826"/>
    <w:rsid w:val="00247FDB"/>
    <w:rsid w:val="00250AE4"/>
    <w:rsid w:val="0028624E"/>
    <w:rsid w:val="002959CA"/>
    <w:rsid w:val="0029719E"/>
    <w:rsid w:val="002F239A"/>
    <w:rsid w:val="0031040F"/>
    <w:rsid w:val="0032211A"/>
    <w:rsid w:val="003630D4"/>
    <w:rsid w:val="003700B8"/>
    <w:rsid w:val="003B65DD"/>
    <w:rsid w:val="003C6951"/>
    <w:rsid w:val="00404EF0"/>
    <w:rsid w:val="004742BC"/>
    <w:rsid w:val="004951C1"/>
    <w:rsid w:val="004D4A6A"/>
    <w:rsid w:val="004D58F2"/>
    <w:rsid w:val="00552104"/>
    <w:rsid w:val="005A1E0A"/>
    <w:rsid w:val="005B0110"/>
    <w:rsid w:val="005D0634"/>
    <w:rsid w:val="005E06D8"/>
    <w:rsid w:val="00600B81"/>
    <w:rsid w:val="006223E7"/>
    <w:rsid w:val="0063700E"/>
    <w:rsid w:val="006433ED"/>
    <w:rsid w:val="00655C8A"/>
    <w:rsid w:val="00685C1E"/>
    <w:rsid w:val="006872CE"/>
    <w:rsid w:val="006C0BC9"/>
    <w:rsid w:val="006C5406"/>
    <w:rsid w:val="006E5E9E"/>
    <w:rsid w:val="006F3AFC"/>
    <w:rsid w:val="00710A6C"/>
    <w:rsid w:val="0072127D"/>
    <w:rsid w:val="0072425C"/>
    <w:rsid w:val="00746CA5"/>
    <w:rsid w:val="00757184"/>
    <w:rsid w:val="00794A26"/>
    <w:rsid w:val="007A6B4F"/>
    <w:rsid w:val="007C3A1C"/>
    <w:rsid w:val="007D1D59"/>
    <w:rsid w:val="007D3E1E"/>
    <w:rsid w:val="007F1832"/>
    <w:rsid w:val="0080470E"/>
    <w:rsid w:val="00804CFD"/>
    <w:rsid w:val="008053E3"/>
    <w:rsid w:val="008D11D6"/>
    <w:rsid w:val="008D52D7"/>
    <w:rsid w:val="00965161"/>
    <w:rsid w:val="009B61DC"/>
    <w:rsid w:val="009B6AD8"/>
    <w:rsid w:val="009C04AF"/>
    <w:rsid w:val="009E272D"/>
    <w:rsid w:val="00A230D5"/>
    <w:rsid w:val="00A644F2"/>
    <w:rsid w:val="00A70285"/>
    <w:rsid w:val="00A8357B"/>
    <w:rsid w:val="00AA1F48"/>
    <w:rsid w:val="00AA5B3A"/>
    <w:rsid w:val="00AD097B"/>
    <w:rsid w:val="00AD34D0"/>
    <w:rsid w:val="00AD3F6B"/>
    <w:rsid w:val="00B01569"/>
    <w:rsid w:val="00B524DA"/>
    <w:rsid w:val="00B6318A"/>
    <w:rsid w:val="00B94C43"/>
    <w:rsid w:val="00BC0702"/>
    <w:rsid w:val="00BF1547"/>
    <w:rsid w:val="00C12A3A"/>
    <w:rsid w:val="00C47558"/>
    <w:rsid w:val="00C66DE5"/>
    <w:rsid w:val="00CC1513"/>
    <w:rsid w:val="00CC32E1"/>
    <w:rsid w:val="00CD5404"/>
    <w:rsid w:val="00CD5DF3"/>
    <w:rsid w:val="00CD6290"/>
    <w:rsid w:val="00CE3677"/>
    <w:rsid w:val="00CF0A88"/>
    <w:rsid w:val="00D50E51"/>
    <w:rsid w:val="00D55739"/>
    <w:rsid w:val="00D63077"/>
    <w:rsid w:val="00D81F26"/>
    <w:rsid w:val="00D91ED9"/>
    <w:rsid w:val="00D927FB"/>
    <w:rsid w:val="00DA266A"/>
    <w:rsid w:val="00DB719C"/>
    <w:rsid w:val="00DF014A"/>
    <w:rsid w:val="00E0213D"/>
    <w:rsid w:val="00E23534"/>
    <w:rsid w:val="00E31C21"/>
    <w:rsid w:val="00E41628"/>
    <w:rsid w:val="00E62DE7"/>
    <w:rsid w:val="00E95594"/>
    <w:rsid w:val="00EC555B"/>
    <w:rsid w:val="00EE3C20"/>
    <w:rsid w:val="00F053BF"/>
    <w:rsid w:val="00F1234D"/>
    <w:rsid w:val="00F574BE"/>
    <w:rsid w:val="00F61D56"/>
    <w:rsid w:val="00F978F8"/>
    <w:rsid w:val="00FA057D"/>
    <w:rsid w:val="00FA4F89"/>
    <w:rsid w:val="00FA6A6B"/>
    <w:rsid w:val="00FE771B"/>
    <w:rsid w:val="00FF2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C8A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next w:val="Normal"/>
    <w:link w:val="Heading3Char1"/>
    <w:uiPriority w:val="99"/>
    <w:qFormat/>
    <w:rsid w:val="00CD5DF3"/>
    <w:pPr>
      <w:keepNext/>
      <w:keepLines/>
      <w:spacing w:before="320" w:after="120" w:line="360" w:lineRule="auto"/>
      <w:outlineLvl w:val="2"/>
    </w:pPr>
    <w:rPr>
      <w:rFonts w:ascii="Arial" w:eastAsia="Times New Roman" w:hAnsi="Arial"/>
      <w:b/>
      <w:bCs/>
      <w:sz w:val="20"/>
      <w:szCs w:val="24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rsid w:val="00CD5DF3"/>
    <w:rPr>
      <w:rFonts w:ascii="Calibri Light" w:hAnsi="Calibri Light" w:cs="Times New Roman"/>
      <w:color w:val="1F4D7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23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3534"/>
    <w:rPr>
      <w:rFonts w:ascii="Tahoma" w:hAnsi="Tahoma" w:cs="Tahoma"/>
      <w:sz w:val="16"/>
      <w:szCs w:val="16"/>
    </w:rPr>
  </w:style>
  <w:style w:type="character" w:customStyle="1" w:styleId="Heading3Char1">
    <w:name w:val="Heading 3 Char1"/>
    <w:link w:val="Heading3"/>
    <w:uiPriority w:val="99"/>
    <w:locked/>
    <w:rsid w:val="00CD5DF3"/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CD5DF3"/>
    <w:rPr>
      <w:rFonts w:cs="Times New Roman"/>
      <w:sz w:val="16"/>
    </w:rPr>
  </w:style>
  <w:style w:type="paragraph" w:styleId="CommentText">
    <w:name w:val="annotation text"/>
    <w:basedOn w:val="Normal"/>
    <w:link w:val="CommentTextChar1"/>
    <w:uiPriority w:val="99"/>
    <w:rsid w:val="00CD5DF3"/>
    <w:pPr>
      <w:spacing w:after="0" w:line="240" w:lineRule="auto"/>
      <w:ind w:left="357" w:hanging="357"/>
      <w:jc w:val="both"/>
    </w:pPr>
    <w:rPr>
      <w:sz w:val="20"/>
      <w:szCs w:val="20"/>
      <w:lang w:val="en-GB" w:eastAsia="pl-P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DF3"/>
    <w:rPr>
      <w:rFonts w:cs="Times New Roman"/>
      <w:sz w:val="20"/>
      <w:szCs w:val="20"/>
    </w:rPr>
  </w:style>
  <w:style w:type="character" w:customStyle="1" w:styleId="CommentTextChar1">
    <w:name w:val="Comment Text Char1"/>
    <w:link w:val="CommentText"/>
    <w:uiPriority w:val="99"/>
    <w:locked/>
    <w:rsid w:val="00CD5DF3"/>
    <w:rPr>
      <w:rFonts w:ascii="Calibri" w:eastAsia="Times New Roman" w:hAnsi="Calibri"/>
      <w:sz w:val="20"/>
      <w:lang w:val="en-GB"/>
    </w:rPr>
  </w:style>
  <w:style w:type="paragraph" w:styleId="ListParagraph">
    <w:name w:val="List Paragraph"/>
    <w:basedOn w:val="Normal"/>
    <w:uiPriority w:val="99"/>
    <w:qFormat/>
    <w:rsid w:val="004D4A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F05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53B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05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53BF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CE36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E3677"/>
    <w:rPr>
      <w:rFonts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CE367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25</Pages>
  <Words>3443</Words>
  <Characters>20661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Dystrybucja energii elektrycznej – Priorytet Inwestycyjny 4</dc:title>
  <dc:subject/>
  <dc:creator>Ola</dc:creator>
  <cp:keywords/>
  <dc:description/>
  <cp:lastModifiedBy>Stanczak Izabella</cp:lastModifiedBy>
  <cp:revision>2</cp:revision>
  <dcterms:created xsi:type="dcterms:W3CDTF">2015-01-12T12:50:00Z</dcterms:created>
  <dcterms:modified xsi:type="dcterms:W3CDTF">2015-01-12T12:50:00Z</dcterms:modified>
</cp:coreProperties>
</file>