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E4B" w:rsidRPr="001428E4" w:rsidRDefault="00F10E4B" w:rsidP="001428E4">
      <w:pPr>
        <w:pStyle w:val="Heading2"/>
        <w:spacing w:before="0" w:after="0"/>
        <w:ind w:left="0" w:firstLine="0"/>
        <w:rPr>
          <w:rFonts w:ascii="Calibri" w:hAnsi="Calibri"/>
          <w:sz w:val="28"/>
          <w:szCs w:val="28"/>
        </w:rPr>
      </w:pPr>
      <w:r w:rsidRPr="001428E4">
        <w:rPr>
          <w:rFonts w:ascii="Calibri" w:hAnsi="Calibri"/>
          <w:sz w:val="28"/>
          <w:szCs w:val="28"/>
        </w:rPr>
        <w:t>MAGAZYNOWANIE GAZU</w:t>
      </w:r>
    </w:p>
    <w:p w:rsidR="00F10E4B" w:rsidRPr="001428E4" w:rsidRDefault="00F10E4B" w:rsidP="001428E4">
      <w:pPr>
        <w:pStyle w:val="Heading1"/>
        <w:spacing w:before="0" w:after="0"/>
        <w:rPr>
          <w:rFonts w:ascii="Calibri" w:hAnsi="Calibri"/>
          <w:sz w:val="24"/>
          <w:szCs w:val="24"/>
        </w:rPr>
      </w:pPr>
      <w:r w:rsidRPr="001428E4">
        <w:rPr>
          <w:rFonts w:ascii="Calibri" w:hAnsi="Calibri"/>
          <w:sz w:val="24"/>
          <w:szCs w:val="24"/>
        </w:rPr>
        <w:t>Magazynowanie gazu – Priorytet Inwestycyjny 7.5</w:t>
      </w:r>
    </w:p>
    <w:tbl>
      <w:tblPr>
        <w:tblW w:w="15204" w:type="dxa"/>
        <w:jc w:val="center"/>
        <w:tblBorders>
          <w:top w:val="single" w:sz="4" w:space="0" w:color="1F3864"/>
          <w:left w:val="single" w:sz="4" w:space="0" w:color="1F3864"/>
          <w:bottom w:val="single" w:sz="4" w:space="0" w:color="1F3864"/>
          <w:right w:val="single" w:sz="4" w:space="0" w:color="1F3864"/>
          <w:insideH w:val="single" w:sz="4" w:space="0" w:color="1F3864"/>
          <w:insideV w:val="single" w:sz="4" w:space="0" w:color="1F3864"/>
        </w:tblBorders>
        <w:tblLayout w:type="fixed"/>
        <w:tblLook w:val="00A0"/>
      </w:tblPr>
      <w:tblGrid>
        <w:gridCol w:w="473"/>
        <w:gridCol w:w="734"/>
        <w:gridCol w:w="2090"/>
        <w:gridCol w:w="1819"/>
        <w:gridCol w:w="1961"/>
        <w:gridCol w:w="1961"/>
        <w:gridCol w:w="1701"/>
        <w:gridCol w:w="1627"/>
        <w:gridCol w:w="2838"/>
      </w:tblGrid>
      <w:tr w:rsidR="00F10E4B" w:rsidRPr="00AC09C4" w:rsidTr="00AC09C4">
        <w:trPr>
          <w:cantSplit/>
          <w:tblHeader/>
          <w:jc w:val="center"/>
        </w:trPr>
        <w:tc>
          <w:tcPr>
            <w:tcW w:w="473" w:type="dxa"/>
            <w:shd w:val="clear" w:color="auto" w:fill="8EAADB"/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734" w:type="dxa"/>
            <w:shd w:val="clear" w:color="auto" w:fill="8EAADB"/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/>
                <w:bCs/>
                <w:sz w:val="20"/>
                <w:szCs w:val="20"/>
              </w:rPr>
              <w:t>Przedsiębiorstwo</w:t>
            </w:r>
          </w:p>
        </w:tc>
        <w:tc>
          <w:tcPr>
            <w:tcW w:w="2090" w:type="dxa"/>
            <w:shd w:val="clear" w:color="auto" w:fill="8EAADB"/>
            <w:vAlign w:val="center"/>
          </w:tcPr>
          <w:p w:rsidR="00F10E4B" w:rsidRPr="00AC09C4" w:rsidRDefault="00F10E4B" w:rsidP="00AC09C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/>
                <w:bCs/>
                <w:sz w:val="20"/>
                <w:szCs w:val="20"/>
              </w:rPr>
              <w:t>Rodzaj inwestycji</w:t>
            </w:r>
          </w:p>
        </w:tc>
        <w:tc>
          <w:tcPr>
            <w:tcW w:w="1819" w:type="dxa"/>
            <w:shd w:val="clear" w:color="auto" w:fill="8EAADB"/>
            <w:vAlign w:val="center"/>
          </w:tcPr>
          <w:p w:rsidR="00F10E4B" w:rsidRPr="00AC09C4" w:rsidRDefault="00F10E4B" w:rsidP="00AC09C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/>
                <w:bCs/>
                <w:sz w:val="20"/>
                <w:szCs w:val="20"/>
              </w:rPr>
              <w:t>Klasyfikacja wg Rozporządzenia Rady Ministrów w sprawie przedsięwzięć mogących znacząco oddziaływać na środowisko</w:t>
            </w:r>
          </w:p>
        </w:tc>
        <w:tc>
          <w:tcPr>
            <w:tcW w:w="1961" w:type="dxa"/>
            <w:shd w:val="clear" w:color="auto" w:fill="8EAADB"/>
            <w:vAlign w:val="center"/>
          </w:tcPr>
          <w:p w:rsidR="00F10E4B" w:rsidRPr="00AC09C4" w:rsidRDefault="00F10E4B" w:rsidP="00AC09C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/>
                <w:bCs/>
                <w:sz w:val="20"/>
                <w:szCs w:val="20"/>
              </w:rPr>
              <w:t>Informacja o posiadanych decyzjach środowiskowych i raportach</w:t>
            </w:r>
          </w:p>
        </w:tc>
        <w:tc>
          <w:tcPr>
            <w:tcW w:w="1961" w:type="dxa"/>
            <w:shd w:val="clear" w:color="auto" w:fill="8EAADB"/>
            <w:vAlign w:val="center"/>
          </w:tcPr>
          <w:p w:rsidR="00F10E4B" w:rsidRPr="00AC09C4" w:rsidRDefault="00F10E4B" w:rsidP="00AC09C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/>
                <w:bCs/>
                <w:sz w:val="20"/>
                <w:szCs w:val="20"/>
              </w:rPr>
              <w:t>Główne elementy środowiska na które może oddziaływać przedsięwzięcie</w:t>
            </w:r>
          </w:p>
        </w:tc>
        <w:tc>
          <w:tcPr>
            <w:tcW w:w="1701" w:type="dxa"/>
            <w:shd w:val="clear" w:color="auto" w:fill="8EAADB"/>
            <w:vAlign w:val="center"/>
          </w:tcPr>
          <w:p w:rsidR="00F10E4B" w:rsidRPr="00AC09C4" w:rsidRDefault="00F10E4B" w:rsidP="00AC09C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/>
                <w:bCs/>
                <w:sz w:val="20"/>
                <w:szCs w:val="20"/>
              </w:rPr>
              <w:t>Identyfikacja obszarów chronionych w tym Natura 2000</w:t>
            </w:r>
          </w:p>
        </w:tc>
        <w:tc>
          <w:tcPr>
            <w:tcW w:w="1627" w:type="dxa"/>
            <w:shd w:val="clear" w:color="auto" w:fill="8EAADB"/>
            <w:vAlign w:val="center"/>
          </w:tcPr>
          <w:p w:rsidR="00F10E4B" w:rsidRPr="00AC09C4" w:rsidRDefault="00F10E4B" w:rsidP="00AC09C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/>
                <w:bCs/>
                <w:sz w:val="20"/>
                <w:szCs w:val="20"/>
              </w:rPr>
              <w:t>Potencjalne zagrożenia</w:t>
            </w:r>
            <w:r w:rsidRPr="00AC09C4">
              <w:rPr>
                <w:rStyle w:val="FootnoteReference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2838" w:type="dxa"/>
            <w:shd w:val="clear" w:color="auto" w:fill="8EAADB"/>
            <w:vAlign w:val="center"/>
          </w:tcPr>
          <w:p w:rsidR="00F10E4B" w:rsidRPr="00AC09C4" w:rsidRDefault="00F10E4B" w:rsidP="00AC09C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/>
                <w:bCs/>
                <w:sz w:val="20"/>
                <w:szCs w:val="20"/>
              </w:rPr>
              <w:t>Środki zapobiegawcze, minimalizujące i kompensacyjne</w:t>
            </w:r>
            <w:r w:rsidRPr="00AC09C4">
              <w:rPr>
                <w:rStyle w:val="FootnoteReference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F10E4B" w:rsidRPr="00AC09C4" w:rsidTr="00AC09C4">
        <w:trPr>
          <w:cantSplit/>
          <w:jc w:val="center"/>
        </w:trPr>
        <w:tc>
          <w:tcPr>
            <w:tcW w:w="47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</w:tcBorders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Cs/>
                <w:sz w:val="20"/>
                <w:szCs w:val="20"/>
              </w:rPr>
              <w:t>G/7.5/M/1</w:t>
            </w:r>
          </w:p>
        </w:tc>
        <w:tc>
          <w:tcPr>
            <w:tcW w:w="734" w:type="dxa"/>
            <w:tcBorders>
              <w:top w:val="single" w:sz="8" w:space="0" w:color="4472C4"/>
              <w:bottom w:val="single" w:sz="8" w:space="0" w:color="4472C4"/>
            </w:tcBorders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AC09C4">
              <w:rPr>
                <w:rFonts w:cs="Arial"/>
                <w:sz w:val="20"/>
                <w:szCs w:val="20"/>
              </w:rPr>
              <w:t>GAZ-SYSTEM SA</w:t>
            </w:r>
          </w:p>
        </w:tc>
        <w:tc>
          <w:tcPr>
            <w:tcW w:w="2090" w:type="dxa"/>
            <w:tcBorders>
              <w:top w:val="single" w:sz="8" w:space="0" w:color="4472C4"/>
              <w:bottom w:val="single" w:sz="8" w:space="0" w:color="4472C4"/>
            </w:tcBorders>
            <w:shd w:val="clear" w:color="auto" w:fill="FF0000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C09C4">
              <w:rPr>
                <w:rFonts w:cs="Arial"/>
                <w:sz w:val="20"/>
                <w:szCs w:val="20"/>
              </w:rPr>
              <w:t>Podziemny magazyn gazu Damasławek (wraz z infrastrukturą liniową niezbędną do jego wybudowania i obsługi</w:t>
            </w:r>
          </w:p>
        </w:tc>
        <w:tc>
          <w:tcPr>
            <w:tcW w:w="1819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§2 ust.1 pkt 22)</w:t>
            </w:r>
          </w:p>
        </w:tc>
        <w:tc>
          <w:tcPr>
            <w:tcW w:w="1961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C09C4">
              <w:rPr>
                <w:rFonts w:cs="Arial"/>
                <w:sz w:val="20"/>
                <w:szCs w:val="20"/>
              </w:rPr>
              <w:t>Nie</w:t>
            </w:r>
          </w:p>
        </w:tc>
        <w:tc>
          <w:tcPr>
            <w:tcW w:w="1961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C09C4">
              <w:rPr>
                <w:rFonts w:cs="Arial"/>
                <w:sz w:val="20"/>
                <w:szCs w:val="20"/>
              </w:rPr>
              <w:t>Wody podziemne i powierzchniowe, ludzie,</w:t>
            </w:r>
          </w:p>
        </w:tc>
        <w:tc>
          <w:tcPr>
            <w:tcW w:w="1701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Brak</w:t>
            </w:r>
          </w:p>
        </w:tc>
        <w:tc>
          <w:tcPr>
            <w:tcW w:w="1627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zajęcie terenu na obiekty naziemne,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wpływ na wody podziemne i powierzchniowe,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możliwe emisje gazów do powietrza</w:t>
            </w:r>
          </w:p>
        </w:tc>
        <w:tc>
          <w:tcPr>
            <w:tcW w:w="2838" w:type="dxa"/>
            <w:tcBorders>
              <w:top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 xml:space="preserve">- przeprowadzenie szczegółowej analizy warunków hydrogeologicznych  na etapie przed projektowym 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lokalizacja w sposób zapobiegający (minimalizujący) przecinanie i defragmentację struktur przyrodniczych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 xml:space="preserve">- budowa  magazynu metodą ługowania kawern i zagospodarowywanie powstającej solanki w celu ograniczenia szkód w środowisku 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zastosowanie zamkniętych systemów płuczki wiertniczej w trackie drążenia szybów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zaprojektowanie hermetycznego systemu zatłaczania gazu do kawern i odbioru</w:t>
            </w:r>
          </w:p>
        </w:tc>
      </w:tr>
      <w:tr w:rsidR="00F10E4B" w:rsidRPr="00AC09C4" w:rsidTr="00AC09C4">
        <w:trPr>
          <w:cantSplit/>
          <w:jc w:val="center"/>
        </w:trPr>
        <w:tc>
          <w:tcPr>
            <w:tcW w:w="473" w:type="dxa"/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Cs/>
                <w:sz w:val="20"/>
                <w:szCs w:val="20"/>
              </w:rPr>
              <w:t>G/7.5/M/2</w:t>
            </w:r>
          </w:p>
        </w:tc>
        <w:tc>
          <w:tcPr>
            <w:tcW w:w="734" w:type="dxa"/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Operator Systemu Magazynowania Sp. z o. o. / PGNiG S.A</w:t>
            </w:r>
          </w:p>
        </w:tc>
        <w:tc>
          <w:tcPr>
            <w:tcW w:w="2090" w:type="dxa"/>
            <w:shd w:val="clear" w:color="auto" w:fill="FF0000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Rozbudowa pojemności magazynowania Rozbudowa istniejącego magazynu PMG Wierzchowice od wielkości 1 200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 xml:space="preserve"> do ok. 2 000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 xml:space="preserve"> pojemności czynnej (przyrost o 800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>)</w:t>
            </w:r>
          </w:p>
        </w:tc>
        <w:tc>
          <w:tcPr>
            <w:tcW w:w="1819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§2 ust.1 pkt 22)</w:t>
            </w:r>
          </w:p>
        </w:tc>
        <w:tc>
          <w:tcPr>
            <w:tcW w:w="1961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Są zgody, brak decyzji na rozszerzenie</w:t>
            </w:r>
          </w:p>
        </w:tc>
        <w:tc>
          <w:tcPr>
            <w:tcW w:w="1961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rFonts w:cs="Arial"/>
                <w:sz w:val="20"/>
                <w:szCs w:val="20"/>
              </w:rPr>
              <w:t>Wody podziemne i powierzchniowe, ludzie</w:t>
            </w:r>
          </w:p>
        </w:tc>
        <w:tc>
          <w:tcPr>
            <w:tcW w:w="1701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b/>
                <w:sz w:val="20"/>
                <w:szCs w:val="20"/>
              </w:rPr>
              <w:t>PLH</w:t>
            </w:r>
            <w:r w:rsidRPr="00AC09C4">
              <w:rPr>
                <w:sz w:val="20"/>
                <w:szCs w:val="20"/>
              </w:rPr>
              <w:t xml:space="preserve">: Ostoja nad Baryczą; Park Krajobrazowy Dolina Baryczy </w:t>
            </w:r>
          </w:p>
        </w:tc>
        <w:tc>
          <w:tcPr>
            <w:tcW w:w="1627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AC09C4">
              <w:rPr>
                <w:sz w:val="20"/>
                <w:szCs w:val="20"/>
              </w:rPr>
              <w:t xml:space="preserve">- </w:t>
            </w:r>
            <w:r w:rsidRPr="00AC09C4">
              <w:rPr>
                <w:sz w:val="20"/>
                <w:szCs w:val="20"/>
                <w:lang w:eastAsia="en-GB"/>
              </w:rPr>
              <w:t xml:space="preserve">fizyczne zajęcie terenu występowania siedlisk przyrodniczych, 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  <w:lang w:eastAsia="en-GB"/>
              </w:rPr>
              <w:t>- wycinka drzew i krzewów w przypadku prowadzenia prac na terenach leśnych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AC09C4">
              <w:rPr>
                <w:sz w:val="20"/>
                <w:szCs w:val="20"/>
                <w:lang w:eastAsia="en-GB"/>
              </w:rPr>
              <w:t>- wypłoszenie zwierząt w fazie budowy obiektów (hałas),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AC09C4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  <w:bookmarkStart w:id="0" w:name="_GoBack"/>
            <w:bookmarkEnd w:id="0"/>
          </w:p>
        </w:tc>
        <w:tc>
          <w:tcPr>
            <w:tcW w:w="2838" w:type="dxa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zalecenia jak wyżej dla rozbudowy i ponadto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lokalizacja w sposób zapobiegający (minimalizujący) przecinanie i defragmentację struktur przyrodniczych w szczególności obszarów objętych ochroną,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 xml:space="preserve">- prowadzenie prac związanych z wycinką drzew i krzewów poza okresem lęgowym 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-ograniczenie, minimalizowanie powierzchni zajmowanej na prace budowlane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 xml:space="preserve">- wykorzystywanie technik minimalizujących  ingerencję w środowisko naturalne (zamiast tradycyjnych metod – odwierty pionowe ) wykonywanie odwiertów metodą tzw. klastrów, 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wykorzystanie istniejącej infrastruktury, m.in. istniejącego rurociągu do IKS Solino</w:t>
            </w:r>
          </w:p>
        </w:tc>
      </w:tr>
      <w:tr w:rsidR="00F10E4B" w:rsidRPr="00AC09C4" w:rsidTr="00AC09C4">
        <w:trPr>
          <w:cantSplit/>
          <w:trHeight w:val="3939"/>
          <w:jc w:val="center"/>
        </w:trPr>
        <w:tc>
          <w:tcPr>
            <w:tcW w:w="47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</w:tcBorders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Cs/>
                <w:sz w:val="20"/>
                <w:szCs w:val="20"/>
              </w:rPr>
              <w:t>G/7.5/M/3</w:t>
            </w:r>
          </w:p>
        </w:tc>
        <w:tc>
          <w:tcPr>
            <w:tcW w:w="734" w:type="dxa"/>
            <w:tcBorders>
              <w:top w:val="single" w:sz="8" w:space="0" w:color="4472C4"/>
              <w:bottom w:val="single" w:sz="8" w:space="0" w:color="4472C4"/>
            </w:tcBorders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Operator Systemu Magazynowania Sp. z o. o. / PGNiG S.A.</w:t>
            </w:r>
          </w:p>
        </w:tc>
        <w:tc>
          <w:tcPr>
            <w:tcW w:w="2090" w:type="dxa"/>
            <w:tcBorders>
              <w:top w:val="single" w:sz="8" w:space="0" w:color="4472C4"/>
              <w:bottom w:val="single" w:sz="8" w:space="0" w:color="4472C4"/>
            </w:tcBorders>
            <w:shd w:val="clear" w:color="auto" w:fill="FF0000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Rozbudowa pojemności magazynowania Rozbudowa magazynu KPMG Mogilno. Zwiększenie pojemności roboczej magazynu od ok. 570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 xml:space="preserve"> do 800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 xml:space="preserve"> (przyrost o 230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>)</w:t>
            </w:r>
          </w:p>
        </w:tc>
        <w:tc>
          <w:tcPr>
            <w:tcW w:w="1819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§2 ust.1 pkt 22)</w:t>
            </w:r>
          </w:p>
        </w:tc>
        <w:tc>
          <w:tcPr>
            <w:tcW w:w="1961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Tak</w:t>
            </w:r>
          </w:p>
        </w:tc>
        <w:tc>
          <w:tcPr>
            <w:tcW w:w="1961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rFonts w:cs="Arial"/>
                <w:sz w:val="20"/>
                <w:szCs w:val="20"/>
              </w:rPr>
              <w:t>Wody podziemne i powierzchniowe, ludzie</w:t>
            </w:r>
          </w:p>
        </w:tc>
        <w:tc>
          <w:tcPr>
            <w:tcW w:w="1701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Brak</w:t>
            </w:r>
          </w:p>
        </w:tc>
        <w:tc>
          <w:tcPr>
            <w:tcW w:w="1627" w:type="dxa"/>
            <w:vMerge w:val="restart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zajęcie terenu na obiekty naziemne,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wpływ na wody podziemne i powierzchniowe,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możliwe emisje gazów do powietrza</w:t>
            </w:r>
          </w:p>
        </w:tc>
        <w:tc>
          <w:tcPr>
            <w:tcW w:w="2838" w:type="dxa"/>
            <w:vMerge w:val="restart"/>
            <w:tcBorders>
              <w:top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zalecenia jak wyżej dla rozbudowy i ponadto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ograniczenie, minimalizowanie powierzchni zajmowanej na prace budowlane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 xml:space="preserve">- wykorzystywanie technik minimalizujących  ingerencję w środowisko naturalne (zamiast tradycyjnych metod – odwierty pionowe ) wykonywanie odwiertów metodą tzw. klastrów, 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wykorzystanie istniejącej infrastruktury, m.in. istniejącego rurociągu do IKS Solino,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zabezpieczenie rurociągów   ich bieżący   monitoring ,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- wyposażenie rurociągów w zapory odcinające jego fragmenty, aby ewentualny wyciek ograniczyć do minimum</w:t>
            </w:r>
          </w:p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 xml:space="preserve">  </w:t>
            </w:r>
          </w:p>
        </w:tc>
      </w:tr>
      <w:tr w:rsidR="00F10E4B" w:rsidRPr="00AC09C4" w:rsidTr="00AC09C4">
        <w:trPr>
          <w:cantSplit/>
          <w:trHeight w:val="2677"/>
          <w:jc w:val="center"/>
        </w:trPr>
        <w:tc>
          <w:tcPr>
            <w:tcW w:w="473" w:type="dxa"/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Cs/>
                <w:sz w:val="20"/>
                <w:szCs w:val="20"/>
              </w:rPr>
              <w:t>G/7.5/M/4</w:t>
            </w:r>
          </w:p>
        </w:tc>
        <w:tc>
          <w:tcPr>
            <w:tcW w:w="734" w:type="dxa"/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Operator Systemu Magazynowania Sp. z o. o. / PGNiG S.A.</w:t>
            </w:r>
          </w:p>
        </w:tc>
        <w:tc>
          <w:tcPr>
            <w:tcW w:w="2090" w:type="dxa"/>
            <w:shd w:val="clear" w:color="auto" w:fill="FF0000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Rozbudowa pojemności magazynowania Rozbudowa magazynu gazu PMG Strachocina z obecnej pojemności czynnej 330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 xml:space="preserve"> do 1200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 xml:space="preserve"> (przyrost o 840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>)</w:t>
            </w:r>
          </w:p>
        </w:tc>
        <w:tc>
          <w:tcPr>
            <w:tcW w:w="1819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§2 ust.1 pkt 22)</w:t>
            </w:r>
          </w:p>
        </w:tc>
        <w:tc>
          <w:tcPr>
            <w:tcW w:w="1961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Są zgody, brak decyzji na rozszerzenie</w:t>
            </w:r>
          </w:p>
        </w:tc>
        <w:tc>
          <w:tcPr>
            <w:tcW w:w="1961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rFonts w:cs="Arial"/>
                <w:sz w:val="20"/>
                <w:szCs w:val="20"/>
              </w:rPr>
              <w:t>Wody podziemne i powierzchniowe, ludzie</w:t>
            </w:r>
          </w:p>
        </w:tc>
        <w:tc>
          <w:tcPr>
            <w:tcW w:w="1701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Brak</w:t>
            </w:r>
          </w:p>
        </w:tc>
        <w:tc>
          <w:tcPr>
            <w:tcW w:w="1627" w:type="dxa"/>
            <w:vMerge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38" w:type="dxa"/>
            <w:vMerge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10E4B" w:rsidRPr="00AC09C4" w:rsidTr="00AC09C4">
        <w:trPr>
          <w:cantSplit/>
          <w:trHeight w:val="3231"/>
          <w:jc w:val="center"/>
        </w:trPr>
        <w:tc>
          <w:tcPr>
            <w:tcW w:w="47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</w:tcBorders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Cs/>
                <w:sz w:val="20"/>
                <w:szCs w:val="20"/>
              </w:rPr>
              <w:t>G/7.5/M/5</w:t>
            </w:r>
          </w:p>
        </w:tc>
        <w:tc>
          <w:tcPr>
            <w:tcW w:w="734" w:type="dxa"/>
            <w:tcBorders>
              <w:top w:val="single" w:sz="8" w:space="0" w:color="4472C4"/>
              <w:bottom w:val="single" w:sz="8" w:space="0" w:color="4472C4"/>
            </w:tcBorders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Operator Systemu Magazynowania Sp. z o. o. / PGNiG S.A.</w:t>
            </w:r>
          </w:p>
        </w:tc>
        <w:tc>
          <w:tcPr>
            <w:tcW w:w="2090" w:type="dxa"/>
            <w:tcBorders>
              <w:top w:val="single" w:sz="8" w:space="0" w:color="4472C4"/>
              <w:bottom w:val="single" w:sz="8" w:space="0" w:color="4472C4"/>
            </w:tcBorders>
            <w:shd w:val="clear" w:color="auto" w:fill="FF0000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Budowa magazynu gazu Budowa magazynu gazu KPMG Kosakowo o pojemności roboczej 125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 xml:space="preserve"> wraz z infrastrukturą towarzyszącą.</w:t>
            </w:r>
          </w:p>
        </w:tc>
        <w:tc>
          <w:tcPr>
            <w:tcW w:w="1819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§2 ust.1 pkt 22)</w:t>
            </w:r>
          </w:p>
        </w:tc>
        <w:tc>
          <w:tcPr>
            <w:tcW w:w="1961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1961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rFonts w:cs="Arial"/>
                <w:sz w:val="20"/>
                <w:szCs w:val="20"/>
              </w:rPr>
              <w:t>Wody podziemne i powierzchniowe, ludzie</w:t>
            </w:r>
          </w:p>
        </w:tc>
        <w:tc>
          <w:tcPr>
            <w:tcW w:w="1701" w:type="dxa"/>
            <w:tcBorders>
              <w:top w:val="single" w:sz="8" w:space="0" w:color="4472C4"/>
              <w:bottom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Brak</w:t>
            </w:r>
          </w:p>
        </w:tc>
        <w:tc>
          <w:tcPr>
            <w:tcW w:w="1627" w:type="dxa"/>
            <w:vMerge/>
            <w:tcBorders>
              <w:top w:val="single" w:sz="8" w:space="0" w:color="4472C4"/>
              <w:bottom w:val="single" w:sz="8" w:space="0" w:color="4472C4"/>
            </w:tcBorders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38" w:type="dxa"/>
            <w:vMerge/>
            <w:tcBorders>
              <w:top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10E4B" w:rsidRPr="00AC09C4" w:rsidTr="00AC09C4">
        <w:trPr>
          <w:cantSplit/>
          <w:trHeight w:val="2819"/>
          <w:jc w:val="center"/>
        </w:trPr>
        <w:tc>
          <w:tcPr>
            <w:tcW w:w="473" w:type="dxa"/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AC09C4">
              <w:rPr>
                <w:bCs/>
                <w:sz w:val="20"/>
                <w:szCs w:val="20"/>
              </w:rPr>
              <w:t>G/7.5/M/6</w:t>
            </w:r>
          </w:p>
        </w:tc>
        <w:tc>
          <w:tcPr>
            <w:tcW w:w="734" w:type="dxa"/>
            <w:textDirection w:val="tbRl"/>
            <w:vAlign w:val="center"/>
          </w:tcPr>
          <w:p w:rsidR="00F10E4B" w:rsidRPr="00AC09C4" w:rsidRDefault="00F10E4B" w:rsidP="00AC09C4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Kopalnia Soli Lubień sp. z o.o./ PKN ORLEN S.A.</w:t>
            </w:r>
          </w:p>
        </w:tc>
        <w:tc>
          <w:tcPr>
            <w:tcW w:w="2090" w:type="dxa"/>
            <w:shd w:val="clear" w:color="auto" w:fill="FF0000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Budowa magazynu gazu /Budowa kawernowego magazynu gazu o pojemności roboczej 700 mln m</w:t>
            </w:r>
            <w:r w:rsidRPr="00AC09C4">
              <w:rPr>
                <w:sz w:val="20"/>
                <w:szCs w:val="20"/>
                <w:vertAlign w:val="superscript"/>
              </w:rPr>
              <w:t>3</w:t>
            </w:r>
            <w:r w:rsidRPr="00AC09C4">
              <w:rPr>
                <w:sz w:val="20"/>
                <w:szCs w:val="20"/>
              </w:rPr>
              <w:t xml:space="preserve"> wraz z infrastrukturą towarzyszącą niezbędną do jego budowy i obsługi</w:t>
            </w:r>
          </w:p>
        </w:tc>
        <w:tc>
          <w:tcPr>
            <w:tcW w:w="1819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§2 ust.1 pkt 22)</w:t>
            </w:r>
          </w:p>
        </w:tc>
        <w:tc>
          <w:tcPr>
            <w:tcW w:w="1961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Tak</w:t>
            </w:r>
          </w:p>
        </w:tc>
        <w:tc>
          <w:tcPr>
            <w:tcW w:w="1961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rFonts w:cs="Arial"/>
                <w:sz w:val="20"/>
                <w:szCs w:val="20"/>
              </w:rPr>
              <w:t>Wody podziemne i powierzchniowe, ludzie</w:t>
            </w:r>
          </w:p>
        </w:tc>
        <w:tc>
          <w:tcPr>
            <w:tcW w:w="1701" w:type="dxa"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  <w:r w:rsidRPr="00AC09C4">
              <w:rPr>
                <w:sz w:val="20"/>
                <w:szCs w:val="20"/>
              </w:rPr>
              <w:t>Brak</w:t>
            </w:r>
          </w:p>
        </w:tc>
        <w:tc>
          <w:tcPr>
            <w:tcW w:w="1627" w:type="dxa"/>
            <w:vMerge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38" w:type="dxa"/>
            <w:vMerge/>
            <w:vAlign w:val="center"/>
          </w:tcPr>
          <w:p w:rsidR="00F10E4B" w:rsidRPr="00AC09C4" w:rsidRDefault="00F10E4B" w:rsidP="00AC09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F10E4B" w:rsidRDefault="00F10E4B"/>
    <w:sectPr w:rsidR="00F10E4B" w:rsidSect="007975C6">
      <w:footerReference w:type="default" r:id="rId6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E4B" w:rsidRDefault="00F10E4B" w:rsidP="00F707A1">
      <w:pPr>
        <w:spacing w:after="0" w:line="240" w:lineRule="auto"/>
      </w:pPr>
      <w:r>
        <w:separator/>
      </w:r>
    </w:p>
  </w:endnote>
  <w:endnote w:type="continuationSeparator" w:id="0">
    <w:p w:rsidR="00F10E4B" w:rsidRDefault="00F10E4B" w:rsidP="00F70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E4B" w:rsidRDefault="00F10E4B">
    <w:pPr>
      <w:pStyle w:val="Footer"/>
      <w:jc w:val="center"/>
    </w:pPr>
    <w:r>
      <w:rPr>
        <w:noProof/>
        <w:lang w:eastAsia="pl-PL"/>
      </w:rPr>
    </w:r>
    <w:r>
      <w:pict>
        <v:group id="_x0000_s2049" style="width:32.95pt;height:17.45pt;mso-position-horizontal-relative:char;mso-position-vertical-relative:line" coordorigin="5351,739" coordsize="659,349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5351;top:800;width:659;height:288;v-text-anchor:middle" filled="f" stroked="f">
            <v:textbox style="mso-next-textbox:#_x0000_s2050" inset="0,0,0,0">
              <w:txbxContent>
                <w:p w:rsidR="00F10E4B" w:rsidRPr="00F707A1" w:rsidRDefault="00F10E4B" w:rsidP="00F707A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707A1">
                    <w:rPr>
                      <w:sz w:val="20"/>
                      <w:szCs w:val="20"/>
                    </w:rPr>
                    <w:fldChar w:fldCharType="begin"/>
                  </w:r>
                  <w:r w:rsidRPr="00F707A1">
                    <w:rPr>
                      <w:sz w:val="20"/>
                      <w:szCs w:val="20"/>
                    </w:rPr>
                    <w:instrText xml:space="preserve"> PAGE    \* MERGEFORMAT </w:instrText>
                  </w:r>
                  <w:r w:rsidRPr="00F707A1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  <w:sz w:val="20"/>
                      <w:szCs w:val="20"/>
                    </w:rPr>
                    <w:t>4</w:t>
                  </w:r>
                  <w:r w:rsidRPr="00F707A1">
                    <w:rPr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  <v:group id="_x0000_s2051" style="position:absolute;left:5494;top:739;width:372;height:72" coordorigin="5486,739" coordsize="372,72">
            <v:oval id="_x0000_s2052" style="position:absolute;left:5486;top:739;width:72;height:72" fillcolor="#84b3df" stroked="f"/>
            <v:oval id="_x0000_s2053" style="position:absolute;left:5636;top:739;width:72;height:72" fillcolor="#84b3df" stroked="f"/>
            <v:oval id="_x0000_s2054" style="position:absolute;left:5786;top:739;width:72;height:72" fillcolor="#84b3df" stroked="f"/>
          </v:group>
          <w10:wrap anchorx="margin" anchory="page"/>
          <w10:anchorlock/>
        </v:group>
      </w:pict>
    </w:r>
  </w:p>
  <w:p w:rsidR="00F10E4B" w:rsidRDefault="00F10E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E4B" w:rsidRDefault="00F10E4B" w:rsidP="00F707A1">
      <w:pPr>
        <w:spacing w:after="0" w:line="240" w:lineRule="auto"/>
      </w:pPr>
      <w:r>
        <w:separator/>
      </w:r>
    </w:p>
  </w:footnote>
  <w:footnote w:type="continuationSeparator" w:id="0">
    <w:p w:rsidR="00F10E4B" w:rsidRDefault="00F10E4B" w:rsidP="00F707A1">
      <w:pPr>
        <w:spacing w:after="0" w:line="240" w:lineRule="auto"/>
      </w:pPr>
      <w:r>
        <w:continuationSeparator/>
      </w:r>
    </w:p>
  </w:footnote>
  <w:footnote w:id="1">
    <w:p w:rsidR="00F10E4B" w:rsidRDefault="00F10E4B" w:rsidP="002B2B80">
      <w:pPr>
        <w:pStyle w:val="FootnoteText"/>
      </w:pPr>
      <w:r>
        <w:rPr>
          <w:rStyle w:val="FootnoteReference"/>
        </w:rPr>
        <w:footnoteRef/>
      </w:r>
      <w:r>
        <w:t xml:space="preserve"> Podane potencjale zagrożenia mają charakter przykładowy i ich szczegółowy zakres będzie każdorazowo analizowany na podstawie konkretnych projektów.</w:t>
      </w:r>
    </w:p>
  </w:footnote>
  <w:footnote w:id="2">
    <w:p w:rsidR="00F10E4B" w:rsidRDefault="00F10E4B" w:rsidP="00AB6B4F">
      <w:pPr>
        <w:pStyle w:val="FootnoteText"/>
      </w:pPr>
      <w:r>
        <w:rPr>
          <w:rStyle w:val="FootnoteReference"/>
        </w:rPr>
        <w:footnoteRef/>
      </w:r>
      <w:r>
        <w:t xml:space="preserve"> Podane środki zaradcze, minimalizujące i kompensacyjne mają charakter przykładowy i na etapie projektowym dla konkretnych projektów powinny być uszczegółowione.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FA7"/>
    <w:rsid w:val="000D55C2"/>
    <w:rsid w:val="001428E4"/>
    <w:rsid w:val="001A32F5"/>
    <w:rsid w:val="001C4DE4"/>
    <w:rsid w:val="00260EA5"/>
    <w:rsid w:val="00292AE2"/>
    <w:rsid w:val="002A06C9"/>
    <w:rsid w:val="002A7C30"/>
    <w:rsid w:val="002B2B80"/>
    <w:rsid w:val="002D2DBA"/>
    <w:rsid w:val="002F0FF8"/>
    <w:rsid w:val="003348EC"/>
    <w:rsid w:val="003576A5"/>
    <w:rsid w:val="003C0F51"/>
    <w:rsid w:val="003E5EAC"/>
    <w:rsid w:val="00430800"/>
    <w:rsid w:val="00467EF0"/>
    <w:rsid w:val="004B3268"/>
    <w:rsid w:val="004F77D9"/>
    <w:rsid w:val="005009C7"/>
    <w:rsid w:val="00595D9F"/>
    <w:rsid w:val="005B03C8"/>
    <w:rsid w:val="005C5471"/>
    <w:rsid w:val="005E5DFD"/>
    <w:rsid w:val="006369BD"/>
    <w:rsid w:val="00637443"/>
    <w:rsid w:val="00681C89"/>
    <w:rsid w:val="006928AB"/>
    <w:rsid w:val="006A5D65"/>
    <w:rsid w:val="00705455"/>
    <w:rsid w:val="007136D1"/>
    <w:rsid w:val="00726CA6"/>
    <w:rsid w:val="00726D55"/>
    <w:rsid w:val="007975C6"/>
    <w:rsid w:val="007B7960"/>
    <w:rsid w:val="007D3057"/>
    <w:rsid w:val="007D5DD9"/>
    <w:rsid w:val="007E6FA7"/>
    <w:rsid w:val="00847F31"/>
    <w:rsid w:val="00860149"/>
    <w:rsid w:val="008B7000"/>
    <w:rsid w:val="008C1824"/>
    <w:rsid w:val="0092011B"/>
    <w:rsid w:val="00957E79"/>
    <w:rsid w:val="009A5CDB"/>
    <w:rsid w:val="009E665F"/>
    <w:rsid w:val="009E6821"/>
    <w:rsid w:val="009F220E"/>
    <w:rsid w:val="00A00300"/>
    <w:rsid w:val="00A00316"/>
    <w:rsid w:val="00A02C65"/>
    <w:rsid w:val="00A219DF"/>
    <w:rsid w:val="00A26D78"/>
    <w:rsid w:val="00A673E0"/>
    <w:rsid w:val="00A761EA"/>
    <w:rsid w:val="00AB6B4F"/>
    <w:rsid w:val="00AB79BF"/>
    <w:rsid w:val="00AC09C4"/>
    <w:rsid w:val="00AE2388"/>
    <w:rsid w:val="00AE4B78"/>
    <w:rsid w:val="00B33985"/>
    <w:rsid w:val="00B524DA"/>
    <w:rsid w:val="00B64691"/>
    <w:rsid w:val="00BE4D03"/>
    <w:rsid w:val="00BE6796"/>
    <w:rsid w:val="00BF1689"/>
    <w:rsid w:val="00C05E04"/>
    <w:rsid w:val="00C06E66"/>
    <w:rsid w:val="00CA4EF5"/>
    <w:rsid w:val="00CD4CDB"/>
    <w:rsid w:val="00CE7072"/>
    <w:rsid w:val="00CF0828"/>
    <w:rsid w:val="00D124DE"/>
    <w:rsid w:val="00D30E75"/>
    <w:rsid w:val="00D555A7"/>
    <w:rsid w:val="00D90FD3"/>
    <w:rsid w:val="00DE7129"/>
    <w:rsid w:val="00E1478F"/>
    <w:rsid w:val="00EE16CF"/>
    <w:rsid w:val="00F10E4B"/>
    <w:rsid w:val="00F228C3"/>
    <w:rsid w:val="00F237D5"/>
    <w:rsid w:val="00F46A89"/>
    <w:rsid w:val="00F707A1"/>
    <w:rsid w:val="00FA4F89"/>
    <w:rsid w:val="00FB7E87"/>
    <w:rsid w:val="00FD3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D9F"/>
    <w:pPr>
      <w:spacing w:after="160" w:line="259" w:lineRule="auto"/>
    </w:pPr>
    <w:rPr>
      <w:lang w:eastAsia="en-US"/>
    </w:rPr>
  </w:style>
  <w:style w:type="paragraph" w:styleId="Heading1">
    <w:name w:val="heading 1"/>
    <w:aliases w:val="h1,Heading 1a,A MAJOR/BOLD,II+,I,level 1,Level 1 Head,H1,henormal"/>
    <w:basedOn w:val="Normal"/>
    <w:next w:val="Normal"/>
    <w:link w:val="Heading1Char1"/>
    <w:uiPriority w:val="99"/>
    <w:qFormat/>
    <w:rsid w:val="007E6FA7"/>
    <w:pPr>
      <w:keepNext/>
      <w:keepLines/>
      <w:spacing w:before="720" w:after="240" w:line="360" w:lineRule="auto"/>
      <w:outlineLvl w:val="0"/>
    </w:pPr>
    <w:rPr>
      <w:rFonts w:ascii="Arial" w:eastAsia="Times New Roman" w:hAnsi="Arial"/>
      <w:b/>
      <w:bCs/>
      <w:caps/>
      <w:sz w:val="28"/>
      <w:szCs w:val="28"/>
      <w:lang w:eastAsia="pl-PL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7E6FA7"/>
    <w:pPr>
      <w:keepNext/>
      <w:keepLines/>
      <w:spacing w:before="320" w:after="120" w:line="360" w:lineRule="auto"/>
      <w:ind w:left="567" w:hanging="567"/>
      <w:outlineLvl w:val="1"/>
    </w:pPr>
    <w:rPr>
      <w:rFonts w:ascii="Arial" w:eastAsia="Times New Roman" w:hAnsi="Arial"/>
      <w:b/>
      <w:bCs/>
      <w:sz w:val="24"/>
      <w:szCs w:val="26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a Char,A MAJOR/BOLD Char,II+ Char,I Char,level 1 Char,Level 1 Head Char,H1 Char,henormal Char"/>
    <w:basedOn w:val="DefaultParagraphFont"/>
    <w:link w:val="Heading1"/>
    <w:uiPriority w:val="99"/>
    <w:rsid w:val="007E6FA7"/>
    <w:rPr>
      <w:rFonts w:ascii="Calibri Light" w:hAnsi="Calibri Light" w:cs="Times New Roman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7E6FA7"/>
    <w:rPr>
      <w:rFonts w:ascii="Calibri Light" w:hAnsi="Calibri Light" w:cs="Times New Roman"/>
      <w:color w:val="2E74B5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E02"/>
    <w:rPr>
      <w:rFonts w:ascii="Times New Roman" w:hAnsi="Times New Roman"/>
      <w:sz w:val="0"/>
      <w:szCs w:val="0"/>
      <w:lang w:eastAsia="en-US"/>
    </w:rPr>
  </w:style>
  <w:style w:type="character" w:customStyle="1" w:styleId="Heading1Char1">
    <w:name w:val="Heading 1 Char1"/>
    <w:aliases w:val="h1 Char1,Heading 1a Char1,A MAJOR/BOLD Char1,II+ Char1,I Char1,level 1 Char1,Level 1 Head Char1,H1 Char1,henormal Char1"/>
    <w:link w:val="Heading1"/>
    <w:uiPriority w:val="99"/>
    <w:locked/>
    <w:rsid w:val="007E6FA7"/>
    <w:rPr>
      <w:rFonts w:ascii="Arial" w:hAnsi="Arial"/>
      <w:b/>
      <w:caps/>
      <w:sz w:val="28"/>
    </w:rPr>
  </w:style>
  <w:style w:type="character" w:customStyle="1" w:styleId="Heading2Char1">
    <w:name w:val="Heading 2 Char1"/>
    <w:link w:val="Heading2"/>
    <w:uiPriority w:val="99"/>
    <w:locked/>
    <w:rsid w:val="007E6FA7"/>
    <w:rPr>
      <w:rFonts w:ascii="Arial" w:hAnsi="Arial"/>
      <w:b/>
      <w:sz w:val="26"/>
    </w:rPr>
  </w:style>
  <w:style w:type="table" w:styleId="LightList-Accent5">
    <w:name w:val="Light List Accent 5"/>
    <w:basedOn w:val="TableNormal"/>
    <w:uiPriority w:val="99"/>
    <w:rsid w:val="00F707A1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paragraph" w:styleId="Header">
    <w:name w:val="header"/>
    <w:basedOn w:val="Normal"/>
    <w:link w:val="HeaderChar"/>
    <w:uiPriority w:val="99"/>
    <w:semiHidden/>
    <w:rsid w:val="00F70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07A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70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707A1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3576A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576A5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576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975C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975C6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975C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629</Words>
  <Characters>3780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MAGAZYNOWANIE GAZU</dc:title>
  <dc:subject/>
  <dc:creator>Ola</dc:creator>
  <cp:keywords/>
  <dc:description/>
  <cp:lastModifiedBy>Stanczak Izabella</cp:lastModifiedBy>
  <cp:revision>2</cp:revision>
  <dcterms:created xsi:type="dcterms:W3CDTF">2015-01-12T12:59:00Z</dcterms:created>
  <dcterms:modified xsi:type="dcterms:W3CDTF">2015-01-12T12:59:00Z</dcterms:modified>
</cp:coreProperties>
</file>