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659" w:rsidRDefault="00811C15" w:rsidP="00811C15">
      <w:pPr>
        <w:spacing w:after="60" w:line="276" w:lineRule="auto"/>
        <w:jc w:val="center"/>
        <w:rPr>
          <w:rFonts w:ascii="Times New Roman" w:hAnsi="Times New Roman" w:cs="Times New Roman"/>
          <w:b/>
        </w:rPr>
      </w:pPr>
      <w:r w:rsidRPr="00811C15">
        <w:rPr>
          <w:rFonts w:ascii="Times New Roman" w:hAnsi="Times New Roman" w:cs="Times New Roman"/>
          <w:b/>
        </w:rPr>
        <w:t>UZASADNIENIE</w:t>
      </w:r>
    </w:p>
    <w:p w:rsidR="00E976F1" w:rsidRDefault="00E976F1" w:rsidP="00811C15">
      <w:pPr>
        <w:spacing w:after="60" w:line="276" w:lineRule="auto"/>
        <w:jc w:val="center"/>
        <w:rPr>
          <w:rFonts w:ascii="Times New Roman" w:hAnsi="Times New Roman" w:cs="Times New Roman"/>
          <w:b/>
        </w:rPr>
      </w:pP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 xml:space="preserve">Najważniejszym aktem prawnym regulującym funkcjonowanie systemu ochrony ludności i obrony cywilnej  w kraju jest ustawa z dnia 5 grudnia 2024 r. o ochronie ludności i obronie cywilnej (Dz. U. poz. 1907, </w:t>
      </w:r>
      <w:r w:rsidR="007F2919">
        <w:rPr>
          <w:rFonts w:ascii="Times New Roman" w:hAnsi="Times New Roman" w:cs="Times New Roman"/>
        </w:rPr>
        <w:t xml:space="preserve">z </w:t>
      </w:r>
      <w:proofErr w:type="spellStart"/>
      <w:r w:rsidR="007F2919">
        <w:rPr>
          <w:rFonts w:ascii="Times New Roman" w:hAnsi="Times New Roman" w:cs="Times New Roman"/>
        </w:rPr>
        <w:t>późn</w:t>
      </w:r>
      <w:proofErr w:type="spellEnd"/>
      <w:r w:rsidR="007F2919">
        <w:rPr>
          <w:rFonts w:ascii="Times New Roman" w:hAnsi="Times New Roman" w:cs="Times New Roman"/>
        </w:rPr>
        <w:t>. zm.</w:t>
      </w:r>
      <w:r w:rsidRPr="00811C15">
        <w:rPr>
          <w:rFonts w:ascii="Times New Roman" w:hAnsi="Times New Roman" w:cs="Times New Roman"/>
        </w:rPr>
        <w:t>). Ustawa weszła w życie z dniem 1 stycznia 2025</w:t>
      </w:r>
      <w:r w:rsidR="00F76728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 xml:space="preserve">r. </w:t>
      </w:r>
      <w:r w:rsidR="007F2919">
        <w:rPr>
          <w:rFonts w:ascii="Times New Roman" w:hAnsi="Times New Roman" w:cs="Times New Roman"/>
        </w:rPr>
        <w:t>W</w:t>
      </w:r>
      <w:r w:rsidRPr="00811C15">
        <w:rPr>
          <w:rFonts w:ascii="Times New Roman" w:hAnsi="Times New Roman" w:cs="Times New Roman"/>
        </w:rPr>
        <w:t xml:space="preserve"> art. 2 </w:t>
      </w:r>
      <w:r w:rsidR="007F2919">
        <w:rPr>
          <w:rFonts w:ascii="Times New Roman" w:hAnsi="Times New Roman" w:cs="Times New Roman"/>
        </w:rPr>
        <w:t xml:space="preserve"> ustawa </w:t>
      </w:r>
      <w:r w:rsidRPr="00811C15">
        <w:rPr>
          <w:rFonts w:ascii="Times New Roman" w:hAnsi="Times New Roman" w:cs="Times New Roman"/>
        </w:rPr>
        <w:t>definiuje ochronę ludności jako system składający się z organów administracji publicznej wykonujących zadania mające na celu zapewnienie bezpieczeństwa ludności przez ochronę ż</w:t>
      </w:r>
      <w:r w:rsidR="007F2919">
        <w:rPr>
          <w:rFonts w:ascii="Times New Roman" w:hAnsi="Times New Roman" w:cs="Times New Roman"/>
        </w:rPr>
        <w:t>ycia i zdrowia ludzi, mienia, w </w:t>
      </w:r>
      <w:r w:rsidRPr="00811C15">
        <w:rPr>
          <w:rFonts w:ascii="Times New Roman" w:hAnsi="Times New Roman" w:cs="Times New Roman"/>
        </w:rPr>
        <w:t>tym zwierząt, infrastruktury niezbędnej do zaspokojenia potrzeb bytowych, dóbr kultury i środowiska w sytuacji zagrożenia, zwanych dalej „organami ochrony ludno</w:t>
      </w:r>
      <w:r w:rsidR="007F2919">
        <w:rPr>
          <w:rFonts w:ascii="Times New Roman" w:hAnsi="Times New Roman" w:cs="Times New Roman"/>
        </w:rPr>
        <w:t>ści”, podmiotów wykonujących te </w:t>
      </w:r>
      <w:r w:rsidRPr="00811C15">
        <w:rPr>
          <w:rFonts w:ascii="Times New Roman" w:hAnsi="Times New Roman" w:cs="Times New Roman"/>
        </w:rPr>
        <w:t>zadania, zwanych dalej „podmiotami ochrony ludności”, oraz zasobów ochrony ludności.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Zgodnie z art. 7 ustawy podstawą finansowania realizacji zadań ochrony ludności i obrony cywilnej jest Program Ochrony Ludności i Obrony Cywilnej. Program jest najważniejszym dokumentem wykonawczym, zapewniającym prawidłowe finansowanie realizacji zadań ochrony ludności i obrony cywilnej. Obecnie obowiązujący Program Ochrony Ludności i Obrony Cywilnej realizowany jest w</w:t>
      </w:r>
      <w:r w:rsidR="00E1025C">
        <w:rPr>
          <w:rFonts w:ascii="Times New Roman" w:hAnsi="Times New Roman" w:cs="Times New Roman"/>
        </w:rPr>
        <w:t> </w:t>
      </w:r>
      <w:r w:rsidR="007F2919">
        <w:rPr>
          <w:rFonts w:ascii="Times New Roman" w:hAnsi="Times New Roman" w:cs="Times New Roman"/>
        </w:rPr>
        <w:t>latach 2025–</w:t>
      </w:r>
      <w:r w:rsidRPr="00811C15">
        <w:rPr>
          <w:rFonts w:ascii="Times New Roman" w:hAnsi="Times New Roman" w:cs="Times New Roman"/>
        </w:rPr>
        <w:t>2026, w świetle powyższego istnieje potrzeba wydania Programu Ochrony Ludności i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 xml:space="preserve">Obrony Cywilnej </w:t>
      </w:r>
      <w:r w:rsidR="00E57BD8">
        <w:rPr>
          <w:rFonts w:ascii="Times New Roman" w:hAnsi="Times New Roman" w:cs="Times New Roman"/>
        </w:rPr>
        <w:t>na</w:t>
      </w:r>
      <w:r w:rsidR="00E57BD8" w:rsidRPr="00811C15">
        <w:rPr>
          <w:rFonts w:ascii="Times New Roman" w:hAnsi="Times New Roman" w:cs="Times New Roman"/>
        </w:rPr>
        <w:t xml:space="preserve"> </w:t>
      </w:r>
      <w:r w:rsidR="007F2919">
        <w:rPr>
          <w:rFonts w:ascii="Times New Roman" w:hAnsi="Times New Roman" w:cs="Times New Roman"/>
        </w:rPr>
        <w:t>lata 2027–</w:t>
      </w:r>
      <w:r w:rsidRPr="00811C15">
        <w:rPr>
          <w:rFonts w:ascii="Times New Roman" w:hAnsi="Times New Roman" w:cs="Times New Roman"/>
        </w:rPr>
        <w:t>2031, w celu zapewnienia ciągłości ochrony ludności i odbudowy systemu obrony cywilnej kraju, wraz z niezbędnymi zasobami oraz wzmacnianiem odporności struktur państwa i całego społeczeństwa na współczesne zagrożenia, co również stanowi realizację delegacji ustawowej dla ministra właściwego do spraw wewnętrznych.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Ustawa w art. 156 reguluje zasady opracowywania i przyjmowania Programu Ochrony Ludności i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>Obrony Cywilnej. Program jest opracowywany przez ministra właściwego do spraw wewnętrznych i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>przyjmowany w drodze uchwały Rady Ministrów. Projekt Programu podlega szczególnej procedurze uzgodnieniowej. Po opracowaniu przez ministra właściwego do spraw wewnętrznych projekt Programu jest uzgadniany z Ministrem Obrony Narodowej oraz opiniowany przez Komisję Wspólną Rządu i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>Samorządu Terytorialnego. Po dokonaniu przewidzianych w ustawie uzgodnień i opiniowania z głównymi współwykonawcami Programu, projekt jest procedowany jako załącznik do uchwały Rady Ministrów w trybie przewidzianym dla dokumentu rządowego zgodnie z uchwałą nr 190 Rady Ministrów z dnia 29 października 2013 r. – Regulamin p</w:t>
      </w:r>
      <w:r w:rsidR="007F2919">
        <w:rPr>
          <w:rFonts w:ascii="Times New Roman" w:hAnsi="Times New Roman" w:cs="Times New Roman"/>
        </w:rPr>
        <w:t>racy Rady Ministrów (M.P. z 2026 r. poz. 404</w:t>
      </w:r>
      <w:r w:rsidRPr="00811C15">
        <w:rPr>
          <w:rFonts w:ascii="Times New Roman" w:hAnsi="Times New Roman" w:cs="Times New Roman"/>
        </w:rPr>
        <w:t xml:space="preserve">). </w:t>
      </w:r>
    </w:p>
    <w:p w:rsid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Us</w:t>
      </w:r>
      <w:r w:rsidR="007F2919">
        <w:rPr>
          <w:rFonts w:ascii="Times New Roman" w:hAnsi="Times New Roman" w:cs="Times New Roman"/>
        </w:rPr>
        <w:t>tawa określa zawartość Programu. S</w:t>
      </w:r>
      <w:r w:rsidRPr="00811C15">
        <w:rPr>
          <w:rFonts w:ascii="Times New Roman" w:hAnsi="Times New Roman" w:cs="Times New Roman"/>
        </w:rPr>
        <w:t>ą to m.in. środki w podziale na poszczególne lata i poszczególnych dysponentów, o których mowa w art. 155 ust. 2 ustawy, odrębnie dla dysponentów z art. 155 ust. 2 pkt 1 i 2 oraz pkt 3. Perspektywa czasowa Programu została określona w ustawie na 5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>lat. Oznacza to, że obecny Program obowiązuje od 1 stycznia 2027 r. do 31 grudnia 2031 r.</w:t>
      </w:r>
    </w:p>
    <w:p w:rsid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 xml:space="preserve">Przygotowanie Programu Ochrony Ludności </w:t>
      </w:r>
      <w:r w:rsidR="007F2919">
        <w:rPr>
          <w:rFonts w:ascii="Times New Roman" w:hAnsi="Times New Roman" w:cs="Times New Roman"/>
        </w:rPr>
        <w:t>i Obrony Cywilnej w latach 2027–</w:t>
      </w:r>
      <w:r w:rsidRPr="00811C15">
        <w:rPr>
          <w:rFonts w:ascii="Times New Roman" w:hAnsi="Times New Roman" w:cs="Times New Roman"/>
        </w:rPr>
        <w:t>2031 stanowi realizację delegacji ustawowej dla ministra właściwego do spraw wewnętrznych, zawartej w art. 156 ust.</w:t>
      </w:r>
      <w:r w:rsidR="00630F3B">
        <w:rPr>
          <w:rFonts w:ascii="Times New Roman" w:hAnsi="Times New Roman" w:cs="Times New Roman"/>
        </w:rPr>
        <w:t xml:space="preserve"> 1</w:t>
      </w:r>
      <w:r w:rsidRPr="00811C15">
        <w:rPr>
          <w:rFonts w:ascii="Times New Roman" w:hAnsi="Times New Roman" w:cs="Times New Roman"/>
        </w:rPr>
        <w:t xml:space="preserve"> ustawy z dnia 5 grudnia 2024 r. o ochronie ludności i obronie </w:t>
      </w:r>
      <w:r w:rsidR="00E57BD8">
        <w:rPr>
          <w:rFonts w:ascii="Times New Roman" w:hAnsi="Times New Roman" w:cs="Times New Roman"/>
        </w:rPr>
        <w:t>cywilnej</w:t>
      </w:r>
      <w:r w:rsidR="007F2919">
        <w:rPr>
          <w:rFonts w:ascii="Times New Roman" w:hAnsi="Times New Roman" w:cs="Times New Roman"/>
        </w:rPr>
        <w:t>.</w:t>
      </w:r>
    </w:p>
    <w:p w:rsidR="0095217D" w:rsidRPr="00811C15" w:rsidRDefault="0095217D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Zawartość Programu jest zgodna z rozporządzeniem </w:t>
      </w:r>
      <w:r w:rsidR="00630F3B">
        <w:rPr>
          <w:rFonts w:ascii="Times New Roman" w:hAnsi="Times New Roman" w:cs="Times New Roman"/>
        </w:rPr>
        <w:t xml:space="preserve">Rady Ministrów </w:t>
      </w:r>
      <w:bookmarkStart w:id="0" w:name="_GoBack"/>
      <w:bookmarkEnd w:id="0"/>
      <w:r>
        <w:rPr>
          <w:rFonts w:ascii="Times New Roman" w:hAnsi="Times New Roman" w:cs="Times New Roman"/>
        </w:rPr>
        <w:t>z dnia 13 lipca 2026 r. w sprawie szczegółowej zawartości Programu Ochrony Ludności i Obrony Cywilnej (Dz. U. poz. 946).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Program Ochrony Ludności i Obrony Cywilnej składa się z następujących części:</w:t>
      </w:r>
    </w:p>
    <w:p w:rsidR="00811C15" w:rsidRDefault="00E57BD8" w:rsidP="007F2919">
      <w:pPr>
        <w:pStyle w:val="Akapitzlist"/>
        <w:numPr>
          <w:ilvl w:val="0"/>
          <w:numId w:val="7"/>
        </w:numPr>
        <w:spacing w:after="60" w:line="276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287595">
        <w:rPr>
          <w:rFonts w:ascii="Times New Roman" w:hAnsi="Times New Roman" w:cs="Times New Roman"/>
        </w:rPr>
        <w:t>wskazani</w:t>
      </w:r>
      <w:r>
        <w:rPr>
          <w:rFonts w:ascii="Times New Roman" w:hAnsi="Times New Roman" w:cs="Times New Roman"/>
        </w:rPr>
        <w:t>a</w:t>
      </w:r>
      <w:r w:rsidRPr="00287595">
        <w:rPr>
          <w:rFonts w:ascii="Times New Roman" w:hAnsi="Times New Roman" w:cs="Times New Roman"/>
        </w:rPr>
        <w:t xml:space="preserve"> </w:t>
      </w:r>
      <w:r w:rsidR="00811C15" w:rsidRPr="00287595">
        <w:rPr>
          <w:rFonts w:ascii="Times New Roman" w:hAnsi="Times New Roman" w:cs="Times New Roman"/>
        </w:rPr>
        <w:t>podstawy prawnej,</w:t>
      </w:r>
    </w:p>
    <w:p w:rsidR="00E231CA" w:rsidRPr="00287595" w:rsidRDefault="00E231CA" w:rsidP="007F2919">
      <w:pPr>
        <w:pStyle w:val="Akapitzlist"/>
        <w:numPr>
          <w:ilvl w:val="0"/>
          <w:numId w:val="7"/>
        </w:numPr>
        <w:spacing w:after="60" w:line="276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ewaluacji poprzedniego Programu i diagnozy systemu,</w:t>
      </w:r>
    </w:p>
    <w:p w:rsidR="00811C15" w:rsidRDefault="00811C15" w:rsidP="007F2919">
      <w:pPr>
        <w:pStyle w:val="Akapitzlist"/>
        <w:numPr>
          <w:ilvl w:val="0"/>
          <w:numId w:val="7"/>
        </w:numPr>
        <w:spacing w:after="60" w:line="276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287595">
        <w:rPr>
          <w:rFonts w:ascii="Times New Roman" w:hAnsi="Times New Roman" w:cs="Times New Roman"/>
        </w:rPr>
        <w:t xml:space="preserve">wskazania celów </w:t>
      </w:r>
      <w:r w:rsidR="005968DB">
        <w:rPr>
          <w:rFonts w:ascii="Times New Roman" w:hAnsi="Times New Roman" w:cs="Times New Roman"/>
        </w:rPr>
        <w:t xml:space="preserve">strategicznych </w:t>
      </w:r>
      <w:r w:rsidRPr="00287595">
        <w:rPr>
          <w:rFonts w:ascii="Times New Roman" w:hAnsi="Times New Roman" w:cs="Times New Roman"/>
        </w:rPr>
        <w:t>systemu ochrony ludności,</w:t>
      </w:r>
    </w:p>
    <w:p w:rsidR="005968DB" w:rsidRPr="00287595" w:rsidRDefault="00E57BD8" w:rsidP="007F2919">
      <w:pPr>
        <w:pStyle w:val="Akapitzlist"/>
        <w:numPr>
          <w:ilvl w:val="0"/>
          <w:numId w:val="7"/>
        </w:numPr>
        <w:spacing w:after="60" w:line="276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omówienia </w:t>
      </w:r>
      <w:r w:rsidR="005968DB">
        <w:rPr>
          <w:rFonts w:ascii="Times New Roman" w:hAnsi="Times New Roman" w:cs="Times New Roman"/>
        </w:rPr>
        <w:t>roli organizacji społecznych w systemie ochrony ludności,</w:t>
      </w:r>
    </w:p>
    <w:p w:rsidR="00811C15" w:rsidRPr="00287595" w:rsidRDefault="00811C15" w:rsidP="007F2919">
      <w:pPr>
        <w:pStyle w:val="Akapitzlist"/>
        <w:numPr>
          <w:ilvl w:val="0"/>
          <w:numId w:val="7"/>
        </w:numPr>
        <w:spacing w:after="60" w:line="276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287595">
        <w:rPr>
          <w:rFonts w:ascii="Times New Roman" w:hAnsi="Times New Roman" w:cs="Times New Roman"/>
        </w:rPr>
        <w:t>ustalenia zasad podziału środków finansowych,</w:t>
      </w:r>
    </w:p>
    <w:p w:rsidR="00811C15" w:rsidRPr="00287595" w:rsidRDefault="00811C15" w:rsidP="007F2919">
      <w:pPr>
        <w:pStyle w:val="Akapitzlist"/>
        <w:numPr>
          <w:ilvl w:val="0"/>
          <w:numId w:val="7"/>
        </w:numPr>
        <w:spacing w:after="60" w:line="276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287595">
        <w:rPr>
          <w:rFonts w:ascii="Times New Roman" w:hAnsi="Times New Roman" w:cs="Times New Roman"/>
        </w:rPr>
        <w:t>wskazania obszarów Programu,</w:t>
      </w:r>
    </w:p>
    <w:p w:rsidR="00811C15" w:rsidRPr="00287595" w:rsidRDefault="00811C15" w:rsidP="007F2919">
      <w:pPr>
        <w:pStyle w:val="Akapitzlist"/>
        <w:numPr>
          <w:ilvl w:val="0"/>
          <w:numId w:val="7"/>
        </w:numPr>
        <w:spacing w:after="60" w:line="276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287595">
        <w:rPr>
          <w:rFonts w:ascii="Times New Roman" w:hAnsi="Times New Roman" w:cs="Times New Roman"/>
        </w:rPr>
        <w:t>ustalenia zasad realizacji inwestycji,</w:t>
      </w:r>
    </w:p>
    <w:p w:rsidR="00811C15" w:rsidRPr="00287595" w:rsidRDefault="00811C15" w:rsidP="007F2919">
      <w:pPr>
        <w:pStyle w:val="Akapitzlist"/>
        <w:numPr>
          <w:ilvl w:val="0"/>
          <w:numId w:val="7"/>
        </w:numPr>
        <w:spacing w:after="60" w:line="276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287595">
        <w:rPr>
          <w:rFonts w:ascii="Times New Roman" w:hAnsi="Times New Roman" w:cs="Times New Roman"/>
        </w:rPr>
        <w:lastRenderedPageBreak/>
        <w:t xml:space="preserve">ustalenia </w:t>
      </w:r>
      <w:r w:rsidR="009C778B">
        <w:rPr>
          <w:rFonts w:ascii="Times New Roman" w:hAnsi="Times New Roman" w:cs="Times New Roman"/>
        </w:rPr>
        <w:t>sposobów monitorowania</w:t>
      </w:r>
      <w:r w:rsidRPr="00287595">
        <w:rPr>
          <w:rFonts w:ascii="Times New Roman" w:hAnsi="Times New Roman" w:cs="Times New Roman"/>
        </w:rPr>
        <w:t xml:space="preserve"> realizacji zadań,</w:t>
      </w:r>
    </w:p>
    <w:p w:rsidR="00811C15" w:rsidRPr="00287595" w:rsidRDefault="00811C15" w:rsidP="007F2919">
      <w:pPr>
        <w:pStyle w:val="Akapitzlist"/>
        <w:numPr>
          <w:ilvl w:val="0"/>
          <w:numId w:val="7"/>
        </w:numPr>
        <w:spacing w:after="60" w:line="276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287595">
        <w:rPr>
          <w:rFonts w:ascii="Times New Roman" w:hAnsi="Times New Roman" w:cs="Times New Roman"/>
        </w:rPr>
        <w:t>tabeli podziału środków,</w:t>
      </w:r>
    </w:p>
    <w:p w:rsidR="00811C15" w:rsidRPr="00287595" w:rsidRDefault="00811C15" w:rsidP="007F2919">
      <w:pPr>
        <w:pStyle w:val="Akapitzlist"/>
        <w:numPr>
          <w:ilvl w:val="0"/>
          <w:numId w:val="7"/>
        </w:numPr>
        <w:spacing w:after="60" w:line="276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287595">
        <w:rPr>
          <w:rFonts w:ascii="Times New Roman" w:hAnsi="Times New Roman" w:cs="Times New Roman"/>
        </w:rPr>
        <w:t>tabeli kwalifikowanych zakupów</w:t>
      </w:r>
      <w:r w:rsidR="007F2919">
        <w:rPr>
          <w:rFonts w:ascii="Times New Roman" w:hAnsi="Times New Roman" w:cs="Times New Roman"/>
        </w:rPr>
        <w:t>.</w:t>
      </w:r>
    </w:p>
    <w:p w:rsidR="00811C15" w:rsidRPr="00811C15" w:rsidRDefault="00811C15" w:rsidP="007F2919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 xml:space="preserve">Celem wydania Programu Ochrony Ludności i Obrony Cywilnej </w:t>
      </w:r>
      <w:r w:rsidR="00E57BD8">
        <w:rPr>
          <w:rFonts w:ascii="Times New Roman" w:hAnsi="Times New Roman" w:cs="Times New Roman"/>
        </w:rPr>
        <w:t>na</w:t>
      </w:r>
      <w:r w:rsidR="00E57BD8" w:rsidRPr="00811C15">
        <w:rPr>
          <w:rFonts w:ascii="Times New Roman" w:hAnsi="Times New Roman" w:cs="Times New Roman"/>
        </w:rPr>
        <w:t xml:space="preserve"> </w:t>
      </w:r>
      <w:r w:rsidRPr="00811C15">
        <w:rPr>
          <w:rFonts w:ascii="Times New Roman" w:hAnsi="Times New Roman" w:cs="Times New Roman"/>
        </w:rPr>
        <w:t>lata 2027-2031 oraz funkcjonowania systemu ochrony ludności jest zapewnienie bezpieczeństwa ludności przez ochronę życia i zdrowia ludzi, mienia, w tym zwierząt, infrastruktury niezbędnej do zaspokojenia potrzeb bytowych, dóbr kultury i środowiska w sytuacji zagrożenia. System ochrony ludności funkcjonuje w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>czasie pokoju, a w czasie stanu wojennego i w czasie wojny przekształca się w obronę cywilną. W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>celu realizacji zadań ochrony ludności niezbędne jest zapewnienie sił i środków, w tym zasobów i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>personelu, wytworzenie zdolności organów i podmiotów do zapewnienia ciągłości działania i</w:t>
      </w:r>
      <w:r w:rsidR="00E1025C">
        <w:rPr>
          <w:rFonts w:ascii="Times New Roman" w:hAnsi="Times New Roman" w:cs="Times New Roman"/>
        </w:rPr>
        <w:t>  </w:t>
      </w:r>
      <w:r w:rsidRPr="00811C15">
        <w:rPr>
          <w:rFonts w:ascii="Times New Roman" w:hAnsi="Times New Roman" w:cs="Times New Roman"/>
        </w:rPr>
        <w:t>świadczenia usług w przypadku zagrożenia, wytworzenie odporności społecznej oraz stworzenie infrastruktury chroniącej ludnoś</w:t>
      </w:r>
      <w:r w:rsidR="006E56DC">
        <w:rPr>
          <w:rFonts w:ascii="Times New Roman" w:hAnsi="Times New Roman" w:cs="Times New Roman"/>
        </w:rPr>
        <w:t>ć</w:t>
      </w:r>
      <w:r w:rsidRPr="00811C15">
        <w:rPr>
          <w:rFonts w:ascii="Times New Roman" w:hAnsi="Times New Roman" w:cs="Times New Roman"/>
        </w:rPr>
        <w:t xml:space="preserve"> i zasoby przed bezpośrednim oddziaływaniem zagrożeń. </w:t>
      </w:r>
    </w:p>
    <w:p w:rsidR="00811C15" w:rsidRPr="00811C15" w:rsidRDefault="00811C15" w:rsidP="007F2919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Obecnie obowiązujący Program Ochrony Ludności i Obrony Cywilnej realizowany jest w latach 2025</w:t>
      </w:r>
      <w:r w:rsidR="007F2919">
        <w:rPr>
          <w:rFonts w:ascii="Times New Roman" w:hAnsi="Times New Roman" w:cs="Times New Roman"/>
        </w:rPr>
        <w:t>–</w:t>
      </w:r>
      <w:r w:rsidRPr="00811C15">
        <w:rPr>
          <w:rFonts w:ascii="Times New Roman" w:hAnsi="Times New Roman" w:cs="Times New Roman"/>
        </w:rPr>
        <w:t xml:space="preserve">2026, w związku z powyższym istnieje potrzeba wydania Programu Ochrony Ludności i Obrony Cywilnej </w:t>
      </w:r>
      <w:r w:rsidR="006E56DC">
        <w:rPr>
          <w:rFonts w:ascii="Times New Roman" w:hAnsi="Times New Roman" w:cs="Times New Roman"/>
        </w:rPr>
        <w:t>na</w:t>
      </w:r>
      <w:r w:rsidR="006E56DC" w:rsidRPr="00811C15">
        <w:rPr>
          <w:rFonts w:ascii="Times New Roman" w:hAnsi="Times New Roman" w:cs="Times New Roman"/>
        </w:rPr>
        <w:t xml:space="preserve"> </w:t>
      </w:r>
      <w:r w:rsidRPr="00811C15">
        <w:rPr>
          <w:rFonts w:ascii="Times New Roman" w:hAnsi="Times New Roman" w:cs="Times New Roman"/>
        </w:rPr>
        <w:t>lata 2027-2031, w celu zapewnienia ciągłości ochrony ludności i odbudowy systemu obrony cywilnej kraju, wraz z niezbędnymi zasobami oraz wzmacnianiem odporności struktur państwa i całego społeczeństwa na współczesne zagrożenia, co również stanowi realizację delegacji ustawowej dla ministra właściwego do spraw wewnętrznych.</w:t>
      </w:r>
    </w:p>
    <w:p w:rsidR="00811C15" w:rsidRPr="00811C15" w:rsidRDefault="00811C15" w:rsidP="007F2919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 xml:space="preserve">W nowym Programie wyodrębniono kluczowe </w:t>
      </w:r>
      <w:r w:rsidR="006E56DC" w:rsidRPr="00811C15">
        <w:rPr>
          <w:rFonts w:ascii="Times New Roman" w:hAnsi="Times New Roman" w:cs="Times New Roman"/>
        </w:rPr>
        <w:t>system</w:t>
      </w:r>
      <w:r w:rsidR="006E56DC">
        <w:rPr>
          <w:rFonts w:ascii="Times New Roman" w:hAnsi="Times New Roman" w:cs="Times New Roman"/>
        </w:rPr>
        <w:t>y</w:t>
      </w:r>
      <w:r w:rsidR="006E56DC" w:rsidRPr="00811C15">
        <w:rPr>
          <w:rFonts w:ascii="Times New Roman" w:hAnsi="Times New Roman" w:cs="Times New Roman"/>
        </w:rPr>
        <w:t xml:space="preserve"> </w:t>
      </w:r>
      <w:r w:rsidRPr="00811C15">
        <w:rPr>
          <w:rFonts w:ascii="Times New Roman" w:hAnsi="Times New Roman" w:cs="Times New Roman"/>
        </w:rPr>
        <w:t>ochrony ludności, uznane za priorytetowe na lata 2027</w:t>
      </w:r>
      <w:r w:rsidR="007F2919">
        <w:rPr>
          <w:rFonts w:ascii="Times New Roman" w:hAnsi="Times New Roman" w:cs="Times New Roman"/>
        </w:rPr>
        <w:t>–</w:t>
      </w:r>
      <w:r w:rsidRPr="00811C15">
        <w:rPr>
          <w:rFonts w:ascii="Times New Roman" w:hAnsi="Times New Roman" w:cs="Times New Roman"/>
        </w:rPr>
        <w:t>2031:</w:t>
      </w:r>
    </w:p>
    <w:p w:rsidR="00811C15" w:rsidRPr="00811C15" w:rsidRDefault="00811C15" w:rsidP="007F2919">
      <w:pPr>
        <w:pStyle w:val="Akapitzlist"/>
        <w:numPr>
          <w:ilvl w:val="0"/>
          <w:numId w:val="2"/>
        </w:numPr>
        <w:spacing w:after="6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zapewnienie wyszkolonego personelu do realizacji zadań ochrony ludności i obrony cywilnej,</w:t>
      </w:r>
    </w:p>
    <w:p w:rsidR="00811C15" w:rsidRPr="00811C15" w:rsidRDefault="00811C15" w:rsidP="007F2919">
      <w:pPr>
        <w:pStyle w:val="Akapitzlist"/>
        <w:numPr>
          <w:ilvl w:val="0"/>
          <w:numId w:val="2"/>
        </w:numPr>
        <w:spacing w:after="6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zapewnienie ciągłości dostarczania podstawowych usług oraz zasobów w sytuacji zagrożenia, z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>uwzględnieniem odporności i zastępowalności zasobów,</w:t>
      </w:r>
    </w:p>
    <w:p w:rsidR="00811C15" w:rsidRPr="00811C15" w:rsidRDefault="00811C15" w:rsidP="007F2919">
      <w:pPr>
        <w:pStyle w:val="Akapitzlist"/>
        <w:numPr>
          <w:ilvl w:val="0"/>
          <w:numId w:val="2"/>
        </w:numPr>
        <w:spacing w:after="6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zapewnienie wyposażenia dla organów i podmiotów ochrony ludności, w tym wyposażenia ochronnego do działania w czasie wojny i ewakuacji ludności, mienia i ruchomych dóbr kultury,</w:t>
      </w:r>
    </w:p>
    <w:p w:rsidR="00811C15" w:rsidRPr="00811C15" w:rsidRDefault="00811C15" w:rsidP="007F2919">
      <w:pPr>
        <w:pStyle w:val="Akapitzlist"/>
        <w:numPr>
          <w:ilvl w:val="0"/>
          <w:numId w:val="2"/>
        </w:numPr>
        <w:spacing w:after="6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stworzenie i rozwój systemu bezpiecznej łączności, wykrywania, ostrzegania i alarmowania oraz wymiany informacji i środków cyberbezpieczeństwa,</w:t>
      </w:r>
    </w:p>
    <w:p w:rsidR="00811C15" w:rsidRPr="00811C15" w:rsidRDefault="00811C15" w:rsidP="007F2919">
      <w:pPr>
        <w:pStyle w:val="Akapitzlist"/>
        <w:numPr>
          <w:ilvl w:val="0"/>
          <w:numId w:val="2"/>
        </w:numPr>
        <w:spacing w:after="6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odbudowa systemu infrastruktury ochronnej, w tym tworzenie obiektów zbiorowej ochrony i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 xml:space="preserve">punktów schronienia, z uwzględnieniem lokalizacji i gęstości infrastruktury ochronnej, </w:t>
      </w:r>
    </w:p>
    <w:p w:rsidR="00811C15" w:rsidRPr="00811C15" w:rsidRDefault="00811C15" w:rsidP="007F2919">
      <w:pPr>
        <w:pStyle w:val="Akapitzlist"/>
        <w:numPr>
          <w:ilvl w:val="0"/>
          <w:numId w:val="2"/>
        </w:numPr>
        <w:spacing w:after="6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 xml:space="preserve">edukacja ludności w zakresie zachowania się w sytuacji zagrożenia oraz przeciwdziałanie dezinformacji i budowanie odporności społecznej w warunkach wojny kognitywnej, </w:t>
      </w:r>
    </w:p>
    <w:p w:rsidR="00811C15" w:rsidRPr="00811C15" w:rsidRDefault="00811C15" w:rsidP="007F2919">
      <w:pPr>
        <w:pStyle w:val="Akapitzlist"/>
        <w:numPr>
          <w:ilvl w:val="0"/>
          <w:numId w:val="2"/>
        </w:numPr>
        <w:spacing w:after="6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zapewnienie zabezpieczenia medycznego na wypadek sytuacji kryzysowych i wojny.</w:t>
      </w:r>
    </w:p>
    <w:p w:rsid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Celem Programu Ochrony Ludności i Obrony Cywilnej jest określenie sposobu finansowania w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>odniesieniu do środków finansowych na realizację celów kluczowych systemu ochrony ludności. Cele kluczowe systemu ochrony ludności znajdują odzwierciedlenie w obszarach, podobszarach i zadaniach Programu.</w:t>
      </w:r>
    </w:p>
    <w:p w:rsidR="005968DB" w:rsidRPr="00811C15" w:rsidRDefault="005968DB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Programie omówiono rolę organizacji społecznych w systemie ochrony ludności i obrony cywilnej.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Realizacja inwestycji z Programu Ochrony Ludności i Obrony Cywilnej ma na celu stworzenie zdolności do działania w sytuacji nadzwyczajnego zagrożenia, w tym w czasie konfliktu zbrojnego, a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>nie tylko zabezpieczenie bieżącej działalności podmiotów i organów ochrony ludności. Przy realizacji zadań wynikających z Programu Ochrony Ludności i Obrony Cywilnej należy brać pod uwagę czynniki wpływające na skuteczność budowania systemu ochrony ludności przez poszczególne inwestycje, tj.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 xml:space="preserve">adekwatność zasobów do wniosków z analizy ryzyka zagrożeń, zgodność z planowaniem obronnym oraz prawidłową dyslokację geograficzną zasobów, sił i środków. Przy ocenie zagrożeń należy wziąć pod uwagę sześć podstawowych skutków krytycznych: głód, pragnienie, choroby, urazy, następstwa </w:t>
      </w:r>
      <w:r w:rsidRPr="00811C15">
        <w:rPr>
          <w:rFonts w:ascii="Times New Roman" w:hAnsi="Times New Roman" w:cs="Times New Roman"/>
        </w:rPr>
        <w:lastRenderedPageBreak/>
        <w:t xml:space="preserve">zbyt wysokich temperatur oraz następstwa zbyt niskich temperatur, przed którymi należy zabezpieczyć ludność. 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Przy tworzeniu zasobów i infrastruktury należy brać pod uwagę wyrażoną w ustawie z dnia 5 grudnia 2024 r. o ochronie ludności i obronie cywilnej w art. 4 ust. 2 zasadę odporności, tj. zapewnienia ciągłości działania w przypadku uszkodzenia bądź zniszczenia części infrastruktury lub zasobów, w tym przez ich zastępowalność.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 xml:space="preserve">Przy realizacji Programu należy całościowo uwzględniać współdziałanie wszystkich elementów systemu ochrony ludności: organów ochrony ludności, podmiotów ochrony ludności (zarówno publicznych, jak i organizacji pozarządowych oraz przedsiębiorców), a także społeczeństwa. 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Do najistotniejszych zmian względem obowiązującego Programu należy: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1. określenie szczegółowych algorytmów podziału środków finansowych oraz wskazanie kwot w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>załącznikach do Programu,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2. uporządkowanie sposobu realizacji inwestycji, w szczególności oceny wniosków,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 xml:space="preserve">3. </w:t>
      </w:r>
      <w:r w:rsidR="00844E54">
        <w:rPr>
          <w:rFonts w:ascii="Times New Roman" w:hAnsi="Times New Roman" w:cs="Times New Roman"/>
        </w:rPr>
        <w:t>wprowadzenie zasad monitorowania realizacji zadań</w:t>
      </w:r>
      <w:r w:rsidRPr="00811C15">
        <w:rPr>
          <w:rFonts w:ascii="Times New Roman" w:hAnsi="Times New Roman" w:cs="Times New Roman"/>
        </w:rPr>
        <w:t>,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4. określenie tabeli kwalifikowanych zakupów, która ułatwi dokonywanie zakupów najczęstszych elementów zasobów ochrony ludności,</w:t>
      </w:r>
    </w:p>
    <w:p w:rsid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5. wzmocnienie gwarancji finansowania inwestycji wieloletnich.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Kwestie finansowania zadań ujętych w Programie Ochrony Ludności i Obrony Cywilnej zostały określone w ustawie z dnia 5 grudnia 2024 r. o ochronie ludności i obronie cywilnej. Zgodnie z Oceną Skutków Regulacji do przedmiotowej ustawy koszty na realizację zadań określonych w ustawie będą pokrywane w ramach środków będących w dyspozycji właściwych dysponentów części budżetu państwa.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Na finansowanie zadań z zakresu ochrony ludności i obrony cywilnej przeznacza się corocznie środki w wysokości nie niższej niż 0,3% produktu krajowego brutto, a w skład tych środków wchodzą:</w:t>
      </w:r>
    </w:p>
    <w:p w:rsidR="00811C15" w:rsidRDefault="00811C15" w:rsidP="007F2919">
      <w:pPr>
        <w:pStyle w:val="Akapitzlist"/>
        <w:numPr>
          <w:ilvl w:val="0"/>
          <w:numId w:val="5"/>
        </w:numPr>
        <w:spacing w:after="6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środki przeznaczone na realizację zadań z zakresu ochrony ludności i obrony cywilnej przez ministra właściwego do spraw wewnętrznych i wojewodów oraz wydatki Rządowej Agencji Rezerw Strategicznych;</w:t>
      </w:r>
    </w:p>
    <w:p w:rsidR="00111CA2" w:rsidRPr="00811C15" w:rsidRDefault="00111CA2" w:rsidP="007F2919">
      <w:pPr>
        <w:pStyle w:val="Akapitzlist"/>
        <w:numPr>
          <w:ilvl w:val="0"/>
          <w:numId w:val="5"/>
        </w:numPr>
        <w:spacing w:after="6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111CA2">
        <w:rPr>
          <w:rFonts w:ascii="Times New Roman" w:hAnsi="Times New Roman" w:cs="Times New Roman"/>
        </w:rPr>
        <w:t>środki przeznaczone na realizację zadań z zakresu budowy i rozbudowy systemów alarmowania, ostrzegania i powiadamiania ludności oraz zadań, o których mowa w ustawie z dnia 22 listopada 2013 r. o sys</w:t>
      </w:r>
      <w:r w:rsidR="007F2919">
        <w:rPr>
          <w:rFonts w:ascii="Times New Roman" w:hAnsi="Times New Roman" w:cs="Times New Roman"/>
        </w:rPr>
        <w:t xml:space="preserve">temie powiadamiania ratunkowego, </w:t>
      </w:r>
      <w:r w:rsidRPr="00111CA2">
        <w:rPr>
          <w:rFonts w:ascii="Times New Roman" w:hAnsi="Times New Roman" w:cs="Times New Roman"/>
        </w:rPr>
        <w:t>przez ministra właściwego do spraw administracji publicznej;</w:t>
      </w:r>
    </w:p>
    <w:p w:rsidR="00811C15" w:rsidRPr="00811C15" w:rsidRDefault="00811C15" w:rsidP="007F2919">
      <w:pPr>
        <w:pStyle w:val="Akapitzlist"/>
        <w:numPr>
          <w:ilvl w:val="0"/>
          <w:numId w:val="5"/>
        </w:numPr>
        <w:spacing w:after="6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środki przeznaczone na realizację zadań z zakresu ochrony ludności i obrony cywilnej przez ministra właściwego do spraw zdrowia w zakresie środków przeznaczonych na finansowanie zadań, o których mowa w art. 48 ust. 1 ustawy z dnia 8 września 2006 r. o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>Państwowym Ratownictwie Medycznym;</w:t>
      </w:r>
    </w:p>
    <w:p w:rsidR="00811C15" w:rsidRPr="00811C15" w:rsidRDefault="00811C15" w:rsidP="007F2919">
      <w:pPr>
        <w:pStyle w:val="Akapitzlist"/>
        <w:numPr>
          <w:ilvl w:val="0"/>
          <w:numId w:val="5"/>
        </w:numPr>
        <w:spacing w:after="6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środki przeznaczone na realizację zadań z zakresu ochrony ludności i obrony cywilnej przez Narodowy Fundusz Zdrowia w zakresie środków przeznaczonych na finansowanie świadczeń opieki zdrowotnej z zakresu ratownictwa medycznego;</w:t>
      </w:r>
    </w:p>
    <w:p w:rsidR="00811C15" w:rsidRPr="00811C15" w:rsidRDefault="00811C15" w:rsidP="007F2919">
      <w:pPr>
        <w:pStyle w:val="Akapitzlist"/>
        <w:numPr>
          <w:ilvl w:val="0"/>
          <w:numId w:val="5"/>
        </w:numPr>
        <w:spacing w:after="6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 xml:space="preserve">środki ujęte w ramach limitu wydatków na finansowanie potrzeb </w:t>
      </w:r>
      <w:r w:rsidR="007F2919">
        <w:rPr>
          <w:rFonts w:ascii="Times New Roman" w:hAnsi="Times New Roman" w:cs="Times New Roman"/>
        </w:rPr>
        <w:t>obronnych, o którym mowa w art. </w:t>
      </w:r>
      <w:r w:rsidRPr="00811C15">
        <w:rPr>
          <w:rFonts w:ascii="Times New Roman" w:hAnsi="Times New Roman" w:cs="Times New Roman"/>
        </w:rPr>
        <w:t>40 ust. 1 pkt 2 ustawy z dnia 11 marca 2022 r. o obronie Ojczyzny, w wysokości 0,15% produktu krajowego brutto.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Środki ujęte w ramach limitu wydatków na finansowanie potrzeb obronnych, o którym mowa w art. 40 ust. 1 pkt 2 ustawy z dnia 11 marca 2022 r. o obronie Ojczyzny, w wysokości 0,15% produktu krajowego brutto przeznacza się na finansowanie lub dofinansowanie organów ochrony ludności i podmiotów ochrony ludności w zakresie realizacji zadań ochrony ludności i obrony cywilnej, w tym na zadania o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 xml:space="preserve">charakterze obronnym Rzeczypospolitej Polskiej. Zadaniami o charakterze obronnym są zadania </w:t>
      </w:r>
      <w:r w:rsidRPr="00811C15">
        <w:rPr>
          <w:rFonts w:ascii="Times New Roman" w:hAnsi="Times New Roman" w:cs="Times New Roman"/>
        </w:rPr>
        <w:lastRenderedPageBreak/>
        <w:t>ochrony ludności realizowane w czasie stanu wojennego i w czasie wojny jako obrona cywilna. Zgodnie z art. 2 ust. 3 ustawy z dnia 5 grudnia 2024 r. o ochronie ludności i obronie cywilnej, z chwilą wprowadzenia stanu wojennego i w czasie wojny ochrona ludności staje się obroną cywilną. Środki te są ujmowane w dziale 752 - Obrona narodowa, w rozdziale 75281 - Zadania o charakterze obronnym wynikające z ustawy</w:t>
      </w:r>
      <w:r w:rsidR="00BA66B3" w:rsidRPr="00BA66B3">
        <w:rPr>
          <w:rFonts w:ascii="Times New Roman" w:hAnsi="Times New Roman" w:cs="Times New Roman"/>
        </w:rPr>
        <w:t xml:space="preserve"> </w:t>
      </w:r>
      <w:r w:rsidR="00BA66B3">
        <w:rPr>
          <w:rFonts w:ascii="Times New Roman" w:hAnsi="Times New Roman" w:cs="Times New Roman"/>
        </w:rPr>
        <w:t>z dnia 5 grudnia 2024 r.</w:t>
      </w:r>
      <w:r w:rsidRPr="00811C15">
        <w:rPr>
          <w:rFonts w:ascii="Times New Roman" w:hAnsi="Times New Roman" w:cs="Times New Roman"/>
        </w:rPr>
        <w:t xml:space="preserve"> o ochronie ludności i obronie cywilnej oraz rozdziale 75282 - Zadania o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>charakterze obronnym wynikające z ustawy o ochronie ludności i obronie cywilnej realizowane przez Państwową Straż Pożarną.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Określony został podział środków finansowych części 0,15% PKB na wydatki obronne z</w:t>
      </w:r>
      <w:r w:rsidR="00341B04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 xml:space="preserve">uwzględnieniem lat obowiązywania Programu, podział na część centralną i części wojewódzkie, podział pomiędzy wojewodów oraz podział na obszary Programu. Do podziału środków, o których mowa w art. 155 ust. 2 pkt 3 </w:t>
      </w:r>
      <w:r w:rsidR="007F2919" w:rsidRPr="00811C15">
        <w:rPr>
          <w:rFonts w:ascii="Times New Roman" w:hAnsi="Times New Roman" w:cs="Times New Roman"/>
        </w:rPr>
        <w:t xml:space="preserve">ustawy </w:t>
      </w:r>
      <w:r w:rsidR="00BA66B3" w:rsidRPr="00811C15">
        <w:rPr>
          <w:rFonts w:ascii="Times New Roman" w:hAnsi="Times New Roman" w:cs="Times New Roman"/>
        </w:rPr>
        <w:t xml:space="preserve">z dnia 5 grudnia 2024 r. </w:t>
      </w:r>
      <w:r w:rsidR="007F2919" w:rsidRPr="00811C15">
        <w:rPr>
          <w:rFonts w:ascii="Times New Roman" w:hAnsi="Times New Roman" w:cs="Times New Roman"/>
        </w:rPr>
        <w:t>o ochronie ludności i obronie cywilnej</w:t>
      </w:r>
      <w:r w:rsidRPr="00811C15">
        <w:rPr>
          <w:rFonts w:ascii="Times New Roman" w:hAnsi="Times New Roman" w:cs="Times New Roman"/>
        </w:rPr>
        <w:t>, zastosowano następujące kryteria:</w:t>
      </w:r>
      <w:r w:rsidR="00F76728">
        <w:rPr>
          <w:rFonts w:ascii="Times New Roman" w:hAnsi="Times New Roman" w:cs="Times New Roman"/>
        </w:rPr>
        <w:t xml:space="preserve"> p</w:t>
      </w:r>
      <w:r w:rsidRPr="00811C15">
        <w:rPr>
          <w:rFonts w:ascii="Times New Roman" w:hAnsi="Times New Roman" w:cs="Times New Roman"/>
        </w:rPr>
        <w:t>rzyjęto podział co najmniej 85% środków na część dla wojewodów i jednostek samorządu terytorialnego oraz nie więcej niż 15% na część centralną w dyspozycji ministra właściwego do spraw wewnętrznych.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Ustawa z dnia 5 grudnia 2024 r. o ochronie ludności i obronie cywilnej oraz rozporządzenie dotyczące zawartości Programu nie wprowadzają kryteriów podziału środków finansowych na obszary Programu. Uwzględniając poziom wydatkowania środków w Programie Ochrony Ludności</w:t>
      </w:r>
      <w:r w:rsidR="00BA66B3">
        <w:rPr>
          <w:rFonts w:ascii="Times New Roman" w:hAnsi="Times New Roman" w:cs="Times New Roman"/>
        </w:rPr>
        <w:t xml:space="preserve"> i Obrony Cywilnej na lata 2025–</w:t>
      </w:r>
      <w:r w:rsidRPr="00811C15">
        <w:rPr>
          <w:rFonts w:ascii="Times New Roman" w:hAnsi="Times New Roman" w:cs="Times New Roman"/>
        </w:rPr>
        <w:t>2026, założone priorytety nowego Programu oraz szacowaną kosztochłonność poszczególnych obszarów, przyjęto następujący podział limitów wojewódzkich.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Jako kryterium podziału środków pomiędzy województwa przyjęto kryterium ludnościowe z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 xml:space="preserve">modyfikatorami: urbanizacyjnym i geograficznym. 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 xml:space="preserve">Wysokość środków dla województwa zależy od liczby ludności w województwie, z uwzględnieniem podziału na liczbę ludności w miastach i poza miastami. Z doświadczeń realizacji Programu Ochrony Ludności </w:t>
      </w:r>
      <w:r w:rsidR="00BA66B3">
        <w:rPr>
          <w:rFonts w:ascii="Times New Roman" w:hAnsi="Times New Roman" w:cs="Times New Roman"/>
        </w:rPr>
        <w:t>i Obrony Cywilnej w latach 2025–</w:t>
      </w:r>
      <w:r w:rsidRPr="00811C15">
        <w:rPr>
          <w:rFonts w:ascii="Times New Roman" w:hAnsi="Times New Roman" w:cs="Times New Roman"/>
        </w:rPr>
        <w:t>2026 wynika, że kryterium ludnościowe jest najbardziej efektywnym kryterium podstawowym na poziomie centralnym, przy uwzględnieniu modyfikatorów.</w:t>
      </w:r>
    </w:p>
    <w:p w:rsidR="00811C15" w:rsidRP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Modyfikator geograficzny, odnosi się do konieczności skompensowania kryterium ludnościowego i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>urbanizacyjnego w odniesieniu do wschodnich województw kraju, o mniejszej liczbie ludności, ale zlokalizowanych bliżej potencjalnego zagrożenia. Powyższe jest związane również z uwzględnieniem wymagań Narodowego Programu Odstraszania i Obrony „Tarcza Wschód”</w:t>
      </w:r>
      <w:r w:rsidR="00BA66B3">
        <w:rPr>
          <w:rFonts w:ascii="Times New Roman" w:hAnsi="Times New Roman" w:cs="Times New Roman"/>
        </w:rPr>
        <w:t>.</w:t>
      </w:r>
    </w:p>
    <w:p w:rsidR="00811C15" w:rsidRDefault="00811C15" w:rsidP="00811C1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811C15">
        <w:rPr>
          <w:rFonts w:ascii="Times New Roman" w:hAnsi="Times New Roman" w:cs="Times New Roman"/>
        </w:rPr>
        <w:t>Istnieje także możliwość uzupełnienia finansowania zadań ochrony ludności i obrony cywilnej poza Programem, ze środków Funduszu Modernizacji Bezpieczeństwa Publicznego i Ochrony Ludności. Ponadto, poszczególni dysponenci mogą pozyskiwać środki finansowe z innych źródeł, m.in. funduszy unijnych (w tym regionalnych i krajowych programów operacyjnych), Funduszu Bezpieczeństwa i</w:t>
      </w:r>
      <w:r w:rsidR="00E1025C">
        <w:rPr>
          <w:rFonts w:ascii="Times New Roman" w:hAnsi="Times New Roman" w:cs="Times New Roman"/>
        </w:rPr>
        <w:t> </w:t>
      </w:r>
      <w:r w:rsidRPr="00811C15">
        <w:rPr>
          <w:rFonts w:ascii="Times New Roman" w:hAnsi="Times New Roman" w:cs="Times New Roman"/>
        </w:rPr>
        <w:t xml:space="preserve">Obronności, zgodnie z odrębnymi regulacjami.  </w:t>
      </w:r>
    </w:p>
    <w:p w:rsidR="00F76728" w:rsidRPr="00CC0D37" w:rsidRDefault="00F76728" w:rsidP="00F76728">
      <w:pPr>
        <w:spacing w:line="276" w:lineRule="auto"/>
        <w:jc w:val="both"/>
        <w:rPr>
          <w:rFonts w:ascii="Times New Roman" w:hAnsi="Times New Roman" w:cs="Times New Roman"/>
        </w:rPr>
      </w:pPr>
      <w:r w:rsidRPr="00CC0D37">
        <w:rPr>
          <w:rFonts w:ascii="Times New Roman" w:hAnsi="Times New Roman" w:cs="Times New Roman"/>
        </w:rPr>
        <w:t>W ocenie projektodawcy przedmiotowa regulacja nie jest objęta prawem Unii Europejskiej i nie podlega obowiązkowi przedstawienia właściwym organom i instytucjom Unii Europejskiej, w tym Europejskiemu Bankowi Centralnemu, w celu uzyskania opinii, dokonania powiadomienia, konsultacji albo uzgodnienia.</w:t>
      </w:r>
    </w:p>
    <w:p w:rsidR="00F76728" w:rsidRPr="00CC0D37" w:rsidRDefault="00F76728" w:rsidP="00F76728">
      <w:pPr>
        <w:spacing w:line="276" w:lineRule="auto"/>
        <w:jc w:val="both"/>
        <w:rPr>
          <w:rFonts w:ascii="Times New Roman" w:hAnsi="Times New Roman" w:cs="Times New Roman"/>
        </w:rPr>
      </w:pPr>
      <w:r w:rsidRPr="00CC0D37">
        <w:rPr>
          <w:rFonts w:ascii="Times New Roman" w:hAnsi="Times New Roman" w:cs="Times New Roman"/>
        </w:rPr>
        <w:t xml:space="preserve">Projekt nie zawiera przepisów technicznych, zatem nie podlega notyfikacji zgodnie z trybem przewidzianym w rozporządzeniu Rady Ministrów z dnia 23 grudnia 2002 r. w sprawie sposobu funkcjonowania krajowego systemu notyfikacji norm i aktów prawnych (Dz. U. poz. 2039, z </w:t>
      </w:r>
      <w:proofErr w:type="spellStart"/>
      <w:r w:rsidRPr="00CC0D37">
        <w:rPr>
          <w:rFonts w:ascii="Times New Roman" w:hAnsi="Times New Roman" w:cs="Times New Roman"/>
        </w:rPr>
        <w:t>późn</w:t>
      </w:r>
      <w:proofErr w:type="spellEnd"/>
      <w:r w:rsidRPr="00CC0D37">
        <w:rPr>
          <w:rFonts w:ascii="Times New Roman" w:hAnsi="Times New Roman" w:cs="Times New Roman"/>
        </w:rPr>
        <w:t>. zm.).</w:t>
      </w:r>
    </w:p>
    <w:p w:rsidR="00F76728" w:rsidRPr="00811C15" w:rsidRDefault="00F76728" w:rsidP="005968DB">
      <w:pPr>
        <w:spacing w:line="276" w:lineRule="auto"/>
        <w:jc w:val="both"/>
        <w:rPr>
          <w:rFonts w:ascii="Times New Roman" w:hAnsi="Times New Roman" w:cs="Times New Roman"/>
        </w:rPr>
      </w:pPr>
      <w:r w:rsidRPr="00CC0D37">
        <w:rPr>
          <w:rFonts w:ascii="Times New Roman" w:hAnsi="Times New Roman" w:cs="Times New Roman"/>
        </w:rPr>
        <w:t xml:space="preserve">Zgodnie z art. 5 ustawy z dnia 7 lipca 2005 r. o działalności lobbingowej w procesie stanowienia prawa oraz § 52 uchwały nr 190 Rady Ministrów z dnia 29 października 2013 r. – Regulamin </w:t>
      </w:r>
      <w:r>
        <w:rPr>
          <w:rFonts w:ascii="Times New Roman" w:hAnsi="Times New Roman" w:cs="Times New Roman"/>
        </w:rPr>
        <w:t>pracy Rady Ministrów (M.P. z 2026 r. poz. 404</w:t>
      </w:r>
      <w:r w:rsidRPr="00CC0D37">
        <w:rPr>
          <w:rFonts w:ascii="Times New Roman" w:hAnsi="Times New Roman" w:cs="Times New Roman"/>
        </w:rPr>
        <w:t xml:space="preserve">) projekt </w:t>
      </w:r>
      <w:r>
        <w:rPr>
          <w:rFonts w:ascii="Times New Roman" w:hAnsi="Times New Roman" w:cs="Times New Roman"/>
        </w:rPr>
        <w:t>uchwały</w:t>
      </w:r>
      <w:r w:rsidRPr="00CC0D37">
        <w:rPr>
          <w:rFonts w:ascii="Times New Roman" w:hAnsi="Times New Roman" w:cs="Times New Roman"/>
        </w:rPr>
        <w:t xml:space="preserve"> został udostępniony w</w:t>
      </w:r>
      <w:r>
        <w:rPr>
          <w:rFonts w:ascii="Times New Roman" w:hAnsi="Times New Roman" w:cs="Times New Roman"/>
        </w:rPr>
        <w:t> </w:t>
      </w:r>
      <w:r w:rsidRPr="00CC0D37">
        <w:rPr>
          <w:rFonts w:ascii="Times New Roman" w:hAnsi="Times New Roman" w:cs="Times New Roman"/>
        </w:rPr>
        <w:t>Biuletynie Informacji Publicznej.</w:t>
      </w:r>
    </w:p>
    <w:sectPr w:rsidR="00F76728" w:rsidRPr="00811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02057"/>
    <w:multiLevelType w:val="hybridMultilevel"/>
    <w:tmpl w:val="527E3A88"/>
    <w:lvl w:ilvl="0" w:tplc="EDB8585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373DE"/>
    <w:multiLevelType w:val="hybridMultilevel"/>
    <w:tmpl w:val="732612E6"/>
    <w:lvl w:ilvl="0" w:tplc="8572FE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2148F"/>
    <w:multiLevelType w:val="hybridMultilevel"/>
    <w:tmpl w:val="A69EA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20547"/>
    <w:multiLevelType w:val="hybridMultilevel"/>
    <w:tmpl w:val="62A85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560F6"/>
    <w:multiLevelType w:val="hybridMultilevel"/>
    <w:tmpl w:val="000C0BF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907C4"/>
    <w:multiLevelType w:val="hybridMultilevel"/>
    <w:tmpl w:val="3A2E7B92"/>
    <w:lvl w:ilvl="0" w:tplc="8572FE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D7F60"/>
    <w:multiLevelType w:val="hybridMultilevel"/>
    <w:tmpl w:val="351E2A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C15"/>
    <w:rsid w:val="00111CA2"/>
    <w:rsid w:val="002141C8"/>
    <w:rsid w:val="00287595"/>
    <w:rsid w:val="002B22B5"/>
    <w:rsid w:val="002F4C71"/>
    <w:rsid w:val="00341B04"/>
    <w:rsid w:val="00446FD7"/>
    <w:rsid w:val="005968DB"/>
    <w:rsid w:val="005C4A8C"/>
    <w:rsid w:val="00630F3B"/>
    <w:rsid w:val="006E56DC"/>
    <w:rsid w:val="007F2919"/>
    <w:rsid w:val="00811C15"/>
    <w:rsid w:val="00844E54"/>
    <w:rsid w:val="0095217D"/>
    <w:rsid w:val="009C778B"/>
    <w:rsid w:val="00BA66B3"/>
    <w:rsid w:val="00BB46B5"/>
    <w:rsid w:val="00E1025C"/>
    <w:rsid w:val="00E231CA"/>
    <w:rsid w:val="00E57BD8"/>
    <w:rsid w:val="00E976F1"/>
    <w:rsid w:val="00F76728"/>
    <w:rsid w:val="00FE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75BD1-E20F-4AFF-8845-1F7BDE58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2099</Words>
  <Characters>12598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Rybacki Wojciech</dc:creator>
  <cp:keywords/>
  <dc:description/>
  <cp:lastModifiedBy>Ragus Krystian</cp:lastModifiedBy>
  <cp:revision>7</cp:revision>
  <dcterms:created xsi:type="dcterms:W3CDTF">2026-07-21T10:18:00Z</dcterms:created>
  <dcterms:modified xsi:type="dcterms:W3CDTF">2026-08-18T10:46:00Z</dcterms:modified>
</cp:coreProperties>
</file>