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r w:rsidR="00AF1B39" w:rsidRPr="00AF1B39">
        <w:rPr>
          <w:rStyle w:val="Hipercze"/>
        </w:rPr>
        <w:t>https://www.gov.pl/web/mswia/bip</w:t>
      </w:r>
      <w:r w:rsidR="00AF1B39">
        <w:rPr>
          <w:rStyle w:val="Hipercze"/>
        </w:rPr>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10" w:rsidRDefault="00D21410" w:rsidP="00615125">
      <w:pPr>
        <w:spacing w:after="0" w:line="240" w:lineRule="auto"/>
      </w:pPr>
      <w:r>
        <w:separator/>
      </w:r>
    </w:p>
  </w:endnote>
  <w:endnote w:type="continuationSeparator" w:id="0">
    <w:p w:rsidR="00D21410" w:rsidRDefault="00D21410"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100827" w:rsidRPr="00ED7FCB" w:rsidRDefault="0010082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250F25">
          <w:rPr>
            <w:noProof/>
            <w:sz w:val="18"/>
            <w:szCs w:val="18"/>
          </w:rPr>
          <w:t>1</w:t>
        </w:r>
        <w:r w:rsidRPr="00ED7FCB">
          <w:rPr>
            <w:sz w:val="18"/>
            <w:szCs w:val="18"/>
          </w:rPr>
          <w:fldChar w:fldCharType="end"/>
        </w:r>
      </w:p>
    </w:sdtContent>
  </w:sdt>
  <w:p w:rsidR="00100827" w:rsidRDefault="00100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10" w:rsidRDefault="00D21410" w:rsidP="00615125">
      <w:pPr>
        <w:spacing w:after="0" w:line="240" w:lineRule="auto"/>
      </w:pPr>
      <w:r>
        <w:separator/>
      </w:r>
    </w:p>
  </w:footnote>
  <w:footnote w:type="continuationSeparator" w:id="0">
    <w:p w:rsidR="00D21410" w:rsidRDefault="00D21410" w:rsidP="00615125">
      <w:pPr>
        <w:spacing w:after="0" w:line="240" w:lineRule="auto"/>
      </w:pPr>
      <w:r>
        <w:continuationSeparator/>
      </w:r>
    </w:p>
  </w:footnote>
  <w:footnote w:id="1">
    <w:p w:rsidR="00100827" w:rsidRDefault="0010082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0996"/>
    <w:rsid w:val="00023956"/>
    <w:rsid w:val="00024903"/>
    <w:rsid w:val="00024EEE"/>
    <w:rsid w:val="00033A24"/>
    <w:rsid w:val="0005562E"/>
    <w:rsid w:val="000571D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0F25"/>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707F3"/>
    <w:rsid w:val="00471B22"/>
    <w:rsid w:val="00476377"/>
    <w:rsid w:val="00483E63"/>
    <w:rsid w:val="00492E96"/>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5D1C"/>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1410"/>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4C27-EA46-4B4A-998D-3754FB9D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Jakubiak Magdalena</cp:lastModifiedBy>
  <cp:revision>2</cp:revision>
  <cp:lastPrinted>2019-02-28T12:18:00Z</cp:lastPrinted>
  <dcterms:created xsi:type="dcterms:W3CDTF">2019-03-01T12:07:00Z</dcterms:created>
  <dcterms:modified xsi:type="dcterms:W3CDTF">2019-03-01T12:07:00Z</dcterms:modified>
</cp:coreProperties>
</file>