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D4" w:rsidRPr="00780EA7" w:rsidRDefault="00416CD4" w:rsidP="00416CD4">
      <w:pPr>
        <w:jc w:val="both"/>
        <w:rPr>
          <w:u w:val="single"/>
        </w:rPr>
      </w:pPr>
      <w:r w:rsidRPr="00780EA7">
        <w:rPr>
          <w:u w:val="single"/>
        </w:rPr>
        <w:t>Załącznik do pisma znak: BM-V.5801.3.2021.DW</w:t>
      </w:r>
    </w:p>
    <w:p w:rsidR="00F95C01" w:rsidRDefault="00F95C01" w:rsidP="00416CD4">
      <w:pPr>
        <w:jc w:val="both"/>
      </w:pPr>
      <w:r>
        <w:t>P</w:t>
      </w:r>
      <w:r w:rsidR="00416CD4" w:rsidRPr="00416CD4">
        <w:t>rojekt narzędzia do samooceny uczelni w zakresie wdrażania zasad Deklaracji Społecznej Odpowiedzialności Uczelni</w:t>
      </w:r>
      <w:r>
        <w:t>,</w:t>
      </w:r>
      <w:r w:rsidR="00416CD4">
        <w:t xml:space="preserve"> </w:t>
      </w:r>
      <w:r>
        <w:t>do konsultacji</w:t>
      </w:r>
      <w:r w:rsidR="00416CD4">
        <w:t xml:space="preserve">. </w:t>
      </w:r>
    </w:p>
    <w:p w:rsidR="00416CD4" w:rsidRDefault="00416CD4" w:rsidP="00416CD4">
      <w:pPr>
        <w:jc w:val="both"/>
      </w:pPr>
      <w:r>
        <w:t xml:space="preserve">Opracowane narzędzi </w:t>
      </w:r>
      <w:r w:rsidRPr="00416CD4">
        <w:t>ma charakter inicjujący działania w zakresie popularyzacji i wdrażania zasad Deklaracji Społecznej Odpowiedzialności Uczelni (DSOU).</w:t>
      </w:r>
      <w:r>
        <w:t xml:space="preserve"> Został opracowany przez zespół ekspertów w ramach Grupy roboczej </w:t>
      </w:r>
      <w:r w:rsidR="00F95C01">
        <w:t xml:space="preserve">ds. </w:t>
      </w:r>
      <w:r>
        <w:t>Społecznej Odpowiedzialności Uczelni, działającej przy Zespole do spraw Zrównoważonego Rozwoju i Społecznej Odpowiedzialności Przedsiębiorstw – organie pomocniczym Ministra Finansów, Funduszy i Polityki Regionalnej. W opinii Grupy roboczej, pierwszy etap sprawozdawczości</w:t>
      </w:r>
      <w:r w:rsidRPr="00416CD4">
        <w:t xml:space="preserve"> uczelni w </w:t>
      </w:r>
      <w:r>
        <w:t xml:space="preserve">zakresie wypełniania zasad Deklaracji </w:t>
      </w:r>
      <w:r w:rsidRPr="00416CD4">
        <w:t xml:space="preserve">powinna mieć charakter dobrowolny. W Raporcie powinny znaleźć się informacje </w:t>
      </w:r>
      <w:r>
        <w:t>na temat działań jakie</w:t>
      </w:r>
      <w:r w:rsidRPr="00416CD4">
        <w:t xml:space="preserve"> uczelnia podjęła w zakresie </w:t>
      </w:r>
      <w:r>
        <w:t>D</w:t>
      </w:r>
      <w:r w:rsidRPr="00416CD4">
        <w:t>SOU od momentu podpisania Deklaracji. Raport powinien być dostępny dla wszystkich interesariuszy (poprzez umieszczenie na stronie internetowej uczelni). Kolejne Raporty powinny ukazywać się nie rzadziej niż co 2 lata</w:t>
      </w:r>
      <w:r w:rsidR="00C27BCF">
        <w:t>.</w:t>
      </w:r>
    </w:p>
    <w:p w:rsidR="00F95C01" w:rsidRPr="00416CD4" w:rsidRDefault="00F95C01" w:rsidP="00416CD4">
      <w:pPr>
        <w:jc w:val="both"/>
      </w:pPr>
      <w:bookmarkStart w:id="0" w:name="_GoBack"/>
      <w:bookmarkEnd w:id="0"/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"/>
        <w:gridCol w:w="8685"/>
      </w:tblGrid>
      <w:tr w:rsidR="00117F2A" w:rsidTr="00416CD4">
        <w:tc>
          <w:tcPr>
            <w:tcW w:w="9180" w:type="dxa"/>
            <w:gridSpan w:val="2"/>
            <w:shd w:val="clear" w:color="auto" w:fill="2E74B5" w:themeFill="accent1" w:themeFillShade="BF"/>
          </w:tcPr>
          <w:p w:rsidR="00117F2A" w:rsidRPr="00C740BE" w:rsidRDefault="000949F1" w:rsidP="00117F2A">
            <w:pPr>
              <w:jc w:val="both"/>
              <w:rPr>
                <w:b/>
                <w:color w:val="FFFFFF" w:themeColor="background1"/>
                <w:u w:val="single"/>
              </w:rPr>
            </w:pPr>
            <w:r>
              <w:rPr>
                <w:b/>
                <w:color w:val="FFFFFF" w:themeColor="background1"/>
                <w:u w:val="single"/>
              </w:rPr>
              <w:t>Metodologia</w:t>
            </w:r>
          </w:p>
          <w:p w:rsidR="00117F2A" w:rsidRPr="00C740BE" w:rsidRDefault="00117F2A" w:rsidP="00566BF1">
            <w:pPr>
              <w:jc w:val="both"/>
              <w:rPr>
                <w:b/>
                <w:color w:val="FFFFFF" w:themeColor="background1"/>
              </w:rPr>
            </w:pPr>
            <w:r w:rsidRPr="00C740BE">
              <w:rPr>
                <w:b/>
                <w:color w:val="FFFFFF" w:themeColor="background1"/>
              </w:rPr>
              <w:t>Do każde</w:t>
            </w:r>
            <w:r w:rsidR="00C740BE">
              <w:rPr>
                <w:b/>
                <w:color w:val="FFFFFF" w:themeColor="background1"/>
              </w:rPr>
              <w:t xml:space="preserve">j zasady Deklaracji SOU </w:t>
            </w:r>
            <w:r w:rsidRPr="00C740BE">
              <w:rPr>
                <w:b/>
                <w:color w:val="FFFFFF" w:themeColor="background1"/>
              </w:rPr>
              <w:t xml:space="preserve">zostały przypisane kierunkowe propozycje istotnych informacji, </w:t>
            </w:r>
            <w:r w:rsidR="00C740BE">
              <w:rPr>
                <w:b/>
                <w:color w:val="FFFFFF" w:themeColor="background1"/>
              </w:rPr>
              <w:t>które powinny znaleźć się w Raporcie</w:t>
            </w:r>
            <w:r w:rsidRPr="00C740BE">
              <w:rPr>
                <w:b/>
                <w:color w:val="FFFFFF" w:themeColor="background1"/>
              </w:rPr>
              <w:t xml:space="preserve"> i być oznakowane w sposób formalny</w:t>
            </w:r>
            <w:r w:rsidR="00F95C01">
              <w:rPr>
                <w:b/>
                <w:color w:val="FFFFFF" w:themeColor="background1"/>
              </w:rPr>
              <w:t xml:space="preserve"> (np. przytoczenie nazwy dokumentu)</w:t>
            </w:r>
            <w:r w:rsidRPr="00C740BE">
              <w:rPr>
                <w:b/>
                <w:color w:val="FFFFFF" w:themeColor="background1"/>
              </w:rPr>
              <w:t>. Niezależnie od tych informacji dopuszcza się swobodę prezentacji wszelkich innych treści, które dana uczelnia uważa za istotne (w ostatnim punkcie)</w:t>
            </w:r>
            <w:r w:rsidR="0060153F" w:rsidRPr="00C740BE">
              <w:rPr>
                <w:b/>
                <w:color w:val="FFFFFF" w:themeColor="background1"/>
              </w:rPr>
              <w:t xml:space="preserve">. </w:t>
            </w:r>
          </w:p>
          <w:p w:rsidR="0060153F" w:rsidRPr="0060153F" w:rsidRDefault="0060153F" w:rsidP="00566BF1">
            <w:pPr>
              <w:jc w:val="both"/>
            </w:pPr>
          </w:p>
        </w:tc>
      </w:tr>
      <w:tr w:rsidR="00117F2A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117F2A" w:rsidRDefault="00117F2A" w:rsidP="00117F2A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Zasada </w:t>
            </w:r>
            <w:r>
              <w:rPr>
                <w:b/>
                <w:bCs/>
              </w:rPr>
              <w:t>1</w:t>
            </w:r>
          </w:p>
          <w:p w:rsidR="00117F2A" w:rsidRPr="0060153F" w:rsidRDefault="00117F2A" w:rsidP="00566BF1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Pielęgnować wartości akademickie zapisane m.in. w </w:t>
            </w:r>
            <w:r w:rsidRPr="00566BF1">
              <w:rPr>
                <w:b/>
                <w:bCs/>
              </w:rPr>
              <w:br/>
              <w:t xml:space="preserve">„Kodeksie Etyki Pracownika Naukowego”, w szczególności: sumienność, obiektywizm, niezależność, otwartość i przejrzystość. </w:t>
            </w:r>
          </w:p>
        </w:tc>
      </w:tr>
      <w:tr w:rsidR="00117F2A" w:rsidTr="00C27BCF">
        <w:tc>
          <w:tcPr>
            <w:tcW w:w="495" w:type="dxa"/>
            <w:shd w:val="clear" w:color="auto" w:fill="DEEAF6" w:themeFill="accent1" w:themeFillTint="33"/>
          </w:tcPr>
          <w:p w:rsidR="00117F2A" w:rsidRPr="00630D38" w:rsidRDefault="00117F2A" w:rsidP="00566BF1">
            <w:pPr>
              <w:jc w:val="both"/>
            </w:pPr>
            <w:r w:rsidRPr="00630D38">
              <w:t>1.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117F2A" w:rsidRPr="0060153F" w:rsidRDefault="00117F2A" w:rsidP="00566BF1">
            <w:pPr>
              <w:jc w:val="both"/>
            </w:pPr>
            <w:r w:rsidRPr="00566BF1">
              <w:t>Uczelnia przedstawia przyjęte wartości, podając jednocześnie informację o dokumencie</w:t>
            </w:r>
            <w:r>
              <w:t>/dokumentach</w:t>
            </w:r>
            <w:r w:rsidRPr="00566BF1">
              <w:t xml:space="preserve"> na nie wskazującym</w:t>
            </w:r>
            <w:r>
              <w:t>/wskazujących</w:t>
            </w:r>
            <w:r w:rsidRPr="00566BF1">
              <w:t xml:space="preserve"> (np. kodeks, zasady) oraz informuje o roku jego</w:t>
            </w:r>
            <w:r>
              <w:t>/ich</w:t>
            </w:r>
            <w:r w:rsidRPr="00566BF1">
              <w:t xml:space="preserve"> ogłoszenia, podając również link do </w:t>
            </w:r>
            <w:r>
              <w:t>dokumentu/dokumentów</w:t>
            </w:r>
            <w:r w:rsidR="0060153F">
              <w:t xml:space="preserve">. 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60153F" w:rsidRDefault="00C27BCF" w:rsidP="00117F2A">
            <w:pPr>
              <w:jc w:val="both"/>
            </w:pPr>
            <w:r>
              <w:t>Uwagi do propozycji miernika:</w:t>
            </w:r>
          </w:p>
          <w:p w:rsidR="0060153F" w:rsidRDefault="0060153F" w:rsidP="00117F2A">
            <w:pPr>
              <w:jc w:val="both"/>
            </w:pPr>
          </w:p>
          <w:p w:rsidR="0060153F" w:rsidRDefault="0060153F" w:rsidP="00117F2A">
            <w:pPr>
              <w:jc w:val="both"/>
            </w:pPr>
          </w:p>
          <w:p w:rsidR="00C27BCF" w:rsidRPr="00566BF1" w:rsidRDefault="00C27BCF" w:rsidP="00117F2A">
            <w:pPr>
              <w:jc w:val="both"/>
            </w:pPr>
          </w:p>
        </w:tc>
      </w:tr>
      <w:tr w:rsidR="00117F2A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117F2A" w:rsidRDefault="00117F2A" w:rsidP="00117F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Zasada 2</w:t>
            </w:r>
          </w:p>
          <w:p w:rsidR="0060153F" w:rsidRPr="00117F2A" w:rsidRDefault="00117F2A" w:rsidP="00566BF1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>Kształtować społeczne i obywatelskie postawy przyszłych elit sprzyjające budowaniu wspólnoty, kreatywności, otwartości oraz komunikacji, a także wrażliwości społecznej</w:t>
            </w:r>
            <w:r w:rsidRPr="00566BF1">
              <w:rPr>
                <w:b/>
                <w:bCs/>
              </w:rPr>
              <w:br/>
              <w:t xml:space="preserve">i kultury pracy. </w:t>
            </w:r>
          </w:p>
        </w:tc>
      </w:tr>
      <w:tr w:rsidR="00117F2A" w:rsidTr="00C27BCF">
        <w:tc>
          <w:tcPr>
            <w:tcW w:w="495" w:type="dxa"/>
            <w:shd w:val="clear" w:color="auto" w:fill="DEEAF6" w:themeFill="accent1" w:themeFillTint="33"/>
          </w:tcPr>
          <w:p w:rsidR="00117F2A" w:rsidRPr="00630D38" w:rsidRDefault="004E1086" w:rsidP="00566BF1">
            <w:pPr>
              <w:jc w:val="both"/>
            </w:pPr>
            <w:r w:rsidRPr="00630D38">
              <w:t>2</w:t>
            </w:r>
            <w:r w:rsidR="001F30AA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117F2A" w:rsidRPr="0060153F" w:rsidRDefault="001F30AA" w:rsidP="00566BF1">
            <w:pPr>
              <w:jc w:val="both"/>
            </w:pPr>
            <w:r>
              <w:t>Uczelnia p</w:t>
            </w:r>
            <w:r w:rsidRPr="00566BF1">
              <w:t xml:space="preserve">rezentuje przynajmniej 2-3 konkretne przykłady kształtowania postaw obywatelskich studentów, zrealizowane w danym okresie sprawozdawczym </w:t>
            </w:r>
            <w:r>
              <w:t>–</w:t>
            </w:r>
            <w:r w:rsidRPr="00566BF1">
              <w:t xml:space="preserve"> do każdego z nich dołączając wskaźnik procentowego udziału studentów objętych w/w oddziaływaniem.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60153F" w:rsidRDefault="00C27BCF" w:rsidP="001F30AA">
            <w:pPr>
              <w:jc w:val="both"/>
            </w:pPr>
            <w:r>
              <w:t>Uwagi do propozycji miernika:</w:t>
            </w:r>
          </w:p>
          <w:p w:rsidR="0060153F" w:rsidRDefault="0060153F" w:rsidP="001F30AA">
            <w:pPr>
              <w:jc w:val="both"/>
            </w:pPr>
          </w:p>
          <w:p w:rsidR="0060153F" w:rsidRDefault="0060153F" w:rsidP="001F30AA">
            <w:pPr>
              <w:jc w:val="both"/>
            </w:pPr>
          </w:p>
          <w:p w:rsidR="0060153F" w:rsidRDefault="0060153F" w:rsidP="001F30AA">
            <w:pPr>
              <w:jc w:val="both"/>
            </w:pPr>
          </w:p>
        </w:tc>
      </w:tr>
      <w:tr w:rsidR="004E1086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4E1086" w:rsidRPr="00483DEB" w:rsidRDefault="004E1086" w:rsidP="004E1086">
            <w:pPr>
              <w:jc w:val="both"/>
              <w:rPr>
                <w:b/>
              </w:rPr>
            </w:pPr>
            <w:r w:rsidRPr="00483DEB">
              <w:rPr>
                <w:b/>
              </w:rPr>
              <w:t>Zasada 3</w:t>
            </w:r>
          </w:p>
          <w:p w:rsidR="004E1086" w:rsidRPr="0060153F" w:rsidRDefault="004E1086" w:rsidP="00566BF1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Upowszechniać ideę równości, różnorodności, tolerancji </w:t>
            </w:r>
            <w:r w:rsidRPr="00566BF1">
              <w:rPr>
                <w:b/>
                <w:bCs/>
              </w:rPr>
              <w:br/>
              <w:t xml:space="preserve">oraz respektować i chronić prawa człowieka w odniesieniu </w:t>
            </w:r>
            <w:r w:rsidRPr="00566BF1">
              <w:rPr>
                <w:b/>
                <w:bCs/>
              </w:rPr>
              <w:br/>
              <w:t>do całej społeczności akademickiej i jej otoczenia.</w:t>
            </w:r>
          </w:p>
        </w:tc>
      </w:tr>
      <w:tr w:rsidR="00117F2A" w:rsidTr="00C27BCF">
        <w:tc>
          <w:tcPr>
            <w:tcW w:w="495" w:type="dxa"/>
            <w:shd w:val="clear" w:color="auto" w:fill="DEEAF6" w:themeFill="accent1" w:themeFillTint="33"/>
          </w:tcPr>
          <w:p w:rsidR="00117F2A" w:rsidRPr="00630D38" w:rsidRDefault="004E1086" w:rsidP="00566BF1">
            <w:pPr>
              <w:jc w:val="both"/>
            </w:pPr>
            <w:r w:rsidRPr="00630D38">
              <w:t>3.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117F2A" w:rsidRPr="0060153F" w:rsidRDefault="004E1086" w:rsidP="00566BF1">
            <w:pPr>
              <w:jc w:val="both"/>
            </w:pPr>
            <w:r>
              <w:t>Uczelnia p</w:t>
            </w:r>
            <w:r w:rsidRPr="00566BF1">
              <w:t xml:space="preserve">rezentuje przynajmniej 2-3 konkretne przykłady upowszechniania tych idei, </w:t>
            </w:r>
            <w:r w:rsidRPr="00566BF1">
              <w:lastRenderedPageBreak/>
              <w:t xml:space="preserve">zrealizowane w danym okresie sprawozdawczym </w:t>
            </w:r>
            <w:r>
              <w:t>–</w:t>
            </w:r>
            <w:r w:rsidRPr="00566BF1">
              <w:t xml:space="preserve"> do każdego z nich dołączając wskaźnik wielkości grupy  (beneficjentów), do której każdorazowo udało się dot</w:t>
            </w:r>
            <w:r w:rsidR="0060153F">
              <w:t>rzeć.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60153F" w:rsidRPr="00C27BCF" w:rsidRDefault="00C27BCF" w:rsidP="00566BF1">
            <w:pPr>
              <w:jc w:val="both"/>
            </w:pPr>
            <w:r w:rsidRPr="00C27BCF">
              <w:lastRenderedPageBreak/>
              <w:t xml:space="preserve">Uwagi do propozycji miernika: </w:t>
            </w: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</w:tc>
      </w:tr>
      <w:tr w:rsidR="00117F2A" w:rsidTr="00C27BCF">
        <w:tc>
          <w:tcPr>
            <w:tcW w:w="495" w:type="dxa"/>
            <w:shd w:val="clear" w:color="auto" w:fill="DEEAF6" w:themeFill="accent1" w:themeFillTint="33"/>
          </w:tcPr>
          <w:p w:rsidR="00117F2A" w:rsidRPr="00630D38" w:rsidRDefault="004E1086" w:rsidP="00566BF1">
            <w:pPr>
              <w:jc w:val="both"/>
            </w:pPr>
            <w:r w:rsidRPr="00630D38">
              <w:t>4.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566BF1" w:rsidRDefault="004E1086" w:rsidP="004E1086">
            <w:pPr>
              <w:jc w:val="both"/>
            </w:pPr>
            <w:r>
              <w:t>Uczelnia p</w:t>
            </w:r>
            <w:r w:rsidRPr="00566BF1">
              <w:t xml:space="preserve">rzedstawia informację o udziale w projektach takich jak: </w:t>
            </w:r>
          </w:p>
          <w:p w:rsidR="004E1086" w:rsidRPr="00566BF1" w:rsidRDefault="004E1086" w:rsidP="004E1086">
            <w:pPr>
              <w:jc w:val="both"/>
            </w:pPr>
            <w:r>
              <w:t xml:space="preserve">a/ </w:t>
            </w:r>
            <w:r w:rsidRPr="00566BF1">
              <w:t xml:space="preserve">Karta Różnorodności, podając datę podpisania oraz podjęte działania w ostatnim okresie sprawozdawczym </w:t>
            </w:r>
          </w:p>
          <w:p w:rsidR="00117F2A" w:rsidRPr="0060153F" w:rsidRDefault="004E1086" w:rsidP="00566BF1">
            <w:pPr>
              <w:jc w:val="both"/>
            </w:pPr>
            <w:r>
              <w:t xml:space="preserve">b/ </w:t>
            </w:r>
            <w:r w:rsidRPr="00566BF1">
              <w:t>Logo HR Excellence, podając datę jego otrzymania oraz podjęte działania w o</w:t>
            </w:r>
            <w:r w:rsidR="0060153F">
              <w:t>statnim okresie sprawozdawczym.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</w:tc>
      </w:tr>
      <w:tr w:rsidR="00117F2A" w:rsidTr="00C27BCF">
        <w:tc>
          <w:tcPr>
            <w:tcW w:w="495" w:type="dxa"/>
            <w:shd w:val="clear" w:color="auto" w:fill="DEEAF6" w:themeFill="accent1" w:themeFillTint="33"/>
          </w:tcPr>
          <w:p w:rsidR="00117F2A" w:rsidRPr="00630D38" w:rsidRDefault="004E1086" w:rsidP="00566BF1">
            <w:pPr>
              <w:jc w:val="both"/>
            </w:pPr>
            <w:r w:rsidRPr="00630D38">
              <w:t>5.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117F2A" w:rsidRPr="0060153F" w:rsidRDefault="004E1086" w:rsidP="00566BF1">
            <w:pPr>
              <w:jc w:val="both"/>
            </w:pPr>
            <w:r>
              <w:t>Uczelnia p</w:t>
            </w:r>
            <w:r w:rsidRPr="00566BF1">
              <w:t xml:space="preserve">odaje procentowy udział studentów zagranicznych. 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</w:tc>
      </w:tr>
      <w:tr w:rsidR="00117F2A" w:rsidTr="00C27BCF">
        <w:tc>
          <w:tcPr>
            <w:tcW w:w="495" w:type="dxa"/>
            <w:shd w:val="clear" w:color="auto" w:fill="DEEAF6" w:themeFill="accent1" w:themeFillTint="33"/>
          </w:tcPr>
          <w:p w:rsidR="00117F2A" w:rsidRPr="00630D38" w:rsidRDefault="004E1086" w:rsidP="00566BF1">
            <w:pPr>
              <w:jc w:val="both"/>
            </w:pPr>
            <w:r w:rsidRPr="00630D38">
              <w:t>6.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117F2A" w:rsidRPr="0060153F" w:rsidRDefault="004E1086" w:rsidP="00566BF1">
            <w:pPr>
              <w:jc w:val="both"/>
            </w:pPr>
            <w:r>
              <w:t>Uczelnia p</w:t>
            </w:r>
            <w:r w:rsidRPr="00566BF1">
              <w:t xml:space="preserve">odaje procentowy udział </w:t>
            </w:r>
            <w:r>
              <w:t xml:space="preserve">zatrudnionych </w:t>
            </w:r>
            <w:r w:rsidRPr="00566BF1">
              <w:t>pracowników zagranicznych</w:t>
            </w:r>
            <w:r>
              <w:t>.</w:t>
            </w:r>
            <w:r w:rsidRPr="00566BF1">
              <w:t xml:space="preserve"> 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C27BCF" w:rsidRDefault="00C27BCF" w:rsidP="00566BF1">
            <w:pPr>
              <w:jc w:val="both"/>
              <w:rPr>
                <w:u w:val="single"/>
              </w:rPr>
            </w:pPr>
          </w:p>
        </w:tc>
      </w:tr>
      <w:tr w:rsidR="004E1086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4E1086" w:rsidRDefault="004E1086" w:rsidP="004E1086">
            <w:pPr>
              <w:jc w:val="both"/>
            </w:pPr>
            <w:r w:rsidRPr="00483DEB">
              <w:rPr>
                <w:b/>
              </w:rPr>
              <w:t>Zasada 4</w:t>
            </w:r>
            <w:r>
              <w:t xml:space="preserve"> </w:t>
            </w:r>
          </w:p>
          <w:p w:rsidR="004E1086" w:rsidRPr="0060153F" w:rsidRDefault="004E1086" w:rsidP="00566BF1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Poszerzać programy nauczania o zagadnienia z zakresu etyki i społecznej odpowiedzialności biznesu, zrównoważonego rozwoju i innowacji społecznych. </w:t>
            </w:r>
          </w:p>
        </w:tc>
      </w:tr>
      <w:tr w:rsidR="00117F2A" w:rsidTr="00C27BCF">
        <w:tc>
          <w:tcPr>
            <w:tcW w:w="495" w:type="dxa"/>
            <w:shd w:val="clear" w:color="auto" w:fill="DEEAF6" w:themeFill="accent1" w:themeFillTint="33"/>
          </w:tcPr>
          <w:p w:rsidR="00117F2A" w:rsidRPr="00630D38" w:rsidRDefault="004E1086" w:rsidP="00566BF1">
            <w:pPr>
              <w:jc w:val="both"/>
            </w:pPr>
            <w:r w:rsidRPr="00630D38">
              <w:t>7.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117F2A" w:rsidRPr="0060153F" w:rsidRDefault="004E1086" w:rsidP="00566BF1">
            <w:pPr>
              <w:jc w:val="both"/>
            </w:pPr>
            <w:r w:rsidRPr="00566BF1">
              <w:t>Uczelnia podaje listę przedmiotów poświęconych w/w zagadnieniom (przynajmniej 75% treści, o których mowa w zasadzie), z uwzględnieniem ilości godzin oraz poziomu nauczania (licencjat, magisterskie, podyplo</w:t>
            </w:r>
            <w:r w:rsidR="0060153F">
              <w:t>mowe) w danym roku akademickim.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  <w:p w:rsidR="0060153F" w:rsidRDefault="0060153F" w:rsidP="00566BF1">
            <w:pPr>
              <w:jc w:val="both"/>
              <w:rPr>
                <w:u w:val="single"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4E1086" w:rsidP="00566BF1">
            <w:pPr>
              <w:jc w:val="both"/>
            </w:pPr>
            <w:r w:rsidRPr="00630D38">
              <w:t>8.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566BF1">
            <w:pPr>
              <w:jc w:val="both"/>
            </w:pPr>
            <w:r w:rsidRPr="00566BF1">
              <w:t>Uczelnia podaje procentowy wskaźnik udziału studentów objętych w/w naucz</w:t>
            </w:r>
            <w:r w:rsidR="0060153F">
              <w:t>aniem w danym roku akademickim.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jc w:val="both"/>
            </w:pPr>
          </w:p>
          <w:p w:rsidR="0060153F" w:rsidRDefault="0060153F" w:rsidP="004E1086">
            <w:pPr>
              <w:jc w:val="both"/>
            </w:pPr>
          </w:p>
          <w:p w:rsidR="0060153F" w:rsidRPr="00566BF1" w:rsidRDefault="0060153F" w:rsidP="004E1086">
            <w:pPr>
              <w:jc w:val="both"/>
            </w:pPr>
          </w:p>
        </w:tc>
      </w:tr>
      <w:tr w:rsidR="004E1086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4E1086" w:rsidRPr="00483DEB" w:rsidRDefault="004E1086" w:rsidP="004E1086">
            <w:pPr>
              <w:jc w:val="both"/>
              <w:rPr>
                <w:b/>
              </w:rPr>
            </w:pPr>
            <w:r w:rsidRPr="00483DEB">
              <w:rPr>
                <w:b/>
              </w:rPr>
              <w:t>Zasada 5</w:t>
            </w:r>
          </w:p>
          <w:p w:rsidR="004E1086" w:rsidRPr="0060153F" w:rsidRDefault="004E1086" w:rsidP="004E1086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Realizować projekty wdrażające zasady społecznej odpowiedzialności, </w:t>
            </w:r>
            <w:r w:rsidRPr="00566BF1">
              <w:rPr>
                <w:b/>
                <w:bCs/>
              </w:rPr>
              <w:br/>
              <w:t xml:space="preserve">w szczególności dotyczące zarządzania różnorodnością w miejscu pracy, wolontariatu pracowniczego, promocji zasad etyki, współpracy międzysektorowej, marketingu społecznie zaangażowanego. 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4E1086" w:rsidP="00566BF1">
            <w:pPr>
              <w:jc w:val="both"/>
            </w:pPr>
            <w:r w:rsidRPr="00630D38">
              <w:t>9.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 xml:space="preserve">Uczelnia prezentuje przynajmniej 2-3 konkretne przykłady projektów wdrażania zasad społecznej odpowiedzialności </w:t>
            </w:r>
            <w:r w:rsidR="0060153F">
              <w:t>w danym okresie sprawozdawczym.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Pr="00566BF1" w:rsidRDefault="0060153F" w:rsidP="00C27BCF">
            <w:pPr>
              <w:jc w:val="both"/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4E1086" w:rsidP="00566BF1">
            <w:pPr>
              <w:jc w:val="both"/>
            </w:pPr>
            <w:r w:rsidRPr="00630D38">
              <w:lastRenderedPageBreak/>
              <w:t>10.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566BF1" w:rsidRDefault="004E1086" w:rsidP="004E1086">
            <w:pPr>
              <w:jc w:val="both"/>
            </w:pPr>
            <w:r>
              <w:t>Uczelnia p</w:t>
            </w:r>
            <w:r w:rsidRPr="00566BF1">
              <w:t xml:space="preserve">odaje procentowy wskaźnik udziału kobiet na kierowniczych stanowiskach w grupie: </w:t>
            </w:r>
          </w:p>
          <w:p w:rsidR="004E1086" w:rsidRPr="00566BF1" w:rsidRDefault="004E1086" w:rsidP="004E1086">
            <w:pPr>
              <w:jc w:val="both"/>
            </w:pPr>
            <w:r>
              <w:t xml:space="preserve">a/ </w:t>
            </w:r>
            <w:r w:rsidRPr="00566BF1">
              <w:t>pracowników administracyjnych (kierownicy jednostek</w:t>
            </w:r>
            <w:r>
              <w:t xml:space="preserve"> </w:t>
            </w:r>
            <w:r w:rsidRPr="00566BF1">
              <w:t xml:space="preserve">organizacyjnych) </w:t>
            </w:r>
          </w:p>
          <w:p w:rsidR="004E1086" w:rsidRPr="00566BF1" w:rsidRDefault="004E1086" w:rsidP="004E1086">
            <w:pPr>
              <w:jc w:val="both"/>
            </w:pPr>
            <w:r>
              <w:t xml:space="preserve">b/ </w:t>
            </w:r>
            <w:r w:rsidRPr="00566BF1">
              <w:t>pracowników badawczo-dydaktycznych (dyrektorzy</w:t>
            </w:r>
            <w:r>
              <w:t xml:space="preserve"> i</w:t>
            </w:r>
            <w:r w:rsidRPr="00566BF1">
              <w:t xml:space="preserve">nstytutów, kierownicy katedr, zakładów) </w:t>
            </w:r>
          </w:p>
          <w:p w:rsidR="004E1086" w:rsidRPr="00566BF1" w:rsidRDefault="004E1086" w:rsidP="004E1086">
            <w:pPr>
              <w:jc w:val="both"/>
            </w:pPr>
            <w:r>
              <w:t xml:space="preserve">c/ </w:t>
            </w:r>
            <w:r w:rsidRPr="00566BF1">
              <w:t xml:space="preserve"> władz rektorskich (rektor, prorektorzy, dziekani).</w:t>
            </w:r>
          </w:p>
          <w:p w:rsidR="004E1086" w:rsidRPr="00566BF1" w:rsidRDefault="004E1086" w:rsidP="004E1086">
            <w:pPr>
              <w:jc w:val="both"/>
            </w:pPr>
            <w:r>
              <w:t>d/ p</w:t>
            </w:r>
            <w:r w:rsidRPr="00566BF1">
              <w:t>odaje  średnią różnicę całkowitych zarobków według płci dla każdej z tych trzech grup</w:t>
            </w:r>
            <w:r>
              <w:t xml:space="preserve">. 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4E1086" w:rsidP="00566BF1">
            <w:pPr>
              <w:jc w:val="both"/>
            </w:pPr>
            <w:r w:rsidRPr="00630D38">
              <w:t>11.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Default="004E1086" w:rsidP="004E1086">
            <w:pPr>
              <w:jc w:val="both"/>
            </w:pPr>
            <w:r>
              <w:t xml:space="preserve">Uczelnia podaje </w:t>
            </w:r>
            <w:r w:rsidRPr="00566BF1">
              <w:t xml:space="preserve">odsetek pracowników etatowych uczelni przeszkolonych w zakresie przeciwdziałania </w:t>
            </w:r>
            <w:proofErr w:type="spellStart"/>
            <w:r w:rsidRPr="00566BF1">
              <w:t>mobbingowi</w:t>
            </w:r>
            <w:proofErr w:type="spellEnd"/>
            <w:r w:rsidRPr="00566BF1">
              <w:t>, molestowaniu seksualnemu, przemocy, dyskryminacji, promocji zasad etyki.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pStyle w:val="Akapitzlist"/>
              <w:jc w:val="both"/>
            </w:pPr>
          </w:p>
          <w:p w:rsidR="0060153F" w:rsidRDefault="0060153F" w:rsidP="004E1086">
            <w:pPr>
              <w:pStyle w:val="Akapitzlist"/>
              <w:jc w:val="both"/>
            </w:pPr>
          </w:p>
          <w:p w:rsidR="0060153F" w:rsidRDefault="0060153F" w:rsidP="004E1086">
            <w:pPr>
              <w:pStyle w:val="Akapitzlist"/>
              <w:jc w:val="both"/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4E1086" w:rsidP="00566BF1">
            <w:pPr>
              <w:jc w:val="both"/>
            </w:pPr>
            <w:r w:rsidRPr="00630D38">
              <w:t>12.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Default="004E1086" w:rsidP="0060153F">
            <w:pPr>
              <w:jc w:val="both"/>
            </w:pPr>
            <w:r w:rsidRPr="00566BF1">
              <w:t xml:space="preserve">Podaje odsetek studentów uczelni (licencjat, magisterskie – studia stacjonarne) przeszkolonych w zakresie przeciwdziałania </w:t>
            </w:r>
            <w:proofErr w:type="spellStart"/>
            <w:r w:rsidRPr="00566BF1">
              <w:t>mobbingowi</w:t>
            </w:r>
            <w:proofErr w:type="spellEnd"/>
            <w:r w:rsidRPr="00566BF1">
              <w:t>, molestowaniu seksualnemu, przemocy, dyskrymin</w:t>
            </w:r>
            <w:r w:rsidR="0060153F">
              <w:t>acji, promocji zasad etycznych.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jc w:val="both"/>
            </w:pPr>
          </w:p>
          <w:p w:rsidR="0060153F" w:rsidRDefault="0060153F" w:rsidP="004E1086">
            <w:pPr>
              <w:jc w:val="both"/>
            </w:pPr>
          </w:p>
          <w:p w:rsidR="0060153F" w:rsidRPr="00566BF1" w:rsidRDefault="0060153F" w:rsidP="004E1086">
            <w:pPr>
              <w:jc w:val="both"/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566BF1">
            <w:pPr>
              <w:jc w:val="both"/>
            </w:pPr>
            <w:r w:rsidRPr="00630D38">
              <w:t>13.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566BF1" w:rsidRDefault="004E1086" w:rsidP="0060153F">
            <w:pPr>
              <w:jc w:val="both"/>
            </w:pPr>
            <w:r>
              <w:t>Uczelnia p</w:t>
            </w:r>
            <w:r w:rsidRPr="00566BF1">
              <w:t xml:space="preserve">odaje 2-3 konkretne przykłady zachęcające pracowników do działań </w:t>
            </w:r>
            <w:proofErr w:type="spellStart"/>
            <w:r w:rsidRPr="00566BF1">
              <w:t>wolontaryjnych</w:t>
            </w:r>
            <w:proofErr w:type="spellEnd"/>
            <w:r w:rsidRPr="00566BF1">
              <w:t xml:space="preserve"> </w:t>
            </w:r>
            <w:r>
              <w:t xml:space="preserve"> </w:t>
            </w:r>
            <w:r w:rsidRPr="00566BF1">
              <w:t>oraz stosunek ilości pracowników (naukowych i administracyjnych łącznie) podejmujących wolontariat pracowniczy w ramach inicjatyw uczelnianych do całkowitej liczby pracowników zatrudnionych na umowę o pracę na koniec okresu sprawozdawczego.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566BF1">
            <w:pPr>
              <w:jc w:val="both"/>
            </w:pPr>
            <w:r w:rsidRPr="00630D38">
              <w:t>14.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Default="004E1086" w:rsidP="0060153F">
            <w:pPr>
              <w:jc w:val="both"/>
            </w:pPr>
            <w:r>
              <w:t xml:space="preserve">Uczelnia podaje </w:t>
            </w:r>
            <w:r w:rsidRPr="00566BF1">
              <w:t xml:space="preserve">2-3 konkretne przykłady zachęcające studentów do działań </w:t>
            </w:r>
            <w:proofErr w:type="spellStart"/>
            <w:r w:rsidRPr="00566BF1">
              <w:t>wolontaryjnych</w:t>
            </w:r>
            <w:proofErr w:type="spellEnd"/>
            <w:r w:rsidRPr="00566BF1">
              <w:t xml:space="preserve"> oraz stosunek ilości studentów podejmujących wolontariat w ramach inicjatyw uczelnianych do całkowitej liczby studentów na koniec okresu sprawozdawczego.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Default="0060153F" w:rsidP="006015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Zasada 6 </w:t>
            </w:r>
          </w:p>
          <w:p w:rsidR="0060153F" w:rsidRPr="0060153F" w:rsidRDefault="0060153F" w:rsidP="0060153F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Podejmować badania naukowe i prace wdrożeniowe, które w ramach partnerstwa z innymi ośrodkami akademickimi z całego świata, sektorem przedsiębiorstw, administracją publiczną i organizacjami pozarządowymi przyczyniać się mogą do rozwiązywania istotnych problemów społecznych. 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566BF1">
            <w:pPr>
              <w:jc w:val="both"/>
            </w:pPr>
            <w:r w:rsidRPr="00630D38">
              <w:t>15.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przedstawia lis</w:t>
            </w:r>
            <w:r>
              <w:t>tę uzyskanych grantów naukowych</w:t>
            </w:r>
            <w:r w:rsidRPr="00566BF1">
              <w:t xml:space="preserve"> polskich i międzynarodowych,</w:t>
            </w:r>
            <w:r w:rsidR="0060153F">
              <w:t xml:space="preserve"> dotyczących w/w problematyki. 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566BF1">
            <w:pPr>
              <w:jc w:val="both"/>
            </w:pPr>
            <w:r w:rsidRPr="00630D38">
              <w:lastRenderedPageBreak/>
              <w:t>16.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podaje listę publikacji naukowych o istotnym wpływie społecznym opublikowanych w danym okr</w:t>
            </w:r>
            <w:r w:rsidR="0060153F">
              <w:t>esie sprawozdawczym.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Pr="00566BF1" w:rsidRDefault="0060153F" w:rsidP="004E1086">
            <w:pPr>
              <w:ind w:left="720"/>
              <w:jc w:val="both"/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566BF1">
            <w:pPr>
              <w:jc w:val="both"/>
            </w:pPr>
            <w:r w:rsidRPr="00630D38">
              <w:t>17.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566BF1" w:rsidRDefault="004E1086" w:rsidP="0060153F">
            <w:pPr>
              <w:jc w:val="both"/>
            </w:pPr>
            <w:r w:rsidRPr="00566BF1">
              <w:t>Uczelnia przedstawia listę projektów badawczych lub prac wdrożeniowych podjętych z innymi polskimi organizacjami (w tym organizacjami pozarządowymi) w danym okresie sprawozdawczym, nakierowanych na poszukiwanie rozwiązań istotnych prob</w:t>
            </w:r>
            <w:r w:rsidR="0060153F">
              <w:t>lemów społecznych.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Pr="00566BF1" w:rsidRDefault="0060153F" w:rsidP="004E1086">
            <w:pPr>
              <w:ind w:left="720"/>
              <w:jc w:val="both"/>
            </w:pPr>
          </w:p>
        </w:tc>
      </w:tr>
      <w:tr w:rsidR="00960DBA" w:rsidTr="00C27BCF">
        <w:tc>
          <w:tcPr>
            <w:tcW w:w="495" w:type="dxa"/>
            <w:shd w:val="clear" w:color="auto" w:fill="DEEAF6" w:themeFill="accent1" w:themeFillTint="33"/>
          </w:tcPr>
          <w:p w:rsidR="00960DBA" w:rsidRPr="00630D38" w:rsidRDefault="00960DBA" w:rsidP="00E81075">
            <w:pPr>
              <w:jc w:val="both"/>
            </w:pPr>
            <w:r>
              <w:t>18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960DBA" w:rsidRPr="00566BF1" w:rsidRDefault="00960DBA" w:rsidP="00E81075">
            <w:pPr>
              <w:jc w:val="both"/>
            </w:pPr>
            <w:r w:rsidRPr="00566BF1">
              <w:t>Uczelnia przedstawia listę projektów badawczych lub prac wdrożeniowych podjętych z organizacjami z innych krajów w danym okresie sprawozdawczym, nakierowanych na poszukiwanie rozwiązań istotnych problemów społecznych.</w:t>
            </w:r>
          </w:p>
        </w:tc>
      </w:tr>
      <w:tr w:rsidR="00960DBA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960DBA" w:rsidRDefault="00960DBA" w:rsidP="004E1086">
            <w:pPr>
              <w:ind w:left="720"/>
              <w:jc w:val="both"/>
            </w:pPr>
          </w:p>
          <w:p w:rsidR="00960DBA" w:rsidRDefault="00960DBA" w:rsidP="004E1086">
            <w:pPr>
              <w:ind w:left="720"/>
              <w:jc w:val="both"/>
            </w:pPr>
          </w:p>
          <w:p w:rsidR="00960DBA" w:rsidRDefault="00960DBA" w:rsidP="004E1086">
            <w:pPr>
              <w:ind w:left="720"/>
              <w:jc w:val="both"/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Pr="00AD25E0" w:rsidRDefault="0060153F" w:rsidP="0060153F">
            <w:pPr>
              <w:jc w:val="both"/>
              <w:rPr>
                <w:b/>
              </w:rPr>
            </w:pPr>
            <w:r w:rsidRPr="00AD25E0">
              <w:rPr>
                <w:b/>
              </w:rPr>
              <w:t xml:space="preserve">Zasada 7 </w:t>
            </w:r>
          </w:p>
          <w:p w:rsidR="0060153F" w:rsidRPr="00566BF1" w:rsidRDefault="0060153F" w:rsidP="0060153F">
            <w:pPr>
              <w:jc w:val="both"/>
            </w:pPr>
            <w:r w:rsidRPr="00566BF1">
              <w:rPr>
                <w:b/>
                <w:bCs/>
              </w:rPr>
              <w:t>Rozwijać współpracę międzyuczelnianą, krajową i międzynarodową, umożliwiającą adaptację i wzmacnianie najlepszych praktyk w zakresie społecznej odpowiedzialności uczelni.</w:t>
            </w:r>
            <w:r w:rsidRPr="00AD25E0">
              <w:t xml:space="preserve"> 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960DBA">
            <w:pPr>
              <w:jc w:val="both"/>
            </w:pPr>
            <w:r w:rsidRPr="00630D38">
              <w:t>1</w:t>
            </w:r>
            <w:r w:rsidR="00960DBA">
              <w:t>9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informuje o przynależności, członkostwie w organizacjach polskich, zagranicznych i międzynarodowych, których działanie dotyczy/obejmuje SOU.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Pr="00AD25E0" w:rsidRDefault="0060153F" w:rsidP="004E1086">
            <w:pPr>
              <w:ind w:left="720"/>
              <w:jc w:val="both"/>
              <w:rPr>
                <w:b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960DBA" w:rsidP="00566BF1">
            <w:pPr>
              <w:jc w:val="both"/>
            </w:pPr>
            <w:r>
              <w:t>20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Prezentuje przynajmniej 2-3 konkretne przykłady wdrażania najlepszych praktyk w/w zakresie, realizowane we współpracy z innymi uczelniami krajowymi i zagranicznymi.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Pr="00AD25E0" w:rsidRDefault="0060153F" w:rsidP="004E1086">
            <w:pPr>
              <w:ind w:left="720"/>
              <w:jc w:val="both"/>
              <w:rPr>
                <w:b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960DBA" w:rsidP="00566BF1">
            <w:pPr>
              <w:jc w:val="both"/>
            </w:pPr>
            <w:r>
              <w:t>21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Podaje stosunek ilości uczelni, z którymi podjęto współpracę w/w zakresie do całkowitej liczby uczelni partnerskich na koniec okresu sprawozdawczego.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Pr="00AD25E0" w:rsidRDefault="0060153F" w:rsidP="004E1086">
            <w:pPr>
              <w:ind w:left="720"/>
              <w:jc w:val="both"/>
              <w:rPr>
                <w:b/>
              </w:rPr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Default="0060153F" w:rsidP="006015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Zasada 8</w:t>
            </w:r>
          </w:p>
          <w:p w:rsidR="0060153F" w:rsidRPr="0060153F" w:rsidRDefault="0060153F" w:rsidP="0060153F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Dbać o ład organizacyjny uczelni, opierając zarządzanie uczelnią na fundamentach społecznej odpowiedzialności, zarówno w dokumentach strategicznych, jak i wynikających z nich działaniach służących wszechstronnemu rozwojowi społeczności akademickiej i skutecznej realizacji misji uczelni. 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960DBA" w:rsidP="00566BF1">
            <w:pPr>
              <w:jc w:val="both"/>
            </w:pPr>
            <w:r>
              <w:t>22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 xml:space="preserve">Uczelnia informuje o przyjętych dokumentach strategicznych, w których podkreśla się rolę </w:t>
            </w:r>
            <w:r w:rsidRPr="00566BF1">
              <w:lastRenderedPageBreak/>
              <w:t>SOU, podając datę ich opublikowani</w:t>
            </w:r>
            <w:r w:rsidR="0060153F">
              <w:t>a oraz link do tych dokumentów.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lastRenderedPageBreak/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Pr="00AD25E0" w:rsidRDefault="0060153F" w:rsidP="004E1086">
            <w:pPr>
              <w:ind w:left="720"/>
              <w:jc w:val="both"/>
              <w:rPr>
                <w:b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960DBA" w:rsidP="00566BF1">
            <w:pPr>
              <w:jc w:val="both"/>
            </w:pPr>
            <w:r>
              <w:t>23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informuje certyfikatach, aktua</w:t>
            </w:r>
            <w:r w:rsidR="0060153F">
              <w:t>lnych w okresie sprawozdawczym.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</w:rPr>
            </w:pPr>
          </w:p>
          <w:p w:rsidR="0060153F" w:rsidRPr="00AD25E0" w:rsidRDefault="0060153F" w:rsidP="004E1086">
            <w:pPr>
              <w:ind w:left="720"/>
              <w:jc w:val="both"/>
              <w:rPr>
                <w:b/>
              </w:rPr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Default="0060153F" w:rsidP="006015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Zasada 9 </w:t>
            </w:r>
          </w:p>
          <w:p w:rsidR="0060153F" w:rsidRPr="0060153F" w:rsidRDefault="0060153F" w:rsidP="0060153F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Zapewniać przejrzystość prowadzonej przez uczelnię działalności poprzez m.in. mierzenie rezultatów, promowanie i upowszechnianie dorobku oraz wskazanie osoby lub zespołu koordynującego te działania. 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252A7B">
            <w:pPr>
              <w:jc w:val="both"/>
            </w:pPr>
            <w:r w:rsidRPr="00630D38">
              <w:t>2</w:t>
            </w:r>
            <w:r w:rsidR="00252A7B">
              <w:t>4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informuje o tym, czy przygotowała raport SOU w okresie sprawozdawczym, jeżeli tak to podaje rok jego pu</w:t>
            </w:r>
            <w:r w:rsidR="0060153F">
              <w:t>blikacji oraz link dostępności.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252A7B">
            <w:pPr>
              <w:jc w:val="both"/>
            </w:pPr>
            <w:r w:rsidRPr="00630D38">
              <w:t>2</w:t>
            </w:r>
            <w:r w:rsidR="00252A7B">
              <w:t>5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informuje, czy przygotowała raport/sprawozdanie na temat SOU d</w:t>
            </w:r>
            <w:r w:rsidR="0060153F">
              <w:t>la organizacji międzynarodowej.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252A7B">
            <w:pPr>
              <w:jc w:val="both"/>
            </w:pPr>
            <w:r w:rsidRPr="00630D38">
              <w:t>2</w:t>
            </w:r>
            <w:r w:rsidR="00252A7B">
              <w:t>6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przedstawia opis narzędzi stosowanych do mierzenia rezultatów, pr</w:t>
            </w:r>
            <w:r w:rsidR="0060153F">
              <w:t>omowania i upowszechniania SOU.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252A7B">
            <w:pPr>
              <w:jc w:val="both"/>
            </w:pPr>
            <w:r w:rsidRPr="00630D38">
              <w:t>2</w:t>
            </w:r>
            <w:r w:rsidR="00252A7B">
              <w:t>7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Podaje dane oraz kontakt do osoby lub jednostki organizacyjnej uczelni koordynu</w:t>
            </w:r>
            <w:r w:rsidR="0060153F">
              <w:t>jącej działania w w/w aspekcie.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Pr="00566BF1" w:rsidRDefault="0060153F" w:rsidP="004E1086">
            <w:pPr>
              <w:ind w:left="720"/>
              <w:jc w:val="both"/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Default="0060153F" w:rsidP="006015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Zasada 10</w:t>
            </w:r>
          </w:p>
          <w:p w:rsidR="0060153F" w:rsidRPr="0060153F" w:rsidRDefault="0060153F" w:rsidP="0060153F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>Prowadzić działalność w taki sposób, by minimalizować negatywny wpływ aktywności realizowanych przez społeczność akademicką oraz jej interesariuszy na środowisko przyrodnicze we wszelkich jego wymiarach.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252A7B">
            <w:pPr>
              <w:jc w:val="both"/>
            </w:pPr>
            <w:r w:rsidRPr="00630D38">
              <w:t>2</w:t>
            </w:r>
            <w:r w:rsidR="00252A7B">
              <w:t>8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566BF1" w:rsidRDefault="004E1086" w:rsidP="0060153F">
            <w:pPr>
              <w:jc w:val="both"/>
            </w:pPr>
            <w:r w:rsidRPr="00566BF1">
              <w:t>Uczelnia prezentuje przynajmniej 2-3 konkretne przykłady zrealizowanych projektów/inwestycji w danym okresie sprawozdawczym, które doprowadziły do zmniejszenia negatywnego wpływu na środowisko – określając każdorazowo za</w:t>
            </w:r>
            <w:r w:rsidR="0060153F">
              <w:t>stosowane wskaźniki rezultatów.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Pr="00566BF1" w:rsidRDefault="0060153F" w:rsidP="004E1086">
            <w:pPr>
              <w:ind w:left="720"/>
              <w:jc w:val="both"/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252A7B">
            <w:pPr>
              <w:jc w:val="both"/>
            </w:pPr>
            <w:r w:rsidRPr="00630D38">
              <w:lastRenderedPageBreak/>
              <w:t>2</w:t>
            </w:r>
            <w:r w:rsidR="00252A7B">
              <w:t>9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566BF1" w:rsidRDefault="004E1086" w:rsidP="0060153F">
            <w:pPr>
              <w:jc w:val="both"/>
            </w:pPr>
            <w:r w:rsidRPr="00566BF1">
              <w:t xml:space="preserve">Uczelnia podaje 2-3 przykłady działań/kampanii </w:t>
            </w:r>
            <w:r>
              <w:t>p</w:t>
            </w:r>
            <w:r w:rsidRPr="00566BF1">
              <w:t xml:space="preserve">roekologicznych podjętych z NGOS, społecznością studentów lub na ich życzenie </w:t>
            </w:r>
            <w:r w:rsidR="0060153F">
              <w:t>w danym okresie sprawozdawczym.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</w:pPr>
          </w:p>
          <w:p w:rsidR="0060153F" w:rsidRDefault="0060153F" w:rsidP="004E1086">
            <w:pPr>
              <w:ind w:left="720"/>
              <w:jc w:val="both"/>
            </w:pPr>
          </w:p>
          <w:p w:rsidR="0060153F" w:rsidRPr="00566BF1" w:rsidRDefault="0060153F" w:rsidP="004E1086">
            <w:pPr>
              <w:ind w:left="720"/>
              <w:jc w:val="both"/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Pr="00AD25E0" w:rsidRDefault="0060153F" w:rsidP="0060153F">
            <w:pPr>
              <w:jc w:val="both"/>
            </w:pPr>
            <w:r>
              <w:rPr>
                <w:b/>
                <w:bCs/>
              </w:rPr>
              <w:t>Zasada 11</w:t>
            </w:r>
          </w:p>
          <w:p w:rsidR="0060153F" w:rsidRPr="004E1086" w:rsidRDefault="0060153F" w:rsidP="0060153F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Prowadzić dialog z interesariuszami na temat priorytetów polityki społecznej odpowiedzialności uczelni oraz informować o jej rezultatach. 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252A7B" w:rsidP="00566BF1">
            <w:pPr>
              <w:jc w:val="both"/>
            </w:pPr>
            <w:r>
              <w:t>30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>
              <w:t>Uczelnia p</w:t>
            </w:r>
            <w:r w:rsidRPr="00566BF1">
              <w:t>rezentuje przynajmniej 2-3 konkretne przykłady dialogu z interesariuszami na temat polityki społecznej odpowiedzialności uczelni – podając każdorazowo ilość osób zaangażowanych ze społeczności akademi</w:t>
            </w:r>
            <w:r w:rsidR="0060153F">
              <w:t>ckiej i spoza tej społeczności.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252A7B" w:rsidP="00566BF1">
            <w:pPr>
              <w:jc w:val="both"/>
            </w:pPr>
            <w:r>
              <w:t>31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Podaje 2-3 przykłady informacji publicznych w mediach (w tym społecznościowych), zamieszczonych przez uczelnię w ramach dialogu z</w:t>
            </w:r>
            <w:r w:rsidR="0060153F">
              <w:t xml:space="preserve"> interesariuszami na temat SOU.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Pr="00927E7A" w:rsidRDefault="0060153F" w:rsidP="0060153F">
            <w:pPr>
              <w:jc w:val="both"/>
              <w:rPr>
                <w:b/>
              </w:rPr>
            </w:pPr>
            <w:r w:rsidRPr="00927E7A">
              <w:rPr>
                <w:b/>
              </w:rPr>
              <w:t xml:space="preserve">Zasada 12 </w:t>
            </w:r>
          </w:p>
          <w:p w:rsidR="0060153F" w:rsidRDefault="0060153F" w:rsidP="0060153F">
            <w:pPr>
              <w:jc w:val="both"/>
              <w:rPr>
                <w:b/>
                <w:bCs/>
              </w:rPr>
            </w:pPr>
            <w:r w:rsidRPr="00566BF1">
              <w:rPr>
                <w:b/>
                <w:bCs/>
              </w:rPr>
              <w:t xml:space="preserve">Kierować się zasadami etyki i odpowiedzialności w procesie nauczania i prowadzenia badań naukowych dla zapewniania interesariuszom optymalnych warunków do korzystania z wiedzy, kapitału intelektualnego i dorobku uczelni. 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252A7B" w:rsidP="00566BF1">
            <w:pPr>
              <w:jc w:val="both"/>
            </w:pPr>
            <w:r>
              <w:t>32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 xml:space="preserve">Uczelnia przedstawia konkretne przykłady realizacji tej zasady w </w:t>
            </w:r>
            <w:r w:rsidR="0060153F">
              <w:t>trakcie okresu sprawozdawczego.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252A7B" w:rsidP="00566BF1">
            <w:pPr>
              <w:jc w:val="both"/>
            </w:pPr>
            <w:r>
              <w:t>33</w:t>
            </w:r>
            <w:r w:rsidR="0060153F"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 w:rsidRPr="00566BF1">
              <w:t>Uczelnia podaje dane o osobie lub jednostce organizacyjnej odpowiedzialnej za przestrzeganie zasad etyki w procesie prowadzenia badań naukowych oraz nauczania.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  <w:p w:rsidR="0060153F" w:rsidRDefault="0060153F" w:rsidP="004E1086">
            <w:pPr>
              <w:ind w:left="720"/>
              <w:jc w:val="both"/>
              <w:rPr>
                <w:b/>
                <w:bCs/>
              </w:rPr>
            </w:pPr>
          </w:p>
        </w:tc>
      </w:tr>
      <w:tr w:rsidR="0060153F" w:rsidTr="00C27BCF">
        <w:tc>
          <w:tcPr>
            <w:tcW w:w="9180" w:type="dxa"/>
            <w:gridSpan w:val="2"/>
            <w:shd w:val="clear" w:color="auto" w:fill="9CC2E5" w:themeFill="accent1" w:themeFillTint="99"/>
          </w:tcPr>
          <w:p w:rsidR="0060153F" w:rsidRDefault="0060153F" w:rsidP="004E10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Dodatkowe informacje</w:t>
            </w:r>
          </w:p>
        </w:tc>
      </w:tr>
      <w:tr w:rsidR="004E1086" w:rsidTr="00C27BCF">
        <w:tc>
          <w:tcPr>
            <w:tcW w:w="495" w:type="dxa"/>
            <w:shd w:val="clear" w:color="auto" w:fill="DEEAF6" w:themeFill="accent1" w:themeFillTint="33"/>
          </w:tcPr>
          <w:p w:rsidR="004E1086" w:rsidRPr="00630D38" w:rsidRDefault="0060153F" w:rsidP="00252A7B">
            <w:pPr>
              <w:jc w:val="both"/>
            </w:pPr>
            <w:r w:rsidRPr="00630D38">
              <w:t>3</w:t>
            </w:r>
            <w:r w:rsidR="00252A7B">
              <w:t>4</w:t>
            </w:r>
            <w:r w:rsidRPr="00630D38">
              <w:t>.</w:t>
            </w:r>
          </w:p>
        </w:tc>
        <w:tc>
          <w:tcPr>
            <w:tcW w:w="8685" w:type="dxa"/>
            <w:shd w:val="clear" w:color="auto" w:fill="DEEAF6" w:themeFill="accent1" w:themeFillTint="33"/>
          </w:tcPr>
          <w:p w:rsidR="004E1086" w:rsidRPr="0060153F" w:rsidRDefault="004E1086" w:rsidP="0060153F">
            <w:pPr>
              <w:jc w:val="both"/>
            </w:pPr>
            <w:r>
              <w:t>Uczelnia może poddać przykłady działań podjętych w obszarze SOU, które nie znalazły się</w:t>
            </w:r>
            <w:r w:rsidR="0060153F">
              <w:t xml:space="preserve"> w żadnym z powyższych punktów.</w:t>
            </w:r>
          </w:p>
        </w:tc>
      </w:tr>
      <w:tr w:rsidR="0060153F" w:rsidTr="00416CD4">
        <w:tc>
          <w:tcPr>
            <w:tcW w:w="9180" w:type="dxa"/>
            <w:gridSpan w:val="2"/>
          </w:tcPr>
          <w:p w:rsidR="00C27BCF" w:rsidRPr="00C27BCF" w:rsidRDefault="00C27BCF" w:rsidP="00C27BCF">
            <w:pPr>
              <w:jc w:val="both"/>
            </w:pPr>
            <w:r w:rsidRPr="00C27BCF">
              <w:t xml:space="preserve">Uwagi do propozycji miernika: </w:t>
            </w:r>
          </w:p>
          <w:p w:rsidR="0060153F" w:rsidRDefault="0060153F" w:rsidP="0060153F">
            <w:pPr>
              <w:jc w:val="both"/>
            </w:pPr>
          </w:p>
          <w:p w:rsidR="0060153F" w:rsidRDefault="0060153F" w:rsidP="0060153F">
            <w:pPr>
              <w:jc w:val="both"/>
            </w:pPr>
          </w:p>
          <w:p w:rsidR="0060153F" w:rsidRDefault="0060153F" w:rsidP="0060153F">
            <w:pPr>
              <w:jc w:val="both"/>
            </w:pPr>
          </w:p>
        </w:tc>
      </w:tr>
    </w:tbl>
    <w:p w:rsidR="00885C39" w:rsidRPr="00566BF1" w:rsidRDefault="00885C39" w:rsidP="00252A7B">
      <w:pPr>
        <w:jc w:val="both"/>
      </w:pPr>
    </w:p>
    <w:sectPr w:rsidR="00885C39" w:rsidRPr="0056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C55"/>
    <w:multiLevelType w:val="hybridMultilevel"/>
    <w:tmpl w:val="E4C27EE6"/>
    <w:lvl w:ilvl="0" w:tplc="E4C4E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E6A4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ED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C4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8C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AD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2B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1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E0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7A3DD5"/>
    <w:multiLevelType w:val="hybridMultilevel"/>
    <w:tmpl w:val="C48E248C"/>
    <w:lvl w:ilvl="0" w:tplc="87EE2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E6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07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F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A1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622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61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E8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67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06525D"/>
    <w:multiLevelType w:val="hybridMultilevel"/>
    <w:tmpl w:val="EF984B24"/>
    <w:lvl w:ilvl="0" w:tplc="359C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A1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65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0C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CE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4A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E6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7C5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B86686"/>
    <w:multiLevelType w:val="hybridMultilevel"/>
    <w:tmpl w:val="E4C27EE6"/>
    <w:lvl w:ilvl="0" w:tplc="E4C4E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E6A4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ED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C4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8C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AD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2B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1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E0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F4C537E"/>
    <w:multiLevelType w:val="hybridMultilevel"/>
    <w:tmpl w:val="BE9E42D8"/>
    <w:lvl w:ilvl="0" w:tplc="ACF84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84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6A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E3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E8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106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A0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4B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29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A6"/>
    <w:rsid w:val="000949F1"/>
    <w:rsid w:val="001126AC"/>
    <w:rsid w:val="00117F2A"/>
    <w:rsid w:val="001F30AA"/>
    <w:rsid w:val="00252A7B"/>
    <w:rsid w:val="003E4ADA"/>
    <w:rsid w:val="00416CD4"/>
    <w:rsid w:val="00483DEB"/>
    <w:rsid w:val="004E1086"/>
    <w:rsid w:val="00566BF1"/>
    <w:rsid w:val="005E0970"/>
    <w:rsid w:val="0060153F"/>
    <w:rsid w:val="00630D38"/>
    <w:rsid w:val="00681863"/>
    <w:rsid w:val="006E60A6"/>
    <w:rsid w:val="00780EA7"/>
    <w:rsid w:val="008131C0"/>
    <w:rsid w:val="00885C39"/>
    <w:rsid w:val="00927E7A"/>
    <w:rsid w:val="00960DBA"/>
    <w:rsid w:val="00AD25E0"/>
    <w:rsid w:val="00C27BCF"/>
    <w:rsid w:val="00C740BE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BF1"/>
    <w:pPr>
      <w:ind w:left="720"/>
      <w:contextualSpacing/>
    </w:pPr>
  </w:style>
  <w:style w:type="table" w:styleId="Tabela-Siatka">
    <w:name w:val="Table Grid"/>
    <w:basedOn w:val="Standardowy"/>
    <w:uiPriority w:val="39"/>
    <w:rsid w:val="0011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BF1"/>
    <w:pPr>
      <w:ind w:left="720"/>
      <w:contextualSpacing/>
    </w:pPr>
  </w:style>
  <w:style w:type="table" w:styleId="Tabela-Siatka">
    <w:name w:val="Table Grid"/>
    <w:basedOn w:val="Standardowy"/>
    <w:uiPriority w:val="39"/>
    <w:rsid w:val="0011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Dominika Wierzbowska</cp:lastModifiedBy>
  <cp:revision>2</cp:revision>
  <dcterms:created xsi:type="dcterms:W3CDTF">2021-02-11T07:31:00Z</dcterms:created>
  <dcterms:modified xsi:type="dcterms:W3CDTF">2021-02-11T07:31:00Z</dcterms:modified>
</cp:coreProperties>
</file>