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Default="000B53A3" w:rsidP="00761E60">
      <w:pPr>
        <w:jc w:val="right"/>
        <w:rPr>
          <w:rFonts w:ascii="Century Gothic" w:hAnsi="Century Gothic"/>
        </w:rPr>
      </w:pPr>
      <w:bookmarkStart w:id="0" w:name="_GoBack"/>
      <w:bookmarkEnd w:id="0"/>
    </w:p>
    <w:p w:rsidR="00C0682D" w:rsidRDefault="000B53A3" w:rsidP="00761E60">
      <w:pPr>
        <w:jc w:val="right"/>
        <w:rPr>
          <w:rFonts w:ascii="Century Gothic" w:hAnsi="Century Gothic"/>
        </w:rPr>
      </w:pPr>
    </w:p>
    <w:p w:rsidR="00C0682D" w:rsidRDefault="000B53A3" w:rsidP="00761E60">
      <w:pPr>
        <w:jc w:val="right"/>
        <w:rPr>
          <w:rFonts w:ascii="Century Gothic" w:hAnsi="Century Gothic"/>
        </w:rPr>
      </w:pPr>
    </w:p>
    <w:p w:rsidR="00761E60" w:rsidRPr="00C0682D" w:rsidRDefault="00C10980" w:rsidP="00761E60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 </w:t>
      </w:r>
      <w:r w:rsidR="008647FF">
        <w:rPr>
          <w:rFonts w:ascii="Century Gothic" w:hAnsi="Century Gothic"/>
        </w:rPr>
        <w:t xml:space="preserve">   września 2019</w:t>
      </w:r>
      <w:r w:rsidRPr="00C0682D">
        <w:rPr>
          <w:rFonts w:ascii="Century Gothic" w:hAnsi="Century Gothic"/>
        </w:rPr>
        <w:t xml:space="preserve"> r.</w:t>
      </w:r>
    </w:p>
    <w:p w:rsidR="00206E51" w:rsidRPr="00997B29" w:rsidRDefault="00C10980" w:rsidP="00206E51">
      <w:pPr>
        <w:pStyle w:val="menfont"/>
        <w:rPr>
          <w:rFonts w:ascii="Century Gothic" w:hAnsi="Century Gothic"/>
        </w:rPr>
      </w:pPr>
      <w:bookmarkStart w:id="1" w:name="ezdSprawaZnak"/>
      <w:r w:rsidRPr="00997B29">
        <w:rPr>
          <w:rFonts w:ascii="Century Gothic" w:hAnsi="Century Gothic"/>
        </w:rPr>
        <w:t>DWKI-WPB.0916.2.2019</w:t>
      </w:r>
      <w:bookmarkEnd w:id="1"/>
      <w:r w:rsidRPr="00997B29">
        <w:rPr>
          <w:rFonts w:ascii="Century Gothic" w:hAnsi="Century Gothic"/>
        </w:rPr>
        <w:t>.</w:t>
      </w:r>
      <w:bookmarkStart w:id="2" w:name="ezdAutorInicjaly"/>
      <w:r w:rsidRPr="00997B29">
        <w:rPr>
          <w:rFonts w:ascii="Century Gothic" w:hAnsi="Century Gothic"/>
        </w:rPr>
        <w:t>KK</w:t>
      </w:r>
      <w:bookmarkEnd w:id="2"/>
    </w:p>
    <w:p w:rsidR="00DF28D0" w:rsidRPr="00C0682D" w:rsidRDefault="000B53A3">
      <w:pPr>
        <w:pStyle w:val="menfont"/>
        <w:rPr>
          <w:rFonts w:ascii="Century Gothic" w:hAnsi="Century Gothic"/>
        </w:rPr>
      </w:pPr>
    </w:p>
    <w:p w:rsidR="002F6961" w:rsidRDefault="002F6961" w:rsidP="002F6961">
      <w:pPr>
        <w:pStyle w:val="menfont"/>
        <w:rPr>
          <w:rFonts w:ascii="Century Gothic" w:hAnsi="Century Gothic"/>
        </w:rPr>
      </w:pPr>
    </w:p>
    <w:p w:rsidR="002F6961" w:rsidRDefault="0056035D" w:rsidP="002F6961">
      <w:pPr>
        <w:pStyle w:val="menfont"/>
        <w:ind w:left="4956" w:right="-1"/>
        <w:rPr>
          <w:rFonts w:ascii="Century Gothic" w:hAnsi="Century Gothic"/>
        </w:rPr>
      </w:pPr>
      <w:r>
        <w:rPr>
          <w:rFonts w:ascii="Century Gothic" w:hAnsi="Century Gothic"/>
        </w:rPr>
        <w:t>Sz. Pan</w:t>
      </w:r>
    </w:p>
    <w:p w:rsidR="002F6961" w:rsidRDefault="002F6961" w:rsidP="002F6961">
      <w:pPr>
        <w:pStyle w:val="menfont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Piotr Lichota</w:t>
      </w:r>
    </w:p>
    <w:p w:rsidR="002F6961" w:rsidRDefault="002F6961" w:rsidP="002F6961">
      <w:pPr>
        <w:pStyle w:val="menfont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Prezes Zarządu </w:t>
      </w:r>
    </w:p>
    <w:p w:rsidR="002F6961" w:rsidRDefault="002F6961" w:rsidP="002F6961">
      <w:pPr>
        <w:pStyle w:val="menfont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Stowarzyszenia „Delta”</w:t>
      </w:r>
    </w:p>
    <w:p w:rsidR="002F6961" w:rsidRDefault="002F6961" w:rsidP="002F6961">
      <w:pPr>
        <w:pStyle w:val="menfont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ul. Sandomierska 4</w:t>
      </w:r>
    </w:p>
    <w:p w:rsidR="002F6961" w:rsidRDefault="002F6961" w:rsidP="002F6961">
      <w:pPr>
        <w:pStyle w:val="menfont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27-400 Ostrowiec Świętokrzyski</w:t>
      </w:r>
    </w:p>
    <w:p w:rsidR="002F6961" w:rsidRDefault="002F6961" w:rsidP="002F6961">
      <w:pPr>
        <w:pStyle w:val="menfont"/>
      </w:pPr>
    </w:p>
    <w:p w:rsidR="006B608E" w:rsidRDefault="006B608E" w:rsidP="002F6961">
      <w:pPr>
        <w:pStyle w:val="menfont"/>
      </w:pPr>
    </w:p>
    <w:p w:rsidR="002F6961" w:rsidRDefault="002F6961" w:rsidP="002F6961">
      <w:pPr>
        <w:pStyle w:val="menfont"/>
        <w:spacing w:before="12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WYSTĄPIENIE POKONTROLNE</w:t>
      </w:r>
    </w:p>
    <w:p w:rsidR="006B608E" w:rsidRDefault="006B608E" w:rsidP="002F6961">
      <w:pPr>
        <w:pStyle w:val="menfont"/>
        <w:spacing w:before="120"/>
        <w:jc w:val="center"/>
        <w:rPr>
          <w:rFonts w:ascii="Century Gothic" w:hAnsi="Century Gothic"/>
          <w:b/>
        </w:rPr>
      </w:pPr>
    </w:p>
    <w:p w:rsidR="002F6961" w:rsidRDefault="002F6961" w:rsidP="002F6961">
      <w:pPr>
        <w:pStyle w:val="menfont"/>
        <w:spacing w:before="120"/>
        <w:ind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Zgodnie z art.47 ustawy z dnia 15 lipca 2011 r. o kontroli w administracji państwowej (Dz. U. nr 185, poz. 1092, ze zm.) przekazuję niniejsze wystąpienie pokontrolne.</w:t>
      </w:r>
    </w:p>
    <w:p w:rsidR="002F6961" w:rsidRDefault="002F6961" w:rsidP="002F6961">
      <w:pPr>
        <w:pStyle w:val="menfont"/>
        <w:spacing w:before="120"/>
        <w:ind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Na podstawie art. 6 ust. 3 pkt 3 ustawy z dnia 15 lipca 2011 r. o kontroli w administracji rządowej (Dz. U. Nr 185, poz. 1092, z późn. zm.) Ministerstwo Edukacji Narodowej</w:t>
      </w:r>
      <w:r>
        <w:rPr>
          <w:rFonts w:ascii="Century Gothic" w:hAnsi="Century Gothic"/>
          <w:vertAlign w:val="superscript"/>
        </w:rPr>
        <w:footnoteReference w:id="1"/>
      </w:r>
      <w:r>
        <w:rPr>
          <w:rFonts w:ascii="Century Gothic" w:hAnsi="Century Gothic"/>
        </w:rPr>
        <w:t xml:space="preserve"> w okresie od 17 maja 2019 r. do 14 czerwca 2019 r. przeprowadziło kontrolę w Stowarzyszeniu „Delta”</w:t>
      </w:r>
      <w:r>
        <w:rPr>
          <w:rStyle w:val="Odwoanieprzypisudolnego"/>
          <w:rFonts w:ascii="Century Gothic" w:hAnsi="Century Gothic"/>
        </w:rPr>
        <w:footnoteReference w:id="2"/>
      </w:r>
      <w:r>
        <w:rPr>
          <w:rFonts w:ascii="Century Gothic" w:hAnsi="Century Gothic"/>
        </w:rPr>
        <w:t xml:space="preserve"> przy ul. Kilińskiego 49, 27-400 Ostrowiec Świętokrzyski (miejsce przeprowadzania kontroli wskazane przez Stowarzyszenie). </w:t>
      </w:r>
    </w:p>
    <w:p w:rsidR="002F6961" w:rsidRDefault="002F6961" w:rsidP="002F6961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  <w:lang w:eastAsia="ar-SA"/>
        </w:rPr>
      </w:pPr>
      <w:r>
        <w:rPr>
          <w:rFonts w:ascii="Century Gothic" w:hAnsi="Century Gothic"/>
        </w:rPr>
        <w:lastRenderedPageBreak/>
        <w:t>Kontrolą objęto prawidłowość wykonania zadania publicznego, w tym wykorzystania dotacji przekazanej na realizację zadania publicznego pn.</w:t>
      </w:r>
      <w:r>
        <w:rPr>
          <w:rFonts w:ascii="Century Gothic" w:hAnsi="Century Gothic"/>
          <w:lang w:eastAsia="ar-SA"/>
        </w:rPr>
        <w:t xml:space="preserve"> </w:t>
      </w:r>
      <w:r w:rsidR="00990DA7">
        <w:rPr>
          <w:rFonts w:ascii="Century Gothic" w:hAnsi="Century Gothic"/>
          <w:lang w:eastAsia="ar-SA"/>
        </w:rPr>
        <w:t> </w:t>
      </w:r>
      <w:r>
        <w:rPr>
          <w:rFonts w:ascii="Century Gothic" w:hAnsi="Century Gothic"/>
          <w:i/>
          <w:lang w:eastAsia="ar-SA"/>
        </w:rPr>
        <w:t xml:space="preserve">organizowanie i przeprowadzenie konkursu poezji „Myśmy wciąż </w:t>
      </w:r>
      <w:r>
        <w:rPr>
          <w:rFonts w:ascii="Century Gothic" w:hAnsi="Century Gothic"/>
          <w:i/>
          <w:lang w:eastAsia="ar-SA"/>
        </w:rPr>
        <w:br/>
        <w:t xml:space="preserve">do Niepodległej szli… </w:t>
      </w:r>
      <w:r w:rsidR="00990DA7">
        <w:rPr>
          <w:rFonts w:ascii="Century Gothic" w:hAnsi="Century Gothic"/>
          <w:i/>
          <w:lang w:eastAsia="ar-SA"/>
        </w:rPr>
        <w:t>"</w:t>
      </w:r>
      <w:r>
        <w:rPr>
          <w:rFonts w:ascii="Century Gothic" w:hAnsi="Century Gothic"/>
          <w:i/>
          <w:lang w:eastAsia="ar-SA"/>
        </w:rPr>
        <w:t xml:space="preserve"> oraz quizu wiedzy o Niepodległej, </w:t>
      </w:r>
      <w:r>
        <w:rPr>
          <w:rFonts w:ascii="Century Gothic" w:hAnsi="Century Gothic"/>
          <w:lang w:eastAsia="ar-SA"/>
        </w:rPr>
        <w:t>z projektu</w:t>
      </w:r>
      <w:r>
        <w:rPr>
          <w:rFonts w:ascii="Century Gothic" w:hAnsi="Century Gothic"/>
          <w:i/>
          <w:lang w:eastAsia="ar-SA"/>
        </w:rPr>
        <w:t xml:space="preserve"> </w:t>
      </w:r>
      <w:r>
        <w:rPr>
          <w:rFonts w:ascii="Century Gothic" w:hAnsi="Century Gothic"/>
          <w:lang w:eastAsia="ar-SA"/>
        </w:rPr>
        <w:t>edukacyjnego MEN „Godność, wolność, niepodległość</w:t>
      </w:r>
      <w:r w:rsidR="00990DA7">
        <w:rPr>
          <w:rFonts w:ascii="Century Gothic" w:hAnsi="Century Gothic"/>
          <w:lang w:eastAsia="ar-SA"/>
        </w:rPr>
        <w:t>”</w:t>
      </w:r>
      <w:r>
        <w:rPr>
          <w:rFonts w:ascii="Century Gothic" w:hAnsi="Century Gothic"/>
          <w:lang w:eastAsia="ar-SA"/>
        </w:rPr>
        <w:t xml:space="preserve">. </w:t>
      </w:r>
    </w:p>
    <w:p w:rsidR="002F6961" w:rsidRDefault="002F6961" w:rsidP="002F6961">
      <w:pPr>
        <w:tabs>
          <w:tab w:val="left" w:pos="259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 xml:space="preserve">Kontrolą objęto </w:t>
      </w:r>
      <w:r>
        <w:rPr>
          <w:rFonts w:ascii="Century Gothic" w:eastAsia="Courier New" w:hAnsi="Century Gothic"/>
          <w:lang w:bidi="pl-PL"/>
        </w:rPr>
        <w:t xml:space="preserve">całość zadania, </w:t>
      </w:r>
      <w:r>
        <w:rPr>
          <w:rFonts w:ascii="Century Gothic" w:hAnsi="Century Gothic"/>
          <w:bCs/>
        </w:rPr>
        <w:t xml:space="preserve">tj. okres </w:t>
      </w:r>
      <w:r>
        <w:rPr>
          <w:rFonts w:ascii="Century Gothic" w:hAnsi="Century Gothic"/>
        </w:rPr>
        <w:t>od 23 października 2018 r. do 31 grudnia 2018 r. Kontrolę przeprowadzono w trybie zwykłym. Była to kontrola planowa.</w:t>
      </w:r>
    </w:p>
    <w:p w:rsidR="002F6961" w:rsidRDefault="002F6961" w:rsidP="002F6961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Celem kontroli było zbadanie prawidłowości realizacji ww. zadania, w tym w szczególności:</w:t>
      </w:r>
    </w:p>
    <w:p w:rsidR="002F6961" w:rsidRDefault="002F6961" w:rsidP="002F6961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stopnia realizacji zadania;</w:t>
      </w:r>
    </w:p>
    <w:p w:rsidR="002F6961" w:rsidRDefault="002F6961" w:rsidP="002F6961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>
        <w:rPr>
          <w:rFonts w:ascii="Century Gothic" w:hAnsi="Century Gothic"/>
          <w:color w:val="000000"/>
        </w:rPr>
        <w:t>efektywności, rzetelności i jakości realizacji zadania;</w:t>
      </w:r>
    </w:p>
    <w:p w:rsidR="002F6961" w:rsidRDefault="002F6961" w:rsidP="002F6961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prawidłowości wykorzystania środków publicznych otrzymanych na  realizację zadania;</w:t>
      </w:r>
    </w:p>
    <w:p w:rsidR="002F6961" w:rsidRDefault="002F6961" w:rsidP="002F6961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prowadzenia dokumentacji związanej z realizowanym zadaniem.</w:t>
      </w:r>
    </w:p>
    <w:p w:rsidR="002F6961" w:rsidRDefault="002F6961" w:rsidP="002F6961">
      <w:pPr>
        <w:widowControl w:val="0"/>
        <w:tabs>
          <w:tab w:val="left" w:pos="288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Na podstawie wyników kontroli pozytywnie oceniono realizację zadania publicznego przez Stowarzyszenie „Delta”.</w:t>
      </w:r>
    </w:p>
    <w:p w:rsidR="002F6961" w:rsidRDefault="002F6961" w:rsidP="002F6961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Zgodnie z § 3 ust. 1 Zarządzenia Nr 1 Ministra Edukacji Narodowej z dnia 25 stycznia 2013 r. </w:t>
      </w:r>
      <w:r>
        <w:rPr>
          <w:rFonts w:ascii="Century Gothic" w:hAnsi="Century Gothic"/>
          <w:i/>
        </w:rPr>
        <w:t>w sprawie trybu zlecania i rozliczania realizacji zadań publicznych z zakresu oświaty i wychowania oraz edukacyjnej opieki wychowawczej</w:t>
      </w:r>
      <w:r>
        <w:rPr>
          <w:rFonts w:ascii="Century Gothic" w:hAnsi="Century Gothic"/>
        </w:rPr>
        <w:t>, realizacja zadań publicznych jest zlecana organizacjom pozarządowym i podmiotom wymienionym w art. 3 ust. 3 ustawy z dnia 24 kwietnia 2003 r. o działalności pożytku publicznego i o wolontariacie</w:t>
      </w:r>
      <w:r>
        <w:rPr>
          <w:rStyle w:val="Odwoanieprzypisudolnego"/>
          <w:rFonts w:ascii="Century Gothic" w:hAnsi="Century Gothic"/>
        </w:rPr>
        <w:footnoteReference w:id="3"/>
      </w:r>
      <w:r>
        <w:rPr>
          <w:rFonts w:ascii="Century Gothic" w:hAnsi="Century Gothic"/>
        </w:rPr>
        <w:t xml:space="preserve"> (dalej: ustawa o pożytku), po przeprowadzeniu konkursu. Minister Edukacji Narodowej na podstawie art. 11 ust. 2 oraz art. 13 ustawy o pożytku, 3 sierpnia 2018 r. ogłosił konkurs ofert na realizację ww. zadania publicznego.</w:t>
      </w:r>
      <w:r>
        <w:rPr>
          <w:rFonts w:ascii="Century Gothic" w:hAnsi="Century Gothic"/>
          <w:lang w:eastAsia="ar-SA"/>
        </w:rPr>
        <w:t xml:space="preserve"> </w:t>
      </w:r>
      <w:r>
        <w:rPr>
          <w:rFonts w:ascii="Century Gothic" w:hAnsi="Century Gothic"/>
        </w:rPr>
        <w:t>Celem konkursu było wyłonienie najlepszej oferty na realizację zadania publicznego obejmującego zorganizowanie i  przeprowadzenie:</w:t>
      </w:r>
    </w:p>
    <w:p w:rsidR="002F6961" w:rsidRDefault="002F6961" w:rsidP="002F6961">
      <w:pPr>
        <w:pStyle w:val="Akapitzlist"/>
        <w:numPr>
          <w:ilvl w:val="0"/>
          <w:numId w:val="2"/>
        </w:numPr>
        <w:ind w:left="357" w:hanging="357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konkursu poezji „</w:t>
      </w:r>
      <w:r>
        <w:rPr>
          <w:rFonts w:ascii="Century Gothic" w:hAnsi="Century Gothic"/>
          <w:i/>
        </w:rPr>
        <w:t>Myśmy wciąż do Niepodległej szli</w:t>
      </w:r>
      <w:r>
        <w:rPr>
          <w:rFonts w:ascii="Century Gothic" w:hAnsi="Century Gothic"/>
        </w:rPr>
        <w:t>…” oraz</w:t>
      </w:r>
    </w:p>
    <w:p w:rsidR="002F6961" w:rsidRDefault="002F6961" w:rsidP="002F6961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  <w:lang w:eastAsia="ar-SA"/>
        </w:rPr>
      </w:pPr>
      <w:r>
        <w:rPr>
          <w:rFonts w:ascii="Century Gothic" w:hAnsi="Century Gothic"/>
        </w:rPr>
        <w:t xml:space="preserve">quizu wiedzy o Niepodległej, </w:t>
      </w:r>
    </w:p>
    <w:p w:rsidR="002F6961" w:rsidRDefault="002F6961" w:rsidP="002F6961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  <w:lang w:eastAsia="ar-SA"/>
        </w:rPr>
      </w:pPr>
      <w:r>
        <w:rPr>
          <w:rFonts w:ascii="Century Gothic" w:hAnsi="Century Gothic"/>
        </w:rPr>
        <w:t xml:space="preserve">jako działań wynikających z projektu edukacyjnego Ministra Edukacji Narodowej </w:t>
      </w:r>
      <w:r>
        <w:rPr>
          <w:rFonts w:ascii="Century Gothic" w:hAnsi="Century Gothic"/>
          <w:bCs/>
          <w:i/>
        </w:rPr>
        <w:t>Godność, wolność, niepodległość (Priorytet 1B.2) na lata 2018-2020, w ramach programu wieloletniego „Niepodległa”</w:t>
      </w:r>
      <w:r>
        <w:rPr>
          <w:rFonts w:ascii="Century Gothic" w:hAnsi="Century Gothic"/>
          <w:bCs/>
        </w:rPr>
        <w:t xml:space="preserve"> na lata 2017-2022, dotyczącego wspierania w latach 2018-2020 szkół i placówek </w:t>
      </w:r>
      <w:r>
        <w:rPr>
          <w:rFonts w:ascii="Century Gothic" w:hAnsi="Century Gothic"/>
          <w:bCs/>
        </w:rPr>
        <w:lastRenderedPageBreak/>
        <w:t>w zakresie kształtowania postaw patriotycznych i obywatelskich przez włączanie uczniów, wychowanków i nauczycieli we wspólne świętowanie obchodów 100-lecia polskiej niepodległości</w:t>
      </w:r>
      <w:r>
        <w:rPr>
          <w:rFonts w:ascii="Century Gothic" w:hAnsi="Century Gothic"/>
        </w:rPr>
        <w:t>.</w:t>
      </w:r>
    </w:p>
    <w:p w:rsidR="002F6961" w:rsidRDefault="002F6961" w:rsidP="002F6961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</w:rPr>
        <w:t>Do konkursu przystąpił jeden podmiot - Stowarzyszenie Delta z Ostrowca Świętokrzyskiego. 23 października 2018 r. Minister Edukacji Narodowej zawarł ze Stowarzyszeniem „Delta” umowę Nr MEN/2018/DWKI/1517 (dalej: umowa) z</w:t>
      </w:r>
      <w:r w:rsidR="001D59EF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terminem realizacji zadania od daty podpisania umowy do 31 grudnia 2018 r. </w:t>
      </w:r>
      <w:r>
        <w:rPr>
          <w:rFonts w:ascii="Century Gothic" w:hAnsi="Century Gothic"/>
          <w:lang w:bidi="pl-PL"/>
        </w:rPr>
        <w:t xml:space="preserve">Zgodnie z umową, </w:t>
      </w:r>
      <w:r>
        <w:rPr>
          <w:rFonts w:ascii="Century Gothic" w:hAnsi="Century Gothic"/>
        </w:rPr>
        <w:t>na realizację ww. zadania przekazano środki publiczne w wysokości 402 565,94 zł</w:t>
      </w:r>
      <w:r>
        <w:rPr>
          <w:rFonts w:ascii="Century Gothic" w:hAnsi="Century Gothic"/>
          <w:lang w:bidi="pl-PL"/>
        </w:rPr>
        <w:t xml:space="preserve">. </w:t>
      </w:r>
      <w:r>
        <w:rPr>
          <w:rFonts w:ascii="Century Gothic" w:hAnsi="Century Gothic"/>
        </w:rPr>
        <w:t xml:space="preserve">Zleceniobiorca, stosownie do </w:t>
      </w:r>
      <w:r>
        <w:rPr>
          <w:rFonts w:ascii="Century Gothic" w:hAnsi="Century Gothic"/>
          <w:lang w:bidi="pl-PL"/>
        </w:rPr>
        <w:t xml:space="preserve">zapisów umowy, był zobowiązany do przekazania na realizację zadania wkładu własnego o wartości 36 325,00 zł. Całkowity koszt zadania publicznego wynosił łącznie 438 890,94 zł. (suma kwot dotacji oraz środków Zleceniobiorcy). </w:t>
      </w:r>
    </w:p>
    <w:p w:rsidR="002F6961" w:rsidRDefault="002F6961" w:rsidP="002F6961">
      <w:pPr>
        <w:autoSpaceDE w:val="0"/>
        <w:autoSpaceDN w:val="0"/>
        <w:adjustRightInd w:val="0"/>
        <w:spacing w:before="120" w:after="240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</w:rPr>
        <w:t xml:space="preserve">Sprawozdanie z wykonania zadania publicznego w 2018 r. wpłynęło w  terminie </w:t>
      </w:r>
      <w:r>
        <w:rPr>
          <w:rFonts w:ascii="Century Gothic" w:hAnsi="Century Gothic"/>
          <w:lang w:bidi="pl-PL"/>
        </w:rPr>
        <w:t xml:space="preserve">zgodnie z § 10 pkt 1 umowy. Sprawozdanie </w:t>
      </w:r>
      <w:r>
        <w:rPr>
          <w:rFonts w:ascii="Century Gothic" w:hAnsi="Century Gothic"/>
        </w:rPr>
        <w:t>zostało przyjęte.</w:t>
      </w:r>
      <w:r>
        <w:rPr>
          <w:rFonts w:ascii="Century Gothic" w:hAnsi="Century Gothic"/>
          <w:lang w:bidi="pl-PL"/>
        </w:rPr>
        <w:t xml:space="preserve"> Zleceniobiorca zwrócił w ustawowym terminie, tj. do 15 stycznia 2019 r., niewykorzystaną kwotę dotacji w wysokości 37 063,79 zł. </w:t>
      </w:r>
    </w:p>
    <w:p w:rsidR="002F6961" w:rsidRDefault="002F6961" w:rsidP="002F6961">
      <w:pPr>
        <w:pStyle w:val="Akapitzlist"/>
        <w:widowControl w:val="0"/>
        <w:numPr>
          <w:ilvl w:val="0"/>
          <w:numId w:val="3"/>
        </w:numPr>
        <w:spacing w:before="120"/>
        <w:ind w:left="426" w:hanging="284"/>
        <w:jc w:val="both"/>
        <w:rPr>
          <w:rFonts w:ascii="Century Gothic" w:eastAsia="Arial" w:hAnsi="Century Gothic"/>
          <w:b/>
          <w:lang w:bidi="pl-PL"/>
        </w:rPr>
      </w:pPr>
      <w:r>
        <w:rPr>
          <w:rFonts w:ascii="Century Gothic" w:eastAsia="Arial" w:hAnsi="Century Gothic"/>
          <w:b/>
          <w:lang w:bidi="pl-PL"/>
        </w:rPr>
        <w:t>Stopień realizacji zadania, w tym efektywność, rzetelność i jakość jego wykonania.</w:t>
      </w:r>
    </w:p>
    <w:p w:rsidR="002F6961" w:rsidRDefault="002F6961" w:rsidP="002F6961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  <w:lang w:bidi="pl-PL"/>
        </w:rPr>
      </w:pPr>
      <w:r>
        <w:rPr>
          <w:rFonts w:ascii="Century Gothic" w:eastAsia="Courier New" w:hAnsi="Century Gothic"/>
          <w:color w:val="000000"/>
          <w:lang w:bidi="pl-PL"/>
        </w:rPr>
        <w:t>W wyniku kontroli stwierdzono, że działania określone w umowie zostały zrealizowane w zakresie i terminach zaplanowanych w harmonogramie i kosztorysie umowy.</w:t>
      </w:r>
    </w:p>
    <w:p w:rsidR="002F6961" w:rsidRDefault="002F6961" w:rsidP="002F6961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lang w:bidi="pl-PL"/>
        </w:rPr>
        <w:t>Zgodnie z ofertą realizacji zadania publicznego, projekt miał zasięg ogólnopolski i był skierowany do uczniów w wieku 7-19 lat, nauczycieli, rodzin. Zgodnie z warunkami konkursu oraz umową, realizator zadania był zobowiązany do:</w:t>
      </w:r>
    </w:p>
    <w:p w:rsidR="002F6961" w:rsidRDefault="002F6961" w:rsidP="002F6961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lang w:bidi="pl-PL"/>
        </w:rPr>
        <w:t>Organizacji i przeprowadzenia konkursu poezji „Myśmy wciąż do Niepodległej szli...”;</w:t>
      </w:r>
    </w:p>
    <w:p w:rsidR="002F6961" w:rsidRDefault="002F6961" w:rsidP="002F6961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lang w:bidi="pl-PL"/>
        </w:rPr>
        <w:t>Organizacji i przeprowadzenia quizu historycznego „Ojczyzna nasza”.</w:t>
      </w:r>
    </w:p>
    <w:p w:rsidR="002F6961" w:rsidRDefault="002F6961" w:rsidP="002F6961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lang w:bidi="pl-PL"/>
        </w:rPr>
        <w:t xml:space="preserve">Zarówno konkurs, jak i quiz były dwuetapowe, obejmowały etap szkolny i  etap finałowy. </w:t>
      </w:r>
    </w:p>
    <w:p w:rsidR="002F6961" w:rsidRDefault="002F6961" w:rsidP="002F6961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lang w:bidi="pl-PL"/>
        </w:rPr>
        <w:t xml:space="preserve">Konkurs poetycki był indywidualny. W pierwszym etapie konkursu poezji oceniono wiersze nadesłane przez uczestników. Zadaniem komisji oceniającej było wytypowanie 30 prac (po 10 w każdej kategorii wiekowej), do oceny na etapie finałowym. Zwieńczeniem konkursu poezji </w:t>
      </w:r>
      <w:r>
        <w:rPr>
          <w:rFonts w:ascii="Century Gothic" w:hAnsi="Century Gothic"/>
          <w:lang w:bidi="pl-PL"/>
        </w:rPr>
        <w:lastRenderedPageBreak/>
        <w:t>była publikacja finałowych wierszy w formie tomiku w wersji papierowej i elektronicznej, skierowana do 1 000 osób. Quiz był zorganizowany w  formie drużynowej. Na etapie szkolnym quizu przewidziano rozwiązanie testu za pomocą specjalnej, dedykowanej platformy elektronicznej.</w:t>
      </w:r>
    </w:p>
    <w:p w:rsidR="002F6961" w:rsidRDefault="002F6961" w:rsidP="002F6961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lang w:bidi="pl-PL"/>
        </w:rPr>
        <w:t xml:space="preserve">26 listopada 2018 r. zorganizowano etap finałowy obu części zadania oraz galę etapu finałowego konkursu i quizu na terenie Bałtowskiego Kompleksu Turystycznego, gdzie: </w:t>
      </w:r>
    </w:p>
    <w:p w:rsidR="002F6961" w:rsidRDefault="002F6961" w:rsidP="002F6961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hanging="357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lang w:bidi="pl-PL"/>
        </w:rPr>
        <w:t>uwzględniono możliwości samodzielnej prezentacji przez uczniów wyróżnionych utworów poetyckich;</w:t>
      </w:r>
    </w:p>
    <w:p w:rsidR="002F6961" w:rsidRDefault="002F6961" w:rsidP="002F6961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hanging="357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lang w:bidi="pl-PL"/>
        </w:rPr>
        <w:t>przygotowano i przyznano nagrody laureatom w każdej kategorii wiekowej oraz dyplomy dla finalistów;</w:t>
      </w:r>
    </w:p>
    <w:p w:rsidR="002F6961" w:rsidRDefault="002F6961" w:rsidP="002F6961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hanging="357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lang w:bidi="pl-PL"/>
        </w:rPr>
        <w:t xml:space="preserve">zapewniono foto i video relację z wydarzenia. </w:t>
      </w:r>
    </w:p>
    <w:p w:rsidR="002F6961" w:rsidRDefault="002F6961" w:rsidP="002F6961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lang w:bidi="pl-PL"/>
        </w:rPr>
        <w:t>Uczniowie – finaliści mieli możliwość samodzielnej prezentacji swoich utworów na profesjonalnej scenie. Finaliści części poetyckiej zaprezentowali swoje wiersze, a drużyny rozwiązywały quiz historyczny połączony z grą terenową. Wydano tomik poezji z finału konkursu w formie papierowej i elektronicznej oraz przeprowadzono jego dystrybucję.</w:t>
      </w:r>
    </w:p>
    <w:p w:rsidR="002F6961" w:rsidRDefault="002F6961" w:rsidP="002F6961">
      <w:pPr>
        <w:widowControl w:val="0"/>
        <w:spacing w:before="120"/>
        <w:ind w:right="40"/>
        <w:jc w:val="both"/>
        <w:rPr>
          <w:rFonts w:ascii="Century Gothic" w:eastAsia="Courier New" w:hAnsi="Century Gothic"/>
          <w:color w:val="000000"/>
          <w:lang w:bidi="pl-PL"/>
        </w:rPr>
      </w:pPr>
      <w:r>
        <w:rPr>
          <w:rFonts w:ascii="Century Gothic" w:hAnsi="Century Gothic"/>
          <w:lang w:bidi="pl-PL"/>
        </w:rPr>
        <w:t>W celu realizacji ww. zadań Zleceniobiorca</w:t>
      </w:r>
      <w:r>
        <w:rPr>
          <w:rFonts w:ascii="Century Gothic" w:eastAsia="Courier New" w:hAnsi="Century Gothic"/>
          <w:color w:val="000000"/>
          <w:lang w:bidi="pl-PL"/>
        </w:rPr>
        <w:t>:</w:t>
      </w:r>
    </w:p>
    <w:p w:rsidR="002F6961" w:rsidRDefault="002F6961" w:rsidP="002F6961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lang w:bidi="pl-PL"/>
        </w:rPr>
        <w:t xml:space="preserve">przeprowadził rekrutację uczestników do konkursu i do quizu do etapu szkolnego i finałowego oraz dokonał oceny prac uczniów, </w:t>
      </w:r>
    </w:p>
    <w:p w:rsidR="002F6961" w:rsidRDefault="002F6961" w:rsidP="002F6961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lang w:bidi="pl-PL"/>
        </w:rPr>
        <w:t xml:space="preserve">utworzył elektroniczną platformę stwarzającą możliwość rozwiązania quizu. </w:t>
      </w:r>
    </w:p>
    <w:p w:rsidR="002F6961" w:rsidRDefault="002F6961" w:rsidP="002F6961">
      <w:pPr>
        <w:widowControl w:val="0"/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Stwierdzono prawidłową realizację postanowień umowy dotyczących prowadzenia rekrutacji do konkursu i quizu. </w:t>
      </w:r>
    </w:p>
    <w:p w:rsidR="002F6961" w:rsidRDefault="002F6961" w:rsidP="002F6961">
      <w:pPr>
        <w:widowControl w:val="0"/>
        <w:tabs>
          <w:tab w:val="left" w:pos="426"/>
        </w:tabs>
        <w:autoSpaceDE w:val="0"/>
        <w:autoSpaceDN w:val="0"/>
        <w:adjustRightInd w:val="0"/>
        <w:spacing w:before="120" w:after="240"/>
        <w:jc w:val="both"/>
        <w:rPr>
          <w:rFonts w:ascii="Century Gothic" w:hAnsi="Century Gothic"/>
          <w:u w:val="single"/>
        </w:rPr>
      </w:pPr>
      <w:r>
        <w:rPr>
          <w:rFonts w:ascii="Century Gothic" w:eastAsia="Courier New" w:hAnsi="Century Gothic"/>
          <w:color w:val="000000"/>
          <w:lang w:bidi="pl-PL"/>
        </w:rPr>
        <w:t xml:space="preserve">W trakcie kontroli ustalono, że zaplanowane działania zrealizowano zgodnie z przyjętym harmonogramem. </w:t>
      </w:r>
    </w:p>
    <w:p w:rsidR="002F6961" w:rsidRDefault="002F6961" w:rsidP="002F6961">
      <w:pPr>
        <w:numPr>
          <w:ilvl w:val="0"/>
          <w:numId w:val="3"/>
        </w:numPr>
        <w:spacing w:before="120"/>
        <w:ind w:left="754" w:hanging="357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Prawidłowość wykorzystania środków publicznych na realizację zadania. </w:t>
      </w:r>
    </w:p>
    <w:p w:rsidR="002F6961" w:rsidRDefault="002F6961" w:rsidP="002F6961">
      <w:pPr>
        <w:widowControl w:val="0"/>
        <w:spacing w:before="120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  <w:bCs/>
        </w:rPr>
        <w:t xml:space="preserve">Kontrolą objęto całą </w:t>
      </w:r>
      <w:r>
        <w:rPr>
          <w:rFonts w:ascii="Century Gothic" w:hAnsi="Century Gothic"/>
          <w:lang w:bidi="pl-PL"/>
        </w:rPr>
        <w:t>wykorzystaną</w:t>
      </w:r>
      <w:r>
        <w:rPr>
          <w:rFonts w:ascii="Century Gothic" w:hAnsi="Century Gothic"/>
          <w:bCs/>
        </w:rPr>
        <w:t xml:space="preserve"> kwotę dotacji, tj. </w:t>
      </w:r>
      <w:r>
        <w:rPr>
          <w:rFonts w:ascii="Century Gothic" w:hAnsi="Century Gothic"/>
          <w:lang w:bidi="pl-PL"/>
        </w:rPr>
        <w:t>365 502,15 zł</w:t>
      </w:r>
      <w:r>
        <w:rPr>
          <w:rFonts w:ascii="Century Gothic" w:hAnsi="Century Gothic"/>
          <w:bCs/>
        </w:rPr>
        <w:t xml:space="preserve"> (kwota przyznanej dotacji, tj. </w:t>
      </w:r>
      <w:r>
        <w:rPr>
          <w:rFonts w:ascii="Century Gothic" w:hAnsi="Century Gothic"/>
        </w:rPr>
        <w:t>402 565,94 zł</w:t>
      </w:r>
      <w:r>
        <w:rPr>
          <w:rFonts w:ascii="Century Gothic" w:hAnsi="Century Gothic"/>
          <w:lang w:bidi="pl-PL"/>
        </w:rPr>
        <w:t>, pomniejszona o niewykorzystaną i  zwróconą MEN kwotę w wysokości 37 063,79 zł).</w:t>
      </w:r>
      <w:r>
        <w:rPr>
          <w:rFonts w:ascii="Century Gothic" w:hAnsi="Century Gothic"/>
          <w:bCs/>
        </w:rPr>
        <w:t xml:space="preserve"> </w:t>
      </w:r>
    </w:p>
    <w:p w:rsidR="002F6961" w:rsidRDefault="002F6961" w:rsidP="002F6961">
      <w:pPr>
        <w:widowControl w:val="0"/>
        <w:spacing w:before="12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lang w:bidi="pl-PL"/>
        </w:rPr>
        <w:t xml:space="preserve">Stowarzyszenie zapewniło na realizację zadania wkład własny, osobowy o wartości 36 325,00 zł. Całkowity koszt zadania publicznego wyniósł 401 827,15 zł (suma kwot: wykorzystanej dotacji oraz środków Zleceniobiorcy). </w:t>
      </w:r>
    </w:p>
    <w:p w:rsidR="002F6961" w:rsidRDefault="002F6961" w:rsidP="002F6961">
      <w:pPr>
        <w:tabs>
          <w:tab w:val="left" w:pos="259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W trakcie czynności kontrolnych nie stwierdzono nieprawidłowości w wykorzystaniu dotacji. Wszystkie działania ujęte w umowie wykonywane były w zakresie i terminach zgodnych z harmonogramem.  </w:t>
      </w:r>
    </w:p>
    <w:p w:rsidR="002F6961" w:rsidRDefault="002F6961" w:rsidP="002F6961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425" w:hanging="425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Zleceniobiorca wykorzystał środki publiczne zgodnie z celem, na jaki je  uzyskał, i na warunkach określonych w umowie. </w:t>
      </w:r>
    </w:p>
    <w:p w:rsidR="002F6961" w:rsidRDefault="002F6961" w:rsidP="002F6961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425" w:hanging="425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dokumenty księgowe dotacji potwierdzają jej wydatkowanie zgodnie z przeznaczeniem i w terminie określonym w umowie dotacji.</w:t>
      </w:r>
    </w:p>
    <w:p w:rsidR="002F6961" w:rsidRDefault="002F6961" w:rsidP="002F6961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425" w:hanging="425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Zleceniobiorca prowadził wyodrębnioną ewidencję księgową środków otrzymanych w ramach dotacji oraz wydatków dokonanych z tych środków. </w:t>
      </w:r>
    </w:p>
    <w:p w:rsidR="002F6961" w:rsidRDefault="002F6961" w:rsidP="002F6961">
      <w:pPr>
        <w:widowControl w:val="0"/>
        <w:numPr>
          <w:ilvl w:val="0"/>
          <w:numId w:val="7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5" w:hanging="425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środki z dotacji były przechowywane na wyodrębnionym na potrzeby realizacji zadania rachunku bankowym.</w:t>
      </w:r>
    </w:p>
    <w:p w:rsidR="002F6961" w:rsidRDefault="002F6961" w:rsidP="002F6961">
      <w:pPr>
        <w:pStyle w:val="Akapitzlist"/>
        <w:numPr>
          <w:ilvl w:val="0"/>
          <w:numId w:val="3"/>
        </w:numPr>
        <w:tabs>
          <w:tab w:val="left" w:pos="259"/>
        </w:tabs>
        <w:autoSpaceDE w:val="0"/>
        <w:autoSpaceDN w:val="0"/>
        <w:adjustRightInd w:val="0"/>
        <w:spacing w:before="120" w:after="120"/>
        <w:ind w:left="754" w:hanging="357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Prowadzenie dokumentacji związanej z realizowanym zadaniem.</w:t>
      </w:r>
    </w:p>
    <w:p w:rsidR="002F6961" w:rsidRDefault="002F6961" w:rsidP="002F6961">
      <w:pPr>
        <w:tabs>
          <w:tab w:val="left" w:pos="259"/>
        </w:tabs>
        <w:autoSpaceDE w:val="0"/>
        <w:autoSpaceDN w:val="0"/>
        <w:adjustRightInd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 wyniku kontroli ustalono, że przy realizacji zadania, Zleceniobiorca przestrzegał przepisów </w:t>
      </w:r>
      <w:r>
        <w:rPr>
          <w:rFonts w:ascii="Century Gothic" w:hAnsi="Century Gothic"/>
          <w:i/>
        </w:rPr>
        <w:t xml:space="preserve">Regulaminu otwartego konkursu ofert na realizację zadania publicznego </w:t>
      </w:r>
      <w:r>
        <w:rPr>
          <w:rFonts w:ascii="Century Gothic" w:hAnsi="Century Gothic"/>
        </w:rPr>
        <w:t>(dalej: Regulamin) (załącznik nr 1 do ogłoszenia o konkursie) oraz Zasad przyznawania i rozliczania dotacji (dalej: Zasady) (załącznik nr 2 do ogłoszenia o konkursie).</w:t>
      </w:r>
    </w:p>
    <w:p w:rsidR="002F6961" w:rsidRDefault="002F6961" w:rsidP="002F6961">
      <w:pPr>
        <w:jc w:val="both"/>
        <w:rPr>
          <w:rFonts w:ascii="Century Gothic" w:eastAsia="Courier New" w:hAnsi="Century Gothic"/>
          <w:color w:val="000000"/>
          <w:lang w:bidi="pl-PL"/>
        </w:rPr>
      </w:pPr>
      <w:r>
        <w:rPr>
          <w:rFonts w:ascii="Century Gothic" w:eastAsia="Courier New" w:hAnsi="Century Gothic"/>
          <w:color w:val="000000"/>
          <w:lang w:bidi="pl-PL"/>
        </w:rPr>
        <w:t>Zleceniobiorca</w:t>
      </w:r>
      <w:r>
        <w:rPr>
          <w:rFonts w:ascii="Century Gothic" w:eastAsia="Courier New" w:hAnsi="Century Gothic"/>
          <w:i/>
          <w:color w:val="000000"/>
          <w:lang w:bidi="pl-PL"/>
        </w:rPr>
        <w:t xml:space="preserve"> </w:t>
      </w:r>
      <w:r>
        <w:rPr>
          <w:rFonts w:ascii="Century Gothic" w:eastAsia="Courier New" w:hAnsi="Century Gothic"/>
          <w:color w:val="000000"/>
          <w:lang w:bidi="pl-PL"/>
        </w:rPr>
        <w:t>prawidłowo dokumentował działania podejmowane w ramach realizacji zadania publicznego.</w:t>
      </w:r>
      <w:r>
        <w:rPr>
          <w:rFonts w:ascii="Century Gothic" w:hAnsi="Century Gothic"/>
        </w:rPr>
        <w:t xml:space="preserve"> Dokumenty objęte kontrolą dotyczące realizacji zadania potwierdziły wydatkowanie dotacji zgodnie z przeznaczeniem i w terminach określonych w ww. umowie. </w:t>
      </w:r>
      <w:r>
        <w:rPr>
          <w:rFonts w:ascii="Century Gothic" w:eastAsia="Courier New" w:hAnsi="Century Gothic"/>
          <w:color w:val="000000"/>
          <w:lang w:bidi="pl-PL"/>
        </w:rPr>
        <w:t>Dokumentacja dotycząca zakresu merytorycznego i finansowego zadania potwierdzała przebieg realizacji zadania.</w:t>
      </w:r>
    </w:p>
    <w:p w:rsidR="002F6961" w:rsidRDefault="002F6961" w:rsidP="002F6961">
      <w:pPr>
        <w:spacing w:before="120"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Dokumentacja</w:t>
      </w:r>
      <w:r>
        <w:rPr>
          <w:rFonts w:ascii="Century Gothic" w:hAnsi="Century Gothic"/>
          <w:lang w:bidi="pl-PL"/>
        </w:rPr>
        <w:t xml:space="preserve"> merytoryczna z realizacji zadania.</w:t>
      </w:r>
    </w:p>
    <w:p w:rsidR="002F6961" w:rsidRDefault="002F6961" w:rsidP="002F6961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>
        <w:rPr>
          <w:rFonts w:ascii="Century Gothic" w:hAnsi="Century Gothic"/>
          <w:color w:val="000000"/>
          <w:lang w:eastAsia="en-US"/>
        </w:rPr>
        <w:t xml:space="preserve">Dokumentacja merytoryczna zawierała w szczególności: </w:t>
      </w:r>
      <w:r>
        <w:rPr>
          <w:rFonts w:ascii="Century Gothic" w:hAnsi="Century Gothic"/>
          <w:bCs/>
          <w:i/>
          <w:color w:val="000000"/>
          <w:lang w:eastAsia="en-US"/>
        </w:rPr>
        <w:t xml:space="preserve"> </w:t>
      </w:r>
    </w:p>
    <w:p w:rsidR="002F6961" w:rsidRDefault="002F6961" w:rsidP="002F6961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  <w:color w:val="000000"/>
          <w:lang w:eastAsia="en-US"/>
        </w:rPr>
      </w:pPr>
      <w:r>
        <w:rPr>
          <w:rFonts w:ascii="Century Gothic" w:hAnsi="Century Gothic"/>
          <w:color w:val="000000"/>
          <w:lang w:eastAsia="en-US"/>
        </w:rPr>
        <w:t xml:space="preserve">w przypadku, spotkań uczestników pierwszego i finałowego etapu konkursu oraz quizu: </w:t>
      </w:r>
    </w:p>
    <w:p w:rsidR="002F6961" w:rsidRDefault="002F6961" w:rsidP="002F6961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567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listę uczestników zawierającą imię, nazwisko, rok urodzenia, miejsce zamieszkania;</w:t>
      </w:r>
    </w:p>
    <w:p w:rsidR="002F6961" w:rsidRDefault="002F6961" w:rsidP="002F6961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567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listę podmiotów, z którymi zleceniobiorca zawarł umowy cywilnoprawne (członków komisji, opiekunów-wychowawców) wraz z umowami, </w:t>
      </w:r>
    </w:p>
    <w:p w:rsidR="002F6961" w:rsidRDefault="002F6961" w:rsidP="002F6961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567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szczegółowy program, wraz z nazwiskami osób odpowiedzialnych za prowadzenie poszczególnych elementów,</w:t>
      </w:r>
    </w:p>
    <w:p w:rsidR="002F6961" w:rsidRDefault="002F6961" w:rsidP="002F6961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567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kopie materiałów rozdawanych uczestnikom, </w:t>
      </w:r>
    </w:p>
    <w:p w:rsidR="002F6961" w:rsidRDefault="002F6961" w:rsidP="002F6961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567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materiały, opracowania, raporty lub protokoły wypracowane </w:t>
      </w:r>
      <w:r>
        <w:rPr>
          <w:rFonts w:ascii="Century Gothic" w:hAnsi="Century Gothic"/>
        </w:rPr>
        <w:lastRenderedPageBreak/>
        <w:t xml:space="preserve">podczas obrad jury, </w:t>
      </w:r>
    </w:p>
    <w:p w:rsidR="002F6961" w:rsidRDefault="002F6961" w:rsidP="002F6961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567" w:hanging="357"/>
        <w:jc w:val="both"/>
        <w:rPr>
          <w:rFonts w:ascii="Century Gothic" w:hAnsi="Century Gothic"/>
        </w:rPr>
      </w:pPr>
      <w:r>
        <w:rPr>
          <w:rFonts w:ascii="Century Gothic" w:hAnsi="Century Gothic"/>
          <w:shd w:val="clear" w:color="auto" w:fill="FFFFFF" w:themeFill="background1"/>
        </w:rPr>
        <w:t xml:space="preserve">kopie ankiet ewaluacyjnych wraz z raportami i innymi formami oceny;  </w:t>
      </w:r>
    </w:p>
    <w:p w:rsidR="002F6961" w:rsidRDefault="002F6961" w:rsidP="002F6961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 przypadku zadań wydawniczych (w tym publikacji elektronicznych): </w:t>
      </w:r>
    </w:p>
    <w:p w:rsidR="002F6961" w:rsidRDefault="002F6961" w:rsidP="002F6961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567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po jednym egzemplarzu wszystkich opublikowanych materiałów, </w:t>
      </w:r>
    </w:p>
    <w:p w:rsidR="002F6961" w:rsidRDefault="002F6961" w:rsidP="002F6961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567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pliki elektroniczne zawierające opracowaną publikację, utrwalone na nośniku i dostępne w internecie pod adresem: </w:t>
      </w:r>
      <w:hyperlink r:id="rId7" w:history="1">
        <w:r>
          <w:rPr>
            <w:rStyle w:val="Hipercze"/>
            <w:rFonts w:ascii="Century Gothic" w:hAnsi="Century Gothic"/>
          </w:rPr>
          <w:t>https://doniepodleglej.pl/</w:t>
        </w:r>
      </w:hyperlink>
      <w:r>
        <w:rPr>
          <w:rStyle w:val="Hipercze"/>
          <w:rFonts w:ascii="Century Gothic" w:hAnsi="Century Gothic"/>
        </w:rPr>
        <w:t>;</w:t>
      </w:r>
      <w:r>
        <w:rPr>
          <w:rFonts w:ascii="Century Gothic" w:hAnsi="Century Gothic"/>
        </w:rPr>
        <w:t xml:space="preserve">  </w:t>
      </w:r>
    </w:p>
    <w:p w:rsidR="002F6961" w:rsidRDefault="002F6961" w:rsidP="002F6961">
      <w:pPr>
        <w:pStyle w:val="Akapitzlist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Dochowano obowiązku informowania o źródle sfinansowania zadania przez MEN, tj.:</w:t>
      </w:r>
    </w:p>
    <w:p w:rsidR="002F6961" w:rsidRDefault="002F6961" w:rsidP="002F6961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ind w:left="714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dokumenty dotyczące realizacji zadania potwierdzają dochowanie obowiązku informowania o fakcie otrzymania dotacji w sprawozdaniach i wszelkich publicznych wystąpieniach, związanych z realizacją dotowanego zadania zgodnie z umową;</w:t>
      </w:r>
    </w:p>
    <w:p w:rsidR="002F6961" w:rsidRDefault="002F6961" w:rsidP="002F6961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ind w:left="714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 spotkaniach, konferencjach inaugurujących zadanie lub gali finałowej informacje przekazane były rzetelnie, zgodnie z agendą spotkania.</w:t>
      </w:r>
    </w:p>
    <w:p w:rsidR="002F6961" w:rsidRDefault="002F6961" w:rsidP="002F6961">
      <w:pPr>
        <w:spacing w:before="120"/>
        <w:jc w:val="both"/>
        <w:rPr>
          <w:rFonts w:ascii="Century Gothic" w:hAnsi="Century Gothic"/>
          <w:lang w:bidi="pl-PL"/>
        </w:rPr>
      </w:pPr>
      <w:r>
        <w:rPr>
          <w:rFonts w:ascii="Century Gothic" w:hAnsi="Century Gothic"/>
        </w:rPr>
        <w:t>Dokumentacja</w:t>
      </w:r>
      <w:r>
        <w:rPr>
          <w:rFonts w:ascii="Century Gothic" w:hAnsi="Century Gothic"/>
          <w:lang w:bidi="pl-PL"/>
        </w:rPr>
        <w:t xml:space="preserve"> finansowa z realizacji zadania.</w:t>
      </w:r>
    </w:p>
    <w:p w:rsidR="002F6961" w:rsidRDefault="002F6961" w:rsidP="002F6961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Zleceniobiorca prowadził pełną i przejrzystą dokumentację księgową dotyczącą zadania, odrębnie w stosunku do innych kosztów własnej działalności, m.in. poprzez wydzielenie ewidencji otrzymanych i wydatkowanych środków pochodzących z dotacji w księgowym planie kont stosowanym przez zleceniobiorcę. Zapisy księgowe odzwierciedlały na bieżąco koszty i wydatki dotyczące realizacji zadania;</w:t>
      </w:r>
    </w:p>
    <w:p w:rsidR="002F6961" w:rsidRDefault="002F6961" w:rsidP="002F6961">
      <w:pPr>
        <w:widowControl w:val="0"/>
        <w:numPr>
          <w:ilvl w:val="0"/>
          <w:numId w:val="14"/>
        </w:numPr>
        <w:tabs>
          <w:tab w:val="left" w:pos="1134"/>
          <w:tab w:val="left" w:leader="dot" w:pos="7661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dokumenty finansowe były ostemplowane lub opisane treścią: „Sfinansowane z dotacji MEN - umowa nr ... w kwocie</w:t>
      </w:r>
      <w:r>
        <w:rPr>
          <w:rFonts w:ascii="Century Gothic" w:hAnsi="Century Gothic"/>
        </w:rPr>
        <w:tab/>
        <w:t>”</w:t>
      </w:r>
      <w:r>
        <w:rPr>
          <w:rFonts w:ascii="Century Gothic" w:hAnsi="Century Gothic"/>
        </w:rPr>
        <w:br/>
        <w:t xml:space="preserve">Opis dokumentów zawierał przeznaczenie dokonanych zakupów.  </w:t>
      </w:r>
    </w:p>
    <w:p w:rsidR="002F6961" w:rsidRDefault="002F6961" w:rsidP="002F6961">
      <w:pPr>
        <w:widowControl w:val="0"/>
        <w:numPr>
          <w:ilvl w:val="0"/>
          <w:numId w:val="14"/>
        </w:numPr>
        <w:tabs>
          <w:tab w:val="left" w:pos="1134"/>
          <w:tab w:val="left" w:leader="dot" w:pos="2657"/>
          <w:tab w:val="left" w:leader="dot" w:pos="4385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stosowano zasady w zakresie zapobiegania podwójnemu finansowaniu (§ 5 ust. 7 załącznika nr 2);</w:t>
      </w:r>
    </w:p>
    <w:p w:rsidR="002F6961" w:rsidRDefault="002F6961" w:rsidP="002F6961">
      <w:pPr>
        <w:widowControl w:val="0"/>
        <w:numPr>
          <w:ilvl w:val="0"/>
          <w:numId w:val="14"/>
        </w:numPr>
        <w:tabs>
          <w:tab w:val="left" w:pos="1134"/>
          <w:tab w:val="left" w:leader="dot" w:pos="2657"/>
          <w:tab w:val="left" w:leader="dot" w:pos="4385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dochowano obowiązku, że po zatwierdzeniu oferty i podpisaniu umowy, dokonanie w trakcie realizacji zadania przesunięć pomiędzy poszczególnymi kategoriami wydatków w budżecie (przesunięcie środków z jednej pozycji do drugiej w ramach przyznanej dotacji), zmiana terminów lub miejsca wykonania zadania, jak również zmian </w:t>
      </w:r>
      <w:r>
        <w:rPr>
          <w:rFonts w:ascii="Century Gothic" w:hAnsi="Century Gothic"/>
        </w:rPr>
        <w:lastRenderedPageBreak/>
        <w:t>merytorycznych zadania, odbywały się za zgodą Ministerstwa Edukacji Narodowej. Zgody Ministerstwa Edukacji Narodowej nie wymagało dokonanie w trakcie realizacji zadania zwiększenia danego wydatku, w ramach przyznanej dotacji, o mniej niż 10 % danej pozycji kosztorysu. Nie dokonywano zwiększenia wydatków w pozycjach dotyczących wynagrodzeń i  honorariów (§ 6 ust. 5 i 6 załącznika nr 1);</w:t>
      </w:r>
    </w:p>
    <w:p w:rsidR="002F6961" w:rsidRDefault="002F6961" w:rsidP="002F6961">
      <w:pPr>
        <w:widowControl w:val="0"/>
        <w:numPr>
          <w:ilvl w:val="0"/>
          <w:numId w:val="14"/>
        </w:numPr>
        <w:tabs>
          <w:tab w:val="left" w:pos="1134"/>
          <w:tab w:val="left" w:leader="dot" w:pos="2657"/>
          <w:tab w:val="left" w:leader="dot" w:pos="4385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dokumentację kosztów wynagrodzeń stanowiły przy umowach zlecenia: umowy oraz rachunki do tych umów; przy usłudze wykonywanej przez osobę prowadzącą jednoosobowo działalność gospodarczą: faktura ze specyfikacją zakresu usługi (czynności);</w:t>
      </w:r>
    </w:p>
    <w:p w:rsidR="002F6961" w:rsidRDefault="002F6961" w:rsidP="002F6961">
      <w:pPr>
        <w:widowControl w:val="0"/>
        <w:numPr>
          <w:ilvl w:val="0"/>
          <w:numId w:val="14"/>
        </w:numPr>
        <w:tabs>
          <w:tab w:val="left" w:pos="1134"/>
          <w:tab w:val="left" w:leader="dot" w:pos="2657"/>
          <w:tab w:val="left" w:leader="dot" w:pos="4385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 w:rsidRPr="00B72320">
        <w:rPr>
          <w:rStyle w:val="Odwoaniedokomentarza"/>
          <w:rFonts w:ascii="Century Gothic" w:hAnsi="Century Gothic"/>
          <w:sz w:val="24"/>
          <w:szCs w:val="24"/>
        </w:rPr>
        <w:t>k</w:t>
      </w:r>
      <w:r>
        <w:rPr>
          <w:rFonts w:ascii="Century Gothic" w:hAnsi="Century Gothic"/>
        </w:rPr>
        <w:t>oszty podróży zostały poniesione na podstawie zapisów zawartych w umowach zlecenia i zostały udokumentowane między innymi na podstawie biletów kolejowymi, kart ewidencji przebiegu pojazdu;</w:t>
      </w:r>
    </w:p>
    <w:p w:rsidR="002F6961" w:rsidRDefault="002F6961" w:rsidP="002F6961">
      <w:pPr>
        <w:widowControl w:val="0"/>
        <w:numPr>
          <w:ilvl w:val="0"/>
          <w:numId w:val="14"/>
        </w:numPr>
        <w:tabs>
          <w:tab w:val="left" w:pos="1134"/>
          <w:tab w:val="left" w:leader="dot" w:pos="2657"/>
          <w:tab w:val="left" w:leader="dot" w:pos="4385"/>
        </w:tabs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poniesione koszty zakwaterowania i wyżywienia były niezbędne do realizacji zadania i udokumentowane w sposób określony w Zasadach, tj.: </w:t>
      </w:r>
    </w:p>
    <w:p w:rsidR="002F6961" w:rsidRDefault="002F6961" w:rsidP="002F6961">
      <w:pPr>
        <w:pStyle w:val="Akapitzlist"/>
        <w:numPr>
          <w:ilvl w:val="1"/>
          <w:numId w:val="15"/>
        </w:numPr>
        <w:autoSpaceDE w:val="0"/>
        <w:autoSpaceDN w:val="0"/>
        <w:adjustRightInd w:val="0"/>
        <w:ind w:left="851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 xml:space="preserve">koszty zakwaterowania i wyżywienia grup uczestników, opiekunów i  laureatów oraz jurorów (np. seminaria, warsztaty, wizyty studyjne) były finansowane wyłącznie na podstawie dowodów księgowych, </w:t>
      </w:r>
    </w:p>
    <w:p w:rsidR="002F6961" w:rsidRDefault="002F6961" w:rsidP="002F6961">
      <w:pPr>
        <w:pStyle w:val="Akapitzlist"/>
        <w:numPr>
          <w:ilvl w:val="1"/>
          <w:numId w:val="15"/>
        </w:numPr>
        <w:autoSpaceDE w:val="0"/>
        <w:autoSpaceDN w:val="0"/>
        <w:adjustRightInd w:val="0"/>
        <w:ind w:left="851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 xml:space="preserve">na dowodach księgowych dotyczących zakwaterowania były zaznaczone: liczba osób oraz daty noclegów, </w:t>
      </w:r>
    </w:p>
    <w:p w:rsidR="002F6961" w:rsidRDefault="002F6961" w:rsidP="002F6961">
      <w:pPr>
        <w:pStyle w:val="Akapitzlist"/>
        <w:numPr>
          <w:ilvl w:val="1"/>
          <w:numId w:val="15"/>
        </w:numPr>
        <w:autoSpaceDE w:val="0"/>
        <w:autoSpaceDN w:val="0"/>
        <w:adjustRightInd w:val="0"/>
        <w:ind w:left="851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koszty wyżywienia były dokumentowane fakturą lub rachunkiem lub innym dowodem księgowym w rozumieniu ustawy o rachunkowości, wykazującym liczbę posiłków i cenę jednostkową posiłku;</w:t>
      </w:r>
    </w:p>
    <w:p w:rsidR="002F6961" w:rsidRDefault="002F6961" w:rsidP="002F6961">
      <w:pPr>
        <w:pStyle w:val="Tekstkomentarza"/>
        <w:numPr>
          <w:ilvl w:val="1"/>
          <w:numId w:val="15"/>
        </w:numPr>
        <w:ind w:left="851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color w:val="000000"/>
          <w:sz w:val="24"/>
          <w:szCs w:val="24"/>
        </w:rPr>
        <w:t>ze środków dotacji nie finansowano kosztów napojów alkoholowych i  wyrobów tytoniowych.</w:t>
      </w:r>
    </w:p>
    <w:p w:rsidR="002F6961" w:rsidRDefault="002F6961" w:rsidP="002F6961">
      <w:pPr>
        <w:spacing w:before="120"/>
        <w:rPr>
          <w:rFonts w:ascii="Century Gothic" w:eastAsia="Courier New" w:hAnsi="Century Gothic"/>
          <w:color w:val="000000"/>
          <w:lang w:bidi="pl-PL"/>
        </w:rPr>
      </w:pPr>
      <w:r>
        <w:rPr>
          <w:rFonts w:ascii="Century Gothic" w:eastAsia="Courier New" w:hAnsi="Century Gothic"/>
          <w:color w:val="000000"/>
          <w:lang w:bidi="pl-PL"/>
        </w:rPr>
        <w:t>W czasie kontroli nie stwierdzono nieprawidłowości.</w:t>
      </w:r>
    </w:p>
    <w:p w:rsidR="002F6961" w:rsidRDefault="005E06B0" w:rsidP="002F6961">
      <w:pPr>
        <w:pStyle w:val="menfont"/>
        <w:spacing w:before="120" w:after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</w:t>
      </w:r>
      <w:r w:rsidR="002F6961">
        <w:rPr>
          <w:rFonts w:ascii="Century Gothic" w:hAnsi="Century Gothic"/>
        </w:rPr>
        <w:t>ystąpieni</w:t>
      </w:r>
      <w:r>
        <w:rPr>
          <w:rFonts w:ascii="Century Gothic" w:hAnsi="Century Gothic"/>
        </w:rPr>
        <w:t>e</w:t>
      </w:r>
      <w:r w:rsidR="002F6961">
        <w:rPr>
          <w:rFonts w:ascii="Century Gothic" w:hAnsi="Century Gothic"/>
        </w:rPr>
        <w:t xml:space="preserve"> pokontrolne sporządzono w dwóch jednobrzmiących egzemplarzach.</w:t>
      </w:r>
    </w:p>
    <w:p w:rsidR="002F6961" w:rsidRDefault="002F6961" w:rsidP="002F6961">
      <w:pPr>
        <w:pStyle w:val="menfont"/>
        <w:ind w:left="4678" w:right="-143"/>
        <w:jc w:val="center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  <w:t>Z poważaniem</w:t>
      </w:r>
    </w:p>
    <w:p w:rsidR="001C2408" w:rsidRPr="001C2408" w:rsidRDefault="002F6961" w:rsidP="002E3ADF">
      <w:pPr>
        <w:pStyle w:val="menfont"/>
        <w:ind w:right="-285"/>
        <w:rPr>
          <w:rFonts w:ascii="Century Gothic" w:hAnsi="Century Gothic"/>
        </w:rPr>
      </w:pPr>
      <w:r>
        <w:rPr>
          <w:rFonts w:ascii="Century Gothic" w:hAnsi="Century Gothic"/>
          <w:sz w:val="20"/>
        </w:rPr>
        <w:t xml:space="preserve"> </w:t>
      </w:r>
    </w:p>
    <w:sectPr w:rsidR="001C2408" w:rsidRPr="001C2408" w:rsidSect="001C24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3A3" w:rsidRDefault="000B53A3">
      <w:r>
        <w:separator/>
      </w:r>
    </w:p>
  </w:endnote>
  <w:endnote w:type="continuationSeparator" w:id="0">
    <w:p w:rsidR="000B53A3" w:rsidRDefault="000B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BB62DFC-AD02-4EE7-B0A4-48AC53D3801A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2" w:fontKey="{6C719F7B-ED9C-435A-9AD0-557A8820FE39}"/>
    <w:embedBold r:id="rId3" w:fontKey="{F18456FC-9ED0-4D66-9471-9EF60C9591B0}"/>
    <w:embedItalic r:id="rId4" w:fontKey="{B5E10D3D-045D-4F36-B470-8541A235B78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7CCAFBCF-CA58-45A0-B44D-0FD76FABC621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6" w:fontKey="{BD08A7CF-CC95-4830-ABCB-C566A8B521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FAB" w:rsidRDefault="00FB6FA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FB6FAB" w:rsidP="00FB6FAB">
    <w:pPr>
      <w:pStyle w:val="Stopka"/>
    </w:pPr>
    <w:r>
      <w:object w:dxaOrig="7440" w:dyaOrig="1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72pt;height:72.75pt" o:ole="">
          <v:imagedata r:id="rId1" o:title=""/>
        </v:shape>
        <o:OLEObject Type="Embed" ProgID="Acrobat.Document.2017" ShapeID="_x0000_i1025" DrawAspect="Content" ObjectID="_1661325266" r:id="rId2"/>
      </w:object>
    </w:r>
    <w:r w:rsidR="00C10980"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2E3ADF" w:rsidP="00FB6FAB">
    <w:pPr>
      <w:pStyle w:val="Stopka"/>
      <w:jc w:val="center"/>
    </w:pPr>
    <w:r>
      <w:object w:dxaOrig="7440" w:dyaOrig="1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72pt;height:72.75pt" o:ole="">
          <v:imagedata r:id="rId1" o:title=""/>
        </v:shape>
        <o:OLEObject Type="Embed" ProgID="Acrobat.Document.2017" ShapeID="_x0000_i1026" DrawAspect="Content" ObjectID="_1661325267" r:id="rId2"/>
      </w:object>
    </w:r>
    <w:r w:rsidR="008477F9">
      <w:t xml:space="preserve"> </w:t>
    </w:r>
    <w:r w:rsidR="00FB6FAB">
      <w:ptab w:relativeTo="margin" w:alignment="center" w:leader="none"/>
    </w:r>
    <w:r w:rsidR="008477F9">
      <w:t xml:space="preserve"> </w:t>
    </w:r>
    <w:r w:rsidR="00FB6FAB">
      <w:ptab w:relativeTo="margin" w:alignment="right" w:leader="none"/>
    </w:r>
    <w:r w:rsidR="008477F9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3A3" w:rsidRDefault="000B53A3">
      <w:r>
        <w:separator/>
      </w:r>
    </w:p>
  </w:footnote>
  <w:footnote w:type="continuationSeparator" w:id="0">
    <w:p w:rsidR="000B53A3" w:rsidRDefault="000B53A3">
      <w:r>
        <w:continuationSeparator/>
      </w:r>
    </w:p>
  </w:footnote>
  <w:footnote w:id="1">
    <w:p w:rsidR="002F6961" w:rsidRPr="00990DA7" w:rsidRDefault="002F6961" w:rsidP="002F6961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Century Gothic" w:hAnsi="Century Gothic"/>
          <w:sz w:val="16"/>
        </w:rPr>
      </w:pPr>
      <w:r>
        <w:rPr>
          <w:color w:val="000000"/>
          <w:sz w:val="18"/>
          <w:szCs w:val="18"/>
          <w:vertAlign w:val="superscript"/>
          <w:lang w:bidi="pl-PL"/>
        </w:rPr>
        <w:footnoteRef/>
      </w:r>
      <w:r w:rsidRPr="00990DA7">
        <w:rPr>
          <w:rFonts w:ascii="Century Gothic" w:hAnsi="Century Gothic"/>
          <w:sz w:val="16"/>
        </w:rPr>
        <w:t xml:space="preserve">Kontrolę przeprowadzili pracownicy Ministerstwa Edukacji Narodowej: </w:t>
      </w:r>
    </w:p>
    <w:p w:rsidR="002F6961" w:rsidRPr="00990DA7" w:rsidRDefault="00990DA7" w:rsidP="002F6961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Krystyna Kiernozek </w:t>
      </w:r>
      <w:r w:rsidR="002F6961" w:rsidRPr="00990DA7">
        <w:rPr>
          <w:rFonts w:ascii="Century Gothic" w:hAnsi="Century Gothic"/>
          <w:sz w:val="16"/>
        </w:rPr>
        <w:t xml:space="preserve">– główny specjalista w Wydziale Wychowania, Profilaktyki i Bezpieczeństwa w  Departamencie Wychowania i Kształcenia Integracyjnego - kierownik Zespołu Kontrolującego na podstawie upoważnienia nr 08/2019 Ministra Edukacji Narodowej z dnia 15 maja 2019 r.; </w:t>
      </w:r>
    </w:p>
    <w:p w:rsidR="002F6961" w:rsidRPr="00990DA7" w:rsidRDefault="00990DA7" w:rsidP="002F6961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426" w:right="60"/>
        <w:jc w:val="both"/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Agnieszka Pytkowska </w:t>
      </w:r>
      <w:r w:rsidR="002F6961" w:rsidRPr="00990DA7">
        <w:rPr>
          <w:rFonts w:ascii="Century Gothic" w:hAnsi="Century Gothic"/>
          <w:sz w:val="16"/>
        </w:rPr>
        <w:t xml:space="preserve">– główny specjalista w Wydziale Wychowania, Profilaktyki i Bezpieczeństwa w  Departamencie Wychowania i Kształcenia Integracyjnego na podstawie upoważnienia nr 09/2019 Ministra Edukacji Narodowej z dnia 15 maja 2019 r. </w:t>
      </w:r>
    </w:p>
  </w:footnote>
  <w:footnote w:id="2">
    <w:p w:rsidR="002F6961" w:rsidRDefault="002F6961" w:rsidP="002F6961">
      <w:pPr>
        <w:pStyle w:val="Tekstprzypisudolnego"/>
      </w:pPr>
      <w:r w:rsidRPr="00990DA7">
        <w:rPr>
          <w:rFonts w:ascii="Century Gothic" w:hAnsi="Century Gothic"/>
          <w:sz w:val="16"/>
          <w:szCs w:val="24"/>
        </w:rPr>
        <w:footnoteRef/>
      </w:r>
      <w:r w:rsidRPr="00990DA7">
        <w:rPr>
          <w:rFonts w:ascii="Century Gothic" w:hAnsi="Century Gothic"/>
          <w:sz w:val="16"/>
          <w:szCs w:val="24"/>
        </w:rPr>
        <w:t xml:space="preserve"> Siedziba Stowarzyszenia wg KRS ul. Sandomierskiej 4, 27-400 Ostrowiec Świętokrzyski.</w:t>
      </w:r>
    </w:p>
  </w:footnote>
  <w:footnote w:id="3">
    <w:p w:rsidR="002F6961" w:rsidRDefault="002F6961" w:rsidP="002F6961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Dz. U. z 2019 r. poz. 688.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FAB" w:rsidRDefault="00FB6FA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7586171"/>
      <w:docPartObj>
        <w:docPartGallery w:val="Page Numbers (Top of Page)"/>
        <w:docPartUnique/>
      </w:docPartObj>
    </w:sdtPr>
    <w:sdtEndPr/>
    <w:sdtContent>
      <w:p w:rsidR="00FB6FAB" w:rsidRDefault="00FB6FAB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14">
          <w:rPr>
            <w:noProof/>
          </w:rPr>
          <w:t>2</w:t>
        </w:r>
        <w:r>
          <w:fldChar w:fldCharType="end"/>
        </w:r>
      </w:p>
    </w:sdtContent>
  </w:sdt>
  <w:p w:rsidR="00FB6FAB" w:rsidRDefault="00FB6FA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C10980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082207" w:rsidRPr="00933CE2" w:rsidRDefault="00C10980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0A58"/>
    <w:multiLevelType w:val="hybridMultilevel"/>
    <w:tmpl w:val="FC944F0C"/>
    <w:lvl w:ilvl="0" w:tplc="04150017">
      <w:start w:val="1"/>
      <w:numFmt w:val="lowerLetter"/>
      <w:lvlText w:val="%1)"/>
      <w:lvlJc w:val="left"/>
      <w:pPr>
        <w:ind w:left="2092" w:hanging="360"/>
      </w:pPr>
    </w:lvl>
    <w:lvl w:ilvl="1" w:tplc="04150019">
      <w:start w:val="1"/>
      <w:numFmt w:val="lowerLetter"/>
      <w:lvlText w:val="%2."/>
      <w:lvlJc w:val="left"/>
      <w:pPr>
        <w:ind w:left="2812" w:hanging="360"/>
      </w:pPr>
    </w:lvl>
    <w:lvl w:ilvl="2" w:tplc="0415001B">
      <w:start w:val="1"/>
      <w:numFmt w:val="lowerRoman"/>
      <w:lvlText w:val="%3."/>
      <w:lvlJc w:val="right"/>
      <w:pPr>
        <w:ind w:left="3532" w:hanging="180"/>
      </w:pPr>
    </w:lvl>
    <w:lvl w:ilvl="3" w:tplc="0415000F">
      <w:start w:val="1"/>
      <w:numFmt w:val="decimal"/>
      <w:lvlText w:val="%4."/>
      <w:lvlJc w:val="left"/>
      <w:pPr>
        <w:ind w:left="4252" w:hanging="360"/>
      </w:pPr>
    </w:lvl>
    <w:lvl w:ilvl="4" w:tplc="04150019">
      <w:start w:val="1"/>
      <w:numFmt w:val="lowerLetter"/>
      <w:lvlText w:val="%5."/>
      <w:lvlJc w:val="left"/>
      <w:pPr>
        <w:ind w:left="4972" w:hanging="360"/>
      </w:pPr>
    </w:lvl>
    <w:lvl w:ilvl="5" w:tplc="0415001B">
      <w:start w:val="1"/>
      <w:numFmt w:val="lowerRoman"/>
      <w:lvlText w:val="%6."/>
      <w:lvlJc w:val="right"/>
      <w:pPr>
        <w:ind w:left="5692" w:hanging="180"/>
      </w:pPr>
    </w:lvl>
    <w:lvl w:ilvl="6" w:tplc="0415000F">
      <w:start w:val="1"/>
      <w:numFmt w:val="decimal"/>
      <w:lvlText w:val="%7."/>
      <w:lvlJc w:val="left"/>
      <w:pPr>
        <w:ind w:left="6412" w:hanging="360"/>
      </w:pPr>
    </w:lvl>
    <w:lvl w:ilvl="7" w:tplc="04150019">
      <w:start w:val="1"/>
      <w:numFmt w:val="lowerLetter"/>
      <w:lvlText w:val="%8."/>
      <w:lvlJc w:val="left"/>
      <w:pPr>
        <w:ind w:left="7132" w:hanging="360"/>
      </w:pPr>
    </w:lvl>
    <w:lvl w:ilvl="8" w:tplc="0415001B">
      <w:start w:val="1"/>
      <w:numFmt w:val="lowerRoman"/>
      <w:lvlText w:val="%9."/>
      <w:lvlJc w:val="right"/>
      <w:pPr>
        <w:ind w:left="7852" w:hanging="180"/>
      </w:pPr>
    </w:lvl>
  </w:abstractNum>
  <w:abstractNum w:abstractNumId="1" w15:restartNumberingAfterBreak="0">
    <w:nsid w:val="05E96856"/>
    <w:multiLevelType w:val="hybridMultilevel"/>
    <w:tmpl w:val="282A38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FF1D64"/>
    <w:multiLevelType w:val="hybridMultilevel"/>
    <w:tmpl w:val="B3FA0FD4"/>
    <w:lvl w:ilvl="0" w:tplc="13AE4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7566BC7"/>
    <w:multiLevelType w:val="hybridMultilevel"/>
    <w:tmpl w:val="48F2BA1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984C3864">
      <w:start w:val="1"/>
      <w:numFmt w:val="decimal"/>
      <w:lvlText w:val="%2)"/>
      <w:lvlJc w:val="left"/>
      <w:pPr>
        <w:ind w:left="1788" w:hanging="360"/>
      </w:p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17EF9"/>
    <w:multiLevelType w:val="hybridMultilevel"/>
    <w:tmpl w:val="C1543F8E"/>
    <w:lvl w:ilvl="0" w:tplc="04150011">
      <w:start w:val="1"/>
      <w:numFmt w:val="decimal"/>
      <w:lvlText w:val="%1)"/>
      <w:lvlJc w:val="left"/>
      <w:pPr>
        <w:ind w:left="809" w:hanging="360"/>
      </w:pPr>
    </w:lvl>
    <w:lvl w:ilvl="1" w:tplc="9FB69ED8">
      <w:start w:val="1"/>
      <w:numFmt w:val="lowerLetter"/>
      <w:lvlText w:val="%2)"/>
      <w:lvlJc w:val="left"/>
      <w:pPr>
        <w:ind w:left="1565" w:hanging="396"/>
      </w:pPr>
    </w:lvl>
    <w:lvl w:ilvl="2" w:tplc="04150005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5" w15:restartNumberingAfterBreak="0">
    <w:nsid w:val="1E3C1345"/>
    <w:multiLevelType w:val="hybridMultilevel"/>
    <w:tmpl w:val="CC4067DC"/>
    <w:lvl w:ilvl="0" w:tplc="04150017">
      <w:start w:val="1"/>
      <w:numFmt w:val="lowerLetter"/>
      <w:lvlText w:val="%1)"/>
      <w:lvlJc w:val="left"/>
      <w:pPr>
        <w:ind w:left="2376" w:hanging="360"/>
      </w:pPr>
    </w:lvl>
    <w:lvl w:ilvl="1" w:tplc="04150019">
      <w:start w:val="1"/>
      <w:numFmt w:val="lowerLetter"/>
      <w:lvlText w:val="%2."/>
      <w:lvlJc w:val="left"/>
      <w:pPr>
        <w:ind w:left="3096" w:hanging="360"/>
      </w:pPr>
    </w:lvl>
    <w:lvl w:ilvl="2" w:tplc="0415001B">
      <w:start w:val="1"/>
      <w:numFmt w:val="lowerRoman"/>
      <w:lvlText w:val="%3."/>
      <w:lvlJc w:val="right"/>
      <w:pPr>
        <w:ind w:left="3816" w:hanging="180"/>
      </w:pPr>
    </w:lvl>
    <w:lvl w:ilvl="3" w:tplc="0415000F">
      <w:start w:val="1"/>
      <w:numFmt w:val="decimal"/>
      <w:lvlText w:val="%4."/>
      <w:lvlJc w:val="left"/>
      <w:pPr>
        <w:ind w:left="4536" w:hanging="360"/>
      </w:pPr>
    </w:lvl>
    <w:lvl w:ilvl="4" w:tplc="04150019">
      <w:start w:val="1"/>
      <w:numFmt w:val="lowerLetter"/>
      <w:lvlText w:val="%5."/>
      <w:lvlJc w:val="left"/>
      <w:pPr>
        <w:ind w:left="5256" w:hanging="360"/>
      </w:pPr>
    </w:lvl>
    <w:lvl w:ilvl="5" w:tplc="0415001B">
      <w:start w:val="1"/>
      <w:numFmt w:val="lowerRoman"/>
      <w:lvlText w:val="%6."/>
      <w:lvlJc w:val="right"/>
      <w:pPr>
        <w:ind w:left="5976" w:hanging="180"/>
      </w:pPr>
    </w:lvl>
    <w:lvl w:ilvl="6" w:tplc="0415000F">
      <w:start w:val="1"/>
      <w:numFmt w:val="decimal"/>
      <w:lvlText w:val="%7."/>
      <w:lvlJc w:val="left"/>
      <w:pPr>
        <w:ind w:left="6696" w:hanging="360"/>
      </w:pPr>
    </w:lvl>
    <w:lvl w:ilvl="7" w:tplc="04150019">
      <w:start w:val="1"/>
      <w:numFmt w:val="lowerLetter"/>
      <w:lvlText w:val="%8."/>
      <w:lvlJc w:val="left"/>
      <w:pPr>
        <w:ind w:left="7416" w:hanging="360"/>
      </w:pPr>
    </w:lvl>
    <w:lvl w:ilvl="8" w:tplc="0415001B">
      <w:start w:val="1"/>
      <w:numFmt w:val="lowerRoman"/>
      <w:lvlText w:val="%9."/>
      <w:lvlJc w:val="right"/>
      <w:pPr>
        <w:ind w:left="8136" w:hanging="180"/>
      </w:pPr>
    </w:lvl>
  </w:abstractNum>
  <w:abstractNum w:abstractNumId="6" w15:restartNumberingAfterBreak="0">
    <w:nsid w:val="216A2101"/>
    <w:multiLevelType w:val="hybridMultilevel"/>
    <w:tmpl w:val="5668404E"/>
    <w:lvl w:ilvl="0" w:tplc="97DC4F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A77473"/>
    <w:multiLevelType w:val="hybridMultilevel"/>
    <w:tmpl w:val="54CEFB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DC5237"/>
    <w:multiLevelType w:val="hybridMultilevel"/>
    <w:tmpl w:val="7898D85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7">
      <w:start w:val="1"/>
      <w:numFmt w:val="lowerLetter"/>
      <w:lvlText w:val="%2)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B114823"/>
    <w:multiLevelType w:val="hybridMultilevel"/>
    <w:tmpl w:val="63CC0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03D37"/>
    <w:multiLevelType w:val="hybridMultilevel"/>
    <w:tmpl w:val="9D5660A2"/>
    <w:lvl w:ilvl="0" w:tplc="04150017">
      <w:start w:val="1"/>
      <w:numFmt w:val="lowerLetter"/>
      <w:lvlText w:val="%1)"/>
      <w:lvlJc w:val="left"/>
      <w:pPr>
        <w:ind w:left="357" w:hanging="360"/>
      </w:pPr>
    </w:lvl>
    <w:lvl w:ilvl="1" w:tplc="04150019">
      <w:start w:val="1"/>
      <w:numFmt w:val="lowerLetter"/>
      <w:lvlText w:val="%2."/>
      <w:lvlJc w:val="left"/>
      <w:pPr>
        <w:ind w:left="1077" w:hanging="360"/>
      </w:pPr>
    </w:lvl>
    <w:lvl w:ilvl="2" w:tplc="0415001B">
      <w:start w:val="1"/>
      <w:numFmt w:val="lowerRoman"/>
      <w:lvlText w:val="%3."/>
      <w:lvlJc w:val="right"/>
      <w:pPr>
        <w:ind w:left="1797" w:hanging="180"/>
      </w:pPr>
    </w:lvl>
    <w:lvl w:ilvl="3" w:tplc="0415000F">
      <w:start w:val="1"/>
      <w:numFmt w:val="decimal"/>
      <w:lvlText w:val="%4."/>
      <w:lvlJc w:val="left"/>
      <w:pPr>
        <w:ind w:left="2517" w:hanging="360"/>
      </w:pPr>
    </w:lvl>
    <w:lvl w:ilvl="4" w:tplc="04150019">
      <w:start w:val="1"/>
      <w:numFmt w:val="lowerLetter"/>
      <w:lvlText w:val="%5."/>
      <w:lvlJc w:val="left"/>
      <w:pPr>
        <w:ind w:left="3237" w:hanging="360"/>
      </w:pPr>
    </w:lvl>
    <w:lvl w:ilvl="5" w:tplc="0415001B">
      <w:start w:val="1"/>
      <w:numFmt w:val="lowerRoman"/>
      <w:lvlText w:val="%6."/>
      <w:lvlJc w:val="right"/>
      <w:pPr>
        <w:ind w:left="3957" w:hanging="180"/>
      </w:pPr>
    </w:lvl>
    <w:lvl w:ilvl="6" w:tplc="0415000F">
      <w:start w:val="1"/>
      <w:numFmt w:val="decimal"/>
      <w:lvlText w:val="%7."/>
      <w:lvlJc w:val="left"/>
      <w:pPr>
        <w:ind w:left="4677" w:hanging="360"/>
      </w:pPr>
    </w:lvl>
    <w:lvl w:ilvl="7" w:tplc="04150019">
      <w:start w:val="1"/>
      <w:numFmt w:val="lowerLetter"/>
      <w:lvlText w:val="%8."/>
      <w:lvlJc w:val="left"/>
      <w:pPr>
        <w:ind w:left="5397" w:hanging="360"/>
      </w:pPr>
    </w:lvl>
    <w:lvl w:ilvl="8" w:tplc="0415001B">
      <w:start w:val="1"/>
      <w:numFmt w:val="lowerRoman"/>
      <w:lvlText w:val="%9."/>
      <w:lvlJc w:val="right"/>
      <w:pPr>
        <w:ind w:left="6117" w:hanging="180"/>
      </w:pPr>
    </w:lvl>
  </w:abstractNum>
  <w:abstractNum w:abstractNumId="11" w15:restartNumberingAfterBreak="0">
    <w:nsid w:val="4C4D7C87"/>
    <w:multiLevelType w:val="hybridMultilevel"/>
    <w:tmpl w:val="40BE1D18"/>
    <w:lvl w:ilvl="0" w:tplc="97DC4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F7B12"/>
    <w:multiLevelType w:val="hybridMultilevel"/>
    <w:tmpl w:val="6E96E6EA"/>
    <w:lvl w:ilvl="0" w:tplc="97DC4F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897699"/>
    <w:multiLevelType w:val="hybridMultilevel"/>
    <w:tmpl w:val="3A343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D06FE"/>
    <w:multiLevelType w:val="hybridMultilevel"/>
    <w:tmpl w:val="C442AA28"/>
    <w:lvl w:ilvl="0" w:tplc="70A6FC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711A77"/>
    <w:multiLevelType w:val="hybridMultilevel"/>
    <w:tmpl w:val="F9ACEB80"/>
    <w:lvl w:ilvl="0" w:tplc="1E26014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4D2268E0">
      <w:start w:val="1"/>
      <w:numFmt w:val="lowerLetter"/>
      <w:lvlText w:val="%2."/>
      <w:lvlJc w:val="left"/>
      <w:pPr>
        <w:ind w:left="1080" w:hanging="360"/>
      </w:pPr>
    </w:lvl>
    <w:lvl w:ilvl="2" w:tplc="B614B7F8">
      <w:start w:val="1"/>
      <w:numFmt w:val="lowerRoman"/>
      <w:lvlText w:val="%3."/>
      <w:lvlJc w:val="right"/>
      <w:pPr>
        <w:ind w:left="1800" w:hanging="180"/>
      </w:pPr>
    </w:lvl>
    <w:lvl w:ilvl="3" w:tplc="5E22CCB8">
      <w:start w:val="1"/>
      <w:numFmt w:val="decimal"/>
      <w:lvlText w:val="%4."/>
      <w:lvlJc w:val="left"/>
      <w:pPr>
        <w:ind w:left="2520" w:hanging="360"/>
      </w:pPr>
    </w:lvl>
    <w:lvl w:ilvl="4" w:tplc="40AC9338">
      <w:start w:val="1"/>
      <w:numFmt w:val="lowerLetter"/>
      <w:lvlText w:val="%5."/>
      <w:lvlJc w:val="left"/>
      <w:pPr>
        <w:ind w:left="3240" w:hanging="360"/>
      </w:pPr>
    </w:lvl>
    <w:lvl w:ilvl="5" w:tplc="3B36D994">
      <w:start w:val="1"/>
      <w:numFmt w:val="lowerRoman"/>
      <w:lvlText w:val="%6."/>
      <w:lvlJc w:val="right"/>
      <w:pPr>
        <w:ind w:left="3960" w:hanging="180"/>
      </w:pPr>
    </w:lvl>
    <w:lvl w:ilvl="6" w:tplc="BB9A96A6">
      <w:start w:val="1"/>
      <w:numFmt w:val="decimal"/>
      <w:lvlText w:val="%7."/>
      <w:lvlJc w:val="left"/>
      <w:pPr>
        <w:ind w:left="4680" w:hanging="360"/>
      </w:pPr>
    </w:lvl>
    <w:lvl w:ilvl="7" w:tplc="F09AE498">
      <w:start w:val="1"/>
      <w:numFmt w:val="lowerLetter"/>
      <w:lvlText w:val="%8."/>
      <w:lvlJc w:val="left"/>
      <w:pPr>
        <w:ind w:left="5400" w:hanging="360"/>
      </w:pPr>
    </w:lvl>
    <w:lvl w:ilvl="8" w:tplc="3A7053D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961"/>
    <w:rsid w:val="0004663B"/>
    <w:rsid w:val="000B53A3"/>
    <w:rsid w:val="000C0A64"/>
    <w:rsid w:val="001668AD"/>
    <w:rsid w:val="001D59EF"/>
    <w:rsid w:val="0022517C"/>
    <w:rsid w:val="002E3ADF"/>
    <w:rsid w:val="002F6961"/>
    <w:rsid w:val="004C0992"/>
    <w:rsid w:val="0055243E"/>
    <w:rsid w:val="0056035D"/>
    <w:rsid w:val="005A0258"/>
    <w:rsid w:val="005E06B0"/>
    <w:rsid w:val="006B608E"/>
    <w:rsid w:val="007A7C78"/>
    <w:rsid w:val="008477F9"/>
    <w:rsid w:val="008647FF"/>
    <w:rsid w:val="00873891"/>
    <w:rsid w:val="008B7B14"/>
    <w:rsid w:val="00967832"/>
    <w:rsid w:val="00990DA7"/>
    <w:rsid w:val="00A9143B"/>
    <w:rsid w:val="00B72320"/>
    <w:rsid w:val="00BE3613"/>
    <w:rsid w:val="00C10980"/>
    <w:rsid w:val="00E80BCC"/>
    <w:rsid w:val="00F35358"/>
    <w:rsid w:val="00FB6FAB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Hipercze">
    <w:name w:val="Hyperlink"/>
    <w:basedOn w:val="Domylnaczcionkaakapitu"/>
    <w:uiPriority w:val="99"/>
    <w:semiHidden/>
    <w:unhideWhenUsed/>
    <w:rsid w:val="002F6961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2F69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F6961"/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semiHidden/>
    <w:unhideWhenUsed/>
    <w:rsid w:val="002F6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F6961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2F696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2F6961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2F6961"/>
    <w:rPr>
      <w:sz w:val="16"/>
      <w:szCs w:val="16"/>
    </w:rPr>
  </w:style>
  <w:style w:type="paragraph" w:styleId="Tekstdymka">
    <w:name w:val="Balloon Text"/>
    <w:basedOn w:val="Normalny"/>
    <w:link w:val="TekstdymkaZnak"/>
    <w:semiHidden/>
    <w:unhideWhenUsed/>
    <w:rsid w:val="009678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67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niepodleglej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1827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2020-09-11T08:27:00Z</dcterms:created>
  <dcterms:modified xsi:type="dcterms:W3CDTF">2020-09-11T08:27:00Z</dcterms:modified>
</cp:coreProperties>
</file>