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t>
      </w:r>
      <w:r w:rsidR="008508AA">
        <w:t>wartego Konkursu ofert nr ew. 09</w:t>
      </w:r>
      <w:r>
        <w:t>/2020/WD/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8508AA"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09</w:t>
      </w:r>
      <w:r w:rsidR="007F0DCA" w:rsidRPr="005210DB">
        <w:rPr>
          <w:rFonts w:ascii="Arial" w:eastAsia="Times New Roman" w:hAnsi="Arial" w:cs="Arial"/>
          <w:b/>
          <w:bCs/>
          <w:sz w:val="23"/>
          <w:szCs w:val="23"/>
          <w:lang w:eastAsia="pl-PL"/>
        </w:rPr>
        <w:t>/2020/WD/</w:t>
      </w:r>
      <w:proofErr w:type="spellStart"/>
      <w:r w:rsidR="007F0DCA"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EA026E" w:rsidRPr="00883692">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części VI. 3 (Inne informacje) należy wskazać szacunkową wartość wkładu niefinansowego z 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8508AA">
        <w:rPr>
          <w:rFonts w:ascii="Arial" w:hAnsi="Arial" w:cs="Arial"/>
          <w:b/>
          <w:sz w:val="23"/>
          <w:szCs w:val="23"/>
        </w:rPr>
        <w:t>09</w:t>
      </w:r>
      <w:bookmarkStart w:id="0" w:name="_GoBack"/>
      <w:bookmarkEnd w:id="0"/>
      <w:r w:rsidR="00EA026E" w:rsidRPr="005210DB">
        <w:rPr>
          <w:rFonts w:ascii="Arial" w:hAnsi="Arial" w:cs="Arial"/>
          <w:b/>
          <w:sz w:val="23"/>
          <w:szCs w:val="23"/>
        </w:rPr>
        <w:t>/2020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lastRenderedPageBreak/>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xml:space="preserve">.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co też stanowić będzie podstawę do udzielenia </w:t>
      </w:r>
      <w:r w:rsidR="007F0DCA" w:rsidRPr="005210DB">
        <w:rPr>
          <w:rFonts w:ascii="Arial" w:eastAsia="Times New Roman" w:hAnsi="Arial" w:cs="Arial"/>
          <w:sz w:val="23"/>
          <w:szCs w:val="23"/>
          <w:lang w:eastAsia="pl-PL"/>
        </w:rPr>
        <w:lastRenderedPageBreak/>
        <w:t>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zarówno z dotacji jak i ze środków finansowych innych niż dotacja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lastRenderedPageBreak/>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Zleceniobiorca jest zobowiązany do posiadania w dokumentacji zadania publicznego wykazów osób korzystających ze strzelnicy (listy strzelań) pozwalających na właściwą </w:t>
      </w:r>
      <w:r w:rsidRPr="005210DB">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6C7C99" w:rsidRPr="005210DB" w:rsidRDefault="006C7C99" w:rsidP="006C7C99">
      <w:pPr>
        <w:pStyle w:val="Akapitzlist"/>
        <w:spacing w:before="120" w:after="120" w:line="276" w:lineRule="auto"/>
        <w:ind w:left="567"/>
        <w:contextualSpacing w:val="0"/>
        <w:jc w:val="both"/>
        <w:rPr>
          <w:rFonts w:ascii="Arial" w:eastAsia="Times New Roman" w:hAnsi="Arial" w:cs="Arial"/>
          <w:sz w:val="23"/>
          <w:szCs w:val="23"/>
          <w:lang w:eastAsia="pl-PL"/>
        </w:rPr>
      </w:pP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lastRenderedPageBreak/>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508AA">
      <w:rPr>
        <w:rStyle w:val="Numerstrony"/>
        <w:noProof/>
      </w:rPr>
      <w:t>6</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36481"/>
    <w:rsid w:val="003F5151"/>
    <w:rsid w:val="00442085"/>
    <w:rsid w:val="00446690"/>
    <w:rsid w:val="004A457A"/>
    <w:rsid w:val="004B5252"/>
    <w:rsid w:val="004B5BA7"/>
    <w:rsid w:val="004E4BC1"/>
    <w:rsid w:val="004F786B"/>
    <w:rsid w:val="00500254"/>
    <w:rsid w:val="005210DB"/>
    <w:rsid w:val="005573BE"/>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508AA"/>
    <w:rsid w:val="00883692"/>
    <w:rsid w:val="009227FC"/>
    <w:rsid w:val="009535A2"/>
    <w:rsid w:val="00A23A39"/>
    <w:rsid w:val="00A8526A"/>
    <w:rsid w:val="00AE05F8"/>
    <w:rsid w:val="00AF6959"/>
    <w:rsid w:val="00B07E75"/>
    <w:rsid w:val="00B53380"/>
    <w:rsid w:val="00BB25A0"/>
    <w:rsid w:val="00C168D2"/>
    <w:rsid w:val="00C510D2"/>
    <w:rsid w:val="00C63C23"/>
    <w:rsid w:val="00C8137F"/>
    <w:rsid w:val="00C8331F"/>
    <w:rsid w:val="00CE3895"/>
    <w:rsid w:val="00D27DF0"/>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012"/>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F715-9F02-4456-98DD-E547C73E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16</Pages>
  <Words>6161</Words>
  <Characters>36969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19</cp:revision>
  <cp:lastPrinted>2020-05-26T12:53:00Z</cp:lastPrinted>
  <dcterms:created xsi:type="dcterms:W3CDTF">2020-01-09T06:49:00Z</dcterms:created>
  <dcterms:modified xsi:type="dcterms:W3CDTF">2020-05-26T12:53:00Z</dcterms:modified>
</cp:coreProperties>
</file>